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B12E1C" w14:paraId="206E063C" w14:textId="77777777" w:rsidTr="00B6553F">
        <w:trPr>
          <w:cantSplit/>
          <w:trHeight w:hRule="exact" w:val="851"/>
        </w:trPr>
        <w:tc>
          <w:tcPr>
            <w:tcW w:w="1276" w:type="dxa"/>
            <w:tcBorders>
              <w:bottom w:val="single" w:sz="4" w:space="0" w:color="auto"/>
            </w:tcBorders>
            <w:vAlign w:val="bottom"/>
          </w:tcPr>
          <w:p w14:paraId="6F703C59" w14:textId="77777777" w:rsidR="00B56E9C" w:rsidRPr="00795244" w:rsidRDefault="00795244" w:rsidP="00795244">
            <w:pPr>
              <w:spacing w:line="20" w:lineRule="exact"/>
              <w:rPr>
                <w:rFonts w:ascii="Sylfaen" w:hAnsi="Sylfaen"/>
                <w:sz w:val="2"/>
                <w:lang w:val="en-US"/>
              </w:rPr>
            </w:pPr>
            <w:r>
              <w:rPr>
                <w:rStyle w:val="CommentReference"/>
              </w:rPr>
              <w:commentReference w:id="0"/>
            </w:r>
            <w:bookmarkStart w:id="1" w:name="_GoBack"/>
            <w:bookmarkEnd w:id="1"/>
          </w:p>
          <w:p w14:paraId="3FC80D08" w14:textId="77777777" w:rsidR="00795244" w:rsidRPr="006A2524" w:rsidRDefault="00795244" w:rsidP="00B6553F">
            <w:pPr>
              <w:spacing w:after="80"/>
              <w:rPr>
                <w:rFonts w:ascii="Sylfaen" w:hAnsi="Sylfaen"/>
                <w:lang w:val="en-US"/>
              </w:rPr>
            </w:pPr>
          </w:p>
        </w:tc>
        <w:tc>
          <w:tcPr>
            <w:tcW w:w="2268" w:type="dxa"/>
            <w:tcBorders>
              <w:bottom w:val="single" w:sz="4" w:space="0" w:color="auto"/>
            </w:tcBorders>
            <w:vAlign w:val="bottom"/>
          </w:tcPr>
          <w:p w14:paraId="78A8B88E" w14:textId="77777777" w:rsidR="00B56E9C" w:rsidRPr="00B12E1C" w:rsidRDefault="00B56E9C" w:rsidP="00B6553F">
            <w:pPr>
              <w:spacing w:after="80" w:line="300" w:lineRule="exact"/>
              <w:rPr>
                <w:b/>
                <w:sz w:val="24"/>
                <w:szCs w:val="24"/>
              </w:rPr>
            </w:pPr>
            <w:r w:rsidRPr="00B12E1C">
              <w:rPr>
                <w:sz w:val="28"/>
                <w:szCs w:val="28"/>
              </w:rPr>
              <w:t>United Nations</w:t>
            </w:r>
          </w:p>
        </w:tc>
        <w:tc>
          <w:tcPr>
            <w:tcW w:w="6095" w:type="dxa"/>
            <w:gridSpan w:val="2"/>
            <w:tcBorders>
              <w:bottom w:val="single" w:sz="4" w:space="0" w:color="auto"/>
            </w:tcBorders>
            <w:vAlign w:val="bottom"/>
          </w:tcPr>
          <w:p w14:paraId="7BBD18D1" w14:textId="77777777" w:rsidR="00B56E9C" w:rsidRPr="00B12E1C" w:rsidRDefault="008216A5" w:rsidP="002774A9">
            <w:pPr>
              <w:jc w:val="right"/>
            </w:pPr>
            <w:r w:rsidRPr="00B12E1C">
              <w:rPr>
                <w:sz w:val="40"/>
              </w:rPr>
              <w:t>CCPR</w:t>
            </w:r>
            <w:r w:rsidRPr="00B12E1C">
              <w:t>/C/1</w:t>
            </w:r>
            <w:r w:rsidR="00711F00" w:rsidRPr="00B12E1C">
              <w:t>1</w:t>
            </w:r>
            <w:r w:rsidR="005E3E4B">
              <w:t>5</w:t>
            </w:r>
            <w:r w:rsidR="00272837" w:rsidRPr="00B12E1C">
              <w:t>/</w:t>
            </w:r>
            <w:r w:rsidRPr="00B12E1C">
              <w:t>D/</w:t>
            </w:r>
            <w:r w:rsidR="00692477">
              <w:t>2</w:t>
            </w:r>
            <w:r w:rsidR="00970D30">
              <w:t>304</w:t>
            </w:r>
            <w:r w:rsidRPr="00B12E1C">
              <w:t>/</w:t>
            </w:r>
            <w:r w:rsidR="000308D4" w:rsidRPr="00B12E1C">
              <w:t>20</w:t>
            </w:r>
            <w:r w:rsidR="00970D30">
              <w:t>13</w:t>
            </w:r>
          </w:p>
        </w:tc>
      </w:tr>
      <w:tr w:rsidR="00B56E9C" w:rsidRPr="00B12E1C" w14:paraId="76BB6480" w14:textId="77777777" w:rsidTr="00B6553F">
        <w:trPr>
          <w:cantSplit/>
          <w:trHeight w:hRule="exact" w:val="2835"/>
        </w:trPr>
        <w:tc>
          <w:tcPr>
            <w:tcW w:w="1276" w:type="dxa"/>
            <w:tcBorders>
              <w:top w:val="single" w:sz="4" w:space="0" w:color="auto"/>
              <w:bottom w:val="single" w:sz="12" w:space="0" w:color="auto"/>
            </w:tcBorders>
          </w:tcPr>
          <w:p w14:paraId="37F1EC76" w14:textId="77777777" w:rsidR="00B56E9C" w:rsidRPr="00B12E1C" w:rsidRDefault="00D23322" w:rsidP="00B6553F">
            <w:pPr>
              <w:spacing w:before="120"/>
            </w:pPr>
            <w:r>
              <w:rPr>
                <w:noProof/>
                <w:lang w:val="en-US"/>
              </w:rPr>
              <w:drawing>
                <wp:inline distT="0" distB="0" distL="0" distR="0" wp14:anchorId="63BE1AAD" wp14:editId="0F1258AF">
                  <wp:extent cx="711200" cy="59055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120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7093B57" w14:textId="77777777" w:rsidR="002774A9" w:rsidRPr="00246284" w:rsidRDefault="00B56E9C" w:rsidP="00272837">
            <w:pPr>
              <w:spacing w:before="120" w:line="380" w:lineRule="exact"/>
              <w:rPr>
                <w:b/>
                <w:sz w:val="34"/>
                <w:szCs w:val="40"/>
              </w:rPr>
            </w:pPr>
            <w:r w:rsidRPr="00B12E1C">
              <w:rPr>
                <w:b/>
                <w:sz w:val="34"/>
                <w:szCs w:val="40"/>
              </w:rPr>
              <w:t xml:space="preserve">International </w:t>
            </w:r>
            <w:r w:rsidR="00060C3A" w:rsidRPr="00B12E1C">
              <w:rPr>
                <w:b/>
                <w:sz w:val="34"/>
                <w:szCs w:val="40"/>
              </w:rPr>
              <w:t>Covenant on</w:t>
            </w:r>
            <w:r w:rsidR="00060C3A" w:rsidRPr="00B12E1C">
              <w:rPr>
                <w:b/>
                <w:sz w:val="34"/>
                <w:szCs w:val="40"/>
              </w:rPr>
              <w:br/>
              <w:t>Civil and Political R</w:t>
            </w:r>
            <w:r w:rsidR="00703577" w:rsidRPr="00B12E1C">
              <w:rPr>
                <w:b/>
                <w:sz w:val="34"/>
                <w:szCs w:val="40"/>
              </w:rPr>
              <w:t>ights</w:t>
            </w:r>
          </w:p>
        </w:tc>
        <w:tc>
          <w:tcPr>
            <w:tcW w:w="2835" w:type="dxa"/>
            <w:tcBorders>
              <w:top w:val="single" w:sz="4" w:space="0" w:color="auto"/>
              <w:bottom w:val="single" w:sz="12" w:space="0" w:color="auto"/>
            </w:tcBorders>
          </w:tcPr>
          <w:p w14:paraId="18365598" w14:textId="77777777" w:rsidR="00B56E9C" w:rsidRPr="00B12E1C" w:rsidRDefault="008216A5" w:rsidP="008216A5">
            <w:pPr>
              <w:spacing w:before="240" w:line="240" w:lineRule="exact"/>
            </w:pPr>
            <w:r w:rsidRPr="00B12E1C">
              <w:t xml:space="preserve">Distr.: </w:t>
            </w:r>
            <w:r w:rsidR="002774A9">
              <w:t>General</w:t>
            </w:r>
          </w:p>
          <w:p w14:paraId="777E6BA7" w14:textId="77777777" w:rsidR="008216A5" w:rsidRPr="00B12E1C" w:rsidRDefault="001D03DE" w:rsidP="008216A5">
            <w:pPr>
              <w:spacing w:line="240" w:lineRule="exact"/>
            </w:pPr>
            <w:r>
              <w:t>9 December</w:t>
            </w:r>
            <w:r w:rsidR="00307752" w:rsidRPr="00B12E1C">
              <w:t xml:space="preserve"> 2015</w:t>
            </w:r>
          </w:p>
          <w:p w14:paraId="47F4D1CA" w14:textId="77777777" w:rsidR="008216A5" w:rsidRPr="00B12E1C" w:rsidRDefault="008216A5" w:rsidP="008216A5">
            <w:pPr>
              <w:spacing w:line="240" w:lineRule="exact"/>
            </w:pPr>
          </w:p>
          <w:p w14:paraId="1621106C" w14:textId="77777777" w:rsidR="008216A5" w:rsidRDefault="008216A5" w:rsidP="008216A5">
            <w:pPr>
              <w:spacing w:line="240" w:lineRule="exact"/>
            </w:pPr>
            <w:r w:rsidRPr="00B12E1C">
              <w:t>Original: English</w:t>
            </w:r>
          </w:p>
          <w:p w14:paraId="0D7FB124" w14:textId="77777777" w:rsidR="00326293" w:rsidRPr="00B12E1C" w:rsidRDefault="00326293" w:rsidP="008216A5">
            <w:pPr>
              <w:spacing w:line="240" w:lineRule="exact"/>
            </w:pPr>
          </w:p>
        </w:tc>
      </w:tr>
    </w:tbl>
    <w:p w14:paraId="0E0B8C12" w14:textId="77777777" w:rsidR="00D23322" w:rsidRPr="00B12E1C" w:rsidRDefault="00D23322" w:rsidP="00D23322">
      <w:pPr>
        <w:spacing w:before="120"/>
        <w:ind w:right="-141"/>
        <w:rPr>
          <w:b/>
          <w:sz w:val="24"/>
          <w:szCs w:val="24"/>
        </w:rPr>
      </w:pPr>
      <w:r w:rsidRPr="00B12E1C">
        <w:rPr>
          <w:b/>
          <w:sz w:val="24"/>
          <w:szCs w:val="24"/>
        </w:rPr>
        <w:t>Human Rights Committee</w:t>
      </w:r>
    </w:p>
    <w:p w14:paraId="6C0954E5" w14:textId="77777777" w:rsidR="003134AC" w:rsidRPr="00B12E1C" w:rsidRDefault="003134AC" w:rsidP="003134AC">
      <w:pPr>
        <w:pStyle w:val="HChG"/>
      </w:pPr>
      <w:r w:rsidRPr="00B12E1C">
        <w:tab/>
      </w:r>
      <w:r w:rsidRPr="00B12E1C">
        <w:tab/>
        <w:t xml:space="preserve">Communication No. </w:t>
      </w:r>
      <w:r w:rsidR="00692477">
        <w:t>2</w:t>
      </w:r>
      <w:r w:rsidR="00970D30">
        <w:t>304</w:t>
      </w:r>
      <w:r w:rsidR="002D77A1" w:rsidRPr="00B12E1C">
        <w:t>/20</w:t>
      </w:r>
      <w:r w:rsidR="00ED08C9" w:rsidRPr="00B12E1C">
        <w:t>1</w:t>
      </w:r>
      <w:r w:rsidR="00970D30">
        <w:t>3</w:t>
      </w:r>
    </w:p>
    <w:p w14:paraId="3D0AC489" w14:textId="77777777" w:rsidR="003134AC" w:rsidRPr="00B12E1C" w:rsidRDefault="003134AC" w:rsidP="00D23322">
      <w:pPr>
        <w:pStyle w:val="H1G"/>
      </w:pPr>
      <w:r w:rsidRPr="00B12E1C">
        <w:tab/>
      </w:r>
      <w:r w:rsidRPr="00B12E1C">
        <w:tab/>
      </w:r>
      <w:r w:rsidR="002774A9" w:rsidRPr="00671F7D">
        <w:t xml:space="preserve">Views adopted by the Committee at its 115th session </w:t>
      </w:r>
      <w:r w:rsidR="002774A9" w:rsidRPr="00671F7D">
        <w:br/>
        <w:t>(</w:t>
      </w:r>
      <w:r w:rsidR="002774A9" w:rsidRPr="00671F7D">
        <w:rPr>
          <w:bCs/>
          <w:lang w:val="en-US"/>
        </w:rPr>
        <w:t>19 October-6 November 2015)</w:t>
      </w:r>
    </w:p>
    <w:p w14:paraId="6122929C" w14:textId="77777777" w:rsidR="004B44C6" w:rsidRPr="00B12E1C" w:rsidRDefault="004B44C6">
      <w:pPr>
        <w:pStyle w:val="SingleTxtG"/>
        <w:ind w:left="4536" w:hanging="3402"/>
        <w:jc w:val="left"/>
      </w:pPr>
      <w:r w:rsidRPr="00B12E1C">
        <w:rPr>
          <w:i/>
        </w:rPr>
        <w:t>Submitted by:</w:t>
      </w:r>
      <w:r w:rsidRPr="00B12E1C">
        <w:tab/>
      </w:r>
      <w:r w:rsidR="00970D30" w:rsidRPr="00641579">
        <w:t>Dzhakishev Mukhtar (</w:t>
      </w:r>
      <w:r w:rsidR="00970D30">
        <w:t>represented by counsel from Grosvenor Law</w:t>
      </w:r>
      <w:r w:rsidR="00970D30" w:rsidRPr="00B12E1C">
        <w:t>)</w:t>
      </w:r>
    </w:p>
    <w:p w14:paraId="065F5885" w14:textId="77777777" w:rsidR="004B44C6" w:rsidRPr="00B12E1C" w:rsidRDefault="004B44C6" w:rsidP="004B44C6">
      <w:pPr>
        <w:pStyle w:val="SingleTxtG"/>
        <w:ind w:left="4536" w:hanging="3402"/>
        <w:jc w:val="left"/>
      </w:pPr>
      <w:r w:rsidRPr="00B12E1C">
        <w:rPr>
          <w:i/>
        </w:rPr>
        <w:t>Alleged victim:</w:t>
      </w:r>
      <w:r w:rsidR="005E3E4B">
        <w:tab/>
      </w:r>
      <w:r w:rsidR="00970D30">
        <w:t>Dzhakishev Mukhtar</w:t>
      </w:r>
    </w:p>
    <w:p w14:paraId="12D3A4BC" w14:textId="77777777" w:rsidR="004B44C6" w:rsidRPr="00B12E1C" w:rsidRDefault="004B44C6" w:rsidP="004B44C6">
      <w:pPr>
        <w:pStyle w:val="SingleTxtG"/>
        <w:ind w:left="4536" w:hanging="3402"/>
        <w:jc w:val="left"/>
      </w:pPr>
      <w:r w:rsidRPr="00B12E1C">
        <w:rPr>
          <w:i/>
        </w:rPr>
        <w:t>State party:</w:t>
      </w:r>
      <w:r w:rsidR="00692477">
        <w:tab/>
      </w:r>
      <w:r w:rsidR="003A25C1">
        <w:t>K</w:t>
      </w:r>
      <w:r w:rsidR="00970D30">
        <w:t>azakhstan</w:t>
      </w:r>
    </w:p>
    <w:p w14:paraId="5C637F89" w14:textId="77777777" w:rsidR="004B44C6" w:rsidRPr="00B12E1C" w:rsidRDefault="004B44C6" w:rsidP="004B44C6">
      <w:pPr>
        <w:pStyle w:val="SingleTxtG"/>
        <w:ind w:left="4536" w:hanging="3402"/>
        <w:jc w:val="left"/>
      </w:pPr>
      <w:r w:rsidRPr="00B12E1C">
        <w:rPr>
          <w:i/>
        </w:rPr>
        <w:t>Date of communication:</w:t>
      </w:r>
      <w:r w:rsidRPr="00B12E1C">
        <w:tab/>
      </w:r>
      <w:r w:rsidR="00970D30">
        <w:t>9 July 2013</w:t>
      </w:r>
      <w:r w:rsidRPr="00B12E1C">
        <w:t xml:space="preserve"> (initial submission)</w:t>
      </w:r>
    </w:p>
    <w:p w14:paraId="7020904B" w14:textId="77777777" w:rsidR="004B44C6" w:rsidRPr="00B12E1C" w:rsidRDefault="004B44C6" w:rsidP="004B44C6">
      <w:pPr>
        <w:pStyle w:val="SingleTxtG"/>
        <w:ind w:left="4536" w:hanging="3402"/>
        <w:jc w:val="left"/>
      </w:pPr>
      <w:r w:rsidRPr="00B12E1C">
        <w:rPr>
          <w:i/>
        </w:rPr>
        <w:t>Document references:</w:t>
      </w:r>
      <w:r w:rsidRPr="00B12E1C">
        <w:tab/>
        <w:t xml:space="preserve">Special Rapporteur’s rule 97 decision, transmitted to the State party on </w:t>
      </w:r>
      <w:r w:rsidR="00F4067C">
        <w:t>12</w:t>
      </w:r>
      <w:r w:rsidR="001A3477" w:rsidRPr="00B12E1C">
        <w:t xml:space="preserve"> </w:t>
      </w:r>
      <w:r w:rsidR="00F4067C">
        <w:t>November</w:t>
      </w:r>
      <w:r w:rsidR="001A3477" w:rsidRPr="00B12E1C">
        <w:t xml:space="preserve"> 201</w:t>
      </w:r>
      <w:r w:rsidR="00F4067C">
        <w:t>3</w:t>
      </w:r>
      <w:r w:rsidR="001A3477" w:rsidRPr="00B12E1C">
        <w:t xml:space="preserve"> </w:t>
      </w:r>
      <w:r w:rsidRPr="00B12E1C">
        <w:t>(not issued in document form)</w:t>
      </w:r>
    </w:p>
    <w:p w14:paraId="2C4C922C" w14:textId="77777777" w:rsidR="00326293" w:rsidRDefault="004B44C6" w:rsidP="004B44C6">
      <w:pPr>
        <w:pStyle w:val="SingleTxtG"/>
        <w:ind w:left="4536" w:hanging="3402"/>
        <w:jc w:val="left"/>
      </w:pPr>
      <w:r w:rsidRPr="00B12E1C">
        <w:rPr>
          <w:i/>
        </w:rPr>
        <w:t xml:space="preserve">Date of adoption of </w:t>
      </w:r>
      <w:r w:rsidR="00D83890">
        <w:rPr>
          <w:i/>
        </w:rPr>
        <w:t>Views</w:t>
      </w:r>
      <w:r w:rsidRPr="00B12E1C">
        <w:rPr>
          <w:i/>
        </w:rPr>
        <w:t>:</w:t>
      </w:r>
      <w:r w:rsidRPr="00B12E1C">
        <w:tab/>
      </w:r>
      <w:r w:rsidR="002774A9">
        <w:t>6 November</w:t>
      </w:r>
      <w:r w:rsidRPr="00B12E1C">
        <w:t xml:space="preserve"> 201</w:t>
      </w:r>
      <w:r w:rsidR="001A3477" w:rsidRPr="00B12E1C">
        <w:t>5</w:t>
      </w:r>
    </w:p>
    <w:p w14:paraId="10905E74" w14:textId="77777777" w:rsidR="004B44C6" w:rsidRPr="00B12E1C" w:rsidRDefault="008613EF">
      <w:pPr>
        <w:pStyle w:val="SingleTxtG"/>
        <w:ind w:left="4536" w:hanging="3402"/>
        <w:jc w:val="left"/>
      </w:pPr>
      <w:r w:rsidRPr="00B12E1C">
        <w:rPr>
          <w:i/>
          <w:iCs/>
        </w:rPr>
        <w:t>Subject matter:</w:t>
      </w:r>
      <w:r w:rsidRPr="00B12E1C">
        <w:tab/>
      </w:r>
      <w:r>
        <w:t>The author’s illegal detention, condition of detention, and subsequent unfair trial</w:t>
      </w:r>
    </w:p>
    <w:p w14:paraId="0D845206" w14:textId="77777777" w:rsidR="004B44C6" w:rsidRPr="000A1007" w:rsidRDefault="004B44C6">
      <w:pPr>
        <w:pStyle w:val="SingleTxtG"/>
        <w:ind w:left="4536" w:hanging="3402"/>
        <w:jc w:val="left"/>
        <w:rPr>
          <w:iCs/>
        </w:rPr>
      </w:pPr>
      <w:r w:rsidRPr="00B12E1C">
        <w:rPr>
          <w:i/>
          <w:iCs/>
        </w:rPr>
        <w:t xml:space="preserve">Procedural issue: </w:t>
      </w:r>
      <w:r w:rsidRPr="00B12E1C">
        <w:rPr>
          <w:i/>
          <w:iCs/>
        </w:rPr>
        <w:tab/>
      </w:r>
      <w:r w:rsidR="000A1007" w:rsidRPr="00641579">
        <w:rPr>
          <w:iCs/>
        </w:rPr>
        <w:t xml:space="preserve">Admissibility </w:t>
      </w:r>
      <w:r w:rsidR="0067185F" w:rsidRPr="00641579">
        <w:rPr>
          <w:iCs/>
        </w:rPr>
        <w:t>(</w:t>
      </w:r>
      <w:r w:rsidR="000A1007" w:rsidRPr="00641579">
        <w:rPr>
          <w:iCs/>
        </w:rPr>
        <w:t>exh</w:t>
      </w:r>
      <w:r w:rsidR="006929D6" w:rsidRPr="00641579">
        <w:rPr>
          <w:iCs/>
        </w:rPr>
        <w:t>austion of domestic remedies</w:t>
      </w:r>
      <w:r w:rsidR="0067185F" w:rsidRPr="00641579">
        <w:rPr>
          <w:iCs/>
        </w:rPr>
        <w:t>)</w:t>
      </w:r>
      <w:r w:rsidR="003A25C1">
        <w:rPr>
          <w:iCs/>
        </w:rPr>
        <w:t xml:space="preserve"> </w:t>
      </w:r>
    </w:p>
    <w:p w14:paraId="284B6767" w14:textId="77777777" w:rsidR="00326293" w:rsidRPr="00692477" w:rsidRDefault="00326293">
      <w:pPr>
        <w:pStyle w:val="SingleTxtG"/>
        <w:ind w:left="4536" w:hanging="3402"/>
        <w:jc w:val="left"/>
        <w:rPr>
          <w:iCs/>
        </w:rPr>
      </w:pPr>
      <w:r w:rsidRPr="00B12E1C">
        <w:rPr>
          <w:i/>
          <w:iCs/>
        </w:rPr>
        <w:t xml:space="preserve">Substantive issues: </w:t>
      </w:r>
      <w:r w:rsidRPr="00B12E1C">
        <w:rPr>
          <w:i/>
          <w:iCs/>
        </w:rPr>
        <w:tab/>
      </w:r>
      <w:r w:rsidR="000E7CC0">
        <w:rPr>
          <w:iCs/>
        </w:rPr>
        <w:t>T</w:t>
      </w:r>
      <w:r w:rsidR="006505F5">
        <w:rPr>
          <w:iCs/>
        </w:rPr>
        <w:t>orture, pretrial detention, conditions of detention,</w:t>
      </w:r>
      <w:r w:rsidR="00345FA7">
        <w:rPr>
          <w:iCs/>
        </w:rPr>
        <w:t xml:space="preserve"> deprivation of liberty,</w:t>
      </w:r>
      <w:r w:rsidR="006505F5">
        <w:rPr>
          <w:iCs/>
        </w:rPr>
        <w:t xml:space="preserve"> </w:t>
      </w:r>
      <w:r w:rsidR="00345FA7">
        <w:rPr>
          <w:iCs/>
        </w:rPr>
        <w:t>fair trial</w:t>
      </w:r>
    </w:p>
    <w:p w14:paraId="6FCAAF3C" w14:textId="77777777" w:rsidR="004B44C6" w:rsidRPr="00B12E1C" w:rsidRDefault="004B44C6" w:rsidP="00090B15">
      <w:pPr>
        <w:pStyle w:val="SingleTxtG"/>
        <w:ind w:left="4536" w:hanging="3402"/>
        <w:jc w:val="left"/>
      </w:pPr>
      <w:r w:rsidRPr="00B12E1C">
        <w:rPr>
          <w:i/>
          <w:iCs/>
        </w:rPr>
        <w:t>Articles of the Covenant:</w:t>
      </w:r>
      <w:r w:rsidRPr="00B12E1C">
        <w:t xml:space="preserve"> </w:t>
      </w:r>
      <w:r w:rsidRPr="00B12E1C">
        <w:tab/>
      </w:r>
      <w:r w:rsidR="007D76D6">
        <w:t>6</w:t>
      </w:r>
      <w:r w:rsidR="00596514">
        <w:t xml:space="preserve"> </w:t>
      </w:r>
      <w:r w:rsidR="0067185F">
        <w:t>(</w:t>
      </w:r>
      <w:r w:rsidR="00596514">
        <w:t>1</w:t>
      </w:r>
      <w:r w:rsidR="0067185F">
        <w:t>)</w:t>
      </w:r>
      <w:r w:rsidR="00596514">
        <w:t>;</w:t>
      </w:r>
      <w:r w:rsidR="007D76D6">
        <w:t xml:space="preserve"> 7</w:t>
      </w:r>
      <w:r w:rsidR="00090B15">
        <w:t xml:space="preserve"> and</w:t>
      </w:r>
      <w:r w:rsidR="007D76D6">
        <w:t xml:space="preserve"> 9</w:t>
      </w:r>
      <w:r w:rsidR="007D76D6" w:rsidRPr="0067185F">
        <w:t xml:space="preserve"> </w:t>
      </w:r>
      <w:r w:rsidR="0067185F" w:rsidRPr="0067185F">
        <w:t>(</w:t>
      </w:r>
      <w:r w:rsidR="007D76D6">
        <w:t>1-5</w:t>
      </w:r>
      <w:r w:rsidR="0067185F">
        <w:t>)</w:t>
      </w:r>
      <w:r w:rsidR="007D76D6">
        <w:t>; 10</w:t>
      </w:r>
      <w:r w:rsidR="00596514">
        <w:t xml:space="preserve"> </w:t>
      </w:r>
      <w:r w:rsidR="004432D6">
        <w:t>(</w:t>
      </w:r>
      <w:r w:rsidR="00596514">
        <w:t>1</w:t>
      </w:r>
      <w:r w:rsidR="004432D6">
        <w:t>)</w:t>
      </w:r>
      <w:r w:rsidR="00596514">
        <w:t>;</w:t>
      </w:r>
      <w:r w:rsidR="007D76D6">
        <w:t xml:space="preserve"> </w:t>
      </w:r>
      <w:r w:rsidR="00596514">
        <w:t xml:space="preserve">14 </w:t>
      </w:r>
      <w:r w:rsidR="004432D6">
        <w:t>(</w:t>
      </w:r>
      <w:r w:rsidR="007D76D6">
        <w:t>1</w:t>
      </w:r>
      <w:r w:rsidR="004432D6">
        <w:t>)</w:t>
      </w:r>
      <w:r w:rsidR="007D76D6">
        <w:t>,</w:t>
      </w:r>
      <w:r w:rsidR="00596514">
        <w:t xml:space="preserve"> </w:t>
      </w:r>
      <w:r w:rsidR="004432D6">
        <w:t>(</w:t>
      </w:r>
      <w:r w:rsidR="00596514">
        <w:t>2</w:t>
      </w:r>
      <w:r w:rsidR="004432D6">
        <w:t>) and</w:t>
      </w:r>
      <w:r w:rsidR="007D76D6">
        <w:t xml:space="preserve"> </w:t>
      </w:r>
      <w:r w:rsidR="004432D6">
        <w:t>(</w:t>
      </w:r>
      <w:r w:rsidR="007D76D6">
        <w:t>3</w:t>
      </w:r>
      <w:r w:rsidR="004432D6">
        <w:t>)</w:t>
      </w:r>
      <w:r w:rsidR="007D76D6">
        <w:t xml:space="preserve"> (a), (b), (d)</w:t>
      </w:r>
      <w:r w:rsidR="004432D6">
        <w:t xml:space="preserve"> and</w:t>
      </w:r>
      <w:r w:rsidR="007D76D6">
        <w:t xml:space="preserve"> (e)</w:t>
      </w:r>
    </w:p>
    <w:p w14:paraId="4DB18250" w14:textId="77777777" w:rsidR="004B44C6" w:rsidRPr="00B12E1C" w:rsidRDefault="004B44C6">
      <w:pPr>
        <w:pStyle w:val="SingleTxtG"/>
        <w:ind w:left="4536" w:hanging="3402"/>
        <w:jc w:val="left"/>
      </w:pPr>
      <w:r w:rsidRPr="00B12E1C">
        <w:rPr>
          <w:i/>
          <w:iCs/>
        </w:rPr>
        <w:t>Articles of the Optional Protocol:</w:t>
      </w:r>
      <w:r w:rsidRPr="00B12E1C">
        <w:rPr>
          <w:i/>
          <w:iCs/>
        </w:rPr>
        <w:tab/>
      </w:r>
      <w:r w:rsidR="00345FA7">
        <w:t>1</w:t>
      </w:r>
      <w:r w:rsidR="004432D6">
        <w:t xml:space="preserve"> and</w:t>
      </w:r>
      <w:r w:rsidR="009641B8" w:rsidRPr="009641B8">
        <w:t xml:space="preserve"> 5 </w:t>
      </w:r>
      <w:r w:rsidR="004432D6">
        <w:t>(</w:t>
      </w:r>
      <w:r w:rsidR="009641B8" w:rsidRPr="009641B8">
        <w:t>2</w:t>
      </w:r>
      <w:r w:rsidR="004432D6">
        <w:t>)</w:t>
      </w:r>
      <w:r w:rsidR="009641B8" w:rsidRPr="009641B8">
        <w:t xml:space="preserve"> (b)</w:t>
      </w:r>
    </w:p>
    <w:p w14:paraId="2DE11819" w14:textId="77777777" w:rsidR="004B44C6" w:rsidRPr="00B12E1C" w:rsidRDefault="004B44C6" w:rsidP="00D23322">
      <w:pPr>
        <w:pStyle w:val="HChG"/>
      </w:pPr>
      <w:r w:rsidRPr="00B12E1C">
        <w:rPr>
          <w:b w:val="0"/>
        </w:rPr>
        <w:br w:type="page"/>
      </w:r>
      <w:r w:rsidRPr="00D23322">
        <w:lastRenderedPageBreak/>
        <w:t>Annex</w:t>
      </w:r>
    </w:p>
    <w:p w14:paraId="2F66332D" w14:textId="77777777" w:rsidR="004B44C6" w:rsidRPr="00B12E1C" w:rsidRDefault="004B44C6">
      <w:pPr>
        <w:pStyle w:val="HChG"/>
        <w:rPr>
          <w:bCs/>
        </w:rPr>
      </w:pPr>
      <w:r w:rsidRPr="00B12E1C">
        <w:tab/>
      </w:r>
      <w:r w:rsidRPr="00B12E1C">
        <w:tab/>
      </w:r>
      <w:r w:rsidR="003A25C1">
        <w:t>Views</w:t>
      </w:r>
      <w:r w:rsidRPr="00B12E1C">
        <w:t xml:space="preserve"> of the Human Rights Committee under article 5 </w:t>
      </w:r>
      <w:r w:rsidR="004A289F">
        <w:t>(</w:t>
      </w:r>
      <w:r w:rsidRPr="00B12E1C">
        <w:t>4</w:t>
      </w:r>
      <w:r w:rsidR="004A289F">
        <w:t>)</w:t>
      </w:r>
      <w:r w:rsidRPr="00B12E1C">
        <w:t xml:space="preserve"> of the Optional Protocol to the International Covenant on Civil and Political rights (11</w:t>
      </w:r>
      <w:r w:rsidR="005E3E4B">
        <w:t>5</w:t>
      </w:r>
      <w:r w:rsidRPr="00B12E1C">
        <w:t xml:space="preserve">th </w:t>
      </w:r>
      <w:r w:rsidRPr="00B12E1C">
        <w:rPr>
          <w:bCs/>
        </w:rPr>
        <w:t>session)</w:t>
      </w:r>
    </w:p>
    <w:p w14:paraId="7EC612BF" w14:textId="77777777" w:rsidR="004B44C6" w:rsidRPr="00B12E1C" w:rsidRDefault="004B44C6" w:rsidP="004B44C6">
      <w:pPr>
        <w:pStyle w:val="SingleTxtG"/>
        <w:rPr>
          <w:b/>
          <w:bCs/>
        </w:rPr>
      </w:pPr>
      <w:r w:rsidRPr="00B12E1C">
        <w:t>concerning</w:t>
      </w:r>
    </w:p>
    <w:p w14:paraId="0FCA1B95" w14:textId="77777777" w:rsidR="004B44C6" w:rsidRPr="00B12E1C" w:rsidRDefault="001A3477" w:rsidP="004B44C6">
      <w:pPr>
        <w:pStyle w:val="H1G"/>
      </w:pPr>
      <w:r w:rsidRPr="00B12E1C">
        <w:tab/>
      </w:r>
      <w:r w:rsidRPr="00B12E1C">
        <w:tab/>
        <w:t>Communication No. </w:t>
      </w:r>
      <w:r w:rsidR="00E56DDC">
        <w:t>2</w:t>
      </w:r>
      <w:r w:rsidR="00970D30">
        <w:t>304</w:t>
      </w:r>
      <w:r w:rsidR="004B44C6" w:rsidRPr="00B12E1C">
        <w:t>/20</w:t>
      </w:r>
      <w:r w:rsidRPr="00B12E1C">
        <w:t>1</w:t>
      </w:r>
      <w:r w:rsidR="00970D30">
        <w:t>3</w:t>
      </w:r>
      <w:r w:rsidR="002774A9" w:rsidRPr="00246284">
        <w:rPr>
          <w:rStyle w:val="FootnoteReference"/>
          <w:b w:val="0"/>
          <w:bCs/>
          <w:sz w:val="20"/>
          <w:vertAlign w:val="baseline"/>
        </w:rPr>
        <w:footnoteReference w:customMarkFollows="1" w:id="2"/>
        <w:t>*</w:t>
      </w:r>
    </w:p>
    <w:p w14:paraId="5790CFB6" w14:textId="77777777" w:rsidR="003A25C1" w:rsidRPr="00B12E1C" w:rsidRDefault="004B44C6">
      <w:pPr>
        <w:pStyle w:val="SingleTxtG"/>
        <w:ind w:left="4536" w:hanging="3402"/>
        <w:jc w:val="left"/>
      </w:pPr>
      <w:r w:rsidRPr="00B12E1C">
        <w:rPr>
          <w:i/>
        </w:rPr>
        <w:t>Submitted by:</w:t>
      </w:r>
      <w:r w:rsidRPr="00B12E1C">
        <w:tab/>
      </w:r>
      <w:r w:rsidR="00991DB5">
        <w:t>Dzhakishev Mukhtar</w:t>
      </w:r>
      <w:r w:rsidR="005E3E4B">
        <w:t xml:space="preserve"> </w:t>
      </w:r>
      <w:r w:rsidR="005E3E4B" w:rsidRPr="00B12E1C">
        <w:t>(</w:t>
      </w:r>
      <w:r w:rsidR="005E3E4B">
        <w:t xml:space="preserve">represented </w:t>
      </w:r>
      <w:r w:rsidR="00991DB5">
        <w:t>by counsel from</w:t>
      </w:r>
      <w:r w:rsidR="00970D30">
        <w:t xml:space="preserve"> </w:t>
      </w:r>
      <w:r w:rsidR="00991DB5">
        <w:t>Grosvenor Law</w:t>
      </w:r>
      <w:r w:rsidR="005E3E4B" w:rsidRPr="00B12E1C">
        <w:t>)</w:t>
      </w:r>
    </w:p>
    <w:p w14:paraId="697D55E0" w14:textId="77777777" w:rsidR="004B44C6" w:rsidRPr="00B12E1C" w:rsidRDefault="004B44C6" w:rsidP="004B44C6">
      <w:pPr>
        <w:pStyle w:val="SingleTxtG"/>
        <w:ind w:left="4536" w:hanging="3402"/>
        <w:jc w:val="left"/>
      </w:pPr>
      <w:r w:rsidRPr="00B12E1C">
        <w:rPr>
          <w:i/>
        </w:rPr>
        <w:t>Alleged victim:</w:t>
      </w:r>
      <w:r w:rsidR="005E3E4B">
        <w:tab/>
      </w:r>
      <w:r w:rsidR="00991DB5">
        <w:t>Dzhakishev Mukhtar</w:t>
      </w:r>
    </w:p>
    <w:p w14:paraId="08546DA3" w14:textId="77777777" w:rsidR="00991DB5" w:rsidRPr="00B12E1C" w:rsidRDefault="004B44C6" w:rsidP="00991DB5">
      <w:pPr>
        <w:pStyle w:val="SingleTxtG"/>
        <w:ind w:left="4536" w:hanging="3402"/>
        <w:jc w:val="left"/>
      </w:pPr>
      <w:r w:rsidRPr="00B12E1C">
        <w:rPr>
          <w:i/>
        </w:rPr>
        <w:t>State party:</w:t>
      </w:r>
      <w:r w:rsidRPr="00B12E1C">
        <w:tab/>
      </w:r>
      <w:r w:rsidR="00991DB5">
        <w:t>Kazakhstan</w:t>
      </w:r>
    </w:p>
    <w:p w14:paraId="29FEB1FA" w14:textId="77777777" w:rsidR="004B44C6" w:rsidRPr="00B12E1C" w:rsidRDefault="004B44C6" w:rsidP="004B44C6">
      <w:pPr>
        <w:pStyle w:val="SingleTxtG"/>
        <w:ind w:left="4536" w:hanging="3402"/>
        <w:jc w:val="left"/>
      </w:pPr>
      <w:r w:rsidRPr="00B12E1C">
        <w:rPr>
          <w:i/>
        </w:rPr>
        <w:t>Date of communication:</w:t>
      </w:r>
      <w:r w:rsidRPr="00B12E1C">
        <w:tab/>
      </w:r>
      <w:r w:rsidR="00991DB5">
        <w:t>9</w:t>
      </w:r>
      <w:r w:rsidR="003A25C1">
        <w:t xml:space="preserve"> </w:t>
      </w:r>
      <w:r w:rsidR="00991DB5">
        <w:t>July 2013</w:t>
      </w:r>
      <w:r w:rsidRPr="00B12E1C">
        <w:t xml:space="preserve"> (initial submission)</w:t>
      </w:r>
    </w:p>
    <w:p w14:paraId="2AFE7A4B" w14:textId="77777777" w:rsidR="004B44C6" w:rsidRPr="00B12E1C" w:rsidRDefault="004B44C6" w:rsidP="004B44C6">
      <w:pPr>
        <w:pStyle w:val="SingleTxtG"/>
        <w:spacing w:before="240"/>
      </w:pPr>
      <w:r w:rsidRPr="00B12E1C">
        <w:tab/>
      </w:r>
      <w:r w:rsidRPr="00B12E1C">
        <w:rPr>
          <w:i/>
        </w:rPr>
        <w:t>The Human Rights Committee</w:t>
      </w:r>
      <w:r w:rsidRPr="00B12E1C">
        <w:t xml:space="preserve">, established under article 28 of the International Covenant on Civil and Political Rights, </w:t>
      </w:r>
    </w:p>
    <w:p w14:paraId="7FA66B1B" w14:textId="77777777" w:rsidR="004B44C6" w:rsidRPr="00B12E1C" w:rsidRDefault="004B44C6" w:rsidP="004B44C6">
      <w:pPr>
        <w:pStyle w:val="SingleTxtG"/>
      </w:pPr>
      <w:r w:rsidRPr="00B12E1C">
        <w:tab/>
      </w:r>
      <w:r w:rsidRPr="00B12E1C">
        <w:rPr>
          <w:i/>
        </w:rPr>
        <w:t>Meeting on</w:t>
      </w:r>
      <w:r w:rsidRPr="00B12E1C">
        <w:t xml:space="preserve"> </w:t>
      </w:r>
      <w:r w:rsidR="002774A9">
        <w:t>6 November</w:t>
      </w:r>
      <w:r w:rsidRPr="00B12E1C">
        <w:t xml:space="preserve"> 201</w:t>
      </w:r>
      <w:r w:rsidR="001A3477" w:rsidRPr="00B12E1C">
        <w:t>5</w:t>
      </w:r>
      <w:r w:rsidRPr="00B12E1C">
        <w:t>,</w:t>
      </w:r>
    </w:p>
    <w:p w14:paraId="2E67DF2C" w14:textId="77777777" w:rsidR="004B44C6" w:rsidRPr="00B12E1C" w:rsidRDefault="004B44C6">
      <w:pPr>
        <w:pStyle w:val="SingleTxtG"/>
      </w:pPr>
      <w:r w:rsidRPr="00B12E1C">
        <w:tab/>
      </w:r>
      <w:r w:rsidRPr="00641579">
        <w:rPr>
          <w:i/>
        </w:rPr>
        <w:t>Having concluded</w:t>
      </w:r>
      <w:r w:rsidRPr="00641579">
        <w:t xml:space="preserve"> its consideration of communication No. </w:t>
      </w:r>
      <w:r w:rsidR="00E56DDC" w:rsidRPr="00641579">
        <w:t>2</w:t>
      </w:r>
      <w:r w:rsidR="00970D30" w:rsidRPr="00641579">
        <w:t>304</w:t>
      </w:r>
      <w:r w:rsidRPr="00641579">
        <w:t>/</w:t>
      </w:r>
      <w:r w:rsidR="001A3477" w:rsidRPr="00641579">
        <w:t>201</w:t>
      </w:r>
      <w:r w:rsidR="00970D30" w:rsidRPr="00641579">
        <w:t>3</w:t>
      </w:r>
      <w:r w:rsidRPr="00641579">
        <w:t xml:space="preserve">, submitted </w:t>
      </w:r>
      <w:r w:rsidR="004164BB">
        <w:t xml:space="preserve">to it </w:t>
      </w:r>
      <w:r w:rsidRPr="00641579">
        <w:t xml:space="preserve">by </w:t>
      </w:r>
      <w:r w:rsidR="00970D30" w:rsidRPr="00641579">
        <w:t>Dzhakishev Mukhtar</w:t>
      </w:r>
      <w:r w:rsidR="005E3E4B" w:rsidRPr="00641579">
        <w:t xml:space="preserve"> </w:t>
      </w:r>
      <w:r w:rsidRPr="00641579">
        <w:t>under the Optional Protocol to the International Covenant on Civil and Political Rights,</w:t>
      </w:r>
    </w:p>
    <w:p w14:paraId="61E97845" w14:textId="77777777" w:rsidR="004B44C6" w:rsidRPr="00B12E1C" w:rsidRDefault="004B44C6" w:rsidP="004B44C6">
      <w:pPr>
        <w:pStyle w:val="SingleTxtG"/>
      </w:pPr>
      <w:r w:rsidRPr="00B12E1C">
        <w:tab/>
      </w:r>
      <w:r w:rsidRPr="00B12E1C">
        <w:rPr>
          <w:i/>
        </w:rPr>
        <w:t>Having taken into account</w:t>
      </w:r>
      <w:r w:rsidRPr="00B12E1C">
        <w:t xml:space="preserve"> all written information made available to it by the author of the communication and the State party,</w:t>
      </w:r>
    </w:p>
    <w:p w14:paraId="54B7CE60" w14:textId="77777777" w:rsidR="004B44C6" w:rsidRPr="00B12E1C" w:rsidRDefault="004B44C6" w:rsidP="004B44C6">
      <w:pPr>
        <w:pStyle w:val="SingleTxtG"/>
      </w:pPr>
      <w:r w:rsidRPr="00B12E1C">
        <w:tab/>
      </w:r>
      <w:r w:rsidRPr="00B12E1C">
        <w:rPr>
          <w:i/>
        </w:rPr>
        <w:t xml:space="preserve">Adopts </w:t>
      </w:r>
      <w:r w:rsidRPr="00B12E1C">
        <w:t>the following:</w:t>
      </w:r>
    </w:p>
    <w:p w14:paraId="2A751484" w14:textId="77777777" w:rsidR="004B44C6" w:rsidRPr="00B12E1C" w:rsidRDefault="004B44C6">
      <w:pPr>
        <w:pStyle w:val="H1G"/>
      </w:pPr>
      <w:r w:rsidRPr="00B12E1C">
        <w:tab/>
      </w:r>
      <w:r w:rsidRPr="00B12E1C">
        <w:tab/>
      </w:r>
      <w:r w:rsidR="003A25C1">
        <w:t>Views</w:t>
      </w:r>
      <w:r w:rsidRPr="00B12E1C">
        <w:t xml:space="preserve"> under article 5 </w:t>
      </w:r>
      <w:r w:rsidR="004A289F">
        <w:t>(</w:t>
      </w:r>
      <w:r w:rsidRPr="00B12E1C">
        <w:t>4</w:t>
      </w:r>
      <w:r w:rsidR="004A289F">
        <w:t>)</w:t>
      </w:r>
      <w:r w:rsidRPr="00B12E1C">
        <w:t xml:space="preserve"> of the Optional Protocol</w:t>
      </w:r>
    </w:p>
    <w:p w14:paraId="68A0C50C" w14:textId="77777777" w:rsidR="004B44C6" w:rsidRDefault="004B44C6">
      <w:pPr>
        <w:pStyle w:val="SingleTxtG"/>
      </w:pPr>
      <w:r w:rsidRPr="002E296F">
        <w:t>1.</w:t>
      </w:r>
      <w:r w:rsidR="00F4067C">
        <w:t>1</w:t>
      </w:r>
      <w:r w:rsidRPr="002E296F">
        <w:tab/>
        <w:t xml:space="preserve">The author of the communication is </w:t>
      </w:r>
      <w:r w:rsidR="00970D30">
        <w:t>Dzhakishev Mukhtar</w:t>
      </w:r>
      <w:r w:rsidR="005E3E4B">
        <w:t>,</w:t>
      </w:r>
      <w:r w:rsidR="00970D30" w:rsidRPr="00970D30">
        <w:t xml:space="preserve"> </w:t>
      </w:r>
      <w:r w:rsidR="00970D30">
        <w:t>a Kazakh</w:t>
      </w:r>
      <w:r w:rsidR="00970D30" w:rsidRPr="0001003B">
        <w:t xml:space="preserve"> national</w:t>
      </w:r>
      <w:r w:rsidR="00970D30">
        <w:t xml:space="preserve"> </w:t>
      </w:r>
      <w:r w:rsidR="00970D30" w:rsidRPr="0001003B">
        <w:t xml:space="preserve">born on 28 </w:t>
      </w:r>
      <w:r w:rsidR="00970D30">
        <w:t>June 1963</w:t>
      </w:r>
      <w:r w:rsidR="00970D30" w:rsidRPr="0001003B">
        <w:t xml:space="preserve"> </w:t>
      </w:r>
      <w:r w:rsidR="00970D30">
        <w:t>who is</w:t>
      </w:r>
      <w:r w:rsidR="00970D30" w:rsidRPr="0001003B">
        <w:t xml:space="preserve"> currently </w:t>
      </w:r>
      <w:r w:rsidR="00970D30">
        <w:t xml:space="preserve">serving </w:t>
      </w:r>
      <w:r w:rsidR="004A289F">
        <w:t xml:space="preserve">a </w:t>
      </w:r>
      <w:r w:rsidR="00C70DB2">
        <w:t xml:space="preserve">14-year </w:t>
      </w:r>
      <w:r w:rsidR="00244205">
        <w:t>prison</w:t>
      </w:r>
      <w:r w:rsidR="00970D30">
        <w:t xml:space="preserve"> sentence</w:t>
      </w:r>
      <w:r w:rsidR="00970D30" w:rsidRPr="0001003B">
        <w:t xml:space="preserve"> in </w:t>
      </w:r>
      <w:r w:rsidR="00970D30">
        <w:t>Kazakhstan</w:t>
      </w:r>
      <w:r w:rsidR="00970D30" w:rsidRPr="0001003B">
        <w:t xml:space="preserve"> after </w:t>
      </w:r>
      <w:r w:rsidR="004A289F">
        <w:t>having been</w:t>
      </w:r>
      <w:r w:rsidR="00970D30" w:rsidRPr="0001003B">
        <w:t xml:space="preserve"> convicted for </w:t>
      </w:r>
      <w:r w:rsidR="00970D30">
        <w:t>embezzlement, bribery and fraud</w:t>
      </w:r>
      <w:r w:rsidR="00970D30" w:rsidRPr="0001003B">
        <w:t>. The author claims that h</w:t>
      </w:r>
      <w:r w:rsidR="00970D30">
        <w:t>e</w:t>
      </w:r>
      <w:r w:rsidR="00970D30" w:rsidRPr="0001003B">
        <w:t xml:space="preserve"> is a victim of violations by </w:t>
      </w:r>
      <w:r w:rsidR="00970D30">
        <w:t>Kazakhstan</w:t>
      </w:r>
      <w:r w:rsidR="00970D30" w:rsidRPr="0001003B">
        <w:t xml:space="preserve"> of articles </w:t>
      </w:r>
      <w:r w:rsidR="00970D30">
        <w:t>6</w:t>
      </w:r>
      <w:r w:rsidR="0080506E">
        <w:t xml:space="preserve"> </w:t>
      </w:r>
      <w:r w:rsidR="004A289F">
        <w:t>(</w:t>
      </w:r>
      <w:r w:rsidR="0080506E">
        <w:t>1</w:t>
      </w:r>
      <w:r w:rsidR="004A289F">
        <w:t>)</w:t>
      </w:r>
      <w:r w:rsidR="00970D30">
        <w:t>, 7, 9</w:t>
      </w:r>
      <w:r w:rsidR="0080506E">
        <w:t xml:space="preserve"> </w:t>
      </w:r>
      <w:r w:rsidR="004A289F">
        <w:t>(</w:t>
      </w:r>
      <w:r w:rsidR="0080506E">
        <w:t>1-5</w:t>
      </w:r>
      <w:r w:rsidR="004A289F">
        <w:t>)</w:t>
      </w:r>
      <w:r w:rsidR="00970D30">
        <w:t>, 10</w:t>
      </w:r>
      <w:r w:rsidR="0080506E">
        <w:t xml:space="preserve"> </w:t>
      </w:r>
      <w:r w:rsidR="004A289F">
        <w:t>(</w:t>
      </w:r>
      <w:r w:rsidR="0080506E">
        <w:t>1</w:t>
      </w:r>
      <w:r w:rsidR="004A289F">
        <w:t>)</w:t>
      </w:r>
      <w:r w:rsidR="0080506E">
        <w:t xml:space="preserve"> </w:t>
      </w:r>
      <w:r w:rsidR="00970D30">
        <w:t>and 14</w:t>
      </w:r>
      <w:r w:rsidR="0080506E">
        <w:t xml:space="preserve"> </w:t>
      </w:r>
      <w:r w:rsidR="004A289F">
        <w:t>(</w:t>
      </w:r>
      <w:r w:rsidR="0080506E">
        <w:t>1</w:t>
      </w:r>
      <w:r w:rsidR="004A289F">
        <w:t>)</w:t>
      </w:r>
      <w:r w:rsidR="0080506E">
        <w:t xml:space="preserve">, </w:t>
      </w:r>
      <w:r w:rsidR="004A289F">
        <w:t>(</w:t>
      </w:r>
      <w:r w:rsidR="0080506E">
        <w:t>2</w:t>
      </w:r>
      <w:r w:rsidR="004A289F">
        <w:t>) and</w:t>
      </w:r>
      <w:r w:rsidR="0080506E">
        <w:t xml:space="preserve"> </w:t>
      </w:r>
      <w:r w:rsidR="004A289F">
        <w:t>(</w:t>
      </w:r>
      <w:r w:rsidR="0080506E">
        <w:t>3</w:t>
      </w:r>
      <w:r w:rsidR="004A289F">
        <w:t>)</w:t>
      </w:r>
      <w:r w:rsidR="0080506E">
        <w:t xml:space="preserve"> (a), (b), (d)</w:t>
      </w:r>
      <w:r w:rsidR="004A289F">
        <w:t xml:space="preserve"> and</w:t>
      </w:r>
      <w:r w:rsidR="0080506E">
        <w:t xml:space="preserve"> (e)</w:t>
      </w:r>
      <w:r w:rsidR="00970D30" w:rsidRPr="0001003B">
        <w:t xml:space="preserve"> of the Covenant. </w:t>
      </w:r>
      <w:r w:rsidR="009A2AAC" w:rsidRPr="005C7E46">
        <w:t>The Optional Protocol entered into force for Kazakhstan on 30 September 2009</w:t>
      </w:r>
      <w:r w:rsidRPr="002E296F">
        <w:t xml:space="preserve">. </w:t>
      </w:r>
      <w:r w:rsidR="00244205" w:rsidRPr="0001003B">
        <w:t xml:space="preserve">The author is represented by </w:t>
      </w:r>
      <w:r w:rsidR="00244205">
        <w:t>counsel from Grosvenor Law</w:t>
      </w:r>
      <w:r w:rsidR="00244205" w:rsidRPr="0001003B">
        <w:t>.</w:t>
      </w:r>
    </w:p>
    <w:p w14:paraId="7AB446EE" w14:textId="77777777" w:rsidR="00F4067C" w:rsidRDefault="00F4067C">
      <w:pPr>
        <w:pStyle w:val="SingleTxtG"/>
      </w:pPr>
      <w:r>
        <w:t>1.2</w:t>
      </w:r>
      <w:r>
        <w:tab/>
        <w:t xml:space="preserve">On 26 March 2014, </w:t>
      </w:r>
      <w:r w:rsidR="0021061C">
        <w:t xml:space="preserve">the Committee, </w:t>
      </w:r>
      <w:r w:rsidR="0021061C" w:rsidRPr="00B12E1C">
        <w:t xml:space="preserve">pursuant to rule 92 of its rules of procedure </w:t>
      </w:r>
      <w:r w:rsidR="0021061C">
        <w:t xml:space="preserve">and </w:t>
      </w:r>
      <w:r w:rsidR="0021061C" w:rsidRPr="00B12E1C">
        <w:t xml:space="preserve">acting through its Special Rapporteur on new communications and interim measures, requested </w:t>
      </w:r>
      <w:r w:rsidR="00F55C65">
        <w:t xml:space="preserve">that </w:t>
      </w:r>
      <w:r w:rsidR="0021061C" w:rsidRPr="00B12E1C">
        <w:t xml:space="preserve">the State party </w:t>
      </w:r>
      <w:r w:rsidR="0021061C">
        <w:t>take all measures</w:t>
      </w:r>
      <w:r w:rsidR="00F55C65" w:rsidRPr="00F55C65">
        <w:t xml:space="preserve"> </w:t>
      </w:r>
      <w:r w:rsidR="00F55C65">
        <w:t>necessary</w:t>
      </w:r>
      <w:r w:rsidR="0021061C">
        <w:t xml:space="preserve"> to protect Mr. Dzhakishev’s </w:t>
      </w:r>
      <w:r w:rsidR="0021061C">
        <w:lastRenderedPageBreak/>
        <w:t xml:space="preserve">health by providing him with </w:t>
      </w:r>
      <w:r w:rsidR="00F55C65">
        <w:t>the</w:t>
      </w:r>
      <w:r w:rsidR="0021061C">
        <w:t xml:space="preserve"> medical care </w:t>
      </w:r>
      <w:r w:rsidR="00F55C65">
        <w:t xml:space="preserve">he needed </w:t>
      </w:r>
      <w:r w:rsidR="0021061C">
        <w:t xml:space="preserve">or to allow him access to medical treatment of his choosing, so as to avoid irreparable harm. </w:t>
      </w:r>
    </w:p>
    <w:p w14:paraId="7112160A" w14:textId="77777777" w:rsidR="004B44C6" w:rsidRPr="002E296F" w:rsidRDefault="004B44C6" w:rsidP="00D23322">
      <w:pPr>
        <w:pStyle w:val="H23G"/>
      </w:pPr>
      <w:r w:rsidRPr="002E296F">
        <w:tab/>
      </w:r>
      <w:r w:rsidRPr="002E296F">
        <w:tab/>
        <w:t xml:space="preserve">The facts as submitted by </w:t>
      </w:r>
      <w:r w:rsidRPr="00D23322">
        <w:t>the</w:t>
      </w:r>
      <w:r w:rsidRPr="002E296F">
        <w:t xml:space="preserve"> author</w:t>
      </w:r>
    </w:p>
    <w:p w14:paraId="5DE467F4" w14:textId="77777777" w:rsidR="00991DB5" w:rsidRPr="00970D30" w:rsidRDefault="00991DB5">
      <w:pPr>
        <w:pStyle w:val="SingleTxtG"/>
        <w:rPr>
          <w:lang w:val="en-US"/>
        </w:rPr>
      </w:pPr>
      <w:r w:rsidRPr="00970D30">
        <w:rPr>
          <w:lang w:val="en-US"/>
        </w:rPr>
        <w:t>2.1</w:t>
      </w:r>
      <w:r w:rsidR="00C87D88">
        <w:rPr>
          <w:lang w:val="en-US"/>
        </w:rPr>
        <w:tab/>
      </w:r>
      <w:r w:rsidR="000E7CC0">
        <w:rPr>
          <w:lang w:val="en-US"/>
        </w:rPr>
        <w:t>I</w:t>
      </w:r>
      <w:r w:rsidR="00CB1917">
        <w:rPr>
          <w:lang w:val="en-US"/>
        </w:rPr>
        <w:t xml:space="preserve">n </w:t>
      </w:r>
      <w:r w:rsidRPr="00970D30">
        <w:rPr>
          <w:lang w:val="en-US"/>
        </w:rPr>
        <w:t xml:space="preserve">1998, </w:t>
      </w:r>
      <w:r w:rsidR="000E7CC0">
        <w:rPr>
          <w:lang w:val="en-US"/>
        </w:rPr>
        <w:t>t</w:t>
      </w:r>
      <w:r w:rsidR="00CB1917">
        <w:rPr>
          <w:lang w:val="en-US"/>
        </w:rPr>
        <w:t>he</w:t>
      </w:r>
      <w:r w:rsidRPr="00970D30">
        <w:rPr>
          <w:lang w:val="en-US"/>
        </w:rPr>
        <w:t xml:space="preserve"> </w:t>
      </w:r>
      <w:r w:rsidR="000E7CC0">
        <w:rPr>
          <w:lang w:val="en-US"/>
        </w:rPr>
        <w:t xml:space="preserve">author </w:t>
      </w:r>
      <w:r w:rsidRPr="00970D30">
        <w:rPr>
          <w:lang w:val="en-US"/>
        </w:rPr>
        <w:t>was appointed</w:t>
      </w:r>
      <w:r w:rsidR="009A2AAC">
        <w:rPr>
          <w:lang w:val="en-US"/>
        </w:rPr>
        <w:t xml:space="preserve"> </w:t>
      </w:r>
      <w:r w:rsidRPr="00970D30">
        <w:rPr>
          <w:lang w:val="en-US"/>
        </w:rPr>
        <w:t>President of</w:t>
      </w:r>
      <w:r w:rsidR="009A2AAC">
        <w:rPr>
          <w:lang w:val="en-US"/>
        </w:rPr>
        <w:t xml:space="preserve"> the</w:t>
      </w:r>
      <w:r w:rsidRPr="00970D30">
        <w:rPr>
          <w:lang w:val="en-US"/>
        </w:rPr>
        <w:t xml:space="preserve"> Kazakhstan National Atomic </w:t>
      </w:r>
      <w:r w:rsidR="00C87D88">
        <w:rPr>
          <w:lang w:val="en-US"/>
        </w:rPr>
        <w:t>C</w:t>
      </w:r>
      <w:r w:rsidRPr="00970D30">
        <w:rPr>
          <w:lang w:val="en-US"/>
        </w:rPr>
        <w:t>ompany</w:t>
      </w:r>
      <w:r w:rsidR="00CB1917">
        <w:rPr>
          <w:lang w:val="en-US"/>
        </w:rPr>
        <w:t xml:space="preserve"> </w:t>
      </w:r>
      <w:r w:rsidR="00F55C65">
        <w:rPr>
          <w:lang w:val="en-US"/>
        </w:rPr>
        <w:t>(</w:t>
      </w:r>
      <w:r w:rsidR="00CB1917">
        <w:rPr>
          <w:lang w:val="en-US"/>
        </w:rPr>
        <w:t>Kaz</w:t>
      </w:r>
      <w:r w:rsidR="00F55C65">
        <w:rPr>
          <w:lang w:val="en-US"/>
        </w:rPr>
        <w:t>a</w:t>
      </w:r>
      <w:r w:rsidR="00CB1917">
        <w:rPr>
          <w:lang w:val="en-US"/>
        </w:rPr>
        <w:t>tom</w:t>
      </w:r>
      <w:r w:rsidR="00F55C65">
        <w:rPr>
          <w:lang w:val="en-US"/>
        </w:rPr>
        <w:t>p</w:t>
      </w:r>
      <w:r w:rsidR="00CB1917">
        <w:rPr>
          <w:lang w:val="en-US"/>
        </w:rPr>
        <w:t>rom</w:t>
      </w:r>
      <w:r w:rsidR="00F55C65">
        <w:rPr>
          <w:lang w:val="en-US"/>
        </w:rPr>
        <w:t>)</w:t>
      </w:r>
      <w:r w:rsidRPr="00970D30">
        <w:rPr>
          <w:lang w:val="en-US"/>
        </w:rPr>
        <w:t>, a</w:t>
      </w:r>
      <w:r w:rsidR="009A2AAC">
        <w:rPr>
          <w:lang w:val="en-US"/>
        </w:rPr>
        <w:t xml:space="preserve"> </w:t>
      </w:r>
      <w:r w:rsidR="00F55C65">
        <w:rPr>
          <w:lang w:val="en-US"/>
        </w:rPr>
        <w:t>S</w:t>
      </w:r>
      <w:r w:rsidR="009A2AAC">
        <w:rPr>
          <w:lang w:val="en-US"/>
        </w:rPr>
        <w:t>tate-owned</w:t>
      </w:r>
      <w:r w:rsidRPr="00970D30">
        <w:rPr>
          <w:lang w:val="en-US"/>
        </w:rPr>
        <w:t xml:space="preserve"> uranium production company. In 2001, he was</w:t>
      </w:r>
      <w:r w:rsidR="002623F7">
        <w:rPr>
          <w:lang w:val="en-US"/>
        </w:rPr>
        <w:t xml:space="preserve"> also</w:t>
      </w:r>
      <w:r w:rsidRPr="00970D30">
        <w:rPr>
          <w:lang w:val="en-US"/>
        </w:rPr>
        <w:t xml:space="preserve"> appointed to the position of </w:t>
      </w:r>
      <w:r w:rsidR="00F55C65">
        <w:rPr>
          <w:lang w:val="en-US"/>
        </w:rPr>
        <w:t>D</w:t>
      </w:r>
      <w:r w:rsidRPr="00970D30">
        <w:rPr>
          <w:lang w:val="en-US"/>
        </w:rPr>
        <w:t>eputy Minister of Energy and Mineral Resources</w:t>
      </w:r>
      <w:r w:rsidR="009A2AAC">
        <w:rPr>
          <w:lang w:val="en-US"/>
        </w:rPr>
        <w:t xml:space="preserve"> of Kazakhstan</w:t>
      </w:r>
      <w:r w:rsidRPr="00970D30">
        <w:rPr>
          <w:lang w:val="en-US"/>
        </w:rPr>
        <w:t>. As</w:t>
      </w:r>
      <w:r w:rsidR="009A2AAC">
        <w:rPr>
          <w:lang w:val="en-US"/>
        </w:rPr>
        <w:t xml:space="preserve"> </w:t>
      </w:r>
      <w:r w:rsidRPr="00970D30">
        <w:rPr>
          <w:lang w:val="en-US"/>
        </w:rPr>
        <w:t>President of Kaz</w:t>
      </w:r>
      <w:r w:rsidR="00F55C65">
        <w:rPr>
          <w:lang w:val="en-US"/>
        </w:rPr>
        <w:t>a</w:t>
      </w:r>
      <w:r w:rsidRPr="00970D30">
        <w:rPr>
          <w:lang w:val="en-US"/>
        </w:rPr>
        <w:t>tom</w:t>
      </w:r>
      <w:r w:rsidR="00F55C65">
        <w:rPr>
          <w:lang w:val="en-US"/>
        </w:rPr>
        <w:t>p</w:t>
      </w:r>
      <w:r w:rsidRPr="00970D30">
        <w:rPr>
          <w:lang w:val="en-US"/>
        </w:rPr>
        <w:t>rom</w:t>
      </w:r>
      <w:r w:rsidR="00CB1917">
        <w:rPr>
          <w:lang w:val="en-US"/>
        </w:rPr>
        <w:t>,</w:t>
      </w:r>
      <w:r w:rsidR="002623F7">
        <w:rPr>
          <w:lang w:val="en-US"/>
        </w:rPr>
        <w:t xml:space="preserve"> he managed</w:t>
      </w:r>
      <w:r w:rsidRPr="00970D30">
        <w:rPr>
          <w:lang w:val="en-US"/>
        </w:rPr>
        <w:t xml:space="preserve"> several financial and business operations worldwide.</w:t>
      </w:r>
    </w:p>
    <w:p w14:paraId="1E74F241" w14:textId="77777777" w:rsidR="00CB1917" w:rsidRDefault="00991DB5" w:rsidP="00641579">
      <w:pPr>
        <w:pStyle w:val="SingleTxtG"/>
        <w:rPr>
          <w:lang w:val="en-US"/>
        </w:rPr>
      </w:pPr>
      <w:r w:rsidRPr="00970D30">
        <w:rPr>
          <w:lang w:val="en-US"/>
        </w:rPr>
        <w:t>2.2</w:t>
      </w:r>
      <w:r w:rsidR="00C87D88">
        <w:rPr>
          <w:lang w:val="en-US"/>
        </w:rPr>
        <w:tab/>
      </w:r>
      <w:r w:rsidRPr="00970D30">
        <w:rPr>
          <w:lang w:val="en-US"/>
        </w:rPr>
        <w:t xml:space="preserve">On 21 May 2009, the author was arrested </w:t>
      </w:r>
      <w:r w:rsidR="00CB1917">
        <w:rPr>
          <w:lang w:val="en-US"/>
        </w:rPr>
        <w:t>on</w:t>
      </w:r>
      <w:r w:rsidRPr="00970D30">
        <w:rPr>
          <w:lang w:val="en-US"/>
        </w:rPr>
        <w:t xml:space="preserve"> the </w:t>
      </w:r>
      <w:r w:rsidR="00CB1917">
        <w:rPr>
          <w:lang w:val="en-US"/>
        </w:rPr>
        <w:t>premises</w:t>
      </w:r>
      <w:r w:rsidRPr="00970D30">
        <w:rPr>
          <w:lang w:val="en-US"/>
        </w:rPr>
        <w:t xml:space="preserve"> of Kaz</w:t>
      </w:r>
      <w:r w:rsidR="00F55C65">
        <w:rPr>
          <w:lang w:val="en-US"/>
        </w:rPr>
        <w:t>a</w:t>
      </w:r>
      <w:r w:rsidRPr="00970D30">
        <w:rPr>
          <w:lang w:val="en-US"/>
        </w:rPr>
        <w:t>tom</w:t>
      </w:r>
      <w:r w:rsidR="00F55C65">
        <w:rPr>
          <w:lang w:val="en-US"/>
        </w:rPr>
        <w:t>p</w:t>
      </w:r>
      <w:r w:rsidRPr="00970D30">
        <w:rPr>
          <w:lang w:val="en-US"/>
        </w:rPr>
        <w:t xml:space="preserve">rom by officers of the National Security Committee and taken to </w:t>
      </w:r>
      <w:r w:rsidR="00F55C65">
        <w:rPr>
          <w:lang w:val="en-US"/>
        </w:rPr>
        <w:t>that entity’s</w:t>
      </w:r>
      <w:r w:rsidR="00805349">
        <w:rPr>
          <w:lang w:val="en-US"/>
        </w:rPr>
        <w:t xml:space="preserve"> </w:t>
      </w:r>
      <w:r w:rsidRPr="00970D30">
        <w:rPr>
          <w:lang w:val="en-US"/>
        </w:rPr>
        <w:t>pretrial detention cent</w:t>
      </w:r>
      <w:r w:rsidR="00F55C65">
        <w:rPr>
          <w:lang w:val="en-US"/>
        </w:rPr>
        <w:t>re</w:t>
      </w:r>
      <w:r w:rsidRPr="00970D30">
        <w:rPr>
          <w:lang w:val="en-US"/>
        </w:rPr>
        <w:t xml:space="preserve"> in Astana. At th</w:t>
      </w:r>
      <w:r w:rsidR="00F55C65">
        <w:rPr>
          <w:lang w:val="en-US"/>
        </w:rPr>
        <w:t>e</w:t>
      </w:r>
      <w:r w:rsidRPr="00970D30">
        <w:rPr>
          <w:lang w:val="en-US"/>
        </w:rPr>
        <w:t xml:space="preserve"> </w:t>
      </w:r>
      <w:r w:rsidR="00CB1917">
        <w:rPr>
          <w:lang w:val="en-US"/>
        </w:rPr>
        <w:t>c</w:t>
      </w:r>
      <w:r w:rsidRPr="00970D30">
        <w:rPr>
          <w:lang w:val="en-US"/>
        </w:rPr>
        <w:t>ent</w:t>
      </w:r>
      <w:r w:rsidR="00F55C65">
        <w:rPr>
          <w:lang w:val="en-US"/>
        </w:rPr>
        <w:t>re</w:t>
      </w:r>
      <w:r w:rsidRPr="00970D30">
        <w:rPr>
          <w:lang w:val="en-US"/>
        </w:rPr>
        <w:t xml:space="preserve">, the author was </w:t>
      </w:r>
      <w:r w:rsidR="00213A07">
        <w:rPr>
          <w:lang w:val="en-US"/>
        </w:rPr>
        <w:t>detain</w:t>
      </w:r>
      <w:r w:rsidR="00F55C65">
        <w:rPr>
          <w:lang w:val="en-US"/>
        </w:rPr>
        <w:t>ed</w:t>
      </w:r>
      <w:r w:rsidR="00213A07">
        <w:rPr>
          <w:lang w:val="en-US"/>
        </w:rPr>
        <w:t xml:space="preserve"> </w:t>
      </w:r>
      <w:r w:rsidRPr="00970D30">
        <w:rPr>
          <w:lang w:val="en-US"/>
        </w:rPr>
        <w:t xml:space="preserve">under </w:t>
      </w:r>
      <w:r w:rsidR="00F55C65">
        <w:rPr>
          <w:lang w:val="en-US"/>
        </w:rPr>
        <w:t>a</w:t>
      </w:r>
      <w:r w:rsidRPr="00970D30">
        <w:rPr>
          <w:lang w:val="en-US"/>
        </w:rPr>
        <w:t xml:space="preserve">rticle 132 of the </w:t>
      </w:r>
      <w:r w:rsidR="00F55C65">
        <w:rPr>
          <w:lang w:val="en-US"/>
        </w:rPr>
        <w:t>Code of</w:t>
      </w:r>
      <w:r w:rsidRPr="00970D30">
        <w:rPr>
          <w:lang w:val="en-US"/>
        </w:rPr>
        <w:t xml:space="preserve"> Criminal</w:t>
      </w:r>
      <w:r w:rsidR="00F55C65">
        <w:rPr>
          <w:lang w:val="en-US"/>
        </w:rPr>
        <w:t xml:space="preserve"> </w:t>
      </w:r>
      <w:r w:rsidRPr="00970D30">
        <w:rPr>
          <w:lang w:val="en-US"/>
        </w:rPr>
        <w:t>Procedur</w:t>
      </w:r>
      <w:r w:rsidR="00CB1917">
        <w:rPr>
          <w:lang w:val="en-US"/>
        </w:rPr>
        <w:t>e</w:t>
      </w:r>
      <w:r w:rsidR="00090B15">
        <w:rPr>
          <w:lang w:val="en-US"/>
        </w:rPr>
        <w:t xml:space="preserve"> of Kazakhstan</w:t>
      </w:r>
      <w:r w:rsidR="00821AF3">
        <w:rPr>
          <w:lang w:val="en-US"/>
        </w:rPr>
        <w:t>.</w:t>
      </w:r>
      <w:r w:rsidRPr="00970D30">
        <w:rPr>
          <w:lang w:val="en-US"/>
        </w:rPr>
        <w:t xml:space="preserve"> </w:t>
      </w:r>
      <w:r w:rsidR="000E7CC0">
        <w:rPr>
          <w:lang w:val="en-US"/>
        </w:rPr>
        <w:t>H</w:t>
      </w:r>
      <w:r w:rsidRPr="00970D30">
        <w:rPr>
          <w:lang w:val="en-US"/>
        </w:rPr>
        <w:t>e was told</w:t>
      </w:r>
      <w:r w:rsidR="002623F7">
        <w:rPr>
          <w:lang w:val="en-US"/>
        </w:rPr>
        <w:t xml:space="preserve"> that he </w:t>
      </w:r>
      <w:r w:rsidR="00080407">
        <w:rPr>
          <w:lang w:val="en-US"/>
        </w:rPr>
        <w:t>was being</w:t>
      </w:r>
      <w:r w:rsidR="002623F7">
        <w:rPr>
          <w:lang w:val="en-US"/>
        </w:rPr>
        <w:t xml:space="preserve"> detained on</w:t>
      </w:r>
      <w:r w:rsidRPr="00970D30">
        <w:rPr>
          <w:lang w:val="en-US"/>
        </w:rPr>
        <w:t xml:space="preserve"> suspicion of having committed a criminal offence and that the </w:t>
      </w:r>
      <w:r w:rsidR="00080407" w:rsidRPr="00970D30">
        <w:rPr>
          <w:lang w:val="en-US"/>
        </w:rPr>
        <w:t xml:space="preserve">National Security Committee </w:t>
      </w:r>
      <w:r w:rsidRPr="00970D30">
        <w:rPr>
          <w:lang w:val="en-US"/>
        </w:rPr>
        <w:t xml:space="preserve">wanted to interrogate him. </w:t>
      </w:r>
    </w:p>
    <w:p w14:paraId="077E6FB3" w14:textId="77777777" w:rsidR="00991DB5" w:rsidRPr="00970D30" w:rsidRDefault="00CB1917" w:rsidP="00BA5D4E">
      <w:pPr>
        <w:pStyle w:val="SingleTxtG"/>
        <w:rPr>
          <w:lang w:val="en-US"/>
        </w:rPr>
      </w:pPr>
      <w:r w:rsidRPr="006A2524">
        <w:rPr>
          <w:lang w:val="en-US"/>
        </w:rPr>
        <w:t>2.3</w:t>
      </w:r>
      <w:r w:rsidRPr="006A2524">
        <w:rPr>
          <w:lang w:val="en-US"/>
        </w:rPr>
        <w:tab/>
        <w:t xml:space="preserve">The author asked whether he </w:t>
      </w:r>
      <w:r w:rsidR="00080407">
        <w:rPr>
          <w:lang w:val="en-US"/>
        </w:rPr>
        <w:t>could</w:t>
      </w:r>
      <w:r w:rsidR="00080407" w:rsidRPr="006A2524">
        <w:rPr>
          <w:lang w:val="en-US"/>
        </w:rPr>
        <w:t xml:space="preserve"> </w:t>
      </w:r>
      <w:r w:rsidRPr="006A2524">
        <w:rPr>
          <w:lang w:val="en-US"/>
        </w:rPr>
        <w:t>retain a private lawyer. He was told that h</w:t>
      </w:r>
      <w:r w:rsidR="00991DB5" w:rsidRPr="006A2524">
        <w:rPr>
          <w:lang w:val="en-US"/>
        </w:rPr>
        <w:t xml:space="preserve">e could not </w:t>
      </w:r>
      <w:r w:rsidRPr="006A2524">
        <w:rPr>
          <w:lang w:val="en-US"/>
        </w:rPr>
        <w:t>retain</w:t>
      </w:r>
      <w:r w:rsidR="00991DB5" w:rsidRPr="006A2524">
        <w:rPr>
          <w:lang w:val="en-US"/>
        </w:rPr>
        <w:t xml:space="preserve"> a lawyer of his choice since a </w:t>
      </w:r>
      <w:r w:rsidR="00080407">
        <w:rPr>
          <w:lang w:val="en-US"/>
        </w:rPr>
        <w:t>S</w:t>
      </w:r>
      <w:r w:rsidR="00991DB5" w:rsidRPr="006A2524">
        <w:rPr>
          <w:lang w:val="en-US"/>
        </w:rPr>
        <w:t>tate-appointed lawyer</w:t>
      </w:r>
      <w:r w:rsidR="00C54CFF" w:rsidRPr="006A2524">
        <w:rPr>
          <w:lang w:val="en-US"/>
        </w:rPr>
        <w:t>, S.P.,</w:t>
      </w:r>
      <w:r w:rsidR="00991DB5" w:rsidRPr="006A2524">
        <w:rPr>
          <w:lang w:val="en-US"/>
        </w:rPr>
        <w:t xml:space="preserve"> had already been provided </w:t>
      </w:r>
      <w:r w:rsidRPr="006A2524">
        <w:rPr>
          <w:lang w:val="en-US"/>
        </w:rPr>
        <w:t>to</w:t>
      </w:r>
      <w:r w:rsidR="00991DB5" w:rsidRPr="006A2524">
        <w:rPr>
          <w:lang w:val="en-US"/>
        </w:rPr>
        <w:t xml:space="preserve"> him. During the first few days of detention, the author was interrogated on several occasions. The </w:t>
      </w:r>
      <w:r w:rsidR="00080407">
        <w:rPr>
          <w:lang w:val="en-US"/>
        </w:rPr>
        <w:t>S</w:t>
      </w:r>
      <w:r w:rsidR="00991DB5" w:rsidRPr="006A2524">
        <w:rPr>
          <w:lang w:val="en-US"/>
        </w:rPr>
        <w:t>tate</w:t>
      </w:r>
      <w:r w:rsidR="002623F7" w:rsidRPr="006A2524">
        <w:rPr>
          <w:lang w:val="en-US"/>
        </w:rPr>
        <w:t>-</w:t>
      </w:r>
      <w:r w:rsidR="00991DB5" w:rsidRPr="006A2524">
        <w:rPr>
          <w:lang w:val="en-US"/>
        </w:rPr>
        <w:t>appointed</w:t>
      </w:r>
      <w:r w:rsidR="00991DB5" w:rsidRPr="00970D30">
        <w:rPr>
          <w:lang w:val="en-US"/>
        </w:rPr>
        <w:t xml:space="preserve"> lawyer was always present but was passive and did not ask any questions. Likewise, </w:t>
      </w:r>
      <w:r w:rsidR="00080407">
        <w:rPr>
          <w:lang w:val="en-US"/>
        </w:rPr>
        <w:t>he</w:t>
      </w:r>
      <w:r w:rsidR="00991DB5" w:rsidRPr="00970D30">
        <w:rPr>
          <w:lang w:val="en-US"/>
        </w:rPr>
        <w:t xml:space="preserve"> did not </w:t>
      </w:r>
      <w:r>
        <w:rPr>
          <w:lang w:val="en-US"/>
        </w:rPr>
        <w:t xml:space="preserve">complain </w:t>
      </w:r>
      <w:r w:rsidR="00080407">
        <w:rPr>
          <w:lang w:val="en-US"/>
        </w:rPr>
        <w:t>about</w:t>
      </w:r>
      <w:r w:rsidR="00080407" w:rsidRPr="00970D30">
        <w:rPr>
          <w:lang w:val="en-US"/>
        </w:rPr>
        <w:t xml:space="preserve"> </w:t>
      </w:r>
      <w:r w:rsidR="00991DB5" w:rsidRPr="00970D30">
        <w:rPr>
          <w:lang w:val="en-US"/>
        </w:rPr>
        <w:t>the author’s detention</w:t>
      </w:r>
      <w:r w:rsidR="00080407">
        <w:rPr>
          <w:lang w:val="en-US"/>
        </w:rPr>
        <w:t>,</w:t>
      </w:r>
      <w:r w:rsidR="00991DB5" w:rsidRPr="00970D30">
        <w:rPr>
          <w:lang w:val="en-US"/>
        </w:rPr>
        <w:t xml:space="preserve"> </w:t>
      </w:r>
      <w:r w:rsidR="00080407">
        <w:rPr>
          <w:lang w:val="en-US"/>
        </w:rPr>
        <w:t>made no</w:t>
      </w:r>
      <w:r w:rsidR="00991DB5" w:rsidRPr="00970D30">
        <w:rPr>
          <w:lang w:val="en-US"/>
        </w:rPr>
        <w:t xml:space="preserve"> attempt to contact the author’s family and did not attend the hearings related to the author’s case</w:t>
      </w:r>
      <w:r w:rsidR="00821AF3">
        <w:rPr>
          <w:lang w:val="en-US"/>
        </w:rPr>
        <w:t>.</w:t>
      </w:r>
      <w:r>
        <w:rPr>
          <w:rStyle w:val="FootnoteReference"/>
          <w:lang w:val="en-US"/>
        </w:rPr>
        <w:footnoteReference w:id="3"/>
      </w:r>
      <w:r w:rsidR="00991DB5" w:rsidRPr="00970D30">
        <w:rPr>
          <w:lang w:val="en-US"/>
        </w:rPr>
        <w:t xml:space="preserve"> </w:t>
      </w:r>
    </w:p>
    <w:p w14:paraId="188FCF77" w14:textId="77777777" w:rsidR="00890DBE" w:rsidRPr="00970D30" w:rsidRDefault="00660EC7">
      <w:pPr>
        <w:pStyle w:val="SingleTxtG"/>
        <w:rPr>
          <w:lang w:val="en-US"/>
        </w:rPr>
      </w:pPr>
      <w:r>
        <w:rPr>
          <w:lang w:val="en-US"/>
        </w:rPr>
        <w:t>2.4</w:t>
      </w:r>
      <w:r w:rsidR="00C87D88">
        <w:rPr>
          <w:lang w:val="en-US"/>
        </w:rPr>
        <w:tab/>
      </w:r>
      <w:r w:rsidR="00991DB5" w:rsidRPr="00970D30">
        <w:rPr>
          <w:lang w:val="en-US"/>
        </w:rPr>
        <w:t>On 23 May 2009, the author’s</w:t>
      </w:r>
      <w:r w:rsidR="001B2F21">
        <w:rPr>
          <w:lang w:val="en-US"/>
        </w:rPr>
        <w:t xml:space="preserve"> </w:t>
      </w:r>
      <w:r w:rsidR="00090B15">
        <w:rPr>
          <w:lang w:val="en-US"/>
        </w:rPr>
        <w:t xml:space="preserve">period of </w:t>
      </w:r>
      <w:r w:rsidR="001B2F21">
        <w:rPr>
          <w:lang w:val="en-US"/>
        </w:rPr>
        <w:t>pretrial</w:t>
      </w:r>
      <w:r w:rsidR="00991DB5" w:rsidRPr="00970D30">
        <w:rPr>
          <w:lang w:val="en-US"/>
        </w:rPr>
        <w:t xml:space="preserve"> detention was prolonged for a further two months</w:t>
      </w:r>
      <w:r>
        <w:rPr>
          <w:lang w:val="en-US"/>
        </w:rPr>
        <w:t xml:space="preserve"> </w:t>
      </w:r>
      <w:r w:rsidR="00991DB5" w:rsidRPr="00970D30">
        <w:rPr>
          <w:lang w:val="en-US"/>
        </w:rPr>
        <w:t xml:space="preserve">by the </w:t>
      </w:r>
      <w:r>
        <w:rPr>
          <w:lang w:val="en-US"/>
        </w:rPr>
        <w:t>m</w:t>
      </w:r>
      <w:r w:rsidR="00991DB5" w:rsidRPr="00970D30">
        <w:rPr>
          <w:lang w:val="en-US"/>
        </w:rPr>
        <w:t xml:space="preserve">ilitary </w:t>
      </w:r>
      <w:r>
        <w:rPr>
          <w:lang w:val="en-US"/>
        </w:rPr>
        <w:t>c</w:t>
      </w:r>
      <w:r w:rsidR="00991DB5" w:rsidRPr="00970D30">
        <w:rPr>
          <w:lang w:val="en-US"/>
        </w:rPr>
        <w:t xml:space="preserve">ourt of the </w:t>
      </w:r>
      <w:r>
        <w:rPr>
          <w:lang w:val="en-US"/>
        </w:rPr>
        <w:t>garrison</w:t>
      </w:r>
      <w:r w:rsidR="00080407">
        <w:rPr>
          <w:lang w:val="en-US"/>
        </w:rPr>
        <w:t xml:space="preserve"> in</w:t>
      </w:r>
      <w:r w:rsidR="00080407" w:rsidRPr="00080407">
        <w:rPr>
          <w:lang w:val="en-US"/>
        </w:rPr>
        <w:t xml:space="preserve"> </w:t>
      </w:r>
      <w:r w:rsidR="00080407">
        <w:rPr>
          <w:lang w:val="en-US"/>
        </w:rPr>
        <w:t xml:space="preserve">the region of </w:t>
      </w:r>
      <w:r w:rsidR="00080407" w:rsidRPr="00970D30">
        <w:rPr>
          <w:lang w:val="en-US"/>
        </w:rPr>
        <w:t>Akmol</w:t>
      </w:r>
      <w:r w:rsidR="00080407">
        <w:rPr>
          <w:lang w:val="en-US"/>
        </w:rPr>
        <w:t>a</w:t>
      </w:r>
      <w:r w:rsidR="00991DB5" w:rsidRPr="00970D30">
        <w:rPr>
          <w:lang w:val="en-US"/>
        </w:rPr>
        <w:t xml:space="preserve">. Given the passivity of the </w:t>
      </w:r>
      <w:r w:rsidR="00080407">
        <w:rPr>
          <w:lang w:val="en-US"/>
        </w:rPr>
        <w:t>S</w:t>
      </w:r>
      <w:r w:rsidR="00991DB5" w:rsidRPr="00970D30">
        <w:rPr>
          <w:lang w:val="en-US"/>
        </w:rPr>
        <w:t>tate</w:t>
      </w:r>
      <w:r w:rsidR="002623F7">
        <w:rPr>
          <w:lang w:val="en-US"/>
        </w:rPr>
        <w:t>-</w:t>
      </w:r>
      <w:r w:rsidR="00991DB5" w:rsidRPr="00970D30">
        <w:rPr>
          <w:lang w:val="en-US"/>
        </w:rPr>
        <w:t>appointed lawyer, the author appealed th</w:t>
      </w:r>
      <w:r w:rsidR="00080407">
        <w:rPr>
          <w:lang w:val="en-US"/>
        </w:rPr>
        <w:t>e</w:t>
      </w:r>
      <w:r w:rsidR="00991DB5" w:rsidRPr="00970D30">
        <w:rPr>
          <w:lang w:val="en-US"/>
        </w:rPr>
        <w:t xml:space="preserve"> decision to the </w:t>
      </w:r>
      <w:r w:rsidR="00080407">
        <w:rPr>
          <w:lang w:val="en-US"/>
        </w:rPr>
        <w:t>m</w:t>
      </w:r>
      <w:r w:rsidR="00991DB5" w:rsidRPr="00970D30">
        <w:rPr>
          <w:lang w:val="en-US"/>
        </w:rPr>
        <w:t xml:space="preserve">ilitary </w:t>
      </w:r>
      <w:r w:rsidR="00080407">
        <w:rPr>
          <w:lang w:val="en-US"/>
        </w:rPr>
        <w:t>c</w:t>
      </w:r>
      <w:r w:rsidR="00991DB5" w:rsidRPr="00970D30">
        <w:rPr>
          <w:lang w:val="en-US"/>
        </w:rPr>
        <w:t>ourt of Kazakhstan, claiming that his arrest was unlawful because the</w:t>
      </w:r>
      <w:r>
        <w:rPr>
          <w:lang w:val="en-US"/>
        </w:rPr>
        <w:t xml:space="preserve"> </w:t>
      </w:r>
      <w:r w:rsidR="00080407">
        <w:rPr>
          <w:lang w:val="en-US"/>
        </w:rPr>
        <w:t xml:space="preserve">Akmola </w:t>
      </w:r>
      <w:r>
        <w:rPr>
          <w:lang w:val="en-US"/>
        </w:rPr>
        <w:t xml:space="preserve">military court </w:t>
      </w:r>
      <w:r w:rsidR="00991DB5" w:rsidRPr="00970D30">
        <w:rPr>
          <w:lang w:val="en-US"/>
        </w:rPr>
        <w:t>lacked jurisdiction</w:t>
      </w:r>
      <w:r w:rsidR="00821AF3">
        <w:rPr>
          <w:lang w:val="en-US"/>
        </w:rPr>
        <w:t>.</w:t>
      </w:r>
      <w:r w:rsidR="00C54CFF">
        <w:rPr>
          <w:rStyle w:val="FootnoteReference"/>
          <w:lang w:val="en-US"/>
        </w:rPr>
        <w:footnoteReference w:id="4"/>
      </w:r>
      <w:r w:rsidR="00991DB5" w:rsidRPr="00970D30">
        <w:rPr>
          <w:lang w:val="en-US"/>
        </w:rPr>
        <w:t xml:space="preserve"> </w:t>
      </w:r>
      <w:r w:rsidR="00890DBE" w:rsidRPr="00970D30">
        <w:rPr>
          <w:lang w:val="en-US"/>
        </w:rPr>
        <w:t xml:space="preserve">On 29 May 2009, the </w:t>
      </w:r>
      <w:r w:rsidR="00080407">
        <w:rPr>
          <w:lang w:val="en-US"/>
        </w:rPr>
        <w:t>m</w:t>
      </w:r>
      <w:r w:rsidR="00890DBE" w:rsidRPr="00970D30">
        <w:rPr>
          <w:lang w:val="en-US"/>
        </w:rPr>
        <w:t xml:space="preserve">ilitary </w:t>
      </w:r>
      <w:r w:rsidR="00080407">
        <w:rPr>
          <w:lang w:val="en-US"/>
        </w:rPr>
        <w:t>c</w:t>
      </w:r>
      <w:r w:rsidR="00890DBE" w:rsidRPr="00970D30">
        <w:rPr>
          <w:lang w:val="en-US"/>
        </w:rPr>
        <w:t>ourt of Kazakhstan examined the author’s appeal</w:t>
      </w:r>
      <w:r w:rsidR="00080407">
        <w:rPr>
          <w:lang w:val="en-US"/>
        </w:rPr>
        <w:t>; the examination</w:t>
      </w:r>
      <w:r w:rsidR="00890DBE" w:rsidRPr="00970D30">
        <w:rPr>
          <w:lang w:val="en-US"/>
        </w:rPr>
        <w:t xml:space="preserve"> took place in the author’s absence. The </w:t>
      </w:r>
      <w:r w:rsidR="00080407">
        <w:rPr>
          <w:lang w:val="en-US"/>
        </w:rPr>
        <w:t>c</w:t>
      </w:r>
      <w:r w:rsidR="00890DBE" w:rsidRPr="00970D30">
        <w:rPr>
          <w:lang w:val="en-US"/>
        </w:rPr>
        <w:t xml:space="preserve">ourt upheld the </w:t>
      </w:r>
      <w:r w:rsidR="00080407">
        <w:rPr>
          <w:lang w:val="en-US"/>
        </w:rPr>
        <w:t>decision to</w:t>
      </w:r>
      <w:r w:rsidR="00890DBE" w:rsidRPr="00970D30">
        <w:rPr>
          <w:lang w:val="en-US"/>
        </w:rPr>
        <w:t xml:space="preserve"> det</w:t>
      </w:r>
      <w:r w:rsidR="00080407">
        <w:rPr>
          <w:lang w:val="en-US"/>
        </w:rPr>
        <w:t xml:space="preserve">ain </w:t>
      </w:r>
      <w:r w:rsidR="00890DBE" w:rsidRPr="00970D30">
        <w:rPr>
          <w:lang w:val="en-US"/>
        </w:rPr>
        <w:t xml:space="preserve">him. </w:t>
      </w:r>
    </w:p>
    <w:p w14:paraId="6016CCDD" w14:textId="77777777" w:rsidR="00890DBE" w:rsidRDefault="00991DB5" w:rsidP="00BA5D4E">
      <w:pPr>
        <w:pStyle w:val="SingleTxtG"/>
        <w:rPr>
          <w:lang w:val="en-US"/>
        </w:rPr>
      </w:pPr>
      <w:r w:rsidRPr="00970D30">
        <w:rPr>
          <w:lang w:val="en-US"/>
        </w:rPr>
        <w:t>2.</w:t>
      </w:r>
      <w:r w:rsidR="00890DBE">
        <w:rPr>
          <w:lang w:val="en-US"/>
        </w:rPr>
        <w:t>5</w:t>
      </w:r>
      <w:r w:rsidR="0061031F">
        <w:rPr>
          <w:lang w:val="en-US"/>
        </w:rPr>
        <w:tab/>
      </w:r>
      <w:r w:rsidR="00B0537F">
        <w:rPr>
          <w:lang w:val="en-US"/>
        </w:rPr>
        <w:t>O</w:t>
      </w:r>
      <w:r w:rsidR="0061031F" w:rsidRPr="006A2524">
        <w:rPr>
          <w:lang w:val="en-US"/>
        </w:rPr>
        <w:t xml:space="preserve">n </w:t>
      </w:r>
      <w:r w:rsidRPr="006A2524">
        <w:rPr>
          <w:lang w:val="en-US"/>
        </w:rPr>
        <w:t>26 May 2009, the author’s wife, J</w:t>
      </w:r>
      <w:r w:rsidR="00080407">
        <w:rPr>
          <w:lang w:val="en-US"/>
        </w:rPr>
        <w:t>.</w:t>
      </w:r>
      <w:r w:rsidRPr="006A2524">
        <w:rPr>
          <w:lang w:val="en-US"/>
        </w:rPr>
        <w:t xml:space="preserve">, and </w:t>
      </w:r>
      <w:r w:rsidR="00890DBE" w:rsidRPr="006A2524">
        <w:rPr>
          <w:lang w:val="en-US"/>
        </w:rPr>
        <w:t>a</w:t>
      </w:r>
      <w:r w:rsidRPr="006A2524">
        <w:rPr>
          <w:lang w:val="en-US"/>
        </w:rPr>
        <w:t xml:space="preserve"> private lawyer</w:t>
      </w:r>
      <w:r w:rsidR="00890DBE" w:rsidRPr="006A2524">
        <w:rPr>
          <w:lang w:val="en-US"/>
        </w:rPr>
        <w:t xml:space="preserve"> retained by the family,</w:t>
      </w:r>
      <w:r w:rsidRPr="006A2524">
        <w:rPr>
          <w:lang w:val="en-US"/>
        </w:rPr>
        <w:t xml:space="preserve"> D.K., </w:t>
      </w:r>
      <w:r w:rsidR="00C54CFF" w:rsidRPr="006A2524">
        <w:rPr>
          <w:lang w:val="en-US"/>
        </w:rPr>
        <w:t xml:space="preserve">filed a </w:t>
      </w:r>
      <w:r w:rsidRPr="006A2524">
        <w:rPr>
          <w:lang w:val="en-US"/>
        </w:rPr>
        <w:t>request</w:t>
      </w:r>
      <w:r w:rsidR="00C54CFF" w:rsidRPr="006A2524">
        <w:rPr>
          <w:lang w:val="en-US"/>
        </w:rPr>
        <w:t xml:space="preserve"> </w:t>
      </w:r>
      <w:r w:rsidRPr="006A2524">
        <w:rPr>
          <w:lang w:val="en-US"/>
        </w:rPr>
        <w:t xml:space="preserve">to the </w:t>
      </w:r>
      <w:r w:rsidR="00F10B34" w:rsidRPr="00970D30">
        <w:rPr>
          <w:lang w:val="en-US"/>
        </w:rPr>
        <w:t xml:space="preserve">National Security Committee </w:t>
      </w:r>
      <w:r w:rsidR="00F10B34">
        <w:rPr>
          <w:lang w:val="en-US"/>
        </w:rPr>
        <w:t xml:space="preserve">asking that D.K. </w:t>
      </w:r>
      <w:r w:rsidRPr="006A2524">
        <w:rPr>
          <w:lang w:val="en-US"/>
        </w:rPr>
        <w:t xml:space="preserve">be </w:t>
      </w:r>
      <w:r w:rsidR="00C54CFF" w:rsidRPr="006A2524">
        <w:rPr>
          <w:lang w:val="en-US"/>
        </w:rPr>
        <w:t>considered</w:t>
      </w:r>
      <w:r w:rsidRPr="006A2524">
        <w:rPr>
          <w:lang w:val="en-US"/>
        </w:rPr>
        <w:t xml:space="preserve"> </w:t>
      </w:r>
      <w:r w:rsidR="00C54CFF" w:rsidRPr="006A2524">
        <w:rPr>
          <w:lang w:val="en-US"/>
        </w:rPr>
        <w:t>Mr. Dzhakishev</w:t>
      </w:r>
      <w:r w:rsidRPr="006A2524">
        <w:rPr>
          <w:lang w:val="en-US"/>
        </w:rPr>
        <w:t xml:space="preserve">’s </w:t>
      </w:r>
      <w:r w:rsidR="00C54CFF" w:rsidRPr="006A2524">
        <w:rPr>
          <w:lang w:val="en-US"/>
        </w:rPr>
        <w:t>counsel of record</w:t>
      </w:r>
      <w:r w:rsidRPr="006A2524">
        <w:rPr>
          <w:lang w:val="en-US"/>
        </w:rPr>
        <w:t xml:space="preserve">. </w:t>
      </w:r>
      <w:r w:rsidR="00890DBE" w:rsidRPr="006A2524">
        <w:rPr>
          <w:lang w:val="en-US"/>
        </w:rPr>
        <w:t>Th</w:t>
      </w:r>
      <w:r w:rsidR="00F10B34">
        <w:rPr>
          <w:lang w:val="en-US"/>
        </w:rPr>
        <w:t>e</w:t>
      </w:r>
      <w:r w:rsidRPr="006A2524">
        <w:rPr>
          <w:lang w:val="en-US"/>
        </w:rPr>
        <w:t xml:space="preserve"> request was denied </w:t>
      </w:r>
      <w:r w:rsidR="00F10B34">
        <w:rPr>
          <w:lang w:val="en-US"/>
        </w:rPr>
        <w:t>that</w:t>
      </w:r>
      <w:r w:rsidRPr="006A2524">
        <w:rPr>
          <w:lang w:val="en-US"/>
        </w:rPr>
        <w:t xml:space="preserve"> same day on the grounds that the investigation involved classified information and </w:t>
      </w:r>
      <w:r w:rsidR="00F10B34">
        <w:rPr>
          <w:lang w:val="en-US"/>
        </w:rPr>
        <w:t>D.K.</w:t>
      </w:r>
      <w:r w:rsidR="00F10B34" w:rsidRPr="006A2524">
        <w:rPr>
          <w:lang w:val="en-US"/>
        </w:rPr>
        <w:t xml:space="preserve"> </w:t>
      </w:r>
      <w:r w:rsidRPr="006A2524">
        <w:rPr>
          <w:lang w:val="en-US"/>
        </w:rPr>
        <w:t>had no</w:t>
      </w:r>
      <w:r w:rsidR="00C54CFF" w:rsidRPr="006A2524">
        <w:rPr>
          <w:lang w:val="en-US"/>
        </w:rPr>
        <w:t xml:space="preserve"> security</w:t>
      </w:r>
      <w:r w:rsidRPr="006A2524">
        <w:rPr>
          <w:lang w:val="en-US"/>
        </w:rPr>
        <w:t xml:space="preserve"> clearance </w:t>
      </w:r>
      <w:r w:rsidR="00F10B34">
        <w:rPr>
          <w:lang w:val="en-US"/>
        </w:rPr>
        <w:t xml:space="preserve">and therefore could not have access </w:t>
      </w:r>
      <w:r w:rsidRPr="006A2524">
        <w:rPr>
          <w:lang w:val="en-US"/>
        </w:rPr>
        <w:t>to “</w:t>
      </w:r>
      <w:r w:rsidR="00F10B34">
        <w:rPr>
          <w:lang w:val="en-US"/>
        </w:rPr>
        <w:t>S</w:t>
      </w:r>
      <w:r w:rsidRPr="006A2524">
        <w:rPr>
          <w:lang w:val="en-US"/>
        </w:rPr>
        <w:t>tate secrets”</w:t>
      </w:r>
      <w:r w:rsidR="00F10B34">
        <w:rPr>
          <w:lang w:val="en-US"/>
        </w:rPr>
        <w:t>.</w:t>
      </w:r>
      <w:r w:rsidRPr="006A2524">
        <w:rPr>
          <w:lang w:val="en-US"/>
        </w:rPr>
        <w:t xml:space="preserve"> On 27</w:t>
      </w:r>
      <w:r w:rsidRPr="00970D30">
        <w:rPr>
          <w:lang w:val="en-US"/>
        </w:rPr>
        <w:t xml:space="preserve"> May 2009, </w:t>
      </w:r>
      <w:r w:rsidR="00F10B34">
        <w:rPr>
          <w:lang w:val="en-US"/>
        </w:rPr>
        <w:t>an</w:t>
      </w:r>
      <w:r w:rsidR="00F10B34" w:rsidRPr="00970D30">
        <w:rPr>
          <w:lang w:val="en-US"/>
        </w:rPr>
        <w:t xml:space="preserve"> </w:t>
      </w:r>
      <w:r w:rsidR="00C54CFF">
        <w:rPr>
          <w:lang w:val="en-US"/>
        </w:rPr>
        <w:t>appeal</w:t>
      </w:r>
      <w:r w:rsidR="00F10B34">
        <w:rPr>
          <w:lang w:val="en-US"/>
        </w:rPr>
        <w:t xml:space="preserve"> against</w:t>
      </w:r>
      <w:r w:rsidRPr="00970D30">
        <w:rPr>
          <w:lang w:val="en-US"/>
        </w:rPr>
        <w:t xml:space="preserve"> th</w:t>
      </w:r>
      <w:r w:rsidR="00F10B34">
        <w:rPr>
          <w:lang w:val="en-US"/>
        </w:rPr>
        <w:t>at</w:t>
      </w:r>
      <w:r w:rsidRPr="00970D30">
        <w:rPr>
          <w:lang w:val="en-US"/>
        </w:rPr>
        <w:t xml:space="preserve"> decision </w:t>
      </w:r>
      <w:r w:rsidR="00F10B34">
        <w:rPr>
          <w:lang w:val="en-US"/>
        </w:rPr>
        <w:t xml:space="preserve">was made </w:t>
      </w:r>
      <w:r w:rsidRPr="00970D30">
        <w:rPr>
          <w:lang w:val="en-US"/>
        </w:rPr>
        <w:t xml:space="preserve">to the Prosecutor’s Office </w:t>
      </w:r>
      <w:r w:rsidR="00F10B34">
        <w:rPr>
          <w:lang w:val="en-US"/>
        </w:rPr>
        <w:t>in</w:t>
      </w:r>
      <w:r w:rsidR="00C54CFF">
        <w:rPr>
          <w:lang w:val="en-US"/>
        </w:rPr>
        <w:t xml:space="preserve"> </w:t>
      </w:r>
      <w:r w:rsidRPr="00970D30">
        <w:rPr>
          <w:lang w:val="en-US"/>
        </w:rPr>
        <w:t>Astana. Th</w:t>
      </w:r>
      <w:r w:rsidR="00F10B34">
        <w:rPr>
          <w:lang w:val="en-US"/>
        </w:rPr>
        <w:t>e</w:t>
      </w:r>
      <w:r w:rsidRPr="00970D30">
        <w:rPr>
          <w:lang w:val="en-US"/>
        </w:rPr>
        <w:t xml:space="preserve"> complaint was forwarded to the Prosecutor General’s Office</w:t>
      </w:r>
      <w:r w:rsidR="00BA5D4E">
        <w:rPr>
          <w:lang w:val="en-US"/>
        </w:rPr>
        <w:t xml:space="preserve"> of </w:t>
      </w:r>
      <w:r w:rsidR="00BA5D4E" w:rsidRPr="00970D30">
        <w:rPr>
          <w:lang w:val="en-US"/>
        </w:rPr>
        <w:t>Kazakh</w:t>
      </w:r>
      <w:r w:rsidR="00BA5D4E">
        <w:rPr>
          <w:lang w:val="en-US"/>
        </w:rPr>
        <w:t>stan</w:t>
      </w:r>
      <w:r w:rsidRPr="00970D30">
        <w:rPr>
          <w:lang w:val="en-US"/>
        </w:rPr>
        <w:t xml:space="preserve">. </w:t>
      </w:r>
    </w:p>
    <w:p w14:paraId="65BE22CF" w14:textId="77777777" w:rsidR="00890DBE" w:rsidRDefault="00890DBE" w:rsidP="00EC7149">
      <w:pPr>
        <w:pStyle w:val="SingleTxtG"/>
        <w:rPr>
          <w:lang w:val="en-US"/>
        </w:rPr>
      </w:pPr>
      <w:r>
        <w:rPr>
          <w:lang w:val="en-US"/>
        </w:rPr>
        <w:t>2.6</w:t>
      </w:r>
      <w:r>
        <w:rPr>
          <w:lang w:val="en-US"/>
        </w:rPr>
        <w:tab/>
      </w:r>
      <w:r w:rsidRPr="00970D30">
        <w:rPr>
          <w:lang w:val="en-US"/>
        </w:rPr>
        <w:t>On 3 June 2009, the Prosecutor General</w:t>
      </w:r>
      <w:r w:rsidR="00EC7149">
        <w:rPr>
          <w:lang w:val="en-US"/>
        </w:rPr>
        <w:t>’s Office</w:t>
      </w:r>
      <w:r w:rsidRPr="00970D30">
        <w:rPr>
          <w:lang w:val="en-US"/>
        </w:rPr>
        <w:t xml:space="preserve"> rejected the complaint submitted by the author’s wife on 27 May 2009. On 16 June 2009, the author complained </w:t>
      </w:r>
      <w:r w:rsidR="00090B15" w:rsidRPr="00970D30">
        <w:rPr>
          <w:lang w:val="en-US"/>
        </w:rPr>
        <w:t xml:space="preserve">to </w:t>
      </w:r>
      <w:r w:rsidR="00090B15">
        <w:rPr>
          <w:lang w:val="en-US"/>
        </w:rPr>
        <w:t xml:space="preserve">Astana </w:t>
      </w:r>
      <w:r w:rsidR="00090B15" w:rsidRPr="00970D30">
        <w:rPr>
          <w:lang w:val="en-US"/>
        </w:rPr>
        <w:t>District Court No. 2</w:t>
      </w:r>
      <w:r w:rsidR="00090B15">
        <w:rPr>
          <w:lang w:val="en-US"/>
        </w:rPr>
        <w:t xml:space="preserve"> </w:t>
      </w:r>
      <w:r w:rsidRPr="00970D30">
        <w:rPr>
          <w:lang w:val="en-US"/>
        </w:rPr>
        <w:t xml:space="preserve">about the Prosecutor General’s decision of 3 June 2009. On 2 July 2009, the District Court rejected </w:t>
      </w:r>
      <w:r w:rsidR="00F10B34">
        <w:rPr>
          <w:lang w:val="en-US"/>
        </w:rPr>
        <w:t>the</w:t>
      </w:r>
      <w:r w:rsidR="00F10B34" w:rsidRPr="00970D30">
        <w:rPr>
          <w:lang w:val="en-US"/>
        </w:rPr>
        <w:t xml:space="preserve"> </w:t>
      </w:r>
      <w:r w:rsidRPr="00970D30">
        <w:rPr>
          <w:lang w:val="en-US"/>
        </w:rPr>
        <w:t>complaint, referring to the “classified” status of the case. On the same day, the author appealed against th</w:t>
      </w:r>
      <w:r w:rsidR="00F10B34">
        <w:rPr>
          <w:lang w:val="en-US"/>
        </w:rPr>
        <w:t>at</w:t>
      </w:r>
      <w:r w:rsidRPr="00970D30">
        <w:rPr>
          <w:lang w:val="en-US"/>
        </w:rPr>
        <w:t xml:space="preserve"> ruling to Astana City Court. On 10 July 2009, th</w:t>
      </w:r>
      <w:r w:rsidR="00F10B34">
        <w:rPr>
          <w:lang w:val="en-US"/>
        </w:rPr>
        <w:t>at</w:t>
      </w:r>
      <w:r w:rsidRPr="00970D30">
        <w:rPr>
          <w:lang w:val="en-US"/>
        </w:rPr>
        <w:t xml:space="preserve"> </w:t>
      </w:r>
      <w:r w:rsidR="00F10B34">
        <w:rPr>
          <w:lang w:val="en-US"/>
        </w:rPr>
        <w:t>c</w:t>
      </w:r>
      <w:r w:rsidRPr="00970D30">
        <w:rPr>
          <w:lang w:val="en-US"/>
        </w:rPr>
        <w:t xml:space="preserve">ourt </w:t>
      </w:r>
      <w:r w:rsidR="00F10B34">
        <w:rPr>
          <w:lang w:val="en-US"/>
        </w:rPr>
        <w:t>too</w:t>
      </w:r>
      <w:r w:rsidRPr="00970D30">
        <w:rPr>
          <w:lang w:val="en-US"/>
        </w:rPr>
        <w:t xml:space="preserve"> rejected his appeal.</w:t>
      </w:r>
    </w:p>
    <w:p w14:paraId="4A4A47F3" w14:textId="77777777" w:rsidR="00890DBE" w:rsidRPr="00970D30" w:rsidRDefault="00890DBE" w:rsidP="00EC7149">
      <w:pPr>
        <w:pStyle w:val="SingleTxtG"/>
        <w:rPr>
          <w:lang w:val="en-US"/>
        </w:rPr>
      </w:pPr>
      <w:r>
        <w:rPr>
          <w:lang w:val="en-US"/>
        </w:rPr>
        <w:lastRenderedPageBreak/>
        <w:t>2.7</w:t>
      </w:r>
      <w:r>
        <w:rPr>
          <w:lang w:val="en-US"/>
        </w:rPr>
        <w:tab/>
      </w:r>
      <w:r w:rsidR="00B0537F">
        <w:rPr>
          <w:lang w:val="en-US"/>
        </w:rPr>
        <w:t>A</w:t>
      </w:r>
      <w:r>
        <w:rPr>
          <w:lang w:val="en-US"/>
        </w:rPr>
        <w:t xml:space="preserve">t some point, a </w:t>
      </w:r>
      <w:r w:rsidR="00991DB5" w:rsidRPr="00970D30">
        <w:rPr>
          <w:lang w:val="en-US"/>
        </w:rPr>
        <w:t>second</w:t>
      </w:r>
      <w:r>
        <w:rPr>
          <w:lang w:val="en-US"/>
        </w:rPr>
        <w:t xml:space="preserve"> private</w:t>
      </w:r>
      <w:r w:rsidR="00991DB5" w:rsidRPr="00970D30">
        <w:rPr>
          <w:lang w:val="en-US"/>
        </w:rPr>
        <w:t xml:space="preserve"> lawyer, B., was hired </w:t>
      </w:r>
      <w:r w:rsidR="00C54CFF">
        <w:rPr>
          <w:lang w:val="en-US"/>
        </w:rPr>
        <w:t xml:space="preserve">to represent </w:t>
      </w:r>
      <w:r w:rsidR="00991DB5" w:rsidRPr="00970D30">
        <w:rPr>
          <w:lang w:val="en-US"/>
        </w:rPr>
        <w:t>the author.</w:t>
      </w:r>
      <w:r w:rsidR="00C54CFF">
        <w:rPr>
          <w:lang w:val="en-US"/>
        </w:rPr>
        <w:t xml:space="preserve"> This lawyer’s</w:t>
      </w:r>
      <w:r w:rsidR="00991DB5" w:rsidRPr="00970D30">
        <w:rPr>
          <w:lang w:val="en-US"/>
        </w:rPr>
        <w:t xml:space="preserve"> petition</w:t>
      </w:r>
      <w:r w:rsidR="00C54CFF">
        <w:rPr>
          <w:lang w:val="en-US"/>
        </w:rPr>
        <w:t xml:space="preserve"> to</w:t>
      </w:r>
      <w:r w:rsidR="00991DB5" w:rsidRPr="00970D30">
        <w:rPr>
          <w:lang w:val="en-US"/>
        </w:rPr>
        <w:t xml:space="preserve"> the </w:t>
      </w:r>
      <w:r w:rsidR="00F10B34">
        <w:rPr>
          <w:lang w:val="en-US"/>
        </w:rPr>
        <w:t>National Security Committee</w:t>
      </w:r>
      <w:r w:rsidR="00F10B34" w:rsidRPr="00970D30">
        <w:rPr>
          <w:lang w:val="en-US"/>
        </w:rPr>
        <w:t xml:space="preserve"> </w:t>
      </w:r>
      <w:r w:rsidR="00991DB5" w:rsidRPr="00970D30">
        <w:rPr>
          <w:lang w:val="en-US"/>
        </w:rPr>
        <w:t>to admit him as a defen</w:t>
      </w:r>
      <w:r w:rsidR="00F10B34">
        <w:rPr>
          <w:lang w:val="en-US"/>
        </w:rPr>
        <w:t>c</w:t>
      </w:r>
      <w:r w:rsidR="00991DB5" w:rsidRPr="00970D30">
        <w:rPr>
          <w:lang w:val="en-US"/>
        </w:rPr>
        <w:t>e lawyer was also rejected</w:t>
      </w:r>
      <w:r w:rsidR="00090B15">
        <w:rPr>
          <w:lang w:val="en-US"/>
        </w:rPr>
        <w:t>,</w:t>
      </w:r>
      <w:r w:rsidR="00991DB5" w:rsidRPr="00970D30">
        <w:rPr>
          <w:lang w:val="en-US"/>
        </w:rPr>
        <w:t xml:space="preserve"> on 28 May 2009</w:t>
      </w:r>
      <w:r w:rsidR="00F10B34">
        <w:rPr>
          <w:lang w:val="en-US"/>
        </w:rPr>
        <w:t>,</w:t>
      </w:r>
      <w:r w:rsidR="00991DB5" w:rsidRPr="00970D30">
        <w:rPr>
          <w:lang w:val="en-US"/>
        </w:rPr>
        <w:t xml:space="preserve"> </w:t>
      </w:r>
      <w:r w:rsidR="00090B15">
        <w:rPr>
          <w:lang w:val="en-US"/>
        </w:rPr>
        <w:t>because</w:t>
      </w:r>
      <w:r w:rsidR="00991DB5" w:rsidRPr="00970D30">
        <w:rPr>
          <w:lang w:val="en-US"/>
        </w:rPr>
        <w:t xml:space="preserve"> the case</w:t>
      </w:r>
      <w:r>
        <w:rPr>
          <w:lang w:val="en-US"/>
        </w:rPr>
        <w:t xml:space="preserve"> under investigation</w:t>
      </w:r>
      <w:r w:rsidR="00991DB5" w:rsidRPr="00970D30">
        <w:rPr>
          <w:lang w:val="en-US"/>
        </w:rPr>
        <w:t xml:space="preserve"> </w:t>
      </w:r>
      <w:r w:rsidR="002623F7">
        <w:rPr>
          <w:lang w:val="en-US"/>
        </w:rPr>
        <w:t>was</w:t>
      </w:r>
      <w:r w:rsidR="00991DB5" w:rsidRPr="00970D30">
        <w:rPr>
          <w:lang w:val="en-US"/>
        </w:rPr>
        <w:t xml:space="preserve"> classified as top secret and </w:t>
      </w:r>
      <w:r w:rsidR="00090B15">
        <w:rPr>
          <w:lang w:val="en-US"/>
        </w:rPr>
        <w:t xml:space="preserve">the lawyer </w:t>
      </w:r>
      <w:r w:rsidR="00991DB5" w:rsidRPr="00970D30">
        <w:rPr>
          <w:lang w:val="en-US"/>
        </w:rPr>
        <w:t>require</w:t>
      </w:r>
      <w:r w:rsidR="002623F7">
        <w:rPr>
          <w:lang w:val="en-US"/>
        </w:rPr>
        <w:t>d</w:t>
      </w:r>
      <w:r w:rsidR="00991DB5" w:rsidRPr="00970D30">
        <w:rPr>
          <w:lang w:val="en-US"/>
        </w:rPr>
        <w:t xml:space="preserve"> a duly issued </w:t>
      </w:r>
      <w:r>
        <w:rPr>
          <w:lang w:val="en-US"/>
        </w:rPr>
        <w:t>security clearance</w:t>
      </w:r>
      <w:r w:rsidR="00991DB5" w:rsidRPr="00970D30">
        <w:rPr>
          <w:lang w:val="en-US"/>
        </w:rPr>
        <w:t>.</w:t>
      </w:r>
      <w:r w:rsidR="00213A07">
        <w:rPr>
          <w:lang w:val="en-US"/>
        </w:rPr>
        <w:t xml:space="preserve"> </w:t>
      </w:r>
      <w:r w:rsidR="00B0537F">
        <w:rPr>
          <w:lang w:val="en-US"/>
        </w:rPr>
        <w:t>O</w:t>
      </w:r>
      <w:r w:rsidRPr="00970D30">
        <w:rPr>
          <w:lang w:val="en-US"/>
        </w:rPr>
        <w:t>nly later</w:t>
      </w:r>
      <w:r w:rsidR="00F10B34">
        <w:rPr>
          <w:lang w:val="en-US"/>
        </w:rPr>
        <w:t xml:space="preserve"> were the author’s</w:t>
      </w:r>
      <w:r w:rsidRPr="00970D30">
        <w:rPr>
          <w:lang w:val="en-US"/>
        </w:rPr>
        <w:t xml:space="preserve"> </w:t>
      </w:r>
      <w:r w:rsidR="00EC7149">
        <w:rPr>
          <w:lang w:val="en-US"/>
        </w:rPr>
        <w:t>own</w:t>
      </w:r>
      <w:r w:rsidR="00EC7149" w:rsidRPr="00970D30">
        <w:rPr>
          <w:lang w:val="en-US"/>
        </w:rPr>
        <w:t xml:space="preserve"> </w:t>
      </w:r>
      <w:r w:rsidRPr="00970D30">
        <w:rPr>
          <w:lang w:val="en-US"/>
        </w:rPr>
        <w:t>lawyers, in particular B., allowed to participate in some parts of the proceedings</w:t>
      </w:r>
      <w:r w:rsidR="00821AF3">
        <w:rPr>
          <w:lang w:val="en-US"/>
        </w:rPr>
        <w:t>.</w:t>
      </w:r>
      <w:r>
        <w:rPr>
          <w:rStyle w:val="FootnoteReference"/>
          <w:lang w:val="en-US"/>
        </w:rPr>
        <w:footnoteReference w:id="5"/>
      </w:r>
      <w:r w:rsidRPr="00970D30">
        <w:rPr>
          <w:lang w:val="en-US"/>
        </w:rPr>
        <w:t xml:space="preserve"> </w:t>
      </w:r>
    </w:p>
    <w:p w14:paraId="1EB70C92" w14:textId="77777777" w:rsidR="00991DB5" w:rsidRPr="00970D30" w:rsidRDefault="00991DB5" w:rsidP="00641579">
      <w:pPr>
        <w:pStyle w:val="SingleTxtG"/>
        <w:rPr>
          <w:lang w:val="en-US"/>
        </w:rPr>
      </w:pPr>
      <w:r w:rsidRPr="00641579">
        <w:rPr>
          <w:lang w:val="en-US"/>
        </w:rPr>
        <w:t>2.</w:t>
      </w:r>
      <w:r w:rsidR="00890DBE" w:rsidRPr="00641579">
        <w:rPr>
          <w:lang w:val="en-US"/>
        </w:rPr>
        <w:t>8</w:t>
      </w:r>
      <w:r w:rsidR="00890DBE" w:rsidRPr="00641579">
        <w:rPr>
          <w:lang w:val="en-US"/>
        </w:rPr>
        <w:tab/>
      </w:r>
      <w:r w:rsidRPr="00641579">
        <w:rPr>
          <w:lang w:val="en-US"/>
        </w:rPr>
        <w:t xml:space="preserve">On 11 July 2009, the </w:t>
      </w:r>
      <w:r w:rsidR="00F10B34" w:rsidRPr="00641579">
        <w:rPr>
          <w:lang w:val="en-US"/>
        </w:rPr>
        <w:t xml:space="preserve">Akmola </w:t>
      </w:r>
      <w:r w:rsidR="002623F7" w:rsidRPr="00641579">
        <w:rPr>
          <w:lang w:val="en-US"/>
        </w:rPr>
        <w:t xml:space="preserve">military court </w:t>
      </w:r>
      <w:r w:rsidRPr="00641579">
        <w:rPr>
          <w:lang w:val="en-US"/>
        </w:rPr>
        <w:t>extended the author’s detention</w:t>
      </w:r>
      <w:r w:rsidR="00B44892" w:rsidRPr="00641579">
        <w:rPr>
          <w:lang w:val="en-US"/>
        </w:rPr>
        <w:t xml:space="preserve"> </w:t>
      </w:r>
      <w:r w:rsidRPr="00641579">
        <w:rPr>
          <w:lang w:val="en-US"/>
        </w:rPr>
        <w:t>until 21</w:t>
      </w:r>
      <w:r w:rsidRPr="00970D30">
        <w:rPr>
          <w:lang w:val="en-US"/>
        </w:rPr>
        <w:t xml:space="preserve"> August 2009. </w:t>
      </w:r>
      <w:r w:rsidR="00B44892">
        <w:rPr>
          <w:lang w:val="en-US"/>
        </w:rPr>
        <w:t>During th</w:t>
      </w:r>
      <w:r w:rsidR="00F10B34">
        <w:rPr>
          <w:lang w:val="en-US"/>
        </w:rPr>
        <w:t>at</w:t>
      </w:r>
      <w:r w:rsidRPr="00970D30">
        <w:rPr>
          <w:lang w:val="en-US"/>
        </w:rPr>
        <w:t xml:space="preserve"> period, the author’s private lawyers, D.K. and B., were harassed by the Kazakh authorities</w:t>
      </w:r>
      <w:r w:rsidR="00B44892">
        <w:rPr>
          <w:lang w:val="en-US"/>
        </w:rPr>
        <w:t xml:space="preserve">. The </w:t>
      </w:r>
      <w:r w:rsidR="00F10B34">
        <w:rPr>
          <w:lang w:val="en-US"/>
        </w:rPr>
        <w:t xml:space="preserve">National Security Committee </w:t>
      </w:r>
      <w:r w:rsidR="00B44892">
        <w:rPr>
          <w:lang w:val="en-US"/>
        </w:rPr>
        <w:t>complained to thei</w:t>
      </w:r>
      <w:r w:rsidRPr="00970D30">
        <w:rPr>
          <w:lang w:val="en-US"/>
        </w:rPr>
        <w:t xml:space="preserve">r respective </w:t>
      </w:r>
      <w:r w:rsidR="00F10B34">
        <w:rPr>
          <w:lang w:val="en-US"/>
        </w:rPr>
        <w:t>b</w:t>
      </w:r>
      <w:r w:rsidRPr="00970D30">
        <w:rPr>
          <w:lang w:val="en-US"/>
        </w:rPr>
        <w:t xml:space="preserve">ar </w:t>
      </w:r>
      <w:r w:rsidR="00F10B34">
        <w:rPr>
          <w:lang w:val="en-US"/>
        </w:rPr>
        <w:t>a</w:t>
      </w:r>
      <w:r w:rsidRPr="00970D30">
        <w:rPr>
          <w:lang w:val="en-US"/>
        </w:rPr>
        <w:t>ssociations</w:t>
      </w:r>
      <w:r w:rsidR="00F10B34">
        <w:rPr>
          <w:lang w:val="en-US"/>
        </w:rPr>
        <w:t>,</w:t>
      </w:r>
      <w:r w:rsidR="00B44892">
        <w:rPr>
          <w:lang w:val="en-US"/>
        </w:rPr>
        <w:t xml:space="preserve"> ask</w:t>
      </w:r>
      <w:r w:rsidR="00F10B34">
        <w:rPr>
          <w:lang w:val="en-US"/>
        </w:rPr>
        <w:t xml:space="preserve">ing </w:t>
      </w:r>
      <w:r w:rsidR="00090B15">
        <w:rPr>
          <w:lang w:val="en-US"/>
        </w:rPr>
        <w:t xml:space="preserve">that </w:t>
      </w:r>
      <w:r w:rsidR="00B44892">
        <w:rPr>
          <w:lang w:val="en-US"/>
        </w:rPr>
        <w:t>the</w:t>
      </w:r>
      <w:r w:rsidR="00F10B34">
        <w:rPr>
          <w:lang w:val="en-US"/>
        </w:rPr>
        <w:t xml:space="preserve"> lawyers’</w:t>
      </w:r>
      <w:r w:rsidR="00B44892" w:rsidRPr="00970D30">
        <w:rPr>
          <w:lang w:val="en-US"/>
        </w:rPr>
        <w:t xml:space="preserve"> licen</w:t>
      </w:r>
      <w:r w:rsidR="00090B15">
        <w:rPr>
          <w:lang w:val="en-US"/>
        </w:rPr>
        <w:t>c</w:t>
      </w:r>
      <w:r w:rsidR="00B44892" w:rsidRPr="00970D30">
        <w:rPr>
          <w:lang w:val="en-US"/>
        </w:rPr>
        <w:t>es</w:t>
      </w:r>
      <w:r w:rsidRPr="00970D30">
        <w:rPr>
          <w:lang w:val="en-US"/>
        </w:rPr>
        <w:t xml:space="preserve"> to practice </w:t>
      </w:r>
      <w:r w:rsidR="00B44892">
        <w:rPr>
          <w:lang w:val="en-US"/>
        </w:rPr>
        <w:t>law</w:t>
      </w:r>
      <w:r w:rsidR="00641579">
        <w:rPr>
          <w:lang w:val="en-US"/>
        </w:rPr>
        <w:t xml:space="preserve"> be withdrawn</w:t>
      </w:r>
      <w:r w:rsidRPr="00970D30">
        <w:rPr>
          <w:lang w:val="en-US"/>
        </w:rPr>
        <w:t xml:space="preserve">. </w:t>
      </w:r>
      <w:r w:rsidR="00537748">
        <w:rPr>
          <w:lang w:val="en-US"/>
        </w:rPr>
        <w:t xml:space="preserve">Both complaints were rejected by the </w:t>
      </w:r>
      <w:r w:rsidR="00F10B34">
        <w:rPr>
          <w:lang w:val="en-US"/>
        </w:rPr>
        <w:t>b</w:t>
      </w:r>
      <w:r w:rsidR="00537748">
        <w:rPr>
          <w:lang w:val="en-US"/>
        </w:rPr>
        <w:t xml:space="preserve">ar </w:t>
      </w:r>
      <w:r w:rsidR="00F10B34">
        <w:rPr>
          <w:lang w:val="en-US"/>
        </w:rPr>
        <w:t>a</w:t>
      </w:r>
      <w:r w:rsidR="00537748">
        <w:rPr>
          <w:lang w:val="en-US"/>
        </w:rPr>
        <w:t xml:space="preserve">ssociations. </w:t>
      </w:r>
    </w:p>
    <w:p w14:paraId="6F6A07F7" w14:textId="77777777" w:rsidR="00537748" w:rsidRDefault="00991DB5">
      <w:pPr>
        <w:pStyle w:val="SingleTxtG"/>
        <w:rPr>
          <w:lang w:val="en-US"/>
        </w:rPr>
      </w:pPr>
      <w:r w:rsidRPr="00970D30">
        <w:rPr>
          <w:lang w:val="en-US"/>
        </w:rPr>
        <w:t>2.</w:t>
      </w:r>
      <w:r w:rsidR="00213A07">
        <w:rPr>
          <w:lang w:val="en-US"/>
        </w:rPr>
        <w:t>9</w:t>
      </w:r>
      <w:r w:rsidR="00B44892">
        <w:rPr>
          <w:lang w:val="en-US"/>
        </w:rPr>
        <w:tab/>
      </w:r>
      <w:r w:rsidRPr="00970D30">
        <w:rPr>
          <w:lang w:val="en-US"/>
        </w:rPr>
        <w:t>On 11 August 2009, the author was</w:t>
      </w:r>
      <w:r w:rsidR="0003055D">
        <w:rPr>
          <w:lang w:val="en-US"/>
        </w:rPr>
        <w:t xml:space="preserve"> formally</w:t>
      </w:r>
      <w:r w:rsidRPr="00970D30">
        <w:rPr>
          <w:lang w:val="en-US"/>
        </w:rPr>
        <w:t xml:space="preserve"> charged with fraud relating to </w:t>
      </w:r>
      <w:r w:rsidR="00F72EED">
        <w:rPr>
          <w:lang w:val="en-US"/>
        </w:rPr>
        <w:t xml:space="preserve">the </w:t>
      </w:r>
      <w:r w:rsidRPr="00970D30">
        <w:rPr>
          <w:lang w:val="en-US"/>
        </w:rPr>
        <w:t xml:space="preserve">uranium deposits </w:t>
      </w:r>
      <w:r w:rsidR="00B44892">
        <w:rPr>
          <w:lang w:val="en-US"/>
        </w:rPr>
        <w:t>of</w:t>
      </w:r>
      <w:r w:rsidRPr="00970D30">
        <w:rPr>
          <w:lang w:val="en-US"/>
        </w:rPr>
        <w:t xml:space="preserve"> Kazakhstan, embezzlement of Kaz</w:t>
      </w:r>
      <w:r w:rsidR="00F72EED">
        <w:rPr>
          <w:lang w:val="en-US"/>
        </w:rPr>
        <w:t>a</w:t>
      </w:r>
      <w:r w:rsidRPr="00970D30">
        <w:rPr>
          <w:lang w:val="en-US"/>
        </w:rPr>
        <w:t>tom</w:t>
      </w:r>
      <w:r w:rsidR="00F72EED">
        <w:rPr>
          <w:lang w:val="en-US"/>
        </w:rPr>
        <w:t>p</w:t>
      </w:r>
      <w:r w:rsidRPr="00970D30">
        <w:rPr>
          <w:lang w:val="en-US"/>
        </w:rPr>
        <w:t xml:space="preserve">rom </w:t>
      </w:r>
      <w:r w:rsidR="00B44892">
        <w:rPr>
          <w:lang w:val="en-US"/>
        </w:rPr>
        <w:t xml:space="preserve">funds </w:t>
      </w:r>
      <w:r w:rsidRPr="00970D30">
        <w:rPr>
          <w:lang w:val="en-US"/>
        </w:rPr>
        <w:t>and recei</w:t>
      </w:r>
      <w:r w:rsidR="00F72EED">
        <w:rPr>
          <w:lang w:val="en-US"/>
        </w:rPr>
        <w:t>pt of</w:t>
      </w:r>
      <w:r w:rsidRPr="00970D30">
        <w:rPr>
          <w:lang w:val="en-US"/>
        </w:rPr>
        <w:t xml:space="preserve"> bribes.</w:t>
      </w:r>
      <w:r w:rsidRPr="00970D30">
        <w:rPr>
          <w:rStyle w:val="FootnoteReference"/>
          <w:sz w:val="20"/>
          <w:lang w:val="en-US"/>
        </w:rPr>
        <w:footnoteReference w:id="6"/>
      </w:r>
      <w:r w:rsidR="00B44892">
        <w:rPr>
          <w:lang w:val="en-US"/>
        </w:rPr>
        <w:t xml:space="preserve"> </w:t>
      </w:r>
      <w:r w:rsidR="00537748">
        <w:rPr>
          <w:lang w:val="en-US"/>
        </w:rPr>
        <w:t>The author submits that he</w:t>
      </w:r>
      <w:r w:rsidRPr="00970D30">
        <w:rPr>
          <w:lang w:val="en-US"/>
        </w:rPr>
        <w:t xml:space="preserve"> did not have access to case materials</w:t>
      </w:r>
      <w:r w:rsidRPr="00970D30">
        <w:rPr>
          <w:rStyle w:val="FootnoteReference"/>
          <w:sz w:val="20"/>
          <w:lang w:val="en-US"/>
        </w:rPr>
        <w:footnoteReference w:id="7"/>
      </w:r>
      <w:r w:rsidRPr="00970D30">
        <w:rPr>
          <w:lang w:val="en-US"/>
        </w:rPr>
        <w:t xml:space="preserve"> and </w:t>
      </w:r>
      <w:r w:rsidR="00F72EED">
        <w:rPr>
          <w:lang w:val="en-US"/>
        </w:rPr>
        <w:t xml:space="preserve">that </w:t>
      </w:r>
      <w:r w:rsidRPr="00970D30">
        <w:rPr>
          <w:lang w:val="en-US"/>
        </w:rPr>
        <w:t xml:space="preserve">he could not hold confidential meetings with his private lawyer, </w:t>
      </w:r>
      <w:r w:rsidR="00537748">
        <w:rPr>
          <w:lang w:val="en-US"/>
        </w:rPr>
        <w:t xml:space="preserve">B., </w:t>
      </w:r>
      <w:r w:rsidR="00537748" w:rsidRPr="00EC7149">
        <w:rPr>
          <w:lang w:val="en-US"/>
        </w:rPr>
        <w:t xml:space="preserve">despite </w:t>
      </w:r>
      <w:r w:rsidR="00F72EED">
        <w:rPr>
          <w:lang w:val="en-US"/>
        </w:rPr>
        <w:t xml:space="preserve">the latter’s </w:t>
      </w:r>
      <w:r w:rsidR="00537748">
        <w:rPr>
          <w:lang w:val="en-US"/>
        </w:rPr>
        <w:t>requests</w:t>
      </w:r>
      <w:r w:rsidR="00F72EED">
        <w:rPr>
          <w:lang w:val="en-US"/>
        </w:rPr>
        <w:t xml:space="preserve"> for such meetings</w:t>
      </w:r>
      <w:r w:rsidR="00537748">
        <w:rPr>
          <w:lang w:val="en-US"/>
        </w:rPr>
        <w:t xml:space="preserve">. </w:t>
      </w:r>
      <w:r w:rsidR="00F72EED">
        <w:rPr>
          <w:lang w:val="en-US"/>
        </w:rPr>
        <w:t xml:space="preserve">In addition, </w:t>
      </w:r>
      <w:r w:rsidR="00537748">
        <w:rPr>
          <w:lang w:val="en-US"/>
        </w:rPr>
        <w:t xml:space="preserve">B. </w:t>
      </w:r>
      <w:r w:rsidR="00F72EED">
        <w:rPr>
          <w:lang w:val="en-US"/>
        </w:rPr>
        <w:t xml:space="preserve">had </w:t>
      </w:r>
      <w:r w:rsidR="00537748">
        <w:rPr>
          <w:lang w:val="en-US"/>
        </w:rPr>
        <w:t xml:space="preserve">prepared the author’s position on </w:t>
      </w:r>
      <w:r w:rsidR="00F72EED">
        <w:rPr>
          <w:lang w:val="en-US"/>
        </w:rPr>
        <w:t xml:space="preserve">the </w:t>
      </w:r>
      <w:r w:rsidR="00537748">
        <w:rPr>
          <w:lang w:val="en-US"/>
        </w:rPr>
        <w:t>charges</w:t>
      </w:r>
      <w:r w:rsidR="00F72EED">
        <w:rPr>
          <w:lang w:val="en-US"/>
        </w:rPr>
        <w:t xml:space="preserve">, </w:t>
      </w:r>
      <w:r w:rsidR="00537748">
        <w:rPr>
          <w:lang w:val="en-US"/>
        </w:rPr>
        <w:t xml:space="preserve">to </w:t>
      </w:r>
      <w:r w:rsidR="00F72EED">
        <w:rPr>
          <w:lang w:val="en-US"/>
        </w:rPr>
        <w:t xml:space="preserve">be </w:t>
      </w:r>
      <w:r w:rsidR="00537748">
        <w:rPr>
          <w:lang w:val="en-US"/>
        </w:rPr>
        <w:t>submit</w:t>
      </w:r>
      <w:r w:rsidR="00F72EED">
        <w:rPr>
          <w:lang w:val="en-US"/>
        </w:rPr>
        <w:t>ted</w:t>
      </w:r>
      <w:r w:rsidR="00537748">
        <w:rPr>
          <w:lang w:val="en-US"/>
        </w:rPr>
        <w:t xml:space="preserve"> as part of the criminal case file, but the lawyer’s request was rejected. </w:t>
      </w:r>
      <w:r w:rsidR="00805349">
        <w:rPr>
          <w:lang w:val="en-US"/>
        </w:rPr>
        <w:t xml:space="preserve">Furthermore, </w:t>
      </w:r>
      <w:r w:rsidR="00F72EED">
        <w:rPr>
          <w:lang w:val="en-US"/>
        </w:rPr>
        <w:t xml:space="preserve">both of the author’s </w:t>
      </w:r>
      <w:r w:rsidR="00805349">
        <w:rPr>
          <w:lang w:val="en-US"/>
        </w:rPr>
        <w:t xml:space="preserve">lawyers were prohibited from bringing documents relevant to </w:t>
      </w:r>
      <w:r w:rsidR="00F72EED">
        <w:rPr>
          <w:lang w:val="en-US"/>
        </w:rPr>
        <w:t xml:space="preserve">the </w:t>
      </w:r>
      <w:r w:rsidR="00805349">
        <w:rPr>
          <w:lang w:val="en-US"/>
        </w:rPr>
        <w:t>case to the pretrial detention cent</w:t>
      </w:r>
      <w:r w:rsidR="00F72EED">
        <w:rPr>
          <w:lang w:val="en-US"/>
        </w:rPr>
        <w:t>re</w:t>
      </w:r>
      <w:r w:rsidR="00805349">
        <w:rPr>
          <w:lang w:val="en-US"/>
        </w:rPr>
        <w:t xml:space="preserve">. </w:t>
      </w:r>
    </w:p>
    <w:p w14:paraId="51C08125" w14:textId="77777777" w:rsidR="00991DB5" w:rsidRDefault="00213A07" w:rsidP="00747E18">
      <w:pPr>
        <w:pStyle w:val="SingleTxtG"/>
        <w:rPr>
          <w:lang w:val="en-US"/>
        </w:rPr>
      </w:pPr>
      <w:r>
        <w:rPr>
          <w:lang w:val="en-US"/>
        </w:rPr>
        <w:t>2.10</w:t>
      </w:r>
      <w:r w:rsidR="00537748">
        <w:rPr>
          <w:lang w:val="en-US"/>
        </w:rPr>
        <w:tab/>
      </w:r>
      <w:r w:rsidR="00B0537F">
        <w:rPr>
          <w:lang w:val="en-US"/>
        </w:rPr>
        <w:t>O</w:t>
      </w:r>
      <w:r w:rsidR="00991DB5" w:rsidRPr="00970D30">
        <w:rPr>
          <w:lang w:val="en-US"/>
        </w:rPr>
        <w:t xml:space="preserve">n 14 August 2009, the </w:t>
      </w:r>
      <w:r w:rsidR="00412B9A">
        <w:rPr>
          <w:lang w:val="en-US"/>
        </w:rPr>
        <w:t xml:space="preserve">National Security Committee </w:t>
      </w:r>
      <w:r w:rsidR="00991DB5" w:rsidRPr="00970D30">
        <w:rPr>
          <w:lang w:val="en-US"/>
        </w:rPr>
        <w:t xml:space="preserve">informed </w:t>
      </w:r>
      <w:r w:rsidR="00412B9A">
        <w:rPr>
          <w:lang w:val="en-US"/>
        </w:rPr>
        <w:t>the author</w:t>
      </w:r>
      <w:r w:rsidR="00412B9A" w:rsidRPr="00970D30">
        <w:rPr>
          <w:lang w:val="en-US"/>
        </w:rPr>
        <w:t xml:space="preserve"> </w:t>
      </w:r>
      <w:r w:rsidR="00991DB5" w:rsidRPr="00970D30">
        <w:rPr>
          <w:lang w:val="en-US"/>
        </w:rPr>
        <w:t xml:space="preserve">that the preliminary investigation </w:t>
      </w:r>
      <w:r w:rsidR="00537748">
        <w:rPr>
          <w:lang w:val="en-US"/>
        </w:rPr>
        <w:t>had been completed</w:t>
      </w:r>
      <w:r w:rsidR="00991DB5" w:rsidRPr="00970D30">
        <w:rPr>
          <w:lang w:val="en-US"/>
        </w:rPr>
        <w:t>.</w:t>
      </w:r>
      <w:r w:rsidR="00537748">
        <w:rPr>
          <w:lang w:val="en-US"/>
        </w:rPr>
        <w:t xml:space="preserve"> </w:t>
      </w:r>
      <w:r w:rsidR="00B0537F">
        <w:rPr>
          <w:lang w:val="en-US"/>
        </w:rPr>
        <w:t>C</w:t>
      </w:r>
      <w:r w:rsidR="00537748">
        <w:rPr>
          <w:lang w:val="en-US"/>
        </w:rPr>
        <w:t xml:space="preserve">ontrary to the provisions of the </w:t>
      </w:r>
      <w:r w:rsidR="00412B9A">
        <w:rPr>
          <w:lang w:val="en-US"/>
        </w:rPr>
        <w:t xml:space="preserve">Code of </w:t>
      </w:r>
      <w:r w:rsidR="00537748">
        <w:rPr>
          <w:lang w:val="en-US"/>
        </w:rPr>
        <w:t xml:space="preserve">Criminal Procedure, </w:t>
      </w:r>
      <w:r w:rsidR="00747E18">
        <w:rPr>
          <w:lang w:val="en-US"/>
        </w:rPr>
        <w:t xml:space="preserve">the author </w:t>
      </w:r>
      <w:r w:rsidR="00537748">
        <w:rPr>
          <w:lang w:val="en-US"/>
        </w:rPr>
        <w:t xml:space="preserve">and his </w:t>
      </w:r>
      <w:r w:rsidR="00C70DB2">
        <w:rPr>
          <w:lang w:val="en-US"/>
        </w:rPr>
        <w:t xml:space="preserve">privately retained </w:t>
      </w:r>
      <w:r w:rsidR="00537748">
        <w:rPr>
          <w:lang w:val="en-US"/>
        </w:rPr>
        <w:t xml:space="preserve">lawyers were not afforded enough time to prepare for trial. On 3 September 2009, the </w:t>
      </w:r>
      <w:r w:rsidR="00747E18">
        <w:rPr>
          <w:lang w:val="en-US"/>
        </w:rPr>
        <w:t xml:space="preserve">National Security </w:t>
      </w:r>
      <w:r w:rsidR="00412B9A">
        <w:rPr>
          <w:lang w:val="en-US"/>
        </w:rPr>
        <w:t xml:space="preserve">Committee </w:t>
      </w:r>
      <w:r w:rsidR="00537748">
        <w:rPr>
          <w:lang w:val="en-US"/>
        </w:rPr>
        <w:t xml:space="preserve">issued a ruling </w:t>
      </w:r>
      <w:r w:rsidR="00412B9A">
        <w:rPr>
          <w:lang w:val="en-US"/>
        </w:rPr>
        <w:t>giving</w:t>
      </w:r>
      <w:r w:rsidR="00537748">
        <w:rPr>
          <w:lang w:val="en-US"/>
        </w:rPr>
        <w:t xml:space="preserve"> the author and </w:t>
      </w:r>
      <w:r w:rsidR="00412B9A">
        <w:rPr>
          <w:lang w:val="en-US"/>
        </w:rPr>
        <w:t xml:space="preserve">his </w:t>
      </w:r>
      <w:r w:rsidR="00537748">
        <w:rPr>
          <w:lang w:val="en-US"/>
        </w:rPr>
        <w:t xml:space="preserve">counsel only until 16 September to study the materials </w:t>
      </w:r>
      <w:r w:rsidR="00412B9A">
        <w:rPr>
          <w:lang w:val="en-US"/>
        </w:rPr>
        <w:t xml:space="preserve">in </w:t>
      </w:r>
      <w:r w:rsidR="00537748">
        <w:rPr>
          <w:lang w:val="en-US"/>
        </w:rPr>
        <w:t xml:space="preserve">the case file. The </w:t>
      </w:r>
      <w:r w:rsidR="00412B9A">
        <w:rPr>
          <w:lang w:val="en-US"/>
        </w:rPr>
        <w:t xml:space="preserve">Code of </w:t>
      </w:r>
      <w:r w:rsidR="00537748">
        <w:rPr>
          <w:lang w:val="en-US"/>
        </w:rPr>
        <w:t xml:space="preserve">Criminal Procedure sets no such time limit. </w:t>
      </w:r>
      <w:r w:rsidR="00CD6EEF">
        <w:rPr>
          <w:lang w:val="en-US"/>
        </w:rPr>
        <w:t>The author and his</w:t>
      </w:r>
      <w:r w:rsidR="00C70DB2">
        <w:rPr>
          <w:lang w:val="en-US"/>
        </w:rPr>
        <w:t xml:space="preserve"> private</w:t>
      </w:r>
      <w:r w:rsidR="00CD6EEF">
        <w:rPr>
          <w:lang w:val="en-US"/>
        </w:rPr>
        <w:t xml:space="preserve"> lawyers </w:t>
      </w:r>
      <w:r w:rsidR="00836CBF">
        <w:rPr>
          <w:lang w:val="en-US"/>
        </w:rPr>
        <w:t>could not make</w:t>
      </w:r>
      <w:r w:rsidR="00CD6EEF">
        <w:rPr>
          <w:lang w:val="en-US"/>
        </w:rPr>
        <w:t xml:space="preserve"> copies of</w:t>
      </w:r>
      <w:r w:rsidR="00836CBF">
        <w:rPr>
          <w:lang w:val="en-US"/>
        </w:rPr>
        <w:t xml:space="preserve"> any documents in</w:t>
      </w:r>
      <w:r w:rsidR="00CD6EEF">
        <w:rPr>
          <w:lang w:val="en-US"/>
        </w:rPr>
        <w:t xml:space="preserve"> the case file, despite </w:t>
      </w:r>
      <w:r w:rsidR="00412B9A">
        <w:rPr>
          <w:lang w:val="en-US"/>
        </w:rPr>
        <w:t xml:space="preserve">having </w:t>
      </w:r>
      <w:r w:rsidR="00CD6EEF">
        <w:rPr>
          <w:lang w:val="en-US"/>
        </w:rPr>
        <w:t>request</w:t>
      </w:r>
      <w:r w:rsidR="00412B9A">
        <w:rPr>
          <w:lang w:val="en-US"/>
        </w:rPr>
        <w:t>ed to do so</w:t>
      </w:r>
      <w:r w:rsidR="00821AF3">
        <w:rPr>
          <w:lang w:val="en-US"/>
        </w:rPr>
        <w:t>.</w:t>
      </w:r>
      <w:r w:rsidR="00CD6EEF">
        <w:rPr>
          <w:rStyle w:val="FootnoteReference"/>
          <w:lang w:val="en-US"/>
        </w:rPr>
        <w:footnoteReference w:id="8"/>
      </w:r>
      <w:r w:rsidR="00CD6EEF">
        <w:rPr>
          <w:lang w:val="en-US"/>
        </w:rPr>
        <w:t xml:space="preserve"> The investigators denied these requests </w:t>
      </w:r>
      <w:r w:rsidR="00747E18">
        <w:rPr>
          <w:lang w:val="en-US"/>
        </w:rPr>
        <w:t>because</w:t>
      </w:r>
      <w:r w:rsidR="00CD6EEF">
        <w:rPr>
          <w:lang w:val="en-US"/>
        </w:rPr>
        <w:t xml:space="preserve"> the documents were “classified”</w:t>
      </w:r>
      <w:r w:rsidR="00821AF3">
        <w:rPr>
          <w:lang w:val="en-US"/>
        </w:rPr>
        <w:t>.</w:t>
      </w:r>
      <w:r w:rsidR="00CD6EEF">
        <w:rPr>
          <w:rStyle w:val="FootnoteReference"/>
          <w:lang w:val="en-US"/>
        </w:rPr>
        <w:footnoteReference w:id="9"/>
      </w:r>
      <w:r w:rsidR="00CD6EEF">
        <w:rPr>
          <w:lang w:val="en-US"/>
        </w:rPr>
        <w:t xml:space="preserve"> </w:t>
      </w:r>
    </w:p>
    <w:p w14:paraId="6127505E" w14:textId="77777777" w:rsidR="00991DB5" w:rsidRPr="00970D30" w:rsidRDefault="00991DB5" w:rsidP="004164BB">
      <w:pPr>
        <w:pStyle w:val="SingleTxtG"/>
        <w:rPr>
          <w:lang w:val="en-US"/>
        </w:rPr>
      </w:pPr>
      <w:r w:rsidRPr="00970D30">
        <w:rPr>
          <w:lang w:val="en-US"/>
        </w:rPr>
        <w:t>2.</w:t>
      </w:r>
      <w:r w:rsidR="00CD6EEF">
        <w:rPr>
          <w:lang w:val="en-US"/>
        </w:rPr>
        <w:t>1</w:t>
      </w:r>
      <w:r w:rsidR="00213A07">
        <w:rPr>
          <w:lang w:val="en-US"/>
        </w:rPr>
        <w:t>1</w:t>
      </w:r>
      <w:r w:rsidR="00CD6EEF">
        <w:rPr>
          <w:lang w:val="en-US"/>
        </w:rPr>
        <w:tab/>
      </w:r>
      <w:r w:rsidR="00B0537F">
        <w:rPr>
          <w:lang w:val="en-US"/>
        </w:rPr>
        <w:t>F</w:t>
      </w:r>
      <w:r w:rsidRPr="00970D30">
        <w:rPr>
          <w:lang w:val="en-US"/>
        </w:rPr>
        <w:t xml:space="preserve">rom 25 August to 10 September 2009, </w:t>
      </w:r>
      <w:r w:rsidR="004A2A26">
        <w:rPr>
          <w:lang w:val="en-US"/>
        </w:rPr>
        <w:t>the author</w:t>
      </w:r>
      <w:r w:rsidR="004A2A26" w:rsidRPr="00970D30">
        <w:rPr>
          <w:lang w:val="en-US"/>
        </w:rPr>
        <w:t xml:space="preserve"> </w:t>
      </w:r>
      <w:r w:rsidRPr="00970D30">
        <w:rPr>
          <w:lang w:val="en-US"/>
        </w:rPr>
        <w:t>was</w:t>
      </w:r>
      <w:r w:rsidR="00CD6EEF">
        <w:rPr>
          <w:lang w:val="en-US"/>
        </w:rPr>
        <w:t xml:space="preserve"> held incommunicado for 15 days, since the </w:t>
      </w:r>
      <w:r w:rsidR="004A2A26">
        <w:rPr>
          <w:lang w:val="en-US"/>
        </w:rPr>
        <w:t xml:space="preserve">National Security Committee </w:t>
      </w:r>
      <w:r w:rsidR="004164BB">
        <w:rPr>
          <w:lang w:val="en-US"/>
        </w:rPr>
        <w:t>did not allow him to have</w:t>
      </w:r>
      <w:r w:rsidR="004A2A26">
        <w:rPr>
          <w:lang w:val="en-US"/>
        </w:rPr>
        <w:t xml:space="preserve"> </w:t>
      </w:r>
      <w:r w:rsidR="00CD6EEF">
        <w:rPr>
          <w:lang w:val="en-US"/>
        </w:rPr>
        <w:t>access to B</w:t>
      </w:r>
      <w:r w:rsidR="00C70DB2">
        <w:rPr>
          <w:lang w:val="en-US"/>
        </w:rPr>
        <w:t xml:space="preserve">. and </w:t>
      </w:r>
      <w:r w:rsidR="004164BB">
        <w:rPr>
          <w:lang w:val="en-US"/>
        </w:rPr>
        <w:t xml:space="preserve">since </w:t>
      </w:r>
      <w:r w:rsidR="00C70DB2">
        <w:rPr>
          <w:lang w:val="en-US"/>
        </w:rPr>
        <w:t>he was denied meetings with his wife</w:t>
      </w:r>
      <w:r w:rsidR="00CD6EEF">
        <w:rPr>
          <w:lang w:val="en-US"/>
        </w:rPr>
        <w:t xml:space="preserve">. The author complained about this to the </w:t>
      </w:r>
      <w:r w:rsidR="00747E18">
        <w:rPr>
          <w:lang w:val="en-US"/>
        </w:rPr>
        <w:t xml:space="preserve">National Security </w:t>
      </w:r>
      <w:r w:rsidR="004A2A26">
        <w:rPr>
          <w:lang w:val="en-US"/>
        </w:rPr>
        <w:t xml:space="preserve">Committee </w:t>
      </w:r>
      <w:r w:rsidR="00CD6EEF">
        <w:rPr>
          <w:lang w:val="en-US"/>
        </w:rPr>
        <w:t xml:space="preserve">and the Prosecutor General’s Office, but his complaints were ignored. On 10 September 2009, he was finally allowed to have a very short meeting with B., but this was not a confidential meeting, contrary to the requirements of article 69 of the </w:t>
      </w:r>
      <w:r w:rsidR="004A2A26">
        <w:rPr>
          <w:lang w:val="en-US"/>
        </w:rPr>
        <w:t xml:space="preserve">Code of </w:t>
      </w:r>
      <w:r w:rsidR="00CD6EEF">
        <w:rPr>
          <w:lang w:val="en-US"/>
        </w:rPr>
        <w:t xml:space="preserve">Criminal Procedure. </w:t>
      </w:r>
      <w:r w:rsidR="009900DE">
        <w:rPr>
          <w:lang w:val="en-US"/>
        </w:rPr>
        <w:t xml:space="preserve">On 11, 14 and 16 September 2009, B’s request to meet with his client was denied by the </w:t>
      </w:r>
      <w:r w:rsidR="00747E18">
        <w:rPr>
          <w:lang w:val="en-US"/>
        </w:rPr>
        <w:t xml:space="preserve">National Security </w:t>
      </w:r>
      <w:r w:rsidR="004A2A26">
        <w:rPr>
          <w:lang w:val="en-US"/>
        </w:rPr>
        <w:t>Committee</w:t>
      </w:r>
      <w:r w:rsidR="00E60161">
        <w:rPr>
          <w:lang w:val="en-US"/>
        </w:rPr>
        <w:t>.</w:t>
      </w:r>
      <w:r w:rsidR="009900DE">
        <w:rPr>
          <w:rStyle w:val="FootnoteReference"/>
          <w:lang w:val="en-US"/>
        </w:rPr>
        <w:footnoteReference w:id="10"/>
      </w:r>
      <w:r w:rsidR="009900DE">
        <w:rPr>
          <w:lang w:val="en-US"/>
        </w:rPr>
        <w:t xml:space="preserve"> </w:t>
      </w:r>
    </w:p>
    <w:p w14:paraId="3C42FD84" w14:textId="77777777" w:rsidR="00991DB5" w:rsidRPr="00970D30" w:rsidRDefault="00991DB5">
      <w:pPr>
        <w:pStyle w:val="SingleTxtG"/>
        <w:rPr>
          <w:lang w:val="en-US"/>
        </w:rPr>
      </w:pPr>
      <w:r w:rsidRPr="00970D30">
        <w:rPr>
          <w:lang w:val="en-US"/>
        </w:rPr>
        <w:lastRenderedPageBreak/>
        <w:t>2.1</w:t>
      </w:r>
      <w:r w:rsidR="00213A07">
        <w:rPr>
          <w:lang w:val="en-US"/>
        </w:rPr>
        <w:t>2</w:t>
      </w:r>
      <w:r w:rsidR="009900DE">
        <w:rPr>
          <w:lang w:val="en-US"/>
        </w:rPr>
        <w:tab/>
      </w:r>
      <w:r w:rsidRPr="00970D30">
        <w:rPr>
          <w:lang w:val="en-US"/>
        </w:rPr>
        <w:t xml:space="preserve">On 21 September 2009, </w:t>
      </w:r>
      <w:r w:rsidR="009900DE">
        <w:rPr>
          <w:lang w:val="en-US"/>
        </w:rPr>
        <w:t xml:space="preserve">the </w:t>
      </w:r>
      <w:r w:rsidR="004A2A26">
        <w:rPr>
          <w:lang w:val="en-US"/>
        </w:rPr>
        <w:t xml:space="preserve">National Security Committee </w:t>
      </w:r>
      <w:r w:rsidR="009900DE">
        <w:rPr>
          <w:lang w:val="en-US"/>
        </w:rPr>
        <w:t xml:space="preserve">informed the author </w:t>
      </w:r>
      <w:r w:rsidRPr="00970D30">
        <w:rPr>
          <w:lang w:val="en-US"/>
        </w:rPr>
        <w:t xml:space="preserve">that a new </w:t>
      </w:r>
      <w:r w:rsidR="004A2A26">
        <w:rPr>
          <w:lang w:val="en-US"/>
        </w:rPr>
        <w:t>S</w:t>
      </w:r>
      <w:r w:rsidRPr="00970D30">
        <w:rPr>
          <w:lang w:val="en-US"/>
        </w:rPr>
        <w:t xml:space="preserve">tate-appointed lawyer </w:t>
      </w:r>
      <w:r w:rsidR="004A2A26">
        <w:rPr>
          <w:lang w:val="en-US"/>
        </w:rPr>
        <w:t xml:space="preserve">would </w:t>
      </w:r>
      <w:r w:rsidR="009900DE">
        <w:rPr>
          <w:lang w:val="en-US"/>
        </w:rPr>
        <w:t xml:space="preserve">be joining </w:t>
      </w:r>
      <w:r w:rsidRPr="00970D30">
        <w:rPr>
          <w:lang w:val="en-US"/>
        </w:rPr>
        <w:t>the case</w:t>
      </w:r>
      <w:r w:rsidR="009900DE">
        <w:rPr>
          <w:lang w:val="en-US"/>
        </w:rPr>
        <w:t xml:space="preserve"> to defend him</w:t>
      </w:r>
      <w:r w:rsidRPr="00970D30">
        <w:rPr>
          <w:lang w:val="en-US"/>
        </w:rPr>
        <w:t xml:space="preserve">. </w:t>
      </w:r>
      <w:r w:rsidR="00213A07">
        <w:rPr>
          <w:lang w:val="en-US"/>
        </w:rPr>
        <w:t>The author submits that he never requested such a lawyer</w:t>
      </w:r>
      <w:r w:rsidR="004A2A26">
        <w:rPr>
          <w:lang w:val="en-US"/>
        </w:rPr>
        <w:t xml:space="preserve"> and, o</w:t>
      </w:r>
      <w:r w:rsidRPr="00970D30">
        <w:rPr>
          <w:lang w:val="en-US"/>
        </w:rPr>
        <w:t>n 29 September 2009, complained</w:t>
      </w:r>
      <w:r w:rsidR="00213A07">
        <w:rPr>
          <w:lang w:val="en-US"/>
        </w:rPr>
        <w:t xml:space="preserve"> about this fact to</w:t>
      </w:r>
      <w:r w:rsidRPr="00970D30">
        <w:rPr>
          <w:lang w:val="en-US"/>
        </w:rPr>
        <w:t xml:space="preserve"> the Prosecutor General’s Office. On 2 October 2009, th</w:t>
      </w:r>
      <w:r w:rsidR="004A2A26">
        <w:rPr>
          <w:lang w:val="en-US"/>
        </w:rPr>
        <w:t>at</w:t>
      </w:r>
      <w:r w:rsidRPr="00970D30">
        <w:rPr>
          <w:lang w:val="en-US"/>
        </w:rPr>
        <w:t xml:space="preserve"> Office ordered the </w:t>
      </w:r>
      <w:r w:rsidR="00747E18">
        <w:rPr>
          <w:lang w:val="en-US"/>
        </w:rPr>
        <w:t xml:space="preserve">National Security </w:t>
      </w:r>
      <w:r w:rsidR="004A2A26">
        <w:rPr>
          <w:lang w:val="en-US"/>
        </w:rPr>
        <w:t>Committee</w:t>
      </w:r>
      <w:r w:rsidR="004A2A26" w:rsidRPr="00970D30">
        <w:rPr>
          <w:lang w:val="en-US"/>
        </w:rPr>
        <w:t xml:space="preserve"> </w:t>
      </w:r>
      <w:r w:rsidRPr="00970D30">
        <w:rPr>
          <w:lang w:val="en-US"/>
        </w:rPr>
        <w:t xml:space="preserve">to strictly follow the requirements of the </w:t>
      </w:r>
      <w:r w:rsidR="004A2A26">
        <w:rPr>
          <w:lang w:val="en-US"/>
        </w:rPr>
        <w:t>Code of</w:t>
      </w:r>
      <w:r w:rsidR="004A2A26" w:rsidRPr="00970D30">
        <w:rPr>
          <w:lang w:val="en-US"/>
        </w:rPr>
        <w:t xml:space="preserve"> </w:t>
      </w:r>
      <w:r w:rsidRPr="00970D30">
        <w:rPr>
          <w:lang w:val="en-US"/>
        </w:rPr>
        <w:t>Criminal</w:t>
      </w:r>
      <w:r w:rsidR="00213A07">
        <w:rPr>
          <w:lang w:val="en-US"/>
        </w:rPr>
        <w:t xml:space="preserve"> </w:t>
      </w:r>
      <w:r w:rsidRPr="00970D30">
        <w:rPr>
          <w:lang w:val="en-US"/>
        </w:rPr>
        <w:t>Procedur</w:t>
      </w:r>
      <w:r w:rsidR="00213A07">
        <w:rPr>
          <w:lang w:val="en-US"/>
        </w:rPr>
        <w:t>e</w:t>
      </w:r>
      <w:r w:rsidRPr="00970D30">
        <w:rPr>
          <w:lang w:val="en-US"/>
        </w:rPr>
        <w:t xml:space="preserve"> and to provide all criminal case materials to the author and his lawyer. </w:t>
      </w:r>
    </w:p>
    <w:p w14:paraId="710482D9" w14:textId="77777777" w:rsidR="00991DB5" w:rsidRPr="00970D30" w:rsidRDefault="00991DB5">
      <w:pPr>
        <w:pStyle w:val="SingleTxtG"/>
        <w:rPr>
          <w:lang w:val="en-US"/>
        </w:rPr>
      </w:pPr>
      <w:r w:rsidRPr="00970D30">
        <w:rPr>
          <w:lang w:val="en-US"/>
        </w:rPr>
        <w:t>2.1</w:t>
      </w:r>
      <w:r w:rsidR="00213A07">
        <w:rPr>
          <w:lang w:val="en-US"/>
        </w:rPr>
        <w:t>3</w:t>
      </w:r>
      <w:r w:rsidR="00213A07">
        <w:rPr>
          <w:lang w:val="en-US"/>
        </w:rPr>
        <w:tab/>
      </w:r>
      <w:r w:rsidRPr="00970D30">
        <w:rPr>
          <w:lang w:val="en-US"/>
        </w:rPr>
        <w:t xml:space="preserve">On 17 October 2009, the </w:t>
      </w:r>
      <w:r w:rsidR="004A2A26">
        <w:rPr>
          <w:lang w:val="en-US"/>
        </w:rPr>
        <w:t xml:space="preserve">National Security Committee </w:t>
      </w:r>
      <w:r w:rsidRPr="00970D30">
        <w:rPr>
          <w:lang w:val="en-US"/>
        </w:rPr>
        <w:t xml:space="preserve">informed the author that the preliminary investigation would be reopened </w:t>
      </w:r>
      <w:r w:rsidR="00213A07">
        <w:rPr>
          <w:lang w:val="en-US"/>
        </w:rPr>
        <w:t>under the</w:t>
      </w:r>
      <w:r w:rsidRPr="00970D30">
        <w:rPr>
          <w:lang w:val="en-US"/>
        </w:rPr>
        <w:t xml:space="preserve"> instruction from the </w:t>
      </w:r>
      <w:r w:rsidR="004A2A26">
        <w:rPr>
          <w:lang w:val="en-US"/>
        </w:rPr>
        <w:t xml:space="preserve">Office of the </w:t>
      </w:r>
      <w:r w:rsidRPr="00970D30">
        <w:rPr>
          <w:lang w:val="en-US"/>
        </w:rPr>
        <w:t>Prosecutor General dated 13 October 2009</w:t>
      </w:r>
      <w:r w:rsidR="00E60161">
        <w:rPr>
          <w:lang w:val="en-US"/>
        </w:rPr>
        <w:t>.</w:t>
      </w:r>
      <w:r w:rsidR="00A34163">
        <w:rPr>
          <w:rStyle w:val="FootnoteReference"/>
          <w:lang w:val="en-US"/>
        </w:rPr>
        <w:footnoteReference w:id="11"/>
      </w:r>
      <w:r w:rsidRPr="00970D30">
        <w:rPr>
          <w:lang w:val="en-US"/>
        </w:rPr>
        <w:t xml:space="preserve"> On the same day, </w:t>
      </w:r>
      <w:r w:rsidR="009C2BA9">
        <w:rPr>
          <w:lang w:val="en-US"/>
        </w:rPr>
        <w:t xml:space="preserve">Astana </w:t>
      </w:r>
      <w:r w:rsidRPr="00970D30">
        <w:rPr>
          <w:lang w:val="en-US"/>
        </w:rPr>
        <w:t xml:space="preserve">District Court No. 2 extended the author’s detention </w:t>
      </w:r>
      <w:r w:rsidR="009C2BA9">
        <w:rPr>
          <w:lang w:val="en-US"/>
        </w:rPr>
        <w:t xml:space="preserve">by </w:t>
      </w:r>
      <w:r w:rsidR="00CB240A">
        <w:rPr>
          <w:lang w:val="en-US"/>
        </w:rPr>
        <w:t>four</w:t>
      </w:r>
      <w:r w:rsidRPr="00970D30">
        <w:rPr>
          <w:lang w:val="en-US"/>
        </w:rPr>
        <w:t xml:space="preserve"> months</w:t>
      </w:r>
      <w:r w:rsidR="00E60161">
        <w:rPr>
          <w:lang w:val="en-US"/>
        </w:rPr>
        <w:t>.</w:t>
      </w:r>
      <w:r w:rsidR="00CB240A">
        <w:rPr>
          <w:rStyle w:val="FootnoteReference"/>
          <w:lang w:val="en-US"/>
        </w:rPr>
        <w:footnoteReference w:id="12"/>
      </w:r>
      <w:r w:rsidR="00213A07">
        <w:rPr>
          <w:lang w:val="en-US"/>
        </w:rPr>
        <w:t xml:space="preserve"> The </w:t>
      </w:r>
      <w:r w:rsidR="009C2BA9">
        <w:rPr>
          <w:lang w:val="en-US"/>
        </w:rPr>
        <w:t>C</w:t>
      </w:r>
      <w:r w:rsidR="00213A07">
        <w:rPr>
          <w:lang w:val="en-US"/>
        </w:rPr>
        <w:t xml:space="preserve">ourt failed to consider </w:t>
      </w:r>
      <w:r w:rsidR="00213A07" w:rsidRPr="00970D30">
        <w:rPr>
          <w:lang w:val="en-US"/>
        </w:rPr>
        <w:t>the</w:t>
      </w:r>
      <w:r w:rsidRPr="00970D30">
        <w:rPr>
          <w:lang w:val="en-US"/>
        </w:rPr>
        <w:t xml:space="preserve"> author’s request to </w:t>
      </w:r>
      <w:r w:rsidR="009C2BA9">
        <w:rPr>
          <w:lang w:val="en-US"/>
        </w:rPr>
        <w:t xml:space="preserve">be </w:t>
      </w:r>
      <w:r w:rsidR="00213A07">
        <w:rPr>
          <w:lang w:val="en-US"/>
        </w:rPr>
        <w:t>release</w:t>
      </w:r>
      <w:r w:rsidR="009C2BA9">
        <w:rPr>
          <w:lang w:val="en-US"/>
        </w:rPr>
        <w:t>d</w:t>
      </w:r>
      <w:r w:rsidR="00213A07">
        <w:rPr>
          <w:lang w:val="en-US"/>
        </w:rPr>
        <w:t xml:space="preserve"> pending trial</w:t>
      </w:r>
      <w:r w:rsidR="009C2BA9">
        <w:rPr>
          <w:lang w:val="en-US"/>
        </w:rPr>
        <w:t xml:space="preserve"> on the grounds that </w:t>
      </w:r>
      <w:r w:rsidR="00213A07">
        <w:rPr>
          <w:lang w:val="en-US"/>
        </w:rPr>
        <w:t>his initial detention was unlawful</w:t>
      </w:r>
      <w:r w:rsidR="009C2BA9">
        <w:rPr>
          <w:lang w:val="en-US"/>
        </w:rPr>
        <w:t xml:space="preserve"> and that his health was </w:t>
      </w:r>
      <w:r w:rsidR="00213A07">
        <w:rPr>
          <w:lang w:val="en-US"/>
        </w:rPr>
        <w:t>deteriorating</w:t>
      </w:r>
      <w:r w:rsidR="00E60161">
        <w:rPr>
          <w:lang w:val="en-US"/>
        </w:rPr>
        <w:t>.</w:t>
      </w:r>
      <w:r w:rsidRPr="00970D30">
        <w:rPr>
          <w:rStyle w:val="FootnoteReference"/>
          <w:sz w:val="20"/>
          <w:lang w:val="en-US"/>
        </w:rPr>
        <w:footnoteReference w:id="13"/>
      </w:r>
      <w:r w:rsidRPr="00970D30">
        <w:rPr>
          <w:lang w:val="en-US"/>
        </w:rPr>
        <w:t xml:space="preserve"> </w:t>
      </w:r>
    </w:p>
    <w:p w14:paraId="551CAD20" w14:textId="77777777" w:rsidR="00991DB5" w:rsidRPr="00970D30" w:rsidRDefault="00991DB5" w:rsidP="00747E18">
      <w:pPr>
        <w:pStyle w:val="SingleTxtG"/>
        <w:rPr>
          <w:lang w:val="en-US"/>
        </w:rPr>
      </w:pPr>
      <w:r w:rsidRPr="00970D30">
        <w:rPr>
          <w:lang w:val="en-US"/>
        </w:rPr>
        <w:t>2.1</w:t>
      </w:r>
      <w:r w:rsidR="00213A07">
        <w:rPr>
          <w:lang w:val="en-US"/>
        </w:rPr>
        <w:t>4</w:t>
      </w:r>
      <w:r w:rsidR="00213A07">
        <w:rPr>
          <w:lang w:val="en-US"/>
        </w:rPr>
        <w:tab/>
      </w:r>
      <w:r w:rsidR="00B0537F">
        <w:rPr>
          <w:lang w:val="en-US"/>
        </w:rPr>
        <w:t>O</w:t>
      </w:r>
      <w:r w:rsidR="00213A07">
        <w:rPr>
          <w:lang w:val="en-US"/>
        </w:rPr>
        <w:t xml:space="preserve">n </w:t>
      </w:r>
      <w:r w:rsidRPr="00970D30">
        <w:rPr>
          <w:lang w:val="en-US"/>
        </w:rPr>
        <w:t xml:space="preserve">2 December 2009, </w:t>
      </w:r>
      <w:r w:rsidR="00B0537F">
        <w:rPr>
          <w:lang w:val="en-US"/>
        </w:rPr>
        <w:t>t</w:t>
      </w:r>
      <w:r w:rsidRPr="00970D30">
        <w:rPr>
          <w:lang w:val="en-US"/>
        </w:rPr>
        <w:t xml:space="preserve">he </w:t>
      </w:r>
      <w:r w:rsidR="00B0537F">
        <w:rPr>
          <w:lang w:val="en-US"/>
        </w:rPr>
        <w:t xml:space="preserve">author </w:t>
      </w:r>
      <w:r w:rsidRPr="00970D30">
        <w:rPr>
          <w:lang w:val="en-US"/>
        </w:rPr>
        <w:t>requested the Prosecutor’s Office</w:t>
      </w:r>
      <w:r w:rsidR="00670573">
        <w:rPr>
          <w:lang w:val="en-US"/>
        </w:rPr>
        <w:t xml:space="preserve"> in </w:t>
      </w:r>
      <w:r w:rsidR="00670573" w:rsidRPr="00970D30">
        <w:rPr>
          <w:lang w:val="en-US"/>
        </w:rPr>
        <w:t>Astana</w:t>
      </w:r>
      <w:r w:rsidRPr="00970D30">
        <w:rPr>
          <w:lang w:val="en-US"/>
        </w:rPr>
        <w:t xml:space="preserve"> to give</w:t>
      </w:r>
      <w:r w:rsidR="00747E18">
        <w:rPr>
          <w:lang w:val="en-US"/>
        </w:rPr>
        <w:t xml:space="preserve"> him</w:t>
      </w:r>
      <w:r w:rsidRPr="00970D30">
        <w:rPr>
          <w:lang w:val="en-US"/>
        </w:rPr>
        <w:t xml:space="preserve"> access to the case materials. On 4 December 2009, his request was </w:t>
      </w:r>
      <w:r w:rsidR="00213A07">
        <w:rPr>
          <w:lang w:val="en-US"/>
        </w:rPr>
        <w:t>rejected</w:t>
      </w:r>
      <w:r w:rsidRPr="00970D30">
        <w:rPr>
          <w:lang w:val="en-US"/>
        </w:rPr>
        <w:t>. On the</w:t>
      </w:r>
      <w:r w:rsidR="00CB240A">
        <w:rPr>
          <w:lang w:val="en-US"/>
        </w:rPr>
        <w:t xml:space="preserve"> very</w:t>
      </w:r>
      <w:r w:rsidRPr="00970D30">
        <w:rPr>
          <w:lang w:val="en-US"/>
        </w:rPr>
        <w:t xml:space="preserve"> same day, the </w:t>
      </w:r>
      <w:r w:rsidR="00670573">
        <w:rPr>
          <w:lang w:val="en-US"/>
        </w:rPr>
        <w:t xml:space="preserve">National Security Committee </w:t>
      </w:r>
      <w:r w:rsidRPr="00970D30">
        <w:rPr>
          <w:lang w:val="en-US"/>
        </w:rPr>
        <w:t xml:space="preserve">sent </w:t>
      </w:r>
      <w:r w:rsidR="00670573">
        <w:rPr>
          <w:lang w:val="en-US"/>
        </w:rPr>
        <w:t xml:space="preserve">the materials relating to </w:t>
      </w:r>
      <w:r w:rsidRPr="00970D30">
        <w:rPr>
          <w:lang w:val="en-US"/>
        </w:rPr>
        <w:t xml:space="preserve">the criminal case regarding the embezzlement and bribery charges to the Prosecutor’s Office with </w:t>
      </w:r>
      <w:r w:rsidR="00670573">
        <w:rPr>
          <w:lang w:val="en-US"/>
        </w:rPr>
        <w:t xml:space="preserve">a recommendation of </w:t>
      </w:r>
      <w:r w:rsidRPr="00970D30">
        <w:rPr>
          <w:lang w:val="en-US"/>
        </w:rPr>
        <w:t>indictment even though neither the author nor B.</w:t>
      </w:r>
      <w:r w:rsidR="00670573">
        <w:rPr>
          <w:lang w:val="en-US"/>
        </w:rPr>
        <w:t xml:space="preserve"> had been</w:t>
      </w:r>
      <w:r w:rsidRPr="00970D30">
        <w:rPr>
          <w:lang w:val="en-US"/>
        </w:rPr>
        <w:t xml:space="preserve"> able to </w:t>
      </w:r>
      <w:r w:rsidR="00CB240A">
        <w:rPr>
          <w:lang w:val="en-US"/>
        </w:rPr>
        <w:t>study</w:t>
      </w:r>
      <w:r w:rsidRPr="00970D30">
        <w:rPr>
          <w:lang w:val="en-US"/>
        </w:rPr>
        <w:t xml:space="preserve"> the materials by that date. On 7 December 2009, the Prosecutor forwarded the case to Sary</w:t>
      </w:r>
      <w:r w:rsidR="00C72362">
        <w:rPr>
          <w:lang w:val="en-US"/>
        </w:rPr>
        <w:t>a</w:t>
      </w:r>
      <w:r w:rsidRPr="00970D30">
        <w:rPr>
          <w:lang w:val="en-US"/>
        </w:rPr>
        <w:t>rka District Court. On 24 and 28 December 2009, the author requested th</w:t>
      </w:r>
      <w:r w:rsidR="00670573">
        <w:rPr>
          <w:lang w:val="en-US"/>
        </w:rPr>
        <w:t>at</w:t>
      </w:r>
      <w:r w:rsidRPr="00970D30">
        <w:rPr>
          <w:lang w:val="en-US"/>
        </w:rPr>
        <w:t xml:space="preserve"> Court to allow </w:t>
      </w:r>
      <w:r w:rsidR="00747E18">
        <w:rPr>
          <w:lang w:val="en-US"/>
        </w:rPr>
        <w:t xml:space="preserve">him </w:t>
      </w:r>
      <w:r w:rsidRPr="00970D30">
        <w:rPr>
          <w:lang w:val="en-US"/>
        </w:rPr>
        <w:t xml:space="preserve">to </w:t>
      </w:r>
      <w:r w:rsidR="00C72362">
        <w:rPr>
          <w:lang w:val="en-US"/>
        </w:rPr>
        <w:t>study</w:t>
      </w:r>
      <w:r w:rsidRPr="00970D30">
        <w:rPr>
          <w:lang w:val="en-US"/>
        </w:rPr>
        <w:t xml:space="preserve"> the case files before the hearing concerning </w:t>
      </w:r>
      <w:r w:rsidR="00C72362">
        <w:rPr>
          <w:lang w:val="en-US"/>
        </w:rPr>
        <w:t xml:space="preserve">the </w:t>
      </w:r>
      <w:r w:rsidRPr="00970D30">
        <w:rPr>
          <w:lang w:val="en-US"/>
        </w:rPr>
        <w:t>embezzlement and</w:t>
      </w:r>
      <w:r w:rsidR="00C72362">
        <w:rPr>
          <w:lang w:val="en-US"/>
        </w:rPr>
        <w:t xml:space="preserve"> </w:t>
      </w:r>
      <w:r w:rsidRPr="00970D30">
        <w:rPr>
          <w:lang w:val="en-US"/>
        </w:rPr>
        <w:t xml:space="preserve">bribery charges. The </w:t>
      </w:r>
      <w:r w:rsidR="00670573">
        <w:rPr>
          <w:lang w:val="en-US"/>
        </w:rPr>
        <w:t>C</w:t>
      </w:r>
      <w:r w:rsidRPr="00970D30">
        <w:rPr>
          <w:lang w:val="en-US"/>
        </w:rPr>
        <w:t xml:space="preserve">ourt rejected his petition. </w:t>
      </w:r>
    </w:p>
    <w:p w14:paraId="482A8CDA" w14:textId="77777777" w:rsidR="00991DB5" w:rsidRPr="00970D30" w:rsidRDefault="00991DB5" w:rsidP="00747E18">
      <w:pPr>
        <w:pStyle w:val="SingleTxtG"/>
        <w:rPr>
          <w:lang w:val="en-US"/>
        </w:rPr>
      </w:pPr>
      <w:r w:rsidRPr="00970D30">
        <w:rPr>
          <w:lang w:val="en-US"/>
        </w:rPr>
        <w:t>2.1</w:t>
      </w:r>
      <w:r w:rsidR="00C72362">
        <w:rPr>
          <w:lang w:val="en-US"/>
        </w:rPr>
        <w:t>5</w:t>
      </w:r>
      <w:r w:rsidR="00C72362">
        <w:rPr>
          <w:lang w:val="en-US"/>
        </w:rPr>
        <w:tab/>
      </w:r>
      <w:r w:rsidR="00B0537F">
        <w:rPr>
          <w:lang w:val="en-US"/>
        </w:rPr>
        <w:t>O</w:t>
      </w:r>
      <w:r w:rsidR="00C72362">
        <w:rPr>
          <w:lang w:val="en-US"/>
        </w:rPr>
        <w:t>n</w:t>
      </w:r>
      <w:r w:rsidRPr="00970D30">
        <w:rPr>
          <w:lang w:val="en-US"/>
        </w:rPr>
        <w:t xml:space="preserve"> </w:t>
      </w:r>
      <w:r w:rsidR="00C72362" w:rsidRPr="00970D30">
        <w:rPr>
          <w:lang w:val="en-US"/>
        </w:rPr>
        <w:t>18 January 2010</w:t>
      </w:r>
      <w:r w:rsidR="00C72362">
        <w:rPr>
          <w:lang w:val="en-US"/>
        </w:rPr>
        <w:t xml:space="preserve">, </w:t>
      </w:r>
      <w:r w:rsidR="00670573">
        <w:rPr>
          <w:lang w:val="en-US"/>
        </w:rPr>
        <w:t xml:space="preserve">the author </w:t>
      </w:r>
      <w:r w:rsidR="00C72362">
        <w:rPr>
          <w:lang w:val="en-US"/>
        </w:rPr>
        <w:t xml:space="preserve">retained two </w:t>
      </w:r>
      <w:r w:rsidR="00670573">
        <w:rPr>
          <w:lang w:val="en-US"/>
        </w:rPr>
        <w:t xml:space="preserve">more </w:t>
      </w:r>
      <w:r w:rsidR="00C72362">
        <w:rPr>
          <w:lang w:val="en-US"/>
        </w:rPr>
        <w:t xml:space="preserve">private lawyers to replace </w:t>
      </w:r>
      <w:r w:rsidR="00670573">
        <w:rPr>
          <w:lang w:val="en-US"/>
        </w:rPr>
        <w:t>B.,</w:t>
      </w:r>
      <w:r w:rsidR="00C72362">
        <w:rPr>
          <w:lang w:val="en-US"/>
        </w:rPr>
        <w:t xml:space="preserve"> who was not present </w:t>
      </w:r>
      <w:r w:rsidR="00670573">
        <w:rPr>
          <w:lang w:val="en-US"/>
        </w:rPr>
        <w:t xml:space="preserve">owing </w:t>
      </w:r>
      <w:r w:rsidR="00C72362">
        <w:rPr>
          <w:lang w:val="en-US"/>
        </w:rPr>
        <w:t>to health problems</w:t>
      </w:r>
      <w:r w:rsidR="00E60161">
        <w:rPr>
          <w:lang w:val="en-US"/>
        </w:rPr>
        <w:t>.</w:t>
      </w:r>
      <w:r w:rsidR="00064A4C">
        <w:rPr>
          <w:rStyle w:val="FootnoteReference"/>
          <w:lang w:val="en-US"/>
        </w:rPr>
        <w:footnoteReference w:id="14"/>
      </w:r>
      <w:r w:rsidRPr="00970D30">
        <w:rPr>
          <w:lang w:val="en-US"/>
        </w:rPr>
        <w:t xml:space="preserve"> The </w:t>
      </w:r>
      <w:r w:rsidR="00C72362">
        <w:rPr>
          <w:lang w:val="en-US"/>
        </w:rPr>
        <w:t xml:space="preserve">presiding judge </w:t>
      </w:r>
      <w:r w:rsidRPr="00970D30">
        <w:rPr>
          <w:lang w:val="en-US"/>
        </w:rPr>
        <w:t>rejected</w:t>
      </w:r>
      <w:r w:rsidR="00C72362">
        <w:rPr>
          <w:lang w:val="en-US"/>
        </w:rPr>
        <w:t xml:space="preserve"> his request</w:t>
      </w:r>
      <w:r w:rsidRPr="00970D30">
        <w:rPr>
          <w:lang w:val="en-US"/>
        </w:rPr>
        <w:t xml:space="preserve"> and</w:t>
      </w:r>
      <w:r w:rsidR="00670573">
        <w:rPr>
          <w:lang w:val="en-US"/>
        </w:rPr>
        <w:t>,</w:t>
      </w:r>
      <w:r w:rsidRPr="00970D30">
        <w:rPr>
          <w:lang w:val="en-US"/>
        </w:rPr>
        <w:t xml:space="preserve"> on 19 January 2010, a </w:t>
      </w:r>
      <w:r w:rsidR="00670573">
        <w:rPr>
          <w:lang w:val="en-US"/>
        </w:rPr>
        <w:t>S</w:t>
      </w:r>
      <w:r w:rsidRPr="00970D30">
        <w:rPr>
          <w:lang w:val="en-US"/>
        </w:rPr>
        <w:t>tate-appointed lawyer joined the proceedings against the author’s will. During the course of the trial, the author discovered that the appointed lawyer had previously defen</w:t>
      </w:r>
      <w:r w:rsidR="00670573">
        <w:rPr>
          <w:lang w:val="en-US"/>
        </w:rPr>
        <w:t>ded</w:t>
      </w:r>
      <w:r w:rsidRPr="00970D30">
        <w:rPr>
          <w:lang w:val="en-US"/>
        </w:rPr>
        <w:t xml:space="preserve"> one of the witnesses</w:t>
      </w:r>
      <w:r w:rsidR="00670573">
        <w:rPr>
          <w:lang w:val="en-US"/>
        </w:rPr>
        <w:t xml:space="preserve"> for the prosecution</w:t>
      </w:r>
      <w:r w:rsidRPr="00970D30">
        <w:rPr>
          <w:lang w:val="en-US"/>
        </w:rPr>
        <w:t xml:space="preserve">, </w:t>
      </w:r>
      <w:r w:rsidR="00670573">
        <w:rPr>
          <w:lang w:val="en-US"/>
        </w:rPr>
        <w:t>which represented</w:t>
      </w:r>
      <w:r w:rsidRPr="00970D30">
        <w:rPr>
          <w:lang w:val="en-US"/>
        </w:rPr>
        <w:t xml:space="preserve"> a direct conflict of interest</w:t>
      </w:r>
      <w:r w:rsidR="00064A4C">
        <w:rPr>
          <w:lang w:val="en-US"/>
        </w:rPr>
        <w:t>. The author submits that this fact</w:t>
      </w:r>
      <w:r w:rsidRPr="00970D30">
        <w:rPr>
          <w:lang w:val="en-US"/>
        </w:rPr>
        <w:t xml:space="preserve"> </w:t>
      </w:r>
      <w:r w:rsidR="00670573">
        <w:rPr>
          <w:lang w:val="en-US"/>
        </w:rPr>
        <w:t xml:space="preserve">alone </w:t>
      </w:r>
      <w:r w:rsidRPr="00970D30">
        <w:rPr>
          <w:lang w:val="en-US"/>
        </w:rPr>
        <w:t xml:space="preserve">should have prevented </w:t>
      </w:r>
      <w:r w:rsidR="00670573">
        <w:rPr>
          <w:lang w:val="en-US"/>
        </w:rPr>
        <w:t>the lawyer</w:t>
      </w:r>
      <w:r w:rsidR="00670573" w:rsidRPr="00970D30">
        <w:rPr>
          <w:lang w:val="en-US"/>
        </w:rPr>
        <w:t xml:space="preserve"> </w:t>
      </w:r>
      <w:r w:rsidRPr="00970D30">
        <w:rPr>
          <w:lang w:val="en-US"/>
        </w:rPr>
        <w:t xml:space="preserve">from representing </w:t>
      </w:r>
      <w:r w:rsidR="00670573">
        <w:rPr>
          <w:lang w:val="en-US"/>
        </w:rPr>
        <w:t>him</w:t>
      </w:r>
      <w:r w:rsidRPr="00970D30">
        <w:rPr>
          <w:lang w:val="en-US"/>
        </w:rPr>
        <w:t xml:space="preserve">. The appointed lawyer was passive and did not submit </w:t>
      </w:r>
      <w:r w:rsidR="00064A4C">
        <w:rPr>
          <w:lang w:val="en-US"/>
        </w:rPr>
        <w:t>any requests to the court</w:t>
      </w:r>
      <w:r w:rsidRPr="00970D30">
        <w:rPr>
          <w:lang w:val="en-US"/>
        </w:rPr>
        <w:t xml:space="preserve"> or take any action in the interest of his client</w:t>
      </w:r>
      <w:r w:rsidR="00064A4C">
        <w:rPr>
          <w:lang w:val="en-US"/>
        </w:rPr>
        <w:t>.</w:t>
      </w:r>
    </w:p>
    <w:p w14:paraId="236A5413" w14:textId="77777777" w:rsidR="00991DB5" w:rsidRPr="00970D30" w:rsidRDefault="00991DB5" w:rsidP="00747E18">
      <w:pPr>
        <w:pStyle w:val="SingleTxtG"/>
        <w:rPr>
          <w:lang w:val="en-US"/>
        </w:rPr>
      </w:pPr>
      <w:r w:rsidRPr="00970D30">
        <w:rPr>
          <w:lang w:val="en-US"/>
        </w:rPr>
        <w:t>2.1</w:t>
      </w:r>
      <w:r w:rsidR="00B4709A">
        <w:rPr>
          <w:lang w:val="en-US"/>
        </w:rPr>
        <w:t>6</w:t>
      </w:r>
      <w:r w:rsidR="00064A4C">
        <w:rPr>
          <w:lang w:val="en-US"/>
        </w:rPr>
        <w:tab/>
        <w:t xml:space="preserve">The author </w:t>
      </w:r>
      <w:r w:rsidR="00B4709A">
        <w:rPr>
          <w:lang w:val="en-US"/>
        </w:rPr>
        <w:t xml:space="preserve">was </w:t>
      </w:r>
      <w:r w:rsidR="00670573">
        <w:rPr>
          <w:lang w:val="en-US"/>
        </w:rPr>
        <w:t>un</w:t>
      </w:r>
      <w:r w:rsidR="00B4709A">
        <w:rPr>
          <w:lang w:val="en-US"/>
        </w:rPr>
        <w:t xml:space="preserve">able to consult with </w:t>
      </w:r>
      <w:r w:rsidR="00C70DB2">
        <w:rPr>
          <w:lang w:val="en-US"/>
        </w:rPr>
        <w:t>his</w:t>
      </w:r>
      <w:r w:rsidR="00B4709A">
        <w:rPr>
          <w:lang w:val="en-US"/>
        </w:rPr>
        <w:t xml:space="preserve"> privately retained lawyers during th</w:t>
      </w:r>
      <w:r w:rsidR="00670573">
        <w:rPr>
          <w:lang w:val="en-US"/>
        </w:rPr>
        <w:t>at</w:t>
      </w:r>
      <w:r w:rsidR="00B4709A">
        <w:rPr>
          <w:lang w:val="en-US"/>
        </w:rPr>
        <w:t xml:space="preserve"> period. In addition, he </w:t>
      </w:r>
      <w:r w:rsidR="00670573">
        <w:rPr>
          <w:lang w:val="en-US"/>
        </w:rPr>
        <w:t xml:space="preserve">says </w:t>
      </w:r>
      <w:r w:rsidR="00B4709A">
        <w:rPr>
          <w:lang w:val="en-US"/>
        </w:rPr>
        <w:t>that f</w:t>
      </w:r>
      <w:r w:rsidRPr="00970D30">
        <w:rPr>
          <w:lang w:val="en-US"/>
        </w:rPr>
        <w:t xml:space="preserve">rom 6 to 27 January 2010 </w:t>
      </w:r>
      <w:r w:rsidR="00B4709A">
        <w:rPr>
          <w:lang w:val="en-US"/>
        </w:rPr>
        <w:t>he</w:t>
      </w:r>
      <w:r w:rsidRPr="00970D30">
        <w:rPr>
          <w:lang w:val="en-US"/>
        </w:rPr>
        <w:t xml:space="preserve"> was held incommunicado</w:t>
      </w:r>
      <w:r w:rsidR="00B4709A">
        <w:rPr>
          <w:lang w:val="en-US"/>
        </w:rPr>
        <w:t xml:space="preserve">, </w:t>
      </w:r>
      <w:r w:rsidR="00ED6D5B">
        <w:rPr>
          <w:lang w:val="en-US"/>
        </w:rPr>
        <w:t xml:space="preserve">since </w:t>
      </w:r>
      <w:r w:rsidR="00B4709A">
        <w:rPr>
          <w:lang w:val="en-US"/>
        </w:rPr>
        <w:t xml:space="preserve">he had no access to his lawyers and the </w:t>
      </w:r>
      <w:r w:rsidR="00ED6D5B">
        <w:rPr>
          <w:lang w:val="en-US"/>
        </w:rPr>
        <w:t xml:space="preserve">National Security Committee </w:t>
      </w:r>
      <w:r w:rsidR="00B4709A">
        <w:rPr>
          <w:lang w:val="en-US"/>
        </w:rPr>
        <w:t xml:space="preserve">refused his wife’s request </w:t>
      </w:r>
      <w:r w:rsidR="00ED6D5B">
        <w:rPr>
          <w:lang w:val="en-US"/>
        </w:rPr>
        <w:t>to</w:t>
      </w:r>
      <w:r w:rsidR="00B4709A">
        <w:rPr>
          <w:lang w:val="en-US"/>
        </w:rPr>
        <w:t xml:space="preserve"> meet with </w:t>
      </w:r>
      <w:r w:rsidR="00ED6D5B">
        <w:rPr>
          <w:lang w:val="en-US"/>
        </w:rPr>
        <w:t>him</w:t>
      </w:r>
      <w:r w:rsidRPr="00970D30">
        <w:rPr>
          <w:lang w:val="en-US"/>
        </w:rPr>
        <w:t xml:space="preserve">. </w:t>
      </w:r>
    </w:p>
    <w:p w14:paraId="41281E51" w14:textId="77777777" w:rsidR="006A2A95" w:rsidRDefault="00991DB5">
      <w:pPr>
        <w:pStyle w:val="SingleTxtG"/>
        <w:rPr>
          <w:lang w:val="en-US"/>
        </w:rPr>
      </w:pPr>
      <w:r w:rsidRPr="00970D30">
        <w:rPr>
          <w:lang w:val="en-US"/>
        </w:rPr>
        <w:t>2.1</w:t>
      </w:r>
      <w:r w:rsidR="00310781">
        <w:rPr>
          <w:lang w:val="en-US"/>
        </w:rPr>
        <w:t>7</w:t>
      </w:r>
      <w:r w:rsidR="00310781">
        <w:rPr>
          <w:lang w:val="en-US"/>
        </w:rPr>
        <w:tab/>
      </w:r>
      <w:r w:rsidR="00B0537F">
        <w:rPr>
          <w:lang w:val="en-US"/>
        </w:rPr>
        <w:t>C</w:t>
      </w:r>
      <w:r w:rsidR="006A2A95">
        <w:rPr>
          <w:lang w:val="en-US"/>
        </w:rPr>
        <w:t xml:space="preserve">ontrary to the requirements of the </w:t>
      </w:r>
      <w:r w:rsidR="00ED6D5B">
        <w:rPr>
          <w:lang w:val="en-US"/>
        </w:rPr>
        <w:t xml:space="preserve">Code of </w:t>
      </w:r>
      <w:r w:rsidR="006A2A95">
        <w:rPr>
          <w:lang w:val="en-US"/>
        </w:rPr>
        <w:t xml:space="preserve">Criminal Procedure, </w:t>
      </w:r>
      <w:r w:rsidR="00ED6D5B">
        <w:rPr>
          <w:lang w:val="en-US"/>
        </w:rPr>
        <w:t xml:space="preserve">the author’s </w:t>
      </w:r>
      <w:r w:rsidR="006A2A95">
        <w:rPr>
          <w:lang w:val="en-US"/>
        </w:rPr>
        <w:t>entire trial was not open to</w:t>
      </w:r>
      <w:r w:rsidR="001B2F21">
        <w:rPr>
          <w:lang w:val="en-US"/>
        </w:rPr>
        <w:t xml:space="preserve"> the</w:t>
      </w:r>
      <w:r w:rsidR="006A2A95">
        <w:rPr>
          <w:lang w:val="en-US"/>
        </w:rPr>
        <w:t xml:space="preserve"> public. </w:t>
      </w:r>
      <w:r w:rsidR="00B0537F">
        <w:rPr>
          <w:lang w:val="en-US"/>
        </w:rPr>
        <w:t>O</w:t>
      </w:r>
      <w:r w:rsidRPr="00970D30">
        <w:rPr>
          <w:lang w:val="en-US"/>
        </w:rPr>
        <w:t xml:space="preserve">n 28 and 29 January 2010, hearings </w:t>
      </w:r>
      <w:r w:rsidR="00ED6D5B">
        <w:rPr>
          <w:lang w:val="en-US"/>
        </w:rPr>
        <w:t xml:space="preserve">were held </w:t>
      </w:r>
      <w:r w:rsidRPr="00970D30">
        <w:rPr>
          <w:lang w:val="en-US"/>
        </w:rPr>
        <w:t xml:space="preserve">in </w:t>
      </w:r>
      <w:r w:rsidR="00310781">
        <w:rPr>
          <w:lang w:val="en-US"/>
        </w:rPr>
        <w:t>his</w:t>
      </w:r>
      <w:r w:rsidRPr="00970D30">
        <w:rPr>
          <w:lang w:val="en-US"/>
        </w:rPr>
        <w:t xml:space="preserve"> absence</w:t>
      </w:r>
      <w:r w:rsidR="00310781">
        <w:rPr>
          <w:lang w:val="en-US"/>
        </w:rPr>
        <w:t xml:space="preserve"> and</w:t>
      </w:r>
      <w:r w:rsidR="00ED6D5B">
        <w:rPr>
          <w:lang w:val="en-US"/>
        </w:rPr>
        <w:t>,</w:t>
      </w:r>
      <w:r w:rsidR="006A2A95">
        <w:rPr>
          <w:lang w:val="en-US"/>
        </w:rPr>
        <w:t xml:space="preserve"> again,</w:t>
      </w:r>
      <w:r w:rsidR="00310781">
        <w:rPr>
          <w:lang w:val="en-US"/>
        </w:rPr>
        <w:t xml:space="preserve"> no</w:t>
      </w:r>
      <w:r w:rsidR="00ED6D5B">
        <w:rPr>
          <w:lang w:val="en-US"/>
        </w:rPr>
        <w:t>t</w:t>
      </w:r>
      <w:r w:rsidR="00310781">
        <w:rPr>
          <w:lang w:val="en-US"/>
        </w:rPr>
        <w:t xml:space="preserve"> </w:t>
      </w:r>
      <w:r w:rsidR="00ED6D5B">
        <w:rPr>
          <w:lang w:val="en-US"/>
        </w:rPr>
        <w:t>in</w:t>
      </w:r>
      <w:r w:rsidR="00310781">
        <w:rPr>
          <w:lang w:val="en-US"/>
        </w:rPr>
        <w:t xml:space="preserve"> public</w:t>
      </w:r>
      <w:r w:rsidR="00E60161">
        <w:rPr>
          <w:lang w:val="en-US"/>
        </w:rPr>
        <w:t>.</w:t>
      </w:r>
      <w:r w:rsidR="006A2A95">
        <w:rPr>
          <w:rStyle w:val="FootnoteReference"/>
          <w:lang w:val="en-US"/>
        </w:rPr>
        <w:footnoteReference w:id="15"/>
      </w:r>
      <w:r w:rsidR="00A34163">
        <w:rPr>
          <w:lang w:val="en-US"/>
        </w:rPr>
        <w:t xml:space="preserve"> This was done d</w:t>
      </w:r>
      <w:r w:rsidR="006E4879">
        <w:rPr>
          <w:lang w:val="en-US"/>
        </w:rPr>
        <w:t xml:space="preserve">espite the fact that the author </w:t>
      </w:r>
      <w:r w:rsidR="00A34163">
        <w:rPr>
          <w:lang w:val="en-US"/>
        </w:rPr>
        <w:t xml:space="preserve">was in bad </w:t>
      </w:r>
      <w:r w:rsidR="00A34163">
        <w:rPr>
          <w:lang w:val="en-US"/>
        </w:rPr>
        <w:lastRenderedPageBreak/>
        <w:t xml:space="preserve">health, </w:t>
      </w:r>
      <w:r w:rsidR="00ED6D5B">
        <w:rPr>
          <w:lang w:val="en-US"/>
        </w:rPr>
        <w:t xml:space="preserve">having </w:t>
      </w:r>
      <w:r w:rsidR="00A34163">
        <w:rPr>
          <w:lang w:val="en-US"/>
        </w:rPr>
        <w:t>suffered a hypertensive crisis</w:t>
      </w:r>
      <w:r w:rsidR="00805349">
        <w:rPr>
          <w:lang w:val="en-US"/>
        </w:rPr>
        <w:t>, lost consciousness during the hearings</w:t>
      </w:r>
      <w:r w:rsidR="00A34163">
        <w:rPr>
          <w:lang w:val="en-US"/>
        </w:rPr>
        <w:t xml:space="preserve"> and asked</w:t>
      </w:r>
      <w:r w:rsidR="00805349">
        <w:rPr>
          <w:lang w:val="en-US"/>
        </w:rPr>
        <w:t>, through his lawyers, that</w:t>
      </w:r>
      <w:r w:rsidR="00A34163">
        <w:rPr>
          <w:lang w:val="en-US"/>
        </w:rPr>
        <w:t xml:space="preserve"> the hearings be postponed.</w:t>
      </w:r>
      <w:r w:rsidRPr="00970D30">
        <w:rPr>
          <w:lang w:val="en-US"/>
        </w:rPr>
        <w:t xml:space="preserve"> </w:t>
      </w:r>
    </w:p>
    <w:p w14:paraId="3B1FD2DB" w14:textId="77777777" w:rsidR="00991DB5" w:rsidRPr="00970D30" w:rsidRDefault="006A2A95">
      <w:pPr>
        <w:pStyle w:val="SingleTxtG"/>
        <w:rPr>
          <w:lang w:val="en-US"/>
        </w:rPr>
      </w:pPr>
      <w:r>
        <w:rPr>
          <w:lang w:val="en-US"/>
        </w:rPr>
        <w:t>2.18</w:t>
      </w:r>
      <w:r>
        <w:rPr>
          <w:lang w:val="en-US"/>
        </w:rPr>
        <w:tab/>
      </w:r>
      <w:r w:rsidR="00991DB5" w:rsidRPr="00970D30">
        <w:rPr>
          <w:lang w:val="en-US"/>
        </w:rPr>
        <w:t xml:space="preserve">During the trial, the witnesses </w:t>
      </w:r>
      <w:r w:rsidR="00ED6D5B">
        <w:rPr>
          <w:lang w:val="en-US"/>
        </w:rPr>
        <w:t xml:space="preserve">for the defence </w:t>
      </w:r>
      <w:r w:rsidR="00991DB5" w:rsidRPr="00970D30">
        <w:rPr>
          <w:lang w:val="en-US"/>
        </w:rPr>
        <w:t xml:space="preserve">were prohibited from testifying about the circumstances of the case, </w:t>
      </w:r>
      <w:r w:rsidR="00ED6D5B">
        <w:rPr>
          <w:lang w:val="en-US"/>
        </w:rPr>
        <w:t xml:space="preserve">except to </w:t>
      </w:r>
      <w:r w:rsidR="00310781">
        <w:rPr>
          <w:lang w:val="en-US"/>
        </w:rPr>
        <w:t>testi</w:t>
      </w:r>
      <w:r w:rsidR="00ED6D5B">
        <w:rPr>
          <w:lang w:val="en-US"/>
        </w:rPr>
        <w:t>fy on</w:t>
      </w:r>
      <w:r w:rsidR="00310781">
        <w:rPr>
          <w:lang w:val="en-US"/>
        </w:rPr>
        <w:t xml:space="preserve"> the</w:t>
      </w:r>
      <w:r w:rsidR="00991DB5" w:rsidRPr="00970D30">
        <w:rPr>
          <w:lang w:val="en-US"/>
        </w:rPr>
        <w:t xml:space="preserve"> author’s character. The defen</w:t>
      </w:r>
      <w:r w:rsidR="00ED6D5B">
        <w:rPr>
          <w:lang w:val="en-US"/>
        </w:rPr>
        <w:t>c</w:t>
      </w:r>
      <w:r w:rsidR="00991DB5" w:rsidRPr="00970D30">
        <w:rPr>
          <w:lang w:val="en-US"/>
        </w:rPr>
        <w:t>e</w:t>
      </w:r>
      <w:r w:rsidR="00310781">
        <w:rPr>
          <w:lang w:val="en-US"/>
        </w:rPr>
        <w:t xml:space="preserve"> lawyers</w:t>
      </w:r>
      <w:r w:rsidR="00991DB5" w:rsidRPr="00970D30">
        <w:rPr>
          <w:lang w:val="en-US"/>
        </w:rPr>
        <w:t xml:space="preserve"> </w:t>
      </w:r>
      <w:r w:rsidR="00310781">
        <w:rPr>
          <w:lang w:val="en-US"/>
        </w:rPr>
        <w:t>were</w:t>
      </w:r>
      <w:r w:rsidR="00991DB5" w:rsidRPr="00970D30">
        <w:rPr>
          <w:lang w:val="en-US"/>
        </w:rPr>
        <w:t xml:space="preserve"> further deprived </w:t>
      </w:r>
      <w:r w:rsidR="00310781">
        <w:rPr>
          <w:lang w:val="en-US"/>
        </w:rPr>
        <w:t>of</w:t>
      </w:r>
      <w:r w:rsidR="00991DB5" w:rsidRPr="00970D30">
        <w:rPr>
          <w:lang w:val="en-US"/>
        </w:rPr>
        <w:t xml:space="preserve"> the opportunity to cross-examine witnesses. </w:t>
      </w:r>
      <w:r w:rsidR="00A34163">
        <w:rPr>
          <w:lang w:val="en-US"/>
        </w:rPr>
        <w:t xml:space="preserve">Without providing any explanations, the presiding judge did not allow </w:t>
      </w:r>
      <w:r w:rsidR="00ED6D5B">
        <w:rPr>
          <w:lang w:val="en-US"/>
        </w:rPr>
        <w:t>D.B.,</w:t>
      </w:r>
      <w:r w:rsidR="00A34163">
        <w:rPr>
          <w:lang w:val="en-US"/>
        </w:rPr>
        <w:t xml:space="preserve"> one of the main witnesses for </w:t>
      </w:r>
      <w:r w:rsidR="00747E18">
        <w:rPr>
          <w:lang w:val="en-US"/>
        </w:rPr>
        <w:t xml:space="preserve">the </w:t>
      </w:r>
      <w:r w:rsidR="00A34163">
        <w:rPr>
          <w:lang w:val="en-US"/>
        </w:rPr>
        <w:t>defen</w:t>
      </w:r>
      <w:r w:rsidR="00ED6D5B">
        <w:rPr>
          <w:lang w:val="en-US"/>
        </w:rPr>
        <w:t>c</w:t>
      </w:r>
      <w:r w:rsidR="00A34163">
        <w:rPr>
          <w:lang w:val="en-US"/>
        </w:rPr>
        <w:t xml:space="preserve">e, </w:t>
      </w:r>
      <w:r w:rsidR="00ED6D5B">
        <w:rPr>
          <w:lang w:val="en-US"/>
        </w:rPr>
        <w:t>to testify</w:t>
      </w:r>
      <w:r w:rsidR="00A34163">
        <w:rPr>
          <w:lang w:val="en-US"/>
        </w:rPr>
        <w:t>.</w:t>
      </w:r>
    </w:p>
    <w:p w14:paraId="4EE8F5B2" w14:textId="77777777" w:rsidR="00991DB5" w:rsidRPr="00970D30" w:rsidRDefault="00310781" w:rsidP="00747E18">
      <w:pPr>
        <w:pStyle w:val="SingleTxtG"/>
        <w:rPr>
          <w:lang w:val="en-US"/>
        </w:rPr>
      </w:pPr>
      <w:r>
        <w:rPr>
          <w:lang w:val="en-US"/>
        </w:rPr>
        <w:t>2.1</w:t>
      </w:r>
      <w:r w:rsidR="006A2A95">
        <w:rPr>
          <w:lang w:val="en-US"/>
        </w:rPr>
        <w:t>9</w:t>
      </w:r>
      <w:r>
        <w:rPr>
          <w:lang w:val="en-US"/>
        </w:rPr>
        <w:tab/>
        <w:t xml:space="preserve">The author </w:t>
      </w:r>
      <w:r w:rsidR="00B0537F">
        <w:rPr>
          <w:lang w:val="en-US"/>
        </w:rPr>
        <w:t xml:space="preserve">claims that, </w:t>
      </w:r>
      <w:r>
        <w:rPr>
          <w:lang w:val="en-US"/>
        </w:rPr>
        <w:t>after an unfair trial, he was found guilty</w:t>
      </w:r>
      <w:r w:rsidR="00ED6D5B">
        <w:rPr>
          <w:lang w:val="en-US"/>
        </w:rPr>
        <w:t>,</w:t>
      </w:r>
      <w:r>
        <w:rPr>
          <w:lang w:val="en-US"/>
        </w:rPr>
        <w:t xml:space="preserve"> o</w:t>
      </w:r>
      <w:r w:rsidR="00991DB5" w:rsidRPr="00970D30">
        <w:rPr>
          <w:lang w:val="en-US"/>
        </w:rPr>
        <w:t xml:space="preserve">n 12 March 2010, of both the </w:t>
      </w:r>
      <w:r>
        <w:rPr>
          <w:lang w:val="en-US"/>
        </w:rPr>
        <w:t>e</w:t>
      </w:r>
      <w:r w:rsidR="00991DB5" w:rsidRPr="00970D30">
        <w:rPr>
          <w:lang w:val="en-US"/>
        </w:rPr>
        <w:t xml:space="preserve">mbezzlement and </w:t>
      </w:r>
      <w:r>
        <w:rPr>
          <w:lang w:val="en-US"/>
        </w:rPr>
        <w:t>b</w:t>
      </w:r>
      <w:r w:rsidR="00991DB5" w:rsidRPr="00970D30">
        <w:rPr>
          <w:lang w:val="en-US"/>
        </w:rPr>
        <w:t>ribery charges and sentenced to 14 years</w:t>
      </w:r>
      <w:r>
        <w:rPr>
          <w:lang w:val="en-US"/>
        </w:rPr>
        <w:t xml:space="preserve"> of</w:t>
      </w:r>
      <w:r w:rsidR="00991DB5" w:rsidRPr="00970D30">
        <w:rPr>
          <w:lang w:val="en-US"/>
        </w:rPr>
        <w:t xml:space="preserve"> imprisonment</w:t>
      </w:r>
      <w:r>
        <w:rPr>
          <w:lang w:val="en-US"/>
        </w:rPr>
        <w:t>, to be served</w:t>
      </w:r>
      <w:r w:rsidR="00991DB5" w:rsidRPr="00970D30">
        <w:rPr>
          <w:lang w:val="en-US"/>
        </w:rPr>
        <w:t xml:space="preserve"> in a maximum security </w:t>
      </w:r>
      <w:r>
        <w:rPr>
          <w:lang w:val="en-US"/>
        </w:rPr>
        <w:t>prison</w:t>
      </w:r>
      <w:r w:rsidR="00991DB5" w:rsidRPr="00970D30">
        <w:rPr>
          <w:lang w:val="en-US"/>
        </w:rPr>
        <w:t>.</w:t>
      </w:r>
      <w:r w:rsidR="00991DB5" w:rsidRPr="00970D30">
        <w:rPr>
          <w:rStyle w:val="FootnoteReference"/>
          <w:sz w:val="20"/>
          <w:lang w:val="en-US"/>
        </w:rPr>
        <w:footnoteReference w:id="16"/>
      </w:r>
      <w:r w:rsidR="00991DB5" w:rsidRPr="00970D30">
        <w:rPr>
          <w:lang w:val="en-US"/>
        </w:rPr>
        <w:t xml:space="preserve"> </w:t>
      </w:r>
      <w:r w:rsidR="00747E18">
        <w:rPr>
          <w:lang w:val="en-US"/>
        </w:rPr>
        <w:t>Neither t</w:t>
      </w:r>
      <w:r w:rsidR="00991DB5" w:rsidRPr="00970D30">
        <w:rPr>
          <w:lang w:val="en-US"/>
        </w:rPr>
        <w:t>he</w:t>
      </w:r>
      <w:r w:rsidR="00836CBF">
        <w:rPr>
          <w:lang w:val="en-US"/>
        </w:rPr>
        <w:t xml:space="preserve"> verdict </w:t>
      </w:r>
      <w:r w:rsidR="00747E18">
        <w:rPr>
          <w:lang w:val="en-US"/>
        </w:rPr>
        <w:t xml:space="preserve">nor </w:t>
      </w:r>
      <w:r w:rsidR="00836CBF">
        <w:rPr>
          <w:lang w:val="en-US"/>
        </w:rPr>
        <w:t>the</w:t>
      </w:r>
      <w:r w:rsidR="00991DB5" w:rsidRPr="00970D30">
        <w:rPr>
          <w:lang w:val="en-US"/>
        </w:rPr>
        <w:t xml:space="preserve"> sentence w</w:t>
      </w:r>
      <w:r w:rsidR="00836CBF">
        <w:rPr>
          <w:lang w:val="en-US"/>
        </w:rPr>
        <w:t>ere</w:t>
      </w:r>
      <w:r w:rsidR="00991DB5" w:rsidRPr="00970D30">
        <w:rPr>
          <w:lang w:val="en-US"/>
        </w:rPr>
        <w:t xml:space="preserve"> announced in public. On 26 March 2010, the author submitted an appeal against this judg</w:t>
      </w:r>
      <w:r w:rsidR="00ED6D5B">
        <w:rPr>
          <w:lang w:val="en-US"/>
        </w:rPr>
        <w:t>e</w:t>
      </w:r>
      <w:r w:rsidR="00991DB5" w:rsidRPr="00970D30">
        <w:rPr>
          <w:lang w:val="en-US"/>
        </w:rPr>
        <w:t xml:space="preserve">ment to Astana City Court. The author referred to numerous violations of </w:t>
      </w:r>
      <w:r>
        <w:rPr>
          <w:lang w:val="en-US"/>
        </w:rPr>
        <w:t>his</w:t>
      </w:r>
      <w:r w:rsidR="00991DB5" w:rsidRPr="00970D30">
        <w:rPr>
          <w:lang w:val="en-US"/>
        </w:rPr>
        <w:t xml:space="preserve"> right</w:t>
      </w:r>
      <w:r w:rsidR="00ED6D5B">
        <w:rPr>
          <w:lang w:val="en-US"/>
        </w:rPr>
        <w:t xml:space="preserve"> to a fair trial</w:t>
      </w:r>
      <w:r w:rsidR="00991DB5" w:rsidRPr="00970D30">
        <w:rPr>
          <w:lang w:val="en-US"/>
        </w:rPr>
        <w:t xml:space="preserve"> and petitioned </w:t>
      </w:r>
      <w:r w:rsidR="00ED6D5B" w:rsidRPr="00970D30">
        <w:rPr>
          <w:lang w:val="en-US"/>
        </w:rPr>
        <w:t xml:space="preserve">to be acquitted </w:t>
      </w:r>
      <w:r w:rsidR="00ED6D5B">
        <w:rPr>
          <w:lang w:val="en-US"/>
        </w:rPr>
        <w:t xml:space="preserve">and </w:t>
      </w:r>
      <w:r w:rsidR="00991DB5" w:rsidRPr="00970D30">
        <w:rPr>
          <w:lang w:val="en-US"/>
        </w:rPr>
        <w:t xml:space="preserve">for the verdict to be declared unlawful. </w:t>
      </w:r>
    </w:p>
    <w:p w14:paraId="5A269B35" w14:textId="77777777" w:rsidR="00991DB5" w:rsidRPr="00970D30" w:rsidRDefault="00991DB5">
      <w:pPr>
        <w:pStyle w:val="SingleTxtG"/>
        <w:rPr>
          <w:lang w:val="en-US"/>
        </w:rPr>
      </w:pPr>
      <w:r w:rsidRPr="00970D30">
        <w:rPr>
          <w:lang w:val="en-US"/>
        </w:rPr>
        <w:t>2.</w:t>
      </w:r>
      <w:r w:rsidR="006A2A95">
        <w:rPr>
          <w:lang w:val="en-US"/>
        </w:rPr>
        <w:t>20</w:t>
      </w:r>
      <w:r w:rsidR="003C0327">
        <w:rPr>
          <w:lang w:val="en-US"/>
        </w:rPr>
        <w:tab/>
      </w:r>
      <w:r w:rsidRPr="00970D30">
        <w:rPr>
          <w:lang w:val="en-US"/>
        </w:rPr>
        <w:t>On 14 July 2010, Astana City Court rejected the appeal.</w:t>
      </w:r>
      <w:r w:rsidR="004F21A3">
        <w:rPr>
          <w:lang w:val="en-US"/>
        </w:rPr>
        <w:t xml:space="preserve"> Although the author </w:t>
      </w:r>
      <w:r w:rsidR="00ED6D5B">
        <w:rPr>
          <w:lang w:val="en-US"/>
        </w:rPr>
        <w:t xml:space="preserve">had asked </w:t>
      </w:r>
      <w:r w:rsidR="004F21A3">
        <w:rPr>
          <w:lang w:val="en-US"/>
        </w:rPr>
        <w:t xml:space="preserve">the </w:t>
      </w:r>
      <w:r w:rsidR="00ED6D5B">
        <w:rPr>
          <w:lang w:val="en-US"/>
        </w:rPr>
        <w:t>C</w:t>
      </w:r>
      <w:r w:rsidR="004F21A3">
        <w:rPr>
          <w:lang w:val="en-US"/>
        </w:rPr>
        <w:t>ourt to</w:t>
      </w:r>
      <w:r w:rsidR="00ED6D5B">
        <w:rPr>
          <w:lang w:val="en-US"/>
        </w:rPr>
        <w:t xml:space="preserve"> allow him to</w:t>
      </w:r>
      <w:r w:rsidR="004F21A3">
        <w:rPr>
          <w:lang w:val="en-US"/>
        </w:rPr>
        <w:t xml:space="preserve"> be present, the appeal hearings were held in his absence.</w:t>
      </w:r>
      <w:r w:rsidRPr="00970D30">
        <w:rPr>
          <w:lang w:val="en-US"/>
        </w:rPr>
        <w:t xml:space="preserve"> On 23 June 2011, the author petitioned the Supreme Court of Kazakhstan to re-examine the </w:t>
      </w:r>
      <w:r w:rsidR="003C0327">
        <w:rPr>
          <w:lang w:val="en-US"/>
        </w:rPr>
        <w:t>judg</w:t>
      </w:r>
      <w:r w:rsidR="00ED6D5B">
        <w:rPr>
          <w:lang w:val="en-US"/>
        </w:rPr>
        <w:t>e</w:t>
      </w:r>
      <w:r w:rsidR="003C0327">
        <w:rPr>
          <w:lang w:val="en-US"/>
        </w:rPr>
        <w:t>ment</w:t>
      </w:r>
      <w:r w:rsidRPr="00970D30">
        <w:rPr>
          <w:lang w:val="en-US"/>
        </w:rPr>
        <w:t xml:space="preserve"> against him. On 25 July 2011, the Supreme Court</w:t>
      </w:r>
      <w:r w:rsidR="003C0327">
        <w:rPr>
          <w:lang w:val="en-US"/>
        </w:rPr>
        <w:t xml:space="preserve"> </w:t>
      </w:r>
      <w:r w:rsidRPr="00970D30">
        <w:rPr>
          <w:lang w:val="en-US"/>
        </w:rPr>
        <w:t xml:space="preserve">rejected the author’s </w:t>
      </w:r>
      <w:r w:rsidR="003C0327">
        <w:rPr>
          <w:lang w:val="en-US"/>
        </w:rPr>
        <w:t>appeal</w:t>
      </w:r>
      <w:r w:rsidRPr="00970D30">
        <w:rPr>
          <w:lang w:val="en-US"/>
        </w:rPr>
        <w:t xml:space="preserve">. The author claims that the authorities refused to provide him </w:t>
      </w:r>
      <w:r w:rsidR="00ED6D5B">
        <w:rPr>
          <w:lang w:val="en-US"/>
        </w:rPr>
        <w:t xml:space="preserve">with </w:t>
      </w:r>
      <w:r w:rsidRPr="00970D30">
        <w:rPr>
          <w:lang w:val="en-US"/>
        </w:rPr>
        <w:t xml:space="preserve">copies of the verdict and </w:t>
      </w:r>
      <w:r w:rsidR="00ED6D5B">
        <w:rPr>
          <w:lang w:val="en-US"/>
        </w:rPr>
        <w:t xml:space="preserve">of the </w:t>
      </w:r>
      <w:r w:rsidRPr="00970D30">
        <w:rPr>
          <w:lang w:val="en-US"/>
        </w:rPr>
        <w:t>rulings</w:t>
      </w:r>
      <w:r w:rsidR="00ED6D5B">
        <w:rPr>
          <w:lang w:val="en-US"/>
        </w:rPr>
        <w:t>,</w:t>
      </w:r>
      <w:r w:rsidRPr="00970D30">
        <w:rPr>
          <w:lang w:val="en-US"/>
        </w:rPr>
        <w:t xml:space="preserve"> </w:t>
      </w:r>
      <w:r w:rsidR="003C0327">
        <w:rPr>
          <w:lang w:val="en-US"/>
        </w:rPr>
        <w:t xml:space="preserve">again using </w:t>
      </w:r>
      <w:r w:rsidR="00ED6D5B">
        <w:rPr>
          <w:lang w:val="en-US"/>
        </w:rPr>
        <w:t>the</w:t>
      </w:r>
      <w:r w:rsidR="003C0327">
        <w:rPr>
          <w:lang w:val="en-US"/>
        </w:rPr>
        <w:t xml:space="preserve"> pretext that the documents were</w:t>
      </w:r>
      <w:r w:rsidRPr="00970D30">
        <w:rPr>
          <w:lang w:val="en-US"/>
        </w:rPr>
        <w:t xml:space="preserve"> “classified”. </w:t>
      </w:r>
    </w:p>
    <w:p w14:paraId="161D2F86" w14:textId="77777777" w:rsidR="006A2A95" w:rsidRDefault="00991DB5" w:rsidP="006A2227">
      <w:pPr>
        <w:pStyle w:val="SingleTxtG"/>
        <w:rPr>
          <w:lang w:val="en-US"/>
        </w:rPr>
      </w:pPr>
      <w:r w:rsidRPr="00970D30">
        <w:rPr>
          <w:lang w:val="en-US"/>
        </w:rPr>
        <w:t>2.</w:t>
      </w:r>
      <w:r w:rsidR="006A2A95">
        <w:rPr>
          <w:lang w:val="en-US"/>
        </w:rPr>
        <w:t>21</w:t>
      </w:r>
      <w:r w:rsidR="006A2A95">
        <w:rPr>
          <w:lang w:val="en-US"/>
        </w:rPr>
        <w:tab/>
      </w:r>
      <w:r w:rsidRPr="00970D30">
        <w:rPr>
          <w:lang w:val="en-US"/>
        </w:rPr>
        <w:t>On 21 December 2011, the trial for fraud commenced</w:t>
      </w:r>
      <w:r w:rsidR="00E60161">
        <w:rPr>
          <w:lang w:val="en-US"/>
        </w:rPr>
        <w:t>.</w:t>
      </w:r>
      <w:r w:rsidR="00836CBF">
        <w:rPr>
          <w:rStyle w:val="FootnoteReference"/>
          <w:lang w:val="en-US"/>
        </w:rPr>
        <w:footnoteReference w:id="17"/>
      </w:r>
      <w:r w:rsidR="006A2A95">
        <w:rPr>
          <w:lang w:val="en-US"/>
        </w:rPr>
        <w:t xml:space="preserve"> The author contends that</w:t>
      </w:r>
      <w:r w:rsidR="00747E18">
        <w:rPr>
          <w:lang w:val="en-US"/>
        </w:rPr>
        <w:t>,</w:t>
      </w:r>
      <w:r w:rsidR="006A2A95">
        <w:rPr>
          <w:lang w:val="en-US"/>
        </w:rPr>
        <w:t xml:space="preserve"> just a</w:t>
      </w:r>
      <w:r w:rsidRPr="00970D30">
        <w:rPr>
          <w:lang w:val="en-US"/>
        </w:rPr>
        <w:t>s</w:t>
      </w:r>
      <w:r w:rsidR="006A2A95">
        <w:rPr>
          <w:lang w:val="en-US"/>
        </w:rPr>
        <w:t xml:space="preserve"> with </w:t>
      </w:r>
      <w:r w:rsidRPr="00970D30">
        <w:rPr>
          <w:lang w:val="en-US"/>
        </w:rPr>
        <w:t xml:space="preserve">the previous trial, </w:t>
      </w:r>
      <w:r w:rsidR="006A2227">
        <w:rPr>
          <w:lang w:val="en-US"/>
        </w:rPr>
        <w:t>this trial too</w:t>
      </w:r>
      <w:r w:rsidR="006A2227" w:rsidRPr="00970D30">
        <w:rPr>
          <w:lang w:val="en-US"/>
        </w:rPr>
        <w:t xml:space="preserve"> </w:t>
      </w:r>
      <w:r w:rsidRPr="00970D30">
        <w:rPr>
          <w:lang w:val="en-US"/>
        </w:rPr>
        <w:t xml:space="preserve">was held in private and declared “classified”. The author declared on various occasions that he did not trust the court because of its </w:t>
      </w:r>
      <w:r w:rsidR="00DB1DD8">
        <w:rPr>
          <w:lang w:val="en-US"/>
        </w:rPr>
        <w:t>ongoing</w:t>
      </w:r>
      <w:r w:rsidRPr="00970D30">
        <w:rPr>
          <w:lang w:val="en-US"/>
        </w:rPr>
        <w:t xml:space="preserve"> refusal to conduct the trial according to the principle of public criminal proceedings. The court subsequently requested </w:t>
      </w:r>
      <w:r w:rsidR="00DB1DD8">
        <w:rPr>
          <w:lang w:val="en-US"/>
        </w:rPr>
        <w:t xml:space="preserve">that </w:t>
      </w:r>
      <w:r w:rsidRPr="00970D30">
        <w:rPr>
          <w:lang w:val="en-US"/>
        </w:rPr>
        <w:t>the author remove his private counsel from the courtroom and forbade his chosen defen</w:t>
      </w:r>
      <w:r w:rsidR="00DB1DD8">
        <w:rPr>
          <w:lang w:val="en-US"/>
        </w:rPr>
        <w:t>ce</w:t>
      </w:r>
      <w:r w:rsidRPr="00970D30">
        <w:rPr>
          <w:lang w:val="en-US"/>
        </w:rPr>
        <w:t xml:space="preserve"> team from playing any further part in the trial. </w:t>
      </w:r>
    </w:p>
    <w:p w14:paraId="78B4F766" w14:textId="77777777" w:rsidR="008B595E" w:rsidRDefault="006A2A95">
      <w:pPr>
        <w:pStyle w:val="SingleTxtG"/>
        <w:rPr>
          <w:lang w:val="en-US"/>
        </w:rPr>
      </w:pPr>
      <w:r>
        <w:rPr>
          <w:lang w:val="en-US"/>
        </w:rPr>
        <w:t>2.22</w:t>
      </w:r>
      <w:r>
        <w:rPr>
          <w:lang w:val="en-US"/>
        </w:rPr>
        <w:tab/>
        <w:t xml:space="preserve">The </w:t>
      </w:r>
      <w:r w:rsidR="00991DB5" w:rsidRPr="00970D30">
        <w:rPr>
          <w:lang w:val="en-US"/>
        </w:rPr>
        <w:t xml:space="preserve">court appointed a new lawyer against the author’s will, who not only acted against the author’s interests but </w:t>
      </w:r>
      <w:r>
        <w:rPr>
          <w:lang w:val="en-US"/>
        </w:rPr>
        <w:t xml:space="preserve">also actively contributed to </w:t>
      </w:r>
      <w:r w:rsidR="00DB1DD8">
        <w:rPr>
          <w:lang w:val="en-US"/>
        </w:rPr>
        <w:t xml:space="preserve">upholding </w:t>
      </w:r>
      <w:r>
        <w:rPr>
          <w:lang w:val="en-US"/>
        </w:rPr>
        <w:t>the prosecution’s position</w:t>
      </w:r>
      <w:r w:rsidR="00991DB5" w:rsidRPr="00970D30">
        <w:rPr>
          <w:lang w:val="en-US"/>
        </w:rPr>
        <w:t>. On 21 June 2012, the author was found guilty of fraud. He was sentenced to 10 years</w:t>
      </w:r>
      <w:r w:rsidR="00162031">
        <w:rPr>
          <w:lang w:val="en-US"/>
        </w:rPr>
        <w:t xml:space="preserve"> of imprisonment, to be served</w:t>
      </w:r>
      <w:r w:rsidR="00991DB5" w:rsidRPr="00970D30">
        <w:rPr>
          <w:lang w:val="en-US"/>
        </w:rPr>
        <w:t xml:space="preserve"> in a high security prison, to run concurrently with his previous sentence</w:t>
      </w:r>
      <w:r w:rsidR="00C70DB2">
        <w:rPr>
          <w:lang w:val="en-US"/>
        </w:rPr>
        <w:t xml:space="preserve"> of 14 years</w:t>
      </w:r>
      <w:r w:rsidR="00991DB5" w:rsidRPr="00970D30">
        <w:rPr>
          <w:lang w:val="en-US"/>
        </w:rPr>
        <w:t xml:space="preserve">. The author appealed against the verdict and sentence in the fraud charge. The first appeal was unsuccessful but a </w:t>
      </w:r>
      <w:r w:rsidR="00DB1DD8">
        <w:rPr>
          <w:lang w:val="en-US"/>
        </w:rPr>
        <w:t>second</w:t>
      </w:r>
      <w:r w:rsidR="00DB1DD8" w:rsidRPr="00970D30">
        <w:rPr>
          <w:lang w:val="en-US"/>
        </w:rPr>
        <w:t xml:space="preserve"> </w:t>
      </w:r>
      <w:r w:rsidR="00991DB5" w:rsidRPr="00970D30">
        <w:rPr>
          <w:lang w:val="en-US"/>
        </w:rPr>
        <w:t xml:space="preserve">appeal </w:t>
      </w:r>
      <w:r w:rsidR="008B595E">
        <w:rPr>
          <w:lang w:val="en-US"/>
        </w:rPr>
        <w:t>was</w:t>
      </w:r>
      <w:r w:rsidR="00991DB5" w:rsidRPr="00970D30">
        <w:rPr>
          <w:lang w:val="en-US"/>
        </w:rPr>
        <w:t xml:space="preserve"> pending before the Kazakh courts</w:t>
      </w:r>
      <w:r w:rsidR="008B595E">
        <w:rPr>
          <w:lang w:val="en-US"/>
        </w:rPr>
        <w:t xml:space="preserve"> at the time of the </w:t>
      </w:r>
      <w:r w:rsidR="007E61EE">
        <w:rPr>
          <w:lang w:val="en-US"/>
        </w:rPr>
        <w:t>initial</w:t>
      </w:r>
      <w:r w:rsidR="008B595E">
        <w:rPr>
          <w:lang w:val="en-US"/>
        </w:rPr>
        <w:t xml:space="preserve"> submission</w:t>
      </w:r>
      <w:r w:rsidR="00991DB5" w:rsidRPr="00970D30">
        <w:rPr>
          <w:lang w:val="en-US"/>
        </w:rPr>
        <w:t>.</w:t>
      </w:r>
    </w:p>
    <w:p w14:paraId="51840E72" w14:textId="77777777" w:rsidR="00C70DB2" w:rsidRDefault="00C70DB2" w:rsidP="002E10D1">
      <w:pPr>
        <w:pStyle w:val="SingleTxtG"/>
        <w:rPr>
          <w:lang w:val="en-US"/>
        </w:rPr>
      </w:pPr>
      <w:r>
        <w:rPr>
          <w:lang w:val="en-US"/>
        </w:rPr>
        <w:t>2.23</w:t>
      </w:r>
      <w:r>
        <w:rPr>
          <w:lang w:val="en-US"/>
        </w:rPr>
        <w:tab/>
        <w:t xml:space="preserve">Regarding the conditions of detention, the author submits that the cells </w:t>
      </w:r>
      <w:r w:rsidR="002E10D1">
        <w:rPr>
          <w:lang w:val="en-US"/>
        </w:rPr>
        <w:t>in</w:t>
      </w:r>
      <w:r>
        <w:rPr>
          <w:lang w:val="en-US"/>
        </w:rPr>
        <w:t xml:space="preserve"> the detention cent</w:t>
      </w:r>
      <w:r w:rsidR="00DB1DD8">
        <w:rPr>
          <w:lang w:val="en-US"/>
        </w:rPr>
        <w:t>re</w:t>
      </w:r>
      <w:r>
        <w:rPr>
          <w:lang w:val="en-US"/>
        </w:rPr>
        <w:t xml:space="preserve"> where he was </w:t>
      </w:r>
      <w:r w:rsidR="00DB1DD8">
        <w:rPr>
          <w:lang w:val="en-US"/>
        </w:rPr>
        <w:t xml:space="preserve">being </w:t>
      </w:r>
      <w:r>
        <w:rPr>
          <w:lang w:val="en-US"/>
        </w:rPr>
        <w:t>held were too small</w:t>
      </w:r>
      <w:r w:rsidR="00E60161">
        <w:rPr>
          <w:lang w:val="en-US"/>
        </w:rPr>
        <w:t>,</w:t>
      </w:r>
      <w:r>
        <w:rPr>
          <w:rStyle w:val="FootnoteReference"/>
          <w:lang w:val="en-US"/>
        </w:rPr>
        <w:footnoteReference w:id="18"/>
      </w:r>
      <w:r>
        <w:rPr>
          <w:lang w:val="en-US"/>
        </w:rPr>
        <w:t xml:space="preserve"> that there was no cover </w:t>
      </w:r>
      <w:r w:rsidR="00DB1DD8">
        <w:rPr>
          <w:lang w:val="en-US"/>
        </w:rPr>
        <w:t xml:space="preserve">on </w:t>
      </w:r>
      <w:r>
        <w:rPr>
          <w:lang w:val="en-US"/>
        </w:rPr>
        <w:t xml:space="preserve">or screen around the toilet and that he was permitted to walk in a very small enclosed space </w:t>
      </w:r>
      <w:r w:rsidR="00DB1DD8">
        <w:rPr>
          <w:lang w:val="en-US"/>
        </w:rPr>
        <w:t xml:space="preserve">for </w:t>
      </w:r>
      <w:r>
        <w:rPr>
          <w:lang w:val="en-US"/>
        </w:rPr>
        <w:t xml:space="preserve">only </w:t>
      </w:r>
      <w:r w:rsidR="00DB1DD8">
        <w:rPr>
          <w:lang w:val="en-US"/>
        </w:rPr>
        <w:t>75 minutes twice a</w:t>
      </w:r>
      <w:r>
        <w:rPr>
          <w:lang w:val="en-US"/>
        </w:rPr>
        <w:t xml:space="preserve"> day. </w:t>
      </w:r>
    </w:p>
    <w:p w14:paraId="522B1822" w14:textId="77777777" w:rsidR="00991DB5" w:rsidRDefault="008B595E" w:rsidP="00641579">
      <w:pPr>
        <w:pStyle w:val="SingleTxtG"/>
        <w:rPr>
          <w:lang w:val="en-US"/>
        </w:rPr>
      </w:pPr>
      <w:r>
        <w:rPr>
          <w:lang w:val="en-US"/>
        </w:rPr>
        <w:t>2.2</w:t>
      </w:r>
      <w:r w:rsidR="00C70DB2">
        <w:rPr>
          <w:lang w:val="en-US"/>
        </w:rPr>
        <w:t>4</w:t>
      </w:r>
      <w:r>
        <w:rPr>
          <w:lang w:val="en-US"/>
        </w:rPr>
        <w:tab/>
      </w:r>
      <w:r w:rsidR="007E61EE">
        <w:rPr>
          <w:lang w:val="en-US"/>
        </w:rPr>
        <w:t xml:space="preserve">The author </w:t>
      </w:r>
      <w:r w:rsidR="00B0537F">
        <w:rPr>
          <w:lang w:val="en-US"/>
        </w:rPr>
        <w:t xml:space="preserve">claims </w:t>
      </w:r>
      <w:r w:rsidR="007E61EE">
        <w:rPr>
          <w:lang w:val="en-US"/>
        </w:rPr>
        <w:t>that</w:t>
      </w:r>
      <w:r w:rsidR="00DB1DD8">
        <w:rPr>
          <w:lang w:val="en-US"/>
        </w:rPr>
        <w:t>,</w:t>
      </w:r>
      <w:r w:rsidR="007E61EE">
        <w:rPr>
          <w:lang w:val="en-US"/>
        </w:rPr>
        <w:t xml:space="preserve"> </w:t>
      </w:r>
      <w:r w:rsidR="00DB1DD8">
        <w:rPr>
          <w:lang w:val="en-US"/>
        </w:rPr>
        <w:t>while</w:t>
      </w:r>
      <w:r w:rsidR="00C70DB2">
        <w:rPr>
          <w:lang w:val="en-US"/>
        </w:rPr>
        <w:t xml:space="preserve"> </w:t>
      </w:r>
      <w:r w:rsidR="00DB1DD8" w:rsidRPr="00641579">
        <w:rPr>
          <w:lang w:val="en-US"/>
        </w:rPr>
        <w:t xml:space="preserve">in </w:t>
      </w:r>
      <w:r w:rsidR="00C70DB2" w:rsidRPr="00641579">
        <w:rPr>
          <w:lang w:val="en-US"/>
        </w:rPr>
        <w:t>pretrial detention</w:t>
      </w:r>
      <w:r w:rsidR="00DB1DD8" w:rsidRPr="00641579">
        <w:rPr>
          <w:lang w:val="en-US"/>
        </w:rPr>
        <w:t>, in other words</w:t>
      </w:r>
      <w:r w:rsidR="007E61EE" w:rsidRPr="00641579">
        <w:rPr>
          <w:lang w:val="en-US"/>
        </w:rPr>
        <w:t xml:space="preserve"> from the moment of his arrest on 21 May 2009 until 11 December 2012, he lacked access to health</w:t>
      </w:r>
      <w:r w:rsidR="006D774B">
        <w:rPr>
          <w:lang w:val="en-US"/>
        </w:rPr>
        <w:t>-</w:t>
      </w:r>
      <w:r w:rsidR="007E61EE" w:rsidRPr="00641579">
        <w:rPr>
          <w:lang w:val="en-US"/>
        </w:rPr>
        <w:t>care facilities. At the time</w:t>
      </w:r>
      <w:r w:rsidR="007E61EE">
        <w:rPr>
          <w:lang w:val="en-US"/>
        </w:rPr>
        <w:t xml:space="preserve">, the author </w:t>
      </w:r>
      <w:r w:rsidR="006D774B">
        <w:rPr>
          <w:lang w:val="en-US"/>
        </w:rPr>
        <w:t xml:space="preserve">was </w:t>
      </w:r>
      <w:r w:rsidR="007E61EE">
        <w:rPr>
          <w:lang w:val="en-US"/>
        </w:rPr>
        <w:t>suffer</w:t>
      </w:r>
      <w:r w:rsidR="006D774B">
        <w:rPr>
          <w:lang w:val="en-US"/>
        </w:rPr>
        <w:t>ing</w:t>
      </w:r>
      <w:r w:rsidR="007E61EE">
        <w:rPr>
          <w:lang w:val="en-US"/>
        </w:rPr>
        <w:t xml:space="preserve"> from hypertension, hypertrophy of the left ventricle, cerebral microh</w:t>
      </w:r>
      <w:r w:rsidR="006D774B">
        <w:rPr>
          <w:lang w:val="en-US"/>
        </w:rPr>
        <w:t>a</w:t>
      </w:r>
      <w:r w:rsidR="007E61EE">
        <w:rPr>
          <w:lang w:val="en-US"/>
        </w:rPr>
        <w:t>emorrhage and periodic disruption</w:t>
      </w:r>
      <w:r w:rsidR="000B6E27">
        <w:rPr>
          <w:lang w:val="en-US"/>
        </w:rPr>
        <w:t>s</w:t>
      </w:r>
      <w:r w:rsidR="007E61EE">
        <w:rPr>
          <w:lang w:val="en-US"/>
        </w:rPr>
        <w:t xml:space="preserve"> of the cerebral blood flow. </w:t>
      </w:r>
      <w:r w:rsidR="007E61EE">
        <w:rPr>
          <w:lang w:val="en-US"/>
        </w:rPr>
        <w:lastRenderedPageBreak/>
        <w:t xml:space="preserve">The </w:t>
      </w:r>
      <w:r w:rsidR="000B6E27">
        <w:rPr>
          <w:lang w:val="en-US"/>
        </w:rPr>
        <w:t xml:space="preserve">National Security Committee </w:t>
      </w:r>
      <w:r w:rsidR="007E61EE">
        <w:rPr>
          <w:lang w:val="en-US"/>
        </w:rPr>
        <w:t>doctor only visited the cent</w:t>
      </w:r>
      <w:r w:rsidR="000B6E27">
        <w:rPr>
          <w:lang w:val="en-US"/>
        </w:rPr>
        <w:t>re</w:t>
      </w:r>
      <w:r w:rsidR="007E61EE">
        <w:rPr>
          <w:lang w:val="en-US"/>
        </w:rPr>
        <w:t xml:space="preserve"> periodically and</w:t>
      </w:r>
      <w:r w:rsidR="000B6E27">
        <w:rPr>
          <w:lang w:val="en-US"/>
        </w:rPr>
        <w:t>,</w:t>
      </w:r>
      <w:r w:rsidR="007E61EE">
        <w:rPr>
          <w:lang w:val="en-US"/>
        </w:rPr>
        <w:t xml:space="preserve"> according to the author, had no qualifications to treat the author’s conditions. </w:t>
      </w:r>
    </w:p>
    <w:p w14:paraId="5A49BFB2" w14:textId="77777777" w:rsidR="002C39A8" w:rsidRDefault="002C39A8" w:rsidP="00641579">
      <w:pPr>
        <w:pStyle w:val="SingleTxtG"/>
        <w:rPr>
          <w:lang w:val="en-US"/>
        </w:rPr>
      </w:pPr>
      <w:r>
        <w:rPr>
          <w:lang w:val="en-US"/>
        </w:rPr>
        <w:t>2.2</w:t>
      </w:r>
      <w:r w:rsidR="00C70DB2">
        <w:rPr>
          <w:lang w:val="en-US"/>
        </w:rPr>
        <w:t>5</w:t>
      </w:r>
      <w:r>
        <w:rPr>
          <w:lang w:val="en-US"/>
        </w:rPr>
        <w:tab/>
      </w:r>
      <w:r w:rsidR="00B0537F">
        <w:rPr>
          <w:lang w:val="en-US"/>
        </w:rPr>
        <w:t>O</w:t>
      </w:r>
      <w:r>
        <w:rPr>
          <w:lang w:val="en-US"/>
        </w:rPr>
        <w:t xml:space="preserve">n several occasions, such as on 7 </w:t>
      </w:r>
      <w:r w:rsidR="000B6E27">
        <w:rPr>
          <w:lang w:val="en-US"/>
        </w:rPr>
        <w:t>and</w:t>
      </w:r>
      <w:r>
        <w:rPr>
          <w:lang w:val="en-US"/>
        </w:rPr>
        <w:t xml:space="preserve"> 16 October 2009</w:t>
      </w:r>
      <w:r w:rsidR="000B6E27">
        <w:rPr>
          <w:lang w:val="en-US"/>
        </w:rPr>
        <w:t xml:space="preserve"> and</w:t>
      </w:r>
      <w:r>
        <w:rPr>
          <w:lang w:val="en-US"/>
        </w:rPr>
        <w:t xml:space="preserve"> 14 November 2009, </w:t>
      </w:r>
      <w:r w:rsidR="00B0537F">
        <w:rPr>
          <w:lang w:val="en-US"/>
        </w:rPr>
        <w:t xml:space="preserve">the author </w:t>
      </w:r>
      <w:r>
        <w:rPr>
          <w:lang w:val="en-US"/>
        </w:rPr>
        <w:t>appealed to various authorities to be transferred to hospital</w:t>
      </w:r>
      <w:r w:rsidR="00C70DB2">
        <w:rPr>
          <w:lang w:val="en-US"/>
        </w:rPr>
        <w:t xml:space="preserve"> from the pretrial detention cent</w:t>
      </w:r>
      <w:r w:rsidR="000B6E27">
        <w:rPr>
          <w:lang w:val="en-US"/>
        </w:rPr>
        <w:t>re</w:t>
      </w:r>
      <w:r>
        <w:rPr>
          <w:lang w:val="en-US"/>
        </w:rPr>
        <w:t xml:space="preserve"> because of his health conditions. The author</w:t>
      </w:r>
      <w:r w:rsidR="000B6E27">
        <w:rPr>
          <w:lang w:val="en-US"/>
        </w:rPr>
        <w:t xml:space="preserve"> has</w:t>
      </w:r>
      <w:r>
        <w:rPr>
          <w:lang w:val="en-US"/>
        </w:rPr>
        <w:t xml:space="preserve"> complain</w:t>
      </w:r>
      <w:r w:rsidR="000B6E27">
        <w:rPr>
          <w:lang w:val="en-US"/>
        </w:rPr>
        <w:t>ed</w:t>
      </w:r>
      <w:r>
        <w:rPr>
          <w:lang w:val="en-US"/>
        </w:rPr>
        <w:t xml:space="preserve"> that th</w:t>
      </w:r>
      <w:r w:rsidR="000B6E27">
        <w:rPr>
          <w:lang w:val="en-US"/>
        </w:rPr>
        <w:t>o</w:t>
      </w:r>
      <w:r>
        <w:rPr>
          <w:lang w:val="en-US"/>
        </w:rPr>
        <w:t xml:space="preserve">se requests were considered </w:t>
      </w:r>
      <w:r w:rsidR="000B6E27">
        <w:rPr>
          <w:lang w:val="en-US"/>
        </w:rPr>
        <w:t>late</w:t>
      </w:r>
      <w:r>
        <w:rPr>
          <w:lang w:val="en-US"/>
        </w:rPr>
        <w:t xml:space="preserve"> or ignored altogether</w:t>
      </w:r>
      <w:r w:rsidR="000B6E27">
        <w:rPr>
          <w:lang w:val="en-US"/>
        </w:rPr>
        <w:t>, and</w:t>
      </w:r>
      <w:r>
        <w:rPr>
          <w:lang w:val="en-US"/>
        </w:rPr>
        <w:t xml:space="preserve"> that his declining health </w:t>
      </w:r>
      <w:r w:rsidR="000B6E27">
        <w:rPr>
          <w:lang w:val="en-US"/>
        </w:rPr>
        <w:t>wa</w:t>
      </w:r>
      <w:r>
        <w:rPr>
          <w:lang w:val="en-US"/>
        </w:rPr>
        <w:t>s linked to the conditions under which he was detained</w:t>
      </w:r>
      <w:r w:rsidR="00E60161">
        <w:rPr>
          <w:lang w:val="en-US"/>
        </w:rPr>
        <w:t>.</w:t>
      </w:r>
      <w:r>
        <w:rPr>
          <w:rStyle w:val="FootnoteReference"/>
          <w:lang w:val="en-US"/>
        </w:rPr>
        <w:footnoteReference w:id="19"/>
      </w:r>
      <w:r>
        <w:rPr>
          <w:lang w:val="en-US"/>
        </w:rPr>
        <w:t xml:space="preserve"> </w:t>
      </w:r>
    </w:p>
    <w:p w14:paraId="5A4BE65B" w14:textId="77777777" w:rsidR="004B44C6" w:rsidRDefault="004B44C6" w:rsidP="004B44C6">
      <w:pPr>
        <w:pStyle w:val="H23G"/>
      </w:pPr>
      <w:r w:rsidRPr="00B12E1C">
        <w:tab/>
      </w:r>
      <w:r w:rsidRPr="00B12E1C">
        <w:tab/>
        <w:t>The complaint</w:t>
      </w:r>
    </w:p>
    <w:p w14:paraId="2CD110F8" w14:textId="77777777" w:rsidR="00C87D88" w:rsidRDefault="00C87D88" w:rsidP="004D02BC">
      <w:pPr>
        <w:pStyle w:val="SingleTxtG"/>
      </w:pPr>
      <w:r>
        <w:t>3.</w:t>
      </w:r>
      <w:r w:rsidR="002C39A8">
        <w:t>1</w:t>
      </w:r>
      <w:r>
        <w:tab/>
      </w:r>
      <w:r w:rsidRPr="00F71106">
        <w:t xml:space="preserve">The author </w:t>
      </w:r>
      <w:r w:rsidR="00B0537F">
        <w:t>claims</w:t>
      </w:r>
      <w:r w:rsidRPr="00F71106">
        <w:t xml:space="preserve"> that he was arbitrarily arrested</w:t>
      </w:r>
      <w:r w:rsidR="0094164F">
        <w:t>,</w:t>
      </w:r>
      <w:r w:rsidRPr="00F71106">
        <w:t xml:space="preserve"> that he was not permitted</w:t>
      </w:r>
      <w:r w:rsidR="00E60161">
        <w:t xml:space="preserve"> </w:t>
      </w:r>
      <w:r w:rsidR="002C39A8">
        <w:t xml:space="preserve">to </w:t>
      </w:r>
      <w:r w:rsidRPr="00F71106">
        <w:t xml:space="preserve">contact his family or a lawyer of his own choosing </w:t>
      </w:r>
      <w:r w:rsidR="004D02BC">
        <w:t xml:space="preserve">either </w:t>
      </w:r>
      <w:r w:rsidRPr="00F71106">
        <w:t xml:space="preserve">when he was arrested or </w:t>
      </w:r>
      <w:r w:rsidR="004D02BC">
        <w:t xml:space="preserve">when he was </w:t>
      </w:r>
      <w:r w:rsidRPr="00F71106">
        <w:t>detained</w:t>
      </w:r>
      <w:r w:rsidR="0094164F">
        <w:t>,</w:t>
      </w:r>
      <w:r w:rsidRPr="00261F15">
        <w:t xml:space="preserve"> that he</w:t>
      </w:r>
      <w:r w:rsidRPr="00A72F45">
        <w:t xml:space="preserve"> was not given sufficient information at the time of arrest o</w:t>
      </w:r>
      <w:r w:rsidR="0094164F">
        <w:t>n</w:t>
      </w:r>
      <w:r w:rsidRPr="00A72F45">
        <w:t xml:space="preserve"> the reason for his arrest</w:t>
      </w:r>
      <w:r w:rsidR="0094164F">
        <w:t>, that</w:t>
      </w:r>
      <w:r w:rsidRPr="00A72F45">
        <w:t xml:space="preserve"> he </w:t>
      </w:r>
      <w:r w:rsidR="0094164F">
        <w:t xml:space="preserve">was not </w:t>
      </w:r>
      <w:r w:rsidRPr="00A72F45">
        <w:t>promptly informed of the charges against him</w:t>
      </w:r>
      <w:r w:rsidR="0094164F">
        <w:t xml:space="preserve"> and</w:t>
      </w:r>
      <w:r>
        <w:t xml:space="preserve"> that</w:t>
      </w:r>
      <w:r w:rsidRPr="00F71106">
        <w:t xml:space="preserve"> he was not brought promptly before a judge or other officer authorized by the law to exercise judicial power</w:t>
      </w:r>
      <w:r w:rsidR="00B0537F">
        <w:t xml:space="preserve">. He also claims </w:t>
      </w:r>
      <w:r w:rsidRPr="006A2524">
        <w:t>that the case against him was only brought before the Akmol</w:t>
      </w:r>
      <w:r w:rsidR="008A48E5" w:rsidRPr="006A2524">
        <w:t>a military court</w:t>
      </w:r>
      <w:r w:rsidRPr="006A2524">
        <w:t xml:space="preserve"> two days after his arrest</w:t>
      </w:r>
      <w:r w:rsidR="0094164F">
        <w:t xml:space="preserve"> and</w:t>
      </w:r>
      <w:r w:rsidRPr="006A2524">
        <w:t xml:space="preserve"> that</w:t>
      </w:r>
      <w:r w:rsidR="0094164F">
        <w:t>, in accordance with Kazakh law,</w:t>
      </w:r>
      <w:r w:rsidRPr="006A2524">
        <w:t xml:space="preserve"> th</w:t>
      </w:r>
      <w:r w:rsidR="0094164F">
        <w:t>at</w:t>
      </w:r>
      <w:r w:rsidRPr="00F71106">
        <w:t xml:space="preserve"> court lacked jurisdiction over his case</w:t>
      </w:r>
      <w:r w:rsidR="00B0537F">
        <w:t xml:space="preserve">. In addition, </w:t>
      </w:r>
      <w:r w:rsidR="0094164F">
        <w:t xml:space="preserve">he claims that </w:t>
      </w:r>
      <w:r>
        <w:t>th</w:t>
      </w:r>
      <w:r w:rsidR="0094164F">
        <w:t>e</w:t>
      </w:r>
      <w:r>
        <w:t xml:space="preserve"> </w:t>
      </w:r>
      <w:r w:rsidR="002C39A8">
        <w:t>military court</w:t>
      </w:r>
      <w:r w:rsidR="00E60161">
        <w:t xml:space="preserve"> </w:t>
      </w:r>
      <w:r w:rsidR="002C39A8">
        <w:t>failed to</w:t>
      </w:r>
      <w:r w:rsidRPr="00F71106">
        <w:t xml:space="preserve"> consider his allegations regarding the lawfulness of his arrest and detention</w:t>
      </w:r>
      <w:r w:rsidR="0094164F">
        <w:t>,</w:t>
      </w:r>
      <w:r>
        <w:t xml:space="preserve"> that he did not have access to legal representation of his choosing</w:t>
      </w:r>
      <w:r w:rsidR="0094164F">
        <w:t xml:space="preserve"> and</w:t>
      </w:r>
      <w:r w:rsidR="00B0537F">
        <w:t xml:space="preserve"> </w:t>
      </w:r>
      <w:r>
        <w:t>that his private lawyers were harassed by the authorities</w:t>
      </w:r>
      <w:r w:rsidR="0094164F">
        <w:t>.</w:t>
      </w:r>
      <w:r>
        <w:t xml:space="preserve"> </w:t>
      </w:r>
      <w:r w:rsidR="006133C6">
        <w:t xml:space="preserve">The author submits that </w:t>
      </w:r>
      <w:r w:rsidR="006F3171">
        <w:t>all of the above constitut</w:t>
      </w:r>
      <w:r w:rsidR="006133C6">
        <w:t>es</w:t>
      </w:r>
      <w:r w:rsidR="006F3171">
        <w:t xml:space="preserve"> a</w:t>
      </w:r>
      <w:r>
        <w:t xml:space="preserve"> violation of article 9 </w:t>
      </w:r>
      <w:r w:rsidR="006133C6">
        <w:t>(</w:t>
      </w:r>
      <w:r>
        <w:t>1</w:t>
      </w:r>
      <w:r w:rsidR="00FD4417">
        <w:t>-</w:t>
      </w:r>
      <w:r w:rsidR="00596514">
        <w:t>5</w:t>
      </w:r>
      <w:r w:rsidR="006133C6">
        <w:t>)</w:t>
      </w:r>
      <w:r w:rsidR="004D02BC">
        <w:t xml:space="preserve"> of the Covenant</w:t>
      </w:r>
      <w:r>
        <w:t xml:space="preserve">. </w:t>
      </w:r>
    </w:p>
    <w:p w14:paraId="6B84C0C0" w14:textId="77777777" w:rsidR="00C87D88" w:rsidRDefault="00C87D88" w:rsidP="004D02BC">
      <w:pPr>
        <w:pStyle w:val="SingleTxtG"/>
      </w:pPr>
      <w:r>
        <w:t>3.</w:t>
      </w:r>
      <w:r w:rsidR="00157F46">
        <w:t>2</w:t>
      </w:r>
      <w:r w:rsidR="00157F46">
        <w:tab/>
      </w:r>
      <w:r>
        <w:t xml:space="preserve">Regarding his claim of </w:t>
      </w:r>
      <w:r w:rsidR="006133C6">
        <w:t xml:space="preserve">a </w:t>
      </w:r>
      <w:r>
        <w:t>violation of</w:t>
      </w:r>
      <w:r w:rsidRPr="0072315E">
        <w:t xml:space="preserve"> article 14</w:t>
      </w:r>
      <w:r>
        <w:t xml:space="preserve"> </w:t>
      </w:r>
      <w:r w:rsidR="006133C6">
        <w:t>(</w:t>
      </w:r>
      <w:r>
        <w:t>3</w:t>
      </w:r>
      <w:r w:rsidR="006133C6">
        <w:t>)</w:t>
      </w:r>
      <w:r>
        <w:t xml:space="preserve"> (a) and (b)</w:t>
      </w:r>
      <w:r w:rsidR="004D02BC">
        <w:t xml:space="preserve"> of the Covenant</w:t>
      </w:r>
      <w:r>
        <w:t>, t</w:t>
      </w:r>
      <w:r w:rsidRPr="0072315E">
        <w:t xml:space="preserve">he author </w:t>
      </w:r>
      <w:r w:rsidR="006133C6">
        <w:t xml:space="preserve">says </w:t>
      </w:r>
      <w:r>
        <w:t xml:space="preserve">that </w:t>
      </w:r>
      <w:r w:rsidRPr="0072315E">
        <w:t>he was not informed of the nature of the charges against him until two and a half months after he was first arrested</w:t>
      </w:r>
      <w:r w:rsidR="006133C6">
        <w:t>,</w:t>
      </w:r>
      <w:r>
        <w:t xml:space="preserve"> that</w:t>
      </w:r>
      <w:r w:rsidRPr="0072315E">
        <w:t xml:space="preserve"> he did not have adequate time and facilities </w:t>
      </w:r>
      <w:r w:rsidR="006133C6">
        <w:t>to</w:t>
      </w:r>
      <w:r w:rsidRPr="0072315E">
        <w:t xml:space="preserve"> prepar</w:t>
      </w:r>
      <w:r w:rsidR="006133C6">
        <w:t>e</w:t>
      </w:r>
      <w:r w:rsidRPr="0072315E">
        <w:t xml:space="preserve"> his </w:t>
      </w:r>
      <w:r w:rsidR="00157F46" w:rsidRPr="0072315E">
        <w:t>defence</w:t>
      </w:r>
      <w:r w:rsidR="006133C6">
        <w:t xml:space="preserve">, </w:t>
      </w:r>
      <w:r>
        <w:t>that h</w:t>
      </w:r>
      <w:r w:rsidR="006F3171">
        <w:t>e</w:t>
      </w:r>
      <w:r>
        <w:t xml:space="preserve"> was not allowed to have a lawyer of his own choosing </w:t>
      </w:r>
      <w:r w:rsidR="00157F46">
        <w:t>at</w:t>
      </w:r>
      <w:r>
        <w:t xml:space="preserve"> some stages of the proceedings</w:t>
      </w:r>
      <w:r w:rsidR="006133C6">
        <w:t>,</w:t>
      </w:r>
      <w:r>
        <w:t xml:space="preserve"> that</w:t>
      </w:r>
      <w:r w:rsidRPr="0072315E">
        <w:t xml:space="preserve"> his </w:t>
      </w:r>
      <w:r>
        <w:t xml:space="preserve">private </w:t>
      </w:r>
      <w:r w:rsidRPr="0072315E">
        <w:t>lawyer w</w:t>
      </w:r>
      <w:r>
        <w:t>as</w:t>
      </w:r>
      <w:r w:rsidR="00157F46">
        <w:t xml:space="preserve"> only given one</w:t>
      </w:r>
      <w:r w:rsidRPr="0072315E">
        <w:t xml:space="preserve"> month to read the </w:t>
      </w:r>
      <w:r w:rsidR="004D02BC">
        <w:t xml:space="preserve">large </w:t>
      </w:r>
      <w:r w:rsidRPr="0072315E">
        <w:t>volum</w:t>
      </w:r>
      <w:r w:rsidR="004D02BC">
        <w:t>e of</w:t>
      </w:r>
      <w:r w:rsidRPr="0072315E">
        <w:t xml:space="preserve"> case materials </w:t>
      </w:r>
      <w:r w:rsidR="006F3171">
        <w:t xml:space="preserve">and </w:t>
      </w:r>
      <w:r w:rsidR="006133C6">
        <w:t xml:space="preserve">that his lawyer was </w:t>
      </w:r>
      <w:r w:rsidRPr="0072315E">
        <w:t xml:space="preserve">not given copies of the case materials because of </w:t>
      </w:r>
      <w:r w:rsidR="006133C6">
        <w:t>their</w:t>
      </w:r>
      <w:r w:rsidR="006133C6" w:rsidRPr="0072315E">
        <w:t xml:space="preserve"> </w:t>
      </w:r>
      <w:r w:rsidRPr="0072315E">
        <w:t>“classified” status</w:t>
      </w:r>
      <w:r>
        <w:t xml:space="preserve">. </w:t>
      </w:r>
    </w:p>
    <w:p w14:paraId="5EE36A9A" w14:textId="77777777" w:rsidR="00C87D88" w:rsidRDefault="00C87D88" w:rsidP="00641579">
      <w:pPr>
        <w:pStyle w:val="SingleTxtG"/>
      </w:pPr>
      <w:r>
        <w:t>3.</w:t>
      </w:r>
      <w:r w:rsidR="00157F46">
        <w:t>3</w:t>
      </w:r>
      <w:r w:rsidR="00821AF3">
        <w:tab/>
      </w:r>
      <w:r>
        <w:t>As to his allegations under</w:t>
      </w:r>
      <w:r w:rsidRPr="0072315E">
        <w:t xml:space="preserve"> article 14 </w:t>
      </w:r>
      <w:r w:rsidR="00157B50">
        <w:t>(</w:t>
      </w:r>
      <w:r w:rsidRPr="0072315E">
        <w:t>1</w:t>
      </w:r>
      <w:r w:rsidR="00157B50">
        <w:t>)</w:t>
      </w:r>
      <w:r w:rsidR="004D02BC" w:rsidRPr="004D02BC">
        <w:t xml:space="preserve"> </w:t>
      </w:r>
      <w:r w:rsidR="004D02BC">
        <w:t>of the Covenant</w:t>
      </w:r>
      <w:r>
        <w:t xml:space="preserve">, the author claims that </w:t>
      </w:r>
      <w:r w:rsidRPr="0072315E">
        <w:t xml:space="preserve">he was </w:t>
      </w:r>
      <w:r>
        <w:t xml:space="preserve">not tried </w:t>
      </w:r>
      <w:r w:rsidRPr="0072315E">
        <w:t>by jury</w:t>
      </w:r>
      <w:r w:rsidR="00157B50">
        <w:t>,</w:t>
      </w:r>
      <w:r w:rsidRPr="0072315E">
        <w:t xml:space="preserve"> </w:t>
      </w:r>
      <w:r>
        <w:t>as established by the law</w:t>
      </w:r>
      <w:r w:rsidR="00157B50">
        <w:t>,</w:t>
      </w:r>
      <w:r>
        <w:t xml:space="preserve"> </w:t>
      </w:r>
      <w:r w:rsidRPr="0072315E">
        <w:t xml:space="preserve">and </w:t>
      </w:r>
      <w:r w:rsidR="00157B50">
        <w:t xml:space="preserve">that his </w:t>
      </w:r>
      <w:r w:rsidRPr="0072315E">
        <w:t>hearing</w:t>
      </w:r>
      <w:r>
        <w:t>s</w:t>
      </w:r>
      <w:r w:rsidR="00157B50">
        <w:t xml:space="preserve"> were not held in public</w:t>
      </w:r>
      <w:r w:rsidRPr="0072315E">
        <w:t xml:space="preserve">. </w:t>
      </w:r>
      <w:r>
        <w:t>Moreover, the</w:t>
      </w:r>
      <w:r w:rsidRPr="00BA74AE">
        <w:t xml:space="preserve"> </w:t>
      </w:r>
      <w:r w:rsidRPr="0072315E">
        <w:t>judg</w:t>
      </w:r>
      <w:r w:rsidR="00157B50">
        <w:t>e</w:t>
      </w:r>
      <w:r w:rsidRPr="0072315E">
        <w:t xml:space="preserve">ments against the author were not given in public or made available to </w:t>
      </w:r>
      <w:r w:rsidR="00157F46">
        <w:t xml:space="preserve">the </w:t>
      </w:r>
      <w:r w:rsidRPr="0072315E">
        <w:t>public</w:t>
      </w:r>
      <w:r>
        <w:t>.</w:t>
      </w:r>
    </w:p>
    <w:p w14:paraId="557D82AA" w14:textId="77777777" w:rsidR="00C87D88" w:rsidRPr="0072315E" w:rsidRDefault="00C87D88" w:rsidP="00641579">
      <w:pPr>
        <w:pStyle w:val="SingleTxtG"/>
      </w:pPr>
      <w:r>
        <w:t>3.</w:t>
      </w:r>
      <w:r w:rsidR="00C85ECD">
        <w:t>4</w:t>
      </w:r>
      <w:r>
        <w:tab/>
        <w:t>T</w:t>
      </w:r>
      <w:r w:rsidRPr="0072315E">
        <w:t xml:space="preserve">he author </w:t>
      </w:r>
      <w:r w:rsidR="00500D26">
        <w:t>claims</w:t>
      </w:r>
      <w:r w:rsidRPr="0072315E">
        <w:t xml:space="preserve"> that there was no equality of arms</w:t>
      </w:r>
      <w:r w:rsidR="00157B50">
        <w:t>,</w:t>
      </w:r>
      <w:r w:rsidRPr="0072315E">
        <w:t xml:space="preserve"> as the judge at the trial </w:t>
      </w:r>
      <w:r w:rsidR="00157B50">
        <w:t>involving the</w:t>
      </w:r>
      <w:r w:rsidRPr="0072315E">
        <w:t xml:space="preserve"> </w:t>
      </w:r>
      <w:r>
        <w:t>e</w:t>
      </w:r>
      <w:r w:rsidRPr="0072315E">
        <w:t xml:space="preserve">mbezzlement and </w:t>
      </w:r>
      <w:r>
        <w:t>b</w:t>
      </w:r>
      <w:r w:rsidRPr="0072315E">
        <w:t xml:space="preserve">ribery </w:t>
      </w:r>
      <w:r>
        <w:t>c</w:t>
      </w:r>
      <w:r w:rsidRPr="0072315E">
        <w:t xml:space="preserve">harges did not </w:t>
      </w:r>
      <w:r w:rsidR="00157B50">
        <w:t xml:space="preserve">give equal </w:t>
      </w:r>
      <w:r w:rsidRPr="0072315E">
        <w:t>treat</w:t>
      </w:r>
      <w:r w:rsidR="00157B50">
        <w:t>ment to</w:t>
      </w:r>
      <w:r w:rsidR="00157F46">
        <w:t xml:space="preserve"> the</w:t>
      </w:r>
      <w:r w:rsidRPr="0072315E">
        <w:t xml:space="preserve"> witness</w:t>
      </w:r>
      <w:r w:rsidR="00157F46">
        <w:t>es</w:t>
      </w:r>
      <w:r w:rsidR="00157B50">
        <w:t>,</w:t>
      </w:r>
      <w:r>
        <w:t xml:space="preserve"> that </w:t>
      </w:r>
      <w:r w:rsidR="00E3252A">
        <w:t xml:space="preserve">on two occasions the hearings </w:t>
      </w:r>
      <w:r w:rsidR="00157B50">
        <w:t>before</w:t>
      </w:r>
      <w:r w:rsidR="00E3252A">
        <w:t xml:space="preserve"> the</w:t>
      </w:r>
      <w:r w:rsidR="00157B50">
        <w:t xml:space="preserve"> court of</w:t>
      </w:r>
      <w:r w:rsidR="00E3252A">
        <w:t xml:space="preserve"> first instance were held in his absence</w:t>
      </w:r>
      <w:r w:rsidR="00336724">
        <w:t xml:space="preserve"> and that his right to </w:t>
      </w:r>
      <w:r w:rsidR="00157B50">
        <w:t xml:space="preserve">the </w:t>
      </w:r>
      <w:r w:rsidR="00336724">
        <w:t xml:space="preserve">presumption of innocence </w:t>
      </w:r>
      <w:r w:rsidR="00157B50">
        <w:t xml:space="preserve">was </w:t>
      </w:r>
      <w:r w:rsidR="00336724">
        <w:t xml:space="preserve">not respected, </w:t>
      </w:r>
      <w:r>
        <w:t>in violation of article 14</w:t>
      </w:r>
      <w:r w:rsidR="00336724">
        <w:t xml:space="preserve"> </w:t>
      </w:r>
      <w:r w:rsidR="00157B50">
        <w:t>(</w:t>
      </w:r>
      <w:r w:rsidR="00336724">
        <w:t>2</w:t>
      </w:r>
      <w:r w:rsidR="00157B50">
        <w:t>)</w:t>
      </w:r>
      <w:r w:rsidR="00336724">
        <w:t xml:space="preserve"> and</w:t>
      </w:r>
      <w:r>
        <w:t xml:space="preserve"> </w:t>
      </w:r>
      <w:r w:rsidR="004D02BC">
        <w:t>(</w:t>
      </w:r>
      <w:r>
        <w:t>3</w:t>
      </w:r>
      <w:r w:rsidR="004D02BC">
        <w:t>)</w:t>
      </w:r>
      <w:r>
        <w:t xml:space="preserve"> (d) and (e).</w:t>
      </w:r>
      <w:r w:rsidRPr="0072315E">
        <w:t xml:space="preserve"> </w:t>
      </w:r>
    </w:p>
    <w:p w14:paraId="4B0AA31A" w14:textId="77777777" w:rsidR="00C87D88" w:rsidRDefault="00C87D88" w:rsidP="00641579">
      <w:pPr>
        <w:pStyle w:val="SingleTxtG"/>
      </w:pPr>
      <w:r>
        <w:t>3.</w:t>
      </w:r>
      <w:r w:rsidR="00C85ECD">
        <w:t>5</w:t>
      </w:r>
      <w:r w:rsidR="00821AF3">
        <w:tab/>
      </w:r>
      <w:r w:rsidRPr="00E3754C">
        <w:t xml:space="preserve">The author also affirms that </w:t>
      </w:r>
      <w:r>
        <w:t xml:space="preserve">the State party </w:t>
      </w:r>
      <w:r w:rsidRPr="00E3754C">
        <w:t xml:space="preserve">violated his </w:t>
      </w:r>
      <w:r>
        <w:t>rights under articles 6, 7 and 10 of the Covenant</w:t>
      </w:r>
      <w:r w:rsidR="00157B50">
        <w:t>,</w:t>
      </w:r>
      <w:r>
        <w:t xml:space="preserve"> as it failed to discharge its responsibility to adequately monitor and treat his various health conditions while in detention. Furthermore, the author argues that his rights under article 7 </w:t>
      </w:r>
      <w:r w:rsidR="00157B50">
        <w:t>were</w:t>
      </w:r>
      <w:r>
        <w:t xml:space="preserve"> violated</w:t>
      </w:r>
      <w:r w:rsidR="00157B50">
        <w:t>,</w:t>
      </w:r>
      <w:r>
        <w:t xml:space="preserve"> as he </w:t>
      </w:r>
      <w:r w:rsidR="00157B50">
        <w:t>was</w:t>
      </w:r>
      <w:r>
        <w:t xml:space="preserve"> denied appropriate medical treatment and care while in detention</w:t>
      </w:r>
      <w:r w:rsidR="00157B50">
        <w:t xml:space="preserve">, </w:t>
      </w:r>
      <w:r>
        <w:t>his cell</w:t>
      </w:r>
      <w:r w:rsidR="00157B50">
        <w:t xml:space="preserve"> was too small</w:t>
      </w:r>
      <w:r>
        <w:t xml:space="preserve">, </w:t>
      </w:r>
      <w:r w:rsidR="00157B50">
        <w:t xml:space="preserve">there was a </w:t>
      </w:r>
      <w:r>
        <w:t xml:space="preserve">lack of adequate sanitary facilities and </w:t>
      </w:r>
      <w:r w:rsidR="00157B50">
        <w:t xml:space="preserve">his ability to participate in </w:t>
      </w:r>
      <w:r>
        <w:t>activities</w:t>
      </w:r>
      <w:r w:rsidR="00157B50">
        <w:t xml:space="preserve"> was restricted</w:t>
      </w:r>
      <w:r>
        <w:t xml:space="preserve">. </w:t>
      </w:r>
    </w:p>
    <w:p w14:paraId="721FF322" w14:textId="77777777" w:rsidR="00C87D88" w:rsidRDefault="00C87D88" w:rsidP="004D02BC">
      <w:pPr>
        <w:pStyle w:val="SingleTxtG"/>
      </w:pPr>
      <w:r>
        <w:t>3.</w:t>
      </w:r>
      <w:r w:rsidR="00C85ECD">
        <w:t>6</w:t>
      </w:r>
      <w:r w:rsidR="00821AF3">
        <w:tab/>
      </w:r>
      <w:r w:rsidRPr="0072315E">
        <w:t xml:space="preserve">The author </w:t>
      </w:r>
      <w:r w:rsidR="00500D26">
        <w:t xml:space="preserve">claims </w:t>
      </w:r>
      <w:r w:rsidRPr="0072315E">
        <w:t xml:space="preserve">that his rights under article 10 were </w:t>
      </w:r>
      <w:r w:rsidR="004D02BC">
        <w:t xml:space="preserve">also </w:t>
      </w:r>
      <w:r w:rsidRPr="0072315E">
        <w:t>violated</w:t>
      </w:r>
      <w:r w:rsidR="004D02BC">
        <w:t xml:space="preserve"> because</w:t>
      </w:r>
      <w:r w:rsidRPr="0072315E">
        <w:t xml:space="preserve"> the</w:t>
      </w:r>
      <w:r w:rsidR="00157F46">
        <w:t xml:space="preserve"> State party</w:t>
      </w:r>
      <w:r w:rsidRPr="0072315E">
        <w:t xml:space="preserve"> fail</w:t>
      </w:r>
      <w:r w:rsidR="00157F46">
        <w:t>ed</w:t>
      </w:r>
      <w:r w:rsidRPr="0072315E">
        <w:t xml:space="preserve"> to ensure his </w:t>
      </w:r>
      <w:r w:rsidR="00157F46">
        <w:t xml:space="preserve">access to </w:t>
      </w:r>
      <w:r w:rsidRPr="0072315E">
        <w:t>health</w:t>
      </w:r>
      <w:r w:rsidR="00157B50">
        <w:t xml:space="preserve"> </w:t>
      </w:r>
      <w:r w:rsidRPr="0072315E">
        <w:t xml:space="preserve">care and </w:t>
      </w:r>
      <w:r w:rsidR="004D02BC">
        <w:t>because</w:t>
      </w:r>
      <w:r w:rsidRPr="0072315E">
        <w:t xml:space="preserve"> he was held </w:t>
      </w:r>
      <w:r w:rsidRPr="0072315E">
        <w:lastRenderedPageBreak/>
        <w:t>incommunicado</w:t>
      </w:r>
      <w:r w:rsidR="004D02BC">
        <w:t>,</w:t>
      </w:r>
      <w:r w:rsidRPr="0072315E">
        <w:t xml:space="preserve"> </w:t>
      </w:r>
      <w:r w:rsidR="00157B50">
        <w:t>with</w:t>
      </w:r>
      <w:r w:rsidRPr="0072315E">
        <w:t xml:space="preserve"> no access to his lawyers or his family. Furthermore, contrary to article 10, the author was not permitted regular correspondence and communication with his wife and children. </w:t>
      </w:r>
    </w:p>
    <w:p w14:paraId="4EBF659F" w14:textId="77777777" w:rsidR="00C85ECD" w:rsidRDefault="00C85ECD" w:rsidP="00641579">
      <w:pPr>
        <w:pStyle w:val="SingleTxtG"/>
      </w:pPr>
      <w:r>
        <w:t>3.7</w:t>
      </w:r>
      <w:r>
        <w:tab/>
        <w:t>The author f</w:t>
      </w:r>
      <w:r w:rsidR="00500D26">
        <w:t xml:space="preserve">inally </w:t>
      </w:r>
      <w:r>
        <w:t>submits that</w:t>
      </w:r>
      <w:r w:rsidR="00157B50">
        <w:t>,</w:t>
      </w:r>
      <w:r>
        <w:t xml:space="preserve"> </w:t>
      </w:r>
      <w:r w:rsidR="00157B50">
        <w:t>al</w:t>
      </w:r>
      <w:r>
        <w:t xml:space="preserve">though the Optional Protocol entered into force for the State party on 30 September 2009, the violations against him continue, </w:t>
      </w:r>
      <w:r w:rsidR="00605753">
        <w:t xml:space="preserve">which means that </w:t>
      </w:r>
      <w:r>
        <w:t xml:space="preserve">the principle of </w:t>
      </w:r>
      <w:r w:rsidRPr="00C85ECD">
        <w:rPr>
          <w:i/>
        </w:rPr>
        <w:t>ratione temporis</w:t>
      </w:r>
      <w:r>
        <w:t xml:space="preserve"> should not preclude the Committee from considering</w:t>
      </w:r>
      <w:r w:rsidR="008E0342">
        <w:t xml:space="preserve"> any part of</w:t>
      </w:r>
      <w:r>
        <w:t xml:space="preserve"> his communication</w:t>
      </w:r>
      <w:r w:rsidR="00E60161">
        <w:t>.</w:t>
      </w:r>
      <w:r>
        <w:rPr>
          <w:rStyle w:val="FootnoteReference"/>
        </w:rPr>
        <w:footnoteReference w:id="20"/>
      </w:r>
      <w:r>
        <w:t xml:space="preserve"> </w:t>
      </w:r>
    </w:p>
    <w:p w14:paraId="1FAA71C9" w14:textId="77777777" w:rsidR="0049482E" w:rsidRDefault="00A879C7" w:rsidP="004B44C6">
      <w:pPr>
        <w:pStyle w:val="H23G"/>
      </w:pPr>
      <w:r>
        <w:tab/>
      </w:r>
      <w:r w:rsidR="004B44C6" w:rsidRPr="00B12E1C">
        <w:tab/>
        <w:t>State party’</w:t>
      </w:r>
      <w:r w:rsidR="0049482E">
        <w:t>s observations on admissibility</w:t>
      </w:r>
      <w:r w:rsidR="00CF5D2C">
        <w:t xml:space="preserve"> and </w:t>
      </w:r>
      <w:r w:rsidR="00F730B8">
        <w:t xml:space="preserve">the </w:t>
      </w:r>
      <w:r w:rsidR="00CF5D2C">
        <w:t>merits</w:t>
      </w:r>
    </w:p>
    <w:p w14:paraId="68DBEA82" w14:textId="77777777" w:rsidR="00B607D7" w:rsidRDefault="004B44C6" w:rsidP="005E7193">
      <w:pPr>
        <w:pStyle w:val="SingleTxtG"/>
      </w:pPr>
      <w:r w:rsidRPr="00B12E1C">
        <w:t>4.</w:t>
      </w:r>
      <w:r w:rsidR="0049482E">
        <w:t>1</w:t>
      </w:r>
      <w:r w:rsidRPr="00B12E1C">
        <w:tab/>
      </w:r>
      <w:r w:rsidR="00CE7D94">
        <w:t xml:space="preserve">In its note verbale dated </w:t>
      </w:r>
      <w:r w:rsidR="000E5372">
        <w:t>22 January 2014</w:t>
      </w:r>
      <w:r w:rsidR="00CE7D94">
        <w:t xml:space="preserve">, the State party submits </w:t>
      </w:r>
      <w:r w:rsidR="00B607D7">
        <w:t>its observations on</w:t>
      </w:r>
      <w:r w:rsidR="006F3171">
        <w:t xml:space="preserve"> the</w:t>
      </w:r>
      <w:r w:rsidR="00214342">
        <w:t xml:space="preserve"> admissibility </w:t>
      </w:r>
      <w:r w:rsidR="000E5372">
        <w:t xml:space="preserve">of the </w:t>
      </w:r>
      <w:r w:rsidR="006F3171">
        <w:t>communication</w:t>
      </w:r>
      <w:r w:rsidR="000E5372">
        <w:t xml:space="preserve">. The State party submits that the author failed to challenge his final </w:t>
      </w:r>
      <w:r w:rsidR="000E5372" w:rsidRPr="00EC7149">
        <w:t xml:space="preserve">convictions </w:t>
      </w:r>
      <w:r w:rsidR="005E7193" w:rsidRPr="00EC7149">
        <w:t>with</w:t>
      </w:r>
      <w:r w:rsidR="000E5372">
        <w:t xml:space="preserve"> the Supreme Court, </w:t>
      </w:r>
      <w:r w:rsidR="00605753">
        <w:t xml:space="preserve">as he could have done </w:t>
      </w:r>
      <w:r w:rsidR="000E5372">
        <w:t xml:space="preserve">under the supervisory review procedure. Under article 461 of the </w:t>
      </w:r>
      <w:r w:rsidR="00605753">
        <w:t xml:space="preserve">Code of </w:t>
      </w:r>
      <w:r w:rsidR="000E5372">
        <w:t xml:space="preserve">Criminal Procedure, there is no time limit </w:t>
      </w:r>
      <w:r w:rsidR="00605753">
        <w:t xml:space="preserve">for </w:t>
      </w:r>
      <w:r w:rsidR="000E5372">
        <w:t xml:space="preserve">filing </w:t>
      </w:r>
      <w:r w:rsidR="00605753">
        <w:t xml:space="preserve">such </w:t>
      </w:r>
      <w:r w:rsidR="000E5372">
        <w:t>applications.</w:t>
      </w:r>
      <w:r w:rsidR="00E60161">
        <w:t xml:space="preserve"> </w:t>
      </w:r>
    </w:p>
    <w:p w14:paraId="57C069CC" w14:textId="77777777" w:rsidR="00214342" w:rsidRDefault="00B607D7" w:rsidP="005E7193">
      <w:pPr>
        <w:pStyle w:val="SingleTxtG"/>
      </w:pPr>
      <w:r>
        <w:t>4.2</w:t>
      </w:r>
      <w:r>
        <w:tab/>
      </w:r>
      <w:r w:rsidR="0033002F">
        <w:t xml:space="preserve">On 23 May </w:t>
      </w:r>
      <w:r w:rsidR="00A953A0">
        <w:t>and 23 July 2014</w:t>
      </w:r>
      <w:r w:rsidR="00E60161">
        <w:t>,</w:t>
      </w:r>
      <w:r w:rsidR="00A953A0">
        <w:rPr>
          <w:rStyle w:val="FootnoteReference"/>
        </w:rPr>
        <w:footnoteReference w:id="21"/>
      </w:r>
      <w:r w:rsidR="0033002F">
        <w:t xml:space="preserve"> the State party further submits that the author received assistance from a “qualified” lawyer, S.P., who had </w:t>
      </w:r>
      <w:r w:rsidR="00605753">
        <w:t xml:space="preserve">the </w:t>
      </w:r>
      <w:r w:rsidR="0033002F">
        <w:t xml:space="preserve">security clearance </w:t>
      </w:r>
      <w:r w:rsidR="00605753">
        <w:t xml:space="preserve">needed </w:t>
      </w:r>
      <w:r w:rsidR="0033002F">
        <w:t>to have access to “secret documents” in the case file. On 26 May 2009, the author requested that his wife and a privately retained lawyer represent him during the criminal proceedings. Since the author’s wife and this private lawyer did not have security clearance, th</w:t>
      </w:r>
      <w:r w:rsidR="00605753">
        <w:t>e</w:t>
      </w:r>
      <w:r w:rsidR="0033002F">
        <w:t xml:space="preserve"> request was rejected.</w:t>
      </w:r>
      <w:r w:rsidR="00E60161">
        <w:t xml:space="preserve"> </w:t>
      </w:r>
      <w:r w:rsidR="0033002F">
        <w:t xml:space="preserve">The </w:t>
      </w:r>
      <w:r w:rsidR="00605753">
        <w:t>S</w:t>
      </w:r>
      <w:r w:rsidR="0033002F">
        <w:t>tate-appointed lawyer, S.P., was chosen by the author</w:t>
      </w:r>
      <w:r w:rsidR="00E60161">
        <w:t>.</w:t>
      </w:r>
      <w:r w:rsidR="0033002F">
        <w:t xml:space="preserve"> </w:t>
      </w:r>
    </w:p>
    <w:p w14:paraId="0BA79885" w14:textId="77777777" w:rsidR="0033002F" w:rsidRDefault="0033002F" w:rsidP="005E7193">
      <w:pPr>
        <w:pStyle w:val="SingleTxtG"/>
      </w:pPr>
      <w:r>
        <w:t>4.3</w:t>
      </w:r>
      <w:r>
        <w:tab/>
      </w:r>
      <w:r w:rsidR="00AA45D6">
        <w:t xml:space="preserve">Regarding the author’s allegations of </w:t>
      </w:r>
      <w:r w:rsidR="00605753">
        <w:t>no</w:t>
      </w:r>
      <w:r w:rsidR="00AA45D6">
        <w:t xml:space="preserve"> or insufficient access to his lawyer</w:t>
      </w:r>
      <w:r w:rsidR="00605753">
        <w:t xml:space="preserve"> and</w:t>
      </w:r>
      <w:r w:rsidR="00AA45D6">
        <w:t xml:space="preserve"> case file documents, the State party submits that</w:t>
      </w:r>
      <w:r w:rsidR="00605753">
        <w:t>,</w:t>
      </w:r>
      <w:r w:rsidR="00AA45D6">
        <w:t xml:space="preserve"> </w:t>
      </w:r>
      <w:r w:rsidR="005E7193">
        <w:t>given</w:t>
      </w:r>
      <w:r w:rsidR="00AA45D6">
        <w:t xml:space="preserve"> the</w:t>
      </w:r>
      <w:r w:rsidR="00FD4417">
        <w:t xml:space="preserve"> author’s</w:t>
      </w:r>
      <w:r w:rsidR="00AA45D6">
        <w:t xml:space="preserve"> complaints, the Office </w:t>
      </w:r>
      <w:r w:rsidR="00605753">
        <w:t xml:space="preserve">of the Prosecutor General </w:t>
      </w:r>
      <w:r w:rsidR="00AA45D6">
        <w:t>conducted an investigation</w:t>
      </w:r>
      <w:r w:rsidR="00E60161">
        <w:t>,</w:t>
      </w:r>
      <w:r w:rsidR="006F3171">
        <w:rPr>
          <w:rStyle w:val="FootnoteReference"/>
        </w:rPr>
        <w:footnoteReference w:id="22"/>
      </w:r>
      <w:r w:rsidR="00AA45D6">
        <w:t xml:space="preserve"> and did not find violations of the relevant legislation and instructions. </w:t>
      </w:r>
    </w:p>
    <w:p w14:paraId="3792DEE3" w14:textId="77777777" w:rsidR="00AA45D6" w:rsidRDefault="00821AF3" w:rsidP="00641579">
      <w:pPr>
        <w:pStyle w:val="SingleTxtG"/>
      </w:pPr>
      <w:r>
        <w:t>4.4</w:t>
      </w:r>
      <w:r w:rsidR="00AA45D6">
        <w:tab/>
        <w:t>The State party submits, however, that</w:t>
      </w:r>
      <w:r w:rsidR="006F3171">
        <w:t xml:space="preserve"> on 13 October 2009,</w:t>
      </w:r>
      <w:r w:rsidR="00AA45D6">
        <w:t xml:space="preserve"> after consideration of complaints by the author, the Office </w:t>
      </w:r>
      <w:r w:rsidR="00605753">
        <w:t xml:space="preserve">of the Prosecutor General </w:t>
      </w:r>
      <w:r w:rsidR="00AA45D6">
        <w:t xml:space="preserve">requested that the case be returned to investigators for “reformulation of the indictment”, with instructions to comply with all the requirements of the </w:t>
      </w:r>
      <w:r w:rsidR="00605753">
        <w:t xml:space="preserve">Code of </w:t>
      </w:r>
      <w:r w:rsidR="00AA45D6">
        <w:t xml:space="preserve">Criminal Procedure. The </w:t>
      </w:r>
      <w:r w:rsidR="00605753">
        <w:t xml:space="preserve">National Security Committee </w:t>
      </w:r>
      <w:r w:rsidR="00AA45D6">
        <w:t xml:space="preserve">was also instructed to provide full access to the case documents to the author’s lawyer, B. </w:t>
      </w:r>
    </w:p>
    <w:p w14:paraId="187D89A0" w14:textId="77777777" w:rsidR="00AA45D6" w:rsidRDefault="00AA45D6" w:rsidP="005E7193">
      <w:pPr>
        <w:pStyle w:val="SingleTxtG"/>
      </w:pPr>
      <w:r>
        <w:t>4.5</w:t>
      </w:r>
      <w:r>
        <w:tab/>
      </w:r>
      <w:r w:rsidR="00275307">
        <w:t xml:space="preserve">The State party further submits that the author’s complaints regarding access to medical care were considered by </w:t>
      </w:r>
      <w:r w:rsidR="00605753">
        <w:t xml:space="preserve">Astana </w:t>
      </w:r>
      <w:r w:rsidR="00275307">
        <w:t xml:space="preserve">District Court No. 2. According </w:t>
      </w:r>
      <w:r w:rsidR="005E7193">
        <w:t xml:space="preserve">to </w:t>
      </w:r>
      <w:r w:rsidR="00275307">
        <w:t>th</w:t>
      </w:r>
      <w:r w:rsidR="00605753">
        <w:t>at</w:t>
      </w:r>
      <w:r w:rsidR="00275307">
        <w:t xml:space="preserve"> </w:t>
      </w:r>
      <w:r w:rsidR="005E7193">
        <w:t>C</w:t>
      </w:r>
      <w:r w:rsidR="00275307">
        <w:t xml:space="preserve">ourt’s decision, on 24 August 2009 </w:t>
      </w:r>
      <w:r w:rsidR="00F730B8">
        <w:t xml:space="preserve">a </w:t>
      </w:r>
      <w:r w:rsidR="00275307">
        <w:t xml:space="preserve">special medical commission examined the author. The commission concluded that there was no need </w:t>
      </w:r>
      <w:r w:rsidR="001871C2">
        <w:t xml:space="preserve">for </w:t>
      </w:r>
      <w:r w:rsidR="00275307">
        <w:t xml:space="preserve">permanent hospitalization. </w:t>
      </w:r>
      <w:r w:rsidR="008E0342">
        <w:t xml:space="preserve">Furthermore, after numerous complaints by the author and his counsel about </w:t>
      </w:r>
      <w:r w:rsidR="00605753">
        <w:t xml:space="preserve">the </w:t>
      </w:r>
      <w:r w:rsidR="008E0342">
        <w:t xml:space="preserve">critical medical condition of the author, he was </w:t>
      </w:r>
      <w:r w:rsidR="004742F8">
        <w:t>sen</w:t>
      </w:r>
      <w:r w:rsidR="00605753">
        <w:t>t</w:t>
      </w:r>
      <w:r w:rsidR="004742F8">
        <w:t xml:space="preserve"> to the </w:t>
      </w:r>
      <w:r w:rsidR="00605753">
        <w:t>n</w:t>
      </w:r>
      <w:r w:rsidR="004742F8">
        <w:t xml:space="preserve">ational </w:t>
      </w:r>
      <w:r w:rsidR="00605753">
        <w:t>s</w:t>
      </w:r>
      <w:r w:rsidR="004742F8">
        <w:t xml:space="preserve">cientific </w:t>
      </w:r>
      <w:r w:rsidR="00605753">
        <w:t>m</w:t>
      </w:r>
      <w:r w:rsidR="004742F8">
        <w:t xml:space="preserve">edical </w:t>
      </w:r>
      <w:r w:rsidR="00605753">
        <w:t>c</w:t>
      </w:r>
      <w:r w:rsidR="004742F8">
        <w:t>ent</w:t>
      </w:r>
      <w:r w:rsidR="00605753">
        <w:t>re</w:t>
      </w:r>
      <w:r w:rsidR="004742F8">
        <w:t xml:space="preserve">, where from 17 to 21 October 2009 the author underwent another examination. </w:t>
      </w:r>
      <w:r w:rsidR="00F730B8">
        <w:t>T</w:t>
      </w:r>
      <w:r w:rsidR="004742F8">
        <w:t xml:space="preserve">he medical records dated 21 October 2009 and the </w:t>
      </w:r>
      <w:r w:rsidR="00F730B8">
        <w:t xml:space="preserve">findings </w:t>
      </w:r>
      <w:r w:rsidR="004742F8">
        <w:t>of the commission of doctors of th</w:t>
      </w:r>
      <w:r w:rsidR="00F730B8">
        <w:t>e</w:t>
      </w:r>
      <w:r w:rsidR="004742F8">
        <w:t xml:space="preserve"> medical cent</w:t>
      </w:r>
      <w:r w:rsidR="00F730B8">
        <w:t>re indicate that</w:t>
      </w:r>
      <w:r w:rsidR="004742F8">
        <w:t xml:space="preserve"> the author was not in need of hospitalization. </w:t>
      </w:r>
    </w:p>
    <w:p w14:paraId="23158CD4" w14:textId="77777777" w:rsidR="004742F8" w:rsidRDefault="004742F8" w:rsidP="00641579">
      <w:pPr>
        <w:pStyle w:val="SingleTxtG"/>
      </w:pPr>
      <w:r>
        <w:t>4.6</w:t>
      </w:r>
      <w:r>
        <w:tab/>
        <w:t xml:space="preserve">Regarding the author’s convictions, the State party submits that his guilt was proven in court </w:t>
      </w:r>
      <w:r w:rsidR="00F730B8">
        <w:t>on the basis of</w:t>
      </w:r>
      <w:r>
        <w:t xml:space="preserve"> written evidence, </w:t>
      </w:r>
      <w:r w:rsidR="00F730B8">
        <w:t xml:space="preserve">the </w:t>
      </w:r>
      <w:r>
        <w:t>testimonies of victims</w:t>
      </w:r>
      <w:r w:rsidR="00F730B8">
        <w:t xml:space="preserve"> and</w:t>
      </w:r>
      <w:r>
        <w:t xml:space="preserve"> witnesses and other </w:t>
      </w:r>
      <w:r>
        <w:lastRenderedPageBreak/>
        <w:t>evidence</w:t>
      </w:r>
      <w:r w:rsidR="00E60161">
        <w:t>.</w:t>
      </w:r>
      <w:r>
        <w:rPr>
          <w:rStyle w:val="FootnoteReference"/>
        </w:rPr>
        <w:footnoteReference w:id="23"/>
      </w:r>
      <w:r>
        <w:t xml:space="preserve"> Arguments presented by the author and his counsel were considered by the court. </w:t>
      </w:r>
    </w:p>
    <w:p w14:paraId="0CC8625B" w14:textId="77777777" w:rsidR="004742F8" w:rsidRDefault="004742F8" w:rsidP="00641579">
      <w:pPr>
        <w:pStyle w:val="SingleTxtG"/>
      </w:pPr>
      <w:r>
        <w:t>4.7</w:t>
      </w:r>
      <w:r>
        <w:tab/>
        <w:t xml:space="preserve">Reiterating its earlier position, the State party submits that the author failed to exhaust all domestic remedies, in that he did not file an application for </w:t>
      </w:r>
      <w:r w:rsidR="00F730B8">
        <w:t xml:space="preserve">the </w:t>
      </w:r>
      <w:r>
        <w:t xml:space="preserve">supervisory review of his convictions. </w:t>
      </w:r>
      <w:r w:rsidR="00714156">
        <w:t>The present communication should</w:t>
      </w:r>
      <w:r w:rsidR="00F730B8" w:rsidRPr="00F730B8">
        <w:t xml:space="preserve"> </w:t>
      </w:r>
      <w:r w:rsidR="00F730B8">
        <w:t>therefore</w:t>
      </w:r>
      <w:r w:rsidR="00714156">
        <w:t xml:space="preserve"> be declared inadmissible. </w:t>
      </w:r>
    </w:p>
    <w:p w14:paraId="7E71FF84" w14:textId="77777777" w:rsidR="004B44C6" w:rsidRDefault="004B44C6" w:rsidP="004B44C6">
      <w:pPr>
        <w:pStyle w:val="H23G"/>
      </w:pPr>
      <w:r w:rsidRPr="00B12E1C">
        <w:tab/>
      </w:r>
      <w:r w:rsidRPr="00B12E1C">
        <w:tab/>
        <w:t>Author’s comments on the State party’s observations</w:t>
      </w:r>
    </w:p>
    <w:p w14:paraId="76646F93" w14:textId="77777777" w:rsidR="00205AFA" w:rsidRDefault="004B44C6" w:rsidP="00641579">
      <w:pPr>
        <w:pStyle w:val="SingleTxtG"/>
      </w:pPr>
      <w:r w:rsidRPr="00B12E1C">
        <w:t>5.1</w:t>
      </w:r>
      <w:r w:rsidRPr="00B12E1C">
        <w:tab/>
      </w:r>
      <w:r w:rsidR="008361A4">
        <w:t xml:space="preserve">On </w:t>
      </w:r>
      <w:r w:rsidR="00DF04F6">
        <w:t>24 March and 5 August 2014</w:t>
      </w:r>
      <w:r w:rsidR="00770F8E">
        <w:t>, the author</w:t>
      </w:r>
      <w:r w:rsidR="008361A4">
        <w:t xml:space="preserve">, responding to the State party’s observations on </w:t>
      </w:r>
      <w:r w:rsidR="001A2751">
        <w:t xml:space="preserve">admissibility and </w:t>
      </w:r>
      <w:r w:rsidR="008361A4">
        <w:t>the merits,</w:t>
      </w:r>
      <w:r w:rsidR="001A2751">
        <w:t xml:space="preserve"> </w:t>
      </w:r>
      <w:r w:rsidR="00DF04F6">
        <w:t xml:space="preserve">submits that </w:t>
      </w:r>
      <w:r w:rsidR="00205AFA">
        <w:t>at the time of his conviction</w:t>
      </w:r>
      <w:r w:rsidR="006F3171">
        <w:t xml:space="preserve"> for </w:t>
      </w:r>
      <w:r w:rsidR="006F3171">
        <w:rPr>
          <w:lang w:val="en-US"/>
        </w:rPr>
        <w:t>e</w:t>
      </w:r>
      <w:r w:rsidR="006F3171" w:rsidRPr="00970D30">
        <w:rPr>
          <w:lang w:val="en-US"/>
        </w:rPr>
        <w:t xml:space="preserve">mbezzlement and </w:t>
      </w:r>
      <w:r w:rsidR="006F3171">
        <w:rPr>
          <w:lang w:val="en-US"/>
        </w:rPr>
        <w:t>b</w:t>
      </w:r>
      <w:r w:rsidR="006F3171" w:rsidRPr="00970D30">
        <w:rPr>
          <w:lang w:val="en-US"/>
        </w:rPr>
        <w:t>ribery</w:t>
      </w:r>
      <w:r w:rsidR="00205AFA">
        <w:t xml:space="preserve"> the appeal route that </w:t>
      </w:r>
      <w:r w:rsidR="00F730B8">
        <w:t xml:space="preserve">was </w:t>
      </w:r>
      <w:r w:rsidR="00205AFA">
        <w:t>available to him</w:t>
      </w:r>
      <w:r w:rsidR="00F730B8">
        <w:t xml:space="preserve"> involved a</w:t>
      </w:r>
      <w:r w:rsidR="00205AFA">
        <w:t xml:space="preserve"> supervisory review </w:t>
      </w:r>
      <w:r w:rsidR="00F730B8">
        <w:t xml:space="preserve">by </w:t>
      </w:r>
      <w:r w:rsidR="00205AFA">
        <w:t xml:space="preserve">the Supreme Court, </w:t>
      </w:r>
      <w:r w:rsidR="00F730B8">
        <w:t xml:space="preserve">a </w:t>
      </w:r>
      <w:r w:rsidR="00205AFA">
        <w:t>process he followed and exhausted. As to the second conviction</w:t>
      </w:r>
      <w:r w:rsidR="00F730B8">
        <w:t>,</w:t>
      </w:r>
      <w:r w:rsidR="00205AFA">
        <w:t xml:space="preserve"> for fraud, the State party’s assertion on non-exhaustion is “misplaced”, since th</w:t>
      </w:r>
      <w:r w:rsidR="00F730B8">
        <w:t>e</w:t>
      </w:r>
      <w:r w:rsidR="00205AFA">
        <w:t xml:space="preserve"> conviction</w:t>
      </w:r>
      <w:r w:rsidR="006F3171">
        <w:t xml:space="preserve"> </w:t>
      </w:r>
      <w:r w:rsidR="00205AFA">
        <w:t>“forms no part” of the present communication.</w:t>
      </w:r>
    </w:p>
    <w:p w14:paraId="061947BA" w14:textId="77777777" w:rsidR="00205AFA" w:rsidRDefault="00205AFA" w:rsidP="005E7193">
      <w:pPr>
        <w:pStyle w:val="SingleTxtG"/>
      </w:pPr>
      <w:r>
        <w:t>5.2</w:t>
      </w:r>
      <w:r>
        <w:tab/>
        <w:t xml:space="preserve">In describing </w:t>
      </w:r>
      <w:r w:rsidR="00F730B8">
        <w:t xml:space="preserve">the </w:t>
      </w:r>
      <w:r>
        <w:t xml:space="preserve">conditions of his imprisonment, the author submits that he is being held in a “medical block”, </w:t>
      </w:r>
      <w:r w:rsidR="00F730B8">
        <w:t xml:space="preserve">that he </w:t>
      </w:r>
      <w:r>
        <w:t>has no access to hot water, that the toilets have no heating, that he has “only intermittent” access to shower</w:t>
      </w:r>
      <w:r w:rsidR="005E7193">
        <w:t>s</w:t>
      </w:r>
      <w:r>
        <w:t xml:space="preserve"> and </w:t>
      </w:r>
      <w:r w:rsidR="00F730B8">
        <w:t xml:space="preserve">that </w:t>
      </w:r>
      <w:r>
        <w:t>th</w:t>
      </w:r>
      <w:r w:rsidR="00C342E3">
        <w:t xml:space="preserve">e prison where he </w:t>
      </w:r>
      <w:r w:rsidR="005E7193">
        <w:t xml:space="preserve">has been </w:t>
      </w:r>
      <w:r w:rsidR="00C342E3">
        <w:t>moved to, in Karaganda region, is more than 1</w:t>
      </w:r>
      <w:r w:rsidR="00F730B8">
        <w:t>,</w:t>
      </w:r>
      <w:r w:rsidR="00C342E3">
        <w:t xml:space="preserve">000 km away from his family’s residence, which makes it difficult for family </w:t>
      </w:r>
      <w:r w:rsidR="00F730B8">
        <w:t xml:space="preserve">members to </w:t>
      </w:r>
      <w:r w:rsidR="00C342E3">
        <w:t>visit</w:t>
      </w:r>
      <w:r w:rsidR="00F730B8">
        <w:t xml:space="preserve"> him</w:t>
      </w:r>
      <w:r w:rsidR="00C342E3">
        <w:t xml:space="preserve">. </w:t>
      </w:r>
    </w:p>
    <w:p w14:paraId="12E15EA6" w14:textId="77777777" w:rsidR="00C342E3" w:rsidRDefault="00C342E3" w:rsidP="005E7193">
      <w:pPr>
        <w:pStyle w:val="SingleTxtG"/>
      </w:pPr>
      <w:r>
        <w:t>5.3</w:t>
      </w:r>
      <w:r>
        <w:tab/>
        <w:t xml:space="preserve">Upon his arrival </w:t>
      </w:r>
      <w:r w:rsidR="00F730B8">
        <w:t xml:space="preserve">at </w:t>
      </w:r>
      <w:r w:rsidR="005E7193">
        <w:t>the</w:t>
      </w:r>
      <w:r>
        <w:t xml:space="preserve"> new prison on 14 February 2014, he was severely beaten by one of the prison guards. The author submits that after receiving blows to the back of his head he fell </w:t>
      </w:r>
      <w:r w:rsidR="00F730B8">
        <w:t xml:space="preserve">to </w:t>
      </w:r>
      <w:r>
        <w:t xml:space="preserve">the ground and </w:t>
      </w:r>
      <w:r w:rsidR="005E7193">
        <w:t xml:space="preserve">was </w:t>
      </w:r>
      <w:r>
        <w:t>kick</w:t>
      </w:r>
      <w:r w:rsidR="00F730B8">
        <w:t>ed</w:t>
      </w:r>
      <w:r>
        <w:t xml:space="preserve"> </w:t>
      </w:r>
      <w:r w:rsidR="005E7193">
        <w:t>in</w:t>
      </w:r>
      <w:r>
        <w:t xml:space="preserve"> the stomach and kidneys</w:t>
      </w:r>
      <w:r w:rsidR="005E7193" w:rsidRPr="005E7193">
        <w:t xml:space="preserve"> </w:t>
      </w:r>
      <w:r w:rsidR="005E7193">
        <w:t>by a prison guard</w:t>
      </w:r>
      <w:r>
        <w:t xml:space="preserve">. </w:t>
      </w:r>
      <w:r w:rsidR="007E586A">
        <w:t>His</w:t>
      </w:r>
      <w:r>
        <w:t xml:space="preserve"> health conditions </w:t>
      </w:r>
      <w:r w:rsidR="00F730B8">
        <w:t xml:space="preserve">have since </w:t>
      </w:r>
      <w:r>
        <w:t>deteriorated</w:t>
      </w:r>
      <w:r w:rsidR="00F730B8" w:rsidRPr="00F730B8">
        <w:t xml:space="preserve"> </w:t>
      </w:r>
      <w:r w:rsidR="00F730B8">
        <w:t>further</w:t>
      </w:r>
      <w:r>
        <w:t xml:space="preserve">. </w:t>
      </w:r>
    </w:p>
    <w:p w14:paraId="6AF8C2FF" w14:textId="77777777" w:rsidR="00C342E3" w:rsidRPr="00897D16" w:rsidRDefault="00C342E3" w:rsidP="00641579">
      <w:pPr>
        <w:pStyle w:val="SingleTxtG"/>
      </w:pPr>
      <w:r>
        <w:t>5.4</w:t>
      </w:r>
      <w:r>
        <w:tab/>
        <w:t xml:space="preserve">During </w:t>
      </w:r>
      <w:r w:rsidR="00F730B8">
        <w:t xml:space="preserve">a </w:t>
      </w:r>
      <w:r>
        <w:t>visit</w:t>
      </w:r>
      <w:r w:rsidR="008172D4">
        <w:t xml:space="preserve"> on 18 February 2014</w:t>
      </w:r>
      <w:r>
        <w:t xml:space="preserve">, his wife saw the author’s condition and complained to the Ministry of Internal Affairs </w:t>
      </w:r>
      <w:r w:rsidR="008172D4">
        <w:t>on 25 February 2014</w:t>
      </w:r>
      <w:r>
        <w:t xml:space="preserve">. The authorities issued a statement in </w:t>
      </w:r>
      <w:r w:rsidR="00F730B8">
        <w:t xml:space="preserve">the </w:t>
      </w:r>
      <w:r>
        <w:t xml:space="preserve">media </w:t>
      </w:r>
      <w:r w:rsidR="008172D4">
        <w:t xml:space="preserve">on 5 March 2014 </w:t>
      </w:r>
      <w:r w:rsidR="00F730B8">
        <w:t xml:space="preserve">according to which </w:t>
      </w:r>
      <w:r>
        <w:t xml:space="preserve">the allegations </w:t>
      </w:r>
      <w:r w:rsidR="00F730B8">
        <w:t>we</w:t>
      </w:r>
      <w:r>
        <w:t>re being investigated</w:t>
      </w:r>
      <w:r w:rsidR="00F730B8">
        <w:t xml:space="preserve">. Neither </w:t>
      </w:r>
      <w:r>
        <w:t xml:space="preserve">the author </w:t>
      </w:r>
      <w:r w:rsidR="00F730B8">
        <w:t>n</w:t>
      </w:r>
      <w:r>
        <w:t>or his lawyers ever received a formal response.</w:t>
      </w:r>
      <w:r w:rsidR="00E60161">
        <w:t xml:space="preserve"> </w:t>
      </w:r>
    </w:p>
    <w:p w14:paraId="645D8F6B" w14:textId="77777777" w:rsidR="007D76D6" w:rsidRDefault="007D76D6" w:rsidP="00641579">
      <w:pPr>
        <w:pStyle w:val="SingleTxtG"/>
      </w:pPr>
      <w:r w:rsidRPr="00897D16">
        <w:t>5.5</w:t>
      </w:r>
      <w:r>
        <w:tab/>
        <w:t xml:space="preserve">Reiterating his position with regard to violations of his rights before trial, the author submits that the </w:t>
      </w:r>
      <w:r w:rsidR="002754B7">
        <w:t>S</w:t>
      </w:r>
      <w:r>
        <w:t xml:space="preserve">tate-appointed lawyer was not chosen by him. To the contrary, </w:t>
      </w:r>
      <w:r w:rsidR="002754B7">
        <w:t xml:space="preserve">the author </w:t>
      </w:r>
      <w:r>
        <w:t xml:space="preserve">was trying to secure representation by a private lawyer, but his requests were rejected. The author submits that restrictions on individuals to work with </w:t>
      </w:r>
      <w:r w:rsidR="002754B7">
        <w:t>S</w:t>
      </w:r>
      <w:r>
        <w:t xml:space="preserve">tate secrets with no prior security clearance relates to their employment, not </w:t>
      </w:r>
      <w:r w:rsidR="002754B7">
        <w:t xml:space="preserve">to </w:t>
      </w:r>
      <w:r>
        <w:t xml:space="preserve">judicial proceedings. </w:t>
      </w:r>
    </w:p>
    <w:p w14:paraId="7453F387" w14:textId="77777777" w:rsidR="004C6922" w:rsidRDefault="004C6922" w:rsidP="00641579">
      <w:pPr>
        <w:pStyle w:val="SingleTxtG"/>
      </w:pPr>
      <w:r>
        <w:t>5.6</w:t>
      </w:r>
      <w:r>
        <w:tab/>
        <w:t xml:space="preserve">The author further submits </w:t>
      </w:r>
      <w:r w:rsidR="002754B7">
        <w:t xml:space="preserve">that </w:t>
      </w:r>
      <w:r>
        <w:t xml:space="preserve">the State party’s response is insufficient regarding </w:t>
      </w:r>
      <w:r w:rsidR="002754B7">
        <w:t xml:space="preserve">the issue of </w:t>
      </w:r>
      <w:r>
        <w:t>inadequate access and facilities to prepare for his defence</w:t>
      </w:r>
      <w:r w:rsidR="002754B7">
        <w:t>,</w:t>
      </w:r>
      <w:r>
        <w:t xml:space="preserve"> as </w:t>
      </w:r>
      <w:r w:rsidR="002754B7">
        <w:t>the State</w:t>
      </w:r>
      <w:r>
        <w:t xml:space="preserve"> fails to respond to </w:t>
      </w:r>
      <w:r w:rsidR="002754B7">
        <w:t xml:space="preserve">a number of </w:t>
      </w:r>
      <w:r>
        <w:t xml:space="preserve">detailed points made in the communication. Furthermore, no allowances were made to account for the author’s health status, which prevented him from reading case documents. The author also submits that </w:t>
      </w:r>
      <w:r w:rsidR="002754B7">
        <w:t>the S</w:t>
      </w:r>
      <w:r>
        <w:t>tate-appointed counsel were not qualified to deal with his case or were simply not interested in assisting him. Contrary to</w:t>
      </w:r>
      <w:r w:rsidR="000371C7">
        <w:t xml:space="preserve"> the</w:t>
      </w:r>
      <w:r>
        <w:t xml:space="preserve"> requirements of article 14 </w:t>
      </w:r>
      <w:r w:rsidR="002754B7">
        <w:t>(</w:t>
      </w:r>
      <w:r>
        <w:t>1</w:t>
      </w:r>
      <w:r w:rsidR="002754B7">
        <w:t>)</w:t>
      </w:r>
      <w:r w:rsidR="005E7193">
        <w:t xml:space="preserve"> of the Covenant</w:t>
      </w:r>
      <w:r>
        <w:t>, the author was denied his right to a fair and public hearing by a competent, independent and impartial tribunal</w:t>
      </w:r>
      <w:r w:rsidR="002754B7">
        <w:t>. Moreover,</w:t>
      </w:r>
      <w:r w:rsidR="00E83D78">
        <w:t xml:space="preserve"> the author’s final conviction </w:t>
      </w:r>
      <w:r w:rsidR="002754B7">
        <w:t>w</w:t>
      </w:r>
      <w:r w:rsidR="008172D4">
        <w:t>as</w:t>
      </w:r>
      <w:r w:rsidR="00E83D78">
        <w:t xml:space="preserve"> not</w:t>
      </w:r>
      <w:r w:rsidR="008172D4">
        <w:t xml:space="preserve"> </w:t>
      </w:r>
      <w:r w:rsidR="00E83D78">
        <w:t>made public</w:t>
      </w:r>
      <w:r>
        <w:t xml:space="preserve">. </w:t>
      </w:r>
    </w:p>
    <w:p w14:paraId="53B28551" w14:textId="77777777" w:rsidR="008E203A" w:rsidRDefault="008E203A" w:rsidP="005E7193">
      <w:pPr>
        <w:pStyle w:val="SingleTxtG"/>
      </w:pPr>
      <w:r>
        <w:t>5.7</w:t>
      </w:r>
      <w:r>
        <w:tab/>
      </w:r>
      <w:r w:rsidR="00E83D78">
        <w:t>The author reiterates his position that</w:t>
      </w:r>
      <w:r w:rsidR="002754B7">
        <w:t>,</w:t>
      </w:r>
      <w:r w:rsidR="00E83D78">
        <w:t xml:space="preserve"> contrary to articles 6, 7 and 10 of the Covenant, the State party failed to adequately monitor the author’s health and treat his various conditions, especially his high blood pressure. The State party also failed to </w:t>
      </w:r>
      <w:r w:rsidR="002754B7">
        <w:t xml:space="preserve">carry out </w:t>
      </w:r>
      <w:r w:rsidR="00E83D78">
        <w:t>a proper investigation into the author’s claims</w:t>
      </w:r>
      <w:r w:rsidR="002754B7">
        <w:t xml:space="preserve"> of torture</w:t>
      </w:r>
      <w:r w:rsidR="00E83D78">
        <w:t xml:space="preserve">. The </w:t>
      </w:r>
      <w:r w:rsidR="002754B7">
        <w:t xml:space="preserve">small </w:t>
      </w:r>
      <w:r w:rsidR="00E83D78">
        <w:t xml:space="preserve">size of the author’s </w:t>
      </w:r>
      <w:r w:rsidR="00E83D78">
        <w:lastRenderedPageBreak/>
        <w:t xml:space="preserve">cell, the lack of sanitary facilities and </w:t>
      </w:r>
      <w:r w:rsidR="002754B7">
        <w:t xml:space="preserve">the </w:t>
      </w:r>
      <w:r w:rsidR="00E83D78">
        <w:t>restrict</w:t>
      </w:r>
      <w:r w:rsidR="002754B7">
        <w:t>ions on</w:t>
      </w:r>
      <w:r w:rsidR="00E83D78">
        <w:t xml:space="preserve"> activities all constitute violation</w:t>
      </w:r>
      <w:r w:rsidR="005E7193">
        <w:t>s</w:t>
      </w:r>
      <w:r w:rsidR="00E83D78">
        <w:t xml:space="preserve"> of article 7 of the Covenant. </w:t>
      </w:r>
    </w:p>
    <w:p w14:paraId="02B15743" w14:textId="77777777" w:rsidR="002F2E8D" w:rsidRPr="00821AF3" w:rsidRDefault="00E83D78" w:rsidP="005E7193">
      <w:pPr>
        <w:pStyle w:val="SingleTxtG"/>
      </w:pPr>
      <w:r>
        <w:t>5.8</w:t>
      </w:r>
      <w:r>
        <w:tab/>
        <w:t xml:space="preserve">The author also claims that his incommunicado detention, </w:t>
      </w:r>
      <w:r w:rsidR="002754B7">
        <w:t xml:space="preserve">the </w:t>
      </w:r>
      <w:r>
        <w:t>lack of communication with his family “at regular intervals” and</w:t>
      </w:r>
      <w:r w:rsidR="002754B7">
        <w:t>,</w:t>
      </w:r>
      <w:r>
        <w:t xml:space="preserve"> again, </w:t>
      </w:r>
      <w:r w:rsidR="002754B7">
        <w:t xml:space="preserve">the </w:t>
      </w:r>
      <w:r>
        <w:t xml:space="preserve">lack of adequate health care </w:t>
      </w:r>
      <w:r w:rsidR="005E7193">
        <w:t xml:space="preserve">constitute </w:t>
      </w:r>
      <w:r>
        <w:t>violat</w:t>
      </w:r>
      <w:r w:rsidR="005E7193">
        <w:t>ions</w:t>
      </w:r>
      <w:r>
        <w:t xml:space="preserve"> </w:t>
      </w:r>
      <w:r w:rsidR="005E7193">
        <w:t xml:space="preserve">of </w:t>
      </w:r>
      <w:r>
        <w:t xml:space="preserve">his rights under article 10 of the Covenant. </w:t>
      </w:r>
    </w:p>
    <w:p w14:paraId="686D48DB" w14:textId="77777777" w:rsidR="004B44C6" w:rsidRPr="00B12E1C" w:rsidRDefault="002124DF" w:rsidP="004B44C6">
      <w:pPr>
        <w:pStyle w:val="H23G"/>
      </w:pPr>
      <w:r>
        <w:tab/>
      </w:r>
      <w:r w:rsidR="004B44C6" w:rsidRPr="00B12E1C">
        <w:tab/>
        <w:t>Issues and proceedings before the Committee</w:t>
      </w:r>
    </w:p>
    <w:p w14:paraId="4390D725" w14:textId="77777777" w:rsidR="004B44C6" w:rsidRPr="00B12E1C" w:rsidRDefault="004B44C6" w:rsidP="004B44C6">
      <w:pPr>
        <w:pStyle w:val="H4G"/>
      </w:pPr>
      <w:r w:rsidRPr="00B12E1C">
        <w:tab/>
      </w:r>
      <w:r w:rsidRPr="00B12E1C">
        <w:tab/>
        <w:t>Consideration of admissibility</w:t>
      </w:r>
    </w:p>
    <w:p w14:paraId="269A9244" w14:textId="77777777" w:rsidR="0090563A" w:rsidRDefault="00C342E3" w:rsidP="00641579">
      <w:pPr>
        <w:pStyle w:val="SingleTxtG"/>
        <w:rPr>
          <w:bCs/>
        </w:rPr>
      </w:pPr>
      <w:r>
        <w:rPr>
          <w:bCs/>
        </w:rPr>
        <w:t>6</w:t>
      </w:r>
      <w:r w:rsidR="004B44C6" w:rsidRPr="00B12E1C">
        <w:rPr>
          <w:bCs/>
        </w:rPr>
        <w:t>.1</w:t>
      </w:r>
      <w:r w:rsidR="004B44C6" w:rsidRPr="00B12E1C">
        <w:rPr>
          <w:bCs/>
        </w:rPr>
        <w:tab/>
      </w:r>
      <w:r w:rsidR="0090563A">
        <w:rPr>
          <w:bCs/>
        </w:rPr>
        <w:t>Before considering any claims contained in a communication, the Committee must, in</w:t>
      </w:r>
      <w:r w:rsidR="0090563A" w:rsidRPr="00D23322">
        <w:t xml:space="preserve"> </w:t>
      </w:r>
      <w:r w:rsidR="0090563A">
        <w:rPr>
          <w:bCs/>
        </w:rPr>
        <w:t xml:space="preserve">accordance with rule 93 of its rules of procedure, decide whether or not </w:t>
      </w:r>
      <w:r w:rsidR="002754B7">
        <w:rPr>
          <w:bCs/>
        </w:rPr>
        <w:t xml:space="preserve">the communication </w:t>
      </w:r>
      <w:r w:rsidR="0090563A">
        <w:rPr>
          <w:bCs/>
        </w:rPr>
        <w:t>is admissible under the Optional Protocol.</w:t>
      </w:r>
    </w:p>
    <w:p w14:paraId="12E9FCCB" w14:textId="77777777" w:rsidR="008D6EA8" w:rsidRDefault="00C342E3" w:rsidP="00641579">
      <w:pPr>
        <w:pStyle w:val="SingleTxtG"/>
      </w:pPr>
      <w:r>
        <w:t>6</w:t>
      </w:r>
      <w:r w:rsidR="0090563A" w:rsidRPr="00897D16">
        <w:t>.2</w:t>
      </w:r>
      <w:r w:rsidR="0090563A">
        <w:tab/>
        <w:t xml:space="preserve">The Committee has ascertained, as required under article 5 </w:t>
      </w:r>
      <w:r w:rsidR="002754B7">
        <w:t>(</w:t>
      </w:r>
      <w:r w:rsidR="0090563A">
        <w:t>2</w:t>
      </w:r>
      <w:r w:rsidR="002754B7">
        <w:t>)</w:t>
      </w:r>
      <w:r w:rsidR="0090563A">
        <w:t xml:space="preserve"> (a) of the Optional Protocol that the same matter is not being examined under another procedure of international investigation or settlement.</w:t>
      </w:r>
    </w:p>
    <w:p w14:paraId="3593B32A" w14:textId="77777777" w:rsidR="008D6EA8" w:rsidRDefault="00C342E3" w:rsidP="00641579">
      <w:pPr>
        <w:pStyle w:val="SingleTxtG"/>
      </w:pPr>
      <w:r>
        <w:t>6</w:t>
      </w:r>
      <w:r w:rsidR="008D6EA8" w:rsidRPr="00494813">
        <w:t>.3</w:t>
      </w:r>
      <w:r w:rsidR="008D6EA8" w:rsidRPr="00494813">
        <w:tab/>
      </w:r>
      <w:r w:rsidR="008D6EA8">
        <w:t>T</w:t>
      </w:r>
      <w:r w:rsidR="008D6EA8" w:rsidRPr="00494813">
        <w:t>he Committee notes the State party</w:t>
      </w:r>
      <w:r w:rsidR="009D093B">
        <w:t>’</w:t>
      </w:r>
      <w:r w:rsidR="008D6EA8" w:rsidRPr="00494813">
        <w:t>s submission that the author has not filed a requ</w:t>
      </w:r>
      <w:r w:rsidR="008D6EA8">
        <w:t>est for a supervisory review of his final convictions.</w:t>
      </w:r>
      <w:r w:rsidR="00205AFA">
        <w:t xml:space="preserve"> In th</w:t>
      </w:r>
      <w:r w:rsidR="002754B7">
        <w:t>at</w:t>
      </w:r>
      <w:r w:rsidR="00205AFA">
        <w:t xml:space="preserve"> regard, the Committee notes</w:t>
      </w:r>
      <w:r w:rsidR="00CF01EB">
        <w:t xml:space="preserve"> </w:t>
      </w:r>
      <w:r w:rsidR="00205AFA">
        <w:t xml:space="preserve">the author’s assertion that on 23 June 2011 he did file an application for supervisory review </w:t>
      </w:r>
      <w:r w:rsidR="00A634B8">
        <w:t xml:space="preserve">in the course of proceedings </w:t>
      </w:r>
      <w:r w:rsidR="002754B7">
        <w:t xml:space="preserve">appealing </w:t>
      </w:r>
      <w:r w:rsidR="007E586A">
        <w:t xml:space="preserve">his conviction on </w:t>
      </w:r>
      <w:r w:rsidR="007E586A" w:rsidRPr="007E586A">
        <w:t>embezzlement and bribery charges</w:t>
      </w:r>
      <w:r w:rsidR="00205AFA">
        <w:t xml:space="preserve"> </w:t>
      </w:r>
      <w:r w:rsidR="00A634B8">
        <w:t xml:space="preserve">with the Supreme Court, </w:t>
      </w:r>
      <w:r w:rsidR="002754B7">
        <w:t>and that the application</w:t>
      </w:r>
      <w:r w:rsidR="00205AFA">
        <w:t xml:space="preserve"> was rejected on 25 July 2011. Accordingly, the </w:t>
      </w:r>
      <w:r w:rsidR="008D6EA8" w:rsidRPr="00494813">
        <w:t xml:space="preserve">Committee finds that article 5 </w:t>
      </w:r>
      <w:r w:rsidR="002754B7">
        <w:t>(</w:t>
      </w:r>
      <w:r w:rsidR="008D6EA8" w:rsidRPr="00494813">
        <w:t>2</w:t>
      </w:r>
      <w:r w:rsidR="002754B7">
        <w:t>)</w:t>
      </w:r>
      <w:r w:rsidR="008D6EA8" w:rsidRPr="00494813">
        <w:t xml:space="preserve"> (b) of the Optional Protocol does not preclude it from</w:t>
      </w:r>
      <w:r w:rsidR="000E5372">
        <w:t xml:space="preserve"> considering the communication</w:t>
      </w:r>
      <w:r w:rsidR="00345FA7">
        <w:t xml:space="preserve"> as it relates to </w:t>
      </w:r>
      <w:r w:rsidR="002754B7">
        <w:t xml:space="preserve">the </w:t>
      </w:r>
      <w:r w:rsidR="00345FA7">
        <w:t>final conviction</w:t>
      </w:r>
      <w:r w:rsidR="008172D4" w:rsidRPr="008172D4">
        <w:rPr>
          <w:lang w:val="en-US"/>
        </w:rPr>
        <w:t xml:space="preserve"> </w:t>
      </w:r>
      <w:r w:rsidR="008172D4">
        <w:t xml:space="preserve">of the author </w:t>
      </w:r>
      <w:r w:rsidR="008172D4" w:rsidRPr="008172D4">
        <w:t>on</w:t>
      </w:r>
      <w:r w:rsidR="008172D4" w:rsidRPr="008172D4">
        <w:rPr>
          <w:lang w:val="en-US"/>
        </w:rPr>
        <w:t xml:space="preserve"> embezzlement and bribery charges</w:t>
      </w:r>
      <w:r w:rsidR="000E5372">
        <w:t>.</w:t>
      </w:r>
    </w:p>
    <w:p w14:paraId="7E4D2DAB" w14:textId="77777777" w:rsidR="008D6EA8" w:rsidRDefault="00C342E3" w:rsidP="00357C31">
      <w:pPr>
        <w:spacing w:after="120"/>
        <w:ind w:left="1134" w:right="1134"/>
        <w:jc w:val="both"/>
      </w:pPr>
      <w:r>
        <w:rPr>
          <w:iCs/>
          <w:lang w:val="en-US" w:eastAsia="en-GB"/>
        </w:rPr>
        <w:t>6</w:t>
      </w:r>
      <w:r w:rsidR="008D6EA8">
        <w:rPr>
          <w:iCs/>
          <w:lang w:val="en-US" w:eastAsia="en-GB"/>
        </w:rPr>
        <w:t>.4</w:t>
      </w:r>
      <w:r w:rsidR="008D6EA8">
        <w:rPr>
          <w:iCs/>
          <w:lang w:val="en-US" w:eastAsia="en-GB"/>
        </w:rPr>
        <w:tab/>
      </w:r>
      <w:r w:rsidR="008D6EA8" w:rsidRPr="002B43BC">
        <w:rPr>
          <w:iCs/>
          <w:lang w:val="en-US" w:eastAsia="en-GB"/>
        </w:rPr>
        <w:t xml:space="preserve">The Committee notes that the alleged violations of </w:t>
      </w:r>
      <w:r w:rsidR="008D6EA8" w:rsidRPr="002B43BC">
        <w:t xml:space="preserve">article </w:t>
      </w:r>
      <w:r w:rsidR="00345FA7">
        <w:t xml:space="preserve">9 </w:t>
      </w:r>
      <w:r w:rsidR="002754B7">
        <w:t>(</w:t>
      </w:r>
      <w:r w:rsidR="00345FA7">
        <w:t>1-5</w:t>
      </w:r>
      <w:r w:rsidR="002754B7">
        <w:t>)</w:t>
      </w:r>
      <w:r w:rsidR="005E7193">
        <w:t xml:space="preserve"> of the Covenant</w:t>
      </w:r>
      <w:r w:rsidR="00345FA7">
        <w:t xml:space="preserve">, </w:t>
      </w:r>
      <w:r w:rsidR="008D6EA8" w:rsidRPr="002B43BC">
        <w:rPr>
          <w:iCs/>
          <w:lang w:val="en-US" w:eastAsia="en-GB"/>
        </w:rPr>
        <w:t xml:space="preserve">relating to </w:t>
      </w:r>
      <w:r w:rsidR="008D6EA8">
        <w:rPr>
          <w:iCs/>
          <w:lang w:val="en-US" w:eastAsia="en-GB"/>
        </w:rPr>
        <w:t xml:space="preserve">the </w:t>
      </w:r>
      <w:r w:rsidR="00345FA7">
        <w:rPr>
          <w:iCs/>
          <w:lang w:val="en-US" w:eastAsia="en-GB"/>
        </w:rPr>
        <w:t xml:space="preserve">author’s </w:t>
      </w:r>
      <w:r w:rsidR="00E17ABA">
        <w:t>arbitrary arrest,</w:t>
      </w:r>
      <w:r w:rsidR="002754B7">
        <w:t xml:space="preserve"> the</w:t>
      </w:r>
      <w:r w:rsidR="00E17ABA">
        <w:t xml:space="preserve"> failure</w:t>
      </w:r>
      <w:r w:rsidR="00E17ABA" w:rsidRPr="00A72F45">
        <w:t xml:space="preserve"> </w:t>
      </w:r>
      <w:r w:rsidR="00E17ABA">
        <w:t xml:space="preserve">to inform the author </w:t>
      </w:r>
      <w:r w:rsidR="002754B7">
        <w:t xml:space="preserve">of </w:t>
      </w:r>
      <w:r w:rsidR="00E17ABA" w:rsidRPr="00A72F45">
        <w:t xml:space="preserve">the reason </w:t>
      </w:r>
      <w:r w:rsidR="00E17ABA">
        <w:t xml:space="preserve">for the </w:t>
      </w:r>
      <w:r w:rsidR="00E17ABA" w:rsidRPr="00A72F45">
        <w:t>arrest</w:t>
      </w:r>
      <w:r w:rsidR="00E17ABA">
        <w:t xml:space="preserve"> and </w:t>
      </w:r>
      <w:r w:rsidR="002754B7">
        <w:t xml:space="preserve">of the </w:t>
      </w:r>
      <w:r w:rsidR="00E17ABA">
        <w:t>c</w:t>
      </w:r>
      <w:r w:rsidR="00E17ABA" w:rsidRPr="00A72F45">
        <w:t>harges against him</w:t>
      </w:r>
      <w:r w:rsidR="00E17ABA">
        <w:t xml:space="preserve"> </w:t>
      </w:r>
      <w:r w:rsidR="002754B7">
        <w:t>and the</w:t>
      </w:r>
      <w:r w:rsidR="00E17ABA" w:rsidRPr="00F71106">
        <w:t xml:space="preserve"> </w:t>
      </w:r>
      <w:r w:rsidR="00E17ABA">
        <w:t xml:space="preserve">failure to </w:t>
      </w:r>
      <w:r w:rsidR="00E17ABA" w:rsidRPr="00F71106">
        <w:t>br</w:t>
      </w:r>
      <w:r w:rsidR="00E17ABA">
        <w:t xml:space="preserve">ing him </w:t>
      </w:r>
      <w:r w:rsidR="00E17ABA" w:rsidRPr="00F71106">
        <w:t xml:space="preserve">promptly before a </w:t>
      </w:r>
      <w:r w:rsidR="00E17ABA">
        <w:t xml:space="preserve">competent </w:t>
      </w:r>
      <w:r w:rsidR="006A2524" w:rsidRPr="00F71106">
        <w:t>judge</w:t>
      </w:r>
      <w:r w:rsidR="002754B7">
        <w:t>,</w:t>
      </w:r>
      <w:r w:rsidR="006A2524">
        <w:t xml:space="preserve"> </w:t>
      </w:r>
      <w:r w:rsidR="006A2524" w:rsidRPr="002B43BC">
        <w:rPr>
          <w:iCs/>
          <w:lang w:val="en-US" w:eastAsia="en-GB"/>
        </w:rPr>
        <w:t>occurred</w:t>
      </w:r>
      <w:r w:rsidR="008D6EA8" w:rsidRPr="002B43BC">
        <w:rPr>
          <w:iCs/>
          <w:lang w:val="en-US" w:eastAsia="en-GB"/>
        </w:rPr>
        <w:t xml:space="preserve"> prior to the entry into force of the Optional Protocol for the State party (i.e. before 30 September 2009). </w:t>
      </w:r>
      <w:r w:rsidR="00EE50B7">
        <w:rPr>
          <w:iCs/>
          <w:lang w:val="en-US" w:eastAsia="en-GB"/>
        </w:rPr>
        <w:t>The Committee further notes that</w:t>
      </w:r>
      <w:r w:rsidR="00A634B8">
        <w:rPr>
          <w:iCs/>
          <w:lang w:val="en-US" w:eastAsia="en-GB"/>
        </w:rPr>
        <w:t xml:space="preserve"> on</w:t>
      </w:r>
      <w:r w:rsidR="00EE50B7">
        <w:rPr>
          <w:iCs/>
          <w:lang w:val="en-US" w:eastAsia="en-GB"/>
        </w:rPr>
        <w:t xml:space="preserve"> 17 October 2009 </w:t>
      </w:r>
      <w:r w:rsidR="00761EBD">
        <w:rPr>
          <w:iCs/>
          <w:lang w:val="en-US" w:eastAsia="en-GB"/>
        </w:rPr>
        <w:t>(</w:t>
      </w:r>
      <w:r w:rsidR="00EE50B7">
        <w:rPr>
          <w:iCs/>
          <w:lang w:val="en-US" w:eastAsia="en-GB"/>
        </w:rPr>
        <w:t>i</w:t>
      </w:r>
      <w:r w:rsidR="00DA066A">
        <w:rPr>
          <w:iCs/>
          <w:lang w:val="en-US" w:eastAsia="en-GB"/>
        </w:rPr>
        <w:t>.e.</w:t>
      </w:r>
      <w:r w:rsidR="00EE50B7">
        <w:rPr>
          <w:iCs/>
          <w:lang w:val="en-US" w:eastAsia="en-GB"/>
        </w:rPr>
        <w:t xml:space="preserve"> after </w:t>
      </w:r>
      <w:r w:rsidR="00EE50B7" w:rsidRPr="002B43BC">
        <w:rPr>
          <w:iCs/>
          <w:lang w:val="en-US" w:eastAsia="en-GB"/>
        </w:rPr>
        <w:t>the entry into force of the Optional Protocol</w:t>
      </w:r>
      <w:r w:rsidR="00761EBD">
        <w:rPr>
          <w:iCs/>
          <w:lang w:val="en-US" w:eastAsia="en-GB"/>
        </w:rPr>
        <w:t>)</w:t>
      </w:r>
      <w:r w:rsidR="00EE50B7">
        <w:rPr>
          <w:iCs/>
          <w:lang w:val="en-US" w:eastAsia="en-GB"/>
        </w:rPr>
        <w:t xml:space="preserve">, the author challenged, </w:t>
      </w:r>
      <w:r w:rsidR="00761EBD">
        <w:rPr>
          <w:iCs/>
          <w:lang w:val="en-US" w:eastAsia="en-GB"/>
        </w:rPr>
        <w:t>al</w:t>
      </w:r>
      <w:r w:rsidR="00EE50B7">
        <w:rPr>
          <w:iCs/>
          <w:lang w:val="en-US" w:eastAsia="en-GB"/>
        </w:rPr>
        <w:t xml:space="preserve">though unsuccessfully, </w:t>
      </w:r>
      <w:r w:rsidR="00DA066A">
        <w:rPr>
          <w:iCs/>
          <w:lang w:val="en-US" w:eastAsia="en-GB"/>
        </w:rPr>
        <w:t>his</w:t>
      </w:r>
      <w:r w:rsidR="00EE50B7">
        <w:rPr>
          <w:iCs/>
          <w:lang w:val="en-US" w:eastAsia="en-GB"/>
        </w:rPr>
        <w:t xml:space="preserve"> detention</w:t>
      </w:r>
      <w:r w:rsidR="00446B32">
        <w:rPr>
          <w:iCs/>
          <w:lang w:val="en-US" w:eastAsia="en-GB"/>
        </w:rPr>
        <w:t xml:space="preserve"> and his claims falling under article 9 </w:t>
      </w:r>
      <w:r w:rsidR="002754B7">
        <w:rPr>
          <w:iCs/>
          <w:lang w:val="en-US" w:eastAsia="en-GB"/>
        </w:rPr>
        <w:t>(</w:t>
      </w:r>
      <w:r w:rsidR="00446B32">
        <w:rPr>
          <w:iCs/>
          <w:lang w:val="en-US" w:eastAsia="en-GB"/>
        </w:rPr>
        <w:t>1</w:t>
      </w:r>
      <w:r w:rsidR="002754B7">
        <w:rPr>
          <w:iCs/>
          <w:lang w:val="en-US" w:eastAsia="en-GB"/>
        </w:rPr>
        <w:t>) and</w:t>
      </w:r>
      <w:r w:rsidR="00446B32">
        <w:rPr>
          <w:iCs/>
          <w:lang w:val="en-US" w:eastAsia="en-GB"/>
        </w:rPr>
        <w:t xml:space="preserve"> </w:t>
      </w:r>
      <w:r w:rsidR="002754B7">
        <w:rPr>
          <w:iCs/>
          <w:lang w:val="en-US" w:eastAsia="en-GB"/>
        </w:rPr>
        <w:t>(</w:t>
      </w:r>
      <w:r w:rsidR="00446B32">
        <w:rPr>
          <w:iCs/>
          <w:lang w:val="en-US" w:eastAsia="en-GB"/>
        </w:rPr>
        <w:t>3</w:t>
      </w:r>
      <w:r w:rsidR="002754B7">
        <w:rPr>
          <w:iCs/>
          <w:lang w:val="en-US" w:eastAsia="en-GB"/>
        </w:rPr>
        <w:t>)-(</w:t>
      </w:r>
      <w:r w:rsidR="00446B32">
        <w:rPr>
          <w:iCs/>
          <w:lang w:val="en-US" w:eastAsia="en-GB"/>
        </w:rPr>
        <w:t>5</w:t>
      </w:r>
      <w:r w:rsidR="002754B7">
        <w:rPr>
          <w:iCs/>
          <w:lang w:val="en-US" w:eastAsia="en-GB"/>
        </w:rPr>
        <w:t>)</w:t>
      </w:r>
      <w:r w:rsidR="00EE50B7">
        <w:rPr>
          <w:iCs/>
          <w:lang w:val="en-US" w:eastAsia="en-GB"/>
        </w:rPr>
        <w:t xml:space="preserve"> at </w:t>
      </w:r>
      <w:r w:rsidR="002754B7">
        <w:rPr>
          <w:iCs/>
          <w:lang w:val="en-US" w:eastAsia="en-GB"/>
        </w:rPr>
        <w:t xml:space="preserve">Astana </w:t>
      </w:r>
      <w:r w:rsidR="00EE50B7" w:rsidRPr="00970D30">
        <w:rPr>
          <w:lang w:val="en-US"/>
        </w:rPr>
        <w:t>District Court No. 2</w:t>
      </w:r>
      <w:r w:rsidR="00726508">
        <w:rPr>
          <w:lang w:val="en-US"/>
        </w:rPr>
        <w:t>.</w:t>
      </w:r>
      <w:r w:rsidR="00EE50B7" w:rsidRPr="00970D30">
        <w:rPr>
          <w:lang w:val="en-US"/>
        </w:rPr>
        <w:t xml:space="preserve"> </w:t>
      </w:r>
      <w:r w:rsidR="00726508">
        <w:rPr>
          <w:lang w:val="en-US"/>
        </w:rPr>
        <w:t>T</w:t>
      </w:r>
      <w:r w:rsidR="00A634B8">
        <w:rPr>
          <w:lang w:val="en-US"/>
        </w:rPr>
        <w:t>herefore,</w:t>
      </w:r>
      <w:r w:rsidR="00EE50B7" w:rsidRPr="00970D30">
        <w:rPr>
          <w:lang w:val="en-US"/>
        </w:rPr>
        <w:t xml:space="preserve"> </w:t>
      </w:r>
      <w:r w:rsidR="00A634B8">
        <w:rPr>
          <w:lang w:val="en-US"/>
        </w:rPr>
        <w:t xml:space="preserve">the </w:t>
      </w:r>
      <w:r w:rsidR="00EE50B7">
        <w:rPr>
          <w:lang w:val="en-US"/>
        </w:rPr>
        <w:t>Committee</w:t>
      </w:r>
      <w:r w:rsidR="00DA066A">
        <w:rPr>
          <w:lang w:val="en-US"/>
        </w:rPr>
        <w:t xml:space="preserve"> </w:t>
      </w:r>
      <w:r w:rsidR="00EE50B7">
        <w:rPr>
          <w:lang w:val="en-US"/>
        </w:rPr>
        <w:t xml:space="preserve">is not precluded by the reasons of </w:t>
      </w:r>
      <w:r w:rsidR="00EE50B7" w:rsidRPr="00160C46">
        <w:rPr>
          <w:i/>
          <w:lang w:val="en-US"/>
        </w:rPr>
        <w:t>ratione temporis</w:t>
      </w:r>
      <w:r w:rsidR="00EE50B7">
        <w:rPr>
          <w:lang w:val="en-US"/>
        </w:rPr>
        <w:t xml:space="preserve"> </w:t>
      </w:r>
      <w:r w:rsidR="00726508">
        <w:rPr>
          <w:lang w:val="en-US"/>
        </w:rPr>
        <w:t xml:space="preserve">from </w:t>
      </w:r>
      <w:r w:rsidR="00EE50B7">
        <w:rPr>
          <w:lang w:val="en-US"/>
        </w:rPr>
        <w:t>consider</w:t>
      </w:r>
      <w:r w:rsidR="00726508">
        <w:rPr>
          <w:lang w:val="en-US"/>
        </w:rPr>
        <w:t>ing</w:t>
      </w:r>
      <w:r w:rsidR="00EE50B7">
        <w:rPr>
          <w:lang w:val="en-US"/>
        </w:rPr>
        <w:t xml:space="preserve"> th</w:t>
      </w:r>
      <w:r w:rsidR="00726508">
        <w:rPr>
          <w:lang w:val="en-US"/>
        </w:rPr>
        <w:t>at</w:t>
      </w:r>
      <w:r w:rsidR="00EE50B7">
        <w:rPr>
          <w:lang w:val="en-US"/>
        </w:rPr>
        <w:t xml:space="preserve"> part of the claim</w:t>
      </w:r>
      <w:r w:rsidR="00446B32">
        <w:rPr>
          <w:lang w:val="en-US"/>
        </w:rPr>
        <w:t xml:space="preserve">, </w:t>
      </w:r>
      <w:r w:rsidR="00357C31">
        <w:rPr>
          <w:lang w:val="en-US"/>
        </w:rPr>
        <w:t xml:space="preserve">although it is precluded from considering </w:t>
      </w:r>
      <w:r w:rsidR="00446B32">
        <w:rPr>
          <w:lang w:val="en-US"/>
        </w:rPr>
        <w:t xml:space="preserve">the author’s claim falling under article 9 </w:t>
      </w:r>
      <w:r w:rsidR="00726508">
        <w:rPr>
          <w:lang w:val="en-US"/>
        </w:rPr>
        <w:t>(</w:t>
      </w:r>
      <w:r w:rsidR="00446B32">
        <w:rPr>
          <w:lang w:val="en-US"/>
        </w:rPr>
        <w:t>2</w:t>
      </w:r>
      <w:r w:rsidR="00726508">
        <w:rPr>
          <w:lang w:val="en-US"/>
        </w:rPr>
        <w:t>)</w:t>
      </w:r>
      <w:r w:rsidR="00446B32">
        <w:rPr>
          <w:lang w:val="en-US"/>
        </w:rPr>
        <w:t xml:space="preserve"> of the Covenant</w:t>
      </w:r>
      <w:r w:rsidR="00EE50B7">
        <w:rPr>
          <w:lang w:val="en-US"/>
        </w:rPr>
        <w:t xml:space="preserve">. </w:t>
      </w:r>
    </w:p>
    <w:p w14:paraId="71DDEA09" w14:textId="77777777" w:rsidR="008D6EA8" w:rsidRDefault="00345FA7" w:rsidP="00641579">
      <w:pPr>
        <w:pStyle w:val="SingleTxtG"/>
      </w:pPr>
      <w:r>
        <w:t>6.5</w:t>
      </w:r>
      <w:r>
        <w:tab/>
      </w:r>
      <w:r w:rsidRPr="00971464">
        <w:t xml:space="preserve">As to the alleged </w:t>
      </w:r>
      <w:r w:rsidRPr="003725E8">
        <w:t xml:space="preserve">violation </w:t>
      </w:r>
      <w:r w:rsidR="00726508">
        <w:t>of</w:t>
      </w:r>
      <w:r w:rsidR="00726508" w:rsidRPr="003725E8">
        <w:t xml:space="preserve"> </w:t>
      </w:r>
      <w:r w:rsidRPr="003725E8">
        <w:t>articles </w:t>
      </w:r>
      <w:r>
        <w:t>6 and 7</w:t>
      </w:r>
      <w:r w:rsidR="001063C8">
        <w:t xml:space="preserve"> of th</w:t>
      </w:r>
      <w:r w:rsidRPr="003725E8">
        <w:t>e</w:t>
      </w:r>
      <w:r>
        <w:t xml:space="preserve"> Covenant</w:t>
      </w:r>
      <w:r w:rsidRPr="00971464">
        <w:t xml:space="preserve">, </w:t>
      </w:r>
      <w:r w:rsidRPr="00117CA0">
        <w:t xml:space="preserve">the Committee considers that the author </w:t>
      </w:r>
      <w:r>
        <w:t>has</w:t>
      </w:r>
      <w:r w:rsidR="008172D4">
        <w:t xml:space="preserve"> </w:t>
      </w:r>
      <w:r w:rsidR="00303C03">
        <w:t>failed to provide</w:t>
      </w:r>
      <w:r w:rsidR="001A1935">
        <w:t xml:space="preserve"> </w:t>
      </w:r>
      <w:r w:rsidR="008172D4">
        <w:t>sufficient information</w:t>
      </w:r>
      <w:r w:rsidR="00C73F57">
        <w:t xml:space="preserve"> and factual support,</w:t>
      </w:r>
      <w:r w:rsidR="008172D4">
        <w:t xml:space="preserve"> and</w:t>
      </w:r>
      <w:r w:rsidR="00726508">
        <w:t>,</w:t>
      </w:r>
      <w:r w:rsidR="008172D4">
        <w:t xml:space="preserve"> therefore,</w:t>
      </w:r>
      <w:r>
        <w:t xml:space="preserve"> </w:t>
      </w:r>
      <w:r w:rsidR="00726508">
        <w:t xml:space="preserve">has </w:t>
      </w:r>
      <w:r w:rsidRPr="00117CA0">
        <w:t>failed to substantiate his claims regarding his right</w:t>
      </w:r>
      <w:r w:rsidR="001063C8">
        <w:t xml:space="preserve"> to life and freedom from torture</w:t>
      </w:r>
      <w:r w:rsidR="001871C2">
        <w:t xml:space="preserve"> and cruel, inhuman and degrading treatment or punishment</w:t>
      </w:r>
      <w:r w:rsidRPr="00117CA0">
        <w:t>. Accordingly, and in the absence of a</w:t>
      </w:r>
      <w:r w:rsidRPr="00D23322">
        <w:t>n</w:t>
      </w:r>
      <w:r w:rsidRPr="00117CA0">
        <w:t>y further pertinent information on file, the Committee considers</w:t>
      </w:r>
      <w:r w:rsidRPr="0043422B">
        <w:t xml:space="preserve"> that the author has failed to sufficiently substantiate </w:t>
      </w:r>
      <w:r w:rsidR="00FD45BF" w:rsidRPr="0043422B">
        <w:t>th</w:t>
      </w:r>
      <w:r w:rsidR="00FD45BF">
        <w:t>es</w:t>
      </w:r>
      <w:r w:rsidR="00FD45BF" w:rsidRPr="0043422B">
        <w:t>e</w:t>
      </w:r>
      <w:r w:rsidR="001A1935">
        <w:t xml:space="preserve"> </w:t>
      </w:r>
      <w:r w:rsidRPr="0043422B">
        <w:t xml:space="preserve">claims for </w:t>
      </w:r>
      <w:r>
        <w:t xml:space="preserve">the </w:t>
      </w:r>
      <w:r w:rsidRPr="0043422B">
        <w:t xml:space="preserve">purposes of admissibility. Accordingly, it declares </w:t>
      </w:r>
      <w:r w:rsidRPr="002B43BC">
        <w:t>th</w:t>
      </w:r>
      <w:r>
        <w:t>at</w:t>
      </w:r>
      <w:r w:rsidRPr="002B43BC">
        <w:t xml:space="preserve"> part of the communication inadmissible under </w:t>
      </w:r>
      <w:r>
        <w:t>article </w:t>
      </w:r>
      <w:r w:rsidRPr="002B43BC">
        <w:t xml:space="preserve">2 of the Optional Protocol. </w:t>
      </w:r>
    </w:p>
    <w:p w14:paraId="69685148" w14:textId="77777777" w:rsidR="001063C8" w:rsidRPr="002B43BC" w:rsidRDefault="001063C8" w:rsidP="00641579">
      <w:pPr>
        <w:pStyle w:val="SingleTxtG"/>
        <w:rPr>
          <w:shd w:val="clear" w:color="auto" w:fill="FFFF00"/>
        </w:rPr>
      </w:pPr>
      <w:r>
        <w:t>6.6</w:t>
      </w:r>
      <w:r>
        <w:tab/>
        <w:t>R</w:t>
      </w:r>
      <w:r w:rsidRPr="00971464">
        <w:t xml:space="preserve">egarding the author’s claims under </w:t>
      </w:r>
      <w:r>
        <w:t>article </w:t>
      </w:r>
      <w:r w:rsidRPr="00971464">
        <w:t>14</w:t>
      </w:r>
      <w:r w:rsidR="0080506E">
        <w:t xml:space="preserve"> </w:t>
      </w:r>
      <w:r w:rsidR="00726508">
        <w:t>(</w:t>
      </w:r>
      <w:r w:rsidR="0080506E">
        <w:t>2</w:t>
      </w:r>
      <w:r w:rsidR="00726508">
        <w:t>)</w:t>
      </w:r>
      <w:r w:rsidR="00357C31">
        <w:t xml:space="preserve"> of the Covenant</w:t>
      </w:r>
      <w:r w:rsidR="0080506E">
        <w:t xml:space="preserve">, the author </w:t>
      </w:r>
      <w:r w:rsidR="00726508">
        <w:t xml:space="preserve">has </w:t>
      </w:r>
      <w:r w:rsidR="0080506E">
        <w:t>failed</w:t>
      </w:r>
      <w:r w:rsidR="007E586A">
        <w:t xml:space="preserve"> to</w:t>
      </w:r>
      <w:r w:rsidR="008172D4">
        <w:t xml:space="preserve"> provide any elements</w:t>
      </w:r>
      <w:r w:rsidR="0080506E">
        <w:t xml:space="preserve"> to demonstrate that the State party violated his right to </w:t>
      </w:r>
      <w:r w:rsidR="00726508">
        <w:t xml:space="preserve">the </w:t>
      </w:r>
      <w:r w:rsidR="0080506E">
        <w:t xml:space="preserve">presumption of innocence. Regarding the author’s allegations concerning violations </w:t>
      </w:r>
      <w:r w:rsidR="00726508">
        <w:t xml:space="preserve">of </w:t>
      </w:r>
      <w:r w:rsidR="0080506E">
        <w:t xml:space="preserve">article 14 </w:t>
      </w:r>
      <w:r w:rsidR="00726508">
        <w:t>(</w:t>
      </w:r>
      <w:r w:rsidRPr="00971464">
        <w:t>3</w:t>
      </w:r>
      <w:r w:rsidR="00726508">
        <w:t>)</w:t>
      </w:r>
      <w:r w:rsidRPr="00971464">
        <w:t xml:space="preserve"> (</w:t>
      </w:r>
      <w:r>
        <w:t>e</w:t>
      </w:r>
      <w:r w:rsidRPr="00971464">
        <w:t xml:space="preserve">) </w:t>
      </w:r>
      <w:r w:rsidR="00357C31">
        <w:t>of the Covenant</w:t>
      </w:r>
      <w:r w:rsidR="00357C31" w:rsidRPr="00971464">
        <w:t xml:space="preserve"> </w:t>
      </w:r>
      <w:r w:rsidRPr="00971464">
        <w:t xml:space="preserve">in relation </w:t>
      </w:r>
      <w:r w:rsidR="00726508">
        <w:t xml:space="preserve">to </w:t>
      </w:r>
      <w:r w:rsidR="0080506E">
        <w:t>the</w:t>
      </w:r>
      <w:r w:rsidRPr="00971464">
        <w:t xml:space="preserve"> examination of evidence and </w:t>
      </w:r>
      <w:r>
        <w:t>of</w:t>
      </w:r>
      <w:r w:rsidR="001A1935">
        <w:t xml:space="preserve"> </w:t>
      </w:r>
      <w:r w:rsidRPr="00971464">
        <w:t xml:space="preserve">witnesses during </w:t>
      </w:r>
      <w:r w:rsidR="0080506E">
        <w:t xml:space="preserve">the </w:t>
      </w:r>
      <w:r w:rsidRPr="00971464">
        <w:t>trial, the Committee recalls that it is generally for States parties</w:t>
      </w:r>
      <w:r>
        <w:t>’ courts</w:t>
      </w:r>
      <w:r w:rsidRPr="00971464">
        <w:t xml:space="preserve"> to evaluate </w:t>
      </w:r>
      <w:r w:rsidR="00726508">
        <w:t xml:space="preserve">the </w:t>
      </w:r>
      <w:r w:rsidRPr="00971464">
        <w:t xml:space="preserve">facts and </w:t>
      </w:r>
      <w:r w:rsidR="00726508">
        <w:t xml:space="preserve">the </w:t>
      </w:r>
      <w:r w:rsidRPr="00971464">
        <w:t xml:space="preserve">evidence in a particular case, unless it can be ascertained that </w:t>
      </w:r>
      <w:r w:rsidRPr="00971464">
        <w:lastRenderedPageBreak/>
        <w:t>th</w:t>
      </w:r>
      <w:r>
        <w:t>e</w:t>
      </w:r>
      <w:r w:rsidRPr="00971464">
        <w:t xml:space="preserve"> evaluation was clearly arbitrary or amounted to a denial of justice, or that the court </w:t>
      </w:r>
      <w:r>
        <w:t>failed in its duty</w:t>
      </w:r>
      <w:r w:rsidRPr="00971464">
        <w:t xml:space="preserve"> </w:t>
      </w:r>
      <w:r w:rsidR="00726508">
        <w:t>to maintain</w:t>
      </w:r>
      <w:r w:rsidR="00726508" w:rsidRPr="00971464">
        <w:t xml:space="preserve"> </w:t>
      </w:r>
      <w:r w:rsidRPr="00971464">
        <w:t>independence and impartiality</w:t>
      </w:r>
      <w:r w:rsidR="00E60161">
        <w:t>.</w:t>
      </w:r>
      <w:r w:rsidR="00F0610E">
        <w:rPr>
          <w:rStyle w:val="FootnoteReference"/>
        </w:rPr>
        <w:footnoteReference w:id="24"/>
      </w:r>
      <w:r>
        <w:t xml:space="preserve"> </w:t>
      </w:r>
      <w:r w:rsidRPr="00971464">
        <w:t>In</w:t>
      </w:r>
      <w:r w:rsidR="00B45BCE">
        <w:t xml:space="preserve"> the</w:t>
      </w:r>
      <w:r w:rsidRPr="00971464">
        <w:t xml:space="preserve"> light of the information available on file, the Committee considers that</w:t>
      </w:r>
      <w:r>
        <w:t>,</w:t>
      </w:r>
      <w:r w:rsidRPr="00971464">
        <w:t xml:space="preserve"> in </w:t>
      </w:r>
      <w:r>
        <w:t>the present</w:t>
      </w:r>
      <w:r w:rsidRPr="00971464">
        <w:t xml:space="preserve"> case, the author has failed to demonstrate that the alleged “lack of equality of arms” reached the threshold </w:t>
      </w:r>
      <w:r>
        <w:t>for</w:t>
      </w:r>
      <w:r w:rsidRPr="00971464">
        <w:t xml:space="preserve"> arbitrariness in the evaluation of the evidence</w:t>
      </w:r>
      <w:r>
        <w:t>,</w:t>
      </w:r>
      <w:r w:rsidRPr="00971464">
        <w:t xml:space="preserve"> or amounted to a denial of justice. The Committee therefore concludes that the author’s claims under article 14</w:t>
      </w:r>
      <w:r w:rsidR="00B45BCE" w:rsidDel="00B45BCE">
        <w:t xml:space="preserve"> </w:t>
      </w:r>
      <w:r w:rsidR="00B45BCE">
        <w:t>(</w:t>
      </w:r>
      <w:r w:rsidR="0080506E">
        <w:t>2</w:t>
      </w:r>
      <w:r w:rsidR="00B45BCE">
        <w:t>)</w:t>
      </w:r>
      <w:r w:rsidRPr="00971464">
        <w:t xml:space="preserve"> and </w:t>
      </w:r>
      <w:r>
        <w:t>(</w:t>
      </w:r>
      <w:r w:rsidRPr="00971464">
        <w:t>3</w:t>
      </w:r>
      <w:r>
        <w:t>)</w:t>
      </w:r>
      <w:r w:rsidRPr="00971464">
        <w:t xml:space="preserve"> </w:t>
      </w:r>
      <w:r>
        <w:t>(e)</w:t>
      </w:r>
      <w:r w:rsidRPr="00971464">
        <w:t xml:space="preserve"> </w:t>
      </w:r>
      <w:r w:rsidR="00357C31">
        <w:t>of the Covenant</w:t>
      </w:r>
      <w:r w:rsidR="00357C31" w:rsidRPr="00971464">
        <w:t xml:space="preserve"> </w:t>
      </w:r>
      <w:r w:rsidRPr="00971464">
        <w:t>have not been sufficiently substantiated. Accordingly, the Committee declares th</w:t>
      </w:r>
      <w:r>
        <w:t>at</w:t>
      </w:r>
      <w:r w:rsidRPr="00971464">
        <w:t xml:space="preserve"> </w:t>
      </w:r>
      <w:r>
        <w:t xml:space="preserve">part of the communication </w:t>
      </w:r>
      <w:r w:rsidRPr="00971464">
        <w:t xml:space="preserve">inadmissible under </w:t>
      </w:r>
      <w:r>
        <w:t>article </w:t>
      </w:r>
      <w:r w:rsidRPr="00971464">
        <w:t>2 of the Optional Protocol.</w:t>
      </w:r>
    </w:p>
    <w:p w14:paraId="6203144A" w14:textId="77777777" w:rsidR="00494813" w:rsidRPr="000A603E" w:rsidRDefault="00C342E3" w:rsidP="00357C31">
      <w:pPr>
        <w:pStyle w:val="SingleTxtG"/>
      </w:pPr>
      <w:r>
        <w:t>6</w:t>
      </w:r>
      <w:r w:rsidR="00494813" w:rsidRPr="000A603E">
        <w:t>.</w:t>
      </w:r>
      <w:r w:rsidR="00B059F4">
        <w:t>7</w:t>
      </w:r>
      <w:r w:rsidR="00494813" w:rsidRPr="000A603E">
        <w:tab/>
        <w:t>In the Committee</w:t>
      </w:r>
      <w:r w:rsidR="009D093B">
        <w:t>’</w:t>
      </w:r>
      <w:r w:rsidR="00494813" w:rsidRPr="000A603E">
        <w:t xml:space="preserve">s view, the author has sufficiently substantiated, for </w:t>
      </w:r>
      <w:r w:rsidR="00B45BCE">
        <w:t xml:space="preserve">the </w:t>
      </w:r>
      <w:r w:rsidR="00494813" w:rsidRPr="000A603E">
        <w:t>purposes of admissibility</w:t>
      </w:r>
      <w:r w:rsidR="007A58E9">
        <w:t>, his claims</w:t>
      </w:r>
      <w:r w:rsidR="007A58E9" w:rsidRPr="002E296F">
        <w:t xml:space="preserve"> under</w:t>
      </w:r>
      <w:r w:rsidR="007A58E9">
        <w:t xml:space="preserve"> </w:t>
      </w:r>
      <w:r w:rsidR="00434829">
        <w:t>article</w:t>
      </w:r>
      <w:r w:rsidR="00B45BCE">
        <w:t>s</w:t>
      </w:r>
      <w:r w:rsidR="00434829">
        <w:t xml:space="preserve"> 9 </w:t>
      </w:r>
      <w:r w:rsidR="00B45BCE">
        <w:t>(</w:t>
      </w:r>
      <w:r w:rsidR="00434829">
        <w:t>1</w:t>
      </w:r>
      <w:r w:rsidR="00B45BCE">
        <w:t>) and</w:t>
      </w:r>
      <w:r w:rsidR="00446B32">
        <w:t xml:space="preserve"> </w:t>
      </w:r>
      <w:r w:rsidR="00B45BCE">
        <w:t>(</w:t>
      </w:r>
      <w:r w:rsidR="00446B32">
        <w:t>3</w:t>
      </w:r>
      <w:r w:rsidR="00B45BCE">
        <w:t>)-(</w:t>
      </w:r>
      <w:r w:rsidR="00434829">
        <w:t>5</w:t>
      </w:r>
      <w:r w:rsidR="00B45BCE">
        <w:t>)</w:t>
      </w:r>
      <w:r w:rsidR="00434829">
        <w:t xml:space="preserve">, </w:t>
      </w:r>
      <w:r w:rsidR="001063C8">
        <w:t>10</w:t>
      </w:r>
      <w:r w:rsidR="00DD050C">
        <w:t xml:space="preserve"> </w:t>
      </w:r>
      <w:r w:rsidR="00B45BCE">
        <w:t>(</w:t>
      </w:r>
      <w:r w:rsidR="00DD050C">
        <w:t>1</w:t>
      </w:r>
      <w:r w:rsidR="00B45BCE">
        <w:t>)</w:t>
      </w:r>
      <w:r w:rsidR="001063C8">
        <w:t xml:space="preserve"> and 14 </w:t>
      </w:r>
      <w:r w:rsidR="00B45BCE">
        <w:t>(</w:t>
      </w:r>
      <w:r w:rsidR="001063C8">
        <w:t>1</w:t>
      </w:r>
      <w:r w:rsidR="00B45BCE">
        <w:t>) and</w:t>
      </w:r>
      <w:r w:rsidR="001063C8">
        <w:t xml:space="preserve"> </w:t>
      </w:r>
      <w:r w:rsidR="00B45BCE">
        <w:t>(</w:t>
      </w:r>
      <w:r w:rsidR="001063C8">
        <w:t>3</w:t>
      </w:r>
      <w:r w:rsidR="00B45BCE">
        <w:t>)</w:t>
      </w:r>
      <w:r w:rsidR="001063C8">
        <w:t xml:space="preserve"> (a), (b)</w:t>
      </w:r>
      <w:r w:rsidR="00B45BCE">
        <w:t xml:space="preserve"> and</w:t>
      </w:r>
      <w:r w:rsidR="001063C8">
        <w:t xml:space="preserve"> (d) </w:t>
      </w:r>
      <w:r w:rsidR="007A58E9">
        <w:t xml:space="preserve">of the Covenant </w:t>
      </w:r>
      <w:r w:rsidR="00494813" w:rsidRPr="000A603E">
        <w:t xml:space="preserve">and therefore proceeds </w:t>
      </w:r>
      <w:r w:rsidR="00B45BCE">
        <w:t>with its consideration</w:t>
      </w:r>
      <w:r w:rsidR="00494813" w:rsidRPr="000A603E">
        <w:t xml:space="preserve"> o</w:t>
      </w:r>
      <w:r w:rsidR="00B45BCE">
        <w:t>f</w:t>
      </w:r>
      <w:r w:rsidR="00494813" w:rsidRPr="000A603E">
        <w:t xml:space="preserve"> the merits.</w:t>
      </w:r>
      <w:r w:rsidR="008A283C">
        <w:t xml:space="preserve"> </w:t>
      </w:r>
    </w:p>
    <w:p w14:paraId="2B2E529F" w14:textId="77777777" w:rsidR="00494813" w:rsidRPr="000A603E" w:rsidRDefault="00494813" w:rsidP="00494813">
      <w:pPr>
        <w:pStyle w:val="H4G"/>
      </w:pPr>
      <w:r>
        <w:tab/>
      </w:r>
      <w:r>
        <w:tab/>
      </w:r>
      <w:r w:rsidRPr="000A603E">
        <w:t>Consideration of the merits</w:t>
      </w:r>
    </w:p>
    <w:p w14:paraId="2B245B48" w14:textId="77777777" w:rsidR="00494813" w:rsidRPr="000A603E" w:rsidRDefault="00E67342" w:rsidP="00641579">
      <w:pPr>
        <w:pStyle w:val="SingleTxtG"/>
      </w:pPr>
      <w:r>
        <w:t>7</w:t>
      </w:r>
      <w:r w:rsidR="00494813" w:rsidRPr="000A603E">
        <w:t>.1</w:t>
      </w:r>
      <w:r w:rsidR="00494813" w:rsidRPr="000A603E">
        <w:tab/>
        <w:t xml:space="preserve">The Committee has considered the present communication in the light of all the information submitted by the parties, in accordance with article 5 </w:t>
      </w:r>
      <w:r w:rsidR="00097D3E">
        <w:t>(</w:t>
      </w:r>
      <w:r w:rsidR="00494813" w:rsidRPr="000A603E">
        <w:t>1</w:t>
      </w:r>
      <w:r w:rsidR="00097D3E">
        <w:t>)</w:t>
      </w:r>
      <w:r w:rsidR="00494813" w:rsidRPr="000A603E">
        <w:t xml:space="preserve"> of the Optional Protocol.</w:t>
      </w:r>
    </w:p>
    <w:p w14:paraId="2CCE9181" w14:textId="77777777" w:rsidR="00D65065" w:rsidRDefault="00E67342" w:rsidP="00641579">
      <w:pPr>
        <w:pStyle w:val="SingleTxtG"/>
      </w:pPr>
      <w:r>
        <w:t>7</w:t>
      </w:r>
      <w:r w:rsidR="00D65065">
        <w:t>.</w:t>
      </w:r>
      <w:r w:rsidR="00E84FB9">
        <w:t>2</w:t>
      </w:r>
      <w:r w:rsidR="00D65065" w:rsidRPr="00834D05">
        <w:tab/>
        <w:t>The Committee</w:t>
      </w:r>
      <w:r w:rsidR="00DA066A">
        <w:t xml:space="preserve"> </w:t>
      </w:r>
      <w:r w:rsidR="00D65065" w:rsidRPr="00834D05">
        <w:t>notes</w:t>
      </w:r>
      <w:r w:rsidR="00357791">
        <w:t xml:space="preserve"> </w:t>
      </w:r>
      <w:r w:rsidR="00D65065" w:rsidRPr="00834D05">
        <w:t xml:space="preserve">the author’s claim </w:t>
      </w:r>
      <w:r w:rsidR="00357791">
        <w:t xml:space="preserve">that </w:t>
      </w:r>
      <w:r w:rsidR="006E4879">
        <w:t>the conditions of his</w:t>
      </w:r>
      <w:r w:rsidR="008172D4">
        <w:t xml:space="preserve"> pretrial</w:t>
      </w:r>
      <w:r w:rsidR="006E4879">
        <w:t xml:space="preserve"> detention and</w:t>
      </w:r>
      <w:r w:rsidR="00097D3E">
        <w:t>,</w:t>
      </w:r>
      <w:r w:rsidR="006E4879">
        <w:t xml:space="preserve"> subsequently, of imprisonment amount</w:t>
      </w:r>
      <w:r w:rsidR="00FD45BF">
        <w:t>ed</w:t>
      </w:r>
      <w:r w:rsidR="006E4879">
        <w:t xml:space="preserve"> to </w:t>
      </w:r>
      <w:r w:rsidR="00097D3E">
        <w:t xml:space="preserve">a </w:t>
      </w:r>
      <w:r w:rsidR="006E4879">
        <w:t>violation of his rights under article 10</w:t>
      </w:r>
      <w:r w:rsidR="00357791">
        <w:t xml:space="preserve"> of the Covenant</w:t>
      </w:r>
      <w:r w:rsidR="006E4879">
        <w:t xml:space="preserve">. The author submits to the Committee that his </w:t>
      </w:r>
      <w:r w:rsidR="00097D3E">
        <w:t xml:space="preserve">already </w:t>
      </w:r>
      <w:r w:rsidR="006E4879">
        <w:t>bad health</w:t>
      </w:r>
      <w:r w:rsidR="0080506E">
        <w:t xml:space="preserve"> condition</w:t>
      </w:r>
      <w:r w:rsidR="006E4879">
        <w:t xml:space="preserve"> </w:t>
      </w:r>
      <w:r w:rsidR="0026331B">
        <w:t xml:space="preserve">deteriorated </w:t>
      </w:r>
      <w:r w:rsidR="006E4879">
        <w:t>after</w:t>
      </w:r>
      <w:r w:rsidR="0080506E">
        <w:t xml:space="preserve"> the</w:t>
      </w:r>
      <w:r w:rsidR="006E4879">
        <w:t xml:space="preserve"> prolonged detention and that the prison where he is serving his sentence does</w:t>
      </w:r>
      <w:r w:rsidR="00097D3E">
        <w:t xml:space="preserve"> not</w:t>
      </w:r>
      <w:r w:rsidR="006E4879">
        <w:t xml:space="preserve"> have adequate facilities for the level of medical care that </w:t>
      </w:r>
      <w:r w:rsidR="008172D4">
        <w:t>he</w:t>
      </w:r>
      <w:r w:rsidR="006E4879">
        <w:t xml:space="preserve"> needs. The Committee further notes the incident that occurred on 14 February 2014, when a prison guard allegedly assaulted the author, upon his arrival to the prison. </w:t>
      </w:r>
    </w:p>
    <w:p w14:paraId="0BB0CC1F" w14:textId="77777777" w:rsidR="00DE65A0" w:rsidRDefault="00E67342">
      <w:pPr>
        <w:pStyle w:val="SingleTxtG"/>
        <w:rPr>
          <w:sz w:val="24"/>
          <w:szCs w:val="24"/>
          <w:lang w:eastAsia="en-GB"/>
        </w:rPr>
      </w:pPr>
      <w:r>
        <w:t>7</w:t>
      </w:r>
      <w:r w:rsidR="00DA066A">
        <w:t>.</w:t>
      </w:r>
      <w:r w:rsidR="00E84FB9">
        <w:t>3</w:t>
      </w:r>
      <w:r w:rsidR="006E4879">
        <w:tab/>
        <w:t>The State party contested these allegations stating</w:t>
      </w:r>
      <w:r w:rsidR="0080506E">
        <w:t xml:space="preserve"> that</w:t>
      </w:r>
      <w:r w:rsidR="006E4879">
        <w:t xml:space="preserve"> the author received medical care when it was requested, and that he did not need hospitalization. The State party, however, did not comment or provide any further information on the author’s deteriorating health status and </w:t>
      </w:r>
      <w:r w:rsidR="00097D3E">
        <w:t xml:space="preserve">on the </w:t>
      </w:r>
      <w:r w:rsidR="006E4879">
        <w:t xml:space="preserve">lack of immediate medical assistance </w:t>
      </w:r>
      <w:r w:rsidR="00097D3E">
        <w:t>in response to</w:t>
      </w:r>
      <w:r w:rsidR="006E4879">
        <w:t xml:space="preserve"> hypertensive crises and los</w:t>
      </w:r>
      <w:r w:rsidR="00097D3E">
        <w:t>s</w:t>
      </w:r>
      <w:r w:rsidR="006E4879">
        <w:t xml:space="preserve"> </w:t>
      </w:r>
      <w:r w:rsidR="00097D3E">
        <w:t xml:space="preserve">of </w:t>
      </w:r>
      <w:r w:rsidR="006E4879">
        <w:t xml:space="preserve">consciousness. The Committee notes that the State party is under </w:t>
      </w:r>
      <w:r w:rsidR="00097D3E">
        <w:t xml:space="preserve">an </w:t>
      </w:r>
      <w:r w:rsidR="006E4879">
        <w:t xml:space="preserve">obligation to observe certain minimum standards of detention, which include </w:t>
      </w:r>
      <w:r w:rsidR="00097D3E">
        <w:t xml:space="preserve">the </w:t>
      </w:r>
      <w:r w:rsidR="006E4879">
        <w:t xml:space="preserve">provision of medical care and treatment for sick prisoners, in accordance </w:t>
      </w:r>
      <w:r w:rsidR="006E4879" w:rsidRPr="00357C31">
        <w:t xml:space="preserve">with rule 22 of the Standard Minimum Rules for </w:t>
      </w:r>
      <w:r w:rsidR="00097D3E" w:rsidRPr="00357C31">
        <w:t xml:space="preserve">the </w:t>
      </w:r>
      <w:r w:rsidR="006E4879" w:rsidRPr="00357C31">
        <w:t>Treatment of Prisoners</w:t>
      </w:r>
      <w:r w:rsidR="00E60161" w:rsidRPr="00357C31">
        <w:t>.</w:t>
      </w:r>
      <w:r w:rsidR="006E4879">
        <w:t xml:space="preserve"> </w:t>
      </w:r>
      <w:r w:rsidR="00427765">
        <w:t>It is clear from the author’s account that he was not able to receive proper medical treatment from the authorities of the detention cent</w:t>
      </w:r>
      <w:r w:rsidR="00EA29DD">
        <w:t>re or,</w:t>
      </w:r>
      <w:r w:rsidR="00427765">
        <w:t xml:space="preserve"> subsequently, while serving his sentence in prison.</w:t>
      </w:r>
      <w:r w:rsidR="00E51E3B">
        <w:t xml:space="preserve"> The Committee also notes the author’s allegations that he was denied access to his family and lawyers.</w:t>
      </w:r>
      <w:r w:rsidR="00427765">
        <w:t xml:space="preserve"> </w:t>
      </w:r>
      <w:r w:rsidR="0026331B">
        <w:t>On the basis of the information before it</w:t>
      </w:r>
      <w:r>
        <w:t>, the</w:t>
      </w:r>
      <w:r w:rsidR="00DE65A0">
        <w:rPr>
          <w:lang w:val="en-US"/>
        </w:rPr>
        <w:t xml:space="preserve"> Committee finds that confining the author in such conditions constitutes a violation of his right to be treated with humanity and with respect for the inherent dignity of the human person under article 10 </w:t>
      </w:r>
      <w:r w:rsidR="00EA29DD">
        <w:rPr>
          <w:lang w:val="en-US"/>
        </w:rPr>
        <w:t>(</w:t>
      </w:r>
      <w:r w:rsidR="00DE65A0">
        <w:rPr>
          <w:lang w:val="en-US"/>
        </w:rPr>
        <w:t>1</w:t>
      </w:r>
      <w:r w:rsidR="00EA29DD">
        <w:rPr>
          <w:lang w:val="en-US"/>
        </w:rPr>
        <w:t>)</w:t>
      </w:r>
      <w:r w:rsidR="00DE65A0">
        <w:rPr>
          <w:lang w:val="en-US"/>
        </w:rPr>
        <w:t xml:space="preserve"> of the Covenant.</w:t>
      </w:r>
      <w:r w:rsidR="00DE65A0">
        <w:rPr>
          <w:vertAlign w:val="superscript"/>
          <w:lang w:val="en-US"/>
        </w:rPr>
        <w:footnoteReference w:id="25"/>
      </w:r>
      <w:r w:rsidR="00DE65A0">
        <w:rPr>
          <w:sz w:val="24"/>
          <w:szCs w:val="24"/>
          <w:lang w:eastAsia="en-GB"/>
        </w:rPr>
        <w:t xml:space="preserve"> </w:t>
      </w:r>
    </w:p>
    <w:p w14:paraId="189374F7" w14:textId="77777777" w:rsidR="00B059F4" w:rsidRDefault="00B059F4" w:rsidP="004164BB">
      <w:pPr>
        <w:pStyle w:val="SingleTxtG"/>
      </w:pPr>
      <w:r>
        <w:t>7.</w:t>
      </w:r>
      <w:r w:rsidR="00E84FB9">
        <w:t>4</w:t>
      </w:r>
      <w:r>
        <w:tab/>
        <w:t>The Committee also notes that the trial of the</w:t>
      </w:r>
      <w:r w:rsidR="006D0A95">
        <w:t xml:space="preserve"> author was not open to</w:t>
      </w:r>
      <w:r w:rsidR="00805349">
        <w:t xml:space="preserve"> the</w:t>
      </w:r>
      <w:r w:rsidR="006D0A95">
        <w:t xml:space="preserve"> public,</w:t>
      </w:r>
      <w:r w:rsidR="00EE50B7">
        <w:t xml:space="preserve"> that </w:t>
      </w:r>
      <w:r w:rsidR="00EA29DD">
        <w:t xml:space="preserve">the author </w:t>
      </w:r>
      <w:r w:rsidR="00EE50B7">
        <w:t>was denied the right to request a jury trial</w:t>
      </w:r>
      <w:r w:rsidR="004164BB">
        <w:t>,</w:t>
      </w:r>
      <w:r w:rsidR="00EE50B7">
        <w:t xml:space="preserve"> </w:t>
      </w:r>
      <w:r w:rsidR="004164BB">
        <w:t>which</w:t>
      </w:r>
      <w:r w:rsidR="001C4D1C">
        <w:t xml:space="preserve"> should have been available to him </w:t>
      </w:r>
      <w:r w:rsidR="00EE50B7">
        <w:t>in accordance with national law</w:t>
      </w:r>
      <w:r w:rsidR="00EA29DD">
        <w:t>,</w:t>
      </w:r>
      <w:r w:rsidR="006D0A95">
        <w:t xml:space="preserve"> and </w:t>
      </w:r>
      <w:r w:rsidR="00EE50B7">
        <w:t xml:space="preserve">that </w:t>
      </w:r>
      <w:r w:rsidR="006D0A95">
        <w:t xml:space="preserve">the author’s final conviction was not made public. The Committee notes that the State party provided no explanations </w:t>
      </w:r>
      <w:r w:rsidR="003D293C">
        <w:t xml:space="preserve">as </w:t>
      </w:r>
      <w:r w:rsidR="006D0A95">
        <w:t xml:space="preserve">to the secret nature of the proceedings, except for the contention that counsel for the author needed a security clearance to work with secret documents. </w:t>
      </w:r>
      <w:r w:rsidR="003F7D12">
        <w:t xml:space="preserve">The Committee </w:t>
      </w:r>
      <w:r w:rsidR="00EA0B73">
        <w:t>recalls its general comment No. 32</w:t>
      </w:r>
      <w:r w:rsidR="003D293C">
        <w:t xml:space="preserve"> (2007) on the right to equality before the courts and tribunals and to a fair trial, in which it stated</w:t>
      </w:r>
      <w:r w:rsidR="00EA0B73">
        <w:t xml:space="preserve"> that all trials in criminal matters must in principle be conducted orally and in public, unless the court decides to exclude all or part of the public for reasons of morals, public order (</w:t>
      </w:r>
      <w:r w:rsidR="00EA0B73" w:rsidRPr="00EA0B73">
        <w:rPr>
          <w:i/>
        </w:rPr>
        <w:t>ordre public</w:t>
      </w:r>
      <w:r w:rsidR="00EA0B73">
        <w:t xml:space="preserve">) or national security. Even in cases in which </w:t>
      </w:r>
      <w:r w:rsidR="003D293C">
        <w:t xml:space="preserve">the </w:t>
      </w:r>
      <w:r w:rsidR="00EA0B73">
        <w:t xml:space="preserve">public is excluded from </w:t>
      </w:r>
      <w:r w:rsidR="003D293C">
        <w:t xml:space="preserve">a </w:t>
      </w:r>
      <w:r w:rsidR="00EA0B73">
        <w:t>trial, the judg</w:t>
      </w:r>
      <w:r w:rsidR="003D293C">
        <w:t>e</w:t>
      </w:r>
      <w:r w:rsidR="00EA0B73">
        <w:t>ment, including the essential findings, evidence and legal reasoning</w:t>
      </w:r>
      <w:r w:rsidR="003D293C">
        <w:t>,</w:t>
      </w:r>
      <w:r w:rsidR="00EA0B73">
        <w:t xml:space="preserve"> must be made public. </w:t>
      </w:r>
      <w:r w:rsidR="003F7D12">
        <w:t>The Committee regrets the lack of response by the State party</w:t>
      </w:r>
      <w:r w:rsidR="003D293C">
        <w:t>’s</w:t>
      </w:r>
      <w:r w:rsidR="003F7D12">
        <w:t xml:space="preserve"> authorities to th</w:t>
      </w:r>
      <w:r w:rsidR="00805349">
        <w:t>e</w:t>
      </w:r>
      <w:r w:rsidR="003F7D12">
        <w:t xml:space="preserve"> specific argument raised by the author both at the domestic level and in his communication to the Committee.</w:t>
      </w:r>
      <w:r w:rsidR="00EA0B73">
        <w:t xml:space="preserve"> The Committee therefore considers that the State party failed to justify the exclusion of the public from the author’s trial under one of the </w:t>
      </w:r>
      <w:r w:rsidR="00E51E3B">
        <w:t xml:space="preserve">justifications </w:t>
      </w:r>
      <w:r w:rsidR="00EA0B73">
        <w:t>laid out in article 14</w:t>
      </w:r>
      <w:r w:rsidR="003D293C">
        <w:t xml:space="preserve"> (</w:t>
      </w:r>
      <w:r w:rsidR="00EA0B73">
        <w:t>1</w:t>
      </w:r>
      <w:r w:rsidR="003D293C">
        <w:t>)</w:t>
      </w:r>
      <w:r w:rsidR="00E51E3B">
        <w:t xml:space="preserve"> </w:t>
      </w:r>
      <w:r w:rsidR="00EE50B7">
        <w:t>and</w:t>
      </w:r>
      <w:r w:rsidR="003D293C">
        <w:t>,</w:t>
      </w:r>
      <w:r w:rsidR="00EE50B7">
        <w:t xml:space="preserve"> in particular, for reasons of </w:t>
      </w:r>
      <w:r w:rsidR="00E51E3B">
        <w:t>national security</w:t>
      </w:r>
      <w:r w:rsidR="00EA0B73">
        <w:t xml:space="preserve">. In the absence of other pertinent information on file, the Committee considers that the State party violated the author’s rights under article 14 </w:t>
      </w:r>
      <w:r w:rsidR="003D293C">
        <w:t>(</w:t>
      </w:r>
      <w:r w:rsidR="00EA0B73">
        <w:t>1</w:t>
      </w:r>
      <w:r w:rsidR="003D293C">
        <w:t>)</w:t>
      </w:r>
      <w:r w:rsidR="00EA0B73">
        <w:t xml:space="preserve"> of the Covenant. </w:t>
      </w:r>
    </w:p>
    <w:p w14:paraId="6BFAE7F1" w14:textId="77777777" w:rsidR="00E42463" w:rsidRDefault="00E67342" w:rsidP="00641579">
      <w:pPr>
        <w:pStyle w:val="SingleTxtG"/>
        <w:rPr>
          <w:szCs w:val="24"/>
        </w:rPr>
      </w:pPr>
      <w:r>
        <w:t>7</w:t>
      </w:r>
      <w:r w:rsidR="00D65065" w:rsidRPr="00834D05">
        <w:t>.</w:t>
      </w:r>
      <w:r w:rsidR="00E84FB9">
        <w:t>5</w:t>
      </w:r>
      <w:r w:rsidR="00D65065" w:rsidRPr="00834D05">
        <w:tab/>
      </w:r>
      <w:r>
        <w:t>The Committee further notes the author’s contention that he was not able to con</w:t>
      </w:r>
      <w:r w:rsidR="001B2F21">
        <w:t>sult</w:t>
      </w:r>
      <w:r>
        <w:t xml:space="preserve"> with </w:t>
      </w:r>
      <w:r w:rsidR="003D293C">
        <w:t xml:space="preserve">a </w:t>
      </w:r>
      <w:r>
        <w:t>lawyer of his own choosing,</w:t>
      </w:r>
      <w:r w:rsidR="0026331B">
        <w:t xml:space="preserve"> that he was not represented by a privately retained lawyer from 30 September</w:t>
      </w:r>
      <w:r w:rsidR="002E49F8">
        <w:t xml:space="preserve"> 2009</w:t>
      </w:r>
      <w:r w:rsidR="0026331B">
        <w:t xml:space="preserve"> to 27 January 2010</w:t>
      </w:r>
      <w:r w:rsidR="003D293C">
        <w:t xml:space="preserve"> and</w:t>
      </w:r>
      <w:r>
        <w:t xml:space="preserve"> </w:t>
      </w:r>
      <w:r w:rsidR="001B2F21">
        <w:t>that the court hearings on</w:t>
      </w:r>
      <w:r w:rsidR="001B2F21" w:rsidRPr="00970D30">
        <w:rPr>
          <w:lang w:val="en-US"/>
        </w:rPr>
        <w:t xml:space="preserve"> 28 and 29 January 2010</w:t>
      </w:r>
      <w:r w:rsidR="001B2F21">
        <w:rPr>
          <w:lang w:val="en-US"/>
        </w:rPr>
        <w:t xml:space="preserve"> took place without</w:t>
      </w:r>
      <w:r w:rsidR="0026331B">
        <w:rPr>
          <w:lang w:val="en-US"/>
        </w:rPr>
        <w:t xml:space="preserve"> the author</w:t>
      </w:r>
      <w:r w:rsidR="001B2F21">
        <w:rPr>
          <w:lang w:val="en-US"/>
        </w:rPr>
        <w:t xml:space="preserve"> being present, </w:t>
      </w:r>
      <w:r w:rsidR="00E51E3B">
        <w:rPr>
          <w:lang w:val="en-US"/>
        </w:rPr>
        <w:t>in spite of</w:t>
      </w:r>
      <w:r>
        <w:rPr>
          <w:lang w:val="en-US"/>
        </w:rPr>
        <w:t xml:space="preserve"> </w:t>
      </w:r>
      <w:r w:rsidR="0026331B">
        <w:rPr>
          <w:lang w:val="en-US"/>
        </w:rPr>
        <w:t xml:space="preserve">his </w:t>
      </w:r>
      <w:r>
        <w:rPr>
          <w:lang w:val="en-US"/>
        </w:rPr>
        <w:t xml:space="preserve">request </w:t>
      </w:r>
      <w:r w:rsidR="003D293C">
        <w:rPr>
          <w:lang w:val="en-US"/>
        </w:rPr>
        <w:t>that</w:t>
      </w:r>
      <w:r>
        <w:rPr>
          <w:lang w:val="en-US"/>
        </w:rPr>
        <w:t xml:space="preserve"> the </w:t>
      </w:r>
      <w:r w:rsidR="00E51E3B">
        <w:rPr>
          <w:lang w:val="en-US"/>
        </w:rPr>
        <w:t>hearings</w:t>
      </w:r>
      <w:r w:rsidR="003D293C">
        <w:rPr>
          <w:lang w:val="en-US"/>
        </w:rPr>
        <w:t xml:space="preserve"> be postponed because of</w:t>
      </w:r>
      <w:r w:rsidR="00E51E3B">
        <w:rPr>
          <w:lang w:val="en-US"/>
        </w:rPr>
        <w:t xml:space="preserve"> his bad health.</w:t>
      </w:r>
      <w:r>
        <w:rPr>
          <w:lang w:val="en-US"/>
        </w:rPr>
        <w:t xml:space="preserve"> The Committee recalls its general comment No. 32, according to which accused persons are entitled to</w:t>
      </w:r>
      <w:r w:rsidR="00DA1A79">
        <w:rPr>
          <w:lang w:val="en-US"/>
        </w:rPr>
        <w:t xml:space="preserve"> be present during their trial and have a right to instruct their lawyer on the conduct of their case. </w:t>
      </w:r>
      <w:r w:rsidR="00C36839">
        <w:rPr>
          <w:lang w:val="en-US"/>
        </w:rPr>
        <w:t>T</w:t>
      </w:r>
      <w:r w:rsidR="00DA1A79">
        <w:rPr>
          <w:lang w:val="en-US"/>
        </w:rPr>
        <w:t xml:space="preserve">he Committee takes note of the author’s complaints that the authorities hindered his lawyers from fulfilling their task effectively by not providing </w:t>
      </w:r>
      <w:r w:rsidR="00C36839">
        <w:rPr>
          <w:lang w:val="en-US"/>
        </w:rPr>
        <w:t xml:space="preserve">them with </w:t>
      </w:r>
      <w:r w:rsidR="00DA1A79">
        <w:rPr>
          <w:lang w:val="en-US"/>
        </w:rPr>
        <w:t xml:space="preserve">access to the author, violating </w:t>
      </w:r>
      <w:r w:rsidR="00357C31">
        <w:rPr>
          <w:lang w:val="en-US"/>
        </w:rPr>
        <w:t xml:space="preserve">the </w:t>
      </w:r>
      <w:r w:rsidR="00DA1A79">
        <w:rPr>
          <w:lang w:val="en-US"/>
        </w:rPr>
        <w:t xml:space="preserve">confidentiality of attorney-client meetings, searching </w:t>
      </w:r>
      <w:r w:rsidR="00C36839">
        <w:rPr>
          <w:lang w:val="en-US"/>
        </w:rPr>
        <w:t xml:space="preserve">the </w:t>
      </w:r>
      <w:r w:rsidR="00DA1A79">
        <w:rPr>
          <w:lang w:val="en-US"/>
        </w:rPr>
        <w:t xml:space="preserve">personal belongings of the lawyers and prohibiting </w:t>
      </w:r>
      <w:r w:rsidR="00C36839">
        <w:rPr>
          <w:lang w:val="en-US"/>
        </w:rPr>
        <w:t xml:space="preserve">them from </w:t>
      </w:r>
      <w:r w:rsidR="00DA1A79">
        <w:rPr>
          <w:lang w:val="en-US"/>
        </w:rPr>
        <w:t xml:space="preserve">bringing in certain documents. </w:t>
      </w:r>
      <w:r w:rsidR="00DD7C01">
        <w:rPr>
          <w:lang w:val="en-US"/>
        </w:rPr>
        <w:t>The Committee takes note of the State party’s claim that the privately retained lawyers did not have security clearance to work with “</w:t>
      </w:r>
      <w:r w:rsidR="00C36839">
        <w:rPr>
          <w:lang w:val="en-US"/>
        </w:rPr>
        <w:t>S</w:t>
      </w:r>
      <w:r w:rsidR="00DD7C01">
        <w:rPr>
          <w:lang w:val="en-US"/>
        </w:rPr>
        <w:t xml:space="preserve">tate secrets”. The State party </w:t>
      </w:r>
      <w:r w:rsidR="00C36839">
        <w:rPr>
          <w:lang w:val="en-US"/>
        </w:rPr>
        <w:t xml:space="preserve">has, </w:t>
      </w:r>
      <w:r w:rsidR="0026331B">
        <w:rPr>
          <w:lang w:val="en-US"/>
        </w:rPr>
        <w:t>however</w:t>
      </w:r>
      <w:r w:rsidR="00C36839">
        <w:rPr>
          <w:lang w:val="en-US"/>
        </w:rPr>
        <w:t>,</w:t>
      </w:r>
      <w:r w:rsidR="0026331B">
        <w:rPr>
          <w:lang w:val="en-US"/>
        </w:rPr>
        <w:t xml:space="preserve"> </w:t>
      </w:r>
      <w:r w:rsidR="00DD7C01">
        <w:rPr>
          <w:lang w:val="en-US"/>
        </w:rPr>
        <w:t xml:space="preserve">failed </w:t>
      </w:r>
      <w:r w:rsidR="001B2F21">
        <w:rPr>
          <w:lang w:val="en-US"/>
        </w:rPr>
        <w:t xml:space="preserve">to justify </w:t>
      </w:r>
      <w:r w:rsidR="00C8034E">
        <w:rPr>
          <w:lang w:val="en-US"/>
        </w:rPr>
        <w:t xml:space="preserve">the reasons for refusing </w:t>
      </w:r>
      <w:r w:rsidR="001B2F21">
        <w:rPr>
          <w:lang w:val="en-US"/>
        </w:rPr>
        <w:t>security</w:t>
      </w:r>
      <w:r w:rsidR="00DD7C01">
        <w:rPr>
          <w:lang w:val="en-US"/>
        </w:rPr>
        <w:t xml:space="preserve"> clearance </w:t>
      </w:r>
      <w:r w:rsidR="001B2F21">
        <w:rPr>
          <w:lang w:val="en-US"/>
        </w:rPr>
        <w:t>to the author’s lawyers</w:t>
      </w:r>
      <w:r w:rsidR="00DD7C01">
        <w:rPr>
          <w:lang w:val="en-US"/>
        </w:rPr>
        <w:t xml:space="preserve">. </w:t>
      </w:r>
      <w:r w:rsidR="009F3A3A">
        <w:rPr>
          <w:lang w:val="en-US"/>
        </w:rPr>
        <w:t xml:space="preserve">The State party has also failed to </w:t>
      </w:r>
      <w:r w:rsidR="007A2FEE">
        <w:rPr>
          <w:lang w:val="en-US"/>
        </w:rPr>
        <w:t>expla</w:t>
      </w:r>
      <w:r w:rsidR="00C36839">
        <w:rPr>
          <w:lang w:val="en-US"/>
        </w:rPr>
        <w:t>i</w:t>
      </w:r>
      <w:r w:rsidR="007A2FEE">
        <w:rPr>
          <w:lang w:val="en-US"/>
        </w:rPr>
        <w:t xml:space="preserve">n </w:t>
      </w:r>
      <w:r w:rsidR="009F3A3A">
        <w:rPr>
          <w:lang w:val="en-US"/>
        </w:rPr>
        <w:t xml:space="preserve">why it was necessary to conduct the hearings </w:t>
      </w:r>
      <w:r w:rsidR="009F3A3A">
        <w:t>on</w:t>
      </w:r>
      <w:r w:rsidR="009F3A3A" w:rsidRPr="00970D30">
        <w:rPr>
          <w:lang w:val="en-US"/>
        </w:rPr>
        <w:t xml:space="preserve"> 28 and 29 January 2010</w:t>
      </w:r>
      <w:r w:rsidR="009F3A3A">
        <w:rPr>
          <w:lang w:val="en-US"/>
        </w:rPr>
        <w:t xml:space="preserve"> </w:t>
      </w:r>
      <w:r w:rsidR="00C36839">
        <w:rPr>
          <w:lang w:val="en-US"/>
        </w:rPr>
        <w:t xml:space="preserve">without </w:t>
      </w:r>
      <w:r w:rsidR="009F3A3A">
        <w:rPr>
          <w:lang w:val="en-US"/>
        </w:rPr>
        <w:t>the author</w:t>
      </w:r>
      <w:r w:rsidR="00C36839">
        <w:rPr>
          <w:lang w:val="en-US"/>
        </w:rPr>
        <w:t xml:space="preserve"> being present</w:t>
      </w:r>
      <w:r w:rsidR="009F3A3A">
        <w:rPr>
          <w:lang w:val="en-US"/>
        </w:rPr>
        <w:t xml:space="preserve">. </w:t>
      </w:r>
      <w:r w:rsidR="00FD4417">
        <w:t>In the absence of any other pertinent observations from the State party</w:t>
      </w:r>
      <w:r w:rsidR="00C36839">
        <w:t>,</w:t>
      </w:r>
      <w:r w:rsidR="00FD4417">
        <w:t xml:space="preserve"> </w:t>
      </w:r>
      <w:r w:rsidR="002776C6">
        <w:t>t</w:t>
      </w:r>
      <w:r w:rsidR="00DD7C01">
        <w:t xml:space="preserve">he Committee considers that </w:t>
      </w:r>
      <w:r w:rsidR="005A4D70">
        <w:rPr>
          <w:szCs w:val="24"/>
        </w:rPr>
        <w:t>in the present case</w:t>
      </w:r>
      <w:r w:rsidR="00FD4417">
        <w:rPr>
          <w:szCs w:val="24"/>
        </w:rPr>
        <w:t xml:space="preserve"> the author’s rights under</w:t>
      </w:r>
      <w:r w:rsidR="005A4D70">
        <w:rPr>
          <w:szCs w:val="24"/>
        </w:rPr>
        <w:t xml:space="preserve"> </w:t>
      </w:r>
      <w:r w:rsidR="00DD7C01">
        <w:rPr>
          <w:szCs w:val="24"/>
        </w:rPr>
        <w:t xml:space="preserve">article 14 </w:t>
      </w:r>
      <w:r w:rsidR="00C36839">
        <w:rPr>
          <w:szCs w:val="24"/>
        </w:rPr>
        <w:t>(</w:t>
      </w:r>
      <w:r w:rsidR="00DD7C01">
        <w:rPr>
          <w:szCs w:val="24"/>
        </w:rPr>
        <w:t>3</w:t>
      </w:r>
      <w:r w:rsidR="00C36839">
        <w:rPr>
          <w:szCs w:val="24"/>
        </w:rPr>
        <w:t>)</w:t>
      </w:r>
      <w:r w:rsidR="00DD7C01">
        <w:rPr>
          <w:szCs w:val="24"/>
        </w:rPr>
        <w:t xml:space="preserve"> </w:t>
      </w:r>
      <w:r w:rsidR="00E42463">
        <w:rPr>
          <w:szCs w:val="24"/>
        </w:rPr>
        <w:t xml:space="preserve">(b) and </w:t>
      </w:r>
      <w:r w:rsidR="00DD7C01">
        <w:rPr>
          <w:szCs w:val="24"/>
        </w:rPr>
        <w:t xml:space="preserve">(d) </w:t>
      </w:r>
      <w:r w:rsidR="00357C31">
        <w:rPr>
          <w:szCs w:val="24"/>
        </w:rPr>
        <w:t xml:space="preserve">of the Covenant </w:t>
      </w:r>
      <w:r w:rsidR="00DD7C01">
        <w:rPr>
          <w:szCs w:val="24"/>
        </w:rPr>
        <w:t>ha</w:t>
      </w:r>
      <w:r w:rsidR="00FD4417">
        <w:rPr>
          <w:szCs w:val="24"/>
        </w:rPr>
        <w:t>ve</w:t>
      </w:r>
      <w:r w:rsidR="00DD7C01">
        <w:rPr>
          <w:szCs w:val="24"/>
        </w:rPr>
        <w:t xml:space="preserve"> been violated.</w:t>
      </w:r>
    </w:p>
    <w:p w14:paraId="13A0FBF2" w14:textId="77777777" w:rsidR="003D48A7" w:rsidRDefault="003D48A7" w:rsidP="00641579">
      <w:pPr>
        <w:pStyle w:val="SingleTxtG"/>
      </w:pPr>
      <w:r>
        <w:t>7.</w:t>
      </w:r>
      <w:r w:rsidR="00E84FB9">
        <w:t>6</w:t>
      </w:r>
      <w:r>
        <w:tab/>
      </w:r>
      <w:r w:rsidR="00C36839">
        <w:t>Having found a</w:t>
      </w:r>
      <w:r>
        <w:t xml:space="preserve"> violation of article</w:t>
      </w:r>
      <w:r w:rsidR="00C36839">
        <w:t>s</w:t>
      </w:r>
      <w:r w:rsidR="001871C2">
        <w:t xml:space="preserve"> 10</w:t>
      </w:r>
      <w:r w:rsidR="00E84FB9">
        <w:t xml:space="preserve"> </w:t>
      </w:r>
      <w:r w:rsidR="00C36839">
        <w:t>(</w:t>
      </w:r>
      <w:r w:rsidR="00E84FB9">
        <w:t>1</w:t>
      </w:r>
      <w:r w:rsidR="00C36839">
        <w:t>)</w:t>
      </w:r>
      <w:r w:rsidR="00E84FB9">
        <w:t xml:space="preserve"> and </w:t>
      </w:r>
      <w:r>
        <w:t xml:space="preserve">14 </w:t>
      </w:r>
      <w:r w:rsidR="00C36839">
        <w:t>(</w:t>
      </w:r>
      <w:r>
        <w:t>1</w:t>
      </w:r>
      <w:r w:rsidR="00C36839">
        <w:t>)</w:t>
      </w:r>
      <w:r>
        <w:t xml:space="preserve"> and </w:t>
      </w:r>
      <w:r w:rsidR="00C36839">
        <w:t>(</w:t>
      </w:r>
      <w:r>
        <w:t>3</w:t>
      </w:r>
      <w:r w:rsidR="00C36839">
        <w:t>)</w:t>
      </w:r>
      <w:r>
        <w:t xml:space="preserve"> (b) and (d)</w:t>
      </w:r>
      <w:r w:rsidR="00EB5228" w:rsidRPr="00EB5228">
        <w:rPr>
          <w:szCs w:val="24"/>
        </w:rPr>
        <w:t xml:space="preserve"> </w:t>
      </w:r>
      <w:r w:rsidR="00EB5228">
        <w:rPr>
          <w:szCs w:val="24"/>
        </w:rPr>
        <w:t>of the Covenant</w:t>
      </w:r>
      <w:r>
        <w:t xml:space="preserve">, the Committee will not examine separately the author’s </w:t>
      </w:r>
      <w:r w:rsidR="001248CB">
        <w:t xml:space="preserve">remaining </w:t>
      </w:r>
      <w:r>
        <w:t>claims under article</w:t>
      </w:r>
      <w:r w:rsidR="00C36839">
        <w:t>s</w:t>
      </w:r>
      <w:r w:rsidR="00E84FB9">
        <w:t xml:space="preserve"> 9 </w:t>
      </w:r>
      <w:r w:rsidR="00C36839">
        <w:t>(</w:t>
      </w:r>
      <w:r w:rsidR="00E84FB9">
        <w:t>1</w:t>
      </w:r>
      <w:r w:rsidR="00C36839">
        <w:t>) and</w:t>
      </w:r>
      <w:r w:rsidR="00446B32">
        <w:t xml:space="preserve"> </w:t>
      </w:r>
      <w:r w:rsidR="00C36839">
        <w:t>(</w:t>
      </w:r>
      <w:r w:rsidR="00446B32">
        <w:t>3</w:t>
      </w:r>
      <w:r w:rsidR="00C36839">
        <w:t>)-(</w:t>
      </w:r>
      <w:r w:rsidR="00E84FB9">
        <w:t>5</w:t>
      </w:r>
      <w:r w:rsidR="00C36839">
        <w:t>)</w:t>
      </w:r>
      <w:r w:rsidR="00E84FB9">
        <w:t xml:space="preserve"> and </w:t>
      </w:r>
      <w:r>
        <w:t xml:space="preserve">14 </w:t>
      </w:r>
      <w:r w:rsidR="00C36839">
        <w:t>(</w:t>
      </w:r>
      <w:r>
        <w:t>3</w:t>
      </w:r>
      <w:r w:rsidR="00C36839">
        <w:t>)</w:t>
      </w:r>
      <w:r>
        <w:t xml:space="preserve"> (a)</w:t>
      </w:r>
      <w:r w:rsidR="00EB5228" w:rsidRPr="00EB5228">
        <w:rPr>
          <w:szCs w:val="24"/>
        </w:rPr>
        <w:t xml:space="preserve"> </w:t>
      </w:r>
      <w:r w:rsidR="00EB5228">
        <w:rPr>
          <w:szCs w:val="24"/>
        </w:rPr>
        <w:t>of the Covenant</w:t>
      </w:r>
      <w:r>
        <w:t xml:space="preserve">. </w:t>
      </w:r>
    </w:p>
    <w:p w14:paraId="21EE1BE7" w14:textId="77777777" w:rsidR="00494813" w:rsidRPr="000A603E" w:rsidRDefault="00961191" w:rsidP="00641579">
      <w:pPr>
        <w:pStyle w:val="SingleTxtG"/>
      </w:pPr>
      <w:r>
        <w:t>8</w:t>
      </w:r>
      <w:r w:rsidR="00494813" w:rsidRPr="000A603E">
        <w:t>.</w:t>
      </w:r>
      <w:r w:rsidR="00494813" w:rsidRPr="000A603E">
        <w:tab/>
        <w:t xml:space="preserve">The Committee, acting under article 5 </w:t>
      </w:r>
      <w:r w:rsidR="00C36839">
        <w:t>(</w:t>
      </w:r>
      <w:r w:rsidR="00494813" w:rsidRPr="000A603E">
        <w:t>4</w:t>
      </w:r>
      <w:r w:rsidR="00C36839">
        <w:t>)</w:t>
      </w:r>
      <w:r w:rsidR="00494813" w:rsidRPr="000A603E">
        <w:t xml:space="preserve"> of the Optional Protocol, is of the view that the</w:t>
      </w:r>
      <w:r w:rsidR="001A1935">
        <w:t xml:space="preserve"> </w:t>
      </w:r>
      <w:r w:rsidR="001871C2">
        <w:t xml:space="preserve">facts before it disclose </w:t>
      </w:r>
      <w:r w:rsidR="001248CB">
        <w:t xml:space="preserve">a </w:t>
      </w:r>
      <w:r w:rsidR="001871C2">
        <w:t>violation of</w:t>
      </w:r>
      <w:r w:rsidR="00B059F4">
        <w:t xml:space="preserve"> the author’s rights</w:t>
      </w:r>
      <w:r w:rsidR="001248CB">
        <w:t xml:space="preserve"> </w:t>
      </w:r>
      <w:r w:rsidR="00B059F4">
        <w:t xml:space="preserve">under </w:t>
      </w:r>
      <w:r w:rsidR="00E42463">
        <w:t>article</w:t>
      </w:r>
      <w:r w:rsidR="00333418">
        <w:t>s</w:t>
      </w:r>
      <w:r w:rsidR="00E42463">
        <w:t xml:space="preserve"> 9</w:t>
      </w:r>
      <w:r w:rsidR="00FD4417">
        <w:t xml:space="preserve"> </w:t>
      </w:r>
      <w:r w:rsidR="00C36839">
        <w:t>(</w:t>
      </w:r>
      <w:r w:rsidR="00FD4417">
        <w:t>1</w:t>
      </w:r>
      <w:r w:rsidR="00C36839">
        <w:t>-</w:t>
      </w:r>
      <w:r w:rsidR="00E42463">
        <w:t>2</w:t>
      </w:r>
      <w:r w:rsidR="00C36839">
        <w:t>)</w:t>
      </w:r>
      <w:r w:rsidR="00E42463">
        <w:t xml:space="preserve">, </w:t>
      </w:r>
      <w:r w:rsidR="001B2F21">
        <w:t>10</w:t>
      </w:r>
      <w:r w:rsidR="00DE65A0">
        <w:t xml:space="preserve"> </w:t>
      </w:r>
      <w:r w:rsidR="00C36839">
        <w:t>(</w:t>
      </w:r>
      <w:r w:rsidR="00DE65A0">
        <w:t>1</w:t>
      </w:r>
      <w:r w:rsidR="00C36839">
        <w:t>)</w:t>
      </w:r>
      <w:r w:rsidR="00DE65A0">
        <w:t xml:space="preserve"> and 14</w:t>
      </w:r>
      <w:r>
        <w:t xml:space="preserve"> </w:t>
      </w:r>
      <w:r w:rsidR="00C36839">
        <w:t>(</w:t>
      </w:r>
      <w:r>
        <w:t>1</w:t>
      </w:r>
      <w:r w:rsidR="00C36839">
        <w:t>)</w:t>
      </w:r>
      <w:r>
        <w:t xml:space="preserve"> and</w:t>
      </w:r>
      <w:r w:rsidR="00DE65A0">
        <w:t xml:space="preserve"> </w:t>
      </w:r>
      <w:r w:rsidR="00C36839">
        <w:t>(</w:t>
      </w:r>
      <w:r w:rsidR="00DE65A0">
        <w:t>3</w:t>
      </w:r>
      <w:r w:rsidR="00C36839">
        <w:t>)</w:t>
      </w:r>
      <w:r w:rsidR="00E42463">
        <w:t xml:space="preserve"> (b) and</w:t>
      </w:r>
      <w:r w:rsidR="00DE65A0">
        <w:t xml:space="preserve"> (d)</w:t>
      </w:r>
      <w:r w:rsidR="00E42463">
        <w:t xml:space="preserve"> </w:t>
      </w:r>
      <w:r w:rsidR="00494813" w:rsidRPr="000A603E">
        <w:t>of the Covenant.</w:t>
      </w:r>
    </w:p>
    <w:p w14:paraId="46B12E1B" w14:textId="77777777" w:rsidR="00140644" w:rsidRDefault="00961191" w:rsidP="00B67FC8">
      <w:pPr>
        <w:pStyle w:val="SingleTxtG"/>
      </w:pPr>
      <w:r>
        <w:t>9</w:t>
      </w:r>
      <w:r w:rsidR="00494813" w:rsidRPr="000A603E">
        <w:t>.</w:t>
      </w:r>
      <w:r w:rsidR="00494813" w:rsidRPr="000A603E">
        <w:tab/>
      </w:r>
      <w:r>
        <w:rPr>
          <w:lang w:val="en-US"/>
        </w:rPr>
        <w:t xml:space="preserve">Pursuant to article 2 </w:t>
      </w:r>
      <w:r w:rsidR="00C36839">
        <w:rPr>
          <w:lang w:val="en-US"/>
        </w:rPr>
        <w:t>(</w:t>
      </w:r>
      <w:r>
        <w:rPr>
          <w:lang w:val="en-US"/>
        </w:rPr>
        <w:t>3</w:t>
      </w:r>
      <w:r w:rsidR="00C36839">
        <w:rPr>
          <w:lang w:val="en-US"/>
        </w:rPr>
        <w:t xml:space="preserve">) </w:t>
      </w:r>
      <w:r>
        <w:rPr>
          <w:lang w:val="en-US"/>
        </w:rPr>
        <w:t xml:space="preserve">(a) of the Covenant, </w:t>
      </w:r>
      <w:r>
        <w:t>the State party is under an obligation to provide the author with an effective remedy</w:t>
      </w:r>
      <w:r w:rsidR="00825A74">
        <w:t xml:space="preserve">. </w:t>
      </w:r>
      <w:r w:rsidR="00825A74" w:rsidRPr="00246284">
        <w:rPr>
          <w:color w:val="000000"/>
        </w:rPr>
        <w:t xml:space="preserve">This requires it to make full reparation </w:t>
      </w:r>
      <w:r w:rsidR="00B67FC8">
        <w:rPr>
          <w:color w:val="000000"/>
        </w:rPr>
        <w:t xml:space="preserve">to </w:t>
      </w:r>
      <w:r w:rsidR="00825A74" w:rsidRPr="00246284">
        <w:rPr>
          <w:color w:val="000000"/>
        </w:rPr>
        <w:t>individuals whose Covenant rights have been violated. Accordingly, the State party is obligated, inter alia, to</w:t>
      </w:r>
      <w:r>
        <w:t xml:space="preserve"> take appropriate steps to: </w:t>
      </w:r>
      <w:r w:rsidR="00C36839">
        <w:t>(</w:t>
      </w:r>
      <w:r w:rsidR="001871C2">
        <w:t>a</w:t>
      </w:r>
      <w:r w:rsidR="001871C2">
        <w:rPr>
          <w:lang w:val="en-US"/>
        </w:rPr>
        <w:t xml:space="preserve">) quash the author’s conviction and release him, and, if deemed necessary, conduct a new trial, subject to </w:t>
      </w:r>
      <w:r w:rsidR="00C36839">
        <w:rPr>
          <w:lang w:val="en-US"/>
        </w:rPr>
        <w:t xml:space="preserve">the </w:t>
      </w:r>
      <w:r w:rsidR="001871C2">
        <w:rPr>
          <w:lang w:val="en-US"/>
        </w:rPr>
        <w:t>principles of fair and public hearings, access to counsel and other procedural safeguards;</w:t>
      </w:r>
      <w:r w:rsidR="001871C2">
        <w:t xml:space="preserve"> </w:t>
      </w:r>
      <w:r w:rsidR="00C36839">
        <w:t>(</w:t>
      </w:r>
      <w:r w:rsidR="001871C2">
        <w:t>b</w:t>
      </w:r>
      <w:r>
        <w:t>)</w:t>
      </w:r>
      <w:r w:rsidR="001871C2">
        <w:t xml:space="preserve"> pending release,</w:t>
      </w:r>
      <w:r>
        <w:t xml:space="preserve"> provide the author with continuous and effective access to health care in the place of imprisonment; </w:t>
      </w:r>
      <w:r w:rsidR="00C36839">
        <w:t>and (</w:t>
      </w:r>
      <w:r w:rsidR="001871C2">
        <w:t>c)</w:t>
      </w:r>
      <w:r>
        <w:t xml:space="preserve"> provide the author with appropriate reparation, including </w:t>
      </w:r>
      <w:r w:rsidR="001248CB">
        <w:t xml:space="preserve">adequate </w:t>
      </w:r>
      <w:r>
        <w:t>compensation</w:t>
      </w:r>
      <w:r>
        <w:rPr>
          <w:lang w:val="en-US"/>
        </w:rPr>
        <w:t>. The State party is also under an obligation to take steps to prevent similar violations occurring in the future.</w:t>
      </w:r>
    </w:p>
    <w:p w14:paraId="16429CB3" w14:textId="77777777" w:rsidR="00494813" w:rsidRDefault="00494813" w:rsidP="00B67FC8">
      <w:pPr>
        <w:pStyle w:val="SingleTxtG"/>
      </w:pPr>
      <w:r w:rsidRPr="000A603E">
        <w:t>1</w:t>
      </w:r>
      <w:r w:rsidR="00961191">
        <w:t>0</w:t>
      </w:r>
      <w:r w:rsidRPr="000A603E">
        <w:t>.</w:t>
      </w:r>
      <w:r w:rsidRPr="000A603E">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remedy when it has been determined that a violation has occurred, the Committee wishes to receive from the State party, within 180 days, information about the measures taken to give effect to the Committee</w:t>
      </w:r>
      <w:r w:rsidR="009D093B">
        <w:t>’</w:t>
      </w:r>
      <w:r w:rsidRPr="000A603E">
        <w:t>s Views. In addition, it requests the State party to publish th</w:t>
      </w:r>
      <w:r w:rsidR="00EB5228">
        <w:t>os</w:t>
      </w:r>
      <w:r w:rsidRPr="000A603E">
        <w:t>e Views.</w:t>
      </w:r>
    </w:p>
    <w:p w14:paraId="14823F2B" w14:textId="77777777" w:rsidR="00821AF3" w:rsidRPr="00821AF3" w:rsidRDefault="00821AF3" w:rsidP="00821AF3">
      <w:pPr>
        <w:pStyle w:val="SingleTxtG"/>
        <w:spacing w:before="240" w:after="0"/>
        <w:jc w:val="center"/>
        <w:rPr>
          <w:u w:val="single"/>
        </w:rPr>
      </w:pPr>
      <w:r>
        <w:rPr>
          <w:u w:val="single"/>
        </w:rPr>
        <w:tab/>
      </w:r>
      <w:r>
        <w:rPr>
          <w:u w:val="single"/>
        </w:rPr>
        <w:tab/>
      </w:r>
      <w:r>
        <w:rPr>
          <w:u w:val="single"/>
        </w:rPr>
        <w:tab/>
      </w:r>
    </w:p>
    <w:sectPr w:rsidR="00821AF3" w:rsidRPr="00821AF3" w:rsidSect="00795244">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2-10T11:37:00Z" w:initials="Start">
    <w:p w14:paraId="4DE0F263" w14:textId="77777777" w:rsidR="00795244" w:rsidRDefault="0079524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NO&gt;&gt;N1528189E&lt;&lt;ODS JOB NO&gt;&gt;</w:t>
      </w:r>
    </w:p>
    <w:p w14:paraId="49BF9E60" w14:textId="77777777" w:rsidR="00795244" w:rsidRPr="000E00AE" w:rsidRDefault="00795244">
      <w:pPr>
        <w:pStyle w:val="CommentText"/>
        <w:rPr>
          <w:lang w:val="fr-CH"/>
        </w:rPr>
      </w:pPr>
      <w:r w:rsidRPr="000E00AE">
        <w:rPr>
          <w:lang w:val="fr-CH"/>
        </w:rPr>
        <w:t>&lt;&lt;ODS DOC SYMBOL1&gt;&gt;CCPR/C/115/D/2304/2013&lt;&lt;ODS DOC SYMBOL1&gt;&gt;</w:t>
      </w:r>
    </w:p>
    <w:p w14:paraId="572B9D9E" w14:textId="77777777" w:rsidR="00795244" w:rsidRDefault="00795244">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2B9D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1CA54" w14:textId="77777777" w:rsidR="00625ACB" w:rsidRDefault="00625ACB"/>
  </w:endnote>
  <w:endnote w:type="continuationSeparator" w:id="0">
    <w:p w14:paraId="4309CB42" w14:textId="77777777" w:rsidR="00625ACB" w:rsidRDefault="00625ACB"/>
  </w:endnote>
  <w:endnote w:type="continuationNotice" w:id="1">
    <w:p w14:paraId="26652015" w14:textId="77777777" w:rsidR="00625ACB" w:rsidRDefault="00625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96BC" w14:textId="77777777" w:rsidR="005E7193" w:rsidRPr="00781C83" w:rsidRDefault="005E7193"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692A21">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3765E" w14:textId="77777777" w:rsidR="005E7193" w:rsidRPr="00246284" w:rsidRDefault="005E7193" w:rsidP="00D23322">
    <w:pPr>
      <w:pStyle w:val="Footer"/>
      <w:tabs>
        <w:tab w:val="right" w:pos="9638"/>
      </w:tabs>
      <w:rPr>
        <w:b/>
        <w:bCs/>
        <w:sz w:val="18"/>
      </w:rPr>
    </w:pPr>
    <w:r>
      <w:rPr>
        <w:b/>
        <w:sz w:val="18"/>
      </w:rPr>
      <w:tab/>
    </w:r>
    <w:r w:rsidRPr="00246284">
      <w:rPr>
        <w:b/>
        <w:bCs/>
        <w:sz w:val="18"/>
      </w:rPr>
      <w:fldChar w:fldCharType="begin"/>
    </w:r>
    <w:r w:rsidRPr="00246284">
      <w:rPr>
        <w:b/>
        <w:bCs/>
        <w:sz w:val="18"/>
      </w:rPr>
      <w:instrText xml:space="preserve"> PAGE  \* MERGEFORMAT </w:instrText>
    </w:r>
    <w:r w:rsidRPr="00246284">
      <w:rPr>
        <w:b/>
        <w:bCs/>
        <w:sz w:val="18"/>
      </w:rPr>
      <w:fldChar w:fldCharType="separate"/>
    </w:r>
    <w:r w:rsidR="00692A21">
      <w:rPr>
        <w:b/>
        <w:bCs/>
        <w:noProof/>
        <w:sz w:val="18"/>
      </w:rPr>
      <w:t>3</w:t>
    </w:r>
    <w:r w:rsidRPr="00246284">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795244" w14:paraId="0B9CE191" w14:textId="77777777" w:rsidTr="00795244">
      <w:tc>
        <w:tcPr>
          <w:tcW w:w="3614" w:type="dxa"/>
          <w:shd w:val="clear" w:color="auto" w:fill="auto"/>
        </w:tcPr>
        <w:p w14:paraId="49687BF8" w14:textId="77777777" w:rsidR="00795244" w:rsidRDefault="00795244" w:rsidP="00795244">
          <w:pPr>
            <w:pStyle w:val="Footer"/>
            <w:rPr>
              <w:sz w:val="20"/>
            </w:rPr>
          </w:pPr>
          <w:r>
            <w:rPr>
              <w:noProof/>
              <w:sz w:val="20"/>
              <w:lang w:val="en-US"/>
            </w:rPr>
            <w:drawing>
              <wp:anchor distT="0" distB="0" distL="114300" distR="114300" simplePos="0" relativeHeight="251658240" behindDoc="0" locked="0" layoutInCell="1" allowOverlap="1" wp14:anchorId="6EBB9856" wp14:editId="2DD01228">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5/D/2304/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304/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GE.15-21521(E)</w:t>
          </w:r>
        </w:p>
        <w:p w14:paraId="4868BDDF" w14:textId="77777777" w:rsidR="00795244" w:rsidRPr="00795244" w:rsidRDefault="00795244" w:rsidP="00795244">
          <w:pPr>
            <w:pStyle w:val="Footer"/>
            <w:rPr>
              <w:rFonts w:ascii="Barcode 3 of 9 by request" w:hAnsi="Barcode 3 of 9 by request"/>
              <w:sz w:val="24"/>
            </w:rPr>
          </w:pPr>
          <w:r>
            <w:rPr>
              <w:rFonts w:ascii="Barcode 3 of 9 by request" w:hAnsi="Barcode 3 of 9 by request"/>
              <w:sz w:val="24"/>
            </w:rPr>
            <w:t>*1521521*</w:t>
          </w:r>
        </w:p>
      </w:tc>
      <w:tc>
        <w:tcPr>
          <w:tcW w:w="4752" w:type="dxa"/>
          <w:shd w:val="clear" w:color="auto" w:fill="auto"/>
        </w:tcPr>
        <w:p w14:paraId="7548F99D" w14:textId="77777777" w:rsidR="00795244" w:rsidRDefault="00795244" w:rsidP="00795244">
          <w:pPr>
            <w:pStyle w:val="Footer"/>
            <w:spacing w:line="240" w:lineRule="atLeast"/>
            <w:jc w:val="right"/>
            <w:rPr>
              <w:sz w:val="20"/>
            </w:rPr>
          </w:pPr>
          <w:r>
            <w:rPr>
              <w:noProof/>
              <w:sz w:val="20"/>
              <w:lang w:val="en-US"/>
            </w:rPr>
            <w:drawing>
              <wp:inline distT="0" distB="0" distL="0" distR="0" wp14:anchorId="22554633" wp14:editId="3C72D8D0">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1C862FF3" w14:textId="77777777" w:rsidR="00795244" w:rsidRPr="00795244" w:rsidRDefault="00795244" w:rsidP="0079524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62BC0" w14:textId="77777777" w:rsidR="00625ACB" w:rsidRPr="000B175B" w:rsidRDefault="00625ACB" w:rsidP="000B175B">
      <w:pPr>
        <w:tabs>
          <w:tab w:val="right" w:pos="2155"/>
        </w:tabs>
        <w:spacing w:after="80"/>
        <w:ind w:left="680"/>
        <w:rPr>
          <w:u w:val="single"/>
        </w:rPr>
      </w:pPr>
      <w:r>
        <w:rPr>
          <w:u w:val="single"/>
        </w:rPr>
        <w:tab/>
      </w:r>
    </w:p>
  </w:footnote>
  <w:footnote w:type="continuationSeparator" w:id="0">
    <w:p w14:paraId="566CE1C4" w14:textId="77777777" w:rsidR="00625ACB" w:rsidRPr="00FC68B7" w:rsidRDefault="00625ACB" w:rsidP="00FC68B7">
      <w:pPr>
        <w:tabs>
          <w:tab w:val="left" w:pos="2155"/>
        </w:tabs>
        <w:spacing w:after="80"/>
        <w:ind w:left="680"/>
        <w:rPr>
          <w:u w:val="single"/>
        </w:rPr>
      </w:pPr>
      <w:r>
        <w:rPr>
          <w:u w:val="single"/>
        </w:rPr>
        <w:tab/>
      </w:r>
    </w:p>
  </w:footnote>
  <w:footnote w:type="continuationNotice" w:id="1">
    <w:p w14:paraId="5AED903C" w14:textId="77777777" w:rsidR="00625ACB" w:rsidRDefault="00625ACB"/>
  </w:footnote>
  <w:footnote w:id="2">
    <w:p w14:paraId="1CF46594" w14:textId="77777777" w:rsidR="005E7193" w:rsidRPr="00671544" w:rsidRDefault="005E7193" w:rsidP="00F55C65">
      <w:pPr>
        <w:pStyle w:val="FootnoteText"/>
      </w:pPr>
      <w:r>
        <w:rPr>
          <w:rStyle w:val="FootnoteReference"/>
        </w:rPr>
        <w:tab/>
      </w:r>
      <w:r w:rsidRPr="006D774B">
        <w:rPr>
          <w:rStyle w:val="FootnoteReference"/>
          <w:sz w:val="20"/>
          <w:vertAlign w:val="baseline"/>
        </w:rPr>
        <w:t>*</w:t>
      </w:r>
      <w:r>
        <w:rPr>
          <w:rStyle w:val="FootnoteReference"/>
          <w:sz w:val="20"/>
          <w:vertAlign w:val="baseline"/>
        </w:rPr>
        <w:tab/>
      </w:r>
      <w:r w:rsidRPr="00246284">
        <w:t>The following members of the Committee participated in the examination of the present communication: Yadh Ben Achour, Lazhari Bouzid, Sarah Cleveland, Ahmed</w:t>
      </w:r>
      <w:r>
        <w:t> </w:t>
      </w:r>
      <w:r w:rsidRPr="00246284">
        <w:t xml:space="preserve">Amin Fathalla, </w:t>
      </w:r>
      <w:r w:rsidRPr="007B50C8">
        <w:t>Olivier de Frouville,</w:t>
      </w:r>
      <w:r>
        <w:t xml:space="preserve"> </w:t>
      </w:r>
      <w:r w:rsidRPr="00246284">
        <w:t>Yuji Iwasawa, Ivana Jeli</w:t>
      </w:r>
      <w:r>
        <w:t>ć</w:t>
      </w:r>
      <w:r w:rsidRPr="00246284">
        <w:t>, Duncan Laki</w:t>
      </w:r>
      <w:r w:rsidRPr="004A289F">
        <w:t xml:space="preserve"> </w:t>
      </w:r>
      <w:r w:rsidRPr="007B50C8">
        <w:t>Muhumuza</w:t>
      </w:r>
      <w:r w:rsidRPr="00246284">
        <w:t>, Photini Pazartzis, Mauro</w:t>
      </w:r>
      <w:r>
        <w:t> </w:t>
      </w:r>
      <w:r w:rsidRPr="00246284">
        <w:t>Politi, Sir Nigel Rodley, V</w:t>
      </w:r>
      <w:r>
        <w:t>í</w:t>
      </w:r>
      <w:r w:rsidRPr="00246284">
        <w:t>ctor Manuel Rodríguez-Rescia, Fabián Omar Salvioli, Anja</w:t>
      </w:r>
      <w:r>
        <w:t> </w:t>
      </w:r>
      <w:r w:rsidRPr="00246284">
        <w:t>Seibert-Fohr, Yuval Shany, Konstantine Vardzelashvili and Margo Waterval.</w:t>
      </w:r>
    </w:p>
  </w:footnote>
  <w:footnote w:id="3">
    <w:p w14:paraId="66E99337" w14:textId="77777777" w:rsidR="005E7193" w:rsidRDefault="005E7193" w:rsidP="00641579">
      <w:pPr>
        <w:pStyle w:val="FootnoteText"/>
      </w:pPr>
      <w:r>
        <w:tab/>
      </w:r>
      <w:r>
        <w:rPr>
          <w:rStyle w:val="FootnoteReference"/>
        </w:rPr>
        <w:footnoteRef/>
      </w:r>
      <w:r>
        <w:tab/>
        <w:t>It is not clear to which hearings the author refers.</w:t>
      </w:r>
    </w:p>
  </w:footnote>
  <w:footnote w:id="4">
    <w:p w14:paraId="29C18484" w14:textId="77777777" w:rsidR="005E7193" w:rsidRDefault="005E7193">
      <w:pPr>
        <w:pStyle w:val="FootnoteText"/>
      </w:pPr>
      <w:r>
        <w:tab/>
      </w:r>
      <w:r>
        <w:rPr>
          <w:rStyle w:val="FootnoteReference"/>
        </w:rPr>
        <w:footnoteRef/>
      </w:r>
      <w:r>
        <w:tab/>
        <w:t xml:space="preserve">The author submits that, according to article 293 of the Code of Criminal Procedure, the military courts have limited jurisdiction over cases involving crimes that are military offences, offences that are committed by military personnel and offences that are committed by individuals in the performance of their official duties, as well as in cases of espionage. </w:t>
      </w:r>
    </w:p>
  </w:footnote>
  <w:footnote w:id="5">
    <w:p w14:paraId="00058623" w14:textId="77777777" w:rsidR="005E7193" w:rsidRDefault="005E7193">
      <w:pPr>
        <w:pStyle w:val="FootnoteText"/>
      </w:pPr>
      <w:r>
        <w:tab/>
      </w:r>
      <w:r>
        <w:rPr>
          <w:rStyle w:val="FootnoteReference"/>
        </w:rPr>
        <w:footnoteRef/>
      </w:r>
      <w:r>
        <w:tab/>
        <w:t xml:space="preserve">The author submits that B. was granted clearance only on 24 September 2009, some four months after the author had been arrested. </w:t>
      </w:r>
    </w:p>
  </w:footnote>
  <w:footnote w:id="6">
    <w:p w14:paraId="6EF79972" w14:textId="77777777" w:rsidR="005E7193" w:rsidRPr="00833607" w:rsidRDefault="005E7193">
      <w:pPr>
        <w:pStyle w:val="FootnoteText"/>
      </w:pPr>
      <w:r>
        <w:tab/>
      </w:r>
      <w:r w:rsidRPr="00833607">
        <w:rPr>
          <w:rStyle w:val="FootnoteReference"/>
        </w:rPr>
        <w:footnoteRef/>
      </w:r>
      <w:r>
        <w:tab/>
        <w:t>The alleged crimes as proscribed by a</w:t>
      </w:r>
      <w:r w:rsidRPr="00833607">
        <w:t>rticle</w:t>
      </w:r>
      <w:r>
        <w:t>s</w:t>
      </w:r>
      <w:r w:rsidRPr="00833607">
        <w:t xml:space="preserve"> 177 (3) (a) and (b)</w:t>
      </w:r>
      <w:r>
        <w:t xml:space="preserve">, </w:t>
      </w:r>
      <w:r w:rsidRPr="00833607">
        <w:t>176 (3) (a) and (b)</w:t>
      </w:r>
      <w:r>
        <w:t>,</w:t>
      </w:r>
      <w:r w:rsidRPr="00833607">
        <w:t xml:space="preserve"> and</w:t>
      </w:r>
      <w:r>
        <w:t xml:space="preserve"> </w:t>
      </w:r>
      <w:r w:rsidRPr="00833607">
        <w:t>311 (5), respectively</w:t>
      </w:r>
      <w:r>
        <w:t>,</w:t>
      </w:r>
      <w:r w:rsidRPr="00833607">
        <w:t xml:space="preserve"> of the Criminal Code</w:t>
      </w:r>
      <w:r>
        <w:t xml:space="preserve"> of Kazakhstan</w:t>
      </w:r>
      <w:r w:rsidRPr="00833607">
        <w:t>.</w:t>
      </w:r>
    </w:p>
  </w:footnote>
  <w:footnote w:id="7">
    <w:p w14:paraId="2BC6951D" w14:textId="77777777" w:rsidR="005E7193" w:rsidRPr="00833607" w:rsidRDefault="005E7193">
      <w:pPr>
        <w:pStyle w:val="FootnoteText"/>
      </w:pPr>
      <w:r>
        <w:tab/>
      </w:r>
      <w:r w:rsidRPr="00833607">
        <w:rPr>
          <w:rStyle w:val="FootnoteReference"/>
        </w:rPr>
        <w:footnoteRef/>
      </w:r>
      <w:r>
        <w:tab/>
      </w:r>
      <w:r w:rsidRPr="00833607">
        <w:t xml:space="preserve">According to the author, it was only in court that </w:t>
      </w:r>
      <w:r>
        <w:t>he</w:t>
      </w:r>
      <w:r w:rsidRPr="00833607">
        <w:t xml:space="preserve"> learned that the material</w:t>
      </w:r>
      <w:r>
        <w:t>s of the criminal case against him</w:t>
      </w:r>
      <w:r w:rsidRPr="00833607">
        <w:t xml:space="preserve"> consisted of 96 volumes</w:t>
      </w:r>
      <w:r>
        <w:t xml:space="preserve"> </w:t>
      </w:r>
      <w:r w:rsidRPr="00833607">
        <w:t>of around 250 pages</w:t>
      </w:r>
      <w:r>
        <w:t xml:space="preserve"> each.</w:t>
      </w:r>
    </w:p>
  </w:footnote>
  <w:footnote w:id="8">
    <w:p w14:paraId="7C53541F" w14:textId="77777777" w:rsidR="005E7193" w:rsidRDefault="005E7193" w:rsidP="00747E18">
      <w:pPr>
        <w:pStyle w:val="FootnoteText"/>
      </w:pPr>
      <w:r>
        <w:tab/>
      </w:r>
      <w:r>
        <w:rPr>
          <w:rStyle w:val="FootnoteReference"/>
        </w:rPr>
        <w:footnoteRef/>
      </w:r>
      <w:r>
        <w:tab/>
        <w:t xml:space="preserve">The author further submits that the National Security Committee obstructed his counsel’s activities in many ways, for example by not respecting counsel-client privilege and prohibiting the lawyers from using certain documents. </w:t>
      </w:r>
    </w:p>
  </w:footnote>
  <w:footnote w:id="9">
    <w:p w14:paraId="23CF1A41" w14:textId="77777777" w:rsidR="005E7193" w:rsidRDefault="005E7193">
      <w:pPr>
        <w:pStyle w:val="FootnoteText"/>
      </w:pPr>
      <w:r>
        <w:tab/>
      </w:r>
      <w:r>
        <w:rPr>
          <w:rStyle w:val="FootnoteReference"/>
        </w:rPr>
        <w:footnoteRef/>
      </w:r>
      <w:r>
        <w:tab/>
        <w:t xml:space="preserve">The author submits that these actions are in violation of article 275 of the Code of Criminal Procedure. </w:t>
      </w:r>
    </w:p>
  </w:footnote>
  <w:footnote w:id="10">
    <w:p w14:paraId="5B2F0627" w14:textId="77777777" w:rsidR="005E7193" w:rsidRDefault="005E7193">
      <w:pPr>
        <w:pStyle w:val="FootnoteText"/>
      </w:pPr>
      <w:r>
        <w:tab/>
      </w:r>
      <w:r>
        <w:rPr>
          <w:rStyle w:val="FootnoteReference"/>
        </w:rPr>
        <w:footnoteRef/>
      </w:r>
      <w:r>
        <w:tab/>
        <w:t xml:space="preserve">The author submits </w:t>
      </w:r>
      <w:r w:rsidRPr="00E60161">
        <w:t>that</w:t>
      </w:r>
      <w:r>
        <w:t xml:space="preserve"> he complained about these violations to Astana District Court and that his complaints were either ignored or rejected. </w:t>
      </w:r>
    </w:p>
  </w:footnote>
  <w:footnote w:id="11">
    <w:p w14:paraId="360BFE81" w14:textId="77777777" w:rsidR="005E7193" w:rsidRDefault="005E7193" w:rsidP="00747E18">
      <w:pPr>
        <w:pStyle w:val="FootnoteText"/>
      </w:pPr>
      <w:r>
        <w:tab/>
      </w:r>
      <w:r>
        <w:rPr>
          <w:rStyle w:val="FootnoteReference"/>
        </w:rPr>
        <w:footnoteRef/>
      </w:r>
      <w:r>
        <w:tab/>
        <w:t xml:space="preserve">The author submits that at some point the charges against him were separated into two criminal cases, the first dealing only with the embezzlement and bribery charges and the second only with the fraud charges. The reasons for this separation are not clear. </w:t>
      </w:r>
    </w:p>
  </w:footnote>
  <w:footnote w:id="12">
    <w:p w14:paraId="052F69C4" w14:textId="77777777" w:rsidR="005E7193" w:rsidRDefault="005E7193" w:rsidP="00E60161">
      <w:pPr>
        <w:pStyle w:val="FootnoteText"/>
      </w:pPr>
      <w:r>
        <w:tab/>
      </w:r>
      <w:r>
        <w:rPr>
          <w:rStyle w:val="FootnoteReference"/>
        </w:rPr>
        <w:footnoteRef/>
      </w:r>
      <w:r>
        <w:tab/>
        <w:t xml:space="preserve">The author submits that he was not present during this court hearing. </w:t>
      </w:r>
    </w:p>
  </w:footnote>
  <w:footnote w:id="13">
    <w:p w14:paraId="06F941F3" w14:textId="77777777" w:rsidR="005E7193" w:rsidRPr="00833607" w:rsidRDefault="005E7193" w:rsidP="00747E18">
      <w:pPr>
        <w:pStyle w:val="FootnoteText"/>
      </w:pPr>
      <w:r>
        <w:tab/>
      </w:r>
      <w:r w:rsidRPr="00833607">
        <w:rPr>
          <w:rStyle w:val="FootnoteReference"/>
        </w:rPr>
        <w:footnoteRef/>
      </w:r>
      <w:r>
        <w:tab/>
        <w:t xml:space="preserve">The author submits that </w:t>
      </w:r>
      <w:r w:rsidRPr="00833607">
        <w:t xml:space="preserve">he </w:t>
      </w:r>
      <w:r>
        <w:t>has s</w:t>
      </w:r>
      <w:r w:rsidRPr="00833607">
        <w:t>uffer</w:t>
      </w:r>
      <w:r>
        <w:t>ed</w:t>
      </w:r>
      <w:r w:rsidRPr="00833607">
        <w:t xml:space="preserve"> from long</w:t>
      </w:r>
      <w:r>
        <w:t>-</w:t>
      </w:r>
      <w:r w:rsidRPr="00833607">
        <w:t>standing serious health problems</w:t>
      </w:r>
      <w:r>
        <w:t xml:space="preserve"> and that</w:t>
      </w:r>
      <w:r w:rsidRPr="00833607">
        <w:t xml:space="preserve"> his health has been</w:t>
      </w:r>
      <w:r>
        <w:t xml:space="preserve"> further</w:t>
      </w:r>
      <w:r w:rsidRPr="00833607">
        <w:t xml:space="preserve"> affected</w:t>
      </w:r>
      <w:r>
        <w:t xml:space="preserve"> by</w:t>
      </w:r>
      <w:r w:rsidRPr="00833607">
        <w:t xml:space="preserve"> the severe conditions of detention. On several occasions</w:t>
      </w:r>
      <w:r>
        <w:t>,</w:t>
      </w:r>
      <w:r w:rsidRPr="00833607">
        <w:t xml:space="preserve"> he </w:t>
      </w:r>
      <w:r>
        <w:t xml:space="preserve">has </w:t>
      </w:r>
      <w:r w:rsidRPr="00833607">
        <w:t xml:space="preserve">suffered from hypertensive crises, acute cardiac pain and other serious symptoms. </w:t>
      </w:r>
      <w:r>
        <w:t>Nevertheless</w:t>
      </w:r>
      <w:r w:rsidRPr="00833607">
        <w:t>, his request to the Prosecutor General to be transferred to a hospital was simply ignored.</w:t>
      </w:r>
    </w:p>
  </w:footnote>
  <w:footnote w:id="14">
    <w:p w14:paraId="2363AE2B" w14:textId="77777777" w:rsidR="005E7193" w:rsidRDefault="005E7193">
      <w:pPr>
        <w:pStyle w:val="FootnoteText"/>
      </w:pPr>
      <w:r>
        <w:tab/>
      </w:r>
      <w:r>
        <w:rPr>
          <w:rStyle w:val="FootnoteReference"/>
        </w:rPr>
        <w:footnoteRef/>
      </w:r>
      <w:r>
        <w:tab/>
        <w:t xml:space="preserve">The author submits that, owing to health problems, B. was unavailable from 30 September 2009 to 27 January 2010. Except during this period of time, the author was represented by his private lawyers during the trial. </w:t>
      </w:r>
    </w:p>
  </w:footnote>
  <w:footnote w:id="15">
    <w:p w14:paraId="421D6583" w14:textId="77777777" w:rsidR="005E7193" w:rsidRDefault="005E7193">
      <w:pPr>
        <w:pStyle w:val="FootnoteText"/>
      </w:pPr>
      <w:r>
        <w:tab/>
      </w:r>
      <w:r>
        <w:rPr>
          <w:rStyle w:val="FootnoteReference"/>
        </w:rPr>
        <w:footnoteRef/>
      </w:r>
      <w:r>
        <w:tab/>
        <w:t xml:space="preserve">It is not clear from the author’s submission whether any of his lawyers were present during those hearings. </w:t>
      </w:r>
    </w:p>
  </w:footnote>
  <w:footnote w:id="16">
    <w:p w14:paraId="7CCC2DC6" w14:textId="77777777" w:rsidR="005E7193" w:rsidRPr="00833607" w:rsidRDefault="005E7193" w:rsidP="00E60161">
      <w:pPr>
        <w:pStyle w:val="FootnoteText"/>
      </w:pPr>
      <w:r>
        <w:tab/>
      </w:r>
      <w:r w:rsidRPr="00833607">
        <w:rPr>
          <w:rStyle w:val="FootnoteReference"/>
        </w:rPr>
        <w:footnoteRef/>
      </w:r>
      <w:r>
        <w:tab/>
      </w:r>
      <w:r w:rsidRPr="00833607">
        <w:t xml:space="preserve">The </w:t>
      </w:r>
      <w:r>
        <w:t>author</w:t>
      </w:r>
      <w:r w:rsidRPr="00833607">
        <w:t xml:space="preserve"> does not provide further information </w:t>
      </w:r>
      <w:r>
        <w:t>regarding this</w:t>
      </w:r>
      <w:r w:rsidRPr="00833607">
        <w:t xml:space="preserve"> judg</w:t>
      </w:r>
      <w:r>
        <w:t>e</w:t>
      </w:r>
      <w:r w:rsidRPr="00833607">
        <w:t>ment.</w:t>
      </w:r>
    </w:p>
  </w:footnote>
  <w:footnote w:id="17">
    <w:p w14:paraId="4005074E" w14:textId="77777777" w:rsidR="005E7193" w:rsidRDefault="005E7193" w:rsidP="00641579">
      <w:pPr>
        <w:pStyle w:val="FootnoteText"/>
      </w:pPr>
      <w:r>
        <w:tab/>
      </w:r>
      <w:r>
        <w:rPr>
          <w:rStyle w:val="FootnoteReference"/>
        </w:rPr>
        <w:footnoteRef/>
      </w:r>
      <w:r>
        <w:tab/>
        <w:t>While the author lists violations that occurred during his second trial, which were similar to alleged violations during the first trial, his claims are based solely on the first trial and the period of detention preceding it.</w:t>
      </w:r>
    </w:p>
  </w:footnote>
  <w:footnote w:id="18">
    <w:p w14:paraId="1BF61747" w14:textId="77777777" w:rsidR="005E7193" w:rsidRDefault="005E7193" w:rsidP="002E10D1">
      <w:pPr>
        <w:pStyle w:val="FootnoteText"/>
      </w:pPr>
      <w:r>
        <w:tab/>
      </w:r>
      <w:r>
        <w:rPr>
          <w:rStyle w:val="FootnoteReference"/>
        </w:rPr>
        <w:footnoteRef/>
      </w:r>
      <w:r>
        <w:tab/>
        <w:t>The author submits that his first cell,</w:t>
      </w:r>
      <w:r w:rsidRPr="000B6E27">
        <w:t xml:space="preserve"> </w:t>
      </w:r>
      <w:r>
        <w:t xml:space="preserve">which he shared with one other detainee, was 6 </w:t>
      </w:r>
      <w:r w:rsidRPr="002E10D1">
        <w:rPr>
          <w:lang w:val="en-GB"/>
        </w:rPr>
        <w:t>m²</w:t>
      </w:r>
      <w:r>
        <w:t xml:space="preserve">. The second cell, which he shared with five other detainees, was 15 </w:t>
      </w:r>
      <w:r w:rsidRPr="002E10D1">
        <w:rPr>
          <w:lang w:val="en-GB"/>
        </w:rPr>
        <w:t>m²</w:t>
      </w:r>
      <w:r>
        <w:t xml:space="preserve">. </w:t>
      </w:r>
    </w:p>
  </w:footnote>
  <w:footnote w:id="19">
    <w:p w14:paraId="4AE7AD66" w14:textId="77777777" w:rsidR="005E7193" w:rsidRDefault="005E7193" w:rsidP="00641579">
      <w:pPr>
        <w:pStyle w:val="FootnoteText"/>
      </w:pPr>
      <w:r>
        <w:tab/>
      </w:r>
      <w:r>
        <w:rPr>
          <w:rStyle w:val="FootnoteReference"/>
        </w:rPr>
        <w:footnoteRef/>
      </w:r>
      <w:r>
        <w:tab/>
        <w:t xml:space="preserve">The </w:t>
      </w:r>
      <w:r w:rsidRPr="00E60161">
        <w:t>author</w:t>
      </w:r>
      <w:r>
        <w:t xml:space="preserve"> submits that he “continues to suffer” in prison, although “the living conditions there are better” than in the detention centre. </w:t>
      </w:r>
    </w:p>
  </w:footnote>
  <w:footnote w:id="20">
    <w:p w14:paraId="34F3FB25" w14:textId="77777777" w:rsidR="005E7193" w:rsidRDefault="005E7193">
      <w:pPr>
        <w:pStyle w:val="FootnoteText"/>
      </w:pPr>
      <w:r>
        <w:tab/>
      </w:r>
      <w:r>
        <w:rPr>
          <w:rStyle w:val="FootnoteReference"/>
        </w:rPr>
        <w:footnoteRef/>
      </w:r>
      <w:r>
        <w:tab/>
        <w:t xml:space="preserve">The </w:t>
      </w:r>
      <w:r w:rsidRPr="00E60161">
        <w:t>author</w:t>
      </w:r>
      <w:r>
        <w:t xml:space="preserve"> refers to the Committee’s jurisprudence in communication No. 520/1992, </w:t>
      </w:r>
      <w:r w:rsidRPr="00C85ECD">
        <w:rPr>
          <w:i/>
        </w:rPr>
        <w:t>K</w:t>
      </w:r>
      <w:r>
        <w:rPr>
          <w:i/>
        </w:rPr>
        <w:t>ö</w:t>
      </w:r>
      <w:r w:rsidRPr="00C85ECD">
        <w:rPr>
          <w:i/>
        </w:rPr>
        <w:t xml:space="preserve">nye </w:t>
      </w:r>
      <w:r w:rsidR="00F86A01">
        <w:rPr>
          <w:i/>
        </w:rPr>
        <w:t xml:space="preserve">et al. </w:t>
      </w:r>
      <w:r w:rsidRPr="00C85ECD">
        <w:rPr>
          <w:i/>
        </w:rPr>
        <w:t>v. Hungary</w:t>
      </w:r>
      <w:r>
        <w:t xml:space="preserve">, decision adopted on 7 April 1994, para. 6.4. </w:t>
      </w:r>
    </w:p>
  </w:footnote>
  <w:footnote w:id="21">
    <w:p w14:paraId="0EF69329" w14:textId="77777777" w:rsidR="005E7193" w:rsidRDefault="005E7193" w:rsidP="00641579">
      <w:pPr>
        <w:pStyle w:val="FootnoteText"/>
      </w:pPr>
      <w:r>
        <w:tab/>
      </w:r>
      <w:r>
        <w:rPr>
          <w:rStyle w:val="FootnoteReference"/>
        </w:rPr>
        <w:footnoteRef/>
      </w:r>
      <w:r>
        <w:tab/>
        <w:t xml:space="preserve">The State party’s submission dated 23 July 2014 is the exact copy (in its substantive part) of its submission dated 23 May 2014. </w:t>
      </w:r>
    </w:p>
  </w:footnote>
  <w:footnote w:id="22">
    <w:p w14:paraId="247841C5" w14:textId="77777777" w:rsidR="005E7193" w:rsidRDefault="005E7193" w:rsidP="00E60161">
      <w:pPr>
        <w:pStyle w:val="FootnoteText"/>
      </w:pPr>
      <w:r>
        <w:tab/>
      </w:r>
      <w:r>
        <w:rPr>
          <w:rStyle w:val="FootnoteReference"/>
        </w:rPr>
        <w:footnoteRef/>
      </w:r>
      <w:r>
        <w:tab/>
        <w:t xml:space="preserve">The State party provides no further details. </w:t>
      </w:r>
    </w:p>
  </w:footnote>
  <w:footnote w:id="23">
    <w:p w14:paraId="347FED0C" w14:textId="77777777" w:rsidR="005E7193" w:rsidRDefault="005E7193" w:rsidP="00E60161">
      <w:pPr>
        <w:pStyle w:val="FootnoteText"/>
      </w:pPr>
      <w:r>
        <w:tab/>
      </w:r>
      <w:r>
        <w:rPr>
          <w:rStyle w:val="FootnoteReference"/>
        </w:rPr>
        <w:footnoteRef/>
      </w:r>
      <w:r>
        <w:tab/>
        <w:t xml:space="preserve">The State party provides no further details. </w:t>
      </w:r>
    </w:p>
  </w:footnote>
  <w:footnote w:id="24">
    <w:p w14:paraId="2AB5ADF7" w14:textId="77777777" w:rsidR="005E7193" w:rsidRDefault="005E7193" w:rsidP="00641579">
      <w:pPr>
        <w:pStyle w:val="FootnoteText"/>
      </w:pPr>
      <w:r>
        <w:tab/>
      </w:r>
      <w:r>
        <w:rPr>
          <w:rStyle w:val="FootnoteReference"/>
        </w:rPr>
        <w:footnoteRef/>
      </w:r>
      <w:r>
        <w:tab/>
      </w:r>
      <w:r w:rsidRPr="008A4D35">
        <w:t>See</w:t>
      </w:r>
      <w:r w:rsidRPr="00641579">
        <w:t xml:space="preserve">, </w:t>
      </w:r>
      <w:r w:rsidRPr="00246284">
        <w:t>inter alia</w:t>
      </w:r>
      <w:r w:rsidRPr="00641579">
        <w:t>,</w:t>
      </w:r>
      <w:r w:rsidRPr="008A4D35">
        <w:t xml:space="preserve"> </w:t>
      </w:r>
      <w:r w:rsidRPr="00E60161">
        <w:t>communications</w:t>
      </w:r>
      <w:r w:rsidRPr="008A4D35">
        <w:t xml:space="preserve"> No. 1188/2003, </w:t>
      </w:r>
      <w:r w:rsidRPr="008A4D35">
        <w:rPr>
          <w:i/>
          <w:iCs/>
        </w:rPr>
        <w:t>Riedl-Riedenstein et al.</w:t>
      </w:r>
      <w:r w:rsidRPr="008A4D35">
        <w:t xml:space="preserve"> </w:t>
      </w:r>
      <w:r w:rsidRPr="00246284">
        <w:rPr>
          <w:i/>
          <w:iCs/>
        </w:rPr>
        <w:t>v.</w:t>
      </w:r>
      <w:r w:rsidRPr="008A4D35">
        <w:t xml:space="preserve"> </w:t>
      </w:r>
      <w:r w:rsidRPr="008A4D35">
        <w:rPr>
          <w:i/>
          <w:iCs/>
        </w:rPr>
        <w:t>Germany</w:t>
      </w:r>
      <w:r w:rsidRPr="008A4D35">
        <w:t xml:space="preserve">, </w:t>
      </w:r>
      <w:r>
        <w:t xml:space="preserve">decision of </w:t>
      </w:r>
      <w:r w:rsidRPr="008A4D35">
        <w:t>inadmissibility</w:t>
      </w:r>
      <w:r>
        <w:t xml:space="preserve"> </w:t>
      </w:r>
      <w:r w:rsidRPr="008A4D35">
        <w:t>adopted on 2 November 2004, para. 7.3;</w:t>
      </w:r>
      <w:r>
        <w:t xml:space="preserve"> and</w:t>
      </w:r>
      <w:r w:rsidRPr="008A4D35">
        <w:t xml:space="preserve"> No. 1138/2002, </w:t>
      </w:r>
      <w:r w:rsidRPr="008A4D35">
        <w:rPr>
          <w:i/>
          <w:iCs/>
        </w:rPr>
        <w:t>Arenz et al.</w:t>
      </w:r>
      <w:r w:rsidRPr="008A4D35">
        <w:t xml:space="preserve"> </w:t>
      </w:r>
      <w:r w:rsidRPr="00246284">
        <w:rPr>
          <w:i/>
          <w:iCs/>
        </w:rPr>
        <w:t>v.</w:t>
      </w:r>
      <w:r w:rsidRPr="008A4D35">
        <w:t xml:space="preserve"> </w:t>
      </w:r>
      <w:r w:rsidRPr="008A4D35">
        <w:rPr>
          <w:i/>
          <w:iCs/>
        </w:rPr>
        <w:t>Germany</w:t>
      </w:r>
      <w:r w:rsidRPr="008A4D35">
        <w:t xml:space="preserve">, </w:t>
      </w:r>
      <w:r>
        <w:t>decision</w:t>
      </w:r>
      <w:r w:rsidRPr="008A4D35">
        <w:t xml:space="preserve"> </w:t>
      </w:r>
      <w:r>
        <w:t xml:space="preserve">of inadmissibility </w:t>
      </w:r>
      <w:r w:rsidRPr="008A4D35">
        <w:t>adopted on 24 March 2004, para. 8.6.</w:t>
      </w:r>
    </w:p>
  </w:footnote>
  <w:footnote w:id="25">
    <w:p w14:paraId="16DFB6F2" w14:textId="77777777" w:rsidR="005E7193" w:rsidRDefault="005E7193">
      <w:pPr>
        <w:pStyle w:val="FootnoteText"/>
      </w:pPr>
      <w:r>
        <w:tab/>
      </w:r>
      <w:r>
        <w:rPr>
          <w:rStyle w:val="FootnoteReference"/>
          <w:szCs w:val="18"/>
        </w:rPr>
        <w:footnoteRef/>
      </w:r>
      <w:r>
        <w:tab/>
      </w:r>
      <w:r w:rsidRPr="00E60161">
        <w:t>See</w:t>
      </w:r>
      <w:r>
        <w:t xml:space="preserve">, for instance, communications No. 590/1994, </w:t>
      </w:r>
      <w:r>
        <w:rPr>
          <w:i/>
          <w:iCs/>
        </w:rPr>
        <w:t>Bennet v. Jamaica</w:t>
      </w:r>
      <w:r>
        <w:t>, Views adopted on 25 March 1999, paras. 10.7-10.8; No. </w:t>
      </w:r>
      <w:r w:rsidRPr="00641579">
        <w:t xml:space="preserve">695/1993, </w:t>
      </w:r>
      <w:r w:rsidRPr="00641579">
        <w:rPr>
          <w:i/>
          <w:iCs/>
        </w:rPr>
        <w:t>Simpson v. Jamaica</w:t>
      </w:r>
      <w:r w:rsidRPr="00641579">
        <w:t xml:space="preserve">, </w:t>
      </w:r>
      <w:r w:rsidRPr="00246284">
        <w:t xml:space="preserve">Views adopted on 31 October 2001, </w:t>
      </w:r>
      <w:r w:rsidRPr="00641579">
        <w:t xml:space="preserve">para. 7.2; No. 704/1996, </w:t>
      </w:r>
      <w:r w:rsidRPr="00641579">
        <w:rPr>
          <w:i/>
          <w:iCs/>
        </w:rPr>
        <w:t>Shaw v. Jamaica</w:t>
      </w:r>
      <w:r w:rsidRPr="00641579">
        <w:t xml:space="preserve">, </w:t>
      </w:r>
      <w:r>
        <w:t xml:space="preserve">Views adopted on 2 April 1998, </w:t>
      </w:r>
      <w:r w:rsidRPr="00641579">
        <w:t>para. 7.1; and No. </w:t>
      </w:r>
      <w:r>
        <w:t xml:space="preserve">734/1997, </w:t>
      </w:r>
      <w:r>
        <w:rPr>
          <w:i/>
          <w:iCs/>
        </w:rPr>
        <w:t>McLeod v. Jamaica</w:t>
      </w:r>
      <w:r>
        <w:t>, Views adopted on 31 March 1998, para.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ACE21" w14:textId="77777777" w:rsidR="005E7193" w:rsidRPr="00781C83" w:rsidRDefault="005E7193" w:rsidP="00781C83">
    <w:pPr>
      <w:pStyle w:val="Header"/>
    </w:pPr>
    <w:r>
      <w:t>CCPR/C/115/D/2304/2013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05F70" w14:textId="77777777" w:rsidR="005E7193" w:rsidRPr="00781C83" w:rsidRDefault="005E7193" w:rsidP="00781C83">
    <w:pPr>
      <w:pStyle w:val="Header"/>
      <w:jc w:val="right"/>
    </w:pPr>
    <w:r>
      <w:t>CCPR/C/115/D/2304/2013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7ED"/>
    <w:multiLevelType w:val="multilevel"/>
    <w:tmpl w:val="57827E5A"/>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70EC3"/>
    <w:multiLevelType w:val="multilevel"/>
    <w:tmpl w:val="FBA209A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F572556"/>
    <w:multiLevelType w:val="multilevel"/>
    <w:tmpl w:val="2314305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723E4B"/>
    <w:multiLevelType w:val="multilevel"/>
    <w:tmpl w:val="E1F0726A"/>
    <w:lvl w:ilvl="0">
      <w:start w:val="2"/>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5306ABD"/>
    <w:multiLevelType w:val="multilevel"/>
    <w:tmpl w:val="23F6FB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F5B3FCD"/>
    <w:multiLevelType w:val="multilevel"/>
    <w:tmpl w:val="1038B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3F5D195E"/>
    <w:multiLevelType w:val="hybridMultilevel"/>
    <w:tmpl w:val="BDC82ED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600024E8"/>
    <w:multiLevelType w:val="hybridMultilevel"/>
    <w:tmpl w:val="2E8AE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156EAE"/>
    <w:multiLevelType w:val="multilevel"/>
    <w:tmpl w:val="99A83F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480"/>
        </w:tabs>
        <w:ind w:left="48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600"/>
        </w:tabs>
        <w:ind w:left="600" w:hanging="1080"/>
      </w:pPr>
    </w:lvl>
    <w:lvl w:ilvl="5">
      <w:start w:val="1"/>
      <w:numFmt w:val="decimal"/>
      <w:lvlText w:val="%1.%2.%3.%4.%5.%6"/>
      <w:lvlJc w:val="left"/>
      <w:pPr>
        <w:tabs>
          <w:tab w:val="num" w:pos="480"/>
        </w:tabs>
        <w:ind w:left="48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600"/>
        </w:tabs>
        <w:ind w:left="600" w:hanging="1440"/>
      </w:pPr>
    </w:lvl>
    <w:lvl w:ilvl="8">
      <w:start w:val="1"/>
      <w:numFmt w:val="decimal"/>
      <w:lvlText w:val="%1.%2.%3.%4.%5.%6.%7.%8.%9"/>
      <w:lvlJc w:val="left"/>
      <w:pPr>
        <w:tabs>
          <w:tab w:val="num" w:pos="840"/>
        </w:tabs>
        <w:ind w:left="840" w:hanging="1800"/>
      </w:pPr>
    </w:lvl>
  </w:abstractNum>
  <w:num w:numId="1">
    <w:abstractNumId w:val="1"/>
  </w:num>
  <w:num w:numId="2">
    <w:abstractNumId w:val="9"/>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8"/>
  </w:num>
  <w:num w:numId="8">
    <w:abstractNumId w:val="7"/>
  </w:num>
  <w:num w:numId="9">
    <w:abstractNumId w:val="0"/>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AU"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256E"/>
    <w:rsid w:val="000038FB"/>
    <w:rsid w:val="000044E2"/>
    <w:rsid w:val="00004609"/>
    <w:rsid w:val="00004793"/>
    <w:rsid w:val="00007679"/>
    <w:rsid w:val="000150A6"/>
    <w:rsid w:val="00015C4E"/>
    <w:rsid w:val="0001616A"/>
    <w:rsid w:val="000170C3"/>
    <w:rsid w:val="00020025"/>
    <w:rsid w:val="00023024"/>
    <w:rsid w:val="000254A9"/>
    <w:rsid w:val="00025D41"/>
    <w:rsid w:val="0002635B"/>
    <w:rsid w:val="00026C96"/>
    <w:rsid w:val="000272B3"/>
    <w:rsid w:val="0003055D"/>
    <w:rsid w:val="000308D4"/>
    <w:rsid w:val="00032252"/>
    <w:rsid w:val="0003387B"/>
    <w:rsid w:val="0003389B"/>
    <w:rsid w:val="00033CA8"/>
    <w:rsid w:val="00035143"/>
    <w:rsid w:val="00035322"/>
    <w:rsid w:val="00036F3F"/>
    <w:rsid w:val="00036FAC"/>
    <w:rsid w:val="000371C7"/>
    <w:rsid w:val="000377A5"/>
    <w:rsid w:val="00037AD0"/>
    <w:rsid w:val="0004092D"/>
    <w:rsid w:val="00041994"/>
    <w:rsid w:val="00044639"/>
    <w:rsid w:val="00050F6B"/>
    <w:rsid w:val="00051509"/>
    <w:rsid w:val="000547DC"/>
    <w:rsid w:val="00055FFE"/>
    <w:rsid w:val="00056F3B"/>
    <w:rsid w:val="0005782B"/>
    <w:rsid w:val="00057E97"/>
    <w:rsid w:val="0006027B"/>
    <w:rsid w:val="0006055C"/>
    <w:rsid w:val="00060C3A"/>
    <w:rsid w:val="00064A4C"/>
    <w:rsid w:val="00065867"/>
    <w:rsid w:val="00066439"/>
    <w:rsid w:val="00066476"/>
    <w:rsid w:val="00072C8C"/>
    <w:rsid w:val="00073226"/>
    <w:rsid w:val="000733B5"/>
    <w:rsid w:val="00074EEA"/>
    <w:rsid w:val="00075EAD"/>
    <w:rsid w:val="00076209"/>
    <w:rsid w:val="00080407"/>
    <w:rsid w:val="00081815"/>
    <w:rsid w:val="00081BF7"/>
    <w:rsid w:val="0008245C"/>
    <w:rsid w:val="00090B15"/>
    <w:rsid w:val="00090DEA"/>
    <w:rsid w:val="00091F15"/>
    <w:rsid w:val="00092E23"/>
    <w:rsid w:val="000931C0"/>
    <w:rsid w:val="0009482E"/>
    <w:rsid w:val="000970C1"/>
    <w:rsid w:val="00097D3E"/>
    <w:rsid w:val="000A1007"/>
    <w:rsid w:val="000A310C"/>
    <w:rsid w:val="000A34B1"/>
    <w:rsid w:val="000A419F"/>
    <w:rsid w:val="000A5559"/>
    <w:rsid w:val="000A578B"/>
    <w:rsid w:val="000B02C3"/>
    <w:rsid w:val="000B0E72"/>
    <w:rsid w:val="000B1424"/>
    <w:rsid w:val="000B175B"/>
    <w:rsid w:val="000B1788"/>
    <w:rsid w:val="000B20E9"/>
    <w:rsid w:val="000B3A0F"/>
    <w:rsid w:val="000B4EF7"/>
    <w:rsid w:val="000B66B0"/>
    <w:rsid w:val="000B6E27"/>
    <w:rsid w:val="000C1956"/>
    <w:rsid w:val="000C2AB9"/>
    <w:rsid w:val="000C2C03"/>
    <w:rsid w:val="000C2D2E"/>
    <w:rsid w:val="000C2E06"/>
    <w:rsid w:val="000C46B7"/>
    <w:rsid w:val="000C4DA0"/>
    <w:rsid w:val="000C6635"/>
    <w:rsid w:val="000C7E5C"/>
    <w:rsid w:val="000D0858"/>
    <w:rsid w:val="000D0ABB"/>
    <w:rsid w:val="000D6CA6"/>
    <w:rsid w:val="000E00AE"/>
    <w:rsid w:val="000E0415"/>
    <w:rsid w:val="000E1E5F"/>
    <w:rsid w:val="000E20F8"/>
    <w:rsid w:val="000E4A6F"/>
    <w:rsid w:val="000E5372"/>
    <w:rsid w:val="000E7CC0"/>
    <w:rsid w:val="000F00D4"/>
    <w:rsid w:val="000F2AE5"/>
    <w:rsid w:val="000F39F9"/>
    <w:rsid w:val="000F6A6B"/>
    <w:rsid w:val="000F7273"/>
    <w:rsid w:val="000F7E69"/>
    <w:rsid w:val="00100C94"/>
    <w:rsid w:val="001037D9"/>
    <w:rsid w:val="00104A40"/>
    <w:rsid w:val="001063C8"/>
    <w:rsid w:val="001103AA"/>
    <w:rsid w:val="001114B3"/>
    <w:rsid w:val="001133DB"/>
    <w:rsid w:val="0011541B"/>
    <w:rsid w:val="00117506"/>
    <w:rsid w:val="0011787A"/>
    <w:rsid w:val="001213FA"/>
    <w:rsid w:val="00123712"/>
    <w:rsid w:val="001247FE"/>
    <w:rsid w:val="001248CB"/>
    <w:rsid w:val="001304B5"/>
    <w:rsid w:val="001306DD"/>
    <w:rsid w:val="00130D48"/>
    <w:rsid w:val="00131B64"/>
    <w:rsid w:val="0013235B"/>
    <w:rsid w:val="001340B3"/>
    <w:rsid w:val="00137249"/>
    <w:rsid w:val="00140644"/>
    <w:rsid w:val="00142286"/>
    <w:rsid w:val="0014393C"/>
    <w:rsid w:val="00146237"/>
    <w:rsid w:val="00146B18"/>
    <w:rsid w:val="00150412"/>
    <w:rsid w:val="00151655"/>
    <w:rsid w:val="00153D29"/>
    <w:rsid w:val="00154DA5"/>
    <w:rsid w:val="0015757D"/>
    <w:rsid w:val="00157820"/>
    <w:rsid w:val="00157B50"/>
    <w:rsid w:val="00157F46"/>
    <w:rsid w:val="00160C46"/>
    <w:rsid w:val="00161364"/>
    <w:rsid w:val="00161EDC"/>
    <w:rsid w:val="00162031"/>
    <w:rsid w:val="00162DB2"/>
    <w:rsid w:val="00164C92"/>
    <w:rsid w:val="00165F3A"/>
    <w:rsid w:val="0016636B"/>
    <w:rsid w:val="00170DDB"/>
    <w:rsid w:val="001721A9"/>
    <w:rsid w:val="0017277A"/>
    <w:rsid w:val="00173EC9"/>
    <w:rsid w:val="001756D6"/>
    <w:rsid w:val="001758E2"/>
    <w:rsid w:val="00177A3E"/>
    <w:rsid w:val="00181285"/>
    <w:rsid w:val="00183968"/>
    <w:rsid w:val="001861DE"/>
    <w:rsid w:val="001871C2"/>
    <w:rsid w:val="00187211"/>
    <w:rsid w:val="00187A7F"/>
    <w:rsid w:val="00192AD3"/>
    <w:rsid w:val="001936B1"/>
    <w:rsid w:val="0019386E"/>
    <w:rsid w:val="001965C0"/>
    <w:rsid w:val="00196964"/>
    <w:rsid w:val="00196CDF"/>
    <w:rsid w:val="001A09DE"/>
    <w:rsid w:val="001A11CB"/>
    <w:rsid w:val="001A1935"/>
    <w:rsid w:val="001A2751"/>
    <w:rsid w:val="001A2C08"/>
    <w:rsid w:val="001A32CB"/>
    <w:rsid w:val="001A3477"/>
    <w:rsid w:val="001A4429"/>
    <w:rsid w:val="001A660B"/>
    <w:rsid w:val="001A6686"/>
    <w:rsid w:val="001A6A20"/>
    <w:rsid w:val="001A723C"/>
    <w:rsid w:val="001A7E43"/>
    <w:rsid w:val="001B296C"/>
    <w:rsid w:val="001B2F21"/>
    <w:rsid w:val="001B34E6"/>
    <w:rsid w:val="001B4041"/>
    <w:rsid w:val="001B4B04"/>
    <w:rsid w:val="001B504F"/>
    <w:rsid w:val="001C4D1C"/>
    <w:rsid w:val="001C5B48"/>
    <w:rsid w:val="001C5BED"/>
    <w:rsid w:val="001C657F"/>
    <w:rsid w:val="001C6663"/>
    <w:rsid w:val="001C6B73"/>
    <w:rsid w:val="001C7895"/>
    <w:rsid w:val="001D03DE"/>
    <w:rsid w:val="001D0C8C"/>
    <w:rsid w:val="001D15CF"/>
    <w:rsid w:val="001D26DF"/>
    <w:rsid w:val="001D3743"/>
    <w:rsid w:val="001D3A03"/>
    <w:rsid w:val="001E06D9"/>
    <w:rsid w:val="001E10EC"/>
    <w:rsid w:val="001E48A9"/>
    <w:rsid w:val="001E718D"/>
    <w:rsid w:val="001E75C1"/>
    <w:rsid w:val="001F22C0"/>
    <w:rsid w:val="001F28F0"/>
    <w:rsid w:val="00200E59"/>
    <w:rsid w:val="002014C3"/>
    <w:rsid w:val="00202DA8"/>
    <w:rsid w:val="0020353C"/>
    <w:rsid w:val="00205AFA"/>
    <w:rsid w:val="002069CC"/>
    <w:rsid w:val="00206CCD"/>
    <w:rsid w:val="002076EA"/>
    <w:rsid w:val="0021061C"/>
    <w:rsid w:val="00211E0B"/>
    <w:rsid w:val="002124DF"/>
    <w:rsid w:val="00213231"/>
    <w:rsid w:val="00213A07"/>
    <w:rsid w:val="00214342"/>
    <w:rsid w:val="00215415"/>
    <w:rsid w:val="00217370"/>
    <w:rsid w:val="00217D74"/>
    <w:rsid w:val="00220677"/>
    <w:rsid w:val="00221F0A"/>
    <w:rsid w:val="0022219E"/>
    <w:rsid w:val="00222689"/>
    <w:rsid w:val="002245E2"/>
    <w:rsid w:val="0022501D"/>
    <w:rsid w:val="002256A1"/>
    <w:rsid w:val="0022755B"/>
    <w:rsid w:val="002314F8"/>
    <w:rsid w:val="0023210C"/>
    <w:rsid w:val="00235981"/>
    <w:rsid w:val="002361D0"/>
    <w:rsid w:val="00237215"/>
    <w:rsid w:val="00240564"/>
    <w:rsid w:val="00240896"/>
    <w:rsid w:val="00242075"/>
    <w:rsid w:val="00244205"/>
    <w:rsid w:val="00246284"/>
    <w:rsid w:val="002509A6"/>
    <w:rsid w:val="0025162E"/>
    <w:rsid w:val="0025397B"/>
    <w:rsid w:val="0025408E"/>
    <w:rsid w:val="0025487E"/>
    <w:rsid w:val="00256E15"/>
    <w:rsid w:val="00256FFF"/>
    <w:rsid w:val="002623F7"/>
    <w:rsid w:val="0026331B"/>
    <w:rsid w:val="002633B3"/>
    <w:rsid w:val="00263E7D"/>
    <w:rsid w:val="002650C2"/>
    <w:rsid w:val="00266EB7"/>
    <w:rsid w:val="00267F5F"/>
    <w:rsid w:val="00271484"/>
    <w:rsid w:val="00272837"/>
    <w:rsid w:val="002733E7"/>
    <w:rsid w:val="00273B14"/>
    <w:rsid w:val="00275307"/>
    <w:rsid w:val="002754B7"/>
    <w:rsid w:val="00275D62"/>
    <w:rsid w:val="002774A9"/>
    <w:rsid w:val="002776C6"/>
    <w:rsid w:val="00277C4F"/>
    <w:rsid w:val="002803F6"/>
    <w:rsid w:val="00281144"/>
    <w:rsid w:val="00282899"/>
    <w:rsid w:val="002847AE"/>
    <w:rsid w:val="00284812"/>
    <w:rsid w:val="002863A9"/>
    <w:rsid w:val="00286B4D"/>
    <w:rsid w:val="00292150"/>
    <w:rsid w:val="0029365C"/>
    <w:rsid w:val="00293B90"/>
    <w:rsid w:val="0029571B"/>
    <w:rsid w:val="00295E87"/>
    <w:rsid w:val="0029754C"/>
    <w:rsid w:val="002978B9"/>
    <w:rsid w:val="002A4B67"/>
    <w:rsid w:val="002A5CAA"/>
    <w:rsid w:val="002A6B45"/>
    <w:rsid w:val="002A728F"/>
    <w:rsid w:val="002B054A"/>
    <w:rsid w:val="002B3B76"/>
    <w:rsid w:val="002B3F1E"/>
    <w:rsid w:val="002B763B"/>
    <w:rsid w:val="002C0CE6"/>
    <w:rsid w:val="002C3114"/>
    <w:rsid w:val="002C39A8"/>
    <w:rsid w:val="002C5BCD"/>
    <w:rsid w:val="002D18B7"/>
    <w:rsid w:val="002D3481"/>
    <w:rsid w:val="002D3AF5"/>
    <w:rsid w:val="002D3C63"/>
    <w:rsid w:val="002D4CB1"/>
    <w:rsid w:val="002D4F64"/>
    <w:rsid w:val="002D5E67"/>
    <w:rsid w:val="002D7312"/>
    <w:rsid w:val="002D77A1"/>
    <w:rsid w:val="002D78C4"/>
    <w:rsid w:val="002D7B9A"/>
    <w:rsid w:val="002E1084"/>
    <w:rsid w:val="002E10D1"/>
    <w:rsid w:val="002E2676"/>
    <w:rsid w:val="002E296F"/>
    <w:rsid w:val="002E49F8"/>
    <w:rsid w:val="002E52B1"/>
    <w:rsid w:val="002E5C99"/>
    <w:rsid w:val="002E69AE"/>
    <w:rsid w:val="002E7D24"/>
    <w:rsid w:val="002E7E1D"/>
    <w:rsid w:val="002F039C"/>
    <w:rsid w:val="002F175C"/>
    <w:rsid w:val="002F1942"/>
    <w:rsid w:val="002F2E8D"/>
    <w:rsid w:val="002F4557"/>
    <w:rsid w:val="002F5159"/>
    <w:rsid w:val="002F582A"/>
    <w:rsid w:val="002F6E95"/>
    <w:rsid w:val="003011E9"/>
    <w:rsid w:val="0030138D"/>
    <w:rsid w:val="003023A7"/>
    <w:rsid w:val="00302B85"/>
    <w:rsid w:val="00302E2C"/>
    <w:rsid w:val="00303C03"/>
    <w:rsid w:val="00306124"/>
    <w:rsid w:val="00307164"/>
    <w:rsid w:val="00307752"/>
    <w:rsid w:val="00307DE2"/>
    <w:rsid w:val="00310781"/>
    <w:rsid w:val="003134AC"/>
    <w:rsid w:val="00314FBB"/>
    <w:rsid w:val="0031786D"/>
    <w:rsid w:val="00320E07"/>
    <w:rsid w:val="003229D8"/>
    <w:rsid w:val="0032321C"/>
    <w:rsid w:val="00323632"/>
    <w:rsid w:val="003241CF"/>
    <w:rsid w:val="00326293"/>
    <w:rsid w:val="00327502"/>
    <w:rsid w:val="0033002F"/>
    <w:rsid w:val="00330D27"/>
    <w:rsid w:val="00331F5B"/>
    <w:rsid w:val="00333418"/>
    <w:rsid w:val="00333808"/>
    <w:rsid w:val="00335E3A"/>
    <w:rsid w:val="00336724"/>
    <w:rsid w:val="00341597"/>
    <w:rsid w:val="00341696"/>
    <w:rsid w:val="00341D96"/>
    <w:rsid w:val="003449C7"/>
    <w:rsid w:val="00345FA7"/>
    <w:rsid w:val="00352709"/>
    <w:rsid w:val="003544BE"/>
    <w:rsid w:val="00354AA8"/>
    <w:rsid w:val="00357791"/>
    <w:rsid w:val="00357C31"/>
    <w:rsid w:val="00363A98"/>
    <w:rsid w:val="00364B76"/>
    <w:rsid w:val="00365CF8"/>
    <w:rsid w:val="0036645D"/>
    <w:rsid w:val="00367567"/>
    <w:rsid w:val="003705C9"/>
    <w:rsid w:val="00371095"/>
    <w:rsid w:val="00371178"/>
    <w:rsid w:val="00372B3F"/>
    <w:rsid w:val="0037301C"/>
    <w:rsid w:val="003730DD"/>
    <w:rsid w:val="00373489"/>
    <w:rsid w:val="003736A1"/>
    <w:rsid w:val="00375119"/>
    <w:rsid w:val="0037562B"/>
    <w:rsid w:val="003771A2"/>
    <w:rsid w:val="00377828"/>
    <w:rsid w:val="00383356"/>
    <w:rsid w:val="0038336C"/>
    <w:rsid w:val="00383AA6"/>
    <w:rsid w:val="00383BB7"/>
    <w:rsid w:val="00386624"/>
    <w:rsid w:val="0039347E"/>
    <w:rsid w:val="003939C2"/>
    <w:rsid w:val="00394F89"/>
    <w:rsid w:val="00395E86"/>
    <w:rsid w:val="00395FA4"/>
    <w:rsid w:val="003A1602"/>
    <w:rsid w:val="003A25C1"/>
    <w:rsid w:val="003A4933"/>
    <w:rsid w:val="003A6810"/>
    <w:rsid w:val="003A70FC"/>
    <w:rsid w:val="003A7654"/>
    <w:rsid w:val="003A7AF2"/>
    <w:rsid w:val="003B1B42"/>
    <w:rsid w:val="003B3AD7"/>
    <w:rsid w:val="003B4974"/>
    <w:rsid w:val="003B505E"/>
    <w:rsid w:val="003B6980"/>
    <w:rsid w:val="003C02AB"/>
    <w:rsid w:val="003C0327"/>
    <w:rsid w:val="003C2CC4"/>
    <w:rsid w:val="003C730E"/>
    <w:rsid w:val="003D1C5A"/>
    <w:rsid w:val="003D1CE6"/>
    <w:rsid w:val="003D2795"/>
    <w:rsid w:val="003D293C"/>
    <w:rsid w:val="003D3E59"/>
    <w:rsid w:val="003D42FB"/>
    <w:rsid w:val="003D48A7"/>
    <w:rsid w:val="003D4B23"/>
    <w:rsid w:val="003D52B0"/>
    <w:rsid w:val="003D58B2"/>
    <w:rsid w:val="003D774D"/>
    <w:rsid w:val="003E2BA4"/>
    <w:rsid w:val="003E5AAB"/>
    <w:rsid w:val="003E6A36"/>
    <w:rsid w:val="003E6F7E"/>
    <w:rsid w:val="003F2847"/>
    <w:rsid w:val="003F3402"/>
    <w:rsid w:val="003F69F4"/>
    <w:rsid w:val="003F7D12"/>
    <w:rsid w:val="00401B52"/>
    <w:rsid w:val="00402308"/>
    <w:rsid w:val="00405473"/>
    <w:rsid w:val="00405D94"/>
    <w:rsid w:val="00406AA8"/>
    <w:rsid w:val="00410C89"/>
    <w:rsid w:val="00412B9A"/>
    <w:rsid w:val="00414931"/>
    <w:rsid w:val="00414B35"/>
    <w:rsid w:val="004164BB"/>
    <w:rsid w:val="004227C0"/>
    <w:rsid w:val="00426B9B"/>
    <w:rsid w:val="004270A4"/>
    <w:rsid w:val="00427765"/>
    <w:rsid w:val="0043003F"/>
    <w:rsid w:val="00431952"/>
    <w:rsid w:val="004325CB"/>
    <w:rsid w:val="0043356D"/>
    <w:rsid w:val="00434829"/>
    <w:rsid w:val="0043560C"/>
    <w:rsid w:val="00436B33"/>
    <w:rsid w:val="00441384"/>
    <w:rsid w:val="00441C25"/>
    <w:rsid w:val="00442A83"/>
    <w:rsid w:val="00442C9D"/>
    <w:rsid w:val="004432D6"/>
    <w:rsid w:val="0044391E"/>
    <w:rsid w:val="00445A57"/>
    <w:rsid w:val="00446B32"/>
    <w:rsid w:val="00450D0E"/>
    <w:rsid w:val="00452A3C"/>
    <w:rsid w:val="00454782"/>
    <w:rsid w:val="0045495B"/>
    <w:rsid w:val="00455C43"/>
    <w:rsid w:val="004607BF"/>
    <w:rsid w:val="004613DA"/>
    <w:rsid w:val="004623A9"/>
    <w:rsid w:val="00462646"/>
    <w:rsid w:val="00464446"/>
    <w:rsid w:val="00466936"/>
    <w:rsid w:val="00466B4C"/>
    <w:rsid w:val="00466FA4"/>
    <w:rsid w:val="00467FD9"/>
    <w:rsid w:val="0047173A"/>
    <w:rsid w:val="00473963"/>
    <w:rsid w:val="004742F8"/>
    <w:rsid w:val="00476073"/>
    <w:rsid w:val="00481CB1"/>
    <w:rsid w:val="00483C98"/>
    <w:rsid w:val="00487488"/>
    <w:rsid w:val="00487FB8"/>
    <w:rsid w:val="004915E8"/>
    <w:rsid w:val="0049219B"/>
    <w:rsid w:val="0049393D"/>
    <w:rsid w:val="00493CD7"/>
    <w:rsid w:val="0049418F"/>
    <w:rsid w:val="00494813"/>
    <w:rsid w:val="0049482E"/>
    <w:rsid w:val="00496433"/>
    <w:rsid w:val="00496678"/>
    <w:rsid w:val="004967DB"/>
    <w:rsid w:val="0049761E"/>
    <w:rsid w:val="00497CBC"/>
    <w:rsid w:val="004A1FE8"/>
    <w:rsid w:val="004A289F"/>
    <w:rsid w:val="004A28A7"/>
    <w:rsid w:val="004A2A26"/>
    <w:rsid w:val="004A406E"/>
    <w:rsid w:val="004A4413"/>
    <w:rsid w:val="004A4588"/>
    <w:rsid w:val="004A4807"/>
    <w:rsid w:val="004A4E95"/>
    <w:rsid w:val="004B0A2C"/>
    <w:rsid w:val="004B231E"/>
    <w:rsid w:val="004B23B2"/>
    <w:rsid w:val="004B2989"/>
    <w:rsid w:val="004B44C6"/>
    <w:rsid w:val="004B52EB"/>
    <w:rsid w:val="004B5CC8"/>
    <w:rsid w:val="004B6A14"/>
    <w:rsid w:val="004C0120"/>
    <w:rsid w:val="004C0335"/>
    <w:rsid w:val="004C0B81"/>
    <w:rsid w:val="004C17A4"/>
    <w:rsid w:val="004C1F17"/>
    <w:rsid w:val="004C1FEA"/>
    <w:rsid w:val="004C41C7"/>
    <w:rsid w:val="004C55DD"/>
    <w:rsid w:val="004C5CCC"/>
    <w:rsid w:val="004C6681"/>
    <w:rsid w:val="004C6922"/>
    <w:rsid w:val="004C6EEF"/>
    <w:rsid w:val="004D02BC"/>
    <w:rsid w:val="004D150D"/>
    <w:rsid w:val="004D209A"/>
    <w:rsid w:val="004D5BD1"/>
    <w:rsid w:val="004E15CC"/>
    <w:rsid w:val="004E2112"/>
    <w:rsid w:val="004E2932"/>
    <w:rsid w:val="004E2BC5"/>
    <w:rsid w:val="004E4AC1"/>
    <w:rsid w:val="004E5775"/>
    <w:rsid w:val="004F03BA"/>
    <w:rsid w:val="004F0BF2"/>
    <w:rsid w:val="004F1D45"/>
    <w:rsid w:val="004F21A3"/>
    <w:rsid w:val="004F5078"/>
    <w:rsid w:val="004F79A8"/>
    <w:rsid w:val="00500D26"/>
    <w:rsid w:val="00501A1B"/>
    <w:rsid w:val="00501CB1"/>
    <w:rsid w:val="0050328D"/>
    <w:rsid w:val="00503BEC"/>
    <w:rsid w:val="00511D0D"/>
    <w:rsid w:val="005167F1"/>
    <w:rsid w:val="0052136D"/>
    <w:rsid w:val="005232E6"/>
    <w:rsid w:val="00523F32"/>
    <w:rsid w:val="00525395"/>
    <w:rsid w:val="00526FF4"/>
    <w:rsid w:val="0052775E"/>
    <w:rsid w:val="00532EAB"/>
    <w:rsid w:val="00535B0F"/>
    <w:rsid w:val="00537748"/>
    <w:rsid w:val="005409DC"/>
    <w:rsid w:val="0054109A"/>
    <w:rsid w:val="0054150C"/>
    <w:rsid w:val="005420F2"/>
    <w:rsid w:val="00542499"/>
    <w:rsid w:val="005446A8"/>
    <w:rsid w:val="00545B97"/>
    <w:rsid w:val="00550D3B"/>
    <w:rsid w:val="005514FD"/>
    <w:rsid w:val="0055621F"/>
    <w:rsid w:val="00560319"/>
    <w:rsid w:val="005609D7"/>
    <w:rsid w:val="00560BA5"/>
    <w:rsid w:val="00560C2D"/>
    <w:rsid w:val="00561B68"/>
    <w:rsid w:val="005628B6"/>
    <w:rsid w:val="00564714"/>
    <w:rsid w:val="00566179"/>
    <w:rsid w:val="0056624F"/>
    <w:rsid w:val="0057115D"/>
    <w:rsid w:val="005722B3"/>
    <w:rsid w:val="005728FB"/>
    <w:rsid w:val="00572A4C"/>
    <w:rsid w:val="00572DA9"/>
    <w:rsid w:val="00572DFD"/>
    <w:rsid w:val="005747B1"/>
    <w:rsid w:val="005806FC"/>
    <w:rsid w:val="005848AE"/>
    <w:rsid w:val="005848B3"/>
    <w:rsid w:val="00590F87"/>
    <w:rsid w:val="00591D8C"/>
    <w:rsid w:val="00592C4A"/>
    <w:rsid w:val="00596514"/>
    <w:rsid w:val="005967A6"/>
    <w:rsid w:val="005A0415"/>
    <w:rsid w:val="005A1538"/>
    <w:rsid w:val="005A2207"/>
    <w:rsid w:val="005A2ACD"/>
    <w:rsid w:val="005A4536"/>
    <w:rsid w:val="005A4D70"/>
    <w:rsid w:val="005A7B9A"/>
    <w:rsid w:val="005B09AE"/>
    <w:rsid w:val="005B15AD"/>
    <w:rsid w:val="005B271F"/>
    <w:rsid w:val="005B38A5"/>
    <w:rsid w:val="005B3DB3"/>
    <w:rsid w:val="005B4F61"/>
    <w:rsid w:val="005B62ED"/>
    <w:rsid w:val="005C2131"/>
    <w:rsid w:val="005C223E"/>
    <w:rsid w:val="005C3EA4"/>
    <w:rsid w:val="005C413D"/>
    <w:rsid w:val="005C4A9E"/>
    <w:rsid w:val="005D5721"/>
    <w:rsid w:val="005D5AF5"/>
    <w:rsid w:val="005D7CB5"/>
    <w:rsid w:val="005E03E9"/>
    <w:rsid w:val="005E0578"/>
    <w:rsid w:val="005E2541"/>
    <w:rsid w:val="005E2F71"/>
    <w:rsid w:val="005E395D"/>
    <w:rsid w:val="005E39A3"/>
    <w:rsid w:val="005E3E4B"/>
    <w:rsid w:val="005E5805"/>
    <w:rsid w:val="005E7193"/>
    <w:rsid w:val="005E783D"/>
    <w:rsid w:val="005F2A25"/>
    <w:rsid w:val="005F322F"/>
    <w:rsid w:val="005F5699"/>
    <w:rsid w:val="005F7717"/>
    <w:rsid w:val="005F7B75"/>
    <w:rsid w:val="005F7F93"/>
    <w:rsid w:val="00600072"/>
    <w:rsid w:val="006001EE"/>
    <w:rsid w:val="00602852"/>
    <w:rsid w:val="00605042"/>
    <w:rsid w:val="0060538A"/>
    <w:rsid w:val="00605753"/>
    <w:rsid w:val="00605D24"/>
    <w:rsid w:val="00607807"/>
    <w:rsid w:val="00607BC1"/>
    <w:rsid w:val="0061031F"/>
    <w:rsid w:val="006108E0"/>
    <w:rsid w:val="0061102A"/>
    <w:rsid w:val="0061152B"/>
    <w:rsid w:val="006115C4"/>
    <w:rsid w:val="00611FC4"/>
    <w:rsid w:val="00612F9B"/>
    <w:rsid w:val="006133C6"/>
    <w:rsid w:val="0061466F"/>
    <w:rsid w:val="006148AF"/>
    <w:rsid w:val="006165FA"/>
    <w:rsid w:val="006176FB"/>
    <w:rsid w:val="006207A2"/>
    <w:rsid w:val="00620934"/>
    <w:rsid w:val="00623FD3"/>
    <w:rsid w:val="0062462D"/>
    <w:rsid w:val="006247AE"/>
    <w:rsid w:val="00625110"/>
    <w:rsid w:val="00625776"/>
    <w:rsid w:val="00625ACB"/>
    <w:rsid w:val="006274AD"/>
    <w:rsid w:val="00627FB0"/>
    <w:rsid w:val="00631C31"/>
    <w:rsid w:val="00632FA5"/>
    <w:rsid w:val="0063379B"/>
    <w:rsid w:val="00637835"/>
    <w:rsid w:val="00640B26"/>
    <w:rsid w:val="00640C76"/>
    <w:rsid w:val="00640FD5"/>
    <w:rsid w:val="00641579"/>
    <w:rsid w:val="00645379"/>
    <w:rsid w:val="0064660E"/>
    <w:rsid w:val="006505F5"/>
    <w:rsid w:val="00652D0A"/>
    <w:rsid w:val="00653DBF"/>
    <w:rsid w:val="00654447"/>
    <w:rsid w:val="0065488D"/>
    <w:rsid w:val="00655643"/>
    <w:rsid w:val="00655BF6"/>
    <w:rsid w:val="00657584"/>
    <w:rsid w:val="00660EC7"/>
    <w:rsid w:val="00661C41"/>
    <w:rsid w:val="00662BB6"/>
    <w:rsid w:val="00662D2D"/>
    <w:rsid w:val="006637A4"/>
    <w:rsid w:val="00670573"/>
    <w:rsid w:val="0067185F"/>
    <w:rsid w:val="00671948"/>
    <w:rsid w:val="00671E55"/>
    <w:rsid w:val="00672110"/>
    <w:rsid w:val="006743E9"/>
    <w:rsid w:val="006804D1"/>
    <w:rsid w:val="00681702"/>
    <w:rsid w:val="00682284"/>
    <w:rsid w:val="006831C1"/>
    <w:rsid w:val="006838C8"/>
    <w:rsid w:val="00684241"/>
    <w:rsid w:val="00684C21"/>
    <w:rsid w:val="00685BEA"/>
    <w:rsid w:val="00685FA6"/>
    <w:rsid w:val="0068702F"/>
    <w:rsid w:val="0068743C"/>
    <w:rsid w:val="00687B7C"/>
    <w:rsid w:val="006920E5"/>
    <w:rsid w:val="00692477"/>
    <w:rsid w:val="006929D6"/>
    <w:rsid w:val="00692A21"/>
    <w:rsid w:val="00692BBE"/>
    <w:rsid w:val="00694948"/>
    <w:rsid w:val="00694AE6"/>
    <w:rsid w:val="006954C6"/>
    <w:rsid w:val="0069763E"/>
    <w:rsid w:val="006979F0"/>
    <w:rsid w:val="00697F3E"/>
    <w:rsid w:val="006A2227"/>
    <w:rsid w:val="006A2524"/>
    <w:rsid w:val="006A2A95"/>
    <w:rsid w:val="006A68FC"/>
    <w:rsid w:val="006B29DE"/>
    <w:rsid w:val="006B3D12"/>
    <w:rsid w:val="006B58E5"/>
    <w:rsid w:val="006B767A"/>
    <w:rsid w:val="006C0435"/>
    <w:rsid w:val="006C3AD1"/>
    <w:rsid w:val="006C4CD3"/>
    <w:rsid w:val="006C79E9"/>
    <w:rsid w:val="006D0A95"/>
    <w:rsid w:val="006D2F5C"/>
    <w:rsid w:val="006D37AF"/>
    <w:rsid w:val="006D425B"/>
    <w:rsid w:val="006D51D0"/>
    <w:rsid w:val="006D65D9"/>
    <w:rsid w:val="006D774B"/>
    <w:rsid w:val="006E1F68"/>
    <w:rsid w:val="006E3A63"/>
    <w:rsid w:val="006E4879"/>
    <w:rsid w:val="006E564B"/>
    <w:rsid w:val="006E7191"/>
    <w:rsid w:val="006E7196"/>
    <w:rsid w:val="006F08BE"/>
    <w:rsid w:val="006F0E56"/>
    <w:rsid w:val="006F3171"/>
    <w:rsid w:val="006F4020"/>
    <w:rsid w:val="006F5ABA"/>
    <w:rsid w:val="006F6515"/>
    <w:rsid w:val="006F74A2"/>
    <w:rsid w:val="007009AB"/>
    <w:rsid w:val="00701AD4"/>
    <w:rsid w:val="00703577"/>
    <w:rsid w:val="007038A7"/>
    <w:rsid w:val="00704E12"/>
    <w:rsid w:val="00705625"/>
    <w:rsid w:val="00705827"/>
    <w:rsid w:val="0071171F"/>
    <w:rsid w:val="00711F00"/>
    <w:rsid w:val="007123A5"/>
    <w:rsid w:val="00713C74"/>
    <w:rsid w:val="00714156"/>
    <w:rsid w:val="0071478E"/>
    <w:rsid w:val="00715DDD"/>
    <w:rsid w:val="00716EC7"/>
    <w:rsid w:val="0071750C"/>
    <w:rsid w:val="00720EB5"/>
    <w:rsid w:val="0072328C"/>
    <w:rsid w:val="007233D2"/>
    <w:rsid w:val="0072632A"/>
    <w:rsid w:val="00726508"/>
    <w:rsid w:val="00726A48"/>
    <w:rsid w:val="007327D5"/>
    <w:rsid w:val="0073334A"/>
    <w:rsid w:val="00734ABE"/>
    <w:rsid w:val="007350AC"/>
    <w:rsid w:val="00735CA1"/>
    <w:rsid w:val="00736921"/>
    <w:rsid w:val="00736EAD"/>
    <w:rsid w:val="007412E7"/>
    <w:rsid w:val="00741A85"/>
    <w:rsid w:val="00743EB0"/>
    <w:rsid w:val="00747E18"/>
    <w:rsid w:val="00747E8E"/>
    <w:rsid w:val="007509D5"/>
    <w:rsid w:val="007509EB"/>
    <w:rsid w:val="00750FC5"/>
    <w:rsid w:val="0075395D"/>
    <w:rsid w:val="00755565"/>
    <w:rsid w:val="00755C7D"/>
    <w:rsid w:val="00760043"/>
    <w:rsid w:val="00760B80"/>
    <w:rsid w:val="0076135D"/>
    <w:rsid w:val="00761EBD"/>
    <w:rsid w:val="00762878"/>
    <w:rsid w:val="007629C8"/>
    <w:rsid w:val="00762E39"/>
    <w:rsid w:val="007635DF"/>
    <w:rsid w:val="00764972"/>
    <w:rsid w:val="00765894"/>
    <w:rsid w:val="007670C1"/>
    <w:rsid w:val="007679E4"/>
    <w:rsid w:val="00770F8E"/>
    <w:rsid w:val="007740F1"/>
    <w:rsid w:val="00776B7B"/>
    <w:rsid w:val="00777322"/>
    <w:rsid w:val="00777CD8"/>
    <w:rsid w:val="00781C83"/>
    <w:rsid w:val="0078300D"/>
    <w:rsid w:val="007853A6"/>
    <w:rsid w:val="007856A4"/>
    <w:rsid w:val="00785DB2"/>
    <w:rsid w:val="00785DE0"/>
    <w:rsid w:val="00787E5D"/>
    <w:rsid w:val="0079034E"/>
    <w:rsid w:val="007914EC"/>
    <w:rsid w:val="0079170F"/>
    <w:rsid w:val="00793EA6"/>
    <w:rsid w:val="00794A82"/>
    <w:rsid w:val="00795244"/>
    <w:rsid w:val="0079681E"/>
    <w:rsid w:val="00797924"/>
    <w:rsid w:val="007A0727"/>
    <w:rsid w:val="007A1BBA"/>
    <w:rsid w:val="007A212F"/>
    <w:rsid w:val="007A2FEE"/>
    <w:rsid w:val="007A36C9"/>
    <w:rsid w:val="007A58E9"/>
    <w:rsid w:val="007B126A"/>
    <w:rsid w:val="007B28C1"/>
    <w:rsid w:val="007B3302"/>
    <w:rsid w:val="007B5006"/>
    <w:rsid w:val="007B6251"/>
    <w:rsid w:val="007B6BA5"/>
    <w:rsid w:val="007B7EB2"/>
    <w:rsid w:val="007C1241"/>
    <w:rsid w:val="007C3390"/>
    <w:rsid w:val="007C3BE4"/>
    <w:rsid w:val="007C3FFB"/>
    <w:rsid w:val="007C4F4B"/>
    <w:rsid w:val="007C55AE"/>
    <w:rsid w:val="007C784F"/>
    <w:rsid w:val="007D00CF"/>
    <w:rsid w:val="007D0FCD"/>
    <w:rsid w:val="007D302F"/>
    <w:rsid w:val="007D564F"/>
    <w:rsid w:val="007D76D6"/>
    <w:rsid w:val="007E0B2D"/>
    <w:rsid w:val="007E300F"/>
    <w:rsid w:val="007E4594"/>
    <w:rsid w:val="007E4BBE"/>
    <w:rsid w:val="007E533F"/>
    <w:rsid w:val="007E586A"/>
    <w:rsid w:val="007E5EA4"/>
    <w:rsid w:val="007E61EE"/>
    <w:rsid w:val="007F0329"/>
    <w:rsid w:val="007F12FC"/>
    <w:rsid w:val="007F1A3F"/>
    <w:rsid w:val="007F2D0D"/>
    <w:rsid w:val="007F31EB"/>
    <w:rsid w:val="007F3A2C"/>
    <w:rsid w:val="007F4853"/>
    <w:rsid w:val="007F6611"/>
    <w:rsid w:val="0080191B"/>
    <w:rsid w:val="008031F8"/>
    <w:rsid w:val="00803E81"/>
    <w:rsid w:val="0080506E"/>
    <w:rsid w:val="00805349"/>
    <w:rsid w:val="00805EA6"/>
    <w:rsid w:val="00807168"/>
    <w:rsid w:val="008105B8"/>
    <w:rsid w:val="00810651"/>
    <w:rsid w:val="00811D06"/>
    <w:rsid w:val="008123D2"/>
    <w:rsid w:val="00812971"/>
    <w:rsid w:val="00813327"/>
    <w:rsid w:val="00813650"/>
    <w:rsid w:val="00816972"/>
    <w:rsid w:val="00816E23"/>
    <w:rsid w:val="00816E4A"/>
    <w:rsid w:val="008172D4"/>
    <w:rsid w:val="00817520"/>
    <w:rsid w:val="008216A5"/>
    <w:rsid w:val="0082192D"/>
    <w:rsid w:val="00821A8D"/>
    <w:rsid w:val="00821AF3"/>
    <w:rsid w:val="008242D7"/>
    <w:rsid w:val="00824C73"/>
    <w:rsid w:val="00824F3E"/>
    <w:rsid w:val="00824FE2"/>
    <w:rsid w:val="00825659"/>
    <w:rsid w:val="008257B1"/>
    <w:rsid w:val="00825A74"/>
    <w:rsid w:val="0083185A"/>
    <w:rsid w:val="00835ED8"/>
    <w:rsid w:val="008361A4"/>
    <w:rsid w:val="00836985"/>
    <w:rsid w:val="00836CBF"/>
    <w:rsid w:val="00837CD7"/>
    <w:rsid w:val="00840639"/>
    <w:rsid w:val="008406D2"/>
    <w:rsid w:val="0084126F"/>
    <w:rsid w:val="00843359"/>
    <w:rsid w:val="00843767"/>
    <w:rsid w:val="00846666"/>
    <w:rsid w:val="0085089C"/>
    <w:rsid w:val="00851F2A"/>
    <w:rsid w:val="008562B1"/>
    <w:rsid w:val="00860115"/>
    <w:rsid w:val="008613EF"/>
    <w:rsid w:val="00861DD8"/>
    <w:rsid w:val="00861F22"/>
    <w:rsid w:val="00864BE5"/>
    <w:rsid w:val="008655A1"/>
    <w:rsid w:val="008667C6"/>
    <w:rsid w:val="00866B90"/>
    <w:rsid w:val="008679D9"/>
    <w:rsid w:val="00871051"/>
    <w:rsid w:val="00872F86"/>
    <w:rsid w:val="008730D5"/>
    <w:rsid w:val="00875FE5"/>
    <w:rsid w:val="00880AF2"/>
    <w:rsid w:val="00880CEF"/>
    <w:rsid w:val="00887063"/>
    <w:rsid w:val="0088719B"/>
    <w:rsid w:val="00890222"/>
    <w:rsid w:val="0089025A"/>
    <w:rsid w:val="00890DBE"/>
    <w:rsid w:val="00891C2B"/>
    <w:rsid w:val="00895468"/>
    <w:rsid w:val="00896924"/>
    <w:rsid w:val="008979B1"/>
    <w:rsid w:val="00897D16"/>
    <w:rsid w:val="00897F0A"/>
    <w:rsid w:val="008A09B5"/>
    <w:rsid w:val="008A1DB2"/>
    <w:rsid w:val="008A283C"/>
    <w:rsid w:val="008A3B89"/>
    <w:rsid w:val="008A48E5"/>
    <w:rsid w:val="008A6AA9"/>
    <w:rsid w:val="008A6B25"/>
    <w:rsid w:val="008A6C4F"/>
    <w:rsid w:val="008B012F"/>
    <w:rsid w:val="008B2335"/>
    <w:rsid w:val="008B2D88"/>
    <w:rsid w:val="008B3A9C"/>
    <w:rsid w:val="008B5909"/>
    <w:rsid w:val="008B595E"/>
    <w:rsid w:val="008B6FF5"/>
    <w:rsid w:val="008B7413"/>
    <w:rsid w:val="008C0D17"/>
    <w:rsid w:val="008C22CC"/>
    <w:rsid w:val="008C3223"/>
    <w:rsid w:val="008C4B5A"/>
    <w:rsid w:val="008C4EDC"/>
    <w:rsid w:val="008C6E58"/>
    <w:rsid w:val="008C77CB"/>
    <w:rsid w:val="008D1459"/>
    <w:rsid w:val="008D2914"/>
    <w:rsid w:val="008D45FA"/>
    <w:rsid w:val="008D6EA8"/>
    <w:rsid w:val="008E0342"/>
    <w:rsid w:val="008E0678"/>
    <w:rsid w:val="008E203A"/>
    <w:rsid w:val="008E22D9"/>
    <w:rsid w:val="008E3DB4"/>
    <w:rsid w:val="008E3E27"/>
    <w:rsid w:val="008E4C4F"/>
    <w:rsid w:val="008E5FF6"/>
    <w:rsid w:val="008E6067"/>
    <w:rsid w:val="008E7B56"/>
    <w:rsid w:val="008F02E2"/>
    <w:rsid w:val="008F0336"/>
    <w:rsid w:val="008F1FA8"/>
    <w:rsid w:val="008F40A4"/>
    <w:rsid w:val="008F5C85"/>
    <w:rsid w:val="00900036"/>
    <w:rsid w:val="0090331C"/>
    <w:rsid w:val="00903876"/>
    <w:rsid w:val="00905076"/>
    <w:rsid w:val="0090563A"/>
    <w:rsid w:val="0090637F"/>
    <w:rsid w:val="00910F40"/>
    <w:rsid w:val="00911542"/>
    <w:rsid w:val="00911864"/>
    <w:rsid w:val="00912C08"/>
    <w:rsid w:val="00913616"/>
    <w:rsid w:val="0091377B"/>
    <w:rsid w:val="009171A0"/>
    <w:rsid w:val="00920B4E"/>
    <w:rsid w:val="009223CA"/>
    <w:rsid w:val="0092473E"/>
    <w:rsid w:val="00931728"/>
    <w:rsid w:val="00933E54"/>
    <w:rsid w:val="00935B05"/>
    <w:rsid w:val="00935DEF"/>
    <w:rsid w:val="009376BE"/>
    <w:rsid w:val="0093797F"/>
    <w:rsid w:val="00940F93"/>
    <w:rsid w:val="0094164F"/>
    <w:rsid w:val="0094238F"/>
    <w:rsid w:val="0094258F"/>
    <w:rsid w:val="009453E9"/>
    <w:rsid w:val="00945B75"/>
    <w:rsid w:val="009516B6"/>
    <w:rsid w:val="00951EAC"/>
    <w:rsid w:val="0095347F"/>
    <w:rsid w:val="009535EF"/>
    <w:rsid w:val="00953E71"/>
    <w:rsid w:val="009545FF"/>
    <w:rsid w:val="00955CB7"/>
    <w:rsid w:val="009568BE"/>
    <w:rsid w:val="00956FE4"/>
    <w:rsid w:val="00957A3A"/>
    <w:rsid w:val="0096073F"/>
    <w:rsid w:val="00960911"/>
    <w:rsid w:val="00961191"/>
    <w:rsid w:val="009633D7"/>
    <w:rsid w:val="009641B8"/>
    <w:rsid w:val="009654ED"/>
    <w:rsid w:val="00966036"/>
    <w:rsid w:val="009678AA"/>
    <w:rsid w:val="00967F59"/>
    <w:rsid w:val="009701C4"/>
    <w:rsid w:val="00970D30"/>
    <w:rsid w:val="00972C38"/>
    <w:rsid w:val="009735A8"/>
    <w:rsid w:val="0097381F"/>
    <w:rsid w:val="00974EF5"/>
    <w:rsid w:val="009760F3"/>
    <w:rsid w:val="00976956"/>
    <w:rsid w:val="009800FA"/>
    <w:rsid w:val="00980EA8"/>
    <w:rsid w:val="009812E4"/>
    <w:rsid w:val="009817F4"/>
    <w:rsid w:val="00983732"/>
    <w:rsid w:val="00984808"/>
    <w:rsid w:val="009857B1"/>
    <w:rsid w:val="009900DE"/>
    <w:rsid w:val="009909F5"/>
    <w:rsid w:val="00991DB5"/>
    <w:rsid w:val="009923C0"/>
    <w:rsid w:val="00993D2D"/>
    <w:rsid w:val="00994443"/>
    <w:rsid w:val="0099515D"/>
    <w:rsid w:val="009951B6"/>
    <w:rsid w:val="009A0B8A"/>
    <w:rsid w:val="009A0E8D"/>
    <w:rsid w:val="009A19F8"/>
    <w:rsid w:val="009A2AAC"/>
    <w:rsid w:val="009A2E7F"/>
    <w:rsid w:val="009B0FC5"/>
    <w:rsid w:val="009B1747"/>
    <w:rsid w:val="009B26E7"/>
    <w:rsid w:val="009B48EE"/>
    <w:rsid w:val="009B53C8"/>
    <w:rsid w:val="009B573E"/>
    <w:rsid w:val="009B5A35"/>
    <w:rsid w:val="009B5EDE"/>
    <w:rsid w:val="009C0491"/>
    <w:rsid w:val="009C162C"/>
    <w:rsid w:val="009C26B0"/>
    <w:rsid w:val="009C2A5C"/>
    <w:rsid w:val="009C2BA9"/>
    <w:rsid w:val="009C2F39"/>
    <w:rsid w:val="009C6DFE"/>
    <w:rsid w:val="009C76E2"/>
    <w:rsid w:val="009C7AD9"/>
    <w:rsid w:val="009C7D56"/>
    <w:rsid w:val="009D093B"/>
    <w:rsid w:val="009D2394"/>
    <w:rsid w:val="009D4323"/>
    <w:rsid w:val="009E2F54"/>
    <w:rsid w:val="009E39EB"/>
    <w:rsid w:val="009E5BED"/>
    <w:rsid w:val="009E5D5A"/>
    <w:rsid w:val="009E6C26"/>
    <w:rsid w:val="009E7531"/>
    <w:rsid w:val="009E7D26"/>
    <w:rsid w:val="009F2AC1"/>
    <w:rsid w:val="009F2B34"/>
    <w:rsid w:val="009F2FF8"/>
    <w:rsid w:val="009F3A3A"/>
    <w:rsid w:val="009F6595"/>
    <w:rsid w:val="009F6E4B"/>
    <w:rsid w:val="009F7636"/>
    <w:rsid w:val="00A00A3F"/>
    <w:rsid w:val="00A01489"/>
    <w:rsid w:val="00A018AB"/>
    <w:rsid w:val="00A02BED"/>
    <w:rsid w:val="00A03ED0"/>
    <w:rsid w:val="00A07F04"/>
    <w:rsid w:val="00A15A89"/>
    <w:rsid w:val="00A200D6"/>
    <w:rsid w:val="00A2225D"/>
    <w:rsid w:val="00A230A0"/>
    <w:rsid w:val="00A233C8"/>
    <w:rsid w:val="00A267BE"/>
    <w:rsid w:val="00A26951"/>
    <w:rsid w:val="00A31B81"/>
    <w:rsid w:val="00A338F1"/>
    <w:rsid w:val="00A34071"/>
    <w:rsid w:val="00A34163"/>
    <w:rsid w:val="00A343D0"/>
    <w:rsid w:val="00A368D5"/>
    <w:rsid w:val="00A377A8"/>
    <w:rsid w:val="00A37B41"/>
    <w:rsid w:val="00A41A5C"/>
    <w:rsid w:val="00A41ADD"/>
    <w:rsid w:val="00A4238D"/>
    <w:rsid w:val="00A44487"/>
    <w:rsid w:val="00A44615"/>
    <w:rsid w:val="00A45390"/>
    <w:rsid w:val="00A46186"/>
    <w:rsid w:val="00A4728C"/>
    <w:rsid w:val="00A47874"/>
    <w:rsid w:val="00A54F0D"/>
    <w:rsid w:val="00A55D9D"/>
    <w:rsid w:val="00A5649C"/>
    <w:rsid w:val="00A60643"/>
    <w:rsid w:val="00A634B8"/>
    <w:rsid w:val="00A660A5"/>
    <w:rsid w:val="00A66C25"/>
    <w:rsid w:val="00A7005A"/>
    <w:rsid w:val="00A70EA1"/>
    <w:rsid w:val="00A71B88"/>
    <w:rsid w:val="00A72C70"/>
    <w:rsid w:val="00A72F22"/>
    <w:rsid w:val="00A72FDB"/>
    <w:rsid w:val="00A7350D"/>
    <w:rsid w:val="00A7360F"/>
    <w:rsid w:val="00A748A6"/>
    <w:rsid w:val="00A75355"/>
    <w:rsid w:val="00A75A88"/>
    <w:rsid w:val="00A76648"/>
    <w:rsid w:val="00A769F4"/>
    <w:rsid w:val="00A776B4"/>
    <w:rsid w:val="00A777CF"/>
    <w:rsid w:val="00A81A7B"/>
    <w:rsid w:val="00A81D4E"/>
    <w:rsid w:val="00A85E52"/>
    <w:rsid w:val="00A86E2B"/>
    <w:rsid w:val="00A879C7"/>
    <w:rsid w:val="00A90E87"/>
    <w:rsid w:val="00A90F1A"/>
    <w:rsid w:val="00A94361"/>
    <w:rsid w:val="00A953A0"/>
    <w:rsid w:val="00A9633A"/>
    <w:rsid w:val="00A964C6"/>
    <w:rsid w:val="00A96BCF"/>
    <w:rsid w:val="00A970E3"/>
    <w:rsid w:val="00AA293C"/>
    <w:rsid w:val="00AA2D0D"/>
    <w:rsid w:val="00AA45D6"/>
    <w:rsid w:val="00AA6FA4"/>
    <w:rsid w:val="00AB0648"/>
    <w:rsid w:val="00AB19FA"/>
    <w:rsid w:val="00AB2855"/>
    <w:rsid w:val="00AB45A3"/>
    <w:rsid w:val="00AB4CA5"/>
    <w:rsid w:val="00AB4EF3"/>
    <w:rsid w:val="00AC2375"/>
    <w:rsid w:val="00AC23E1"/>
    <w:rsid w:val="00AC2549"/>
    <w:rsid w:val="00AC505B"/>
    <w:rsid w:val="00AC6A0A"/>
    <w:rsid w:val="00AC6A89"/>
    <w:rsid w:val="00AC71CC"/>
    <w:rsid w:val="00AC7462"/>
    <w:rsid w:val="00AD46B8"/>
    <w:rsid w:val="00AD553F"/>
    <w:rsid w:val="00AD5E82"/>
    <w:rsid w:val="00AE1137"/>
    <w:rsid w:val="00AE19F7"/>
    <w:rsid w:val="00AE1CFF"/>
    <w:rsid w:val="00AE1EFE"/>
    <w:rsid w:val="00AE3DEA"/>
    <w:rsid w:val="00AE4583"/>
    <w:rsid w:val="00AE4730"/>
    <w:rsid w:val="00AE50CE"/>
    <w:rsid w:val="00AE5CCB"/>
    <w:rsid w:val="00AF0881"/>
    <w:rsid w:val="00AF0BB7"/>
    <w:rsid w:val="00AF1A44"/>
    <w:rsid w:val="00AF3148"/>
    <w:rsid w:val="00AF34D9"/>
    <w:rsid w:val="00AF5BB4"/>
    <w:rsid w:val="00AF5CCF"/>
    <w:rsid w:val="00AF7286"/>
    <w:rsid w:val="00B000F0"/>
    <w:rsid w:val="00B015A6"/>
    <w:rsid w:val="00B019D2"/>
    <w:rsid w:val="00B01D27"/>
    <w:rsid w:val="00B02347"/>
    <w:rsid w:val="00B03884"/>
    <w:rsid w:val="00B04543"/>
    <w:rsid w:val="00B0537F"/>
    <w:rsid w:val="00B059F4"/>
    <w:rsid w:val="00B05BDC"/>
    <w:rsid w:val="00B101F5"/>
    <w:rsid w:val="00B10640"/>
    <w:rsid w:val="00B11BA1"/>
    <w:rsid w:val="00B12D13"/>
    <w:rsid w:val="00B12E1C"/>
    <w:rsid w:val="00B13AB6"/>
    <w:rsid w:val="00B13E9B"/>
    <w:rsid w:val="00B1559A"/>
    <w:rsid w:val="00B1708C"/>
    <w:rsid w:val="00B174D5"/>
    <w:rsid w:val="00B2280C"/>
    <w:rsid w:val="00B23D94"/>
    <w:rsid w:val="00B24D92"/>
    <w:rsid w:val="00B25D3D"/>
    <w:rsid w:val="00B2683D"/>
    <w:rsid w:val="00B30179"/>
    <w:rsid w:val="00B30D6F"/>
    <w:rsid w:val="00B33697"/>
    <w:rsid w:val="00B339A7"/>
    <w:rsid w:val="00B33ABD"/>
    <w:rsid w:val="00B33BCA"/>
    <w:rsid w:val="00B40171"/>
    <w:rsid w:val="00B4049D"/>
    <w:rsid w:val="00B4149D"/>
    <w:rsid w:val="00B41A37"/>
    <w:rsid w:val="00B41ACB"/>
    <w:rsid w:val="00B4354D"/>
    <w:rsid w:val="00B443A6"/>
    <w:rsid w:val="00B44892"/>
    <w:rsid w:val="00B45BCE"/>
    <w:rsid w:val="00B46514"/>
    <w:rsid w:val="00B46F26"/>
    <w:rsid w:val="00B4709A"/>
    <w:rsid w:val="00B47532"/>
    <w:rsid w:val="00B55522"/>
    <w:rsid w:val="00B56E4A"/>
    <w:rsid w:val="00B56E9C"/>
    <w:rsid w:val="00B579C3"/>
    <w:rsid w:val="00B57C32"/>
    <w:rsid w:val="00B60748"/>
    <w:rsid w:val="00B607D7"/>
    <w:rsid w:val="00B620B6"/>
    <w:rsid w:val="00B62EC2"/>
    <w:rsid w:val="00B64B1F"/>
    <w:rsid w:val="00B6524C"/>
    <w:rsid w:val="00B6553F"/>
    <w:rsid w:val="00B66593"/>
    <w:rsid w:val="00B66ACE"/>
    <w:rsid w:val="00B66E5E"/>
    <w:rsid w:val="00B6767C"/>
    <w:rsid w:val="00B67FC8"/>
    <w:rsid w:val="00B71840"/>
    <w:rsid w:val="00B71D2A"/>
    <w:rsid w:val="00B727CA"/>
    <w:rsid w:val="00B7514A"/>
    <w:rsid w:val="00B77D05"/>
    <w:rsid w:val="00B80902"/>
    <w:rsid w:val="00B80DB6"/>
    <w:rsid w:val="00B81206"/>
    <w:rsid w:val="00B81E12"/>
    <w:rsid w:val="00B82C40"/>
    <w:rsid w:val="00B82FD9"/>
    <w:rsid w:val="00B84567"/>
    <w:rsid w:val="00B85756"/>
    <w:rsid w:val="00B85AF8"/>
    <w:rsid w:val="00B86C63"/>
    <w:rsid w:val="00B879A7"/>
    <w:rsid w:val="00B87D12"/>
    <w:rsid w:val="00B9067B"/>
    <w:rsid w:val="00B915E0"/>
    <w:rsid w:val="00B94491"/>
    <w:rsid w:val="00B9463A"/>
    <w:rsid w:val="00B95A99"/>
    <w:rsid w:val="00B97AFE"/>
    <w:rsid w:val="00BA0437"/>
    <w:rsid w:val="00BA0869"/>
    <w:rsid w:val="00BA4084"/>
    <w:rsid w:val="00BA434C"/>
    <w:rsid w:val="00BA5D4E"/>
    <w:rsid w:val="00BA653A"/>
    <w:rsid w:val="00BB08D0"/>
    <w:rsid w:val="00BB1F90"/>
    <w:rsid w:val="00BB22D5"/>
    <w:rsid w:val="00BB2ADE"/>
    <w:rsid w:val="00BB2C65"/>
    <w:rsid w:val="00BB3BC1"/>
    <w:rsid w:val="00BC01E3"/>
    <w:rsid w:val="00BC288A"/>
    <w:rsid w:val="00BC2C23"/>
    <w:rsid w:val="00BC48F3"/>
    <w:rsid w:val="00BC4DAF"/>
    <w:rsid w:val="00BC5363"/>
    <w:rsid w:val="00BC6E5E"/>
    <w:rsid w:val="00BC74BB"/>
    <w:rsid w:val="00BC74E9"/>
    <w:rsid w:val="00BD5F5C"/>
    <w:rsid w:val="00BF4613"/>
    <w:rsid w:val="00BF61C5"/>
    <w:rsid w:val="00BF68A8"/>
    <w:rsid w:val="00BF72FD"/>
    <w:rsid w:val="00C02CF5"/>
    <w:rsid w:val="00C02E7A"/>
    <w:rsid w:val="00C02FF9"/>
    <w:rsid w:val="00C0580E"/>
    <w:rsid w:val="00C11207"/>
    <w:rsid w:val="00C11870"/>
    <w:rsid w:val="00C11A03"/>
    <w:rsid w:val="00C12802"/>
    <w:rsid w:val="00C12CBC"/>
    <w:rsid w:val="00C14041"/>
    <w:rsid w:val="00C14491"/>
    <w:rsid w:val="00C144EC"/>
    <w:rsid w:val="00C20A72"/>
    <w:rsid w:val="00C215C0"/>
    <w:rsid w:val="00C2284D"/>
    <w:rsid w:val="00C25634"/>
    <w:rsid w:val="00C2599D"/>
    <w:rsid w:val="00C2781F"/>
    <w:rsid w:val="00C33C6F"/>
    <w:rsid w:val="00C342E3"/>
    <w:rsid w:val="00C34926"/>
    <w:rsid w:val="00C36839"/>
    <w:rsid w:val="00C40638"/>
    <w:rsid w:val="00C409F7"/>
    <w:rsid w:val="00C41CC1"/>
    <w:rsid w:val="00C42151"/>
    <w:rsid w:val="00C42190"/>
    <w:rsid w:val="00C44D49"/>
    <w:rsid w:val="00C463DD"/>
    <w:rsid w:val="00C46474"/>
    <w:rsid w:val="00C4724C"/>
    <w:rsid w:val="00C50356"/>
    <w:rsid w:val="00C52EC0"/>
    <w:rsid w:val="00C54018"/>
    <w:rsid w:val="00C54CFF"/>
    <w:rsid w:val="00C55779"/>
    <w:rsid w:val="00C56114"/>
    <w:rsid w:val="00C606D3"/>
    <w:rsid w:val="00C61C48"/>
    <w:rsid w:val="00C629A0"/>
    <w:rsid w:val="00C656DB"/>
    <w:rsid w:val="00C674C4"/>
    <w:rsid w:val="00C70C55"/>
    <w:rsid w:val="00C70DB2"/>
    <w:rsid w:val="00C72362"/>
    <w:rsid w:val="00C73F57"/>
    <w:rsid w:val="00C745C3"/>
    <w:rsid w:val="00C74B7E"/>
    <w:rsid w:val="00C76890"/>
    <w:rsid w:val="00C8034E"/>
    <w:rsid w:val="00C803EC"/>
    <w:rsid w:val="00C80EA3"/>
    <w:rsid w:val="00C82D53"/>
    <w:rsid w:val="00C834B6"/>
    <w:rsid w:val="00C84DC4"/>
    <w:rsid w:val="00C8504E"/>
    <w:rsid w:val="00C85B6E"/>
    <w:rsid w:val="00C85ECD"/>
    <w:rsid w:val="00C87D88"/>
    <w:rsid w:val="00C91CF2"/>
    <w:rsid w:val="00C93035"/>
    <w:rsid w:val="00C96828"/>
    <w:rsid w:val="00C97582"/>
    <w:rsid w:val="00CB1917"/>
    <w:rsid w:val="00CB20AB"/>
    <w:rsid w:val="00CB240A"/>
    <w:rsid w:val="00CB2929"/>
    <w:rsid w:val="00CB38F4"/>
    <w:rsid w:val="00CC0D87"/>
    <w:rsid w:val="00CC5202"/>
    <w:rsid w:val="00CC549D"/>
    <w:rsid w:val="00CD04A2"/>
    <w:rsid w:val="00CD4339"/>
    <w:rsid w:val="00CD5383"/>
    <w:rsid w:val="00CD6EEF"/>
    <w:rsid w:val="00CE0DD9"/>
    <w:rsid w:val="00CE1B3A"/>
    <w:rsid w:val="00CE1F13"/>
    <w:rsid w:val="00CE4A8F"/>
    <w:rsid w:val="00CE7D94"/>
    <w:rsid w:val="00CF01EB"/>
    <w:rsid w:val="00CF1984"/>
    <w:rsid w:val="00CF1A5B"/>
    <w:rsid w:val="00CF2621"/>
    <w:rsid w:val="00CF4CEB"/>
    <w:rsid w:val="00CF5D2C"/>
    <w:rsid w:val="00CF6F0B"/>
    <w:rsid w:val="00D011B3"/>
    <w:rsid w:val="00D016F5"/>
    <w:rsid w:val="00D02633"/>
    <w:rsid w:val="00D02C2A"/>
    <w:rsid w:val="00D04ECF"/>
    <w:rsid w:val="00D06AB9"/>
    <w:rsid w:val="00D06B7E"/>
    <w:rsid w:val="00D10237"/>
    <w:rsid w:val="00D1315B"/>
    <w:rsid w:val="00D141CF"/>
    <w:rsid w:val="00D16565"/>
    <w:rsid w:val="00D17E37"/>
    <w:rsid w:val="00D2031B"/>
    <w:rsid w:val="00D21020"/>
    <w:rsid w:val="00D23322"/>
    <w:rsid w:val="00D24A49"/>
    <w:rsid w:val="00D257E7"/>
    <w:rsid w:val="00D25FE2"/>
    <w:rsid w:val="00D2637A"/>
    <w:rsid w:val="00D30034"/>
    <w:rsid w:val="00D34E45"/>
    <w:rsid w:val="00D377C4"/>
    <w:rsid w:val="00D37A6E"/>
    <w:rsid w:val="00D42815"/>
    <w:rsid w:val="00D43252"/>
    <w:rsid w:val="00D46C27"/>
    <w:rsid w:val="00D4767A"/>
    <w:rsid w:val="00D47EEA"/>
    <w:rsid w:val="00D501D0"/>
    <w:rsid w:val="00D50721"/>
    <w:rsid w:val="00D509AE"/>
    <w:rsid w:val="00D514FC"/>
    <w:rsid w:val="00D51D6E"/>
    <w:rsid w:val="00D53BAD"/>
    <w:rsid w:val="00D540F8"/>
    <w:rsid w:val="00D543C9"/>
    <w:rsid w:val="00D55CE7"/>
    <w:rsid w:val="00D61036"/>
    <w:rsid w:val="00D61188"/>
    <w:rsid w:val="00D62ECA"/>
    <w:rsid w:val="00D630B0"/>
    <w:rsid w:val="00D64809"/>
    <w:rsid w:val="00D65065"/>
    <w:rsid w:val="00D70242"/>
    <w:rsid w:val="00D729E4"/>
    <w:rsid w:val="00D73CB8"/>
    <w:rsid w:val="00D760F4"/>
    <w:rsid w:val="00D80EDF"/>
    <w:rsid w:val="00D823F1"/>
    <w:rsid w:val="00D82E76"/>
    <w:rsid w:val="00D83890"/>
    <w:rsid w:val="00D840CD"/>
    <w:rsid w:val="00D864CC"/>
    <w:rsid w:val="00D8702F"/>
    <w:rsid w:val="00D90F93"/>
    <w:rsid w:val="00D913B0"/>
    <w:rsid w:val="00D92DD0"/>
    <w:rsid w:val="00D931C7"/>
    <w:rsid w:val="00D95235"/>
    <w:rsid w:val="00D95303"/>
    <w:rsid w:val="00D95672"/>
    <w:rsid w:val="00D96E57"/>
    <w:rsid w:val="00D97597"/>
    <w:rsid w:val="00D975A7"/>
    <w:rsid w:val="00D978C6"/>
    <w:rsid w:val="00DA066A"/>
    <w:rsid w:val="00DA10B1"/>
    <w:rsid w:val="00DA1219"/>
    <w:rsid w:val="00DA1A79"/>
    <w:rsid w:val="00DA2043"/>
    <w:rsid w:val="00DA27F1"/>
    <w:rsid w:val="00DA3111"/>
    <w:rsid w:val="00DA324A"/>
    <w:rsid w:val="00DA3C1C"/>
    <w:rsid w:val="00DA4522"/>
    <w:rsid w:val="00DA4BBB"/>
    <w:rsid w:val="00DB0C79"/>
    <w:rsid w:val="00DB1DD8"/>
    <w:rsid w:val="00DB27DD"/>
    <w:rsid w:val="00DB2CE7"/>
    <w:rsid w:val="00DB3EB0"/>
    <w:rsid w:val="00DB43B8"/>
    <w:rsid w:val="00DB4433"/>
    <w:rsid w:val="00DB5B2F"/>
    <w:rsid w:val="00DC0714"/>
    <w:rsid w:val="00DC1E6B"/>
    <w:rsid w:val="00DC3DA8"/>
    <w:rsid w:val="00DC7425"/>
    <w:rsid w:val="00DD00C7"/>
    <w:rsid w:val="00DD050C"/>
    <w:rsid w:val="00DD1753"/>
    <w:rsid w:val="00DD2793"/>
    <w:rsid w:val="00DD593B"/>
    <w:rsid w:val="00DD64DE"/>
    <w:rsid w:val="00DD7C01"/>
    <w:rsid w:val="00DE1319"/>
    <w:rsid w:val="00DE1DF6"/>
    <w:rsid w:val="00DE52F9"/>
    <w:rsid w:val="00DE65A0"/>
    <w:rsid w:val="00DE79A8"/>
    <w:rsid w:val="00DF04F6"/>
    <w:rsid w:val="00DF14DE"/>
    <w:rsid w:val="00DF2CDE"/>
    <w:rsid w:val="00DF528D"/>
    <w:rsid w:val="00E04D11"/>
    <w:rsid w:val="00E10D0E"/>
    <w:rsid w:val="00E11A47"/>
    <w:rsid w:val="00E12ED9"/>
    <w:rsid w:val="00E142AF"/>
    <w:rsid w:val="00E15626"/>
    <w:rsid w:val="00E15CC1"/>
    <w:rsid w:val="00E165BF"/>
    <w:rsid w:val="00E17226"/>
    <w:rsid w:val="00E17ABA"/>
    <w:rsid w:val="00E17C73"/>
    <w:rsid w:val="00E209FD"/>
    <w:rsid w:val="00E21400"/>
    <w:rsid w:val="00E2433D"/>
    <w:rsid w:val="00E25E54"/>
    <w:rsid w:val="00E262F4"/>
    <w:rsid w:val="00E27346"/>
    <w:rsid w:val="00E27538"/>
    <w:rsid w:val="00E27D9C"/>
    <w:rsid w:val="00E31E79"/>
    <w:rsid w:val="00E3252A"/>
    <w:rsid w:val="00E37E62"/>
    <w:rsid w:val="00E40A07"/>
    <w:rsid w:val="00E41BFE"/>
    <w:rsid w:val="00E41E67"/>
    <w:rsid w:val="00E42463"/>
    <w:rsid w:val="00E4363C"/>
    <w:rsid w:val="00E43F6E"/>
    <w:rsid w:val="00E44C65"/>
    <w:rsid w:val="00E4563E"/>
    <w:rsid w:val="00E46014"/>
    <w:rsid w:val="00E4762A"/>
    <w:rsid w:val="00E507EC"/>
    <w:rsid w:val="00E51E3B"/>
    <w:rsid w:val="00E53451"/>
    <w:rsid w:val="00E53D02"/>
    <w:rsid w:val="00E54A5B"/>
    <w:rsid w:val="00E56DDC"/>
    <w:rsid w:val="00E577D4"/>
    <w:rsid w:val="00E60161"/>
    <w:rsid w:val="00E6074E"/>
    <w:rsid w:val="00E61088"/>
    <w:rsid w:val="00E632CC"/>
    <w:rsid w:val="00E65396"/>
    <w:rsid w:val="00E67342"/>
    <w:rsid w:val="00E70671"/>
    <w:rsid w:val="00E71BC8"/>
    <w:rsid w:val="00E7260F"/>
    <w:rsid w:val="00E74206"/>
    <w:rsid w:val="00E75FBB"/>
    <w:rsid w:val="00E77185"/>
    <w:rsid w:val="00E779FC"/>
    <w:rsid w:val="00E8097C"/>
    <w:rsid w:val="00E81356"/>
    <w:rsid w:val="00E8217E"/>
    <w:rsid w:val="00E827FB"/>
    <w:rsid w:val="00E8329D"/>
    <w:rsid w:val="00E83D78"/>
    <w:rsid w:val="00E848D3"/>
    <w:rsid w:val="00E84FB9"/>
    <w:rsid w:val="00E85728"/>
    <w:rsid w:val="00E86349"/>
    <w:rsid w:val="00E87748"/>
    <w:rsid w:val="00E921CF"/>
    <w:rsid w:val="00E95257"/>
    <w:rsid w:val="00E96433"/>
    <w:rsid w:val="00E96630"/>
    <w:rsid w:val="00E96A6E"/>
    <w:rsid w:val="00E9788D"/>
    <w:rsid w:val="00EA0B73"/>
    <w:rsid w:val="00EA29DD"/>
    <w:rsid w:val="00EA31F7"/>
    <w:rsid w:val="00EA5142"/>
    <w:rsid w:val="00EA6BF4"/>
    <w:rsid w:val="00EB11F3"/>
    <w:rsid w:val="00EB1D55"/>
    <w:rsid w:val="00EB2581"/>
    <w:rsid w:val="00EB48C1"/>
    <w:rsid w:val="00EB5228"/>
    <w:rsid w:val="00EB5B31"/>
    <w:rsid w:val="00EB737B"/>
    <w:rsid w:val="00EC0363"/>
    <w:rsid w:val="00EC14EF"/>
    <w:rsid w:val="00EC6FFC"/>
    <w:rsid w:val="00EC7149"/>
    <w:rsid w:val="00EC7574"/>
    <w:rsid w:val="00EC79DC"/>
    <w:rsid w:val="00ED00FD"/>
    <w:rsid w:val="00ED08C9"/>
    <w:rsid w:val="00ED0DBA"/>
    <w:rsid w:val="00ED303B"/>
    <w:rsid w:val="00ED535F"/>
    <w:rsid w:val="00ED6D5B"/>
    <w:rsid w:val="00ED6ED8"/>
    <w:rsid w:val="00ED7A2A"/>
    <w:rsid w:val="00ED7E6E"/>
    <w:rsid w:val="00EE18DC"/>
    <w:rsid w:val="00EE2BA0"/>
    <w:rsid w:val="00EE416D"/>
    <w:rsid w:val="00EE50B7"/>
    <w:rsid w:val="00EE621C"/>
    <w:rsid w:val="00EE6929"/>
    <w:rsid w:val="00EF0235"/>
    <w:rsid w:val="00EF0F6A"/>
    <w:rsid w:val="00EF1996"/>
    <w:rsid w:val="00EF1D7F"/>
    <w:rsid w:val="00EF3FBC"/>
    <w:rsid w:val="00EF5227"/>
    <w:rsid w:val="00EF5FA3"/>
    <w:rsid w:val="00EF6D4D"/>
    <w:rsid w:val="00F02DA2"/>
    <w:rsid w:val="00F03190"/>
    <w:rsid w:val="00F03A99"/>
    <w:rsid w:val="00F03D89"/>
    <w:rsid w:val="00F0403F"/>
    <w:rsid w:val="00F04CDE"/>
    <w:rsid w:val="00F0610E"/>
    <w:rsid w:val="00F075CC"/>
    <w:rsid w:val="00F10B34"/>
    <w:rsid w:val="00F20C3D"/>
    <w:rsid w:val="00F243C6"/>
    <w:rsid w:val="00F2653D"/>
    <w:rsid w:val="00F26F57"/>
    <w:rsid w:val="00F33AE4"/>
    <w:rsid w:val="00F33AF0"/>
    <w:rsid w:val="00F33F23"/>
    <w:rsid w:val="00F34D48"/>
    <w:rsid w:val="00F34FBB"/>
    <w:rsid w:val="00F35149"/>
    <w:rsid w:val="00F356EC"/>
    <w:rsid w:val="00F36B91"/>
    <w:rsid w:val="00F373CD"/>
    <w:rsid w:val="00F4067C"/>
    <w:rsid w:val="00F41576"/>
    <w:rsid w:val="00F418D6"/>
    <w:rsid w:val="00F4204E"/>
    <w:rsid w:val="00F43270"/>
    <w:rsid w:val="00F43E9E"/>
    <w:rsid w:val="00F44820"/>
    <w:rsid w:val="00F501AF"/>
    <w:rsid w:val="00F51311"/>
    <w:rsid w:val="00F52453"/>
    <w:rsid w:val="00F52BE2"/>
    <w:rsid w:val="00F546EA"/>
    <w:rsid w:val="00F54806"/>
    <w:rsid w:val="00F55BAA"/>
    <w:rsid w:val="00F55C65"/>
    <w:rsid w:val="00F55FC7"/>
    <w:rsid w:val="00F61536"/>
    <w:rsid w:val="00F63125"/>
    <w:rsid w:val="00F668B0"/>
    <w:rsid w:val="00F70D30"/>
    <w:rsid w:val="00F727A3"/>
    <w:rsid w:val="00F72EED"/>
    <w:rsid w:val="00F730B8"/>
    <w:rsid w:val="00F7343F"/>
    <w:rsid w:val="00F73A4B"/>
    <w:rsid w:val="00F748B6"/>
    <w:rsid w:val="00F7563C"/>
    <w:rsid w:val="00F75DD2"/>
    <w:rsid w:val="00F82DCC"/>
    <w:rsid w:val="00F82F23"/>
    <w:rsid w:val="00F83261"/>
    <w:rsid w:val="00F8467B"/>
    <w:rsid w:val="00F84A9A"/>
    <w:rsid w:val="00F86121"/>
    <w:rsid w:val="00F86A01"/>
    <w:rsid w:val="00F8772A"/>
    <w:rsid w:val="00F9057C"/>
    <w:rsid w:val="00F906D7"/>
    <w:rsid w:val="00F90FD3"/>
    <w:rsid w:val="00F92F08"/>
    <w:rsid w:val="00F93781"/>
    <w:rsid w:val="00F9431C"/>
    <w:rsid w:val="00F9592D"/>
    <w:rsid w:val="00F9653B"/>
    <w:rsid w:val="00F9682C"/>
    <w:rsid w:val="00F96BA5"/>
    <w:rsid w:val="00FA1718"/>
    <w:rsid w:val="00FA5B0F"/>
    <w:rsid w:val="00FA6064"/>
    <w:rsid w:val="00FB2745"/>
    <w:rsid w:val="00FB45D9"/>
    <w:rsid w:val="00FB5EB5"/>
    <w:rsid w:val="00FB613B"/>
    <w:rsid w:val="00FC0622"/>
    <w:rsid w:val="00FC1A0B"/>
    <w:rsid w:val="00FC2A5A"/>
    <w:rsid w:val="00FC3E62"/>
    <w:rsid w:val="00FC68B7"/>
    <w:rsid w:val="00FD0381"/>
    <w:rsid w:val="00FD201E"/>
    <w:rsid w:val="00FD28AF"/>
    <w:rsid w:val="00FD4417"/>
    <w:rsid w:val="00FD45BF"/>
    <w:rsid w:val="00FD4F04"/>
    <w:rsid w:val="00FD4FB8"/>
    <w:rsid w:val="00FD61DA"/>
    <w:rsid w:val="00FE106A"/>
    <w:rsid w:val="00FE23AF"/>
    <w:rsid w:val="00FE2786"/>
    <w:rsid w:val="00FE3889"/>
    <w:rsid w:val="00FE5097"/>
    <w:rsid w:val="00FE64BB"/>
    <w:rsid w:val="00FE6DA5"/>
    <w:rsid w:val="00FE72EE"/>
    <w:rsid w:val="00FF0000"/>
    <w:rsid w:val="00FF1ADC"/>
    <w:rsid w:val="00FF4BF4"/>
    <w:rsid w:val="00FF511B"/>
    <w:rsid w:val="00FF66C5"/>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16D76"/>
  <w15:docId w15:val="{AAE9A957-BA2C-48F2-8A08-7372A2F2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9D093B"/>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9D093B"/>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styleId="Emphasis">
    <w:name w:val="Emphasis"/>
    <w:uiPriority w:val="20"/>
    <w:qFormat/>
    <w:rsid w:val="00341D96"/>
    <w:rPr>
      <w:b/>
      <w:bCs/>
      <w:i w:val="0"/>
      <w:iCs w:val="0"/>
    </w:rPr>
  </w:style>
  <w:style w:type="character" w:customStyle="1" w:styleId="st">
    <w:name w:val="st"/>
    <w:rsid w:val="00341D96"/>
  </w:style>
  <w:style w:type="character" w:customStyle="1" w:styleId="hps">
    <w:name w:val="hps"/>
    <w:rsid w:val="007B126A"/>
  </w:style>
  <w:style w:type="character" w:customStyle="1" w:styleId="apple-converted-space">
    <w:name w:val="apple-converted-space"/>
    <w:rsid w:val="00ED08C9"/>
  </w:style>
  <w:style w:type="paragraph" w:customStyle="1" w:styleId="PFNumLevel2">
    <w:name w:val="PF (Num) Level 2"/>
    <w:basedOn w:val="Normal"/>
    <w:rsid w:val="00991DB5"/>
    <w:pPr>
      <w:tabs>
        <w:tab w:val="num" w:pos="924"/>
        <w:tab w:val="left" w:pos="2773"/>
        <w:tab w:val="left" w:pos="3697"/>
        <w:tab w:val="left" w:pos="4621"/>
        <w:tab w:val="left" w:pos="5545"/>
        <w:tab w:val="left" w:pos="6469"/>
        <w:tab w:val="left" w:pos="7394"/>
        <w:tab w:val="left" w:pos="8318"/>
        <w:tab w:val="right" w:pos="8930"/>
      </w:tabs>
      <w:suppressAutoHyphens w:val="0"/>
      <w:spacing w:before="120" w:after="120" w:line="276" w:lineRule="auto"/>
      <w:ind w:left="924" w:hanging="924"/>
    </w:pPr>
    <w:rPr>
      <w:color w:val="000000"/>
      <w:sz w:val="22"/>
      <w:lang w:val="en-AU"/>
    </w:rPr>
  </w:style>
  <w:style w:type="paragraph" w:styleId="Revision">
    <w:name w:val="Revision"/>
    <w:hidden/>
    <w:uiPriority w:val="99"/>
    <w:semiHidden/>
    <w:rsid w:val="007914E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3661">
      <w:bodyDiv w:val="1"/>
      <w:marLeft w:val="0"/>
      <w:marRight w:val="0"/>
      <w:marTop w:val="0"/>
      <w:marBottom w:val="0"/>
      <w:divBdr>
        <w:top w:val="none" w:sz="0" w:space="0" w:color="auto"/>
        <w:left w:val="none" w:sz="0" w:space="0" w:color="auto"/>
        <w:bottom w:val="none" w:sz="0" w:space="0" w:color="auto"/>
        <w:right w:val="none" w:sz="0" w:space="0" w:color="auto"/>
      </w:divBdr>
    </w:div>
    <w:div w:id="92170967">
      <w:bodyDiv w:val="1"/>
      <w:marLeft w:val="0"/>
      <w:marRight w:val="0"/>
      <w:marTop w:val="0"/>
      <w:marBottom w:val="0"/>
      <w:divBdr>
        <w:top w:val="none" w:sz="0" w:space="0" w:color="auto"/>
        <w:left w:val="none" w:sz="0" w:space="0" w:color="auto"/>
        <w:bottom w:val="none" w:sz="0" w:space="0" w:color="auto"/>
        <w:right w:val="none" w:sz="0" w:space="0" w:color="auto"/>
      </w:divBdr>
    </w:div>
    <w:div w:id="141511432">
      <w:bodyDiv w:val="1"/>
      <w:marLeft w:val="0"/>
      <w:marRight w:val="0"/>
      <w:marTop w:val="0"/>
      <w:marBottom w:val="0"/>
      <w:divBdr>
        <w:top w:val="none" w:sz="0" w:space="0" w:color="auto"/>
        <w:left w:val="none" w:sz="0" w:space="0" w:color="auto"/>
        <w:bottom w:val="none" w:sz="0" w:space="0" w:color="auto"/>
        <w:right w:val="none" w:sz="0" w:space="0" w:color="auto"/>
      </w:divBdr>
    </w:div>
    <w:div w:id="198052814">
      <w:bodyDiv w:val="1"/>
      <w:marLeft w:val="0"/>
      <w:marRight w:val="0"/>
      <w:marTop w:val="0"/>
      <w:marBottom w:val="0"/>
      <w:divBdr>
        <w:top w:val="none" w:sz="0" w:space="0" w:color="auto"/>
        <w:left w:val="none" w:sz="0" w:space="0" w:color="auto"/>
        <w:bottom w:val="none" w:sz="0" w:space="0" w:color="auto"/>
        <w:right w:val="none" w:sz="0" w:space="0" w:color="auto"/>
      </w:divBdr>
    </w:div>
    <w:div w:id="282154956">
      <w:bodyDiv w:val="1"/>
      <w:marLeft w:val="0"/>
      <w:marRight w:val="0"/>
      <w:marTop w:val="0"/>
      <w:marBottom w:val="0"/>
      <w:divBdr>
        <w:top w:val="none" w:sz="0" w:space="0" w:color="auto"/>
        <w:left w:val="none" w:sz="0" w:space="0" w:color="auto"/>
        <w:bottom w:val="none" w:sz="0" w:space="0" w:color="auto"/>
        <w:right w:val="none" w:sz="0" w:space="0" w:color="auto"/>
      </w:divBdr>
    </w:div>
    <w:div w:id="360664077">
      <w:bodyDiv w:val="1"/>
      <w:marLeft w:val="0"/>
      <w:marRight w:val="0"/>
      <w:marTop w:val="0"/>
      <w:marBottom w:val="0"/>
      <w:divBdr>
        <w:top w:val="none" w:sz="0" w:space="0" w:color="auto"/>
        <w:left w:val="none" w:sz="0" w:space="0" w:color="auto"/>
        <w:bottom w:val="none" w:sz="0" w:space="0" w:color="auto"/>
        <w:right w:val="none" w:sz="0" w:space="0" w:color="auto"/>
      </w:divBdr>
    </w:div>
    <w:div w:id="36760897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80918298">
      <w:bodyDiv w:val="1"/>
      <w:marLeft w:val="0"/>
      <w:marRight w:val="0"/>
      <w:marTop w:val="0"/>
      <w:marBottom w:val="0"/>
      <w:divBdr>
        <w:top w:val="none" w:sz="0" w:space="0" w:color="auto"/>
        <w:left w:val="none" w:sz="0" w:space="0" w:color="auto"/>
        <w:bottom w:val="none" w:sz="0" w:space="0" w:color="auto"/>
        <w:right w:val="none" w:sz="0" w:space="0" w:color="auto"/>
      </w:divBdr>
    </w:div>
    <w:div w:id="616067344">
      <w:bodyDiv w:val="1"/>
      <w:marLeft w:val="0"/>
      <w:marRight w:val="0"/>
      <w:marTop w:val="0"/>
      <w:marBottom w:val="0"/>
      <w:divBdr>
        <w:top w:val="none" w:sz="0" w:space="0" w:color="auto"/>
        <w:left w:val="none" w:sz="0" w:space="0" w:color="auto"/>
        <w:bottom w:val="none" w:sz="0" w:space="0" w:color="auto"/>
        <w:right w:val="none" w:sz="0" w:space="0" w:color="auto"/>
      </w:divBdr>
    </w:div>
    <w:div w:id="61664668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24253976">
      <w:bodyDiv w:val="1"/>
      <w:marLeft w:val="0"/>
      <w:marRight w:val="0"/>
      <w:marTop w:val="0"/>
      <w:marBottom w:val="0"/>
      <w:divBdr>
        <w:top w:val="none" w:sz="0" w:space="0" w:color="auto"/>
        <w:left w:val="none" w:sz="0" w:space="0" w:color="auto"/>
        <w:bottom w:val="none" w:sz="0" w:space="0" w:color="auto"/>
        <w:right w:val="none" w:sz="0" w:space="0" w:color="auto"/>
      </w:divBdr>
    </w:div>
    <w:div w:id="745110457">
      <w:bodyDiv w:val="1"/>
      <w:marLeft w:val="0"/>
      <w:marRight w:val="0"/>
      <w:marTop w:val="0"/>
      <w:marBottom w:val="0"/>
      <w:divBdr>
        <w:top w:val="none" w:sz="0" w:space="0" w:color="auto"/>
        <w:left w:val="none" w:sz="0" w:space="0" w:color="auto"/>
        <w:bottom w:val="none" w:sz="0" w:space="0" w:color="auto"/>
        <w:right w:val="none" w:sz="0" w:space="0" w:color="auto"/>
      </w:divBdr>
    </w:div>
    <w:div w:id="760099483">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29505981">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162966705">
      <w:bodyDiv w:val="1"/>
      <w:marLeft w:val="0"/>
      <w:marRight w:val="0"/>
      <w:marTop w:val="0"/>
      <w:marBottom w:val="0"/>
      <w:divBdr>
        <w:top w:val="none" w:sz="0" w:space="0" w:color="auto"/>
        <w:left w:val="none" w:sz="0" w:space="0" w:color="auto"/>
        <w:bottom w:val="none" w:sz="0" w:space="0" w:color="auto"/>
        <w:right w:val="none" w:sz="0" w:space="0" w:color="auto"/>
      </w:divBdr>
    </w:div>
    <w:div w:id="1195847634">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40707193">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98038412">
      <w:bodyDiv w:val="1"/>
      <w:marLeft w:val="0"/>
      <w:marRight w:val="0"/>
      <w:marTop w:val="0"/>
      <w:marBottom w:val="0"/>
      <w:divBdr>
        <w:top w:val="none" w:sz="0" w:space="0" w:color="auto"/>
        <w:left w:val="none" w:sz="0" w:space="0" w:color="auto"/>
        <w:bottom w:val="none" w:sz="0" w:space="0" w:color="auto"/>
        <w:right w:val="none" w:sz="0" w:space="0" w:color="auto"/>
      </w:divBdr>
    </w:div>
    <w:div w:id="1784110505">
      <w:bodyDiv w:val="1"/>
      <w:marLeft w:val="0"/>
      <w:marRight w:val="0"/>
      <w:marTop w:val="0"/>
      <w:marBottom w:val="0"/>
      <w:divBdr>
        <w:top w:val="none" w:sz="0" w:space="0" w:color="auto"/>
        <w:left w:val="none" w:sz="0" w:space="0" w:color="auto"/>
        <w:bottom w:val="none" w:sz="0" w:space="0" w:color="auto"/>
        <w:right w:val="none" w:sz="0" w:space="0" w:color="auto"/>
      </w:divBdr>
    </w:div>
    <w:div w:id="1955937353">
      <w:bodyDiv w:val="1"/>
      <w:marLeft w:val="0"/>
      <w:marRight w:val="0"/>
      <w:marTop w:val="0"/>
      <w:marBottom w:val="0"/>
      <w:divBdr>
        <w:top w:val="none" w:sz="0" w:space="0" w:color="auto"/>
        <w:left w:val="none" w:sz="0" w:space="0" w:color="auto"/>
        <w:bottom w:val="none" w:sz="0" w:space="0" w:color="auto"/>
        <w:right w:val="none" w:sz="0" w:space="0" w:color="auto"/>
      </w:divBdr>
    </w:div>
    <w:div w:id="1959755108">
      <w:bodyDiv w:val="1"/>
      <w:marLeft w:val="0"/>
      <w:marRight w:val="0"/>
      <w:marTop w:val="0"/>
      <w:marBottom w:val="0"/>
      <w:divBdr>
        <w:top w:val="none" w:sz="0" w:space="0" w:color="auto"/>
        <w:left w:val="none" w:sz="0" w:space="0" w:color="auto"/>
        <w:bottom w:val="none" w:sz="0" w:space="0" w:color="auto"/>
        <w:right w:val="none" w:sz="0" w:space="0" w:color="auto"/>
      </w:divBdr>
    </w:div>
    <w:div w:id="1993479878">
      <w:bodyDiv w:val="1"/>
      <w:marLeft w:val="0"/>
      <w:marRight w:val="0"/>
      <w:marTop w:val="0"/>
      <w:marBottom w:val="0"/>
      <w:divBdr>
        <w:top w:val="none" w:sz="0" w:space="0" w:color="auto"/>
        <w:left w:val="none" w:sz="0" w:space="0" w:color="auto"/>
        <w:bottom w:val="none" w:sz="0" w:space="0" w:color="auto"/>
        <w:right w:val="none" w:sz="0" w:space="0" w:color="auto"/>
      </w:divBdr>
    </w:div>
    <w:div w:id="20071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BAB2D-9B06-49E5-9D4A-FDA4F59C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11</Pages>
  <Words>5612</Words>
  <Characters>31990</Characters>
  <Application>Microsoft Office Word</Application>
  <DocSecurity>0</DocSecurity>
  <Lines>266</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37527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2015-12-10T10:37:00Z</cp:lastPrinted>
  <dcterms:created xsi:type="dcterms:W3CDTF">2017-01-24T22:38:00Z</dcterms:created>
  <dcterms:modified xsi:type="dcterms:W3CDTF">2017-01-24T22:38:00Z</dcterms:modified>
</cp:coreProperties>
</file>