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E65C1B">
        <w:trPr>
          <w:cantSplit/>
          <w:trHeight w:hRule="exact" w:val="851"/>
        </w:trPr>
        <w:tc>
          <w:tcPr>
            <w:tcW w:w="1276" w:type="dxa"/>
            <w:tcBorders>
              <w:bottom w:val="single" w:sz="4" w:space="0" w:color="auto"/>
            </w:tcBorders>
            <w:shd w:val="clear" w:color="auto" w:fill="auto"/>
            <w:vAlign w:val="bottom"/>
          </w:tcPr>
          <w:p w:rsidR="00B56E9C" w:rsidRDefault="00B56E9C" w:rsidP="00E65C1B">
            <w:pPr>
              <w:spacing w:after="80"/>
            </w:pPr>
            <w:bookmarkStart w:id="0" w:name="_GoBack"/>
            <w:bookmarkEnd w:id="0"/>
          </w:p>
        </w:tc>
        <w:tc>
          <w:tcPr>
            <w:tcW w:w="2268" w:type="dxa"/>
            <w:tcBorders>
              <w:bottom w:val="single" w:sz="4" w:space="0" w:color="auto"/>
            </w:tcBorders>
            <w:shd w:val="clear" w:color="auto" w:fill="auto"/>
            <w:vAlign w:val="bottom"/>
          </w:tcPr>
          <w:p w:rsidR="00B56E9C" w:rsidRPr="00E65C1B" w:rsidRDefault="00B56E9C" w:rsidP="00E65C1B">
            <w:pPr>
              <w:spacing w:after="80" w:line="300" w:lineRule="exact"/>
              <w:rPr>
                <w:b/>
                <w:sz w:val="24"/>
                <w:szCs w:val="24"/>
              </w:rPr>
            </w:pPr>
            <w:r w:rsidRPr="00E65C1B">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D56158" w:rsidP="00E65C1B">
            <w:pPr>
              <w:suppressAutoHyphens w:val="0"/>
              <w:spacing w:after="20"/>
              <w:jc w:val="right"/>
            </w:pPr>
            <w:r w:rsidRPr="00E65C1B">
              <w:rPr>
                <w:sz w:val="40"/>
              </w:rPr>
              <w:t>CCPR</w:t>
            </w:r>
            <w:r>
              <w:t>/C/104/D/1880/2009</w:t>
            </w:r>
          </w:p>
        </w:tc>
      </w:tr>
      <w:tr w:rsidR="00B56E9C" w:rsidTr="00E65C1B">
        <w:trPr>
          <w:cantSplit/>
          <w:trHeight w:hRule="exact" w:val="2835"/>
        </w:trPr>
        <w:tc>
          <w:tcPr>
            <w:tcW w:w="1276" w:type="dxa"/>
            <w:tcBorders>
              <w:top w:val="single" w:sz="4" w:space="0" w:color="auto"/>
              <w:bottom w:val="single" w:sz="12" w:space="0" w:color="auto"/>
            </w:tcBorders>
            <w:shd w:val="clear" w:color="auto" w:fill="auto"/>
          </w:tcPr>
          <w:p w:rsidR="00B56E9C" w:rsidRDefault="0063723C" w:rsidP="00E65C1B">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E65C1B" w:rsidRDefault="00B56E9C" w:rsidP="00E65C1B">
            <w:pPr>
              <w:spacing w:before="120" w:line="380" w:lineRule="exact"/>
              <w:rPr>
                <w:sz w:val="34"/>
              </w:rPr>
            </w:pPr>
            <w:r w:rsidRPr="00E65C1B">
              <w:rPr>
                <w:b/>
                <w:sz w:val="34"/>
                <w:szCs w:val="40"/>
              </w:rPr>
              <w:t xml:space="preserve">International </w:t>
            </w:r>
            <w:r w:rsidR="00060C3A" w:rsidRPr="00E65C1B">
              <w:rPr>
                <w:b/>
                <w:sz w:val="34"/>
                <w:szCs w:val="40"/>
              </w:rPr>
              <w:t>Covenant on</w:t>
            </w:r>
            <w:r w:rsidR="00060C3A" w:rsidRPr="00E65C1B">
              <w:rPr>
                <w:b/>
                <w:sz w:val="34"/>
                <w:szCs w:val="40"/>
              </w:rPr>
              <w:br/>
              <w:t>Civil and Political R</w:t>
            </w:r>
            <w:r w:rsidR="00703577" w:rsidRPr="00E65C1B">
              <w:rPr>
                <w:b/>
                <w:sz w:val="34"/>
                <w:szCs w:val="40"/>
              </w:rPr>
              <w:t>ights</w:t>
            </w:r>
          </w:p>
        </w:tc>
        <w:tc>
          <w:tcPr>
            <w:tcW w:w="2835" w:type="dxa"/>
            <w:tcBorders>
              <w:top w:val="single" w:sz="4" w:space="0" w:color="auto"/>
              <w:bottom w:val="single" w:sz="12" w:space="0" w:color="auto"/>
            </w:tcBorders>
            <w:shd w:val="clear" w:color="auto" w:fill="auto"/>
          </w:tcPr>
          <w:p w:rsidR="00D56158" w:rsidRDefault="00D56158" w:rsidP="00E65C1B">
            <w:pPr>
              <w:suppressAutoHyphens w:val="0"/>
              <w:spacing w:before="240" w:line="240" w:lineRule="exact"/>
            </w:pPr>
            <w:r>
              <w:t xml:space="preserve">Distr.: </w:t>
            </w:r>
            <w:r w:rsidR="00675BFC">
              <w:t>General</w:t>
            </w:r>
          </w:p>
          <w:p w:rsidR="00D56158" w:rsidRDefault="0031274F" w:rsidP="00E65C1B">
            <w:pPr>
              <w:suppressAutoHyphens w:val="0"/>
            </w:pPr>
            <w:r>
              <w:t>2 May</w:t>
            </w:r>
            <w:r w:rsidR="00D56158">
              <w:t xml:space="preserve"> 2012</w:t>
            </w:r>
          </w:p>
          <w:p w:rsidR="00D56158" w:rsidRDefault="00D56158" w:rsidP="00E65C1B">
            <w:pPr>
              <w:suppressAutoHyphens w:val="0"/>
            </w:pPr>
          </w:p>
          <w:p w:rsidR="00B56E9C" w:rsidRDefault="00D56158" w:rsidP="00E65C1B">
            <w:pPr>
              <w:suppressAutoHyphens w:val="0"/>
            </w:pPr>
            <w:r>
              <w:t xml:space="preserve">Original: </w:t>
            </w:r>
            <w:r w:rsidR="00675BFC">
              <w:t>English</w:t>
            </w:r>
          </w:p>
          <w:p w:rsidR="00802B47" w:rsidRDefault="00802B47" w:rsidP="00E65C1B">
            <w:pPr>
              <w:suppressAutoHyphens w:val="0"/>
            </w:pPr>
          </w:p>
          <w:p w:rsidR="00802B47" w:rsidRPr="007D4897" w:rsidRDefault="00802B47" w:rsidP="00E65C1B">
            <w:pPr>
              <w:suppressAutoHyphens w:val="0"/>
              <w:rPr>
                <w:b/>
              </w:rPr>
            </w:pPr>
          </w:p>
        </w:tc>
      </w:tr>
    </w:tbl>
    <w:p w:rsidR="00D56158" w:rsidRDefault="000E0245" w:rsidP="000E0245">
      <w:pPr>
        <w:spacing w:before="120"/>
      </w:pPr>
      <w:r w:rsidRPr="000E0245">
        <w:rPr>
          <w:b/>
          <w:sz w:val="24"/>
          <w:szCs w:val="24"/>
        </w:rPr>
        <w:t xml:space="preserve">Human Rights </w:t>
      </w:r>
      <w:r>
        <w:rPr>
          <w:b/>
          <w:sz w:val="24"/>
          <w:szCs w:val="24"/>
        </w:rPr>
        <w:t>Committee</w:t>
      </w:r>
    </w:p>
    <w:p w:rsidR="000E0245" w:rsidRPr="00CE4583" w:rsidRDefault="000320ED" w:rsidP="00C66DA2">
      <w:pPr>
        <w:pStyle w:val="HChG"/>
      </w:pPr>
      <w:r>
        <w:tab/>
      </w:r>
      <w:r>
        <w:tab/>
        <w:t xml:space="preserve">Communication No. </w:t>
      </w:r>
      <w:r w:rsidR="000E0245" w:rsidRPr="00CE4583">
        <w:t>1880/2009</w:t>
      </w:r>
    </w:p>
    <w:p w:rsidR="000E0245" w:rsidRDefault="000E0245" w:rsidP="00C66DA2">
      <w:pPr>
        <w:pStyle w:val="H1G"/>
      </w:pPr>
      <w:r w:rsidRPr="00CE4583">
        <w:tab/>
      </w:r>
      <w:r w:rsidRPr="00CE4583">
        <w:tab/>
      </w:r>
      <w:r w:rsidR="00675BFC">
        <w:t>Views adopted by the Committee at its 104th session,</w:t>
      </w:r>
      <w:r w:rsidR="00675BFC">
        <w:br/>
        <w:t>12</w:t>
      </w:r>
      <w:r w:rsidR="0055320B">
        <w:t>–</w:t>
      </w:r>
      <w:r w:rsidR="00675BFC">
        <w:t>30 March 2012</w:t>
      </w:r>
    </w:p>
    <w:tbl>
      <w:tblPr>
        <w:tblW w:w="0" w:type="auto"/>
        <w:tblInd w:w="1100" w:type="dxa"/>
        <w:tblLayout w:type="fixed"/>
        <w:tblCellMar>
          <w:left w:w="0" w:type="dxa"/>
          <w:right w:w="0" w:type="dxa"/>
        </w:tblCellMar>
        <w:tblLook w:val="01E0" w:firstRow="1" w:lastRow="1" w:firstColumn="1" w:lastColumn="1" w:noHBand="0" w:noVBand="0"/>
      </w:tblPr>
      <w:tblGrid>
        <w:gridCol w:w="3720"/>
        <w:gridCol w:w="3685"/>
      </w:tblGrid>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rPr>
              <w:t>Submitted by:</w:t>
            </w:r>
          </w:p>
        </w:tc>
        <w:tc>
          <w:tcPr>
            <w:tcW w:w="3685" w:type="dxa"/>
            <w:shd w:val="clear" w:color="auto" w:fill="auto"/>
          </w:tcPr>
          <w:p w:rsidR="003525A2" w:rsidRPr="000D1ED1" w:rsidRDefault="00D10ACC" w:rsidP="00E65C1B">
            <w:pPr>
              <w:pStyle w:val="SingleTxtG"/>
              <w:ind w:left="0" w:right="0"/>
              <w:jc w:val="left"/>
            </w:pPr>
            <w:r w:rsidRPr="00E65C1B">
              <w:rPr>
                <w:lang w:val="fr-FR"/>
              </w:rPr>
              <w:t>N.</w:t>
            </w:r>
            <w:r w:rsidR="003525A2" w:rsidRPr="00E65C1B">
              <w:rPr>
                <w:lang w:val="fr-FR"/>
              </w:rPr>
              <w:t xml:space="preserve">S. Nenova et al. </w:t>
            </w:r>
            <w:r w:rsidR="003525A2" w:rsidRPr="00CE4583">
              <w:t>(represented by counsel, Liesbeth Zegveld)</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rPr>
              <w:t>Alleged victim</w:t>
            </w:r>
            <w:r w:rsidR="00C66DA2" w:rsidRPr="00E65C1B">
              <w:rPr>
                <w:i/>
              </w:rPr>
              <w:t>s</w:t>
            </w:r>
            <w:r w:rsidRPr="00E65C1B">
              <w:rPr>
                <w:i/>
              </w:rPr>
              <w:t>:</w:t>
            </w:r>
          </w:p>
        </w:tc>
        <w:tc>
          <w:tcPr>
            <w:tcW w:w="3685" w:type="dxa"/>
            <w:shd w:val="clear" w:color="auto" w:fill="auto"/>
          </w:tcPr>
          <w:p w:rsidR="003525A2" w:rsidRDefault="003525A2" w:rsidP="00E65C1B">
            <w:pPr>
              <w:pStyle w:val="SingleTxtG"/>
              <w:ind w:left="0" w:right="0"/>
              <w:jc w:val="left"/>
            </w:pPr>
            <w:r w:rsidRPr="00CE4583">
              <w:t>The authors</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rPr>
              <w:t>State party:</w:t>
            </w:r>
          </w:p>
        </w:tc>
        <w:tc>
          <w:tcPr>
            <w:tcW w:w="3685" w:type="dxa"/>
            <w:shd w:val="clear" w:color="auto" w:fill="auto"/>
          </w:tcPr>
          <w:p w:rsidR="003525A2" w:rsidRDefault="003525A2" w:rsidP="00E65C1B">
            <w:pPr>
              <w:pStyle w:val="SingleTxtG"/>
              <w:ind w:left="0" w:right="0"/>
              <w:jc w:val="left"/>
            </w:pPr>
            <w:smartTag w:uri="urn:schemas-microsoft-com:office:smarttags" w:element="place">
              <w:smartTag w:uri="urn:schemas-microsoft-com:office:smarttags" w:element="country-region">
                <w:r w:rsidRPr="00CE4583">
                  <w:t>Libya</w:t>
                </w:r>
              </w:smartTag>
            </w:smartTag>
          </w:p>
        </w:tc>
      </w:tr>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rPr>
              <w:t>Date of communication:</w:t>
            </w:r>
          </w:p>
        </w:tc>
        <w:tc>
          <w:tcPr>
            <w:tcW w:w="3685" w:type="dxa"/>
            <w:shd w:val="clear" w:color="auto" w:fill="auto"/>
          </w:tcPr>
          <w:p w:rsidR="003525A2" w:rsidRDefault="003525A2" w:rsidP="00E65C1B">
            <w:pPr>
              <w:pStyle w:val="SingleTxtG"/>
              <w:ind w:left="0" w:right="0"/>
              <w:jc w:val="left"/>
            </w:pPr>
            <w:r w:rsidRPr="00CE4583">
              <w:t>31 March 2009 (initial submission)</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rPr>
              <w:t>Document references:</w:t>
            </w:r>
          </w:p>
        </w:tc>
        <w:tc>
          <w:tcPr>
            <w:tcW w:w="3685" w:type="dxa"/>
            <w:shd w:val="clear" w:color="auto" w:fill="auto"/>
          </w:tcPr>
          <w:p w:rsidR="003525A2" w:rsidRDefault="003525A2" w:rsidP="00E65C1B">
            <w:pPr>
              <w:pStyle w:val="SingleTxtG"/>
              <w:ind w:left="0" w:right="0"/>
              <w:jc w:val="left"/>
            </w:pPr>
            <w:r w:rsidRPr="00CE4583">
              <w:t>Special Rapporteur</w:t>
            </w:r>
            <w:r w:rsidR="00777B35">
              <w:t>’</w:t>
            </w:r>
            <w:r w:rsidRPr="00CE4583">
              <w:t>s rule 97 decision, transmitted to the State party on 10 June 2009 (not issued in document form)</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rPr>
              <w:t>Date of adoption of Views:</w:t>
            </w:r>
          </w:p>
        </w:tc>
        <w:tc>
          <w:tcPr>
            <w:tcW w:w="3685" w:type="dxa"/>
            <w:shd w:val="clear" w:color="auto" w:fill="auto"/>
            <w:vAlign w:val="bottom"/>
          </w:tcPr>
          <w:p w:rsidR="003525A2" w:rsidRDefault="00675BFC" w:rsidP="00E65C1B">
            <w:pPr>
              <w:pStyle w:val="SingleTxtG"/>
              <w:ind w:left="0" w:right="0"/>
              <w:jc w:val="left"/>
            </w:pPr>
            <w:r>
              <w:t>20</w:t>
            </w:r>
            <w:r w:rsidR="003525A2">
              <w:t xml:space="preserve"> </w:t>
            </w:r>
            <w:r w:rsidR="003525A2" w:rsidRPr="00CE4583">
              <w:t>March 2012</w:t>
            </w:r>
          </w:p>
        </w:tc>
      </w:tr>
    </w:tbl>
    <w:p w:rsidR="003525A2" w:rsidRDefault="003525A2" w:rsidP="003525A2">
      <w:pPr>
        <w:pStyle w:val="SingleTxtG"/>
      </w:pPr>
    </w:p>
    <w:tbl>
      <w:tblPr>
        <w:tblW w:w="0" w:type="auto"/>
        <w:tblInd w:w="1100" w:type="dxa"/>
        <w:tblLayout w:type="fixed"/>
        <w:tblCellMar>
          <w:left w:w="0" w:type="dxa"/>
          <w:right w:w="0" w:type="dxa"/>
        </w:tblCellMar>
        <w:tblLook w:val="01E0" w:firstRow="1" w:lastRow="1" w:firstColumn="1" w:lastColumn="1" w:noHBand="0" w:noVBand="0"/>
      </w:tblPr>
      <w:tblGrid>
        <w:gridCol w:w="3720"/>
        <w:gridCol w:w="3685"/>
      </w:tblGrid>
      <w:tr w:rsidR="003525A2" w:rsidRPr="00E65C1B" w:rsidTr="0055320B">
        <w:tc>
          <w:tcPr>
            <w:tcW w:w="3720" w:type="dxa"/>
            <w:shd w:val="clear" w:color="auto" w:fill="auto"/>
          </w:tcPr>
          <w:p w:rsidR="003525A2" w:rsidRPr="00E65C1B" w:rsidRDefault="003525A2" w:rsidP="00E65C1B">
            <w:pPr>
              <w:pStyle w:val="SingleTxtG"/>
              <w:ind w:left="0" w:right="0"/>
              <w:jc w:val="left"/>
              <w:rPr>
                <w:i/>
              </w:rPr>
            </w:pPr>
            <w:r w:rsidRPr="00E65C1B">
              <w:rPr>
                <w:i/>
                <w:iCs/>
              </w:rPr>
              <w:t>Subject matter:</w:t>
            </w:r>
          </w:p>
        </w:tc>
        <w:tc>
          <w:tcPr>
            <w:tcW w:w="3685" w:type="dxa"/>
            <w:shd w:val="clear" w:color="auto" w:fill="auto"/>
          </w:tcPr>
          <w:p w:rsidR="003525A2" w:rsidRDefault="003525A2" w:rsidP="00E65C1B">
            <w:pPr>
              <w:pStyle w:val="SingleTxtG"/>
              <w:ind w:left="0" w:right="0"/>
              <w:jc w:val="left"/>
            </w:pPr>
            <w:r w:rsidRPr="00CE4583">
              <w:t>Alleged torture of the authors; death penalty imposed after an unfair and discriminatory trial</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iCs/>
              </w:rPr>
            </w:pPr>
            <w:r w:rsidRPr="00E65C1B">
              <w:rPr>
                <w:i/>
                <w:iCs/>
              </w:rPr>
              <w:t>Procedural issues</w:t>
            </w:r>
            <w:r w:rsidRPr="00E65C1B">
              <w:rPr>
                <w:i/>
              </w:rPr>
              <w:t>:</w:t>
            </w:r>
          </w:p>
        </w:tc>
        <w:tc>
          <w:tcPr>
            <w:tcW w:w="3685" w:type="dxa"/>
            <w:shd w:val="clear" w:color="auto" w:fill="auto"/>
          </w:tcPr>
          <w:p w:rsidR="003525A2" w:rsidRDefault="003525A2" w:rsidP="00E65C1B">
            <w:pPr>
              <w:pStyle w:val="SingleTxtG"/>
              <w:ind w:left="0" w:right="0"/>
              <w:jc w:val="left"/>
            </w:pPr>
            <w:r w:rsidRPr="00CE4583">
              <w:t>None</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iCs/>
              </w:rPr>
            </w:pPr>
            <w:r w:rsidRPr="00E65C1B">
              <w:rPr>
                <w:i/>
                <w:iCs/>
              </w:rPr>
              <w:t>Substantive issues:</w:t>
            </w:r>
          </w:p>
        </w:tc>
        <w:tc>
          <w:tcPr>
            <w:tcW w:w="3685" w:type="dxa"/>
            <w:shd w:val="clear" w:color="auto" w:fill="auto"/>
          </w:tcPr>
          <w:p w:rsidR="003525A2" w:rsidRDefault="003525A2" w:rsidP="00E65C1B">
            <w:pPr>
              <w:pStyle w:val="SingleTxtG"/>
              <w:ind w:left="0" w:right="0"/>
              <w:jc w:val="left"/>
            </w:pPr>
            <w:r w:rsidRPr="00CE4583">
              <w:t>Torture, unfair trial, arbitrary arrest and detention; death penalty imposed following unfair trial, lack of effective remedy and discrimination</w:t>
            </w:r>
          </w:p>
        </w:tc>
      </w:tr>
      <w:tr w:rsidR="003525A2" w:rsidRPr="00E65C1B" w:rsidTr="0055320B">
        <w:tc>
          <w:tcPr>
            <w:tcW w:w="3720" w:type="dxa"/>
            <w:shd w:val="clear" w:color="auto" w:fill="auto"/>
          </w:tcPr>
          <w:p w:rsidR="003525A2" w:rsidRPr="00E65C1B" w:rsidRDefault="003525A2" w:rsidP="00E65C1B">
            <w:pPr>
              <w:pStyle w:val="SingleTxtG"/>
              <w:ind w:left="0" w:right="0"/>
              <w:jc w:val="left"/>
              <w:rPr>
                <w:i/>
                <w:iCs/>
              </w:rPr>
            </w:pPr>
            <w:r w:rsidRPr="00E65C1B">
              <w:rPr>
                <w:i/>
                <w:iCs/>
              </w:rPr>
              <w:t>Articles of the Covenant</w:t>
            </w:r>
            <w:r w:rsidRPr="00E65C1B">
              <w:rPr>
                <w:i/>
              </w:rPr>
              <w:t>:</w:t>
            </w:r>
          </w:p>
        </w:tc>
        <w:tc>
          <w:tcPr>
            <w:tcW w:w="3685" w:type="dxa"/>
            <w:shd w:val="clear" w:color="auto" w:fill="auto"/>
          </w:tcPr>
          <w:p w:rsidR="003525A2" w:rsidRDefault="003525A2" w:rsidP="00E65C1B">
            <w:pPr>
              <w:pStyle w:val="SingleTxtG"/>
              <w:ind w:left="0" w:right="0"/>
              <w:jc w:val="left"/>
            </w:pPr>
            <w:r w:rsidRPr="00CE4583">
              <w:t>2; 6; 7; 9; 10, paragraph 1; 14 and 26</w:t>
            </w:r>
          </w:p>
        </w:tc>
      </w:tr>
      <w:tr w:rsidR="003525A2" w:rsidRPr="00E65C1B" w:rsidTr="0055320B">
        <w:tc>
          <w:tcPr>
            <w:tcW w:w="3720" w:type="dxa"/>
            <w:shd w:val="clear" w:color="auto" w:fill="auto"/>
          </w:tcPr>
          <w:p w:rsidR="003525A2" w:rsidRPr="00E65C1B" w:rsidRDefault="003525A2" w:rsidP="00E65C1B">
            <w:pPr>
              <w:pStyle w:val="SingleTxtG"/>
              <w:spacing w:after="240"/>
              <w:ind w:left="0" w:right="0"/>
              <w:jc w:val="left"/>
              <w:rPr>
                <w:i/>
                <w:iCs/>
              </w:rPr>
            </w:pPr>
            <w:r w:rsidRPr="00E65C1B">
              <w:rPr>
                <w:i/>
                <w:iCs/>
              </w:rPr>
              <w:t>Article of the Optional Protocol:</w:t>
            </w:r>
          </w:p>
        </w:tc>
        <w:tc>
          <w:tcPr>
            <w:tcW w:w="3685" w:type="dxa"/>
            <w:shd w:val="clear" w:color="auto" w:fill="auto"/>
          </w:tcPr>
          <w:p w:rsidR="003525A2" w:rsidRDefault="003525A2" w:rsidP="00E65C1B">
            <w:pPr>
              <w:pStyle w:val="SingleTxtG"/>
              <w:spacing w:after="240"/>
              <w:ind w:left="0" w:right="0"/>
              <w:jc w:val="left"/>
            </w:pPr>
            <w:r w:rsidRPr="00CE4583">
              <w:t>None</w:t>
            </w:r>
          </w:p>
        </w:tc>
      </w:tr>
    </w:tbl>
    <w:p w:rsidR="000E0245" w:rsidRPr="00CE4583" w:rsidRDefault="000E0245" w:rsidP="00ED1585">
      <w:pPr>
        <w:pStyle w:val="HChG"/>
      </w:pPr>
      <w:r w:rsidRPr="00CE4583">
        <w:br w:type="page"/>
      </w:r>
      <w:r w:rsidRPr="00CE4583">
        <w:lastRenderedPageBreak/>
        <w:t>Annex</w:t>
      </w:r>
    </w:p>
    <w:p w:rsidR="000E0245" w:rsidRPr="00CE4583" w:rsidRDefault="000E0245" w:rsidP="00ED1585">
      <w:pPr>
        <w:pStyle w:val="HChG"/>
      </w:pPr>
      <w:r w:rsidRPr="00CE4583">
        <w:tab/>
      </w:r>
      <w:r w:rsidRPr="00CE4583">
        <w:tab/>
        <w:t xml:space="preserve">Views of the Human Rights Committee under article 5, paragraph 4, of the Optional Protocol to the International Covenant on Civil and Political </w:t>
      </w:r>
      <w:r w:rsidR="004F443E" w:rsidRPr="00CE4583">
        <w:t xml:space="preserve">Rights </w:t>
      </w:r>
      <w:r w:rsidRPr="00CE4583">
        <w:t>(104th session)</w:t>
      </w:r>
    </w:p>
    <w:p w:rsidR="000E0245" w:rsidRPr="00CE4583" w:rsidRDefault="000E0245" w:rsidP="00ED1585">
      <w:pPr>
        <w:pStyle w:val="SingleTxtG"/>
      </w:pPr>
      <w:r w:rsidRPr="00CE4583">
        <w:t>concerning</w:t>
      </w:r>
    </w:p>
    <w:p w:rsidR="000E0245" w:rsidRDefault="000E0245" w:rsidP="00ED1585">
      <w:pPr>
        <w:pStyle w:val="H1G"/>
      </w:pPr>
      <w:r w:rsidRPr="00CE4583">
        <w:tab/>
      </w:r>
      <w:r w:rsidRPr="00CE4583">
        <w:tab/>
        <w:t>Communication No.</w:t>
      </w:r>
      <w:r w:rsidR="004868E8">
        <w:t xml:space="preserve"> </w:t>
      </w:r>
      <w:r w:rsidRPr="00CE4583">
        <w:t>1880/2009</w:t>
      </w:r>
      <w:r w:rsidR="00675BFC">
        <w:rPr>
          <w:rStyle w:val="FootnoteReference"/>
        </w:rPr>
        <w:footnoteReference w:customMarkFollows="1" w:id="2"/>
        <w:t>*</w:t>
      </w:r>
    </w:p>
    <w:tbl>
      <w:tblPr>
        <w:tblW w:w="0" w:type="auto"/>
        <w:tblInd w:w="1100" w:type="dxa"/>
        <w:tblLayout w:type="fixed"/>
        <w:tblCellMar>
          <w:left w:w="0" w:type="dxa"/>
          <w:right w:w="0" w:type="dxa"/>
        </w:tblCellMar>
        <w:tblLook w:val="01E0" w:firstRow="1" w:lastRow="1" w:firstColumn="1" w:lastColumn="1" w:noHBand="0" w:noVBand="0"/>
      </w:tblPr>
      <w:tblGrid>
        <w:gridCol w:w="3720"/>
        <w:gridCol w:w="3685"/>
      </w:tblGrid>
      <w:tr w:rsidR="00D10ACC" w:rsidRPr="000D1ED1" w:rsidTr="0055320B">
        <w:tc>
          <w:tcPr>
            <w:tcW w:w="3720" w:type="dxa"/>
            <w:shd w:val="clear" w:color="auto" w:fill="auto"/>
          </w:tcPr>
          <w:p w:rsidR="00D10ACC" w:rsidRPr="00E65C1B" w:rsidRDefault="00D10ACC" w:rsidP="00E65C1B">
            <w:pPr>
              <w:pStyle w:val="SingleTxtG"/>
              <w:ind w:left="0" w:right="0"/>
              <w:jc w:val="left"/>
              <w:rPr>
                <w:i/>
              </w:rPr>
            </w:pPr>
            <w:r w:rsidRPr="00E65C1B">
              <w:rPr>
                <w:i/>
              </w:rPr>
              <w:t>Submitted by:</w:t>
            </w:r>
          </w:p>
        </w:tc>
        <w:tc>
          <w:tcPr>
            <w:tcW w:w="3685" w:type="dxa"/>
            <w:shd w:val="clear" w:color="auto" w:fill="auto"/>
          </w:tcPr>
          <w:p w:rsidR="00D10ACC" w:rsidRPr="000D1ED1" w:rsidRDefault="00D10ACC" w:rsidP="00E65C1B">
            <w:pPr>
              <w:pStyle w:val="SingleTxtG"/>
              <w:ind w:left="0" w:right="0"/>
              <w:jc w:val="left"/>
            </w:pPr>
            <w:r w:rsidRPr="00E65C1B">
              <w:rPr>
                <w:lang w:val="fr-FR"/>
              </w:rPr>
              <w:t xml:space="preserve">N.S. Nenova et al. </w:t>
            </w:r>
            <w:r w:rsidRPr="00CE4583">
              <w:t>(represented by counsel, Liesbeth Zegveld)</w:t>
            </w:r>
          </w:p>
        </w:tc>
      </w:tr>
      <w:tr w:rsidR="00D10ACC" w:rsidTr="0055320B">
        <w:tc>
          <w:tcPr>
            <w:tcW w:w="3720" w:type="dxa"/>
            <w:shd w:val="clear" w:color="auto" w:fill="auto"/>
          </w:tcPr>
          <w:p w:rsidR="00D10ACC" w:rsidRPr="00E65C1B" w:rsidRDefault="00D10ACC" w:rsidP="00E65C1B">
            <w:pPr>
              <w:pStyle w:val="SingleTxtG"/>
              <w:ind w:left="0" w:right="0"/>
              <w:jc w:val="left"/>
              <w:rPr>
                <w:i/>
              </w:rPr>
            </w:pPr>
            <w:r w:rsidRPr="00E65C1B">
              <w:rPr>
                <w:i/>
              </w:rPr>
              <w:t>Alleged victim</w:t>
            </w:r>
            <w:r w:rsidR="00D313B8" w:rsidRPr="00E65C1B">
              <w:rPr>
                <w:i/>
              </w:rPr>
              <w:t>s</w:t>
            </w:r>
            <w:r w:rsidRPr="00E65C1B">
              <w:rPr>
                <w:i/>
              </w:rPr>
              <w:t>:</w:t>
            </w:r>
          </w:p>
        </w:tc>
        <w:tc>
          <w:tcPr>
            <w:tcW w:w="3685" w:type="dxa"/>
            <w:shd w:val="clear" w:color="auto" w:fill="auto"/>
          </w:tcPr>
          <w:p w:rsidR="00D10ACC" w:rsidRDefault="00D10ACC" w:rsidP="00E65C1B">
            <w:pPr>
              <w:pStyle w:val="SingleTxtG"/>
              <w:ind w:left="0" w:right="0"/>
              <w:jc w:val="left"/>
            </w:pPr>
            <w:r w:rsidRPr="00CE4583">
              <w:t>The authors</w:t>
            </w:r>
          </w:p>
        </w:tc>
      </w:tr>
      <w:tr w:rsidR="00D10ACC" w:rsidTr="0055320B">
        <w:tc>
          <w:tcPr>
            <w:tcW w:w="3720" w:type="dxa"/>
            <w:shd w:val="clear" w:color="auto" w:fill="auto"/>
          </w:tcPr>
          <w:p w:rsidR="00D10ACC" w:rsidRPr="00E65C1B" w:rsidRDefault="00D10ACC" w:rsidP="00E65C1B">
            <w:pPr>
              <w:pStyle w:val="SingleTxtG"/>
              <w:ind w:left="0" w:right="0"/>
              <w:jc w:val="left"/>
              <w:rPr>
                <w:i/>
              </w:rPr>
            </w:pPr>
            <w:r w:rsidRPr="00E65C1B">
              <w:rPr>
                <w:i/>
              </w:rPr>
              <w:t>State party:</w:t>
            </w:r>
          </w:p>
        </w:tc>
        <w:tc>
          <w:tcPr>
            <w:tcW w:w="3685" w:type="dxa"/>
            <w:shd w:val="clear" w:color="auto" w:fill="auto"/>
          </w:tcPr>
          <w:p w:rsidR="00D10ACC" w:rsidRDefault="00D10ACC" w:rsidP="00E65C1B">
            <w:pPr>
              <w:pStyle w:val="SingleTxtG"/>
              <w:ind w:left="0" w:right="0"/>
              <w:jc w:val="left"/>
            </w:pPr>
            <w:smartTag w:uri="urn:schemas-microsoft-com:office:smarttags" w:element="place">
              <w:smartTag w:uri="urn:schemas-microsoft-com:office:smarttags" w:element="country-region">
                <w:r w:rsidRPr="00CE4583">
                  <w:t>Libya</w:t>
                </w:r>
              </w:smartTag>
            </w:smartTag>
          </w:p>
        </w:tc>
      </w:tr>
      <w:tr w:rsidR="00D10ACC" w:rsidTr="0055320B">
        <w:tc>
          <w:tcPr>
            <w:tcW w:w="3720" w:type="dxa"/>
            <w:shd w:val="clear" w:color="auto" w:fill="auto"/>
          </w:tcPr>
          <w:p w:rsidR="00D10ACC" w:rsidRPr="00E65C1B" w:rsidRDefault="00D10ACC" w:rsidP="00E65C1B">
            <w:pPr>
              <w:pStyle w:val="SingleTxtG"/>
              <w:ind w:left="0" w:right="0"/>
              <w:jc w:val="left"/>
              <w:rPr>
                <w:i/>
              </w:rPr>
            </w:pPr>
            <w:r w:rsidRPr="00E65C1B">
              <w:rPr>
                <w:i/>
              </w:rPr>
              <w:t>Date of communication:</w:t>
            </w:r>
          </w:p>
        </w:tc>
        <w:tc>
          <w:tcPr>
            <w:tcW w:w="3685" w:type="dxa"/>
            <w:shd w:val="clear" w:color="auto" w:fill="auto"/>
          </w:tcPr>
          <w:p w:rsidR="00D10ACC" w:rsidRDefault="00D10ACC" w:rsidP="00E65C1B">
            <w:pPr>
              <w:pStyle w:val="SingleTxtG"/>
              <w:ind w:left="0" w:right="0"/>
              <w:jc w:val="left"/>
            </w:pPr>
            <w:r w:rsidRPr="00CE4583">
              <w:t>31 March 2009 (initial submission)</w:t>
            </w:r>
          </w:p>
        </w:tc>
      </w:tr>
    </w:tbl>
    <w:p w:rsidR="000E0245" w:rsidRPr="00CE4583" w:rsidRDefault="00E54573" w:rsidP="00AB5330">
      <w:pPr>
        <w:pStyle w:val="SingleTxtG"/>
      </w:pPr>
      <w:r>
        <w:rPr>
          <w:i/>
        </w:rPr>
        <w:tab/>
      </w:r>
      <w:r w:rsidR="000E0245" w:rsidRPr="00AB5330">
        <w:rPr>
          <w:i/>
        </w:rPr>
        <w:t>The Human Rights Committee</w:t>
      </w:r>
      <w:r w:rsidR="000E0245" w:rsidRPr="00CE4583">
        <w:t>, established under article 28 of the International Covenant on Civil and Political Rights,</w:t>
      </w:r>
    </w:p>
    <w:p w:rsidR="000E0245" w:rsidRPr="00CE4583" w:rsidRDefault="00E54573" w:rsidP="00AB5330">
      <w:pPr>
        <w:pStyle w:val="SingleTxtG"/>
      </w:pPr>
      <w:r>
        <w:rPr>
          <w:i/>
        </w:rPr>
        <w:tab/>
      </w:r>
      <w:r w:rsidR="000E0245" w:rsidRPr="00AB5330">
        <w:rPr>
          <w:i/>
        </w:rPr>
        <w:t>Meeting</w:t>
      </w:r>
      <w:r w:rsidR="000E0245" w:rsidRPr="00CE4583">
        <w:t xml:space="preserve"> on </w:t>
      </w:r>
      <w:r w:rsidR="00675BFC">
        <w:t>20</w:t>
      </w:r>
      <w:r w:rsidR="00675BFC" w:rsidRPr="00CE4583">
        <w:t xml:space="preserve"> </w:t>
      </w:r>
      <w:r w:rsidR="000E0245" w:rsidRPr="00CE4583">
        <w:t>March 2012,</w:t>
      </w:r>
    </w:p>
    <w:p w:rsidR="000E0245" w:rsidRPr="00CE4583" w:rsidRDefault="00E54573" w:rsidP="00AB5330">
      <w:pPr>
        <w:pStyle w:val="SingleTxtG"/>
      </w:pPr>
      <w:r>
        <w:rPr>
          <w:i/>
        </w:rPr>
        <w:tab/>
      </w:r>
      <w:r w:rsidR="000E0245" w:rsidRPr="00AB5330">
        <w:rPr>
          <w:i/>
        </w:rPr>
        <w:t>Having concluded</w:t>
      </w:r>
      <w:r w:rsidR="000E0245" w:rsidRPr="00CE4583">
        <w:t xml:space="preserve"> its consideration of communication No. 1880/2009, submitted to the H</w:t>
      </w:r>
      <w:r w:rsidR="00AB5330">
        <w:t>uman Rights Committee by Ms. N.</w:t>
      </w:r>
      <w:r w:rsidR="000E0245" w:rsidRPr="00CE4583">
        <w:t>S. Nenova et al. under the Optional Protocol to the International Covenant on Civil and Political Rights,</w:t>
      </w:r>
    </w:p>
    <w:p w:rsidR="000E0245" w:rsidRPr="00CE4583" w:rsidRDefault="00E54573" w:rsidP="00AB5330">
      <w:pPr>
        <w:pStyle w:val="SingleTxtG"/>
      </w:pPr>
      <w:r>
        <w:rPr>
          <w:i/>
        </w:rPr>
        <w:tab/>
      </w:r>
      <w:r w:rsidR="000E0245" w:rsidRPr="00AB5330">
        <w:rPr>
          <w:i/>
        </w:rPr>
        <w:t>Having taken into account</w:t>
      </w:r>
      <w:r w:rsidR="000E0245" w:rsidRPr="00CE4583">
        <w:t xml:space="preserve"> all written information made available to it by the authors of the communication, and the State party,</w:t>
      </w:r>
    </w:p>
    <w:p w:rsidR="000E0245" w:rsidRPr="00CE4583" w:rsidRDefault="00E54573" w:rsidP="00AB5330">
      <w:pPr>
        <w:pStyle w:val="SingleTxtG"/>
      </w:pPr>
      <w:r>
        <w:rPr>
          <w:i/>
        </w:rPr>
        <w:tab/>
      </w:r>
      <w:r w:rsidR="000E0245" w:rsidRPr="00AB5330">
        <w:rPr>
          <w:i/>
        </w:rPr>
        <w:t>Adopts</w:t>
      </w:r>
      <w:r w:rsidR="000E0245" w:rsidRPr="00CE4583">
        <w:t xml:space="preserve"> the following:</w:t>
      </w:r>
    </w:p>
    <w:p w:rsidR="000E0245" w:rsidRPr="00CE4583" w:rsidRDefault="000E0245" w:rsidP="00AB5330">
      <w:pPr>
        <w:pStyle w:val="H1G"/>
      </w:pPr>
      <w:r w:rsidRPr="00CE4583">
        <w:tab/>
      </w:r>
      <w:r w:rsidRPr="00CE4583">
        <w:tab/>
        <w:t>Views under article 5, paragraph 4, of the Optional Protocol</w:t>
      </w:r>
    </w:p>
    <w:p w:rsidR="000E0245" w:rsidRPr="00CE4583" w:rsidRDefault="000E0245" w:rsidP="00AB5330">
      <w:pPr>
        <w:pStyle w:val="SingleTxtG"/>
      </w:pPr>
      <w:r w:rsidRPr="00CE4583">
        <w:t>1.1</w:t>
      </w:r>
      <w:r w:rsidRPr="00CE4583">
        <w:tab/>
        <w:t xml:space="preserve">The authors of the communication </w:t>
      </w:r>
      <w:r w:rsidR="009C4318">
        <w:t>dated</w:t>
      </w:r>
      <w:r w:rsidRPr="00CE4583">
        <w:t xml:space="preserve"> 31 March 2009 are Valya Georgieva Chervenyashka, born </w:t>
      </w:r>
      <w:r w:rsidR="009C4318">
        <w:t xml:space="preserve">on </w:t>
      </w:r>
      <w:r w:rsidRPr="00CE4583">
        <w:t>22 March 1955, Snezhana Ivanova Dimitrova, born</w:t>
      </w:r>
      <w:r w:rsidR="009C4318">
        <w:t xml:space="preserve"> on</w:t>
      </w:r>
      <w:r w:rsidRPr="00CE4583">
        <w:t xml:space="preserve"> 18 August 1952, Nasya Stoycheva Nenova, born </w:t>
      </w:r>
      <w:r w:rsidR="009C4318">
        <w:t xml:space="preserve">on </w:t>
      </w:r>
      <w:r w:rsidRPr="00CE4583">
        <w:t xml:space="preserve">2 July 1966, Valentina Manolova Siropulo, born </w:t>
      </w:r>
      <w:r w:rsidR="009C4318">
        <w:t xml:space="preserve">on </w:t>
      </w:r>
      <w:r w:rsidR="0095069D">
        <w:t>20 May 1959 and Krist</w:t>
      </w:r>
      <w:r w:rsidRPr="00CE4583">
        <w:t xml:space="preserve">yana Venelinova Valcheva, born </w:t>
      </w:r>
      <w:r w:rsidR="009C4318">
        <w:t xml:space="preserve">on </w:t>
      </w:r>
      <w:r w:rsidRPr="00CE4583">
        <w:t>12 March 1959. They are all Bulgarian citizen</w:t>
      </w:r>
      <w:r w:rsidR="00E60D53">
        <w:t>s. They claim to be victims of</w:t>
      </w:r>
      <w:r w:rsidRPr="00CE4583">
        <w:t xml:space="preserve"> violation</w:t>
      </w:r>
      <w:r w:rsidR="00E60D53">
        <w:t>s</w:t>
      </w:r>
      <w:r w:rsidRPr="00CE4583">
        <w:t xml:space="preserve"> by </w:t>
      </w:r>
      <w:smartTag w:uri="urn:schemas-microsoft-com:office:smarttags" w:element="country-region">
        <w:smartTag w:uri="urn:schemas-microsoft-com:office:smarttags" w:element="place">
          <w:r w:rsidRPr="00CE4583">
            <w:t>Libya</w:t>
          </w:r>
        </w:smartTag>
      </w:smartTag>
      <w:r w:rsidRPr="00CE4583">
        <w:t xml:space="preserve"> </w:t>
      </w:r>
      <w:r w:rsidR="00315BB5">
        <w:t>of</w:t>
      </w:r>
      <w:r w:rsidRPr="00CE4583">
        <w:t xml:space="preserve"> articles 2; 6; 7; 9; 10, paragraph 1; 14 and 26 of the Covenant.</w:t>
      </w:r>
      <w:r w:rsidR="002C157C">
        <w:rPr>
          <w:rStyle w:val="FootnoteReference"/>
        </w:rPr>
        <w:footnoteReference w:id="3"/>
      </w:r>
      <w:r w:rsidRPr="00CE4583">
        <w:t xml:space="preserve"> They are represented by Ms. Liesbeth Zegveld.</w:t>
      </w:r>
    </w:p>
    <w:p w:rsidR="000E0245" w:rsidRPr="00CE4583" w:rsidRDefault="000E0245" w:rsidP="00AB5330">
      <w:pPr>
        <w:pStyle w:val="SingleTxtG"/>
      </w:pPr>
      <w:r w:rsidRPr="00CE4583">
        <w:t>1.2</w:t>
      </w:r>
      <w:r w:rsidRPr="00CE4583">
        <w:tab/>
        <w:t xml:space="preserve">On 5 August 2009, the Committee, acting through its Special Rapporteur on </w:t>
      </w:r>
      <w:r w:rsidR="00FD4371" w:rsidRPr="00CE4583">
        <w:t>new communications and interim measures</w:t>
      </w:r>
      <w:r w:rsidRPr="00CE4583">
        <w:t>, rejected the State party</w:t>
      </w:r>
      <w:r w:rsidR="00777B35">
        <w:t>’</w:t>
      </w:r>
      <w:r w:rsidRPr="00CE4583">
        <w:t>s request that it examine the admissibility of the communication separately from the merits.</w:t>
      </w:r>
    </w:p>
    <w:p w:rsidR="000E0245" w:rsidRPr="00CE4583" w:rsidRDefault="001815C9" w:rsidP="001815C9">
      <w:pPr>
        <w:pStyle w:val="H23G"/>
      </w:pPr>
      <w:r>
        <w:lastRenderedPageBreak/>
        <w:tab/>
      </w:r>
      <w:r>
        <w:tab/>
      </w:r>
      <w:r w:rsidR="000E0245" w:rsidRPr="00CE4583">
        <w:t>Facts as presented by the authors</w:t>
      </w:r>
    </w:p>
    <w:p w:rsidR="000E0245" w:rsidRPr="00CE4583" w:rsidRDefault="000E0245" w:rsidP="00AB5330">
      <w:pPr>
        <w:pStyle w:val="SingleTxtG"/>
      </w:pPr>
      <w:r w:rsidRPr="00CE4583">
        <w:t>2.1</w:t>
      </w:r>
      <w:r w:rsidRPr="00CE4583">
        <w:tab/>
      </w:r>
      <w:r w:rsidR="001815C9">
        <w:t>Other than</w:t>
      </w:r>
      <w:r w:rsidR="0095069D">
        <w:t xml:space="preserve"> Krist</w:t>
      </w:r>
      <w:r w:rsidR="001815C9" w:rsidRPr="00CE4583">
        <w:t xml:space="preserve">yana Venelinova Valcheva, the </w:t>
      </w:r>
      <w:r w:rsidR="00AE10A4">
        <w:t>authors</w:t>
      </w:r>
      <w:r w:rsidRPr="00CE4583">
        <w:t xml:space="preserve"> arrived in </w:t>
      </w:r>
      <w:smartTag w:uri="urn:schemas-microsoft-com:office:smarttags" w:element="country-region">
        <w:r w:rsidRPr="00CE4583">
          <w:t>Libya</w:t>
        </w:r>
      </w:smartTag>
      <w:r w:rsidRPr="00CE4583">
        <w:t xml:space="preserve"> between February 1998 and February 1999 to work as members of a Bulgarian medical team at Al</w:t>
      </w:r>
      <w:r w:rsidRPr="00CE4583">
        <w:noBreakHyphen/>
        <w:t xml:space="preserve">Fatah paediatric hospital in </w:t>
      </w:r>
      <w:smartTag w:uri="urn:schemas-microsoft-com:office:smarttags" w:element="place">
        <w:smartTag w:uri="urn:schemas-microsoft-com:office:smarttags" w:element="City">
          <w:r w:rsidRPr="00CE4583">
            <w:t>Benghazi</w:t>
          </w:r>
        </w:smartTag>
      </w:smartTag>
      <w:r w:rsidRPr="00CE4583">
        <w:t xml:space="preserve">. </w:t>
      </w:r>
      <w:r w:rsidR="005670D3" w:rsidRPr="007237EF">
        <w:t xml:space="preserve">Kristiyana Venelinova </w:t>
      </w:r>
      <w:r w:rsidRPr="00CE4583">
        <w:t xml:space="preserve">Valcheva </w:t>
      </w:r>
      <w:r w:rsidR="00FD4371">
        <w:t xml:space="preserve">had </w:t>
      </w:r>
      <w:r w:rsidRPr="00CE4583">
        <w:t xml:space="preserve">arrived in </w:t>
      </w:r>
      <w:smartTag w:uri="urn:schemas-microsoft-com:office:smarttags" w:element="country-region">
        <w:r w:rsidRPr="00CE4583">
          <w:t>Libya</w:t>
        </w:r>
      </w:smartTag>
      <w:r w:rsidRPr="00CE4583">
        <w:t xml:space="preserve"> in 1991 </w:t>
      </w:r>
      <w:r w:rsidR="00E832A8">
        <w:t xml:space="preserve">and </w:t>
      </w:r>
      <w:r w:rsidRPr="00CE4583">
        <w:t xml:space="preserve">had been working at the Hauari hospital in </w:t>
      </w:r>
      <w:smartTag w:uri="urn:schemas-microsoft-com:office:smarttags" w:element="City">
        <w:smartTag w:uri="urn:schemas-microsoft-com:office:smarttags" w:element="place">
          <w:r w:rsidRPr="00CE4583">
            <w:t>Benghazi</w:t>
          </w:r>
        </w:smartTag>
      </w:smartTag>
      <w:r w:rsidRPr="00CE4583">
        <w:t xml:space="preserve"> for six years at the time of the events. </w:t>
      </w:r>
    </w:p>
    <w:p w:rsidR="000E0245" w:rsidRPr="00CE4583" w:rsidRDefault="000E0245" w:rsidP="00AB5330">
      <w:pPr>
        <w:pStyle w:val="SingleTxtG"/>
      </w:pPr>
      <w:r w:rsidRPr="00CE4583">
        <w:t>2.2</w:t>
      </w:r>
      <w:r w:rsidRPr="00CE4583">
        <w:tab/>
        <w:t xml:space="preserve">On 9 February 1999, the authors together with 18 other members of medical teams, all Bulgarian, were arrested by the Libyan police without being </w:t>
      </w:r>
      <w:r w:rsidR="001E5A51">
        <w:t>told</w:t>
      </w:r>
      <w:r w:rsidRPr="00CE4583">
        <w:t xml:space="preserve"> of the grounds for their arrest. Their hands were tied behind their backs and they were gagged and blindfolded before being taken away in a bus. After several hours, during which some of them were hit on the head and neck, they arrived at the police station on </w:t>
      </w:r>
      <w:smartTag w:uri="urn:schemas-microsoft-com:office:smarttags" w:element="Street">
        <w:smartTag w:uri="urn:schemas-microsoft-com:office:smarttags" w:element="address">
          <w:r w:rsidRPr="00CE4583">
            <w:t>Al-Nasr Street</w:t>
          </w:r>
        </w:smartTag>
      </w:smartTag>
      <w:r w:rsidRPr="00CE4583">
        <w:t xml:space="preserve"> in </w:t>
      </w:r>
      <w:smartTag w:uri="urn:schemas-microsoft-com:office:smarttags" w:element="place">
        <w:smartTag w:uri="urn:schemas-microsoft-com:office:smarttags" w:element="City">
          <w:r w:rsidRPr="00CE4583">
            <w:t>Tripoli</w:t>
          </w:r>
        </w:smartTag>
      </w:smartTag>
      <w:r w:rsidRPr="00CE4583">
        <w:t xml:space="preserve">. Seventeen </w:t>
      </w:r>
      <w:r w:rsidR="00FD4371">
        <w:t xml:space="preserve">of the </w:t>
      </w:r>
      <w:r w:rsidRPr="00CE4583">
        <w:t>Bulgarians were released on 16 February 1999. The authors and Mr. Ashraf El-Hagog Jumaa</w:t>
      </w:r>
      <w:r w:rsidR="00022B30">
        <w:rPr>
          <w:rStyle w:val="FootnoteReference"/>
        </w:rPr>
        <w:footnoteReference w:id="4"/>
      </w:r>
      <w:r w:rsidRPr="00CE4583">
        <w:t xml:space="preserve"> who had been arrested on 29 January 1999, were charged with murder </w:t>
      </w:r>
      <w:r w:rsidR="004868E8">
        <w:t xml:space="preserve">on </w:t>
      </w:r>
      <w:r w:rsidRPr="00CE4583">
        <w:t xml:space="preserve">suspicion of having infected 393 children with the HIV virus </w:t>
      </w:r>
      <w:r w:rsidR="004868E8">
        <w:t>at Al-</w:t>
      </w:r>
      <w:r w:rsidRPr="00CE4583">
        <w:t xml:space="preserve">Fatah hospital in </w:t>
      </w:r>
      <w:smartTag w:uri="urn:schemas-microsoft-com:office:smarttags" w:element="City">
        <w:smartTag w:uri="urn:schemas-microsoft-com:office:smarttags" w:element="place">
          <w:r w:rsidRPr="00CE4583">
            <w:t>Benghazi</w:t>
          </w:r>
        </w:smartTag>
      </w:smartTag>
      <w:r w:rsidRPr="00CE4583">
        <w:t xml:space="preserve">. The penalty they faced for that crime was death. Kristyana Valcheva had never worked </w:t>
      </w:r>
      <w:r w:rsidR="00186DDC">
        <w:t>at</w:t>
      </w:r>
      <w:r w:rsidRPr="00CE4583">
        <w:t xml:space="preserve"> Al</w:t>
      </w:r>
      <w:r w:rsidR="00186DDC">
        <w:t>-</w:t>
      </w:r>
      <w:r w:rsidRPr="00CE4583">
        <w:t>Fatah paediatric hospital.</w:t>
      </w:r>
    </w:p>
    <w:p w:rsidR="00D6295F" w:rsidRPr="000C3DD5" w:rsidRDefault="00D6295F" w:rsidP="00FF1BED">
      <w:pPr>
        <w:pStyle w:val="SingleTxtG"/>
      </w:pPr>
      <w:r w:rsidRPr="000C3DD5">
        <w:t>2.3</w:t>
      </w:r>
      <w:r w:rsidRPr="000C3DD5">
        <w:tab/>
      </w:r>
      <w:r>
        <w:t>Under interrogation</w:t>
      </w:r>
      <w:r w:rsidRPr="000C3DD5">
        <w:t xml:space="preserve">, the authors were tortured into confessing. The methods </w:t>
      </w:r>
      <w:r>
        <w:t>used</w:t>
      </w:r>
      <w:r w:rsidRPr="000C3DD5">
        <w:t xml:space="preserve"> included</w:t>
      </w:r>
      <w:r>
        <w:t xml:space="preserve"> </w:t>
      </w:r>
      <w:r w:rsidRPr="000C3DD5">
        <w:t xml:space="preserve">frequent electric shocks </w:t>
      </w:r>
      <w:r>
        <w:t>to</w:t>
      </w:r>
      <w:r w:rsidRPr="000C3DD5">
        <w:t xml:space="preserve"> legs, feet, hands, chest</w:t>
      </w:r>
      <w:r>
        <w:t>s</w:t>
      </w:r>
      <w:r w:rsidRPr="000C3DD5">
        <w:t xml:space="preserve"> and private parts while the women were tied naked to an iron bed. They also included beatings on the soles of the feet;</w:t>
      </w:r>
      <w:r>
        <w:rPr>
          <w:rStyle w:val="FootnoteReference"/>
        </w:rPr>
        <w:footnoteReference w:id="5"/>
      </w:r>
      <w:r w:rsidRPr="000C3DD5">
        <w:t xml:space="preserve"> being suspended by the hands and arms; suffocation; strangulation; being threatened with death; being threatened that family members would be harmed; being threatened, while blindfolded, that they would be attacked by dogs; beatings; being dragged across the ground by the hair; </w:t>
      </w:r>
      <w:r>
        <w:t xml:space="preserve">being burned with </w:t>
      </w:r>
      <w:r w:rsidRPr="000C3DD5">
        <w:t>cigarette</w:t>
      </w:r>
      <w:r>
        <w:t>s</w:t>
      </w:r>
      <w:r w:rsidRPr="000C3DD5">
        <w:t>; having biting insects placed on the</w:t>
      </w:r>
      <w:r>
        <w:t>ir</w:t>
      </w:r>
      <w:r w:rsidRPr="000C3DD5">
        <w:t xml:space="preserve"> bod</w:t>
      </w:r>
      <w:r>
        <w:t>ies</w:t>
      </w:r>
      <w:r w:rsidRPr="000C3DD5">
        <w:t xml:space="preserve">; injection of drugs; sleep deprivation; sensory isolation; </w:t>
      </w:r>
      <w:r>
        <w:t>being exposed to flames and</w:t>
      </w:r>
      <w:r w:rsidRPr="000C3DD5">
        <w:t xml:space="preserve"> ice-cold showers; being held in overcrowded and dirty cells; and being exposed to blinding lights. Some of the authors were also raped. </w:t>
      </w:r>
      <w:r>
        <w:t>Such torture allegedly continued</w:t>
      </w:r>
      <w:r w:rsidRPr="000C3DD5">
        <w:t xml:space="preserve"> for approximately two months. </w:t>
      </w:r>
      <w:r>
        <w:t xml:space="preserve">Once </w:t>
      </w:r>
      <w:r w:rsidR="00AE10A4">
        <w:t xml:space="preserve">all </w:t>
      </w:r>
      <w:r>
        <w:t xml:space="preserve">the authors had </w:t>
      </w:r>
      <w:r w:rsidRPr="000C3DD5">
        <w:t xml:space="preserve">confessed, the torture became less frequent but still continued. </w:t>
      </w:r>
    </w:p>
    <w:p w:rsidR="00D6295F" w:rsidRDefault="00D6295F" w:rsidP="00FF1BED">
      <w:pPr>
        <w:pStyle w:val="SingleTxtG"/>
      </w:pPr>
      <w:r w:rsidRPr="000C3DD5">
        <w:t>2.4</w:t>
      </w:r>
      <w:r w:rsidRPr="000C3DD5">
        <w:tab/>
        <w:t>On 15 May 1999, the case was referred to the People</w:t>
      </w:r>
      <w:r>
        <w:t>’</w:t>
      </w:r>
      <w:r w:rsidRPr="000C3DD5">
        <w:t>s Prosecution Office (</w:t>
      </w:r>
      <w:r w:rsidRPr="000C3DD5">
        <w:rPr>
          <w:i/>
        </w:rPr>
        <w:t>parquet populaire</w:t>
      </w:r>
      <w:r w:rsidRPr="000C3DD5">
        <w:t>) which charge</w:t>
      </w:r>
      <w:r>
        <w:t>d</w:t>
      </w:r>
      <w:r w:rsidRPr="000C3DD5">
        <w:t xml:space="preserve"> the authors and their fellow defendant, Ashraf El-Hagog Jumaa</w:t>
      </w:r>
      <w:r>
        <w:t>, with</w:t>
      </w:r>
      <w:r w:rsidRPr="000C3DD5">
        <w:t xml:space="preserve"> acts against Libyan sovereignty le</w:t>
      </w:r>
      <w:r>
        <w:t xml:space="preserve">ading to </w:t>
      </w:r>
      <w:r w:rsidRPr="000C3DD5">
        <w:t xml:space="preserve">indiscriminate killing for the purpose of subverting State security (a capital offence); conspiracy and collusion </w:t>
      </w:r>
      <w:r>
        <w:t>to</w:t>
      </w:r>
      <w:r w:rsidRPr="000C3DD5">
        <w:t xml:space="preserve"> commi</w:t>
      </w:r>
      <w:r>
        <w:t>t</w:t>
      </w:r>
      <w:r w:rsidRPr="000C3DD5">
        <w:t xml:space="preserve"> the above premeditated crimes; deliberately causing an epidemic by injecting 393 children at Al-Fatah hospital with the HIV virus (a capital offence); premeditated murder </w:t>
      </w:r>
      <w:r>
        <w:t>with</w:t>
      </w:r>
      <w:r w:rsidRPr="000C3DD5">
        <w:t xml:space="preserve"> lethal substances, by injecting children with HIV (a capital offence); and acts contrary to Libyan law and traditions (illegal production of alcohol, </w:t>
      </w:r>
      <w:r>
        <w:t xml:space="preserve">consumption of </w:t>
      </w:r>
      <w:r w:rsidRPr="000C3DD5">
        <w:t>alcohol in public places</w:t>
      </w:r>
      <w:r>
        <w:t xml:space="preserve">, </w:t>
      </w:r>
      <w:r w:rsidRPr="000C3DD5">
        <w:t xml:space="preserve">illegal foreign currency </w:t>
      </w:r>
      <w:r>
        <w:t>dealings</w:t>
      </w:r>
      <w:r w:rsidRPr="000C3DD5">
        <w:t xml:space="preserve"> and illicit sexual relations). On 16 May 1999, approximately four months after their arrest</w:t>
      </w:r>
      <w:r>
        <w:t>,</w:t>
      </w:r>
      <w:r w:rsidRPr="000C3DD5">
        <w:t xml:space="preserve"> the authors were brought</w:t>
      </w:r>
      <w:r w:rsidRPr="0022728B">
        <w:t xml:space="preserve"> </w:t>
      </w:r>
      <w:r w:rsidRPr="000C3DD5">
        <w:t>before the People</w:t>
      </w:r>
      <w:r>
        <w:t>’</w:t>
      </w:r>
      <w:r w:rsidRPr="000C3DD5">
        <w:t>s Prosecution Office</w:t>
      </w:r>
      <w:r>
        <w:t xml:space="preserve"> </w:t>
      </w:r>
      <w:r w:rsidRPr="000C3DD5">
        <w:t>for the first time. They were subsequently brought before the prosecutor every 30</w:t>
      </w:r>
      <w:r w:rsidR="008D44A6">
        <w:t>–</w:t>
      </w:r>
      <w:r w:rsidRPr="000C3DD5">
        <w:t>45 days.</w:t>
      </w:r>
    </w:p>
    <w:p w:rsidR="00D6295F" w:rsidRPr="000C3DD5" w:rsidRDefault="00D6295F" w:rsidP="00FF1BED">
      <w:pPr>
        <w:pStyle w:val="H4G"/>
      </w:pPr>
      <w:r>
        <w:tab/>
      </w:r>
      <w:r>
        <w:tab/>
      </w:r>
      <w:r w:rsidRPr="000C3DD5">
        <w:t>The first trial</w:t>
      </w:r>
    </w:p>
    <w:p w:rsidR="00D6295F" w:rsidRPr="000C3DD5" w:rsidRDefault="00D6295F" w:rsidP="00FF1BED">
      <w:pPr>
        <w:pStyle w:val="SingleTxtG"/>
      </w:pPr>
      <w:r w:rsidRPr="000C3DD5">
        <w:t>2.5</w:t>
      </w:r>
      <w:r w:rsidRPr="000C3DD5">
        <w:tab/>
        <w:t>The trial before the People</w:t>
      </w:r>
      <w:r>
        <w:t>’</w:t>
      </w:r>
      <w:r w:rsidRPr="000C3DD5">
        <w:t xml:space="preserve">s Court (the extraordinary court for crimes against the State) began on 7 February 2000. The </w:t>
      </w:r>
      <w:r>
        <w:t xml:space="preserve">case rested on the </w:t>
      </w:r>
      <w:r w:rsidRPr="000C3DD5">
        <w:t xml:space="preserve">confessions and </w:t>
      </w:r>
      <w:r>
        <w:t>an assertion by</w:t>
      </w:r>
      <w:r w:rsidRPr="000C3DD5">
        <w:t xml:space="preserve"> the Head of State that the accused were CIA and Mossad agents. </w:t>
      </w:r>
      <w:r>
        <w:t xml:space="preserve">Only </w:t>
      </w:r>
      <w:r w:rsidRPr="000C3DD5">
        <w:t xml:space="preserve">on 17 February 2000, 10 days after the </w:t>
      </w:r>
      <w:r>
        <w:t>trial began, were</w:t>
      </w:r>
      <w:r w:rsidRPr="000C3DD5">
        <w:t xml:space="preserve"> the authors </w:t>
      </w:r>
      <w:r>
        <w:t>g</w:t>
      </w:r>
      <w:r w:rsidRPr="000C3DD5">
        <w:t>ranted access to a lawyer</w:t>
      </w:r>
      <w:r>
        <w:t xml:space="preserve"> and able to allege before the court that they had been tortured</w:t>
      </w:r>
      <w:r w:rsidRPr="000C3DD5">
        <w:t xml:space="preserve">. They had been </w:t>
      </w:r>
      <w:r>
        <w:t>un</w:t>
      </w:r>
      <w:r w:rsidRPr="000C3DD5">
        <w:t xml:space="preserve">able to </w:t>
      </w:r>
      <w:r>
        <w:t>do so previously</w:t>
      </w:r>
      <w:r w:rsidRPr="000C3DD5">
        <w:t xml:space="preserve"> </w:t>
      </w:r>
      <w:r w:rsidRPr="000C3DD5">
        <w:lastRenderedPageBreak/>
        <w:t xml:space="preserve">because they had been threatened by their torturers and </w:t>
      </w:r>
      <w:r>
        <w:t>could not speak freely to their lawyer</w:t>
      </w:r>
      <w:r w:rsidRPr="000C3DD5">
        <w:t xml:space="preserve"> because State representatives were always present. In June 2001, two of the authors retracted their confessions, stating they had been extracted under torture.</w:t>
      </w:r>
      <w:r>
        <w:rPr>
          <w:rStyle w:val="FootnoteReference"/>
        </w:rPr>
        <w:footnoteReference w:id="6"/>
      </w:r>
      <w:r w:rsidRPr="000C3DD5">
        <w:t xml:space="preserve"> The Court rejected their complaint without ordering an inquiry. Subsequently, the authors and the co-defendant pleaded </w:t>
      </w:r>
      <w:r>
        <w:t>“</w:t>
      </w:r>
      <w:r w:rsidRPr="000C3DD5">
        <w:t>not guilty</w:t>
      </w:r>
      <w:r>
        <w:t>”</w:t>
      </w:r>
      <w:r w:rsidRPr="000C3DD5">
        <w:t xml:space="preserve">. </w:t>
      </w:r>
    </w:p>
    <w:p w:rsidR="00D6295F" w:rsidRPr="000C3DD5" w:rsidRDefault="00D6295F" w:rsidP="00FF1BED">
      <w:pPr>
        <w:pStyle w:val="SingleTxtG"/>
      </w:pPr>
      <w:r w:rsidRPr="000C3DD5">
        <w:t>2.6</w:t>
      </w:r>
      <w:r w:rsidRPr="000C3DD5">
        <w:tab/>
        <w:t xml:space="preserve">The case was initially suspended, because the Court had not gathered enough evidence to </w:t>
      </w:r>
      <w:r>
        <w:t>support</w:t>
      </w:r>
      <w:r w:rsidRPr="000C3DD5">
        <w:t xml:space="preserve"> the </w:t>
      </w:r>
      <w:r>
        <w:t>charge</w:t>
      </w:r>
      <w:r w:rsidRPr="000C3DD5">
        <w:t xml:space="preserve"> of conspiracy against the State. On 17 February 2002, the People</w:t>
      </w:r>
      <w:r>
        <w:t>’</w:t>
      </w:r>
      <w:r w:rsidRPr="000C3DD5">
        <w:t xml:space="preserve">s Court </w:t>
      </w:r>
      <w:r>
        <w:t>halted proceedings and referred the case back</w:t>
      </w:r>
      <w:r w:rsidRPr="000C3DD5">
        <w:t xml:space="preserve"> to the Criminal Prosecution Office (</w:t>
      </w:r>
      <w:r w:rsidRPr="00F92F33">
        <w:rPr>
          <w:i/>
        </w:rPr>
        <w:t>ministère public</w:t>
      </w:r>
      <w:r w:rsidRPr="000C3DD5">
        <w:t>). The prosecutor withdrew the conspiracy charges and presented new charges of illegal drug testing and the deliberate infection of 426 children with HIV.</w:t>
      </w:r>
      <w:r>
        <w:rPr>
          <w:rStyle w:val="FootnoteReference"/>
        </w:rPr>
        <w:footnoteReference w:id="7"/>
      </w:r>
      <w:r w:rsidRPr="000C3DD5">
        <w:t xml:space="preserve"> Throughout this time, the authors and the co-defendant remained in detention.</w:t>
      </w:r>
    </w:p>
    <w:p w:rsidR="00D6295F" w:rsidRPr="000C3DD5" w:rsidRDefault="00D6295F" w:rsidP="00FF1BED">
      <w:pPr>
        <w:pStyle w:val="H4G"/>
      </w:pPr>
      <w:r>
        <w:tab/>
      </w:r>
      <w:r>
        <w:tab/>
      </w:r>
      <w:r w:rsidRPr="000C3DD5">
        <w:t xml:space="preserve">The second trial </w:t>
      </w:r>
    </w:p>
    <w:p w:rsidR="00D6295F" w:rsidRPr="000C3DD5" w:rsidRDefault="00D6295F" w:rsidP="00FF1BED">
      <w:pPr>
        <w:pStyle w:val="SingleTxtG"/>
      </w:pPr>
      <w:r w:rsidRPr="000C3DD5">
        <w:t xml:space="preserve">2.7 </w:t>
      </w:r>
      <w:r w:rsidRPr="000C3DD5">
        <w:tab/>
        <w:t>In August 2002, the Indictments Chamber of the Benghazi Appeals Court upheld the charges presented by the prosecutor and referred the case to an ordinary criminal court, the Benghazi Appeals Court. The charges were based on confessions made by one of the authors</w:t>
      </w:r>
      <w:r>
        <w:rPr>
          <w:rStyle w:val="FootnoteReference"/>
        </w:rPr>
        <w:footnoteReference w:id="8"/>
      </w:r>
      <w:r w:rsidRPr="000C3DD5">
        <w:t xml:space="preserve"> and the co-defendant </w:t>
      </w:r>
      <w:r>
        <w:t>to</w:t>
      </w:r>
      <w:r w:rsidRPr="000C3DD5">
        <w:t xml:space="preserve"> the prosecutor and the result</w:t>
      </w:r>
      <w:r>
        <w:t>s</w:t>
      </w:r>
      <w:r w:rsidRPr="000C3DD5">
        <w:t xml:space="preserve"> of </w:t>
      </w:r>
      <w:r>
        <w:t>a</w:t>
      </w:r>
      <w:r w:rsidRPr="000C3DD5">
        <w:t xml:space="preserve"> search of the </w:t>
      </w:r>
      <w:r>
        <w:t xml:space="preserve">home </w:t>
      </w:r>
      <w:r w:rsidRPr="000C3DD5">
        <w:t>of another one of the authors</w:t>
      </w:r>
      <w:r w:rsidR="00323A66">
        <w:t>,</w:t>
      </w:r>
      <w:r>
        <w:rPr>
          <w:rStyle w:val="FootnoteReference"/>
        </w:rPr>
        <w:footnoteReference w:id="9"/>
      </w:r>
      <w:r w:rsidRPr="000C3DD5">
        <w:t xml:space="preserve"> where the police allegedly discovered five bottles of contaminated blood plasma. </w:t>
      </w:r>
      <w:r>
        <w:t>The second trial started i</w:t>
      </w:r>
      <w:r w:rsidRPr="000C3DD5">
        <w:t xml:space="preserve">n July 2003. Professor Luc Montagnier and Professor Vittorio Colizzi were appointed as experts. In September 2003, they testified that the blood samples at Al-Fatah hospital had </w:t>
      </w:r>
      <w:r>
        <w:t>been infected</w:t>
      </w:r>
      <w:r w:rsidRPr="000C3DD5">
        <w:t xml:space="preserve"> in 1997, more than </w:t>
      </w:r>
      <w:r>
        <w:t>a</w:t>
      </w:r>
      <w:r w:rsidRPr="000C3DD5">
        <w:t xml:space="preserve"> year before the nurses had begun to work in the hospital and that infection</w:t>
      </w:r>
      <w:r>
        <w:t>s</w:t>
      </w:r>
      <w:r w:rsidRPr="000C3DD5">
        <w:t xml:space="preserve"> had continued after their arrest. Their expert opinion was that the cause of the infection was unknown and not deliberate. Such nosocomial infections were caused by a very specific</w:t>
      </w:r>
      <w:r>
        <w:t>,</w:t>
      </w:r>
      <w:r w:rsidRPr="000C3DD5">
        <w:t xml:space="preserve"> highly infectious vir</w:t>
      </w:r>
      <w:r>
        <w:t>al</w:t>
      </w:r>
      <w:r w:rsidRPr="000C3DD5">
        <w:t xml:space="preserve"> strain and </w:t>
      </w:r>
      <w:r>
        <w:t>by negligence</w:t>
      </w:r>
      <w:r w:rsidRPr="000C3DD5">
        <w:t xml:space="preserve"> and poor standards of hygiene.</w:t>
      </w:r>
      <w:r>
        <w:rPr>
          <w:rStyle w:val="FootnoteReference"/>
        </w:rPr>
        <w:footnoteReference w:id="10"/>
      </w:r>
      <w:r w:rsidRPr="000C3DD5">
        <w:t xml:space="preserve"> In December 2003, the Court appointed a second team of experts</w:t>
      </w:r>
      <w:r>
        <w:t xml:space="preserve"> </w:t>
      </w:r>
      <w:r w:rsidRPr="000C3DD5">
        <w:t>consisting of five Libyan doctors. On 28 December 2003, th</w:t>
      </w:r>
      <w:r>
        <w:t>is</w:t>
      </w:r>
      <w:r w:rsidRPr="000C3DD5">
        <w:t xml:space="preserve"> second team rejected the findings made by the two renowned professors</w:t>
      </w:r>
      <w:r>
        <w:t>,</w:t>
      </w:r>
      <w:r w:rsidRPr="000C3DD5">
        <w:t xml:space="preserve"> </w:t>
      </w:r>
      <w:r>
        <w:t>stating</w:t>
      </w:r>
      <w:r w:rsidRPr="000C3DD5">
        <w:t xml:space="preserve"> that the HIV/AIDS </w:t>
      </w:r>
      <w:r w:rsidRPr="00523B7B">
        <w:t>epidemic</w:t>
      </w:r>
      <w:r w:rsidRPr="000C3DD5">
        <w:t xml:space="preserve"> was </w:t>
      </w:r>
      <w:r>
        <w:t xml:space="preserve">due </w:t>
      </w:r>
      <w:r w:rsidRPr="000C3DD5">
        <w:t xml:space="preserve">not to </w:t>
      </w:r>
      <w:r>
        <w:t>nosocomial infections or the re</w:t>
      </w:r>
      <w:r w:rsidRPr="000C3DD5">
        <w:t>use of infected medical equipment, but to a deliberate act. The defence called for a</w:t>
      </w:r>
      <w:r>
        <w:t xml:space="preserve"> further</w:t>
      </w:r>
      <w:r w:rsidRPr="000C3DD5">
        <w:t xml:space="preserve"> expert appraisal, but the Court dismissed the request.</w:t>
      </w:r>
    </w:p>
    <w:p w:rsidR="00D6295F" w:rsidRPr="000C3DD5" w:rsidRDefault="00D6295F" w:rsidP="00FF1BED">
      <w:pPr>
        <w:pStyle w:val="SingleTxtG"/>
      </w:pPr>
      <w:r w:rsidRPr="000C3DD5">
        <w:t xml:space="preserve">2.8 </w:t>
      </w:r>
      <w:r w:rsidRPr="000C3DD5">
        <w:tab/>
        <w:t xml:space="preserve">On 6 May 2003, the Benghazi Appeals Court sentenced the authors and co-defendant to death for having caused the death of 46 children and infected 380 others. Nine Libyans working at Al-Fatah hospital had been charged with the same offence, but had been released on bail at the start of the proceedings and were not remanded in custody pending trial. They were acquitted. </w:t>
      </w:r>
      <w:r>
        <w:t>The Court announced it had no jurisdiction over</w:t>
      </w:r>
      <w:r w:rsidRPr="000C3DD5">
        <w:t xml:space="preserve"> the eight Libyan security officers accused of torture by the authors and the co-defendant, and </w:t>
      </w:r>
      <w:r>
        <w:t>returned their cases</w:t>
      </w:r>
      <w:r w:rsidRPr="000C3DD5">
        <w:t xml:space="preserve"> to the prosecutor</w:t>
      </w:r>
      <w:r>
        <w:t>’</w:t>
      </w:r>
      <w:r w:rsidRPr="000C3DD5">
        <w:t xml:space="preserve">s office. On 5 July 2004, the authors and co-defendant appealed on points of law to the Libyan Supreme Court. The prosecutor asked the Court to revoke the death sentences and </w:t>
      </w:r>
      <w:r>
        <w:t xml:space="preserve">return </w:t>
      </w:r>
      <w:r w:rsidRPr="000C3DD5">
        <w:t xml:space="preserve">the case to the Benghazi Appeals Court for a retrial, as </w:t>
      </w:r>
      <w:r>
        <w:t>there had been “</w:t>
      </w:r>
      <w:r w:rsidRPr="000C3DD5">
        <w:t>irregularities</w:t>
      </w:r>
      <w:r>
        <w:t>”</w:t>
      </w:r>
      <w:r w:rsidRPr="000C3DD5">
        <w:t xml:space="preserve"> during the arrest and interrogation of the authors </w:t>
      </w:r>
      <w:r>
        <w:t xml:space="preserve">accused </w:t>
      </w:r>
      <w:r w:rsidRPr="000C3DD5">
        <w:lastRenderedPageBreak/>
        <w:t xml:space="preserve">and the co-defendant. After </w:t>
      </w:r>
      <w:r>
        <w:t>several postponements</w:t>
      </w:r>
      <w:r w:rsidRPr="000C3DD5">
        <w:t>, the</w:t>
      </w:r>
      <w:r w:rsidR="00E034E0">
        <w:t xml:space="preserve"> Supreme Court quashed the </w:t>
      </w:r>
      <w:r w:rsidR="006B6A77">
        <w:t>judgement</w:t>
      </w:r>
      <w:r w:rsidRPr="000C3DD5">
        <w:t xml:space="preserve"> of the Benghazi Appeals Court and r</w:t>
      </w:r>
      <w:r>
        <w:t>eturned</w:t>
      </w:r>
      <w:r w:rsidRPr="000C3DD5">
        <w:t xml:space="preserve"> the case for retrial to the </w:t>
      </w:r>
      <w:smartTag w:uri="urn:schemas-microsoft-com:office:smarttags" w:element="Street">
        <w:smartTag w:uri="urn:schemas-microsoft-com:office:smarttags" w:element="address">
          <w:r w:rsidRPr="000C3DD5">
            <w:t>Tripoli Court</w:t>
          </w:r>
        </w:smartTag>
      </w:smartTag>
      <w:r w:rsidRPr="000C3DD5">
        <w:t xml:space="preserve"> on 25 December 2005. The Court refused to release the authors and co-defendant on bail on the grounds that there were insufficient guarantees they would reappear for the retrial.</w:t>
      </w:r>
    </w:p>
    <w:p w:rsidR="00D6295F" w:rsidRPr="000C3DD5" w:rsidRDefault="00D6295F" w:rsidP="00FF1BED">
      <w:pPr>
        <w:pStyle w:val="H4G"/>
      </w:pPr>
      <w:r>
        <w:tab/>
      </w:r>
      <w:r>
        <w:tab/>
      </w:r>
      <w:r w:rsidRPr="000C3DD5">
        <w:t>Retrial and release</w:t>
      </w:r>
    </w:p>
    <w:p w:rsidR="00D6295F" w:rsidRPr="000C3DD5" w:rsidRDefault="00D6295F" w:rsidP="00FF1BED">
      <w:pPr>
        <w:pStyle w:val="SingleTxtG"/>
      </w:pPr>
      <w:r w:rsidRPr="000C3DD5">
        <w:t xml:space="preserve">2.9 </w:t>
      </w:r>
      <w:r w:rsidRPr="000C3DD5">
        <w:tab/>
        <w:t xml:space="preserve">The </w:t>
      </w:r>
      <w:smartTag w:uri="urn:schemas-microsoft-com:office:smarttags" w:element="place">
        <w:smartTag w:uri="urn:schemas-microsoft-com:office:smarttags" w:element="City">
          <w:r w:rsidRPr="000C3DD5">
            <w:t>Tripoli</w:t>
          </w:r>
        </w:smartTag>
      </w:smartTag>
      <w:r w:rsidRPr="000C3DD5">
        <w:t xml:space="preserve"> Court reopened the trial on 11 May 2006. The prosecutor once </w:t>
      </w:r>
      <w:r>
        <w:t xml:space="preserve">again </w:t>
      </w:r>
      <w:r w:rsidRPr="000C3DD5">
        <w:t>requested the dea</w:t>
      </w:r>
      <w:r>
        <w:t xml:space="preserve">th penalty for the authors and </w:t>
      </w:r>
      <w:r w:rsidRPr="000C3DD5">
        <w:t xml:space="preserve">co-defendant. The authors again pleaded not guilty and reiterated that they had been tortured into making confessions. On 19 December 2006, </w:t>
      </w:r>
      <w:r>
        <w:t>they</w:t>
      </w:r>
      <w:r w:rsidRPr="000C3DD5">
        <w:t xml:space="preserve"> were </w:t>
      </w:r>
      <w:r>
        <w:t xml:space="preserve">again </w:t>
      </w:r>
      <w:r w:rsidRPr="000C3DD5">
        <w:t>found guilty and sentenced to death. The Court stated it could not re-examine the torture allegations</w:t>
      </w:r>
      <w:r>
        <w:t xml:space="preserve"> because</w:t>
      </w:r>
      <w:r w:rsidRPr="000C3DD5">
        <w:t xml:space="preserve"> another court had already dismissed them.</w:t>
      </w:r>
    </w:p>
    <w:p w:rsidR="00D6295F" w:rsidRPr="000C3DD5" w:rsidRDefault="00D6295F" w:rsidP="00FF1BED">
      <w:pPr>
        <w:pStyle w:val="SingleTxtG"/>
      </w:pPr>
      <w:r w:rsidRPr="000C3DD5">
        <w:t xml:space="preserve">2.10 </w:t>
      </w:r>
      <w:r w:rsidRPr="000C3DD5">
        <w:tab/>
        <w:t xml:space="preserve">The authors appealed </w:t>
      </w:r>
      <w:r>
        <w:t>to</w:t>
      </w:r>
      <w:r w:rsidRPr="000C3DD5">
        <w:t xml:space="preserve"> the Supreme Court on 19 December 2006. The </w:t>
      </w:r>
      <w:r>
        <w:t xml:space="preserve">hearing </w:t>
      </w:r>
      <w:r w:rsidRPr="000C3DD5">
        <w:t xml:space="preserve">before the Supreme Court took place on 11 July 2007, although it </w:t>
      </w:r>
      <w:r>
        <w:t>ought to have</w:t>
      </w:r>
      <w:r w:rsidRPr="000C3DD5">
        <w:t xml:space="preserve"> take</w:t>
      </w:r>
      <w:r>
        <w:t>n</w:t>
      </w:r>
      <w:r w:rsidRPr="000C3DD5">
        <w:t xml:space="preserve"> place within three months of the submission of the appeal. </w:t>
      </w:r>
      <w:r>
        <w:t>The authors allege that the Court held only one sitting, lasting a day, and upheld the death sentences</w:t>
      </w:r>
      <w:r w:rsidRPr="000C3DD5">
        <w:t xml:space="preserve">. On 17 July 2007, the High Judicial Council announced that the sentence would be commuted to life imprisonment </w:t>
      </w:r>
      <w:r>
        <w:t>pursuant to</w:t>
      </w:r>
      <w:r w:rsidRPr="000C3DD5">
        <w:t xml:space="preserve"> a compensation agreement reached with the </w:t>
      </w:r>
      <w:r>
        <w:t xml:space="preserve">victims’ </w:t>
      </w:r>
      <w:r w:rsidRPr="000C3DD5">
        <w:t xml:space="preserve">families. </w:t>
      </w:r>
      <w:r>
        <w:t>Then on 24 July 2007</w:t>
      </w:r>
      <w:r w:rsidRPr="000C3DD5">
        <w:t xml:space="preserve"> as a result of negotiations between </w:t>
      </w:r>
      <w:smartTag w:uri="urn:schemas-microsoft-com:office:smarttags" w:element="country-region">
        <w:r w:rsidRPr="000C3DD5">
          <w:t>Libya</w:t>
        </w:r>
      </w:smartTag>
      <w:r w:rsidRPr="000C3DD5">
        <w:t xml:space="preserve"> and Governments of other countries, the authors were transferred to </w:t>
      </w:r>
      <w:smartTag w:uri="urn:schemas-microsoft-com:office:smarttags" w:element="place">
        <w:smartTag w:uri="urn:schemas-microsoft-com:office:smarttags" w:element="country-region">
          <w:r w:rsidRPr="000C3DD5">
            <w:t>Bulgaria</w:t>
          </w:r>
        </w:smartTag>
      </w:smartTag>
      <w:r w:rsidRPr="000C3DD5">
        <w:t xml:space="preserve"> to serve their sentences. Once </w:t>
      </w:r>
      <w:r>
        <w:t xml:space="preserve">there, </w:t>
      </w:r>
      <w:r w:rsidRPr="000C3DD5">
        <w:t>they were immediately pardoned and released.</w:t>
      </w:r>
    </w:p>
    <w:p w:rsidR="00D6295F" w:rsidRPr="000C3DD5" w:rsidRDefault="00D6295F" w:rsidP="00FF1BED">
      <w:pPr>
        <w:pStyle w:val="SingleTxtG"/>
      </w:pPr>
      <w:r w:rsidRPr="000C3DD5">
        <w:t xml:space="preserve">2.11 </w:t>
      </w:r>
      <w:r w:rsidRPr="000C3DD5">
        <w:tab/>
        <w:t xml:space="preserve">The torture claims </w:t>
      </w:r>
      <w:r>
        <w:t>made</w:t>
      </w:r>
      <w:r w:rsidRPr="000C3DD5">
        <w:t xml:space="preserve"> by the authors </w:t>
      </w:r>
      <w:r>
        <w:t>from</w:t>
      </w:r>
      <w:r w:rsidRPr="000C3DD5">
        <w:t xml:space="preserve"> 2000</w:t>
      </w:r>
      <w:r>
        <w:t xml:space="preserve"> onwards</w:t>
      </w:r>
      <w:r w:rsidRPr="000C3DD5">
        <w:t xml:space="preserve"> were not investigated.</w:t>
      </w:r>
      <w:r>
        <w:rPr>
          <w:rStyle w:val="FootnoteReference"/>
        </w:rPr>
        <w:footnoteReference w:id="11"/>
      </w:r>
      <w:r w:rsidRPr="000C3DD5">
        <w:t xml:space="preserve"> On 2 June 2001, two of the authors</w:t>
      </w:r>
      <w:r>
        <w:rPr>
          <w:rStyle w:val="FootnoteReference"/>
        </w:rPr>
        <w:footnoteReference w:id="12"/>
      </w:r>
      <w:r w:rsidRPr="000C3DD5">
        <w:t xml:space="preserve"> retracted their confessions</w:t>
      </w:r>
      <w:r>
        <w:t xml:space="preserve">, which they said </w:t>
      </w:r>
      <w:r w:rsidRPr="000C3DD5">
        <w:t xml:space="preserve">had been obtained under duress </w:t>
      </w:r>
      <w:r>
        <w:t>and named</w:t>
      </w:r>
      <w:r w:rsidRPr="000C3DD5">
        <w:t xml:space="preserve"> those responsible for the torture. Only in May 2002</w:t>
      </w:r>
      <w:r>
        <w:t xml:space="preserve"> </w:t>
      </w:r>
      <w:r w:rsidRPr="000C3DD5">
        <w:t>did the Criminal Prosecution Office decide to investigate the matter and order a medical examination. Consequently, charges were brought against eight members of the security services in charge of the investigation,</w:t>
      </w:r>
      <w:r>
        <w:t xml:space="preserve"> plus</w:t>
      </w:r>
      <w:r w:rsidRPr="000C3DD5">
        <w:t xml:space="preserve"> a doctor and an interpreter. In June 2002, a Libyan doctor appointed by the prosecutor</w:t>
      </w:r>
      <w:r>
        <w:t xml:space="preserve"> </w:t>
      </w:r>
      <w:r w:rsidRPr="000C3DD5">
        <w:t xml:space="preserve">examined the authors and co-defendant and found marks on their bodies which he argued resulted from </w:t>
      </w:r>
      <w:r>
        <w:t>“</w:t>
      </w:r>
      <w:r w:rsidRPr="000C3DD5">
        <w:t xml:space="preserve">physical </w:t>
      </w:r>
      <w:r>
        <w:t>restraint”</w:t>
      </w:r>
      <w:r w:rsidRPr="000C3DD5">
        <w:t xml:space="preserve"> or </w:t>
      </w:r>
      <w:r>
        <w:t>“</w:t>
      </w:r>
      <w:r w:rsidRPr="000C3DD5">
        <w:t>beatings</w:t>
      </w:r>
      <w:r>
        <w:t>”</w:t>
      </w:r>
      <w:r w:rsidRPr="000C3DD5">
        <w:t xml:space="preserve">. In </w:t>
      </w:r>
      <w:r>
        <w:t>a ruling</w:t>
      </w:r>
      <w:r w:rsidRPr="000C3DD5">
        <w:t xml:space="preserve"> dated 6 May 2004, the Benghazi Appeals Court determined it </w:t>
      </w:r>
      <w:r>
        <w:t xml:space="preserve">was </w:t>
      </w:r>
      <w:r w:rsidRPr="000C3DD5">
        <w:t xml:space="preserve">not </w:t>
      </w:r>
      <w:r>
        <w:t>competent to pronounce</w:t>
      </w:r>
      <w:r w:rsidRPr="000C3DD5">
        <w:t xml:space="preserve"> on the matter since the offence had not been committed </w:t>
      </w:r>
      <w:r>
        <w:t xml:space="preserve">within the area </w:t>
      </w:r>
      <w:r w:rsidRPr="000C3DD5">
        <w:t xml:space="preserve">under its jurisdiction, but </w:t>
      </w:r>
      <w:r>
        <w:t xml:space="preserve">in </w:t>
      </w:r>
      <w:r w:rsidRPr="000C3DD5">
        <w:t>the jurisdiction of the Tripoli Appeals Court.</w:t>
      </w:r>
    </w:p>
    <w:p w:rsidR="004C3EC0" w:rsidRPr="00CE4583" w:rsidRDefault="00D6295F" w:rsidP="00FF1BED">
      <w:pPr>
        <w:pStyle w:val="SingleTxtG"/>
      </w:pPr>
      <w:r w:rsidRPr="000C3DD5">
        <w:t xml:space="preserve">2.12 </w:t>
      </w:r>
      <w:r w:rsidRPr="000C3DD5">
        <w:tab/>
        <w:t>On 7 May 2004, the Special Rapporteur on torture and other cruel, inhuman and degrading treatment or punishment sent an urgent appeal to the State party regarding the authors</w:t>
      </w:r>
      <w:r>
        <w:t>’</w:t>
      </w:r>
      <w:r w:rsidRPr="000C3DD5">
        <w:t xml:space="preserve"> and co-defendant</w:t>
      </w:r>
      <w:r>
        <w:t>’</w:t>
      </w:r>
      <w:r w:rsidRPr="000C3DD5">
        <w:t xml:space="preserve">s case, </w:t>
      </w:r>
      <w:r>
        <w:t>asking for</w:t>
      </w:r>
      <w:r w:rsidRPr="000C3DD5">
        <w:t xml:space="preserve"> information about the allegations of torture and </w:t>
      </w:r>
      <w:r>
        <w:t>an</w:t>
      </w:r>
      <w:r w:rsidRPr="000C3DD5">
        <w:t xml:space="preserve"> unfair trial. He also asked why the officials </w:t>
      </w:r>
      <w:r>
        <w:t>said to be</w:t>
      </w:r>
      <w:r w:rsidRPr="000C3DD5">
        <w:t xml:space="preserve"> responsible for the alleged torture had not been prosecuted.</w:t>
      </w:r>
      <w:r>
        <w:rPr>
          <w:rStyle w:val="FootnoteReference"/>
        </w:rPr>
        <w:footnoteReference w:id="13"/>
      </w:r>
      <w:r w:rsidRPr="000C3DD5">
        <w:t xml:space="preserve"> In response, the State party stated that the Department of Public Prosecutions had referred the case of the police officers to the Tripoli Appeals Court as the only court competent to hear the case. The trial </w:t>
      </w:r>
      <w:r>
        <w:t>of</w:t>
      </w:r>
      <w:r w:rsidRPr="000C3DD5">
        <w:t xml:space="preserve"> the police officers, the doctor and the interpreter </w:t>
      </w:r>
      <w:r>
        <w:t>began there</w:t>
      </w:r>
      <w:r w:rsidRPr="000C3DD5">
        <w:t xml:space="preserve"> on 25 January 2005. During the hearings, officers admitted they had tortured some of the authors and the co-defendant to obtain confessions. </w:t>
      </w:r>
      <w:r>
        <w:t xml:space="preserve">The defence submitted an expert medical evaluation which it had not been possible to perform until three years after the alleged facts; the Court set it aside on the grounds that, according to the Libyan doctor officially appointed as an expert, the appropriate protocols had not been followed, traces of torture were undetectable and, in any event, the kinds of torture alleged would leave no mark after two or three weeks. The </w:t>
      </w:r>
      <w:smartTag w:uri="urn:schemas-microsoft-com:office:smarttags" w:element="Street">
        <w:smartTag w:uri="urn:schemas-microsoft-com:office:smarttags" w:element="address">
          <w:r>
            <w:t>Tripoli Court</w:t>
          </w:r>
        </w:smartTag>
      </w:smartTag>
      <w:r>
        <w:t xml:space="preserve"> acquitted </w:t>
      </w:r>
      <w:r w:rsidR="004C3EC0" w:rsidRPr="00CE4583">
        <w:t xml:space="preserve">the suspects for </w:t>
      </w:r>
      <w:r w:rsidR="004C3EC0" w:rsidRPr="00CE4583">
        <w:lastRenderedPageBreak/>
        <w:t xml:space="preserve">lack of evidence on 7 June 2005. The authors and co-defendant lodged an appeal, but the appeal was rejected by the Libyan Supreme Court on 29 June 2006. On 10 August 2007, </w:t>
      </w:r>
      <w:r w:rsidR="004C3EC0">
        <w:t xml:space="preserve">the </w:t>
      </w:r>
      <w:r w:rsidR="004C3EC0" w:rsidRPr="00CE4583">
        <w:t xml:space="preserve">international </w:t>
      </w:r>
      <w:r w:rsidR="004C3EC0">
        <w:t>press</w:t>
      </w:r>
      <w:r w:rsidR="004C3EC0" w:rsidRPr="00CE4583">
        <w:t xml:space="preserve"> reported President Muammar Gaddafi</w:t>
      </w:r>
      <w:r w:rsidR="004C3EC0">
        <w:t>’s son</w:t>
      </w:r>
      <w:r w:rsidR="004C3EC0" w:rsidRPr="00CE4583">
        <w:t>, Seif Al-Islam, admitt</w:t>
      </w:r>
      <w:r w:rsidR="004C3EC0">
        <w:t>ing</w:t>
      </w:r>
      <w:r w:rsidR="004C3EC0" w:rsidRPr="00CE4583">
        <w:t xml:space="preserve"> in an interview with</w:t>
      </w:r>
      <w:r w:rsidR="001C0F21">
        <w:t xml:space="preserve"> the</w:t>
      </w:r>
      <w:r w:rsidR="004C3EC0" w:rsidRPr="00CE4583">
        <w:t xml:space="preserve"> Al Jazeera </w:t>
      </w:r>
      <w:r w:rsidR="001C0F21">
        <w:t>television channel</w:t>
      </w:r>
      <w:r w:rsidR="001C0F21" w:rsidRPr="00CE4583">
        <w:t xml:space="preserve"> </w:t>
      </w:r>
      <w:r w:rsidR="004C3EC0" w:rsidRPr="00CE4583">
        <w:t>that the authors and co-defendant had been tortured and threatened that their famil</w:t>
      </w:r>
      <w:r w:rsidR="004C3EC0">
        <w:t>ies</w:t>
      </w:r>
      <w:r w:rsidR="004C3EC0" w:rsidRPr="00CE4583">
        <w:t xml:space="preserve"> would be harmed.</w:t>
      </w:r>
      <w:r w:rsidR="004C3EC0">
        <w:rPr>
          <w:rStyle w:val="FootnoteReference"/>
        </w:rPr>
        <w:footnoteReference w:id="14"/>
      </w:r>
    </w:p>
    <w:p w:rsidR="004C3EC0" w:rsidRPr="00CE4583" w:rsidRDefault="004C3EC0" w:rsidP="00FF1BED">
      <w:pPr>
        <w:pStyle w:val="H23G"/>
      </w:pPr>
      <w:r>
        <w:tab/>
      </w:r>
      <w:r>
        <w:tab/>
      </w:r>
      <w:r w:rsidRPr="00CE4583">
        <w:t>The complaint</w:t>
      </w:r>
    </w:p>
    <w:p w:rsidR="004C3EC0" w:rsidRPr="00CE4583" w:rsidRDefault="004C3EC0" w:rsidP="00FF1BED">
      <w:pPr>
        <w:pStyle w:val="SingleTxtG"/>
      </w:pPr>
      <w:r>
        <w:t>3.1</w:t>
      </w:r>
      <w:r w:rsidRPr="00CE4583">
        <w:tab/>
        <w:t xml:space="preserve">The authors claim that the State </w:t>
      </w:r>
      <w:r>
        <w:t>p</w:t>
      </w:r>
      <w:r w:rsidRPr="00CE4583">
        <w:t>arty violated articles 2; 6; 7; 9; 10, paragraph 1; 14 and 26 of the Covenant.</w:t>
      </w:r>
    </w:p>
    <w:p w:rsidR="004C3EC0" w:rsidRPr="00CE4583" w:rsidRDefault="004C3EC0" w:rsidP="00FF1BED">
      <w:pPr>
        <w:pStyle w:val="SingleTxtG"/>
      </w:pPr>
      <w:r>
        <w:t>3.2</w:t>
      </w:r>
      <w:r>
        <w:tab/>
      </w:r>
      <w:r w:rsidRPr="00CE4583">
        <w:t xml:space="preserve">They claim that both the death </w:t>
      </w:r>
      <w:r>
        <w:t xml:space="preserve">sentence passed on 19 December 2006 and the </w:t>
      </w:r>
      <w:r w:rsidRPr="00CE4583">
        <w:t>Supreme Court</w:t>
      </w:r>
      <w:r>
        <w:t xml:space="preserve"> ruling of</w:t>
      </w:r>
      <w:r w:rsidRPr="00CE4583">
        <w:t xml:space="preserve"> 11 July 2007 </w:t>
      </w:r>
      <w:r>
        <w:t xml:space="preserve">upholding that </w:t>
      </w:r>
      <w:r w:rsidR="00E116F3">
        <w:t>judgement</w:t>
      </w:r>
      <w:r>
        <w:t xml:space="preserve"> </w:t>
      </w:r>
      <w:r w:rsidRPr="00CE4583">
        <w:t>were the result of a flagrantly unfair</w:t>
      </w:r>
      <w:r>
        <w:t>,</w:t>
      </w:r>
      <w:r w:rsidRPr="00CE4583">
        <w:t xml:space="preserve"> arbitrary trial. The death </w:t>
      </w:r>
      <w:r>
        <w:t>sentence</w:t>
      </w:r>
      <w:r w:rsidRPr="00CE4583">
        <w:t xml:space="preserve"> violated article 6, paragraph 2, of the Covenant. </w:t>
      </w:r>
      <w:r>
        <w:t>An</w:t>
      </w:r>
      <w:r w:rsidRPr="00CE4583">
        <w:t xml:space="preserve"> unfair trial</w:t>
      </w:r>
      <w:r>
        <w:t>,</w:t>
      </w:r>
      <w:r w:rsidRPr="00CE4583">
        <w:t xml:space="preserve"> with numerous violations of article 14 of the Covenant</w:t>
      </w:r>
      <w:r>
        <w:t>,</w:t>
      </w:r>
      <w:r w:rsidRPr="00CE4583">
        <w:t xml:space="preserve"> violates article 6, paragraph 2, of the Covenant. The fact that the death sentence was later commuted to life imprisonment does not relieve the State party </w:t>
      </w:r>
      <w:r>
        <w:t xml:space="preserve">of </w:t>
      </w:r>
      <w:r w:rsidRPr="00CE4583">
        <w:t xml:space="preserve">its obligation under this provision. The death sentence was commuted to life imprisonment only when a large sum of money </w:t>
      </w:r>
      <w:r>
        <w:t>was</w:t>
      </w:r>
      <w:r w:rsidRPr="00CE4583">
        <w:t xml:space="preserve"> offered to the families of the infected children and heavy pressure had been brought </w:t>
      </w:r>
      <w:r>
        <w:t xml:space="preserve">to bear by the European Union, </w:t>
      </w:r>
      <w:smartTag w:uri="urn:schemas-microsoft-com:office:smarttags" w:element="place">
        <w:smartTag w:uri="urn:schemas-microsoft-com:office:smarttags" w:element="country-region">
          <w:r w:rsidRPr="00CE4583">
            <w:t>Bulgaria</w:t>
          </w:r>
        </w:smartTag>
      </w:smartTag>
      <w:r w:rsidRPr="00CE4583">
        <w:t xml:space="preserve"> and other States.</w:t>
      </w:r>
    </w:p>
    <w:p w:rsidR="004C3EC0" w:rsidRPr="00CE4583" w:rsidRDefault="004C3EC0" w:rsidP="00FF1BED">
      <w:pPr>
        <w:pStyle w:val="SingleTxtG"/>
      </w:pPr>
      <w:r w:rsidRPr="00CE4583">
        <w:t>3.3</w:t>
      </w:r>
      <w:r w:rsidRPr="00CE4583">
        <w:tab/>
        <w:t>The authors claim that they were torture</w:t>
      </w:r>
      <w:r>
        <w:t>d</w:t>
      </w:r>
      <w:r w:rsidRPr="00CE4583">
        <w:t xml:space="preserve"> and drugged without their consent for the purpose of extracting confessions</w:t>
      </w:r>
      <w:r>
        <w:t>,</w:t>
      </w:r>
      <w:r w:rsidRPr="00CE4583">
        <w:t xml:space="preserve"> in violation of article 7 of the Covenant. Despite corroborative evidence and overwhelming testimony from security officers acknowledging certain acts of torture, all </w:t>
      </w:r>
      <w:r>
        <w:t>the accused</w:t>
      </w:r>
      <w:r w:rsidRPr="00CE4583">
        <w:t xml:space="preserve"> were acquitted, show</w:t>
      </w:r>
      <w:r>
        <w:t>ing</w:t>
      </w:r>
      <w:r w:rsidRPr="00CE4583">
        <w:t xml:space="preserve"> that the trial was a sham. The authors emphasize that the burden of proof cannot </w:t>
      </w:r>
      <w:r>
        <w:t xml:space="preserve">rest </w:t>
      </w:r>
      <w:r w:rsidRPr="00CE4583">
        <w:t>solely on them. The</w:t>
      </w:r>
      <w:r>
        <w:t>y</w:t>
      </w:r>
      <w:r w:rsidRPr="00CE4583">
        <w:t xml:space="preserve"> </w:t>
      </w:r>
      <w:r>
        <w:t xml:space="preserve">lodged their </w:t>
      </w:r>
      <w:r w:rsidRPr="00CE4583">
        <w:t xml:space="preserve">complaints </w:t>
      </w:r>
      <w:r>
        <w:t xml:space="preserve">as soon as they were able, on </w:t>
      </w:r>
      <w:r w:rsidRPr="00CE4583">
        <w:t xml:space="preserve">finally </w:t>
      </w:r>
      <w:r>
        <w:t>being b</w:t>
      </w:r>
      <w:r w:rsidRPr="00CE4583">
        <w:t>rought before a judge</w:t>
      </w:r>
      <w:r>
        <w:t xml:space="preserve"> after </w:t>
      </w:r>
      <w:r w:rsidRPr="00CE4583">
        <w:t xml:space="preserve">eight months </w:t>
      </w:r>
      <w:r>
        <w:t xml:space="preserve">of </w:t>
      </w:r>
      <w:r w:rsidRPr="00CE4583">
        <w:t xml:space="preserve">being held incommunicado. At that time they </w:t>
      </w:r>
      <w:r>
        <w:t>bore</w:t>
      </w:r>
      <w:r w:rsidRPr="00CE4583">
        <w:t xml:space="preserve"> clear signs of torture, but no action was taken by the prosecutor or by the court. The authors contend that the severity of their ill-treatment was such </w:t>
      </w:r>
      <w:r>
        <w:t>that it must be</w:t>
      </w:r>
      <w:r w:rsidRPr="00CE4583">
        <w:t xml:space="preserve"> characterized as torture, since it w</w:t>
      </w:r>
      <w:r>
        <w:t>as used to extract confessions.</w:t>
      </w:r>
    </w:p>
    <w:p w:rsidR="004C3EC0" w:rsidRPr="00CE4583" w:rsidRDefault="004C3EC0" w:rsidP="00FF1BED">
      <w:pPr>
        <w:pStyle w:val="SingleTxtG"/>
      </w:pPr>
      <w:r w:rsidRPr="00CE4583">
        <w:t>3.4</w:t>
      </w:r>
      <w:r w:rsidRPr="00CE4583">
        <w:tab/>
        <w:t xml:space="preserve">The authors claim that the treatment they </w:t>
      </w:r>
      <w:r>
        <w:t>endured</w:t>
      </w:r>
      <w:r w:rsidRPr="00CE4583">
        <w:t xml:space="preserve"> throughout their detention also amounts to a violation of article 7. They recount that for 14 months after their arrest they were held in police facilities</w:t>
      </w:r>
      <w:r>
        <w:t>,</w:t>
      </w:r>
      <w:r w:rsidRPr="00CE4583">
        <w:t xml:space="preserve"> not in a prison</w:t>
      </w:r>
      <w:r>
        <w:t>,</w:t>
      </w:r>
      <w:r w:rsidRPr="00CE4583">
        <w:t xml:space="preserve"> and that for the first few days they were imprisoned with 20 other women in a small</w:t>
      </w:r>
      <w:r w:rsidR="0095069D">
        <w:t>, dirty, windowless cell. Krist</w:t>
      </w:r>
      <w:r w:rsidRPr="00CE4583">
        <w:t>yana Valcheva was then held in solitary confinement in a windowless, barely lit and poorly ventilated cell measuring 1.8 metres by 1.5 metres that contained only a dirty mattress on which to sleep. There was no toilet in the cell and she was forced to relieve herself in an empty milk carton. The other authors were held in similar conditions. The</w:t>
      </w:r>
      <w:r>
        <w:t>y</w:t>
      </w:r>
      <w:r w:rsidRPr="00CE4583">
        <w:t xml:space="preserve"> </w:t>
      </w:r>
      <w:r>
        <w:t>were unable to</w:t>
      </w:r>
      <w:r w:rsidRPr="00CE4583">
        <w:t xml:space="preserve"> take a shower for several months, they were given water </w:t>
      </w:r>
      <w:r>
        <w:t xml:space="preserve">only </w:t>
      </w:r>
      <w:r w:rsidRPr="00CE4583">
        <w:t>once every 24 hours and they had no access to books or magazines. Snezhana Dimitrova was forced to pray in Arabic</w:t>
      </w:r>
      <w:r>
        <w:t>,</w:t>
      </w:r>
      <w:r w:rsidRPr="00CE4583">
        <w:t xml:space="preserve"> convert to Islam and </w:t>
      </w:r>
      <w:r>
        <w:t>r</w:t>
      </w:r>
      <w:r w:rsidRPr="00CE4583">
        <w:t xml:space="preserve">enounce her Christian faith, removing her cross from around her neck, crushing it underfoot and spitting on it. The authors also allege that they were deprived of access to the open air, to physical exercise and to contact with the outside, including their families, and were denied the possibility </w:t>
      </w:r>
      <w:r>
        <w:t>of seeing</w:t>
      </w:r>
      <w:r w:rsidRPr="00CE4583">
        <w:t xml:space="preserve"> a doctor in private.</w:t>
      </w:r>
    </w:p>
    <w:p w:rsidR="004C3EC0" w:rsidRPr="00CE4583" w:rsidRDefault="004C3EC0" w:rsidP="00FF1BED">
      <w:pPr>
        <w:pStyle w:val="SingleTxtG"/>
      </w:pPr>
      <w:r>
        <w:t>3.5</w:t>
      </w:r>
      <w:r w:rsidRPr="00CE4583">
        <w:tab/>
        <w:t xml:space="preserve">The authors consider that their arrest and detention were arbitrary. Under Libyan law, </w:t>
      </w:r>
      <w:r>
        <w:t>they</w:t>
      </w:r>
      <w:r w:rsidRPr="00CE4583">
        <w:t xml:space="preserve"> should have been brought before the prosecutor within 48 hours after their arrest. </w:t>
      </w:r>
      <w:r>
        <w:t>They were</w:t>
      </w:r>
      <w:r w:rsidRPr="00CE4583">
        <w:t xml:space="preserve"> not</w:t>
      </w:r>
      <w:r>
        <w:t xml:space="preserve">, </w:t>
      </w:r>
      <w:r w:rsidRPr="00CE4583">
        <w:t xml:space="preserve">however, until three months later, on 16 May 1999. Even then, the authorities </w:t>
      </w:r>
      <w:r>
        <w:t>held them</w:t>
      </w:r>
      <w:r w:rsidRPr="00CE4583">
        <w:t xml:space="preserve"> incommunicado until 30 November 1999, when their families were </w:t>
      </w:r>
      <w:r w:rsidRPr="00CE4583">
        <w:lastRenderedPageBreak/>
        <w:t xml:space="preserve">finally allowed to see them. </w:t>
      </w:r>
      <w:r>
        <w:t>T</w:t>
      </w:r>
      <w:r w:rsidRPr="00CE4583">
        <w:t xml:space="preserve">he State party </w:t>
      </w:r>
      <w:r>
        <w:t xml:space="preserve">thus </w:t>
      </w:r>
      <w:r w:rsidRPr="00CE4583">
        <w:t xml:space="preserve">violated article 9, paragraph 1. Moreover, the authors were reportedly not </w:t>
      </w:r>
      <w:r>
        <w:t xml:space="preserve">promptly </w:t>
      </w:r>
      <w:r w:rsidRPr="00CE4583">
        <w:t xml:space="preserve">informed of the charges against them. </w:t>
      </w:r>
      <w:r>
        <w:t xml:space="preserve">Only when </w:t>
      </w:r>
      <w:r w:rsidRPr="00CE4583">
        <w:t xml:space="preserve">they were brought before the prosecutor </w:t>
      </w:r>
      <w:r>
        <w:t xml:space="preserve">were </w:t>
      </w:r>
      <w:r w:rsidRPr="00CE4583">
        <w:t xml:space="preserve">they finally </w:t>
      </w:r>
      <w:r>
        <w:t>told</w:t>
      </w:r>
      <w:r w:rsidRPr="00CE4583">
        <w:t xml:space="preserve">, and </w:t>
      </w:r>
      <w:r>
        <w:t xml:space="preserve">even </w:t>
      </w:r>
      <w:r w:rsidRPr="00CE4583">
        <w:t xml:space="preserve">then </w:t>
      </w:r>
      <w:r>
        <w:t xml:space="preserve">without </w:t>
      </w:r>
      <w:r w:rsidRPr="00CE4583">
        <w:t>legal counsel</w:t>
      </w:r>
      <w:r>
        <w:t xml:space="preserve"> present; this</w:t>
      </w:r>
      <w:r w:rsidRPr="00CE4583">
        <w:t xml:space="preserve"> was a violation of article 9, paragraph 2. Finally, the authors were not brought promptly before a “judicial authority” since they made their first appearance in court on 7 February 2000. Before this date, they had only seen the prosecutor, </w:t>
      </w:r>
      <w:r>
        <w:t>and this is</w:t>
      </w:r>
      <w:r w:rsidRPr="00CE4583">
        <w:t xml:space="preserve"> a violation of article 9, paragraph 3.</w:t>
      </w:r>
    </w:p>
    <w:p w:rsidR="004C3EC0" w:rsidRPr="00CE4583" w:rsidRDefault="004C3EC0" w:rsidP="00FF1BED">
      <w:pPr>
        <w:pStyle w:val="SingleTxtG"/>
      </w:pPr>
      <w:r>
        <w:t>3.6</w:t>
      </w:r>
      <w:r w:rsidRPr="00CE4583">
        <w:tab/>
        <w:t xml:space="preserve">The authors contend that the treatment they </w:t>
      </w:r>
      <w:r>
        <w:t>endured</w:t>
      </w:r>
      <w:r w:rsidRPr="00CE4583">
        <w:t xml:space="preserve"> following their arrest also constitutes a violation of their rights under article 10. They refer to their claims under article 7 of the Covenant and add that they were allowed to see their children and other family members only three or four times</w:t>
      </w:r>
      <w:r>
        <w:t xml:space="preserve"> over a total of</w:t>
      </w:r>
      <w:r w:rsidRPr="00CE4583">
        <w:t xml:space="preserve"> </w:t>
      </w:r>
      <w:r w:rsidR="00DE2B7C">
        <w:t>eight</w:t>
      </w:r>
      <w:r w:rsidRPr="00CE4583">
        <w:t xml:space="preserve"> years</w:t>
      </w:r>
      <w:r>
        <w:t xml:space="preserve"> in detention</w:t>
      </w:r>
      <w:r w:rsidRPr="00CE4583">
        <w:t>.</w:t>
      </w:r>
    </w:p>
    <w:p w:rsidR="004C3EC0" w:rsidRPr="00CE4583" w:rsidRDefault="004C3EC0" w:rsidP="00FF1BED">
      <w:pPr>
        <w:pStyle w:val="SingleTxtG"/>
      </w:pPr>
      <w:r w:rsidRPr="00CE4583">
        <w:t>3.7</w:t>
      </w:r>
      <w:r w:rsidRPr="00CE4583">
        <w:tab/>
        <w:t xml:space="preserve">The authors contend that the State party violated their right to </w:t>
      </w:r>
      <w:r>
        <w:t xml:space="preserve">a </w:t>
      </w:r>
      <w:r w:rsidRPr="00CE4583">
        <w:t xml:space="preserve">fair trial because they were not informed of the charges against them for the first three months of their detention. </w:t>
      </w:r>
      <w:r>
        <w:t>T</w:t>
      </w:r>
      <w:r w:rsidRPr="00CE4583">
        <w:t xml:space="preserve">hey did not have access to an interpreter at any moment during the trial and were not assigned a lawyer to defend them until 17 February 2000, </w:t>
      </w:r>
      <w:r>
        <w:t>10</w:t>
      </w:r>
      <w:r w:rsidRPr="00CE4583">
        <w:t xml:space="preserve"> days after the trial </w:t>
      </w:r>
      <w:r>
        <w:t xml:space="preserve">began </w:t>
      </w:r>
      <w:r w:rsidRPr="00CE4583">
        <w:t xml:space="preserve">and a full year after their arrest. They were forced to testify against themselves under torture, </w:t>
      </w:r>
      <w:r>
        <w:t>there was no</w:t>
      </w:r>
      <w:r w:rsidRPr="00CE4583">
        <w:t xml:space="preserve"> lawyer </w:t>
      </w:r>
      <w:r>
        <w:t xml:space="preserve">in attendance </w:t>
      </w:r>
      <w:r w:rsidRPr="00CE4583">
        <w:t>when they made their con</w:t>
      </w:r>
      <w:r>
        <w:t>fessions before the prosecutor</w:t>
      </w:r>
      <w:r w:rsidRPr="00CE4583">
        <w:t xml:space="preserve"> and the court, without providing sufficient reasons, </w:t>
      </w:r>
      <w:r>
        <w:t>set aside</w:t>
      </w:r>
      <w:r w:rsidRPr="00CE4583">
        <w:t xml:space="preserve"> Professor Montagnier’s and </w:t>
      </w:r>
      <w:r>
        <w:t>Dr.</w:t>
      </w:r>
      <w:r w:rsidRPr="00CE4583">
        <w:t xml:space="preserve"> Collizi’s expert testimony despite every indication that their findings exonerated the authors and co-defendant. </w:t>
      </w:r>
      <w:r>
        <w:t>T</w:t>
      </w:r>
      <w:r w:rsidRPr="00CE4583">
        <w:t>he second search of Ms. Valcheva’s home, during which the police “providentially”</w:t>
      </w:r>
      <w:r>
        <w:rPr>
          <w:rStyle w:val="FootnoteReference"/>
        </w:rPr>
        <w:footnoteReference w:id="15"/>
      </w:r>
      <w:r w:rsidRPr="00CE4583">
        <w:t xml:space="preserve"> discovered five bottles of contaminated blood plasma, was conducted with</w:t>
      </w:r>
      <w:r>
        <w:t xml:space="preserve"> neither</w:t>
      </w:r>
      <w:r w:rsidRPr="00CE4583">
        <w:t xml:space="preserve"> the authors </w:t>
      </w:r>
      <w:r>
        <w:t>n</w:t>
      </w:r>
      <w:r w:rsidRPr="00CE4583">
        <w:t>or a defence lawyer</w:t>
      </w:r>
      <w:r>
        <w:t xml:space="preserve"> present</w:t>
      </w:r>
      <w:r w:rsidRPr="00CE4583">
        <w:t>. The inconsistencies in this “discovery”,</w:t>
      </w:r>
      <w:r>
        <w:rPr>
          <w:rStyle w:val="FootnoteReference"/>
        </w:rPr>
        <w:footnoteReference w:id="16"/>
      </w:r>
      <w:r w:rsidRPr="00CE4583">
        <w:t xml:space="preserve"> together with the fact that the prosecution never produced the search records and </w:t>
      </w:r>
      <w:r>
        <w:t xml:space="preserve">that </w:t>
      </w:r>
      <w:r w:rsidRPr="00CE4583">
        <w:t xml:space="preserve">the court itself mistook the findings of one search for those of the other, </w:t>
      </w:r>
      <w:r>
        <w:t>show</w:t>
      </w:r>
      <w:r w:rsidRPr="00CE4583">
        <w:t xml:space="preserve"> that it was </w:t>
      </w:r>
      <w:r>
        <w:t>a complete fabrication</w:t>
      </w:r>
      <w:r w:rsidRPr="00CE4583">
        <w:t>. The authors also claim that the trial suffered unreasonable delays.</w:t>
      </w:r>
      <w:r>
        <w:rPr>
          <w:rStyle w:val="FootnoteReference"/>
        </w:rPr>
        <w:footnoteReference w:id="17"/>
      </w:r>
      <w:r w:rsidRPr="00CE4583">
        <w:t xml:space="preserve"> These </w:t>
      </w:r>
      <w:r>
        <w:t>points</w:t>
      </w:r>
      <w:r w:rsidRPr="00CE4583">
        <w:t xml:space="preserve"> constitute, according to the authors, a violation of article 14 of the Covenant.</w:t>
      </w:r>
    </w:p>
    <w:p w:rsidR="004C3EC0" w:rsidRPr="00CE4583" w:rsidRDefault="004C3EC0" w:rsidP="00FF1BED">
      <w:pPr>
        <w:pStyle w:val="SingleTxtG"/>
      </w:pPr>
      <w:r w:rsidRPr="00CE4583">
        <w:t>3.8</w:t>
      </w:r>
      <w:r w:rsidRPr="00CE4583">
        <w:tab/>
        <w:t xml:space="preserve">By </w:t>
      </w:r>
      <w:r>
        <w:t xml:space="preserve">seeking to </w:t>
      </w:r>
      <w:r w:rsidRPr="00CE4583">
        <w:t>discriminat</w:t>
      </w:r>
      <w:r>
        <w:t>e</w:t>
      </w:r>
      <w:r w:rsidRPr="00CE4583">
        <w:t xml:space="preserve"> on the basis of race, skin colour, language, religion and nationality, the State party allegedly violated the rights of the authors </w:t>
      </w:r>
      <w:r>
        <w:t>that are protected by</w:t>
      </w:r>
      <w:r w:rsidRPr="00CE4583">
        <w:t xml:space="preserve"> articles 6, 7, 9, 10 and 14 of the Covenant. </w:t>
      </w:r>
      <w:r>
        <w:t>T</w:t>
      </w:r>
      <w:r w:rsidRPr="00CE4583">
        <w:t>he Libyan authorities unfairly arrested and convicted the authors</w:t>
      </w:r>
      <w:r>
        <w:t xml:space="preserve"> i</w:t>
      </w:r>
      <w:r w:rsidRPr="00CE4583">
        <w:t xml:space="preserve">n order to make </w:t>
      </w:r>
      <w:r>
        <w:t xml:space="preserve">scapegoats of </w:t>
      </w:r>
      <w:r w:rsidRPr="00CE4583">
        <w:t>foreigners. The authors were arrested</w:t>
      </w:r>
      <w:r>
        <w:t>,</w:t>
      </w:r>
      <w:r w:rsidRPr="00CE4583">
        <w:t xml:space="preserve"> </w:t>
      </w:r>
      <w:r>
        <w:t xml:space="preserve">in violation of articles 2 and 26 of the Covenant, </w:t>
      </w:r>
      <w:r w:rsidRPr="00CE4583">
        <w:t>precisely because they were foreign and differe</w:t>
      </w:r>
      <w:r>
        <w:t>d</w:t>
      </w:r>
      <w:r w:rsidRPr="00CE4583">
        <w:t xml:space="preserve"> from the Libyan population in their race, skin colour, language, religion and national origins</w:t>
      </w:r>
      <w:r>
        <w:t>.</w:t>
      </w:r>
      <w:r w:rsidRPr="00CE4583">
        <w:t xml:space="preserve"> </w:t>
      </w:r>
      <w:r>
        <w:t>They report a</w:t>
      </w:r>
      <w:r w:rsidRPr="00CE4583">
        <w:t xml:space="preserve"> discriminatory policy of arresting foreign medical personnel which had </w:t>
      </w:r>
      <w:r>
        <w:t>been manifest</w:t>
      </w:r>
      <w:r w:rsidRPr="00CE4583">
        <w:t xml:space="preserve"> on several occasions </w:t>
      </w:r>
      <w:r>
        <w:t>before</w:t>
      </w:r>
      <w:r w:rsidRPr="00CE4583">
        <w:t xml:space="preserve"> their own arrest</w:t>
      </w:r>
      <w:r>
        <w:t>s</w:t>
      </w:r>
      <w:r w:rsidRPr="00CE4583">
        <w:t xml:space="preserve"> and </w:t>
      </w:r>
      <w:r>
        <w:t xml:space="preserve">sought to make scapegoats of </w:t>
      </w:r>
      <w:r w:rsidRPr="00CE4583">
        <w:t>foreigners. The</w:t>
      </w:r>
      <w:r>
        <w:t>y</w:t>
      </w:r>
      <w:r w:rsidRPr="00CE4583">
        <w:t xml:space="preserve"> point out that all the Libyans arrested in the case </w:t>
      </w:r>
      <w:r>
        <w:t>were</w:t>
      </w:r>
      <w:r w:rsidRPr="00CE4583">
        <w:t xml:space="preserve"> freed almost immediately or released on bail, </w:t>
      </w:r>
      <w:r>
        <w:t>were</w:t>
      </w:r>
      <w:r w:rsidRPr="00CE4583">
        <w:t xml:space="preserve"> not remanded in custody </w:t>
      </w:r>
      <w:r>
        <w:t>during the</w:t>
      </w:r>
      <w:r w:rsidRPr="00CE4583">
        <w:t xml:space="preserve"> trial and </w:t>
      </w:r>
      <w:r>
        <w:t>were</w:t>
      </w:r>
      <w:r w:rsidRPr="00CE4583">
        <w:t xml:space="preserve"> all </w:t>
      </w:r>
      <w:r>
        <w:t>eventually</w:t>
      </w:r>
      <w:r w:rsidRPr="00CE4583">
        <w:t xml:space="preserve"> acquitted. </w:t>
      </w:r>
    </w:p>
    <w:p w:rsidR="004C3EC0" w:rsidRPr="00CE4583" w:rsidRDefault="004C3EC0" w:rsidP="00FF1BED">
      <w:pPr>
        <w:pStyle w:val="SingleTxtG"/>
      </w:pPr>
      <w:r w:rsidRPr="00CE4583">
        <w:t>3.9</w:t>
      </w:r>
      <w:r w:rsidRPr="00CE4583">
        <w:tab/>
        <w:t xml:space="preserve">With regard to the exhaustion of domestic remedies, the authors note that their allegations were </w:t>
      </w:r>
      <w:r>
        <w:t>brought to the attention of</w:t>
      </w:r>
      <w:r w:rsidRPr="00CE4583">
        <w:t xml:space="preserve"> the authorities</w:t>
      </w:r>
      <w:r>
        <w:t>:</w:t>
      </w:r>
      <w:r w:rsidRPr="00CE4583">
        <w:t xml:space="preserve"> </w:t>
      </w:r>
      <w:r>
        <w:t>t</w:t>
      </w:r>
      <w:r w:rsidRPr="00CE4583">
        <w:t>he allegations of torture, arbitrary arrest and unfair trial, as well as the complaints of discrimination on the grounds of nationality filed in 2006.</w:t>
      </w:r>
    </w:p>
    <w:p w:rsidR="004C3EC0" w:rsidRPr="00CE4583" w:rsidRDefault="004C3EC0" w:rsidP="00FF1BED">
      <w:pPr>
        <w:pStyle w:val="SingleTxtG"/>
      </w:pPr>
      <w:r w:rsidRPr="00CE4583">
        <w:t>3.10</w:t>
      </w:r>
      <w:r w:rsidRPr="00CE4583">
        <w:tab/>
        <w:t>As re</w:t>
      </w:r>
      <w:r>
        <w:t>dress</w:t>
      </w:r>
      <w:r w:rsidRPr="00CE4583">
        <w:t xml:space="preserve"> for the violations suffered, the authors claim reparation, including financial compensation, for </w:t>
      </w:r>
      <w:r>
        <w:t>physical and moral injury</w:t>
      </w:r>
      <w:r w:rsidRPr="00CE4583">
        <w:t xml:space="preserve">. They also </w:t>
      </w:r>
      <w:r>
        <w:t>ask for</w:t>
      </w:r>
      <w:r w:rsidRPr="00CE4583">
        <w:t xml:space="preserve"> the State party to </w:t>
      </w:r>
      <w:r>
        <w:lastRenderedPageBreak/>
        <w:t xml:space="preserve">be urged to </w:t>
      </w:r>
      <w:r w:rsidRPr="00CE4583">
        <w:t xml:space="preserve">take steps to </w:t>
      </w:r>
      <w:r>
        <w:t>act on</w:t>
      </w:r>
      <w:r w:rsidRPr="00CE4583">
        <w:t xml:space="preserve"> its obligations under the Covenant and the Optional Protocol</w:t>
      </w:r>
      <w:r>
        <w:t>,</w:t>
      </w:r>
      <w:r w:rsidRPr="00CE4583">
        <w:t xml:space="preserve"> and to </w:t>
      </w:r>
      <w:r>
        <w:t>ensure that no</w:t>
      </w:r>
      <w:r w:rsidRPr="00CE4583">
        <w:t xml:space="preserve"> similar violations </w:t>
      </w:r>
      <w:r>
        <w:t>occur in</w:t>
      </w:r>
      <w:r w:rsidRPr="00CE4583">
        <w:t xml:space="preserve"> future.</w:t>
      </w:r>
    </w:p>
    <w:p w:rsidR="004C3EC0" w:rsidRPr="00CE4583" w:rsidRDefault="004C3EC0" w:rsidP="00FF1BED">
      <w:pPr>
        <w:pStyle w:val="H23G"/>
      </w:pPr>
      <w:r>
        <w:tab/>
      </w:r>
      <w:r>
        <w:tab/>
      </w:r>
      <w:r w:rsidRPr="00CE4583">
        <w:t xml:space="preserve">State </w:t>
      </w:r>
      <w:r>
        <w:t>p</w:t>
      </w:r>
      <w:r w:rsidRPr="00CE4583">
        <w:t xml:space="preserve">arty’s observations on admissibility and </w:t>
      </w:r>
      <w:r>
        <w:t xml:space="preserve">the </w:t>
      </w:r>
      <w:r w:rsidRPr="00CE4583">
        <w:t>merits</w:t>
      </w:r>
    </w:p>
    <w:p w:rsidR="004C3EC0" w:rsidRPr="00CE4583" w:rsidRDefault="004C3EC0" w:rsidP="00FF1BED">
      <w:pPr>
        <w:pStyle w:val="SingleTxtG"/>
      </w:pPr>
      <w:r>
        <w:t>4.1</w:t>
      </w:r>
      <w:r w:rsidRPr="00CE4583">
        <w:tab/>
        <w:t>In a note dated 4 August 2009, the State party asked the Committee to declare the communication inadmissible without providing grounds for its request.</w:t>
      </w:r>
    </w:p>
    <w:p w:rsidR="004C3EC0" w:rsidRPr="00CE4583" w:rsidRDefault="004C3EC0" w:rsidP="00FF1BED">
      <w:pPr>
        <w:pStyle w:val="SingleTxtG"/>
      </w:pPr>
      <w:r>
        <w:t>4.2</w:t>
      </w:r>
      <w:r w:rsidRPr="00CE4583">
        <w:tab/>
        <w:t xml:space="preserve">On 8 December 2009, the State party submitted its observations on the admissibility and merits of the communication. It </w:t>
      </w:r>
      <w:r>
        <w:t>points out</w:t>
      </w:r>
      <w:r w:rsidRPr="00CE4583">
        <w:t xml:space="preserve"> that the</w:t>
      </w:r>
      <w:r>
        <w:t>re had been</w:t>
      </w:r>
      <w:r w:rsidRPr="00CE4583">
        <w:t xml:space="preserve"> lengthy legal and judicial proceedings </w:t>
      </w:r>
      <w:r>
        <w:t>to establish</w:t>
      </w:r>
      <w:r w:rsidRPr="00CE4583">
        <w:t xml:space="preserve"> the truth in </w:t>
      </w:r>
      <w:r>
        <w:t>a</w:t>
      </w:r>
      <w:r w:rsidRPr="00CE4583">
        <w:t xml:space="preserve"> case</w:t>
      </w:r>
      <w:r>
        <w:t xml:space="preserve"> involving</w:t>
      </w:r>
      <w:r w:rsidRPr="00CE4583">
        <w:t xml:space="preserve"> over 450 children whose fundamental right to life had been violated. </w:t>
      </w:r>
      <w:r>
        <w:t>It considers that</w:t>
      </w:r>
      <w:r w:rsidRPr="00CE4583">
        <w:t xml:space="preserve"> the authors were afforded </w:t>
      </w:r>
      <w:r>
        <w:t>all the safeguards of a proper</w:t>
      </w:r>
      <w:r w:rsidRPr="00CE4583">
        <w:t xml:space="preserve"> trial in conformity with international standards. Libyan civil society organizations, international human rights organizations and foreign diplomatic missions in </w:t>
      </w:r>
      <w:smartTag w:uri="urn:schemas-microsoft-com:office:smarttags" w:element="place">
        <w:smartTag w:uri="urn:schemas-microsoft-com:office:smarttags" w:element="country-region">
          <w:r w:rsidRPr="00CE4583">
            <w:t>Libya</w:t>
          </w:r>
        </w:smartTag>
      </w:smartTag>
      <w:r w:rsidRPr="00CE4583">
        <w:t xml:space="preserve"> followed the proceedings throughout.</w:t>
      </w:r>
    </w:p>
    <w:p w:rsidR="004C3EC0" w:rsidRPr="00CE4583" w:rsidRDefault="004C3EC0" w:rsidP="00FF1BED">
      <w:pPr>
        <w:pStyle w:val="SingleTxtG"/>
      </w:pPr>
      <w:r>
        <w:t>4.3</w:t>
      </w:r>
      <w:r w:rsidRPr="00CE4583">
        <w:tab/>
        <w:t>The State party recalls that, on 30 September 1998, a Libyan citizen, Mohammed Bashir Ben Ghazi, complain</w:t>
      </w:r>
      <w:r>
        <w:t>ed</w:t>
      </w:r>
      <w:r w:rsidRPr="00CE4583">
        <w:t xml:space="preserve"> </w:t>
      </w:r>
      <w:r>
        <w:t>to</w:t>
      </w:r>
      <w:r w:rsidRPr="00CE4583">
        <w:t xml:space="preserve"> the </w:t>
      </w:r>
      <w:r w:rsidRPr="00CA680F">
        <w:t xml:space="preserve">Department of Public Prosecutions </w:t>
      </w:r>
      <w:r w:rsidRPr="00CE4583">
        <w:t xml:space="preserve">that his son, then 14 months old, had </w:t>
      </w:r>
      <w:r>
        <w:t>become</w:t>
      </w:r>
      <w:r w:rsidRPr="00CE4583">
        <w:t xml:space="preserve"> infected with HIV </w:t>
      </w:r>
      <w:r>
        <w:t>during</w:t>
      </w:r>
      <w:r w:rsidRPr="00CE4583">
        <w:t xml:space="preserve"> a stay at Al-Fatah paediatric hospital in </w:t>
      </w:r>
      <w:smartTag w:uri="urn:schemas-microsoft-com:office:smarttags" w:element="place">
        <w:smartTag w:uri="urn:schemas-microsoft-com:office:smarttags" w:element="City">
          <w:r w:rsidRPr="00CE4583">
            <w:t>Benghazi</w:t>
          </w:r>
        </w:smartTag>
      </w:smartTag>
      <w:r w:rsidRPr="00CE4583">
        <w:t xml:space="preserve">. </w:t>
      </w:r>
      <w:r>
        <w:t xml:space="preserve">He had learned the news in </w:t>
      </w:r>
      <w:smartTag w:uri="urn:schemas-microsoft-com:office:smarttags" w:element="place">
        <w:smartTag w:uri="urn:schemas-microsoft-com:office:smarttags" w:element="country-region">
          <w:r>
            <w:t>Egypt</w:t>
          </w:r>
        </w:smartTag>
      </w:smartTag>
      <w:r>
        <w:t>, where h</w:t>
      </w:r>
      <w:r w:rsidRPr="00CE4583">
        <w:t>is son had been transferred for medical treatment</w:t>
      </w:r>
      <w:r>
        <w:t>.</w:t>
      </w:r>
      <w:r w:rsidRPr="00CE4583">
        <w:t xml:space="preserve"> On 12 October 1998, the Department of Public Prosecutions opened an investigation, having received more complaints. It took 233 statements from parents of infected children and, in addition to other measures, issued an injunction </w:t>
      </w:r>
      <w:r>
        <w:t xml:space="preserve">prohibiting all foreigners </w:t>
      </w:r>
      <w:r w:rsidRPr="00CE4583">
        <w:t>work</w:t>
      </w:r>
      <w:r>
        <w:t>ing</w:t>
      </w:r>
      <w:r w:rsidRPr="00CE4583">
        <w:t xml:space="preserve"> at the hospital from leaving the country.</w:t>
      </w:r>
    </w:p>
    <w:p w:rsidR="009A5418" w:rsidRPr="00CE4583" w:rsidRDefault="009A5418" w:rsidP="00FF1BED">
      <w:pPr>
        <w:pStyle w:val="SingleTxtG"/>
      </w:pPr>
      <w:r w:rsidRPr="00CE4583">
        <w:t>4.4</w:t>
      </w:r>
      <w:r w:rsidRPr="00CE4583">
        <w:tab/>
      </w:r>
      <w:r>
        <w:t xml:space="preserve">By decision No. 28/1209, the </w:t>
      </w:r>
      <w:r w:rsidRPr="00CE4583">
        <w:t>Secretary of the General People</w:t>
      </w:r>
      <w:r>
        <w:t>’</w:t>
      </w:r>
      <w:r w:rsidRPr="00CE4583">
        <w:t xml:space="preserve">s Committee for Justice and Public Security ordered an investigation into the infection </w:t>
      </w:r>
      <w:r>
        <w:t xml:space="preserve">with HIV </w:t>
      </w:r>
      <w:r w:rsidRPr="00CE4583">
        <w:t xml:space="preserve">of children who had been treated at Al-Fatah paediatric hospital. The investigating committee consisted of the Director and senior investigating officers of the General Criminal Investigations Department and doctors. It began work on 9 December 1998 and eventually identified the authors, a Palestinian doctor and a Bulgarian doctor as suspects. The committee concluded its work on 15 May 1999 and sent a report with the evidence and names of the suspects to </w:t>
      </w:r>
      <w:r w:rsidRPr="00131A26">
        <w:t>the General Prosecution Office</w:t>
      </w:r>
      <w:r>
        <w:t>,</w:t>
      </w:r>
      <w:r w:rsidRPr="00131A26">
        <w:t xml:space="preserve"> </w:t>
      </w:r>
      <w:r w:rsidRPr="00CE4583">
        <w:t>which interviewed the suspects.</w:t>
      </w:r>
    </w:p>
    <w:p w:rsidR="009A5418" w:rsidRPr="00CE4583" w:rsidRDefault="009A5418" w:rsidP="00FF1BED">
      <w:pPr>
        <w:pStyle w:val="SingleTxtG"/>
      </w:pPr>
      <w:r w:rsidRPr="00CE4583">
        <w:t>4.5</w:t>
      </w:r>
      <w:r w:rsidRPr="00CE4583">
        <w:tab/>
        <w:t>On 18 May 1999</w:t>
      </w:r>
      <w:r w:rsidRPr="00131A26">
        <w:t>, the General Prosecution Office referred</w:t>
      </w:r>
      <w:r w:rsidRPr="00CE4583">
        <w:t xml:space="preserve"> the case to the People</w:t>
      </w:r>
      <w:r>
        <w:t>’</w:t>
      </w:r>
      <w:r w:rsidRPr="00CE4583">
        <w:t xml:space="preserve">s Prosecution Office which </w:t>
      </w:r>
      <w:r>
        <w:t>continued the investigation</w:t>
      </w:r>
      <w:r w:rsidRPr="00CE4583">
        <w:t>. On 17 February 1999, the People</w:t>
      </w:r>
      <w:r>
        <w:t>’</w:t>
      </w:r>
      <w:r w:rsidRPr="00CE4583">
        <w:t xml:space="preserve">s Court </w:t>
      </w:r>
      <w:r>
        <w:t xml:space="preserve">announced that it was not </w:t>
      </w:r>
      <w:r w:rsidRPr="00CE4583">
        <w:t>competen</w:t>
      </w:r>
      <w:r>
        <w:t>t</w:t>
      </w:r>
      <w:r w:rsidRPr="00CE4583">
        <w:t xml:space="preserve"> to </w:t>
      </w:r>
      <w:r>
        <w:t xml:space="preserve">deal with </w:t>
      </w:r>
      <w:r w:rsidRPr="00CE4583">
        <w:t xml:space="preserve">the matter and referred the case back to the General Prosecution Office. During the trial before the criminal court, the defendants alleged they had been tortured by police during the investigation. The judge of the Indictments Chamber ordered a representative of the General Prosecution Office to investigate the allegations. The findings of that investigation were reported to the Indictments Chamber, which referred the case to the Benghazi Appeals Court on 4 July 2003. That court </w:t>
      </w:r>
      <w:r>
        <w:t xml:space="preserve">devoted </w:t>
      </w:r>
      <w:r w:rsidRPr="00CE4583">
        <w:t>more than 20 sittings</w:t>
      </w:r>
      <w:r>
        <w:t xml:space="preserve"> to hearing </w:t>
      </w:r>
      <w:r w:rsidRPr="00CE4583">
        <w:t>the case. On 6 May 2004</w:t>
      </w:r>
      <w:r w:rsidR="006E5EE8">
        <w:t>,</w:t>
      </w:r>
      <w:r w:rsidRPr="00CE4583">
        <w:t xml:space="preserve"> it sentenced the authors and co-defendant to death and ruled that it did not have territorial jurisdiction to </w:t>
      </w:r>
      <w:r>
        <w:t>take up</w:t>
      </w:r>
      <w:r w:rsidRPr="00CE4583">
        <w:t xml:space="preserve"> the charges of torture against members of the investigating committee.</w:t>
      </w:r>
    </w:p>
    <w:p w:rsidR="009A5418" w:rsidRPr="00CE4583" w:rsidRDefault="009A5418" w:rsidP="00FF1BED">
      <w:pPr>
        <w:pStyle w:val="SingleTxtG"/>
      </w:pPr>
      <w:r w:rsidRPr="00CE4583">
        <w:t>4.6</w:t>
      </w:r>
      <w:r w:rsidRPr="00CE4583">
        <w:tab/>
        <w:t>From 13 June 2002</w:t>
      </w:r>
      <w:r>
        <w:t xml:space="preserve"> onward</w:t>
      </w:r>
      <w:r w:rsidRPr="00CE4583">
        <w:t xml:space="preserve">, the General Prosecution Office took statements from the defendants about their claims of torture. It also took statements from the committee </w:t>
      </w:r>
      <w:r>
        <w:t xml:space="preserve">assigned to </w:t>
      </w:r>
      <w:r w:rsidRPr="00CE4583">
        <w:t>investigat</w:t>
      </w:r>
      <w:r>
        <w:t>e</w:t>
      </w:r>
      <w:r w:rsidRPr="00CE4583">
        <w:t xml:space="preserve"> the infection of children with HIV. The complaint of torture was referred to the Tripoli Appeals Court</w:t>
      </w:r>
      <w:r>
        <w:t xml:space="preserve">, which handed down a </w:t>
      </w:r>
      <w:r w:rsidR="006B6A77">
        <w:t>judgement</w:t>
      </w:r>
      <w:r>
        <w:t xml:space="preserve"> </w:t>
      </w:r>
      <w:r w:rsidRPr="00CE4583">
        <w:t xml:space="preserve">on 7 June 2005 acquitting the investigating committee. The authors and co-defendant appealed the death sentence before the Supreme Court, which delivered its </w:t>
      </w:r>
      <w:r>
        <w:t xml:space="preserve">ruling </w:t>
      </w:r>
      <w:r w:rsidRPr="00CE4583">
        <w:t>on 25 December 2005</w:t>
      </w:r>
      <w:r>
        <w:t xml:space="preserve">, revoking the </w:t>
      </w:r>
      <w:r w:rsidRPr="00CE4583">
        <w:t>death sentence and sen</w:t>
      </w:r>
      <w:r>
        <w:t>ding</w:t>
      </w:r>
      <w:r w:rsidRPr="00CE4583">
        <w:t xml:space="preserve"> the case back to the Benghazi Appeals Court for </w:t>
      </w:r>
      <w:r>
        <w:t xml:space="preserve">consideration </w:t>
      </w:r>
      <w:r w:rsidRPr="00CE4583">
        <w:t xml:space="preserve">by a different panel of judges. That court </w:t>
      </w:r>
      <w:r>
        <w:t xml:space="preserve">held </w:t>
      </w:r>
      <w:r w:rsidRPr="00CE4583">
        <w:t>13 sittings</w:t>
      </w:r>
      <w:r>
        <w:t xml:space="preserve"> on the case</w:t>
      </w:r>
      <w:r w:rsidRPr="00CE4583">
        <w:t xml:space="preserve">. On 19 </w:t>
      </w:r>
      <w:r w:rsidRPr="00CE4583">
        <w:lastRenderedPageBreak/>
        <w:t xml:space="preserve">December 2006, </w:t>
      </w:r>
      <w:r>
        <w:t xml:space="preserve">it </w:t>
      </w:r>
      <w:r w:rsidRPr="00CE4583">
        <w:t xml:space="preserve">again sentenced the authors and co-defendant to death. The defendants decided to appeal to the Supreme Court, which delivered its </w:t>
      </w:r>
      <w:r w:rsidR="006B6A77">
        <w:t>judgement</w:t>
      </w:r>
      <w:r w:rsidRPr="00CE4583">
        <w:t xml:space="preserve"> on 11 July 2007.</w:t>
      </w:r>
    </w:p>
    <w:p w:rsidR="009A5418" w:rsidRPr="00CE4583" w:rsidRDefault="009A5418" w:rsidP="00FF1BED">
      <w:pPr>
        <w:pStyle w:val="SingleTxtG"/>
      </w:pPr>
      <w:r w:rsidRPr="00CE4583">
        <w:t>4.7</w:t>
      </w:r>
      <w:r w:rsidRPr="00CE4583">
        <w:tab/>
        <w:t xml:space="preserve">The defendants received a fair trial in which they were afforded full legal </w:t>
      </w:r>
      <w:r>
        <w:t>safeguards</w:t>
      </w:r>
      <w:r w:rsidRPr="00CE4583">
        <w:t xml:space="preserve">. They were able to exercise their right to defence through a team of lawyers. The trial was held in open court and was attended by many representatives of civil society and human rights organizations, </w:t>
      </w:r>
      <w:r>
        <w:t xml:space="preserve">and </w:t>
      </w:r>
      <w:r w:rsidRPr="00CE4583">
        <w:t xml:space="preserve">by representatives of foreign diplomatic missions in </w:t>
      </w:r>
      <w:smartTag w:uri="urn:schemas-microsoft-com:office:smarttags" w:element="place">
        <w:smartTag w:uri="urn:schemas-microsoft-com:office:smarttags" w:element="country-region">
          <w:r w:rsidRPr="00CE4583">
            <w:t>Libya</w:t>
          </w:r>
        </w:smartTag>
      </w:smartTag>
      <w:r w:rsidRPr="00CE4583">
        <w:t xml:space="preserve">. </w:t>
      </w:r>
    </w:p>
    <w:p w:rsidR="009A5418" w:rsidRPr="00CE4583" w:rsidRDefault="001C1673" w:rsidP="00FF1BED">
      <w:pPr>
        <w:pStyle w:val="SingleTxtG"/>
      </w:pPr>
      <w:r>
        <w:t>4.8</w:t>
      </w:r>
      <w:r w:rsidR="009A5418" w:rsidRPr="00CE4583">
        <w:tab/>
        <w:t xml:space="preserve">With regard to the allegations of torture, the State </w:t>
      </w:r>
      <w:r w:rsidRPr="00CE4583">
        <w:t xml:space="preserve">party </w:t>
      </w:r>
      <w:r w:rsidR="009A5418" w:rsidRPr="00CE4583">
        <w:t xml:space="preserve">notes that the authors appeared before the committee </w:t>
      </w:r>
      <w:r w:rsidR="009A5418">
        <w:t>set up</w:t>
      </w:r>
      <w:r w:rsidR="009A5418" w:rsidRPr="00CE4583">
        <w:t xml:space="preserve"> to investigate this case on 11 April 1999. The Palestinian doctor and two of the </w:t>
      </w:r>
      <w:r w:rsidR="0095069D">
        <w:t>authors (Nasya Nenova and Krist</w:t>
      </w:r>
      <w:r w:rsidR="009A5418" w:rsidRPr="00CE4583">
        <w:t xml:space="preserve">yana Valcheva) confessed to </w:t>
      </w:r>
      <w:r w:rsidR="009A5418">
        <w:t xml:space="preserve">being party to the </w:t>
      </w:r>
      <w:r w:rsidR="009A5418" w:rsidRPr="00CE4583">
        <w:t xml:space="preserve">crime with the other authors. They were </w:t>
      </w:r>
      <w:r w:rsidR="009A5418">
        <w:t>then</w:t>
      </w:r>
      <w:r w:rsidR="009A5418" w:rsidRPr="00CE4583">
        <w:t xml:space="preserve"> referred to the Office of the Prosecutor-General, where they were questioned by a member of the Department of Public Prosecutions. The Palestinian doctor and one of the authors, Nasya Nenova, made detailed confessions about their </w:t>
      </w:r>
      <w:r w:rsidR="009A5418">
        <w:t xml:space="preserve">involvement </w:t>
      </w:r>
      <w:r w:rsidR="009A5418" w:rsidRPr="00CE4583">
        <w:t>in the crime</w:t>
      </w:r>
      <w:r w:rsidR="009A5418">
        <w:t xml:space="preserve"> together </w:t>
      </w:r>
      <w:r w:rsidR="009A5418" w:rsidRPr="00CE4583">
        <w:t xml:space="preserve">with the other Bulgarian nurses. They said nothing about being tortured by the investigating committee. They consistently </w:t>
      </w:r>
      <w:r w:rsidR="009A5418">
        <w:t xml:space="preserve">admitted </w:t>
      </w:r>
      <w:r w:rsidR="009A5418" w:rsidRPr="00CE4583">
        <w:t xml:space="preserve">their </w:t>
      </w:r>
      <w:r w:rsidR="009A5418">
        <w:t xml:space="preserve">involvement </w:t>
      </w:r>
      <w:r w:rsidR="009A5418" w:rsidRPr="00CE4583">
        <w:t xml:space="preserve">in the crime </w:t>
      </w:r>
      <w:r w:rsidR="009A5418">
        <w:t xml:space="preserve">to </w:t>
      </w:r>
      <w:r w:rsidR="009A5418" w:rsidRPr="00CE4583">
        <w:t xml:space="preserve">all the different judicial authorities </w:t>
      </w:r>
      <w:r w:rsidR="009A5418">
        <w:t xml:space="preserve">before </w:t>
      </w:r>
      <w:r w:rsidR="009A5418" w:rsidRPr="00CE4583">
        <w:t>which they</w:t>
      </w:r>
      <w:r w:rsidR="009A5418">
        <w:t xml:space="preserve"> appeared</w:t>
      </w:r>
      <w:r w:rsidR="009A5418" w:rsidRPr="00CE4583">
        <w:t>. Only after the People</w:t>
      </w:r>
      <w:r w:rsidR="009A5418">
        <w:t>’</w:t>
      </w:r>
      <w:r w:rsidR="009A5418" w:rsidRPr="00CE4583">
        <w:t xml:space="preserve">s Court declared itself </w:t>
      </w:r>
      <w:r w:rsidR="009A5418">
        <w:t xml:space="preserve">not </w:t>
      </w:r>
      <w:r w:rsidR="009A5418" w:rsidRPr="00CE4583">
        <w:t>competen</w:t>
      </w:r>
      <w:r w:rsidR="009A5418">
        <w:t>t</w:t>
      </w:r>
      <w:r w:rsidR="009A5418" w:rsidRPr="00CE4583">
        <w:t xml:space="preserve"> and the case was sent to the Indictments Chamber of the South Benghazi Court of First Instance</w:t>
      </w:r>
      <w:r w:rsidR="009A5418">
        <w:t>,</w:t>
      </w:r>
      <w:r w:rsidR="009A5418" w:rsidRPr="00CE4583">
        <w:t xml:space="preserve"> on 3 June 2002, did they tell the judge that they had been tortured. The judge immediately instructed the Department of Public Prosecutions to investigate the allegations. The Department of Public Prosecutions launched an investigation and took statements from the Palestinian doctor, the authors and the members of the investigating committee. It also ordered a medical investigation. Even though the Department was convinced that the allegations were groundless, it </w:t>
      </w:r>
      <w:r w:rsidR="009A5418">
        <w:t xml:space="preserve">brought </w:t>
      </w:r>
      <w:r w:rsidR="009A5418" w:rsidRPr="00CE4583">
        <w:t>charges against the members of the investigating committee. The Court heard the case</w:t>
      </w:r>
      <w:r w:rsidR="009A5418">
        <w:t>,</w:t>
      </w:r>
      <w:r w:rsidR="009A5418" w:rsidRPr="00CE4583">
        <w:t xml:space="preserve"> and</w:t>
      </w:r>
      <w:r w:rsidR="009A5418">
        <w:t xml:space="preserve"> </w:t>
      </w:r>
      <w:r w:rsidR="009A5418" w:rsidRPr="00CE4583">
        <w:t>acquitt</w:t>
      </w:r>
      <w:r w:rsidR="009A5418">
        <w:t>ed</w:t>
      </w:r>
      <w:r w:rsidR="009A5418" w:rsidRPr="00CE4583">
        <w:t xml:space="preserve"> the members of the investigating committee</w:t>
      </w:r>
      <w:r w:rsidR="009A5418">
        <w:t xml:space="preserve"> </w:t>
      </w:r>
      <w:r w:rsidR="009A5418" w:rsidRPr="00CE4583">
        <w:t>on 7 June 2005.</w:t>
      </w:r>
    </w:p>
    <w:p w:rsidR="009A5418" w:rsidRPr="00CE4583" w:rsidRDefault="009A5418" w:rsidP="00FF1BED">
      <w:pPr>
        <w:pStyle w:val="SingleTxtG"/>
      </w:pPr>
      <w:r w:rsidRPr="00CE4583">
        <w:t>4.9</w:t>
      </w:r>
      <w:r w:rsidRPr="00CE4583">
        <w:tab/>
        <w:t xml:space="preserve">The State </w:t>
      </w:r>
      <w:r w:rsidR="001C1673" w:rsidRPr="00CE4583">
        <w:t xml:space="preserve">party </w:t>
      </w:r>
      <w:r>
        <w:t xml:space="preserve">records </w:t>
      </w:r>
      <w:r w:rsidRPr="00CE4583">
        <w:t>that a total of 115 visits were paid to the convict</w:t>
      </w:r>
      <w:r>
        <w:t>s</w:t>
      </w:r>
      <w:r w:rsidRPr="00CE4583">
        <w:t xml:space="preserve"> in prison by members of foreign organizations and foreign diplomatic missions. The Minister of Justice </w:t>
      </w:r>
      <w:r>
        <w:t xml:space="preserve">asked for </w:t>
      </w:r>
      <w:r w:rsidRPr="00CE4583">
        <w:t>members of the authors</w:t>
      </w:r>
      <w:r>
        <w:t>’</w:t>
      </w:r>
      <w:r w:rsidRPr="00CE4583">
        <w:t xml:space="preserve"> families to </w:t>
      </w:r>
      <w:r>
        <w:t xml:space="preserve">be allowed to </w:t>
      </w:r>
      <w:r w:rsidRPr="00CE4583">
        <w:t xml:space="preserve">visit them every Sunday throughout their detention. A </w:t>
      </w:r>
      <w:r>
        <w:t xml:space="preserve">team </w:t>
      </w:r>
      <w:r w:rsidRPr="00CE4583">
        <w:t xml:space="preserve">of lawyers from </w:t>
      </w:r>
      <w:smartTag w:uri="urn:schemas-microsoft-com:office:smarttags" w:element="place">
        <w:smartTag w:uri="urn:schemas-microsoft-com:office:smarttags" w:element="country-region">
          <w:r w:rsidRPr="00CE4583">
            <w:t>Bulgaria</w:t>
          </w:r>
        </w:smartTag>
      </w:smartTag>
      <w:r w:rsidRPr="00CE4583">
        <w:t xml:space="preserve"> was given permission to </w:t>
      </w:r>
      <w:r>
        <w:t xml:space="preserve">help with </w:t>
      </w:r>
      <w:r w:rsidRPr="00CE4583">
        <w:t xml:space="preserve">the defence of the </w:t>
      </w:r>
      <w:r>
        <w:t>accused</w:t>
      </w:r>
      <w:r w:rsidRPr="00CE4583">
        <w:t>.</w:t>
      </w:r>
    </w:p>
    <w:p w:rsidR="009A5418" w:rsidRPr="00CE4583" w:rsidRDefault="009A5418" w:rsidP="00FF1BED">
      <w:pPr>
        <w:pStyle w:val="SingleTxtG"/>
      </w:pPr>
      <w:r w:rsidRPr="00CE4583">
        <w:t>4.10</w:t>
      </w:r>
      <w:r w:rsidRPr="00CE4583">
        <w:tab/>
        <w:t xml:space="preserve">With regard to the defence statement </w:t>
      </w:r>
      <w:r>
        <w:t xml:space="preserve">produced before </w:t>
      </w:r>
      <w:r w:rsidRPr="00CE4583">
        <w:t xml:space="preserve">the Supreme Court at the appeal against </w:t>
      </w:r>
      <w:r>
        <w:t xml:space="preserve">the </w:t>
      </w:r>
      <w:r w:rsidR="006B6A77">
        <w:t>judgement</w:t>
      </w:r>
      <w:r>
        <w:t xml:space="preserve"> dated </w:t>
      </w:r>
      <w:r w:rsidRPr="00CE4583">
        <w:t>19 December 2006</w:t>
      </w:r>
      <w:r>
        <w:t xml:space="preserve">, of </w:t>
      </w:r>
      <w:r w:rsidRPr="00CE4583">
        <w:t xml:space="preserve">the Benghazi Appeals Court, the State party points out that the Supreme Court </w:t>
      </w:r>
      <w:r>
        <w:t xml:space="preserve">answered </w:t>
      </w:r>
      <w:r w:rsidRPr="00CE4583">
        <w:t>all the objections raised by the authors.</w:t>
      </w:r>
      <w:r w:rsidRPr="00EA0D62">
        <w:rPr>
          <w:rStyle w:val="FootnoteReference"/>
        </w:rPr>
        <w:footnoteReference w:id="18"/>
      </w:r>
    </w:p>
    <w:p w:rsidR="009A5418" w:rsidRPr="00CE4583" w:rsidRDefault="009A5418" w:rsidP="00FF1BED">
      <w:pPr>
        <w:pStyle w:val="H23G"/>
      </w:pPr>
      <w:r>
        <w:tab/>
      </w:r>
      <w:r>
        <w:tab/>
      </w:r>
      <w:r w:rsidRPr="00CE4583">
        <w:t>Authors</w:t>
      </w:r>
      <w:r>
        <w:t>’</w:t>
      </w:r>
      <w:r w:rsidRPr="00CE4583">
        <w:t xml:space="preserve"> comments </w:t>
      </w:r>
    </w:p>
    <w:p w:rsidR="009A5418" w:rsidRPr="00CE4583" w:rsidRDefault="00E034E0" w:rsidP="00FF1BED">
      <w:pPr>
        <w:pStyle w:val="SingleTxtG"/>
      </w:pPr>
      <w:r>
        <w:t>5.1</w:t>
      </w:r>
      <w:r w:rsidR="009A5418" w:rsidRPr="00CE4583">
        <w:tab/>
        <w:t>In a reply dated 12 February 2010, the authors reiterate their arguments regarding the admissibility of the communication, including the exhaustion of domestic remedies and the substantiation of the alleg</w:t>
      </w:r>
      <w:r w:rsidR="009A5418">
        <w:t xml:space="preserve">ations made. On the merits, they </w:t>
      </w:r>
      <w:r w:rsidR="009A5418" w:rsidRPr="00CE4583">
        <w:t xml:space="preserve">note that, in its observations, the State party only </w:t>
      </w:r>
      <w:r w:rsidR="009A5418">
        <w:t xml:space="preserve">contests </w:t>
      </w:r>
      <w:r w:rsidR="009A5418" w:rsidRPr="00CE4583">
        <w:t xml:space="preserve">the arguments put forward in the initial communication </w:t>
      </w:r>
      <w:r w:rsidR="009A5418">
        <w:t>and</w:t>
      </w:r>
      <w:r w:rsidR="009A5418" w:rsidRPr="00CE4583">
        <w:t xml:space="preserve"> does not present any </w:t>
      </w:r>
      <w:r w:rsidR="009A5418">
        <w:t xml:space="preserve">fresh </w:t>
      </w:r>
      <w:r w:rsidR="009A5418" w:rsidRPr="00CE4583">
        <w:t>arguments or evidence. The authors therefore refer the Committee to their initial submission.</w:t>
      </w:r>
    </w:p>
    <w:p w:rsidR="009A5418" w:rsidRPr="00CE4583" w:rsidRDefault="009A5418" w:rsidP="00FF1BED">
      <w:pPr>
        <w:pStyle w:val="SingleTxtG"/>
      </w:pPr>
      <w:r>
        <w:lastRenderedPageBreak/>
        <w:t>5.2</w:t>
      </w:r>
      <w:r w:rsidRPr="00CE4583">
        <w:t xml:space="preserve"> </w:t>
      </w:r>
      <w:r w:rsidRPr="00CE4583">
        <w:tab/>
        <w:t xml:space="preserve">On the subject of discrimination, the State party </w:t>
      </w:r>
      <w:r>
        <w:t xml:space="preserve">argued </w:t>
      </w:r>
      <w:r w:rsidRPr="00CE4583">
        <w:t>that all the evidence pointed towards the authors</w:t>
      </w:r>
      <w:r>
        <w:t>’</w:t>
      </w:r>
      <w:r w:rsidRPr="00CE4583">
        <w:t xml:space="preserve"> guilt. The authors claim they were discriminated against on account of their nationality because, on the contrary, there was no evidence of their guilt, particularly not at the time of their arrest. This is corroborated by the fact that, on 9 February 1999, the authors and 18 members of the international medical team, all Bulgarian</w:t>
      </w:r>
      <w:r>
        <w:t>s</w:t>
      </w:r>
      <w:r w:rsidRPr="00CE4583">
        <w:t xml:space="preserve"> working at different hospitals in </w:t>
      </w:r>
      <w:smartTag w:uri="urn:schemas-microsoft-com:office:smarttags" w:element="place">
        <w:smartTag w:uri="urn:schemas-microsoft-com:office:smarttags" w:element="City">
          <w:r w:rsidRPr="00CE4583">
            <w:t>Benghazi</w:t>
          </w:r>
        </w:smartTag>
      </w:smartTag>
      <w:r w:rsidRPr="00CE4583">
        <w:t>, were arrested by the Libyan police. Seven days later, 17 of them were released. The only evidence against the</w:t>
      </w:r>
      <w:r>
        <w:t xml:space="preserve"> authors</w:t>
      </w:r>
      <w:r w:rsidRPr="00CE4583">
        <w:t xml:space="preserve"> was obtained after their arrest and consisted of confessions obtained under </w:t>
      </w:r>
      <w:r>
        <w:t xml:space="preserve">duress </w:t>
      </w:r>
      <w:r w:rsidRPr="00CE4583">
        <w:t xml:space="preserve">and the </w:t>
      </w:r>
      <w:r>
        <w:t>“</w:t>
      </w:r>
      <w:r w:rsidRPr="00CE4583">
        <w:t>unexpected</w:t>
      </w:r>
      <w:r>
        <w:t>”</w:t>
      </w:r>
      <w:r w:rsidRPr="00CE4583">
        <w:t xml:space="preserve"> discovery of five bottles of contaminated blood plasma at the home of one of the</w:t>
      </w:r>
      <w:r>
        <w:t>m</w:t>
      </w:r>
      <w:r w:rsidRPr="00CE4583">
        <w:t>.</w:t>
      </w:r>
    </w:p>
    <w:p w:rsidR="009A5418" w:rsidRPr="0095407A" w:rsidRDefault="009A5418" w:rsidP="00FF1BED">
      <w:pPr>
        <w:pStyle w:val="H23G"/>
      </w:pPr>
      <w:r>
        <w:tab/>
      </w:r>
      <w:r w:rsidRPr="00CE4583">
        <w:tab/>
      </w:r>
      <w:r w:rsidRPr="0095407A">
        <w:t xml:space="preserve">Issues and proceedings before the Committee </w:t>
      </w:r>
    </w:p>
    <w:p w:rsidR="009A5418" w:rsidRPr="00CE4583" w:rsidRDefault="009A5418" w:rsidP="00FF1BED">
      <w:pPr>
        <w:pStyle w:val="H4G"/>
      </w:pPr>
      <w:r w:rsidRPr="0095407A">
        <w:tab/>
      </w:r>
      <w:r w:rsidRPr="0095407A">
        <w:tab/>
        <w:t>Consideration of admissibility</w:t>
      </w:r>
    </w:p>
    <w:p w:rsidR="009A5418" w:rsidRPr="00CE4583" w:rsidRDefault="009A5418" w:rsidP="00FF1BED">
      <w:pPr>
        <w:pStyle w:val="SingleTxtG"/>
      </w:pPr>
      <w:r w:rsidRPr="00CE4583">
        <w:t xml:space="preserve">6.1 </w:t>
      </w:r>
      <w:r w:rsidRPr="00CE4583">
        <w:tab/>
        <w:t>Before considering any claim contained in a communication, the Human Rights Committee must, in accordance with rule 93 of its rules of procedure, decide whether or not the communication is admissible under the Optional Protocol to the Covenant.</w:t>
      </w:r>
    </w:p>
    <w:p w:rsidR="009A5418" w:rsidRPr="00CE4583" w:rsidRDefault="009A5418" w:rsidP="00FF1BED">
      <w:pPr>
        <w:pStyle w:val="SingleTxtG"/>
      </w:pPr>
      <w:r w:rsidRPr="00CE4583">
        <w:t xml:space="preserve">6.2 </w:t>
      </w:r>
      <w:r w:rsidRPr="00CE4583">
        <w:tab/>
        <w:t>The Committee</w:t>
      </w:r>
      <w:r>
        <w:t xml:space="preserve"> has ascertained</w:t>
      </w:r>
      <w:r w:rsidRPr="00CE4583">
        <w:t>, as required by article 5, paragraph 2 (a), of the Optional Protocol, that the same matter is not being examined under another</w:t>
      </w:r>
      <w:r>
        <w:t xml:space="preserve"> </w:t>
      </w:r>
      <w:r w:rsidRPr="00CE4583">
        <w:t>procedure of international investigation or settlement.</w:t>
      </w:r>
    </w:p>
    <w:p w:rsidR="009A5418" w:rsidRPr="00CE4583" w:rsidRDefault="009A5418" w:rsidP="00FF1BED">
      <w:pPr>
        <w:pStyle w:val="SingleTxtG"/>
      </w:pPr>
      <w:r w:rsidRPr="00CE4583">
        <w:t xml:space="preserve">6.3 </w:t>
      </w:r>
      <w:r w:rsidRPr="00CE4583">
        <w:tab/>
      </w:r>
      <w:r>
        <w:t xml:space="preserve">As </w:t>
      </w:r>
      <w:r w:rsidRPr="00CE4583">
        <w:t>regard</w:t>
      </w:r>
      <w:r>
        <w:t>s</w:t>
      </w:r>
      <w:r w:rsidRPr="00CE4583">
        <w:t xml:space="preserve"> the authors</w:t>
      </w:r>
      <w:r>
        <w:t>’</w:t>
      </w:r>
      <w:r w:rsidRPr="00CE4583">
        <w:t xml:space="preserve"> claim that the death sentence was imposed after an unfair trial, in violation of article 6, the Committee notes that the death sentence was not </w:t>
      </w:r>
      <w:r>
        <w:t>upheld</w:t>
      </w:r>
      <w:r w:rsidRPr="00CE4583">
        <w:t>. In view of the commutation of the death sentences, there is no longer any factual basis for the authors</w:t>
      </w:r>
      <w:r>
        <w:t>’</w:t>
      </w:r>
      <w:r w:rsidRPr="00CE4583">
        <w:t xml:space="preserve"> claim under article 6 of the Covenant. Accordingly, the Committee finds that this part of the claim has not been substantiated and is therefore inadmissible under article 2 of the Optional Protocol.</w:t>
      </w:r>
      <w:r w:rsidRPr="00555A2C">
        <w:rPr>
          <w:rStyle w:val="FootnoteReference"/>
        </w:rPr>
        <w:footnoteReference w:id="19"/>
      </w:r>
    </w:p>
    <w:p w:rsidR="009A5418" w:rsidRPr="00567056" w:rsidRDefault="009A5418" w:rsidP="00FF1BED">
      <w:pPr>
        <w:pStyle w:val="SingleTxtG"/>
      </w:pPr>
      <w:r>
        <w:t>6.4</w:t>
      </w:r>
      <w:r w:rsidRPr="00567056">
        <w:tab/>
        <w:t>The Committee notes that the State party asked the Committee to declare the communication inadmissible without providing grounds for its request. The Committee</w:t>
      </w:r>
      <w:r w:rsidR="005670D3">
        <w:t>, however,</w:t>
      </w:r>
      <w:r w:rsidRPr="00567056">
        <w:t xml:space="preserve"> finds that there is nothing that prevents the communication from being </w:t>
      </w:r>
      <w:r>
        <w:t xml:space="preserve">considered </w:t>
      </w:r>
      <w:r w:rsidRPr="00567056">
        <w:t>admissible under articles 2</w:t>
      </w:r>
      <w:r w:rsidR="003968BF">
        <w:t>;</w:t>
      </w:r>
      <w:r w:rsidRPr="00567056">
        <w:t xml:space="preserve"> 7</w:t>
      </w:r>
      <w:r w:rsidR="003968BF">
        <w:t>;</w:t>
      </w:r>
      <w:r w:rsidRPr="00567056">
        <w:t xml:space="preserve"> 9</w:t>
      </w:r>
      <w:r w:rsidR="003968BF">
        <w:t>;</w:t>
      </w:r>
      <w:r w:rsidRPr="00567056">
        <w:t xml:space="preserve"> 10, </w:t>
      </w:r>
      <w:r w:rsidR="003968BF">
        <w:t xml:space="preserve">paragraph 1; </w:t>
      </w:r>
      <w:r w:rsidRPr="00567056">
        <w:t xml:space="preserve">14 and 26 of the Covenant as the allegations have </w:t>
      </w:r>
      <w:r w:rsidR="005670D3">
        <w:t xml:space="preserve">all </w:t>
      </w:r>
      <w:r w:rsidRPr="00567056">
        <w:t>been sufficiently substantiated.</w:t>
      </w:r>
    </w:p>
    <w:p w:rsidR="009A5418" w:rsidRPr="00567056" w:rsidRDefault="009A5418" w:rsidP="00FF1BED">
      <w:pPr>
        <w:pStyle w:val="SingleTxtG"/>
      </w:pPr>
      <w:r w:rsidRPr="00567056">
        <w:t>6.5</w:t>
      </w:r>
      <w:r w:rsidRPr="00567056">
        <w:tab/>
        <w:t>The Committee therefore declares the communication to be admissible insofar as it raises issues under articles 2; 7; 9; 10, paragraph 1; 14 and 26 of the Covenant.</w:t>
      </w:r>
    </w:p>
    <w:p w:rsidR="009A5418" w:rsidRPr="00567056" w:rsidRDefault="009A5418" w:rsidP="00FF1BED">
      <w:pPr>
        <w:pStyle w:val="H4G"/>
      </w:pPr>
      <w:r>
        <w:tab/>
      </w:r>
      <w:r>
        <w:tab/>
      </w:r>
      <w:r w:rsidRPr="00567056">
        <w:t>Consideration of the merits</w:t>
      </w:r>
    </w:p>
    <w:p w:rsidR="009A5418" w:rsidRPr="00567056" w:rsidRDefault="009A5418" w:rsidP="00FF1BED">
      <w:pPr>
        <w:pStyle w:val="SingleTxtG"/>
      </w:pPr>
      <w:r w:rsidRPr="00567056">
        <w:t>7.1</w:t>
      </w:r>
      <w:r w:rsidRPr="00567056">
        <w:tab/>
        <w:t>The Human Rights Committee has considered the communication in the light of all the information made available to it by the parties, as provided for under article 5, paragraph 1, of the Optional Protocol.</w:t>
      </w:r>
    </w:p>
    <w:p w:rsidR="009A5418" w:rsidRPr="00567056" w:rsidRDefault="009A5418" w:rsidP="00FF1BED">
      <w:pPr>
        <w:pStyle w:val="SingleTxtG"/>
      </w:pPr>
      <w:r w:rsidRPr="00567056">
        <w:t>7.2</w:t>
      </w:r>
      <w:r w:rsidRPr="00567056">
        <w:tab/>
        <w:t>The Committee notes the authors</w:t>
      </w:r>
      <w:r>
        <w:t>’</w:t>
      </w:r>
      <w:r w:rsidRPr="00567056">
        <w:t xml:space="preserve"> allegation that they were drugged and tortured to obtain confessions and that those allegations were corroborated during the trial by medical reports and </w:t>
      </w:r>
      <w:r>
        <w:t>testimony</w:t>
      </w:r>
      <w:r w:rsidRPr="00567056">
        <w:t xml:space="preserve"> </w:t>
      </w:r>
      <w:r>
        <w:t>from</w:t>
      </w:r>
      <w:r w:rsidRPr="00567056">
        <w:t xml:space="preserve"> witnesses including the police officers in charge of the investigation. </w:t>
      </w:r>
      <w:r>
        <w:t>It</w:t>
      </w:r>
      <w:r w:rsidRPr="00567056">
        <w:t xml:space="preserve"> takes note of the authors</w:t>
      </w:r>
      <w:r>
        <w:t>’</w:t>
      </w:r>
      <w:r w:rsidRPr="00567056">
        <w:t xml:space="preserve"> argument</w:t>
      </w:r>
      <w:r>
        <w:t>s</w:t>
      </w:r>
      <w:r w:rsidRPr="00567056">
        <w:t xml:space="preserve"> that the burden of proof should not rest solely on them</w:t>
      </w:r>
      <w:r>
        <w:t>;</w:t>
      </w:r>
      <w:r w:rsidRPr="00567056">
        <w:t xml:space="preserve"> that the complaints of torture were made as soon as possible</w:t>
      </w:r>
      <w:r>
        <w:t>,</w:t>
      </w:r>
      <w:r w:rsidRPr="00567056">
        <w:t xml:space="preserve"> when the authors were </w:t>
      </w:r>
      <w:r>
        <w:t>at last</w:t>
      </w:r>
      <w:r w:rsidRPr="00567056">
        <w:t xml:space="preserve"> brought before a judge after </w:t>
      </w:r>
      <w:r>
        <w:t xml:space="preserve">a </w:t>
      </w:r>
      <w:r w:rsidRPr="00567056">
        <w:t>year in detention</w:t>
      </w:r>
      <w:r>
        <w:t>;</w:t>
      </w:r>
      <w:r w:rsidRPr="00567056">
        <w:t xml:space="preserve"> that at that time they </w:t>
      </w:r>
      <w:r>
        <w:lastRenderedPageBreak/>
        <w:t xml:space="preserve">bore </w:t>
      </w:r>
      <w:r w:rsidRPr="00567056">
        <w:t xml:space="preserve">clear signs of torture but no </w:t>
      </w:r>
      <w:r>
        <w:t>action was</w:t>
      </w:r>
      <w:r w:rsidRPr="00567056">
        <w:t xml:space="preserve"> taken by the prosecutor or the court</w:t>
      </w:r>
      <w:r>
        <w:t>;</w:t>
      </w:r>
      <w:r w:rsidRPr="00567056">
        <w:t xml:space="preserve"> and that the subsequent investigation cannot be considered either prompt or thorough.</w:t>
      </w:r>
    </w:p>
    <w:p w:rsidR="009A5418" w:rsidRPr="00567056" w:rsidRDefault="009A5418" w:rsidP="00FF1BED">
      <w:pPr>
        <w:pStyle w:val="SingleTxtG"/>
      </w:pPr>
      <w:r>
        <w:t>7.3</w:t>
      </w:r>
      <w:r w:rsidRPr="00567056">
        <w:tab/>
        <w:t>The Committee takes note of the State party</w:t>
      </w:r>
      <w:r>
        <w:t>’</w:t>
      </w:r>
      <w:r w:rsidRPr="00567056">
        <w:t>s argument</w:t>
      </w:r>
      <w:r>
        <w:t>s</w:t>
      </w:r>
      <w:r w:rsidRPr="00567056">
        <w:t xml:space="preserve"> that some of the authors consistently </w:t>
      </w:r>
      <w:r>
        <w:t>admitted involvement</w:t>
      </w:r>
      <w:r w:rsidRPr="00567056">
        <w:t xml:space="preserve"> in the crime </w:t>
      </w:r>
      <w:r>
        <w:t xml:space="preserve">to </w:t>
      </w:r>
      <w:r w:rsidRPr="00567056">
        <w:t xml:space="preserve">all the different judicial authorities </w:t>
      </w:r>
      <w:r>
        <w:t xml:space="preserve">before </w:t>
      </w:r>
      <w:r w:rsidRPr="00567056">
        <w:t xml:space="preserve">which they </w:t>
      </w:r>
      <w:r>
        <w:t>appeared</w:t>
      </w:r>
      <w:r w:rsidRPr="00567056">
        <w:t>;</w:t>
      </w:r>
      <w:r>
        <w:rPr>
          <w:rStyle w:val="FootnoteReference"/>
        </w:rPr>
        <w:footnoteReference w:id="20"/>
      </w:r>
      <w:r>
        <w:t xml:space="preserve"> </w:t>
      </w:r>
      <w:r w:rsidRPr="00567056">
        <w:t xml:space="preserve">that it was not until 3 June 2002 that they told a judge they had been tortured; that the judge immediately instructed the General Prosecution Office to investigate the allegations of torture made by the authors and co-defendant, that the General Prosecution Office opened an investigation and took statements from the Palestinian doctor, the authors and members of the investigating committee; that the General Prosecution Office also ordered a medical investigation; and that, although it was convinced that the allegations were groundless, it </w:t>
      </w:r>
      <w:r>
        <w:t>brought charges against</w:t>
      </w:r>
      <w:r w:rsidRPr="00567056">
        <w:t xml:space="preserve"> the members of the investigating committee. The Committee also takes note of the information </w:t>
      </w:r>
      <w:r>
        <w:t>from</w:t>
      </w:r>
      <w:r w:rsidRPr="00567056">
        <w:t xml:space="preserve"> the State party that the court acquitted the </w:t>
      </w:r>
      <w:r>
        <w:t xml:space="preserve">committee </w:t>
      </w:r>
      <w:r w:rsidRPr="00567056">
        <w:t>members</w:t>
      </w:r>
      <w:r>
        <w:t xml:space="preserve"> on 7 June 2005.</w:t>
      </w:r>
    </w:p>
    <w:p w:rsidR="009A5418" w:rsidRPr="00567056" w:rsidRDefault="009A5418" w:rsidP="00FF1BED">
      <w:pPr>
        <w:pStyle w:val="SingleTxtG"/>
      </w:pPr>
      <w:r w:rsidRPr="00567056">
        <w:t>7.4</w:t>
      </w:r>
      <w:r w:rsidRPr="00567056">
        <w:tab/>
        <w:t xml:space="preserve">The Committee also notes that, for 14 months after their arrest, the authors were allegedly kept incommunicado in police facilities and not in a prison; that during the first few days they were held with 20 other women in a small, dirty, windowless cell; and that they were then kept in solitary confinement in degrading conditions that did not meet the minimum standards for the treatment of persons in detention. </w:t>
      </w:r>
      <w:r>
        <w:t xml:space="preserve">It </w:t>
      </w:r>
      <w:r w:rsidRPr="00567056">
        <w:t>notes the authors</w:t>
      </w:r>
      <w:r>
        <w:t>’</w:t>
      </w:r>
      <w:r w:rsidRPr="00567056">
        <w:t xml:space="preserve"> </w:t>
      </w:r>
      <w:r w:rsidR="003968BF">
        <w:t xml:space="preserve">further </w:t>
      </w:r>
      <w:r w:rsidRPr="00567056">
        <w:t xml:space="preserve">allegation </w:t>
      </w:r>
      <w:r w:rsidR="003968BF">
        <w:t xml:space="preserve">under article 7 </w:t>
      </w:r>
      <w:r w:rsidRPr="00567056">
        <w:t xml:space="preserve">that one of them was forced to renounce her religion and adopt another. </w:t>
      </w:r>
      <w:r>
        <w:t xml:space="preserve">It </w:t>
      </w:r>
      <w:r w:rsidRPr="00567056">
        <w:t>notes that these allegations have not been refuted by the State party.</w:t>
      </w:r>
    </w:p>
    <w:p w:rsidR="009A5418" w:rsidRPr="00567056" w:rsidRDefault="009A5418" w:rsidP="00FF1BED">
      <w:pPr>
        <w:pStyle w:val="SingleTxtG"/>
      </w:pPr>
      <w:r w:rsidRPr="00567056">
        <w:t>7.5</w:t>
      </w:r>
      <w:r w:rsidRPr="00567056">
        <w:tab/>
      </w:r>
      <w:r>
        <w:t>T</w:t>
      </w:r>
      <w:r w:rsidRPr="00567056">
        <w:t>he Committee reaffirms its jurisprudence that the burden of proof cannot rest on the author of a communication alone, especially considering that the author and the State party do not always have equal access to the evidence and frequently the State party alone has the relevant information.</w:t>
      </w:r>
      <w:r>
        <w:rPr>
          <w:rStyle w:val="FootnoteReference"/>
        </w:rPr>
        <w:footnoteReference w:id="21"/>
      </w:r>
      <w:r w:rsidRPr="00567056">
        <w:t xml:space="preserve"> It is implicit in article 4, paragraph 2, of the Optional Protocol that the State party has the duty to investigate in good faith all allegations of violations of the Covenant made against it and its representatives and to furnish to the Committee the information available to it. In cases where the author has submitted allegations to the State party that are corroborated by credible evidence and where further clarification depends on information that is solely in the hands of the State party, the Committee may consider those allegations substantiated in the absence of satisfactory evidence or explanations to the contrary presented by the State party. The Committee also recalls its jurisprudence that the State party is duty-bound not only to conduct thorough investigations into alleged violations of human rights, </w:t>
      </w:r>
      <w:r w:rsidR="005670D3">
        <w:t xml:space="preserve">including violations of the prohibition of torture, </w:t>
      </w:r>
      <w:r w:rsidRPr="00567056">
        <w:t>but also to prosecute, try and punish the culprits.</w:t>
      </w:r>
      <w:r>
        <w:rPr>
          <w:rStyle w:val="FootnoteReference"/>
        </w:rPr>
        <w:footnoteReference w:id="22"/>
      </w:r>
      <w:r w:rsidRPr="00567056">
        <w:t xml:space="preserve"> With regard to the incommunicado detention, the Committee recognizes the degree of suffering involved in being held indefinitely without contact with the outside world. It recalls its general comment No. 20 </w:t>
      </w:r>
      <w:r w:rsidR="00A958F1" w:rsidRPr="008771DA">
        <w:t>(</w:t>
      </w:r>
      <w:r w:rsidR="00A958F1">
        <w:t>1992</w:t>
      </w:r>
      <w:r w:rsidR="00A958F1" w:rsidRPr="008771DA">
        <w:t>)</w:t>
      </w:r>
      <w:r w:rsidR="00A958F1">
        <w:t xml:space="preserve"> on the prohibition of torture or cruel, inhuman or degrading treatment or punishment</w:t>
      </w:r>
      <w:r w:rsidRPr="00567056">
        <w:t>, which recommends that State</w:t>
      </w:r>
      <w:r>
        <w:t>s parties should make provision</w:t>
      </w:r>
      <w:r w:rsidRPr="00567056">
        <w:t xml:space="preserve"> against </w:t>
      </w:r>
      <w:r>
        <w:t xml:space="preserve">detention </w:t>
      </w:r>
      <w:r w:rsidRPr="00567056">
        <w:t>incommunicado.</w:t>
      </w:r>
      <w:r>
        <w:rPr>
          <w:rStyle w:val="FootnoteReference"/>
        </w:rPr>
        <w:footnoteReference w:id="23"/>
      </w:r>
    </w:p>
    <w:p w:rsidR="009A5418" w:rsidRPr="00567056" w:rsidRDefault="009A5418" w:rsidP="00FF1BED">
      <w:pPr>
        <w:pStyle w:val="SingleTxtG"/>
      </w:pPr>
      <w:r w:rsidRPr="00567056">
        <w:t>7.6</w:t>
      </w:r>
      <w:r w:rsidRPr="00567056">
        <w:tab/>
        <w:t>In the light of the above, the Committee concludes that the treatment inflicted on the authors constitutes torture and that the explanations provided by the State party</w:t>
      </w:r>
      <w:r w:rsidR="005670D3">
        <w:t xml:space="preserve">, including </w:t>
      </w:r>
      <w:r w:rsidR="005670D3">
        <w:lastRenderedPageBreak/>
        <w:t>the reference to the verdict of the Tripoli Appeals Court of 7 June 2005,</w:t>
      </w:r>
      <w:r w:rsidRPr="00567056">
        <w:t xml:space="preserve"> are not such as to conclude that a prompt, thorough and impartial investigation was carried out despite the presentation of clear evidence of torture, such as that contained in the medical reports and the testimon</w:t>
      </w:r>
      <w:r>
        <w:t>y</w:t>
      </w:r>
      <w:r w:rsidRPr="00567056">
        <w:t xml:space="preserve"> of the alleged culprits. On the basis of the information available to it, the Committee concludes that the torture inflicted on the authors and the absence of a prompt, thorough and impartial investigation of the facts constitute a violation of article 7, alone and read in conjunction with article 2, paragraph 3, of the Covenant.</w:t>
      </w:r>
    </w:p>
    <w:p w:rsidR="009A5418" w:rsidRPr="00567056" w:rsidRDefault="009A5418" w:rsidP="00FF1BED">
      <w:pPr>
        <w:pStyle w:val="SingleTxtG"/>
      </w:pPr>
      <w:r w:rsidRPr="00567056">
        <w:t>7.7</w:t>
      </w:r>
      <w:r w:rsidRPr="00567056">
        <w:tab/>
        <w:t>Having reached that conclusion, the Committee d</w:t>
      </w:r>
      <w:r w:rsidR="005670D3">
        <w:t>ecides</w:t>
      </w:r>
      <w:r w:rsidRPr="00567056">
        <w:t xml:space="preserve"> not </w:t>
      </w:r>
      <w:r w:rsidR="005670D3">
        <w:t>to address</w:t>
      </w:r>
      <w:r w:rsidRPr="00567056">
        <w:t xml:space="preserve"> the authors</w:t>
      </w:r>
      <w:r>
        <w:t>’</w:t>
      </w:r>
      <w:r w:rsidRPr="00567056">
        <w:t xml:space="preserve"> allegations under </w:t>
      </w:r>
      <w:r>
        <w:t>article 10 of the Covenant.</w:t>
      </w:r>
    </w:p>
    <w:p w:rsidR="009A5418" w:rsidRPr="00567056" w:rsidRDefault="009A5418" w:rsidP="00FF1BED">
      <w:pPr>
        <w:pStyle w:val="SingleTxtG"/>
      </w:pPr>
      <w:r w:rsidRPr="00567056">
        <w:t>7.8</w:t>
      </w:r>
      <w:r w:rsidRPr="00567056">
        <w:tab/>
        <w:t>Concerning article 9, the Committee notes that in violation of Libyan law, the authors did not appear before the prosecutor until 16 May 1999, three months after their arrest, and that they were kept incommunicado until 30 November 1999, when their families were finally given permission to see them. The Committee notes the authors</w:t>
      </w:r>
      <w:r>
        <w:t>’</w:t>
      </w:r>
      <w:r w:rsidRPr="00567056">
        <w:t xml:space="preserve"> allegations that they were not promptly informed of the charges against them; that it was not until they appeared before the prosecutor that they finally heard those charges, and then not in the presence of a lawyer; and that they were not brought promptly before a </w:t>
      </w:r>
      <w:r>
        <w:t>“</w:t>
      </w:r>
      <w:r w:rsidRPr="00567056">
        <w:t>judicial authority</w:t>
      </w:r>
      <w:r>
        <w:t>”</w:t>
      </w:r>
      <w:r w:rsidRPr="00567056">
        <w:t xml:space="preserve"> as the first time they appeared in court was on 7 February 2000. The Committee notes that the State party has not refuted these allegations. In the absence of any pertinent explanations from the State party, the Committee finds a violation of article 9 of the Covenant.</w:t>
      </w:r>
      <w:r>
        <w:rPr>
          <w:rStyle w:val="FootnoteReference"/>
        </w:rPr>
        <w:footnoteReference w:id="24"/>
      </w:r>
    </w:p>
    <w:p w:rsidR="009A5418" w:rsidRPr="00CE4583" w:rsidRDefault="009A5418" w:rsidP="00FF1BED">
      <w:pPr>
        <w:pStyle w:val="SingleTxtG"/>
      </w:pPr>
      <w:r w:rsidRPr="00567056">
        <w:t>7.9</w:t>
      </w:r>
      <w:r w:rsidRPr="00567056">
        <w:tab/>
        <w:t xml:space="preserve">The authors also allege a violation of article 14 of the Covenant. </w:t>
      </w:r>
      <w:r>
        <w:t>Here</w:t>
      </w:r>
      <w:r w:rsidRPr="00567056">
        <w:t xml:space="preserve"> the Committee notes the following: the authors </w:t>
      </w:r>
      <w:r>
        <w:t xml:space="preserve">claim they </w:t>
      </w:r>
      <w:r w:rsidRPr="00567056">
        <w:t xml:space="preserve">were not informed of the charges against them during the first three months of their detention; they did not </w:t>
      </w:r>
      <w:r w:rsidRPr="00CE4583">
        <w:t xml:space="preserve">have access to an interpreter throughout the trial; they were not assigned a lawyer to defend them until 17 February 2000, </w:t>
      </w:r>
      <w:r>
        <w:t xml:space="preserve">10 </w:t>
      </w:r>
      <w:r w:rsidRPr="00CE4583">
        <w:t xml:space="preserve">days after the trial began and a whole year after their arrest; they were forced, under torture, to testify against themselves; and </w:t>
      </w:r>
      <w:r>
        <w:t xml:space="preserve">there was no </w:t>
      </w:r>
      <w:r w:rsidRPr="00CE4583">
        <w:t xml:space="preserve">lawyer </w:t>
      </w:r>
      <w:r>
        <w:t xml:space="preserve">in attendance </w:t>
      </w:r>
      <w:r w:rsidRPr="00CE4583">
        <w:t>when they made their confessions before the prosecutor. In addition, the Committee notes that the Court, without providing sufficient grounds, dismissed the expert testimony of Professor Montagnier and Professor Collizi; that the second search of Ms. Valcheva</w:t>
      </w:r>
      <w:r>
        <w:t>’</w:t>
      </w:r>
      <w:r w:rsidRPr="00CE4583">
        <w:t xml:space="preserve">s home, in which the police discovered five flasks of contaminated blood plasma, was allegedly carried out without </w:t>
      </w:r>
      <w:r>
        <w:t xml:space="preserve">either </w:t>
      </w:r>
      <w:r w:rsidRPr="00CE4583">
        <w:t>the authors or a defence lawyer</w:t>
      </w:r>
      <w:r>
        <w:t xml:space="preserve"> present</w:t>
      </w:r>
      <w:r w:rsidRPr="00CE4583">
        <w:t xml:space="preserve">; and that the prosecution allegedly never produced the official reports of the searches. </w:t>
      </w:r>
      <w:r>
        <w:t xml:space="preserve">It </w:t>
      </w:r>
      <w:r w:rsidRPr="00CE4583">
        <w:t>further notes the authors</w:t>
      </w:r>
      <w:r>
        <w:t>’</w:t>
      </w:r>
      <w:r w:rsidRPr="00CE4583">
        <w:t xml:space="preserve"> allegation that the trial </w:t>
      </w:r>
      <w:r>
        <w:t xml:space="preserve">was subject to excessive </w:t>
      </w:r>
      <w:r w:rsidRPr="00CE4583">
        <w:t>delays</w:t>
      </w:r>
      <w:r>
        <w:t>,</w:t>
      </w:r>
      <w:r w:rsidRPr="00CE4583">
        <w:t xml:space="preserve"> in violation of article 14 of the Covenant. It also notes the State party</w:t>
      </w:r>
      <w:r>
        <w:t>’</w:t>
      </w:r>
      <w:r w:rsidRPr="00CE4583">
        <w:t>s argument that the authors received a fair trial in which they were afforded full legal</w:t>
      </w:r>
      <w:r>
        <w:t xml:space="preserve"> safeguards</w:t>
      </w:r>
      <w:r w:rsidRPr="00CE4583">
        <w:t xml:space="preserve">, that they </w:t>
      </w:r>
      <w:r>
        <w:t xml:space="preserve">were able to </w:t>
      </w:r>
      <w:r w:rsidRPr="00CE4583">
        <w:t>exercise their right to defence through a team of lawyers, and that the trial was held in open court and attended by many representatives of civil society, human rights organizations and foreig</w:t>
      </w:r>
      <w:r>
        <w:t>n diplomatic missions in Libya.</w:t>
      </w:r>
    </w:p>
    <w:p w:rsidR="009A5418" w:rsidRPr="00CE4583" w:rsidRDefault="009A5418" w:rsidP="00FF1BED">
      <w:pPr>
        <w:pStyle w:val="SingleTxtG"/>
      </w:pPr>
      <w:r w:rsidRPr="00CE4583">
        <w:t>7.10</w:t>
      </w:r>
      <w:r w:rsidRPr="00CE4583">
        <w:tab/>
        <w:t xml:space="preserve">The Committee reaffirms its </w:t>
      </w:r>
      <w:r w:rsidR="00E9613B" w:rsidRPr="002C6F1A">
        <w:rPr>
          <w:snapToGrid w:val="0"/>
          <w:szCs w:val="24"/>
        </w:rPr>
        <w:t>general comment No. 32</w:t>
      </w:r>
      <w:r w:rsidR="00E9613B">
        <w:rPr>
          <w:snapToGrid w:val="0"/>
          <w:szCs w:val="24"/>
        </w:rPr>
        <w:t xml:space="preserve"> (2007) on the r</w:t>
      </w:r>
      <w:r w:rsidR="00E9613B" w:rsidRPr="0055162C">
        <w:rPr>
          <w:snapToGrid w:val="0"/>
          <w:szCs w:val="24"/>
        </w:rPr>
        <w:t>ight to equality before courts and tribunals and to a fair trial</w:t>
      </w:r>
      <w:r w:rsidR="00E9613B" w:rsidRPr="00CE4583" w:rsidDel="00E9613B">
        <w:t xml:space="preserve"> </w:t>
      </w:r>
      <w:r w:rsidRPr="00CE4583">
        <w:t xml:space="preserve">in which it insists that, in general terms, the right to equality before courts and tribunals in addition to guaranteeing the principles mentioned in the second sentence of </w:t>
      </w:r>
      <w:r>
        <w:t>a</w:t>
      </w:r>
      <w:r w:rsidRPr="00CE4583">
        <w:t>rticle 14, paragraph 1, also guarantees those of equal access and equality of arms and ensures that the parties to the proceedings in question are treated without any discrimination.</w:t>
      </w:r>
      <w:r>
        <w:rPr>
          <w:rStyle w:val="FootnoteReference"/>
        </w:rPr>
        <w:footnoteReference w:id="25"/>
      </w:r>
      <w:r w:rsidRPr="00CE4583">
        <w:t xml:space="preserve"> In the present case, </w:t>
      </w:r>
      <w:r w:rsidR="003968BF">
        <w:t>taking into account the information provided by the State party, t</w:t>
      </w:r>
      <w:r w:rsidRPr="00CE4583">
        <w:t>he Committee is therefore of the view that the State party is responsible for a</w:t>
      </w:r>
      <w:r w:rsidR="005670D3">
        <w:t>n accumulation of</w:t>
      </w:r>
      <w:r>
        <w:t xml:space="preserve"> </w:t>
      </w:r>
      <w:r w:rsidRPr="00CE4583">
        <w:t>violation</w:t>
      </w:r>
      <w:r w:rsidR="005670D3">
        <w:t>s</w:t>
      </w:r>
      <w:r w:rsidRPr="00CE4583">
        <w:t xml:space="preserve"> of the right to fair trial, particularly as regards </w:t>
      </w:r>
      <w:r w:rsidR="00B25269">
        <w:rPr>
          <w:lang w:val="en-US"/>
        </w:rPr>
        <w:t>the violation of the right not to testify against oneself, the violation of</w:t>
      </w:r>
      <w:r w:rsidR="00B25269" w:rsidRPr="00CE4583">
        <w:t xml:space="preserve"> </w:t>
      </w:r>
      <w:r w:rsidRPr="00CE4583">
        <w:t>the principle of equality of arms, which was violated through the unequal access provided to evidence and expert opinions, and the defendants</w:t>
      </w:r>
      <w:r>
        <w:t>’</w:t>
      </w:r>
      <w:r w:rsidRPr="00CE4583">
        <w:t xml:space="preserve"> right to have adequate time and facilities for the preparation of their defence</w:t>
      </w:r>
      <w:r w:rsidR="00E850F4">
        <w:t xml:space="preserve">, </w:t>
      </w:r>
      <w:r w:rsidR="00E850F4">
        <w:rPr>
          <w:lang w:val="en-US"/>
        </w:rPr>
        <w:t>through the lack of access to a lawyer prior to the beginning of the trial</w:t>
      </w:r>
      <w:r w:rsidRPr="00CE4583">
        <w:t xml:space="preserve">. The Committee concludes that the trial and conviction of the authors constitute a violation </w:t>
      </w:r>
      <w:r w:rsidR="006A4390">
        <w:t xml:space="preserve">of </w:t>
      </w:r>
      <w:r>
        <w:t>article 14 of the Covenant.</w:t>
      </w:r>
    </w:p>
    <w:p w:rsidR="00E850F4" w:rsidRPr="006E055F" w:rsidRDefault="009A5418" w:rsidP="00E850F4">
      <w:pPr>
        <w:pStyle w:val="SingleTxtG"/>
        <w:rPr>
          <w:lang w:val="en-US"/>
        </w:rPr>
      </w:pPr>
      <w:r w:rsidRPr="00CE4583">
        <w:t>7.11</w:t>
      </w:r>
      <w:r w:rsidRPr="00CE4583">
        <w:tab/>
      </w:r>
      <w:r w:rsidR="00E850F4">
        <w:t xml:space="preserve">In </w:t>
      </w:r>
      <w:r w:rsidR="00E9613B">
        <w:t xml:space="preserve">the </w:t>
      </w:r>
      <w:r w:rsidR="00E850F4">
        <w:t xml:space="preserve">light of the foregoing conclusion, </w:t>
      </w:r>
      <w:r w:rsidR="00E850F4" w:rsidRPr="006E055F">
        <w:rPr>
          <w:lang w:val="en-US"/>
        </w:rPr>
        <w:t xml:space="preserve">the Committee </w:t>
      </w:r>
      <w:r w:rsidR="00E850F4">
        <w:rPr>
          <w:lang w:val="en-US"/>
        </w:rPr>
        <w:t xml:space="preserve">decides not </w:t>
      </w:r>
      <w:r w:rsidR="00E850F4" w:rsidRPr="006E055F">
        <w:rPr>
          <w:lang w:val="en-US"/>
        </w:rPr>
        <w:t>to address the author</w:t>
      </w:r>
      <w:r w:rsidR="00E850F4">
        <w:rPr>
          <w:lang w:val="en-US"/>
        </w:rPr>
        <w:t>s’</w:t>
      </w:r>
      <w:r w:rsidR="00E850F4" w:rsidRPr="006E055F">
        <w:rPr>
          <w:lang w:val="en-US"/>
        </w:rPr>
        <w:t xml:space="preserve"> allegations under article</w:t>
      </w:r>
      <w:r w:rsidR="006A4390">
        <w:rPr>
          <w:lang w:val="en-US"/>
        </w:rPr>
        <w:t>s</w:t>
      </w:r>
      <w:r w:rsidR="00E850F4" w:rsidRPr="006E055F">
        <w:rPr>
          <w:lang w:val="en-US"/>
        </w:rPr>
        <w:t xml:space="preserve"> </w:t>
      </w:r>
      <w:r w:rsidR="00E850F4">
        <w:rPr>
          <w:lang w:val="en-US"/>
        </w:rPr>
        <w:t>2 and 26</w:t>
      </w:r>
      <w:r w:rsidR="00E850F4" w:rsidRPr="006E055F">
        <w:rPr>
          <w:lang w:val="en-US"/>
        </w:rPr>
        <w:t xml:space="preserve"> of the Covenant.</w:t>
      </w:r>
    </w:p>
    <w:p w:rsidR="009A5418" w:rsidRPr="00CE4583" w:rsidRDefault="009A5418" w:rsidP="00FF1BED">
      <w:pPr>
        <w:pStyle w:val="SingleTxtG"/>
      </w:pPr>
      <w:r w:rsidRPr="00CE4583">
        <w:t>8.</w:t>
      </w:r>
      <w:r w:rsidRPr="00CE4583">
        <w:tab/>
        <w:t>The Human Rights Committee, acting under article 5, paragraph 4, of the Optional Protocol, is of the view that the facts before it disclose a violation of article 7, read alone and together with article 2, paragraph 3</w:t>
      </w:r>
      <w:r w:rsidR="003968BF">
        <w:t>;</w:t>
      </w:r>
      <w:r w:rsidRPr="00CE4583">
        <w:t xml:space="preserve"> </w:t>
      </w:r>
      <w:r>
        <w:t xml:space="preserve">and </w:t>
      </w:r>
      <w:r w:rsidRPr="00CE4583">
        <w:t>violation</w:t>
      </w:r>
      <w:r>
        <w:t>s</w:t>
      </w:r>
      <w:r w:rsidRPr="00CE4583">
        <w:t xml:space="preserve"> of articles</w:t>
      </w:r>
      <w:r>
        <w:t xml:space="preserve"> 9</w:t>
      </w:r>
      <w:r w:rsidR="003968BF">
        <w:t xml:space="preserve"> and</w:t>
      </w:r>
      <w:r>
        <w:t xml:space="preserve"> 14 of the Covenant.</w:t>
      </w:r>
    </w:p>
    <w:p w:rsidR="009A5418" w:rsidRPr="00CE4583" w:rsidRDefault="009A5418" w:rsidP="00FF1BED">
      <w:pPr>
        <w:pStyle w:val="SingleTxtG"/>
      </w:pPr>
      <w:r>
        <w:t>9.</w:t>
      </w:r>
      <w:r>
        <w:tab/>
      </w:r>
      <w:r w:rsidRPr="00CE4583">
        <w:t xml:space="preserve">In accordance with article 2, paragraph 3 (a), of the Covenant, the State party is under an obligation to provide the authors with an effective remedy, </w:t>
      </w:r>
      <w:r w:rsidR="00E850F4">
        <w:t xml:space="preserve">including </w:t>
      </w:r>
      <w:r w:rsidRPr="00CE4583">
        <w:t>conduct</w:t>
      </w:r>
      <w:r w:rsidR="00E850F4">
        <w:t>ing, as an alternative to what has already been undertaken by the State party,</w:t>
      </w:r>
      <w:r w:rsidRPr="00CE4583">
        <w:t xml:space="preserve"> a thorough</w:t>
      </w:r>
      <w:r>
        <w:t>,</w:t>
      </w:r>
      <w:r w:rsidRPr="00CE4583">
        <w:t xml:space="preserve"> in-depth investigation of the allegations of torture and to prosecute those responsible for the treatment inflicted on the authors, </w:t>
      </w:r>
      <w:r>
        <w:t xml:space="preserve">and </w:t>
      </w:r>
      <w:r w:rsidRPr="00CE4583">
        <w:t>to grant the authors appropriate</w:t>
      </w:r>
      <w:r>
        <w:t xml:space="preserve"> redress</w:t>
      </w:r>
      <w:r w:rsidRPr="00CE4583">
        <w:t xml:space="preserve">, including compensation. The State party is, further, required to take </w:t>
      </w:r>
      <w:r>
        <w:t xml:space="preserve">action </w:t>
      </w:r>
      <w:r w:rsidRPr="00CE4583">
        <w:t>to prevent similar violations in future.</w:t>
      </w:r>
    </w:p>
    <w:p w:rsidR="00BE2277" w:rsidRDefault="009A5418" w:rsidP="00BE2277">
      <w:pPr>
        <w:pStyle w:val="SingleTxtG"/>
      </w:pPr>
      <w:r w:rsidRPr="00CE4583">
        <w:t>10.</w:t>
      </w:r>
      <w:r w:rsidRPr="00CE4583">
        <w:tab/>
        <w:t>Bearing in mind that, by becoming a party to the Optional Protocol, the State party has recognized the competence of the Committee to determine whether there has been a violation of the Covenant or not and that, pursuant to article 2 of the Covenant, that State party has undertaken to ensure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t>’</w:t>
      </w:r>
      <w:r w:rsidRPr="00CE4583">
        <w:t xml:space="preserve">s Views. </w:t>
      </w:r>
      <w:r w:rsidR="00F64491" w:rsidRPr="00F33CD4">
        <w:t xml:space="preserve">The State party is also requested to publish the </w:t>
      </w:r>
      <w:r w:rsidR="00BE2277">
        <w:t>present Views and to have them widely disseminated in the official language of the State party.</w:t>
      </w:r>
    </w:p>
    <w:p w:rsidR="009A5418" w:rsidRDefault="009A5418" w:rsidP="00FF1BED">
      <w:pPr>
        <w:pStyle w:val="SingleTxtG"/>
      </w:pPr>
      <w:r w:rsidRPr="00CE4583">
        <w:t xml:space="preserve">[Adopted in English, French and Spanish, the </w:t>
      </w:r>
      <w:r w:rsidR="009A3336" w:rsidRPr="00CE4583">
        <w:t>English</w:t>
      </w:r>
      <w:r w:rsidRPr="00CE4583">
        <w:t xml:space="preserve"> text being the original version.</w:t>
      </w:r>
      <w:r>
        <w:t xml:space="preserve"> </w:t>
      </w:r>
      <w:r w:rsidRPr="00CE4583">
        <w:t>Subsequently to be issued also in Arabic, Chinese and Russian as part of the Committee</w:t>
      </w:r>
      <w:r>
        <w:t>’</w:t>
      </w:r>
      <w:r w:rsidRPr="00CE4583">
        <w:t>s annual report to the General Assembly.]</w:t>
      </w:r>
    </w:p>
    <w:p w:rsidR="00675BFC" w:rsidRDefault="00675BFC" w:rsidP="00FF1BED">
      <w:pPr>
        <w:pStyle w:val="SingleTxtG"/>
      </w:pPr>
    </w:p>
    <w:p w:rsidR="009A5418" w:rsidRPr="00CB573C" w:rsidRDefault="009A5418" w:rsidP="00FF1BED">
      <w:pPr>
        <w:pStyle w:val="SingleTxtG"/>
        <w:jc w:val="center"/>
        <w:rPr>
          <w:u w:val="single"/>
        </w:rPr>
      </w:pPr>
      <w:r>
        <w:rPr>
          <w:u w:val="single"/>
        </w:rPr>
        <w:tab/>
      </w:r>
      <w:r>
        <w:rPr>
          <w:u w:val="single"/>
        </w:rPr>
        <w:tab/>
      </w:r>
      <w:r>
        <w:rPr>
          <w:u w:val="single"/>
        </w:rPr>
        <w:tab/>
      </w:r>
    </w:p>
    <w:sectPr w:rsidR="009A5418" w:rsidRPr="00CB573C" w:rsidSect="00D56158">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3C" w:rsidRDefault="0063723C"/>
  </w:endnote>
  <w:endnote w:type="continuationSeparator" w:id="0">
    <w:p w:rsidR="0063723C" w:rsidRDefault="0063723C"/>
  </w:endnote>
  <w:endnote w:type="continuationNotice" w:id="1">
    <w:p w:rsidR="0063723C" w:rsidRDefault="00637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65" w:rsidRPr="00D56158" w:rsidRDefault="00E21865" w:rsidP="00D56158">
    <w:pPr>
      <w:pStyle w:val="Footer"/>
      <w:tabs>
        <w:tab w:val="right" w:pos="9598"/>
      </w:tabs>
    </w:pPr>
    <w:r w:rsidRPr="00D56158">
      <w:rPr>
        <w:b/>
        <w:sz w:val="18"/>
      </w:rPr>
      <w:fldChar w:fldCharType="begin"/>
    </w:r>
    <w:r w:rsidRPr="00D56158">
      <w:rPr>
        <w:b/>
        <w:sz w:val="18"/>
      </w:rPr>
      <w:instrText xml:space="preserve"> PAGE  \* MERGEFORMAT </w:instrText>
    </w:r>
    <w:r w:rsidRPr="00D56158">
      <w:rPr>
        <w:b/>
        <w:sz w:val="18"/>
      </w:rPr>
      <w:fldChar w:fldCharType="separate"/>
    </w:r>
    <w:r w:rsidR="00C17C7E">
      <w:rPr>
        <w:b/>
        <w:noProof/>
        <w:sz w:val="18"/>
      </w:rPr>
      <w:t>2</w:t>
    </w:r>
    <w:r w:rsidRPr="00D5615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65" w:rsidRPr="00D56158" w:rsidRDefault="00E21865" w:rsidP="00D56158">
    <w:pPr>
      <w:pStyle w:val="Footer"/>
      <w:tabs>
        <w:tab w:val="right" w:pos="9598"/>
      </w:tabs>
      <w:rPr>
        <w:b/>
        <w:sz w:val="18"/>
      </w:rPr>
    </w:pPr>
    <w:r>
      <w:tab/>
    </w:r>
    <w:r w:rsidRPr="00D56158">
      <w:rPr>
        <w:b/>
        <w:sz w:val="18"/>
      </w:rPr>
      <w:fldChar w:fldCharType="begin"/>
    </w:r>
    <w:r w:rsidRPr="00D56158">
      <w:rPr>
        <w:b/>
        <w:sz w:val="18"/>
      </w:rPr>
      <w:instrText xml:space="preserve"> PAGE  \* MERGEFORMAT </w:instrText>
    </w:r>
    <w:r w:rsidRPr="00D56158">
      <w:rPr>
        <w:b/>
        <w:sz w:val="18"/>
      </w:rPr>
      <w:fldChar w:fldCharType="separate"/>
    </w:r>
    <w:r w:rsidR="00C17C7E">
      <w:rPr>
        <w:b/>
        <w:noProof/>
        <w:sz w:val="18"/>
      </w:rPr>
      <w:t>3</w:t>
    </w:r>
    <w:r w:rsidRPr="00D5615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58" w:rsidRDefault="0063723C" w:rsidP="00857E58">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15pt;width:73.25pt;height:18.15pt;z-index:1">
          <v:imagedata r:id="rId1" o:title="recycle_English"/>
          <w10:anchorlock/>
        </v:shape>
      </w:pict>
    </w:r>
    <w:r w:rsidR="00857E58">
      <w:t>GE.</w:t>
    </w:r>
    <w:r w:rsidR="002A3861">
      <w:t>12-42387</w:t>
    </w:r>
    <w:r w:rsidR="00857E58">
      <w:tab/>
    </w:r>
    <w:r w:rsidR="00857E58">
      <w:tab/>
    </w:r>
    <w:r w:rsidR="00857E58">
      <w:tab/>
    </w:r>
    <w:r w:rsidR="00857E58">
      <w:tab/>
    </w:r>
    <w:r w:rsidR="00857E58">
      <w:tab/>
    </w:r>
    <w:r w:rsidR="00857E58">
      <w:tab/>
    </w:r>
    <w:r w:rsidR="00857E58">
      <w:tab/>
    </w:r>
    <w:r w:rsidR="00857E58">
      <w:tab/>
    </w:r>
    <w:r w:rsidR="00857E58">
      <w:tab/>
    </w:r>
    <w:r w:rsidR="00857E58">
      <w:tab/>
    </w:r>
    <w:r w:rsidR="00857E58">
      <w:tab/>
    </w:r>
    <w:r w:rsidR="00857E58">
      <w:tab/>
    </w:r>
    <w:r w:rsidR="00857E58">
      <w:tab/>
    </w:r>
  </w:p>
  <w:p w:rsidR="00857E58" w:rsidRDefault="0085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3C" w:rsidRPr="000B175B" w:rsidRDefault="0063723C" w:rsidP="000B175B">
      <w:pPr>
        <w:tabs>
          <w:tab w:val="right" w:pos="2155"/>
        </w:tabs>
        <w:spacing w:after="80"/>
        <w:ind w:left="680"/>
        <w:rPr>
          <w:u w:val="single"/>
        </w:rPr>
      </w:pPr>
      <w:r>
        <w:rPr>
          <w:u w:val="single"/>
        </w:rPr>
        <w:tab/>
      </w:r>
    </w:p>
  </w:footnote>
  <w:footnote w:type="continuationSeparator" w:id="0">
    <w:p w:rsidR="0063723C" w:rsidRPr="00FC68B7" w:rsidRDefault="0063723C" w:rsidP="00FC68B7">
      <w:pPr>
        <w:tabs>
          <w:tab w:val="left" w:pos="2155"/>
        </w:tabs>
        <w:spacing w:after="80"/>
        <w:ind w:left="680"/>
        <w:rPr>
          <w:u w:val="single"/>
        </w:rPr>
      </w:pPr>
      <w:r>
        <w:rPr>
          <w:u w:val="single"/>
        </w:rPr>
        <w:tab/>
      </w:r>
    </w:p>
  </w:footnote>
  <w:footnote w:type="continuationNotice" w:id="1">
    <w:p w:rsidR="0063723C" w:rsidRDefault="0063723C"/>
  </w:footnote>
  <w:footnote w:id="2">
    <w:p w:rsidR="00E21865" w:rsidRPr="0070751C" w:rsidRDefault="00E21865" w:rsidP="0070751C">
      <w:pPr>
        <w:pStyle w:val="FootnoteText"/>
        <w:jc w:val="both"/>
        <w:rPr>
          <w:lang w:val="en-US"/>
        </w:rPr>
      </w:pPr>
      <w:r>
        <w:tab/>
      </w:r>
      <w:r>
        <w:rPr>
          <w:rStyle w:val="FootnoteReference"/>
        </w:rPr>
        <w:t>*</w:t>
      </w:r>
      <w:r>
        <w:t xml:space="preserve"> </w:t>
      </w:r>
      <w:r>
        <w:tab/>
      </w:r>
      <w:r w:rsidRPr="00D6353F">
        <w:rPr>
          <w:szCs w:val="18"/>
        </w:rPr>
        <w:t xml:space="preserve">The following members of the </w:t>
      </w:r>
      <w:r>
        <w:rPr>
          <w:szCs w:val="18"/>
        </w:rPr>
        <w:t>Committee</w:t>
      </w:r>
      <w:r w:rsidRPr="00D6353F">
        <w:rPr>
          <w:szCs w:val="18"/>
        </w:rPr>
        <w:t xml:space="preserve"> participated in the examination of the present communication: </w:t>
      </w:r>
      <w:r w:rsidRPr="00D6353F">
        <w:rPr>
          <w:bCs/>
          <w:szCs w:val="18"/>
        </w:rPr>
        <w:t xml:space="preserve">Mr. Lazhari Bouzid, </w:t>
      </w:r>
      <w:r>
        <w:rPr>
          <w:bCs/>
          <w:szCs w:val="18"/>
        </w:rPr>
        <w:t xml:space="preserve">Ms. Christine Chanet, </w:t>
      </w:r>
      <w:r w:rsidRPr="009131F3">
        <w:rPr>
          <w:bCs/>
          <w:szCs w:val="18"/>
          <w:lang w:val="en-US"/>
        </w:rPr>
        <w:t xml:space="preserve">Mr. Ahmad Amin Fathalla, </w:t>
      </w:r>
      <w:r>
        <w:rPr>
          <w:bCs/>
          <w:szCs w:val="18"/>
        </w:rPr>
        <w:t>Mr. </w:t>
      </w:r>
      <w:r w:rsidRPr="00D6353F">
        <w:rPr>
          <w:bCs/>
          <w:szCs w:val="18"/>
        </w:rPr>
        <w:t xml:space="preserve">Cornelis Flinterman, </w:t>
      </w:r>
      <w:r>
        <w:rPr>
          <w:bCs/>
          <w:szCs w:val="18"/>
        </w:rPr>
        <w:t>Mr. Yuji Iwasawa, Mr. Walter Kaelin, Mr. </w:t>
      </w:r>
      <w:r w:rsidRPr="00D6353F">
        <w:rPr>
          <w:bCs/>
          <w:szCs w:val="18"/>
        </w:rPr>
        <w:t xml:space="preserve">Gerald L. Neuman, </w:t>
      </w:r>
      <w:r>
        <w:rPr>
          <w:bCs/>
          <w:szCs w:val="18"/>
        </w:rPr>
        <w:t>Mr. </w:t>
      </w:r>
      <w:r w:rsidRPr="009131F3">
        <w:rPr>
          <w:bCs/>
          <w:szCs w:val="18"/>
        </w:rPr>
        <w:t xml:space="preserve">Michael O’Flaherty, Mr. Rafael Rivas Posada, Sir Nigel Rodley, </w:t>
      </w:r>
      <w:r w:rsidRPr="009131F3">
        <w:rPr>
          <w:bCs/>
          <w:szCs w:val="18"/>
          <w:lang w:val="en-US"/>
        </w:rPr>
        <w:t xml:space="preserve">Mr. Fabian Omar Salvioli, </w:t>
      </w:r>
      <w:r>
        <w:rPr>
          <w:bCs/>
          <w:szCs w:val="18"/>
          <w:lang w:val="en-US"/>
        </w:rPr>
        <w:t xml:space="preserve">Mr. Marat Sarsembayev, </w:t>
      </w:r>
      <w:r>
        <w:rPr>
          <w:bCs/>
          <w:szCs w:val="18"/>
        </w:rPr>
        <w:t>Mr. </w:t>
      </w:r>
      <w:r w:rsidRPr="00D6353F">
        <w:rPr>
          <w:bCs/>
          <w:szCs w:val="18"/>
        </w:rPr>
        <w:t>Krister Thelin and Ms. Margo Waterval.</w:t>
      </w:r>
      <w:bookmarkStart w:id="1" w:name="OLE_LINK1"/>
      <w:bookmarkStart w:id="2" w:name="OLE_LINK2"/>
      <w:r w:rsidRPr="00C01704">
        <w:rPr>
          <w:szCs w:val="18"/>
        </w:rPr>
        <w:t xml:space="preserve"> </w:t>
      </w:r>
      <w:bookmarkEnd w:id="1"/>
      <w:bookmarkEnd w:id="2"/>
    </w:p>
  </w:footnote>
  <w:footnote w:id="3">
    <w:p w:rsidR="00E21865" w:rsidRDefault="00E21865" w:rsidP="0070751C">
      <w:pPr>
        <w:pStyle w:val="FootnoteText"/>
        <w:jc w:val="both"/>
      </w:pPr>
      <w:r>
        <w:tab/>
      </w:r>
      <w:r>
        <w:rPr>
          <w:rStyle w:val="FootnoteReference"/>
        </w:rPr>
        <w:footnoteRef/>
      </w:r>
      <w:r>
        <w:tab/>
      </w:r>
      <w:r w:rsidRPr="00384F9F">
        <w:rPr>
          <w:szCs w:val="24"/>
        </w:rPr>
        <w:t>The Optional Protocol entered into force for the State party on 16 May 1989.</w:t>
      </w:r>
    </w:p>
  </w:footnote>
  <w:footnote w:id="4">
    <w:p w:rsidR="00E21865" w:rsidRPr="00022B30" w:rsidRDefault="00E21865" w:rsidP="00022B30">
      <w:pPr>
        <w:pStyle w:val="FootnoteText"/>
        <w:widowControl w:val="0"/>
        <w:tabs>
          <w:tab w:val="clear" w:pos="1021"/>
          <w:tab w:val="right" w:pos="1020"/>
        </w:tabs>
        <w:rPr>
          <w:lang w:val="en-US"/>
        </w:rPr>
      </w:pPr>
      <w:r>
        <w:tab/>
      </w:r>
      <w:r w:rsidR="0031274F">
        <w:tab/>
      </w:r>
      <w:r>
        <w:rPr>
          <w:rStyle w:val="FootnoteReference"/>
        </w:rPr>
        <w:footnoteRef/>
      </w:r>
      <w:r w:rsidR="0031274F">
        <w:t xml:space="preserve"> </w:t>
      </w:r>
      <w:r>
        <w:t xml:space="preserve">See </w:t>
      </w:r>
      <w:r>
        <w:rPr>
          <w:i/>
        </w:rPr>
        <w:t xml:space="preserve">El Hagog Jumaa </w:t>
      </w:r>
      <w:r>
        <w:t xml:space="preserve">v. </w:t>
      </w:r>
      <w:smartTag w:uri="urn:schemas-microsoft-com:office:smarttags" w:element="country-region">
        <w:smartTag w:uri="urn:schemas-microsoft-com:office:smarttags" w:element="place">
          <w:r>
            <w:rPr>
              <w:i/>
            </w:rPr>
            <w:t>Libya</w:t>
          </w:r>
        </w:smartTag>
      </w:smartTag>
      <w:r>
        <w:t xml:space="preserve">, communication No. 1755/2007, Views adopted on 19 March 2012. </w:t>
      </w:r>
    </w:p>
  </w:footnote>
  <w:footnote w:id="5">
    <w:p w:rsidR="00E21865" w:rsidRDefault="00E21865" w:rsidP="0070751C">
      <w:pPr>
        <w:pStyle w:val="FootnoteText"/>
        <w:widowControl w:val="0"/>
        <w:tabs>
          <w:tab w:val="clear" w:pos="1021"/>
          <w:tab w:val="right" w:pos="1020"/>
        </w:tabs>
        <w:jc w:val="both"/>
      </w:pPr>
      <w:r>
        <w:tab/>
      </w:r>
      <w:r w:rsidR="0031274F">
        <w:tab/>
      </w:r>
      <w:r>
        <w:rPr>
          <w:rStyle w:val="FootnoteReference"/>
        </w:rPr>
        <w:footnoteRef/>
      </w:r>
      <w:r w:rsidR="0031274F">
        <w:t xml:space="preserve"> </w:t>
      </w:r>
      <w:r w:rsidRPr="000C3DD5">
        <w:t xml:space="preserve">The </w:t>
      </w:r>
      <w:r w:rsidRPr="000C3DD5">
        <w:rPr>
          <w:i/>
        </w:rPr>
        <w:t>Falaqa</w:t>
      </w:r>
      <w:r w:rsidRPr="000C3DD5">
        <w:t xml:space="preserve"> method.</w:t>
      </w:r>
      <w:r>
        <w:t xml:space="preserve"> </w:t>
      </w:r>
    </w:p>
  </w:footnote>
  <w:footnote w:id="6">
    <w:p w:rsidR="00E21865" w:rsidRDefault="00E21865" w:rsidP="0070751C">
      <w:pPr>
        <w:pStyle w:val="FootnoteText"/>
        <w:widowControl w:val="0"/>
        <w:tabs>
          <w:tab w:val="clear" w:pos="1021"/>
          <w:tab w:val="right" w:pos="1020"/>
        </w:tabs>
        <w:jc w:val="both"/>
      </w:pPr>
      <w:r>
        <w:tab/>
      </w:r>
      <w:r w:rsidR="0031274F">
        <w:t xml:space="preserve"> </w:t>
      </w:r>
      <w:r w:rsidR="0031274F">
        <w:tab/>
      </w:r>
      <w:r>
        <w:rPr>
          <w:rStyle w:val="FootnoteReference"/>
        </w:rPr>
        <w:footnoteRef/>
      </w:r>
      <w:r w:rsidR="0031274F">
        <w:t xml:space="preserve"> </w:t>
      </w:r>
      <w:r w:rsidRPr="00A70DBA">
        <w:t>Kristyana Valcheva and Nasya Nenova.</w:t>
      </w:r>
      <w:r>
        <w:t xml:space="preserve"> </w:t>
      </w:r>
    </w:p>
  </w:footnote>
  <w:footnote w:id="7">
    <w:p w:rsidR="00E21865" w:rsidRDefault="00E21865" w:rsidP="0070751C">
      <w:pPr>
        <w:pStyle w:val="FootnoteText"/>
        <w:widowControl w:val="0"/>
        <w:tabs>
          <w:tab w:val="clear" w:pos="1021"/>
          <w:tab w:val="right" w:pos="1020"/>
        </w:tabs>
        <w:jc w:val="both"/>
      </w:pPr>
      <w:r>
        <w:tab/>
      </w:r>
      <w:r w:rsidR="0031274F">
        <w:tab/>
      </w:r>
      <w:r>
        <w:rPr>
          <w:rStyle w:val="FootnoteReference"/>
        </w:rPr>
        <w:footnoteRef/>
      </w:r>
      <w:r w:rsidR="0031274F">
        <w:t xml:space="preserve"> </w:t>
      </w:r>
      <w:r w:rsidRPr="0079085E">
        <w:t xml:space="preserve">In the charges read out to the authors, the number of children infected rose from 393 to 426 between the first and the second trial. </w:t>
      </w:r>
    </w:p>
  </w:footnote>
  <w:footnote w:id="8">
    <w:p w:rsidR="00E21865" w:rsidRDefault="00E21865" w:rsidP="0070751C">
      <w:pPr>
        <w:pStyle w:val="FootnoteText"/>
        <w:widowControl w:val="0"/>
        <w:tabs>
          <w:tab w:val="clear" w:pos="1021"/>
          <w:tab w:val="right" w:pos="1020"/>
        </w:tabs>
        <w:jc w:val="both"/>
      </w:pPr>
      <w:r>
        <w:tab/>
      </w:r>
      <w:r w:rsidR="00532095">
        <w:tab/>
      </w:r>
      <w:r>
        <w:rPr>
          <w:rStyle w:val="FootnoteReference"/>
        </w:rPr>
        <w:footnoteRef/>
      </w:r>
      <w:r w:rsidR="00532095">
        <w:t xml:space="preserve"> </w:t>
      </w:r>
      <w:r w:rsidRPr="009C13AA">
        <w:t>Nasya Nenova.</w:t>
      </w:r>
      <w:r>
        <w:t xml:space="preserve"> </w:t>
      </w:r>
    </w:p>
  </w:footnote>
  <w:footnote w:id="9">
    <w:p w:rsidR="00E21865" w:rsidRDefault="00E21865" w:rsidP="0070751C">
      <w:pPr>
        <w:pStyle w:val="FootnoteText"/>
        <w:widowControl w:val="0"/>
        <w:tabs>
          <w:tab w:val="clear" w:pos="1021"/>
          <w:tab w:val="right" w:pos="1020"/>
        </w:tabs>
        <w:jc w:val="both"/>
      </w:pPr>
      <w:r>
        <w:tab/>
      </w:r>
      <w:r w:rsidR="00532095">
        <w:tab/>
      </w:r>
      <w:r>
        <w:rPr>
          <w:rStyle w:val="FootnoteReference"/>
        </w:rPr>
        <w:footnoteRef/>
      </w:r>
      <w:r w:rsidR="00532095">
        <w:t xml:space="preserve"> </w:t>
      </w:r>
      <w:r w:rsidRPr="009C13AA">
        <w:rPr>
          <w:bCs/>
        </w:rPr>
        <w:t>Kristyana Valcheva.</w:t>
      </w:r>
      <w:r>
        <w:t xml:space="preserve"> </w:t>
      </w:r>
    </w:p>
  </w:footnote>
  <w:footnote w:id="10">
    <w:p w:rsidR="00E21865" w:rsidRDefault="00E21865" w:rsidP="0070751C">
      <w:pPr>
        <w:pStyle w:val="FootnoteText"/>
        <w:widowControl w:val="0"/>
        <w:tabs>
          <w:tab w:val="clear" w:pos="1021"/>
          <w:tab w:val="right" w:pos="1020"/>
        </w:tabs>
        <w:jc w:val="both"/>
      </w:pPr>
      <w:r>
        <w:tab/>
      </w:r>
      <w:r w:rsidR="00532095">
        <w:tab/>
      </w:r>
      <w:r>
        <w:rPr>
          <w:rStyle w:val="FootnoteReference"/>
        </w:rPr>
        <w:footnoteRef/>
      </w:r>
      <w:r w:rsidR="00532095">
        <w:t xml:space="preserve"> </w:t>
      </w:r>
      <w:r>
        <w:rPr>
          <w:bCs/>
          <w:szCs w:val="24"/>
        </w:rPr>
        <w:t>“</w:t>
      </w:r>
      <w:r w:rsidRPr="00384F9F">
        <w:rPr>
          <w:szCs w:val="24"/>
        </w:rPr>
        <w:t xml:space="preserve">Final Report of Prof. Luc Montagnier and Prof. Vittorio Colizzi to Libyan Arab Jamahiriya on the </w:t>
      </w:r>
      <w:r w:rsidR="00532095">
        <w:rPr>
          <w:szCs w:val="24"/>
        </w:rPr>
        <w:t xml:space="preserve"> </w:t>
      </w:r>
      <w:r w:rsidRPr="00384F9F">
        <w:rPr>
          <w:szCs w:val="24"/>
        </w:rPr>
        <w:t xml:space="preserve">Nosocomial HIV infection at the </w:t>
      </w:r>
      <w:smartTag w:uri="urn:schemas-microsoft-com:office:smarttags" w:element="PlaceName">
        <w:r w:rsidRPr="00384F9F">
          <w:rPr>
            <w:szCs w:val="24"/>
          </w:rPr>
          <w:t>Al-Fat</w:t>
        </w:r>
        <w:r>
          <w:rPr>
            <w:szCs w:val="24"/>
          </w:rPr>
          <w:t>a</w:t>
        </w:r>
        <w:r w:rsidRPr="00384F9F">
          <w:rPr>
            <w:szCs w:val="24"/>
          </w:rPr>
          <w:t>h</w:t>
        </w:r>
      </w:smartTag>
      <w:r w:rsidRPr="00384F9F">
        <w:rPr>
          <w:szCs w:val="24"/>
        </w:rPr>
        <w:t xml:space="preserve"> </w:t>
      </w:r>
      <w:smartTag w:uri="urn:schemas-microsoft-com:office:smarttags" w:element="PlaceType">
        <w:r w:rsidRPr="00384F9F">
          <w:rPr>
            <w:szCs w:val="24"/>
          </w:rPr>
          <w:t>Hospital</w:t>
        </w:r>
      </w:smartTag>
      <w:r w:rsidRPr="00384F9F">
        <w:rPr>
          <w:szCs w:val="24"/>
        </w:rPr>
        <w:t xml:space="preserve">, </w:t>
      </w:r>
      <w:smartTag w:uri="urn:schemas-microsoft-com:office:smarttags" w:element="City">
        <w:r w:rsidRPr="00384F9F">
          <w:rPr>
            <w:szCs w:val="24"/>
          </w:rPr>
          <w:t>Benghazi</w:t>
        </w:r>
      </w:smartTag>
      <w:r w:rsidRPr="00384F9F">
        <w:rPr>
          <w:szCs w:val="24"/>
        </w:rPr>
        <w:t xml:space="preserve">, </w:t>
      </w:r>
      <w:smartTag w:uri="urn:schemas-microsoft-com:office:smarttags" w:element="country-region">
        <w:r w:rsidRPr="00384F9F">
          <w:rPr>
            <w:szCs w:val="24"/>
          </w:rPr>
          <w:t>Libya</w:t>
        </w:r>
      </w:smartTag>
      <w:r w:rsidRPr="00384F9F">
        <w:rPr>
          <w:szCs w:val="24"/>
        </w:rPr>
        <w:t xml:space="preserve">, </w:t>
      </w:r>
      <w:smartTag w:uri="urn:schemas-microsoft-com:office:smarttags" w:element="City">
        <w:smartTag w:uri="urn:schemas-microsoft-com:office:smarttags" w:element="place">
          <w:r w:rsidRPr="00384F9F">
            <w:rPr>
              <w:szCs w:val="24"/>
            </w:rPr>
            <w:t>Paris</w:t>
          </w:r>
        </w:smartTag>
      </w:smartTag>
      <w:r w:rsidRPr="00384F9F">
        <w:rPr>
          <w:szCs w:val="24"/>
        </w:rPr>
        <w:t>, 7 April 2003</w:t>
      </w:r>
      <w:r>
        <w:rPr>
          <w:szCs w:val="24"/>
        </w:rPr>
        <w:t>”</w:t>
      </w:r>
      <w:r w:rsidRPr="00384F9F">
        <w:rPr>
          <w:szCs w:val="24"/>
        </w:rPr>
        <w:t xml:space="preserve">, which concludes: </w:t>
      </w:r>
      <w:r>
        <w:rPr>
          <w:szCs w:val="24"/>
        </w:rPr>
        <w:t>“</w:t>
      </w:r>
      <w:r w:rsidRPr="00384F9F">
        <w:rPr>
          <w:szCs w:val="24"/>
        </w:rPr>
        <w:t xml:space="preserve">No evidence </w:t>
      </w:r>
      <w:r>
        <w:rPr>
          <w:szCs w:val="24"/>
        </w:rPr>
        <w:t>has been found for a deliberate</w:t>
      </w:r>
      <w:r w:rsidRPr="00384F9F">
        <w:rPr>
          <w:szCs w:val="24"/>
        </w:rPr>
        <w:t xml:space="preserve"> injection of HIV contaminated material (bioterrorism). Epidemiological stratification, according to admission time, of the data on seropositivity and results of molecular analysis are strongly against this possibility</w:t>
      </w:r>
      <w:r>
        <w:rPr>
          <w:szCs w:val="24"/>
        </w:rPr>
        <w:t>.”</w:t>
      </w:r>
      <w:r w:rsidRPr="00384F9F">
        <w:rPr>
          <w:szCs w:val="24"/>
        </w:rPr>
        <w:t xml:space="preserve"> </w:t>
      </w:r>
    </w:p>
  </w:footnote>
  <w:footnote w:id="11">
    <w:p w:rsidR="00E21865" w:rsidRDefault="00E21865" w:rsidP="0070751C">
      <w:pPr>
        <w:pStyle w:val="FootnoteText"/>
        <w:widowControl w:val="0"/>
        <w:tabs>
          <w:tab w:val="clear" w:pos="1021"/>
          <w:tab w:val="right" w:pos="1020"/>
        </w:tabs>
        <w:jc w:val="both"/>
      </w:pPr>
      <w:r>
        <w:tab/>
      </w:r>
      <w:r w:rsidR="002A71C1">
        <w:tab/>
      </w:r>
      <w:r w:rsidR="00B1437F">
        <w:t xml:space="preserve"> </w:t>
      </w:r>
      <w:r>
        <w:rPr>
          <w:rStyle w:val="FootnoteReference"/>
        </w:rPr>
        <w:footnoteRef/>
      </w:r>
      <w:r w:rsidR="002A71C1">
        <w:t xml:space="preserve"> </w:t>
      </w:r>
      <w:r w:rsidRPr="00A054C3">
        <w:t>See para. 2.5 above.</w:t>
      </w:r>
      <w:r>
        <w:t xml:space="preserve"> </w:t>
      </w:r>
    </w:p>
  </w:footnote>
  <w:footnote w:id="12">
    <w:p w:rsidR="00E21865" w:rsidRDefault="00E21865" w:rsidP="0070751C">
      <w:pPr>
        <w:pStyle w:val="FootnoteText"/>
        <w:widowControl w:val="0"/>
        <w:tabs>
          <w:tab w:val="clear" w:pos="1021"/>
          <w:tab w:val="right" w:pos="1020"/>
        </w:tabs>
        <w:jc w:val="both"/>
      </w:pPr>
      <w:r>
        <w:tab/>
      </w:r>
      <w:r w:rsidR="002A71C1">
        <w:tab/>
      </w:r>
      <w:r>
        <w:rPr>
          <w:rStyle w:val="FootnoteReference"/>
        </w:rPr>
        <w:footnoteRef/>
      </w:r>
      <w:r w:rsidR="002A71C1">
        <w:t xml:space="preserve"> </w:t>
      </w:r>
      <w:r>
        <w:t>Krist</w:t>
      </w:r>
      <w:r w:rsidRPr="00A054C3">
        <w:t>yana Valcheva and Nasya Nenova.</w:t>
      </w:r>
      <w:r>
        <w:t xml:space="preserve"> </w:t>
      </w:r>
    </w:p>
  </w:footnote>
  <w:footnote w:id="13">
    <w:p w:rsidR="00E21865" w:rsidRDefault="00E21865" w:rsidP="0070751C">
      <w:pPr>
        <w:pStyle w:val="FootnoteText"/>
        <w:widowControl w:val="0"/>
        <w:tabs>
          <w:tab w:val="clear" w:pos="1021"/>
          <w:tab w:val="right" w:pos="1020"/>
        </w:tabs>
        <w:jc w:val="both"/>
      </w:pPr>
      <w:r>
        <w:tab/>
      </w:r>
      <w:r w:rsidR="002A71C1">
        <w:tab/>
      </w:r>
      <w:r>
        <w:rPr>
          <w:rStyle w:val="FootnoteReference"/>
        </w:rPr>
        <w:footnoteRef/>
      </w:r>
      <w:r w:rsidR="002A71C1">
        <w:t xml:space="preserve"> </w:t>
      </w:r>
      <w:r w:rsidRPr="00E755FE">
        <w:t>E/CN.4/2005/7/Add.1.</w:t>
      </w:r>
      <w:r>
        <w:t xml:space="preserve"> </w:t>
      </w:r>
    </w:p>
  </w:footnote>
  <w:footnote w:id="14">
    <w:p w:rsidR="00E21865" w:rsidRDefault="00E21865" w:rsidP="0070751C">
      <w:pPr>
        <w:pStyle w:val="FootnoteText"/>
        <w:widowControl w:val="0"/>
        <w:tabs>
          <w:tab w:val="clear" w:pos="1021"/>
          <w:tab w:val="right" w:pos="1020"/>
        </w:tabs>
        <w:jc w:val="both"/>
      </w:pPr>
      <w:r>
        <w:tab/>
      </w:r>
      <w:r w:rsidR="00114241">
        <w:tab/>
      </w:r>
      <w:r>
        <w:rPr>
          <w:rStyle w:val="FootnoteReference"/>
        </w:rPr>
        <w:footnoteRef/>
      </w:r>
      <w:r w:rsidR="00114241">
        <w:t xml:space="preserve"> </w:t>
      </w:r>
      <w:r w:rsidRPr="00384F9F">
        <w:rPr>
          <w:szCs w:val="24"/>
        </w:rPr>
        <w:t>According to the interview</w:t>
      </w:r>
      <w:r>
        <w:rPr>
          <w:szCs w:val="24"/>
        </w:rPr>
        <w:t xml:space="preserve"> record, Seif Al-Islam stated: </w:t>
      </w:r>
      <w:r w:rsidRPr="00384F9F">
        <w:rPr>
          <w:szCs w:val="24"/>
        </w:rPr>
        <w:t>“Yes, they were tortured by electricity and they were threatened that their family members would be targeted. But a lot of what the Palestinian doctor</w:t>
      </w:r>
      <w:r>
        <w:rPr>
          <w:szCs w:val="24"/>
        </w:rPr>
        <w:t xml:space="preserve"> has claimed are merely lies”. </w:t>
      </w:r>
    </w:p>
  </w:footnote>
  <w:footnote w:id="15">
    <w:p w:rsidR="00E21865" w:rsidRDefault="00E21865" w:rsidP="0070751C">
      <w:pPr>
        <w:pStyle w:val="FootnoteText"/>
        <w:widowControl w:val="0"/>
        <w:tabs>
          <w:tab w:val="clear" w:pos="1021"/>
          <w:tab w:val="right" w:pos="1020"/>
        </w:tabs>
        <w:jc w:val="both"/>
      </w:pPr>
      <w:r>
        <w:tab/>
      </w:r>
      <w:r w:rsidR="00114241">
        <w:t xml:space="preserve"> </w:t>
      </w:r>
      <w:r w:rsidR="00114241">
        <w:tab/>
      </w:r>
      <w:r>
        <w:rPr>
          <w:rStyle w:val="FootnoteReference"/>
        </w:rPr>
        <w:footnoteRef/>
      </w:r>
      <w:r w:rsidR="00114241">
        <w:t xml:space="preserve"> </w:t>
      </w:r>
      <w:r>
        <w:rPr>
          <w:szCs w:val="24"/>
        </w:rPr>
        <w:t>Placed</w:t>
      </w:r>
      <w:r w:rsidRPr="00384F9F">
        <w:rPr>
          <w:szCs w:val="24"/>
        </w:rPr>
        <w:t xml:space="preserve"> in inverted commas by the authors in the initial submission.</w:t>
      </w:r>
    </w:p>
  </w:footnote>
  <w:footnote w:id="16">
    <w:p w:rsidR="00114241" w:rsidRDefault="00E21865" w:rsidP="0070751C">
      <w:pPr>
        <w:pStyle w:val="FootnoteText"/>
        <w:widowControl w:val="0"/>
        <w:tabs>
          <w:tab w:val="clear" w:pos="1021"/>
          <w:tab w:val="right" w:pos="1020"/>
        </w:tabs>
        <w:jc w:val="both"/>
        <w:rPr>
          <w:szCs w:val="24"/>
        </w:rPr>
      </w:pPr>
      <w:r>
        <w:tab/>
      </w:r>
      <w:r w:rsidR="00114241">
        <w:tab/>
      </w:r>
      <w:r>
        <w:rPr>
          <w:rStyle w:val="FootnoteReference"/>
        </w:rPr>
        <w:footnoteRef/>
      </w:r>
      <w:r w:rsidR="00114241">
        <w:t xml:space="preserve"> </w:t>
      </w:r>
      <w:r>
        <w:rPr>
          <w:szCs w:val="24"/>
        </w:rPr>
        <w:t>The contents of the bottles were analysed in March 1999; the search of Ms. Valcheva’s home took</w:t>
      </w:r>
    </w:p>
    <w:p w:rsidR="00E21865" w:rsidRDefault="00114241" w:rsidP="0070751C">
      <w:pPr>
        <w:pStyle w:val="FootnoteText"/>
        <w:widowControl w:val="0"/>
        <w:tabs>
          <w:tab w:val="clear" w:pos="1021"/>
          <w:tab w:val="right" w:pos="1020"/>
        </w:tabs>
        <w:jc w:val="both"/>
      </w:pPr>
      <w:r>
        <w:rPr>
          <w:szCs w:val="24"/>
        </w:rPr>
        <w:tab/>
      </w:r>
      <w:r>
        <w:rPr>
          <w:szCs w:val="24"/>
        </w:rPr>
        <w:tab/>
        <w:t xml:space="preserve"> </w:t>
      </w:r>
      <w:r w:rsidR="00E21865">
        <w:rPr>
          <w:szCs w:val="24"/>
        </w:rPr>
        <w:t xml:space="preserve"> </w:t>
      </w:r>
      <w:r>
        <w:rPr>
          <w:szCs w:val="24"/>
        </w:rPr>
        <w:t xml:space="preserve"> </w:t>
      </w:r>
      <w:r w:rsidR="00E21865">
        <w:rPr>
          <w:szCs w:val="24"/>
        </w:rPr>
        <w:t>place a month later.</w:t>
      </w:r>
    </w:p>
  </w:footnote>
  <w:footnote w:id="17">
    <w:p w:rsidR="00114241" w:rsidRDefault="00E21865" w:rsidP="0070751C">
      <w:pPr>
        <w:pStyle w:val="FootnoteText"/>
        <w:widowControl w:val="0"/>
        <w:tabs>
          <w:tab w:val="clear" w:pos="1021"/>
          <w:tab w:val="right" w:pos="1020"/>
        </w:tabs>
        <w:jc w:val="both"/>
        <w:rPr>
          <w:szCs w:val="24"/>
        </w:rPr>
      </w:pPr>
      <w:r>
        <w:tab/>
      </w:r>
      <w:r w:rsidR="00114241">
        <w:tab/>
      </w:r>
      <w:r>
        <w:rPr>
          <w:rStyle w:val="FootnoteReference"/>
        </w:rPr>
        <w:footnoteRef/>
      </w:r>
      <w:r w:rsidR="00114241">
        <w:t xml:space="preserve"> </w:t>
      </w:r>
      <w:r w:rsidRPr="00384F9F">
        <w:rPr>
          <w:szCs w:val="24"/>
        </w:rPr>
        <w:t xml:space="preserve">Over eight years from the date of the arrest on 9 February 1999 until the final judgement of the </w:t>
      </w:r>
    </w:p>
    <w:p w:rsidR="00E21865" w:rsidRDefault="00114241" w:rsidP="0070751C">
      <w:pPr>
        <w:pStyle w:val="FootnoteText"/>
        <w:widowControl w:val="0"/>
        <w:tabs>
          <w:tab w:val="clear" w:pos="1021"/>
          <w:tab w:val="right" w:pos="1020"/>
        </w:tabs>
        <w:jc w:val="both"/>
      </w:pPr>
      <w:r>
        <w:rPr>
          <w:szCs w:val="24"/>
        </w:rPr>
        <w:tab/>
      </w:r>
      <w:r>
        <w:rPr>
          <w:szCs w:val="24"/>
        </w:rPr>
        <w:tab/>
        <w:t xml:space="preserve">  </w:t>
      </w:r>
      <w:r w:rsidR="00740B9D">
        <w:rPr>
          <w:szCs w:val="24"/>
        </w:rPr>
        <w:t xml:space="preserve"> </w:t>
      </w:r>
      <w:r w:rsidR="00E21865" w:rsidRPr="00384F9F">
        <w:rPr>
          <w:szCs w:val="24"/>
        </w:rPr>
        <w:t>Supreme Court dated 11 July 2007.</w:t>
      </w:r>
    </w:p>
  </w:footnote>
  <w:footnote w:id="18">
    <w:p w:rsidR="002149F8" w:rsidRDefault="00E21865" w:rsidP="0070751C">
      <w:pPr>
        <w:pStyle w:val="FootnoteText"/>
        <w:jc w:val="both"/>
      </w:pPr>
      <w:r>
        <w:tab/>
      </w:r>
      <w:r w:rsidR="002149F8">
        <w:tab/>
      </w:r>
      <w:r w:rsidRPr="00AC28A3">
        <w:rPr>
          <w:rStyle w:val="FootnoteReference"/>
        </w:rPr>
        <w:footnoteRef/>
      </w:r>
      <w:r w:rsidR="003F4CD4">
        <w:t xml:space="preserve"> </w:t>
      </w:r>
      <w:r w:rsidRPr="00384F9F">
        <w:t xml:space="preserve">In its </w:t>
      </w:r>
      <w:r>
        <w:t>judgement</w:t>
      </w:r>
      <w:r w:rsidRPr="00384F9F">
        <w:t xml:space="preserve"> dated 11 July 2007, the Libyan Supreme Court </w:t>
      </w:r>
      <w:r>
        <w:t>upheld</w:t>
      </w:r>
      <w:r w:rsidRPr="00384F9F">
        <w:t xml:space="preserve">, </w:t>
      </w:r>
      <w:r>
        <w:t xml:space="preserve">count </w:t>
      </w:r>
      <w:r w:rsidRPr="00384F9F">
        <w:t>by</w:t>
      </w:r>
      <w:r>
        <w:t xml:space="preserve"> count</w:t>
      </w:r>
      <w:r w:rsidRPr="00384F9F">
        <w:t xml:space="preserve">, the </w:t>
      </w:r>
    </w:p>
    <w:p w:rsidR="003F4CD4" w:rsidRDefault="002149F8" w:rsidP="0070751C">
      <w:pPr>
        <w:pStyle w:val="FootnoteText"/>
        <w:jc w:val="both"/>
      </w:pPr>
      <w:r>
        <w:tab/>
      </w:r>
      <w:r>
        <w:tab/>
        <w:t xml:space="preserve">  </w:t>
      </w:r>
      <w:r w:rsidR="003F4CD4">
        <w:t xml:space="preserve"> </w:t>
      </w:r>
      <w:r w:rsidR="00E21865">
        <w:t xml:space="preserve">judgement dated </w:t>
      </w:r>
      <w:r w:rsidR="00E21865" w:rsidRPr="00384F9F">
        <w:t>19 December 2006</w:t>
      </w:r>
      <w:r w:rsidR="00E21865">
        <w:t xml:space="preserve"> </w:t>
      </w:r>
      <w:r w:rsidR="00E21865" w:rsidRPr="00384F9F">
        <w:t xml:space="preserve">of the Benghazi Appeals Court. </w:t>
      </w:r>
      <w:r w:rsidR="00E21865">
        <w:t xml:space="preserve">It highlighted </w:t>
      </w:r>
    </w:p>
    <w:p w:rsidR="003F4CD4" w:rsidRDefault="003F4CD4" w:rsidP="0070751C">
      <w:pPr>
        <w:pStyle w:val="FootnoteText"/>
        <w:jc w:val="both"/>
      </w:pPr>
      <w:r>
        <w:tab/>
      </w:r>
      <w:r>
        <w:tab/>
        <w:t xml:space="preserve">   </w:t>
      </w:r>
      <w:r w:rsidR="00E21865" w:rsidRPr="00384F9F">
        <w:t xml:space="preserve">the </w:t>
      </w:r>
      <w:r>
        <w:t xml:space="preserve"> </w:t>
      </w:r>
      <w:r w:rsidR="00E21865" w:rsidRPr="00384F9F">
        <w:t xml:space="preserve">contradictions between the various statements made by the </w:t>
      </w:r>
      <w:r w:rsidR="00E21865">
        <w:t xml:space="preserve">defence </w:t>
      </w:r>
      <w:r w:rsidR="00E21865" w:rsidRPr="00384F9F">
        <w:t xml:space="preserve">over the course </w:t>
      </w:r>
    </w:p>
    <w:p w:rsidR="003F4CD4" w:rsidRDefault="003F4CD4" w:rsidP="0070751C">
      <w:pPr>
        <w:pStyle w:val="FootnoteText"/>
        <w:jc w:val="both"/>
      </w:pPr>
      <w:r>
        <w:tab/>
      </w:r>
      <w:r>
        <w:tab/>
        <w:t xml:space="preserve">   </w:t>
      </w:r>
      <w:r w:rsidR="00E21865" w:rsidRPr="00384F9F">
        <w:t xml:space="preserve">of the proceedings, which sometimes confirmed the confessions made during the </w:t>
      </w:r>
    </w:p>
    <w:p w:rsidR="00E21865" w:rsidRPr="00384F9F" w:rsidRDefault="003F4CD4" w:rsidP="0070751C">
      <w:pPr>
        <w:pStyle w:val="FootnoteText"/>
        <w:jc w:val="both"/>
      </w:pPr>
      <w:r>
        <w:tab/>
      </w:r>
      <w:r>
        <w:tab/>
        <w:t xml:space="preserve">   </w:t>
      </w:r>
      <w:r w:rsidR="00E21865" w:rsidRPr="00384F9F">
        <w:t xml:space="preserve">interrogation phase and sometimes refuted them. </w:t>
      </w:r>
    </w:p>
  </w:footnote>
  <w:footnote w:id="19">
    <w:p w:rsidR="00E21865" w:rsidRPr="00384F9F" w:rsidRDefault="00E21865" w:rsidP="0070751C">
      <w:pPr>
        <w:pStyle w:val="FootnoteText"/>
        <w:jc w:val="both"/>
      </w:pPr>
      <w:r>
        <w:tab/>
      </w:r>
      <w:r w:rsidR="006F4257">
        <w:tab/>
      </w:r>
      <w:r w:rsidRPr="00555A2C">
        <w:rPr>
          <w:rStyle w:val="FootnoteReference"/>
        </w:rPr>
        <w:footnoteRef/>
      </w:r>
      <w:r w:rsidR="006F4257">
        <w:t xml:space="preserve"> </w:t>
      </w:r>
      <w:r>
        <w:t>C</w:t>
      </w:r>
      <w:r w:rsidRPr="00384F9F">
        <w:t xml:space="preserve">ommunication No. 971/2001, </w:t>
      </w:r>
      <w:r w:rsidRPr="00384F9F">
        <w:rPr>
          <w:i/>
          <w:iCs/>
        </w:rPr>
        <w:t xml:space="preserve">Arutyuniantz </w:t>
      </w:r>
      <w:r w:rsidRPr="00523B7B">
        <w:rPr>
          <w:iCs/>
        </w:rPr>
        <w:t xml:space="preserve">v. </w:t>
      </w:r>
      <w:r w:rsidRPr="00384F9F">
        <w:rPr>
          <w:i/>
          <w:iCs/>
        </w:rPr>
        <w:t>Uzbekistan</w:t>
      </w:r>
      <w:r>
        <w:rPr>
          <w:iCs/>
        </w:rPr>
        <w:t>,</w:t>
      </w:r>
      <w:r w:rsidRPr="00384F9F">
        <w:t xml:space="preserve"> Views adopted on 30 March 2005; communication No.</w:t>
      </w:r>
      <w:r w:rsidRPr="00384F9F">
        <w:rPr>
          <w:color w:val="000000"/>
        </w:rPr>
        <w:t xml:space="preserve"> 609/1995, </w:t>
      </w:r>
      <w:r w:rsidRPr="00384F9F">
        <w:rPr>
          <w:i/>
          <w:iCs/>
        </w:rPr>
        <w:t xml:space="preserve">Williams </w:t>
      </w:r>
      <w:r w:rsidRPr="00523B7B">
        <w:rPr>
          <w:iCs/>
        </w:rPr>
        <w:t>v.</w:t>
      </w:r>
      <w:r w:rsidRPr="00384F9F">
        <w:rPr>
          <w:i/>
          <w:iCs/>
        </w:rPr>
        <w:t xml:space="preserve"> Jamaica</w:t>
      </w:r>
      <w:r w:rsidRPr="00384F9F">
        <w:t xml:space="preserve">, </w:t>
      </w:r>
      <w:r w:rsidRPr="00384F9F">
        <w:rPr>
          <w:color w:val="000000"/>
        </w:rPr>
        <w:t>Views adopted</w:t>
      </w:r>
      <w:r>
        <w:rPr>
          <w:color w:val="000000"/>
        </w:rPr>
        <w:t xml:space="preserve"> </w:t>
      </w:r>
      <w:r w:rsidRPr="00384F9F">
        <w:rPr>
          <w:color w:val="000000"/>
        </w:rPr>
        <w:t>on 4 November 1997; communication No. 1161/2003</w:t>
      </w:r>
      <w:r>
        <w:rPr>
          <w:color w:val="000000"/>
        </w:rPr>
        <w:t>,</w:t>
      </w:r>
      <w:r w:rsidRPr="00384F9F">
        <w:rPr>
          <w:color w:val="000000"/>
        </w:rPr>
        <w:t xml:space="preserve"> </w:t>
      </w:r>
      <w:r w:rsidRPr="00384F9F">
        <w:rPr>
          <w:i/>
          <w:color w:val="000000"/>
        </w:rPr>
        <w:t xml:space="preserve">Kharkhal </w:t>
      </w:r>
      <w:r w:rsidRPr="00384F9F">
        <w:rPr>
          <w:i/>
          <w:iCs/>
          <w:color w:val="000000"/>
        </w:rPr>
        <w:t>v.</w:t>
      </w:r>
      <w:r w:rsidRPr="00384F9F">
        <w:rPr>
          <w:i/>
          <w:color w:val="000000"/>
        </w:rPr>
        <w:t xml:space="preserve"> Belarus</w:t>
      </w:r>
      <w:r w:rsidRPr="00384F9F">
        <w:rPr>
          <w:color w:val="000000"/>
        </w:rPr>
        <w:t>, inadmissibi</w:t>
      </w:r>
      <w:r w:rsidRPr="00555A2C">
        <w:rPr>
          <w:rStyle w:val="FootnoteTextChar"/>
        </w:rPr>
        <w:t>li</w:t>
      </w:r>
      <w:r w:rsidRPr="00384F9F">
        <w:rPr>
          <w:color w:val="000000"/>
        </w:rPr>
        <w:t>ty decision adopted on 31</w:t>
      </w:r>
      <w:r>
        <w:rPr>
          <w:color w:val="000000"/>
        </w:rPr>
        <w:t xml:space="preserve"> </w:t>
      </w:r>
      <w:r w:rsidRPr="00384F9F">
        <w:rPr>
          <w:color w:val="000000"/>
        </w:rPr>
        <w:t>October 2007; communication No.</w:t>
      </w:r>
      <w:r w:rsidRPr="00384F9F">
        <w:rPr>
          <w:color w:val="000000"/>
          <w:vertAlign w:val="superscript"/>
        </w:rPr>
        <w:t xml:space="preserve"> </w:t>
      </w:r>
      <w:r w:rsidRPr="00384F9F">
        <w:rPr>
          <w:color w:val="000000"/>
        </w:rPr>
        <w:t>1141/2002,</w:t>
      </w:r>
      <w:r>
        <w:rPr>
          <w:color w:val="000000"/>
        </w:rPr>
        <w:t xml:space="preserve"> </w:t>
      </w:r>
      <w:r w:rsidRPr="00384F9F">
        <w:rPr>
          <w:i/>
          <w:color w:val="000000"/>
        </w:rPr>
        <w:t xml:space="preserve">Gougnina </w:t>
      </w:r>
      <w:r w:rsidRPr="00523B7B">
        <w:rPr>
          <w:color w:val="000000"/>
        </w:rPr>
        <w:t>v.</w:t>
      </w:r>
      <w:r w:rsidRPr="00384F9F">
        <w:rPr>
          <w:i/>
          <w:color w:val="000000"/>
        </w:rPr>
        <w:t xml:space="preserve"> Uzbekistan</w:t>
      </w:r>
      <w:r w:rsidRPr="00384F9F">
        <w:rPr>
          <w:color w:val="000000"/>
        </w:rPr>
        <w:t>, inadmissibility decision adopted on 1 April 2008.</w:t>
      </w:r>
    </w:p>
  </w:footnote>
  <w:footnote w:id="20">
    <w:p w:rsidR="00E21865" w:rsidRDefault="00E21865" w:rsidP="0070751C">
      <w:pPr>
        <w:pStyle w:val="FootnoteText"/>
        <w:widowControl w:val="0"/>
        <w:tabs>
          <w:tab w:val="clear" w:pos="1021"/>
          <w:tab w:val="right" w:pos="1020"/>
        </w:tabs>
        <w:jc w:val="both"/>
      </w:pPr>
      <w:r>
        <w:tab/>
      </w:r>
      <w:r w:rsidR="00DD680D">
        <w:tab/>
      </w:r>
      <w:r>
        <w:rPr>
          <w:rStyle w:val="FootnoteReference"/>
        </w:rPr>
        <w:footnoteRef/>
      </w:r>
      <w:r w:rsidR="00DD680D">
        <w:t xml:space="preserve"> </w:t>
      </w:r>
      <w:r w:rsidRPr="00384F9F">
        <w:rPr>
          <w:szCs w:val="24"/>
        </w:rPr>
        <w:t>See para</w:t>
      </w:r>
      <w:r>
        <w:rPr>
          <w:szCs w:val="24"/>
        </w:rPr>
        <w:t>.</w:t>
      </w:r>
      <w:r w:rsidRPr="00384F9F">
        <w:rPr>
          <w:szCs w:val="24"/>
        </w:rPr>
        <w:t xml:space="preserve"> 4.8 above.</w:t>
      </w:r>
    </w:p>
  </w:footnote>
  <w:footnote w:id="21">
    <w:p w:rsidR="00E21865" w:rsidRDefault="00E21865" w:rsidP="0070751C">
      <w:pPr>
        <w:pStyle w:val="FootnoteText"/>
        <w:widowControl w:val="0"/>
        <w:tabs>
          <w:tab w:val="clear" w:pos="1021"/>
          <w:tab w:val="right" w:pos="1020"/>
        </w:tabs>
        <w:jc w:val="both"/>
      </w:pPr>
      <w:r>
        <w:tab/>
      </w:r>
      <w:r w:rsidR="00DD680D">
        <w:tab/>
      </w:r>
      <w:r>
        <w:rPr>
          <w:rStyle w:val="FootnoteReference"/>
        </w:rPr>
        <w:footnoteRef/>
      </w:r>
      <w:r w:rsidR="00DD680D">
        <w:t xml:space="preserve"> </w:t>
      </w:r>
      <w:r w:rsidRPr="00384F9F">
        <w:rPr>
          <w:szCs w:val="24"/>
        </w:rPr>
        <w:t xml:space="preserve">Communication No. 1412/2005, </w:t>
      </w:r>
      <w:r w:rsidRPr="00384F9F">
        <w:rPr>
          <w:i/>
          <w:iCs/>
          <w:szCs w:val="24"/>
        </w:rPr>
        <w:t xml:space="preserve">Butovenko </w:t>
      </w:r>
      <w:r w:rsidRPr="00523B7B">
        <w:rPr>
          <w:iCs/>
          <w:szCs w:val="24"/>
        </w:rPr>
        <w:t>v.</w:t>
      </w:r>
      <w:r w:rsidRPr="00384F9F">
        <w:rPr>
          <w:i/>
          <w:iCs/>
          <w:szCs w:val="24"/>
        </w:rPr>
        <w:t xml:space="preserve"> </w:t>
      </w:r>
      <w:smartTag w:uri="urn:schemas-microsoft-com:office:smarttags" w:element="place">
        <w:smartTag w:uri="urn:schemas-microsoft-com:office:smarttags" w:element="country-region">
          <w:r w:rsidRPr="00384F9F">
            <w:rPr>
              <w:i/>
              <w:iCs/>
              <w:szCs w:val="24"/>
            </w:rPr>
            <w:t>Ukraine</w:t>
          </w:r>
        </w:smartTag>
      </w:smartTag>
      <w:r w:rsidRPr="00384F9F">
        <w:rPr>
          <w:szCs w:val="24"/>
        </w:rPr>
        <w:t xml:space="preserve">, </w:t>
      </w:r>
      <w:r>
        <w:rPr>
          <w:szCs w:val="24"/>
        </w:rPr>
        <w:t>V</w:t>
      </w:r>
      <w:r w:rsidRPr="00384F9F">
        <w:rPr>
          <w:szCs w:val="24"/>
        </w:rPr>
        <w:t>iews adopted on 19 July 2011, para. 7.3</w:t>
      </w:r>
      <w:r>
        <w:rPr>
          <w:szCs w:val="24"/>
        </w:rPr>
        <w:t>.</w:t>
      </w:r>
    </w:p>
  </w:footnote>
  <w:footnote w:id="22">
    <w:p w:rsidR="00E21865" w:rsidRDefault="00E21865" w:rsidP="0070751C">
      <w:pPr>
        <w:pStyle w:val="FootnoteText"/>
        <w:widowControl w:val="0"/>
        <w:tabs>
          <w:tab w:val="clear" w:pos="1021"/>
          <w:tab w:val="right" w:pos="1020"/>
        </w:tabs>
        <w:jc w:val="both"/>
      </w:pPr>
      <w:r>
        <w:tab/>
      </w:r>
      <w:r w:rsidR="00DD680D">
        <w:tab/>
      </w:r>
      <w:r>
        <w:rPr>
          <w:rStyle w:val="FootnoteReference"/>
        </w:rPr>
        <w:footnoteRef/>
      </w:r>
      <w:r w:rsidR="00DD680D">
        <w:t xml:space="preserve"> </w:t>
      </w:r>
      <w:r w:rsidRPr="00384F9F">
        <w:rPr>
          <w:szCs w:val="24"/>
        </w:rPr>
        <w:t xml:space="preserve">Communication No. 1588/2007, </w:t>
      </w:r>
      <w:r w:rsidRPr="00384F9F">
        <w:rPr>
          <w:i/>
          <w:iCs/>
          <w:szCs w:val="24"/>
        </w:rPr>
        <w:t xml:space="preserve">Benaziza </w:t>
      </w:r>
      <w:r w:rsidRPr="005D4A7D">
        <w:rPr>
          <w:iCs/>
          <w:szCs w:val="24"/>
        </w:rPr>
        <w:t xml:space="preserve">v. </w:t>
      </w:r>
      <w:smartTag w:uri="urn:schemas-microsoft-com:office:smarttags" w:element="place">
        <w:smartTag w:uri="urn:schemas-microsoft-com:office:smarttags" w:element="country-region">
          <w:r w:rsidRPr="00384F9F">
            <w:rPr>
              <w:i/>
              <w:iCs/>
              <w:szCs w:val="24"/>
            </w:rPr>
            <w:t>Algeria</w:t>
          </w:r>
        </w:smartTag>
      </w:smartTag>
      <w:r w:rsidRPr="00384F9F">
        <w:rPr>
          <w:szCs w:val="24"/>
        </w:rPr>
        <w:t xml:space="preserve">, Views adopted on 26 July 2010, para. 8.3; communication No. 1780/2008, </w:t>
      </w:r>
      <w:r w:rsidRPr="00384F9F">
        <w:rPr>
          <w:i/>
          <w:iCs/>
          <w:szCs w:val="24"/>
        </w:rPr>
        <w:t xml:space="preserve">Zarzi </w:t>
      </w:r>
      <w:r w:rsidRPr="005D4A7D">
        <w:rPr>
          <w:iCs/>
          <w:szCs w:val="24"/>
        </w:rPr>
        <w:t>v.</w:t>
      </w:r>
      <w:r w:rsidRPr="00384F9F">
        <w:rPr>
          <w:i/>
          <w:iCs/>
          <w:szCs w:val="24"/>
        </w:rPr>
        <w:t xml:space="preserve"> </w:t>
      </w:r>
      <w:smartTag w:uri="urn:schemas-microsoft-com:office:smarttags" w:element="country-region">
        <w:smartTag w:uri="urn:schemas-microsoft-com:office:smarttags" w:element="place">
          <w:r w:rsidRPr="00384F9F">
            <w:rPr>
              <w:i/>
              <w:iCs/>
              <w:szCs w:val="24"/>
            </w:rPr>
            <w:t>Algeria</w:t>
          </w:r>
        </w:smartTag>
      </w:smartTag>
      <w:r w:rsidRPr="00384F9F">
        <w:rPr>
          <w:szCs w:val="24"/>
        </w:rPr>
        <w:t xml:space="preserve">, Views adopted on 22 March 2011, para. 6.3; communication No. 1781/2008, </w:t>
      </w:r>
      <w:r w:rsidRPr="00384F9F">
        <w:rPr>
          <w:i/>
          <w:iCs/>
          <w:szCs w:val="24"/>
        </w:rPr>
        <w:t xml:space="preserve">Djebrouni </w:t>
      </w:r>
      <w:r w:rsidRPr="005D4A7D">
        <w:rPr>
          <w:iCs/>
          <w:szCs w:val="24"/>
        </w:rPr>
        <w:t xml:space="preserve">v. </w:t>
      </w:r>
      <w:smartTag w:uri="urn:schemas-microsoft-com:office:smarttags" w:element="country-region">
        <w:smartTag w:uri="urn:schemas-microsoft-com:office:smarttags" w:element="place">
          <w:r w:rsidRPr="00384F9F">
            <w:rPr>
              <w:i/>
              <w:iCs/>
              <w:szCs w:val="24"/>
            </w:rPr>
            <w:t>Algeria</w:t>
          </w:r>
        </w:smartTag>
      </w:smartTag>
      <w:r w:rsidRPr="00384F9F">
        <w:rPr>
          <w:szCs w:val="24"/>
        </w:rPr>
        <w:t>, Views adopted on 31 October 2011, para. 7.4; and communication No. 1811/2008,</w:t>
      </w:r>
      <w:r>
        <w:rPr>
          <w:szCs w:val="24"/>
        </w:rPr>
        <w:t xml:space="preserve"> </w:t>
      </w:r>
      <w:r>
        <w:rPr>
          <w:i/>
          <w:szCs w:val="24"/>
        </w:rPr>
        <w:t xml:space="preserve">Chihoub </w:t>
      </w:r>
      <w:r>
        <w:rPr>
          <w:szCs w:val="24"/>
        </w:rPr>
        <w:t xml:space="preserve">v. </w:t>
      </w:r>
      <w:smartTag w:uri="urn:schemas-microsoft-com:office:smarttags" w:element="country-region">
        <w:smartTag w:uri="urn:schemas-microsoft-com:office:smarttags" w:element="place">
          <w:r>
            <w:rPr>
              <w:i/>
              <w:szCs w:val="24"/>
            </w:rPr>
            <w:t>Algeria</w:t>
          </w:r>
        </w:smartTag>
      </w:smartTag>
      <w:r>
        <w:rPr>
          <w:szCs w:val="24"/>
        </w:rPr>
        <w:t>, Views adopted on 31 October 2011,</w:t>
      </w:r>
      <w:r w:rsidRPr="00384F9F">
        <w:rPr>
          <w:szCs w:val="24"/>
        </w:rPr>
        <w:t xml:space="preserve"> para. 7.4.</w:t>
      </w:r>
    </w:p>
  </w:footnote>
  <w:footnote w:id="23">
    <w:p w:rsidR="00E21865" w:rsidRPr="00A958F1" w:rsidRDefault="00E21865" w:rsidP="0070751C">
      <w:pPr>
        <w:pStyle w:val="FootnoteText"/>
        <w:widowControl w:val="0"/>
        <w:tabs>
          <w:tab w:val="clear" w:pos="1021"/>
          <w:tab w:val="right" w:pos="1020"/>
        </w:tabs>
        <w:jc w:val="both"/>
      </w:pPr>
      <w:r>
        <w:tab/>
      </w:r>
      <w:r w:rsidR="00DD680D">
        <w:tab/>
      </w:r>
      <w:r>
        <w:rPr>
          <w:rStyle w:val="FootnoteReference"/>
        </w:rPr>
        <w:footnoteRef/>
      </w:r>
      <w:r w:rsidR="00DD680D">
        <w:t xml:space="preserve"> </w:t>
      </w:r>
      <w:r w:rsidRPr="00A958F1">
        <w:rPr>
          <w:i/>
        </w:rPr>
        <w:t>Official</w:t>
      </w:r>
      <w:r w:rsidRPr="00A958F1">
        <w:t xml:space="preserve"> </w:t>
      </w:r>
      <w:r w:rsidRPr="00A958F1">
        <w:rPr>
          <w:i/>
        </w:rPr>
        <w:t xml:space="preserve">Records of the General Assembly, Forty-seventh Session, Supplement No. 40 </w:t>
      </w:r>
      <w:r w:rsidRPr="00A958F1">
        <w:t>(A/47/40), annex VI, sect. A, para. 11.</w:t>
      </w:r>
    </w:p>
  </w:footnote>
  <w:footnote w:id="24">
    <w:p w:rsidR="00E21865" w:rsidRDefault="00E21865" w:rsidP="0070751C">
      <w:pPr>
        <w:pStyle w:val="FootnoteText"/>
        <w:widowControl w:val="0"/>
        <w:tabs>
          <w:tab w:val="clear" w:pos="1021"/>
          <w:tab w:val="right" w:pos="1020"/>
        </w:tabs>
        <w:jc w:val="both"/>
      </w:pPr>
      <w:r>
        <w:tab/>
      </w:r>
      <w:r w:rsidR="005C1D2A">
        <w:t xml:space="preserve"> </w:t>
      </w:r>
      <w:r w:rsidR="005C1D2A">
        <w:tab/>
      </w:r>
      <w:r>
        <w:rPr>
          <w:rStyle w:val="FootnoteReference"/>
        </w:rPr>
        <w:footnoteRef/>
      </w:r>
      <w:r w:rsidR="005C1D2A">
        <w:t xml:space="preserve"> </w:t>
      </w:r>
      <w:r w:rsidRPr="00384F9F">
        <w:rPr>
          <w:szCs w:val="24"/>
        </w:rPr>
        <w:t xml:space="preserve">Communication No. 1761/2008, </w:t>
      </w:r>
      <w:r w:rsidRPr="00384F9F">
        <w:rPr>
          <w:i/>
          <w:iCs/>
          <w:szCs w:val="24"/>
        </w:rPr>
        <w:t xml:space="preserve">Giri </w:t>
      </w:r>
      <w:r w:rsidRPr="008F30DA">
        <w:rPr>
          <w:iCs/>
          <w:szCs w:val="24"/>
        </w:rPr>
        <w:t>v.</w:t>
      </w:r>
      <w:r w:rsidRPr="00384F9F">
        <w:rPr>
          <w:i/>
          <w:iCs/>
          <w:szCs w:val="24"/>
        </w:rPr>
        <w:t xml:space="preserve"> </w:t>
      </w:r>
      <w:smartTag w:uri="urn:schemas-microsoft-com:office:smarttags" w:element="place">
        <w:smartTag w:uri="urn:schemas-microsoft-com:office:smarttags" w:element="country-region">
          <w:r w:rsidRPr="00384F9F">
            <w:rPr>
              <w:i/>
              <w:iCs/>
              <w:szCs w:val="24"/>
            </w:rPr>
            <w:t>Nepal</w:t>
          </w:r>
        </w:smartTag>
      </w:smartTag>
      <w:r w:rsidRPr="00384F9F">
        <w:rPr>
          <w:szCs w:val="24"/>
        </w:rPr>
        <w:t>, Views adopted on 24 March 2011, para. 7.8.</w:t>
      </w:r>
    </w:p>
  </w:footnote>
  <w:footnote w:id="25">
    <w:p w:rsidR="005C1D2A" w:rsidRDefault="00E21865" w:rsidP="0070751C">
      <w:pPr>
        <w:pStyle w:val="FootnoteText"/>
        <w:jc w:val="both"/>
      </w:pPr>
      <w:r>
        <w:tab/>
      </w:r>
      <w:r w:rsidR="005C1D2A">
        <w:tab/>
      </w:r>
      <w:r>
        <w:rPr>
          <w:rStyle w:val="FootnoteReference"/>
        </w:rPr>
        <w:footnoteRef/>
      </w:r>
      <w:r w:rsidR="005C1D2A">
        <w:t xml:space="preserve"> </w:t>
      </w:r>
      <w:r w:rsidRPr="00E9613B">
        <w:rPr>
          <w:i/>
          <w:iCs/>
        </w:rPr>
        <w:t>Official Records of the General Assembly, Sixty-second Session, Supplement No. 40</w:t>
      </w:r>
      <w:r w:rsidRPr="00E9613B">
        <w:rPr>
          <w:iCs/>
        </w:rPr>
        <w:t>, vol. I</w:t>
      </w:r>
      <w:r w:rsidRPr="00E9613B">
        <w:t xml:space="preserve"> (A/62/40 </w:t>
      </w:r>
    </w:p>
    <w:p w:rsidR="00E21865" w:rsidRDefault="005C1D2A" w:rsidP="0070751C">
      <w:pPr>
        <w:pStyle w:val="FootnoteText"/>
        <w:jc w:val="both"/>
      </w:pPr>
      <w:r>
        <w:tab/>
      </w:r>
      <w:r>
        <w:tab/>
        <w:t xml:space="preserve">   </w:t>
      </w:r>
      <w:r w:rsidR="00E21865" w:rsidRPr="00E9613B">
        <w:t>(Vol. I)), annex VI</w:t>
      </w:r>
      <w:r w:rsidR="00E21865" w:rsidRPr="00CB573C">
        <w:t>, para.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65" w:rsidRPr="00D56158" w:rsidRDefault="00E21865" w:rsidP="007D4897">
    <w:pPr>
      <w:pStyle w:val="Header"/>
      <w:tabs>
        <w:tab w:val="right" w:pos="9639"/>
      </w:tabs>
    </w:pPr>
    <w:r w:rsidRPr="00D56158">
      <w:t>CCPR/C/104/D/1880/2009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65" w:rsidRPr="00D56158" w:rsidRDefault="00E21865" w:rsidP="007D4897">
    <w:pPr>
      <w:pStyle w:val="Header"/>
      <w:tabs>
        <w:tab w:val="right" w:pos="9639"/>
      </w:tabs>
    </w:pPr>
    <w:r>
      <w:tab/>
    </w:r>
    <w:r w:rsidRPr="00D56158">
      <w:t>CCPR/C/104/D/1880/2009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CE3"/>
    <w:rsid w:val="00021C70"/>
    <w:rsid w:val="00022B30"/>
    <w:rsid w:val="000320ED"/>
    <w:rsid w:val="00050F6B"/>
    <w:rsid w:val="00057E97"/>
    <w:rsid w:val="00060C3A"/>
    <w:rsid w:val="000726BE"/>
    <w:rsid w:val="00072C8C"/>
    <w:rsid w:val="000733B5"/>
    <w:rsid w:val="00081815"/>
    <w:rsid w:val="0008312D"/>
    <w:rsid w:val="000839E8"/>
    <w:rsid w:val="000931C0"/>
    <w:rsid w:val="000977B4"/>
    <w:rsid w:val="000B175B"/>
    <w:rsid w:val="000B3A0F"/>
    <w:rsid w:val="000B4EF7"/>
    <w:rsid w:val="000C2C03"/>
    <w:rsid w:val="000C2D2E"/>
    <w:rsid w:val="000E0245"/>
    <w:rsid w:val="000E0415"/>
    <w:rsid w:val="001103AA"/>
    <w:rsid w:val="00114241"/>
    <w:rsid w:val="00122DF1"/>
    <w:rsid w:val="00144B2E"/>
    <w:rsid w:val="00144E4E"/>
    <w:rsid w:val="00157438"/>
    <w:rsid w:val="00165F3A"/>
    <w:rsid w:val="001815C9"/>
    <w:rsid w:val="00183968"/>
    <w:rsid w:val="001856F7"/>
    <w:rsid w:val="00186DDC"/>
    <w:rsid w:val="001A6686"/>
    <w:rsid w:val="001B4B04"/>
    <w:rsid w:val="001C0F21"/>
    <w:rsid w:val="001C1673"/>
    <w:rsid w:val="001C6663"/>
    <w:rsid w:val="001C7895"/>
    <w:rsid w:val="001D0C8C"/>
    <w:rsid w:val="001D26DF"/>
    <w:rsid w:val="001D3A03"/>
    <w:rsid w:val="001E5A51"/>
    <w:rsid w:val="001F20C3"/>
    <w:rsid w:val="00202DA8"/>
    <w:rsid w:val="00211E0B"/>
    <w:rsid w:val="002149F8"/>
    <w:rsid w:val="0023210C"/>
    <w:rsid w:val="00245CE3"/>
    <w:rsid w:val="00267F5F"/>
    <w:rsid w:val="00276D2B"/>
    <w:rsid w:val="00286B4D"/>
    <w:rsid w:val="002937F7"/>
    <w:rsid w:val="002A3861"/>
    <w:rsid w:val="002A71C1"/>
    <w:rsid w:val="002C157C"/>
    <w:rsid w:val="002D7610"/>
    <w:rsid w:val="002F0F4A"/>
    <w:rsid w:val="002F175C"/>
    <w:rsid w:val="002F67F2"/>
    <w:rsid w:val="0031274F"/>
    <w:rsid w:val="00315BB5"/>
    <w:rsid w:val="003229D8"/>
    <w:rsid w:val="00323A66"/>
    <w:rsid w:val="00325DC3"/>
    <w:rsid w:val="00335BBE"/>
    <w:rsid w:val="003525A2"/>
    <w:rsid w:val="00352709"/>
    <w:rsid w:val="00367567"/>
    <w:rsid w:val="00371178"/>
    <w:rsid w:val="003858A3"/>
    <w:rsid w:val="00387706"/>
    <w:rsid w:val="003968BF"/>
    <w:rsid w:val="003A6810"/>
    <w:rsid w:val="003C2CC4"/>
    <w:rsid w:val="003D4B23"/>
    <w:rsid w:val="003F4453"/>
    <w:rsid w:val="003F4CD4"/>
    <w:rsid w:val="00410C89"/>
    <w:rsid w:val="0042233E"/>
    <w:rsid w:val="00426B9B"/>
    <w:rsid w:val="004325CB"/>
    <w:rsid w:val="00436B33"/>
    <w:rsid w:val="004429A6"/>
    <w:rsid w:val="00442A83"/>
    <w:rsid w:val="00443F1A"/>
    <w:rsid w:val="00451B58"/>
    <w:rsid w:val="0045495B"/>
    <w:rsid w:val="0048393B"/>
    <w:rsid w:val="004868E8"/>
    <w:rsid w:val="00487488"/>
    <w:rsid w:val="00496BCD"/>
    <w:rsid w:val="004C3EC0"/>
    <w:rsid w:val="004D1065"/>
    <w:rsid w:val="004D354E"/>
    <w:rsid w:val="004E14CB"/>
    <w:rsid w:val="004F443E"/>
    <w:rsid w:val="0051149A"/>
    <w:rsid w:val="00517DE4"/>
    <w:rsid w:val="0052136D"/>
    <w:rsid w:val="00523B7B"/>
    <w:rsid w:val="0052775E"/>
    <w:rsid w:val="00532095"/>
    <w:rsid w:val="005420F2"/>
    <w:rsid w:val="00544D0B"/>
    <w:rsid w:val="0055320B"/>
    <w:rsid w:val="00556594"/>
    <w:rsid w:val="005628B6"/>
    <w:rsid w:val="005670D3"/>
    <w:rsid w:val="005848B3"/>
    <w:rsid w:val="005A1349"/>
    <w:rsid w:val="005B3DB3"/>
    <w:rsid w:val="005B5EC0"/>
    <w:rsid w:val="005C1D2A"/>
    <w:rsid w:val="005D4A7D"/>
    <w:rsid w:val="005F7717"/>
    <w:rsid w:val="005F7B75"/>
    <w:rsid w:val="006001EE"/>
    <w:rsid w:val="00605042"/>
    <w:rsid w:val="00611FC4"/>
    <w:rsid w:val="00613DEE"/>
    <w:rsid w:val="006176FB"/>
    <w:rsid w:val="00621AFC"/>
    <w:rsid w:val="0062304C"/>
    <w:rsid w:val="00623C02"/>
    <w:rsid w:val="006365EB"/>
    <w:rsid w:val="0063723C"/>
    <w:rsid w:val="00640B26"/>
    <w:rsid w:val="00652D0A"/>
    <w:rsid w:val="00662BB6"/>
    <w:rsid w:val="00675BFC"/>
    <w:rsid w:val="00684C21"/>
    <w:rsid w:val="006A35A6"/>
    <w:rsid w:val="006A4390"/>
    <w:rsid w:val="006B6A77"/>
    <w:rsid w:val="006D37AF"/>
    <w:rsid w:val="006D51D0"/>
    <w:rsid w:val="006E564B"/>
    <w:rsid w:val="006E5EE8"/>
    <w:rsid w:val="006E7191"/>
    <w:rsid w:val="006F1A34"/>
    <w:rsid w:val="006F4257"/>
    <w:rsid w:val="00703577"/>
    <w:rsid w:val="0070751C"/>
    <w:rsid w:val="007077B8"/>
    <w:rsid w:val="0072632A"/>
    <w:rsid w:val="00727937"/>
    <w:rsid w:val="007327D5"/>
    <w:rsid w:val="00740B9D"/>
    <w:rsid w:val="007629C8"/>
    <w:rsid w:val="00774E15"/>
    <w:rsid w:val="00777B35"/>
    <w:rsid w:val="00782E75"/>
    <w:rsid w:val="007A1357"/>
    <w:rsid w:val="007B6BA5"/>
    <w:rsid w:val="007C3390"/>
    <w:rsid w:val="007C4F4B"/>
    <w:rsid w:val="007C784F"/>
    <w:rsid w:val="007D4897"/>
    <w:rsid w:val="007E0B2D"/>
    <w:rsid w:val="007F5B95"/>
    <w:rsid w:val="007F6611"/>
    <w:rsid w:val="008018A8"/>
    <w:rsid w:val="00802B47"/>
    <w:rsid w:val="008059B0"/>
    <w:rsid w:val="008102BA"/>
    <w:rsid w:val="008160D8"/>
    <w:rsid w:val="008242D7"/>
    <w:rsid w:val="008257B1"/>
    <w:rsid w:val="00843767"/>
    <w:rsid w:val="00853EC1"/>
    <w:rsid w:val="00857E58"/>
    <w:rsid w:val="008679D9"/>
    <w:rsid w:val="0087353A"/>
    <w:rsid w:val="008979B1"/>
    <w:rsid w:val="008A1DB2"/>
    <w:rsid w:val="008A6B25"/>
    <w:rsid w:val="008A6C4F"/>
    <w:rsid w:val="008B2335"/>
    <w:rsid w:val="008D44A6"/>
    <w:rsid w:val="008E0678"/>
    <w:rsid w:val="008F30DA"/>
    <w:rsid w:val="00910F40"/>
    <w:rsid w:val="0091168A"/>
    <w:rsid w:val="00912AAB"/>
    <w:rsid w:val="00912C08"/>
    <w:rsid w:val="009223CA"/>
    <w:rsid w:val="00940F93"/>
    <w:rsid w:val="0095069D"/>
    <w:rsid w:val="0095347F"/>
    <w:rsid w:val="0095407A"/>
    <w:rsid w:val="00956530"/>
    <w:rsid w:val="00965C35"/>
    <w:rsid w:val="009760F3"/>
    <w:rsid w:val="00984D72"/>
    <w:rsid w:val="009909F5"/>
    <w:rsid w:val="00994801"/>
    <w:rsid w:val="009A0E8D"/>
    <w:rsid w:val="009A3336"/>
    <w:rsid w:val="009A4916"/>
    <w:rsid w:val="009A5418"/>
    <w:rsid w:val="009B26E7"/>
    <w:rsid w:val="009C4318"/>
    <w:rsid w:val="009E767D"/>
    <w:rsid w:val="00A00A3F"/>
    <w:rsid w:val="00A01489"/>
    <w:rsid w:val="00A211EF"/>
    <w:rsid w:val="00A31B6F"/>
    <w:rsid w:val="00A338F1"/>
    <w:rsid w:val="00A57265"/>
    <w:rsid w:val="00A609B0"/>
    <w:rsid w:val="00A72F22"/>
    <w:rsid w:val="00A7360F"/>
    <w:rsid w:val="00A748A6"/>
    <w:rsid w:val="00A769F4"/>
    <w:rsid w:val="00A776B4"/>
    <w:rsid w:val="00A92079"/>
    <w:rsid w:val="00A94361"/>
    <w:rsid w:val="00A958F1"/>
    <w:rsid w:val="00AA293C"/>
    <w:rsid w:val="00AB5330"/>
    <w:rsid w:val="00AE090C"/>
    <w:rsid w:val="00AE10A4"/>
    <w:rsid w:val="00B1208D"/>
    <w:rsid w:val="00B13E9B"/>
    <w:rsid w:val="00B1437F"/>
    <w:rsid w:val="00B16CE6"/>
    <w:rsid w:val="00B25269"/>
    <w:rsid w:val="00B30179"/>
    <w:rsid w:val="00B339A7"/>
    <w:rsid w:val="00B42B60"/>
    <w:rsid w:val="00B56E4A"/>
    <w:rsid w:val="00B56E9C"/>
    <w:rsid w:val="00B64B1F"/>
    <w:rsid w:val="00B6553F"/>
    <w:rsid w:val="00B66E5E"/>
    <w:rsid w:val="00B73954"/>
    <w:rsid w:val="00B77D05"/>
    <w:rsid w:val="00B81206"/>
    <w:rsid w:val="00B81E12"/>
    <w:rsid w:val="00B831E7"/>
    <w:rsid w:val="00B9067B"/>
    <w:rsid w:val="00BC2C23"/>
    <w:rsid w:val="00BC4B59"/>
    <w:rsid w:val="00BC69C4"/>
    <w:rsid w:val="00BC74E9"/>
    <w:rsid w:val="00BE0C8E"/>
    <w:rsid w:val="00BE2277"/>
    <w:rsid w:val="00BF02DC"/>
    <w:rsid w:val="00BF5011"/>
    <w:rsid w:val="00BF68A8"/>
    <w:rsid w:val="00C01704"/>
    <w:rsid w:val="00C11A03"/>
    <w:rsid w:val="00C17C7E"/>
    <w:rsid w:val="00C31678"/>
    <w:rsid w:val="00C463DD"/>
    <w:rsid w:val="00C4724C"/>
    <w:rsid w:val="00C5219B"/>
    <w:rsid w:val="00C62069"/>
    <w:rsid w:val="00C629A0"/>
    <w:rsid w:val="00C66DA2"/>
    <w:rsid w:val="00C745C3"/>
    <w:rsid w:val="00C85607"/>
    <w:rsid w:val="00CB0AEC"/>
    <w:rsid w:val="00CD5F20"/>
    <w:rsid w:val="00CE4A8F"/>
    <w:rsid w:val="00CF1C64"/>
    <w:rsid w:val="00D10A13"/>
    <w:rsid w:val="00D10ACC"/>
    <w:rsid w:val="00D10EEC"/>
    <w:rsid w:val="00D2031B"/>
    <w:rsid w:val="00D25FE2"/>
    <w:rsid w:val="00D313B8"/>
    <w:rsid w:val="00D43252"/>
    <w:rsid w:val="00D472F2"/>
    <w:rsid w:val="00D47EEA"/>
    <w:rsid w:val="00D56158"/>
    <w:rsid w:val="00D5691C"/>
    <w:rsid w:val="00D61F7A"/>
    <w:rsid w:val="00D62028"/>
    <w:rsid w:val="00D6295F"/>
    <w:rsid w:val="00D95303"/>
    <w:rsid w:val="00D978C6"/>
    <w:rsid w:val="00DA3111"/>
    <w:rsid w:val="00DA3C1C"/>
    <w:rsid w:val="00DB0C79"/>
    <w:rsid w:val="00DC35AF"/>
    <w:rsid w:val="00DD680D"/>
    <w:rsid w:val="00DE1E77"/>
    <w:rsid w:val="00DE2B7C"/>
    <w:rsid w:val="00E034E0"/>
    <w:rsid w:val="00E116F3"/>
    <w:rsid w:val="00E21865"/>
    <w:rsid w:val="00E27346"/>
    <w:rsid w:val="00E54573"/>
    <w:rsid w:val="00E60D53"/>
    <w:rsid w:val="00E65C1B"/>
    <w:rsid w:val="00E71BC8"/>
    <w:rsid w:val="00E7260F"/>
    <w:rsid w:val="00E779FC"/>
    <w:rsid w:val="00E832A8"/>
    <w:rsid w:val="00E850F4"/>
    <w:rsid w:val="00E9613B"/>
    <w:rsid w:val="00E96630"/>
    <w:rsid w:val="00EA4C9B"/>
    <w:rsid w:val="00EA7DEF"/>
    <w:rsid w:val="00EB2581"/>
    <w:rsid w:val="00ED1585"/>
    <w:rsid w:val="00ED7A2A"/>
    <w:rsid w:val="00EF1D7F"/>
    <w:rsid w:val="00F13DBA"/>
    <w:rsid w:val="00F14AC9"/>
    <w:rsid w:val="00F20507"/>
    <w:rsid w:val="00F20AF3"/>
    <w:rsid w:val="00F20C3D"/>
    <w:rsid w:val="00F43E9E"/>
    <w:rsid w:val="00F56BF5"/>
    <w:rsid w:val="00F64491"/>
    <w:rsid w:val="00F85CAC"/>
    <w:rsid w:val="00F9057C"/>
    <w:rsid w:val="00F906D7"/>
    <w:rsid w:val="00F93781"/>
    <w:rsid w:val="00FA23DF"/>
    <w:rsid w:val="00FB613B"/>
    <w:rsid w:val="00FC68B7"/>
    <w:rsid w:val="00FD4371"/>
    <w:rsid w:val="00FE106A"/>
    <w:rsid w:val="00FF1BE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3814FAFE-DB6F-4084-87FF-69336F5F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FootnoteTextChar">
    <w:name w:val="Footnote Text Char"/>
    <w:aliases w:val="5_G Char"/>
    <w:link w:val="FootnoteText"/>
    <w:rsid w:val="009A5418"/>
    <w:rPr>
      <w:sz w:val="18"/>
      <w:lang w:val="en-GB" w:eastAsia="en-US" w:bidi="ar-SA"/>
    </w:rPr>
  </w:style>
  <w:style w:type="paragraph" w:styleId="BalloonText">
    <w:name w:val="Balloon Text"/>
    <w:basedOn w:val="Normal"/>
    <w:semiHidden/>
    <w:rsid w:val="005670D3"/>
    <w:rPr>
      <w:rFonts w:ascii="Tahoma" w:hAnsi="Tahoma" w:cs="Tahoma"/>
      <w:sz w:val="16"/>
      <w:szCs w:val="16"/>
    </w:rPr>
  </w:style>
  <w:style w:type="character" w:customStyle="1" w:styleId="SingleTxtGChar">
    <w:name w:val="_ Single Txt_G Char"/>
    <w:link w:val="SingleTxtG"/>
    <w:rsid w:val="00F64491"/>
    <w:rPr>
      <w:lang w:val="en-GB" w:eastAsia="en-US" w:bidi="ar-SA"/>
    </w:rPr>
  </w:style>
  <w:style w:type="character" w:customStyle="1" w:styleId="FooterChar">
    <w:name w:val="Footer Char"/>
    <w:aliases w:val="3_G Char"/>
    <w:link w:val="Footer"/>
    <w:uiPriority w:val="99"/>
    <w:rsid w:val="00857E58"/>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1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12</Pages>
  <Words>6185</Words>
  <Characters>35260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1240046</vt:lpstr>
    </vt:vector>
  </TitlesOfParts>
  <Company>CSD</Company>
  <LinksUpToDate>false</LinksUpToDate>
  <CharactersWithSpaces>41363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1240046</dc:title>
  <dc:subject>CCPR/C/WG/104/DR/1880/2009</dc:subject>
  <dc:creator>pae</dc:creator>
  <cp:keywords/>
  <dc:description>final</dc:description>
  <cp:lastModifiedBy>Sarah Willig</cp:lastModifiedBy>
  <cp:revision>2</cp:revision>
  <cp:lastPrinted>2012-05-02T11:27:00Z</cp:lastPrinted>
  <dcterms:created xsi:type="dcterms:W3CDTF">2017-01-24T22:53:00Z</dcterms:created>
  <dcterms:modified xsi:type="dcterms:W3CDTF">2017-01-24T22:53:00Z</dcterms:modified>
</cp:coreProperties>
</file>