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802EC7"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802EC7" w:rsidRDefault="00B56E9C" w:rsidP="00B6553F">
            <w:pPr>
              <w:spacing w:after="80" w:line="300" w:lineRule="exact"/>
              <w:rPr>
                <w:b/>
                <w:sz w:val="24"/>
                <w:szCs w:val="24"/>
              </w:rPr>
            </w:pPr>
            <w:r w:rsidRPr="00802EC7">
              <w:rPr>
                <w:sz w:val="28"/>
                <w:szCs w:val="28"/>
              </w:rPr>
              <w:t>United Nations</w:t>
            </w:r>
          </w:p>
        </w:tc>
        <w:tc>
          <w:tcPr>
            <w:tcW w:w="6095" w:type="dxa"/>
            <w:gridSpan w:val="2"/>
            <w:tcBorders>
              <w:bottom w:val="single" w:sz="4" w:space="0" w:color="auto"/>
            </w:tcBorders>
            <w:vAlign w:val="bottom"/>
          </w:tcPr>
          <w:p w:rsidR="00B56E9C" w:rsidRPr="00802EC7" w:rsidRDefault="00C66546" w:rsidP="00323362">
            <w:pPr>
              <w:jc w:val="right"/>
            </w:pPr>
            <w:r w:rsidRPr="00802EC7">
              <w:rPr>
                <w:sz w:val="40"/>
              </w:rPr>
              <w:t>CCPR</w:t>
            </w:r>
            <w:r w:rsidRPr="00802EC7">
              <w:t>/C/110/D/2006/2010</w:t>
            </w:r>
            <w:r w:rsidR="00C05771" w:rsidRPr="00802EC7">
              <w:rPr>
                <w:rStyle w:val="FootnoteReference"/>
              </w:rPr>
              <w:footnoteReference w:customMarkFollows="1" w:id="2"/>
              <w:t>*</w:t>
            </w:r>
          </w:p>
        </w:tc>
      </w:tr>
      <w:tr w:rsidR="00B56E9C" w:rsidRPr="00802EC7" w:rsidTr="00B6553F">
        <w:trPr>
          <w:cantSplit/>
          <w:trHeight w:hRule="exact" w:val="2835"/>
        </w:trPr>
        <w:tc>
          <w:tcPr>
            <w:tcW w:w="1276" w:type="dxa"/>
            <w:tcBorders>
              <w:top w:val="single" w:sz="4" w:space="0" w:color="auto"/>
              <w:bottom w:val="single" w:sz="12" w:space="0" w:color="auto"/>
            </w:tcBorders>
          </w:tcPr>
          <w:p w:rsidR="00B56E9C" w:rsidRPr="00802EC7" w:rsidRDefault="00893109"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802EC7" w:rsidRDefault="00B56E9C" w:rsidP="005B1DBA">
            <w:pPr>
              <w:spacing w:before="120" w:line="380" w:lineRule="exact"/>
              <w:rPr>
                <w:sz w:val="34"/>
              </w:rPr>
            </w:pPr>
            <w:r w:rsidRPr="00802EC7">
              <w:rPr>
                <w:b/>
                <w:sz w:val="34"/>
                <w:szCs w:val="40"/>
              </w:rPr>
              <w:t xml:space="preserve">International </w:t>
            </w:r>
            <w:r w:rsidR="00060C3A" w:rsidRPr="00802EC7">
              <w:rPr>
                <w:b/>
                <w:sz w:val="34"/>
                <w:szCs w:val="40"/>
              </w:rPr>
              <w:t>Covenant on</w:t>
            </w:r>
            <w:r w:rsidR="00060C3A" w:rsidRPr="00802EC7">
              <w:rPr>
                <w:b/>
                <w:sz w:val="34"/>
                <w:szCs w:val="40"/>
              </w:rPr>
              <w:br/>
              <w:t xml:space="preserve">Civil and </w:t>
            </w:r>
            <w:r w:rsidR="00E4725C" w:rsidRPr="00802EC7">
              <w:rPr>
                <w:b/>
                <w:sz w:val="34"/>
                <w:szCs w:val="40"/>
              </w:rPr>
              <w:t>P</w:t>
            </w:r>
            <w:r w:rsidR="00060C3A" w:rsidRPr="00802EC7">
              <w:rPr>
                <w:b/>
                <w:sz w:val="34"/>
                <w:szCs w:val="40"/>
              </w:rPr>
              <w:t>olitical R</w:t>
            </w:r>
            <w:r w:rsidR="00703577" w:rsidRPr="00802EC7">
              <w:rPr>
                <w:b/>
                <w:sz w:val="34"/>
                <w:szCs w:val="40"/>
              </w:rPr>
              <w:t>ights</w:t>
            </w:r>
          </w:p>
        </w:tc>
        <w:tc>
          <w:tcPr>
            <w:tcW w:w="2835" w:type="dxa"/>
            <w:tcBorders>
              <w:top w:val="single" w:sz="4" w:space="0" w:color="auto"/>
              <w:bottom w:val="single" w:sz="12" w:space="0" w:color="auto"/>
            </w:tcBorders>
          </w:tcPr>
          <w:p w:rsidR="00B56E9C" w:rsidRPr="00802EC7" w:rsidRDefault="00C66546" w:rsidP="00C66546">
            <w:pPr>
              <w:spacing w:before="240" w:line="240" w:lineRule="exact"/>
            </w:pPr>
            <w:r w:rsidRPr="00802EC7">
              <w:t xml:space="preserve">Distr.: </w:t>
            </w:r>
            <w:r w:rsidR="00323362" w:rsidRPr="00802EC7">
              <w:t>General</w:t>
            </w:r>
          </w:p>
          <w:p w:rsidR="00C66546" w:rsidRPr="00802EC7" w:rsidRDefault="00095E0D" w:rsidP="00131D14">
            <w:pPr>
              <w:spacing w:line="240" w:lineRule="exact"/>
            </w:pPr>
            <w:r w:rsidRPr="00802EC7">
              <w:t>2</w:t>
            </w:r>
            <w:r w:rsidR="002B5181" w:rsidRPr="00802EC7">
              <w:t>9</w:t>
            </w:r>
            <w:r w:rsidR="00C66546" w:rsidRPr="00802EC7">
              <w:t xml:space="preserve"> </w:t>
            </w:r>
            <w:r w:rsidR="00E737AD" w:rsidRPr="00802EC7">
              <w:t>April</w:t>
            </w:r>
            <w:r w:rsidR="0006184D" w:rsidRPr="00802EC7">
              <w:t xml:space="preserve"> </w:t>
            </w:r>
            <w:r w:rsidR="00C66546" w:rsidRPr="00802EC7">
              <w:t>2014</w:t>
            </w:r>
          </w:p>
          <w:p w:rsidR="00C66546" w:rsidRPr="00802EC7" w:rsidRDefault="00C66546" w:rsidP="00C66546">
            <w:pPr>
              <w:spacing w:line="240" w:lineRule="exact"/>
            </w:pPr>
          </w:p>
          <w:p w:rsidR="00C66546" w:rsidRPr="00802EC7" w:rsidRDefault="00C66546" w:rsidP="00C66546">
            <w:pPr>
              <w:spacing w:line="240" w:lineRule="exact"/>
            </w:pPr>
            <w:r w:rsidRPr="00802EC7">
              <w:t>Original: English</w:t>
            </w:r>
          </w:p>
          <w:p w:rsidR="00323362" w:rsidRPr="00802EC7" w:rsidRDefault="00323362" w:rsidP="00C66546">
            <w:pPr>
              <w:spacing w:line="240" w:lineRule="exact"/>
            </w:pPr>
          </w:p>
          <w:p w:rsidR="00323362" w:rsidRPr="00802EC7" w:rsidRDefault="00323362" w:rsidP="00C66546">
            <w:pPr>
              <w:spacing w:line="240" w:lineRule="exact"/>
            </w:pPr>
          </w:p>
        </w:tc>
      </w:tr>
    </w:tbl>
    <w:p w:rsidR="008909B4" w:rsidRPr="00802EC7" w:rsidRDefault="008909B4" w:rsidP="005B1DBA">
      <w:pPr>
        <w:spacing w:before="120"/>
        <w:rPr>
          <w:b/>
          <w:sz w:val="24"/>
          <w:szCs w:val="24"/>
        </w:rPr>
      </w:pPr>
      <w:r w:rsidRPr="00802EC7">
        <w:rPr>
          <w:b/>
          <w:sz w:val="24"/>
          <w:szCs w:val="24"/>
          <w:lang w:val="en-US"/>
        </w:rPr>
        <w:t>Human Rights Committee</w:t>
      </w:r>
    </w:p>
    <w:p w:rsidR="008909B4" w:rsidRPr="00802EC7" w:rsidRDefault="008909B4" w:rsidP="00202716">
      <w:pPr>
        <w:pStyle w:val="HChG"/>
        <w:spacing w:before="240" w:after="160"/>
      </w:pPr>
      <w:r w:rsidRPr="00802EC7">
        <w:tab/>
      </w:r>
      <w:r w:rsidRPr="00802EC7">
        <w:tab/>
        <w:t>Communication No. 2006/2010</w:t>
      </w:r>
    </w:p>
    <w:p w:rsidR="008909B4" w:rsidRPr="00802EC7" w:rsidRDefault="008909B4" w:rsidP="00E4725C">
      <w:pPr>
        <w:pStyle w:val="H1G"/>
        <w:rPr>
          <w:i/>
        </w:rPr>
      </w:pPr>
      <w:r w:rsidRPr="00802EC7">
        <w:tab/>
      </w:r>
      <w:r w:rsidRPr="00802EC7">
        <w:tab/>
      </w:r>
      <w:r w:rsidR="00323362" w:rsidRPr="00802EC7">
        <w:t xml:space="preserve">Views adopted by the Committee at its 110th session </w:t>
      </w:r>
      <w:r w:rsidR="00323362" w:rsidRPr="00802EC7">
        <w:br/>
        <w:t>(10</w:t>
      </w:r>
      <w:r w:rsidR="009F3CA5" w:rsidRPr="00802EC7">
        <w:t>–</w:t>
      </w:r>
      <w:r w:rsidR="00323362" w:rsidRPr="00802EC7">
        <w:t>28 March 2014)</w:t>
      </w:r>
    </w:p>
    <w:p w:rsidR="008909B4" w:rsidRPr="00802EC7" w:rsidRDefault="008909B4" w:rsidP="00202716">
      <w:pPr>
        <w:pStyle w:val="SingleTxtG"/>
        <w:tabs>
          <w:tab w:val="left" w:pos="3969"/>
        </w:tabs>
        <w:ind w:left="3969" w:hanging="2835"/>
        <w:jc w:val="left"/>
      </w:pPr>
      <w:r w:rsidRPr="00802EC7">
        <w:rPr>
          <w:i/>
        </w:rPr>
        <w:t>Submitted by:</w:t>
      </w:r>
      <w:r w:rsidRPr="00802EC7">
        <w:rPr>
          <w:i/>
        </w:rPr>
        <w:tab/>
      </w:r>
      <w:r w:rsidRPr="00802EC7">
        <w:rPr>
          <w:i/>
        </w:rPr>
        <w:tab/>
      </w:r>
      <w:r w:rsidRPr="00802EC7">
        <w:t>Youcif Almegaryaf and Hisham Matar (represented by TRIAL (Track Impunity Always))</w:t>
      </w:r>
    </w:p>
    <w:p w:rsidR="008909B4" w:rsidRPr="00802EC7" w:rsidRDefault="008909B4" w:rsidP="00202716">
      <w:pPr>
        <w:pStyle w:val="SingleTxtG"/>
        <w:tabs>
          <w:tab w:val="left" w:pos="3969"/>
        </w:tabs>
        <w:ind w:left="3969" w:hanging="2835"/>
        <w:jc w:val="left"/>
      </w:pPr>
      <w:r w:rsidRPr="00802EC7">
        <w:rPr>
          <w:i/>
        </w:rPr>
        <w:t>Alleged victim:</w:t>
      </w:r>
      <w:r w:rsidRPr="00802EC7">
        <w:rPr>
          <w:i/>
        </w:rPr>
        <w:tab/>
      </w:r>
      <w:r w:rsidRPr="00802EC7">
        <w:t xml:space="preserve">Izzat Yousef Al-Maqrif and Jaballa Hamed Matar (the authors’ fathers respectively), and the authors. </w:t>
      </w:r>
    </w:p>
    <w:p w:rsidR="008909B4" w:rsidRPr="00802EC7" w:rsidRDefault="008909B4" w:rsidP="00202716">
      <w:pPr>
        <w:pStyle w:val="SingleTxtG"/>
        <w:tabs>
          <w:tab w:val="left" w:pos="3969"/>
        </w:tabs>
        <w:ind w:left="3969" w:hanging="2835"/>
        <w:jc w:val="left"/>
      </w:pPr>
      <w:r w:rsidRPr="00802EC7">
        <w:rPr>
          <w:i/>
        </w:rPr>
        <w:t>State party:</w:t>
      </w:r>
      <w:r w:rsidRPr="00802EC7">
        <w:rPr>
          <w:i/>
        </w:rPr>
        <w:tab/>
      </w:r>
      <w:smartTag w:uri="urn:schemas-microsoft-com:office:smarttags" w:element="place">
        <w:smartTag w:uri="urn:schemas-microsoft-com:office:smarttags" w:element="country-region">
          <w:r w:rsidRPr="00802EC7">
            <w:t>Libya</w:t>
          </w:r>
        </w:smartTag>
      </w:smartTag>
    </w:p>
    <w:p w:rsidR="008909B4" w:rsidRPr="00802EC7" w:rsidRDefault="008909B4" w:rsidP="00202716">
      <w:pPr>
        <w:pStyle w:val="SingleTxtG"/>
        <w:tabs>
          <w:tab w:val="left" w:pos="3969"/>
        </w:tabs>
        <w:ind w:left="3969" w:hanging="2835"/>
        <w:jc w:val="left"/>
      </w:pPr>
      <w:r w:rsidRPr="00802EC7">
        <w:rPr>
          <w:i/>
        </w:rPr>
        <w:t>Date of communication:</w:t>
      </w:r>
      <w:r w:rsidRPr="00802EC7">
        <w:rPr>
          <w:i/>
        </w:rPr>
        <w:tab/>
      </w:r>
      <w:r w:rsidRPr="00802EC7">
        <w:t>10 November 2010 (initial submission)</w:t>
      </w:r>
    </w:p>
    <w:p w:rsidR="008909B4" w:rsidRPr="00802EC7" w:rsidRDefault="008909B4" w:rsidP="00202716">
      <w:pPr>
        <w:pStyle w:val="SingleTxtG"/>
        <w:tabs>
          <w:tab w:val="left" w:pos="3969"/>
        </w:tabs>
        <w:ind w:left="3969" w:hanging="2835"/>
        <w:jc w:val="left"/>
      </w:pPr>
      <w:r w:rsidRPr="00802EC7">
        <w:rPr>
          <w:i/>
        </w:rPr>
        <w:t>Document reference:</w:t>
      </w:r>
      <w:r w:rsidRPr="00802EC7">
        <w:rPr>
          <w:i/>
        </w:rPr>
        <w:tab/>
      </w:r>
      <w:r w:rsidRPr="00802EC7">
        <w:t>Special Rapporteur’s rule 97 decision, transmitted to the State party on 22 November 2010</w:t>
      </w:r>
    </w:p>
    <w:p w:rsidR="008909B4" w:rsidRPr="00802EC7" w:rsidRDefault="008909B4" w:rsidP="00202716">
      <w:pPr>
        <w:pStyle w:val="SingleTxtG"/>
        <w:tabs>
          <w:tab w:val="left" w:pos="3969"/>
        </w:tabs>
        <w:ind w:left="3969" w:hanging="2835"/>
        <w:jc w:val="left"/>
      </w:pPr>
      <w:r w:rsidRPr="00802EC7">
        <w:rPr>
          <w:i/>
        </w:rPr>
        <w:t>Date of adoption of Views:</w:t>
      </w:r>
      <w:r w:rsidRPr="00802EC7">
        <w:rPr>
          <w:i/>
        </w:rPr>
        <w:tab/>
      </w:r>
      <w:r w:rsidR="00323362" w:rsidRPr="00802EC7">
        <w:t>21</w:t>
      </w:r>
      <w:r w:rsidRPr="00802EC7">
        <w:t xml:space="preserve"> March 2014</w:t>
      </w:r>
    </w:p>
    <w:p w:rsidR="008909B4" w:rsidRPr="00802EC7" w:rsidRDefault="008909B4" w:rsidP="00202716">
      <w:pPr>
        <w:pStyle w:val="SingleTxtG"/>
        <w:tabs>
          <w:tab w:val="left" w:pos="3969"/>
        </w:tabs>
        <w:ind w:left="3969" w:hanging="2835"/>
        <w:jc w:val="left"/>
      </w:pPr>
      <w:r w:rsidRPr="00802EC7">
        <w:rPr>
          <w:i/>
          <w:iCs/>
        </w:rPr>
        <w:t>Subject matter:</w:t>
      </w:r>
      <w:r w:rsidRPr="00802EC7">
        <w:rPr>
          <w:i/>
        </w:rPr>
        <w:tab/>
      </w:r>
      <w:r w:rsidRPr="00802EC7">
        <w:t>Enforced disappearance</w:t>
      </w:r>
    </w:p>
    <w:p w:rsidR="008909B4" w:rsidRPr="00802EC7" w:rsidRDefault="008909B4" w:rsidP="00202716">
      <w:pPr>
        <w:pStyle w:val="SingleTxtG"/>
        <w:tabs>
          <w:tab w:val="left" w:pos="3969"/>
        </w:tabs>
        <w:ind w:left="3969" w:hanging="2835"/>
        <w:jc w:val="left"/>
      </w:pPr>
      <w:r w:rsidRPr="00802EC7">
        <w:rPr>
          <w:i/>
          <w:iCs/>
        </w:rPr>
        <w:t>Substantive issues</w:t>
      </w:r>
      <w:r w:rsidRPr="00802EC7">
        <w:rPr>
          <w:i/>
        </w:rPr>
        <w:t>:</w:t>
      </w:r>
      <w:r w:rsidRPr="00802EC7">
        <w:rPr>
          <w:i/>
          <w:iCs/>
        </w:rPr>
        <w:tab/>
      </w:r>
      <w:r w:rsidRPr="00802EC7">
        <w:t>Right to life, prohibition of torture and cruel and inhuman treatment, right to liberty and security of person, right of all persons deprived of their liberty to be treated with humanity and dignity, recognition as a person before the law, right to an effective remedy, and child protection</w:t>
      </w:r>
    </w:p>
    <w:p w:rsidR="008909B4" w:rsidRPr="00802EC7" w:rsidRDefault="008909B4" w:rsidP="00202716">
      <w:pPr>
        <w:pStyle w:val="SingleTxtG"/>
        <w:tabs>
          <w:tab w:val="left" w:pos="3969"/>
        </w:tabs>
        <w:ind w:left="3969" w:hanging="2835"/>
        <w:jc w:val="left"/>
      </w:pPr>
      <w:r w:rsidRPr="00802EC7">
        <w:rPr>
          <w:i/>
          <w:iCs/>
        </w:rPr>
        <w:t>Procedural issue:</w:t>
      </w:r>
      <w:r w:rsidRPr="00802EC7">
        <w:rPr>
          <w:i/>
          <w:iCs/>
        </w:rPr>
        <w:tab/>
      </w:r>
      <w:r w:rsidRPr="00802EC7">
        <w:t>Lack of cooperation from the State party</w:t>
      </w:r>
    </w:p>
    <w:p w:rsidR="008909B4" w:rsidRPr="00802EC7" w:rsidRDefault="008909B4" w:rsidP="00202716">
      <w:pPr>
        <w:pStyle w:val="SingleTxtG"/>
        <w:tabs>
          <w:tab w:val="left" w:pos="3969"/>
        </w:tabs>
        <w:ind w:left="3969" w:hanging="2835"/>
        <w:jc w:val="left"/>
      </w:pPr>
      <w:r w:rsidRPr="00802EC7">
        <w:rPr>
          <w:i/>
          <w:iCs/>
          <w:lang w:val="fr-CH"/>
        </w:rPr>
        <w:t>Articles of the Covenant</w:t>
      </w:r>
      <w:r w:rsidRPr="00802EC7">
        <w:rPr>
          <w:i/>
          <w:lang w:val="fr-CH"/>
        </w:rPr>
        <w:t>:</w:t>
      </w:r>
      <w:r w:rsidRPr="00802EC7">
        <w:rPr>
          <w:i/>
          <w:iCs/>
          <w:lang w:val="fr-CH"/>
        </w:rPr>
        <w:tab/>
      </w:r>
      <w:r w:rsidRPr="00802EC7">
        <w:rPr>
          <w:lang w:val="fr-CH"/>
        </w:rPr>
        <w:t xml:space="preserve">Articles 2 (para. 3), 6 (para. 1), 7, 9 (paras. </w:t>
      </w:r>
      <w:r w:rsidRPr="00802EC7">
        <w:t>1</w:t>
      </w:r>
      <w:r w:rsidR="009F3CA5" w:rsidRPr="00802EC7">
        <w:t>–</w:t>
      </w:r>
      <w:r w:rsidRPr="00802EC7">
        <w:t>4), 10 (para. 1), 16 and 24 (para</w:t>
      </w:r>
      <w:r w:rsidR="00990100" w:rsidRPr="00802EC7">
        <w:t>.</w:t>
      </w:r>
      <w:r w:rsidRPr="00802EC7">
        <w:t xml:space="preserve"> 1)</w:t>
      </w:r>
    </w:p>
    <w:p w:rsidR="008909B4" w:rsidRPr="00802EC7" w:rsidRDefault="008909B4" w:rsidP="00202716">
      <w:pPr>
        <w:pStyle w:val="SingleTxtG"/>
        <w:tabs>
          <w:tab w:val="left" w:pos="3969"/>
        </w:tabs>
        <w:ind w:left="3969" w:hanging="2835"/>
        <w:jc w:val="left"/>
      </w:pPr>
      <w:r w:rsidRPr="00802EC7">
        <w:rPr>
          <w:i/>
          <w:iCs/>
        </w:rPr>
        <w:t>Article of the Optional Protocol:</w:t>
      </w:r>
      <w:r w:rsidRPr="00802EC7">
        <w:rPr>
          <w:i/>
          <w:iCs/>
        </w:rPr>
        <w:tab/>
      </w:r>
      <w:r w:rsidRPr="00802EC7">
        <w:rPr>
          <w:i/>
          <w:iCs/>
        </w:rPr>
        <w:tab/>
      </w:r>
      <w:r w:rsidRPr="00802EC7">
        <w:t>Article 5, paragraph 2 (a)</w:t>
      </w:r>
    </w:p>
    <w:p w:rsidR="008909B4" w:rsidRPr="00802EC7" w:rsidRDefault="00893109" w:rsidP="00DB330A">
      <w:pPr>
        <w:pStyle w:val="HChG"/>
      </w:pPr>
      <w:r>
        <w:rPr>
          <w:noProof/>
          <w:lang w:val="en-US"/>
        </w:rPr>
        <w:pict>
          <v:shape id="_x0000_s1026" type="#_x0000_t75" style="position:absolute;left:0;text-align:left;margin-left:433.35pt;margin-top:635.15pt;width:50.25pt;height:50.25pt;z-index:1;mso-position-horizontal-relative:margin;mso-position-vertical-relative:margin" o:allowoverlap="f">
            <v:imagedata r:id="rId8" o:title="2010*&amp;Size=2 &amp;Lang=E"/>
            <w10:wrap anchorx="margin" anchory="margin"/>
          </v:shape>
        </w:pict>
      </w:r>
      <w:r w:rsidR="00DB330A" w:rsidRPr="00802EC7">
        <w:br w:type="page"/>
      </w:r>
      <w:r w:rsidR="008909B4" w:rsidRPr="00802EC7">
        <w:lastRenderedPageBreak/>
        <w:t>Annex</w:t>
      </w:r>
    </w:p>
    <w:p w:rsidR="008909B4" w:rsidRPr="00802EC7" w:rsidRDefault="008909B4" w:rsidP="00DB330A">
      <w:pPr>
        <w:pStyle w:val="HChG"/>
      </w:pPr>
      <w:r w:rsidRPr="00802EC7">
        <w:tab/>
      </w:r>
      <w:r w:rsidRPr="00802EC7">
        <w:tab/>
        <w:t>Views of the Human Rights Committee under article 5, paragraph 4</w:t>
      </w:r>
      <w:r w:rsidR="00755BF2" w:rsidRPr="00802EC7">
        <w:t>,</w:t>
      </w:r>
      <w:r w:rsidRPr="00802EC7">
        <w:t xml:space="preserve"> of the Optional Protocol to the International Covenant on Civil and Political Rights (110th session)</w:t>
      </w:r>
    </w:p>
    <w:p w:rsidR="008909B4" w:rsidRPr="00802EC7" w:rsidRDefault="008909B4" w:rsidP="00E4725C">
      <w:pPr>
        <w:pStyle w:val="SingleTxtG"/>
      </w:pPr>
      <w:r w:rsidRPr="00802EC7">
        <w:t>concerning</w:t>
      </w:r>
    </w:p>
    <w:p w:rsidR="008909B4" w:rsidRPr="00802EC7" w:rsidRDefault="008909B4" w:rsidP="00DB330A">
      <w:pPr>
        <w:pStyle w:val="H1G"/>
      </w:pPr>
      <w:r w:rsidRPr="00802EC7">
        <w:tab/>
      </w:r>
      <w:r w:rsidRPr="00802EC7">
        <w:tab/>
        <w:t>Communication No. 2006/2010</w:t>
      </w:r>
      <w:r w:rsidR="00323362" w:rsidRPr="00802EC7">
        <w:rPr>
          <w:rStyle w:val="FootnoteReference"/>
        </w:rPr>
        <w:footnoteReference w:customMarkFollows="1" w:id="3"/>
        <w:t>*</w:t>
      </w:r>
    </w:p>
    <w:p w:rsidR="008909B4" w:rsidRPr="00802EC7" w:rsidRDefault="008909B4" w:rsidP="00202716">
      <w:pPr>
        <w:pStyle w:val="SingleTxtG"/>
        <w:ind w:left="3969" w:hanging="2835"/>
        <w:jc w:val="left"/>
      </w:pPr>
      <w:r w:rsidRPr="00802EC7">
        <w:rPr>
          <w:i/>
        </w:rPr>
        <w:t>Submitted by:</w:t>
      </w:r>
      <w:r w:rsidRPr="00802EC7">
        <w:rPr>
          <w:i/>
        </w:rPr>
        <w:tab/>
      </w:r>
      <w:r w:rsidRPr="00802EC7">
        <w:t>Youcif Almegaryaf and Hisham Matar (represented by TRIAL (Track Impunity Always))</w:t>
      </w:r>
    </w:p>
    <w:p w:rsidR="008909B4" w:rsidRPr="00802EC7" w:rsidRDefault="008909B4" w:rsidP="00202716">
      <w:pPr>
        <w:pStyle w:val="SingleTxtG"/>
        <w:ind w:left="3969" w:hanging="2835"/>
        <w:jc w:val="left"/>
      </w:pPr>
      <w:r w:rsidRPr="00802EC7">
        <w:rPr>
          <w:i/>
        </w:rPr>
        <w:t>Alleged victim:</w:t>
      </w:r>
      <w:r w:rsidRPr="00802EC7">
        <w:rPr>
          <w:i/>
        </w:rPr>
        <w:tab/>
      </w:r>
      <w:r w:rsidRPr="00802EC7">
        <w:t xml:space="preserve">Izzat Yousef Al-Maqrif and Jaballa Hamed Matar (the authors’ fathers respectively), and the authors. </w:t>
      </w:r>
    </w:p>
    <w:p w:rsidR="008909B4" w:rsidRPr="00802EC7" w:rsidRDefault="008909B4" w:rsidP="00202716">
      <w:pPr>
        <w:pStyle w:val="SingleTxtG"/>
        <w:ind w:left="3969" w:hanging="2835"/>
        <w:jc w:val="left"/>
      </w:pPr>
      <w:r w:rsidRPr="00802EC7">
        <w:rPr>
          <w:i/>
        </w:rPr>
        <w:t>State party:</w:t>
      </w:r>
      <w:r w:rsidRPr="00802EC7">
        <w:rPr>
          <w:i/>
        </w:rPr>
        <w:tab/>
      </w:r>
      <w:smartTag w:uri="urn:schemas-microsoft-com:office:smarttags" w:element="place">
        <w:smartTag w:uri="urn:schemas-microsoft-com:office:smarttags" w:element="country-region">
          <w:r w:rsidRPr="00802EC7">
            <w:t>Libya</w:t>
          </w:r>
        </w:smartTag>
      </w:smartTag>
    </w:p>
    <w:p w:rsidR="008909B4" w:rsidRPr="00802EC7" w:rsidRDefault="008909B4" w:rsidP="00202716">
      <w:pPr>
        <w:pStyle w:val="SingleTxtG"/>
        <w:ind w:left="3969" w:hanging="2835"/>
        <w:jc w:val="left"/>
      </w:pPr>
      <w:r w:rsidRPr="00802EC7">
        <w:rPr>
          <w:i/>
        </w:rPr>
        <w:t>Date of communication:</w:t>
      </w:r>
      <w:r w:rsidRPr="00802EC7">
        <w:rPr>
          <w:i/>
        </w:rPr>
        <w:tab/>
      </w:r>
      <w:r w:rsidRPr="00802EC7">
        <w:t>10 November 2010 (initial submission)</w:t>
      </w:r>
    </w:p>
    <w:p w:rsidR="008909B4" w:rsidRPr="00802EC7" w:rsidRDefault="008909B4" w:rsidP="00202716">
      <w:pPr>
        <w:pStyle w:val="SingleTxtG"/>
        <w:spacing w:before="240"/>
      </w:pPr>
      <w:r w:rsidRPr="00802EC7">
        <w:tab/>
      </w:r>
      <w:r w:rsidRPr="00802EC7">
        <w:rPr>
          <w:i/>
        </w:rPr>
        <w:t>The Human Rights Committee</w:t>
      </w:r>
      <w:r w:rsidRPr="00802EC7">
        <w:t>, established under article 28 of the International Covenant on Civil and Political Rights,</w:t>
      </w:r>
    </w:p>
    <w:p w:rsidR="008909B4" w:rsidRPr="00802EC7" w:rsidRDefault="008909B4" w:rsidP="00E4725C">
      <w:pPr>
        <w:pStyle w:val="SingleTxtG"/>
      </w:pPr>
      <w:r w:rsidRPr="00802EC7">
        <w:tab/>
      </w:r>
      <w:r w:rsidRPr="00802EC7">
        <w:rPr>
          <w:i/>
        </w:rPr>
        <w:t>Meeting</w:t>
      </w:r>
      <w:r w:rsidRPr="00802EC7">
        <w:t xml:space="preserve"> on </w:t>
      </w:r>
      <w:r w:rsidR="00323362" w:rsidRPr="00802EC7">
        <w:t xml:space="preserve">21 </w:t>
      </w:r>
      <w:r w:rsidRPr="00802EC7">
        <w:t>March 2014,</w:t>
      </w:r>
    </w:p>
    <w:p w:rsidR="008909B4" w:rsidRPr="00802EC7" w:rsidRDefault="008909B4" w:rsidP="00E4725C">
      <w:pPr>
        <w:pStyle w:val="SingleTxtG"/>
      </w:pPr>
      <w:r w:rsidRPr="00802EC7">
        <w:tab/>
      </w:r>
      <w:r w:rsidRPr="00802EC7">
        <w:rPr>
          <w:i/>
        </w:rPr>
        <w:t xml:space="preserve">Having concluded </w:t>
      </w:r>
      <w:r w:rsidRPr="00802EC7">
        <w:t>its consideration of communication No. 2006/2010, submitted to the Human Rights Committee by Youcif Almegaryaf and Hisham Matar under the Optional Protocol to the International Covenant on Civil and Political Rights,</w:t>
      </w:r>
    </w:p>
    <w:p w:rsidR="008909B4" w:rsidRPr="00802EC7" w:rsidRDefault="008909B4" w:rsidP="00E4725C">
      <w:pPr>
        <w:pStyle w:val="SingleTxtG"/>
      </w:pPr>
      <w:r w:rsidRPr="00802EC7">
        <w:tab/>
      </w:r>
      <w:r w:rsidRPr="00802EC7">
        <w:rPr>
          <w:i/>
        </w:rPr>
        <w:t xml:space="preserve">Having taken into account </w:t>
      </w:r>
      <w:r w:rsidRPr="00802EC7">
        <w:t>all written information made available to it by the authors of the communication,</w:t>
      </w:r>
    </w:p>
    <w:p w:rsidR="008909B4" w:rsidRPr="00802EC7" w:rsidRDefault="008909B4" w:rsidP="00E4725C">
      <w:pPr>
        <w:pStyle w:val="SingleTxtG"/>
      </w:pPr>
      <w:r w:rsidRPr="00802EC7">
        <w:tab/>
      </w:r>
      <w:r w:rsidRPr="00802EC7">
        <w:rPr>
          <w:i/>
        </w:rPr>
        <w:t>Adopts</w:t>
      </w:r>
      <w:r w:rsidRPr="00802EC7">
        <w:t xml:space="preserve"> the following:</w:t>
      </w:r>
    </w:p>
    <w:p w:rsidR="008909B4" w:rsidRPr="00802EC7" w:rsidRDefault="008909B4" w:rsidP="00DB330A">
      <w:pPr>
        <w:pStyle w:val="H1G"/>
      </w:pPr>
      <w:r w:rsidRPr="00802EC7">
        <w:tab/>
      </w:r>
      <w:r w:rsidRPr="00802EC7">
        <w:tab/>
        <w:t>Views pursuant to article 5, paragraph 4, of the Optional Protocol</w:t>
      </w:r>
    </w:p>
    <w:p w:rsidR="009D14AD" w:rsidRPr="00802EC7" w:rsidRDefault="009D14AD" w:rsidP="00755BF2">
      <w:pPr>
        <w:pStyle w:val="SingleTxtG"/>
      </w:pPr>
      <w:r w:rsidRPr="00802EC7">
        <w:t xml:space="preserve">1. </w:t>
      </w:r>
      <w:r w:rsidRPr="00802EC7">
        <w:tab/>
        <w:t>The authors of the communication, dated 10 November 2010, are Youcif Almegaryaf, a national of the United States</w:t>
      </w:r>
      <w:r w:rsidR="00755BF2" w:rsidRPr="00802EC7">
        <w:t>,</w:t>
      </w:r>
      <w:r w:rsidRPr="00802EC7">
        <w:t xml:space="preserve"> and Hisham Matar, a national of the United States and of the United Kingdom, who claim that their respective fathers, Izzat Youcef Al-Maqrif and Jaballa Hamed Matar, Libyan nationals born in 1952 in Benghazi,</w:t>
      </w:r>
      <w:r w:rsidR="00755BF2" w:rsidRPr="00802EC7">
        <w:t xml:space="preserve"> Libya,</w:t>
      </w:r>
      <w:r w:rsidRPr="00802EC7">
        <w:t xml:space="preserve"> and </w:t>
      </w:r>
      <w:r w:rsidR="00755BF2" w:rsidRPr="00802EC7">
        <w:t xml:space="preserve">in </w:t>
      </w:r>
      <w:r w:rsidRPr="00802EC7">
        <w:t>1937 in Ajdabiya, Libya</w:t>
      </w:r>
      <w:r w:rsidR="00EC03FF" w:rsidRPr="00802EC7">
        <w:t>,</w:t>
      </w:r>
      <w:r w:rsidR="00755BF2" w:rsidRPr="00802EC7">
        <w:t xml:space="preserve"> respectively</w:t>
      </w:r>
      <w:r w:rsidRPr="00802EC7">
        <w:t>, are victims of violations by Libya</w:t>
      </w:r>
      <w:r w:rsidRPr="00802EC7">
        <w:rPr>
          <w:rStyle w:val="FootnoteReference"/>
        </w:rPr>
        <w:footnoteReference w:id="4"/>
      </w:r>
      <w:r w:rsidRPr="00802EC7">
        <w:t xml:space="preserve"> of articles 2, para</w:t>
      </w:r>
      <w:r w:rsidR="00755BF2" w:rsidRPr="00802EC7">
        <w:t>graph</w:t>
      </w:r>
      <w:r w:rsidRPr="00802EC7">
        <w:t xml:space="preserve"> 3; 6, para</w:t>
      </w:r>
      <w:r w:rsidR="00755BF2" w:rsidRPr="00802EC7">
        <w:t>graph</w:t>
      </w:r>
      <w:r w:rsidRPr="00802EC7">
        <w:t xml:space="preserve"> 1; 7; 9, para</w:t>
      </w:r>
      <w:r w:rsidR="00755BF2" w:rsidRPr="00802EC7">
        <w:t>graph</w:t>
      </w:r>
      <w:r w:rsidRPr="00802EC7">
        <w:t>s 1</w:t>
      </w:r>
      <w:r w:rsidR="009F3CA5" w:rsidRPr="00802EC7">
        <w:t>–</w:t>
      </w:r>
      <w:r w:rsidRPr="00802EC7">
        <w:t>4; 10, para</w:t>
      </w:r>
      <w:r w:rsidR="00755BF2" w:rsidRPr="00802EC7">
        <w:t>graph</w:t>
      </w:r>
      <w:r w:rsidRPr="00802EC7">
        <w:t xml:space="preserve"> 1; and 16 of the Covenant. The authors also claim that they themselves are victims of a violation of articles 2, </w:t>
      </w:r>
      <w:r w:rsidRPr="00802EC7">
        <w:lastRenderedPageBreak/>
        <w:t>para</w:t>
      </w:r>
      <w:r w:rsidR="00755BF2" w:rsidRPr="00802EC7">
        <w:t>graph</w:t>
      </w:r>
      <w:r w:rsidRPr="00802EC7">
        <w:t xml:space="preserve"> 3; and 7 of the Covenant. Mr. Almegaryaf claims that he is </w:t>
      </w:r>
      <w:r w:rsidR="00755BF2" w:rsidRPr="00802EC7">
        <w:t xml:space="preserve">also </w:t>
      </w:r>
      <w:r w:rsidRPr="00802EC7">
        <w:t>the victim of a violation of article 24, para</w:t>
      </w:r>
      <w:r w:rsidR="00755BF2" w:rsidRPr="00802EC7">
        <w:t>graph</w:t>
      </w:r>
      <w:r w:rsidRPr="00802EC7">
        <w:t xml:space="preserve"> 1. The authors are represented by TRIAL (Track Impunity Always).</w:t>
      </w:r>
    </w:p>
    <w:p w:rsidR="009D14AD" w:rsidRPr="00802EC7" w:rsidRDefault="009D14AD" w:rsidP="009D14AD">
      <w:pPr>
        <w:pStyle w:val="H23G"/>
      </w:pPr>
      <w:r w:rsidRPr="00802EC7">
        <w:tab/>
      </w:r>
      <w:r w:rsidRPr="00802EC7">
        <w:tab/>
        <w:t>Facts as submitted by the authors</w:t>
      </w:r>
    </w:p>
    <w:p w:rsidR="009D14AD" w:rsidRPr="00802EC7" w:rsidRDefault="009D14AD" w:rsidP="00EC03FF">
      <w:pPr>
        <w:pStyle w:val="SingleTxtG"/>
      </w:pPr>
      <w:r w:rsidRPr="00802EC7">
        <w:t xml:space="preserve">2.1 </w:t>
      </w:r>
      <w:r w:rsidRPr="00802EC7">
        <w:tab/>
        <w:t xml:space="preserve">Mr. Izzat Yousef Al-Maqrif, an </w:t>
      </w:r>
      <w:r w:rsidR="00755BF2" w:rsidRPr="00802EC7">
        <w:t>a</w:t>
      </w:r>
      <w:r w:rsidRPr="00802EC7">
        <w:t xml:space="preserve">rmy officer, was arrested in 1973 after having been accused of taking part in an attempt to overthrow the </w:t>
      </w:r>
      <w:r w:rsidR="00755BF2" w:rsidRPr="00802EC7">
        <w:t>g</w:t>
      </w:r>
      <w:r w:rsidRPr="00802EC7">
        <w:t xml:space="preserve">overnment of </w:t>
      </w:r>
      <w:r w:rsidR="00755BF2" w:rsidRPr="00802EC7">
        <w:t xml:space="preserve">Muammar </w:t>
      </w:r>
      <w:r w:rsidRPr="00802EC7">
        <w:t>Gaddafi. He was jailed for almost a year without being charged</w:t>
      </w:r>
      <w:r w:rsidR="00755BF2" w:rsidRPr="00802EC7">
        <w:t>,</w:t>
      </w:r>
      <w:r w:rsidRPr="00802EC7">
        <w:t xml:space="preserve"> </w:t>
      </w:r>
      <w:r w:rsidR="00755BF2" w:rsidRPr="00802EC7">
        <w:t>a</w:t>
      </w:r>
      <w:r w:rsidRPr="00802EC7">
        <w:t xml:space="preserve">fter </w:t>
      </w:r>
      <w:r w:rsidR="00755BF2" w:rsidRPr="00802EC7">
        <w:t xml:space="preserve">which </w:t>
      </w:r>
      <w:r w:rsidRPr="00802EC7">
        <w:t xml:space="preserve">he was released and discharged from the </w:t>
      </w:r>
      <w:r w:rsidR="00755BF2" w:rsidRPr="00802EC7">
        <w:t>a</w:t>
      </w:r>
      <w:r w:rsidRPr="00802EC7">
        <w:t xml:space="preserve">rmy. In 1981 he left </w:t>
      </w:r>
      <w:smartTag w:uri="urn:schemas-microsoft-com:office:smarttags" w:element="country-region">
        <w:r w:rsidRPr="00802EC7">
          <w:t>Libya</w:t>
        </w:r>
      </w:smartTag>
      <w:r w:rsidRPr="00802EC7">
        <w:t xml:space="preserve"> with his wife and settled in </w:t>
      </w:r>
      <w:smartTag w:uri="urn:schemas-microsoft-com:office:smarttags" w:element="place">
        <w:smartTag w:uri="urn:schemas-microsoft-com:office:smarttags" w:element="City">
          <w:r w:rsidRPr="00802EC7">
            <w:t>Rabat</w:t>
          </w:r>
        </w:smartTag>
        <w:r w:rsidRPr="00802EC7">
          <w:t xml:space="preserve">, </w:t>
        </w:r>
        <w:smartTag w:uri="urn:schemas-microsoft-com:office:smarttags" w:element="country-region">
          <w:r w:rsidRPr="00802EC7">
            <w:t>Morocco</w:t>
          </w:r>
        </w:smartTag>
      </w:smartTag>
      <w:r w:rsidRPr="00802EC7">
        <w:t xml:space="preserve">, to escape </w:t>
      </w:r>
      <w:r w:rsidR="00AE33A5" w:rsidRPr="00802EC7">
        <w:t xml:space="preserve">Mr. </w:t>
      </w:r>
      <w:r w:rsidRPr="00802EC7">
        <w:t>Gaddafi’s policy of repression against political opponents, and to join the National Front for the Salvation of Libya (NFSL). His son, Youcif Almegaryaf</w:t>
      </w:r>
      <w:r w:rsidR="00AE33A5" w:rsidRPr="00802EC7">
        <w:t>,</w:t>
      </w:r>
      <w:r w:rsidRPr="00802EC7">
        <w:t xml:space="preserve"> was born in </w:t>
      </w:r>
      <w:smartTag w:uri="urn:schemas-microsoft-com:office:smarttags" w:element="place">
        <w:smartTag w:uri="urn:schemas-microsoft-com:office:smarttags" w:element="City">
          <w:r w:rsidRPr="00802EC7">
            <w:t>Rabat</w:t>
          </w:r>
        </w:smartTag>
      </w:smartTag>
      <w:r w:rsidRPr="00802EC7">
        <w:t xml:space="preserve"> in 1983. In 1984, the family moved to </w:t>
      </w:r>
      <w:smartTag w:uri="urn:schemas-microsoft-com:office:smarttags" w:element="place">
        <w:smartTag w:uri="urn:schemas-microsoft-com:office:smarttags" w:element="City">
          <w:r w:rsidRPr="00802EC7">
            <w:t>Cairo</w:t>
          </w:r>
        </w:smartTag>
        <w:r w:rsidRPr="00802EC7">
          <w:t xml:space="preserve">, </w:t>
        </w:r>
        <w:smartTag w:uri="urn:schemas-microsoft-com:office:smarttags" w:element="country-region">
          <w:r w:rsidRPr="00802EC7">
            <w:t>Egypt</w:t>
          </w:r>
        </w:smartTag>
      </w:smartTag>
      <w:r w:rsidRPr="00802EC7">
        <w:t xml:space="preserve">, where Mr. Al-Maqrif became a senior member of the Executive Committee of NFSL. </w:t>
      </w:r>
    </w:p>
    <w:p w:rsidR="009D14AD" w:rsidRPr="00802EC7" w:rsidRDefault="009D14AD" w:rsidP="00AE33A5">
      <w:pPr>
        <w:pStyle w:val="SingleTxtG"/>
      </w:pPr>
      <w:r w:rsidRPr="00802EC7">
        <w:t xml:space="preserve">2.2 </w:t>
      </w:r>
      <w:r w:rsidRPr="00802EC7">
        <w:tab/>
        <w:t xml:space="preserve">Jaballa Hamed Matar was a </w:t>
      </w:r>
      <w:r w:rsidR="00AE33A5" w:rsidRPr="00802EC7">
        <w:t>c</w:t>
      </w:r>
      <w:r w:rsidRPr="00802EC7">
        <w:t xml:space="preserve">olonel in the Libyan army when the 1969 military coup took place. He was arrested in 1970 and released six months later. Shortly </w:t>
      </w:r>
      <w:r w:rsidR="00AE33A5" w:rsidRPr="00802EC7">
        <w:t>there</w:t>
      </w:r>
      <w:r w:rsidRPr="00802EC7">
        <w:t xml:space="preserve">after, he was appointed counsellor at the Ministry of Foreign </w:t>
      </w:r>
      <w:r w:rsidR="00AE33A5" w:rsidRPr="00802EC7">
        <w:t>A</w:t>
      </w:r>
      <w:r w:rsidRPr="00802EC7">
        <w:t xml:space="preserve">ffairs, and joined the Libyan Mission to the United Nations in </w:t>
      </w:r>
      <w:smartTag w:uri="urn:schemas-microsoft-com:office:smarttags" w:element="place">
        <w:smartTag w:uri="urn:schemas-microsoft-com:office:smarttags" w:element="State">
          <w:r w:rsidRPr="00802EC7">
            <w:t>New York</w:t>
          </w:r>
        </w:smartTag>
      </w:smartTag>
      <w:r w:rsidRPr="00802EC7">
        <w:t>. During this time his son, Hisham Matar, was born. He resigned from his post in 1972 and</w:t>
      </w:r>
      <w:r w:rsidR="00AE33A5" w:rsidRPr="00802EC7">
        <w:t>,</w:t>
      </w:r>
      <w:r w:rsidRPr="00802EC7">
        <w:t xml:space="preserve"> </w:t>
      </w:r>
      <w:r w:rsidR="00AE33A5" w:rsidRPr="00802EC7">
        <w:t xml:space="preserve">in 1973, </w:t>
      </w:r>
      <w:r w:rsidRPr="00802EC7">
        <w:t xml:space="preserve">returned to </w:t>
      </w:r>
      <w:smartTag w:uri="urn:schemas-microsoft-com:office:smarttags" w:element="place">
        <w:smartTag w:uri="urn:schemas-microsoft-com:office:smarttags" w:element="City">
          <w:r w:rsidRPr="00802EC7">
            <w:t>Tripoli</w:t>
          </w:r>
        </w:smartTag>
      </w:smartTag>
      <w:r w:rsidR="00AE33A5" w:rsidRPr="00802EC7">
        <w:t>,</w:t>
      </w:r>
      <w:r w:rsidRPr="00802EC7">
        <w:t xml:space="preserve"> where he became a successful businessman. In 1978, during a trip to </w:t>
      </w:r>
      <w:smartTag w:uri="urn:schemas-microsoft-com:office:smarttags" w:element="place">
        <w:smartTag w:uri="urn:schemas-microsoft-com:office:smarttags" w:element="country-region">
          <w:r w:rsidRPr="00802EC7">
            <w:t>Italy</w:t>
          </w:r>
        </w:smartTag>
      </w:smartTag>
      <w:r w:rsidRPr="00802EC7">
        <w:t xml:space="preserve">, he learned that his name appeared </w:t>
      </w:r>
      <w:r w:rsidR="00AE33A5" w:rsidRPr="00802EC7">
        <w:t xml:space="preserve">on </w:t>
      </w:r>
      <w:r w:rsidRPr="00802EC7">
        <w:t xml:space="preserve">a list of people wanted for interrogation. In 1979, his wife and two children were able to leave </w:t>
      </w:r>
      <w:smartTag w:uri="urn:schemas-microsoft-com:office:smarttags" w:element="country-region">
        <w:r w:rsidRPr="00802EC7">
          <w:t>Libya</w:t>
        </w:r>
      </w:smartTag>
      <w:r w:rsidRPr="00802EC7">
        <w:t xml:space="preserve">, and the family settled in </w:t>
      </w:r>
      <w:smartTag w:uri="urn:schemas-microsoft-com:office:smarttags" w:element="place">
        <w:smartTag w:uri="urn:schemas-microsoft-com:office:smarttags" w:element="City">
          <w:r w:rsidRPr="00802EC7">
            <w:t>Cairo</w:t>
          </w:r>
        </w:smartTag>
        <w:r w:rsidRPr="00802EC7">
          <w:t xml:space="preserve">, </w:t>
        </w:r>
        <w:smartTag w:uri="urn:schemas-microsoft-com:office:smarttags" w:element="country-region">
          <w:r w:rsidRPr="00802EC7">
            <w:t>Egypt</w:t>
          </w:r>
        </w:smartTag>
      </w:smartTag>
      <w:r w:rsidRPr="00802EC7">
        <w:t xml:space="preserve">, where </w:t>
      </w:r>
      <w:r w:rsidR="00AE33A5" w:rsidRPr="00802EC7">
        <w:t xml:space="preserve">Mr. Matar </w:t>
      </w:r>
      <w:r w:rsidRPr="00802EC7">
        <w:t xml:space="preserve">became a member of the Executive Committee of the NFSL. </w:t>
      </w:r>
    </w:p>
    <w:p w:rsidR="009D14AD" w:rsidRPr="00802EC7" w:rsidRDefault="009D14AD" w:rsidP="00AE33A5">
      <w:pPr>
        <w:pStyle w:val="SingleTxtG"/>
      </w:pPr>
      <w:r w:rsidRPr="00802EC7">
        <w:t xml:space="preserve">2.3 </w:t>
      </w:r>
      <w:r w:rsidRPr="00802EC7">
        <w:tab/>
        <w:t xml:space="preserve">On 4 and 5 March 1990 Izzat Yousef Al-Maqrif and Jaballa Hamed Matar </w:t>
      </w:r>
      <w:r w:rsidRPr="00802EC7">
        <w:rPr>
          <w:bCs/>
        </w:rPr>
        <w:t xml:space="preserve">were taken from their homes in </w:t>
      </w:r>
      <w:smartTag w:uri="urn:schemas-microsoft-com:office:smarttags" w:element="place">
        <w:smartTag w:uri="urn:schemas-microsoft-com:office:smarttags" w:element="City">
          <w:r w:rsidRPr="00802EC7">
            <w:rPr>
              <w:bCs/>
            </w:rPr>
            <w:t>Cairo</w:t>
          </w:r>
        </w:smartTag>
      </w:smartTag>
      <w:r w:rsidRPr="00802EC7">
        <w:rPr>
          <w:bCs/>
        </w:rPr>
        <w:t xml:space="preserve"> by agents of the Egyptian State Security Investigation Bureau (Mabahith Amn al-Dawla al-Ulya)</w:t>
      </w:r>
      <w:r w:rsidR="00AE33A5" w:rsidRPr="00802EC7">
        <w:rPr>
          <w:bCs/>
        </w:rPr>
        <w:t>. They were then taken</w:t>
      </w:r>
      <w:r w:rsidRPr="00802EC7">
        <w:rPr>
          <w:bCs/>
        </w:rPr>
        <w:t xml:space="preserve"> to the headquarters of the State Security Investigation Bureau in </w:t>
      </w:r>
      <w:smartTag w:uri="urn:schemas-microsoft-com:office:smarttags" w:element="Street">
        <w:smartTag w:uri="urn:schemas-microsoft-com:office:smarttags" w:element="address">
          <w:r w:rsidRPr="00802EC7">
            <w:rPr>
              <w:bCs/>
            </w:rPr>
            <w:t>Lazoghli Square</w:t>
          </w:r>
        </w:smartTag>
      </w:smartTag>
      <w:r w:rsidRPr="00802EC7">
        <w:rPr>
          <w:bCs/>
        </w:rPr>
        <w:t xml:space="preserve"> in </w:t>
      </w:r>
      <w:smartTag w:uri="urn:schemas-microsoft-com:office:smarttags" w:element="place">
        <w:smartTag w:uri="urn:schemas-microsoft-com:office:smarttags" w:element="City">
          <w:r w:rsidRPr="00802EC7">
            <w:rPr>
              <w:bCs/>
            </w:rPr>
            <w:t>Cairo</w:t>
          </w:r>
        </w:smartTag>
      </w:smartTag>
      <w:r w:rsidR="00AE33A5" w:rsidRPr="00802EC7">
        <w:rPr>
          <w:bCs/>
        </w:rPr>
        <w:t>,</w:t>
      </w:r>
      <w:r w:rsidRPr="00802EC7">
        <w:rPr>
          <w:bCs/>
        </w:rPr>
        <w:t xml:space="preserve"> </w:t>
      </w:r>
      <w:r w:rsidR="00AE33A5" w:rsidRPr="00802EC7">
        <w:rPr>
          <w:bCs/>
        </w:rPr>
        <w:t>where</w:t>
      </w:r>
      <w:r w:rsidRPr="00802EC7">
        <w:rPr>
          <w:bCs/>
        </w:rPr>
        <w:t xml:space="preserve"> they were interrogated in the presence of agents of the Egyptian General Intelligence Directorate </w:t>
      </w:r>
      <w:r w:rsidRPr="00802EC7">
        <w:t xml:space="preserve">on their activities with NFSL. They were released but their passports were confiscated without explanation. </w:t>
      </w:r>
    </w:p>
    <w:p w:rsidR="009D14AD" w:rsidRPr="00802EC7" w:rsidRDefault="009D14AD" w:rsidP="00AE33A5">
      <w:pPr>
        <w:pStyle w:val="SingleTxtG"/>
      </w:pPr>
      <w:r w:rsidRPr="00802EC7">
        <w:t xml:space="preserve">2.4 </w:t>
      </w:r>
      <w:r w:rsidRPr="00802EC7">
        <w:tab/>
        <w:t xml:space="preserve">On 12 March 1990 they </w:t>
      </w:r>
      <w:r w:rsidRPr="00802EC7">
        <w:rPr>
          <w:bCs/>
        </w:rPr>
        <w:t xml:space="preserve">were </w:t>
      </w:r>
      <w:r w:rsidR="00AE33A5" w:rsidRPr="00802EC7">
        <w:rPr>
          <w:bCs/>
        </w:rPr>
        <w:t xml:space="preserve">again </w:t>
      </w:r>
      <w:r w:rsidRPr="00802EC7">
        <w:rPr>
          <w:bCs/>
        </w:rPr>
        <w:t xml:space="preserve">taken from their homes by agents of the Egyptian General Intelligence Directorate to the office of the deputy head of the Directorate. </w:t>
      </w:r>
      <w:r w:rsidRPr="00802EC7">
        <w:t>They never returned home and their fate and whereabouts remain unknown.</w:t>
      </w:r>
    </w:p>
    <w:p w:rsidR="009D14AD" w:rsidRPr="00802EC7" w:rsidRDefault="009D14AD" w:rsidP="00706C80">
      <w:pPr>
        <w:pStyle w:val="SingleTxtG"/>
      </w:pPr>
      <w:r w:rsidRPr="00802EC7">
        <w:rPr>
          <w:bCs/>
        </w:rPr>
        <w:t xml:space="preserve">2.5 </w:t>
      </w:r>
      <w:r w:rsidRPr="00802EC7">
        <w:rPr>
          <w:bCs/>
        </w:rPr>
        <w:tab/>
      </w:r>
      <w:r w:rsidRPr="00802EC7">
        <w:t xml:space="preserve">The families believed that they were </w:t>
      </w:r>
      <w:r w:rsidR="00DF0CAF" w:rsidRPr="00802EC7">
        <w:t xml:space="preserve">being </w:t>
      </w:r>
      <w:r w:rsidRPr="00802EC7">
        <w:t xml:space="preserve">held in </w:t>
      </w:r>
      <w:smartTag w:uri="urn:schemas-microsoft-com:office:smarttags" w:element="place">
        <w:smartTag w:uri="urn:schemas-microsoft-com:office:smarttags" w:element="country-region">
          <w:r w:rsidRPr="00802EC7">
            <w:t>Egypt</w:t>
          </w:r>
        </w:smartTag>
      </w:smartTag>
      <w:r w:rsidRPr="00802EC7">
        <w:t xml:space="preserve">, and thus several attempts </w:t>
      </w:r>
      <w:r w:rsidR="007F7610" w:rsidRPr="00802EC7">
        <w:t xml:space="preserve">were made </w:t>
      </w:r>
      <w:r w:rsidRPr="00802EC7">
        <w:t xml:space="preserve">to find out their whereabouts </w:t>
      </w:r>
      <w:r w:rsidR="007F7610" w:rsidRPr="00802EC7">
        <w:t xml:space="preserve">from the </w:t>
      </w:r>
      <w:r w:rsidRPr="00802EC7">
        <w:t xml:space="preserve">Egyptian authorities, both by </w:t>
      </w:r>
      <w:r w:rsidR="007F7610" w:rsidRPr="00802EC7">
        <w:t>relatives</w:t>
      </w:r>
      <w:r w:rsidRPr="00802EC7">
        <w:t xml:space="preserve"> and NFSL members, but to no avail. </w:t>
      </w:r>
      <w:r w:rsidRPr="00802EC7">
        <w:rPr>
          <w:bCs/>
        </w:rPr>
        <w:t xml:space="preserve">According to </w:t>
      </w:r>
      <w:r w:rsidR="00690987" w:rsidRPr="00802EC7">
        <w:rPr>
          <w:bCs/>
        </w:rPr>
        <w:t>the</w:t>
      </w:r>
      <w:r w:rsidRPr="00802EC7">
        <w:rPr>
          <w:bCs/>
        </w:rPr>
        <w:t xml:space="preserve"> testimony</w:t>
      </w:r>
      <w:r w:rsidR="00690987" w:rsidRPr="00802EC7">
        <w:rPr>
          <w:bCs/>
        </w:rPr>
        <w:t xml:space="preserve"> of a friend</w:t>
      </w:r>
      <w:r w:rsidRPr="00802EC7">
        <w:rPr>
          <w:bCs/>
        </w:rPr>
        <w:t>, on 14 March 1990 he</w:t>
      </w:r>
      <w:r w:rsidR="005C7EF9" w:rsidRPr="00802EC7">
        <w:rPr>
          <w:bCs/>
        </w:rPr>
        <w:t>,</w:t>
      </w:r>
      <w:r w:rsidRPr="00802EC7">
        <w:rPr>
          <w:bCs/>
        </w:rPr>
        <w:t xml:space="preserve"> together with other NFSL members</w:t>
      </w:r>
      <w:r w:rsidR="005C7EF9" w:rsidRPr="00802EC7">
        <w:rPr>
          <w:bCs/>
        </w:rPr>
        <w:t>,</w:t>
      </w:r>
      <w:r w:rsidRPr="00802EC7">
        <w:rPr>
          <w:bCs/>
        </w:rPr>
        <w:t xml:space="preserve"> met with Colonel N.</w:t>
      </w:r>
      <w:r w:rsidRPr="00802EC7">
        <w:t>A.</w:t>
      </w:r>
      <w:r w:rsidRPr="00802EC7">
        <w:rPr>
          <w:bCs/>
        </w:rPr>
        <w:t xml:space="preserve"> from the Egyptian General Intelligence</w:t>
      </w:r>
      <w:r w:rsidR="005E59F3" w:rsidRPr="00802EC7">
        <w:rPr>
          <w:bCs/>
        </w:rPr>
        <w:t xml:space="preserve"> Directorate</w:t>
      </w:r>
      <w:r w:rsidRPr="00802EC7">
        <w:rPr>
          <w:bCs/>
        </w:rPr>
        <w:t xml:space="preserve"> </w:t>
      </w:r>
      <w:r w:rsidR="005C7EF9" w:rsidRPr="00802EC7">
        <w:rPr>
          <w:bCs/>
        </w:rPr>
        <w:t>with a view</w:t>
      </w:r>
      <w:r w:rsidRPr="00802EC7">
        <w:rPr>
          <w:bCs/>
        </w:rPr>
        <w:t xml:space="preserve"> to find</w:t>
      </w:r>
      <w:r w:rsidR="005C7EF9" w:rsidRPr="00802EC7">
        <w:rPr>
          <w:bCs/>
        </w:rPr>
        <w:t>ing</w:t>
      </w:r>
      <w:r w:rsidRPr="00802EC7">
        <w:rPr>
          <w:bCs/>
        </w:rPr>
        <w:t xml:space="preserve"> out what </w:t>
      </w:r>
      <w:r w:rsidR="005C7EF9" w:rsidRPr="00802EC7">
        <w:rPr>
          <w:bCs/>
        </w:rPr>
        <w:t xml:space="preserve">had </w:t>
      </w:r>
      <w:r w:rsidRPr="00802EC7">
        <w:rPr>
          <w:bCs/>
        </w:rPr>
        <w:t xml:space="preserve">happened to </w:t>
      </w:r>
      <w:r w:rsidRPr="00802EC7">
        <w:t>Mr. Al-Maqrif and Mr.</w:t>
      </w:r>
      <w:r w:rsidR="00DB3F8E" w:rsidRPr="00802EC7">
        <w:t xml:space="preserve"> </w:t>
      </w:r>
      <w:r w:rsidRPr="00802EC7">
        <w:t xml:space="preserve">Matar. </w:t>
      </w:r>
      <w:r w:rsidRPr="00802EC7">
        <w:rPr>
          <w:bCs/>
        </w:rPr>
        <w:t xml:space="preserve">During that meeting Colonel N.A. claimed that </w:t>
      </w:r>
      <w:r w:rsidR="00690987" w:rsidRPr="00802EC7">
        <w:rPr>
          <w:bCs/>
        </w:rPr>
        <w:t>the two men</w:t>
      </w:r>
      <w:r w:rsidR="00690987" w:rsidRPr="00802EC7">
        <w:t xml:space="preserve"> </w:t>
      </w:r>
      <w:r w:rsidRPr="00802EC7">
        <w:t xml:space="preserve">had been smuggled to </w:t>
      </w:r>
      <w:smartTag w:uri="urn:schemas-microsoft-com:office:smarttags" w:element="country-region">
        <w:r w:rsidRPr="00802EC7">
          <w:t>Libya</w:t>
        </w:r>
      </w:smartTag>
      <w:r w:rsidRPr="00802EC7">
        <w:t xml:space="preserve"> by NFSL or that they </w:t>
      </w:r>
      <w:r w:rsidR="005C7EF9" w:rsidRPr="00802EC7">
        <w:t xml:space="preserve">might </w:t>
      </w:r>
      <w:r w:rsidRPr="00802EC7">
        <w:t xml:space="preserve">have left </w:t>
      </w:r>
      <w:smartTag w:uri="urn:schemas-microsoft-com:office:smarttags" w:element="place">
        <w:smartTag w:uri="urn:schemas-microsoft-com:office:smarttags" w:element="country-region">
          <w:r w:rsidRPr="00802EC7">
            <w:t>Egypt</w:t>
          </w:r>
        </w:smartTag>
      </w:smartTag>
      <w:r w:rsidRPr="00802EC7">
        <w:t xml:space="preserve"> as they </w:t>
      </w:r>
      <w:r w:rsidR="005C7EF9" w:rsidRPr="00802EC7">
        <w:t xml:space="preserve">each </w:t>
      </w:r>
      <w:r w:rsidRPr="00802EC7">
        <w:t xml:space="preserve">had more than one passport. Colonel N.A. further warned the NFSL members not to talk to the press about the case and threatened </w:t>
      </w:r>
      <w:r w:rsidR="00EE3B2F" w:rsidRPr="00802EC7">
        <w:t xml:space="preserve">that there would be consequences for </w:t>
      </w:r>
      <w:r w:rsidRPr="00802EC7">
        <w:t xml:space="preserve">them and </w:t>
      </w:r>
      <w:r w:rsidR="00934FDF" w:rsidRPr="00802EC7">
        <w:t xml:space="preserve">the members of </w:t>
      </w:r>
      <w:r w:rsidRPr="00802EC7">
        <w:t xml:space="preserve">their families who resided in </w:t>
      </w:r>
      <w:smartTag w:uri="urn:schemas-microsoft-com:office:smarttags" w:element="place">
        <w:smartTag w:uri="urn:schemas-microsoft-com:office:smarttags" w:element="country-region">
          <w:r w:rsidRPr="00802EC7">
            <w:t>Egypt</w:t>
          </w:r>
        </w:smartTag>
      </w:smartTag>
      <w:r w:rsidRPr="00802EC7">
        <w:t xml:space="preserve"> if they did so.</w:t>
      </w:r>
      <w:r w:rsidRPr="00802EC7">
        <w:rPr>
          <w:bCs/>
        </w:rPr>
        <w:t xml:space="preserve"> </w:t>
      </w:r>
      <w:r w:rsidRPr="00802EC7">
        <w:t xml:space="preserve">According to the NFSL Political Commissioner at the time, who was dispatched to </w:t>
      </w:r>
      <w:smartTag w:uri="urn:schemas-microsoft-com:office:smarttags" w:element="place">
        <w:smartTag w:uri="urn:schemas-microsoft-com:office:smarttags" w:element="country-region">
          <w:r w:rsidRPr="00802EC7">
            <w:t>Egypt</w:t>
          </w:r>
        </w:smartTag>
      </w:smartTag>
      <w:r w:rsidRPr="00802EC7">
        <w:t xml:space="preserve"> in June 1990 with the aim of contacting the Egyptian authorities in person, he requested to meet with Colonel N.A. but the latter refused and expressed his anger that the matter had become known to the public, including human rights organizations. Similarly, Mr. Matar’s wife was warned by officials of the Egyptian </w:t>
      </w:r>
      <w:r w:rsidRPr="00802EC7">
        <w:rPr>
          <w:bCs/>
        </w:rPr>
        <w:t>State Security Investigation Bureau</w:t>
      </w:r>
      <w:r w:rsidRPr="00802EC7">
        <w:t xml:space="preserve"> not to continue investigating </w:t>
      </w:r>
      <w:r w:rsidR="00EE3B2F" w:rsidRPr="00802EC7">
        <w:t xml:space="preserve">her husband’s </w:t>
      </w:r>
      <w:r w:rsidRPr="00802EC7">
        <w:t>disappearance</w:t>
      </w:r>
      <w:r w:rsidR="00706C80" w:rsidRPr="00802EC7">
        <w:t xml:space="preserve"> as</w:t>
      </w:r>
      <w:r w:rsidRPr="00802EC7">
        <w:t xml:space="preserve"> </w:t>
      </w:r>
      <w:r w:rsidR="00706C80" w:rsidRPr="00802EC7">
        <w:t>o</w:t>
      </w:r>
      <w:r w:rsidRPr="00802EC7">
        <w:t>therwise his safety could not be guaranteed.</w:t>
      </w:r>
      <w:r w:rsidR="00DB3F8E" w:rsidRPr="00802EC7">
        <w:t xml:space="preserve"> </w:t>
      </w:r>
    </w:p>
    <w:p w:rsidR="009D14AD" w:rsidRPr="00802EC7" w:rsidRDefault="009D14AD" w:rsidP="009D14AD">
      <w:pPr>
        <w:pStyle w:val="SingleTxtG"/>
      </w:pPr>
      <w:r w:rsidRPr="00802EC7">
        <w:t xml:space="preserve">2.6 </w:t>
      </w:r>
      <w:r w:rsidRPr="00802EC7">
        <w:tab/>
        <w:t>In 1992, the disappearances were brought to the attention of the Working Group on Enforced or Involuntary Disappearances</w:t>
      </w:r>
      <w:r w:rsidR="00C03231" w:rsidRPr="00802EC7">
        <w:t>,</w:t>
      </w:r>
      <w:r w:rsidRPr="00802EC7">
        <w:t xml:space="preserve"> in relation to </w:t>
      </w:r>
      <w:smartTag w:uri="urn:schemas-microsoft-com:office:smarttags" w:element="place">
        <w:smartTag w:uri="urn:schemas-microsoft-com:office:smarttags" w:element="country-region">
          <w:r w:rsidRPr="00802EC7">
            <w:t>Egypt</w:t>
          </w:r>
        </w:smartTag>
      </w:smartTag>
      <w:r w:rsidRPr="00802EC7">
        <w:t xml:space="preserve"> through a report submitted by </w:t>
      </w:r>
      <w:r w:rsidRPr="00802EC7">
        <w:lastRenderedPageBreak/>
        <w:t>Amnesty International. The cases were mentioned in several annual reports of the Working Group. However the Working Group was unable to obtain clarification about the fate or whereabouts of Mr. Al-Maqrif and Mr. Matar.</w:t>
      </w:r>
    </w:p>
    <w:p w:rsidR="009D14AD" w:rsidRPr="00802EC7" w:rsidRDefault="009D14AD" w:rsidP="009610A4">
      <w:pPr>
        <w:pStyle w:val="SingleTxtG"/>
        <w:rPr>
          <w:bCs/>
        </w:rPr>
      </w:pPr>
      <w:r w:rsidRPr="00802EC7">
        <w:t xml:space="preserve">2.7 </w:t>
      </w:r>
      <w:r w:rsidRPr="00802EC7">
        <w:tab/>
        <w:t>In late 1993 or early 1994, a friend of Mr. Al-Maqrif’s family received a smuggled letter from Mr. Al-Maqrif</w:t>
      </w:r>
      <w:r w:rsidRPr="00802EC7">
        <w:rPr>
          <w:rStyle w:val="FootnoteReference"/>
        </w:rPr>
        <w:footnoteReference w:id="5"/>
      </w:r>
      <w:r w:rsidRPr="00802EC7">
        <w:t xml:space="preserve"> in which he indicated that he and Mr. Matar had been transferred to </w:t>
      </w:r>
      <w:smartTag w:uri="urn:schemas-microsoft-com:office:smarttags" w:element="City">
        <w:r w:rsidRPr="00802EC7">
          <w:t>Tripoli</w:t>
        </w:r>
      </w:smartTag>
      <w:r w:rsidRPr="00802EC7">
        <w:t xml:space="preserve"> the day after their arrest in </w:t>
      </w:r>
      <w:smartTag w:uri="urn:schemas-microsoft-com:office:smarttags" w:element="place">
        <w:smartTag w:uri="urn:schemas-microsoft-com:office:smarttags" w:element="City">
          <w:r w:rsidRPr="00802EC7">
            <w:t>Cairo</w:t>
          </w:r>
        </w:smartTag>
      </w:smartTag>
      <w:r w:rsidRPr="00802EC7">
        <w:t xml:space="preserve"> and </w:t>
      </w:r>
      <w:r w:rsidR="005B6182" w:rsidRPr="00802EC7">
        <w:t xml:space="preserve">subsequently </w:t>
      </w:r>
      <w:r w:rsidRPr="00802EC7">
        <w:t xml:space="preserve">held in Abu-Salim prison. </w:t>
      </w:r>
      <w:r w:rsidR="005B6182" w:rsidRPr="00802EC7">
        <w:t xml:space="preserve">Mr. </w:t>
      </w:r>
      <w:r w:rsidRPr="00802EC7">
        <w:t>Al-Maqrif’s brother testifies to hav</w:t>
      </w:r>
      <w:r w:rsidR="009610A4" w:rsidRPr="00802EC7">
        <w:t>ing</w:t>
      </w:r>
      <w:r w:rsidRPr="00802EC7">
        <w:t xml:space="preserve"> seen </w:t>
      </w:r>
      <w:r w:rsidR="005B6182" w:rsidRPr="00802EC7">
        <w:t xml:space="preserve">the </w:t>
      </w:r>
      <w:r w:rsidRPr="00802EC7">
        <w:t>letter in late 1994, at which time he learn</w:t>
      </w:r>
      <w:r w:rsidR="009610A4" w:rsidRPr="00802EC7">
        <w:t>ed</w:t>
      </w:r>
      <w:r w:rsidRPr="00802EC7">
        <w:t xml:space="preserve"> about the transfer of Mr. Al-Maqrif and Mr. Matar to </w:t>
      </w:r>
      <w:smartTag w:uri="urn:schemas-microsoft-com:office:smarttags" w:element="place">
        <w:smartTag w:uri="urn:schemas-microsoft-com:office:smarttags" w:element="City">
          <w:r w:rsidRPr="00802EC7">
            <w:t>Tripoli</w:t>
          </w:r>
        </w:smartTag>
      </w:smartTag>
      <w:r w:rsidRPr="00802EC7">
        <w:t xml:space="preserve"> in March</w:t>
      </w:r>
      <w:r w:rsidR="005B6182" w:rsidRPr="00802EC7">
        <w:t xml:space="preserve"> </w:t>
      </w:r>
      <w:r w:rsidRPr="00802EC7">
        <w:t>1990</w:t>
      </w:r>
      <w:r w:rsidR="00202716" w:rsidRPr="00802EC7">
        <w:t>.</w:t>
      </w:r>
      <w:r w:rsidRPr="00802EC7">
        <w:rPr>
          <w:rStyle w:val="FootnoteReference"/>
        </w:rPr>
        <w:footnoteReference w:id="6"/>
      </w:r>
      <w:r w:rsidRPr="00802EC7">
        <w:t xml:space="preserve"> In total, the family received from Mr. Al-Maqrif four smuggled letters and a series of poems, all </w:t>
      </w:r>
      <w:r w:rsidR="005B6182" w:rsidRPr="00802EC7">
        <w:t xml:space="preserve">alleged </w:t>
      </w:r>
      <w:r w:rsidRPr="00802EC7">
        <w:t>to have been written in 1993</w:t>
      </w:r>
      <w:r w:rsidR="005B6182" w:rsidRPr="00802EC7">
        <w:t>–</w:t>
      </w:r>
      <w:r w:rsidRPr="00802EC7">
        <w:t xml:space="preserve">1994. All </w:t>
      </w:r>
      <w:r w:rsidR="005B6182" w:rsidRPr="00802EC7">
        <w:t xml:space="preserve">the </w:t>
      </w:r>
      <w:r w:rsidRPr="00802EC7">
        <w:t xml:space="preserve">letters were handed to Mr. Almegaryaf only in 2009. </w:t>
      </w:r>
      <w:r w:rsidR="005E59F3" w:rsidRPr="00802EC7">
        <w:t>Between late 1995 and early 1996, Mr. Matar’s</w:t>
      </w:r>
      <w:r w:rsidR="005E59F3" w:rsidRPr="00802EC7" w:rsidDel="005E59F3">
        <w:t xml:space="preserve"> </w:t>
      </w:r>
      <w:r w:rsidRPr="00802EC7">
        <w:t xml:space="preserve">family and friends received three smuggled letters and one tape </w:t>
      </w:r>
      <w:r w:rsidR="005E59F3" w:rsidRPr="00802EC7">
        <w:t xml:space="preserve">of </w:t>
      </w:r>
      <w:r w:rsidRPr="00802EC7">
        <w:t xml:space="preserve">a </w:t>
      </w:r>
      <w:r w:rsidR="005E59F3" w:rsidRPr="00802EC7">
        <w:t xml:space="preserve">letter </w:t>
      </w:r>
      <w:r w:rsidRPr="00802EC7">
        <w:t xml:space="preserve">recorded </w:t>
      </w:r>
      <w:r w:rsidR="005E59F3" w:rsidRPr="00802EC7">
        <w:t>by him</w:t>
      </w:r>
      <w:r w:rsidRPr="00802EC7">
        <w:t>.</w:t>
      </w:r>
      <w:r w:rsidRPr="00802EC7">
        <w:rPr>
          <w:rStyle w:val="FootnoteReference"/>
        </w:rPr>
        <w:footnoteReference w:id="7"/>
      </w:r>
      <w:r w:rsidRPr="00802EC7">
        <w:t xml:space="preserve"> </w:t>
      </w:r>
      <w:r w:rsidR="005E59F3" w:rsidRPr="00802EC7">
        <w:t xml:space="preserve">These </w:t>
      </w:r>
      <w:r w:rsidRPr="00802EC7">
        <w:t xml:space="preserve">describe </w:t>
      </w:r>
      <w:r w:rsidR="009610A4" w:rsidRPr="00802EC7">
        <w:t xml:space="preserve">the men’s </w:t>
      </w:r>
      <w:r w:rsidRPr="00802EC7">
        <w:t xml:space="preserve">handover from </w:t>
      </w:r>
      <w:r w:rsidR="005E59F3" w:rsidRPr="00802EC7">
        <w:t xml:space="preserve">the </w:t>
      </w:r>
      <w:r w:rsidRPr="00802EC7">
        <w:t xml:space="preserve">Egyptian to </w:t>
      </w:r>
      <w:r w:rsidR="005E59F3" w:rsidRPr="00802EC7">
        <w:t xml:space="preserve">the </w:t>
      </w:r>
      <w:r w:rsidRPr="00802EC7">
        <w:t xml:space="preserve">Libyan authorities on 13 March 1990, their transfer to </w:t>
      </w:r>
      <w:smartTag w:uri="urn:schemas-microsoft-com:office:smarttags" w:element="place">
        <w:smartTag w:uri="urn:schemas-microsoft-com:office:smarttags" w:element="City">
          <w:r w:rsidRPr="00802EC7">
            <w:t>Tripoli</w:t>
          </w:r>
        </w:smartTag>
      </w:smartTag>
      <w:r w:rsidRPr="00802EC7">
        <w:t xml:space="preserve">, and </w:t>
      </w:r>
      <w:r w:rsidR="005E59F3" w:rsidRPr="00802EC7">
        <w:t xml:space="preserve">their </w:t>
      </w:r>
      <w:r w:rsidRPr="00802EC7">
        <w:t xml:space="preserve">imprisonment in Abu-Salim prison. They indicate that upon their arrest, on 12 March 1990, they </w:t>
      </w:r>
      <w:r w:rsidRPr="00802EC7">
        <w:rPr>
          <w:bCs/>
        </w:rPr>
        <w:t xml:space="preserve">were detained in separate rooms at the headquarters of the Egyptian General Intelligence Directorate and forbidden to return home. On the following day, they were taken </w:t>
      </w:r>
      <w:r w:rsidR="005E59F3" w:rsidRPr="00802EC7">
        <w:rPr>
          <w:bCs/>
        </w:rPr>
        <w:t xml:space="preserve">away </w:t>
      </w:r>
      <w:r w:rsidRPr="00802EC7">
        <w:rPr>
          <w:bCs/>
        </w:rPr>
        <w:t xml:space="preserve">by agents of the Directorate in a truck </w:t>
      </w:r>
      <w:r w:rsidR="005E59F3" w:rsidRPr="00802EC7">
        <w:rPr>
          <w:bCs/>
        </w:rPr>
        <w:t xml:space="preserve">with </w:t>
      </w:r>
      <w:r w:rsidRPr="00802EC7">
        <w:rPr>
          <w:bCs/>
        </w:rPr>
        <w:t xml:space="preserve">windows covered </w:t>
      </w:r>
      <w:r w:rsidR="009F3CA5" w:rsidRPr="00802EC7">
        <w:rPr>
          <w:bCs/>
        </w:rPr>
        <w:t xml:space="preserve">in </w:t>
      </w:r>
      <w:r w:rsidRPr="00802EC7">
        <w:rPr>
          <w:bCs/>
        </w:rPr>
        <w:t xml:space="preserve">newspaper </w:t>
      </w:r>
      <w:r w:rsidR="005E59F3" w:rsidRPr="00802EC7">
        <w:rPr>
          <w:bCs/>
        </w:rPr>
        <w:t xml:space="preserve">on the </w:t>
      </w:r>
      <w:r w:rsidRPr="00802EC7">
        <w:rPr>
          <w:bCs/>
        </w:rPr>
        <w:t xml:space="preserve">inside. After a short drive the truck stopped and they </w:t>
      </w:r>
      <w:r w:rsidRPr="00802EC7">
        <w:t>were handed over to Libyan military police. They were then transported in a private Libyan jet</w:t>
      </w:r>
      <w:r w:rsidRPr="00802EC7">
        <w:rPr>
          <w:bCs/>
        </w:rPr>
        <w:t xml:space="preserve"> to</w:t>
      </w:r>
      <w:r w:rsidRPr="00802EC7">
        <w:t xml:space="preserve"> </w:t>
      </w:r>
      <w:smartTag w:uri="urn:schemas-microsoft-com:office:smarttags" w:element="City">
        <w:r w:rsidRPr="00802EC7">
          <w:t>Tripoli</w:t>
        </w:r>
      </w:smartTag>
      <w:r w:rsidRPr="00802EC7">
        <w:t xml:space="preserve">, </w:t>
      </w:r>
      <w:r w:rsidRPr="00802EC7">
        <w:rPr>
          <w:bCs/>
        </w:rPr>
        <w:t xml:space="preserve">and upon arrival, taken to Abu Salim prison in </w:t>
      </w:r>
      <w:smartTag w:uri="urn:schemas-microsoft-com:office:smarttags" w:element="place">
        <w:smartTag w:uri="urn:schemas-microsoft-com:office:smarttags" w:element="City">
          <w:r w:rsidRPr="00802EC7">
            <w:rPr>
              <w:bCs/>
            </w:rPr>
            <w:t>Tripoli</w:t>
          </w:r>
        </w:smartTag>
      </w:smartTag>
      <w:r w:rsidRPr="00802EC7">
        <w:rPr>
          <w:bCs/>
        </w:rPr>
        <w:t>.</w:t>
      </w:r>
    </w:p>
    <w:p w:rsidR="009D14AD" w:rsidRPr="00802EC7" w:rsidRDefault="009D14AD" w:rsidP="009610A4">
      <w:pPr>
        <w:pStyle w:val="SingleTxtG"/>
      </w:pPr>
      <w:r w:rsidRPr="00802EC7">
        <w:t xml:space="preserve">2.8 </w:t>
      </w:r>
      <w:r w:rsidRPr="00802EC7">
        <w:tab/>
        <w:t xml:space="preserve">A former </w:t>
      </w:r>
      <w:r w:rsidR="009F3CA5" w:rsidRPr="00802EC7">
        <w:t>fellow inmate</w:t>
      </w:r>
      <w:r w:rsidRPr="00802EC7">
        <w:t xml:space="preserve"> </w:t>
      </w:r>
      <w:r w:rsidR="009F3CA5" w:rsidRPr="00802EC7">
        <w:t xml:space="preserve">in </w:t>
      </w:r>
      <w:r w:rsidRPr="00802EC7">
        <w:t xml:space="preserve">Abu-Salim prison claimed that he had seen Mr. Al-Maqrif and Mr. Matar in Abu-Salim prison a few months after their handover </w:t>
      </w:r>
      <w:r w:rsidR="009F3CA5" w:rsidRPr="00802EC7">
        <w:t>–</w:t>
      </w:r>
      <w:r w:rsidRPr="00802EC7">
        <w:t xml:space="preserve"> between 1991 and 1992 </w:t>
      </w:r>
      <w:r w:rsidR="009F3CA5" w:rsidRPr="00802EC7">
        <w:t>–</w:t>
      </w:r>
      <w:r w:rsidRPr="00802EC7">
        <w:t xml:space="preserve"> and that they had told him about the circumstances of their transfer from </w:t>
      </w:r>
      <w:smartTag w:uri="urn:schemas-microsoft-com:office:smarttags" w:element="City">
        <w:r w:rsidRPr="00802EC7">
          <w:t>Cairo</w:t>
        </w:r>
      </w:smartTag>
      <w:r w:rsidRPr="00802EC7">
        <w:t xml:space="preserve"> to </w:t>
      </w:r>
      <w:smartTag w:uri="urn:schemas-microsoft-com:office:smarttags" w:element="place">
        <w:smartTag w:uri="urn:schemas-microsoft-com:office:smarttags" w:element="City">
          <w:r w:rsidRPr="00802EC7">
            <w:t>Tripoli</w:t>
          </w:r>
        </w:smartTag>
      </w:smartTag>
      <w:r w:rsidRPr="00802EC7">
        <w:t xml:space="preserve">. He claimed to have seen them for the last time </w:t>
      </w:r>
      <w:r w:rsidR="009610A4" w:rsidRPr="00802EC7">
        <w:t xml:space="preserve">on </w:t>
      </w:r>
      <w:r w:rsidRPr="00802EC7">
        <w:t xml:space="preserve">the day of </w:t>
      </w:r>
      <w:r w:rsidR="009610A4" w:rsidRPr="00802EC7">
        <w:t xml:space="preserve">the </w:t>
      </w:r>
      <w:r w:rsidRPr="00802EC7">
        <w:t xml:space="preserve">Abu-Salim prison </w:t>
      </w:r>
      <w:r w:rsidR="009610A4" w:rsidRPr="00802EC7">
        <w:t>“</w:t>
      </w:r>
      <w:r w:rsidRPr="00802EC7">
        <w:t>massacre</w:t>
      </w:r>
      <w:r w:rsidR="009610A4" w:rsidRPr="00802EC7">
        <w:t>”</w:t>
      </w:r>
      <w:r w:rsidRPr="00802EC7">
        <w:t xml:space="preserve"> in June 1996 when they were taken away from their cell by prison guards. According to the authors, it is believed that about 1,200 prisoners were killed in this </w:t>
      </w:r>
      <w:r w:rsidR="009610A4" w:rsidRPr="00802EC7">
        <w:t>“</w:t>
      </w:r>
      <w:r w:rsidRPr="00802EC7">
        <w:t>massacre</w:t>
      </w:r>
      <w:r w:rsidR="009610A4" w:rsidRPr="00802EC7">
        <w:t>”</w:t>
      </w:r>
      <w:r w:rsidRPr="00802EC7">
        <w:t>.</w:t>
      </w:r>
    </w:p>
    <w:p w:rsidR="009D14AD" w:rsidRPr="00802EC7" w:rsidRDefault="009D14AD" w:rsidP="00431392">
      <w:pPr>
        <w:pStyle w:val="SingleTxtG"/>
      </w:pPr>
      <w:r w:rsidRPr="00802EC7">
        <w:t xml:space="preserve">2.9. </w:t>
      </w:r>
      <w:r w:rsidRPr="00802EC7">
        <w:tab/>
        <w:t xml:space="preserve">The former </w:t>
      </w:r>
      <w:r w:rsidR="009F3CA5" w:rsidRPr="00802EC7">
        <w:t xml:space="preserve">fellow inmate </w:t>
      </w:r>
      <w:r w:rsidRPr="00802EC7">
        <w:t xml:space="preserve">indicated that </w:t>
      </w:r>
      <w:r w:rsidRPr="00802EC7">
        <w:rPr>
          <w:bCs/>
        </w:rPr>
        <w:t>all prisoners in Abu-Salim prison were tortured, with</w:t>
      </w:r>
      <w:r w:rsidR="009F3CA5" w:rsidRPr="00802EC7">
        <w:rPr>
          <w:bCs/>
        </w:rPr>
        <w:t>out</w:t>
      </w:r>
      <w:r w:rsidRPr="00802EC7">
        <w:rPr>
          <w:bCs/>
        </w:rPr>
        <w:t xml:space="preserve"> exception. He claimed that </w:t>
      </w:r>
      <w:r w:rsidRPr="00802EC7">
        <w:t>Mr. Al-Maqrif and Mr. Matar</w:t>
      </w:r>
      <w:r w:rsidRPr="00802EC7">
        <w:rPr>
          <w:bCs/>
        </w:rPr>
        <w:t xml:space="preserve"> had diabetes and suffered from high blood pressure</w:t>
      </w:r>
      <w:r w:rsidRPr="00802EC7">
        <w:t xml:space="preserve"> and that access to a doctor was limited in the prison. They were </w:t>
      </w:r>
      <w:r w:rsidR="009F3CA5" w:rsidRPr="00802EC7">
        <w:t xml:space="preserve">initially </w:t>
      </w:r>
      <w:r w:rsidRPr="00802EC7">
        <w:t xml:space="preserve">held in solitary confinement and later shared a cell. They were not allowed to have contact with other prisoners </w:t>
      </w:r>
      <w:r w:rsidR="009F3CA5" w:rsidRPr="00802EC7">
        <w:t xml:space="preserve">or </w:t>
      </w:r>
      <w:r w:rsidRPr="00802EC7">
        <w:t xml:space="preserve">the outside world, including </w:t>
      </w:r>
      <w:r w:rsidR="009F3CA5" w:rsidRPr="00802EC7">
        <w:t xml:space="preserve">legal </w:t>
      </w:r>
      <w:r w:rsidRPr="00802EC7">
        <w:t xml:space="preserve">counsel. No one in Abu-Salim prison was allowed to submit requests or complaints, and those who did were killed. The authors further submit that Mr. Matar confirmed in one of his smuggled letters, believed to </w:t>
      </w:r>
      <w:r w:rsidR="009F3CA5" w:rsidRPr="00802EC7">
        <w:t>have been written</w:t>
      </w:r>
      <w:r w:rsidRPr="00802EC7">
        <w:t xml:space="preserve"> in 1995, that he and Mr. Al-Maqrif shared a cell but </w:t>
      </w:r>
      <w:r w:rsidR="009F3CA5" w:rsidRPr="00802EC7">
        <w:t xml:space="preserve">that </w:t>
      </w:r>
      <w:r w:rsidRPr="00802EC7">
        <w:t xml:space="preserve">they were isolated and prevented from </w:t>
      </w:r>
      <w:r w:rsidR="009F3CA5" w:rsidRPr="00802EC7">
        <w:t xml:space="preserve">having </w:t>
      </w:r>
      <w:r w:rsidRPr="00802EC7">
        <w:t xml:space="preserve">contact with the other prisoners. </w:t>
      </w:r>
      <w:r w:rsidR="009F3CA5" w:rsidRPr="00802EC7">
        <w:t xml:space="preserve">In that letter </w:t>
      </w:r>
      <w:r w:rsidRPr="00802EC7">
        <w:t>Mr.</w:t>
      </w:r>
      <w:r w:rsidR="00DB3F8E" w:rsidRPr="00802EC7">
        <w:t xml:space="preserve"> </w:t>
      </w:r>
      <w:r w:rsidRPr="00802EC7">
        <w:t xml:space="preserve">Matar also described the cruelty </w:t>
      </w:r>
      <w:r w:rsidR="00431392" w:rsidRPr="00802EC7">
        <w:t xml:space="preserve">practised in </w:t>
      </w:r>
      <w:r w:rsidRPr="00802EC7">
        <w:t xml:space="preserve">the </w:t>
      </w:r>
      <w:r w:rsidR="00431392" w:rsidRPr="00802EC7">
        <w:t>prison</w:t>
      </w:r>
      <w:r w:rsidRPr="00802EC7">
        <w:t>.</w:t>
      </w:r>
      <w:r w:rsidRPr="00802EC7">
        <w:rPr>
          <w:rStyle w:val="FootnoteReference"/>
        </w:rPr>
        <w:footnoteReference w:id="8"/>
      </w:r>
      <w:r w:rsidRPr="00802EC7">
        <w:t xml:space="preserve"> </w:t>
      </w:r>
    </w:p>
    <w:p w:rsidR="009D14AD" w:rsidRPr="00802EC7" w:rsidRDefault="009D14AD" w:rsidP="009F3CA5">
      <w:pPr>
        <w:pStyle w:val="SingleTxtG"/>
      </w:pPr>
      <w:r w:rsidRPr="00802EC7">
        <w:t>2.10</w:t>
      </w:r>
      <w:r w:rsidRPr="00802EC7">
        <w:tab/>
        <w:t xml:space="preserve">The poor conditions </w:t>
      </w:r>
      <w:r w:rsidR="009F3CA5" w:rsidRPr="00802EC7">
        <w:t xml:space="preserve">in </w:t>
      </w:r>
      <w:r w:rsidRPr="00802EC7">
        <w:t xml:space="preserve">Abu-Salim prison have been widely documented. A report by the </w:t>
      </w:r>
      <w:r w:rsidR="009F3CA5" w:rsidRPr="00802EC7">
        <w:t>United Nations</w:t>
      </w:r>
      <w:r w:rsidRPr="00802EC7">
        <w:t xml:space="preserve"> Special Rapporteur on </w:t>
      </w:r>
      <w:r w:rsidR="009F3CA5" w:rsidRPr="00802EC7">
        <w:t>t</w:t>
      </w:r>
      <w:r w:rsidRPr="00802EC7">
        <w:t>orture</w:t>
      </w:r>
      <w:r w:rsidR="009F3CA5" w:rsidRPr="00802EC7">
        <w:t xml:space="preserve"> and other cruel, inhuman or degrading treatment or punishment</w:t>
      </w:r>
      <w:r w:rsidRPr="00802EC7">
        <w:rPr>
          <w:rStyle w:val="FootnoteReference"/>
        </w:rPr>
        <w:footnoteReference w:id="9"/>
      </w:r>
      <w:r w:rsidRPr="00802EC7">
        <w:t xml:space="preserve"> indicates that prison conditions were harsh and that the lack of adequate food, medical care and </w:t>
      </w:r>
      <w:r w:rsidR="009610A4" w:rsidRPr="00802EC7">
        <w:t xml:space="preserve">the </w:t>
      </w:r>
      <w:r w:rsidRPr="00802EC7">
        <w:t>use of torture and other forms of ill-treatment had resulted in the death</w:t>
      </w:r>
      <w:r w:rsidR="009610A4" w:rsidRPr="00802EC7">
        <w:t>s</w:t>
      </w:r>
      <w:r w:rsidRPr="00802EC7">
        <w:t xml:space="preserve"> of prisoners.</w:t>
      </w:r>
      <w:r w:rsidR="00DB3F8E" w:rsidRPr="00802EC7">
        <w:t xml:space="preserve"> </w:t>
      </w:r>
    </w:p>
    <w:p w:rsidR="009D14AD" w:rsidRPr="00802EC7" w:rsidRDefault="009D14AD" w:rsidP="007506A6">
      <w:pPr>
        <w:pStyle w:val="SingleTxtG"/>
      </w:pPr>
      <w:r w:rsidRPr="00802EC7">
        <w:lastRenderedPageBreak/>
        <w:t xml:space="preserve">2.11 </w:t>
      </w:r>
      <w:r w:rsidRPr="00802EC7">
        <w:tab/>
        <w:t xml:space="preserve">In 2001 a relative of Mr. Matar who was a lawyer in </w:t>
      </w:r>
      <w:smartTag w:uri="urn:schemas-microsoft-com:office:smarttags" w:element="place">
        <w:smartTag w:uri="urn:schemas-microsoft-com:office:smarttags" w:element="country-region">
          <w:r w:rsidRPr="00802EC7">
            <w:t>Libya</w:t>
          </w:r>
        </w:smartTag>
      </w:smartTag>
      <w:r w:rsidRPr="00802EC7">
        <w:t xml:space="preserve"> discovered that the name of Mr. Matar appeared in an indictment by the Prosecutor of the Armed Populace. Although he was not indicted in </w:t>
      </w:r>
      <w:r w:rsidR="00C15102" w:rsidRPr="00802EC7">
        <w:t xml:space="preserve">that </w:t>
      </w:r>
      <w:r w:rsidRPr="00802EC7">
        <w:t>specific court case</w:t>
      </w:r>
      <w:r w:rsidR="00C15102" w:rsidRPr="00802EC7">
        <w:t>,</w:t>
      </w:r>
      <w:r w:rsidRPr="00802EC7">
        <w:t xml:space="preserve"> Mr. Matar was referred to as the person who had recruited the indictees to carry out insurgency activities. During the trial before the </w:t>
      </w:r>
      <w:smartTag w:uri="urn:schemas-microsoft-com:office:smarttags" w:element="Street">
        <w:smartTag w:uri="urn:schemas-microsoft-com:office:smarttags" w:element="address">
          <w:r w:rsidRPr="00802EC7">
            <w:t>Permanent Military Court</w:t>
          </w:r>
        </w:smartTag>
      </w:smartTag>
      <w:r w:rsidRPr="00802EC7">
        <w:t xml:space="preserve">, the Defence noted that Mr. Matar </w:t>
      </w:r>
      <w:r w:rsidR="00C15102" w:rsidRPr="00802EC7">
        <w:t>was being tried</w:t>
      </w:r>
      <w:r w:rsidRPr="00802EC7">
        <w:t xml:space="preserve"> in absentia, but that his statements had never been recorded or documented. </w:t>
      </w:r>
      <w:r w:rsidR="00C15102" w:rsidRPr="00802EC7">
        <w:t>T</w:t>
      </w:r>
      <w:r w:rsidRPr="00802EC7">
        <w:t xml:space="preserve">he Defence </w:t>
      </w:r>
      <w:r w:rsidR="00C15102" w:rsidRPr="00802EC7">
        <w:t xml:space="preserve">therefore </w:t>
      </w:r>
      <w:r w:rsidRPr="00802EC7">
        <w:t xml:space="preserve">asked </w:t>
      </w:r>
      <w:r w:rsidR="00373DDB" w:rsidRPr="00802EC7">
        <w:t xml:space="preserve">for </w:t>
      </w:r>
      <w:r w:rsidRPr="00802EC7">
        <w:t xml:space="preserve">Mr. Matar </w:t>
      </w:r>
      <w:r w:rsidR="00373DDB" w:rsidRPr="00802EC7">
        <w:t xml:space="preserve">to </w:t>
      </w:r>
      <w:r w:rsidRPr="00802EC7">
        <w:t>be brought</w:t>
      </w:r>
      <w:r w:rsidR="00373DDB" w:rsidRPr="00802EC7">
        <w:t xml:space="preserve"> before the court</w:t>
      </w:r>
      <w:r w:rsidRPr="00802EC7">
        <w:t xml:space="preserve">. This request yielded no result. The indictees in that court case were all convicted in February 2002. According to the authors, Mr. Matar had </w:t>
      </w:r>
      <w:r w:rsidR="007506A6" w:rsidRPr="00802EC7">
        <w:t xml:space="preserve">apparently </w:t>
      </w:r>
      <w:r w:rsidRPr="00802EC7">
        <w:t xml:space="preserve">been found guilty and sentenced to death in another trial. However, it is unknown whether the sentence was </w:t>
      </w:r>
      <w:r w:rsidR="00373DDB" w:rsidRPr="00802EC7">
        <w:t xml:space="preserve">carried out </w:t>
      </w:r>
      <w:r w:rsidRPr="00802EC7">
        <w:t>and there are no documents on the alleged case against him.</w:t>
      </w:r>
    </w:p>
    <w:p w:rsidR="009D14AD" w:rsidRPr="00802EC7" w:rsidRDefault="009D14AD" w:rsidP="00373DDB">
      <w:pPr>
        <w:pStyle w:val="SingleTxtG"/>
      </w:pPr>
      <w:r w:rsidRPr="00802EC7">
        <w:t xml:space="preserve">2.12 </w:t>
      </w:r>
      <w:r w:rsidRPr="00802EC7">
        <w:tab/>
        <w:t xml:space="preserve">Hisham Matar submits that in 2008 he received information, through an informant, from a former prisoner of Abu-Salim prison that his father </w:t>
      </w:r>
      <w:r w:rsidR="00373DDB" w:rsidRPr="00802EC7">
        <w:t xml:space="preserve">had been </w:t>
      </w:r>
      <w:r w:rsidRPr="00802EC7">
        <w:t xml:space="preserve">seen in 2002 at a high-security prison nicknamed </w:t>
      </w:r>
      <w:r w:rsidR="00373DDB" w:rsidRPr="00802EC7">
        <w:t>“</w:t>
      </w:r>
      <w:r w:rsidRPr="00802EC7">
        <w:t>Gates of Hell</w:t>
      </w:r>
      <w:r w:rsidR="00373DDB" w:rsidRPr="00802EC7">
        <w:t>”</w:t>
      </w:r>
      <w:r w:rsidRPr="00802EC7">
        <w:t xml:space="preserve"> in </w:t>
      </w:r>
      <w:smartTag w:uri="urn:schemas-microsoft-com:office:smarttags" w:element="place">
        <w:smartTag w:uri="urn:schemas-microsoft-com:office:smarttags" w:element="City">
          <w:r w:rsidRPr="00802EC7">
            <w:t>Tripoli</w:t>
          </w:r>
        </w:smartTag>
      </w:smartTag>
      <w:r w:rsidRPr="00802EC7">
        <w:t>.</w:t>
      </w:r>
    </w:p>
    <w:p w:rsidR="009D14AD" w:rsidRPr="00802EC7" w:rsidRDefault="009D14AD" w:rsidP="009D14AD">
      <w:pPr>
        <w:pStyle w:val="SingleTxtG"/>
      </w:pPr>
      <w:r w:rsidRPr="00802EC7">
        <w:t xml:space="preserve">2.13 </w:t>
      </w:r>
      <w:r w:rsidRPr="00802EC7">
        <w:tab/>
        <w:t xml:space="preserve">The authors submit that the circumstances under which both families fled </w:t>
      </w:r>
      <w:smartTag w:uri="urn:schemas-microsoft-com:office:smarttags" w:element="place">
        <w:smartTag w:uri="urn:schemas-microsoft-com:office:smarttags" w:element="country-region">
          <w:r w:rsidRPr="00802EC7">
            <w:t>Libya</w:t>
          </w:r>
        </w:smartTag>
      </w:smartTag>
      <w:r w:rsidRPr="00802EC7">
        <w:t xml:space="preserve"> coincided with the passage of legislation prohibiting the formation of associations or political parties and punishing any form of criticism of the political system in place. The arrests and transfer to </w:t>
      </w:r>
      <w:smartTag w:uri="urn:schemas-microsoft-com:office:smarttags" w:element="place">
        <w:smartTag w:uri="urn:schemas-microsoft-com:office:smarttags" w:element="country-region">
          <w:r w:rsidRPr="00802EC7">
            <w:t>Libya</w:t>
          </w:r>
        </w:smartTag>
      </w:smartTag>
      <w:r w:rsidRPr="00802EC7">
        <w:t xml:space="preserve"> coincided with the mass arrests carried out by the Libyan authorities in 1989 when the regime was cracking down on perceived dissidents. </w:t>
      </w:r>
    </w:p>
    <w:p w:rsidR="009D14AD" w:rsidRPr="00802EC7" w:rsidRDefault="009D14AD" w:rsidP="007506A6">
      <w:pPr>
        <w:pStyle w:val="SingleTxtG"/>
        <w:rPr>
          <w:vertAlign w:val="superscript"/>
        </w:rPr>
      </w:pPr>
      <w:r w:rsidRPr="00802EC7">
        <w:t xml:space="preserve">2.14 </w:t>
      </w:r>
      <w:r w:rsidRPr="00802EC7">
        <w:tab/>
        <w:t xml:space="preserve">The authors add that a policy known </w:t>
      </w:r>
      <w:r w:rsidR="005C0E17" w:rsidRPr="00802EC7">
        <w:t xml:space="preserve">as </w:t>
      </w:r>
      <w:r w:rsidR="00373DDB" w:rsidRPr="00802EC7">
        <w:t>“</w:t>
      </w:r>
      <w:r w:rsidRPr="00802EC7">
        <w:t>physical liquidation</w:t>
      </w:r>
      <w:r w:rsidR="00373DDB" w:rsidRPr="00802EC7">
        <w:t>”</w:t>
      </w:r>
      <w:r w:rsidRPr="00802EC7">
        <w:t xml:space="preserve"> of opponents was introduced in </w:t>
      </w:r>
      <w:r w:rsidR="005C0E17" w:rsidRPr="00802EC7">
        <w:t xml:space="preserve">the </w:t>
      </w:r>
      <w:r w:rsidRPr="00802EC7">
        <w:t xml:space="preserve">early 1980s and endorsed at the highest levels. </w:t>
      </w:r>
      <w:r w:rsidR="005C0E17" w:rsidRPr="00802EC7">
        <w:t xml:space="preserve">The </w:t>
      </w:r>
      <w:r w:rsidRPr="00802EC7">
        <w:t xml:space="preserve">policy extended to opponents living abroad, and </w:t>
      </w:r>
      <w:smartTag w:uri="urn:schemas-microsoft-com:office:smarttags" w:element="country-region">
        <w:r w:rsidRPr="00802EC7">
          <w:t>Egypt</w:t>
        </w:r>
      </w:smartTag>
      <w:r w:rsidRPr="00802EC7">
        <w:t xml:space="preserve"> and </w:t>
      </w:r>
      <w:smartTag w:uri="urn:schemas-microsoft-com:office:smarttags" w:element="place">
        <w:smartTag w:uri="urn:schemas-microsoft-com:office:smarttags" w:element="country-region">
          <w:r w:rsidRPr="00802EC7">
            <w:t>Libya</w:t>
          </w:r>
        </w:smartTag>
      </w:smartTag>
      <w:r w:rsidRPr="00802EC7">
        <w:t xml:space="preserve"> </w:t>
      </w:r>
      <w:r w:rsidR="005C0E17" w:rsidRPr="00802EC7">
        <w:t>would</w:t>
      </w:r>
      <w:r w:rsidRPr="00802EC7">
        <w:t xml:space="preserve"> exchange opposition activists</w:t>
      </w:r>
      <w:r w:rsidR="005C0E17" w:rsidRPr="00802EC7">
        <w:t xml:space="preserve"> in that framework.</w:t>
      </w:r>
    </w:p>
    <w:p w:rsidR="009D14AD" w:rsidRPr="00802EC7" w:rsidRDefault="009D14AD" w:rsidP="007506A6">
      <w:pPr>
        <w:pStyle w:val="SingleTxtG"/>
      </w:pPr>
      <w:r w:rsidRPr="00802EC7">
        <w:t xml:space="preserve">2.15 </w:t>
      </w:r>
      <w:r w:rsidRPr="00802EC7">
        <w:tab/>
        <w:t xml:space="preserve">The authors and their families have unsuccessfully sought information about the fate and whereabouts of Mr. Al-Maqrif and Mr. Matar from </w:t>
      </w:r>
      <w:r w:rsidR="005C0E17" w:rsidRPr="00802EC7">
        <w:t xml:space="preserve">the </w:t>
      </w:r>
      <w:r w:rsidRPr="00802EC7">
        <w:t>Libyan authorities. Among other attempts, Mr. Al-Maqrif’s brother met in January</w:t>
      </w:r>
      <w:r w:rsidR="007506A6" w:rsidRPr="00802EC7">
        <w:t>–</w:t>
      </w:r>
      <w:r w:rsidRPr="00802EC7">
        <w:t xml:space="preserve">February 2007 with the then Libyan Minister of Foreign Affairs, who did not provide any information. In 2008, a relative submitted a request concerning Mr. Al-Maqrif’s disappearance to the Libyan Intelligence Office in </w:t>
      </w:r>
      <w:smartTag w:uri="urn:schemas-microsoft-com:office:smarttags" w:element="place">
        <w:smartTag w:uri="urn:schemas-microsoft-com:office:smarttags" w:element="City">
          <w:r w:rsidRPr="00802EC7">
            <w:t>Benghazi</w:t>
          </w:r>
        </w:smartTag>
      </w:smartTag>
      <w:r w:rsidRPr="00802EC7">
        <w:t xml:space="preserve"> which received no reply. Among other attempts to locate his father, </w:t>
      </w:r>
      <w:r w:rsidR="005C0E17" w:rsidRPr="00802EC7">
        <w:t xml:space="preserve">on 18 January 2010 in </w:t>
      </w:r>
      <w:smartTag w:uri="urn:schemas-microsoft-com:office:smarttags" w:element="City">
        <w:r w:rsidR="005C0E17" w:rsidRPr="00802EC7">
          <w:t>London</w:t>
        </w:r>
      </w:smartTag>
      <w:r w:rsidR="005C0E17" w:rsidRPr="00802EC7">
        <w:t xml:space="preserve">, </w:t>
      </w:r>
      <w:r w:rsidRPr="00802EC7">
        <w:t>Mr. Hisham Matar met with Seif El-Islam Gaddafi</w:t>
      </w:r>
      <w:r w:rsidR="005C0E17" w:rsidRPr="00802EC7">
        <w:t>,</w:t>
      </w:r>
      <w:r w:rsidRPr="00802EC7">
        <w:t xml:space="preserve"> who confirmed to him that his father had been kidnapped by </w:t>
      </w:r>
      <w:r w:rsidR="005C0E17" w:rsidRPr="00802EC7">
        <w:t xml:space="preserve">the </w:t>
      </w:r>
      <w:r w:rsidRPr="00802EC7">
        <w:t xml:space="preserve">Egyptian authorities, handed over to </w:t>
      </w:r>
      <w:r w:rsidR="005C0E17" w:rsidRPr="00802EC7">
        <w:t xml:space="preserve">the </w:t>
      </w:r>
      <w:r w:rsidRPr="00802EC7">
        <w:t xml:space="preserve">Libyan authorities and </w:t>
      </w:r>
      <w:r w:rsidR="005C0E17" w:rsidRPr="00802EC7">
        <w:t xml:space="preserve">taken </w:t>
      </w:r>
      <w:r w:rsidRPr="00802EC7">
        <w:t xml:space="preserve">to </w:t>
      </w:r>
      <w:smartTag w:uri="urn:schemas-microsoft-com:office:smarttags" w:element="place">
        <w:smartTag w:uri="urn:schemas-microsoft-com:office:smarttags" w:element="country-region">
          <w:r w:rsidRPr="00802EC7">
            <w:t>Libya</w:t>
          </w:r>
        </w:smartTag>
      </w:smartTag>
      <w:r w:rsidRPr="00802EC7">
        <w:t xml:space="preserve">. However, Seif El-Islam Gaddafi denied knowing anything about his fate or whereabouts. In an exchange of letters between Amnesty International and </w:t>
      </w:r>
      <w:r w:rsidR="005C0E17" w:rsidRPr="00802EC7">
        <w:t xml:space="preserve">the </w:t>
      </w:r>
      <w:r w:rsidRPr="00802EC7">
        <w:t xml:space="preserve">Libyan authorities concerning the fate and whereabouts of the two disappeared persons, </w:t>
      </w:r>
      <w:r w:rsidR="005C0E17" w:rsidRPr="00802EC7">
        <w:t xml:space="preserve">the </w:t>
      </w:r>
      <w:r w:rsidRPr="00802EC7">
        <w:t xml:space="preserve">Libyan authorities denied having information about them and claimed that they lived outside </w:t>
      </w:r>
      <w:smartTag w:uri="urn:schemas-microsoft-com:office:smarttags" w:element="place">
        <w:smartTag w:uri="urn:schemas-microsoft-com:office:smarttags" w:element="country-region">
          <w:r w:rsidRPr="00802EC7">
            <w:t>Libya</w:t>
          </w:r>
        </w:smartTag>
      </w:smartTag>
      <w:r w:rsidRPr="00802EC7">
        <w:t xml:space="preserve">. </w:t>
      </w:r>
    </w:p>
    <w:p w:rsidR="009D14AD" w:rsidRPr="00802EC7" w:rsidRDefault="009D14AD" w:rsidP="007506A6">
      <w:pPr>
        <w:pStyle w:val="SingleTxtG"/>
      </w:pPr>
      <w:r w:rsidRPr="00802EC7">
        <w:t xml:space="preserve">2.16 </w:t>
      </w:r>
      <w:r w:rsidRPr="00802EC7">
        <w:tab/>
        <w:t xml:space="preserve">The authors contend that domestic remedies are neither available nor effective in </w:t>
      </w:r>
      <w:smartTag w:uri="urn:schemas-microsoft-com:office:smarttags" w:element="place">
        <w:smartTag w:uri="urn:schemas-microsoft-com:office:smarttags" w:element="country-region">
          <w:r w:rsidRPr="00802EC7">
            <w:t>Libya</w:t>
          </w:r>
        </w:smartTag>
      </w:smartTag>
      <w:r w:rsidRPr="00802EC7">
        <w:t xml:space="preserve"> for victims of human rights violations</w:t>
      </w:r>
      <w:r w:rsidR="007506A6" w:rsidRPr="00802EC7">
        <w:t>,</w:t>
      </w:r>
      <w:r w:rsidRPr="00802EC7">
        <w:t xml:space="preserve"> due to fear of reprisals against themselves and their families. In their case, this fear was </w:t>
      </w:r>
      <w:r w:rsidR="005C0E17" w:rsidRPr="00802EC7">
        <w:t xml:space="preserve">also </w:t>
      </w:r>
      <w:r w:rsidRPr="00802EC7">
        <w:t>based on the fact that their fathers were high</w:t>
      </w:r>
      <w:r w:rsidR="005C0E17" w:rsidRPr="00802EC7">
        <w:t>-</w:t>
      </w:r>
      <w:r w:rsidRPr="00802EC7">
        <w:t>ranking members of a prohibited opposition party. It was also based on the existence of the Charter of Honour</w:t>
      </w:r>
      <w:r w:rsidR="005C0E17" w:rsidRPr="00802EC7">
        <w:t>,</w:t>
      </w:r>
      <w:r w:rsidRPr="00802EC7">
        <w:t xml:space="preserve"> which acted as a deterrent to bring</w:t>
      </w:r>
      <w:r w:rsidR="007506A6" w:rsidRPr="00802EC7">
        <w:t>ing</w:t>
      </w:r>
      <w:r w:rsidRPr="00802EC7">
        <w:t xml:space="preserve"> claims by victims of human rights violations living in </w:t>
      </w:r>
      <w:smartTag w:uri="urn:schemas-microsoft-com:office:smarttags" w:element="place">
        <w:smartTag w:uri="urn:schemas-microsoft-com:office:smarttags" w:element="country-region">
          <w:r w:rsidRPr="00802EC7">
            <w:t>Libya</w:t>
          </w:r>
        </w:smartTag>
      </w:smartTag>
      <w:r w:rsidRPr="00802EC7">
        <w:t>, the lack of independence of the judiciary, and the prevailing atmosphere of complete impunity.</w:t>
      </w:r>
    </w:p>
    <w:p w:rsidR="009D14AD" w:rsidRPr="00802EC7" w:rsidRDefault="009D14AD" w:rsidP="009D14AD">
      <w:pPr>
        <w:pStyle w:val="H23G"/>
      </w:pPr>
      <w:r w:rsidRPr="00802EC7">
        <w:tab/>
      </w:r>
      <w:r w:rsidRPr="00802EC7">
        <w:tab/>
        <w:t>The complaint</w:t>
      </w:r>
    </w:p>
    <w:p w:rsidR="009D14AD" w:rsidRPr="00802EC7" w:rsidRDefault="009D14AD" w:rsidP="00D22AF0">
      <w:pPr>
        <w:pStyle w:val="SingleTxtG"/>
      </w:pPr>
      <w:r w:rsidRPr="00802EC7">
        <w:t xml:space="preserve">3.1 </w:t>
      </w:r>
      <w:r w:rsidRPr="00802EC7">
        <w:tab/>
        <w:t xml:space="preserve">The authors claim that their fathers were subjected to enforced disappearance after their handover to the Libyan authorities on 13 March 1990. As members of a well-known opposition group and in the context of a policy of systematic disappearances and assassinations, Mr. Al-Maqrif and Mr. Matar were placed </w:t>
      </w:r>
      <w:r w:rsidR="007506A6" w:rsidRPr="00802EC7">
        <w:t>at</w:t>
      </w:r>
      <w:r w:rsidRPr="00802EC7">
        <w:t xml:space="preserve"> grave risk </w:t>
      </w:r>
      <w:r w:rsidR="007506A6" w:rsidRPr="00802EC7">
        <w:t xml:space="preserve">of </w:t>
      </w:r>
      <w:r w:rsidRPr="00802EC7">
        <w:t>suffer</w:t>
      </w:r>
      <w:r w:rsidR="00D22AF0" w:rsidRPr="00802EC7">
        <w:t>ing</w:t>
      </w:r>
      <w:r w:rsidRPr="00802EC7">
        <w:t xml:space="preserve"> irreparable damage to their personal integrity and li</w:t>
      </w:r>
      <w:r w:rsidR="00D22AF0" w:rsidRPr="00802EC7">
        <w:t>ves</w:t>
      </w:r>
      <w:r w:rsidRPr="00802EC7">
        <w:t xml:space="preserve">. By failing to conduct an ex-officio </w:t>
      </w:r>
      <w:r w:rsidRPr="00802EC7">
        <w:lastRenderedPageBreak/>
        <w:t xml:space="preserve">investigation into the disappearance of their fathers, the State party has </w:t>
      </w:r>
      <w:r w:rsidR="00D22AF0" w:rsidRPr="00802EC7">
        <w:t>failed to comply</w:t>
      </w:r>
      <w:r w:rsidRPr="00802EC7">
        <w:t xml:space="preserve"> with its obligation to prevent arbitrary deprivation of life. In addition it failed to investigate their enforced disappearance </w:t>
      </w:r>
      <w:r w:rsidR="00D22AF0" w:rsidRPr="00802EC7">
        <w:t xml:space="preserve">or </w:t>
      </w:r>
      <w:r w:rsidRPr="00802EC7">
        <w:t xml:space="preserve">to establish their fate and whereabouts, </w:t>
      </w:r>
      <w:r w:rsidR="00D22AF0" w:rsidRPr="00802EC7">
        <w:t>or</w:t>
      </w:r>
      <w:r w:rsidRPr="00802EC7">
        <w:t xml:space="preserve"> to bring suspected perpetrators to justice and sanction them if convicted. </w:t>
      </w:r>
      <w:r w:rsidR="00D22AF0" w:rsidRPr="00802EC7">
        <w:t>T</w:t>
      </w:r>
      <w:r w:rsidRPr="00802EC7">
        <w:t xml:space="preserve">he authors claim that the State has </w:t>
      </w:r>
      <w:r w:rsidR="00D22AF0" w:rsidRPr="00802EC7">
        <w:t xml:space="preserve">thereby </w:t>
      </w:r>
      <w:r w:rsidRPr="00802EC7">
        <w:t xml:space="preserve">violated article 6 </w:t>
      </w:r>
      <w:r w:rsidR="00D22AF0" w:rsidRPr="00802EC7">
        <w:t xml:space="preserve">of the Covenant </w:t>
      </w:r>
      <w:r w:rsidRPr="00802EC7">
        <w:t xml:space="preserve">separately </w:t>
      </w:r>
      <w:r w:rsidR="00876533" w:rsidRPr="00802EC7">
        <w:t xml:space="preserve">and in conjunction with </w:t>
      </w:r>
      <w:r w:rsidR="00D22AF0" w:rsidRPr="00802EC7">
        <w:t xml:space="preserve">its </w:t>
      </w:r>
      <w:r w:rsidR="00876533" w:rsidRPr="00802EC7">
        <w:t>article </w:t>
      </w:r>
      <w:r w:rsidRPr="00802EC7">
        <w:t>2</w:t>
      </w:r>
      <w:r w:rsidR="00D22AF0" w:rsidRPr="00802EC7">
        <w:t>,</w:t>
      </w:r>
      <w:r w:rsidRPr="00802EC7">
        <w:t xml:space="preserve"> paragraph 3.</w:t>
      </w:r>
    </w:p>
    <w:p w:rsidR="009D14AD" w:rsidRPr="00802EC7" w:rsidRDefault="009D14AD" w:rsidP="00563F42">
      <w:pPr>
        <w:pStyle w:val="SingleTxtG"/>
      </w:pPr>
      <w:r w:rsidRPr="00802EC7">
        <w:t xml:space="preserve">3.2 </w:t>
      </w:r>
      <w:r w:rsidRPr="00802EC7">
        <w:tab/>
        <w:t>The State party violated article 7</w:t>
      </w:r>
      <w:r w:rsidR="00D22AF0" w:rsidRPr="00802EC7">
        <w:t xml:space="preserve"> </w:t>
      </w:r>
      <w:r w:rsidRPr="00802EC7">
        <w:t>of the Covenant by virtue of subjecting Mr. Al-Maqrif and Mr. Matar to enforced disappearance. Moreover, the</w:t>
      </w:r>
      <w:r w:rsidR="00D22AF0" w:rsidRPr="00802EC7">
        <w:t>ir</w:t>
      </w:r>
      <w:r w:rsidRPr="00802EC7">
        <w:t xml:space="preserve"> prolonged incommunicado detention, coupled with the inability </w:t>
      </w:r>
      <w:r w:rsidR="00563F42" w:rsidRPr="00802EC7">
        <w:t xml:space="preserve">to </w:t>
      </w:r>
      <w:r w:rsidRPr="00802EC7">
        <w:t>hav</w:t>
      </w:r>
      <w:r w:rsidR="00563F42" w:rsidRPr="00802EC7">
        <w:t>e</w:t>
      </w:r>
      <w:r w:rsidRPr="00802EC7">
        <w:t xml:space="preserve"> any kind of contact with the outside world</w:t>
      </w:r>
      <w:r w:rsidR="00563F42" w:rsidRPr="00802EC7">
        <w:t>,</w:t>
      </w:r>
      <w:r w:rsidRPr="00802EC7">
        <w:t xml:space="preserve"> also constitutes a violation of article 7. The authors add that the State party’s failure to launch an effective investigation </w:t>
      </w:r>
      <w:r w:rsidR="00563F42" w:rsidRPr="00802EC7">
        <w:t xml:space="preserve">with a view </w:t>
      </w:r>
      <w:r w:rsidRPr="00802EC7">
        <w:t>to bring</w:t>
      </w:r>
      <w:r w:rsidR="00563F42" w:rsidRPr="00802EC7">
        <w:t>ing</w:t>
      </w:r>
      <w:r w:rsidRPr="00802EC7">
        <w:t xml:space="preserve"> perpetrators to justice and punish those convicted, amount to a violation of</w:t>
      </w:r>
      <w:r w:rsidR="00DB3F8E" w:rsidRPr="00802EC7">
        <w:t xml:space="preserve"> </w:t>
      </w:r>
      <w:r w:rsidRPr="00802EC7">
        <w:t>article 7 in conjunction with article 2</w:t>
      </w:r>
      <w:r w:rsidR="00563F42" w:rsidRPr="00802EC7">
        <w:t>,</w:t>
      </w:r>
      <w:r w:rsidRPr="00802EC7">
        <w:t xml:space="preserve"> paragraph 3</w:t>
      </w:r>
      <w:r w:rsidR="00563F42" w:rsidRPr="00802EC7">
        <w:t>,</w:t>
      </w:r>
      <w:r w:rsidRPr="00802EC7">
        <w:t xml:space="preserve"> of the Covenant.</w:t>
      </w:r>
    </w:p>
    <w:p w:rsidR="009D14AD" w:rsidRPr="00802EC7" w:rsidRDefault="009D14AD" w:rsidP="00B451EC">
      <w:pPr>
        <w:pStyle w:val="SingleTxtG"/>
      </w:pPr>
      <w:r w:rsidRPr="00802EC7">
        <w:t xml:space="preserve">3.3 </w:t>
      </w:r>
      <w:r w:rsidRPr="00802EC7">
        <w:tab/>
        <w:t>The authors also recall that</w:t>
      </w:r>
      <w:r w:rsidR="00563F42" w:rsidRPr="00802EC7">
        <w:t>,</w:t>
      </w:r>
      <w:r w:rsidRPr="00802EC7">
        <w:t xml:space="preserve"> </w:t>
      </w:r>
      <w:r w:rsidR="00563F42" w:rsidRPr="00802EC7">
        <w:t xml:space="preserve">owing to </w:t>
      </w:r>
      <w:r w:rsidRPr="00802EC7">
        <w:t>the general detention conditions in which their fathers were or are still being held, in particular the isolati</w:t>
      </w:r>
      <w:r w:rsidR="00B451EC" w:rsidRPr="00802EC7">
        <w:t>ng</w:t>
      </w:r>
      <w:r w:rsidRPr="00802EC7">
        <w:t xml:space="preserve"> nature of detention and the lack of medical attention, both articles 7 and 10</w:t>
      </w:r>
      <w:r w:rsidR="00563F42" w:rsidRPr="00802EC7">
        <w:t>,</w:t>
      </w:r>
      <w:r w:rsidRPr="00802EC7">
        <w:t xml:space="preserve"> paragraph 1</w:t>
      </w:r>
      <w:r w:rsidR="00563F42" w:rsidRPr="00802EC7">
        <w:t>,</w:t>
      </w:r>
      <w:r w:rsidRPr="00802EC7">
        <w:t xml:space="preserve"> have been violated. The authors recall the Committee’s previous finding that the conditions of detention at Abu-Salim prison violate article 10</w:t>
      </w:r>
      <w:r w:rsidR="00563F42" w:rsidRPr="00802EC7">
        <w:t>,</w:t>
      </w:r>
      <w:r w:rsidRPr="00802EC7">
        <w:t xml:space="preserve"> paragraph 1. The authors also refer to </w:t>
      </w:r>
      <w:r w:rsidR="00563F42" w:rsidRPr="00802EC7">
        <w:t>r</w:t>
      </w:r>
      <w:r w:rsidRPr="00802EC7">
        <w:t>ule 22 of the Standard Minimum Rules for the Treatment of Prisoners on provision of medical care and treatment for sick prisoners and claim that the lack of access to a doctor as required by the medical conditions of their fathers amounted to a violation of articles 7 and 10, paragraph 1, of the Covenant.</w:t>
      </w:r>
    </w:p>
    <w:p w:rsidR="009D14AD" w:rsidRPr="00802EC7" w:rsidRDefault="009D14AD" w:rsidP="001C6AA4">
      <w:pPr>
        <w:pStyle w:val="SingleTxtG"/>
      </w:pPr>
      <w:r w:rsidRPr="00802EC7">
        <w:t xml:space="preserve">3.4 </w:t>
      </w:r>
      <w:r w:rsidRPr="00802EC7">
        <w:tab/>
        <w:t xml:space="preserve">The authors claim that their fathers are victims of violations of article 9. They </w:t>
      </w:r>
      <w:r w:rsidR="0098353C" w:rsidRPr="00802EC7">
        <w:t xml:space="preserve">had been </w:t>
      </w:r>
      <w:r w:rsidRPr="00802EC7">
        <w:t xml:space="preserve">abducted from foreign soil through collaboration with the Egyptian authorities, attacked, handcuffed and transferred to Abu-Salim prison in </w:t>
      </w:r>
      <w:smartTag w:uri="urn:schemas-microsoft-com:office:smarttags" w:element="place">
        <w:smartTag w:uri="urn:schemas-microsoft-com:office:smarttags" w:element="City">
          <w:r w:rsidRPr="00802EC7">
            <w:t>Tripoli</w:t>
          </w:r>
        </w:smartTag>
      </w:smartTag>
      <w:r w:rsidRPr="00802EC7">
        <w:t xml:space="preserve">, and </w:t>
      </w:r>
      <w:r w:rsidR="00B451EC" w:rsidRPr="00802EC7">
        <w:t xml:space="preserve">thereafter </w:t>
      </w:r>
      <w:r w:rsidRPr="00802EC7">
        <w:t xml:space="preserve">held for more than </w:t>
      </w:r>
      <w:r w:rsidR="0098353C" w:rsidRPr="00802EC7">
        <w:t xml:space="preserve">20 </w:t>
      </w:r>
      <w:r w:rsidRPr="00802EC7">
        <w:t xml:space="preserve">years in incommunicado detention – </w:t>
      </w:r>
      <w:r w:rsidR="0098353C" w:rsidRPr="00802EC7">
        <w:t xml:space="preserve">if </w:t>
      </w:r>
      <w:r w:rsidRPr="00802EC7">
        <w:t xml:space="preserve">they </w:t>
      </w:r>
      <w:r w:rsidR="0098353C" w:rsidRPr="00802EC7">
        <w:t xml:space="preserve">were </w:t>
      </w:r>
      <w:r w:rsidRPr="00802EC7">
        <w:t xml:space="preserve">still alive. This amounts to a violation of article 9, paragraph 1. With regard to article 9, paragraph 2, the authors submit that their fathers </w:t>
      </w:r>
      <w:r w:rsidR="0098353C" w:rsidRPr="00802EC7">
        <w:t xml:space="preserve">had </w:t>
      </w:r>
      <w:r w:rsidRPr="00802EC7">
        <w:t xml:space="preserve">not </w:t>
      </w:r>
      <w:r w:rsidR="0098353C" w:rsidRPr="00802EC7">
        <w:t xml:space="preserve">been </w:t>
      </w:r>
      <w:r w:rsidRPr="00802EC7">
        <w:t>informed at the time of their arrest by the Egyptian authorities, no</w:t>
      </w:r>
      <w:r w:rsidR="0098353C" w:rsidRPr="00802EC7">
        <w:t>r</w:t>
      </w:r>
      <w:r w:rsidRPr="00802EC7">
        <w:t xml:space="preserve"> upon their transfer under the control of the Libyan authorities, nor at any other point of the reasons for their arrest or the charges against them. With</w:t>
      </w:r>
      <w:r w:rsidR="00876533" w:rsidRPr="00802EC7">
        <w:t xml:space="preserve"> regard to article 9, paragraph </w:t>
      </w:r>
      <w:r w:rsidRPr="00802EC7">
        <w:t xml:space="preserve">3, the authors claim that the arrest of their fathers was never entered into </w:t>
      </w:r>
      <w:r w:rsidR="001C6AA4" w:rsidRPr="00802EC7">
        <w:t xml:space="preserve">the </w:t>
      </w:r>
      <w:r w:rsidRPr="00802EC7">
        <w:t>official record</w:t>
      </w:r>
      <w:r w:rsidR="001C6AA4" w:rsidRPr="00802EC7">
        <w:t>s</w:t>
      </w:r>
      <w:r w:rsidRPr="00802EC7">
        <w:t xml:space="preserve"> and that they were never brought before a judge or any other judicial officer nor given the possibility to challenge the legality of their detention. Furthermore, </w:t>
      </w:r>
      <w:r w:rsidR="001C6AA4" w:rsidRPr="00802EC7">
        <w:t xml:space="preserve">they claim </w:t>
      </w:r>
      <w:r w:rsidRPr="00802EC7">
        <w:t>that the</w:t>
      </w:r>
      <w:r w:rsidR="001C6AA4" w:rsidRPr="00802EC7">
        <w:t>ir</w:t>
      </w:r>
      <w:r w:rsidRPr="00802EC7">
        <w:t xml:space="preserve"> unacknowledged detention for more than 20 years, together with the failure of the State party to investigate their deprivation of liberty and subsequent enforced disappearance</w:t>
      </w:r>
      <w:r w:rsidR="001C6AA4" w:rsidRPr="00802EC7">
        <w:t>,</w:t>
      </w:r>
      <w:r w:rsidRPr="00802EC7">
        <w:t xml:space="preserve"> amount to a violation of</w:t>
      </w:r>
      <w:r w:rsidR="00DB3F8E" w:rsidRPr="00802EC7">
        <w:t xml:space="preserve"> </w:t>
      </w:r>
      <w:r w:rsidRPr="00802EC7">
        <w:t>article 9</w:t>
      </w:r>
      <w:r w:rsidR="001C6AA4" w:rsidRPr="00802EC7">
        <w:t>,</w:t>
      </w:r>
      <w:r w:rsidRPr="00802EC7">
        <w:t xml:space="preserve"> paragraph 3</w:t>
      </w:r>
      <w:r w:rsidR="001C6AA4" w:rsidRPr="00802EC7">
        <w:t>,</w:t>
      </w:r>
      <w:r w:rsidRPr="00802EC7">
        <w:t xml:space="preserve"> separately and in conjunction with article 2, paragraph 3. With regard to article 9, paragraph 4, the authorities deprived them of access to a legal counsel or family, thus making it impossible </w:t>
      </w:r>
      <w:r w:rsidR="001C6AA4" w:rsidRPr="00802EC7">
        <w:t xml:space="preserve">for them </w:t>
      </w:r>
      <w:r w:rsidRPr="00802EC7">
        <w:t>to challenge the legality of their detention in violation of this provision.</w:t>
      </w:r>
    </w:p>
    <w:p w:rsidR="009D14AD" w:rsidRPr="00802EC7" w:rsidRDefault="009D14AD" w:rsidP="0048781C">
      <w:pPr>
        <w:pStyle w:val="SingleTxtG"/>
        <w:rPr>
          <w:bCs/>
        </w:rPr>
      </w:pPr>
      <w:r w:rsidRPr="00802EC7">
        <w:rPr>
          <w:bCs/>
        </w:rPr>
        <w:t xml:space="preserve">3.5 </w:t>
      </w:r>
      <w:r w:rsidRPr="00802EC7">
        <w:rPr>
          <w:bCs/>
        </w:rPr>
        <w:tab/>
        <w:t xml:space="preserve">The authors further claim that their fathers’ right to recognition as a person before the law was violated </w:t>
      </w:r>
      <w:r w:rsidR="0048781C" w:rsidRPr="00802EC7">
        <w:rPr>
          <w:bCs/>
        </w:rPr>
        <w:t>as a result of</w:t>
      </w:r>
      <w:r w:rsidRPr="00802EC7">
        <w:rPr>
          <w:bCs/>
        </w:rPr>
        <w:t xml:space="preserve"> their enforced disappearance in violation of article 16 of the Covenant, alone and in conjunction with article 2, para</w:t>
      </w:r>
      <w:r w:rsidR="00990100" w:rsidRPr="00802EC7">
        <w:rPr>
          <w:bCs/>
        </w:rPr>
        <w:t>graph</w:t>
      </w:r>
      <w:r w:rsidRPr="00802EC7">
        <w:rPr>
          <w:bCs/>
        </w:rPr>
        <w:t xml:space="preserve"> 3.</w:t>
      </w:r>
      <w:r w:rsidR="00DB3F8E" w:rsidRPr="00802EC7">
        <w:rPr>
          <w:bCs/>
        </w:rPr>
        <w:t xml:space="preserve"> </w:t>
      </w:r>
    </w:p>
    <w:p w:rsidR="009D14AD" w:rsidRPr="00802EC7" w:rsidRDefault="009D14AD" w:rsidP="0048781C">
      <w:pPr>
        <w:pStyle w:val="SingleTxtG"/>
        <w:rPr>
          <w:bCs/>
        </w:rPr>
      </w:pPr>
      <w:r w:rsidRPr="00802EC7">
        <w:rPr>
          <w:bCs/>
        </w:rPr>
        <w:t xml:space="preserve">3.6 </w:t>
      </w:r>
      <w:r w:rsidRPr="00802EC7">
        <w:rPr>
          <w:bCs/>
        </w:rPr>
        <w:tab/>
        <w:t xml:space="preserve">The authors also submit that their fathers are victims of a violation of article 2, paragraph 3. </w:t>
      </w:r>
      <w:r w:rsidR="0098353C" w:rsidRPr="00802EC7">
        <w:rPr>
          <w:bCs/>
        </w:rPr>
        <w:t xml:space="preserve">Since </w:t>
      </w:r>
      <w:r w:rsidR="008C1D41" w:rsidRPr="00802EC7">
        <w:rPr>
          <w:bCs/>
        </w:rPr>
        <w:t xml:space="preserve">their </w:t>
      </w:r>
      <w:r w:rsidRPr="00802EC7">
        <w:rPr>
          <w:bCs/>
        </w:rPr>
        <w:t xml:space="preserve">deprivation of liberty </w:t>
      </w:r>
      <w:r w:rsidR="0098353C" w:rsidRPr="00802EC7">
        <w:rPr>
          <w:bCs/>
        </w:rPr>
        <w:t>had</w:t>
      </w:r>
      <w:r w:rsidR="008C1D41" w:rsidRPr="00802EC7">
        <w:rPr>
          <w:bCs/>
        </w:rPr>
        <w:t xml:space="preserve"> </w:t>
      </w:r>
      <w:r w:rsidRPr="00802EC7">
        <w:rPr>
          <w:bCs/>
        </w:rPr>
        <w:t xml:space="preserve">not </w:t>
      </w:r>
      <w:r w:rsidR="0098353C" w:rsidRPr="00802EC7">
        <w:rPr>
          <w:bCs/>
        </w:rPr>
        <w:t xml:space="preserve">been </w:t>
      </w:r>
      <w:r w:rsidRPr="00802EC7">
        <w:rPr>
          <w:bCs/>
        </w:rPr>
        <w:t xml:space="preserve">acknowledged they </w:t>
      </w:r>
      <w:r w:rsidR="0098353C" w:rsidRPr="00802EC7">
        <w:rPr>
          <w:bCs/>
        </w:rPr>
        <w:t xml:space="preserve">had </w:t>
      </w:r>
      <w:r w:rsidRPr="00802EC7">
        <w:rPr>
          <w:bCs/>
        </w:rPr>
        <w:t>also</w:t>
      </w:r>
      <w:r w:rsidR="0098353C" w:rsidRPr="00802EC7">
        <w:rPr>
          <w:bCs/>
        </w:rPr>
        <w:t xml:space="preserve"> been</w:t>
      </w:r>
      <w:r w:rsidRPr="00802EC7">
        <w:rPr>
          <w:bCs/>
        </w:rPr>
        <w:t xml:space="preserve"> deprived of the possibility to seek an effective remedy. The efforts made by the</w:t>
      </w:r>
      <w:r w:rsidR="0048781C" w:rsidRPr="00802EC7">
        <w:rPr>
          <w:bCs/>
        </w:rPr>
        <w:t>ir</w:t>
      </w:r>
      <w:r w:rsidRPr="00802EC7">
        <w:rPr>
          <w:bCs/>
        </w:rPr>
        <w:t xml:space="preserve"> famil</w:t>
      </w:r>
      <w:r w:rsidR="0048781C" w:rsidRPr="00802EC7">
        <w:rPr>
          <w:bCs/>
        </w:rPr>
        <w:t>ies</w:t>
      </w:r>
      <w:r w:rsidRPr="00802EC7">
        <w:rPr>
          <w:bCs/>
        </w:rPr>
        <w:t xml:space="preserve"> to locate them were frustrated by the systematic denial by the Libyan authorities of their involvement in the disappearance.</w:t>
      </w:r>
      <w:r w:rsidR="00DB3F8E" w:rsidRPr="00802EC7">
        <w:rPr>
          <w:bCs/>
        </w:rPr>
        <w:t xml:space="preserve"> </w:t>
      </w:r>
    </w:p>
    <w:p w:rsidR="009D14AD" w:rsidRPr="00802EC7" w:rsidRDefault="009D14AD" w:rsidP="0048781C">
      <w:pPr>
        <w:pStyle w:val="SingleTxtG"/>
        <w:rPr>
          <w:bCs/>
        </w:rPr>
      </w:pPr>
      <w:r w:rsidRPr="00802EC7">
        <w:rPr>
          <w:bCs/>
        </w:rPr>
        <w:t xml:space="preserve">3.7 </w:t>
      </w:r>
      <w:r w:rsidRPr="00802EC7">
        <w:rPr>
          <w:bCs/>
        </w:rPr>
        <w:tab/>
        <w:t xml:space="preserve">The authors contend </w:t>
      </w:r>
      <w:r w:rsidR="008C1D41" w:rsidRPr="00802EC7">
        <w:rPr>
          <w:bCs/>
        </w:rPr>
        <w:t>that they are</w:t>
      </w:r>
      <w:r w:rsidRPr="00802EC7">
        <w:rPr>
          <w:bCs/>
        </w:rPr>
        <w:t xml:space="preserve"> themselves victims of violations of their rights under article 7 in conjunction with article 2, paragraph 3, of the Covenant, as the enforced disappearance of their fathers </w:t>
      </w:r>
      <w:r w:rsidR="008C1D41" w:rsidRPr="00802EC7">
        <w:rPr>
          <w:bCs/>
        </w:rPr>
        <w:t xml:space="preserve">has </w:t>
      </w:r>
      <w:r w:rsidRPr="00802EC7">
        <w:rPr>
          <w:bCs/>
        </w:rPr>
        <w:t xml:space="preserve">marked their whole lives and caused them ongoing </w:t>
      </w:r>
      <w:r w:rsidRPr="00802EC7">
        <w:rPr>
          <w:bCs/>
        </w:rPr>
        <w:lastRenderedPageBreak/>
        <w:t xml:space="preserve">feelings of uncertainty and anguish which still persist. </w:t>
      </w:r>
      <w:r w:rsidR="00F753AB" w:rsidRPr="00802EC7">
        <w:rPr>
          <w:bCs/>
        </w:rPr>
        <w:t xml:space="preserve">Mr. </w:t>
      </w:r>
      <w:r w:rsidRPr="00802EC7">
        <w:rPr>
          <w:bCs/>
        </w:rPr>
        <w:t>Almegaryaf further submits that he was 6 years of age at the time his father disappeared, and that</w:t>
      </w:r>
      <w:r w:rsidR="0048781C" w:rsidRPr="00802EC7">
        <w:rPr>
          <w:bCs/>
        </w:rPr>
        <w:t>,</w:t>
      </w:r>
      <w:r w:rsidRPr="00802EC7">
        <w:rPr>
          <w:bCs/>
        </w:rPr>
        <w:t xml:space="preserve"> by failing to adopt special measures for his protection as a minor, Libya has violated article 24, paragraph 1, of the Covenant. Finally</w:t>
      </w:r>
      <w:r w:rsidR="0048781C" w:rsidRPr="00802EC7">
        <w:rPr>
          <w:bCs/>
        </w:rPr>
        <w:t>,</w:t>
      </w:r>
      <w:r w:rsidRPr="00802EC7">
        <w:rPr>
          <w:bCs/>
        </w:rPr>
        <w:t xml:space="preserve"> the authors claim that they have never received any compensation or measure of reparation for the damage </w:t>
      </w:r>
      <w:r w:rsidR="00A6675E" w:rsidRPr="00802EC7">
        <w:rPr>
          <w:bCs/>
        </w:rPr>
        <w:t xml:space="preserve">caused </w:t>
      </w:r>
      <w:r w:rsidRPr="00802EC7">
        <w:rPr>
          <w:bCs/>
        </w:rPr>
        <w:t>over the last 20 years.</w:t>
      </w:r>
    </w:p>
    <w:p w:rsidR="009D14AD" w:rsidRPr="00802EC7" w:rsidRDefault="009D14AD" w:rsidP="009D14AD">
      <w:pPr>
        <w:pStyle w:val="H23G"/>
      </w:pPr>
      <w:r w:rsidRPr="00802EC7">
        <w:tab/>
      </w:r>
      <w:r w:rsidRPr="00802EC7">
        <w:tab/>
        <w:t>Authors’ additional submission</w:t>
      </w:r>
    </w:p>
    <w:p w:rsidR="009D14AD" w:rsidRPr="00802EC7" w:rsidRDefault="009D14AD" w:rsidP="00A6675E">
      <w:pPr>
        <w:pStyle w:val="SingleTxtG"/>
      </w:pPr>
      <w:r w:rsidRPr="00802EC7">
        <w:rPr>
          <w:bCs/>
        </w:rPr>
        <w:t xml:space="preserve">4. </w:t>
      </w:r>
      <w:r w:rsidRPr="00802EC7">
        <w:rPr>
          <w:bCs/>
        </w:rPr>
        <w:tab/>
        <w:t xml:space="preserve">On 30 September 2011, the authors informed the Committee about the discovery of a mass grave </w:t>
      </w:r>
      <w:r w:rsidR="00A6675E" w:rsidRPr="00802EC7">
        <w:rPr>
          <w:bCs/>
        </w:rPr>
        <w:t>near</w:t>
      </w:r>
      <w:r w:rsidRPr="00802EC7">
        <w:rPr>
          <w:bCs/>
        </w:rPr>
        <w:t xml:space="preserve"> Abu-Salim prison on 25 September 2011. The authors claimed that these human remains are believed to be those of prisoners massacred by the former Libyan regime in June 1996. In relation to this recent discovery and based on concurring evidence that their fathers were detained in Abu-Salim prison between the years 1991 and 1996, and the possibility that they died in the 1996 massacre, the authors requested a series of interim measures in order to, inter alia, preserve the site, exhume the remains and identify them</w:t>
      </w:r>
      <w:r w:rsidRPr="00802EC7">
        <w:t>.</w:t>
      </w:r>
      <w:r w:rsidRPr="00802EC7">
        <w:rPr>
          <w:rStyle w:val="FootnoteReference"/>
        </w:rPr>
        <w:footnoteReference w:id="10"/>
      </w:r>
      <w:r w:rsidR="00DB3F8E" w:rsidRPr="00802EC7">
        <w:t xml:space="preserve"> </w:t>
      </w:r>
    </w:p>
    <w:p w:rsidR="009D14AD" w:rsidRPr="00802EC7" w:rsidRDefault="009D14AD" w:rsidP="009D14AD">
      <w:pPr>
        <w:pStyle w:val="H23G"/>
      </w:pPr>
      <w:r w:rsidRPr="00802EC7">
        <w:tab/>
      </w:r>
      <w:r w:rsidRPr="00802EC7">
        <w:tab/>
        <w:t>Lack of cooperation from the State party</w:t>
      </w:r>
    </w:p>
    <w:p w:rsidR="009D14AD" w:rsidRPr="00802EC7" w:rsidRDefault="009D14AD" w:rsidP="008C1D41">
      <w:pPr>
        <w:pStyle w:val="SingleTxtG"/>
      </w:pPr>
      <w:r w:rsidRPr="00802EC7">
        <w:t xml:space="preserve">5. </w:t>
      </w:r>
      <w:r w:rsidRPr="00802EC7">
        <w:tab/>
        <w:t>On 22 November 2010, 21 December 2011, 18 April 2012, 19 June 2012 and 6 June 2013, the State party was requested to submit its observations on the admissibility and merits of the communication. The Committee notes that this information has not been received. It regrets the State party’s failure to provide any information on the admissibility and/or merits of the authors’ claims. It recalls that, in accor</w:t>
      </w:r>
      <w:r w:rsidR="00876533" w:rsidRPr="00802EC7">
        <w:t>dance with article 4, paragraph </w:t>
      </w:r>
      <w:r w:rsidRPr="00802EC7">
        <w:t>2, of the Optional Protocol, the State party concerned is required to submit to the Committee written explanations or statements clarifying the matter and indicating the measures, if any, that have been taken by the State to remedy the situation. In the absence of a reply from the State party, the Committee must give due weight to those of the authors’ allegations that have been properly substantiated.</w:t>
      </w:r>
      <w:r w:rsidRPr="00802EC7">
        <w:rPr>
          <w:rStyle w:val="FootnoteReference"/>
        </w:rPr>
        <w:footnoteReference w:id="11"/>
      </w:r>
    </w:p>
    <w:p w:rsidR="009D14AD" w:rsidRPr="00802EC7" w:rsidRDefault="009D14AD" w:rsidP="009D14AD">
      <w:pPr>
        <w:pStyle w:val="H23G"/>
      </w:pPr>
      <w:r w:rsidRPr="00802EC7">
        <w:tab/>
      </w:r>
      <w:r w:rsidRPr="00802EC7">
        <w:tab/>
        <w:t>Issues and proceedings before the Committee</w:t>
      </w:r>
    </w:p>
    <w:p w:rsidR="009D14AD" w:rsidRPr="00802EC7" w:rsidRDefault="009D14AD" w:rsidP="009D14AD">
      <w:pPr>
        <w:pStyle w:val="H4G"/>
      </w:pPr>
      <w:r w:rsidRPr="00802EC7">
        <w:tab/>
      </w:r>
      <w:r w:rsidRPr="00802EC7">
        <w:tab/>
        <w:t>Consideration of admissibility</w:t>
      </w:r>
    </w:p>
    <w:p w:rsidR="009D14AD" w:rsidRPr="00802EC7" w:rsidRDefault="009D14AD" w:rsidP="009D14AD">
      <w:pPr>
        <w:pStyle w:val="SingleTxtG"/>
      </w:pPr>
      <w:r w:rsidRPr="00802EC7">
        <w:t xml:space="preserve">6.1 </w:t>
      </w:r>
      <w:r w:rsidRPr="00802EC7">
        <w:tab/>
        <w:t>Before considering any claim contained in a communication, the Human Rights Committee must decide, in accordance with rule 93 of its rules of procedure, whether the communication is admissible under the Optional Protocol to the Covenant.</w:t>
      </w:r>
    </w:p>
    <w:p w:rsidR="009D14AD" w:rsidRPr="00802EC7" w:rsidRDefault="009D14AD" w:rsidP="009D14AD">
      <w:pPr>
        <w:pStyle w:val="SingleTxtG"/>
      </w:pPr>
      <w:r w:rsidRPr="00802EC7">
        <w:t xml:space="preserve">6.2 </w:t>
      </w:r>
      <w:r w:rsidRPr="00802EC7">
        <w:tab/>
        <w:t>As required under article 5, paragraph 2 (a), of the Optional Protocol, the Committee must ascertain that the same matter is not being examined under another procedure of international investigation or settlement. The Committee notes that the case of Izzat Yousef Al-Maqrif and Jaballa Hamed Matar was submitted to the Working Group on Enforced or Involuntary Disappearances</w:t>
      </w:r>
      <w:r w:rsidR="000858D4" w:rsidRPr="00802EC7">
        <w:t>,</w:t>
      </w:r>
      <w:r w:rsidRPr="00802EC7">
        <w:t xml:space="preserve"> in relation to </w:t>
      </w:r>
      <w:smartTag w:uri="urn:schemas-microsoft-com:office:smarttags" w:element="place">
        <w:smartTag w:uri="urn:schemas-microsoft-com:office:smarttags" w:element="country-region">
          <w:r w:rsidRPr="00802EC7">
            <w:t>Egypt</w:t>
          </w:r>
        </w:smartTag>
      </w:smartTag>
      <w:r w:rsidRPr="00802EC7">
        <w:t xml:space="preserve">. In addition to the fact that the case was not submitted to the Working Group in relation to Libya, the Committee recalls that extra-conventional procedures or mechanisms established by the Commission on Human Rights </w:t>
      </w:r>
      <w:r w:rsidRPr="00802EC7">
        <w:lastRenderedPageBreak/>
        <w:t>or the Human Rights Council, and whose mandates are to examine and report publicly on human rights situations in specific countries or territories, or cases of widespread human rights violations worldwide, do not generally constitute an international procedure of investigation or settlement within the meaning of article 5, paragraph 2 (a), of the Optional Protocol.</w:t>
      </w:r>
      <w:r w:rsidRPr="00802EC7">
        <w:rPr>
          <w:rStyle w:val="FootnoteReference"/>
        </w:rPr>
        <w:footnoteReference w:id="12"/>
      </w:r>
      <w:r w:rsidRPr="00802EC7">
        <w:t xml:space="preserve"> Accordingly, the Committee considers that it is not precluded from examining the present case under this provision.</w:t>
      </w:r>
    </w:p>
    <w:p w:rsidR="009D14AD" w:rsidRPr="00802EC7" w:rsidRDefault="009D14AD" w:rsidP="00892570">
      <w:pPr>
        <w:pStyle w:val="SingleTxtG"/>
      </w:pPr>
      <w:r w:rsidRPr="00802EC7">
        <w:t xml:space="preserve">6.3 </w:t>
      </w:r>
      <w:r w:rsidRPr="00802EC7">
        <w:tab/>
        <w:t xml:space="preserve">With regard to the exhaustion of domestic remedies, the Committee reiterates its concern that, </w:t>
      </w:r>
      <w:r w:rsidR="00F753AB" w:rsidRPr="00802EC7">
        <w:t>de</w:t>
      </w:r>
      <w:r w:rsidRPr="00802EC7">
        <w:t xml:space="preserve">spite five reminders addressed to the State party, no observations on the admissibility or merits of the communication have been received. In the circumstances and in the absence of </w:t>
      </w:r>
      <w:r w:rsidR="00892570" w:rsidRPr="00802EC7">
        <w:t>a challenge by the</w:t>
      </w:r>
      <w:r w:rsidRPr="00802EC7">
        <w:t xml:space="preserve"> State party to the admissibility of the communication, the Committee finds that it is not precluded from considering </w:t>
      </w:r>
      <w:r w:rsidR="00876533" w:rsidRPr="00802EC7">
        <w:t>the communication under article </w:t>
      </w:r>
      <w:r w:rsidRPr="00802EC7">
        <w:t xml:space="preserve">5, paragraph 2 (b), of the Optional Protocol. </w:t>
      </w:r>
    </w:p>
    <w:p w:rsidR="009D14AD" w:rsidRPr="00802EC7" w:rsidRDefault="009D14AD" w:rsidP="00F753AB">
      <w:pPr>
        <w:pStyle w:val="SingleTxtG"/>
      </w:pPr>
      <w:r w:rsidRPr="00802EC7">
        <w:t xml:space="preserve">6.4 </w:t>
      </w:r>
      <w:r w:rsidRPr="00802EC7">
        <w:tab/>
        <w:t>The Committee considers that the authors’ claims regarding the violations of the rights of Izzat Yousef Al-Maqrif and Jaballa Hamed Matar under articles 2, paragraph 3; 6, paragraph 1; 7; 9, paragraphs 1</w:t>
      </w:r>
      <w:r w:rsidR="009F3CA5" w:rsidRPr="00802EC7">
        <w:t>–</w:t>
      </w:r>
      <w:r w:rsidRPr="00802EC7">
        <w:t>4; 10, paragraph 1; and 16, have been sufficiently substantiated for purposes of admissibility. It therefore declares the communication admissible and proceeds to its examination on the merits.</w:t>
      </w:r>
    </w:p>
    <w:p w:rsidR="009D14AD" w:rsidRPr="00802EC7" w:rsidRDefault="009D14AD" w:rsidP="00B53874">
      <w:pPr>
        <w:pStyle w:val="SingleTxtG"/>
      </w:pPr>
      <w:r w:rsidRPr="00802EC7">
        <w:t xml:space="preserve">6.5 </w:t>
      </w:r>
      <w:r w:rsidRPr="00802EC7">
        <w:tab/>
        <w:t>The Committee notes the authors</w:t>
      </w:r>
      <w:r w:rsidR="00F753AB" w:rsidRPr="00802EC7">
        <w:t>’</w:t>
      </w:r>
      <w:r w:rsidRPr="00802EC7">
        <w:t xml:space="preserve"> claims that they are victims of </w:t>
      </w:r>
      <w:r w:rsidR="00892570" w:rsidRPr="00802EC7">
        <w:t xml:space="preserve">a </w:t>
      </w:r>
      <w:r w:rsidRPr="00802EC7">
        <w:t xml:space="preserve">violation by </w:t>
      </w:r>
      <w:smartTag w:uri="urn:schemas-microsoft-com:office:smarttags" w:element="place">
        <w:smartTag w:uri="urn:schemas-microsoft-com:office:smarttags" w:element="country-region">
          <w:r w:rsidRPr="00802EC7">
            <w:t>Libya</w:t>
          </w:r>
        </w:smartTag>
      </w:smartTag>
      <w:r w:rsidRPr="00802EC7">
        <w:t xml:space="preserve"> of their rights under article 7, in conjunction with article 2, paragraph 3, of the Covenant as a result of the enforced disappearance of their fathers. Mr. Almegaryaf also claims to be a victim of violation by </w:t>
      </w:r>
      <w:smartTag w:uri="urn:schemas-microsoft-com:office:smarttags" w:element="place">
        <w:smartTag w:uri="urn:schemas-microsoft-com:office:smarttags" w:element="country-region">
          <w:r w:rsidRPr="00802EC7">
            <w:t>Libya</w:t>
          </w:r>
        </w:smartTag>
      </w:smartTag>
      <w:r w:rsidRPr="00802EC7">
        <w:t xml:space="preserve"> of his rights under article 24, paragraph 1, of the Covenant. The Committee recalls that, under article 1 of the Optional Protocol</w:t>
      </w:r>
      <w:r w:rsidR="00F753AB" w:rsidRPr="00802EC7">
        <w:t>,</w:t>
      </w:r>
      <w:r w:rsidRPr="00802EC7">
        <w:t xml:space="preserve"> a State party recogni</w:t>
      </w:r>
      <w:r w:rsidR="00F753AB" w:rsidRPr="00802EC7">
        <w:t>z</w:t>
      </w:r>
      <w:r w:rsidRPr="00802EC7">
        <w:t xml:space="preserve">es the competence of the Committee to consider communications from individuals subject to its jurisdiction who claim to be victims of a violation by that State party of any of the rights set forth in </w:t>
      </w:r>
      <w:r w:rsidR="00F753AB" w:rsidRPr="00802EC7">
        <w:t xml:space="preserve">the </w:t>
      </w:r>
      <w:r w:rsidRPr="00802EC7">
        <w:t xml:space="preserve">Covenant. The Committee observes that Mr. Almegaryaf is a national of the </w:t>
      </w:r>
      <w:smartTag w:uri="urn:schemas-microsoft-com:office:smarttags" w:element="country-region">
        <w:r w:rsidRPr="00802EC7">
          <w:t>United States</w:t>
        </w:r>
        <w:r w:rsidR="00192E51" w:rsidRPr="00802EC7">
          <w:t xml:space="preserve"> of America</w:t>
        </w:r>
      </w:smartTag>
      <w:r w:rsidRPr="00802EC7">
        <w:t xml:space="preserve">, was born in </w:t>
      </w:r>
      <w:smartTag w:uri="urn:schemas-microsoft-com:office:smarttags" w:element="City">
        <w:r w:rsidRPr="00802EC7">
          <w:t>Rabat</w:t>
        </w:r>
      </w:smartTag>
      <w:r w:rsidRPr="00802EC7">
        <w:t xml:space="preserve"> and has never lived in </w:t>
      </w:r>
      <w:smartTag w:uri="urn:schemas-microsoft-com:office:smarttags" w:element="place">
        <w:smartTag w:uri="urn:schemas-microsoft-com:office:smarttags" w:element="country-region">
          <w:r w:rsidRPr="00802EC7">
            <w:t>Libya</w:t>
          </w:r>
        </w:smartTag>
      </w:smartTag>
      <w:r w:rsidRPr="00802EC7">
        <w:t xml:space="preserve">. Hisham Matar is a national of the </w:t>
      </w:r>
      <w:smartTag w:uri="urn:schemas-microsoft-com:office:smarttags" w:element="country-region">
        <w:r w:rsidRPr="00802EC7">
          <w:t>United States</w:t>
        </w:r>
        <w:r w:rsidR="00192E51" w:rsidRPr="00802EC7">
          <w:t xml:space="preserve"> of America</w:t>
        </w:r>
      </w:smartTag>
      <w:r w:rsidRPr="00802EC7">
        <w:t xml:space="preserve"> and the </w:t>
      </w:r>
      <w:smartTag w:uri="urn:schemas-microsoft-com:office:smarttags" w:element="country-region">
        <w:r w:rsidRPr="00802EC7">
          <w:t>United Kingdom</w:t>
        </w:r>
      </w:smartTag>
      <w:r w:rsidRPr="00802EC7">
        <w:t xml:space="preserve"> and has not lived in </w:t>
      </w:r>
      <w:smartTag w:uri="urn:schemas-microsoft-com:office:smarttags" w:element="place">
        <w:smartTag w:uri="urn:schemas-microsoft-com:office:smarttags" w:element="country-region">
          <w:r w:rsidRPr="00802EC7">
            <w:t>Libya</w:t>
          </w:r>
        </w:smartTag>
      </w:smartTag>
      <w:r w:rsidRPr="00802EC7">
        <w:t xml:space="preserve"> since 1979. The question which arises is</w:t>
      </w:r>
      <w:r w:rsidR="00F753AB" w:rsidRPr="00802EC7">
        <w:t>,</w:t>
      </w:r>
      <w:r w:rsidRPr="00802EC7">
        <w:t xml:space="preserve"> therefore, whether the obligations of the State party under the Covenant apply to the authors of the present communication. The Committee considers that it is not prevented from examining the authors</w:t>
      </w:r>
      <w:r w:rsidR="00F753AB" w:rsidRPr="00802EC7">
        <w:t>’</w:t>
      </w:r>
      <w:r w:rsidRPr="00802EC7">
        <w:t xml:space="preserve"> claims </w:t>
      </w:r>
      <w:r w:rsidR="00B53874" w:rsidRPr="00802EC7">
        <w:t xml:space="preserve">on </w:t>
      </w:r>
      <w:r w:rsidRPr="00802EC7">
        <w:t xml:space="preserve">their own </w:t>
      </w:r>
      <w:r w:rsidR="00B53874" w:rsidRPr="00802EC7">
        <w:t xml:space="preserve">behalf, </w:t>
      </w:r>
      <w:r w:rsidRPr="00802EC7">
        <w:t xml:space="preserve">since their fathers’ enforced disappearance had </w:t>
      </w:r>
      <w:r w:rsidR="00892570" w:rsidRPr="00802EC7">
        <w:t xml:space="preserve">a direct </w:t>
      </w:r>
      <w:r w:rsidRPr="00802EC7">
        <w:t>negative impact on their lives and caused them ongoing feelings of anguish and uncertainty, in particular for the first author</w:t>
      </w:r>
      <w:r w:rsidR="00F753AB" w:rsidRPr="00802EC7">
        <w:t>,</w:t>
      </w:r>
      <w:r w:rsidRPr="00802EC7">
        <w:t xml:space="preserve"> who was 6 years old at the time of his father’s disappearance.  </w:t>
      </w:r>
    </w:p>
    <w:p w:rsidR="009D14AD" w:rsidRPr="00802EC7" w:rsidRDefault="009D14AD" w:rsidP="00DA3020">
      <w:pPr>
        <w:pStyle w:val="H4G"/>
      </w:pPr>
      <w:r w:rsidRPr="00802EC7">
        <w:tab/>
      </w:r>
      <w:r w:rsidRPr="00802EC7">
        <w:tab/>
        <w:t>Consideration of the merits</w:t>
      </w:r>
    </w:p>
    <w:p w:rsidR="009D14AD" w:rsidRPr="00802EC7" w:rsidRDefault="009D14AD" w:rsidP="009D14AD">
      <w:pPr>
        <w:pStyle w:val="SingleTxtG"/>
      </w:pPr>
      <w:r w:rsidRPr="00802EC7">
        <w:t xml:space="preserve">7.1 </w:t>
      </w:r>
      <w:r w:rsidRPr="00802EC7">
        <w:tab/>
        <w:t>The Human Rights Committee has considered the present communication in the light of all information made available to it, in accordance with article 5, paragraph 1, of the Optional Protocol.</w:t>
      </w:r>
    </w:p>
    <w:p w:rsidR="009D14AD" w:rsidRPr="00802EC7" w:rsidRDefault="009D14AD" w:rsidP="009D14AD">
      <w:pPr>
        <w:pStyle w:val="SingleTxtG"/>
      </w:pPr>
      <w:r w:rsidRPr="00802EC7">
        <w:t xml:space="preserve">7.2 </w:t>
      </w:r>
      <w:r w:rsidRPr="00802EC7">
        <w:tab/>
        <w:t xml:space="preserve">The Committee takes note of the authors’ unrefuted allegation that Izzat Yousef Al-Maqrif and Jaballa Hamed Matar were handed over on 13 March 1990 from </w:t>
      </w:r>
      <w:r w:rsidR="00F753AB" w:rsidRPr="00802EC7">
        <w:t xml:space="preserve">the </w:t>
      </w:r>
      <w:r w:rsidRPr="00802EC7">
        <w:t xml:space="preserve">Egyptian to </w:t>
      </w:r>
      <w:r w:rsidR="00F753AB" w:rsidRPr="00802EC7">
        <w:t xml:space="preserve">the </w:t>
      </w:r>
      <w:r w:rsidRPr="00802EC7">
        <w:t xml:space="preserve">Libyan authorities, transferred to Tripoli and detained in Abu-Salim prison, until last seen in that prison in June 1996. The Committee notes that the families have never received any official confirmation of their transfer to </w:t>
      </w:r>
      <w:smartTag w:uri="urn:schemas-microsoft-com:office:smarttags" w:element="place">
        <w:smartTag w:uri="urn:schemas-microsoft-com:office:smarttags" w:element="country-region">
          <w:r w:rsidRPr="00802EC7">
            <w:t>Libya</w:t>
          </w:r>
        </w:smartTag>
      </w:smartTag>
      <w:r w:rsidRPr="00802EC7">
        <w:t xml:space="preserve"> or their place of detention. It also notes that the State party has provided no response to the authors’ allegations regarding the enforced disappearance of their fathers. It reaffirms that the burden of proof cannot rest </w:t>
      </w:r>
      <w:r w:rsidRPr="00802EC7">
        <w:lastRenderedPageBreak/>
        <w:t>solely on the authors of the communication, especially considering that the author and the State party do not always have equal access to evidence and that frequently the State party alone has access to the relevant information.</w:t>
      </w:r>
      <w:r w:rsidRPr="00802EC7">
        <w:rPr>
          <w:rStyle w:val="FootnoteReference"/>
        </w:rPr>
        <w:footnoteReference w:id="13"/>
      </w:r>
      <w:r w:rsidRPr="00802EC7">
        <w:t xml:space="preserve"> It is implicit in article 4, paragraph 2, of the Optional Protocol that the State party has the duty to investigate in good faith all allegations of violations of the Covenant made against it and its representatives and to provide the Committee with the information available to it. In cases where the authors have submitted allegations to the State party that are corroborated by credible evidence and where further clarification depends on information that is solely in the hands of the State party, the Committee may consider authors’ allegations substantiated in the absence of satisfactory evidence or explanations to the contrary presented by the State party.</w:t>
      </w:r>
    </w:p>
    <w:p w:rsidR="009D14AD" w:rsidRPr="00802EC7" w:rsidRDefault="009D14AD" w:rsidP="00F753AB">
      <w:pPr>
        <w:pStyle w:val="SingleTxtG"/>
      </w:pPr>
      <w:r w:rsidRPr="00802EC7">
        <w:t xml:space="preserve">7.3 </w:t>
      </w:r>
      <w:r w:rsidRPr="00802EC7">
        <w:tab/>
        <w:t>The Committee further takes note of the information provided to the authors by witnesses</w:t>
      </w:r>
      <w:r w:rsidR="00F753AB" w:rsidRPr="00802EC7">
        <w:t>,</w:t>
      </w:r>
      <w:r w:rsidRPr="00802EC7">
        <w:t xml:space="preserve"> according to which Mr. Izzat Yousef Al-Maqrif was last seen alive in June 1996 in Abu-Salim prison, </w:t>
      </w:r>
      <w:r w:rsidR="00F753AB" w:rsidRPr="00802EC7">
        <w:t xml:space="preserve">while </w:t>
      </w:r>
      <w:r w:rsidRPr="00802EC7">
        <w:t xml:space="preserve">Mr. Jaballa Hamed Matar was last seen alive in a high security prison in </w:t>
      </w:r>
      <w:smartTag w:uri="urn:schemas-microsoft-com:office:smarttags" w:element="place">
        <w:smartTag w:uri="urn:schemas-microsoft-com:office:smarttags" w:element="City">
          <w:r w:rsidRPr="00802EC7">
            <w:t>Tripoli</w:t>
          </w:r>
        </w:smartTag>
      </w:smartTag>
      <w:r w:rsidRPr="00802EC7">
        <w:t xml:space="preserve"> in 2002.</w:t>
      </w:r>
      <w:r w:rsidR="00DB3F8E" w:rsidRPr="00802EC7">
        <w:t xml:space="preserve"> </w:t>
      </w:r>
      <w:r w:rsidRPr="00802EC7">
        <w:t>The Committee also notes the letters sent by the authors’ fathers from their place of detention, where</w:t>
      </w:r>
      <w:r w:rsidR="00F753AB" w:rsidRPr="00802EC7">
        <w:t>in</w:t>
      </w:r>
      <w:r w:rsidRPr="00802EC7">
        <w:t xml:space="preserve"> they explain the circumstances under which they were transferred to </w:t>
      </w:r>
      <w:smartTag w:uri="urn:schemas-microsoft-com:office:smarttags" w:element="place">
        <w:smartTag w:uri="urn:schemas-microsoft-com:office:smarttags" w:element="City">
          <w:r w:rsidRPr="00802EC7">
            <w:t>Tripoli</w:t>
          </w:r>
        </w:smartTag>
      </w:smartTag>
      <w:r w:rsidRPr="00802EC7">
        <w:t xml:space="preserve"> on 13 March 1990 after having been handed over to the Libyan authorities.</w:t>
      </w:r>
    </w:p>
    <w:p w:rsidR="009D14AD" w:rsidRPr="00802EC7" w:rsidRDefault="009D14AD" w:rsidP="00B53874">
      <w:pPr>
        <w:pStyle w:val="SingleTxtG"/>
      </w:pPr>
      <w:r w:rsidRPr="00802EC7">
        <w:t xml:space="preserve">7.4 </w:t>
      </w:r>
      <w:r w:rsidRPr="00802EC7">
        <w:tab/>
        <w:t>The Committee recalls that in cases of enforced disappearance, the deprivation of liberty followed by a refusal to acknowledge the deprivation of liberty, or by concealment of the fate of the disappeared person, places such person outside the protection of the law, and places his or her life at serious and constant risk</w:t>
      </w:r>
      <w:r w:rsidR="00B53874" w:rsidRPr="00802EC7">
        <w:t>,</w:t>
      </w:r>
      <w:r w:rsidRPr="00802EC7">
        <w:t xml:space="preserve"> for which the State is accountable.</w:t>
      </w:r>
      <w:r w:rsidRPr="00802EC7">
        <w:rPr>
          <w:rStyle w:val="FootnoteReference"/>
        </w:rPr>
        <w:footnoteReference w:id="14"/>
      </w:r>
      <w:r w:rsidRPr="00802EC7">
        <w:t xml:space="preserve"> In the present case the Committee notes that the State party has produced no evidence to show that it has met its obligation to protect the lives of Izzat Yousef Al-Maqrif and Jaballa Hamed Matar. The Committee concludes that the State party </w:t>
      </w:r>
      <w:r w:rsidR="00B53874" w:rsidRPr="00802EC7">
        <w:t xml:space="preserve">has </w:t>
      </w:r>
      <w:r w:rsidRPr="00802EC7">
        <w:t xml:space="preserve">failed in its duty to protect the authors’ fathers’ lives, in violation of article 6, paragraph 1, of the Covenant. </w:t>
      </w:r>
    </w:p>
    <w:p w:rsidR="009D14AD" w:rsidRPr="00802EC7" w:rsidRDefault="009D14AD" w:rsidP="000D7DE1">
      <w:pPr>
        <w:pStyle w:val="SingleTxtG"/>
      </w:pPr>
      <w:r w:rsidRPr="00802EC7">
        <w:t xml:space="preserve">7.5 </w:t>
      </w:r>
      <w:r w:rsidRPr="00802EC7">
        <w:tab/>
        <w:t xml:space="preserve">As to the alleged incommunicado detention of Izzat Yousef Al-Maqrif and Jaballa Hamed Matar, the Committee recognizes the degree of suffering involved in being held indefinitely without contact with the outside world. It recalls its general comment No. 20 on article 7, which recommends that States parties should make provision against incommunicado detention. It notes that in the instant case they were taken on 13 March 1990 and their fate remains unknown to this day. In </w:t>
      </w:r>
      <w:r w:rsidR="00131D14" w:rsidRPr="00802EC7">
        <w:t xml:space="preserve">the </w:t>
      </w:r>
      <w:r w:rsidRPr="00802EC7">
        <w:t xml:space="preserve">light of the information provided to the Committee by a former </w:t>
      </w:r>
      <w:r w:rsidR="009F3CA5" w:rsidRPr="00802EC7">
        <w:t>fellow inmate</w:t>
      </w:r>
      <w:r w:rsidRPr="00802EC7">
        <w:t xml:space="preserve"> of both alleged victims about the widespread use of torture in Abu-Salim prison; the information provided in Jaballa Hamed Matar’s undated letter where</w:t>
      </w:r>
      <w:r w:rsidR="00B53874" w:rsidRPr="00802EC7">
        <w:t>in</w:t>
      </w:r>
      <w:r w:rsidRPr="00802EC7">
        <w:t xml:space="preserve"> he describes the cruelty </w:t>
      </w:r>
      <w:r w:rsidR="000D7DE1" w:rsidRPr="00802EC7">
        <w:t xml:space="preserve">practised in the </w:t>
      </w:r>
      <w:r w:rsidRPr="00802EC7">
        <w:t>prison; the information on the inhuman condition</w:t>
      </w:r>
      <w:r w:rsidR="006D449A" w:rsidRPr="00802EC7">
        <w:t>s</w:t>
      </w:r>
      <w:r w:rsidRPr="00802EC7">
        <w:t xml:space="preserve"> at Abu-Salim prison;</w:t>
      </w:r>
      <w:r w:rsidRPr="00802EC7">
        <w:rPr>
          <w:rStyle w:val="FootnoteReference"/>
        </w:rPr>
        <w:footnoteReference w:id="15"/>
      </w:r>
      <w:r w:rsidRPr="00802EC7">
        <w:t xml:space="preserve"> and, in the absence of information from </w:t>
      </w:r>
      <w:r w:rsidR="00640165" w:rsidRPr="00802EC7">
        <w:t xml:space="preserve">the </w:t>
      </w:r>
      <w:r w:rsidRPr="00802EC7">
        <w:t xml:space="preserve">State party </w:t>
      </w:r>
      <w:r w:rsidR="00640165" w:rsidRPr="00802EC7">
        <w:t>to</w:t>
      </w:r>
      <w:r w:rsidRPr="00802EC7">
        <w:t xml:space="preserve"> contradict the aforementioned</w:t>
      </w:r>
      <w:r w:rsidR="00640165" w:rsidRPr="00802EC7">
        <w:t xml:space="preserve"> information</w:t>
      </w:r>
      <w:r w:rsidRPr="00802EC7">
        <w:t>, the Committee concludes that the facts before it reveal a violation of article 7 of the Covenant wi</w:t>
      </w:r>
      <w:r w:rsidR="00876533" w:rsidRPr="00802EC7">
        <w:t>th regard to Izzat Yousef Al</w:t>
      </w:r>
      <w:r w:rsidR="00876533" w:rsidRPr="00802EC7">
        <w:noBreakHyphen/>
      </w:r>
      <w:r w:rsidRPr="00802EC7">
        <w:t>Maqrif and Jaballa Hamed Matar.</w:t>
      </w:r>
    </w:p>
    <w:p w:rsidR="009D14AD" w:rsidRPr="00802EC7" w:rsidRDefault="009D14AD" w:rsidP="009D14AD">
      <w:pPr>
        <w:pStyle w:val="SingleTxtG"/>
      </w:pPr>
      <w:r w:rsidRPr="00802EC7">
        <w:t xml:space="preserve">7.6 </w:t>
      </w:r>
      <w:r w:rsidRPr="00802EC7">
        <w:tab/>
        <w:t xml:space="preserve">Regarding the alleged violation of article 9, paragraphs 1 to 4, the Committee notes the authors’ information that their fathers were taken away without a warrant and without being informed of the reasons for their arrest, and that they were not brought before a judicial body through which they would have been able to challenge the lawfulness of their </w:t>
      </w:r>
      <w:r w:rsidRPr="00802EC7">
        <w:lastRenderedPageBreak/>
        <w:t>detention. In the absence of any pertinent explanation from the State party, the Committee finds a violation of article 9 of the Covenant.</w:t>
      </w:r>
      <w:r w:rsidRPr="00802EC7">
        <w:rPr>
          <w:rStyle w:val="FootnoteReference"/>
        </w:rPr>
        <w:footnoteReference w:id="16"/>
      </w:r>
      <w:r w:rsidRPr="00802EC7">
        <w:t xml:space="preserve"> </w:t>
      </w:r>
    </w:p>
    <w:p w:rsidR="009D14AD" w:rsidRPr="00802EC7" w:rsidRDefault="009D14AD" w:rsidP="00640165">
      <w:pPr>
        <w:pStyle w:val="SingleTxtG"/>
      </w:pPr>
      <w:r w:rsidRPr="00802EC7">
        <w:t xml:space="preserve">7.7 </w:t>
      </w:r>
      <w:r w:rsidRPr="00802EC7">
        <w:tab/>
        <w:t xml:space="preserve">As regards the authors’ claims under article 10, paragraph 1, that their fathers were held incommunicado at Abu-Salim prison, </w:t>
      </w:r>
      <w:r w:rsidR="00640165" w:rsidRPr="00802EC7">
        <w:t xml:space="preserve">in </w:t>
      </w:r>
      <w:r w:rsidRPr="00802EC7">
        <w:t xml:space="preserve">poor conditions and </w:t>
      </w:r>
      <w:r w:rsidR="00640165" w:rsidRPr="00802EC7">
        <w:t xml:space="preserve">with a </w:t>
      </w:r>
      <w:r w:rsidRPr="00802EC7">
        <w:t>lack of medical care, the Committee reiterates that persons deprived of their liberty may not be subjected to any hardship or constraint other than that resulting from the deprivation of liberty and that they must be treated with humanity and respect for their dignity. In the absence of State party information on the treatment of the authors’ fathers in Abu Salim prison and noting what has been reported on the general conditions in that prison,</w:t>
      </w:r>
      <w:r w:rsidRPr="00802EC7">
        <w:rPr>
          <w:rStyle w:val="FootnoteReference"/>
        </w:rPr>
        <w:footnoteReference w:id="17"/>
      </w:r>
      <w:r w:rsidRPr="00802EC7">
        <w:t xml:space="preserve"> the Committee finds a violation of article 10, paragraph 1, of the Covenant.</w:t>
      </w:r>
      <w:r w:rsidRPr="00802EC7">
        <w:rPr>
          <w:rStyle w:val="FootnoteReference"/>
        </w:rPr>
        <w:footnoteReference w:id="18"/>
      </w:r>
    </w:p>
    <w:p w:rsidR="009D14AD" w:rsidRPr="00802EC7" w:rsidRDefault="009D14AD" w:rsidP="000473B5">
      <w:pPr>
        <w:pStyle w:val="SingleTxtG"/>
      </w:pPr>
      <w:r w:rsidRPr="00802EC7">
        <w:t xml:space="preserve">7.8 </w:t>
      </w:r>
      <w:r w:rsidRPr="00802EC7">
        <w:tab/>
        <w:t>In respect of article 16, the Committee reiterates its established jurisprudence, according to which intentionally removing a person from the protection of the law for a prolonged period of time may constitute a denial of his or her right to recognition as a person before the law if the victim was in the hands of the State authorities when last seen and if the efforts of his or her relatives to obtain access to effective remedies, including judicial remedies (art. 2, para. 3, of the Covenant), have been systematically impeded.</w:t>
      </w:r>
      <w:r w:rsidRPr="00802EC7">
        <w:rPr>
          <w:rStyle w:val="FootnoteReference"/>
        </w:rPr>
        <w:footnoteReference w:id="19"/>
      </w:r>
      <w:r w:rsidRPr="00802EC7">
        <w:t xml:space="preserve"> In the present case, the State party has not furnished any information about the fate or whereabouts of the disappeared persons, notwithstanding the formal and informal requests submitted to the State party</w:t>
      </w:r>
      <w:r w:rsidR="000473B5" w:rsidRPr="00802EC7">
        <w:t xml:space="preserve"> by</w:t>
      </w:r>
      <w:r w:rsidRPr="00802EC7">
        <w:t>, inter alia, their relatives. The Committee finds, therefore, a violation of article 16 of the Covenant.</w:t>
      </w:r>
    </w:p>
    <w:p w:rsidR="009D14AD" w:rsidRPr="00802EC7" w:rsidRDefault="009D14AD" w:rsidP="00B53874">
      <w:pPr>
        <w:pStyle w:val="SingleTxtG"/>
      </w:pPr>
      <w:r w:rsidRPr="00802EC7">
        <w:t xml:space="preserve">7.9 </w:t>
      </w:r>
      <w:r w:rsidRPr="00802EC7">
        <w:tab/>
        <w:t xml:space="preserve">The authors also invoke article 2, paragraph 3, of the Covenant, which requires States parties to ensure that individuals have accessible, effective and enforceable remedies for asserting the rights enshrined in the Covenant. The Committee reiterates the importance that it accords to States parties’ establishment of appropriate judicial and administrative mechanisms for addressing alleged violations of rights under domestic law. The Committee notes that in the present case, no remedy, let alone effective remedy, was available to the victims </w:t>
      </w:r>
      <w:r w:rsidR="00F76A49" w:rsidRPr="00802EC7">
        <w:t xml:space="preserve">or </w:t>
      </w:r>
      <w:r w:rsidRPr="00802EC7">
        <w:t xml:space="preserve">the authors of the communication to address their human rights violations. It refers to its general comment No. 31, </w:t>
      </w:r>
      <w:r w:rsidR="00B53874" w:rsidRPr="00802EC7">
        <w:t xml:space="preserve">in </w:t>
      </w:r>
      <w:r w:rsidRPr="00802EC7">
        <w:t xml:space="preserve">which </w:t>
      </w:r>
      <w:r w:rsidR="00B53874" w:rsidRPr="00802EC7">
        <w:t xml:space="preserve">it is </w:t>
      </w:r>
      <w:r w:rsidRPr="00802EC7">
        <w:t>state</w:t>
      </w:r>
      <w:r w:rsidR="00B53874" w:rsidRPr="00802EC7">
        <w:t>d</w:t>
      </w:r>
      <w:r w:rsidRPr="00802EC7">
        <w:t xml:space="preserve"> that failure by a State party to investigate allegations of violations could in and of itself give rise to a separate breach of the Covenant.</w:t>
      </w:r>
      <w:r w:rsidRPr="00802EC7">
        <w:rPr>
          <w:rStyle w:val="FootnoteReference"/>
        </w:rPr>
        <w:footnoteReference w:id="20"/>
      </w:r>
      <w:r w:rsidRPr="00802EC7">
        <w:t xml:space="preserve"> In the present case, the Committee notes that the families tried to locate the whereabouts of the two missing persons. Inter alia, relatives of Izzat Yousef Al-Maqrif met with </w:t>
      </w:r>
      <w:r w:rsidR="00B53874" w:rsidRPr="00802EC7">
        <w:t xml:space="preserve">the </w:t>
      </w:r>
      <w:r w:rsidRPr="00802EC7">
        <w:t xml:space="preserve">Libyan Minister of Foreign Affairs in 2007 and submitted a request to the Libyan Intelligence Office in </w:t>
      </w:r>
      <w:smartTag w:uri="urn:schemas-microsoft-com:office:smarttags" w:element="City">
        <w:r w:rsidRPr="00802EC7">
          <w:t>Benghazi</w:t>
        </w:r>
      </w:smartTag>
      <w:r w:rsidRPr="00802EC7">
        <w:t xml:space="preserve"> concerning the disappearance in 2008, </w:t>
      </w:r>
      <w:r w:rsidR="00F94282" w:rsidRPr="00802EC7">
        <w:t xml:space="preserve">and </w:t>
      </w:r>
      <w:r w:rsidRPr="00802EC7">
        <w:t xml:space="preserve">Hisham Matar met with Seif El-Islam Gaddafi </w:t>
      </w:r>
      <w:r w:rsidR="00F94282" w:rsidRPr="00802EC7">
        <w:t xml:space="preserve">in person </w:t>
      </w:r>
      <w:r w:rsidRPr="00802EC7">
        <w:t xml:space="preserve">on 18 January 2010 in </w:t>
      </w:r>
      <w:smartTag w:uri="urn:schemas-microsoft-com:office:smarttags" w:element="place">
        <w:smartTag w:uri="urn:schemas-microsoft-com:office:smarttags" w:element="City">
          <w:r w:rsidRPr="00802EC7">
            <w:t>London</w:t>
          </w:r>
        </w:smartTag>
      </w:smartTag>
      <w:r w:rsidRPr="00802EC7">
        <w:t xml:space="preserve"> to inquire about the disappearance of his father. However, all their efforts were to no avail and the State party failed to conduct a thorough and effective investigation into the disappearances. The </w:t>
      </w:r>
      <w:r w:rsidRPr="00802EC7">
        <w:lastRenderedPageBreak/>
        <w:t>Committee concludes that the facts before it reveal a violation of article 2, para</w:t>
      </w:r>
      <w:r w:rsidR="00990100" w:rsidRPr="00802EC7">
        <w:rPr>
          <w:bCs/>
        </w:rPr>
        <w:t>graph</w:t>
      </w:r>
      <w:r w:rsidRPr="00802EC7">
        <w:t xml:space="preserve"> 3</w:t>
      </w:r>
      <w:r w:rsidR="00F94282" w:rsidRPr="00802EC7">
        <w:t>,</w:t>
      </w:r>
      <w:r w:rsidRPr="00802EC7">
        <w:t xml:space="preserve"> read in conjunction with article 6, para</w:t>
      </w:r>
      <w:r w:rsidR="00990100" w:rsidRPr="00802EC7">
        <w:t>graph</w:t>
      </w:r>
      <w:r w:rsidRPr="00802EC7">
        <w:t xml:space="preserve"> 1</w:t>
      </w:r>
      <w:r w:rsidR="00990100" w:rsidRPr="00802EC7">
        <w:t>;</w:t>
      </w:r>
      <w:r w:rsidRPr="00802EC7">
        <w:t xml:space="preserve"> article 7</w:t>
      </w:r>
      <w:r w:rsidR="00990100" w:rsidRPr="00802EC7">
        <w:t>;</w:t>
      </w:r>
      <w:r w:rsidRPr="00802EC7">
        <w:t xml:space="preserve"> article 9</w:t>
      </w:r>
      <w:r w:rsidR="00990100" w:rsidRPr="00802EC7">
        <w:t>;</w:t>
      </w:r>
      <w:r w:rsidRPr="00802EC7">
        <w:t xml:space="preserve"> article 10, para</w:t>
      </w:r>
      <w:r w:rsidR="00990100" w:rsidRPr="00802EC7">
        <w:t>graph </w:t>
      </w:r>
      <w:r w:rsidRPr="00802EC7">
        <w:t>1</w:t>
      </w:r>
      <w:r w:rsidR="00990100" w:rsidRPr="00802EC7">
        <w:t>;</w:t>
      </w:r>
      <w:r w:rsidRPr="00802EC7">
        <w:t xml:space="preserve"> and article 16 of the Covenant. </w:t>
      </w:r>
    </w:p>
    <w:p w:rsidR="009D14AD" w:rsidRPr="00802EC7" w:rsidRDefault="009D14AD" w:rsidP="00990100">
      <w:pPr>
        <w:pStyle w:val="SingleTxtG"/>
      </w:pPr>
      <w:r w:rsidRPr="00802EC7">
        <w:t xml:space="preserve">7.10 </w:t>
      </w:r>
      <w:r w:rsidRPr="00802EC7">
        <w:tab/>
        <w:t xml:space="preserve">As regards the authors themselves, the Committee notes the anguish and distress caused to the authors by their fathers’ disappearance on 13 March 1990, followed by a state of uncertainty that lasted three to four years, at which time they discovered that their fathers </w:t>
      </w:r>
      <w:r w:rsidR="00437754" w:rsidRPr="00802EC7">
        <w:t xml:space="preserve">had been </w:t>
      </w:r>
      <w:r w:rsidRPr="00802EC7">
        <w:t xml:space="preserve">transferred to </w:t>
      </w:r>
      <w:smartTag w:uri="urn:schemas-microsoft-com:office:smarttags" w:element="place">
        <w:smartTag w:uri="urn:schemas-microsoft-com:office:smarttags" w:element="City">
          <w:r w:rsidRPr="00802EC7">
            <w:t>Tripoli</w:t>
          </w:r>
        </w:smartTag>
      </w:smartTag>
      <w:r w:rsidRPr="00802EC7">
        <w:t xml:space="preserve"> and held in Abu-Salim prison. The State party’s authorities left the authors without any information for more than </w:t>
      </w:r>
      <w:r w:rsidR="00437754" w:rsidRPr="00802EC7">
        <w:t xml:space="preserve">20 </w:t>
      </w:r>
      <w:r w:rsidRPr="00802EC7">
        <w:t>years – a state of affairs that is still ongoing. The Committee concludes that the facts before it reveal a violation of article 7 of the Covenant read alone and in conjunction with article 2</w:t>
      </w:r>
      <w:r w:rsidR="00437754" w:rsidRPr="00802EC7">
        <w:t>,</w:t>
      </w:r>
      <w:r w:rsidRPr="00802EC7">
        <w:t xml:space="preserve"> para</w:t>
      </w:r>
      <w:r w:rsidR="00437754" w:rsidRPr="00802EC7">
        <w:t>graph</w:t>
      </w:r>
      <w:r w:rsidRPr="00802EC7">
        <w:t xml:space="preserve"> 3</w:t>
      </w:r>
      <w:r w:rsidR="00437754" w:rsidRPr="00802EC7">
        <w:t>,</w:t>
      </w:r>
      <w:r w:rsidRPr="00802EC7">
        <w:t xml:space="preserve"> </w:t>
      </w:r>
      <w:r w:rsidR="00437754" w:rsidRPr="00802EC7">
        <w:t xml:space="preserve">with </w:t>
      </w:r>
      <w:r w:rsidRPr="00802EC7">
        <w:t xml:space="preserve">respect to the authors. Having come to this conclusion, the Committee also finds that such suffering caused to the first author reveals a violation of article 24, paragraph 1, read in conjunction with article 7, bearing in mind that he was a minor at the time his father was abducted, and </w:t>
      </w:r>
      <w:r w:rsidR="00990100" w:rsidRPr="00802EC7">
        <w:t xml:space="preserve">that </w:t>
      </w:r>
      <w:r w:rsidRPr="00802EC7">
        <w:t xml:space="preserve">such suffering and anguish was </w:t>
      </w:r>
      <w:r w:rsidR="00990100" w:rsidRPr="00802EC7">
        <w:t xml:space="preserve">thus </w:t>
      </w:r>
      <w:r w:rsidRPr="00802EC7">
        <w:t>twofold.</w:t>
      </w:r>
    </w:p>
    <w:p w:rsidR="009D14AD" w:rsidRPr="00802EC7" w:rsidRDefault="009D14AD" w:rsidP="00385D3C">
      <w:pPr>
        <w:pStyle w:val="SingleTxtG"/>
      </w:pPr>
      <w:r w:rsidRPr="00802EC7">
        <w:t xml:space="preserve">8. </w:t>
      </w:r>
      <w:r w:rsidRPr="00802EC7">
        <w:tab/>
        <w:t xml:space="preserve">The Human Rights Committee, acting under article 5, paragraph 4, of the Optional Protocol to the International Covenant on Civil and Political Rights, is of the view that the facts before it </w:t>
      </w:r>
      <w:r w:rsidR="00385D3C" w:rsidRPr="00802EC7">
        <w:t xml:space="preserve">reveal </w:t>
      </w:r>
      <w:r w:rsidRPr="00802EC7">
        <w:t>a violation by the State party of articles 6</w:t>
      </w:r>
      <w:r w:rsidR="00E90682" w:rsidRPr="00802EC7">
        <w:t>,</w:t>
      </w:r>
      <w:r w:rsidRPr="00802EC7">
        <w:t xml:space="preserve"> para</w:t>
      </w:r>
      <w:r w:rsidR="00E90682" w:rsidRPr="00802EC7">
        <w:t xml:space="preserve">graph </w:t>
      </w:r>
      <w:r w:rsidRPr="00802EC7">
        <w:t>1; 7; 9; 10</w:t>
      </w:r>
      <w:r w:rsidR="00E90682" w:rsidRPr="00802EC7">
        <w:t>,</w:t>
      </w:r>
      <w:r w:rsidRPr="00802EC7">
        <w:t xml:space="preserve"> para</w:t>
      </w:r>
      <w:r w:rsidR="00E90682" w:rsidRPr="00802EC7">
        <w:t>graph</w:t>
      </w:r>
      <w:r w:rsidRPr="00802EC7">
        <w:t xml:space="preserve"> 1,</w:t>
      </w:r>
      <w:r w:rsidR="00DB3F8E" w:rsidRPr="00802EC7">
        <w:t xml:space="preserve"> </w:t>
      </w:r>
      <w:r w:rsidRPr="00802EC7">
        <w:t xml:space="preserve">16. It also </w:t>
      </w:r>
      <w:r w:rsidR="00385D3C" w:rsidRPr="00802EC7">
        <w:t xml:space="preserve">reveals </w:t>
      </w:r>
      <w:r w:rsidRPr="00802EC7">
        <w:t>a violation of article 2</w:t>
      </w:r>
      <w:r w:rsidR="00E90682" w:rsidRPr="00802EC7">
        <w:t>,</w:t>
      </w:r>
      <w:r w:rsidRPr="00802EC7">
        <w:t xml:space="preserve"> para</w:t>
      </w:r>
      <w:r w:rsidR="00E90682" w:rsidRPr="00802EC7">
        <w:t>graph</w:t>
      </w:r>
      <w:r w:rsidRPr="00802EC7">
        <w:t xml:space="preserve"> 3, </w:t>
      </w:r>
      <w:r w:rsidRPr="00802EC7">
        <w:rPr>
          <w:lang w:val="en-US"/>
        </w:rPr>
        <w:t xml:space="preserve">read in conjunction with </w:t>
      </w:r>
      <w:r w:rsidRPr="00802EC7">
        <w:t>articles 6, para</w:t>
      </w:r>
      <w:r w:rsidR="00E90682" w:rsidRPr="00802EC7">
        <w:t>graph</w:t>
      </w:r>
      <w:r w:rsidRPr="00802EC7">
        <w:t xml:space="preserve"> 1; 7; 9; 10, para</w:t>
      </w:r>
      <w:r w:rsidR="00E90682" w:rsidRPr="00802EC7">
        <w:t>graph</w:t>
      </w:r>
      <w:r w:rsidRPr="00802EC7">
        <w:t xml:space="preserve"> 1; and 16 of the Covenant with regard to Izzat Yousef Al-Maqrif and Jaballa Hamed Matar. Lastly the Committee finds a violation of article 7, read alone and in conjunction with article 2</w:t>
      </w:r>
      <w:r w:rsidR="00E90682" w:rsidRPr="00802EC7">
        <w:t>,</w:t>
      </w:r>
      <w:r w:rsidRPr="00802EC7">
        <w:t xml:space="preserve"> para</w:t>
      </w:r>
      <w:r w:rsidR="00E90682" w:rsidRPr="00802EC7">
        <w:t>graph </w:t>
      </w:r>
      <w:r w:rsidRPr="00802EC7">
        <w:t>3</w:t>
      </w:r>
      <w:r w:rsidR="00E90682" w:rsidRPr="00802EC7">
        <w:t>,</w:t>
      </w:r>
      <w:r w:rsidRPr="00802EC7">
        <w:t xml:space="preserve"> of the Covenant, with respect to the authors, as well as a violation of article 24, paragraph 1, read in conjunction with article 7 with respect to the first author.</w:t>
      </w:r>
    </w:p>
    <w:p w:rsidR="009D14AD" w:rsidRPr="00802EC7" w:rsidRDefault="009D14AD" w:rsidP="009D14AD">
      <w:pPr>
        <w:pStyle w:val="SingleTxtG"/>
      </w:pPr>
      <w:r w:rsidRPr="00802EC7">
        <w:t xml:space="preserve">9. </w:t>
      </w:r>
      <w:r w:rsidRPr="00802EC7">
        <w:tab/>
        <w:t>In accordance with article 2, paragraph 3, of the Covenant, the State party is under an obligation to provide the authors</w:t>
      </w:r>
      <w:r w:rsidR="00DB3F8E" w:rsidRPr="00802EC7">
        <w:t xml:space="preserve"> </w:t>
      </w:r>
      <w:r w:rsidRPr="00802EC7">
        <w:t>with an effective remedy by, inter alia: (a) conducting a thorough and effective investigation into the disappearance of Izzat Yousef Al-Maqrif and Jaballa Hamed Matar; (b) providing the authors and their families with detailed information on the results of its investigation; (c) releasing Izzat Yousef Al-Maqrif and Jaballa Hamed Matar</w:t>
      </w:r>
      <w:r w:rsidR="00DB3F8E" w:rsidRPr="00802EC7">
        <w:t xml:space="preserve"> </w:t>
      </w:r>
      <w:r w:rsidRPr="00802EC7">
        <w:t xml:space="preserve">immediately, if they are still being detained incommunicado; (d) in the event that Izzat Yousef Al-Maqrif and Jaballa Hamed Matar are deceased, handing over their remains to their families; (e) prosecuting, trying and punishing those responsible for the violations committed; and (f) providing adequate compensation to the authors for the violations suffered, as well as to Izzat Yousef Al-Maqrif and Jaballa Hamed Matar, if they are still alive. The State party is also under an obligation to take steps to prevent similar violations in the future. </w:t>
      </w:r>
    </w:p>
    <w:p w:rsidR="009D14AD" w:rsidRPr="00802EC7" w:rsidRDefault="009D14AD" w:rsidP="009D14AD">
      <w:pPr>
        <w:pStyle w:val="SingleTxtG"/>
      </w:pPr>
      <w:r w:rsidRPr="00802EC7">
        <w:t xml:space="preserve">10. </w:t>
      </w:r>
      <w:r w:rsidRPr="00802EC7">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remedy when it has been determined that a violation has occurred, the Committee wishes to receive from the State party, within 180 days, information about the measures taken to give effect to the present Views. The State party is also requested to publish the present Views and to have them widely disseminated.</w:t>
      </w:r>
    </w:p>
    <w:p w:rsidR="008909B4" w:rsidRPr="008909B4" w:rsidRDefault="009D14AD" w:rsidP="009D14AD">
      <w:pPr>
        <w:pStyle w:val="SingleTxtG"/>
      </w:pPr>
      <w:r w:rsidRPr="00802EC7">
        <w:t>[Adopted in English, French and Spanish, the English text being the original version. Subsequently to be issued also in Arabic, Chinese and Russian as part of the Committee’s annual report to the General Assembly.]</w:t>
      </w:r>
    </w:p>
    <w:p w:rsidR="00442A83" w:rsidRPr="00C66546" w:rsidRDefault="00C66546" w:rsidP="00C66546">
      <w:pPr>
        <w:pStyle w:val="SingleTxtG"/>
        <w:spacing w:before="240" w:after="0"/>
        <w:jc w:val="center"/>
        <w:rPr>
          <w:u w:val="single"/>
        </w:rPr>
      </w:pPr>
      <w:r>
        <w:rPr>
          <w:u w:val="single"/>
        </w:rPr>
        <w:tab/>
      </w:r>
      <w:r>
        <w:rPr>
          <w:u w:val="single"/>
        </w:rPr>
        <w:tab/>
      </w:r>
      <w:r>
        <w:rPr>
          <w:u w:val="single"/>
        </w:rPr>
        <w:tab/>
      </w:r>
    </w:p>
    <w:sectPr w:rsidR="00442A83" w:rsidRPr="00C66546" w:rsidSect="00C66546">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109" w:rsidRDefault="00893109"/>
  </w:endnote>
  <w:endnote w:type="continuationSeparator" w:id="0">
    <w:p w:rsidR="00893109" w:rsidRDefault="00893109"/>
  </w:endnote>
  <w:endnote w:type="continuationNotice" w:id="1">
    <w:p w:rsidR="00893109" w:rsidRDefault="00893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5B4" w:rsidRPr="00C66546" w:rsidRDefault="00A325B4" w:rsidP="00C66546">
    <w:pPr>
      <w:pStyle w:val="Footer"/>
      <w:tabs>
        <w:tab w:val="right" w:pos="9638"/>
      </w:tabs>
    </w:pPr>
    <w:r w:rsidRPr="00C66546">
      <w:rPr>
        <w:b/>
        <w:sz w:val="18"/>
      </w:rPr>
      <w:fldChar w:fldCharType="begin"/>
    </w:r>
    <w:r w:rsidRPr="00C66546">
      <w:rPr>
        <w:b/>
        <w:sz w:val="18"/>
      </w:rPr>
      <w:instrText xml:space="preserve"> PAGE  \* MERGEFORMAT </w:instrText>
    </w:r>
    <w:r w:rsidRPr="00C66546">
      <w:rPr>
        <w:b/>
        <w:sz w:val="18"/>
      </w:rPr>
      <w:fldChar w:fldCharType="separate"/>
    </w:r>
    <w:r w:rsidR="005E7A96">
      <w:rPr>
        <w:b/>
        <w:noProof/>
        <w:sz w:val="18"/>
      </w:rPr>
      <w:t>2</w:t>
    </w:r>
    <w:r w:rsidRPr="00C66546">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5B4" w:rsidRPr="006B0DE7" w:rsidRDefault="00A325B4" w:rsidP="00C66546">
    <w:pPr>
      <w:pStyle w:val="Footer"/>
      <w:tabs>
        <w:tab w:val="right" w:pos="9638"/>
      </w:tabs>
      <w:rPr>
        <w:b/>
        <w:sz w:val="18"/>
      </w:rPr>
    </w:pPr>
    <w:r>
      <w:rPr>
        <w:b/>
        <w:sz w:val="18"/>
      </w:rPr>
      <w:tab/>
    </w:r>
    <w:r w:rsidRPr="006B0DE7">
      <w:rPr>
        <w:b/>
        <w:sz w:val="18"/>
      </w:rPr>
      <w:fldChar w:fldCharType="begin"/>
    </w:r>
    <w:r w:rsidRPr="006B0DE7">
      <w:rPr>
        <w:b/>
        <w:sz w:val="18"/>
      </w:rPr>
      <w:instrText xml:space="preserve"> PAGE  \* MERGEFORMAT </w:instrText>
    </w:r>
    <w:r w:rsidRPr="006B0DE7">
      <w:rPr>
        <w:b/>
        <w:sz w:val="18"/>
      </w:rPr>
      <w:fldChar w:fldCharType="separate"/>
    </w:r>
    <w:r w:rsidR="005E7A96">
      <w:rPr>
        <w:b/>
        <w:noProof/>
        <w:sz w:val="18"/>
      </w:rPr>
      <w:t>3</w:t>
    </w:r>
    <w:r w:rsidRPr="006B0DE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5B4" w:rsidRDefault="00893109">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A325B4">
      <w:t>GE.14-43269</w:t>
    </w:r>
    <w:r w:rsidR="00A325B4">
      <w:br/>
    </w:r>
    <w:r w:rsidR="00A325B4" w:rsidRPr="00A325B4">
      <w:rPr>
        <w:rFonts w:ascii="C39T30Lfz" w:hAnsi="C39T30Lfz"/>
        <w:sz w:val="56"/>
      </w:rPr>
      <w:t></w:t>
    </w:r>
    <w:r w:rsidR="00A325B4" w:rsidRPr="00A325B4">
      <w:rPr>
        <w:rFonts w:ascii="C39T30Lfz" w:hAnsi="C39T30Lfz"/>
        <w:sz w:val="56"/>
      </w:rPr>
      <w:t></w:t>
    </w:r>
    <w:r w:rsidR="00A325B4" w:rsidRPr="00A325B4">
      <w:rPr>
        <w:rFonts w:ascii="C39T30Lfz" w:hAnsi="C39T30Lfz"/>
        <w:sz w:val="56"/>
      </w:rPr>
      <w:t></w:t>
    </w:r>
    <w:r w:rsidR="00A325B4" w:rsidRPr="00A325B4">
      <w:rPr>
        <w:rFonts w:ascii="C39T30Lfz" w:hAnsi="C39T30Lfz"/>
        <w:sz w:val="56"/>
      </w:rPr>
      <w:t></w:t>
    </w:r>
    <w:r w:rsidR="00A325B4" w:rsidRPr="00A325B4">
      <w:rPr>
        <w:rFonts w:ascii="C39T30Lfz" w:hAnsi="C39T30Lfz"/>
        <w:sz w:val="56"/>
      </w:rPr>
      <w:t></w:t>
    </w:r>
    <w:r w:rsidR="00A325B4" w:rsidRPr="00A325B4">
      <w:rPr>
        <w:rFonts w:ascii="C39T30Lfz" w:hAnsi="C39T30Lfz"/>
        <w:sz w:val="56"/>
      </w:rPr>
      <w:t></w:t>
    </w:r>
    <w:r w:rsidR="00A325B4" w:rsidRPr="00A325B4">
      <w:rPr>
        <w:rFonts w:ascii="C39T30Lfz" w:hAnsi="C39T30Lfz"/>
        <w:sz w:val="56"/>
      </w:rPr>
      <w:t></w:t>
    </w:r>
    <w:r w:rsidR="00A325B4" w:rsidRPr="00A325B4">
      <w:rPr>
        <w:rFonts w:ascii="C39T30Lfz" w:hAnsi="C39T30Lfz"/>
        <w:sz w:val="56"/>
      </w:rPr>
      <w:t></w:t>
    </w:r>
    <w:r w:rsidR="00A325B4" w:rsidRPr="00A325B4">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109" w:rsidRPr="000B175B" w:rsidRDefault="00893109" w:rsidP="000B175B">
      <w:pPr>
        <w:tabs>
          <w:tab w:val="right" w:pos="2155"/>
        </w:tabs>
        <w:spacing w:after="80"/>
        <w:ind w:left="680"/>
        <w:rPr>
          <w:u w:val="single"/>
        </w:rPr>
      </w:pPr>
      <w:r>
        <w:rPr>
          <w:u w:val="single"/>
        </w:rPr>
        <w:tab/>
      </w:r>
    </w:p>
  </w:footnote>
  <w:footnote w:type="continuationSeparator" w:id="0">
    <w:p w:rsidR="00893109" w:rsidRPr="00FC68B7" w:rsidRDefault="00893109" w:rsidP="00FC68B7">
      <w:pPr>
        <w:tabs>
          <w:tab w:val="left" w:pos="2155"/>
        </w:tabs>
        <w:spacing w:after="80"/>
        <w:ind w:left="680"/>
        <w:rPr>
          <w:u w:val="single"/>
        </w:rPr>
      </w:pPr>
      <w:r>
        <w:rPr>
          <w:u w:val="single"/>
        </w:rPr>
        <w:tab/>
      </w:r>
    </w:p>
  </w:footnote>
  <w:footnote w:type="continuationNotice" w:id="1">
    <w:p w:rsidR="00893109" w:rsidRDefault="00893109"/>
  </w:footnote>
  <w:footnote w:id="2">
    <w:p w:rsidR="00A325B4" w:rsidRPr="00C05771" w:rsidRDefault="00A325B4" w:rsidP="004F094C">
      <w:pPr>
        <w:pStyle w:val="FootnoteText"/>
        <w:rPr>
          <w:lang w:val="en-US"/>
        </w:rPr>
      </w:pPr>
      <w:r>
        <w:rPr>
          <w:rStyle w:val="FootnoteReference"/>
        </w:rPr>
        <w:t>*</w:t>
      </w:r>
      <w:r>
        <w:t xml:space="preserve"> </w:t>
      </w:r>
      <w:r>
        <w:rPr>
          <w:lang w:val="en-US"/>
        </w:rPr>
        <w:t>Reissued for technical reasons on 9 May 2014.</w:t>
      </w:r>
    </w:p>
  </w:footnote>
  <w:footnote w:id="3">
    <w:p w:rsidR="00A325B4" w:rsidRPr="00FD41E2" w:rsidRDefault="00A325B4">
      <w:pPr>
        <w:pStyle w:val="FootnoteText"/>
        <w:rPr>
          <w:bCs/>
          <w:szCs w:val="18"/>
          <w:lang w:val="en-US"/>
        </w:rPr>
      </w:pPr>
      <w:r w:rsidRPr="00202716">
        <w:rPr>
          <w:rStyle w:val="FootnoteReference"/>
          <w:sz w:val="20"/>
        </w:rPr>
        <w:tab/>
      </w:r>
      <w:r w:rsidRPr="00FD41E2">
        <w:rPr>
          <w:rStyle w:val="FootnoteReference"/>
          <w:sz w:val="20"/>
          <w:vertAlign w:val="baseline"/>
        </w:rPr>
        <w:t>*</w:t>
      </w:r>
      <w:r w:rsidRPr="00FD41E2">
        <w:tab/>
      </w:r>
      <w:r w:rsidRPr="00FD41E2">
        <w:rPr>
          <w:szCs w:val="18"/>
        </w:rPr>
        <w:t xml:space="preserve">The following members of the Committee participated in the examination of the present communication: Mr. Yadh Ben Achour, </w:t>
      </w:r>
      <w:r w:rsidRPr="00FD41E2">
        <w:rPr>
          <w:bCs/>
          <w:szCs w:val="18"/>
        </w:rPr>
        <w:t xml:space="preserve">Mr. Lazhari Bouzid, </w:t>
      </w:r>
      <w:r w:rsidRPr="00FD41E2">
        <w:rPr>
          <w:bCs/>
          <w:szCs w:val="18"/>
          <w:lang w:val="en-US"/>
        </w:rPr>
        <w:t xml:space="preserve">Ms. Christine Chanet, </w:t>
      </w:r>
      <w:r w:rsidRPr="00FD41E2">
        <w:rPr>
          <w:bCs/>
          <w:szCs w:val="18"/>
        </w:rPr>
        <w:t xml:space="preserve">Mr. Cornelis Flinterman, Mr. Yuji Iwasawa, Mr. Walter Kälin, Ms. Zonke Zanele Majodina, Mr. Victor Manuel Rodríguez-Rescia, </w:t>
      </w:r>
      <w:r w:rsidRPr="00FD41E2">
        <w:rPr>
          <w:bCs/>
          <w:szCs w:val="18"/>
          <w:lang w:val="en-US"/>
        </w:rPr>
        <w:t xml:space="preserve">Mr. Fabian Omar Salvioli, Ms. Anja Seibert-Fohr, Mr. Yuval Shany, </w:t>
      </w:r>
      <w:r w:rsidRPr="00FD41E2">
        <w:rPr>
          <w:bCs/>
          <w:szCs w:val="18"/>
        </w:rPr>
        <w:t xml:space="preserve">Ms. Margo Waterval and </w:t>
      </w:r>
      <w:r w:rsidRPr="00FD41E2">
        <w:rPr>
          <w:bCs/>
          <w:szCs w:val="18"/>
          <w:lang w:val="en-US"/>
        </w:rPr>
        <w:t>Mr. Andrei Paul Zlatescu.</w:t>
      </w:r>
    </w:p>
    <w:p w:rsidR="00A325B4" w:rsidRPr="00FD41E2" w:rsidRDefault="00A325B4">
      <w:pPr>
        <w:pStyle w:val="FootnoteText"/>
        <w:rPr>
          <w:lang w:val="en-US"/>
        </w:rPr>
      </w:pPr>
      <w:r w:rsidRPr="00FD41E2">
        <w:rPr>
          <w:bCs/>
          <w:szCs w:val="18"/>
          <w:lang w:val="en-US"/>
        </w:rPr>
        <w:tab/>
      </w:r>
      <w:r w:rsidRPr="00FD41E2">
        <w:rPr>
          <w:bCs/>
          <w:szCs w:val="18"/>
          <w:lang w:val="en-US"/>
        </w:rPr>
        <w:tab/>
      </w:r>
      <w:r w:rsidRPr="00FD41E2">
        <w:rPr>
          <w:bCs/>
          <w:szCs w:val="18"/>
        </w:rPr>
        <w:t xml:space="preserve">In accordance with </w:t>
      </w:r>
      <w:r w:rsidRPr="00FD41E2">
        <w:t xml:space="preserve">article 91 of the Committee’s rules of procedure, </w:t>
      </w:r>
      <w:r w:rsidRPr="00FD41E2">
        <w:rPr>
          <w:bCs/>
          <w:szCs w:val="18"/>
        </w:rPr>
        <w:t>Mr. Gerald L. Neuman and Sir Nigel Rodley</w:t>
      </w:r>
      <w:r w:rsidRPr="00FD41E2">
        <w:t>, members of the Committee, did not take part in the consideration of the communication.</w:t>
      </w:r>
    </w:p>
  </w:footnote>
  <w:footnote w:id="4">
    <w:p w:rsidR="00A325B4" w:rsidRPr="00FD41E2" w:rsidRDefault="00A325B4" w:rsidP="009D14AD">
      <w:pPr>
        <w:pStyle w:val="FootnoteText"/>
        <w:rPr>
          <w:szCs w:val="18"/>
        </w:rPr>
      </w:pPr>
      <w:r w:rsidRPr="00FD41E2">
        <w:rPr>
          <w:szCs w:val="18"/>
        </w:rPr>
        <w:tab/>
      </w:r>
      <w:r w:rsidRPr="00FD41E2">
        <w:rPr>
          <w:rStyle w:val="FootnoteReference"/>
        </w:rPr>
        <w:footnoteRef/>
      </w:r>
      <w:r w:rsidRPr="00FD41E2">
        <w:rPr>
          <w:szCs w:val="18"/>
        </w:rPr>
        <w:t xml:space="preserve"> </w:t>
      </w:r>
      <w:r w:rsidRPr="00FD41E2">
        <w:rPr>
          <w:szCs w:val="18"/>
        </w:rPr>
        <w:tab/>
      </w:r>
      <w:r w:rsidRPr="00FD41E2">
        <w:rPr>
          <w:szCs w:val="18"/>
          <w:lang w:eastAsia="fr-CH"/>
        </w:rPr>
        <w:t>The Optional Protocol entered into force for the Libyan Arab Jamahiriya on 16 May 1989.</w:t>
      </w:r>
    </w:p>
  </w:footnote>
  <w:footnote w:id="5">
    <w:p w:rsidR="00A325B4" w:rsidRPr="00FD41E2" w:rsidRDefault="00A325B4" w:rsidP="00C15102">
      <w:pPr>
        <w:pStyle w:val="FootnoteText"/>
        <w:rPr>
          <w:szCs w:val="18"/>
        </w:rPr>
      </w:pPr>
      <w:r w:rsidRPr="00FD41E2">
        <w:rPr>
          <w:szCs w:val="18"/>
        </w:rPr>
        <w:tab/>
      </w:r>
      <w:r w:rsidRPr="00FD41E2">
        <w:rPr>
          <w:rStyle w:val="FootnoteReference"/>
        </w:rPr>
        <w:footnoteRef/>
      </w:r>
      <w:r w:rsidRPr="00FD41E2">
        <w:rPr>
          <w:szCs w:val="18"/>
        </w:rPr>
        <w:tab/>
        <w:t xml:space="preserve">Copies of two of the letters were submitted to the Committee. </w:t>
      </w:r>
    </w:p>
  </w:footnote>
  <w:footnote w:id="6">
    <w:p w:rsidR="00A325B4" w:rsidRPr="00FD41E2" w:rsidRDefault="00A325B4" w:rsidP="00A029B2">
      <w:pPr>
        <w:pStyle w:val="FootnoteText"/>
        <w:rPr>
          <w:szCs w:val="18"/>
        </w:rPr>
      </w:pPr>
      <w:r w:rsidRPr="00FD41E2">
        <w:rPr>
          <w:szCs w:val="18"/>
        </w:rPr>
        <w:tab/>
      </w:r>
      <w:r w:rsidRPr="00FD41E2">
        <w:rPr>
          <w:rStyle w:val="FootnoteReference"/>
        </w:rPr>
        <w:footnoteRef/>
      </w:r>
      <w:r w:rsidRPr="00FD41E2">
        <w:rPr>
          <w:szCs w:val="18"/>
        </w:rPr>
        <w:tab/>
        <w:t xml:space="preserve">The testimony of </w:t>
      </w:r>
      <w:r w:rsidRPr="00FD41E2">
        <w:t>Mr. Al-Maqrif’s</w:t>
      </w:r>
      <w:r w:rsidRPr="00FD41E2" w:rsidDel="00A029B2">
        <w:rPr>
          <w:szCs w:val="18"/>
        </w:rPr>
        <w:t xml:space="preserve"> </w:t>
      </w:r>
      <w:r w:rsidRPr="00FD41E2">
        <w:rPr>
          <w:szCs w:val="18"/>
        </w:rPr>
        <w:t>brother was annexed to the communication.</w:t>
      </w:r>
    </w:p>
  </w:footnote>
  <w:footnote w:id="7">
    <w:p w:rsidR="00A325B4" w:rsidRPr="00FD41E2" w:rsidRDefault="00A325B4" w:rsidP="00C15102">
      <w:pPr>
        <w:pStyle w:val="FootnoteText"/>
        <w:rPr>
          <w:szCs w:val="18"/>
        </w:rPr>
      </w:pPr>
      <w:r w:rsidRPr="00FD41E2">
        <w:rPr>
          <w:szCs w:val="18"/>
        </w:rPr>
        <w:tab/>
      </w:r>
      <w:r w:rsidRPr="00FD41E2">
        <w:rPr>
          <w:rStyle w:val="FootnoteReference"/>
        </w:rPr>
        <w:footnoteRef/>
      </w:r>
      <w:r w:rsidRPr="00FD41E2">
        <w:rPr>
          <w:szCs w:val="18"/>
        </w:rPr>
        <w:tab/>
        <w:t>A copy of one of Mr. Matar’s letters is contained on file. This letter is undated but was presumably written in 1995.</w:t>
      </w:r>
    </w:p>
  </w:footnote>
  <w:footnote w:id="8">
    <w:p w:rsidR="00A325B4" w:rsidRPr="00FD41E2" w:rsidRDefault="00A325B4" w:rsidP="00E34917">
      <w:pPr>
        <w:pStyle w:val="FootnoteText"/>
        <w:rPr>
          <w:szCs w:val="18"/>
        </w:rPr>
      </w:pPr>
      <w:r w:rsidRPr="00FD41E2">
        <w:rPr>
          <w:szCs w:val="18"/>
        </w:rPr>
        <w:tab/>
      </w:r>
      <w:r w:rsidRPr="00FD41E2">
        <w:rPr>
          <w:rStyle w:val="FootnoteReference"/>
        </w:rPr>
        <w:footnoteRef/>
      </w:r>
      <w:r w:rsidRPr="00FD41E2">
        <w:rPr>
          <w:szCs w:val="18"/>
        </w:rPr>
        <w:tab/>
        <w:t xml:space="preserve">A copy of the letter is contained on file. </w:t>
      </w:r>
    </w:p>
  </w:footnote>
  <w:footnote w:id="9">
    <w:p w:rsidR="00A325B4" w:rsidRPr="00FD41E2" w:rsidRDefault="00A325B4" w:rsidP="00D24BE1">
      <w:pPr>
        <w:pStyle w:val="FootnoteText"/>
        <w:rPr>
          <w:szCs w:val="18"/>
        </w:rPr>
      </w:pPr>
      <w:r w:rsidRPr="00FD41E2">
        <w:rPr>
          <w:szCs w:val="18"/>
        </w:rPr>
        <w:tab/>
      </w:r>
      <w:r w:rsidRPr="00FD41E2">
        <w:rPr>
          <w:rStyle w:val="FootnoteReference"/>
        </w:rPr>
        <w:footnoteRef/>
      </w:r>
      <w:r w:rsidRPr="00FD41E2">
        <w:rPr>
          <w:szCs w:val="18"/>
        </w:rPr>
        <w:t xml:space="preserve"> </w:t>
      </w:r>
      <w:r w:rsidRPr="00FD41E2">
        <w:rPr>
          <w:szCs w:val="18"/>
        </w:rPr>
        <w:tab/>
        <w:t>Report of 12 January 1999 by the Special Rapporteur on the question of torture, (E/CN.4/1999/61, para. 448).</w:t>
      </w:r>
    </w:p>
  </w:footnote>
  <w:footnote w:id="10">
    <w:p w:rsidR="00A325B4" w:rsidRPr="00FD41E2" w:rsidRDefault="00A325B4" w:rsidP="009D14AD">
      <w:pPr>
        <w:pStyle w:val="FootnoteText"/>
        <w:rPr>
          <w:szCs w:val="18"/>
        </w:rPr>
      </w:pPr>
      <w:r w:rsidRPr="00FD41E2">
        <w:rPr>
          <w:szCs w:val="18"/>
        </w:rPr>
        <w:tab/>
      </w:r>
      <w:r w:rsidRPr="00FD41E2">
        <w:rPr>
          <w:rStyle w:val="FootnoteReference"/>
        </w:rPr>
        <w:footnoteRef/>
      </w:r>
      <w:r w:rsidRPr="00FD41E2">
        <w:rPr>
          <w:szCs w:val="18"/>
        </w:rPr>
        <w:t xml:space="preserve"> </w:t>
      </w:r>
      <w:r w:rsidRPr="00FD41E2">
        <w:rPr>
          <w:szCs w:val="18"/>
        </w:rPr>
        <w:tab/>
        <w:t>In the absence of more specific information, this request for interim measures was not granted by the Committee.</w:t>
      </w:r>
    </w:p>
  </w:footnote>
  <w:footnote w:id="11">
    <w:p w:rsidR="00A325B4" w:rsidRPr="00FD41E2" w:rsidRDefault="00A325B4" w:rsidP="008871DB">
      <w:pPr>
        <w:tabs>
          <w:tab w:val="right" w:pos="1021"/>
        </w:tabs>
        <w:suppressAutoHyphens w:val="0"/>
        <w:autoSpaceDE w:val="0"/>
        <w:autoSpaceDN w:val="0"/>
        <w:adjustRightInd w:val="0"/>
        <w:spacing w:line="220" w:lineRule="exact"/>
        <w:ind w:left="1134" w:right="1134" w:hanging="1134"/>
        <w:rPr>
          <w:sz w:val="18"/>
          <w:szCs w:val="18"/>
        </w:rPr>
      </w:pPr>
      <w:r w:rsidRPr="00FD41E2">
        <w:rPr>
          <w:sz w:val="18"/>
          <w:szCs w:val="18"/>
        </w:rPr>
        <w:tab/>
      </w:r>
      <w:r w:rsidRPr="00FD41E2">
        <w:rPr>
          <w:rStyle w:val="FootnoteReference"/>
        </w:rPr>
        <w:footnoteRef/>
      </w:r>
      <w:r w:rsidRPr="00FD41E2">
        <w:rPr>
          <w:sz w:val="18"/>
          <w:szCs w:val="18"/>
        </w:rPr>
        <w:t xml:space="preserve"> </w:t>
      </w:r>
      <w:r w:rsidRPr="00FD41E2">
        <w:rPr>
          <w:sz w:val="18"/>
          <w:szCs w:val="18"/>
        </w:rPr>
        <w:tab/>
        <w:t xml:space="preserve">See, inter alia, communications No. 1913/2009, </w:t>
      </w:r>
      <w:r w:rsidRPr="00FD41E2">
        <w:rPr>
          <w:i/>
          <w:sz w:val="18"/>
          <w:szCs w:val="18"/>
        </w:rPr>
        <w:t xml:space="preserve">Abushaala </w:t>
      </w:r>
      <w:r w:rsidRPr="00FD41E2">
        <w:rPr>
          <w:iCs/>
          <w:sz w:val="18"/>
          <w:szCs w:val="18"/>
        </w:rPr>
        <w:t>v.</w:t>
      </w:r>
      <w:r w:rsidRPr="00FD41E2">
        <w:rPr>
          <w:i/>
          <w:sz w:val="18"/>
          <w:szCs w:val="18"/>
        </w:rPr>
        <w:t xml:space="preserve"> </w:t>
      </w:r>
      <w:smartTag w:uri="urn:schemas-microsoft-com:office:smarttags" w:element="place">
        <w:smartTag w:uri="urn:schemas-microsoft-com:office:smarttags" w:element="country-region">
          <w:r w:rsidRPr="00FD41E2">
            <w:rPr>
              <w:i/>
              <w:sz w:val="18"/>
              <w:szCs w:val="18"/>
            </w:rPr>
            <w:t>Libya</w:t>
          </w:r>
        </w:smartTag>
      </w:smartTag>
      <w:r w:rsidRPr="00FD41E2">
        <w:rPr>
          <w:sz w:val="18"/>
          <w:szCs w:val="18"/>
        </w:rPr>
        <w:t xml:space="preserve">, Views adopted on 18 March 2013, para. 6.1; No. 1751/2008, </w:t>
      </w:r>
      <w:r w:rsidRPr="00FD41E2">
        <w:rPr>
          <w:i/>
          <w:sz w:val="18"/>
          <w:szCs w:val="18"/>
        </w:rPr>
        <w:t xml:space="preserve">Aboussedra </w:t>
      </w:r>
      <w:r w:rsidRPr="00FD41E2">
        <w:rPr>
          <w:iCs/>
          <w:sz w:val="18"/>
          <w:szCs w:val="18"/>
        </w:rPr>
        <w:t>v.</w:t>
      </w:r>
      <w:r w:rsidRPr="00FD41E2">
        <w:rPr>
          <w:i/>
          <w:sz w:val="18"/>
          <w:szCs w:val="18"/>
        </w:rPr>
        <w:t xml:space="preserve"> Libyan Arab Jamahiriya</w:t>
      </w:r>
      <w:r w:rsidRPr="00FD41E2">
        <w:rPr>
          <w:sz w:val="18"/>
          <w:szCs w:val="18"/>
        </w:rPr>
        <w:t xml:space="preserve">, Views adopted on 25 October 2010, para. 4; No. 1640/2007, </w:t>
      </w:r>
      <w:r w:rsidRPr="00FD41E2">
        <w:rPr>
          <w:i/>
          <w:sz w:val="18"/>
          <w:szCs w:val="18"/>
        </w:rPr>
        <w:t xml:space="preserve">El Abani </w:t>
      </w:r>
      <w:r w:rsidRPr="00FD41E2">
        <w:rPr>
          <w:iCs/>
          <w:sz w:val="18"/>
          <w:szCs w:val="18"/>
        </w:rPr>
        <w:t>v.</w:t>
      </w:r>
      <w:r w:rsidRPr="00FD41E2">
        <w:rPr>
          <w:i/>
          <w:sz w:val="18"/>
          <w:szCs w:val="18"/>
        </w:rPr>
        <w:t xml:space="preserve"> Libyan Arab Jamahiriya</w:t>
      </w:r>
      <w:r w:rsidRPr="00FD41E2">
        <w:rPr>
          <w:sz w:val="18"/>
          <w:szCs w:val="18"/>
        </w:rPr>
        <w:t xml:space="preserve">, Views adopted on 26 July 2010, para. 4; No. 1776/2008, </w:t>
      </w:r>
      <w:r w:rsidRPr="00FD41E2">
        <w:rPr>
          <w:i/>
          <w:sz w:val="18"/>
          <w:szCs w:val="18"/>
        </w:rPr>
        <w:t xml:space="preserve">Bashasha </w:t>
      </w:r>
      <w:r w:rsidRPr="00FD41E2">
        <w:rPr>
          <w:iCs/>
          <w:sz w:val="18"/>
          <w:szCs w:val="18"/>
        </w:rPr>
        <w:t>v.</w:t>
      </w:r>
      <w:r w:rsidRPr="00FD41E2">
        <w:rPr>
          <w:i/>
          <w:sz w:val="18"/>
          <w:szCs w:val="18"/>
        </w:rPr>
        <w:t xml:space="preserve"> Libyan Arab Jamahiriya</w:t>
      </w:r>
      <w:r w:rsidRPr="00FD41E2">
        <w:rPr>
          <w:sz w:val="18"/>
          <w:szCs w:val="18"/>
        </w:rPr>
        <w:t xml:space="preserve">, Views adopted on 20 October 2010, para. 4.2; No. 1422/2005, </w:t>
      </w:r>
      <w:r w:rsidRPr="00FD41E2">
        <w:rPr>
          <w:i/>
          <w:sz w:val="18"/>
          <w:szCs w:val="18"/>
        </w:rPr>
        <w:t xml:space="preserve">El Hassy </w:t>
      </w:r>
      <w:r w:rsidRPr="00FD41E2">
        <w:rPr>
          <w:iCs/>
          <w:sz w:val="18"/>
          <w:szCs w:val="18"/>
        </w:rPr>
        <w:t>v.</w:t>
      </w:r>
      <w:r w:rsidRPr="00FD41E2">
        <w:rPr>
          <w:i/>
          <w:sz w:val="18"/>
          <w:szCs w:val="18"/>
        </w:rPr>
        <w:t xml:space="preserve"> Libyan Arab Jamahiriya</w:t>
      </w:r>
      <w:r w:rsidRPr="00FD41E2">
        <w:rPr>
          <w:sz w:val="18"/>
          <w:szCs w:val="18"/>
        </w:rPr>
        <w:t xml:space="preserve">, Views adopted on 24 October 2007, para. 4; No. 1295/2004, </w:t>
      </w:r>
      <w:r w:rsidRPr="00FD41E2">
        <w:rPr>
          <w:i/>
          <w:sz w:val="18"/>
          <w:szCs w:val="18"/>
        </w:rPr>
        <w:t xml:space="preserve">El Alwani </w:t>
      </w:r>
      <w:r w:rsidRPr="00FD41E2">
        <w:rPr>
          <w:iCs/>
          <w:sz w:val="18"/>
          <w:szCs w:val="18"/>
        </w:rPr>
        <w:t>v.</w:t>
      </w:r>
      <w:r w:rsidRPr="00FD41E2">
        <w:rPr>
          <w:i/>
          <w:sz w:val="18"/>
          <w:szCs w:val="18"/>
        </w:rPr>
        <w:t xml:space="preserve"> Libyan Arab Jamahiriya</w:t>
      </w:r>
      <w:r w:rsidRPr="00FD41E2">
        <w:rPr>
          <w:sz w:val="18"/>
          <w:szCs w:val="18"/>
        </w:rPr>
        <w:t xml:space="preserve">, Views adopted on 11 July 2007, para. 4; No. 1208/2003, </w:t>
      </w:r>
      <w:r w:rsidRPr="00FD41E2">
        <w:rPr>
          <w:i/>
          <w:sz w:val="18"/>
          <w:szCs w:val="18"/>
        </w:rPr>
        <w:t xml:space="preserve">Kurbonov </w:t>
      </w:r>
      <w:r w:rsidRPr="00FD41E2">
        <w:rPr>
          <w:iCs/>
          <w:sz w:val="18"/>
          <w:szCs w:val="18"/>
        </w:rPr>
        <w:t>v.</w:t>
      </w:r>
      <w:r w:rsidRPr="00FD41E2">
        <w:rPr>
          <w:i/>
          <w:sz w:val="18"/>
          <w:szCs w:val="18"/>
        </w:rPr>
        <w:t xml:space="preserve"> </w:t>
      </w:r>
      <w:smartTag w:uri="urn:schemas-microsoft-com:office:smarttags" w:element="place">
        <w:smartTag w:uri="urn:schemas-microsoft-com:office:smarttags" w:element="country-region">
          <w:r w:rsidRPr="00FD41E2">
            <w:rPr>
              <w:i/>
              <w:sz w:val="18"/>
              <w:szCs w:val="18"/>
            </w:rPr>
            <w:t>Tajikistan</w:t>
          </w:r>
        </w:smartTag>
      </w:smartTag>
      <w:r w:rsidRPr="00FD41E2">
        <w:rPr>
          <w:sz w:val="18"/>
          <w:szCs w:val="18"/>
        </w:rPr>
        <w:t xml:space="preserve">, Views adopted on 16 March 2006, para. 4; and No. 760/1997, </w:t>
      </w:r>
      <w:r w:rsidRPr="00FD41E2">
        <w:rPr>
          <w:i/>
          <w:sz w:val="18"/>
          <w:szCs w:val="18"/>
        </w:rPr>
        <w:t xml:space="preserve">Diergaardt et al. </w:t>
      </w:r>
      <w:r w:rsidRPr="00FD41E2">
        <w:rPr>
          <w:iCs/>
          <w:sz w:val="18"/>
          <w:szCs w:val="18"/>
        </w:rPr>
        <w:t>v.</w:t>
      </w:r>
      <w:r w:rsidRPr="00FD41E2">
        <w:rPr>
          <w:i/>
          <w:sz w:val="18"/>
          <w:szCs w:val="18"/>
        </w:rPr>
        <w:t xml:space="preserve"> </w:t>
      </w:r>
      <w:smartTag w:uri="urn:schemas-microsoft-com:office:smarttags" w:element="place">
        <w:smartTag w:uri="urn:schemas-microsoft-com:office:smarttags" w:element="country-region">
          <w:r w:rsidRPr="00FD41E2">
            <w:rPr>
              <w:i/>
              <w:sz w:val="18"/>
              <w:szCs w:val="18"/>
            </w:rPr>
            <w:t>Namibia</w:t>
          </w:r>
        </w:smartTag>
      </w:smartTag>
      <w:r w:rsidRPr="00FD41E2">
        <w:rPr>
          <w:sz w:val="18"/>
          <w:szCs w:val="18"/>
        </w:rPr>
        <w:t>, Views adopted on 25 July 2000, para. 10.2.</w:t>
      </w:r>
    </w:p>
  </w:footnote>
  <w:footnote w:id="12">
    <w:p w:rsidR="00A325B4" w:rsidRPr="00FD41E2" w:rsidRDefault="00A325B4" w:rsidP="00B162F6">
      <w:pPr>
        <w:tabs>
          <w:tab w:val="right" w:pos="1021"/>
        </w:tabs>
        <w:suppressAutoHyphens w:val="0"/>
        <w:autoSpaceDE w:val="0"/>
        <w:autoSpaceDN w:val="0"/>
        <w:adjustRightInd w:val="0"/>
        <w:spacing w:line="220" w:lineRule="exact"/>
        <w:ind w:left="1134" w:right="1134" w:hanging="1134"/>
        <w:rPr>
          <w:sz w:val="18"/>
          <w:szCs w:val="18"/>
          <w:lang w:eastAsia="en-GB"/>
        </w:rPr>
      </w:pPr>
      <w:r w:rsidRPr="00FD41E2">
        <w:rPr>
          <w:sz w:val="18"/>
          <w:szCs w:val="18"/>
        </w:rPr>
        <w:tab/>
      </w:r>
      <w:r w:rsidRPr="00FD41E2">
        <w:rPr>
          <w:rStyle w:val="FootnoteReference"/>
        </w:rPr>
        <w:footnoteRef/>
      </w:r>
      <w:r w:rsidRPr="00FD41E2">
        <w:rPr>
          <w:sz w:val="18"/>
          <w:szCs w:val="18"/>
        </w:rPr>
        <w:t xml:space="preserve"> </w:t>
      </w:r>
      <w:r w:rsidRPr="00FD41E2">
        <w:rPr>
          <w:sz w:val="18"/>
          <w:szCs w:val="18"/>
        </w:rPr>
        <w:tab/>
        <w:t xml:space="preserve">See, inter alia, communications No. 1781/2008, </w:t>
      </w:r>
      <w:r w:rsidRPr="00FD41E2">
        <w:rPr>
          <w:i/>
          <w:sz w:val="18"/>
          <w:szCs w:val="18"/>
        </w:rPr>
        <w:t xml:space="preserve">Berzig </w:t>
      </w:r>
      <w:r w:rsidRPr="00FD41E2">
        <w:rPr>
          <w:iCs/>
          <w:sz w:val="18"/>
          <w:szCs w:val="18"/>
        </w:rPr>
        <w:t>v.</w:t>
      </w:r>
      <w:r w:rsidRPr="00FD41E2">
        <w:rPr>
          <w:i/>
          <w:sz w:val="18"/>
          <w:szCs w:val="18"/>
        </w:rPr>
        <w:t xml:space="preserve"> </w:t>
      </w:r>
      <w:smartTag w:uri="urn:schemas-microsoft-com:office:smarttags" w:element="place">
        <w:smartTag w:uri="urn:schemas-microsoft-com:office:smarttags" w:element="country-region">
          <w:r w:rsidRPr="00FD41E2">
            <w:rPr>
              <w:i/>
              <w:sz w:val="18"/>
              <w:szCs w:val="18"/>
            </w:rPr>
            <w:t>Algeria</w:t>
          </w:r>
        </w:smartTag>
      </w:smartTag>
      <w:r w:rsidRPr="00FD41E2">
        <w:rPr>
          <w:sz w:val="18"/>
          <w:szCs w:val="18"/>
        </w:rPr>
        <w:t xml:space="preserve">, Views adopted on 31 October 2011, para. 7.2; No. 1776/2008, </w:t>
      </w:r>
      <w:r w:rsidRPr="00FD41E2">
        <w:rPr>
          <w:i/>
          <w:sz w:val="18"/>
          <w:szCs w:val="18"/>
        </w:rPr>
        <w:t xml:space="preserve">Bashasha </w:t>
      </w:r>
      <w:r w:rsidRPr="00FD41E2">
        <w:rPr>
          <w:iCs/>
          <w:sz w:val="18"/>
          <w:szCs w:val="18"/>
        </w:rPr>
        <w:t>v.</w:t>
      </w:r>
      <w:r w:rsidRPr="00FD41E2">
        <w:rPr>
          <w:i/>
          <w:sz w:val="18"/>
          <w:szCs w:val="18"/>
        </w:rPr>
        <w:t xml:space="preserve"> Libyan Arab Jamahiriya</w:t>
      </w:r>
      <w:r w:rsidRPr="00FD41E2">
        <w:rPr>
          <w:sz w:val="18"/>
          <w:szCs w:val="18"/>
        </w:rPr>
        <w:t xml:space="preserve"> (see footnote 8), para. 6.2; and No. 540/1993, </w:t>
      </w:r>
      <w:r w:rsidRPr="00FD41E2">
        <w:rPr>
          <w:i/>
          <w:sz w:val="18"/>
          <w:szCs w:val="18"/>
        </w:rPr>
        <w:t xml:space="preserve">Celis Laureano </w:t>
      </w:r>
      <w:r w:rsidRPr="00FD41E2">
        <w:rPr>
          <w:iCs/>
          <w:sz w:val="18"/>
          <w:szCs w:val="18"/>
        </w:rPr>
        <w:t>v.</w:t>
      </w:r>
      <w:r w:rsidRPr="00FD41E2">
        <w:rPr>
          <w:i/>
          <w:sz w:val="18"/>
          <w:szCs w:val="18"/>
        </w:rPr>
        <w:t xml:space="preserve"> </w:t>
      </w:r>
      <w:smartTag w:uri="urn:schemas-microsoft-com:office:smarttags" w:element="place">
        <w:smartTag w:uri="urn:schemas-microsoft-com:office:smarttags" w:element="country-region">
          <w:r w:rsidRPr="00FD41E2">
            <w:rPr>
              <w:i/>
              <w:sz w:val="18"/>
              <w:szCs w:val="18"/>
            </w:rPr>
            <w:t>Peru</w:t>
          </w:r>
        </w:smartTag>
      </w:smartTag>
      <w:r w:rsidRPr="00FD41E2">
        <w:rPr>
          <w:i/>
          <w:sz w:val="18"/>
          <w:szCs w:val="18"/>
        </w:rPr>
        <w:t>,</w:t>
      </w:r>
      <w:r w:rsidRPr="00FD41E2">
        <w:rPr>
          <w:sz w:val="18"/>
          <w:szCs w:val="18"/>
        </w:rPr>
        <w:t xml:space="preserve"> </w:t>
      </w:r>
      <w:r w:rsidRPr="00FD41E2">
        <w:rPr>
          <w:sz w:val="18"/>
          <w:szCs w:val="18"/>
          <w:lang w:eastAsia="en-GB"/>
        </w:rPr>
        <w:t xml:space="preserve">Views adopted on 25 March 1996, </w:t>
      </w:r>
      <w:r w:rsidRPr="00FD41E2">
        <w:rPr>
          <w:sz w:val="18"/>
          <w:szCs w:val="18"/>
        </w:rPr>
        <w:t>para. 7.1.</w:t>
      </w:r>
    </w:p>
  </w:footnote>
  <w:footnote w:id="13">
    <w:p w:rsidR="00A325B4" w:rsidRPr="00FD41E2" w:rsidRDefault="00A325B4" w:rsidP="00B162F6">
      <w:pPr>
        <w:pStyle w:val="FootnoteText"/>
        <w:rPr>
          <w:szCs w:val="18"/>
          <w:lang w:eastAsia="en-GB"/>
        </w:rPr>
      </w:pPr>
      <w:r w:rsidRPr="00FD41E2">
        <w:rPr>
          <w:szCs w:val="18"/>
        </w:rPr>
        <w:tab/>
      </w:r>
      <w:r w:rsidRPr="00FD41E2">
        <w:rPr>
          <w:rStyle w:val="FootnoteReference"/>
        </w:rPr>
        <w:footnoteRef/>
      </w:r>
      <w:r w:rsidRPr="00FD41E2">
        <w:rPr>
          <w:szCs w:val="18"/>
          <w:lang w:val="en-US"/>
        </w:rPr>
        <w:t xml:space="preserve"> </w:t>
      </w:r>
      <w:r w:rsidRPr="00FD41E2">
        <w:rPr>
          <w:szCs w:val="18"/>
          <w:lang w:val="en-US"/>
        </w:rPr>
        <w:tab/>
        <w:t xml:space="preserve">See </w:t>
      </w:r>
      <w:r w:rsidRPr="00FD41E2">
        <w:rPr>
          <w:szCs w:val="18"/>
          <w:lang w:val="en-US" w:eastAsia="en-GB"/>
        </w:rPr>
        <w:t xml:space="preserve">communications No. 1422/2005, </w:t>
      </w:r>
      <w:r w:rsidRPr="00FD41E2">
        <w:rPr>
          <w:i/>
          <w:szCs w:val="18"/>
          <w:lang w:val="en-US" w:eastAsia="en-GB"/>
        </w:rPr>
        <w:t xml:space="preserve">El Hassy </w:t>
      </w:r>
      <w:r w:rsidRPr="00FD41E2">
        <w:rPr>
          <w:szCs w:val="18"/>
          <w:lang w:val="en-US" w:eastAsia="en-GB"/>
        </w:rPr>
        <w:t>v.</w:t>
      </w:r>
      <w:r w:rsidRPr="00FD41E2">
        <w:rPr>
          <w:i/>
          <w:szCs w:val="18"/>
          <w:lang w:val="en-US" w:eastAsia="en-GB"/>
        </w:rPr>
        <w:t xml:space="preserve"> Libyan Arab Jamahiriya</w:t>
      </w:r>
      <w:r w:rsidRPr="00FD41E2">
        <w:rPr>
          <w:szCs w:val="18"/>
          <w:lang w:val="en-US" w:eastAsia="en-GB"/>
        </w:rPr>
        <w:t xml:space="preserve"> (see footnote 8), para. </w:t>
      </w:r>
      <w:r w:rsidRPr="00FD41E2">
        <w:rPr>
          <w:szCs w:val="18"/>
          <w:lang w:eastAsia="en-GB"/>
        </w:rPr>
        <w:t xml:space="preserve">6.7; No. 1297/2004, </w:t>
      </w:r>
      <w:r w:rsidRPr="00FD41E2">
        <w:rPr>
          <w:i/>
          <w:szCs w:val="18"/>
          <w:lang w:eastAsia="en-GB"/>
        </w:rPr>
        <w:t xml:space="preserve">Medjnoune </w:t>
      </w:r>
      <w:r w:rsidRPr="00FD41E2">
        <w:rPr>
          <w:szCs w:val="18"/>
          <w:lang w:eastAsia="en-GB"/>
        </w:rPr>
        <w:t>v.</w:t>
      </w:r>
      <w:r w:rsidRPr="00FD41E2">
        <w:rPr>
          <w:i/>
          <w:szCs w:val="18"/>
          <w:lang w:eastAsia="en-GB"/>
        </w:rPr>
        <w:t xml:space="preserve"> </w:t>
      </w:r>
      <w:smartTag w:uri="urn:schemas-microsoft-com:office:smarttags" w:element="place">
        <w:smartTag w:uri="urn:schemas-microsoft-com:office:smarttags" w:element="country-region">
          <w:r w:rsidRPr="00FD41E2">
            <w:rPr>
              <w:i/>
              <w:szCs w:val="18"/>
              <w:lang w:eastAsia="en-GB"/>
            </w:rPr>
            <w:t>Algeria</w:t>
          </w:r>
        </w:smartTag>
      </w:smartTag>
      <w:r w:rsidRPr="00FD41E2">
        <w:rPr>
          <w:szCs w:val="18"/>
          <w:lang w:eastAsia="en-GB"/>
        </w:rPr>
        <w:t xml:space="preserve">, Views adopted on 14 July 2006, para. 8.3; and No. 1804/2008, </w:t>
      </w:r>
      <w:r w:rsidRPr="00FD41E2">
        <w:rPr>
          <w:i/>
          <w:szCs w:val="18"/>
          <w:lang w:eastAsia="en-GB"/>
        </w:rPr>
        <w:t xml:space="preserve">Il Khwildy </w:t>
      </w:r>
      <w:r w:rsidRPr="00FD41E2">
        <w:rPr>
          <w:iCs/>
          <w:szCs w:val="18"/>
          <w:lang w:eastAsia="en-GB"/>
        </w:rPr>
        <w:t>v.</w:t>
      </w:r>
      <w:r w:rsidRPr="00FD41E2">
        <w:rPr>
          <w:i/>
          <w:szCs w:val="18"/>
          <w:lang w:eastAsia="en-GB"/>
        </w:rPr>
        <w:t xml:space="preserve"> </w:t>
      </w:r>
      <w:smartTag w:uri="urn:schemas-microsoft-com:office:smarttags" w:element="place">
        <w:smartTag w:uri="urn:schemas-microsoft-com:office:smarttags" w:element="country-region">
          <w:r w:rsidRPr="00FD41E2">
            <w:rPr>
              <w:i/>
              <w:szCs w:val="18"/>
              <w:lang w:eastAsia="en-GB"/>
            </w:rPr>
            <w:t>Libya</w:t>
          </w:r>
        </w:smartTag>
      </w:smartTag>
      <w:r w:rsidRPr="00FD41E2">
        <w:rPr>
          <w:szCs w:val="18"/>
          <w:lang w:eastAsia="en-GB"/>
        </w:rPr>
        <w:t>, Views adopted on 1 November 2012, para. 7.2.</w:t>
      </w:r>
    </w:p>
  </w:footnote>
  <w:footnote w:id="14">
    <w:p w:rsidR="00A325B4" w:rsidRPr="00FD41E2" w:rsidRDefault="00A325B4" w:rsidP="00B162F6">
      <w:pPr>
        <w:pStyle w:val="FootnoteText"/>
        <w:rPr>
          <w:szCs w:val="18"/>
        </w:rPr>
      </w:pPr>
      <w:r w:rsidRPr="00FD41E2">
        <w:rPr>
          <w:szCs w:val="18"/>
        </w:rPr>
        <w:tab/>
      </w:r>
      <w:r w:rsidRPr="00FD41E2">
        <w:rPr>
          <w:rStyle w:val="FootnoteReference"/>
        </w:rPr>
        <w:footnoteRef/>
      </w:r>
      <w:r w:rsidRPr="00FD41E2">
        <w:rPr>
          <w:szCs w:val="18"/>
        </w:rPr>
        <w:t xml:space="preserve"> </w:t>
      </w:r>
      <w:r w:rsidRPr="00FD41E2">
        <w:rPr>
          <w:szCs w:val="18"/>
        </w:rPr>
        <w:tab/>
        <w:t xml:space="preserve">See communication No. 1913/2009, </w:t>
      </w:r>
      <w:r w:rsidRPr="00FD41E2">
        <w:rPr>
          <w:i/>
          <w:szCs w:val="18"/>
        </w:rPr>
        <w:t xml:space="preserve">Abushaala </w:t>
      </w:r>
      <w:r w:rsidRPr="00FD41E2">
        <w:rPr>
          <w:szCs w:val="18"/>
        </w:rPr>
        <w:t>v.</w:t>
      </w:r>
      <w:r w:rsidRPr="00FD41E2">
        <w:rPr>
          <w:i/>
          <w:szCs w:val="18"/>
        </w:rPr>
        <w:t xml:space="preserve"> </w:t>
      </w:r>
      <w:smartTag w:uri="urn:schemas-microsoft-com:office:smarttags" w:element="place">
        <w:smartTag w:uri="urn:schemas-microsoft-com:office:smarttags" w:element="country-region">
          <w:r w:rsidRPr="00FD41E2">
            <w:rPr>
              <w:i/>
              <w:szCs w:val="18"/>
            </w:rPr>
            <w:t>Libya</w:t>
          </w:r>
        </w:smartTag>
      </w:smartTag>
      <w:r w:rsidRPr="00FD41E2">
        <w:rPr>
          <w:i/>
          <w:szCs w:val="18"/>
        </w:rPr>
        <w:t xml:space="preserve"> </w:t>
      </w:r>
      <w:r w:rsidRPr="00FD41E2">
        <w:rPr>
          <w:iCs/>
          <w:szCs w:val="18"/>
        </w:rPr>
        <w:t>(see footnote 8)</w:t>
      </w:r>
      <w:r w:rsidRPr="00FD41E2">
        <w:rPr>
          <w:szCs w:val="18"/>
        </w:rPr>
        <w:t>, para. 6.2.</w:t>
      </w:r>
    </w:p>
  </w:footnote>
  <w:footnote w:id="15">
    <w:p w:rsidR="00A325B4" w:rsidRPr="00FD41E2" w:rsidRDefault="00A325B4" w:rsidP="00D24BE1">
      <w:pPr>
        <w:pStyle w:val="FootnoteText"/>
        <w:rPr>
          <w:lang w:val="en-US"/>
        </w:rPr>
      </w:pPr>
      <w:r w:rsidRPr="00FD41E2">
        <w:tab/>
      </w:r>
      <w:r w:rsidRPr="00FD41E2">
        <w:rPr>
          <w:rStyle w:val="FootnoteReference"/>
        </w:rPr>
        <w:footnoteRef/>
      </w:r>
      <w:r w:rsidRPr="00FD41E2">
        <w:rPr>
          <w:lang w:val="en-US"/>
        </w:rPr>
        <w:t xml:space="preserve"> </w:t>
      </w:r>
      <w:r w:rsidRPr="00FD41E2">
        <w:rPr>
          <w:lang w:val="en-US"/>
        </w:rPr>
        <w:tab/>
      </w:r>
      <w:r w:rsidRPr="00FD41E2">
        <w:rPr>
          <w:szCs w:val="18"/>
          <w:lang w:val="en-US"/>
        </w:rPr>
        <w:t>See E/CN.4/1999/61, para. 448 (see footnote 6).</w:t>
      </w:r>
    </w:p>
  </w:footnote>
  <w:footnote w:id="16">
    <w:p w:rsidR="00A325B4" w:rsidRPr="00FD41E2" w:rsidRDefault="00A325B4" w:rsidP="00B162F6">
      <w:pPr>
        <w:tabs>
          <w:tab w:val="right" w:pos="1021"/>
        </w:tabs>
        <w:suppressAutoHyphens w:val="0"/>
        <w:autoSpaceDE w:val="0"/>
        <w:autoSpaceDN w:val="0"/>
        <w:adjustRightInd w:val="0"/>
        <w:spacing w:line="220" w:lineRule="exact"/>
        <w:ind w:left="1134" w:right="1134" w:hanging="1134"/>
        <w:rPr>
          <w:sz w:val="18"/>
          <w:szCs w:val="18"/>
          <w:lang w:eastAsia="en-GB"/>
        </w:rPr>
      </w:pPr>
      <w:r w:rsidRPr="00FD41E2">
        <w:rPr>
          <w:sz w:val="18"/>
          <w:szCs w:val="18"/>
          <w:lang w:val="en-US"/>
        </w:rPr>
        <w:tab/>
      </w:r>
      <w:r w:rsidRPr="00FD41E2">
        <w:rPr>
          <w:rStyle w:val="FootnoteReference"/>
        </w:rPr>
        <w:footnoteRef/>
      </w:r>
      <w:r w:rsidRPr="00FD41E2">
        <w:rPr>
          <w:sz w:val="18"/>
          <w:szCs w:val="18"/>
          <w:lang w:val="en-US"/>
        </w:rPr>
        <w:t xml:space="preserve"> </w:t>
      </w:r>
      <w:r w:rsidRPr="00FD41E2">
        <w:rPr>
          <w:sz w:val="18"/>
          <w:szCs w:val="18"/>
          <w:lang w:val="en-US"/>
        </w:rPr>
        <w:tab/>
      </w:r>
      <w:r w:rsidRPr="00FD41E2">
        <w:rPr>
          <w:sz w:val="18"/>
          <w:szCs w:val="18"/>
          <w:lang w:val="en-US" w:eastAsia="en-GB"/>
        </w:rPr>
        <w:t xml:space="preserve">See communications No. 1640/2007, </w:t>
      </w:r>
      <w:r w:rsidRPr="00FD41E2">
        <w:rPr>
          <w:i/>
          <w:iCs/>
          <w:sz w:val="18"/>
          <w:szCs w:val="18"/>
          <w:lang w:val="en-US" w:eastAsia="en-GB"/>
        </w:rPr>
        <w:t xml:space="preserve">El Abani </w:t>
      </w:r>
      <w:r w:rsidRPr="00FD41E2">
        <w:rPr>
          <w:iCs/>
          <w:sz w:val="18"/>
          <w:szCs w:val="18"/>
          <w:lang w:val="en-US" w:eastAsia="en-GB"/>
        </w:rPr>
        <w:t>v.</w:t>
      </w:r>
      <w:r w:rsidRPr="00FD41E2">
        <w:rPr>
          <w:i/>
          <w:iCs/>
          <w:sz w:val="18"/>
          <w:szCs w:val="18"/>
          <w:lang w:val="en-US" w:eastAsia="en-GB"/>
        </w:rPr>
        <w:t xml:space="preserve"> Libya</w:t>
      </w:r>
      <w:r w:rsidRPr="00FD41E2">
        <w:rPr>
          <w:i/>
          <w:sz w:val="18"/>
          <w:szCs w:val="18"/>
        </w:rPr>
        <w:t>n Arab Jamahiriya</w:t>
      </w:r>
      <w:r w:rsidRPr="00FD41E2">
        <w:rPr>
          <w:i/>
          <w:iCs/>
          <w:sz w:val="18"/>
          <w:szCs w:val="18"/>
          <w:lang w:val="en-US" w:eastAsia="en-GB"/>
        </w:rPr>
        <w:t xml:space="preserve"> </w:t>
      </w:r>
      <w:r w:rsidRPr="00FD41E2">
        <w:rPr>
          <w:sz w:val="18"/>
          <w:szCs w:val="18"/>
          <w:lang w:val="en-US" w:eastAsia="en-GB"/>
        </w:rPr>
        <w:t xml:space="preserve">(see footnote 8), para. </w:t>
      </w:r>
      <w:r w:rsidRPr="00FD41E2">
        <w:rPr>
          <w:sz w:val="18"/>
          <w:szCs w:val="18"/>
          <w:lang w:eastAsia="en-GB"/>
        </w:rPr>
        <w:t xml:space="preserve">7.6; and No. 1297/2004, </w:t>
      </w:r>
      <w:r w:rsidRPr="00FD41E2">
        <w:rPr>
          <w:i/>
          <w:iCs/>
          <w:sz w:val="18"/>
          <w:szCs w:val="18"/>
          <w:lang w:eastAsia="en-GB"/>
        </w:rPr>
        <w:t xml:space="preserve">Medjnoune </w:t>
      </w:r>
      <w:r w:rsidRPr="00FD41E2">
        <w:rPr>
          <w:iCs/>
          <w:sz w:val="18"/>
          <w:szCs w:val="18"/>
          <w:lang w:eastAsia="en-GB"/>
        </w:rPr>
        <w:t>v.</w:t>
      </w:r>
      <w:r w:rsidRPr="00FD41E2">
        <w:rPr>
          <w:i/>
          <w:iCs/>
          <w:sz w:val="18"/>
          <w:szCs w:val="18"/>
          <w:lang w:eastAsia="en-GB"/>
        </w:rPr>
        <w:t xml:space="preserve"> </w:t>
      </w:r>
      <w:smartTag w:uri="urn:schemas-microsoft-com:office:smarttags" w:element="place">
        <w:smartTag w:uri="urn:schemas-microsoft-com:office:smarttags" w:element="country-region">
          <w:r w:rsidRPr="00FD41E2">
            <w:rPr>
              <w:i/>
              <w:iCs/>
              <w:sz w:val="18"/>
              <w:szCs w:val="18"/>
              <w:lang w:eastAsia="en-GB"/>
            </w:rPr>
            <w:t>Algeria</w:t>
          </w:r>
        </w:smartTag>
      </w:smartTag>
      <w:r w:rsidRPr="00FD41E2">
        <w:rPr>
          <w:sz w:val="18"/>
          <w:szCs w:val="18"/>
          <w:lang w:eastAsia="en-GB"/>
        </w:rPr>
        <w:t xml:space="preserve"> (see footnote 10), para. 8.5.</w:t>
      </w:r>
    </w:p>
  </w:footnote>
  <w:footnote w:id="17">
    <w:p w:rsidR="00A325B4" w:rsidRPr="00FD41E2" w:rsidRDefault="00A325B4" w:rsidP="00D24BE1">
      <w:pPr>
        <w:pStyle w:val="FootnoteText"/>
        <w:rPr>
          <w:szCs w:val="18"/>
          <w:lang w:val="en-US"/>
        </w:rPr>
      </w:pPr>
      <w:r w:rsidRPr="00FD41E2">
        <w:rPr>
          <w:szCs w:val="18"/>
        </w:rPr>
        <w:tab/>
      </w:r>
      <w:r w:rsidRPr="00FD41E2">
        <w:rPr>
          <w:rStyle w:val="FootnoteReference"/>
        </w:rPr>
        <w:footnoteRef/>
      </w:r>
      <w:r w:rsidRPr="00FD41E2">
        <w:rPr>
          <w:szCs w:val="18"/>
          <w:lang w:val="en-US"/>
        </w:rPr>
        <w:t xml:space="preserve"> </w:t>
      </w:r>
      <w:r w:rsidRPr="00FD41E2">
        <w:rPr>
          <w:szCs w:val="18"/>
          <w:lang w:val="en-US"/>
        </w:rPr>
        <w:tab/>
        <w:t>See E/CN.4/1999/61, para. 448 (see footnote 6).</w:t>
      </w:r>
    </w:p>
  </w:footnote>
  <w:footnote w:id="18">
    <w:p w:rsidR="00A325B4" w:rsidRPr="00FD41E2" w:rsidRDefault="00A325B4" w:rsidP="00EE6E87">
      <w:pPr>
        <w:tabs>
          <w:tab w:val="right" w:pos="1021"/>
        </w:tabs>
        <w:suppressAutoHyphens w:val="0"/>
        <w:autoSpaceDE w:val="0"/>
        <w:autoSpaceDN w:val="0"/>
        <w:adjustRightInd w:val="0"/>
        <w:spacing w:line="220" w:lineRule="exact"/>
        <w:ind w:left="1134" w:right="1134" w:hanging="1134"/>
        <w:rPr>
          <w:sz w:val="18"/>
          <w:szCs w:val="18"/>
          <w:lang w:eastAsia="en-GB"/>
        </w:rPr>
      </w:pPr>
      <w:r w:rsidRPr="00FD41E2">
        <w:rPr>
          <w:sz w:val="18"/>
          <w:szCs w:val="18"/>
          <w:lang w:val="en-US"/>
        </w:rPr>
        <w:tab/>
      </w:r>
      <w:r w:rsidRPr="00FD41E2">
        <w:rPr>
          <w:rStyle w:val="FootnoteReference"/>
        </w:rPr>
        <w:footnoteRef/>
      </w:r>
      <w:r w:rsidRPr="00FD41E2">
        <w:rPr>
          <w:sz w:val="18"/>
          <w:szCs w:val="18"/>
        </w:rPr>
        <w:t xml:space="preserve"> </w:t>
      </w:r>
      <w:r w:rsidRPr="00FD41E2">
        <w:rPr>
          <w:sz w:val="18"/>
          <w:szCs w:val="18"/>
        </w:rPr>
        <w:tab/>
      </w:r>
      <w:r w:rsidRPr="00FD41E2">
        <w:rPr>
          <w:sz w:val="18"/>
          <w:szCs w:val="18"/>
          <w:lang w:eastAsia="en-GB"/>
        </w:rPr>
        <w:t>See general comment No. 21 (1992)</w:t>
      </w:r>
      <w:r w:rsidRPr="00EE6E87">
        <w:rPr>
          <w:lang w:val="en-US"/>
        </w:rPr>
        <w:t xml:space="preserve"> </w:t>
      </w:r>
      <w:r>
        <w:rPr>
          <w:lang w:val="en-US"/>
        </w:rPr>
        <w:t>on humane treatment of persons deprived of their liberty</w:t>
      </w:r>
      <w:r w:rsidRPr="00FD41E2">
        <w:rPr>
          <w:sz w:val="18"/>
          <w:szCs w:val="18"/>
          <w:lang w:eastAsia="en-GB"/>
        </w:rPr>
        <w:t xml:space="preserve">, para. 3, </w:t>
      </w:r>
      <w:r w:rsidRPr="00FD41E2">
        <w:rPr>
          <w:i/>
          <w:iCs/>
          <w:sz w:val="18"/>
          <w:szCs w:val="18"/>
          <w:lang w:eastAsia="en-GB"/>
        </w:rPr>
        <w:t>Official Records of the General Assembly, Forty-seventh Session, Supplement No. 40</w:t>
      </w:r>
      <w:r w:rsidRPr="00FD41E2">
        <w:rPr>
          <w:sz w:val="18"/>
          <w:szCs w:val="18"/>
          <w:lang w:eastAsia="en-GB"/>
        </w:rPr>
        <w:t xml:space="preserve"> (A/47/40), annex VI, sect. B; and communications No. 1134/2002, Gorji-Dinka v. </w:t>
      </w:r>
      <w:smartTag w:uri="urn:schemas-microsoft-com:office:smarttags" w:element="place">
        <w:smartTag w:uri="urn:schemas-microsoft-com:office:smarttags" w:element="country-region">
          <w:r w:rsidRPr="00FD41E2">
            <w:rPr>
              <w:sz w:val="18"/>
              <w:szCs w:val="18"/>
              <w:lang w:eastAsia="en-GB"/>
            </w:rPr>
            <w:t>Cameroon</w:t>
          </w:r>
        </w:smartTag>
      </w:smartTag>
      <w:r w:rsidRPr="00FD41E2">
        <w:rPr>
          <w:sz w:val="18"/>
          <w:szCs w:val="18"/>
          <w:lang w:eastAsia="en-GB"/>
        </w:rPr>
        <w:t xml:space="preserve">, Views adopted on 17 March 2005, para. 5.2; and No. 1422/2005, </w:t>
      </w:r>
      <w:r w:rsidRPr="00FD41E2">
        <w:rPr>
          <w:i/>
          <w:iCs/>
          <w:sz w:val="18"/>
          <w:szCs w:val="18"/>
          <w:lang w:eastAsia="en-GB"/>
        </w:rPr>
        <w:t>El Hassy</w:t>
      </w:r>
      <w:r w:rsidRPr="00FD41E2">
        <w:rPr>
          <w:sz w:val="18"/>
          <w:szCs w:val="18"/>
          <w:lang w:eastAsia="en-GB"/>
        </w:rPr>
        <w:t xml:space="preserve"> v. </w:t>
      </w:r>
      <w:r w:rsidRPr="00FD41E2">
        <w:rPr>
          <w:i/>
          <w:iCs/>
          <w:sz w:val="18"/>
          <w:szCs w:val="18"/>
          <w:lang w:eastAsia="en-GB"/>
        </w:rPr>
        <w:t>Libya</w:t>
      </w:r>
      <w:r w:rsidRPr="00FD41E2">
        <w:rPr>
          <w:i/>
          <w:sz w:val="18"/>
          <w:szCs w:val="18"/>
        </w:rPr>
        <w:t>n Arab Jamahiriya</w:t>
      </w:r>
      <w:r w:rsidRPr="00FD41E2">
        <w:rPr>
          <w:sz w:val="18"/>
          <w:szCs w:val="18"/>
          <w:lang w:eastAsia="en-GB"/>
        </w:rPr>
        <w:t xml:space="preserve"> (see footnote 8), para. 6.4.</w:t>
      </w:r>
    </w:p>
  </w:footnote>
  <w:footnote w:id="19">
    <w:p w:rsidR="00A325B4" w:rsidRPr="00FD41E2" w:rsidRDefault="00A325B4" w:rsidP="00B162F6">
      <w:pPr>
        <w:tabs>
          <w:tab w:val="right" w:pos="1021"/>
        </w:tabs>
        <w:suppressAutoHyphens w:val="0"/>
        <w:autoSpaceDE w:val="0"/>
        <w:autoSpaceDN w:val="0"/>
        <w:adjustRightInd w:val="0"/>
        <w:spacing w:line="220" w:lineRule="exact"/>
        <w:ind w:left="1134" w:right="1134" w:hanging="1134"/>
        <w:rPr>
          <w:sz w:val="18"/>
          <w:szCs w:val="18"/>
          <w:lang w:eastAsia="en-GB"/>
        </w:rPr>
      </w:pPr>
      <w:r w:rsidRPr="00FD41E2">
        <w:rPr>
          <w:sz w:val="18"/>
          <w:szCs w:val="18"/>
        </w:rPr>
        <w:tab/>
      </w:r>
      <w:r w:rsidRPr="00FD41E2">
        <w:rPr>
          <w:rStyle w:val="FootnoteReference"/>
        </w:rPr>
        <w:footnoteRef/>
      </w:r>
      <w:r w:rsidRPr="00FD41E2">
        <w:rPr>
          <w:sz w:val="18"/>
          <w:szCs w:val="18"/>
        </w:rPr>
        <w:t xml:space="preserve"> </w:t>
      </w:r>
      <w:r w:rsidRPr="00FD41E2">
        <w:rPr>
          <w:sz w:val="18"/>
          <w:szCs w:val="18"/>
        </w:rPr>
        <w:tab/>
      </w:r>
      <w:r w:rsidRPr="00FD41E2">
        <w:rPr>
          <w:sz w:val="18"/>
          <w:szCs w:val="18"/>
          <w:lang w:eastAsia="en-GB"/>
        </w:rPr>
        <w:t xml:space="preserve">See communications No. 1640/2007, </w:t>
      </w:r>
      <w:r w:rsidRPr="00FD41E2">
        <w:rPr>
          <w:i/>
          <w:sz w:val="18"/>
          <w:szCs w:val="18"/>
          <w:lang w:eastAsia="en-GB"/>
        </w:rPr>
        <w:t xml:space="preserve">El Abani </w:t>
      </w:r>
      <w:r w:rsidRPr="00FD41E2">
        <w:rPr>
          <w:iCs/>
          <w:sz w:val="18"/>
          <w:szCs w:val="18"/>
          <w:lang w:eastAsia="en-GB"/>
        </w:rPr>
        <w:t>v.</w:t>
      </w:r>
      <w:r w:rsidRPr="00FD41E2">
        <w:rPr>
          <w:i/>
          <w:sz w:val="18"/>
          <w:szCs w:val="18"/>
          <w:lang w:eastAsia="en-GB"/>
        </w:rPr>
        <w:t xml:space="preserve"> Libya</w:t>
      </w:r>
      <w:r w:rsidRPr="00FD41E2">
        <w:rPr>
          <w:i/>
          <w:sz w:val="18"/>
          <w:szCs w:val="18"/>
        </w:rPr>
        <w:t>n Arab Jamahiriya</w:t>
      </w:r>
      <w:r w:rsidRPr="00FD41E2">
        <w:rPr>
          <w:sz w:val="18"/>
          <w:szCs w:val="18"/>
          <w:lang w:eastAsia="en-GB"/>
        </w:rPr>
        <w:t xml:space="preserve"> (see footnote 8), para. 7.9; No. 1327/2004, </w:t>
      </w:r>
      <w:r w:rsidRPr="00FD41E2">
        <w:rPr>
          <w:i/>
          <w:iCs/>
          <w:sz w:val="18"/>
          <w:szCs w:val="18"/>
          <w:lang w:eastAsia="en-GB"/>
        </w:rPr>
        <w:t xml:space="preserve">Grioua </w:t>
      </w:r>
      <w:r w:rsidRPr="00FD41E2">
        <w:rPr>
          <w:sz w:val="18"/>
          <w:szCs w:val="18"/>
          <w:lang w:eastAsia="en-GB"/>
        </w:rPr>
        <w:t>v.</w:t>
      </w:r>
      <w:r w:rsidRPr="00FD41E2">
        <w:rPr>
          <w:i/>
          <w:iCs/>
          <w:sz w:val="18"/>
          <w:szCs w:val="18"/>
          <w:lang w:eastAsia="en-GB"/>
        </w:rPr>
        <w:t xml:space="preserve"> </w:t>
      </w:r>
      <w:smartTag w:uri="urn:schemas-microsoft-com:office:smarttags" w:element="place">
        <w:smartTag w:uri="urn:schemas-microsoft-com:office:smarttags" w:element="country-region">
          <w:r w:rsidRPr="00FD41E2">
            <w:rPr>
              <w:i/>
              <w:iCs/>
              <w:sz w:val="18"/>
              <w:szCs w:val="18"/>
              <w:lang w:eastAsia="en-GB"/>
            </w:rPr>
            <w:t>Algeria</w:t>
          </w:r>
        </w:smartTag>
      </w:smartTag>
      <w:r w:rsidRPr="00FD41E2">
        <w:rPr>
          <w:sz w:val="18"/>
          <w:szCs w:val="18"/>
          <w:lang w:eastAsia="en-GB"/>
        </w:rPr>
        <w:t xml:space="preserve">, Views adopted on 10 July 2007, para. 7.8; and No. 1495/2006, </w:t>
      </w:r>
      <w:r w:rsidRPr="00FD41E2">
        <w:rPr>
          <w:i/>
          <w:iCs/>
          <w:sz w:val="18"/>
          <w:szCs w:val="18"/>
          <w:lang w:eastAsia="en-GB"/>
        </w:rPr>
        <w:t xml:space="preserve">Madaoui </w:t>
      </w:r>
      <w:r w:rsidRPr="00FD41E2">
        <w:rPr>
          <w:sz w:val="18"/>
          <w:szCs w:val="18"/>
          <w:lang w:eastAsia="en-GB"/>
        </w:rPr>
        <w:t>v</w:t>
      </w:r>
      <w:r w:rsidRPr="00FD41E2">
        <w:rPr>
          <w:i/>
          <w:iCs/>
          <w:sz w:val="18"/>
          <w:szCs w:val="18"/>
          <w:lang w:eastAsia="en-GB"/>
        </w:rPr>
        <w:t xml:space="preserve">. </w:t>
      </w:r>
      <w:smartTag w:uri="urn:schemas-microsoft-com:office:smarttags" w:element="place">
        <w:smartTag w:uri="urn:schemas-microsoft-com:office:smarttags" w:element="country-region">
          <w:r w:rsidRPr="00FD41E2">
            <w:rPr>
              <w:i/>
              <w:iCs/>
              <w:sz w:val="18"/>
              <w:szCs w:val="18"/>
              <w:lang w:eastAsia="en-GB"/>
            </w:rPr>
            <w:t>Algeria</w:t>
          </w:r>
        </w:smartTag>
      </w:smartTag>
      <w:r w:rsidRPr="00FD41E2">
        <w:rPr>
          <w:sz w:val="18"/>
          <w:szCs w:val="18"/>
          <w:lang w:eastAsia="en-GB"/>
        </w:rPr>
        <w:t>, Views adopted on 28 October 2008, para. 7.7.</w:t>
      </w:r>
    </w:p>
  </w:footnote>
  <w:footnote w:id="20">
    <w:p w:rsidR="00A325B4" w:rsidRPr="00A0600B" w:rsidRDefault="00A325B4" w:rsidP="00D97349">
      <w:pPr>
        <w:pStyle w:val="FootnoteText"/>
        <w:rPr>
          <w:iCs/>
          <w:szCs w:val="18"/>
        </w:rPr>
      </w:pPr>
      <w:r w:rsidRPr="00FD41E2">
        <w:rPr>
          <w:szCs w:val="18"/>
        </w:rPr>
        <w:tab/>
      </w:r>
      <w:r w:rsidRPr="00FD41E2">
        <w:rPr>
          <w:rStyle w:val="FootnoteReference"/>
        </w:rPr>
        <w:footnoteRef/>
      </w:r>
      <w:r w:rsidRPr="00FD41E2">
        <w:rPr>
          <w:szCs w:val="18"/>
        </w:rPr>
        <w:t xml:space="preserve"> </w:t>
      </w:r>
      <w:r w:rsidRPr="00FD41E2">
        <w:rPr>
          <w:szCs w:val="18"/>
        </w:rPr>
        <w:tab/>
        <w:t xml:space="preserve">See general comment No. 31 (2004) on the nature of the general legal obligation imposed on States parties to the Covenant, </w:t>
      </w:r>
      <w:r w:rsidRPr="00FD41E2">
        <w:rPr>
          <w:i/>
          <w:szCs w:val="18"/>
        </w:rPr>
        <w:t xml:space="preserve">Official Records of the General Assembly, Fifty-ninth Session, Supplement No. 40, </w:t>
      </w:r>
      <w:r w:rsidRPr="00FD41E2">
        <w:rPr>
          <w:iCs/>
          <w:szCs w:val="18"/>
        </w:rPr>
        <w:t>vol. I (A/59/40 (Vol. I)), annex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5B4" w:rsidRPr="00C66546" w:rsidRDefault="00A325B4" w:rsidP="00323362">
    <w:pPr>
      <w:pStyle w:val="Header"/>
      <w:tabs>
        <w:tab w:val="right" w:pos="9639"/>
      </w:tabs>
    </w:pPr>
    <w:r>
      <w:t>CCPR/C/110/D/2006/2010</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5B4" w:rsidRPr="00C66546" w:rsidRDefault="00A325B4" w:rsidP="00323362">
    <w:pPr>
      <w:pStyle w:val="Header"/>
      <w:tabs>
        <w:tab w:val="right" w:pos="9639"/>
      </w:tabs>
    </w:pPr>
    <w:r>
      <w:tab/>
      <w:t>CCPR/C/110/D/2006/2010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F3462D"/>
    <w:multiLevelType w:val="multilevel"/>
    <w:tmpl w:val="F586C376"/>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9B4"/>
    <w:rsid w:val="00011EF3"/>
    <w:rsid w:val="0002315E"/>
    <w:rsid w:val="000272B3"/>
    <w:rsid w:val="000473B5"/>
    <w:rsid w:val="00050F6B"/>
    <w:rsid w:val="00052E32"/>
    <w:rsid w:val="00057E97"/>
    <w:rsid w:val="00060C3A"/>
    <w:rsid w:val="00061057"/>
    <w:rsid w:val="0006184D"/>
    <w:rsid w:val="00065941"/>
    <w:rsid w:val="00072C8C"/>
    <w:rsid w:val="000733B5"/>
    <w:rsid w:val="00081815"/>
    <w:rsid w:val="000858D4"/>
    <w:rsid w:val="000931C0"/>
    <w:rsid w:val="00095E0D"/>
    <w:rsid w:val="000B175B"/>
    <w:rsid w:val="000B3A0F"/>
    <w:rsid w:val="000B4EF7"/>
    <w:rsid w:val="000B7289"/>
    <w:rsid w:val="000C2C03"/>
    <w:rsid w:val="000C2D2E"/>
    <w:rsid w:val="000D7DE1"/>
    <w:rsid w:val="000E0415"/>
    <w:rsid w:val="000F5774"/>
    <w:rsid w:val="001103AA"/>
    <w:rsid w:val="001213C5"/>
    <w:rsid w:val="00131D14"/>
    <w:rsid w:val="00165F3A"/>
    <w:rsid w:val="00183968"/>
    <w:rsid w:val="00192E51"/>
    <w:rsid w:val="00196713"/>
    <w:rsid w:val="001A1D51"/>
    <w:rsid w:val="001A6686"/>
    <w:rsid w:val="001B4B04"/>
    <w:rsid w:val="001C6663"/>
    <w:rsid w:val="001C6AA4"/>
    <w:rsid w:val="001C7895"/>
    <w:rsid w:val="001D0C8C"/>
    <w:rsid w:val="001D26DF"/>
    <w:rsid w:val="001D3A03"/>
    <w:rsid w:val="001F4B76"/>
    <w:rsid w:val="00202716"/>
    <w:rsid w:val="00202DA8"/>
    <w:rsid w:val="00211E0B"/>
    <w:rsid w:val="00216FD3"/>
    <w:rsid w:val="00226934"/>
    <w:rsid w:val="00230C88"/>
    <w:rsid w:val="0023210C"/>
    <w:rsid w:val="00261A92"/>
    <w:rsid w:val="00261C27"/>
    <w:rsid w:val="00267C8D"/>
    <w:rsid w:val="00267F5F"/>
    <w:rsid w:val="00286B4D"/>
    <w:rsid w:val="002B2239"/>
    <w:rsid w:val="002B5181"/>
    <w:rsid w:val="002C0C34"/>
    <w:rsid w:val="002E7EB2"/>
    <w:rsid w:val="002F175C"/>
    <w:rsid w:val="00302ACD"/>
    <w:rsid w:val="003229D8"/>
    <w:rsid w:val="00323362"/>
    <w:rsid w:val="00331D70"/>
    <w:rsid w:val="00347FD3"/>
    <w:rsid w:val="00352709"/>
    <w:rsid w:val="00367567"/>
    <w:rsid w:val="00371178"/>
    <w:rsid w:val="00373DDB"/>
    <w:rsid w:val="0038336C"/>
    <w:rsid w:val="00384214"/>
    <w:rsid w:val="0038582B"/>
    <w:rsid w:val="00385D3C"/>
    <w:rsid w:val="003A6810"/>
    <w:rsid w:val="003B4F96"/>
    <w:rsid w:val="003C2CC4"/>
    <w:rsid w:val="003D4B23"/>
    <w:rsid w:val="003F1CBE"/>
    <w:rsid w:val="00401624"/>
    <w:rsid w:val="00410C89"/>
    <w:rsid w:val="00426B9B"/>
    <w:rsid w:val="00431392"/>
    <w:rsid w:val="004325CB"/>
    <w:rsid w:val="00436B33"/>
    <w:rsid w:val="00437754"/>
    <w:rsid w:val="00437D82"/>
    <w:rsid w:val="00442A83"/>
    <w:rsid w:val="0045495B"/>
    <w:rsid w:val="00487488"/>
    <w:rsid w:val="0048781C"/>
    <w:rsid w:val="00491DFE"/>
    <w:rsid w:val="004E0D7F"/>
    <w:rsid w:val="004E3C71"/>
    <w:rsid w:val="004F094C"/>
    <w:rsid w:val="0052136D"/>
    <w:rsid w:val="0052775E"/>
    <w:rsid w:val="005420F2"/>
    <w:rsid w:val="005628B6"/>
    <w:rsid w:val="00563F42"/>
    <w:rsid w:val="005661DE"/>
    <w:rsid w:val="005741EA"/>
    <w:rsid w:val="005848B3"/>
    <w:rsid w:val="00590F87"/>
    <w:rsid w:val="00592C4A"/>
    <w:rsid w:val="0059397E"/>
    <w:rsid w:val="005B1DBA"/>
    <w:rsid w:val="005B3DB3"/>
    <w:rsid w:val="005B6182"/>
    <w:rsid w:val="005C0E17"/>
    <w:rsid w:val="005C7EF9"/>
    <w:rsid w:val="005E4CA7"/>
    <w:rsid w:val="005E59F3"/>
    <w:rsid w:val="005E7A96"/>
    <w:rsid w:val="005F7717"/>
    <w:rsid w:val="005F7B75"/>
    <w:rsid w:val="006001EE"/>
    <w:rsid w:val="00605042"/>
    <w:rsid w:val="00611FC4"/>
    <w:rsid w:val="0061277D"/>
    <w:rsid w:val="0061632A"/>
    <w:rsid w:val="006176FB"/>
    <w:rsid w:val="00640165"/>
    <w:rsid w:val="00640B26"/>
    <w:rsid w:val="00652D0A"/>
    <w:rsid w:val="00655722"/>
    <w:rsid w:val="00662BB6"/>
    <w:rsid w:val="00684C21"/>
    <w:rsid w:val="00690987"/>
    <w:rsid w:val="006B0DE7"/>
    <w:rsid w:val="006C0647"/>
    <w:rsid w:val="006D37AF"/>
    <w:rsid w:val="006D449A"/>
    <w:rsid w:val="006D51D0"/>
    <w:rsid w:val="006D754A"/>
    <w:rsid w:val="006E564B"/>
    <w:rsid w:val="006E7191"/>
    <w:rsid w:val="00703577"/>
    <w:rsid w:val="00706C80"/>
    <w:rsid w:val="007220A3"/>
    <w:rsid w:val="0072632A"/>
    <w:rsid w:val="007327D5"/>
    <w:rsid w:val="007358F1"/>
    <w:rsid w:val="007506A6"/>
    <w:rsid w:val="00752B0C"/>
    <w:rsid w:val="00755BF2"/>
    <w:rsid w:val="007629C8"/>
    <w:rsid w:val="00762A6C"/>
    <w:rsid w:val="007B6BA5"/>
    <w:rsid w:val="007C3390"/>
    <w:rsid w:val="007C4F4B"/>
    <w:rsid w:val="007C784F"/>
    <w:rsid w:val="007E0B2D"/>
    <w:rsid w:val="007E188E"/>
    <w:rsid w:val="007F6611"/>
    <w:rsid w:val="007F7610"/>
    <w:rsid w:val="00802EC7"/>
    <w:rsid w:val="008105B8"/>
    <w:rsid w:val="008147FC"/>
    <w:rsid w:val="008242D7"/>
    <w:rsid w:val="008257B1"/>
    <w:rsid w:val="00843767"/>
    <w:rsid w:val="008679D9"/>
    <w:rsid w:val="00876533"/>
    <w:rsid w:val="008871DB"/>
    <w:rsid w:val="008909B4"/>
    <w:rsid w:val="00892570"/>
    <w:rsid w:val="00893109"/>
    <w:rsid w:val="008979B1"/>
    <w:rsid w:val="008A1DB2"/>
    <w:rsid w:val="008A6B25"/>
    <w:rsid w:val="008A6C4F"/>
    <w:rsid w:val="008B2335"/>
    <w:rsid w:val="008B25CD"/>
    <w:rsid w:val="008B33D5"/>
    <w:rsid w:val="008C1D41"/>
    <w:rsid w:val="008E0678"/>
    <w:rsid w:val="00902C88"/>
    <w:rsid w:val="00906BA9"/>
    <w:rsid w:val="00910F40"/>
    <w:rsid w:val="00912C08"/>
    <w:rsid w:val="0092045B"/>
    <w:rsid w:val="009223CA"/>
    <w:rsid w:val="00934FDF"/>
    <w:rsid w:val="00940F93"/>
    <w:rsid w:val="0095347F"/>
    <w:rsid w:val="009610A4"/>
    <w:rsid w:val="00967D5B"/>
    <w:rsid w:val="009760F3"/>
    <w:rsid w:val="0098353C"/>
    <w:rsid w:val="00985E77"/>
    <w:rsid w:val="00990100"/>
    <w:rsid w:val="009909F5"/>
    <w:rsid w:val="009A0E8D"/>
    <w:rsid w:val="009B26E7"/>
    <w:rsid w:val="009D14AD"/>
    <w:rsid w:val="009F3CA5"/>
    <w:rsid w:val="00A00A3F"/>
    <w:rsid w:val="00A01489"/>
    <w:rsid w:val="00A029B2"/>
    <w:rsid w:val="00A0600B"/>
    <w:rsid w:val="00A325B4"/>
    <w:rsid w:val="00A338F1"/>
    <w:rsid w:val="00A44615"/>
    <w:rsid w:val="00A56292"/>
    <w:rsid w:val="00A6675E"/>
    <w:rsid w:val="00A72F22"/>
    <w:rsid w:val="00A7360F"/>
    <w:rsid w:val="00A748A6"/>
    <w:rsid w:val="00A769F4"/>
    <w:rsid w:val="00A776B4"/>
    <w:rsid w:val="00A84D91"/>
    <w:rsid w:val="00A84D9D"/>
    <w:rsid w:val="00A94361"/>
    <w:rsid w:val="00AA293C"/>
    <w:rsid w:val="00AE33A5"/>
    <w:rsid w:val="00B13CA5"/>
    <w:rsid w:val="00B13E9B"/>
    <w:rsid w:val="00B162F6"/>
    <w:rsid w:val="00B26D1D"/>
    <w:rsid w:val="00B27544"/>
    <w:rsid w:val="00B30179"/>
    <w:rsid w:val="00B339A7"/>
    <w:rsid w:val="00B451EC"/>
    <w:rsid w:val="00B53874"/>
    <w:rsid w:val="00B56E4A"/>
    <w:rsid w:val="00B56E9C"/>
    <w:rsid w:val="00B631A6"/>
    <w:rsid w:val="00B64B1F"/>
    <w:rsid w:val="00B6553F"/>
    <w:rsid w:val="00B66E5E"/>
    <w:rsid w:val="00B77D05"/>
    <w:rsid w:val="00B81206"/>
    <w:rsid w:val="00B81E12"/>
    <w:rsid w:val="00B9067B"/>
    <w:rsid w:val="00BA2624"/>
    <w:rsid w:val="00BC2C23"/>
    <w:rsid w:val="00BC74E9"/>
    <w:rsid w:val="00BF68A8"/>
    <w:rsid w:val="00C02B81"/>
    <w:rsid w:val="00C03231"/>
    <w:rsid w:val="00C05771"/>
    <w:rsid w:val="00C05FF3"/>
    <w:rsid w:val="00C11A03"/>
    <w:rsid w:val="00C15102"/>
    <w:rsid w:val="00C463DD"/>
    <w:rsid w:val="00C4724C"/>
    <w:rsid w:val="00C629A0"/>
    <w:rsid w:val="00C66546"/>
    <w:rsid w:val="00C745C3"/>
    <w:rsid w:val="00C915AC"/>
    <w:rsid w:val="00CA678E"/>
    <w:rsid w:val="00CE4A8F"/>
    <w:rsid w:val="00D07C93"/>
    <w:rsid w:val="00D2031B"/>
    <w:rsid w:val="00D22AF0"/>
    <w:rsid w:val="00D24BE1"/>
    <w:rsid w:val="00D25FE2"/>
    <w:rsid w:val="00D43252"/>
    <w:rsid w:val="00D47EEA"/>
    <w:rsid w:val="00D53992"/>
    <w:rsid w:val="00D712C8"/>
    <w:rsid w:val="00D95303"/>
    <w:rsid w:val="00D97349"/>
    <w:rsid w:val="00D978C6"/>
    <w:rsid w:val="00DA3020"/>
    <w:rsid w:val="00DA3111"/>
    <w:rsid w:val="00DA3C1C"/>
    <w:rsid w:val="00DB0C79"/>
    <w:rsid w:val="00DB330A"/>
    <w:rsid w:val="00DB3F8E"/>
    <w:rsid w:val="00DC5A20"/>
    <w:rsid w:val="00DF0CAF"/>
    <w:rsid w:val="00E1768C"/>
    <w:rsid w:val="00E27346"/>
    <w:rsid w:val="00E34917"/>
    <w:rsid w:val="00E4725C"/>
    <w:rsid w:val="00E54FB2"/>
    <w:rsid w:val="00E71BC8"/>
    <w:rsid w:val="00E7260F"/>
    <w:rsid w:val="00E737AD"/>
    <w:rsid w:val="00E73F50"/>
    <w:rsid w:val="00E779FC"/>
    <w:rsid w:val="00E90682"/>
    <w:rsid w:val="00E96630"/>
    <w:rsid w:val="00EA27C5"/>
    <w:rsid w:val="00EB2581"/>
    <w:rsid w:val="00EC03FF"/>
    <w:rsid w:val="00ED7A2A"/>
    <w:rsid w:val="00EE3B2F"/>
    <w:rsid w:val="00EE6E87"/>
    <w:rsid w:val="00EF1D7F"/>
    <w:rsid w:val="00F01C96"/>
    <w:rsid w:val="00F1403D"/>
    <w:rsid w:val="00F20C3D"/>
    <w:rsid w:val="00F319CC"/>
    <w:rsid w:val="00F43E9E"/>
    <w:rsid w:val="00F51006"/>
    <w:rsid w:val="00F711AA"/>
    <w:rsid w:val="00F753AB"/>
    <w:rsid w:val="00F76A49"/>
    <w:rsid w:val="00F900F4"/>
    <w:rsid w:val="00F9057C"/>
    <w:rsid w:val="00F906D7"/>
    <w:rsid w:val="00F93781"/>
    <w:rsid w:val="00F94282"/>
    <w:rsid w:val="00FA2619"/>
    <w:rsid w:val="00FA2D6C"/>
    <w:rsid w:val="00FB0E4A"/>
    <w:rsid w:val="00FB12BB"/>
    <w:rsid w:val="00FB613B"/>
    <w:rsid w:val="00FB6DE7"/>
    <w:rsid w:val="00FC4A2A"/>
    <w:rsid w:val="00FC660C"/>
    <w:rsid w:val="00FC68B7"/>
    <w:rsid w:val="00FD3AD3"/>
    <w:rsid w:val="00FD41E2"/>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1D3B8A4E-07C5-4670-8706-0710CBD2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style>
  <w:style w:type="paragraph" w:styleId="Heading3">
    <w:name w:val="heading 3"/>
    <w:basedOn w:val="Normal"/>
    <w:next w:val="Normal"/>
    <w:link w:val="Heading3Char"/>
    <w:qFormat/>
    <w:rsid w:val="000272B3"/>
    <w:pPr>
      <w:spacing w:line="240" w:lineRule="auto"/>
      <w:outlineLvl w:val="2"/>
    </w:pPr>
  </w:style>
  <w:style w:type="paragraph" w:styleId="Heading4">
    <w:name w:val="heading 4"/>
    <w:basedOn w:val="Normal"/>
    <w:next w:val="Normal"/>
    <w:link w:val="Heading4Char"/>
    <w:qFormat/>
    <w:rsid w:val="000272B3"/>
    <w:pPr>
      <w:spacing w:line="240" w:lineRule="auto"/>
      <w:outlineLvl w:val="3"/>
    </w:pPr>
  </w:style>
  <w:style w:type="paragraph" w:styleId="Heading5">
    <w:name w:val="heading 5"/>
    <w:basedOn w:val="Normal"/>
    <w:next w:val="Normal"/>
    <w:link w:val="Heading5Char"/>
    <w:qFormat/>
    <w:rsid w:val="000272B3"/>
    <w:pPr>
      <w:spacing w:line="240" w:lineRule="auto"/>
      <w:outlineLvl w:val="4"/>
    </w:pPr>
  </w:style>
  <w:style w:type="paragraph" w:styleId="Heading6">
    <w:name w:val="heading 6"/>
    <w:basedOn w:val="Normal"/>
    <w:next w:val="Normal"/>
    <w:link w:val="Heading6Char"/>
    <w:qFormat/>
    <w:rsid w:val="000272B3"/>
    <w:pPr>
      <w:spacing w:line="240" w:lineRule="auto"/>
      <w:outlineLvl w:val="5"/>
    </w:pPr>
  </w:style>
  <w:style w:type="paragraph" w:styleId="Heading7">
    <w:name w:val="heading 7"/>
    <w:basedOn w:val="Normal"/>
    <w:next w:val="Normal"/>
    <w:link w:val="Heading7Char"/>
    <w:qFormat/>
    <w:rsid w:val="000272B3"/>
    <w:pPr>
      <w:spacing w:line="240" w:lineRule="auto"/>
      <w:outlineLvl w:val="6"/>
    </w:pPr>
  </w:style>
  <w:style w:type="paragraph" w:styleId="Heading8">
    <w:name w:val="heading 8"/>
    <w:basedOn w:val="Normal"/>
    <w:next w:val="Normal"/>
    <w:link w:val="Heading8Char"/>
    <w:qFormat/>
    <w:rsid w:val="000272B3"/>
    <w:pPr>
      <w:spacing w:line="240" w:lineRule="auto"/>
      <w:outlineLvl w:val="7"/>
    </w:pPr>
  </w:style>
  <w:style w:type="paragraph" w:styleId="Heading9">
    <w:name w:val="heading 9"/>
    <w:basedOn w:val="Normal"/>
    <w:next w:val="Normal"/>
    <w:link w:val="Heading9Char"/>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0272B3"/>
    <w:pPr>
      <w:pBdr>
        <w:bottom w:val="single" w:sz="4" w:space="4" w:color="auto"/>
      </w:pBdr>
      <w:spacing w:line="240" w:lineRule="auto"/>
    </w:pPr>
    <w:rPr>
      <w:b/>
      <w:sz w:val="18"/>
    </w:rPr>
  </w:style>
  <w:style w:type="table" w:styleId="TableGrid">
    <w:name w:val="Table Grid"/>
    <w:basedOn w:val="TableNormal"/>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Heading1Char">
    <w:name w:val="Heading 1 Char"/>
    <w:aliases w:val="Table_G Char"/>
    <w:link w:val="Heading1"/>
    <w:rsid w:val="008909B4"/>
    <w:rPr>
      <w:lang w:eastAsia="en-US"/>
    </w:rPr>
  </w:style>
  <w:style w:type="character" w:customStyle="1" w:styleId="Heading2Char">
    <w:name w:val="Heading 2 Char"/>
    <w:link w:val="Heading2"/>
    <w:rsid w:val="008909B4"/>
    <w:rPr>
      <w:lang w:eastAsia="en-US"/>
    </w:rPr>
  </w:style>
  <w:style w:type="character" w:customStyle="1" w:styleId="Heading3Char">
    <w:name w:val="Heading 3 Char"/>
    <w:link w:val="Heading3"/>
    <w:rsid w:val="008909B4"/>
    <w:rPr>
      <w:lang w:eastAsia="en-US"/>
    </w:rPr>
  </w:style>
  <w:style w:type="character" w:customStyle="1" w:styleId="Heading4Char">
    <w:name w:val="Heading 4 Char"/>
    <w:link w:val="Heading4"/>
    <w:rsid w:val="008909B4"/>
    <w:rPr>
      <w:lang w:eastAsia="en-US"/>
    </w:rPr>
  </w:style>
  <w:style w:type="character" w:customStyle="1" w:styleId="Heading5Char">
    <w:name w:val="Heading 5 Char"/>
    <w:link w:val="Heading5"/>
    <w:rsid w:val="008909B4"/>
    <w:rPr>
      <w:lang w:eastAsia="en-US"/>
    </w:rPr>
  </w:style>
  <w:style w:type="character" w:customStyle="1" w:styleId="Heading6Char">
    <w:name w:val="Heading 6 Char"/>
    <w:link w:val="Heading6"/>
    <w:rsid w:val="008909B4"/>
    <w:rPr>
      <w:lang w:eastAsia="en-US"/>
    </w:rPr>
  </w:style>
  <w:style w:type="character" w:customStyle="1" w:styleId="Heading7Char">
    <w:name w:val="Heading 7 Char"/>
    <w:link w:val="Heading7"/>
    <w:rsid w:val="008909B4"/>
    <w:rPr>
      <w:lang w:eastAsia="en-US"/>
    </w:rPr>
  </w:style>
  <w:style w:type="character" w:customStyle="1" w:styleId="Heading8Char">
    <w:name w:val="Heading 8 Char"/>
    <w:link w:val="Heading8"/>
    <w:rsid w:val="008909B4"/>
    <w:rPr>
      <w:lang w:eastAsia="en-US"/>
    </w:rPr>
  </w:style>
  <w:style w:type="character" w:customStyle="1" w:styleId="Heading9Char">
    <w:name w:val="Heading 9 Char"/>
    <w:link w:val="Heading9"/>
    <w:rsid w:val="008909B4"/>
    <w:rPr>
      <w:lang w:eastAsia="en-US"/>
    </w:rPr>
  </w:style>
  <w:style w:type="character" w:customStyle="1" w:styleId="HeaderChar">
    <w:name w:val="Header Char"/>
    <w:aliases w:val="6_G Char"/>
    <w:link w:val="Header"/>
    <w:rsid w:val="008909B4"/>
    <w:rPr>
      <w:b/>
      <w:sz w:val="18"/>
      <w:lang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8909B4"/>
    <w:rPr>
      <w:sz w:val="18"/>
      <w:lang w:eastAsia="en-US"/>
    </w:rPr>
  </w:style>
  <w:style w:type="character" w:customStyle="1" w:styleId="EndnoteTextChar">
    <w:name w:val="Endnote Text Char"/>
    <w:aliases w:val="2_G Char"/>
    <w:link w:val="EndnoteText"/>
    <w:rsid w:val="008909B4"/>
    <w:rPr>
      <w:sz w:val="18"/>
      <w:lang w:eastAsia="en-US"/>
    </w:rPr>
  </w:style>
  <w:style w:type="character" w:customStyle="1" w:styleId="FooterChar">
    <w:name w:val="Footer Char"/>
    <w:aliases w:val="3_G Char"/>
    <w:link w:val="Footer"/>
    <w:rsid w:val="008909B4"/>
    <w:rPr>
      <w:sz w:val="16"/>
      <w:lang w:eastAsia="en-US"/>
    </w:rPr>
  </w:style>
  <w:style w:type="paragraph" w:styleId="BalloonText">
    <w:name w:val="Balloon Text"/>
    <w:basedOn w:val="Normal"/>
    <w:link w:val="BalloonTextChar"/>
    <w:rsid w:val="008909B4"/>
    <w:pPr>
      <w:spacing w:line="240" w:lineRule="auto"/>
    </w:pPr>
    <w:rPr>
      <w:rFonts w:ascii="Tahoma" w:hAnsi="Tahoma"/>
      <w:sz w:val="16"/>
      <w:szCs w:val="16"/>
    </w:rPr>
  </w:style>
  <w:style w:type="character" w:customStyle="1" w:styleId="BalloonTextChar">
    <w:name w:val="Balloon Text Char"/>
    <w:link w:val="BalloonText"/>
    <w:rsid w:val="008909B4"/>
    <w:rPr>
      <w:rFonts w:ascii="Tahoma" w:hAnsi="Tahoma" w:cs="Tahoma"/>
      <w:sz w:val="16"/>
      <w:szCs w:val="16"/>
      <w:lang w:eastAsia="en-US"/>
    </w:rPr>
  </w:style>
  <w:style w:type="character" w:styleId="CommentReference">
    <w:name w:val="annotation reference"/>
    <w:rsid w:val="008909B4"/>
    <w:rPr>
      <w:sz w:val="16"/>
      <w:szCs w:val="16"/>
    </w:rPr>
  </w:style>
  <w:style w:type="paragraph" w:styleId="CommentText">
    <w:name w:val="annotation text"/>
    <w:basedOn w:val="Normal"/>
    <w:link w:val="CommentTextChar"/>
    <w:rsid w:val="008909B4"/>
  </w:style>
  <w:style w:type="character" w:customStyle="1" w:styleId="CommentTextChar">
    <w:name w:val="Comment Text Char"/>
    <w:link w:val="CommentText"/>
    <w:rsid w:val="008909B4"/>
    <w:rPr>
      <w:lang w:eastAsia="en-US"/>
    </w:rPr>
  </w:style>
  <w:style w:type="paragraph" w:styleId="CommentSubject">
    <w:name w:val="annotation subject"/>
    <w:basedOn w:val="CommentText"/>
    <w:next w:val="CommentText"/>
    <w:link w:val="CommentSubjectChar"/>
    <w:rsid w:val="008909B4"/>
    <w:rPr>
      <w:b/>
      <w:bCs/>
    </w:rPr>
  </w:style>
  <w:style w:type="character" w:customStyle="1" w:styleId="CommentSubjectChar">
    <w:name w:val="Comment Subject Char"/>
    <w:link w:val="CommentSubject"/>
    <w:rsid w:val="008909B4"/>
    <w:rPr>
      <w:b/>
      <w:bCs/>
      <w:lang w:eastAsia="en-US"/>
    </w:rPr>
  </w:style>
  <w:style w:type="character" w:styleId="Strong">
    <w:name w:val="Strong"/>
    <w:uiPriority w:val="22"/>
    <w:qFormat/>
    <w:rsid w:val="008909B4"/>
    <w:rPr>
      <w:b/>
      <w:bCs/>
    </w:rPr>
  </w:style>
  <w:style w:type="character" w:customStyle="1" w:styleId="FootnoteCharacters">
    <w:name w:val="Footnote Characters"/>
    <w:rsid w:val="008909B4"/>
    <w:rPr>
      <w:rFonts w:ascii="Times New Roman" w:hAnsi="Times New Roman" w:cs="Times New Roman"/>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1</TotalTime>
  <Pages>11</Pages>
  <Words>5382</Words>
  <Characters>30678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2014-05-09T14:53:00Z</cp:lastPrinted>
  <dcterms:created xsi:type="dcterms:W3CDTF">2017-01-24T22:59:00Z</dcterms:created>
  <dcterms:modified xsi:type="dcterms:W3CDTF">2017-01-24T22:59:00Z</dcterms:modified>
</cp:coreProperties>
</file>