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AC35A2" w:rsidP="00367254">
            <w:pPr>
              <w:jc w:val="right"/>
            </w:pPr>
            <w:r w:rsidRPr="00AC35A2">
              <w:rPr>
                <w:sz w:val="40"/>
              </w:rPr>
              <w:t>CCPR</w:t>
            </w:r>
            <w:r w:rsidR="000219AC">
              <w:t>/C/</w:t>
            </w:r>
            <w:r>
              <w:t>110/D/1894/2009</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6E2D23"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AC35A2" w:rsidP="00AC35A2">
            <w:pPr>
              <w:spacing w:before="240" w:line="240" w:lineRule="exact"/>
            </w:pPr>
            <w:r>
              <w:t xml:space="preserve">Distr.: </w:t>
            </w:r>
            <w:r w:rsidR="00367254">
              <w:t>General</w:t>
            </w:r>
          </w:p>
          <w:p w:rsidR="00AC35A2" w:rsidRDefault="00F34302" w:rsidP="00AC35A2">
            <w:pPr>
              <w:spacing w:line="240" w:lineRule="exact"/>
            </w:pPr>
            <w:r>
              <w:t>2</w:t>
            </w:r>
            <w:r w:rsidR="00C57B49">
              <w:t>9</w:t>
            </w:r>
            <w:r w:rsidR="002F3BAE">
              <w:t xml:space="preserve"> </w:t>
            </w:r>
            <w:r w:rsidR="005839AB">
              <w:t>April</w:t>
            </w:r>
            <w:r w:rsidR="00AC35A2">
              <w:t xml:space="preserve"> 2014</w:t>
            </w:r>
          </w:p>
          <w:p w:rsidR="00AC35A2" w:rsidRDefault="00AC35A2" w:rsidP="00AC35A2">
            <w:pPr>
              <w:spacing w:line="240" w:lineRule="exact"/>
            </w:pPr>
          </w:p>
          <w:p w:rsidR="00BD400C" w:rsidRPr="00BD400C" w:rsidRDefault="00AC35A2" w:rsidP="00AC35A2">
            <w:pPr>
              <w:spacing w:line="240" w:lineRule="exact"/>
              <w:rPr>
                <w:b/>
              </w:rPr>
            </w:pPr>
            <w:r>
              <w:t>Original: English</w:t>
            </w:r>
          </w:p>
        </w:tc>
      </w:tr>
    </w:tbl>
    <w:p w:rsidR="00AC35A2" w:rsidRPr="00AC35A2" w:rsidRDefault="00AC35A2" w:rsidP="00AC35A2">
      <w:pPr>
        <w:spacing w:before="120"/>
        <w:rPr>
          <w:b/>
          <w:sz w:val="24"/>
          <w:szCs w:val="24"/>
          <w:lang w:val="en-US"/>
        </w:rPr>
      </w:pPr>
      <w:r w:rsidRPr="00AC35A2">
        <w:rPr>
          <w:b/>
          <w:sz w:val="24"/>
          <w:szCs w:val="24"/>
          <w:lang w:val="en-US"/>
        </w:rPr>
        <w:t>Human Rights Committee</w:t>
      </w:r>
      <w:r w:rsidR="006E2D23">
        <w:rPr>
          <w:b/>
          <w:noProof/>
          <w:sz w:val="24"/>
          <w:szCs w:val="24"/>
          <w:lang w:val="en-US" w:eastAsia="ja-JP"/>
        </w:rPr>
        <w:pict>
          <v:shape id="_x0000_s1026" type="#_x0000_t75" style="position:absolute;margin-left:432.55pt;margin-top:623.6pt;width:50.25pt;height:50.25pt;z-index:1;mso-position-horizontal-relative:margin;mso-position-vertical-relative:margin" o:allowoverlap="f">
            <v:imagedata r:id="rId8" o:title="2009&amp;Size=2 &amp;Lang=E"/>
            <w10:wrap anchorx="margin" anchory="margin"/>
          </v:shape>
        </w:pict>
      </w:r>
    </w:p>
    <w:p w:rsidR="00AC35A2" w:rsidRPr="00F0055D" w:rsidRDefault="00AC35A2" w:rsidP="000A1B4C">
      <w:pPr>
        <w:pStyle w:val="HChG"/>
        <w:spacing w:before="240" w:after="160"/>
        <w:rPr>
          <w:lang w:val="en-US"/>
        </w:rPr>
      </w:pPr>
      <w:r w:rsidRPr="00AC35A2">
        <w:tab/>
      </w:r>
      <w:r w:rsidRPr="00AC35A2">
        <w:tab/>
      </w:r>
      <w:r w:rsidRPr="00F0055D">
        <w:rPr>
          <w:lang w:val="en-US"/>
        </w:rPr>
        <w:t>Communication No. 1894/2009</w:t>
      </w:r>
    </w:p>
    <w:p w:rsidR="00AC35A2" w:rsidRPr="00F0055D" w:rsidRDefault="00AC35A2" w:rsidP="000219AC">
      <w:pPr>
        <w:pStyle w:val="H1G"/>
        <w:rPr>
          <w:lang w:val="en-US"/>
        </w:rPr>
      </w:pPr>
      <w:r w:rsidRPr="00F0055D">
        <w:rPr>
          <w:lang w:val="en-US"/>
        </w:rPr>
        <w:tab/>
      </w:r>
      <w:r w:rsidRPr="00F0055D">
        <w:rPr>
          <w:lang w:val="en-US"/>
        </w:rPr>
        <w:tab/>
      </w:r>
      <w:r w:rsidR="00367254" w:rsidRPr="00F0055D">
        <w:rPr>
          <w:lang w:val="en-US"/>
        </w:rPr>
        <w:t>Decision</w:t>
      </w:r>
      <w:r w:rsidR="00367254" w:rsidRPr="00F0055D">
        <w:rPr>
          <w:rFonts w:eastAsia="MS Mincho"/>
          <w:lang w:val="en-US"/>
        </w:rPr>
        <w:t xml:space="preserve"> adopted by the Committee at its 110th session</w:t>
      </w:r>
      <w:r w:rsidR="00F34302" w:rsidRPr="00F0055D">
        <w:rPr>
          <w:rFonts w:eastAsia="MS Mincho"/>
          <w:lang w:val="en-US"/>
        </w:rPr>
        <w:t xml:space="preserve"> </w:t>
      </w:r>
      <w:r w:rsidR="00367254" w:rsidRPr="00F0055D">
        <w:rPr>
          <w:rFonts w:eastAsia="MS Mincho"/>
          <w:lang w:val="en-US"/>
        </w:rPr>
        <w:br/>
        <w:t>(10</w:t>
      </w:r>
      <w:r w:rsidR="00F34302" w:rsidRPr="00F0055D">
        <w:rPr>
          <w:rFonts w:eastAsia="MS Mincho"/>
          <w:lang w:val="en-US"/>
        </w:rPr>
        <w:t>–</w:t>
      </w:r>
      <w:r w:rsidR="00367254" w:rsidRPr="00F0055D">
        <w:rPr>
          <w:rFonts w:eastAsia="MS Mincho"/>
          <w:lang w:val="en-US"/>
        </w:rPr>
        <w:t>28 March 2014)</w:t>
      </w:r>
    </w:p>
    <w:p w:rsidR="00AC35A2" w:rsidRPr="00F0055D" w:rsidRDefault="00AC35A2" w:rsidP="000219AC">
      <w:pPr>
        <w:pStyle w:val="SingleTxtG"/>
        <w:ind w:left="3969" w:hanging="2835"/>
        <w:jc w:val="left"/>
        <w:rPr>
          <w:iCs/>
          <w:lang w:val="en-US"/>
        </w:rPr>
      </w:pPr>
      <w:r w:rsidRPr="00F0055D">
        <w:rPr>
          <w:i/>
          <w:lang w:val="en-US"/>
        </w:rPr>
        <w:t>Submitted by:</w:t>
      </w:r>
      <w:r w:rsidRPr="00F0055D">
        <w:rPr>
          <w:i/>
          <w:lang w:val="en-US"/>
        </w:rPr>
        <w:tab/>
      </w:r>
      <w:r w:rsidR="00F92C1C" w:rsidRPr="00F0055D">
        <w:rPr>
          <w:iCs/>
          <w:lang w:val="en-US"/>
        </w:rPr>
        <w:t>G.J.</w:t>
      </w:r>
      <w:r w:rsidRPr="00F0055D">
        <w:rPr>
          <w:iCs/>
          <w:lang w:val="en-US"/>
        </w:rPr>
        <w:t xml:space="preserve"> (</w:t>
      </w:r>
      <w:r w:rsidR="0033414E" w:rsidRPr="00F0055D">
        <w:rPr>
          <w:iCs/>
          <w:lang w:val="en-US"/>
        </w:rPr>
        <w:t>not represented by counsel</w:t>
      </w:r>
      <w:r w:rsidRPr="00F0055D">
        <w:rPr>
          <w:iCs/>
          <w:lang w:val="en-US"/>
        </w:rPr>
        <w:t>)</w:t>
      </w:r>
    </w:p>
    <w:p w:rsidR="00AC35A2" w:rsidRPr="00F0055D" w:rsidRDefault="00AC35A2" w:rsidP="000219AC">
      <w:pPr>
        <w:pStyle w:val="SingleTxtG"/>
        <w:ind w:left="3969" w:hanging="2835"/>
        <w:jc w:val="left"/>
        <w:rPr>
          <w:iCs/>
          <w:lang w:val="en-US"/>
        </w:rPr>
      </w:pPr>
      <w:r w:rsidRPr="00F0055D">
        <w:rPr>
          <w:i/>
          <w:lang w:val="en-US"/>
        </w:rPr>
        <w:t>Alleged victim:</w:t>
      </w:r>
      <w:r w:rsidRPr="00F0055D">
        <w:rPr>
          <w:i/>
          <w:lang w:val="en-US"/>
        </w:rPr>
        <w:tab/>
      </w:r>
      <w:r w:rsidRPr="00F0055D">
        <w:rPr>
          <w:iCs/>
          <w:lang w:val="en-US"/>
        </w:rPr>
        <w:t>The author</w:t>
      </w:r>
    </w:p>
    <w:p w:rsidR="00AC35A2" w:rsidRPr="00F0055D" w:rsidRDefault="00AC35A2" w:rsidP="000219AC">
      <w:pPr>
        <w:pStyle w:val="SingleTxtG"/>
        <w:ind w:left="3969" w:hanging="2835"/>
        <w:jc w:val="left"/>
        <w:rPr>
          <w:iCs/>
          <w:lang w:val="en-US"/>
        </w:rPr>
      </w:pPr>
      <w:r w:rsidRPr="00F0055D">
        <w:rPr>
          <w:i/>
          <w:lang w:val="en-US"/>
        </w:rPr>
        <w:t>State party:</w:t>
      </w:r>
      <w:r w:rsidRPr="00F0055D">
        <w:rPr>
          <w:i/>
          <w:lang w:val="en-US"/>
        </w:rPr>
        <w:tab/>
      </w:r>
      <w:smartTag w:uri="urn:schemas-microsoft-com:office:smarttags" w:element="place">
        <w:smartTag w:uri="urn:schemas-microsoft-com:office:smarttags" w:element="country-region">
          <w:r w:rsidRPr="00F0055D">
            <w:rPr>
              <w:iCs/>
              <w:lang w:val="en-US"/>
            </w:rPr>
            <w:t>Lithuania</w:t>
          </w:r>
        </w:smartTag>
      </w:smartTag>
    </w:p>
    <w:p w:rsidR="00AC35A2" w:rsidRPr="00F0055D" w:rsidRDefault="00AC35A2" w:rsidP="000219AC">
      <w:pPr>
        <w:pStyle w:val="SingleTxtG"/>
        <w:ind w:left="3969" w:hanging="2835"/>
        <w:jc w:val="left"/>
        <w:rPr>
          <w:iCs/>
          <w:lang w:val="en-US"/>
        </w:rPr>
      </w:pPr>
      <w:r w:rsidRPr="00F0055D">
        <w:rPr>
          <w:i/>
          <w:lang w:val="en-US"/>
        </w:rPr>
        <w:t>Date of communication:</w:t>
      </w:r>
      <w:r w:rsidRPr="00F0055D">
        <w:rPr>
          <w:i/>
          <w:lang w:val="en-US"/>
        </w:rPr>
        <w:tab/>
      </w:r>
      <w:r w:rsidRPr="00F0055D">
        <w:rPr>
          <w:iCs/>
          <w:lang w:val="en-US"/>
        </w:rPr>
        <w:t>26 Nov</w:t>
      </w:r>
      <w:r w:rsidR="000219AC" w:rsidRPr="00F0055D">
        <w:rPr>
          <w:iCs/>
          <w:lang w:val="en-US"/>
        </w:rPr>
        <w:t>ember 2007 (initial submission)</w:t>
      </w:r>
    </w:p>
    <w:p w:rsidR="00AC35A2" w:rsidRPr="00F0055D" w:rsidRDefault="00AC35A2" w:rsidP="000219AC">
      <w:pPr>
        <w:pStyle w:val="SingleTxtG"/>
        <w:ind w:left="3969" w:hanging="2835"/>
        <w:jc w:val="left"/>
        <w:rPr>
          <w:iCs/>
          <w:lang w:val="en-US"/>
        </w:rPr>
      </w:pPr>
      <w:r w:rsidRPr="00F0055D">
        <w:rPr>
          <w:i/>
          <w:lang w:val="en-US"/>
        </w:rPr>
        <w:t>Document references:</w:t>
      </w:r>
      <w:r w:rsidRPr="00F0055D">
        <w:rPr>
          <w:i/>
          <w:lang w:val="en-US"/>
        </w:rPr>
        <w:tab/>
      </w:r>
      <w:r w:rsidRPr="00F0055D">
        <w:rPr>
          <w:iCs/>
          <w:lang w:val="en-US"/>
        </w:rPr>
        <w:t>Special Rapporteur’s rule 97 decision, transmitted to the State party on 18 August 2009 (not issued in a document form)</w:t>
      </w:r>
    </w:p>
    <w:p w:rsidR="00AC35A2" w:rsidRPr="00F0055D" w:rsidRDefault="00AC35A2" w:rsidP="000219AC">
      <w:pPr>
        <w:pStyle w:val="SingleTxtG"/>
        <w:ind w:left="3969" w:hanging="2835"/>
        <w:jc w:val="left"/>
        <w:rPr>
          <w:iCs/>
          <w:lang w:val="en-US"/>
        </w:rPr>
      </w:pPr>
      <w:r w:rsidRPr="00F0055D">
        <w:rPr>
          <w:i/>
          <w:lang w:val="en-US"/>
        </w:rPr>
        <w:t xml:space="preserve">Date of adoption of </w:t>
      </w:r>
      <w:r w:rsidR="0033414E" w:rsidRPr="00F0055D">
        <w:rPr>
          <w:i/>
          <w:lang w:val="en-US"/>
        </w:rPr>
        <w:t>d</w:t>
      </w:r>
      <w:r w:rsidRPr="00F0055D">
        <w:rPr>
          <w:i/>
          <w:lang w:val="en-US"/>
        </w:rPr>
        <w:t>ecision:</w:t>
      </w:r>
      <w:r w:rsidRPr="00F0055D">
        <w:rPr>
          <w:i/>
          <w:lang w:val="en-US"/>
        </w:rPr>
        <w:tab/>
      </w:r>
      <w:r w:rsidR="00BE77AC" w:rsidRPr="00F0055D">
        <w:rPr>
          <w:iCs/>
          <w:lang w:val="en-US"/>
        </w:rPr>
        <w:t xml:space="preserve">25 </w:t>
      </w:r>
      <w:r w:rsidRPr="00F0055D">
        <w:rPr>
          <w:iCs/>
          <w:lang w:val="en-US"/>
        </w:rPr>
        <w:t>March 2014</w:t>
      </w:r>
    </w:p>
    <w:p w:rsidR="00AC35A2" w:rsidRPr="00F0055D" w:rsidRDefault="00AC35A2" w:rsidP="000219AC">
      <w:pPr>
        <w:pStyle w:val="SingleTxtG"/>
        <w:tabs>
          <w:tab w:val="left" w:pos="3969"/>
        </w:tabs>
        <w:ind w:left="3969" w:hanging="2835"/>
        <w:jc w:val="left"/>
        <w:rPr>
          <w:iCs/>
          <w:lang w:val="en-US"/>
        </w:rPr>
      </w:pPr>
      <w:r w:rsidRPr="00F0055D">
        <w:rPr>
          <w:i/>
          <w:lang w:val="en-US"/>
        </w:rPr>
        <w:t>Subject matter:</w:t>
      </w:r>
      <w:r w:rsidR="000219AC" w:rsidRPr="00F0055D">
        <w:rPr>
          <w:i/>
          <w:lang w:val="en-US"/>
        </w:rPr>
        <w:tab/>
      </w:r>
      <w:r w:rsidRPr="00F0055D">
        <w:rPr>
          <w:iCs/>
          <w:lang w:val="en-US"/>
        </w:rPr>
        <w:t>inhuman treatment; lawfulness of detention; adequate time and facilities to prepare defence and communicate with counsel; right to examine witness; right not to self-incrimina</w:t>
      </w:r>
      <w:r w:rsidR="000219AC" w:rsidRPr="00F0055D">
        <w:rPr>
          <w:iCs/>
          <w:lang w:val="en-US"/>
        </w:rPr>
        <w:t>te</w:t>
      </w:r>
    </w:p>
    <w:p w:rsidR="00AC35A2" w:rsidRPr="00F0055D" w:rsidRDefault="00AC35A2" w:rsidP="000219AC">
      <w:pPr>
        <w:pStyle w:val="SingleTxtG"/>
        <w:ind w:left="3969" w:hanging="2835"/>
        <w:jc w:val="left"/>
        <w:rPr>
          <w:iCs/>
          <w:lang w:val="en-US"/>
        </w:rPr>
      </w:pPr>
      <w:r w:rsidRPr="00F0055D">
        <w:rPr>
          <w:i/>
          <w:lang w:val="en-US"/>
        </w:rPr>
        <w:t>Substantive issues:</w:t>
      </w:r>
      <w:r w:rsidR="005C4ED3" w:rsidRPr="00F0055D">
        <w:rPr>
          <w:i/>
          <w:lang w:val="en-US"/>
        </w:rPr>
        <w:tab/>
      </w:r>
      <w:r w:rsidRPr="00F0055D">
        <w:rPr>
          <w:iCs/>
          <w:lang w:val="en-US"/>
        </w:rPr>
        <w:t>inhuman treatment; unlawful detention; habea</w:t>
      </w:r>
      <w:r w:rsidR="000219AC" w:rsidRPr="00F0055D">
        <w:rPr>
          <w:iCs/>
          <w:lang w:val="en-US"/>
        </w:rPr>
        <w:t>s corpus; fair trial guarantees</w:t>
      </w:r>
    </w:p>
    <w:p w:rsidR="00AC35A2" w:rsidRPr="00F0055D" w:rsidRDefault="00AC35A2" w:rsidP="000219AC">
      <w:pPr>
        <w:pStyle w:val="SingleTxtG"/>
        <w:ind w:left="3969" w:hanging="2835"/>
        <w:jc w:val="left"/>
        <w:rPr>
          <w:iCs/>
          <w:lang w:val="en-US"/>
        </w:rPr>
      </w:pPr>
      <w:r w:rsidRPr="00F0055D">
        <w:rPr>
          <w:i/>
          <w:lang w:val="en-US"/>
        </w:rPr>
        <w:t>Procedural issues:</w:t>
      </w:r>
      <w:r w:rsidR="005C4ED3" w:rsidRPr="00F0055D">
        <w:rPr>
          <w:i/>
          <w:lang w:val="en-US"/>
        </w:rPr>
        <w:tab/>
      </w:r>
      <w:r w:rsidRPr="00F0055D">
        <w:rPr>
          <w:iCs/>
          <w:lang w:val="en-US"/>
        </w:rPr>
        <w:t xml:space="preserve">incompatibility with the </w:t>
      </w:r>
      <w:r w:rsidR="00F34302" w:rsidRPr="00F0055D">
        <w:rPr>
          <w:iCs/>
          <w:lang w:val="en-US"/>
        </w:rPr>
        <w:t xml:space="preserve">provisions of the </w:t>
      </w:r>
      <w:r w:rsidRPr="00F0055D">
        <w:rPr>
          <w:iCs/>
          <w:lang w:val="en-US"/>
        </w:rPr>
        <w:t>Covenant</w:t>
      </w:r>
      <w:r w:rsidR="00F34302" w:rsidRPr="00F0055D">
        <w:rPr>
          <w:iCs/>
          <w:lang w:val="en-US"/>
        </w:rPr>
        <w:t>;</w:t>
      </w:r>
      <w:r w:rsidRPr="00F0055D">
        <w:rPr>
          <w:iCs/>
          <w:lang w:val="en-US"/>
        </w:rPr>
        <w:t xml:space="preserve"> substantiation of claims</w:t>
      </w:r>
      <w:r w:rsidR="00F34302" w:rsidRPr="00F0055D">
        <w:rPr>
          <w:iCs/>
          <w:lang w:val="en-US"/>
        </w:rPr>
        <w:t>;</w:t>
      </w:r>
      <w:r w:rsidRPr="00F0055D">
        <w:rPr>
          <w:iCs/>
          <w:lang w:val="en-US"/>
        </w:rPr>
        <w:t xml:space="preserve"> </w:t>
      </w:r>
      <w:r w:rsidR="000219AC" w:rsidRPr="00F0055D">
        <w:rPr>
          <w:iCs/>
          <w:lang w:val="en-US"/>
        </w:rPr>
        <w:t>exhaustion of domestic remedies</w:t>
      </w:r>
    </w:p>
    <w:p w:rsidR="00AC35A2" w:rsidRPr="00F0055D" w:rsidRDefault="00AC35A2" w:rsidP="000219AC">
      <w:pPr>
        <w:pStyle w:val="SingleTxtG"/>
        <w:ind w:left="3969" w:hanging="2835"/>
        <w:jc w:val="left"/>
        <w:rPr>
          <w:iCs/>
          <w:lang w:val="en-US"/>
        </w:rPr>
      </w:pPr>
      <w:r w:rsidRPr="00F0055D">
        <w:rPr>
          <w:i/>
          <w:lang w:val="en-US"/>
        </w:rPr>
        <w:t>Articles of the Covenant:</w:t>
      </w:r>
      <w:r w:rsidR="005C4ED3" w:rsidRPr="00F0055D">
        <w:rPr>
          <w:i/>
          <w:lang w:val="en-US"/>
        </w:rPr>
        <w:tab/>
      </w:r>
      <w:r w:rsidRPr="00F0055D">
        <w:rPr>
          <w:iCs/>
          <w:lang w:val="en-US"/>
        </w:rPr>
        <w:t xml:space="preserve">7; 9, </w:t>
      </w:r>
      <w:r w:rsidR="00A742CF" w:rsidRPr="00F0055D">
        <w:rPr>
          <w:iCs/>
          <w:lang w:val="en-US"/>
        </w:rPr>
        <w:t xml:space="preserve">paras. </w:t>
      </w:r>
      <w:r w:rsidRPr="00F0055D">
        <w:rPr>
          <w:iCs/>
          <w:lang w:val="en-US"/>
        </w:rPr>
        <w:t>1 and 4; 10</w:t>
      </w:r>
      <w:r w:rsidR="00A742CF" w:rsidRPr="00F0055D">
        <w:rPr>
          <w:iCs/>
          <w:lang w:val="en-US"/>
        </w:rPr>
        <w:t xml:space="preserve">, para. </w:t>
      </w:r>
      <w:r w:rsidRPr="00F0055D">
        <w:rPr>
          <w:iCs/>
          <w:lang w:val="en-US"/>
        </w:rPr>
        <w:t>1</w:t>
      </w:r>
      <w:r w:rsidR="00A742CF" w:rsidRPr="00F0055D">
        <w:rPr>
          <w:iCs/>
          <w:lang w:val="en-US"/>
        </w:rPr>
        <w:t>;</w:t>
      </w:r>
      <w:r w:rsidRPr="00F0055D">
        <w:rPr>
          <w:iCs/>
          <w:lang w:val="en-US"/>
        </w:rPr>
        <w:t xml:space="preserve"> a</w:t>
      </w:r>
      <w:r w:rsidR="000219AC" w:rsidRPr="00F0055D">
        <w:rPr>
          <w:iCs/>
          <w:lang w:val="en-US"/>
        </w:rPr>
        <w:t>nd 14</w:t>
      </w:r>
      <w:r w:rsidR="00A742CF" w:rsidRPr="00F0055D">
        <w:rPr>
          <w:iCs/>
          <w:lang w:val="en-US"/>
        </w:rPr>
        <w:t>, para.</w:t>
      </w:r>
      <w:r w:rsidR="000219AC" w:rsidRPr="00F0055D">
        <w:rPr>
          <w:iCs/>
          <w:lang w:val="en-US"/>
        </w:rPr>
        <w:t xml:space="preserve"> 3 (b), (d), (e) and (g)</w:t>
      </w:r>
    </w:p>
    <w:p w:rsidR="00AC35A2" w:rsidRPr="00F0055D" w:rsidRDefault="00AC35A2" w:rsidP="000219AC">
      <w:pPr>
        <w:pStyle w:val="SingleTxtG"/>
        <w:ind w:left="3969" w:hanging="2835"/>
        <w:jc w:val="left"/>
        <w:rPr>
          <w:iCs/>
          <w:lang w:val="en-US"/>
        </w:rPr>
      </w:pPr>
      <w:r w:rsidRPr="00F0055D">
        <w:rPr>
          <w:i/>
          <w:lang w:val="en-US"/>
        </w:rPr>
        <w:t>Articles</w:t>
      </w:r>
      <w:r w:rsidR="0033414E" w:rsidRPr="00F0055D">
        <w:rPr>
          <w:i/>
          <w:lang w:val="en-US"/>
        </w:rPr>
        <w:t xml:space="preserve"> of the Optional Protocol:</w:t>
      </w:r>
      <w:r w:rsidR="0033414E" w:rsidRPr="00F0055D">
        <w:rPr>
          <w:i/>
          <w:lang w:val="en-US"/>
        </w:rPr>
        <w:tab/>
      </w:r>
      <w:r w:rsidR="000219AC" w:rsidRPr="00F0055D">
        <w:rPr>
          <w:iCs/>
          <w:lang w:val="en-US"/>
        </w:rPr>
        <w:t>2</w:t>
      </w:r>
      <w:r w:rsidR="00A742CF" w:rsidRPr="00F0055D">
        <w:rPr>
          <w:iCs/>
          <w:lang w:val="en-US"/>
        </w:rPr>
        <w:t xml:space="preserve"> and</w:t>
      </w:r>
      <w:r w:rsidR="000219AC" w:rsidRPr="00F0055D">
        <w:rPr>
          <w:iCs/>
          <w:lang w:val="en-US"/>
        </w:rPr>
        <w:t xml:space="preserve"> 3</w:t>
      </w:r>
    </w:p>
    <w:p w:rsidR="00DA4356" w:rsidRPr="00F0055D" w:rsidRDefault="00DA4356" w:rsidP="00DA4356">
      <w:pPr>
        <w:pStyle w:val="SingleTxtG"/>
        <w:rPr>
          <w:lang w:val="en-US"/>
        </w:rPr>
      </w:pPr>
    </w:p>
    <w:p w:rsidR="00AC35A2" w:rsidRPr="00F0055D" w:rsidRDefault="00AC35A2" w:rsidP="00DA4356">
      <w:pPr>
        <w:pStyle w:val="HChG"/>
        <w:rPr>
          <w:lang w:val="en-US"/>
        </w:rPr>
      </w:pPr>
      <w:r w:rsidRPr="00F0055D">
        <w:rPr>
          <w:lang w:val="en-US"/>
        </w:rPr>
        <w:br w:type="page"/>
      </w:r>
      <w:r w:rsidRPr="00F0055D">
        <w:rPr>
          <w:lang w:val="en-US"/>
        </w:rPr>
        <w:lastRenderedPageBreak/>
        <w:t>Annex</w:t>
      </w:r>
    </w:p>
    <w:p w:rsidR="00AC35A2" w:rsidRPr="00F0055D" w:rsidRDefault="00AC35A2" w:rsidP="000A1B4C">
      <w:pPr>
        <w:pStyle w:val="HChG"/>
        <w:rPr>
          <w:lang w:val="en-US"/>
        </w:rPr>
      </w:pPr>
      <w:r w:rsidRPr="00F0055D">
        <w:rPr>
          <w:lang w:val="en-US"/>
        </w:rPr>
        <w:tab/>
      </w:r>
      <w:r w:rsidRPr="00F0055D">
        <w:rPr>
          <w:lang w:val="en-US"/>
        </w:rPr>
        <w:tab/>
        <w:t>Decision of the Human Rights Committee under the Optional Protocol to the International Covenant on Civil</w:t>
      </w:r>
      <w:r w:rsidR="00F34302" w:rsidRPr="00F0055D">
        <w:rPr>
          <w:lang w:val="en-US"/>
        </w:rPr>
        <w:t xml:space="preserve"> </w:t>
      </w:r>
      <w:r w:rsidRPr="00F0055D">
        <w:rPr>
          <w:lang w:val="en-US"/>
        </w:rPr>
        <w:t xml:space="preserve">and Political </w:t>
      </w:r>
      <w:r w:rsidR="00F34302" w:rsidRPr="00F0055D">
        <w:rPr>
          <w:lang w:val="en-US"/>
        </w:rPr>
        <w:t>R</w:t>
      </w:r>
      <w:r w:rsidRPr="00F0055D">
        <w:rPr>
          <w:lang w:val="en-US"/>
        </w:rPr>
        <w:t>ights (110th session)</w:t>
      </w:r>
    </w:p>
    <w:p w:rsidR="00AC35A2" w:rsidRPr="00F0055D" w:rsidRDefault="00AC35A2" w:rsidP="0033414E">
      <w:pPr>
        <w:pStyle w:val="SingleTxtG"/>
        <w:rPr>
          <w:b/>
          <w:bCs/>
          <w:lang w:val="en-US"/>
        </w:rPr>
      </w:pPr>
      <w:r w:rsidRPr="00F0055D">
        <w:rPr>
          <w:lang w:val="en-US"/>
        </w:rPr>
        <w:t>concerning</w:t>
      </w:r>
    </w:p>
    <w:p w:rsidR="00AC35A2" w:rsidRPr="00F0055D" w:rsidRDefault="00AC35A2" w:rsidP="0033414E">
      <w:pPr>
        <w:pStyle w:val="H1G"/>
        <w:rPr>
          <w:lang w:val="en-US"/>
        </w:rPr>
      </w:pPr>
      <w:r w:rsidRPr="00F0055D">
        <w:rPr>
          <w:lang w:val="en-US"/>
        </w:rPr>
        <w:tab/>
      </w:r>
      <w:r w:rsidRPr="00F0055D">
        <w:rPr>
          <w:lang w:val="en-US"/>
        </w:rPr>
        <w:tab/>
        <w:t>Communication No. 1894/2009</w:t>
      </w:r>
      <w:r w:rsidR="00BE77AC" w:rsidRPr="00F0055D">
        <w:rPr>
          <w:rStyle w:val="FootnoteReference"/>
          <w:b w:val="0"/>
          <w:bCs/>
          <w:sz w:val="20"/>
          <w:vertAlign w:val="baseline"/>
          <w:lang w:val="en-US"/>
        </w:rPr>
        <w:footnoteReference w:customMarkFollows="1" w:id="2"/>
        <w:t>*</w:t>
      </w:r>
    </w:p>
    <w:p w:rsidR="00AC35A2" w:rsidRPr="00F0055D" w:rsidRDefault="00AC35A2" w:rsidP="00DA4356">
      <w:pPr>
        <w:pStyle w:val="SingleTxtG"/>
        <w:ind w:left="3969" w:hanging="2835"/>
        <w:jc w:val="left"/>
        <w:rPr>
          <w:lang w:val="en-US"/>
        </w:rPr>
      </w:pPr>
      <w:r w:rsidRPr="00F0055D">
        <w:rPr>
          <w:i/>
          <w:lang w:val="en-US"/>
        </w:rPr>
        <w:t>Submitted by:</w:t>
      </w:r>
      <w:r w:rsidRPr="00F0055D">
        <w:rPr>
          <w:lang w:val="en-US"/>
        </w:rPr>
        <w:tab/>
      </w:r>
      <w:r w:rsidR="00F92C1C" w:rsidRPr="00F0055D">
        <w:rPr>
          <w:lang w:val="en-US"/>
        </w:rPr>
        <w:t>G.J.</w:t>
      </w:r>
      <w:r w:rsidRPr="00F0055D">
        <w:rPr>
          <w:lang w:val="en-US"/>
        </w:rPr>
        <w:t xml:space="preserve"> (</w:t>
      </w:r>
      <w:r w:rsidR="00C36860" w:rsidRPr="00F0055D">
        <w:rPr>
          <w:lang w:val="en-US"/>
        </w:rPr>
        <w:t xml:space="preserve">not </w:t>
      </w:r>
      <w:r w:rsidRPr="00F0055D">
        <w:rPr>
          <w:lang w:val="en-US"/>
        </w:rPr>
        <w:t>represented</w:t>
      </w:r>
      <w:r w:rsidR="00C36860" w:rsidRPr="00F0055D">
        <w:rPr>
          <w:lang w:val="en-US"/>
        </w:rPr>
        <w:t xml:space="preserve"> by counsel</w:t>
      </w:r>
      <w:r w:rsidRPr="00F0055D">
        <w:rPr>
          <w:lang w:val="en-US"/>
        </w:rPr>
        <w:t>)</w:t>
      </w:r>
    </w:p>
    <w:p w:rsidR="00AC35A2" w:rsidRPr="00F0055D" w:rsidRDefault="00AC35A2" w:rsidP="00DA4356">
      <w:pPr>
        <w:pStyle w:val="SingleTxtG"/>
        <w:ind w:left="3969" w:hanging="2835"/>
        <w:jc w:val="left"/>
        <w:rPr>
          <w:lang w:val="en-US"/>
        </w:rPr>
      </w:pPr>
      <w:r w:rsidRPr="00F0055D">
        <w:rPr>
          <w:i/>
          <w:lang w:val="en-US"/>
        </w:rPr>
        <w:t>Alleged victim:</w:t>
      </w:r>
      <w:r w:rsidRPr="00F0055D">
        <w:rPr>
          <w:lang w:val="en-US"/>
        </w:rPr>
        <w:tab/>
        <w:t>The author</w:t>
      </w:r>
    </w:p>
    <w:p w:rsidR="00AC35A2" w:rsidRPr="00F0055D" w:rsidRDefault="00AC35A2" w:rsidP="00DA4356">
      <w:pPr>
        <w:pStyle w:val="SingleTxtG"/>
        <w:ind w:left="3969" w:hanging="2835"/>
        <w:jc w:val="left"/>
        <w:rPr>
          <w:lang w:val="en-US"/>
        </w:rPr>
      </w:pPr>
      <w:r w:rsidRPr="00F0055D">
        <w:rPr>
          <w:i/>
          <w:lang w:val="en-US"/>
        </w:rPr>
        <w:t>State party:</w:t>
      </w:r>
      <w:r w:rsidRPr="00F0055D">
        <w:rPr>
          <w:lang w:val="en-US"/>
        </w:rPr>
        <w:tab/>
      </w:r>
      <w:smartTag w:uri="urn:schemas-microsoft-com:office:smarttags" w:element="place">
        <w:smartTag w:uri="urn:schemas-microsoft-com:office:smarttags" w:element="country-region">
          <w:r w:rsidRPr="00F0055D">
            <w:rPr>
              <w:lang w:val="en-US"/>
            </w:rPr>
            <w:t>Lithuania</w:t>
          </w:r>
        </w:smartTag>
      </w:smartTag>
    </w:p>
    <w:p w:rsidR="00AC35A2" w:rsidRPr="00F0055D" w:rsidRDefault="00AC35A2" w:rsidP="00DA4356">
      <w:pPr>
        <w:pStyle w:val="SingleTxtG"/>
        <w:ind w:left="3969" w:hanging="2835"/>
        <w:jc w:val="left"/>
        <w:rPr>
          <w:lang w:val="en-US"/>
        </w:rPr>
      </w:pPr>
      <w:r w:rsidRPr="00F0055D">
        <w:rPr>
          <w:i/>
          <w:lang w:val="en-US"/>
        </w:rPr>
        <w:t>Date of communication:</w:t>
      </w:r>
      <w:r w:rsidRPr="00F0055D">
        <w:rPr>
          <w:lang w:val="en-US"/>
        </w:rPr>
        <w:tab/>
        <w:t>26 November 2007 (initial submission)</w:t>
      </w:r>
    </w:p>
    <w:p w:rsidR="00AC35A2" w:rsidRPr="00F0055D" w:rsidRDefault="00AC35A2" w:rsidP="000A1B4C">
      <w:pPr>
        <w:pStyle w:val="SingleTxtG"/>
        <w:spacing w:before="240"/>
        <w:rPr>
          <w:lang w:val="en-US"/>
        </w:rPr>
      </w:pPr>
      <w:r w:rsidRPr="00F0055D">
        <w:rPr>
          <w:lang w:val="en-US"/>
        </w:rPr>
        <w:tab/>
      </w:r>
      <w:r w:rsidRPr="00F0055D">
        <w:rPr>
          <w:i/>
          <w:lang w:val="en-US"/>
        </w:rPr>
        <w:t>The Human Rights Committee</w:t>
      </w:r>
      <w:r w:rsidRPr="00F0055D">
        <w:rPr>
          <w:lang w:val="en-US"/>
        </w:rPr>
        <w:t xml:space="preserve">, established under article 28 of the International Covenant on Civil and Political Rights, </w:t>
      </w:r>
    </w:p>
    <w:p w:rsidR="00AC35A2" w:rsidRPr="00F0055D" w:rsidRDefault="00AC35A2" w:rsidP="0033414E">
      <w:pPr>
        <w:pStyle w:val="SingleTxtG"/>
        <w:rPr>
          <w:lang w:val="en-US"/>
        </w:rPr>
      </w:pPr>
      <w:r w:rsidRPr="00F0055D">
        <w:rPr>
          <w:lang w:val="en-US"/>
        </w:rPr>
        <w:tab/>
      </w:r>
      <w:r w:rsidRPr="00F0055D">
        <w:rPr>
          <w:i/>
          <w:lang w:val="en-US"/>
        </w:rPr>
        <w:t>Meeting</w:t>
      </w:r>
      <w:r w:rsidRPr="00F0055D">
        <w:rPr>
          <w:lang w:val="en-US"/>
        </w:rPr>
        <w:t xml:space="preserve"> on </w:t>
      </w:r>
      <w:r w:rsidR="00BE77AC" w:rsidRPr="00F0055D">
        <w:rPr>
          <w:lang w:val="en-US"/>
        </w:rPr>
        <w:t xml:space="preserve">25 </w:t>
      </w:r>
      <w:r w:rsidRPr="00F0055D">
        <w:rPr>
          <w:lang w:val="en-US"/>
        </w:rPr>
        <w:t>March 2014,</w:t>
      </w:r>
    </w:p>
    <w:p w:rsidR="00AC35A2" w:rsidRPr="00F0055D" w:rsidRDefault="00AC35A2" w:rsidP="0033414E">
      <w:pPr>
        <w:pStyle w:val="SingleTxtG"/>
        <w:rPr>
          <w:lang w:val="en-US"/>
        </w:rPr>
      </w:pPr>
      <w:r w:rsidRPr="00F0055D">
        <w:rPr>
          <w:lang w:val="en-US"/>
        </w:rPr>
        <w:tab/>
      </w:r>
      <w:r w:rsidRPr="00F0055D">
        <w:rPr>
          <w:i/>
          <w:lang w:val="en-US"/>
        </w:rPr>
        <w:t xml:space="preserve">Adopts </w:t>
      </w:r>
      <w:r w:rsidRPr="00F0055D">
        <w:rPr>
          <w:lang w:val="en-US"/>
        </w:rPr>
        <w:t>the following:</w:t>
      </w:r>
    </w:p>
    <w:p w:rsidR="00AC35A2" w:rsidRPr="00F0055D" w:rsidRDefault="00AC35A2" w:rsidP="0033414E">
      <w:pPr>
        <w:pStyle w:val="H1G"/>
        <w:rPr>
          <w:lang w:val="en-US"/>
        </w:rPr>
      </w:pPr>
      <w:r w:rsidRPr="00F0055D">
        <w:rPr>
          <w:lang w:val="en-US"/>
        </w:rPr>
        <w:tab/>
      </w:r>
      <w:r w:rsidRPr="00F0055D">
        <w:rPr>
          <w:lang w:val="en-US"/>
        </w:rPr>
        <w:tab/>
        <w:t>Decision on admissibility</w:t>
      </w:r>
    </w:p>
    <w:p w:rsidR="00AC35A2" w:rsidRPr="00F0055D" w:rsidRDefault="00AC35A2" w:rsidP="0033414E">
      <w:pPr>
        <w:pStyle w:val="SingleTxtG"/>
        <w:rPr>
          <w:lang w:val="en-US"/>
        </w:rPr>
      </w:pPr>
      <w:r w:rsidRPr="00F0055D">
        <w:rPr>
          <w:lang w:val="en-US"/>
        </w:rPr>
        <w:t>1.</w:t>
      </w:r>
      <w:r w:rsidRPr="00F0055D">
        <w:rPr>
          <w:lang w:val="en-US"/>
        </w:rPr>
        <w:tab/>
        <w:t xml:space="preserve">The author is </w:t>
      </w:r>
      <w:r w:rsidR="00F92C1C" w:rsidRPr="00F0055D">
        <w:rPr>
          <w:lang w:val="en-US"/>
        </w:rPr>
        <w:t>G.J.</w:t>
      </w:r>
      <w:r w:rsidRPr="00F0055D">
        <w:rPr>
          <w:lang w:val="en-US"/>
        </w:rPr>
        <w:t>, a Lithuanian national born in 1950. He claims to be a victim of violations by Lithuania of his rights under articles 7</w:t>
      </w:r>
      <w:r w:rsidR="00A742CF" w:rsidRPr="00F0055D">
        <w:rPr>
          <w:lang w:val="en-US"/>
        </w:rPr>
        <w:t xml:space="preserve">; </w:t>
      </w:r>
      <w:r w:rsidRPr="00F0055D">
        <w:rPr>
          <w:lang w:val="en-US"/>
        </w:rPr>
        <w:t>9</w:t>
      </w:r>
      <w:r w:rsidR="00A742CF" w:rsidRPr="00F0055D">
        <w:rPr>
          <w:lang w:val="en-US"/>
        </w:rPr>
        <w:t>, paragraphs</w:t>
      </w:r>
      <w:r w:rsidRPr="00F0055D">
        <w:rPr>
          <w:lang w:val="en-US"/>
        </w:rPr>
        <w:t xml:space="preserve"> 1 and 4; 10</w:t>
      </w:r>
      <w:r w:rsidR="00A742CF" w:rsidRPr="00F0055D">
        <w:rPr>
          <w:lang w:val="en-US"/>
        </w:rPr>
        <w:t>, paragraph</w:t>
      </w:r>
      <w:r w:rsidRPr="00F0055D">
        <w:rPr>
          <w:lang w:val="en-US"/>
        </w:rPr>
        <w:t xml:space="preserve"> 1; and 14, para</w:t>
      </w:r>
      <w:r w:rsidR="00A742CF" w:rsidRPr="00F0055D">
        <w:rPr>
          <w:lang w:val="en-US"/>
        </w:rPr>
        <w:t>graph</w:t>
      </w:r>
      <w:r w:rsidRPr="00F0055D">
        <w:rPr>
          <w:lang w:val="en-US"/>
        </w:rPr>
        <w:t xml:space="preserve"> 3 (b), (d), (e) and (g), of the International Covenant on Civil and Political Rights. He is </w:t>
      </w:r>
      <w:r w:rsidR="00A742CF" w:rsidRPr="00F0055D">
        <w:rPr>
          <w:lang w:val="en-US"/>
        </w:rPr>
        <w:t xml:space="preserve">not </w:t>
      </w:r>
      <w:r w:rsidRPr="00F0055D">
        <w:rPr>
          <w:lang w:val="en-US"/>
        </w:rPr>
        <w:t>represented</w:t>
      </w:r>
      <w:r w:rsidR="00A742CF" w:rsidRPr="00F0055D">
        <w:rPr>
          <w:lang w:val="en-US"/>
        </w:rPr>
        <w:t xml:space="preserve"> by counsel</w:t>
      </w:r>
      <w:r w:rsidRPr="00F0055D">
        <w:rPr>
          <w:lang w:val="en-US"/>
        </w:rPr>
        <w:t>.</w:t>
      </w:r>
      <w:r w:rsidR="00A742CF" w:rsidRPr="00F0055D">
        <w:rPr>
          <w:lang w:val="en-US"/>
        </w:rPr>
        <w:t xml:space="preserve"> The Optional Protocol entered into force for </w:t>
      </w:r>
      <w:smartTag w:uri="urn:schemas-microsoft-com:office:smarttags" w:element="place">
        <w:smartTag w:uri="urn:schemas-microsoft-com:office:smarttags" w:element="country-region">
          <w:r w:rsidR="00A742CF" w:rsidRPr="00F0055D">
            <w:rPr>
              <w:lang w:val="en-US"/>
            </w:rPr>
            <w:t>Lithuania</w:t>
          </w:r>
        </w:smartTag>
      </w:smartTag>
      <w:r w:rsidR="00A742CF" w:rsidRPr="00F0055D">
        <w:rPr>
          <w:lang w:val="en-US"/>
        </w:rPr>
        <w:t xml:space="preserve"> on 20 February 1992.</w:t>
      </w:r>
    </w:p>
    <w:p w:rsidR="00AC35A2" w:rsidRPr="00F0055D" w:rsidRDefault="00AC35A2" w:rsidP="0033414E">
      <w:pPr>
        <w:pStyle w:val="H23G"/>
        <w:rPr>
          <w:lang w:val="en-US"/>
        </w:rPr>
      </w:pPr>
      <w:r w:rsidRPr="00F0055D">
        <w:rPr>
          <w:lang w:val="en-US"/>
        </w:rPr>
        <w:tab/>
      </w:r>
      <w:r w:rsidRPr="00F0055D">
        <w:rPr>
          <w:lang w:val="en-US"/>
        </w:rPr>
        <w:tab/>
        <w:t xml:space="preserve">The facts as </w:t>
      </w:r>
      <w:r w:rsidR="00C36860" w:rsidRPr="00F0055D">
        <w:rPr>
          <w:lang w:val="en-US"/>
        </w:rPr>
        <w:t>submitted</w:t>
      </w:r>
      <w:r w:rsidRPr="00F0055D">
        <w:rPr>
          <w:lang w:val="en-US"/>
        </w:rPr>
        <w:t xml:space="preserve"> by the author</w:t>
      </w:r>
    </w:p>
    <w:p w:rsidR="00AC35A2" w:rsidRPr="00F0055D" w:rsidRDefault="00AC35A2" w:rsidP="0033414E">
      <w:pPr>
        <w:pStyle w:val="SingleTxtG"/>
        <w:rPr>
          <w:lang w:val="en-US"/>
        </w:rPr>
      </w:pPr>
      <w:r w:rsidRPr="00F0055D">
        <w:rPr>
          <w:lang w:val="en-US"/>
        </w:rPr>
        <w:t>2.1</w:t>
      </w:r>
      <w:r w:rsidRPr="00F0055D">
        <w:rPr>
          <w:lang w:val="en-US"/>
        </w:rPr>
        <w:tab/>
        <w:t>On 18 May 2005, the author</w:t>
      </w:r>
      <w:r w:rsidR="007D13B6" w:rsidRPr="00F0055D">
        <w:rPr>
          <w:lang w:val="en-US"/>
        </w:rPr>
        <w:t>,</w:t>
      </w:r>
      <w:r w:rsidRPr="00F0055D">
        <w:rPr>
          <w:lang w:val="en-US"/>
        </w:rPr>
        <w:t xml:space="preserve"> </w:t>
      </w:r>
      <w:r w:rsidR="007D13B6" w:rsidRPr="00F0055D">
        <w:rPr>
          <w:lang w:val="en-US"/>
        </w:rPr>
        <w:t xml:space="preserve">as part of an organized group, </w:t>
      </w:r>
      <w:r w:rsidRPr="00F0055D">
        <w:rPr>
          <w:lang w:val="en-US"/>
        </w:rPr>
        <w:t xml:space="preserve">was arrested </w:t>
      </w:r>
      <w:r w:rsidR="00A742CF" w:rsidRPr="00F0055D">
        <w:rPr>
          <w:lang w:val="en-US"/>
        </w:rPr>
        <w:t>in connection with</w:t>
      </w:r>
      <w:r w:rsidRPr="00F0055D">
        <w:rPr>
          <w:lang w:val="en-US"/>
        </w:rPr>
        <w:t xml:space="preserve"> extortion and murder of one Mr. G.S. in 1993, </w:t>
      </w:r>
      <w:r w:rsidR="007D13B6" w:rsidRPr="00F0055D">
        <w:rPr>
          <w:lang w:val="en-US"/>
        </w:rPr>
        <w:t>pursuant to</w:t>
      </w:r>
      <w:r w:rsidRPr="00F0055D">
        <w:rPr>
          <w:lang w:val="en-US"/>
        </w:rPr>
        <w:t xml:space="preserve"> article 24, paragraph 4; article 25, paragraph 3; article 129, paragraph 2</w:t>
      </w:r>
      <w:r w:rsidR="007D13B6" w:rsidRPr="00F0055D">
        <w:rPr>
          <w:lang w:val="en-US"/>
        </w:rPr>
        <w:t>, subparagraph</w:t>
      </w:r>
      <w:r w:rsidRPr="00F0055D">
        <w:rPr>
          <w:lang w:val="en-US"/>
        </w:rPr>
        <w:t xml:space="preserve"> 9</w:t>
      </w:r>
      <w:r w:rsidR="007D13B6" w:rsidRPr="00F0055D">
        <w:rPr>
          <w:lang w:val="en-US"/>
        </w:rPr>
        <w:t>;</w:t>
      </w:r>
      <w:r w:rsidRPr="00F0055D">
        <w:rPr>
          <w:lang w:val="en-US"/>
        </w:rPr>
        <w:t xml:space="preserve"> and article 18</w:t>
      </w:r>
      <w:r w:rsidR="000A1B4C" w:rsidRPr="00F0055D">
        <w:rPr>
          <w:lang w:val="en-US"/>
        </w:rPr>
        <w:t xml:space="preserve">1, paragraph 3, of the Criminal </w:t>
      </w:r>
      <w:r w:rsidRPr="00F0055D">
        <w:rPr>
          <w:lang w:val="en-US"/>
        </w:rPr>
        <w:t>Code</w:t>
      </w:r>
      <w:r w:rsidR="007D13B6" w:rsidRPr="00F0055D">
        <w:rPr>
          <w:lang w:val="en-US"/>
        </w:rPr>
        <w:t xml:space="preserve"> of Lithuania</w:t>
      </w:r>
      <w:r w:rsidRPr="00F0055D">
        <w:rPr>
          <w:lang w:val="en-US"/>
        </w:rPr>
        <w:t xml:space="preserve">. </w:t>
      </w:r>
    </w:p>
    <w:p w:rsidR="00AC35A2" w:rsidRPr="00F0055D" w:rsidRDefault="000A1B4C" w:rsidP="0033414E">
      <w:pPr>
        <w:pStyle w:val="SingleTxtG"/>
        <w:rPr>
          <w:lang w:val="en-US"/>
        </w:rPr>
      </w:pPr>
      <w:r w:rsidRPr="00F0055D">
        <w:rPr>
          <w:lang w:val="en-US"/>
        </w:rPr>
        <w:t>2.2</w:t>
      </w:r>
      <w:r w:rsidR="0033414E" w:rsidRPr="00F0055D">
        <w:rPr>
          <w:lang w:val="en-US"/>
        </w:rPr>
        <w:tab/>
      </w:r>
      <w:r w:rsidR="00AC35A2" w:rsidRPr="00F0055D">
        <w:rPr>
          <w:lang w:val="en-US"/>
        </w:rPr>
        <w:t xml:space="preserve">On 19 May 2005, the Vilnius Second District Court placed him in custody for three months. The author informed the court that in March 2003, he </w:t>
      </w:r>
      <w:r w:rsidR="00063909" w:rsidRPr="00F0055D">
        <w:rPr>
          <w:lang w:val="en-US"/>
        </w:rPr>
        <w:t>had been</w:t>
      </w:r>
      <w:r w:rsidR="00AC35A2" w:rsidRPr="00F0055D">
        <w:rPr>
          <w:lang w:val="en-US"/>
        </w:rPr>
        <w:t xml:space="preserve"> diagnosed with incurable hepatitis C</w:t>
      </w:r>
      <w:r w:rsidR="00063909" w:rsidRPr="00F0055D">
        <w:rPr>
          <w:lang w:val="en-US"/>
        </w:rPr>
        <w:t>,</w:t>
      </w:r>
      <w:r w:rsidR="00AC35A2" w:rsidRPr="00F0055D">
        <w:rPr>
          <w:lang w:val="en-US"/>
        </w:rPr>
        <w:t xml:space="preserve"> and since January 2005, he </w:t>
      </w:r>
      <w:r w:rsidR="00063909" w:rsidRPr="00F0055D">
        <w:rPr>
          <w:lang w:val="en-US"/>
        </w:rPr>
        <w:t xml:space="preserve">had been </w:t>
      </w:r>
      <w:r w:rsidR="00AC35A2" w:rsidRPr="00F0055D">
        <w:rPr>
          <w:lang w:val="en-US"/>
        </w:rPr>
        <w:t>participat</w:t>
      </w:r>
      <w:r w:rsidR="00063909" w:rsidRPr="00F0055D">
        <w:rPr>
          <w:lang w:val="en-US"/>
        </w:rPr>
        <w:t>ing</w:t>
      </w:r>
      <w:r w:rsidR="00AC35A2" w:rsidRPr="00F0055D">
        <w:rPr>
          <w:lang w:val="en-US"/>
        </w:rPr>
        <w:t xml:space="preserve"> in a clinical trial of a new drug </w:t>
      </w:r>
      <w:r w:rsidR="00063909" w:rsidRPr="00F0055D">
        <w:rPr>
          <w:lang w:val="en-US"/>
        </w:rPr>
        <w:t xml:space="preserve">for the </w:t>
      </w:r>
      <w:r w:rsidR="00AC35A2" w:rsidRPr="00F0055D">
        <w:rPr>
          <w:lang w:val="en-US"/>
        </w:rPr>
        <w:t>disease</w:t>
      </w:r>
      <w:r w:rsidR="00063909" w:rsidRPr="00F0055D">
        <w:rPr>
          <w:lang w:val="en-US"/>
        </w:rPr>
        <w:t>, which was</w:t>
      </w:r>
      <w:r w:rsidR="00AC35A2" w:rsidRPr="00F0055D">
        <w:rPr>
          <w:lang w:val="en-US"/>
        </w:rPr>
        <w:t xml:space="preserve"> supposed to end in December 2005.</w:t>
      </w:r>
    </w:p>
    <w:p w:rsidR="00AC35A2" w:rsidRPr="00F0055D" w:rsidRDefault="000A1B4C" w:rsidP="0033414E">
      <w:pPr>
        <w:pStyle w:val="SingleTxtG"/>
        <w:rPr>
          <w:lang w:val="en-US"/>
        </w:rPr>
      </w:pPr>
      <w:r w:rsidRPr="00F0055D">
        <w:rPr>
          <w:lang w:val="en-US"/>
        </w:rPr>
        <w:lastRenderedPageBreak/>
        <w:t>2.3</w:t>
      </w:r>
      <w:r w:rsidR="0033414E" w:rsidRPr="00F0055D">
        <w:rPr>
          <w:lang w:val="en-US"/>
        </w:rPr>
        <w:tab/>
      </w:r>
      <w:r w:rsidR="00AC35A2" w:rsidRPr="00F0055D">
        <w:rPr>
          <w:lang w:val="en-US"/>
        </w:rPr>
        <w:t xml:space="preserve">On 27 May 2005, his lawyer appealed the district court’s decision to the </w:t>
      </w:r>
      <w:smartTag w:uri="urn:schemas-microsoft-com:office:smarttags" w:element="Street">
        <w:smartTag w:uri="urn:schemas-microsoft-com:office:smarttags" w:element="address">
          <w:r w:rsidR="00AC35A2" w:rsidRPr="00F0055D">
            <w:rPr>
              <w:lang w:val="en-US"/>
            </w:rPr>
            <w:t>Vilnius Regional Court</w:t>
          </w:r>
        </w:smartTag>
      </w:smartTag>
      <w:r w:rsidR="00063909" w:rsidRPr="00F0055D">
        <w:rPr>
          <w:lang w:val="en-US"/>
        </w:rPr>
        <w:t>. The appeal</w:t>
      </w:r>
      <w:r w:rsidR="00AC35A2" w:rsidRPr="00F0055D">
        <w:rPr>
          <w:lang w:val="en-US"/>
        </w:rPr>
        <w:t xml:space="preserve"> was rejected on 3 June 2005, as, inter alia, the </w:t>
      </w:r>
      <w:smartTag w:uri="urn:schemas-microsoft-com:office:smarttags" w:element="place">
        <w:smartTag w:uri="urn:schemas-microsoft-com:office:smarttags" w:element="PlaceName">
          <w:r w:rsidR="00AC35A2" w:rsidRPr="00F0055D">
            <w:rPr>
              <w:lang w:val="en-US"/>
            </w:rPr>
            <w:t>Penitentiary</w:t>
          </w:r>
        </w:smartTag>
        <w:r w:rsidR="00AC35A2" w:rsidRPr="00F0055D">
          <w:rPr>
            <w:lang w:val="en-US"/>
          </w:rPr>
          <w:t xml:space="preserve"> </w:t>
        </w:r>
        <w:smartTag w:uri="urn:schemas-microsoft-com:office:smarttags" w:element="PlaceType">
          <w:r w:rsidR="00AC35A2" w:rsidRPr="00F0055D">
            <w:rPr>
              <w:lang w:val="en-US"/>
            </w:rPr>
            <w:t>Hospital</w:t>
          </w:r>
        </w:smartTag>
      </w:smartTag>
      <w:r w:rsidR="00AC35A2" w:rsidRPr="00F0055D">
        <w:rPr>
          <w:lang w:val="en-US"/>
        </w:rPr>
        <w:t xml:space="preserve"> had ensured that the author could continue </w:t>
      </w:r>
      <w:r w:rsidR="00063909" w:rsidRPr="00F0055D">
        <w:rPr>
          <w:lang w:val="en-US"/>
        </w:rPr>
        <w:t>the</w:t>
      </w:r>
      <w:r w:rsidR="00AC35A2" w:rsidRPr="00F0055D">
        <w:rPr>
          <w:lang w:val="en-US"/>
        </w:rPr>
        <w:t xml:space="preserve"> treatment in custody.</w:t>
      </w:r>
    </w:p>
    <w:p w:rsidR="00AC35A2" w:rsidRPr="00F0055D" w:rsidRDefault="00AC35A2" w:rsidP="000A1B4C">
      <w:pPr>
        <w:pStyle w:val="SingleTxtG"/>
        <w:rPr>
          <w:lang w:val="en-US"/>
        </w:rPr>
      </w:pPr>
      <w:r w:rsidRPr="00F0055D">
        <w:rPr>
          <w:lang w:val="en-US"/>
        </w:rPr>
        <w:t>2.4</w:t>
      </w:r>
      <w:r w:rsidR="0033414E" w:rsidRPr="00F0055D">
        <w:rPr>
          <w:lang w:val="en-US"/>
        </w:rPr>
        <w:tab/>
      </w:r>
      <w:r w:rsidRPr="00F0055D">
        <w:rPr>
          <w:lang w:val="en-US"/>
        </w:rPr>
        <w:t>On 13 June 2005, the author requested the Prosecutor’s Office to place</w:t>
      </w:r>
      <w:r w:rsidR="00063909" w:rsidRPr="00F0055D">
        <w:rPr>
          <w:lang w:val="en-US"/>
        </w:rPr>
        <w:t xml:space="preserve"> him</w:t>
      </w:r>
      <w:r w:rsidRPr="00F0055D">
        <w:rPr>
          <w:lang w:val="en-US"/>
        </w:rPr>
        <w:t xml:space="preserve"> under house arrest </w:t>
      </w:r>
      <w:r w:rsidR="00063909" w:rsidRPr="00F0055D">
        <w:rPr>
          <w:lang w:val="en-US"/>
        </w:rPr>
        <w:t xml:space="preserve">in order </w:t>
      </w:r>
      <w:r w:rsidRPr="00F0055D">
        <w:rPr>
          <w:lang w:val="en-US"/>
        </w:rPr>
        <w:t xml:space="preserve">to continue his treatment. His request was dismissed on 1 July 2005 by </w:t>
      </w:r>
      <w:r w:rsidR="00B25A50" w:rsidRPr="00F0055D">
        <w:rPr>
          <w:lang w:val="en-US"/>
        </w:rPr>
        <w:t>the</w:t>
      </w:r>
      <w:r w:rsidRPr="00F0055D">
        <w:rPr>
          <w:lang w:val="en-US"/>
        </w:rPr>
        <w:t xml:space="preserve"> prosecutor </w:t>
      </w:r>
      <w:r w:rsidR="001316A9" w:rsidRPr="00F0055D">
        <w:rPr>
          <w:lang w:val="en-US"/>
        </w:rPr>
        <w:t xml:space="preserve">(name provided) </w:t>
      </w:r>
      <w:r w:rsidRPr="00F0055D">
        <w:rPr>
          <w:lang w:val="en-US"/>
        </w:rPr>
        <w:t>of the Department of Investigation of Organized Crime and Corruption</w:t>
      </w:r>
      <w:r w:rsidR="002F3BAE" w:rsidRPr="00F0055D">
        <w:rPr>
          <w:lang w:val="en-US"/>
        </w:rPr>
        <w:t xml:space="preserve"> (</w:t>
      </w:r>
      <w:r w:rsidR="00063909" w:rsidRPr="00F0055D">
        <w:rPr>
          <w:lang w:val="en-US"/>
        </w:rPr>
        <w:t xml:space="preserve">hereinafter </w:t>
      </w:r>
      <w:r w:rsidR="001316A9" w:rsidRPr="00F0055D">
        <w:rPr>
          <w:lang w:val="en-US"/>
        </w:rPr>
        <w:t>“</w:t>
      </w:r>
      <w:r w:rsidR="002F3BAE" w:rsidRPr="00F0055D">
        <w:rPr>
          <w:lang w:val="en-US"/>
        </w:rPr>
        <w:t>the prosecutor</w:t>
      </w:r>
      <w:r w:rsidR="001316A9" w:rsidRPr="00F0055D">
        <w:rPr>
          <w:lang w:val="en-US"/>
        </w:rPr>
        <w:t>”</w:t>
      </w:r>
      <w:r w:rsidR="002F3BAE" w:rsidRPr="00F0055D">
        <w:rPr>
          <w:lang w:val="en-US"/>
        </w:rPr>
        <w:t>)</w:t>
      </w:r>
      <w:r w:rsidRPr="00F0055D">
        <w:rPr>
          <w:lang w:val="en-US"/>
        </w:rPr>
        <w:t xml:space="preserve">. On an unspecified date, he lodged an appeal against this decision, </w:t>
      </w:r>
      <w:r w:rsidR="00063909" w:rsidRPr="00F0055D">
        <w:rPr>
          <w:lang w:val="en-US"/>
        </w:rPr>
        <w:t xml:space="preserve">which </w:t>
      </w:r>
      <w:r w:rsidRPr="00F0055D">
        <w:rPr>
          <w:lang w:val="en-US"/>
        </w:rPr>
        <w:t xml:space="preserve">was again dismissed on 20 July 2005. On 31 July 2005, he appealed both decisions to a pretrial investigation judge of the Vilnius Second District Court. </w:t>
      </w:r>
      <w:r w:rsidR="00063909" w:rsidRPr="00F0055D">
        <w:rPr>
          <w:lang w:val="en-US"/>
        </w:rPr>
        <w:t>Those</w:t>
      </w:r>
      <w:r w:rsidRPr="00F0055D">
        <w:rPr>
          <w:lang w:val="en-US"/>
        </w:rPr>
        <w:t xml:space="preserve"> appeals were rejected on 2 and 8 August 2005. The author appealed the </w:t>
      </w:r>
      <w:r w:rsidR="00063909" w:rsidRPr="00F0055D">
        <w:rPr>
          <w:lang w:val="en-US"/>
        </w:rPr>
        <w:t xml:space="preserve">investigation </w:t>
      </w:r>
      <w:r w:rsidRPr="00F0055D">
        <w:rPr>
          <w:lang w:val="en-US"/>
        </w:rPr>
        <w:t>judge’s decisions to the President of Vilnius Second District Court. On 22 August 2005, th</w:t>
      </w:r>
      <w:r w:rsidR="00B25A50" w:rsidRPr="00F0055D">
        <w:rPr>
          <w:lang w:val="en-US"/>
        </w:rPr>
        <w:t>at</w:t>
      </w:r>
      <w:r w:rsidRPr="00F0055D">
        <w:rPr>
          <w:lang w:val="en-US"/>
        </w:rPr>
        <w:t xml:space="preserve"> appeal was rejected on procedural grounds.</w:t>
      </w:r>
    </w:p>
    <w:p w:rsidR="00AC35A2" w:rsidRPr="00F0055D" w:rsidRDefault="000A1B4C" w:rsidP="0033414E">
      <w:pPr>
        <w:pStyle w:val="SingleTxtG"/>
        <w:rPr>
          <w:lang w:val="en-US"/>
        </w:rPr>
      </w:pPr>
      <w:r w:rsidRPr="00F0055D">
        <w:rPr>
          <w:lang w:val="en-US"/>
        </w:rPr>
        <w:t>2.5</w:t>
      </w:r>
      <w:r w:rsidR="0033414E" w:rsidRPr="00F0055D">
        <w:rPr>
          <w:lang w:val="en-US"/>
        </w:rPr>
        <w:tab/>
      </w:r>
      <w:r w:rsidR="00AC35A2" w:rsidRPr="00F0055D">
        <w:rPr>
          <w:lang w:val="en-US"/>
        </w:rPr>
        <w:t xml:space="preserve">On 18 July 2005, the author’s lawyer requested the prosecutor to alter the author’s custody, claiming that ceasing to take the experimental drug would pose a threat to the author’s life. The request was dismissed on 29 July 2005 by </w:t>
      </w:r>
      <w:r w:rsidR="002F3BAE" w:rsidRPr="00F0055D">
        <w:rPr>
          <w:lang w:val="en-US"/>
        </w:rPr>
        <w:t>the prosecutor</w:t>
      </w:r>
      <w:r w:rsidR="00AC35A2" w:rsidRPr="00F0055D">
        <w:rPr>
          <w:lang w:val="en-US"/>
        </w:rPr>
        <w:t xml:space="preserve">. </w:t>
      </w:r>
      <w:r w:rsidR="001316A9" w:rsidRPr="00F0055D">
        <w:rPr>
          <w:lang w:val="en-US"/>
        </w:rPr>
        <w:t>T</w:t>
      </w:r>
      <w:r w:rsidR="00AC35A2" w:rsidRPr="00F0055D">
        <w:rPr>
          <w:lang w:val="en-US"/>
        </w:rPr>
        <w:t xml:space="preserve">he author notes that </w:t>
      </w:r>
      <w:r w:rsidR="001316A9" w:rsidRPr="00F0055D">
        <w:rPr>
          <w:lang w:val="en-US"/>
        </w:rPr>
        <w:t xml:space="preserve">his </w:t>
      </w:r>
      <w:r w:rsidR="00AC35A2" w:rsidRPr="00F0055D">
        <w:rPr>
          <w:lang w:val="en-US"/>
        </w:rPr>
        <w:t>request was based on article 8, paragraph 3, of the Law on Pre</w:t>
      </w:r>
      <w:r w:rsidR="00B25A50" w:rsidRPr="00F0055D">
        <w:rPr>
          <w:lang w:val="en-US"/>
        </w:rPr>
        <w:t>t</w:t>
      </w:r>
      <w:r w:rsidR="00AC35A2" w:rsidRPr="00F0055D">
        <w:rPr>
          <w:lang w:val="en-US"/>
        </w:rPr>
        <w:t>rial Detention</w:t>
      </w:r>
      <w:r w:rsidR="001316A9" w:rsidRPr="00F0055D">
        <w:rPr>
          <w:lang w:val="en-US"/>
        </w:rPr>
        <w:t>,</w:t>
      </w:r>
      <w:r w:rsidR="00B25A50" w:rsidRPr="00F0055D">
        <w:rPr>
          <w:lang w:val="en-US"/>
        </w:rPr>
        <w:t xml:space="preserve"> which</w:t>
      </w:r>
      <w:r w:rsidR="001316A9" w:rsidRPr="00F0055D">
        <w:rPr>
          <w:lang w:val="en-US"/>
        </w:rPr>
        <w:t xml:space="preserve"> </w:t>
      </w:r>
      <w:r w:rsidR="00311830" w:rsidRPr="00F0055D">
        <w:rPr>
          <w:lang w:val="en-US"/>
        </w:rPr>
        <w:t>forbid</w:t>
      </w:r>
      <w:r w:rsidR="00B25A50" w:rsidRPr="00F0055D">
        <w:rPr>
          <w:lang w:val="en-US"/>
        </w:rPr>
        <w:t>s</w:t>
      </w:r>
      <w:r w:rsidR="00311830" w:rsidRPr="00F0055D">
        <w:rPr>
          <w:lang w:val="en-US"/>
        </w:rPr>
        <w:t xml:space="preserve"> </w:t>
      </w:r>
      <w:r w:rsidR="00AC35A2" w:rsidRPr="00F0055D">
        <w:rPr>
          <w:lang w:val="en-US"/>
        </w:rPr>
        <w:t xml:space="preserve">scientific and medical tests </w:t>
      </w:r>
      <w:r w:rsidR="00311830" w:rsidRPr="00F0055D">
        <w:rPr>
          <w:lang w:val="en-US"/>
        </w:rPr>
        <w:t xml:space="preserve">to </w:t>
      </w:r>
      <w:r w:rsidR="00AC35A2" w:rsidRPr="00F0055D">
        <w:rPr>
          <w:lang w:val="en-US"/>
        </w:rPr>
        <w:t xml:space="preserve">be performed on a detainee even with </w:t>
      </w:r>
      <w:r w:rsidR="00B25A50" w:rsidRPr="00F0055D">
        <w:rPr>
          <w:lang w:val="en-US"/>
        </w:rPr>
        <w:t>his or her</w:t>
      </w:r>
      <w:r w:rsidR="00311830" w:rsidRPr="00F0055D">
        <w:rPr>
          <w:lang w:val="en-US"/>
        </w:rPr>
        <w:t xml:space="preserve"> </w:t>
      </w:r>
      <w:r w:rsidR="00AC35A2" w:rsidRPr="00F0055D">
        <w:rPr>
          <w:lang w:val="en-US"/>
        </w:rPr>
        <w:t>consent. However, the prosecutor indicated that th</w:t>
      </w:r>
      <w:r w:rsidR="00063773" w:rsidRPr="00F0055D">
        <w:rPr>
          <w:lang w:val="en-US"/>
        </w:rPr>
        <w:t>at</w:t>
      </w:r>
      <w:r w:rsidR="00AC35A2" w:rsidRPr="00F0055D">
        <w:rPr>
          <w:lang w:val="en-US"/>
        </w:rPr>
        <w:t xml:space="preserve"> provision d</w:t>
      </w:r>
      <w:r w:rsidR="00063773" w:rsidRPr="00F0055D">
        <w:rPr>
          <w:lang w:val="en-US"/>
        </w:rPr>
        <w:t>id</w:t>
      </w:r>
      <w:r w:rsidR="00AC35A2" w:rsidRPr="00F0055D">
        <w:rPr>
          <w:lang w:val="en-US"/>
        </w:rPr>
        <w:t xml:space="preserve"> not apply when such actions </w:t>
      </w:r>
      <w:r w:rsidR="00063773" w:rsidRPr="00F0055D">
        <w:rPr>
          <w:lang w:val="en-US"/>
        </w:rPr>
        <w:t>we</w:t>
      </w:r>
      <w:r w:rsidR="00AC35A2" w:rsidRPr="00F0055D">
        <w:rPr>
          <w:lang w:val="en-US"/>
        </w:rPr>
        <w:t xml:space="preserve">re carried out </w:t>
      </w:r>
      <w:r w:rsidR="00063773" w:rsidRPr="00F0055D">
        <w:rPr>
          <w:lang w:val="en-US"/>
        </w:rPr>
        <w:t>at</w:t>
      </w:r>
      <w:r w:rsidR="00AC35A2" w:rsidRPr="00F0055D">
        <w:rPr>
          <w:lang w:val="en-US"/>
        </w:rPr>
        <w:t xml:space="preserve"> the detainee’s initiative. </w:t>
      </w:r>
    </w:p>
    <w:p w:rsidR="00AC35A2" w:rsidRPr="00F0055D" w:rsidRDefault="000A1B4C" w:rsidP="0033414E">
      <w:pPr>
        <w:pStyle w:val="SingleTxtG"/>
        <w:rPr>
          <w:lang w:val="en-US"/>
        </w:rPr>
      </w:pPr>
      <w:r w:rsidRPr="00F0055D">
        <w:rPr>
          <w:lang w:val="en-US"/>
        </w:rPr>
        <w:t>2.6</w:t>
      </w:r>
      <w:r w:rsidR="0033414E" w:rsidRPr="00F0055D">
        <w:rPr>
          <w:lang w:val="en-US"/>
        </w:rPr>
        <w:tab/>
      </w:r>
      <w:r w:rsidR="00AC35A2" w:rsidRPr="00F0055D">
        <w:rPr>
          <w:lang w:val="en-US"/>
        </w:rPr>
        <w:t xml:space="preserve">On 1 August 2005, the author was accused of having committed a number </w:t>
      </w:r>
      <w:r w:rsidRPr="00F0055D">
        <w:rPr>
          <w:lang w:val="en-US"/>
        </w:rPr>
        <w:t xml:space="preserve">of serious and other crimes. </w:t>
      </w:r>
    </w:p>
    <w:p w:rsidR="00AC35A2" w:rsidRPr="00F0055D" w:rsidRDefault="000A1B4C" w:rsidP="0033414E">
      <w:pPr>
        <w:pStyle w:val="SingleTxtG"/>
        <w:rPr>
          <w:lang w:val="en-US"/>
        </w:rPr>
      </w:pPr>
      <w:r w:rsidRPr="00F0055D">
        <w:rPr>
          <w:lang w:val="en-US"/>
        </w:rPr>
        <w:t>2.7</w:t>
      </w:r>
      <w:r w:rsidR="0033414E" w:rsidRPr="00F0055D">
        <w:rPr>
          <w:lang w:val="en-US"/>
        </w:rPr>
        <w:tab/>
      </w:r>
      <w:r w:rsidR="00AC35A2" w:rsidRPr="00F0055D">
        <w:rPr>
          <w:lang w:val="en-US"/>
        </w:rPr>
        <w:t xml:space="preserve">On 3 August 2005, </w:t>
      </w:r>
      <w:r w:rsidR="00311830" w:rsidRPr="00F0055D">
        <w:rPr>
          <w:lang w:val="en-US"/>
        </w:rPr>
        <w:t>his</w:t>
      </w:r>
      <w:r w:rsidR="00AC35A2" w:rsidRPr="00F0055D">
        <w:rPr>
          <w:lang w:val="en-US"/>
        </w:rPr>
        <w:t xml:space="preserve"> lawyer appealed the prosecutor’s decision of 29</w:t>
      </w:r>
      <w:r w:rsidR="005C4ED3" w:rsidRPr="00F0055D">
        <w:rPr>
          <w:lang w:val="en-US"/>
        </w:rPr>
        <w:t xml:space="preserve"> </w:t>
      </w:r>
      <w:r w:rsidR="00AC35A2" w:rsidRPr="00F0055D">
        <w:rPr>
          <w:lang w:val="en-US"/>
        </w:rPr>
        <w:t>July</w:t>
      </w:r>
      <w:r w:rsidR="005C4ED3" w:rsidRPr="00F0055D">
        <w:rPr>
          <w:lang w:val="en-US"/>
        </w:rPr>
        <w:t xml:space="preserve"> </w:t>
      </w:r>
      <w:r w:rsidR="00AC35A2" w:rsidRPr="00F0055D">
        <w:rPr>
          <w:lang w:val="en-US"/>
        </w:rPr>
        <w:t>2005 to the Vilnius Second District Court</w:t>
      </w:r>
      <w:r w:rsidR="00B25A50" w:rsidRPr="00F0055D">
        <w:rPr>
          <w:lang w:val="en-US"/>
        </w:rPr>
        <w:t>,</w:t>
      </w:r>
      <w:r w:rsidR="00AC35A2" w:rsidRPr="00F0055D">
        <w:rPr>
          <w:lang w:val="en-US"/>
        </w:rPr>
        <w:t xml:space="preserve"> requesting </w:t>
      </w:r>
      <w:r w:rsidR="00B25A50" w:rsidRPr="00F0055D">
        <w:rPr>
          <w:lang w:val="en-US"/>
        </w:rPr>
        <w:t xml:space="preserve">that </w:t>
      </w:r>
      <w:r w:rsidR="00AC35A2" w:rsidRPr="00F0055D">
        <w:rPr>
          <w:lang w:val="en-US"/>
        </w:rPr>
        <w:t>the restraint measure</w:t>
      </w:r>
      <w:r w:rsidR="00B25A50" w:rsidRPr="00F0055D">
        <w:rPr>
          <w:lang w:val="en-US"/>
        </w:rPr>
        <w:t xml:space="preserve"> be altered. That </w:t>
      </w:r>
      <w:r w:rsidR="00AC35A2" w:rsidRPr="00F0055D">
        <w:rPr>
          <w:lang w:val="en-US"/>
        </w:rPr>
        <w:t xml:space="preserve">appeal was dismissed on 8 August 2005. </w:t>
      </w:r>
    </w:p>
    <w:p w:rsidR="00AC35A2" w:rsidRPr="00F0055D" w:rsidRDefault="000A1B4C" w:rsidP="0033414E">
      <w:pPr>
        <w:pStyle w:val="SingleTxtG"/>
        <w:rPr>
          <w:lang w:val="en-US"/>
        </w:rPr>
      </w:pPr>
      <w:r w:rsidRPr="00F0055D">
        <w:rPr>
          <w:lang w:val="en-US"/>
        </w:rPr>
        <w:t>2.8</w:t>
      </w:r>
      <w:r w:rsidR="0033414E" w:rsidRPr="00F0055D">
        <w:rPr>
          <w:lang w:val="en-US"/>
        </w:rPr>
        <w:tab/>
      </w:r>
      <w:r w:rsidR="00AC35A2" w:rsidRPr="00F0055D">
        <w:rPr>
          <w:lang w:val="en-US"/>
        </w:rPr>
        <w:t xml:space="preserve">On 16 August 2005, the Vilnius Second District Court extended the author’s custody for another three months. On the same date, the author’s lawyer </w:t>
      </w:r>
      <w:r w:rsidR="00B25A50" w:rsidRPr="00F0055D">
        <w:rPr>
          <w:lang w:val="en-US"/>
        </w:rPr>
        <w:t xml:space="preserve">again </w:t>
      </w:r>
      <w:r w:rsidR="00AC35A2" w:rsidRPr="00F0055D">
        <w:rPr>
          <w:lang w:val="en-US"/>
        </w:rPr>
        <w:t>appealed the prosecutor</w:t>
      </w:r>
      <w:r w:rsidR="002F3BAE" w:rsidRPr="00F0055D">
        <w:rPr>
          <w:lang w:val="en-US"/>
        </w:rPr>
        <w:t>’s</w:t>
      </w:r>
      <w:r w:rsidR="00AC35A2" w:rsidRPr="00F0055D">
        <w:rPr>
          <w:lang w:val="en-US"/>
        </w:rPr>
        <w:t xml:space="preserve"> decision of 29 July 2005</w:t>
      </w:r>
      <w:r w:rsidR="00B25A50" w:rsidRPr="00F0055D">
        <w:rPr>
          <w:lang w:val="en-US"/>
        </w:rPr>
        <w:t>,</w:t>
      </w:r>
      <w:r w:rsidR="00AC35A2" w:rsidRPr="00F0055D">
        <w:rPr>
          <w:lang w:val="en-US"/>
        </w:rPr>
        <w:t xml:space="preserve"> and the Vilnius Second District Court’s decision of 8 August 2005. On 22 August 2005, the acting President of the Vilnius Second District Court dismissed the appeal, noting, inter alia, that the pretrial judge’s decision was final and not subject to appeal.</w:t>
      </w:r>
    </w:p>
    <w:p w:rsidR="00AC35A2" w:rsidRPr="00F0055D" w:rsidRDefault="000A1B4C" w:rsidP="0033414E">
      <w:pPr>
        <w:pStyle w:val="SingleTxtG"/>
        <w:rPr>
          <w:lang w:val="en-US"/>
        </w:rPr>
      </w:pPr>
      <w:r w:rsidRPr="00F0055D">
        <w:rPr>
          <w:lang w:val="en-US"/>
        </w:rPr>
        <w:t>2.9</w:t>
      </w:r>
      <w:r w:rsidR="0033414E" w:rsidRPr="00F0055D">
        <w:rPr>
          <w:lang w:val="en-US"/>
        </w:rPr>
        <w:tab/>
      </w:r>
      <w:r w:rsidR="00AC35A2" w:rsidRPr="00F0055D">
        <w:rPr>
          <w:lang w:val="en-US"/>
        </w:rPr>
        <w:t xml:space="preserve">On 29 July 2005, the author’s wife wrote to the Ministry of Health </w:t>
      </w:r>
      <w:r w:rsidR="00B25A50" w:rsidRPr="00F0055D">
        <w:rPr>
          <w:lang w:val="en-US"/>
        </w:rPr>
        <w:t>regarding</w:t>
      </w:r>
      <w:r w:rsidR="00AC35A2" w:rsidRPr="00F0055D">
        <w:rPr>
          <w:lang w:val="en-US"/>
        </w:rPr>
        <w:t xml:space="preserve"> the author’s participation in the experimental drug programme while being in detention. The Ministry of Health instructed the Bioethics Committee to review the complaint. </w:t>
      </w:r>
    </w:p>
    <w:p w:rsidR="00AC35A2" w:rsidRPr="00F0055D" w:rsidRDefault="000A1B4C" w:rsidP="0033414E">
      <w:pPr>
        <w:pStyle w:val="SingleTxtG"/>
        <w:rPr>
          <w:lang w:val="en-US"/>
        </w:rPr>
      </w:pPr>
      <w:r w:rsidRPr="00F0055D">
        <w:rPr>
          <w:lang w:val="en-US"/>
        </w:rPr>
        <w:t>2.10</w:t>
      </w:r>
      <w:r w:rsidR="0033414E" w:rsidRPr="00F0055D">
        <w:rPr>
          <w:lang w:val="en-US"/>
        </w:rPr>
        <w:tab/>
      </w:r>
      <w:r w:rsidR="00AC35A2" w:rsidRPr="00F0055D">
        <w:rPr>
          <w:lang w:val="en-US"/>
        </w:rPr>
        <w:t xml:space="preserve">The author stopped receiving </w:t>
      </w:r>
      <w:r w:rsidR="00B25A50" w:rsidRPr="00F0055D">
        <w:rPr>
          <w:lang w:val="en-US"/>
        </w:rPr>
        <w:t xml:space="preserve">the </w:t>
      </w:r>
      <w:r w:rsidR="00AC35A2" w:rsidRPr="00F0055D">
        <w:rPr>
          <w:lang w:val="en-US"/>
        </w:rPr>
        <w:t xml:space="preserve">experimental medication on 16 August 2005. </w:t>
      </w:r>
    </w:p>
    <w:p w:rsidR="00AC35A2" w:rsidRPr="00F0055D" w:rsidRDefault="000A1B4C" w:rsidP="0033414E">
      <w:pPr>
        <w:pStyle w:val="SingleTxtG"/>
        <w:rPr>
          <w:lang w:val="en-US"/>
        </w:rPr>
      </w:pPr>
      <w:r w:rsidRPr="00F0055D">
        <w:rPr>
          <w:lang w:val="en-US"/>
        </w:rPr>
        <w:t>2.11</w:t>
      </w:r>
      <w:r w:rsidR="0033414E" w:rsidRPr="00F0055D">
        <w:rPr>
          <w:lang w:val="en-US"/>
        </w:rPr>
        <w:tab/>
      </w:r>
      <w:r w:rsidR="00B25A50" w:rsidRPr="00F0055D">
        <w:rPr>
          <w:lang w:val="en-US"/>
        </w:rPr>
        <w:t xml:space="preserve">In August 2005, after </w:t>
      </w:r>
      <w:r w:rsidR="00AC35A2" w:rsidRPr="00F0055D">
        <w:rPr>
          <w:lang w:val="en-US"/>
        </w:rPr>
        <w:t xml:space="preserve">the author’s treatment </w:t>
      </w:r>
      <w:r w:rsidR="00B25A50" w:rsidRPr="00F0055D">
        <w:rPr>
          <w:lang w:val="en-US"/>
        </w:rPr>
        <w:t>had been</w:t>
      </w:r>
      <w:r w:rsidR="00AC35A2" w:rsidRPr="00F0055D">
        <w:rPr>
          <w:lang w:val="en-US"/>
        </w:rPr>
        <w:t xml:space="preserve"> terminated, the author’s wife appealed to different authorities to have the author provided with the necessary treatment. On 2 September 2005, the Ministry of Health replied that the author’s participation in the clinical trial had been terminated as breaching article 8 of the Law on Pre</w:t>
      </w:r>
      <w:r w:rsidR="00432196" w:rsidRPr="00F0055D">
        <w:rPr>
          <w:lang w:val="en-US"/>
        </w:rPr>
        <w:t>t</w:t>
      </w:r>
      <w:r w:rsidR="00AC35A2" w:rsidRPr="00F0055D">
        <w:rPr>
          <w:lang w:val="en-US"/>
        </w:rPr>
        <w:t>rial Detention</w:t>
      </w:r>
      <w:r w:rsidR="00432196" w:rsidRPr="00F0055D">
        <w:rPr>
          <w:lang w:val="en-US"/>
        </w:rPr>
        <w:t>,</w:t>
      </w:r>
      <w:r w:rsidR="00AC35A2" w:rsidRPr="00F0055D">
        <w:rPr>
          <w:lang w:val="en-US"/>
        </w:rPr>
        <w:t xml:space="preserve"> and article 5, paragraph 2</w:t>
      </w:r>
      <w:r w:rsidR="00432196" w:rsidRPr="00F0055D">
        <w:rPr>
          <w:lang w:val="en-US"/>
        </w:rPr>
        <w:t>,</w:t>
      </w:r>
      <w:r w:rsidR="00AC35A2" w:rsidRPr="00F0055D">
        <w:rPr>
          <w:lang w:val="en-US"/>
        </w:rPr>
        <w:t xml:space="preserve"> of the Law on Ethics of Biomedical Research. The Ministry </w:t>
      </w:r>
      <w:r w:rsidR="00432196" w:rsidRPr="00F0055D">
        <w:rPr>
          <w:lang w:val="en-US"/>
        </w:rPr>
        <w:t>stated</w:t>
      </w:r>
      <w:r w:rsidR="00AC35A2" w:rsidRPr="00F0055D">
        <w:rPr>
          <w:lang w:val="en-US"/>
        </w:rPr>
        <w:t xml:space="preserve"> that remand in custody was an insuperable obstacle </w:t>
      </w:r>
      <w:r w:rsidR="00432196" w:rsidRPr="00F0055D">
        <w:rPr>
          <w:lang w:val="en-US"/>
        </w:rPr>
        <w:t>to</w:t>
      </w:r>
      <w:r w:rsidR="00AC35A2" w:rsidRPr="00F0055D">
        <w:rPr>
          <w:lang w:val="en-US"/>
        </w:rPr>
        <w:t xml:space="preserve"> continuing the clinical tests</w:t>
      </w:r>
      <w:r w:rsidR="00432196" w:rsidRPr="00F0055D">
        <w:rPr>
          <w:lang w:val="en-US"/>
        </w:rPr>
        <w:t>,</w:t>
      </w:r>
      <w:r w:rsidR="00AC35A2" w:rsidRPr="00F0055D">
        <w:rPr>
          <w:lang w:val="en-US"/>
        </w:rPr>
        <w:t xml:space="preserve"> </w:t>
      </w:r>
      <w:r w:rsidR="00432196" w:rsidRPr="00F0055D">
        <w:rPr>
          <w:lang w:val="en-US"/>
        </w:rPr>
        <w:t>and</w:t>
      </w:r>
      <w:r w:rsidR="00AC35A2" w:rsidRPr="00F0055D">
        <w:rPr>
          <w:lang w:val="en-US"/>
        </w:rPr>
        <w:t xml:space="preserve"> that the author would be prescribed a standard treatment. The Parliament’s Committee on Health Affairs </w:t>
      </w:r>
      <w:r w:rsidR="00432196" w:rsidRPr="00F0055D">
        <w:rPr>
          <w:lang w:val="en-US"/>
        </w:rPr>
        <w:t>stated</w:t>
      </w:r>
      <w:r w:rsidR="00AC35A2" w:rsidRPr="00F0055D">
        <w:rPr>
          <w:lang w:val="en-US"/>
        </w:rPr>
        <w:t xml:space="preserve"> on 11</w:t>
      </w:r>
      <w:r w:rsidR="005C4ED3" w:rsidRPr="00F0055D">
        <w:rPr>
          <w:lang w:val="en-US"/>
        </w:rPr>
        <w:t xml:space="preserve"> </w:t>
      </w:r>
      <w:r w:rsidR="00AC35A2" w:rsidRPr="00F0055D">
        <w:rPr>
          <w:lang w:val="en-US"/>
        </w:rPr>
        <w:t>October 2005 that it was not authori</w:t>
      </w:r>
      <w:r w:rsidR="00432196" w:rsidRPr="00F0055D">
        <w:rPr>
          <w:lang w:val="en-US"/>
        </w:rPr>
        <w:t>z</w:t>
      </w:r>
      <w:r w:rsidR="00AC35A2" w:rsidRPr="00F0055D">
        <w:rPr>
          <w:lang w:val="en-US"/>
        </w:rPr>
        <w:t xml:space="preserve">ed to decide on the participation of specific individuals in biochemical research. </w:t>
      </w:r>
    </w:p>
    <w:p w:rsidR="00AC35A2" w:rsidRPr="00F0055D" w:rsidRDefault="000A1B4C" w:rsidP="0033414E">
      <w:pPr>
        <w:pStyle w:val="SingleTxtG"/>
        <w:rPr>
          <w:lang w:val="en-US"/>
        </w:rPr>
      </w:pPr>
      <w:r w:rsidRPr="00F0055D">
        <w:rPr>
          <w:lang w:val="en-US"/>
        </w:rPr>
        <w:t>2.12</w:t>
      </w:r>
      <w:r w:rsidR="0033414E" w:rsidRPr="00F0055D">
        <w:rPr>
          <w:lang w:val="en-US"/>
        </w:rPr>
        <w:tab/>
      </w:r>
      <w:r w:rsidR="00AC35A2" w:rsidRPr="00F0055D">
        <w:rPr>
          <w:lang w:val="en-US"/>
        </w:rPr>
        <w:t xml:space="preserve">When the author’s participation in the experiment was discontinued, the author’s lawyer complained to the Vilnius First District Court, requesting that the </w:t>
      </w:r>
      <w:smartTag w:uri="urn:schemas-microsoft-com:office:smarttags" w:element="place">
        <w:smartTag w:uri="urn:schemas-microsoft-com:office:smarttags" w:element="PlaceName">
          <w:r w:rsidR="00AC35A2" w:rsidRPr="00F0055D">
            <w:rPr>
              <w:lang w:val="en-US"/>
            </w:rPr>
            <w:t>Vilnius</w:t>
          </w:r>
        </w:smartTag>
        <w:r w:rsidR="00AC35A2" w:rsidRPr="00F0055D">
          <w:rPr>
            <w:lang w:val="en-US"/>
          </w:rPr>
          <w:t xml:space="preserve"> </w:t>
        </w:r>
        <w:smartTag w:uri="urn:schemas-microsoft-com:office:smarttags" w:element="PlaceType">
          <w:r w:rsidR="00AC35A2" w:rsidRPr="00F0055D">
            <w:rPr>
              <w:lang w:val="en-US"/>
            </w:rPr>
            <w:t>University</w:t>
          </w:r>
        </w:smartTag>
        <w:r w:rsidR="00AC35A2" w:rsidRPr="00F0055D">
          <w:rPr>
            <w:lang w:val="en-US"/>
          </w:rPr>
          <w:t xml:space="preserve"> </w:t>
        </w:r>
        <w:smartTag w:uri="urn:schemas-microsoft-com:office:smarttags" w:element="PlaceName">
          <w:r w:rsidR="00AC35A2" w:rsidRPr="00F0055D">
            <w:rPr>
              <w:lang w:val="en-US"/>
            </w:rPr>
            <w:t>Santariskes</w:t>
          </w:r>
        </w:smartTag>
        <w:r w:rsidR="00AC35A2" w:rsidRPr="00F0055D">
          <w:rPr>
            <w:lang w:val="en-US"/>
          </w:rPr>
          <w:t xml:space="preserve"> </w:t>
        </w:r>
        <w:smartTag w:uri="urn:schemas-microsoft-com:office:smarttags" w:element="PlaceType">
          <w:r w:rsidR="00AC35A2" w:rsidRPr="00F0055D">
            <w:rPr>
              <w:lang w:val="en-US"/>
            </w:rPr>
            <w:t>Hospital</w:t>
          </w:r>
        </w:smartTag>
      </w:smartTag>
      <w:r w:rsidR="00AC35A2" w:rsidRPr="00F0055D">
        <w:rPr>
          <w:lang w:val="en-US"/>
        </w:rPr>
        <w:t xml:space="preserve"> administration re</w:t>
      </w:r>
      <w:r w:rsidR="00432196" w:rsidRPr="00F0055D">
        <w:rPr>
          <w:lang w:val="en-US"/>
        </w:rPr>
        <w:t>instate</w:t>
      </w:r>
      <w:r w:rsidR="00AC35A2" w:rsidRPr="00F0055D">
        <w:rPr>
          <w:lang w:val="en-US"/>
        </w:rPr>
        <w:t xml:space="preserve"> the author’s participation in the clinical trial and </w:t>
      </w:r>
      <w:r w:rsidR="00432196" w:rsidRPr="00F0055D">
        <w:rPr>
          <w:lang w:val="en-US"/>
        </w:rPr>
        <w:t xml:space="preserve">that it </w:t>
      </w:r>
      <w:r w:rsidR="00AC35A2" w:rsidRPr="00F0055D">
        <w:rPr>
          <w:lang w:val="en-US"/>
        </w:rPr>
        <w:t>take temporary precautionary measures, i.e.</w:t>
      </w:r>
      <w:r w:rsidR="00432196" w:rsidRPr="00F0055D">
        <w:rPr>
          <w:lang w:val="en-US"/>
        </w:rPr>
        <w:t>,</w:t>
      </w:r>
      <w:r w:rsidR="00AC35A2" w:rsidRPr="00F0055D">
        <w:rPr>
          <w:lang w:val="en-US"/>
        </w:rPr>
        <w:t xml:space="preserve"> continu</w:t>
      </w:r>
      <w:r w:rsidR="00432196" w:rsidRPr="00F0055D">
        <w:rPr>
          <w:lang w:val="en-US"/>
        </w:rPr>
        <w:t>ing</w:t>
      </w:r>
      <w:r w:rsidR="00AC35A2" w:rsidRPr="00F0055D">
        <w:rPr>
          <w:lang w:val="en-US"/>
        </w:rPr>
        <w:t xml:space="preserve"> the experimental treatment, pending a decision on the merits of the case. On 18 August 2005, the district court held that the content of the appeal did not meet the requirements of article 111 of the </w:t>
      </w:r>
      <w:r w:rsidR="00AC35A2" w:rsidRPr="00F0055D">
        <w:rPr>
          <w:lang w:val="en-US"/>
        </w:rPr>
        <w:lastRenderedPageBreak/>
        <w:t xml:space="preserve">Code of Civil Procedure and ordered </w:t>
      </w:r>
      <w:r w:rsidR="00432196" w:rsidRPr="00F0055D">
        <w:rPr>
          <w:lang w:val="en-US"/>
        </w:rPr>
        <w:t xml:space="preserve">that </w:t>
      </w:r>
      <w:r w:rsidR="00AC35A2" w:rsidRPr="00F0055D">
        <w:rPr>
          <w:lang w:val="en-US"/>
        </w:rPr>
        <w:t xml:space="preserve">the shortcomings </w:t>
      </w:r>
      <w:r w:rsidR="00432196" w:rsidRPr="00F0055D">
        <w:rPr>
          <w:lang w:val="en-US"/>
        </w:rPr>
        <w:t xml:space="preserve">be </w:t>
      </w:r>
      <w:r w:rsidR="00AC35A2" w:rsidRPr="00F0055D">
        <w:rPr>
          <w:lang w:val="en-US"/>
        </w:rPr>
        <w:t xml:space="preserve">rectified by 7 September 2005. </w:t>
      </w:r>
    </w:p>
    <w:p w:rsidR="00AC35A2" w:rsidRPr="00F0055D" w:rsidRDefault="000A1B4C" w:rsidP="0033414E">
      <w:pPr>
        <w:pStyle w:val="SingleTxtG"/>
        <w:rPr>
          <w:lang w:val="en-US"/>
        </w:rPr>
      </w:pPr>
      <w:r w:rsidRPr="00F0055D">
        <w:rPr>
          <w:lang w:val="en-US"/>
        </w:rPr>
        <w:t>2.13</w:t>
      </w:r>
      <w:r w:rsidR="0033414E" w:rsidRPr="00F0055D">
        <w:rPr>
          <w:lang w:val="en-US"/>
        </w:rPr>
        <w:tab/>
      </w:r>
      <w:r w:rsidR="00AC35A2" w:rsidRPr="00F0055D">
        <w:rPr>
          <w:lang w:val="en-US"/>
        </w:rPr>
        <w:t xml:space="preserve">On 30 August 2005, the author appealed the </w:t>
      </w:r>
      <w:r w:rsidR="00432196" w:rsidRPr="00F0055D">
        <w:rPr>
          <w:lang w:val="en-US"/>
        </w:rPr>
        <w:t xml:space="preserve">district court’s </w:t>
      </w:r>
      <w:r w:rsidR="00AC35A2" w:rsidRPr="00F0055D">
        <w:rPr>
          <w:lang w:val="en-US"/>
        </w:rPr>
        <w:t xml:space="preserve">decision of 18 August 2005 and requested the </w:t>
      </w:r>
      <w:r w:rsidR="00432196" w:rsidRPr="00F0055D">
        <w:rPr>
          <w:lang w:val="en-US"/>
        </w:rPr>
        <w:t>P</w:t>
      </w:r>
      <w:r w:rsidR="00AC35A2" w:rsidRPr="00F0055D">
        <w:rPr>
          <w:lang w:val="en-US"/>
        </w:rPr>
        <w:t xml:space="preserve">resident of the Vilnius First District Court to refrain from stopping the experimental treatment, as 7 September 2005 would be too late to resume the treatment. </w:t>
      </w:r>
      <w:r w:rsidR="00432196" w:rsidRPr="00F0055D">
        <w:rPr>
          <w:lang w:val="en-US"/>
        </w:rPr>
        <w:t>That</w:t>
      </w:r>
      <w:r w:rsidR="00AC35A2" w:rsidRPr="00F0055D">
        <w:rPr>
          <w:lang w:val="en-US"/>
        </w:rPr>
        <w:t xml:space="preserve"> appeal was returned without examination</w:t>
      </w:r>
      <w:r w:rsidR="00432196" w:rsidRPr="00F0055D">
        <w:rPr>
          <w:lang w:val="en-US"/>
        </w:rPr>
        <w:t xml:space="preserve"> as the author was released on 9 September 2005</w:t>
      </w:r>
      <w:r w:rsidR="00AC35A2" w:rsidRPr="00F0055D">
        <w:rPr>
          <w:lang w:val="en-US"/>
        </w:rPr>
        <w:t>.</w:t>
      </w:r>
    </w:p>
    <w:p w:rsidR="00AC35A2" w:rsidRPr="00F0055D" w:rsidRDefault="000A1B4C" w:rsidP="0033414E">
      <w:pPr>
        <w:pStyle w:val="SingleTxtG"/>
        <w:rPr>
          <w:lang w:val="en-US"/>
        </w:rPr>
      </w:pPr>
      <w:r w:rsidRPr="00F0055D">
        <w:rPr>
          <w:lang w:val="en-US"/>
        </w:rPr>
        <w:t>2.14</w:t>
      </w:r>
      <w:r w:rsidR="0033414E" w:rsidRPr="00F0055D">
        <w:rPr>
          <w:lang w:val="en-US"/>
        </w:rPr>
        <w:tab/>
      </w:r>
      <w:r w:rsidR="00AC35A2" w:rsidRPr="00F0055D">
        <w:rPr>
          <w:lang w:val="en-US"/>
        </w:rPr>
        <w:t xml:space="preserve">On 9 September 2005, the </w:t>
      </w:r>
      <w:smartTag w:uri="urn:schemas-microsoft-com:office:smarttags" w:element="Street">
        <w:smartTag w:uri="urn:schemas-microsoft-com:office:smarttags" w:element="address">
          <w:r w:rsidR="00AC35A2" w:rsidRPr="00F0055D">
            <w:rPr>
              <w:lang w:val="en-US"/>
            </w:rPr>
            <w:t>Vilnius Regional Court</w:t>
          </w:r>
        </w:smartTag>
      </w:smartTag>
      <w:r w:rsidR="00AC35A2" w:rsidRPr="00F0055D">
        <w:rPr>
          <w:lang w:val="en-US"/>
        </w:rPr>
        <w:t xml:space="preserve"> </w:t>
      </w:r>
      <w:r w:rsidR="00432196" w:rsidRPr="00F0055D">
        <w:rPr>
          <w:lang w:val="en-US"/>
        </w:rPr>
        <w:t xml:space="preserve">ordered the </w:t>
      </w:r>
      <w:r w:rsidR="00AC35A2" w:rsidRPr="00F0055D">
        <w:rPr>
          <w:lang w:val="en-US"/>
        </w:rPr>
        <w:t>release</w:t>
      </w:r>
      <w:r w:rsidR="00432196" w:rsidRPr="00F0055D">
        <w:rPr>
          <w:lang w:val="en-US"/>
        </w:rPr>
        <w:t xml:space="preserve"> of</w:t>
      </w:r>
      <w:r w:rsidR="00AC35A2" w:rsidRPr="00F0055D">
        <w:rPr>
          <w:lang w:val="en-US"/>
        </w:rPr>
        <w:t xml:space="preserve"> the author on bail and asked him to sign a statement </w:t>
      </w:r>
      <w:r w:rsidR="00432196" w:rsidRPr="00F0055D">
        <w:rPr>
          <w:lang w:val="en-US"/>
        </w:rPr>
        <w:t xml:space="preserve">that he would </w:t>
      </w:r>
      <w:r w:rsidR="00AC35A2" w:rsidRPr="00F0055D">
        <w:rPr>
          <w:lang w:val="en-US"/>
        </w:rPr>
        <w:t>not leave the country. The author notes that the factual circumstances had not changed since his arrest</w:t>
      </w:r>
      <w:r w:rsidR="00432196" w:rsidRPr="00F0055D">
        <w:rPr>
          <w:lang w:val="en-US"/>
        </w:rPr>
        <w:t>,</w:t>
      </w:r>
      <w:r w:rsidR="00AC35A2" w:rsidRPr="00F0055D">
        <w:rPr>
          <w:lang w:val="en-US"/>
        </w:rPr>
        <w:t xml:space="preserve"> except that his health had deteriorated considerably in custody. On the same date, he was </w:t>
      </w:r>
      <w:r w:rsidR="00432196" w:rsidRPr="00F0055D">
        <w:rPr>
          <w:lang w:val="en-US"/>
        </w:rPr>
        <w:t>admitted to</w:t>
      </w:r>
      <w:r w:rsidR="00AC35A2" w:rsidRPr="00F0055D">
        <w:rPr>
          <w:lang w:val="en-US"/>
        </w:rPr>
        <w:t xml:space="preserve"> </w:t>
      </w:r>
      <w:smartTag w:uri="urn:schemas-microsoft-com:office:smarttags" w:element="place">
        <w:smartTag w:uri="urn:schemas-microsoft-com:office:smarttags" w:element="PlaceName">
          <w:r w:rsidR="00AC35A2" w:rsidRPr="00F0055D">
            <w:rPr>
              <w:lang w:val="en-US"/>
            </w:rPr>
            <w:t>Klaipeda</w:t>
          </w:r>
        </w:smartTag>
        <w:r w:rsidR="00AC35A2" w:rsidRPr="00F0055D">
          <w:rPr>
            <w:lang w:val="en-US"/>
          </w:rPr>
          <w:t xml:space="preserve"> </w:t>
        </w:r>
        <w:smartTag w:uri="urn:schemas-microsoft-com:office:smarttags" w:element="PlaceName">
          <w:r w:rsidR="00AC35A2" w:rsidRPr="00F0055D">
            <w:rPr>
              <w:lang w:val="en-US"/>
            </w:rPr>
            <w:t>Regional</w:t>
          </w:r>
        </w:smartTag>
        <w:r w:rsidR="00AC35A2" w:rsidRPr="00F0055D">
          <w:rPr>
            <w:lang w:val="en-US"/>
          </w:rPr>
          <w:t xml:space="preserve"> </w:t>
        </w:r>
        <w:smartTag w:uri="urn:schemas-microsoft-com:office:smarttags" w:element="PlaceType">
          <w:r w:rsidR="00AC35A2" w:rsidRPr="00F0055D">
            <w:rPr>
              <w:lang w:val="en-US"/>
            </w:rPr>
            <w:t>Hospital</w:t>
          </w:r>
        </w:smartTag>
      </w:smartTag>
      <w:r w:rsidR="00AC35A2" w:rsidRPr="00F0055D">
        <w:rPr>
          <w:lang w:val="en-US"/>
        </w:rPr>
        <w:t xml:space="preserve">. </w:t>
      </w:r>
    </w:p>
    <w:p w:rsidR="00AC35A2" w:rsidRPr="00F0055D" w:rsidRDefault="000A1B4C" w:rsidP="000A1B4C">
      <w:pPr>
        <w:pStyle w:val="SingleTxtG"/>
        <w:rPr>
          <w:lang w:val="en-US"/>
        </w:rPr>
      </w:pPr>
      <w:r w:rsidRPr="00F0055D">
        <w:rPr>
          <w:lang w:val="en-US"/>
        </w:rPr>
        <w:t>2.15</w:t>
      </w:r>
      <w:r w:rsidR="0033414E" w:rsidRPr="00F0055D">
        <w:rPr>
          <w:lang w:val="en-US"/>
        </w:rPr>
        <w:tab/>
      </w:r>
      <w:r w:rsidR="00AC35A2" w:rsidRPr="00F0055D">
        <w:rPr>
          <w:lang w:val="en-US"/>
        </w:rPr>
        <w:t xml:space="preserve">On 3 and 10 January 2006, </w:t>
      </w:r>
      <w:r w:rsidR="00432196" w:rsidRPr="00F0055D">
        <w:rPr>
          <w:lang w:val="en-US"/>
        </w:rPr>
        <w:t>the author</w:t>
      </w:r>
      <w:r w:rsidR="00AC35A2" w:rsidRPr="00F0055D">
        <w:rPr>
          <w:lang w:val="en-US"/>
        </w:rPr>
        <w:t xml:space="preserve"> requested the Prosecutor’s Office to</w:t>
      </w:r>
      <w:r w:rsidR="00432196" w:rsidRPr="00F0055D">
        <w:rPr>
          <w:lang w:val="en-US"/>
        </w:rPr>
        <w:t xml:space="preserve"> impose</w:t>
      </w:r>
      <w:r w:rsidR="00AC35A2" w:rsidRPr="00F0055D">
        <w:rPr>
          <w:lang w:val="en-US"/>
        </w:rPr>
        <w:t xml:space="preserve"> disciplinary punish</w:t>
      </w:r>
      <w:r w:rsidR="00432196" w:rsidRPr="00F0055D">
        <w:rPr>
          <w:lang w:val="en-US"/>
        </w:rPr>
        <w:t>ment on</w:t>
      </w:r>
      <w:r w:rsidR="00AC35A2" w:rsidRPr="00F0055D">
        <w:rPr>
          <w:lang w:val="en-US"/>
        </w:rPr>
        <w:t xml:space="preserve"> </w:t>
      </w:r>
      <w:r w:rsidR="007C1D12" w:rsidRPr="00F0055D">
        <w:rPr>
          <w:lang w:val="en-US"/>
        </w:rPr>
        <w:t>the prosecutor in question</w:t>
      </w:r>
      <w:r w:rsidRPr="00F0055D">
        <w:rPr>
          <w:lang w:val="en-US"/>
        </w:rPr>
        <w:t>.</w:t>
      </w:r>
      <w:r w:rsidR="007C1D12" w:rsidRPr="00F0055D">
        <w:rPr>
          <w:rStyle w:val="FootnoteReference"/>
          <w:lang w:val="en-US"/>
        </w:rPr>
        <w:footnoteReference w:id="3"/>
      </w:r>
      <w:r w:rsidR="00AC35A2" w:rsidRPr="00F0055D">
        <w:rPr>
          <w:lang w:val="en-US"/>
        </w:rPr>
        <w:t xml:space="preserve"> His </w:t>
      </w:r>
      <w:r w:rsidR="00F70399" w:rsidRPr="00F0055D">
        <w:rPr>
          <w:lang w:val="en-US"/>
        </w:rPr>
        <w:t xml:space="preserve">request </w:t>
      </w:r>
      <w:r w:rsidR="00AC35A2" w:rsidRPr="00F0055D">
        <w:rPr>
          <w:lang w:val="en-US"/>
        </w:rPr>
        <w:t xml:space="preserve">was forwarded to a pretrial investigation judge of the Vilnius Second District Court, who, on 30 January 2006, held that the author’s custody was imposed by a court; </w:t>
      </w:r>
      <w:r w:rsidR="00F70399" w:rsidRPr="00F0055D">
        <w:rPr>
          <w:lang w:val="en-US"/>
        </w:rPr>
        <w:t xml:space="preserve">that </w:t>
      </w:r>
      <w:r w:rsidR="00AC35A2" w:rsidRPr="00F0055D">
        <w:rPr>
          <w:lang w:val="en-US"/>
        </w:rPr>
        <w:t xml:space="preserve">the author was given every opportunity to be treated with </w:t>
      </w:r>
      <w:r w:rsidR="00F70399" w:rsidRPr="00F0055D">
        <w:rPr>
          <w:lang w:val="en-US"/>
        </w:rPr>
        <w:t xml:space="preserve">the </w:t>
      </w:r>
      <w:r w:rsidR="00AC35A2" w:rsidRPr="00F0055D">
        <w:rPr>
          <w:lang w:val="en-US"/>
        </w:rPr>
        <w:t xml:space="preserve">experimental drugs </w:t>
      </w:r>
      <w:r w:rsidR="00F70399" w:rsidRPr="00F0055D">
        <w:rPr>
          <w:lang w:val="en-US"/>
        </w:rPr>
        <w:t xml:space="preserve">while </w:t>
      </w:r>
      <w:r w:rsidR="00AC35A2" w:rsidRPr="00F0055D">
        <w:rPr>
          <w:lang w:val="en-US"/>
        </w:rPr>
        <w:t xml:space="preserve">in detention; </w:t>
      </w:r>
      <w:r w:rsidR="00F70399" w:rsidRPr="00F0055D">
        <w:rPr>
          <w:lang w:val="en-US"/>
        </w:rPr>
        <w:t xml:space="preserve">and that </w:t>
      </w:r>
      <w:r w:rsidR="00AC35A2" w:rsidRPr="00F0055D">
        <w:rPr>
          <w:lang w:val="en-US"/>
        </w:rPr>
        <w:t>his treatment was stopped</w:t>
      </w:r>
      <w:r w:rsidR="00F70399" w:rsidRPr="00F0055D">
        <w:rPr>
          <w:lang w:val="en-US"/>
        </w:rPr>
        <w:t>,</w:t>
      </w:r>
      <w:r w:rsidR="00AC35A2" w:rsidRPr="00F0055D">
        <w:rPr>
          <w:lang w:val="en-US"/>
        </w:rPr>
        <w:t xml:space="preserve"> not by the investigation or a prosecutor, but at the request of the author and his wife. </w:t>
      </w:r>
    </w:p>
    <w:p w:rsidR="00AC35A2" w:rsidRPr="00F0055D" w:rsidRDefault="000A1B4C" w:rsidP="0033414E">
      <w:pPr>
        <w:pStyle w:val="SingleTxtG"/>
        <w:rPr>
          <w:lang w:val="en-US"/>
        </w:rPr>
      </w:pPr>
      <w:r w:rsidRPr="00F0055D">
        <w:rPr>
          <w:lang w:val="en-US"/>
        </w:rPr>
        <w:t>2.16</w:t>
      </w:r>
      <w:r w:rsidR="0033414E" w:rsidRPr="00F0055D">
        <w:rPr>
          <w:lang w:val="en-US"/>
        </w:rPr>
        <w:tab/>
      </w:r>
      <w:r w:rsidR="00AC35A2" w:rsidRPr="00F0055D">
        <w:rPr>
          <w:lang w:val="en-US"/>
        </w:rPr>
        <w:t xml:space="preserve">On 3 June 2005, he was </w:t>
      </w:r>
      <w:r w:rsidR="00F70399" w:rsidRPr="00F0055D">
        <w:rPr>
          <w:lang w:val="en-US"/>
        </w:rPr>
        <w:t>admitted to</w:t>
      </w:r>
      <w:r w:rsidR="00AC35A2" w:rsidRPr="00F0055D">
        <w:rPr>
          <w:lang w:val="en-US"/>
        </w:rPr>
        <w:t xml:space="preserve"> the </w:t>
      </w:r>
      <w:smartTag w:uri="urn:schemas-microsoft-com:office:smarttags" w:element="place">
        <w:smartTag w:uri="urn:schemas-microsoft-com:office:smarttags" w:element="PlaceName">
          <w:r w:rsidR="00AC35A2" w:rsidRPr="00F0055D">
            <w:rPr>
              <w:lang w:val="en-US"/>
            </w:rPr>
            <w:t>Penitentiary</w:t>
          </w:r>
        </w:smartTag>
        <w:r w:rsidR="00AC35A2" w:rsidRPr="00F0055D">
          <w:rPr>
            <w:lang w:val="en-US"/>
          </w:rPr>
          <w:t xml:space="preserve"> </w:t>
        </w:r>
        <w:smartTag w:uri="urn:schemas-microsoft-com:office:smarttags" w:element="PlaceType">
          <w:r w:rsidR="00AC35A2" w:rsidRPr="00F0055D">
            <w:rPr>
              <w:lang w:val="en-US"/>
            </w:rPr>
            <w:t>Hospital</w:t>
          </w:r>
        </w:smartTag>
      </w:smartTag>
      <w:r w:rsidR="00AC35A2" w:rsidRPr="00F0055D">
        <w:rPr>
          <w:lang w:val="en-US"/>
        </w:rPr>
        <w:t xml:space="preserve"> as he was at risk of</w:t>
      </w:r>
      <w:r w:rsidR="00F70399" w:rsidRPr="00F0055D">
        <w:rPr>
          <w:lang w:val="en-US"/>
        </w:rPr>
        <w:t xml:space="preserve"> a</w:t>
      </w:r>
      <w:r w:rsidR="00AC35A2" w:rsidRPr="00F0055D">
        <w:rPr>
          <w:lang w:val="en-US"/>
        </w:rPr>
        <w:t xml:space="preserve"> heart attack. A police officer</w:t>
      </w:r>
      <w:r w:rsidR="00F70399" w:rsidRPr="00F0055D">
        <w:rPr>
          <w:lang w:val="en-US"/>
        </w:rPr>
        <w:t xml:space="preserve"> </w:t>
      </w:r>
      <w:r w:rsidR="00AC35A2" w:rsidRPr="00F0055D">
        <w:rPr>
          <w:lang w:val="en-US"/>
        </w:rPr>
        <w:t>tried to interrogate him but he lost consciousness. On 6 June 2005, he complained to the Prosecutor General about investigati</w:t>
      </w:r>
      <w:r w:rsidR="00F70399" w:rsidRPr="00F0055D">
        <w:rPr>
          <w:lang w:val="en-US"/>
        </w:rPr>
        <w:t>ve</w:t>
      </w:r>
      <w:r w:rsidR="00AC35A2" w:rsidRPr="00F0055D">
        <w:rPr>
          <w:lang w:val="en-US"/>
        </w:rPr>
        <w:t xml:space="preserve"> actions being performed during </w:t>
      </w:r>
      <w:r w:rsidR="00F70399" w:rsidRPr="00F0055D">
        <w:rPr>
          <w:lang w:val="en-US"/>
        </w:rPr>
        <w:t xml:space="preserve">his </w:t>
      </w:r>
      <w:r w:rsidR="00AC35A2" w:rsidRPr="00F0055D">
        <w:rPr>
          <w:lang w:val="en-US"/>
        </w:rPr>
        <w:t>hospitali</w:t>
      </w:r>
      <w:r w:rsidR="00F70399" w:rsidRPr="00F0055D">
        <w:rPr>
          <w:lang w:val="en-US"/>
        </w:rPr>
        <w:t>z</w:t>
      </w:r>
      <w:r w:rsidR="00AC35A2" w:rsidRPr="00F0055D">
        <w:rPr>
          <w:lang w:val="en-US"/>
        </w:rPr>
        <w:t xml:space="preserve">ation, in </w:t>
      </w:r>
      <w:r w:rsidR="00F70399" w:rsidRPr="00F0055D">
        <w:rPr>
          <w:lang w:val="en-US"/>
        </w:rPr>
        <w:t xml:space="preserve">the </w:t>
      </w:r>
      <w:r w:rsidR="00AC35A2" w:rsidRPr="00F0055D">
        <w:rPr>
          <w:lang w:val="en-US"/>
        </w:rPr>
        <w:t>absence</w:t>
      </w:r>
      <w:r w:rsidR="00F70399" w:rsidRPr="00F0055D">
        <w:rPr>
          <w:lang w:val="en-US"/>
        </w:rPr>
        <w:t xml:space="preserve"> of his lawyer</w:t>
      </w:r>
      <w:r w:rsidR="00AC35A2" w:rsidRPr="00F0055D">
        <w:rPr>
          <w:lang w:val="en-US"/>
        </w:rPr>
        <w:t xml:space="preserve">. On 20 July 2005, </w:t>
      </w:r>
      <w:r w:rsidR="00F70399" w:rsidRPr="00F0055D">
        <w:rPr>
          <w:lang w:val="en-US"/>
        </w:rPr>
        <w:t>the prosecutor</w:t>
      </w:r>
      <w:r w:rsidR="00AC35A2" w:rsidRPr="00F0055D">
        <w:rPr>
          <w:lang w:val="en-US"/>
        </w:rPr>
        <w:t xml:space="preserve"> found his complaint unjustified.</w:t>
      </w:r>
    </w:p>
    <w:p w:rsidR="00AC35A2" w:rsidRPr="00F0055D" w:rsidRDefault="000A1B4C" w:rsidP="0033414E">
      <w:pPr>
        <w:pStyle w:val="SingleTxtG"/>
        <w:rPr>
          <w:lang w:val="en-US"/>
        </w:rPr>
      </w:pPr>
      <w:r w:rsidRPr="00F0055D">
        <w:rPr>
          <w:lang w:val="en-US"/>
        </w:rPr>
        <w:t>2.17</w:t>
      </w:r>
      <w:r w:rsidR="0033414E" w:rsidRPr="00F0055D">
        <w:rPr>
          <w:lang w:val="en-US"/>
        </w:rPr>
        <w:tab/>
      </w:r>
      <w:r w:rsidR="00AC35A2" w:rsidRPr="00F0055D">
        <w:rPr>
          <w:lang w:val="en-US"/>
        </w:rPr>
        <w:t>The author and his wife then complained a</w:t>
      </w:r>
      <w:r w:rsidR="00F70399" w:rsidRPr="00F0055D">
        <w:rPr>
          <w:lang w:val="en-US"/>
        </w:rPr>
        <w:t>bout</w:t>
      </w:r>
      <w:r w:rsidR="00AC35A2" w:rsidRPr="00F0055D">
        <w:rPr>
          <w:lang w:val="en-US"/>
        </w:rPr>
        <w:t xml:space="preserve"> the unlawful actions of the investigation to the President of the Human Rights League, the Human Rights Committee of the Parliament and the Lithuanian Institute </w:t>
      </w:r>
      <w:r w:rsidR="00F70399" w:rsidRPr="00F0055D">
        <w:rPr>
          <w:lang w:val="en-US"/>
        </w:rPr>
        <w:t xml:space="preserve">for </w:t>
      </w:r>
      <w:r w:rsidR="00AC35A2" w:rsidRPr="00F0055D">
        <w:rPr>
          <w:lang w:val="en-US"/>
        </w:rPr>
        <w:t>Monitoring Human Rights</w:t>
      </w:r>
      <w:r w:rsidR="00F70399" w:rsidRPr="00F0055D">
        <w:rPr>
          <w:lang w:val="en-US"/>
        </w:rPr>
        <w:t>, but to no avail</w:t>
      </w:r>
      <w:r w:rsidR="00AC35A2" w:rsidRPr="00F0055D">
        <w:rPr>
          <w:lang w:val="en-US"/>
        </w:rPr>
        <w:t>.</w:t>
      </w:r>
    </w:p>
    <w:p w:rsidR="00AC35A2" w:rsidRPr="00F0055D" w:rsidRDefault="000A1B4C" w:rsidP="0033414E">
      <w:pPr>
        <w:pStyle w:val="SingleTxtG"/>
        <w:rPr>
          <w:lang w:val="en-US"/>
        </w:rPr>
      </w:pPr>
      <w:r w:rsidRPr="00F0055D">
        <w:rPr>
          <w:lang w:val="en-US"/>
        </w:rPr>
        <w:t>2.18</w:t>
      </w:r>
      <w:r w:rsidR="0033414E" w:rsidRPr="00F0055D">
        <w:rPr>
          <w:lang w:val="en-US"/>
        </w:rPr>
        <w:tab/>
      </w:r>
      <w:r w:rsidR="00AC35A2" w:rsidRPr="00F0055D">
        <w:rPr>
          <w:lang w:val="en-US"/>
        </w:rPr>
        <w:t>On 28 February 2006, the author complained to the Prosecutor’s Office</w:t>
      </w:r>
      <w:r w:rsidR="00F70399" w:rsidRPr="00F0055D">
        <w:rPr>
          <w:lang w:val="en-US"/>
        </w:rPr>
        <w:t>,</w:t>
      </w:r>
      <w:r w:rsidR="00AC35A2" w:rsidRPr="00F0055D">
        <w:rPr>
          <w:lang w:val="en-US"/>
        </w:rPr>
        <w:t xml:space="preserve"> reiterating his claims of 6 and 13 June 2005. On 26 May 2006, </w:t>
      </w:r>
      <w:r w:rsidR="002F3BAE" w:rsidRPr="00F0055D">
        <w:rPr>
          <w:lang w:val="en-US"/>
        </w:rPr>
        <w:t xml:space="preserve">the </w:t>
      </w:r>
      <w:r w:rsidR="007C1D12" w:rsidRPr="00F0055D">
        <w:rPr>
          <w:lang w:val="en-US"/>
        </w:rPr>
        <w:t xml:space="preserve">same </w:t>
      </w:r>
      <w:r w:rsidR="002F3BAE" w:rsidRPr="00F0055D">
        <w:rPr>
          <w:lang w:val="en-US"/>
        </w:rPr>
        <w:t>prosecutor</w:t>
      </w:r>
      <w:r w:rsidR="00AC35A2" w:rsidRPr="00F0055D">
        <w:rPr>
          <w:lang w:val="en-US"/>
        </w:rPr>
        <w:t xml:space="preserve"> warned him and his wife that during the pretrial investigation they had submitted more than 100 repetitive claims </w:t>
      </w:r>
      <w:r w:rsidR="00F70399" w:rsidRPr="00F0055D">
        <w:rPr>
          <w:lang w:val="en-US"/>
        </w:rPr>
        <w:t>to</w:t>
      </w:r>
      <w:r w:rsidR="00AC35A2" w:rsidRPr="00F0055D">
        <w:rPr>
          <w:lang w:val="en-US"/>
        </w:rPr>
        <w:t xml:space="preserve"> different institutions. According to the prosecutor, by doing th</w:t>
      </w:r>
      <w:r w:rsidR="00063773" w:rsidRPr="00F0055D">
        <w:rPr>
          <w:lang w:val="en-US"/>
        </w:rPr>
        <w:t>at</w:t>
      </w:r>
      <w:r w:rsidR="00AC35A2" w:rsidRPr="00F0055D">
        <w:rPr>
          <w:lang w:val="en-US"/>
        </w:rPr>
        <w:t xml:space="preserve">, the complainants </w:t>
      </w:r>
      <w:r w:rsidR="00063773" w:rsidRPr="00F0055D">
        <w:rPr>
          <w:lang w:val="en-US"/>
        </w:rPr>
        <w:t>had</w:t>
      </w:r>
      <w:r w:rsidR="00AC35A2" w:rsidRPr="00F0055D">
        <w:rPr>
          <w:lang w:val="en-US"/>
        </w:rPr>
        <w:t xml:space="preserve"> abus</w:t>
      </w:r>
      <w:r w:rsidR="00063773" w:rsidRPr="00F0055D">
        <w:rPr>
          <w:lang w:val="en-US"/>
        </w:rPr>
        <w:t>ed</w:t>
      </w:r>
      <w:r w:rsidR="00AC35A2" w:rsidRPr="00F0055D">
        <w:rPr>
          <w:lang w:val="en-US"/>
        </w:rPr>
        <w:t xml:space="preserve"> their right to appeal procedural actions and decisions and, </w:t>
      </w:r>
      <w:r w:rsidR="00063773" w:rsidRPr="00F0055D">
        <w:rPr>
          <w:lang w:val="en-US"/>
        </w:rPr>
        <w:t xml:space="preserve">had </w:t>
      </w:r>
      <w:r w:rsidR="00AC35A2" w:rsidRPr="00F0055D">
        <w:rPr>
          <w:lang w:val="en-US"/>
        </w:rPr>
        <w:t xml:space="preserve">thereby interfered with the investigation. </w:t>
      </w:r>
    </w:p>
    <w:p w:rsidR="00AC35A2" w:rsidRPr="00F0055D" w:rsidRDefault="000A1B4C" w:rsidP="000A1B4C">
      <w:pPr>
        <w:pStyle w:val="SingleTxtG"/>
        <w:rPr>
          <w:lang w:val="en-US"/>
        </w:rPr>
      </w:pPr>
      <w:r w:rsidRPr="00F0055D">
        <w:rPr>
          <w:lang w:val="en-US"/>
        </w:rPr>
        <w:t>2.19</w:t>
      </w:r>
      <w:r w:rsidR="0033414E" w:rsidRPr="00F0055D">
        <w:rPr>
          <w:lang w:val="en-US"/>
        </w:rPr>
        <w:tab/>
      </w:r>
      <w:r w:rsidR="00AC35A2" w:rsidRPr="00F0055D">
        <w:rPr>
          <w:lang w:val="en-US"/>
        </w:rPr>
        <w:t xml:space="preserve">On 1 September 2006, </w:t>
      </w:r>
      <w:r w:rsidR="00D15C9E" w:rsidRPr="00F0055D">
        <w:rPr>
          <w:lang w:val="en-US"/>
        </w:rPr>
        <w:t>the D</w:t>
      </w:r>
      <w:r w:rsidR="00AC35A2" w:rsidRPr="00F0055D">
        <w:rPr>
          <w:lang w:val="en-US"/>
        </w:rPr>
        <w:t>eputy Prosecutor General notified the author that during</w:t>
      </w:r>
      <w:r w:rsidRPr="00F0055D">
        <w:rPr>
          <w:lang w:val="en-US"/>
        </w:rPr>
        <w:t xml:space="preserve"> </w:t>
      </w:r>
      <w:r w:rsidR="00AC35A2" w:rsidRPr="00F0055D">
        <w:rPr>
          <w:lang w:val="en-US"/>
        </w:rPr>
        <w:t xml:space="preserve">the pretrial investigation, he and his lawyer had filed more than 150 complaints. </w:t>
      </w:r>
      <w:r w:rsidR="00063773" w:rsidRPr="00F0055D">
        <w:rPr>
          <w:lang w:val="en-US"/>
        </w:rPr>
        <w:t>He stated that that</w:t>
      </w:r>
      <w:r w:rsidR="00AC35A2" w:rsidRPr="00F0055D">
        <w:rPr>
          <w:lang w:val="en-US"/>
        </w:rPr>
        <w:t xml:space="preserve"> unreasonably large number of repeated requests and demands </w:t>
      </w:r>
      <w:r w:rsidR="00063773" w:rsidRPr="00F0055D">
        <w:rPr>
          <w:lang w:val="en-US"/>
        </w:rPr>
        <w:t xml:space="preserve">had </w:t>
      </w:r>
      <w:r w:rsidR="00AC35A2" w:rsidRPr="00F0055D">
        <w:rPr>
          <w:lang w:val="en-US"/>
        </w:rPr>
        <w:t>adversely affected the effectiveness and thoroughness of the investigation of the case</w:t>
      </w:r>
      <w:r w:rsidR="00063773" w:rsidRPr="00F0055D">
        <w:rPr>
          <w:lang w:val="en-US"/>
        </w:rPr>
        <w:t>,</w:t>
      </w:r>
      <w:r w:rsidR="00AC35A2" w:rsidRPr="00F0055D">
        <w:rPr>
          <w:lang w:val="en-US"/>
        </w:rPr>
        <w:t xml:space="preserve"> </w:t>
      </w:r>
      <w:r w:rsidR="00063773" w:rsidRPr="00F0055D">
        <w:rPr>
          <w:lang w:val="en-US"/>
        </w:rPr>
        <w:t xml:space="preserve">thereby </w:t>
      </w:r>
      <w:r w:rsidR="00AC35A2" w:rsidRPr="00F0055D">
        <w:rPr>
          <w:lang w:val="en-US"/>
        </w:rPr>
        <w:t xml:space="preserve">violating the principle of a speedy trial under the </w:t>
      </w:r>
      <w:r w:rsidR="00063773" w:rsidRPr="00F0055D">
        <w:rPr>
          <w:lang w:val="en-US"/>
        </w:rPr>
        <w:t xml:space="preserve">Code of </w:t>
      </w:r>
      <w:r w:rsidR="00AC35A2" w:rsidRPr="00F0055D">
        <w:rPr>
          <w:lang w:val="en-US"/>
        </w:rPr>
        <w:t>Criminal Procedure.</w:t>
      </w:r>
    </w:p>
    <w:p w:rsidR="00AC35A2" w:rsidRPr="00F0055D" w:rsidRDefault="00AC35A2" w:rsidP="0033414E">
      <w:pPr>
        <w:pStyle w:val="SingleTxtG"/>
        <w:rPr>
          <w:lang w:val="en-US"/>
        </w:rPr>
      </w:pPr>
      <w:r w:rsidRPr="00F0055D">
        <w:rPr>
          <w:lang w:val="en-US"/>
        </w:rPr>
        <w:t>2.20</w:t>
      </w:r>
      <w:r w:rsidR="005C4ED3" w:rsidRPr="00F0055D">
        <w:rPr>
          <w:lang w:val="en-US"/>
        </w:rPr>
        <w:tab/>
      </w:r>
      <w:r w:rsidRPr="00F0055D">
        <w:rPr>
          <w:lang w:val="en-US"/>
        </w:rPr>
        <w:t xml:space="preserve">On 15 September 2006, the author complained to the Vilnius Second District Court, listing the unlawful actions of </w:t>
      </w:r>
      <w:r w:rsidR="002F3BAE" w:rsidRPr="00F0055D">
        <w:rPr>
          <w:lang w:val="en-US"/>
        </w:rPr>
        <w:t>the prosecutor</w:t>
      </w:r>
      <w:r w:rsidR="007C1D12" w:rsidRPr="00F0055D">
        <w:rPr>
          <w:lang w:val="en-US"/>
        </w:rPr>
        <w:t xml:space="preserve"> in question</w:t>
      </w:r>
      <w:r w:rsidRPr="00F0055D">
        <w:rPr>
          <w:lang w:val="en-US"/>
        </w:rPr>
        <w:t>, including the</w:t>
      </w:r>
      <w:r w:rsidR="00EC62AC" w:rsidRPr="00F0055D">
        <w:rPr>
          <w:lang w:val="en-US"/>
        </w:rPr>
        <w:t xml:space="preserve"> actions</w:t>
      </w:r>
      <w:r w:rsidRPr="00F0055D">
        <w:rPr>
          <w:lang w:val="en-US"/>
        </w:rPr>
        <w:t xml:space="preserve"> </w:t>
      </w:r>
      <w:r w:rsidR="00063773" w:rsidRPr="00F0055D">
        <w:rPr>
          <w:lang w:val="en-US"/>
        </w:rPr>
        <w:t xml:space="preserve">that </w:t>
      </w:r>
      <w:r w:rsidRPr="00F0055D">
        <w:rPr>
          <w:lang w:val="en-US"/>
        </w:rPr>
        <w:t>result</w:t>
      </w:r>
      <w:r w:rsidR="00063773" w:rsidRPr="00F0055D">
        <w:rPr>
          <w:lang w:val="en-US"/>
        </w:rPr>
        <w:t>ed</w:t>
      </w:r>
      <w:r w:rsidRPr="00F0055D">
        <w:rPr>
          <w:lang w:val="en-US"/>
        </w:rPr>
        <w:t xml:space="preserve"> in the deterioration of his health condition and the termination of the experimental treatment. On 27 September 2006, a pretrial investigation declared the request groundless. On an unspecified date, the author appealed th</w:t>
      </w:r>
      <w:r w:rsidR="00EC62AC" w:rsidRPr="00F0055D">
        <w:rPr>
          <w:lang w:val="en-US"/>
        </w:rPr>
        <w:t>at</w:t>
      </w:r>
      <w:r w:rsidRPr="00F0055D">
        <w:rPr>
          <w:lang w:val="en-US"/>
        </w:rPr>
        <w:t xml:space="preserve"> decision to the </w:t>
      </w:r>
      <w:r w:rsidR="00EC62AC" w:rsidRPr="00F0055D">
        <w:rPr>
          <w:lang w:val="en-US"/>
        </w:rPr>
        <w:t>President</w:t>
      </w:r>
      <w:r w:rsidRPr="00F0055D">
        <w:rPr>
          <w:lang w:val="en-US"/>
        </w:rPr>
        <w:t xml:space="preserve"> of the Vilnius Second District Court, but </w:t>
      </w:r>
      <w:r w:rsidR="00607BA6" w:rsidRPr="00F0055D">
        <w:rPr>
          <w:lang w:val="en-US"/>
        </w:rPr>
        <w:t>to no avail</w:t>
      </w:r>
      <w:r w:rsidRPr="00F0055D">
        <w:rPr>
          <w:lang w:val="en-US"/>
        </w:rPr>
        <w:t>. His subsequent similar complaints were dismissed.</w:t>
      </w:r>
    </w:p>
    <w:p w:rsidR="00AC35A2" w:rsidRPr="00F0055D" w:rsidRDefault="00AC35A2" w:rsidP="0033414E">
      <w:pPr>
        <w:pStyle w:val="SingleTxtG"/>
        <w:rPr>
          <w:lang w:val="en-US"/>
        </w:rPr>
      </w:pPr>
      <w:r w:rsidRPr="00F0055D">
        <w:rPr>
          <w:lang w:val="en-US"/>
        </w:rPr>
        <w:lastRenderedPageBreak/>
        <w:t>2.21</w:t>
      </w:r>
      <w:r w:rsidR="005C4ED3" w:rsidRPr="00F0055D">
        <w:rPr>
          <w:lang w:val="en-US"/>
        </w:rPr>
        <w:tab/>
      </w:r>
      <w:r w:rsidRPr="00F0055D">
        <w:rPr>
          <w:lang w:val="en-US"/>
        </w:rPr>
        <w:t>The author further</w:t>
      </w:r>
      <w:r w:rsidR="00607BA6" w:rsidRPr="00F0055D">
        <w:rPr>
          <w:lang w:val="en-US"/>
        </w:rPr>
        <w:t xml:space="preserve"> elaborates </w:t>
      </w:r>
      <w:r w:rsidRPr="00F0055D">
        <w:rPr>
          <w:lang w:val="en-US"/>
        </w:rPr>
        <w:t xml:space="preserve">at great lengths </w:t>
      </w:r>
      <w:r w:rsidR="00607BA6" w:rsidRPr="00F0055D">
        <w:rPr>
          <w:lang w:val="en-US"/>
        </w:rPr>
        <w:t xml:space="preserve">on </w:t>
      </w:r>
      <w:r w:rsidRPr="00F0055D">
        <w:rPr>
          <w:lang w:val="en-US"/>
        </w:rPr>
        <w:t xml:space="preserve">the recommendations of 5 July 2007 of the Medical Panel of the Centre for Hepatology, Gastroenterology and Dietetics of Vilnius University Santariskes Hospital </w:t>
      </w:r>
      <w:r w:rsidR="00607BA6" w:rsidRPr="00F0055D">
        <w:rPr>
          <w:lang w:val="en-US"/>
        </w:rPr>
        <w:t>regarding</w:t>
      </w:r>
      <w:r w:rsidRPr="00F0055D">
        <w:rPr>
          <w:lang w:val="en-US"/>
        </w:rPr>
        <w:t xml:space="preserve"> the positive effects of the treatment with the experimental drug. </w:t>
      </w:r>
    </w:p>
    <w:p w:rsidR="00AC35A2" w:rsidRPr="00F0055D" w:rsidRDefault="00AC35A2" w:rsidP="0033414E">
      <w:pPr>
        <w:pStyle w:val="SingleTxtG"/>
        <w:rPr>
          <w:lang w:val="en-US"/>
        </w:rPr>
      </w:pPr>
      <w:r w:rsidRPr="00F0055D">
        <w:rPr>
          <w:lang w:val="en-US"/>
        </w:rPr>
        <w:t>2.22</w:t>
      </w:r>
      <w:r w:rsidR="005C4ED3" w:rsidRPr="00F0055D">
        <w:rPr>
          <w:lang w:val="en-US"/>
        </w:rPr>
        <w:tab/>
      </w:r>
      <w:r w:rsidRPr="00F0055D">
        <w:rPr>
          <w:lang w:val="en-US"/>
        </w:rPr>
        <w:t xml:space="preserve">On 18 March 2008, while hospitalized in </w:t>
      </w:r>
      <w:smartTag w:uri="urn:schemas-microsoft-com:office:smarttags" w:element="place">
        <w:smartTag w:uri="urn:schemas-microsoft-com:office:smarttags" w:element="PlaceName">
          <w:r w:rsidRPr="00F0055D">
            <w:rPr>
              <w:lang w:val="en-US"/>
            </w:rPr>
            <w:t>Klaipeda</w:t>
          </w:r>
        </w:smartTag>
        <w:r w:rsidRPr="00F0055D">
          <w:rPr>
            <w:lang w:val="en-US"/>
          </w:rPr>
          <w:t xml:space="preserve"> </w:t>
        </w:r>
        <w:smartTag w:uri="urn:schemas-microsoft-com:office:smarttags" w:element="PlaceType">
          <w:r w:rsidRPr="00F0055D">
            <w:rPr>
              <w:lang w:val="en-US"/>
            </w:rPr>
            <w:t>Hospital</w:t>
          </w:r>
        </w:smartTag>
      </w:smartTag>
      <w:r w:rsidRPr="00F0055D">
        <w:rPr>
          <w:lang w:val="en-US"/>
        </w:rPr>
        <w:t xml:space="preserve"> and contrary to </w:t>
      </w:r>
      <w:r w:rsidR="00607BA6" w:rsidRPr="00F0055D">
        <w:rPr>
          <w:lang w:val="en-US"/>
        </w:rPr>
        <w:t>the</w:t>
      </w:r>
      <w:r w:rsidRPr="00F0055D">
        <w:rPr>
          <w:lang w:val="en-US"/>
        </w:rPr>
        <w:t xml:space="preserve"> medical doctor’s prohibition to </w:t>
      </w:r>
      <w:r w:rsidR="00BF1770" w:rsidRPr="00F0055D">
        <w:rPr>
          <w:lang w:val="en-US"/>
        </w:rPr>
        <w:t>conduct</w:t>
      </w:r>
      <w:r w:rsidRPr="00F0055D">
        <w:rPr>
          <w:lang w:val="en-US"/>
        </w:rPr>
        <w:t xml:space="preserve"> investigati</w:t>
      </w:r>
      <w:r w:rsidR="00607BA6" w:rsidRPr="00F0055D">
        <w:rPr>
          <w:lang w:val="en-US"/>
        </w:rPr>
        <w:t>ve</w:t>
      </w:r>
      <w:r w:rsidRPr="00F0055D">
        <w:rPr>
          <w:lang w:val="en-US"/>
        </w:rPr>
        <w:t xml:space="preserve"> actions with him, </w:t>
      </w:r>
      <w:r w:rsidR="00607BA6" w:rsidRPr="00F0055D">
        <w:rPr>
          <w:lang w:val="en-US"/>
        </w:rPr>
        <w:t xml:space="preserve">the author </w:t>
      </w:r>
      <w:r w:rsidRPr="00F0055D">
        <w:rPr>
          <w:lang w:val="en-US"/>
        </w:rPr>
        <w:t xml:space="preserve">received notification </w:t>
      </w:r>
      <w:r w:rsidR="00607BA6" w:rsidRPr="00F0055D">
        <w:rPr>
          <w:lang w:val="en-US"/>
        </w:rPr>
        <w:t>that he w</w:t>
      </w:r>
      <w:r w:rsidRPr="00F0055D">
        <w:rPr>
          <w:lang w:val="en-US"/>
        </w:rPr>
        <w:t>as a suspect and was also questioned</w:t>
      </w:r>
      <w:r w:rsidR="00607BA6" w:rsidRPr="00F0055D">
        <w:rPr>
          <w:lang w:val="en-US"/>
        </w:rPr>
        <w:t xml:space="preserve"> in hospital</w:t>
      </w:r>
      <w:r w:rsidRPr="00F0055D">
        <w:rPr>
          <w:lang w:val="en-US"/>
        </w:rPr>
        <w:t>.</w:t>
      </w:r>
    </w:p>
    <w:p w:rsidR="00AC35A2" w:rsidRPr="00F0055D" w:rsidRDefault="0033414E" w:rsidP="0033414E">
      <w:pPr>
        <w:pStyle w:val="H23G"/>
        <w:rPr>
          <w:lang w:val="en-US"/>
        </w:rPr>
      </w:pPr>
      <w:r w:rsidRPr="00F0055D">
        <w:rPr>
          <w:lang w:val="en-US"/>
        </w:rPr>
        <w:tab/>
      </w:r>
      <w:r w:rsidRPr="00F0055D">
        <w:rPr>
          <w:lang w:val="en-US"/>
        </w:rPr>
        <w:tab/>
      </w:r>
      <w:r w:rsidR="00AC35A2" w:rsidRPr="00F0055D">
        <w:rPr>
          <w:lang w:val="en-US"/>
        </w:rPr>
        <w:t>The complaint</w:t>
      </w:r>
    </w:p>
    <w:p w:rsidR="00AC35A2" w:rsidRPr="00F0055D" w:rsidRDefault="00AC35A2" w:rsidP="0033414E">
      <w:pPr>
        <w:pStyle w:val="SingleTxtG"/>
        <w:rPr>
          <w:lang w:val="en-US"/>
        </w:rPr>
      </w:pPr>
      <w:r w:rsidRPr="00F0055D">
        <w:rPr>
          <w:lang w:val="en-US"/>
        </w:rPr>
        <w:t>3.1</w:t>
      </w:r>
      <w:r w:rsidR="005C4ED3" w:rsidRPr="00F0055D">
        <w:rPr>
          <w:lang w:val="en-US"/>
        </w:rPr>
        <w:tab/>
      </w:r>
      <w:r w:rsidRPr="00F0055D">
        <w:rPr>
          <w:lang w:val="en-US"/>
        </w:rPr>
        <w:t>The author claims a violation of his rights under articles 7 and 10</w:t>
      </w:r>
      <w:r w:rsidR="00607BA6" w:rsidRPr="00F0055D">
        <w:rPr>
          <w:lang w:val="en-US"/>
        </w:rPr>
        <w:t>, paragraph</w:t>
      </w:r>
      <w:r w:rsidRPr="00F0055D">
        <w:rPr>
          <w:lang w:val="en-US"/>
        </w:rPr>
        <w:t xml:space="preserve"> 1, of the </w:t>
      </w:r>
      <w:r w:rsidR="00607BA6" w:rsidRPr="00F0055D">
        <w:rPr>
          <w:lang w:val="en-US"/>
        </w:rPr>
        <w:t xml:space="preserve">International </w:t>
      </w:r>
      <w:r w:rsidRPr="00F0055D">
        <w:rPr>
          <w:lang w:val="en-US"/>
        </w:rPr>
        <w:t>Covenant</w:t>
      </w:r>
      <w:r w:rsidR="00607BA6" w:rsidRPr="00F0055D">
        <w:rPr>
          <w:lang w:val="en-US"/>
        </w:rPr>
        <w:t xml:space="preserve"> on Civil and Political Rights,</w:t>
      </w:r>
      <w:r w:rsidRPr="00F0055D">
        <w:rPr>
          <w:lang w:val="en-US"/>
        </w:rPr>
        <w:t xml:space="preserve"> </w:t>
      </w:r>
      <w:r w:rsidR="00607BA6" w:rsidRPr="00F0055D">
        <w:rPr>
          <w:lang w:val="en-US"/>
        </w:rPr>
        <w:t>stating that</w:t>
      </w:r>
      <w:r w:rsidRPr="00F0055D">
        <w:rPr>
          <w:lang w:val="en-US"/>
        </w:rPr>
        <w:t xml:space="preserve"> the discontinuation of his participation in the clinical experiment had negatively affected his health. The fact that he was interrogated while in hospital in a helpless state amounted to a breach of his rights under article 10</w:t>
      </w:r>
      <w:r w:rsidR="00607BA6" w:rsidRPr="00F0055D">
        <w:rPr>
          <w:lang w:val="en-US"/>
        </w:rPr>
        <w:t>, paragraph</w:t>
      </w:r>
      <w:r w:rsidRPr="00F0055D">
        <w:rPr>
          <w:lang w:val="en-US"/>
        </w:rPr>
        <w:t xml:space="preserve"> 1</w:t>
      </w:r>
      <w:r w:rsidR="00607BA6" w:rsidRPr="00F0055D">
        <w:rPr>
          <w:lang w:val="en-US"/>
        </w:rPr>
        <w:t>,</w:t>
      </w:r>
      <w:r w:rsidRPr="00F0055D">
        <w:rPr>
          <w:lang w:val="en-US"/>
        </w:rPr>
        <w:t xml:space="preserve"> of the Covenant.</w:t>
      </w:r>
    </w:p>
    <w:p w:rsidR="00AC35A2" w:rsidRPr="00F0055D" w:rsidRDefault="00AC35A2" w:rsidP="0033414E">
      <w:pPr>
        <w:pStyle w:val="SingleTxtG"/>
        <w:rPr>
          <w:lang w:val="en-US"/>
        </w:rPr>
      </w:pPr>
      <w:r w:rsidRPr="00F0055D">
        <w:rPr>
          <w:lang w:val="en-US"/>
        </w:rPr>
        <w:t>3.2</w:t>
      </w:r>
      <w:r w:rsidR="005C4ED3" w:rsidRPr="00F0055D">
        <w:rPr>
          <w:lang w:val="en-US"/>
        </w:rPr>
        <w:tab/>
      </w:r>
      <w:r w:rsidR="00EA3F9A" w:rsidRPr="00F0055D">
        <w:rPr>
          <w:lang w:val="en-US"/>
        </w:rPr>
        <w:t>The author</w:t>
      </w:r>
      <w:r w:rsidRPr="00F0055D">
        <w:rPr>
          <w:lang w:val="en-US"/>
        </w:rPr>
        <w:t xml:space="preserve"> claims a violation of article 9</w:t>
      </w:r>
      <w:r w:rsidR="00607BA6" w:rsidRPr="00F0055D">
        <w:rPr>
          <w:lang w:val="en-US"/>
        </w:rPr>
        <w:t>, paragraphs</w:t>
      </w:r>
      <w:r w:rsidRPr="00F0055D">
        <w:rPr>
          <w:lang w:val="en-US"/>
        </w:rPr>
        <w:t xml:space="preserve"> 1 and 4, of the Covenant</w:t>
      </w:r>
      <w:r w:rsidR="00EA3F9A" w:rsidRPr="00F0055D">
        <w:rPr>
          <w:lang w:val="en-US"/>
        </w:rPr>
        <w:t xml:space="preserve">, stating that </w:t>
      </w:r>
      <w:r w:rsidRPr="00F0055D">
        <w:rPr>
          <w:lang w:val="en-US"/>
        </w:rPr>
        <w:t>he needed to participate in the clinical experiment, but was unlawfully placed in custody on 19 May 2005</w:t>
      </w:r>
      <w:r w:rsidR="00EA3F9A" w:rsidRPr="00F0055D">
        <w:rPr>
          <w:lang w:val="en-US"/>
        </w:rPr>
        <w:t>,</w:t>
      </w:r>
      <w:r w:rsidRPr="00F0055D">
        <w:rPr>
          <w:lang w:val="en-US"/>
        </w:rPr>
        <w:t xml:space="preserve"> and the authorities refused to impose a less restrictive restraint measure.</w:t>
      </w:r>
    </w:p>
    <w:p w:rsidR="00AC35A2" w:rsidRPr="00F0055D" w:rsidRDefault="00AC35A2" w:rsidP="0033414E">
      <w:pPr>
        <w:pStyle w:val="SingleTxtG"/>
        <w:rPr>
          <w:lang w:val="en-US"/>
        </w:rPr>
      </w:pPr>
      <w:r w:rsidRPr="00F0055D">
        <w:rPr>
          <w:lang w:val="en-US"/>
        </w:rPr>
        <w:t>3.3</w:t>
      </w:r>
      <w:r w:rsidR="005C4ED3" w:rsidRPr="00F0055D">
        <w:rPr>
          <w:lang w:val="en-US"/>
        </w:rPr>
        <w:tab/>
      </w:r>
      <w:r w:rsidR="00EA3F9A" w:rsidRPr="00F0055D">
        <w:rPr>
          <w:lang w:val="en-US"/>
        </w:rPr>
        <w:t>The author</w:t>
      </w:r>
      <w:r w:rsidRPr="00F0055D">
        <w:rPr>
          <w:lang w:val="en-US"/>
        </w:rPr>
        <w:t xml:space="preserve"> also claims a violation of his rights under articles 10 and 14, </w:t>
      </w:r>
      <w:r w:rsidR="00EA3F9A" w:rsidRPr="00F0055D">
        <w:rPr>
          <w:lang w:val="en-US"/>
        </w:rPr>
        <w:t xml:space="preserve">paragraph </w:t>
      </w:r>
      <w:r w:rsidRPr="00F0055D">
        <w:rPr>
          <w:lang w:val="en-US"/>
        </w:rPr>
        <w:t>3 (d) and (g), of the Covenant</w:t>
      </w:r>
      <w:r w:rsidR="00EA3F9A" w:rsidRPr="00F0055D">
        <w:rPr>
          <w:lang w:val="en-US"/>
        </w:rPr>
        <w:t xml:space="preserve">, stating that </w:t>
      </w:r>
      <w:r w:rsidRPr="00F0055D">
        <w:rPr>
          <w:lang w:val="en-US"/>
        </w:rPr>
        <w:t>he was interrogated while hospitali</w:t>
      </w:r>
      <w:r w:rsidR="00EA3F9A" w:rsidRPr="00F0055D">
        <w:rPr>
          <w:lang w:val="en-US"/>
        </w:rPr>
        <w:t>z</w:t>
      </w:r>
      <w:r w:rsidRPr="00F0055D">
        <w:rPr>
          <w:lang w:val="en-US"/>
        </w:rPr>
        <w:t xml:space="preserve">ed in a helpless state </w:t>
      </w:r>
      <w:r w:rsidR="00EA3F9A" w:rsidRPr="00F0055D">
        <w:rPr>
          <w:lang w:val="en-US"/>
        </w:rPr>
        <w:t xml:space="preserve">and </w:t>
      </w:r>
      <w:r w:rsidRPr="00F0055D">
        <w:rPr>
          <w:lang w:val="en-US"/>
        </w:rPr>
        <w:t xml:space="preserve">in the absence of his lawyer, </w:t>
      </w:r>
      <w:r w:rsidR="00EA3F9A" w:rsidRPr="00F0055D">
        <w:rPr>
          <w:lang w:val="en-US"/>
        </w:rPr>
        <w:t xml:space="preserve">so that he was </w:t>
      </w:r>
      <w:r w:rsidRPr="00F0055D">
        <w:rPr>
          <w:lang w:val="en-US"/>
        </w:rPr>
        <w:t>compell</w:t>
      </w:r>
      <w:r w:rsidR="00EA3F9A" w:rsidRPr="00F0055D">
        <w:rPr>
          <w:lang w:val="en-US"/>
        </w:rPr>
        <w:t>ed</w:t>
      </w:r>
      <w:r w:rsidRPr="00F0055D">
        <w:rPr>
          <w:lang w:val="en-US"/>
        </w:rPr>
        <w:t xml:space="preserve"> to testify against himself. In the latter regard</w:t>
      </w:r>
      <w:r w:rsidR="00EA3F9A" w:rsidRPr="00F0055D">
        <w:rPr>
          <w:lang w:val="en-US"/>
        </w:rPr>
        <w:t>,</w:t>
      </w:r>
      <w:r w:rsidRPr="00F0055D">
        <w:rPr>
          <w:lang w:val="en-US"/>
        </w:rPr>
        <w:t xml:space="preserve"> the author also states that on a number of occasions</w:t>
      </w:r>
      <w:r w:rsidR="00EA3F9A" w:rsidRPr="00F0055D">
        <w:rPr>
          <w:lang w:val="en-US"/>
        </w:rPr>
        <w:t>,</w:t>
      </w:r>
      <w:r w:rsidRPr="00F0055D">
        <w:rPr>
          <w:lang w:val="en-US"/>
        </w:rPr>
        <w:t xml:space="preserve"> </w:t>
      </w:r>
      <w:r w:rsidR="00EA3F9A" w:rsidRPr="00F0055D">
        <w:rPr>
          <w:lang w:val="en-US"/>
        </w:rPr>
        <w:t>offers were made that if he</w:t>
      </w:r>
      <w:r w:rsidRPr="00F0055D">
        <w:rPr>
          <w:lang w:val="en-US"/>
        </w:rPr>
        <w:t xml:space="preserve"> confess</w:t>
      </w:r>
      <w:r w:rsidR="00EA3F9A" w:rsidRPr="00F0055D">
        <w:rPr>
          <w:lang w:val="en-US"/>
        </w:rPr>
        <w:t>ed his</w:t>
      </w:r>
      <w:r w:rsidRPr="00F0055D">
        <w:rPr>
          <w:lang w:val="en-US"/>
        </w:rPr>
        <w:t xml:space="preserve"> guilt</w:t>
      </w:r>
      <w:r w:rsidR="00EA3F9A" w:rsidRPr="00F0055D">
        <w:rPr>
          <w:lang w:val="en-US"/>
        </w:rPr>
        <w:t>,</w:t>
      </w:r>
      <w:r w:rsidRPr="00F0055D">
        <w:rPr>
          <w:lang w:val="en-US"/>
        </w:rPr>
        <w:t xml:space="preserve"> in return he would be released from detention on remand and </w:t>
      </w:r>
      <w:r w:rsidR="00EA3F9A" w:rsidRPr="00F0055D">
        <w:rPr>
          <w:lang w:val="en-US"/>
        </w:rPr>
        <w:t xml:space="preserve">be able </w:t>
      </w:r>
      <w:r w:rsidRPr="00F0055D">
        <w:rPr>
          <w:lang w:val="en-US"/>
        </w:rPr>
        <w:t>to continue his treatment.</w:t>
      </w:r>
    </w:p>
    <w:p w:rsidR="00AC35A2" w:rsidRPr="00F0055D" w:rsidRDefault="00AC35A2" w:rsidP="0033414E">
      <w:pPr>
        <w:pStyle w:val="SingleTxtG"/>
        <w:rPr>
          <w:lang w:val="en-US"/>
        </w:rPr>
      </w:pPr>
      <w:r w:rsidRPr="00F0055D">
        <w:rPr>
          <w:lang w:val="en-US"/>
        </w:rPr>
        <w:t>3.4</w:t>
      </w:r>
      <w:r w:rsidR="005C4ED3" w:rsidRPr="00F0055D">
        <w:rPr>
          <w:lang w:val="en-US"/>
        </w:rPr>
        <w:tab/>
      </w:r>
      <w:r w:rsidR="00EA3F9A" w:rsidRPr="00F0055D">
        <w:rPr>
          <w:lang w:val="en-US"/>
        </w:rPr>
        <w:t>The</w:t>
      </w:r>
      <w:r w:rsidRPr="00F0055D">
        <w:rPr>
          <w:lang w:val="en-US"/>
        </w:rPr>
        <w:t xml:space="preserve"> </w:t>
      </w:r>
      <w:r w:rsidR="00EA3F9A" w:rsidRPr="00F0055D">
        <w:rPr>
          <w:lang w:val="en-US"/>
        </w:rPr>
        <w:t xml:space="preserve">author </w:t>
      </w:r>
      <w:r w:rsidRPr="00F0055D">
        <w:rPr>
          <w:lang w:val="en-US"/>
        </w:rPr>
        <w:t>further claims a violation of his rights under article 14, para</w:t>
      </w:r>
      <w:r w:rsidR="00EA3F9A" w:rsidRPr="00F0055D">
        <w:rPr>
          <w:lang w:val="en-US"/>
        </w:rPr>
        <w:t>graph</w:t>
      </w:r>
      <w:r w:rsidRPr="00F0055D">
        <w:rPr>
          <w:lang w:val="en-US"/>
        </w:rPr>
        <w:t xml:space="preserve"> 3 (b) and (g), of the Covenant</w:t>
      </w:r>
      <w:r w:rsidR="00EA3F9A" w:rsidRPr="00F0055D">
        <w:rPr>
          <w:lang w:val="en-US"/>
        </w:rPr>
        <w:t>, stating that,</w:t>
      </w:r>
      <w:r w:rsidRPr="00F0055D">
        <w:rPr>
          <w:lang w:val="en-US"/>
        </w:rPr>
        <w:t xml:space="preserve"> on 18 March 2008,</w:t>
      </w:r>
      <w:r w:rsidR="005C4ED3" w:rsidRPr="00F0055D">
        <w:rPr>
          <w:lang w:val="en-US"/>
        </w:rPr>
        <w:t xml:space="preserve"> </w:t>
      </w:r>
      <w:r w:rsidR="00B96E48" w:rsidRPr="00F0055D">
        <w:rPr>
          <w:lang w:val="en-US"/>
        </w:rPr>
        <w:t xml:space="preserve">while in hospital and </w:t>
      </w:r>
      <w:r w:rsidRPr="00F0055D">
        <w:rPr>
          <w:lang w:val="en-US"/>
        </w:rPr>
        <w:t xml:space="preserve">contrary to his medical doctor’s prohibition </w:t>
      </w:r>
      <w:r w:rsidR="00EA3F9A" w:rsidRPr="00F0055D">
        <w:rPr>
          <w:lang w:val="en-US"/>
        </w:rPr>
        <w:t xml:space="preserve">that </w:t>
      </w:r>
      <w:r w:rsidRPr="00F0055D">
        <w:rPr>
          <w:lang w:val="en-US"/>
        </w:rPr>
        <w:t>investigati</w:t>
      </w:r>
      <w:r w:rsidR="00EA3F9A" w:rsidRPr="00F0055D">
        <w:rPr>
          <w:lang w:val="en-US"/>
        </w:rPr>
        <w:t>ve</w:t>
      </w:r>
      <w:r w:rsidRPr="00F0055D">
        <w:rPr>
          <w:lang w:val="en-US"/>
        </w:rPr>
        <w:t xml:space="preserve"> actions</w:t>
      </w:r>
      <w:r w:rsidR="00EA3F9A" w:rsidRPr="00F0055D">
        <w:rPr>
          <w:lang w:val="en-US"/>
        </w:rPr>
        <w:t xml:space="preserve"> be conducted</w:t>
      </w:r>
      <w:r w:rsidRPr="00F0055D">
        <w:rPr>
          <w:lang w:val="en-US"/>
        </w:rPr>
        <w:t xml:space="preserve">, he was officially </w:t>
      </w:r>
      <w:r w:rsidR="00B96E48" w:rsidRPr="00F0055D">
        <w:rPr>
          <w:lang w:val="en-US"/>
        </w:rPr>
        <w:t>notified</w:t>
      </w:r>
      <w:r w:rsidRPr="00F0055D">
        <w:rPr>
          <w:lang w:val="en-US"/>
        </w:rPr>
        <w:t xml:space="preserve"> </w:t>
      </w:r>
      <w:r w:rsidR="00B96E48" w:rsidRPr="00F0055D">
        <w:rPr>
          <w:lang w:val="en-US"/>
        </w:rPr>
        <w:t xml:space="preserve">that he </w:t>
      </w:r>
      <w:r w:rsidRPr="00F0055D">
        <w:rPr>
          <w:lang w:val="en-US"/>
        </w:rPr>
        <w:t>ha</w:t>
      </w:r>
      <w:r w:rsidR="00B96E48" w:rsidRPr="00F0055D">
        <w:rPr>
          <w:lang w:val="en-US"/>
        </w:rPr>
        <w:t>d</w:t>
      </w:r>
      <w:r w:rsidRPr="00F0055D">
        <w:rPr>
          <w:lang w:val="en-US"/>
        </w:rPr>
        <w:t xml:space="preserve"> been declared a suspect of crimes</w:t>
      </w:r>
      <w:r w:rsidR="00B96E48" w:rsidRPr="00F0055D">
        <w:rPr>
          <w:lang w:val="en-US"/>
        </w:rPr>
        <w:t>,</w:t>
      </w:r>
      <w:r w:rsidRPr="00F0055D">
        <w:rPr>
          <w:lang w:val="en-US"/>
        </w:rPr>
        <w:t xml:space="preserve"> and </w:t>
      </w:r>
      <w:r w:rsidR="00B96E48" w:rsidRPr="00F0055D">
        <w:rPr>
          <w:lang w:val="en-US"/>
        </w:rPr>
        <w:t xml:space="preserve">he </w:t>
      </w:r>
      <w:r w:rsidRPr="00F0055D">
        <w:rPr>
          <w:lang w:val="en-US"/>
        </w:rPr>
        <w:t>was questioned by investigators.</w:t>
      </w:r>
    </w:p>
    <w:p w:rsidR="00AC35A2" w:rsidRPr="00F0055D" w:rsidRDefault="00AC35A2" w:rsidP="0033414E">
      <w:pPr>
        <w:pStyle w:val="SingleTxtG"/>
        <w:rPr>
          <w:lang w:val="en-US"/>
        </w:rPr>
      </w:pPr>
      <w:r w:rsidRPr="00F0055D">
        <w:rPr>
          <w:lang w:val="en-US"/>
        </w:rPr>
        <w:t>3.5</w:t>
      </w:r>
      <w:r w:rsidR="005C4ED3" w:rsidRPr="00F0055D">
        <w:rPr>
          <w:lang w:val="en-US"/>
        </w:rPr>
        <w:tab/>
      </w:r>
      <w:r w:rsidRPr="00F0055D">
        <w:rPr>
          <w:lang w:val="en-US"/>
        </w:rPr>
        <w:t>On 15 March 2010, the author claimed additional violations of his rights under article 14, para</w:t>
      </w:r>
      <w:r w:rsidR="00B96E48" w:rsidRPr="00F0055D">
        <w:rPr>
          <w:lang w:val="en-US"/>
        </w:rPr>
        <w:t>graph</w:t>
      </w:r>
      <w:r w:rsidRPr="00F0055D">
        <w:rPr>
          <w:lang w:val="en-US"/>
        </w:rPr>
        <w:t xml:space="preserve"> 3 (b) and (e), of the Covenant, </w:t>
      </w:r>
      <w:r w:rsidR="00B96E48" w:rsidRPr="00F0055D">
        <w:rPr>
          <w:lang w:val="en-US"/>
        </w:rPr>
        <w:t xml:space="preserve">stating that </w:t>
      </w:r>
      <w:r w:rsidRPr="00F0055D">
        <w:rPr>
          <w:lang w:val="en-US"/>
        </w:rPr>
        <w:t xml:space="preserve">he did not have enough time to prepare his defence as he was unable to acquaint himself with the pretrial investigation materials and </w:t>
      </w:r>
      <w:r w:rsidR="00B96E48" w:rsidRPr="00F0055D">
        <w:rPr>
          <w:lang w:val="en-US"/>
        </w:rPr>
        <w:t xml:space="preserve">to </w:t>
      </w:r>
      <w:r w:rsidRPr="00F0055D">
        <w:rPr>
          <w:lang w:val="en-US"/>
        </w:rPr>
        <w:t>supplement them</w:t>
      </w:r>
      <w:r w:rsidR="00B96E48" w:rsidRPr="00F0055D">
        <w:rPr>
          <w:lang w:val="en-US"/>
        </w:rPr>
        <w:t xml:space="preserve">; that </w:t>
      </w:r>
      <w:r w:rsidRPr="00F0055D">
        <w:rPr>
          <w:lang w:val="en-US"/>
        </w:rPr>
        <w:t>he could not freely communicate with his lawyer while in custody</w:t>
      </w:r>
      <w:r w:rsidR="00B96E48" w:rsidRPr="00F0055D">
        <w:rPr>
          <w:lang w:val="en-US"/>
        </w:rPr>
        <w:t>;</w:t>
      </w:r>
      <w:r w:rsidRPr="00F0055D">
        <w:rPr>
          <w:lang w:val="en-US"/>
        </w:rPr>
        <w:t xml:space="preserve"> and </w:t>
      </w:r>
      <w:r w:rsidR="00B96E48" w:rsidRPr="00F0055D">
        <w:rPr>
          <w:lang w:val="en-US"/>
        </w:rPr>
        <w:t>that the</w:t>
      </w:r>
      <w:r w:rsidRPr="00F0055D">
        <w:rPr>
          <w:lang w:val="en-US"/>
        </w:rPr>
        <w:t xml:space="preserve"> restraint measure was replaced with the prohibition to leave the city of Palanga. On 11 September 2010, referring to article 14, paragraph 3 (e), of the Covenant, </w:t>
      </w:r>
      <w:r w:rsidR="007460D0" w:rsidRPr="00F0055D">
        <w:rPr>
          <w:lang w:val="en-US"/>
        </w:rPr>
        <w:t xml:space="preserve">the author </w:t>
      </w:r>
      <w:r w:rsidRPr="00F0055D">
        <w:rPr>
          <w:lang w:val="en-US"/>
        </w:rPr>
        <w:t xml:space="preserve">added that he was denied </w:t>
      </w:r>
      <w:r w:rsidR="007460D0" w:rsidRPr="00F0055D">
        <w:rPr>
          <w:lang w:val="en-US"/>
        </w:rPr>
        <w:t xml:space="preserve">the </w:t>
      </w:r>
      <w:r w:rsidRPr="00F0055D">
        <w:rPr>
          <w:lang w:val="en-US"/>
        </w:rPr>
        <w:t xml:space="preserve">opportunity to question particular witnesses. </w:t>
      </w:r>
    </w:p>
    <w:p w:rsidR="00AC35A2" w:rsidRPr="00F0055D" w:rsidRDefault="0033414E" w:rsidP="0033414E">
      <w:pPr>
        <w:pStyle w:val="H23G"/>
        <w:rPr>
          <w:lang w:val="en-US"/>
        </w:rPr>
      </w:pPr>
      <w:r w:rsidRPr="00F0055D">
        <w:rPr>
          <w:lang w:val="en-US"/>
        </w:rPr>
        <w:tab/>
      </w:r>
      <w:r w:rsidRPr="00F0055D">
        <w:rPr>
          <w:lang w:val="en-US"/>
        </w:rPr>
        <w:tab/>
      </w:r>
      <w:r w:rsidR="00AC35A2" w:rsidRPr="00F0055D">
        <w:rPr>
          <w:lang w:val="en-US"/>
        </w:rPr>
        <w:t>State party's observations on admissibility and merits</w:t>
      </w:r>
    </w:p>
    <w:p w:rsidR="00AC35A2" w:rsidRPr="00F0055D" w:rsidRDefault="00AC35A2" w:rsidP="0033414E">
      <w:pPr>
        <w:pStyle w:val="SingleTxtG"/>
        <w:rPr>
          <w:lang w:val="en-US"/>
        </w:rPr>
      </w:pPr>
      <w:r w:rsidRPr="00F0055D">
        <w:rPr>
          <w:lang w:val="en-US"/>
        </w:rPr>
        <w:t>4.1</w:t>
      </w:r>
      <w:r w:rsidR="005C4ED3" w:rsidRPr="00F0055D">
        <w:rPr>
          <w:lang w:val="en-US"/>
        </w:rPr>
        <w:tab/>
      </w:r>
      <w:r w:rsidRPr="00F0055D">
        <w:rPr>
          <w:lang w:val="en-US"/>
        </w:rPr>
        <w:t xml:space="preserve">On 13 November 2009, the State party challenged the admissibility of the communication. It notes that on 1 December 2004, prior to his detention in 2005, the author, </w:t>
      </w:r>
      <w:r w:rsidR="00E37DF1" w:rsidRPr="00F0055D">
        <w:rPr>
          <w:lang w:val="en-US"/>
        </w:rPr>
        <w:t>of his own</w:t>
      </w:r>
      <w:r w:rsidRPr="00F0055D">
        <w:rPr>
          <w:lang w:val="en-US"/>
        </w:rPr>
        <w:t xml:space="preserve"> free will, decided to participate in the clinical experiment</w:t>
      </w:r>
      <w:r w:rsidR="00E37DF1" w:rsidRPr="00F0055D">
        <w:rPr>
          <w:lang w:val="en-US"/>
        </w:rPr>
        <w:t xml:space="preserve">, and that </w:t>
      </w:r>
      <w:r w:rsidRPr="00F0055D">
        <w:rPr>
          <w:lang w:val="en-US"/>
        </w:rPr>
        <w:t>he decided to stop it on 16 August 2005</w:t>
      </w:r>
      <w:r w:rsidR="00E37DF1" w:rsidRPr="00F0055D">
        <w:rPr>
          <w:lang w:val="en-US"/>
        </w:rPr>
        <w:t>,</w:t>
      </w:r>
      <w:r w:rsidRPr="00F0055D">
        <w:rPr>
          <w:lang w:val="en-US"/>
        </w:rPr>
        <w:t xml:space="preserve"> claiming that as a detainee, he could not continue</w:t>
      </w:r>
      <w:r w:rsidR="00E37DF1" w:rsidRPr="00F0055D">
        <w:rPr>
          <w:lang w:val="en-US"/>
        </w:rPr>
        <w:t xml:space="preserve"> his</w:t>
      </w:r>
      <w:r w:rsidRPr="00F0055D">
        <w:rPr>
          <w:lang w:val="en-US"/>
        </w:rPr>
        <w:t xml:space="preserve"> participati</w:t>
      </w:r>
      <w:r w:rsidR="00E37DF1" w:rsidRPr="00F0055D">
        <w:rPr>
          <w:lang w:val="en-US"/>
        </w:rPr>
        <w:t>o</w:t>
      </w:r>
      <w:r w:rsidRPr="00F0055D">
        <w:rPr>
          <w:lang w:val="en-US"/>
        </w:rPr>
        <w:t>n. Between 19 May 2005 and 16 August 2005</w:t>
      </w:r>
      <w:r w:rsidR="00E37DF1" w:rsidRPr="00F0055D">
        <w:rPr>
          <w:lang w:val="en-US"/>
        </w:rPr>
        <w:t>,</w:t>
      </w:r>
      <w:r w:rsidRPr="00F0055D">
        <w:rPr>
          <w:lang w:val="en-US"/>
        </w:rPr>
        <w:t xml:space="preserve"> the authorities guaranteed his participation in the experiment</w:t>
      </w:r>
      <w:r w:rsidR="00E37DF1" w:rsidRPr="00F0055D">
        <w:rPr>
          <w:lang w:val="en-US"/>
        </w:rPr>
        <w:t>,</w:t>
      </w:r>
      <w:r w:rsidRPr="00F0055D">
        <w:rPr>
          <w:lang w:val="en-US"/>
        </w:rPr>
        <w:t xml:space="preserve"> and three times a week</w:t>
      </w:r>
      <w:r w:rsidR="00E37DF1" w:rsidRPr="00F0055D">
        <w:rPr>
          <w:lang w:val="en-US"/>
        </w:rPr>
        <w:t>,</w:t>
      </w:r>
      <w:r w:rsidRPr="00F0055D">
        <w:rPr>
          <w:lang w:val="en-US"/>
        </w:rPr>
        <w:t xml:space="preserve"> he was </w:t>
      </w:r>
      <w:r w:rsidR="00E37DF1" w:rsidRPr="00F0055D">
        <w:rPr>
          <w:lang w:val="en-US"/>
        </w:rPr>
        <w:t>taken</w:t>
      </w:r>
      <w:r w:rsidRPr="00F0055D">
        <w:rPr>
          <w:lang w:val="en-US"/>
        </w:rPr>
        <w:t xml:space="preserve"> to the health care institution conducting the research. </w:t>
      </w:r>
    </w:p>
    <w:p w:rsidR="00AC35A2" w:rsidRPr="00F0055D" w:rsidRDefault="0033414E" w:rsidP="00B32A05">
      <w:pPr>
        <w:pStyle w:val="SingleTxtG"/>
        <w:spacing w:line="220" w:lineRule="atLeast"/>
        <w:rPr>
          <w:lang w:val="en-US"/>
        </w:rPr>
      </w:pPr>
      <w:r w:rsidRPr="00F0055D">
        <w:rPr>
          <w:lang w:val="en-US"/>
        </w:rPr>
        <w:t>4.2</w:t>
      </w:r>
      <w:r w:rsidRPr="00F0055D">
        <w:rPr>
          <w:lang w:val="en-US"/>
        </w:rPr>
        <w:tab/>
      </w:r>
      <w:r w:rsidR="00AC35A2" w:rsidRPr="00F0055D">
        <w:rPr>
          <w:lang w:val="en-US"/>
        </w:rPr>
        <w:t xml:space="preserve">The experimental research was introduced to verify whether a particular drug was effective and safe for persons suffering from slow-progressing </w:t>
      </w:r>
      <w:r w:rsidR="00E37DF1" w:rsidRPr="00F0055D">
        <w:rPr>
          <w:lang w:val="en-US"/>
        </w:rPr>
        <w:t>h</w:t>
      </w:r>
      <w:r w:rsidR="00AC35A2" w:rsidRPr="00F0055D">
        <w:rPr>
          <w:lang w:val="en-US"/>
        </w:rPr>
        <w:t xml:space="preserve">epatitis C. </w:t>
      </w:r>
    </w:p>
    <w:p w:rsidR="00AC35A2" w:rsidRPr="00F0055D" w:rsidRDefault="0033414E" w:rsidP="00B32A05">
      <w:pPr>
        <w:pStyle w:val="SingleTxtG"/>
        <w:spacing w:line="220" w:lineRule="atLeast"/>
        <w:rPr>
          <w:lang w:val="en-US"/>
        </w:rPr>
      </w:pPr>
      <w:r w:rsidRPr="00F0055D">
        <w:rPr>
          <w:lang w:val="en-US"/>
        </w:rPr>
        <w:lastRenderedPageBreak/>
        <w:t>4.3</w:t>
      </w:r>
      <w:r w:rsidRPr="00F0055D">
        <w:rPr>
          <w:lang w:val="en-US"/>
        </w:rPr>
        <w:tab/>
      </w:r>
      <w:r w:rsidR="00AC35A2" w:rsidRPr="00F0055D">
        <w:rPr>
          <w:lang w:val="en-US"/>
        </w:rPr>
        <w:t xml:space="preserve">On 1 December 2004, the Centre </w:t>
      </w:r>
      <w:r w:rsidR="00E37DF1" w:rsidRPr="00F0055D">
        <w:rPr>
          <w:lang w:val="en-US"/>
        </w:rPr>
        <w:t xml:space="preserve">for Hepatology, </w:t>
      </w:r>
      <w:r w:rsidR="00AC35A2" w:rsidRPr="00F0055D">
        <w:rPr>
          <w:lang w:val="en-US"/>
        </w:rPr>
        <w:t xml:space="preserve">Gastroenterology and Dietetics of the </w:t>
      </w:r>
      <w:smartTag w:uri="urn:schemas-microsoft-com:office:smarttags" w:element="place">
        <w:smartTag w:uri="urn:schemas-microsoft-com:office:smarttags" w:element="PlaceName">
          <w:r w:rsidR="00AC35A2" w:rsidRPr="00F0055D">
            <w:rPr>
              <w:lang w:val="en-US"/>
            </w:rPr>
            <w:t>Vilnius</w:t>
          </w:r>
        </w:smartTag>
        <w:r w:rsidR="00AC35A2" w:rsidRPr="00F0055D">
          <w:rPr>
            <w:lang w:val="en-US"/>
          </w:rPr>
          <w:t xml:space="preserve"> </w:t>
        </w:r>
        <w:smartTag w:uri="urn:schemas-microsoft-com:office:smarttags" w:element="PlaceType">
          <w:r w:rsidR="00AC35A2" w:rsidRPr="00F0055D">
            <w:rPr>
              <w:lang w:val="en-US"/>
            </w:rPr>
            <w:t>University</w:t>
          </w:r>
        </w:smartTag>
        <w:r w:rsidR="00AC35A2" w:rsidRPr="00F0055D">
          <w:rPr>
            <w:lang w:val="en-US"/>
          </w:rPr>
          <w:t xml:space="preserve"> </w:t>
        </w:r>
        <w:smartTag w:uri="urn:schemas-microsoft-com:office:smarttags" w:element="PlaceType">
          <w:r w:rsidR="00AC35A2" w:rsidRPr="00F0055D">
            <w:rPr>
              <w:lang w:val="en-US"/>
            </w:rPr>
            <w:t>Hospital</w:t>
          </w:r>
        </w:smartTag>
      </w:smartTag>
      <w:r w:rsidR="00AC35A2" w:rsidRPr="00F0055D">
        <w:rPr>
          <w:lang w:val="en-US"/>
        </w:rPr>
        <w:t xml:space="preserve"> (</w:t>
      </w:r>
      <w:r w:rsidR="006625FB" w:rsidRPr="00F0055D">
        <w:rPr>
          <w:lang w:val="en-US"/>
        </w:rPr>
        <w:t>hereinafter “</w:t>
      </w:r>
      <w:r w:rsidR="00AC35A2" w:rsidRPr="00F0055D">
        <w:rPr>
          <w:lang w:val="en-US"/>
        </w:rPr>
        <w:t>the Centre</w:t>
      </w:r>
      <w:r w:rsidR="006625FB" w:rsidRPr="00F0055D">
        <w:rPr>
          <w:lang w:val="en-US"/>
        </w:rPr>
        <w:t>”</w:t>
      </w:r>
      <w:r w:rsidR="00AC35A2" w:rsidRPr="00F0055D">
        <w:rPr>
          <w:lang w:val="en-US"/>
        </w:rPr>
        <w:t xml:space="preserve">) invited the author to participate in the </w:t>
      </w:r>
      <w:r w:rsidR="006625FB" w:rsidRPr="00F0055D">
        <w:rPr>
          <w:lang w:val="en-US"/>
        </w:rPr>
        <w:t>said</w:t>
      </w:r>
      <w:r w:rsidR="00AC35A2" w:rsidRPr="00F0055D">
        <w:rPr>
          <w:lang w:val="en-US"/>
        </w:rPr>
        <w:t xml:space="preserve"> research and he agreed. In this connection, the State party notes that the effectiveness of the drug was controlled by </w:t>
      </w:r>
      <w:r w:rsidR="006625FB" w:rsidRPr="00F0055D">
        <w:rPr>
          <w:lang w:val="en-US"/>
        </w:rPr>
        <w:t xml:space="preserve">the </w:t>
      </w:r>
      <w:r w:rsidR="00AC35A2" w:rsidRPr="00F0055D">
        <w:rPr>
          <w:lang w:val="en-US"/>
        </w:rPr>
        <w:t>application of a substance with no medical effect</w:t>
      </w:r>
      <w:r w:rsidR="006625FB" w:rsidRPr="00F0055D">
        <w:rPr>
          <w:lang w:val="en-US"/>
        </w:rPr>
        <w:t xml:space="preserve"> (a placebo) to a number of participants</w:t>
      </w:r>
      <w:r w:rsidR="00AC35A2" w:rsidRPr="00F0055D">
        <w:rPr>
          <w:lang w:val="en-US"/>
        </w:rPr>
        <w:t xml:space="preserve">. Neither the patient nor the treating doctor </w:t>
      </w:r>
      <w:r w:rsidR="006625FB" w:rsidRPr="00F0055D">
        <w:rPr>
          <w:lang w:val="en-US"/>
        </w:rPr>
        <w:t>knew</w:t>
      </w:r>
      <w:r w:rsidR="00AC35A2" w:rsidRPr="00F0055D">
        <w:rPr>
          <w:lang w:val="en-US"/>
        </w:rPr>
        <w:t xml:space="preserve"> whether </w:t>
      </w:r>
      <w:r w:rsidR="006625FB" w:rsidRPr="00F0055D">
        <w:rPr>
          <w:lang w:val="en-US"/>
        </w:rPr>
        <w:t xml:space="preserve">it was </w:t>
      </w:r>
      <w:r w:rsidR="00AC35A2" w:rsidRPr="00F0055D">
        <w:rPr>
          <w:lang w:val="en-US"/>
        </w:rPr>
        <w:t xml:space="preserve">the drug or the placebo </w:t>
      </w:r>
      <w:r w:rsidR="006625FB" w:rsidRPr="00F0055D">
        <w:rPr>
          <w:lang w:val="en-US"/>
        </w:rPr>
        <w:t xml:space="preserve">that </w:t>
      </w:r>
      <w:r w:rsidR="00AC35A2" w:rsidRPr="00F0055D">
        <w:rPr>
          <w:lang w:val="en-US"/>
        </w:rPr>
        <w:t xml:space="preserve">was </w:t>
      </w:r>
      <w:r w:rsidR="006625FB" w:rsidRPr="00F0055D">
        <w:rPr>
          <w:lang w:val="en-US"/>
        </w:rPr>
        <w:t xml:space="preserve">being </w:t>
      </w:r>
      <w:r w:rsidR="00AC35A2" w:rsidRPr="00F0055D">
        <w:rPr>
          <w:lang w:val="en-US"/>
        </w:rPr>
        <w:t>injected. Under his agreement with the Centre, the author could terminate participation at any moment.</w:t>
      </w:r>
    </w:p>
    <w:p w:rsidR="00AC35A2" w:rsidRPr="00F0055D" w:rsidRDefault="00AC35A2" w:rsidP="00B32A05">
      <w:pPr>
        <w:pStyle w:val="SingleTxtG"/>
        <w:spacing w:line="220" w:lineRule="atLeast"/>
        <w:rPr>
          <w:lang w:val="en-US"/>
        </w:rPr>
      </w:pPr>
      <w:r w:rsidRPr="00F0055D">
        <w:rPr>
          <w:lang w:val="en-US"/>
        </w:rPr>
        <w:t>4.4</w:t>
      </w:r>
      <w:r w:rsidR="005C4ED3" w:rsidRPr="00F0055D">
        <w:rPr>
          <w:lang w:val="en-US"/>
        </w:rPr>
        <w:tab/>
      </w:r>
      <w:r w:rsidRPr="00F0055D">
        <w:rPr>
          <w:lang w:val="en-US"/>
        </w:rPr>
        <w:t xml:space="preserve">On 19 May 2005, the Vilnius Second District Court placed the author into custody for three months. However, his participation in the experiment was ensured while in detention. On 18 July 2005, one of his lawyers requested the prosecutor to impose a less restrictive </w:t>
      </w:r>
      <w:r w:rsidR="006625FB" w:rsidRPr="00F0055D">
        <w:rPr>
          <w:lang w:val="en-US"/>
        </w:rPr>
        <w:t xml:space="preserve">restraint </w:t>
      </w:r>
      <w:r w:rsidRPr="00F0055D">
        <w:rPr>
          <w:lang w:val="en-US"/>
        </w:rPr>
        <w:t>measure, invoking article 8 of the Law on Pre</w:t>
      </w:r>
      <w:r w:rsidR="006625FB" w:rsidRPr="00F0055D">
        <w:rPr>
          <w:lang w:val="en-US"/>
        </w:rPr>
        <w:t>t</w:t>
      </w:r>
      <w:r w:rsidRPr="00F0055D">
        <w:rPr>
          <w:lang w:val="en-US"/>
        </w:rPr>
        <w:t xml:space="preserve">rial Detention </w:t>
      </w:r>
      <w:r w:rsidR="006625FB" w:rsidRPr="00F0055D">
        <w:rPr>
          <w:lang w:val="en-US"/>
        </w:rPr>
        <w:t xml:space="preserve">which </w:t>
      </w:r>
      <w:r w:rsidRPr="00F0055D">
        <w:rPr>
          <w:lang w:val="en-US"/>
        </w:rPr>
        <w:t>prohibit</w:t>
      </w:r>
      <w:r w:rsidR="006625FB" w:rsidRPr="00F0055D">
        <w:rPr>
          <w:lang w:val="en-US"/>
        </w:rPr>
        <w:t>ed</w:t>
      </w:r>
      <w:r w:rsidRPr="00F0055D">
        <w:rPr>
          <w:lang w:val="en-US"/>
        </w:rPr>
        <w:t xml:space="preserve"> detainees</w:t>
      </w:r>
      <w:r w:rsidR="006625FB" w:rsidRPr="00F0055D">
        <w:rPr>
          <w:lang w:val="en-US"/>
        </w:rPr>
        <w:t xml:space="preserve"> from</w:t>
      </w:r>
      <w:r w:rsidRPr="00F0055D">
        <w:rPr>
          <w:lang w:val="en-US"/>
        </w:rPr>
        <w:t xml:space="preserve"> involvement in scientific or medical experiments. On 29 July 2005, the prosecutor explained that article 8 of the Law was unreasonably interpreted as the author </w:t>
      </w:r>
      <w:r w:rsidR="006625FB" w:rsidRPr="00F0055D">
        <w:rPr>
          <w:lang w:val="en-US"/>
        </w:rPr>
        <w:t xml:space="preserve">had </w:t>
      </w:r>
      <w:r w:rsidRPr="00F0055D">
        <w:rPr>
          <w:lang w:val="en-US"/>
        </w:rPr>
        <w:t xml:space="preserve">started the experiment before his detention, and the authorities </w:t>
      </w:r>
      <w:r w:rsidR="006625FB" w:rsidRPr="00F0055D">
        <w:rPr>
          <w:lang w:val="en-US"/>
        </w:rPr>
        <w:t xml:space="preserve">were </w:t>
      </w:r>
      <w:r w:rsidRPr="00F0055D">
        <w:rPr>
          <w:lang w:val="en-US"/>
        </w:rPr>
        <w:t>only ensur</w:t>
      </w:r>
      <w:r w:rsidR="006625FB" w:rsidRPr="00F0055D">
        <w:rPr>
          <w:lang w:val="en-US"/>
        </w:rPr>
        <w:t>ing</w:t>
      </w:r>
      <w:r w:rsidRPr="00F0055D">
        <w:rPr>
          <w:lang w:val="en-US"/>
        </w:rPr>
        <w:t xml:space="preserve"> his continu</w:t>
      </w:r>
      <w:r w:rsidR="006625FB" w:rsidRPr="00F0055D">
        <w:rPr>
          <w:lang w:val="en-US"/>
        </w:rPr>
        <w:t>ed</w:t>
      </w:r>
      <w:r w:rsidRPr="00F0055D">
        <w:rPr>
          <w:lang w:val="en-US"/>
        </w:rPr>
        <w:t xml:space="preserve"> participation wh</w:t>
      </w:r>
      <w:r w:rsidR="006625FB" w:rsidRPr="00F0055D">
        <w:rPr>
          <w:lang w:val="en-US"/>
        </w:rPr>
        <w:t>ile</w:t>
      </w:r>
      <w:r w:rsidRPr="00F0055D">
        <w:rPr>
          <w:lang w:val="en-US"/>
        </w:rPr>
        <w:t xml:space="preserve"> in custody.</w:t>
      </w:r>
    </w:p>
    <w:p w:rsidR="00AC35A2" w:rsidRPr="00F0055D" w:rsidRDefault="00AC35A2" w:rsidP="00B32A05">
      <w:pPr>
        <w:pStyle w:val="SingleTxtG"/>
        <w:spacing w:line="220" w:lineRule="atLeast"/>
        <w:rPr>
          <w:iCs/>
          <w:lang w:val="en-US"/>
        </w:rPr>
      </w:pPr>
      <w:r w:rsidRPr="00F0055D">
        <w:rPr>
          <w:lang w:val="en-US"/>
        </w:rPr>
        <w:t>4.5</w:t>
      </w:r>
      <w:r w:rsidR="005C4ED3" w:rsidRPr="00F0055D">
        <w:rPr>
          <w:lang w:val="en-US"/>
        </w:rPr>
        <w:tab/>
      </w:r>
      <w:r w:rsidRPr="00F0055D">
        <w:rPr>
          <w:lang w:val="en-US"/>
        </w:rPr>
        <w:t xml:space="preserve">The State party adds that the author’s wife </w:t>
      </w:r>
      <w:r w:rsidR="004D1979" w:rsidRPr="00F0055D">
        <w:rPr>
          <w:lang w:val="en-US"/>
        </w:rPr>
        <w:t xml:space="preserve">had </w:t>
      </w:r>
      <w:r w:rsidRPr="00F0055D">
        <w:rPr>
          <w:lang w:val="en-US"/>
        </w:rPr>
        <w:t xml:space="preserve">addressed various </w:t>
      </w:r>
      <w:r w:rsidR="004D1979" w:rsidRPr="00F0055D">
        <w:rPr>
          <w:lang w:val="en-US"/>
        </w:rPr>
        <w:t>S</w:t>
      </w:r>
      <w:r w:rsidRPr="00F0055D">
        <w:rPr>
          <w:lang w:val="en-US"/>
        </w:rPr>
        <w:t>tate institutions concerning his participation in the research while in detention. Moreover, on 1 August 2005, she published an open letter to the Minister of Health in the biggest daily newspaper</w:t>
      </w:r>
      <w:r w:rsidR="004D1979" w:rsidRPr="00F0055D">
        <w:rPr>
          <w:lang w:val="en-US"/>
        </w:rPr>
        <w:t>,</w:t>
      </w:r>
      <w:r w:rsidRPr="00F0055D">
        <w:rPr>
          <w:lang w:val="en-US"/>
        </w:rPr>
        <w:t xml:space="preserve"> </w:t>
      </w:r>
      <w:r w:rsidRPr="00F0055D">
        <w:rPr>
          <w:i/>
          <w:lang w:val="en-US"/>
        </w:rPr>
        <w:t>Lietuvos Rytas</w:t>
      </w:r>
      <w:r w:rsidRPr="00F0055D">
        <w:rPr>
          <w:lang w:val="en-US"/>
        </w:rPr>
        <w:t>. In this context, on 11 August 2005, the organi</w:t>
      </w:r>
      <w:r w:rsidR="004D1979" w:rsidRPr="00F0055D">
        <w:rPr>
          <w:lang w:val="en-US"/>
        </w:rPr>
        <w:t>z</w:t>
      </w:r>
      <w:r w:rsidRPr="00F0055D">
        <w:rPr>
          <w:lang w:val="en-US"/>
        </w:rPr>
        <w:t>er of the research decided that the author should be excluded</w:t>
      </w:r>
      <w:r w:rsidR="004D1979" w:rsidRPr="00F0055D">
        <w:rPr>
          <w:lang w:val="en-US"/>
        </w:rPr>
        <w:t xml:space="preserve"> from the research</w:t>
      </w:r>
      <w:r w:rsidRPr="00F0055D">
        <w:rPr>
          <w:lang w:val="en-US"/>
        </w:rPr>
        <w:t xml:space="preserve">. According to the State party, the author used his participation in the experiment to have his restraint measure altered. In addition, the allegations that his discontinued participation in the research had fatal consequences to his health </w:t>
      </w:r>
      <w:r w:rsidR="004D1979" w:rsidRPr="00F0055D">
        <w:rPr>
          <w:lang w:val="en-US"/>
        </w:rPr>
        <w:t>we</w:t>
      </w:r>
      <w:r w:rsidRPr="00F0055D">
        <w:rPr>
          <w:lang w:val="en-US"/>
        </w:rPr>
        <w:t>re unfounded.</w:t>
      </w:r>
      <w:r w:rsidRPr="00F0055D">
        <w:rPr>
          <w:iCs/>
          <w:lang w:val="en-US"/>
        </w:rPr>
        <w:t xml:space="preserve"> </w:t>
      </w:r>
    </w:p>
    <w:p w:rsidR="00AC35A2" w:rsidRPr="00F0055D" w:rsidRDefault="00AC35A2" w:rsidP="00B32A05">
      <w:pPr>
        <w:pStyle w:val="SingleTxtG"/>
        <w:spacing w:line="220" w:lineRule="atLeast"/>
        <w:rPr>
          <w:lang w:val="en-US"/>
        </w:rPr>
      </w:pPr>
      <w:r w:rsidRPr="00F0055D">
        <w:rPr>
          <w:lang w:val="en-US"/>
        </w:rPr>
        <w:t>4.6</w:t>
      </w:r>
      <w:r w:rsidR="005C4ED3" w:rsidRPr="00F0055D">
        <w:rPr>
          <w:lang w:val="en-US"/>
        </w:rPr>
        <w:tab/>
      </w:r>
      <w:r w:rsidRPr="00F0055D">
        <w:rPr>
          <w:lang w:val="en-US"/>
        </w:rPr>
        <w:t xml:space="preserve">In this connection, the State party considers that the author’s claims do not fall within the scope of articles 7 and 10 of the </w:t>
      </w:r>
      <w:r w:rsidR="004D1979" w:rsidRPr="00F0055D">
        <w:rPr>
          <w:lang w:val="en-US"/>
        </w:rPr>
        <w:t xml:space="preserve">International </w:t>
      </w:r>
      <w:r w:rsidRPr="00F0055D">
        <w:rPr>
          <w:lang w:val="en-US"/>
        </w:rPr>
        <w:t>Covenant</w:t>
      </w:r>
      <w:r w:rsidR="004D1979" w:rsidRPr="00F0055D">
        <w:rPr>
          <w:lang w:val="en-US"/>
        </w:rPr>
        <w:t xml:space="preserve"> on Civil and Political Rights</w:t>
      </w:r>
      <w:r w:rsidRPr="00F0055D">
        <w:rPr>
          <w:lang w:val="en-US"/>
        </w:rPr>
        <w:t>. Article 7 of the Covenant protects the individual from being subjected without his</w:t>
      </w:r>
      <w:r w:rsidR="004D1979" w:rsidRPr="00F0055D">
        <w:rPr>
          <w:lang w:val="en-US"/>
        </w:rPr>
        <w:t xml:space="preserve"> or </w:t>
      </w:r>
      <w:r w:rsidRPr="00F0055D">
        <w:rPr>
          <w:lang w:val="en-US"/>
        </w:rPr>
        <w:t>her free consent to medical or scientific experiments, but not from the discontinuation of medical or scientific experiments. Accordingly, this part of the communication is inadmissible under article 3 of the Optional Protocol.</w:t>
      </w:r>
    </w:p>
    <w:p w:rsidR="00AC35A2" w:rsidRPr="00F0055D" w:rsidRDefault="00AC35A2" w:rsidP="00B32A05">
      <w:pPr>
        <w:pStyle w:val="SingleTxtG"/>
        <w:spacing w:line="220" w:lineRule="atLeast"/>
        <w:rPr>
          <w:lang w:val="en-US"/>
        </w:rPr>
      </w:pPr>
      <w:r w:rsidRPr="00F0055D">
        <w:rPr>
          <w:lang w:val="en-US"/>
        </w:rPr>
        <w:t>4.7</w:t>
      </w:r>
      <w:r w:rsidR="005C4ED3" w:rsidRPr="00F0055D">
        <w:rPr>
          <w:lang w:val="en-US"/>
        </w:rPr>
        <w:tab/>
      </w:r>
      <w:r w:rsidRPr="00F0055D">
        <w:rPr>
          <w:lang w:val="en-US"/>
        </w:rPr>
        <w:t>Alternatively</w:t>
      </w:r>
      <w:r w:rsidRPr="00F0055D">
        <w:rPr>
          <w:iCs/>
          <w:lang w:val="en-US"/>
        </w:rPr>
        <w:t>, the State party considers that the author has failed to substantiate his allegations or that any harm or suffering w</w:t>
      </w:r>
      <w:r w:rsidR="009E6C4D" w:rsidRPr="00F0055D">
        <w:rPr>
          <w:iCs/>
          <w:lang w:val="en-US"/>
        </w:rPr>
        <w:t>as</w:t>
      </w:r>
      <w:r w:rsidRPr="00F0055D">
        <w:rPr>
          <w:iCs/>
          <w:lang w:val="en-US"/>
        </w:rPr>
        <w:t xml:space="preserve"> of such </w:t>
      </w:r>
      <w:r w:rsidR="004D1979" w:rsidRPr="00F0055D">
        <w:rPr>
          <w:iCs/>
          <w:lang w:val="en-US"/>
        </w:rPr>
        <w:t xml:space="preserve">a </w:t>
      </w:r>
      <w:r w:rsidRPr="00F0055D">
        <w:rPr>
          <w:iCs/>
          <w:lang w:val="en-US"/>
        </w:rPr>
        <w:t xml:space="preserve">level as to </w:t>
      </w:r>
      <w:r w:rsidR="00AC4DCB">
        <w:rPr>
          <w:iCs/>
          <w:lang w:val="en-US"/>
        </w:rPr>
        <w:t xml:space="preserve">constitute a violation of </w:t>
      </w:r>
      <w:r w:rsidRPr="00F0055D">
        <w:rPr>
          <w:iCs/>
          <w:lang w:val="en-US"/>
        </w:rPr>
        <w:t>the mentioned articles of the Covenant. Therefore, the author’s allegations under article 7 and 10 of the Covenant are unsubstantiated and thus inadmissible under article 2 of the Optional Protocol.</w:t>
      </w:r>
    </w:p>
    <w:p w:rsidR="00AC35A2" w:rsidRPr="00F0055D" w:rsidRDefault="00AC35A2" w:rsidP="00B32A05">
      <w:pPr>
        <w:pStyle w:val="SingleTxtG"/>
        <w:spacing w:line="220" w:lineRule="atLeast"/>
        <w:rPr>
          <w:b/>
          <w:lang w:val="en-US"/>
        </w:rPr>
      </w:pPr>
      <w:r w:rsidRPr="00F0055D">
        <w:rPr>
          <w:lang w:val="en-US"/>
        </w:rPr>
        <w:t>4.8</w:t>
      </w:r>
      <w:r w:rsidR="005C4ED3" w:rsidRPr="00F0055D">
        <w:rPr>
          <w:lang w:val="en-US"/>
        </w:rPr>
        <w:tab/>
      </w:r>
      <w:r w:rsidRPr="00F0055D">
        <w:rPr>
          <w:lang w:val="en-US"/>
        </w:rPr>
        <w:t>The State party adds that</w:t>
      </w:r>
      <w:r w:rsidR="009E6C4D" w:rsidRPr="00F0055D">
        <w:rPr>
          <w:lang w:val="en-US"/>
        </w:rPr>
        <w:t>,</w:t>
      </w:r>
      <w:r w:rsidRPr="00F0055D">
        <w:rPr>
          <w:lang w:val="en-US"/>
        </w:rPr>
        <w:t xml:space="preserve"> in any event, the author has failed to exhaust available domestic remedies </w:t>
      </w:r>
      <w:r w:rsidRPr="00F0055D">
        <w:rPr>
          <w:iCs/>
          <w:lang w:val="en-US"/>
        </w:rPr>
        <w:t>as required under article 5, paragraph 2 (b), of the Optional Protocol</w:t>
      </w:r>
      <w:r w:rsidRPr="00F0055D">
        <w:rPr>
          <w:lang w:val="en-US"/>
        </w:rPr>
        <w:t xml:space="preserve">. In particular, a patient’s right to appropriate treatment is provided for in article 3 of the Law on the Rights of </w:t>
      </w:r>
      <w:r w:rsidR="009E6C4D" w:rsidRPr="00F0055D">
        <w:rPr>
          <w:lang w:val="en-US"/>
        </w:rPr>
        <w:t xml:space="preserve"> </w:t>
      </w:r>
      <w:r w:rsidRPr="00F0055D">
        <w:rPr>
          <w:lang w:val="en-US"/>
        </w:rPr>
        <w:t xml:space="preserve">Patients and Compensation </w:t>
      </w:r>
      <w:r w:rsidR="009E6C4D" w:rsidRPr="00F0055D">
        <w:rPr>
          <w:lang w:val="en-US"/>
        </w:rPr>
        <w:t>for</w:t>
      </w:r>
      <w:r w:rsidRPr="00F0055D">
        <w:rPr>
          <w:lang w:val="en-US"/>
        </w:rPr>
        <w:t xml:space="preserve"> Damage to Their Health. Thus, the State party emphasi</w:t>
      </w:r>
      <w:r w:rsidR="009E6C4D" w:rsidRPr="00F0055D">
        <w:rPr>
          <w:lang w:val="en-US"/>
        </w:rPr>
        <w:t>z</w:t>
      </w:r>
      <w:r w:rsidRPr="00F0055D">
        <w:rPr>
          <w:lang w:val="en-US"/>
        </w:rPr>
        <w:t>es that</w:t>
      </w:r>
      <w:r w:rsidR="009E6C4D" w:rsidRPr="00F0055D">
        <w:rPr>
          <w:lang w:val="en-US"/>
        </w:rPr>
        <w:t>,</w:t>
      </w:r>
      <w:r w:rsidRPr="00F0055D">
        <w:rPr>
          <w:lang w:val="en-US"/>
        </w:rPr>
        <w:t xml:space="preserve"> with the view to defending his allegedly violated rights to adequate medical care, </w:t>
      </w:r>
      <w:r w:rsidR="009E6C4D" w:rsidRPr="00F0055D">
        <w:rPr>
          <w:lang w:val="en-US"/>
        </w:rPr>
        <w:t xml:space="preserve">the author </w:t>
      </w:r>
      <w:r w:rsidRPr="00F0055D">
        <w:rPr>
          <w:lang w:val="en-US"/>
        </w:rPr>
        <w:t xml:space="preserve">could have applied to </w:t>
      </w:r>
      <w:r w:rsidR="009E6C4D" w:rsidRPr="00F0055D">
        <w:rPr>
          <w:lang w:val="en-US"/>
        </w:rPr>
        <w:t xml:space="preserve">the </w:t>
      </w:r>
      <w:r w:rsidRPr="00F0055D">
        <w:rPr>
          <w:lang w:val="en-US"/>
        </w:rPr>
        <w:t xml:space="preserve">national authorities, including the State Medical Audit Inspection and </w:t>
      </w:r>
      <w:r w:rsidR="009E6C4D" w:rsidRPr="00F0055D">
        <w:rPr>
          <w:lang w:val="en-US"/>
        </w:rPr>
        <w:t xml:space="preserve">the </w:t>
      </w:r>
      <w:r w:rsidRPr="00F0055D">
        <w:rPr>
          <w:lang w:val="en-US"/>
        </w:rPr>
        <w:t>courts</w:t>
      </w:r>
      <w:r w:rsidR="009E6C4D" w:rsidRPr="00F0055D">
        <w:rPr>
          <w:lang w:val="en-US"/>
        </w:rPr>
        <w:t>,</w:t>
      </w:r>
      <w:r w:rsidRPr="00F0055D">
        <w:rPr>
          <w:lang w:val="en-US"/>
        </w:rPr>
        <w:t xml:space="preserve"> and </w:t>
      </w:r>
      <w:r w:rsidR="009E6C4D" w:rsidRPr="00F0055D">
        <w:rPr>
          <w:lang w:val="en-US"/>
        </w:rPr>
        <w:t xml:space="preserve">could have </w:t>
      </w:r>
      <w:r w:rsidRPr="00F0055D">
        <w:rPr>
          <w:lang w:val="en-US"/>
        </w:rPr>
        <w:t>appeal</w:t>
      </w:r>
      <w:r w:rsidR="009E6C4D" w:rsidRPr="00F0055D">
        <w:rPr>
          <w:lang w:val="en-US"/>
        </w:rPr>
        <w:t>ed</w:t>
      </w:r>
      <w:r w:rsidRPr="00F0055D">
        <w:rPr>
          <w:lang w:val="en-US"/>
        </w:rPr>
        <w:t xml:space="preserve"> in court against the </w:t>
      </w:r>
      <w:smartTag w:uri="urn:schemas-microsoft-com:office:smarttags" w:element="place">
        <w:smartTag w:uri="urn:schemas-microsoft-com:office:smarttags" w:element="PlaceName">
          <w:r w:rsidRPr="00F0055D">
            <w:rPr>
              <w:lang w:val="en-US"/>
            </w:rPr>
            <w:t>Vilnius</w:t>
          </w:r>
        </w:smartTag>
        <w:r w:rsidRPr="00F0055D">
          <w:rPr>
            <w:lang w:val="en-US"/>
          </w:rPr>
          <w:t xml:space="preserve"> </w:t>
        </w:r>
        <w:smartTag w:uri="urn:schemas-microsoft-com:office:smarttags" w:element="PlaceType">
          <w:r w:rsidRPr="00F0055D">
            <w:rPr>
              <w:lang w:val="en-US"/>
            </w:rPr>
            <w:t>University</w:t>
          </w:r>
        </w:smartTag>
        <w:r w:rsidRPr="00F0055D">
          <w:rPr>
            <w:lang w:val="en-US"/>
          </w:rPr>
          <w:t xml:space="preserve"> </w:t>
        </w:r>
        <w:smartTag w:uri="urn:schemas-microsoft-com:office:smarttags" w:element="PlaceType">
          <w:r w:rsidRPr="00F0055D">
            <w:rPr>
              <w:lang w:val="en-US"/>
            </w:rPr>
            <w:t>Hospital</w:t>
          </w:r>
        </w:smartTag>
      </w:smartTag>
      <w:r w:rsidRPr="00F0055D">
        <w:rPr>
          <w:lang w:val="en-US"/>
        </w:rPr>
        <w:t>, which could also be liable to compensate eventual damage.</w:t>
      </w:r>
    </w:p>
    <w:p w:rsidR="00AC35A2" w:rsidRPr="00F0055D" w:rsidRDefault="00AC35A2" w:rsidP="00B32A05">
      <w:pPr>
        <w:pStyle w:val="SingleTxtG"/>
        <w:spacing w:line="220" w:lineRule="atLeast"/>
        <w:rPr>
          <w:lang w:val="en-US"/>
        </w:rPr>
      </w:pPr>
      <w:r w:rsidRPr="00F0055D">
        <w:rPr>
          <w:lang w:val="en-US"/>
        </w:rPr>
        <w:t>4.9</w:t>
      </w:r>
      <w:r w:rsidR="005C4ED3" w:rsidRPr="00F0055D">
        <w:rPr>
          <w:lang w:val="en-US"/>
        </w:rPr>
        <w:tab/>
      </w:r>
      <w:r w:rsidRPr="00F0055D">
        <w:rPr>
          <w:lang w:val="en-US"/>
        </w:rPr>
        <w:t>The State party notes that on 16 August 2005</w:t>
      </w:r>
      <w:r w:rsidR="009E6C4D" w:rsidRPr="00F0055D">
        <w:rPr>
          <w:lang w:val="en-US"/>
        </w:rPr>
        <w:t>,</w:t>
      </w:r>
      <w:r w:rsidRPr="00F0055D">
        <w:rPr>
          <w:lang w:val="en-US"/>
        </w:rPr>
        <w:t xml:space="preserve"> a request was submitted to a court for the application of provisional safeguards, </w:t>
      </w:r>
      <w:r w:rsidR="009E6C4D" w:rsidRPr="00F0055D">
        <w:rPr>
          <w:lang w:val="en-US"/>
        </w:rPr>
        <w:t>namely, the</w:t>
      </w:r>
      <w:r w:rsidRPr="00F0055D">
        <w:rPr>
          <w:lang w:val="en-US"/>
        </w:rPr>
        <w:t xml:space="preserve"> resum</w:t>
      </w:r>
      <w:r w:rsidR="009E6C4D" w:rsidRPr="00F0055D">
        <w:rPr>
          <w:lang w:val="en-US"/>
        </w:rPr>
        <w:t>ption of</w:t>
      </w:r>
      <w:r w:rsidRPr="00F0055D">
        <w:rPr>
          <w:lang w:val="en-US"/>
        </w:rPr>
        <w:t xml:space="preserve"> injections of the experimental drug. On 18 August 2005, given </w:t>
      </w:r>
      <w:r w:rsidR="009E6C4D" w:rsidRPr="00F0055D">
        <w:rPr>
          <w:lang w:val="en-US"/>
        </w:rPr>
        <w:t xml:space="preserve">the </w:t>
      </w:r>
      <w:r w:rsidRPr="00F0055D">
        <w:rPr>
          <w:lang w:val="en-US"/>
        </w:rPr>
        <w:t xml:space="preserve">numerous procedural deficiencies of the request, the court established a new deadline for its submission. The new deadline for the submission did not exclude </w:t>
      </w:r>
      <w:r w:rsidR="009E6C4D" w:rsidRPr="00F0055D">
        <w:rPr>
          <w:lang w:val="en-US"/>
        </w:rPr>
        <w:t xml:space="preserve">earlier presentation of </w:t>
      </w:r>
      <w:r w:rsidRPr="00F0055D">
        <w:rPr>
          <w:lang w:val="en-US"/>
        </w:rPr>
        <w:t xml:space="preserve">the submission. Ignoring the indicated procedural deficiencies that precluded the </w:t>
      </w:r>
      <w:r w:rsidR="0096407F" w:rsidRPr="00F0055D">
        <w:rPr>
          <w:lang w:val="en-US"/>
        </w:rPr>
        <w:t xml:space="preserve">examination of the </w:t>
      </w:r>
      <w:r w:rsidRPr="00F0055D">
        <w:rPr>
          <w:lang w:val="en-US"/>
        </w:rPr>
        <w:t>request, on 30 August 2005, the author submitted the request to the President of the Vilnius First District Court</w:t>
      </w:r>
      <w:r w:rsidR="0096407F" w:rsidRPr="00F0055D">
        <w:rPr>
          <w:lang w:val="en-US"/>
        </w:rPr>
        <w:t>,</w:t>
      </w:r>
      <w:r w:rsidRPr="00F0055D">
        <w:rPr>
          <w:lang w:val="en-US"/>
        </w:rPr>
        <w:t xml:space="preserve"> requesting the withdrawal of the judge who had </w:t>
      </w:r>
      <w:r w:rsidR="0096407F" w:rsidRPr="00F0055D">
        <w:rPr>
          <w:lang w:val="en-US"/>
        </w:rPr>
        <w:t>handed down</w:t>
      </w:r>
      <w:r w:rsidRPr="00F0055D">
        <w:rPr>
          <w:lang w:val="en-US"/>
        </w:rPr>
        <w:t xml:space="preserve"> the decision of 18 August 2005. Th</w:t>
      </w:r>
      <w:r w:rsidR="0096407F" w:rsidRPr="00F0055D">
        <w:rPr>
          <w:lang w:val="en-US"/>
        </w:rPr>
        <w:t>at</w:t>
      </w:r>
      <w:r w:rsidRPr="00F0055D">
        <w:rPr>
          <w:lang w:val="en-US"/>
        </w:rPr>
        <w:t xml:space="preserve"> request was dismissed on 1 September 2005 as manifestly ill-founded. On 8 September 2005, given that no appeal without procedural deficiencies </w:t>
      </w:r>
      <w:r w:rsidR="0096407F" w:rsidRPr="00F0055D">
        <w:rPr>
          <w:lang w:val="en-US"/>
        </w:rPr>
        <w:t>had been</w:t>
      </w:r>
      <w:r w:rsidRPr="00F0055D">
        <w:rPr>
          <w:lang w:val="en-US"/>
        </w:rPr>
        <w:t xml:space="preserve"> submitted, </w:t>
      </w:r>
      <w:r w:rsidRPr="00F0055D">
        <w:rPr>
          <w:lang w:val="en-US"/>
        </w:rPr>
        <w:lastRenderedPageBreak/>
        <w:t xml:space="preserve">the Vilnius City First District Court decided not to consider the </w:t>
      </w:r>
      <w:r w:rsidR="0096407F" w:rsidRPr="00F0055D">
        <w:rPr>
          <w:lang w:val="en-US"/>
        </w:rPr>
        <w:t xml:space="preserve">request for </w:t>
      </w:r>
      <w:r w:rsidRPr="00F0055D">
        <w:rPr>
          <w:lang w:val="en-US"/>
        </w:rPr>
        <w:t xml:space="preserve">provisional safeguards. </w:t>
      </w:r>
    </w:p>
    <w:p w:rsidR="00AC35A2" w:rsidRPr="00F0055D" w:rsidRDefault="00AC35A2" w:rsidP="00B32A05">
      <w:pPr>
        <w:pStyle w:val="SingleTxtG"/>
        <w:rPr>
          <w:lang w:val="en-US"/>
        </w:rPr>
      </w:pPr>
      <w:r w:rsidRPr="00F0055D">
        <w:rPr>
          <w:lang w:val="en-US"/>
        </w:rPr>
        <w:t>4.10</w:t>
      </w:r>
      <w:r w:rsidR="005C4ED3" w:rsidRPr="00F0055D">
        <w:rPr>
          <w:lang w:val="en-US"/>
        </w:rPr>
        <w:tab/>
      </w:r>
      <w:r w:rsidRPr="00F0055D">
        <w:rPr>
          <w:lang w:val="en-US"/>
        </w:rPr>
        <w:t xml:space="preserve">The State party further notes that the author </w:t>
      </w:r>
      <w:r w:rsidR="0096407F" w:rsidRPr="00F0055D">
        <w:rPr>
          <w:lang w:val="en-US"/>
        </w:rPr>
        <w:t xml:space="preserve">is </w:t>
      </w:r>
      <w:r w:rsidRPr="00F0055D">
        <w:rPr>
          <w:lang w:val="en-US"/>
        </w:rPr>
        <w:t>claim</w:t>
      </w:r>
      <w:r w:rsidR="0096407F" w:rsidRPr="00F0055D">
        <w:rPr>
          <w:lang w:val="en-US"/>
        </w:rPr>
        <w:t>ing</w:t>
      </w:r>
      <w:r w:rsidRPr="00F0055D">
        <w:rPr>
          <w:lang w:val="en-US"/>
        </w:rPr>
        <w:t xml:space="preserve"> a violation of </w:t>
      </w:r>
      <w:r w:rsidR="0096407F" w:rsidRPr="00F0055D">
        <w:rPr>
          <w:lang w:val="en-US"/>
        </w:rPr>
        <w:t xml:space="preserve">his rights under </w:t>
      </w:r>
      <w:r w:rsidRPr="00F0055D">
        <w:rPr>
          <w:lang w:val="en-US"/>
        </w:rPr>
        <w:t>article 10 of the Covenant</w:t>
      </w:r>
      <w:r w:rsidR="0096407F" w:rsidRPr="00F0055D">
        <w:rPr>
          <w:lang w:val="en-US"/>
        </w:rPr>
        <w:t>, stating that</w:t>
      </w:r>
      <w:r w:rsidRPr="00F0055D">
        <w:rPr>
          <w:lang w:val="en-US"/>
        </w:rPr>
        <w:t xml:space="preserve"> he was questioned by the police </w:t>
      </w:r>
      <w:r w:rsidR="0096407F" w:rsidRPr="00F0055D">
        <w:rPr>
          <w:lang w:val="en-US"/>
        </w:rPr>
        <w:t xml:space="preserve">while </w:t>
      </w:r>
      <w:r w:rsidRPr="00F0055D">
        <w:rPr>
          <w:lang w:val="en-US"/>
        </w:rPr>
        <w:t xml:space="preserve">in the Penitentiary Hospital. Since the author </w:t>
      </w:r>
      <w:r w:rsidR="00195ADF" w:rsidRPr="00F0055D">
        <w:rPr>
          <w:lang w:val="en-US"/>
        </w:rPr>
        <w:t>did</w:t>
      </w:r>
      <w:r w:rsidRPr="00F0055D">
        <w:rPr>
          <w:lang w:val="en-US"/>
        </w:rPr>
        <w:t xml:space="preserve"> not specif</w:t>
      </w:r>
      <w:r w:rsidR="00195ADF" w:rsidRPr="00F0055D">
        <w:rPr>
          <w:lang w:val="en-US"/>
        </w:rPr>
        <w:t>y</w:t>
      </w:r>
      <w:r w:rsidRPr="00F0055D">
        <w:rPr>
          <w:lang w:val="en-US"/>
        </w:rPr>
        <w:t xml:space="preserve"> the date of the </w:t>
      </w:r>
      <w:r w:rsidR="00195ADF" w:rsidRPr="00F0055D">
        <w:rPr>
          <w:lang w:val="en-US"/>
        </w:rPr>
        <w:t xml:space="preserve">police </w:t>
      </w:r>
      <w:r w:rsidRPr="00F0055D">
        <w:rPr>
          <w:lang w:val="en-US"/>
        </w:rPr>
        <w:t xml:space="preserve">visit, the State party assumes that he </w:t>
      </w:r>
      <w:r w:rsidR="00195ADF" w:rsidRPr="00F0055D">
        <w:rPr>
          <w:lang w:val="en-US"/>
        </w:rPr>
        <w:t xml:space="preserve">is </w:t>
      </w:r>
      <w:r w:rsidRPr="00F0055D">
        <w:rPr>
          <w:lang w:val="en-US"/>
        </w:rPr>
        <w:t>refer</w:t>
      </w:r>
      <w:r w:rsidR="00195ADF" w:rsidRPr="00F0055D">
        <w:rPr>
          <w:lang w:val="en-US"/>
        </w:rPr>
        <w:t>ring</w:t>
      </w:r>
      <w:r w:rsidRPr="00F0055D">
        <w:rPr>
          <w:lang w:val="en-US"/>
        </w:rPr>
        <w:t xml:space="preserve"> to the visit </w:t>
      </w:r>
      <w:r w:rsidR="00195ADF" w:rsidRPr="00F0055D">
        <w:rPr>
          <w:lang w:val="en-US"/>
        </w:rPr>
        <w:t>by</w:t>
      </w:r>
      <w:r w:rsidRPr="00F0055D">
        <w:rPr>
          <w:lang w:val="en-US"/>
        </w:rPr>
        <w:t xml:space="preserve"> an investigator on 6 June 2005 as recorded in the domestic proceedings. It notes that the author was hospitali</w:t>
      </w:r>
      <w:r w:rsidR="00195ADF" w:rsidRPr="00F0055D">
        <w:rPr>
          <w:lang w:val="en-US"/>
        </w:rPr>
        <w:t>z</w:t>
      </w:r>
      <w:r w:rsidRPr="00F0055D">
        <w:rPr>
          <w:lang w:val="en-US"/>
        </w:rPr>
        <w:t xml:space="preserve">ed from 3 to 13 June 2005 and stresses that his statement that he was in </w:t>
      </w:r>
      <w:r w:rsidR="00195ADF" w:rsidRPr="00F0055D">
        <w:rPr>
          <w:lang w:val="en-US"/>
        </w:rPr>
        <w:t xml:space="preserve">a </w:t>
      </w:r>
      <w:r w:rsidRPr="00F0055D">
        <w:rPr>
          <w:lang w:val="en-US"/>
        </w:rPr>
        <w:t>“</w:t>
      </w:r>
      <w:r w:rsidRPr="00F0055D">
        <w:rPr>
          <w:iCs/>
          <w:lang w:val="en-US"/>
        </w:rPr>
        <w:t>pre-heart attack</w:t>
      </w:r>
      <w:r w:rsidRPr="00F0055D">
        <w:rPr>
          <w:lang w:val="en-US"/>
        </w:rPr>
        <w:t>” state is incorrect. At that time, the author’s state of health was satisfactory and his hospitali</w:t>
      </w:r>
      <w:r w:rsidR="00195ADF" w:rsidRPr="00F0055D">
        <w:rPr>
          <w:lang w:val="en-US"/>
        </w:rPr>
        <w:t>z</w:t>
      </w:r>
      <w:r w:rsidRPr="00F0055D">
        <w:rPr>
          <w:lang w:val="en-US"/>
        </w:rPr>
        <w:t>ation was planned beforehand</w:t>
      </w:r>
      <w:r w:rsidR="00195ADF" w:rsidRPr="00F0055D">
        <w:rPr>
          <w:lang w:val="en-US"/>
        </w:rPr>
        <w:t>; it was</w:t>
      </w:r>
      <w:r w:rsidRPr="00F0055D">
        <w:rPr>
          <w:lang w:val="en-US"/>
        </w:rPr>
        <w:t xml:space="preserve"> not </w:t>
      </w:r>
      <w:r w:rsidR="00195ADF" w:rsidRPr="00F0055D">
        <w:rPr>
          <w:lang w:val="en-US"/>
        </w:rPr>
        <w:t>a</w:t>
      </w:r>
      <w:r w:rsidRPr="00F0055D">
        <w:rPr>
          <w:lang w:val="en-US"/>
        </w:rPr>
        <w:t xml:space="preserve">n emergency. The author’s medical file contains no record of special or extraordinary </w:t>
      </w:r>
      <w:r w:rsidR="00195ADF" w:rsidRPr="00F0055D">
        <w:rPr>
          <w:lang w:val="en-US"/>
        </w:rPr>
        <w:t xml:space="preserve">visits by </w:t>
      </w:r>
      <w:r w:rsidRPr="00F0055D">
        <w:rPr>
          <w:lang w:val="en-US"/>
        </w:rPr>
        <w:t xml:space="preserve">medical doctors due to the allegedly worsened state of the author’s health or loss of consciousness on 6 June 2005. In addition, according to the results of the </w:t>
      </w:r>
      <w:r w:rsidR="00195ADF" w:rsidRPr="00F0055D">
        <w:rPr>
          <w:lang w:val="en-US"/>
        </w:rPr>
        <w:t xml:space="preserve">medical </w:t>
      </w:r>
      <w:r w:rsidRPr="00F0055D">
        <w:rPr>
          <w:lang w:val="en-US"/>
        </w:rPr>
        <w:t xml:space="preserve">examination on 7 June 2005, </w:t>
      </w:r>
      <w:r w:rsidR="00195ADF" w:rsidRPr="00F0055D">
        <w:rPr>
          <w:lang w:val="en-US"/>
        </w:rPr>
        <w:t>the author’s</w:t>
      </w:r>
      <w:r w:rsidRPr="00F0055D">
        <w:rPr>
          <w:lang w:val="en-US"/>
        </w:rPr>
        <w:t xml:space="preserve"> heart was rhythmical and no coronary deficiency was revealed. Accordingly, the author’s allegations under article 10 that the </w:t>
      </w:r>
      <w:r w:rsidR="00195ADF" w:rsidRPr="00F0055D">
        <w:rPr>
          <w:lang w:val="en-US"/>
        </w:rPr>
        <w:t xml:space="preserve">visit by the </w:t>
      </w:r>
      <w:r w:rsidRPr="00F0055D">
        <w:rPr>
          <w:lang w:val="en-US"/>
        </w:rPr>
        <w:t xml:space="preserve">investigating police officer on 6 June 2005 negatively affected his health are </w:t>
      </w:r>
      <w:r w:rsidR="00195ADF" w:rsidRPr="00F0055D">
        <w:rPr>
          <w:lang w:val="en-US"/>
        </w:rPr>
        <w:t>un</w:t>
      </w:r>
      <w:r w:rsidRPr="00F0055D">
        <w:rPr>
          <w:lang w:val="en-US"/>
        </w:rPr>
        <w:t xml:space="preserve">substantiated </w:t>
      </w:r>
      <w:r w:rsidR="00195ADF" w:rsidRPr="00F0055D">
        <w:rPr>
          <w:lang w:val="en-US"/>
        </w:rPr>
        <w:t xml:space="preserve">and </w:t>
      </w:r>
      <w:r w:rsidRPr="00F0055D">
        <w:rPr>
          <w:lang w:val="en-US"/>
        </w:rPr>
        <w:t xml:space="preserve">inadmissible under article 2 of the Optional Protocol. </w:t>
      </w:r>
      <w:r w:rsidR="00195ADF" w:rsidRPr="00F0055D">
        <w:rPr>
          <w:lang w:val="en-US"/>
        </w:rPr>
        <w:t>The State party submits that, i</w:t>
      </w:r>
      <w:r w:rsidRPr="00F0055D">
        <w:rPr>
          <w:lang w:val="en-US"/>
        </w:rPr>
        <w:t>n any event, the author failed to exhaust domestic remedies i</w:t>
      </w:r>
      <w:r w:rsidR="00195ADF" w:rsidRPr="00F0055D">
        <w:rPr>
          <w:lang w:val="en-US"/>
        </w:rPr>
        <w:t>n</w:t>
      </w:r>
      <w:r w:rsidRPr="00F0055D">
        <w:rPr>
          <w:lang w:val="en-US"/>
        </w:rPr>
        <w:t xml:space="preserve"> th</w:t>
      </w:r>
      <w:r w:rsidR="00195ADF" w:rsidRPr="00F0055D">
        <w:rPr>
          <w:lang w:val="en-US"/>
        </w:rPr>
        <w:t>at</w:t>
      </w:r>
      <w:r w:rsidRPr="00F0055D">
        <w:rPr>
          <w:lang w:val="en-US"/>
        </w:rPr>
        <w:t xml:space="preserve"> regard. </w:t>
      </w:r>
    </w:p>
    <w:p w:rsidR="00AC35A2" w:rsidRPr="00F0055D" w:rsidRDefault="00AC35A2" w:rsidP="00B32A05">
      <w:pPr>
        <w:pStyle w:val="SingleTxtG"/>
        <w:rPr>
          <w:lang w:val="en-US"/>
        </w:rPr>
      </w:pPr>
      <w:r w:rsidRPr="00F0055D">
        <w:rPr>
          <w:lang w:val="en-US"/>
        </w:rPr>
        <w:t>4.11</w:t>
      </w:r>
      <w:r w:rsidR="005C4ED3" w:rsidRPr="00F0055D">
        <w:rPr>
          <w:lang w:val="en-US"/>
        </w:rPr>
        <w:tab/>
      </w:r>
      <w:r w:rsidRPr="00F0055D">
        <w:rPr>
          <w:lang w:val="en-US"/>
        </w:rPr>
        <w:t>Regarding the author’s allegations under article 9</w:t>
      </w:r>
      <w:r w:rsidR="00195ADF" w:rsidRPr="00F0055D">
        <w:rPr>
          <w:lang w:val="en-US"/>
        </w:rPr>
        <w:t>, paragraphs</w:t>
      </w:r>
      <w:r w:rsidRPr="00F0055D">
        <w:rPr>
          <w:lang w:val="en-US"/>
        </w:rPr>
        <w:t xml:space="preserve"> 1 and 4</w:t>
      </w:r>
      <w:r w:rsidR="00195ADF" w:rsidRPr="00F0055D">
        <w:rPr>
          <w:lang w:val="en-US"/>
        </w:rPr>
        <w:t>,</w:t>
      </w:r>
      <w:r w:rsidRPr="00F0055D">
        <w:rPr>
          <w:lang w:val="en-US"/>
        </w:rPr>
        <w:t xml:space="preserve"> of the Covenant, the State party notes that at the time of submission of its observations, the pretrial investigation </w:t>
      </w:r>
      <w:r w:rsidR="00195ADF" w:rsidRPr="00F0055D">
        <w:rPr>
          <w:lang w:val="en-US"/>
        </w:rPr>
        <w:t>had been</w:t>
      </w:r>
      <w:r w:rsidRPr="00F0055D">
        <w:rPr>
          <w:lang w:val="en-US"/>
        </w:rPr>
        <w:t xml:space="preserve"> completed and the criminal case was pending before the first instance court. The criminal case consists of 105 files and 13 suspects, including the author, have been charged for different crimes. </w:t>
      </w:r>
    </w:p>
    <w:p w:rsidR="00AC35A2" w:rsidRPr="00F0055D" w:rsidRDefault="00AC35A2" w:rsidP="00B32A05">
      <w:pPr>
        <w:pStyle w:val="SingleTxtG"/>
        <w:rPr>
          <w:lang w:val="en-US"/>
        </w:rPr>
      </w:pPr>
      <w:r w:rsidRPr="00F0055D">
        <w:rPr>
          <w:lang w:val="en-US"/>
        </w:rPr>
        <w:t>4.12</w:t>
      </w:r>
      <w:r w:rsidR="005C4ED3" w:rsidRPr="00F0055D">
        <w:rPr>
          <w:lang w:val="en-US"/>
        </w:rPr>
        <w:tab/>
      </w:r>
      <w:r w:rsidRPr="00F0055D">
        <w:rPr>
          <w:lang w:val="en-US"/>
        </w:rPr>
        <w:t xml:space="preserve">The State party adds that on 19 May 2005, </w:t>
      </w:r>
      <w:r w:rsidR="00BD1DD9" w:rsidRPr="00F0055D">
        <w:rPr>
          <w:lang w:val="en-US"/>
        </w:rPr>
        <w:t xml:space="preserve">when deciding the author’s custody, </w:t>
      </w:r>
      <w:r w:rsidRPr="00F0055D">
        <w:rPr>
          <w:lang w:val="en-US"/>
        </w:rPr>
        <w:t>the Vilnius Second District Court, concluded that the criminal case</w:t>
      </w:r>
      <w:r w:rsidR="00BD1DD9" w:rsidRPr="00F0055D">
        <w:rPr>
          <w:lang w:val="en-US"/>
        </w:rPr>
        <w:t xml:space="preserve"> </w:t>
      </w:r>
      <w:r w:rsidRPr="00F0055D">
        <w:rPr>
          <w:lang w:val="en-US"/>
        </w:rPr>
        <w:t xml:space="preserve">file contained sufficient evidence to assume that the suspect had committed the incriminated acts; </w:t>
      </w:r>
      <w:r w:rsidR="00265518" w:rsidRPr="00F0055D">
        <w:rPr>
          <w:lang w:val="en-US"/>
        </w:rPr>
        <w:t xml:space="preserve">that </w:t>
      </w:r>
      <w:r w:rsidRPr="00F0055D">
        <w:rPr>
          <w:lang w:val="en-US"/>
        </w:rPr>
        <w:t>the author was suspected of having committed grave and serious crimes and could face imprisonment;</w:t>
      </w:r>
      <w:r w:rsidR="00265518" w:rsidRPr="00F0055D">
        <w:rPr>
          <w:lang w:val="en-US"/>
        </w:rPr>
        <w:t xml:space="preserve"> and that the foregoing</w:t>
      </w:r>
      <w:r w:rsidRPr="00F0055D">
        <w:rPr>
          <w:lang w:val="en-US"/>
        </w:rPr>
        <w:t xml:space="preserve"> might motivate him to attempt to escape. It was also observed that the investigation was not over and </w:t>
      </w:r>
      <w:r w:rsidR="00265518" w:rsidRPr="00F0055D">
        <w:rPr>
          <w:lang w:val="en-US"/>
        </w:rPr>
        <w:t xml:space="preserve">that </w:t>
      </w:r>
      <w:r w:rsidRPr="00F0055D">
        <w:rPr>
          <w:lang w:val="en-US"/>
        </w:rPr>
        <w:t xml:space="preserve">not all </w:t>
      </w:r>
      <w:r w:rsidR="00265518" w:rsidRPr="00F0055D">
        <w:rPr>
          <w:lang w:val="en-US"/>
        </w:rPr>
        <w:t xml:space="preserve">the </w:t>
      </w:r>
      <w:r w:rsidRPr="00F0055D">
        <w:rPr>
          <w:lang w:val="en-US"/>
        </w:rPr>
        <w:t>suspects ha</w:t>
      </w:r>
      <w:r w:rsidR="00265518" w:rsidRPr="00F0055D">
        <w:rPr>
          <w:lang w:val="en-US"/>
        </w:rPr>
        <w:t>d</w:t>
      </w:r>
      <w:r w:rsidRPr="00F0055D">
        <w:rPr>
          <w:lang w:val="en-US"/>
        </w:rPr>
        <w:t xml:space="preserve"> been arrested, making it possible for the author to attempt to influence other persons (</w:t>
      </w:r>
      <w:r w:rsidR="00265518" w:rsidRPr="00F0055D">
        <w:rPr>
          <w:lang w:val="en-US"/>
        </w:rPr>
        <w:t xml:space="preserve">e.g. </w:t>
      </w:r>
      <w:r w:rsidRPr="00F0055D">
        <w:rPr>
          <w:lang w:val="en-US"/>
        </w:rPr>
        <w:t>witnesses, experts, other suspects</w:t>
      </w:r>
      <w:r w:rsidR="00265518" w:rsidRPr="00F0055D">
        <w:rPr>
          <w:lang w:val="en-US"/>
        </w:rPr>
        <w:t>,</w:t>
      </w:r>
      <w:r w:rsidRPr="00F0055D">
        <w:rPr>
          <w:lang w:val="en-US"/>
        </w:rPr>
        <w:t xml:space="preserve"> etc.), as well as to hide or falsify significant evidence. The court concluded that the author might obstruct the proceedings. The State party emphasi</w:t>
      </w:r>
      <w:r w:rsidR="00265518" w:rsidRPr="00F0055D">
        <w:rPr>
          <w:lang w:val="en-US"/>
        </w:rPr>
        <w:t>z</w:t>
      </w:r>
      <w:r w:rsidRPr="00F0055D">
        <w:rPr>
          <w:lang w:val="en-US"/>
        </w:rPr>
        <w:t xml:space="preserve">es that the court took into consideration the author’s state of health and concluded that there were no grounds to assume that, </w:t>
      </w:r>
      <w:r w:rsidR="00265518" w:rsidRPr="00F0055D">
        <w:rPr>
          <w:lang w:val="en-US"/>
        </w:rPr>
        <w:t xml:space="preserve">while </w:t>
      </w:r>
      <w:r w:rsidRPr="00F0055D">
        <w:rPr>
          <w:lang w:val="en-US"/>
        </w:rPr>
        <w:t xml:space="preserve">in detention, he would not be provided adequate medical care. </w:t>
      </w:r>
    </w:p>
    <w:p w:rsidR="00AC35A2" w:rsidRPr="00F0055D" w:rsidRDefault="0033414E" w:rsidP="00B32A05">
      <w:pPr>
        <w:pStyle w:val="SingleTxtG"/>
        <w:rPr>
          <w:lang w:val="en-US"/>
        </w:rPr>
      </w:pPr>
      <w:r w:rsidRPr="00F0055D">
        <w:rPr>
          <w:lang w:val="en-US"/>
        </w:rPr>
        <w:t>4.13</w:t>
      </w:r>
      <w:r w:rsidRPr="00F0055D">
        <w:rPr>
          <w:lang w:val="en-US"/>
        </w:rPr>
        <w:tab/>
      </w:r>
      <w:r w:rsidR="00AC35A2" w:rsidRPr="00F0055D">
        <w:rPr>
          <w:lang w:val="en-US"/>
        </w:rPr>
        <w:t>The State party notes that on 16 August 2005</w:t>
      </w:r>
      <w:r w:rsidR="00265518" w:rsidRPr="00F0055D">
        <w:rPr>
          <w:lang w:val="en-US"/>
        </w:rPr>
        <w:t>,</w:t>
      </w:r>
      <w:r w:rsidR="00AC35A2" w:rsidRPr="00F0055D">
        <w:rPr>
          <w:lang w:val="en-US"/>
        </w:rPr>
        <w:t xml:space="preserve"> the Vilnius Second District Court endorsed the prosecutor’s request to prolong the </w:t>
      </w:r>
      <w:r w:rsidR="00265518" w:rsidRPr="00F0055D">
        <w:rPr>
          <w:lang w:val="en-US"/>
        </w:rPr>
        <w:t xml:space="preserve">author’s </w:t>
      </w:r>
      <w:r w:rsidR="00AC35A2" w:rsidRPr="00F0055D">
        <w:rPr>
          <w:lang w:val="en-US"/>
        </w:rPr>
        <w:t>custody by three months. On 9 September 2005</w:t>
      </w:r>
      <w:r w:rsidR="00265518" w:rsidRPr="00F0055D">
        <w:rPr>
          <w:lang w:val="en-US"/>
        </w:rPr>
        <w:t>,</w:t>
      </w:r>
      <w:r w:rsidR="00AC35A2" w:rsidRPr="00F0055D">
        <w:rPr>
          <w:lang w:val="en-US"/>
        </w:rPr>
        <w:t xml:space="preserve"> the </w:t>
      </w:r>
      <w:smartTag w:uri="urn:schemas-microsoft-com:office:smarttags" w:element="Street">
        <w:smartTag w:uri="urn:schemas-microsoft-com:office:smarttags" w:element="address">
          <w:r w:rsidR="00AC35A2" w:rsidRPr="00F0055D">
            <w:rPr>
              <w:lang w:val="en-US"/>
            </w:rPr>
            <w:t>Vilnius Regional Court</w:t>
          </w:r>
        </w:smartTag>
      </w:smartTag>
      <w:r w:rsidR="00AC35A2" w:rsidRPr="00F0055D">
        <w:rPr>
          <w:lang w:val="en-US"/>
        </w:rPr>
        <w:t>, on appeal, quashed the lower court’s decision and the author was released on that day.</w:t>
      </w:r>
    </w:p>
    <w:p w:rsidR="00AC35A2" w:rsidRPr="00F0055D" w:rsidRDefault="0033414E" w:rsidP="00B32A05">
      <w:pPr>
        <w:pStyle w:val="SingleTxtG"/>
        <w:rPr>
          <w:u w:val="single"/>
          <w:lang w:val="en-US"/>
        </w:rPr>
      </w:pPr>
      <w:r w:rsidRPr="00F0055D">
        <w:rPr>
          <w:lang w:val="en-US"/>
        </w:rPr>
        <w:t>4.14</w:t>
      </w:r>
      <w:r w:rsidRPr="00F0055D">
        <w:rPr>
          <w:lang w:val="en-US"/>
        </w:rPr>
        <w:tab/>
      </w:r>
      <w:r w:rsidR="001E062D" w:rsidRPr="00F0055D">
        <w:rPr>
          <w:lang w:val="en-US"/>
        </w:rPr>
        <w:t xml:space="preserve">The State party notes, with reference </w:t>
      </w:r>
      <w:r w:rsidR="00AC35A2" w:rsidRPr="00F0055D">
        <w:rPr>
          <w:lang w:val="en-US"/>
        </w:rPr>
        <w:t>to the jurisprudence</w:t>
      </w:r>
      <w:r w:rsidR="001E062D" w:rsidRPr="00F0055D">
        <w:rPr>
          <w:lang w:val="en-US"/>
        </w:rPr>
        <w:t xml:space="preserve"> of the Human Rights Committee</w:t>
      </w:r>
      <w:r w:rsidR="00AC35A2" w:rsidRPr="00F0055D">
        <w:rPr>
          <w:lang w:val="en-US"/>
        </w:rPr>
        <w:t xml:space="preserve">, </w:t>
      </w:r>
      <w:r w:rsidR="001E062D" w:rsidRPr="00F0055D">
        <w:rPr>
          <w:lang w:val="en-US"/>
        </w:rPr>
        <w:t xml:space="preserve">that </w:t>
      </w:r>
      <w:r w:rsidR="00AC35A2" w:rsidRPr="00F0055D">
        <w:rPr>
          <w:lang w:val="en-US"/>
        </w:rPr>
        <w:t>in instances where the allegations are</w:t>
      </w:r>
      <w:r w:rsidR="001E062D" w:rsidRPr="00F0055D">
        <w:rPr>
          <w:lang w:val="en-US"/>
        </w:rPr>
        <w:t>,</w:t>
      </w:r>
      <w:r w:rsidR="00AC35A2" w:rsidRPr="00F0055D">
        <w:rPr>
          <w:lang w:val="en-US"/>
        </w:rPr>
        <w:t xml:space="preserve"> in their essence</w:t>
      </w:r>
      <w:r w:rsidR="001E062D" w:rsidRPr="00F0055D">
        <w:rPr>
          <w:lang w:val="en-US"/>
        </w:rPr>
        <w:t>,</w:t>
      </w:r>
      <w:r w:rsidR="00AC35A2" w:rsidRPr="00F0055D">
        <w:rPr>
          <w:lang w:val="en-US"/>
        </w:rPr>
        <w:t xml:space="preserve"> related to the assessment of facts, evidence and issues of domestic law by domestic courts, it is general</w:t>
      </w:r>
      <w:r w:rsidR="001E062D" w:rsidRPr="00F0055D">
        <w:rPr>
          <w:lang w:val="en-US"/>
        </w:rPr>
        <w:t>ly</w:t>
      </w:r>
      <w:r w:rsidR="00AC35A2" w:rsidRPr="00F0055D">
        <w:rPr>
          <w:lang w:val="en-US"/>
        </w:rPr>
        <w:t xml:space="preserve"> </w:t>
      </w:r>
      <w:r w:rsidR="001E062D" w:rsidRPr="00F0055D">
        <w:rPr>
          <w:lang w:val="en-US"/>
        </w:rPr>
        <w:t xml:space="preserve">up to </w:t>
      </w:r>
      <w:r w:rsidR="00AC35A2" w:rsidRPr="00F0055D">
        <w:rPr>
          <w:lang w:val="en-US"/>
        </w:rPr>
        <w:t xml:space="preserve">the courts of </w:t>
      </w:r>
      <w:r w:rsidR="001E062D" w:rsidRPr="00F0055D">
        <w:rPr>
          <w:lang w:val="en-US"/>
        </w:rPr>
        <w:t xml:space="preserve">the </w:t>
      </w:r>
      <w:r w:rsidR="00AC35A2" w:rsidRPr="00F0055D">
        <w:rPr>
          <w:lang w:val="en-US"/>
        </w:rPr>
        <w:t>State part</w:t>
      </w:r>
      <w:r w:rsidR="001E062D" w:rsidRPr="00F0055D">
        <w:rPr>
          <w:lang w:val="en-US"/>
        </w:rPr>
        <w:t>y</w:t>
      </w:r>
      <w:r w:rsidR="00AC35A2" w:rsidRPr="00F0055D">
        <w:rPr>
          <w:lang w:val="en-US"/>
        </w:rPr>
        <w:t xml:space="preserve">, and not the Committee, to evaluate the facts in </w:t>
      </w:r>
      <w:r w:rsidR="001E062D" w:rsidRPr="00F0055D">
        <w:rPr>
          <w:lang w:val="en-US"/>
        </w:rPr>
        <w:t xml:space="preserve">a </w:t>
      </w:r>
      <w:r w:rsidR="00AC35A2" w:rsidRPr="00F0055D">
        <w:rPr>
          <w:lang w:val="en-US"/>
        </w:rPr>
        <w:t xml:space="preserve">particular case and to interpret domestic legislation, provided that the evaluation of the facts and their interpretation of the law </w:t>
      </w:r>
      <w:r w:rsidR="001E062D" w:rsidRPr="00F0055D">
        <w:rPr>
          <w:lang w:val="en-US"/>
        </w:rPr>
        <w:t>a</w:t>
      </w:r>
      <w:r w:rsidR="00AC35A2" w:rsidRPr="00F0055D">
        <w:rPr>
          <w:lang w:val="en-US"/>
        </w:rPr>
        <w:t xml:space="preserve">re not manifestly arbitrary or </w:t>
      </w:r>
      <w:r w:rsidR="001E062D" w:rsidRPr="00F0055D">
        <w:rPr>
          <w:lang w:val="en-US"/>
        </w:rPr>
        <w:t xml:space="preserve">do not </w:t>
      </w:r>
      <w:r w:rsidR="00AC35A2" w:rsidRPr="00F0055D">
        <w:rPr>
          <w:lang w:val="en-US"/>
        </w:rPr>
        <w:t>amount to a denial of justice. In the present case, the issues of “sufficiency” of evidence, the existence of the grounds for the imposition of the detention on remand</w:t>
      </w:r>
      <w:r w:rsidR="001E062D" w:rsidRPr="00F0055D">
        <w:rPr>
          <w:lang w:val="en-US"/>
        </w:rPr>
        <w:t>,</w:t>
      </w:r>
      <w:r w:rsidR="00AC35A2" w:rsidRPr="00F0055D">
        <w:rPr>
          <w:lang w:val="en-US"/>
        </w:rPr>
        <w:t xml:space="preserve"> as well as the circumstances that should be taken into account when deciding the particular type of remand measure have been addressed. Thus, </w:t>
      </w:r>
      <w:r w:rsidR="001E062D" w:rsidRPr="00F0055D">
        <w:rPr>
          <w:lang w:val="en-US"/>
        </w:rPr>
        <w:t xml:space="preserve">the </w:t>
      </w:r>
      <w:r w:rsidR="00AC35A2" w:rsidRPr="00F0055D">
        <w:rPr>
          <w:lang w:val="en-US"/>
        </w:rPr>
        <w:t>author’s claims under article 9</w:t>
      </w:r>
      <w:r w:rsidR="001E062D" w:rsidRPr="00F0055D">
        <w:rPr>
          <w:lang w:val="en-US"/>
        </w:rPr>
        <w:t>, paragraphs</w:t>
      </w:r>
      <w:r w:rsidR="00AC35A2" w:rsidRPr="00F0055D">
        <w:rPr>
          <w:lang w:val="en-US"/>
        </w:rPr>
        <w:t xml:space="preserve"> 1 and 4, of the Covenant are unsubstantiated and inadmissible.</w:t>
      </w:r>
    </w:p>
    <w:p w:rsidR="00AC35A2" w:rsidRPr="00F0055D" w:rsidRDefault="0033414E" w:rsidP="0033414E">
      <w:pPr>
        <w:pStyle w:val="SingleTxtG"/>
        <w:rPr>
          <w:lang w:val="en-US"/>
        </w:rPr>
      </w:pPr>
      <w:r w:rsidRPr="00F0055D">
        <w:rPr>
          <w:lang w:val="en-US"/>
        </w:rPr>
        <w:lastRenderedPageBreak/>
        <w:t>4.15</w:t>
      </w:r>
      <w:r w:rsidRPr="00F0055D">
        <w:rPr>
          <w:lang w:val="en-US"/>
        </w:rPr>
        <w:tab/>
      </w:r>
      <w:r w:rsidR="00AC35A2" w:rsidRPr="00F0055D">
        <w:rPr>
          <w:lang w:val="en-US"/>
        </w:rPr>
        <w:t>Regarding the author’s claims under article 14, paragraph 3 (b), (d) and (g), the State party notes that this provision of the Covenant contains a set of minimum guarantees for</w:t>
      </w:r>
      <w:r w:rsidR="001E062D" w:rsidRPr="00F0055D">
        <w:rPr>
          <w:lang w:val="en-US"/>
        </w:rPr>
        <w:t xml:space="preserve"> the</w:t>
      </w:r>
      <w:r w:rsidR="00AC35A2" w:rsidRPr="00F0055D">
        <w:rPr>
          <w:lang w:val="en-US"/>
        </w:rPr>
        <w:t xml:space="preserve"> accused in criminal cases. </w:t>
      </w:r>
      <w:r w:rsidR="001E062D" w:rsidRPr="00F0055D">
        <w:rPr>
          <w:lang w:val="en-US"/>
        </w:rPr>
        <w:t>The State party</w:t>
      </w:r>
      <w:r w:rsidR="00AC35A2" w:rsidRPr="00F0055D">
        <w:rPr>
          <w:lang w:val="en-US"/>
        </w:rPr>
        <w:t xml:space="preserve"> notes that three lawyers represented the author in the domestic proceedings. The various </w:t>
      </w:r>
      <w:r w:rsidR="001E062D" w:rsidRPr="00F0055D">
        <w:rPr>
          <w:lang w:val="en-US"/>
        </w:rPr>
        <w:t>S</w:t>
      </w:r>
      <w:r w:rsidR="00AC35A2" w:rsidRPr="00F0055D">
        <w:rPr>
          <w:lang w:val="en-US"/>
        </w:rPr>
        <w:t>tate institutions, including the investigation and the pretrial prosecutor</w:t>
      </w:r>
      <w:r w:rsidR="001E062D" w:rsidRPr="00F0055D">
        <w:rPr>
          <w:lang w:val="en-US"/>
        </w:rPr>
        <w:t>s</w:t>
      </w:r>
      <w:r w:rsidR="00AC35A2" w:rsidRPr="00F0055D">
        <w:rPr>
          <w:lang w:val="en-US"/>
        </w:rPr>
        <w:t>, were overloaded with repeated complaints</w:t>
      </w:r>
      <w:r w:rsidR="001E062D" w:rsidRPr="00F0055D">
        <w:rPr>
          <w:lang w:val="en-US"/>
        </w:rPr>
        <w:t xml:space="preserve"> by the author</w:t>
      </w:r>
      <w:r w:rsidR="00AC35A2" w:rsidRPr="00F0055D">
        <w:rPr>
          <w:lang w:val="en-US"/>
        </w:rPr>
        <w:t>. For instance, on 26 May 2006 the pretrial prosecutor</w:t>
      </w:r>
      <w:r w:rsidR="001E062D" w:rsidRPr="00F0055D">
        <w:rPr>
          <w:lang w:val="en-US"/>
        </w:rPr>
        <w:t>,</w:t>
      </w:r>
      <w:r w:rsidR="00AC35A2" w:rsidRPr="00F0055D">
        <w:rPr>
          <w:lang w:val="en-US"/>
        </w:rPr>
        <w:t xml:space="preserve"> responding to the author’s submission of 22 May 2006</w:t>
      </w:r>
      <w:r w:rsidR="001E062D" w:rsidRPr="00F0055D">
        <w:rPr>
          <w:lang w:val="en-US"/>
        </w:rPr>
        <w:t>,</w:t>
      </w:r>
      <w:r w:rsidR="00AC35A2" w:rsidRPr="00F0055D">
        <w:rPr>
          <w:lang w:val="en-US"/>
        </w:rPr>
        <w:t xml:space="preserve"> indicated that his requests ha</w:t>
      </w:r>
      <w:r w:rsidR="001E062D" w:rsidRPr="00F0055D">
        <w:rPr>
          <w:lang w:val="en-US"/>
        </w:rPr>
        <w:t>d</w:t>
      </w:r>
      <w:r w:rsidR="00AC35A2" w:rsidRPr="00F0055D">
        <w:rPr>
          <w:lang w:val="en-US"/>
        </w:rPr>
        <w:t xml:space="preserve"> </w:t>
      </w:r>
      <w:r w:rsidR="001E062D" w:rsidRPr="00F0055D">
        <w:rPr>
          <w:lang w:val="en-US"/>
        </w:rPr>
        <w:t xml:space="preserve">already </w:t>
      </w:r>
      <w:r w:rsidR="00AC35A2" w:rsidRPr="00F0055D">
        <w:rPr>
          <w:lang w:val="en-US"/>
        </w:rPr>
        <w:t xml:space="preserve">been examined and partly satisfied. The pretrial prosecutor drew the </w:t>
      </w:r>
      <w:r w:rsidR="001E062D" w:rsidRPr="00F0055D">
        <w:rPr>
          <w:lang w:val="en-US"/>
        </w:rPr>
        <w:t xml:space="preserve">author’s </w:t>
      </w:r>
      <w:r w:rsidR="00AC35A2" w:rsidRPr="00F0055D">
        <w:rPr>
          <w:lang w:val="en-US"/>
        </w:rPr>
        <w:t xml:space="preserve">attention </w:t>
      </w:r>
      <w:r w:rsidR="001E062D" w:rsidRPr="00F0055D">
        <w:rPr>
          <w:lang w:val="en-US"/>
        </w:rPr>
        <w:t xml:space="preserve">to the </w:t>
      </w:r>
      <w:r w:rsidR="00AC35A2" w:rsidRPr="00F0055D">
        <w:rPr>
          <w:lang w:val="en-US"/>
        </w:rPr>
        <w:t xml:space="preserve">over 100 complaints had </w:t>
      </w:r>
      <w:r w:rsidR="001E062D" w:rsidRPr="00F0055D">
        <w:rPr>
          <w:lang w:val="en-US"/>
        </w:rPr>
        <w:t xml:space="preserve">already </w:t>
      </w:r>
      <w:r w:rsidR="00AC35A2" w:rsidRPr="00F0055D">
        <w:rPr>
          <w:lang w:val="en-US"/>
        </w:rPr>
        <w:t>been received from him</w:t>
      </w:r>
      <w:r w:rsidR="001E062D" w:rsidRPr="00F0055D">
        <w:rPr>
          <w:lang w:val="en-US"/>
        </w:rPr>
        <w:t>,</w:t>
      </w:r>
      <w:r w:rsidR="00AC35A2" w:rsidRPr="00F0055D">
        <w:rPr>
          <w:lang w:val="en-US"/>
        </w:rPr>
        <w:t xml:space="preserve"> and that the entirety of the complaints and their repetitiveness </w:t>
      </w:r>
      <w:r w:rsidR="001E062D" w:rsidRPr="00F0055D">
        <w:rPr>
          <w:lang w:val="en-US"/>
        </w:rPr>
        <w:t xml:space="preserve">was tantamount to </w:t>
      </w:r>
      <w:r w:rsidR="00AC35A2" w:rsidRPr="00F0055D">
        <w:rPr>
          <w:lang w:val="en-US"/>
        </w:rPr>
        <w:t xml:space="preserve">abuse of the right of submission. </w:t>
      </w:r>
      <w:r w:rsidR="00D15C9E" w:rsidRPr="00F0055D">
        <w:rPr>
          <w:lang w:val="en-US"/>
        </w:rPr>
        <w:t>O</w:t>
      </w:r>
      <w:r w:rsidR="00AC35A2" w:rsidRPr="00F0055D">
        <w:rPr>
          <w:lang w:val="en-US"/>
        </w:rPr>
        <w:t>n 1 September 2006</w:t>
      </w:r>
      <w:r w:rsidR="00D15C9E" w:rsidRPr="00F0055D">
        <w:rPr>
          <w:lang w:val="en-US"/>
        </w:rPr>
        <w:t>,</w:t>
      </w:r>
      <w:r w:rsidR="00AC35A2" w:rsidRPr="00F0055D">
        <w:rPr>
          <w:lang w:val="en-US"/>
        </w:rPr>
        <w:t xml:space="preserve"> the Deputy Prosecutor General also </w:t>
      </w:r>
      <w:r w:rsidR="00D15C9E" w:rsidRPr="00F0055D">
        <w:rPr>
          <w:lang w:val="en-US"/>
        </w:rPr>
        <w:t xml:space="preserve">notified </w:t>
      </w:r>
      <w:r w:rsidR="00AC35A2" w:rsidRPr="00F0055D">
        <w:rPr>
          <w:lang w:val="en-US"/>
        </w:rPr>
        <w:t>the author and his lawyers that over 150 complaints ha</w:t>
      </w:r>
      <w:r w:rsidR="00D15C9E" w:rsidRPr="00F0055D">
        <w:rPr>
          <w:lang w:val="en-US"/>
        </w:rPr>
        <w:t>d already</w:t>
      </w:r>
      <w:r w:rsidR="00AC35A2" w:rsidRPr="00F0055D">
        <w:rPr>
          <w:lang w:val="en-US"/>
        </w:rPr>
        <w:t xml:space="preserve"> been received and examined, </w:t>
      </w:r>
      <w:r w:rsidR="00D15C9E" w:rsidRPr="00F0055D">
        <w:rPr>
          <w:lang w:val="en-US"/>
        </w:rPr>
        <w:t xml:space="preserve">and </w:t>
      </w:r>
      <w:r w:rsidR="00AC35A2" w:rsidRPr="00F0055D">
        <w:rPr>
          <w:lang w:val="en-US"/>
        </w:rPr>
        <w:t xml:space="preserve">some of them </w:t>
      </w:r>
      <w:r w:rsidR="00D15C9E" w:rsidRPr="00F0055D">
        <w:rPr>
          <w:lang w:val="en-US"/>
        </w:rPr>
        <w:t xml:space="preserve">had been </w:t>
      </w:r>
      <w:r w:rsidR="00AC35A2" w:rsidRPr="00F0055D">
        <w:rPr>
          <w:lang w:val="en-US"/>
        </w:rPr>
        <w:t>satisfied.</w:t>
      </w:r>
    </w:p>
    <w:p w:rsidR="00AC35A2" w:rsidRPr="00F0055D" w:rsidRDefault="0033414E" w:rsidP="0033414E">
      <w:pPr>
        <w:pStyle w:val="SingleTxtG"/>
        <w:rPr>
          <w:lang w:val="en-US"/>
        </w:rPr>
      </w:pPr>
      <w:r w:rsidRPr="00F0055D">
        <w:rPr>
          <w:lang w:val="en-US"/>
        </w:rPr>
        <w:t>4.16</w:t>
      </w:r>
      <w:r w:rsidRPr="00F0055D">
        <w:rPr>
          <w:lang w:val="en-US"/>
        </w:rPr>
        <w:tab/>
      </w:r>
      <w:r w:rsidR="00AC35A2" w:rsidRPr="00F0055D">
        <w:rPr>
          <w:lang w:val="en-US"/>
        </w:rPr>
        <w:t xml:space="preserve">Regarding the visit </w:t>
      </w:r>
      <w:r w:rsidR="00D15C9E" w:rsidRPr="00F0055D">
        <w:rPr>
          <w:lang w:val="en-US"/>
        </w:rPr>
        <w:t>by</w:t>
      </w:r>
      <w:r w:rsidR="00AC35A2" w:rsidRPr="00F0055D">
        <w:rPr>
          <w:lang w:val="en-US"/>
        </w:rPr>
        <w:t xml:space="preserve"> </w:t>
      </w:r>
      <w:r w:rsidR="00D15C9E" w:rsidRPr="00F0055D">
        <w:rPr>
          <w:lang w:val="en-US"/>
        </w:rPr>
        <w:t>a</w:t>
      </w:r>
      <w:r w:rsidR="00AC35A2" w:rsidRPr="00F0055D">
        <w:rPr>
          <w:lang w:val="en-US"/>
        </w:rPr>
        <w:t xml:space="preserve"> police officer on 6 June 2005, the State party reiterates the facts concerning the nature of the author’s placement in the </w:t>
      </w:r>
      <w:smartTag w:uri="urn:schemas-microsoft-com:office:smarttags" w:element="place">
        <w:smartTag w:uri="urn:schemas-microsoft-com:office:smarttags" w:element="PlaceName">
          <w:r w:rsidR="00D15C9E" w:rsidRPr="00F0055D">
            <w:rPr>
              <w:lang w:val="en-US"/>
            </w:rPr>
            <w:t>Pen</w:t>
          </w:r>
          <w:r w:rsidR="00F0055D">
            <w:rPr>
              <w:lang w:val="en-US"/>
            </w:rPr>
            <w:t>i</w:t>
          </w:r>
          <w:r w:rsidR="00D15C9E" w:rsidRPr="00F0055D">
            <w:rPr>
              <w:lang w:val="en-US"/>
            </w:rPr>
            <w:t>tentiary</w:t>
          </w:r>
        </w:smartTag>
        <w:r w:rsidR="00D15C9E" w:rsidRPr="00F0055D">
          <w:rPr>
            <w:lang w:val="en-US"/>
          </w:rPr>
          <w:t xml:space="preserve"> </w:t>
        </w:r>
        <w:smartTag w:uri="urn:schemas-microsoft-com:office:smarttags" w:element="PlaceType">
          <w:r w:rsidR="00AC35A2" w:rsidRPr="00F0055D">
            <w:rPr>
              <w:lang w:val="en-US"/>
            </w:rPr>
            <w:t>Hospital</w:t>
          </w:r>
        </w:smartTag>
      </w:smartTag>
      <w:r w:rsidR="00AC35A2" w:rsidRPr="00F0055D">
        <w:rPr>
          <w:lang w:val="en-US"/>
        </w:rPr>
        <w:t xml:space="preserve"> and his subsequent treatment. It further notes that the author </w:t>
      </w:r>
      <w:r w:rsidR="00D15C9E" w:rsidRPr="00F0055D">
        <w:rPr>
          <w:lang w:val="en-US"/>
        </w:rPr>
        <w:t xml:space="preserve">had </w:t>
      </w:r>
      <w:r w:rsidR="00AC35A2" w:rsidRPr="00F0055D">
        <w:rPr>
          <w:lang w:val="en-US"/>
        </w:rPr>
        <w:t>complained about th</w:t>
      </w:r>
      <w:r w:rsidR="00D15C9E" w:rsidRPr="00F0055D">
        <w:rPr>
          <w:lang w:val="en-US"/>
        </w:rPr>
        <w:t>e</w:t>
      </w:r>
      <w:r w:rsidR="00AC35A2" w:rsidRPr="00F0055D">
        <w:rPr>
          <w:lang w:val="en-US"/>
        </w:rPr>
        <w:t xml:space="preserve"> visit to the General Prosecutor on 6 June 2005. On 13 June 2005</w:t>
      </w:r>
      <w:r w:rsidR="00D15C9E" w:rsidRPr="00F0055D">
        <w:rPr>
          <w:lang w:val="en-US"/>
        </w:rPr>
        <w:t>,</w:t>
      </w:r>
      <w:r w:rsidR="00AC35A2" w:rsidRPr="00F0055D">
        <w:rPr>
          <w:lang w:val="en-US"/>
        </w:rPr>
        <w:t xml:space="preserve"> the </w:t>
      </w:r>
      <w:r w:rsidR="00D15C9E" w:rsidRPr="00F0055D">
        <w:rPr>
          <w:lang w:val="en-US"/>
        </w:rPr>
        <w:t>said</w:t>
      </w:r>
      <w:r w:rsidR="00AC35A2" w:rsidRPr="00F0055D">
        <w:rPr>
          <w:lang w:val="en-US"/>
        </w:rPr>
        <w:t xml:space="preserve"> submission was referred to the pretrial prosecutor for consideration. </w:t>
      </w:r>
    </w:p>
    <w:p w:rsidR="00AC35A2" w:rsidRPr="00F0055D" w:rsidRDefault="0033414E" w:rsidP="0033414E">
      <w:pPr>
        <w:pStyle w:val="SingleTxtG"/>
        <w:rPr>
          <w:lang w:val="en-US"/>
        </w:rPr>
      </w:pPr>
      <w:r w:rsidRPr="00F0055D">
        <w:rPr>
          <w:lang w:val="en-US"/>
        </w:rPr>
        <w:t>4.17</w:t>
      </w:r>
      <w:r w:rsidRPr="00F0055D">
        <w:rPr>
          <w:lang w:val="en-US"/>
        </w:rPr>
        <w:tab/>
      </w:r>
      <w:r w:rsidR="00AC35A2" w:rsidRPr="00F0055D">
        <w:rPr>
          <w:lang w:val="en-US"/>
        </w:rPr>
        <w:t>The State party points out that</w:t>
      </w:r>
      <w:r w:rsidR="00D15C9E" w:rsidRPr="00F0055D">
        <w:rPr>
          <w:lang w:val="en-US"/>
        </w:rPr>
        <w:t>,</w:t>
      </w:r>
      <w:r w:rsidR="00AC35A2" w:rsidRPr="00F0055D">
        <w:rPr>
          <w:lang w:val="en-US"/>
        </w:rPr>
        <w:t xml:space="preserve"> according to the police officer’s official record</w:t>
      </w:r>
      <w:r w:rsidR="00D15C9E" w:rsidRPr="00F0055D">
        <w:rPr>
          <w:lang w:val="en-US"/>
        </w:rPr>
        <w:t>,</w:t>
      </w:r>
      <w:r w:rsidR="00AC35A2" w:rsidRPr="00F0055D">
        <w:rPr>
          <w:lang w:val="en-US"/>
        </w:rPr>
        <w:t xml:space="preserve"> the visit of 6 June 2005 was initiated by the author and a lawyer. In particular, they </w:t>
      </w:r>
      <w:r w:rsidR="00D15C9E" w:rsidRPr="00F0055D">
        <w:rPr>
          <w:lang w:val="en-US"/>
        </w:rPr>
        <w:t xml:space="preserve">had </w:t>
      </w:r>
      <w:r w:rsidR="00AC35A2" w:rsidRPr="00F0055D">
        <w:rPr>
          <w:lang w:val="en-US"/>
        </w:rPr>
        <w:t xml:space="preserve">expressed </w:t>
      </w:r>
      <w:r w:rsidR="00D15C9E" w:rsidRPr="00F0055D">
        <w:rPr>
          <w:lang w:val="en-US"/>
        </w:rPr>
        <w:t xml:space="preserve">the </w:t>
      </w:r>
      <w:r w:rsidR="00AC35A2" w:rsidRPr="00F0055D">
        <w:rPr>
          <w:lang w:val="en-US"/>
        </w:rPr>
        <w:t>willingness to meet to provide information</w:t>
      </w:r>
      <w:r w:rsidR="00D15C9E" w:rsidRPr="00F0055D">
        <w:rPr>
          <w:lang w:val="en-US"/>
        </w:rPr>
        <w:t xml:space="preserve">, </w:t>
      </w:r>
      <w:r w:rsidR="00AC35A2" w:rsidRPr="00F0055D">
        <w:rPr>
          <w:lang w:val="en-US"/>
        </w:rPr>
        <w:t>of</w:t>
      </w:r>
      <w:r w:rsidR="00D15C9E" w:rsidRPr="00F0055D">
        <w:rPr>
          <w:lang w:val="en-US"/>
        </w:rPr>
        <w:t>f</w:t>
      </w:r>
      <w:r w:rsidR="00AC35A2" w:rsidRPr="00F0055D">
        <w:rPr>
          <w:lang w:val="en-US"/>
        </w:rPr>
        <w:t xml:space="preserve"> the record</w:t>
      </w:r>
      <w:r w:rsidR="00D15C9E" w:rsidRPr="00F0055D">
        <w:rPr>
          <w:lang w:val="en-US"/>
        </w:rPr>
        <w:t>,</w:t>
      </w:r>
      <w:r w:rsidR="00AC35A2" w:rsidRPr="00F0055D">
        <w:rPr>
          <w:lang w:val="en-US"/>
        </w:rPr>
        <w:t xml:space="preserve"> concerning other members of the organi</w:t>
      </w:r>
      <w:r w:rsidR="00D15C9E" w:rsidRPr="00F0055D">
        <w:rPr>
          <w:lang w:val="en-US"/>
        </w:rPr>
        <w:t>z</w:t>
      </w:r>
      <w:r w:rsidR="00AC35A2" w:rsidRPr="00F0055D">
        <w:rPr>
          <w:lang w:val="en-US"/>
        </w:rPr>
        <w:t>ed criminal group. When the police officer arrived, the author’s counsel was not present</w:t>
      </w:r>
      <w:r w:rsidR="00D15C9E" w:rsidRPr="00F0055D">
        <w:rPr>
          <w:lang w:val="en-US"/>
        </w:rPr>
        <w:t>,</w:t>
      </w:r>
      <w:r w:rsidR="00AC35A2" w:rsidRPr="00F0055D">
        <w:rPr>
          <w:lang w:val="en-US"/>
        </w:rPr>
        <w:t xml:space="preserve"> and as the author did not wish to communicate, the officer left. In th</w:t>
      </w:r>
      <w:r w:rsidR="00D15C9E" w:rsidRPr="00F0055D">
        <w:rPr>
          <w:lang w:val="en-US"/>
        </w:rPr>
        <w:t>at</w:t>
      </w:r>
      <w:r w:rsidR="00AC35A2" w:rsidRPr="00F0055D">
        <w:rPr>
          <w:lang w:val="en-US"/>
        </w:rPr>
        <w:t xml:space="preserve"> regard</w:t>
      </w:r>
      <w:r w:rsidR="00D15C9E" w:rsidRPr="00F0055D">
        <w:rPr>
          <w:lang w:val="en-US"/>
        </w:rPr>
        <w:t>,</w:t>
      </w:r>
      <w:r w:rsidR="00AC35A2" w:rsidRPr="00F0055D">
        <w:rPr>
          <w:lang w:val="en-US"/>
        </w:rPr>
        <w:t xml:space="preserve"> the State party submits that the </w:t>
      </w:r>
      <w:r w:rsidR="00D15C9E" w:rsidRPr="00F0055D">
        <w:rPr>
          <w:lang w:val="en-US"/>
        </w:rPr>
        <w:t xml:space="preserve">initiative taken by the </w:t>
      </w:r>
      <w:r w:rsidR="00AC35A2" w:rsidRPr="00F0055D">
        <w:rPr>
          <w:lang w:val="en-US"/>
        </w:rPr>
        <w:t>author’s lawyer to contact the police officer could be supported by the “of</w:t>
      </w:r>
      <w:r w:rsidR="00D15C9E" w:rsidRPr="00F0055D">
        <w:rPr>
          <w:lang w:val="en-US"/>
        </w:rPr>
        <w:t>f the</w:t>
      </w:r>
      <w:r w:rsidR="00AC35A2" w:rsidRPr="00F0055D">
        <w:rPr>
          <w:lang w:val="en-US"/>
        </w:rPr>
        <w:t xml:space="preserve"> record” meeting </w:t>
      </w:r>
      <w:r w:rsidR="00D15C9E" w:rsidRPr="00F0055D">
        <w:rPr>
          <w:lang w:val="en-US"/>
        </w:rPr>
        <w:t xml:space="preserve">that took place </w:t>
      </w:r>
      <w:r w:rsidR="00AC35A2" w:rsidRPr="00F0055D">
        <w:rPr>
          <w:lang w:val="en-US"/>
        </w:rPr>
        <w:t>on 7 June 2005</w:t>
      </w:r>
      <w:r w:rsidR="00D15C9E" w:rsidRPr="00F0055D">
        <w:rPr>
          <w:lang w:val="en-US"/>
        </w:rPr>
        <w:t>,</w:t>
      </w:r>
      <w:r w:rsidR="00AC35A2" w:rsidRPr="00F0055D">
        <w:rPr>
          <w:lang w:val="en-US"/>
        </w:rPr>
        <w:t xml:space="preserve"> as documented in the author’s medical records. According to the record of 7 June 2005, a doctor was called to the ward</w:t>
      </w:r>
      <w:r w:rsidR="00D15C9E" w:rsidRPr="00F0055D">
        <w:rPr>
          <w:lang w:val="en-US"/>
        </w:rPr>
        <w:t xml:space="preserve"> at 1 p.m.</w:t>
      </w:r>
      <w:r w:rsidR="00AC35A2" w:rsidRPr="00F0055D">
        <w:rPr>
          <w:lang w:val="en-US"/>
        </w:rPr>
        <w:t xml:space="preserve"> </w:t>
      </w:r>
      <w:r w:rsidR="00D15C9E" w:rsidRPr="00F0055D">
        <w:rPr>
          <w:lang w:val="en-US"/>
        </w:rPr>
        <w:t>because</w:t>
      </w:r>
      <w:r w:rsidR="00AC35A2" w:rsidRPr="00F0055D">
        <w:rPr>
          <w:lang w:val="en-US"/>
        </w:rPr>
        <w:t xml:space="preserve"> the author </w:t>
      </w:r>
      <w:r w:rsidR="00D15C9E" w:rsidRPr="00F0055D">
        <w:rPr>
          <w:lang w:val="en-US"/>
        </w:rPr>
        <w:t xml:space="preserve">had </w:t>
      </w:r>
      <w:r w:rsidR="00AC35A2" w:rsidRPr="00F0055D">
        <w:rPr>
          <w:lang w:val="en-US"/>
        </w:rPr>
        <w:t xml:space="preserve">complained about pain in his chest. The author explained that he </w:t>
      </w:r>
      <w:r w:rsidR="00C62617" w:rsidRPr="00F0055D">
        <w:rPr>
          <w:lang w:val="en-US"/>
        </w:rPr>
        <w:t>had been</w:t>
      </w:r>
      <w:r w:rsidR="00AC35A2" w:rsidRPr="00F0055D">
        <w:rPr>
          <w:lang w:val="en-US"/>
        </w:rPr>
        <w:t xml:space="preserve"> working with his lawyer and the investigation officer but </w:t>
      </w:r>
      <w:r w:rsidR="00C62617" w:rsidRPr="00F0055D">
        <w:rPr>
          <w:lang w:val="en-US"/>
        </w:rPr>
        <w:t xml:space="preserve">had </w:t>
      </w:r>
      <w:r w:rsidR="00F0055D">
        <w:rPr>
          <w:lang w:val="en-US"/>
        </w:rPr>
        <w:t>become</w:t>
      </w:r>
      <w:r w:rsidR="00AC35A2" w:rsidRPr="00F0055D">
        <w:rPr>
          <w:lang w:val="en-US"/>
        </w:rPr>
        <w:t xml:space="preserve"> tired. On 8 June 2005, the medical records indicate</w:t>
      </w:r>
      <w:r w:rsidR="00C62617" w:rsidRPr="00F0055D">
        <w:rPr>
          <w:lang w:val="en-US"/>
        </w:rPr>
        <w:t>d</w:t>
      </w:r>
      <w:r w:rsidR="00AC35A2" w:rsidRPr="00F0055D">
        <w:rPr>
          <w:lang w:val="en-US"/>
        </w:rPr>
        <w:t xml:space="preserve"> that the author was feeling well and had no complaints. The results of the </w:t>
      </w:r>
      <w:r w:rsidR="00C62617" w:rsidRPr="00F0055D">
        <w:rPr>
          <w:lang w:val="en-US"/>
        </w:rPr>
        <w:t xml:space="preserve">medical </w:t>
      </w:r>
      <w:r w:rsidR="00AC35A2" w:rsidRPr="00F0055D">
        <w:rPr>
          <w:lang w:val="en-US"/>
        </w:rPr>
        <w:t>examinations performed thereafter did not show any coronary deficiency or any other health</w:t>
      </w:r>
      <w:r w:rsidR="00C62617" w:rsidRPr="00F0055D">
        <w:rPr>
          <w:lang w:val="en-US"/>
        </w:rPr>
        <w:t>-</w:t>
      </w:r>
      <w:r w:rsidR="00AC35A2" w:rsidRPr="00F0055D">
        <w:rPr>
          <w:lang w:val="en-US"/>
        </w:rPr>
        <w:t xml:space="preserve">related problems. The State party stresses that the author was never questioned within the framework of the pretrial investigation </w:t>
      </w:r>
      <w:r w:rsidR="00C62617" w:rsidRPr="00F0055D">
        <w:rPr>
          <w:lang w:val="en-US"/>
        </w:rPr>
        <w:t>during</w:t>
      </w:r>
      <w:r w:rsidR="00AC35A2" w:rsidRPr="00F0055D">
        <w:rPr>
          <w:lang w:val="en-US"/>
        </w:rPr>
        <w:t xml:space="preserve"> his hospitalization between 3 and 13 June 2005.</w:t>
      </w:r>
    </w:p>
    <w:p w:rsidR="00AC35A2" w:rsidRPr="00F0055D" w:rsidRDefault="0033414E" w:rsidP="0033414E">
      <w:pPr>
        <w:pStyle w:val="SingleTxtG"/>
        <w:rPr>
          <w:lang w:val="en-US"/>
        </w:rPr>
      </w:pPr>
      <w:r w:rsidRPr="00F0055D">
        <w:rPr>
          <w:lang w:val="en-US"/>
        </w:rPr>
        <w:t>4.18</w:t>
      </w:r>
      <w:r w:rsidRPr="00F0055D">
        <w:rPr>
          <w:lang w:val="en-US"/>
        </w:rPr>
        <w:tab/>
      </w:r>
      <w:r w:rsidR="00AC35A2" w:rsidRPr="00F0055D">
        <w:rPr>
          <w:lang w:val="en-US"/>
        </w:rPr>
        <w:t>Finally, the State party strongly denies a</w:t>
      </w:r>
      <w:r w:rsidR="002C7B25" w:rsidRPr="00F0055D">
        <w:rPr>
          <w:lang w:val="en-US"/>
        </w:rPr>
        <w:t>ll</w:t>
      </w:r>
      <w:r w:rsidR="00AC35A2" w:rsidRPr="00F0055D">
        <w:rPr>
          <w:lang w:val="en-US"/>
        </w:rPr>
        <w:t xml:space="preserve"> </w:t>
      </w:r>
      <w:r w:rsidR="002C7B25" w:rsidRPr="00F0055D">
        <w:rPr>
          <w:lang w:val="en-US"/>
        </w:rPr>
        <w:t xml:space="preserve">of the </w:t>
      </w:r>
      <w:r w:rsidR="00AC35A2" w:rsidRPr="00F0055D">
        <w:rPr>
          <w:lang w:val="en-US"/>
        </w:rPr>
        <w:t xml:space="preserve">author’s allegations concerning attempts to coerce him </w:t>
      </w:r>
      <w:r w:rsidR="002C7B25" w:rsidRPr="00F0055D">
        <w:rPr>
          <w:lang w:val="en-US"/>
        </w:rPr>
        <w:t xml:space="preserve">into </w:t>
      </w:r>
      <w:r w:rsidR="00AC35A2" w:rsidRPr="00F0055D">
        <w:rPr>
          <w:lang w:val="en-US"/>
        </w:rPr>
        <w:t xml:space="preserve">confessing guilt. In particular, it notes that the author never acknowledged any of the charges </w:t>
      </w:r>
      <w:r w:rsidR="002C7B25" w:rsidRPr="00F0055D">
        <w:rPr>
          <w:lang w:val="en-US"/>
        </w:rPr>
        <w:t xml:space="preserve">laid against him </w:t>
      </w:r>
      <w:r w:rsidR="00AC35A2" w:rsidRPr="00F0055D">
        <w:rPr>
          <w:lang w:val="en-US"/>
        </w:rPr>
        <w:t xml:space="preserve">and still continues to deny them. </w:t>
      </w:r>
    </w:p>
    <w:p w:rsidR="00AC35A2" w:rsidRPr="00F0055D" w:rsidRDefault="0033414E" w:rsidP="0033414E">
      <w:pPr>
        <w:pStyle w:val="SingleTxtG"/>
        <w:rPr>
          <w:lang w:val="en-US"/>
        </w:rPr>
      </w:pPr>
      <w:r w:rsidRPr="00F0055D">
        <w:rPr>
          <w:lang w:val="en-US"/>
        </w:rPr>
        <w:t>4.19</w:t>
      </w:r>
      <w:r w:rsidRPr="00F0055D">
        <w:rPr>
          <w:lang w:val="en-US"/>
        </w:rPr>
        <w:tab/>
      </w:r>
      <w:r w:rsidR="00AC35A2" w:rsidRPr="00F0055D">
        <w:rPr>
          <w:lang w:val="en-US"/>
        </w:rPr>
        <w:t>The State party concludes that</w:t>
      </w:r>
      <w:r w:rsidR="002C7B25" w:rsidRPr="00F0055D">
        <w:rPr>
          <w:lang w:val="en-US"/>
        </w:rPr>
        <w:t>,</w:t>
      </w:r>
      <w:r w:rsidR="00AC35A2" w:rsidRPr="00F0055D">
        <w:rPr>
          <w:lang w:val="en-US"/>
        </w:rPr>
        <w:t xml:space="preserve"> </w:t>
      </w:r>
      <w:r w:rsidR="002C7B25" w:rsidRPr="00F0055D">
        <w:rPr>
          <w:lang w:val="en-US"/>
        </w:rPr>
        <w:t>inso</w:t>
      </w:r>
      <w:r w:rsidR="00AC35A2" w:rsidRPr="00F0055D">
        <w:rPr>
          <w:lang w:val="en-US"/>
        </w:rPr>
        <w:t>far as the police officer</w:t>
      </w:r>
      <w:r w:rsidR="002C7B25" w:rsidRPr="00F0055D">
        <w:rPr>
          <w:lang w:val="en-US"/>
        </w:rPr>
        <w:t>’s visit</w:t>
      </w:r>
      <w:r w:rsidR="00AC35A2" w:rsidRPr="00F0055D">
        <w:rPr>
          <w:lang w:val="en-US"/>
        </w:rPr>
        <w:t xml:space="preserve"> did not constitute </w:t>
      </w:r>
      <w:r w:rsidR="002C7B25" w:rsidRPr="00F0055D">
        <w:rPr>
          <w:lang w:val="en-US"/>
        </w:rPr>
        <w:t>interrogation</w:t>
      </w:r>
      <w:r w:rsidR="00AC35A2" w:rsidRPr="00F0055D">
        <w:rPr>
          <w:lang w:val="en-US"/>
        </w:rPr>
        <w:t xml:space="preserve"> and did not create any legal consequence to the author, the </w:t>
      </w:r>
      <w:r w:rsidR="002C7B25" w:rsidRPr="00F0055D">
        <w:rPr>
          <w:lang w:val="en-US"/>
        </w:rPr>
        <w:t xml:space="preserve">author’s </w:t>
      </w:r>
      <w:r w:rsidR="00AC35A2" w:rsidRPr="00F0055D">
        <w:rPr>
          <w:lang w:val="en-US"/>
        </w:rPr>
        <w:t>allegations in th</w:t>
      </w:r>
      <w:r w:rsidR="002C7B25" w:rsidRPr="00F0055D">
        <w:rPr>
          <w:lang w:val="en-US"/>
        </w:rPr>
        <w:t>at</w:t>
      </w:r>
      <w:r w:rsidR="00AC35A2" w:rsidRPr="00F0055D">
        <w:rPr>
          <w:lang w:val="en-US"/>
        </w:rPr>
        <w:t xml:space="preserve"> regard fall outside the scope of article 14</w:t>
      </w:r>
      <w:r w:rsidR="00DA3BE4" w:rsidRPr="00F0055D">
        <w:rPr>
          <w:lang w:val="en-US"/>
        </w:rPr>
        <w:t>, paragraph</w:t>
      </w:r>
      <w:r w:rsidR="00AC35A2" w:rsidRPr="00F0055D">
        <w:rPr>
          <w:lang w:val="en-US"/>
        </w:rPr>
        <w:t xml:space="preserve"> 3 (</w:t>
      </w:r>
      <w:r w:rsidR="00AC35A2" w:rsidRPr="00F0055D">
        <w:rPr>
          <w:iCs/>
          <w:lang w:val="en-US"/>
        </w:rPr>
        <w:t>d</w:t>
      </w:r>
      <w:r w:rsidR="00AC35A2" w:rsidRPr="00F0055D">
        <w:rPr>
          <w:lang w:val="en-US"/>
        </w:rPr>
        <w:t>) and (</w:t>
      </w:r>
      <w:r w:rsidR="00AC35A2" w:rsidRPr="00F0055D">
        <w:rPr>
          <w:iCs/>
          <w:lang w:val="en-US"/>
        </w:rPr>
        <w:t>g</w:t>
      </w:r>
      <w:r w:rsidR="00AC35A2" w:rsidRPr="00F0055D">
        <w:rPr>
          <w:lang w:val="en-US"/>
        </w:rPr>
        <w:t>)</w:t>
      </w:r>
      <w:r w:rsidR="00DA3BE4" w:rsidRPr="00F0055D">
        <w:rPr>
          <w:lang w:val="en-US"/>
        </w:rPr>
        <w:t>,</w:t>
      </w:r>
      <w:r w:rsidR="00AC35A2" w:rsidRPr="00F0055D">
        <w:rPr>
          <w:lang w:val="en-US"/>
        </w:rPr>
        <w:t xml:space="preserve"> of the Covenant, and th</w:t>
      </w:r>
      <w:r w:rsidR="00DA3BE4" w:rsidRPr="00F0055D">
        <w:rPr>
          <w:lang w:val="en-US"/>
        </w:rPr>
        <w:t>at</w:t>
      </w:r>
      <w:r w:rsidR="00AC35A2" w:rsidRPr="00F0055D">
        <w:rPr>
          <w:lang w:val="en-US"/>
        </w:rPr>
        <w:t xml:space="preserve"> part of the communication is inadmissible under article 3 of the Optional Protocol</w:t>
      </w:r>
      <w:r w:rsidR="00DA3BE4" w:rsidRPr="00F0055D">
        <w:rPr>
          <w:lang w:val="en-US"/>
        </w:rPr>
        <w:t>. A</w:t>
      </w:r>
      <w:r w:rsidR="00AC35A2" w:rsidRPr="00F0055D">
        <w:rPr>
          <w:lang w:val="en-US"/>
        </w:rPr>
        <w:t>lternatively, it is unsubstantiated and thus inadmissible under article 2 of the Optional Protocol. Th</w:t>
      </w:r>
      <w:r w:rsidR="00DA3BE4" w:rsidRPr="00F0055D">
        <w:rPr>
          <w:lang w:val="en-US"/>
        </w:rPr>
        <w:t>at</w:t>
      </w:r>
      <w:r w:rsidR="00AC35A2" w:rsidRPr="00F0055D">
        <w:rPr>
          <w:lang w:val="en-US"/>
        </w:rPr>
        <w:t xml:space="preserve"> part of the communication is also inadmissible under article 5, paragraph 2 (</w:t>
      </w:r>
      <w:r w:rsidR="00AC35A2" w:rsidRPr="00F0055D">
        <w:rPr>
          <w:iCs/>
          <w:lang w:val="en-US"/>
        </w:rPr>
        <w:t>b</w:t>
      </w:r>
      <w:r w:rsidR="00AC35A2" w:rsidRPr="00F0055D">
        <w:rPr>
          <w:lang w:val="en-US"/>
        </w:rPr>
        <w:t>), of the Optional</w:t>
      </w:r>
      <w:r w:rsidR="00DA3BE4" w:rsidRPr="00F0055D">
        <w:rPr>
          <w:lang w:val="en-US"/>
        </w:rPr>
        <w:t xml:space="preserve"> Protocol</w:t>
      </w:r>
      <w:r w:rsidR="00AC35A2" w:rsidRPr="00F0055D">
        <w:rPr>
          <w:lang w:val="en-US"/>
        </w:rPr>
        <w:t>, as the author had complained to the Office of the Prosecutor General, inter alia, about the circumstances in which he was questioned on 6 June 2005</w:t>
      </w:r>
      <w:r w:rsidR="00DA3BE4" w:rsidRPr="00F0055D">
        <w:rPr>
          <w:lang w:val="en-US"/>
        </w:rPr>
        <w:t>,</w:t>
      </w:r>
      <w:r w:rsidR="00AC35A2" w:rsidRPr="00F0055D">
        <w:rPr>
          <w:lang w:val="en-US"/>
        </w:rPr>
        <w:t xml:space="preserve"> and his complaint </w:t>
      </w:r>
      <w:r w:rsidR="00DA3BE4" w:rsidRPr="00F0055D">
        <w:rPr>
          <w:lang w:val="en-US"/>
        </w:rPr>
        <w:t>had been</w:t>
      </w:r>
      <w:r w:rsidR="00AC35A2" w:rsidRPr="00F0055D">
        <w:rPr>
          <w:lang w:val="en-US"/>
        </w:rPr>
        <w:t xml:space="preserve"> dismissed. However, </w:t>
      </w:r>
      <w:r w:rsidR="00DA3BE4" w:rsidRPr="00F0055D">
        <w:rPr>
          <w:lang w:val="en-US"/>
        </w:rPr>
        <w:t>the author</w:t>
      </w:r>
      <w:r w:rsidR="00AC35A2" w:rsidRPr="00F0055D">
        <w:rPr>
          <w:lang w:val="en-US"/>
        </w:rPr>
        <w:t xml:space="preserve"> never appealed th</w:t>
      </w:r>
      <w:r w:rsidR="00DA3BE4" w:rsidRPr="00F0055D">
        <w:rPr>
          <w:lang w:val="en-US"/>
        </w:rPr>
        <w:t>at</w:t>
      </w:r>
      <w:r w:rsidR="00AC35A2" w:rsidRPr="00F0055D">
        <w:rPr>
          <w:lang w:val="en-US"/>
        </w:rPr>
        <w:t xml:space="preserve"> decision in court, as permitted under article 63 of the </w:t>
      </w:r>
      <w:r w:rsidR="00DA3BE4" w:rsidRPr="00F0055D">
        <w:rPr>
          <w:lang w:val="en-US"/>
        </w:rPr>
        <w:t xml:space="preserve">Code of </w:t>
      </w:r>
      <w:r w:rsidR="00AC35A2" w:rsidRPr="00F0055D">
        <w:rPr>
          <w:lang w:val="en-US"/>
        </w:rPr>
        <w:t xml:space="preserve">Criminal Procedure. </w:t>
      </w:r>
    </w:p>
    <w:p w:rsidR="00AC35A2" w:rsidRPr="00F0055D" w:rsidRDefault="0033414E" w:rsidP="0033414E">
      <w:pPr>
        <w:pStyle w:val="SingleTxtG"/>
        <w:rPr>
          <w:lang w:val="en-US"/>
        </w:rPr>
      </w:pPr>
      <w:r w:rsidRPr="00F0055D">
        <w:rPr>
          <w:lang w:val="en-US"/>
        </w:rPr>
        <w:t>4.20</w:t>
      </w:r>
      <w:r w:rsidRPr="00F0055D">
        <w:rPr>
          <w:lang w:val="en-US"/>
        </w:rPr>
        <w:tab/>
      </w:r>
      <w:r w:rsidR="00DA3BE4" w:rsidRPr="00F0055D">
        <w:rPr>
          <w:lang w:val="en-US"/>
        </w:rPr>
        <w:t>Regarding the</w:t>
      </w:r>
      <w:r w:rsidR="00AC35A2" w:rsidRPr="00F0055D">
        <w:rPr>
          <w:lang w:val="en-US"/>
        </w:rPr>
        <w:t xml:space="preserve"> official notification </w:t>
      </w:r>
      <w:r w:rsidR="00DA3BE4" w:rsidRPr="00F0055D">
        <w:rPr>
          <w:lang w:val="en-US"/>
        </w:rPr>
        <w:t>that he w</w:t>
      </w:r>
      <w:r w:rsidR="00AC35A2" w:rsidRPr="00F0055D">
        <w:rPr>
          <w:lang w:val="en-US"/>
        </w:rPr>
        <w:t>as a suspect on 18 March 2008, the State party submits that on 5 March 2008, the author and his three lawyers were informed that he was being summoned for questioning on 13 March 2008. At the author’s request, the interrogation was rescheduled to 14 March 2008</w:t>
      </w:r>
      <w:r w:rsidR="00DA3BE4" w:rsidRPr="00F0055D">
        <w:rPr>
          <w:lang w:val="en-US"/>
        </w:rPr>
        <w:t>. However</w:t>
      </w:r>
      <w:r w:rsidR="00AC35A2" w:rsidRPr="00F0055D">
        <w:rPr>
          <w:lang w:val="en-US"/>
        </w:rPr>
        <w:t xml:space="preserve">, the author did not show up at the </w:t>
      </w:r>
      <w:r w:rsidR="00DA3BE4" w:rsidRPr="00F0055D">
        <w:rPr>
          <w:lang w:val="en-US"/>
        </w:rPr>
        <w:t xml:space="preserve">set </w:t>
      </w:r>
      <w:r w:rsidR="00AC35A2" w:rsidRPr="00F0055D">
        <w:rPr>
          <w:lang w:val="en-US"/>
        </w:rPr>
        <w:t xml:space="preserve">time; it transpired that he was </w:t>
      </w:r>
      <w:r w:rsidR="00DA3BE4" w:rsidRPr="00F0055D">
        <w:rPr>
          <w:lang w:val="en-US"/>
        </w:rPr>
        <w:t xml:space="preserve">being </w:t>
      </w:r>
      <w:r w:rsidR="00AC35A2" w:rsidRPr="00F0055D">
        <w:rPr>
          <w:lang w:val="en-US"/>
        </w:rPr>
        <w:t xml:space="preserve">treated in the urology </w:t>
      </w:r>
      <w:r w:rsidR="00DA3BE4" w:rsidRPr="00F0055D">
        <w:rPr>
          <w:lang w:val="en-US"/>
        </w:rPr>
        <w:t xml:space="preserve">unit </w:t>
      </w:r>
      <w:r w:rsidR="00AC35A2" w:rsidRPr="00F0055D">
        <w:rPr>
          <w:lang w:val="en-US"/>
        </w:rPr>
        <w:t xml:space="preserve">of </w:t>
      </w:r>
      <w:smartTag w:uri="urn:schemas-microsoft-com:office:smarttags" w:element="place">
        <w:smartTag w:uri="urn:schemas-microsoft-com:office:smarttags" w:element="PlaceName">
          <w:r w:rsidR="00AC35A2" w:rsidRPr="00F0055D">
            <w:rPr>
              <w:lang w:val="en-US"/>
            </w:rPr>
            <w:t>Klaipeda</w:t>
          </w:r>
        </w:smartTag>
        <w:r w:rsidR="00AC35A2" w:rsidRPr="00F0055D">
          <w:rPr>
            <w:lang w:val="en-US"/>
          </w:rPr>
          <w:t xml:space="preserve"> </w:t>
        </w:r>
        <w:smartTag w:uri="urn:schemas-microsoft-com:office:smarttags" w:element="PlaceType">
          <w:r w:rsidR="00AC35A2" w:rsidRPr="00F0055D">
            <w:rPr>
              <w:lang w:val="en-US"/>
            </w:rPr>
            <w:t>Hospital</w:t>
          </w:r>
        </w:smartTag>
      </w:smartTag>
      <w:r w:rsidR="00AC35A2" w:rsidRPr="00F0055D">
        <w:rPr>
          <w:lang w:val="en-US"/>
        </w:rPr>
        <w:t xml:space="preserve"> since 13 March 2008 and he </w:t>
      </w:r>
      <w:r w:rsidR="00DA3BE4" w:rsidRPr="00F0055D">
        <w:rPr>
          <w:lang w:val="en-US"/>
        </w:rPr>
        <w:t xml:space="preserve">had </w:t>
      </w:r>
      <w:r w:rsidR="00AC35A2" w:rsidRPr="00F0055D">
        <w:rPr>
          <w:lang w:val="en-US"/>
        </w:rPr>
        <w:t>under</w:t>
      </w:r>
      <w:r w:rsidR="00DA3BE4" w:rsidRPr="00F0055D">
        <w:rPr>
          <w:lang w:val="en-US"/>
        </w:rPr>
        <w:t>gone</w:t>
      </w:r>
      <w:r w:rsidR="00AC35A2" w:rsidRPr="00F0055D">
        <w:rPr>
          <w:lang w:val="en-US"/>
        </w:rPr>
        <w:t xml:space="preserve"> an operation. On 15 March 2008, the Head of the </w:t>
      </w:r>
      <w:r w:rsidR="00DA3BE4" w:rsidRPr="00F0055D">
        <w:rPr>
          <w:lang w:val="en-US"/>
        </w:rPr>
        <w:t>u</w:t>
      </w:r>
      <w:r w:rsidR="00AC35A2" w:rsidRPr="00F0055D">
        <w:rPr>
          <w:lang w:val="en-US"/>
        </w:rPr>
        <w:t xml:space="preserve">rology </w:t>
      </w:r>
      <w:r w:rsidR="00DA3BE4" w:rsidRPr="00F0055D">
        <w:rPr>
          <w:lang w:val="en-US"/>
        </w:rPr>
        <w:t>u</w:t>
      </w:r>
      <w:r w:rsidR="00AC35A2" w:rsidRPr="00F0055D">
        <w:rPr>
          <w:lang w:val="en-US"/>
        </w:rPr>
        <w:t xml:space="preserve">nit of </w:t>
      </w:r>
      <w:smartTag w:uri="urn:schemas-microsoft-com:office:smarttags" w:element="place">
        <w:smartTag w:uri="urn:schemas-microsoft-com:office:smarttags" w:element="PlaceName">
          <w:r w:rsidR="00AC35A2" w:rsidRPr="00F0055D">
            <w:rPr>
              <w:lang w:val="en-US"/>
            </w:rPr>
            <w:t>Klaipeda</w:t>
          </w:r>
        </w:smartTag>
        <w:r w:rsidR="00AC35A2" w:rsidRPr="00F0055D">
          <w:rPr>
            <w:lang w:val="en-US"/>
          </w:rPr>
          <w:t xml:space="preserve"> </w:t>
        </w:r>
        <w:smartTag w:uri="urn:schemas-microsoft-com:office:smarttags" w:element="PlaceType">
          <w:r w:rsidR="00AC35A2" w:rsidRPr="00F0055D">
            <w:rPr>
              <w:lang w:val="en-US"/>
            </w:rPr>
            <w:t>Hospital</w:t>
          </w:r>
        </w:smartTag>
      </w:smartTag>
      <w:r w:rsidR="00AC35A2" w:rsidRPr="00F0055D">
        <w:rPr>
          <w:lang w:val="en-US"/>
        </w:rPr>
        <w:t xml:space="preserve"> w</w:t>
      </w:r>
      <w:r w:rsidR="00DA3BE4" w:rsidRPr="00F0055D">
        <w:rPr>
          <w:lang w:val="en-US"/>
        </w:rPr>
        <w:t>as</w:t>
      </w:r>
      <w:r w:rsidR="00AC35A2" w:rsidRPr="00F0055D">
        <w:rPr>
          <w:lang w:val="en-US"/>
        </w:rPr>
        <w:t xml:space="preserve"> questioned by the police</w:t>
      </w:r>
      <w:r w:rsidR="00DA3BE4" w:rsidRPr="00F0055D">
        <w:rPr>
          <w:lang w:val="en-US"/>
        </w:rPr>
        <w:t xml:space="preserve"> and he</w:t>
      </w:r>
      <w:r w:rsidR="00AC35A2" w:rsidRPr="00F0055D">
        <w:rPr>
          <w:lang w:val="en-US"/>
        </w:rPr>
        <w:t xml:space="preserve"> explained that the author </w:t>
      </w:r>
      <w:r w:rsidR="00DA3BE4" w:rsidRPr="00F0055D">
        <w:rPr>
          <w:lang w:val="en-US"/>
        </w:rPr>
        <w:t xml:space="preserve">was </w:t>
      </w:r>
      <w:r w:rsidR="00AC35A2" w:rsidRPr="00F0055D">
        <w:rPr>
          <w:lang w:val="en-US"/>
        </w:rPr>
        <w:t>suffer</w:t>
      </w:r>
      <w:r w:rsidR="00DA3BE4" w:rsidRPr="00F0055D">
        <w:rPr>
          <w:lang w:val="en-US"/>
        </w:rPr>
        <w:t>ing</w:t>
      </w:r>
      <w:r w:rsidR="00AC35A2" w:rsidRPr="00F0055D">
        <w:rPr>
          <w:lang w:val="en-US"/>
        </w:rPr>
        <w:t xml:space="preserve"> from urethral stenosis. However, the doctor confirmed that the operation was not an emergency. </w:t>
      </w:r>
    </w:p>
    <w:p w:rsidR="00AC35A2" w:rsidRPr="00F0055D" w:rsidRDefault="0033414E" w:rsidP="0033414E">
      <w:pPr>
        <w:pStyle w:val="SingleTxtG"/>
        <w:rPr>
          <w:lang w:val="en-US"/>
        </w:rPr>
      </w:pPr>
      <w:r w:rsidRPr="00F0055D">
        <w:rPr>
          <w:lang w:val="en-US"/>
        </w:rPr>
        <w:t>4.21</w:t>
      </w:r>
      <w:r w:rsidRPr="00F0055D">
        <w:rPr>
          <w:lang w:val="en-US"/>
        </w:rPr>
        <w:tab/>
      </w:r>
      <w:r w:rsidR="00AC35A2" w:rsidRPr="00F0055D">
        <w:rPr>
          <w:lang w:val="en-US"/>
        </w:rPr>
        <w:t>The medical doctor who treated the author at the time explained to the police that the author’s condition was satisfactory</w:t>
      </w:r>
      <w:r w:rsidR="0033074C" w:rsidRPr="00F0055D">
        <w:rPr>
          <w:lang w:val="en-US"/>
        </w:rPr>
        <w:t>,</w:t>
      </w:r>
      <w:r w:rsidR="00AC35A2" w:rsidRPr="00F0055D">
        <w:rPr>
          <w:lang w:val="en-US"/>
        </w:rPr>
        <w:t xml:space="preserve"> </w:t>
      </w:r>
      <w:r w:rsidR="0033074C" w:rsidRPr="00F0055D">
        <w:rPr>
          <w:lang w:val="en-US"/>
        </w:rPr>
        <w:t xml:space="preserve">that </w:t>
      </w:r>
      <w:r w:rsidR="00AC35A2" w:rsidRPr="00F0055D">
        <w:rPr>
          <w:lang w:val="en-US"/>
        </w:rPr>
        <w:t xml:space="preserve">he was able to read and write, and </w:t>
      </w:r>
      <w:r w:rsidR="0033074C" w:rsidRPr="00F0055D">
        <w:rPr>
          <w:lang w:val="en-US"/>
        </w:rPr>
        <w:t xml:space="preserve">that </w:t>
      </w:r>
      <w:r w:rsidR="00AC35A2" w:rsidRPr="00F0055D">
        <w:rPr>
          <w:lang w:val="en-US"/>
        </w:rPr>
        <w:t xml:space="preserve">he was conscious and oriented. The doctor did not object to the author </w:t>
      </w:r>
      <w:r w:rsidR="006E0597" w:rsidRPr="00F0055D">
        <w:rPr>
          <w:lang w:val="en-US"/>
        </w:rPr>
        <w:t xml:space="preserve">being </w:t>
      </w:r>
      <w:r w:rsidR="00AC35A2" w:rsidRPr="00F0055D">
        <w:rPr>
          <w:lang w:val="en-US"/>
        </w:rPr>
        <w:t xml:space="preserve">notified </w:t>
      </w:r>
      <w:r w:rsidR="006E0597" w:rsidRPr="00F0055D">
        <w:rPr>
          <w:lang w:val="en-US"/>
        </w:rPr>
        <w:t xml:space="preserve">in hospital </w:t>
      </w:r>
      <w:r w:rsidR="00AC35A2" w:rsidRPr="00F0055D">
        <w:rPr>
          <w:lang w:val="en-US"/>
        </w:rPr>
        <w:t>on 18 March 2008</w:t>
      </w:r>
      <w:r w:rsidR="006E0597" w:rsidRPr="00F0055D">
        <w:rPr>
          <w:lang w:val="en-US"/>
        </w:rPr>
        <w:t xml:space="preserve"> that he was a suspect in a crime</w:t>
      </w:r>
      <w:r w:rsidR="00AC35A2" w:rsidRPr="00F0055D">
        <w:rPr>
          <w:lang w:val="en-US"/>
        </w:rPr>
        <w:t>.</w:t>
      </w:r>
    </w:p>
    <w:p w:rsidR="00AC35A2" w:rsidRPr="00F0055D" w:rsidRDefault="0033414E" w:rsidP="0033414E">
      <w:pPr>
        <w:pStyle w:val="SingleTxtG"/>
        <w:rPr>
          <w:lang w:val="en-US"/>
        </w:rPr>
      </w:pPr>
      <w:r w:rsidRPr="00F0055D">
        <w:rPr>
          <w:lang w:val="en-US"/>
        </w:rPr>
        <w:t>4.22</w:t>
      </w:r>
      <w:r w:rsidRPr="00F0055D">
        <w:rPr>
          <w:lang w:val="en-US"/>
        </w:rPr>
        <w:tab/>
      </w:r>
      <w:r w:rsidR="00AC35A2" w:rsidRPr="00F0055D">
        <w:rPr>
          <w:lang w:val="en-US"/>
        </w:rPr>
        <w:t xml:space="preserve">On 15 March 2008, the author’s lawyers were informed that due to the author’s inability to travel to </w:t>
      </w:r>
      <w:smartTag w:uri="urn:schemas-microsoft-com:office:smarttags" w:element="place">
        <w:smartTag w:uri="urn:schemas-microsoft-com:office:smarttags" w:element="City">
          <w:r w:rsidR="00AC35A2" w:rsidRPr="00F0055D">
            <w:rPr>
              <w:lang w:val="en-US"/>
            </w:rPr>
            <w:t>Vilnius</w:t>
          </w:r>
        </w:smartTag>
      </w:smartTag>
      <w:r w:rsidR="00AC35A2" w:rsidRPr="00F0055D">
        <w:rPr>
          <w:lang w:val="en-US"/>
        </w:rPr>
        <w:t xml:space="preserve"> in </w:t>
      </w:r>
      <w:r w:rsidR="006E0597" w:rsidRPr="00F0055D">
        <w:rPr>
          <w:lang w:val="en-US"/>
        </w:rPr>
        <w:t xml:space="preserve">the </w:t>
      </w:r>
      <w:r w:rsidR="00AC35A2" w:rsidRPr="00F0055D">
        <w:rPr>
          <w:lang w:val="en-US"/>
        </w:rPr>
        <w:t xml:space="preserve">light of his health condition, he would be notified </w:t>
      </w:r>
      <w:r w:rsidR="006E0597" w:rsidRPr="00F0055D">
        <w:rPr>
          <w:lang w:val="en-US"/>
        </w:rPr>
        <w:t xml:space="preserve">in hospital at 10 a.m. </w:t>
      </w:r>
      <w:r w:rsidR="00AC35A2" w:rsidRPr="00F0055D">
        <w:rPr>
          <w:lang w:val="en-US"/>
        </w:rPr>
        <w:t xml:space="preserve">on 18 March 2008 </w:t>
      </w:r>
      <w:r w:rsidR="006E0597" w:rsidRPr="00F0055D">
        <w:rPr>
          <w:lang w:val="en-US"/>
        </w:rPr>
        <w:t>that he was a suspect</w:t>
      </w:r>
      <w:r w:rsidR="00AC35A2" w:rsidRPr="00F0055D">
        <w:rPr>
          <w:lang w:val="en-US"/>
        </w:rPr>
        <w:t>. Th</w:t>
      </w:r>
      <w:r w:rsidR="006E0597" w:rsidRPr="00F0055D">
        <w:rPr>
          <w:lang w:val="en-US"/>
        </w:rPr>
        <w:t>at</w:t>
      </w:r>
      <w:r w:rsidR="00AC35A2" w:rsidRPr="00F0055D">
        <w:rPr>
          <w:lang w:val="en-US"/>
        </w:rPr>
        <w:t xml:space="preserve"> was done on 18 March 2008 in the presence of his lawyer and, on th</w:t>
      </w:r>
      <w:r w:rsidR="006E0597" w:rsidRPr="00F0055D">
        <w:rPr>
          <w:lang w:val="en-US"/>
        </w:rPr>
        <w:t>at</w:t>
      </w:r>
      <w:r w:rsidR="00AC35A2" w:rsidRPr="00F0055D">
        <w:rPr>
          <w:lang w:val="en-US"/>
        </w:rPr>
        <w:t xml:space="preserve"> occasion, an official record regarding the author’s refusal to be questioned was made </w:t>
      </w:r>
      <w:r w:rsidR="006E0597" w:rsidRPr="00F0055D">
        <w:rPr>
          <w:lang w:val="en-US"/>
        </w:rPr>
        <w:t>because</w:t>
      </w:r>
      <w:r w:rsidR="00AC35A2" w:rsidRPr="00F0055D">
        <w:rPr>
          <w:lang w:val="en-US"/>
        </w:rPr>
        <w:t xml:space="preserve"> </w:t>
      </w:r>
      <w:r w:rsidR="006E0597" w:rsidRPr="00F0055D">
        <w:rPr>
          <w:lang w:val="en-US"/>
        </w:rPr>
        <w:t>t</w:t>
      </w:r>
      <w:r w:rsidR="00AC35A2" w:rsidRPr="00F0055D">
        <w:rPr>
          <w:lang w:val="en-US"/>
        </w:rPr>
        <w:t>he</w:t>
      </w:r>
      <w:r w:rsidR="006E0597" w:rsidRPr="00F0055D">
        <w:rPr>
          <w:lang w:val="en-US"/>
        </w:rPr>
        <w:t xml:space="preserve"> author</w:t>
      </w:r>
      <w:r w:rsidR="00AC35A2" w:rsidRPr="00F0055D">
        <w:rPr>
          <w:lang w:val="en-US"/>
        </w:rPr>
        <w:t xml:space="preserve"> claimed that, due to his state of health, he was unable to testify as he did not understand the charges against him; in the meantime, he categorically denied having committed any crime. Also, it was noted that the record was read by the author’s lawyer who confirmed its accuracy.</w:t>
      </w:r>
      <w:r w:rsidR="00F0055D" w:rsidRPr="00F0055D">
        <w:rPr>
          <w:lang w:val="en-US"/>
        </w:rPr>
        <w:t xml:space="preserve"> </w:t>
      </w:r>
      <w:r w:rsidR="006E0597" w:rsidRPr="00F0055D">
        <w:rPr>
          <w:lang w:val="en-US"/>
        </w:rPr>
        <w:t>W</w:t>
      </w:r>
      <w:r w:rsidR="00AC35A2" w:rsidRPr="00F0055D">
        <w:rPr>
          <w:lang w:val="en-US"/>
        </w:rPr>
        <w:t xml:space="preserve">hen contacted on 20 March 2008, </w:t>
      </w:r>
      <w:r w:rsidR="006E0597" w:rsidRPr="00F0055D">
        <w:rPr>
          <w:lang w:val="en-US"/>
        </w:rPr>
        <w:t xml:space="preserve">the attending physician </w:t>
      </w:r>
      <w:r w:rsidR="00AC35A2" w:rsidRPr="00F0055D">
        <w:rPr>
          <w:lang w:val="en-US"/>
        </w:rPr>
        <w:t xml:space="preserve">explained that the author had </w:t>
      </w:r>
      <w:r w:rsidR="006E0597" w:rsidRPr="00F0055D">
        <w:rPr>
          <w:lang w:val="en-US"/>
        </w:rPr>
        <w:t xml:space="preserve">already </w:t>
      </w:r>
      <w:r w:rsidR="00AC35A2" w:rsidRPr="00F0055D">
        <w:rPr>
          <w:lang w:val="en-US"/>
        </w:rPr>
        <w:t xml:space="preserve">been discharged from hospital and that no negative implications had occurred as a consequence </w:t>
      </w:r>
      <w:r w:rsidR="006E0597" w:rsidRPr="00F0055D">
        <w:rPr>
          <w:lang w:val="en-US"/>
        </w:rPr>
        <w:t>of</w:t>
      </w:r>
      <w:r w:rsidR="00AC35A2" w:rsidRPr="00F0055D">
        <w:rPr>
          <w:lang w:val="en-US"/>
        </w:rPr>
        <w:t xml:space="preserve"> </w:t>
      </w:r>
      <w:r w:rsidR="006E0597" w:rsidRPr="00F0055D">
        <w:rPr>
          <w:lang w:val="en-US"/>
        </w:rPr>
        <w:t>the</w:t>
      </w:r>
      <w:r w:rsidR="00AC35A2" w:rsidRPr="00F0055D">
        <w:rPr>
          <w:lang w:val="en-US"/>
        </w:rPr>
        <w:t xml:space="preserve"> notification </w:t>
      </w:r>
      <w:r w:rsidR="006E0597" w:rsidRPr="00F0055D">
        <w:rPr>
          <w:lang w:val="en-US"/>
        </w:rPr>
        <w:t>that he w</w:t>
      </w:r>
      <w:r w:rsidR="00AC35A2" w:rsidRPr="00F0055D">
        <w:rPr>
          <w:lang w:val="en-US"/>
        </w:rPr>
        <w:t xml:space="preserve">as a suspect. </w:t>
      </w:r>
    </w:p>
    <w:p w:rsidR="00AC35A2" w:rsidRPr="00F0055D" w:rsidRDefault="0033414E" w:rsidP="0033414E">
      <w:pPr>
        <w:pStyle w:val="SingleTxtG"/>
        <w:rPr>
          <w:lang w:val="en-US"/>
        </w:rPr>
      </w:pPr>
      <w:r w:rsidRPr="00F0055D">
        <w:rPr>
          <w:lang w:val="en-US"/>
        </w:rPr>
        <w:t>4.23</w:t>
      </w:r>
      <w:r w:rsidRPr="00F0055D">
        <w:rPr>
          <w:lang w:val="en-US"/>
        </w:rPr>
        <w:tab/>
      </w:r>
      <w:r w:rsidR="00425388" w:rsidRPr="00F0055D">
        <w:rPr>
          <w:lang w:val="en-US"/>
        </w:rPr>
        <w:t>Since</w:t>
      </w:r>
      <w:r w:rsidR="00AC35A2" w:rsidRPr="00F0055D">
        <w:rPr>
          <w:lang w:val="en-US"/>
        </w:rPr>
        <w:t xml:space="preserve"> the author and his lawyers were informed in writing on 5, 7 and 15 March 2008 that the official notification </w:t>
      </w:r>
      <w:r w:rsidR="00425388" w:rsidRPr="00F0055D">
        <w:rPr>
          <w:lang w:val="en-US"/>
        </w:rPr>
        <w:t xml:space="preserve">that </w:t>
      </w:r>
      <w:r w:rsidR="00AC35A2" w:rsidRPr="00F0055D">
        <w:rPr>
          <w:lang w:val="en-US"/>
        </w:rPr>
        <w:t xml:space="preserve">the author </w:t>
      </w:r>
      <w:r w:rsidR="00425388" w:rsidRPr="00F0055D">
        <w:rPr>
          <w:lang w:val="en-US"/>
        </w:rPr>
        <w:t>w</w:t>
      </w:r>
      <w:r w:rsidR="00AC35A2" w:rsidRPr="00F0055D">
        <w:rPr>
          <w:lang w:val="en-US"/>
        </w:rPr>
        <w:t xml:space="preserve">as a suspect was going to be carried out, the State party submits that the author was informed sufficiently in advance for </w:t>
      </w:r>
      <w:r w:rsidR="00425388" w:rsidRPr="00F0055D">
        <w:rPr>
          <w:lang w:val="en-US"/>
        </w:rPr>
        <w:t xml:space="preserve">the </w:t>
      </w:r>
      <w:r w:rsidR="00AC35A2" w:rsidRPr="00F0055D">
        <w:rPr>
          <w:lang w:val="en-US"/>
        </w:rPr>
        <w:t>purposes of article 14</w:t>
      </w:r>
      <w:r w:rsidR="00425388" w:rsidRPr="00F0055D">
        <w:rPr>
          <w:lang w:val="en-US"/>
        </w:rPr>
        <w:t xml:space="preserve">, paragraph </w:t>
      </w:r>
      <w:r w:rsidR="00AC35A2" w:rsidRPr="00F0055D">
        <w:rPr>
          <w:lang w:val="en-US"/>
        </w:rPr>
        <w:t>3 (b), of the Covenant</w:t>
      </w:r>
      <w:r w:rsidR="00AC35A2" w:rsidRPr="00F0055D">
        <w:rPr>
          <w:vertAlign w:val="superscript"/>
          <w:lang w:val="en-US"/>
        </w:rPr>
        <w:footnoteReference w:id="4"/>
      </w:r>
      <w:r w:rsidR="00AC35A2" w:rsidRPr="00F0055D">
        <w:rPr>
          <w:lang w:val="en-US"/>
        </w:rPr>
        <w:t>. He was discharged from hospital on 20 March 2008</w:t>
      </w:r>
      <w:r w:rsidR="00425388" w:rsidRPr="00F0055D">
        <w:rPr>
          <w:lang w:val="en-US"/>
        </w:rPr>
        <w:t>,</w:t>
      </w:r>
      <w:r w:rsidR="00AC35A2" w:rsidRPr="00F0055D">
        <w:rPr>
          <w:lang w:val="en-US"/>
        </w:rPr>
        <w:t xml:space="preserve"> and was not hindered in any way in the enjoyment of his right to defen</w:t>
      </w:r>
      <w:r w:rsidR="00425388" w:rsidRPr="00F0055D">
        <w:rPr>
          <w:lang w:val="en-US"/>
        </w:rPr>
        <w:t>c</w:t>
      </w:r>
      <w:r w:rsidR="00AC35A2" w:rsidRPr="00F0055D">
        <w:rPr>
          <w:lang w:val="en-US"/>
        </w:rPr>
        <w:t xml:space="preserve">e. </w:t>
      </w:r>
    </w:p>
    <w:p w:rsidR="00AC35A2" w:rsidRPr="00F0055D" w:rsidRDefault="0033414E" w:rsidP="0033414E">
      <w:pPr>
        <w:pStyle w:val="SingleTxtG"/>
        <w:rPr>
          <w:lang w:val="en-US"/>
        </w:rPr>
      </w:pPr>
      <w:r w:rsidRPr="00F0055D">
        <w:rPr>
          <w:lang w:val="en-US"/>
        </w:rPr>
        <w:t>4.24</w:t>
      </w:r>
      <w:r w:rsidRPr="00F0055D">
        <w:rPr>
          <w:lang w:val="en-US"/>
        </w:rPr>
        <w:tab/>
      </w:r>
      <w:r w:rsidR="00AC35A2" w:rsidRPr="00F0055D">
        <w:rPr>
          <w:lang w:val="en-US"/>
        </w:rPr>
        <w:t xml:space="preserve">Consequently, the author’s complaints under article 14, </w:t>
      </w:r>
      <w:r w:rsidR="00D15C9E" w:rsidRPr="00F0055D">
        <w:rPr>
          <w:lang w:val="en-US"/>
        </w:rPr>
        <w:t xml:space="preserve">paragraph </w:t>
      </w:r>
      <w:r w:rsidR="00AC35A2" w:rsidRPr="00F0055D">
        <w:rPr>
          <w:lang w:val="en-US"/>
        </w:rPr>
        <w:t xml:space="preserve">3 (b) and (g), of the Covenant are </w:t>
      </w:r>
      <w:r w:rsidR="00425388" w:rsidRPr="00F0055D">
        <w:rPr>
          <w:lang w:val="en-US"/>
        </w:rPr>
        <w:t>u</w:t>
      </w:r>
      <w:r w:rsidR="00AC35A2" w:rsidRPr="00F0055D">
        <w:rPr>
          <w:lang w:val="en-US"/>
        </w:rPr>
        <w:t xml:space="preserve">nsubstantiated and inadmissible under article 2 of the Optional Protocol, </w:t>
      </w:r>
      <w:r w:rsidR="00425388" w:rsidRPr="00F0055D">
        <w:rPr>
          <w:lang w:val="en-US"/>
        </w:rPr>
        <w:t>and</w:t>
      </w:r>
      <w:r w:rsidR="00AC35A2" w:rsidRPr="00F0055D">
        <w:rPr>
          <w:lang w:val="en-US"/>
        </w:rPr>
        <w:t xml:space="preserve"> for non-exhaustion of domestic remedies, under article</w:t>
      </w:r>
      <w:r w:rsidR="00425388" w:rsidRPr="00F0055D">
        <w:rPr>
          <w:lang w:val="en-US"/>
        </w:rPr>
        <w:t xml:space="preserve"> </w:t>
      </w:r>
      <w:r w:rsidR="00AC35A2" w:rsidRPr="00F0055D">
        <w:rPr>
          <w:lang w:val="en-US"/>
        </w:rPr>
        <w:t>5</w:t>
      </w:r>
      <w:r w:rsidR="00425388" w:rsidRPr="00F0055D">
        <w:rPr>
          <w:lang w:val="en-US"/>
        </w:rPr>
        <w:t>, paragraph</w:t>
      </w:r>
      <w:r w:rsidR="00AC35A2" w:rsidRPr="00F0055D">
        <w:rPr>
          <w:lang w:val="en-US"/>
        </w:rPr>
        <w:t xml:space="preserve"> 2 (b), of the Optional Protocol.</w:t>
      </w:r>
    </w:p>
    <w:p w:rsidR="00AC35A2" w:rsidRPr="00F0055D" w:rsidRDefault="0033414E" w:rsidP="0033414E">
      <w:pPr>
        <w:pStyle w:val="SingleTxtG"/>
        <w:rPr>
          <w:lang w:val="en-US"/>
        </w:rPr>
      </w:pPr>
      <w:r w:rsidRPr="00F0055D">
        <w:rPr>
          <w:lang w:val="en-US"/>
        </w:rPr>
        <w:t>4.25</w:t>
      </w:r>
      <w:r w:rsidRPr="00F0055D">
        <w:rPr>
          <w:lang w:val="en-US"/>
        </w:rPr>
        <w:tab/>
      </w:r>
      <w:r w:rsidR="00AC35A2" w:rsidRPr="00F0055D">
        <w:rPr>
          <w:lang w:val="en-US"/>
        </w:rPr>
        <w:t>On 18 February 2010, the State party submitted its observations on the merits</w:t>
      </w:r>
      <w:r w:rsidR="00425388" w:rsidRPr="00F0055D">
        <w:rPr>
          <w:lang w:val="en-US"/>
        </w:rPr>
        <w:t xml:space="preserve"> of the communication</w:t>
      </w:r>
      <w:r w:rsidR="00AC35A2" w:rsidRPr="00F0055D">
        <w:rPr>
          <w:lang w:val="en-US"/>
        </w:rPr>
        <w:t xml:space="preserve">. Regarding the discontinuation of the author’s participation in the clinical trial, </w:t>
      </w:r>
      <w:r w:rsidR="00425388" w:rsidRPr="00F0055D">
        <w:rPr>
          <w:lang w:val="en-US"/>
        </w:rPr>
        <w:t xml:space="preserve">the State party </w:t>
      </w:r>
      <w:r w:rsidR="00AC35A2" w:rsidRPr="00F0055D">
        <w:rPr>
          <w:lang w:val="en-US"/>
        </w:rPr>
        <w:t xml:space="preserve">reiterates its previous observations and submits that no violation of </w:t>
      </w:r>
      <w:r w:rsidR="00425388" w:rsidRPr="00F0055D">
        <w:rPr>
          <w:lang w:val="en-US"/>
        </w:rPr>
        <w:t xml:space="preserve">the </w:t>
      </w:r>
      <w:r w:rsidR="00AC35A2" w:rsidRPr="00F0055D">
        <w:rPr>
          <w:lang w:val="en-US"/>
        </w:rPr>
        <w:t xml:space="preserve">author’s rights under articles 7 and 10 of the Covenant has occurred. </w:t>
      </w:r>
    </w:p>
    <w:p w:rsidR="00AC35A2" w:rsidRPr="00F0055D" w:rsidRDefault="0033414E" w:rsidP="0033414E">
      <w:pPr>
        <w:pStyle w:val="SingleTxtG"/>
        <w:rPr>
          <w:lang w:val="en-US"/>
        </w:rPr>
      </w:pPr>
      <w:r w:rsidRPr="00F0055D">
        <w:rPr>
          <w:lang w:val="en-US"/>
        </w:rPr>
        <w:t>4.26</w:t>
      </w:r>
      <w:r w:rsidRPr="00F0055D">
        <w:rPr>
          <w:lang w:val="en-US"/>
        </w:rPr>
        <w:tab/>
      </w:r>
      <w:r w:rsidR="00AC35A2" w:rsidRPr="00F0055D">
        <w:rPr>
          <w:lang w:val="en-US"/>
        </w:rPr>
        <w:t xml:space="preserve">As regards the claim of the effects to his health due to his questioning in the hospital in June 2005, </w:t>
      </w:r>
      <w:r w:rsidR="00425388" w:rsidRPr="00F0055D">
        <w:rPr>
          <w:lang w:val="en-US"/>
        </w:rPr>
        <w:t xml:space="preserve">the State party reiterates, </w:t>
      </w:r>
      <w:r w:rsidR="00AC35A2" w:rsidRPr="00F0055D">
        <w:rPr>
          <w:lang w:val="en-US"/>
        </w:rPr>
        <w:t>with reference to its previous submission, that the author’s rights under article 10, paragraph 1, of the Covenant were not violated.</w:t>
      </w:r>
      <w:r w:rsidR="005C4ED3" w:rsidRPr="00F0055D">
        <w:rPr>
          <w:lang w:val="en-US"/>
        </w:rPr>
        <w:t xml:space="preserve"> </w:t>
      </w:r>
    </w:p>
    <w:p w:rsidR="00AC35A2" w:rsidRPr="00F0055D" w:rsidRDefault="0033414E" w:rsidP="0033414E">
      <w:pPr>
        <w:pStyle w:val="SingleTxtG"/>
        <w:rPr>
          <w:i/>
          <w:lang w:val="en-US"/>
        </w:rPr>
      </w:pPr>
      <w:r w:rsidRPr="00F0055D">
        <w:rPr>
          <w:lang w:val="en-US"/>
        </w:rPr>
        <w:t>4.27</w:t>
      </w:r>
      <w:r w:rsidRPr="00F0055D">
        <w:rPr>
          <w:lang w:val="en-US"/>
        </w:rPr>
        <w:tab/>
      </w:r>
      <w:r w:rsidR="00AC35A2" w:rsidRPr="00F0055D">
        <w:rPr>
          <w:lang w:val="en-US"/>
        </w:rPr>
        <w:t>Regarding the author’s allegations under article 9 of the Covenant, the State party reiterates its previous arguments</w:t>
      </w:r>
      <w:r w:rsidR="00425388" w:rsidRPr="00F0055D">
        <w:rPr>
          <w:lang w:val="en-US"/>
        </w:rPr>
        <w:t>,</w:t>
      </w:r>
      <w:r w:rsidR="00AC35A2" w:rsidRPr="00F0055D">
        <w:rPr>
          <w:lang w:val="en-US"/>
        </w:rPr>
        <w:t xml:space="preserve"> and stresses that the requirements prescribed by this provision </w:t>
      </w:r>
      <w:r w:rsidR="00425388" w:rsidRPr="00F0055D">
        <w:rPr>
          <w:lang w:val="en-US"/>
        </w:rPr>
        <w:t>were</w:t>
      </w:r>
      <w:r w:rsidR="00AC35A2" w:rsidRPr="00F0055D">
        <w:rPr>
          <w:lang w:val="en-US"/>
        </w:rPr>
        <w:t xml:space="preserve"> observed in this case, and that considerable attention was paid </w:t>
      </w:r>
      <w:r w:rsidR="00425388" w:rsidRPr="00F0055D">
        <w:rPr>
          <w:lang w:val="en-US"/>
        </w:rPr>
        <w:t>to</w:t>
      </w:r>
      <w:r w:rsidR="00AC35A2" w:rsidRPr="00F0055D">
        <w:rPr>
          <w:lang w:val="en-US"/>
        </w:rPr>
        <w:t xml:space="preserve"> the author’s health status when </w:t>
      </w:r>
      <w:r w:rsidR="00425388" w:rsidRPr="00F0055D">
        <w:rPr>
          <w:lang w:val="en-US"/>
        </w:rPr>
        <w:t>deciding</w:t>
      </w:r>
      <w:r w:rsidR="00AC35A2" w:rsidRPr="00F0055D">
        <w:rPr>
          <w:lang w:val="en-US"/>
        </w:rPr>
        <w:t xml:space="preserve"> the restraint measure. It notes that</w:t>
      </w:r>
      <w:r w:rsidR="00BE132B" w:rsidRPr="00F0055D">
        <w:rPr>
          <w:lang w:val="en-US"/>
        </w:rPr>
        <w:t>,</w:t>
      </w:r>
      <w:r w:rsidR="00AC35A2" w:rsidRPr="00F0055D">
        <w:rPr>
          <w:lang w:val="en-US"/>
        </w:rPr>
        <w:t xml:space="preserve"> </w:t>
      </w:r>
      <w:r w:rsidR="00BE132B" w:rsidRPr="00F0055D">
        <w:rPr>
          <w:lang w:val="en-US"/>
        </w:rPr>
        <w:t xml:space="preserve">in general, </w:t>
      </w:r>
      <w:r w:rsidR="00AC35A2" w:rsidRPr="00F0055D">
        <w:rPr>
          <w:lang w:val="en-US"/>
        </w:rPr>
        <w:t xml:space="preserve">people diagnosed with </w:t>
      </w:r>
      <w:r w:rsidR="00425388" w:rsidRPr="00F0055D">
        <w:rPr>
          <w:lang w:val="en-US"/>
        </w:rPr>
        <w:t>h</w:t>
      </w:r>
      <w:r w:rsidR="00AC35A2" w:rsidRPr="00F0055D">
        <w:rPr>
          <w:lang w:val="en-US"/>
        </w:rPr>
        <w:t>epatitis C lead a normal life</w:t>
      </w:r>
      <w:r w:rsidR="00BE132B" w:rsidRPr="00F0055D">
        <w:rPr>
          <w:lang w:val="en-US"/>
        </w:rPr>
        <w:t>,</w:t>
      </w:r>
      <w:r w:rsidR="00AC35A2" w:rsidRPr="00F0055D">
        <w:rPr>
          <w:lang w:val="en-US"/>
        </w:rPr>
        <w:t xml:space="preserve"> if provided adequate care. Nevertheless, by nature, the disease does not preclude </w:t>
      </w:r>
      <w:r w:rsidR="00BE132B" w:rsidRPr="00F0055D">
        <w:rPr>
          <w:lang w:val="en-US"/>
        </w:rPr>
        <w:t xml:space="preserve">the </w:t>
      </w:r>
      <w:r w:rsidR="00AC35A2" w:rsidRPr="00F0055D">
        <w:rPr>
          <w:lang w:val="en-US"/>
        </w:rPr>
        <w:t xml:space="preserve">possibility of detention and this, </w:t>
      </w:r>
      <w:r w:rsidR="00BE132B" w:rsidRPr="00F0055D">
        <w:rPr>
          <w:lang w:val="en-US"/>
        </w:rPr>
        <w:t xml:space="preserve">in </w:t>
      </w:r>
      <w:r w:rsidR="00AC35A2" w:rsidRPr="00F0055D">
        <w:rPr>
          <w:lang w:val="en-US"/>
        </w:rPr>
        <w:t xml:space="preserve">particular, was not claimed by the author at </w:t>
      </w:r>
      <w:r w:rsidR="00BE132B" w:rsidRPr="00F0055D">
        <w:rPr>
          <w:lang w:val="en-US"/>
        </w:rPr>
        <w:t xml:space="preserve">the </w:t>
      </w:r>
      <w:r w:rsidR="00AC35A2" w:rsidRPr="00F0055D">
        <w:rPr>
          <w:lang w:val="en-US"/>
        </w:rPr>
        <w:t xml:space="preserve">national level. Moreover, even after the author’s participation was discontinued, an alternative treatment was prescribed to him. </w:t>
      </w:r>
    </w:p>
    <w:p w:rsidR="00AC35A2" w:rsidRPr="00F0055D" w:rsidRDefault="0033414E" w:rsidP="0033414E">
      <w:pPr>
        <w:pStyle w:val="SingleTxtG"/>
        <w:rPr>
          <w:lang w:val="en-US"/>
        </w:rPr>
      </w:pPr>
      <w:r w:rsidRPr="00F0055D">
        <w:rPr>
          <w:lang w:val="en-US"/>
        </w:rPr>
        <w:t>4.28</w:t>
      </w:r>
      <w:r w:rsidRPr="00F0055D">
        <w:rPr>
          <w:lang w:val="en-US"/>
        </w:rPr>
        <w:tab/>
      </w:r>
      <w:r w:rsidR="00AC35A2" w:rsidRPr="00F0055D">
        <w:rPr>
          <w:lang w:val="en-US"/>
        </w:rPr>
        <w:t>As concerns the author’s claims regarding the police officer</w:t>
      </w:r>
      <w:r w:rsidR="00BE132B" w:rsidRPr="00F0055D">
        <w:rPr>
          <w:lang w:val="en-US"/>
        </w:rPr>
        <w:t xml:space="preserve">’s visit </w:t>
      </w:r>
      <w:r w:rsidR="00AC35A2" w:rsidRPr="00F0055D">
        <w:rPr>
          <w:lang w:val="en-US"/>
        </w:rPr>
        <w:t xml:space="preserve"> on 6 June 2005,</w:t>
      </w:r>
      <w:r w:rsidR="00AC35A2" w:rsidRPr="00F0055D">
        <w:rPr>
          <w:i/>
          <w:lang w:val="en-US"/>
        </w:rPr>
        <w:t xml:space="preserve"> </w:t>
      </w:r>
      <w:r w:rsidR="00AC35A2" w:rsidRPr="00F0055D">
        <w:rPr>
          <w:lang w:val="en-US"/>
        </w:rPr>
        <w:t>the State party reiterates its previous arguments, noting that it has difficulties assess</w:t>
      </w:r>
      <w:r w:rsidR="00BE132B" w:rsidRPr="00F0055D">
        <w:rPr>
          <w:lang w:val="en-US"/>
        </w:rPr>
        <w:t>ing</w:t>
      </w:r>
      <w:r w:rsidR="00AC35A2" w:rsidRPr="00F0055D">
        <w:rPr>
          <w:lang w:val="en-US"/>
        </w:rPr>
        <w:t xml:space="preserve"> the circumstances of the claim</w:t>
      </w:r>
      <w:r w:rsidR="00BE132B" w:rsidRPr="00F0055D">
        <w:rPr>
          <w:lang w:val="en-US"/>
        </w:rPr>
        <w:t>,</w:t>
      </w:r>
      <w:r w:rsidR="00AC35A2" w:rsidRPr="00F0055D">
        <w:rPr>
          <w:lang w:val="en-US"/>
        </w:rPr>
        <w:t xml:space="preserve"> as it was not evaluated at the domestic level. Moreover, nothing demonstrates that the author was forced to testify against himself, as he had never admitted guilt regarding any of the charges </w:t>
      </w:r>
      <w:r w:rsidR="00BE132B" w:rsidRPr="00F0055D">
        <w:rPr>
          <w:lang w:val="en-US"/>
        </w:rPr>
        <w:t xml:space="preserve">laid </w:t>
      </w:r>
      <w:r w:rsidR="00AC35A2" w:rsidRPr="00F0055D">
        <w:rPr>
          <w:lang w:val="en-US"/>
        </w:rPr>
        <w:t>against him. Consequently, his rights under article 14</w:t>
      </w:r>
      <w:r w:rsidR="00BE132B" w:rsidRPr="00F0055D">
        <w:rPr>
          <w:lang w:val="en-US"/>
        </w:rPr>
        <w:t>, paragraph</w:t>
      </w:r>
      <w:r w:rsidR="00AC35A2" w:rsidRPr="00F0055D">
        <w:rPr>
          <w:lang w:val="en-US"/>
        </w:rPr>
        <w:t xml:space="preserve"> 3 (</w:t>
      </w:r>
      <w:r w:rsidR="00AC35A2" w:rsidRPr="00F0055D">
        <w:rPr>
          <w:iCs/>
          <w:lang w:val="en-US"/>
        </w:rPr>
        <w:t>d</w:t>
      </w:r>
      <w:r w:rsidR="00AC35A2" w:rsidRPr="00F0055D">
        <w:rPr>
          <w:lang w:val="en-US"/>
        </w:rPr>
        <w:t>) and (</w:t>
      </w:r>
      <w:r w:rsidR="00AC35A2" w:rsidRPr="00F0055D">
        <w:rPr>
          <w:iCs/>
          <w:lang w:val="en-US"/>
        </w:rPr>
        <w:t>g</w:t>
      </w:r>
      <w:r w:rsidR="00AC35A2" w:rsidRPr="00F0055D">
        <w:rPr>
          <w:lang w:val="en-US"/>
        </w:rPr>
        <w:t xml:space="preserve">), of the Covenant were not violated. </w:t>
      </w:r>
    </w:p>
    <w:p w:rsidR="00AC35A2" w:rsidRPr="00F0055D" w:rsidRDefault="0033414E" w:rsidP="0033414E">
      <w:pPr>
        <w:pStyle w:val="SingleTxtG"/>
        <w:rPr>
          <w:lang w:val="en-US"/>
        </w:rPr>
      </w:pPr>
      <w:r w:rsidRPr="00F0055D">
        <w:rPr>
          <w:lang w:val="en-US"/>
        </w:rPr>
        <w:t>4.29</w:t>
      </w:r>
      <w:r w:rsidRPr="00F0055D">
        <w:rPr>
          <w:lang w:val="en-US"/>
        </w:rPr>
        <w:tab/>
      </w:r>
      <w:r w:rsidR="00AC35A2" w:rsidRPr="00F0055D">
        <w:rPr>
          <w:lang w:val="en-US"/>
        </w:rPr>
        <w:t>On the</w:t>
      </w:r>
      <w:r w:rsidR="005C4ED3" w:rsidRPr="00F0055D">
        <w:rPr>
          <w:lang w:val="en-US"/>
        </w:rPr>
        <w:t xml:space="preserve"> </w:t>
      </w:r>
      <w:r w:rsidR="00AC35A2" w:rsidRPr="00F0055D">
        <w:rPr>
          <w:lang w:val="en-US"/>
        </w:rPr>
        <w:t xml:space="preserve">allegedly unlawful notification </w:t>
      </w:r>
      <w:r w:rsidR="00BE132B" w:rsidRPr="00F0055D">
        <w:rPr>
          <w:lang w:val="en-US"/>
        </w:rPr>
        <w:t>on 18 March 2008 that</w:t>
      </w:r>
      <w:r w:rsidR="00AC35A2" w:rsidRPr="00F0055D">
        <w:rPr>
          <w:lang w:val="en-US"/>
        </w:rPr>
        <w:t xml:space="preserve"> the author</w:t>
      </w:r>
      <w:r w:rsidR="00BE132B" w:rsidRPr="00F0055D">
        <w:rPr>
          <w:lang w:val="en-US"/>
        </w:rPr>
        <w:t xml:space="preserve"> w</w:t>
      </w:r>
      <w:r w:rsidR="00AC35A2" w:rsidRPr="00F0055D">
        <w:rPr>
          <w:lang w:val="en-US"/>
        </w:rPr>
        <w:t>as a suspect</w:t>
      </w:r>
      <w:r w:rsidR="00BE132B" w:rsidRPr="00F0055D">
        <w:rPr>
          <w:lang w:val="en-US"/>
        </w:rPr>
        <w:t>,</w:t>
      </w:r>
      <w:r w:rsidR="00AC35A2" w:rsidRPr="00F0055D">
        <w:rPr>
          <w:lang w:val="en-US"/>
        </w:rPr>
        <w:t xml:space="preserve"> the State party reiterates its previous submissions and maintains that </w:t>
      </w:r>
      <w:r w:rsidR="00BE132B" w:rsidRPr="00F0055D">
        <w:rPr>
          <w:lang w:val="en-US"/>
        </w:rPr>
        <w:t xml:space="preserve">the author’s </w:t>
      </w:r>
      <w:r w:rsidR="00AC35A2" w:rsidRPr="00F0055D">
        <w:rPr>
          <w:lang w:val="en-US"/>
        </w:rPr>
        <w:t>rights under article 14, paragraph 3 (</w:t>
      </w:r>
      <w:r w:rsidR="00AC35A2" w:rsidRPr="00F0055D">
        <w:rPr>
          <w:iCs/>
          <w:lang w:val="en-US"/>
        </w:rPr>
        <w:t>b</w:t>
      </w:r>
      <w:r w:rsidR="00AC35A2" w:rsidRPr="00F0055D">
        <w:rPr>
          <w:lang w:val="en-US"/>
        </w:rPr>
        <w:t xml:space="preserve">) and (g), of the Covenant were not violated. </w:t>
      </w:r>
    </w:p>
    <w:p w:rsidR="00AC35A2" w:rsidRPr="00F0055D" w:rsidRDefault="0033414E" w:rsidP="0033414E">
      <w:pPr>
        <w:pStyle w:val="H23G"/>
        <w:rPr>
          <w:lang w:val="en-US"/>
        </w:rPr>
      </w:pPr>
      <w:r w:rsidRPr="00F0055D">
        <w:rPr>
          <w:lang w:val="en-US"/>
        </w:rPr>
        <w:tab/>
      </w:r>
      <w:r w:rsidRPr="00F0055D">
        <w:rPr>
          <w:lang w:val="en-US"/>
        </w:rPr>
        <w:tab/>
      </w:r>
      <w:r w:rsidR="00AC35A2" w:rsidRPr="00F0055D">
        <w:rPr>
          <w:lang w:val="en-US"/>
        </w:rPr>
        <w:t xml:space="preserve">Author’s comments on the State party’s observations </w:t>
      </w:r>
    </w:p>
    <w:p w:rsidR="00AC35A2" w:rsidRPr="00F0055D" w:rsidRDefault="00AC35A2" w:rsidP="0033414E">
      <w:pPr>
        <w:pStyle w:val="SingleTxtG"/>
        <w:rPr>
          <w:lang w:val="en-US"/>
        </w:rPr>
      </w:pPr>
      <w:r w:rsidRPr="00F0055D">
        <w:rPr>
          <w:lang w:val="en-US"/>
        </w:rPr>
        <w:t>5.1</w:t>
      </w:r>
      <w:r w:rsidRPr="00F0055D">
        <w:rPr>
          <w:lang w:val="en-US"/>
        </w:rPr>
        <w:tab/>
        <w:t xml:space="preserve">On 5 February 2010, the author reiterated that the Vilnius Second District Court, when </w:t>
      </w:r>
      <w:r w:rsidR="00BE132B" w:rsidRPr="00F0055D">
        <w:rPr>
          <w:lang w:val="en-US"/>
        </w:rPr>
        <w:t>deciding</w:t>
      </w:r>
      <w:r w:rsidRPr="00F0055D">
        <w:rPr>
          <w:lang w:val="en-US"/>
        </w:rPr>
        <w:t xml:space="preserve"> his restraint measure on 19 May 2005, knew that termination of his participation in the experimental treatment would have adverse consequences to his health. </w:t>
      </w:r>
    </w:p>
    <w:p w:rsidR="00AC35A2" w:rsidRPr="00F0055D" w:rsidRDefault="00AC35A2" w:rsidP="0033414E">
      <w:pPr>
        <w:pStyle w:val="SingleTxtG"/>
        <w:rPr>
          <w:lang w:val="en-US"/>
        </w:rPr>
      </w:pPr>
      <w:r w:rsidRPr="00F0055D">
        <w:rPr>
          <w:lang w:val="en-US"/>
        </w:rPr>
        <w:t>5.2</w:t>
      </w:r>
      <w:r w:rsidR="005C4ED3" w:rsidRPr="00F0055D">
        <w:rPr>
          <w:lang w:val="en-US"/>
        </w:rPr>
        <w:tab/>
      </w:r>
      <w:r w:rsidRPr="00F0055D">
        <w:rPr>
          <w:lang w:val="en-US"/>
        </w:rPr>
        <w:t xml:space="preserve">He adds that he was not </w:t>
      </w:r>
      <w:r w:rsidR="0034331E" w:rsidRPr="00F0055D">
        <w:rPr>
          <w:lang w:val="en-US"/>
        </w:rPr>
        <w:t>taken</w:t>
      </w:r>
      <w:r w:rsidRPr="00F0055D">
        <w:rPr>
          <w:lang w:val="en-US"/>
        </w:rPr>
        <w:t xml:space="preserve"> three times a week to the medical institution </w:t>
      </w:r>
      <w:r w:rsidR="0034331E" w:rsidRPr="00F0055D">
        <w:rPr>
          <w:lang w:val="en-US"/>
        </w:rPr>
        <w:t xml:space="preserve">that was </w:t>
      </w:r>
      <w:r w:rsidRPr="00F0055D">
        <w:rPr>
          <w:lang w:val="en-US"/>
        </w:rPr>
        <w:t>c</w:t>
      </w:r>
      <w:r w:rsidR="0034331E" w:rsidRPr="00F0055D">
        <w:rPr>
          <w:lang w:val="en-US"/>
        </w:rPr>
        <w:t>onducting</w:t>
      </w:r>
      <w:r w:rsidRPr="00F0055D">
        <w:rPr>
          <w:lang w:val="en-US"/>
        </w:rPr>
        <w:t xml:space="preserve"> the research, but to the </w:t>
      </w:r>
      <w:r w:rsidR="0034331E" w:rsidRPr="00F0055D">
        <w:rPr>
          <w:lang w:val="en-US"/>
        </w:rPr>
        <w:t>m</w:t>
      </w:r>
      <w:r w:rsidRPr="00F0055D">
        <w:rPr>
          <w:lang w:val="en-US"/>
        </w:rPr>
        <w:t xml:space="preserve">edical </w:t>
      </w:r>
      <w:r w:rsidR="0034331E" w:rsidRPr="00F0055D">
        <w:rPr>
          <w:lang w:val="en-US"/>
        </w:rPr>
        <w:t>u</w:t>
      </w:r>
      <w:r w:rsidRPr="00F0055D">
        <w:rPr>
          <w:lang w:val="en-US"/>
        </w:rPr>
        <w:t>nit of Lukiske Pre</w:t>
      </w:r>
      <w:r w:rsidR="0034331E" w:rsidRPr="00F0055D">
        <w:rPr>
          <w:lang w:val="en-US"/>
        </w:rPr>
        <w:t>t</w:t>
      </w:r>
      <w:r w:rsidRPr="00F0055D">
        <w:rPr>
          <w:lang w:val="en-US"/>
        </w:rPr>
        <w:t>rial Detention Centre, where he received the medication</w:t>
      </w:r>
      <w:r w:rsidR="0034331E" w:rsidRPr="00F0055D">
        <w:rPr>
          <w:lang w:val="en-US"/>
        </w:rPr>
        <w:t>. O</w:t>
      </w:r>
      <w:r w:rsidRPr="00F0055D">
        <w:rPr>
          <w:lang w:val="en-US"/>
        </w:rPr>
        <w:t>nce a month, he under</w:t>
      </w:r>
      <w:r w:rsidR="0034331E" w:rsidRPr="00F0055D">
        <w:rPr>
          <w:lang w:val="en-US"/>
        </w:rPr>
        <w:t>went</w:t>
      </w:r>
      <w:r w:rsidRPr="00F0055D">
        <w:rPr>
          <w:lang w:val="en-US"/>
        </w:rPr>
        <w:t xml:space="preserve"> examinations at the research institution. </w:t>
      </w:r>
    </w:p>
    <w:p w:rsidR="00AC35A2" w:rsidRPr="00F0055D" w:rsidRDefault="00AC35A2" w:rsidP="0033414E">
      <w:pPr>
        <w:pStyle w:val="SingleTxtG"/>
        <w:rPr>
          <w:lang w:val="en-US"/>
        </w:rPr>
      </w:pPr>
      <w:r w:rsidRPr="00F0055D">
        <w:rPr>
          <w:lang w:val="en-US"/>
        </w:rPr>
        <w:t>5.3</w:t>
      </w:r>
      <w:r w:rsidR="005C4ED3" w:rsidRPr="00F0055D">
        <w:rPr>
          <w:lang w:val="en-US"/>
        </w:rPr>
        <w:tab/>
      </w:r>
      <w:r w:rsidRPr="00F0055D">
        <w:rPr>
          <w:lang w:val="en-US"/>
        </w:rPr>
        <w:t>The author submits that he, his lawyers and his wife ha</w:t>
      </w:r>
      <w:r w:rsidR="0034331E" w:rsidRPr="00F0055D">
        <w:rPr>
          <w:lang w:val="en-US"/>
        </w:rPr>
        <w:t>d</w:t>
      </w:r>
      <w:r w:rsidRPr="00F0055D">
        <w:rPr>
          <w:lang w:val="en-US"/>
        </w:rPr>
        <w:t xml:space="preserve"> exhausted all available domestic remedies as required by article 5, paragraph 2 (b), of the Optional Protocol to the </w:t>
      </w:r>
      <w:r w:rsidR="0034331E" w:rsidRPr="00F0055D">
        <w:rPr>
          <w:lang w:val="en-US"/>
        </w:rPr>
        <w:t xml:space="preserve">International </w:t>
      </w:r>
      <w:r w:rsidRPr="00F0055D">
        <w:rPr>
          <w:lang w:val="en-US"/>
        </w:rPr>
        <w:t>Covenant</w:t>
      </w:r>
      <w:r w:rsidR="0034331E" w:rsidRPr="00F0055D">
        <w:rPr>
          <w:lang w:val="en-US"/>
        </w:rPr>
        <w:t xml:space="preserve"> on Civil and Political Rights</w:t>
      </w:r>
      <w:r w:rsidRPr="00F0055D">
        <w:rPr>
          <w:lang w:val="en-US"/>
        </w:rPr>
        <w:t>.</w:t>
      </w:r>
    </w:p>
    <w:p w:rsidR="00AC35A2" w:rsidRPr="00F0055D" w:rsidRDefault="00AC35A2" w:rsidP="0033414E">
      <w:pPr>
        <w:pStyle w:val="SingleTxtG"/>
        <w:rPr>
          <w:lang w:val="en-US"/>
        </w:rPr>
      </w:pPr>
      <w:r w:rsidRPr="00F0055D">
        <w:rPr>
          <w:lang w:val="en-US"/>
        </w:rPr>
        <w:t>5.4</w:t>
      </w:r>
      <w:r w:rsidR="005C4ED3" w:rsidRPr="00F0055D">
        <w:rPr>
          <w:lang w:val="en-US"/>
        </w:rPr>
        <w:tab/>
      </w:r>
      <w:r w:rsidRPr="00F0055D">
        <w:rPr>
          <w:lang w:val="en-US"/>
        </w:rPr>
        <w:t xml:space="preserve">As to the claims under article 9 of the Covenant, he highlights the recommendations of 5 July 2007 of the Medical Panel of the Centre for Hepatology, Gastroenterology and Dietetics of Vilnius University Santariskes Hospital concerning the positive effects of the treatment with the experimental drug. </w:t>
      </w:r>
    </w:p>
    <w:p w:rsidR="00AC35A2" w:rsidRPr="00F0055D" w:rsidRDefault="00AC35A2" w:rsidP="0033414E">
      <w:pPr>
        <w:pStyle w:val="SingleTxtG"/>
        <w:rPr>
          <w:lang w:val="en-US"/>
        </w:rPr>
      </w:pPr>
      <w:r w:rsidRPr="00F0055D">
        <w:rPr>
          <w:lang w:val="en-US"/>
        </w:rPr>
        <w:t>5.5</w:t>
      </w:r>
      <w:r w:rsidR="005C4ED3" w:rsidRPr="00F0055D">
        <w:rPr>
          <w:lang w:val="en-US"/>
        </w:rPr>
        <w:tab/>
      </w:r>
      <w:r w:rsidRPr="00F0055D">
        <w:rPr>
          <w:lang w:val="en-US"/>
        </w:rPr>
        <w:t>Concerning his interrogation in the absence</w:t>
      </w:r>
      <w:r w:rsidR="0034331E" w:rsidRPr="00F0055D">
        <w:rPr>
          <w:lang w:val="en-US"/>
        </w:rPr>
        <w:t xml:space="preserve"> of a lawyer</w:t>
      </w:r>
      <w:r w:rsidRPr="00F0055D">
        <w:rPr>
          <w:lang w:val="en-US"/>
        </w:rPr>
        <w:t xml:space="preserve">, he submits that he was interrogated on 5 and 6 June 2005. He </w:t>
      </w:r>
      <w:r w:rsidR="0034331E" w:rsidRPr="00F0055D">
        <w:rPr>
          <w:lang w:val="en-US"/>
        </w:rPr>
        <w:t xml:space="preserve">had filed a </w:t>
      </w:r>
      <w:r w:rsidRPr="00F0055D">
        <w:rPr>
          <w:lang w:val="en-US"/>
        </w:rPr>
        <w:t>complain</w:t>
      </w:r>
      <w:r w:rsidR="0034331E" w:rsidRPr="00F0055D">
        <w:rPr>
          <w:lang w:val="en-US"/>
        </w:rPr>
        <w:t xml:space="preserve">t </w:t>
      </w:r>
      <w:r w:rsidRPr="00F0055D">
        <w:rPr>
          <w:lang w:val="en-US"/>
        </w:rPr>
        <w:t xml:space="preserve">about that </w:t>
      </w:r>
      <w:r w:rsidR="0034331E" w:rsidRPr="00F0055D">
        <w:rPr>
          <w:lang w:val="en-US"/>
        </w:rPr>
        <w:t>with</w:t>
      </w:r>
      <w:r w:rsidRPr="00F0055D">
        <w:rPr>
          <w:lang w:val="en-US"/>
        </w:rPr>
        <w:t xml:space="preserve"> the Prosecutor’s Office. From 3 to 13 June 2005, he was treated in the </w:t>
      </w:r>
      <w:smartTag w:uri="urn:schemas-microsoft-com:office:smarttags" w:element="place">
        <w:smartTag w:uri="urn:schemas-microsoft-com:office:smarttags" w:element="PlaceName">
          <w:r w:rsidR="0034331E" w:rsidRPr="00F0055D">
            <w:rPr>
              <w:lang w:val="en-US"/>
            </w:rPr>
            <w:t>P</w:t>
          </w:r>
          <w:r w:rsidRPr="00F0055D">
            <w:rPr>
              <w:lang w:val="en-US"/>
            </w:rPr>
            <w:t>enitentiary</w:t>
          </w:r>
        </w:smartTag>
        <w:r w:rsidRPr="00F0055D">
          <w:rPr>
            <w:lang w:val="en-US"/>
          </w:rPr>
          <w:t xml:space="preserve"> </w:t>
        </w:r>
        <w:smartTag w:uri="urn:schemas-microsoft-com:office:smarttags" w:element="PlaceType">
          <w:r w:rsidR="0034331E" w:rsidRPr="00F0055D">
            <w:rPr>
              <w:lang w:val="en-US"/>
            </w:rPr>
            <w:t>H</w:t>
          </w:r>
          <w:r w:rsidRPr="00F0055D">
            <w:rPr>
              <w:lang w:val="en-US"/>
            </w:rPr>
            <w:t>ospital</w:t>
          </w:r>
        </w:smartTag>
      </w:smartTag>
      <w:r w:rsidRPr="00F0055D">
        <w:rPr>
          <w:lang w:val="en-US"/>
        </w:rPr>
        <w:t xml:space="preserve"> for</w:t>
      </w:r>
      <w:r w:rsidR="0034331E" w:rsidRPr="00F0055D">
        <w:rPr>
          <w:lang w:val="en-US"/>
        </w:rPr>
        <w:t>, inter alia,</w:t>
      </w:r>
      <w:r w:rsidRPr="00F0055D">
        <w:rPr>
          <w:lang w:val="en-US"/>
        </w:rPr>
        <w:t xml:space="preserve"> hypertonia, nervous breakdown, insomnia, chronic viral hepatitis C, coronary disease. From 3 to 7 June 2005, he </w:t>
      </w:r>
      <w:r w:rsidR="0034331E" w:rsidRPr="00F0055D">
        <w:rPr>
          <w:lang w:val="en-US"/>
        </w:rPr>
        <w:t xml:space="preserve">states that </w:t>
      </w:r>
      <w:r w:rsidRPr="00F0055D">
        <w:rPr>
          <w:lang w:val="en-US"/>
        </w:rPr>
        <w:t>was not examined by doctors, because the cardiologist was absent.</w:t>
      </w:r>
    </w:p>
    <w:p w:rsidR="00AC35A2" w:rsidRPr="00F0055D" w:rsidRDefault="00AC35A2" w:rsidP="0033414E">
      <w:pPr>
        <w:pStyle w:val="SingleTxtG"/>
        <w:rPr>
          <w:lang w:val="en-US"/>
        </w:rPr>
      </w:pPr>
      <w:r w:rsidRPr="00F0055D">
        <w:rPr>
          <w:lang w:val="en-US"/>
        </w:rPr>
        <w:t>5.6</w:t>
      </w:r>
      <w:r w:rsidR="005C4ED3" w:rsidRPr="00F0055D">
        <w:rPr>
          <w:lang w:val="en-US"/>
        </w:rPr>
        <w:tab/>
      </w:r>
      <w:r w:rsidRPr="00F0055D">
        <w:rPr>
          <w:lang w:val="en-US"/>
        </w:rPr>
        <w:t xml:space="preserve">Regarding </w:t>
      </w:r>
      <w:r w:rsidR="0034331E" w:rsidRPr="00F0055D">
        <w:rPr>
          <w:lang w:val="en-US"/>
        </w:rPr>
        <w:t>the</w:t>
      </w:r>
      <w:r w:rsidRPr="00F0055D">
        <w:rPr>
          <w:lang w:val="en-US"/>
        </w:rPr>
        <w:t xml:space="preserve"> notification </w:t>
      </w:r>
      <w:r w:rsidR="0034331E" w:rsidRPr="00F0055D">
        <w:rPr>
          <w:lang w:val="en-US"/>
        </w:rPr>
        <w:t>that he w</w:t>
      </w:r>
      <w:r w:rsidRPr="00F0055D">
        <w:rPr>
          <w:lang w:val="en-US"/>
        </w:rPr>
        <w:t xml:space="preserve">as a suspect on 18 March 2008, he emphasizes the breach of article 188 of the Code of Criminal Procedure (regulating interrogation of sick suspects). In addition, a medical doctor </w:t>
      </w:r>
      <w:r w:rsidR="0034331E" w:rsidRPr="00F0055D">
        <w:rPr>
          <w:lang w:val="en-US"/>
        </w:rPr>
        <w:t>at</w:t>
      </w:r>
      <w:r w:rsidRPr="00F0055D">
        <w:rPr>
          <w:lang w:val="en-US"/>
        </w:rPr>
        <w:t xml:space="preserve"> Vilnius Psychoneurological Centre recommend</w:t>
      </w:r>
      <w:r w:rsidR="0034331E" w:rsidRPr="00F0055D">
        <w:rPr>
          <w:lang w:val="en-US"/>
        </w:rPr>
        <w:t xml:space="preserve"> that no</w:t>
      </w:r>
      <w:r w:rsidRPr="00F0055D">
        <w:rPr>
          <w:lang w:val="en-US"/>
        </w:rPr>
        <w:t xml:space="preserve"> investigati</w:t>
      </w:r>
      <w:r w:rsidR="0034331E" w:rsidRPr="00F0055D">
        <w:rPr>
          <w:lang w:val="en-US"/>
        </w:rPr>
        <w:t>ve</w:t>
      </w:r>
      <w:r w:rsidRPr="00F0055D">
        <w:rPr>
          <w:lang w:val="en-US"/>
        </w:rPr>
        <w:t xml:space="preserve"> actions</w:t>
      </w:r>
      <w:r w:rsidR="0034331E" w:rsidRPr="00F0055D">
        <w:rPr>
          <w:lang w:val="en-US"/>
        </w:rPr>
        <w:t xml:space="preserve"> be conducted with</w:t>
      </w:r>
      <w:r w:rsidRPr="00F0055D">
        <w:rPr>
          <w:lang w:val="en-US"/>
        </w:rPr>
        <w:t xml:space="preserve"> him at the material time</w:t>
      </w:r>
      <w:r w:rsidR="00106B1F" w:rsidRPr="00F0055D">
        <w:rPr>
          <w:lang w:val="en-US"/>
        </w:rPr>
        <w:t>,</w:t>
      </w:r>
      <w:r w:rsidRPr="00F0055D">
        <w:rPr>
          <w:lang w:val="en-US"/>
        </w:rPr>
        <w:t xml:space="preserve"> due to his health condition.</w:t>
      </w:r>
    </w:p>
    <w:p w:rsidR="00AC35A2" w:rsidRPr="00F0055D" w:rsidRDefault="00AC35A2" w:rsidP="0033414E">
      <w:pPr>
        <w:pStyle w:val="SingleTxtG"/>
        <w:rPr>
          <w:lang w:val="en-US"/>
        </w:rPr>
      </w:pPr>
      <w:r w:rsidRPr="00F0055D">
        <w:rPr>
          <w:lang w:val="en-US"/>
        </w:rPr>
        <w:t>5.7</w:t>
      </w:r>
      <w:r w:rsidR="005C4ED3" w:rsidRPr="00F0055D">
        <w:rPr>
          <w:lang w:val="en-US"/>
        </w:rPr>
        <w:tab/>
      </w:r>
      <w:r w:rsidRPr="00F0055D">
        <w:rPr>
          <w:lang w:val="en-US"/>
        </w:rPr>
        <w:t>He further submits that the fact that he never admitted his guilt does not contradict his claim under article 14</w:t>
      </w:r>
      <w:r w:rsidR="00106B1F" w:rsidRPr="00F0055D">
        <w:rPr>
          <w:lang w:val="en-US"/>
        </w:rPr>
        <w:t>, paragraph</w:t>
      </w:r>
      <w:r w:rsidRPr="00F0055D">
        <w:rPr>
          <w:lang w:val="en-US"/>
        </w:rPr>
        <w:t xml:space="preserve"> 3 (g), as his arrest and unlawful interrogations wh</w:t>
      </w:r>
      <w:r w:rsidR="00106B1F" w:rsidRPr="00F0055D">
        <w:rPr>
          <w:lang w:val="en-US"/>
        </w:rPr>
        <w:t>ile</w:t>
      </w:r>
      <w:r w:rsidRPr="00F0055D">
        <w:rPr>
          <w:lang w:val="en-US"/>
        </w:rPr>
        <w:t xml:space="preserve"> hospitali</w:t>
      </w:r>
      <w:r w:rsidR="00106B1F" w:rsidRPr="00F0055D">
        <w:rPr>
          <w:lang w:val="en-US"/>
        </w:rPr>
        <w:t>z</w:t>
      </w:r>
      <w:r w:rsidRPr="00F0055D">
        <w:rPr>
          <w:lang w:val="en-US"/>
        </w:rPr>
        <w:t xml:space="preserve">ed </w:t>
      </w:r>
      <w:r w:rsidR="00106B1F" w:rsidRPr="00F0055D">
        <w:rPr>
          <w:lang w:val="en-US"/>
        </w:rPr>
        <w:t xml:space="preserve">and </w:t>
      </w:r>
      <w:r w:rsidRPr="00F0055D">
        <w:rPr>
          <w:lang w:val="en-US"/>
        </w:rPr>
        <w:t>in the absence</w:t>
      </w:r>
      <w:r w:rsidR="00106B1F" w:rsidRPr="00F0055D">
        <w:rPr>
          <w:lang w:val="en-US"/>
        </w:rPr>
        <w:t xml:space="preserve"> of a lawyer were</w:t>
      </w:r>
      <w:r w:rsidRPr="00F0055D">
        <w:rPr>
          <w:lang w:val="en-US"/>
        </w:rPr>
        <w:t xml:space="preserve"> aimed at forcing him to confess guilt </w:t>
      </w:r>
      <w:r w:rsidR="00106B1F" w:rsidRPr="00F0055D">
        <w:rPr>
          <w:lang w:val="en-US"/>
        </w:rPr>
        <w:t>for</w:t>
      </w:r>
      <w:r w:rsidRPr="00F0055D">
        <w:rPr>
          <w:lang w:val="en-US"/>
        </w:rPr>
        <w:t xml:space="preserve"> crimes he never committed.</w:t>
      </w:r>
      <w:r w:rsidR="005C4ED3" w:rsidRPr="00F0055D">
        <w:rPr>
          <w:lang w:val="en-US"/>
        </w:rPr>
        <w:t xml:space="preserve"> </w:t>
      </w:r>
    </w:p>
    <w:p w:rsidR="00AC35A2" w:rsidRPr="00F0055D" w:rsidRDefault="00AC35A2" w:rsidP="0033414E">
      <w:pPr>
        <w:pStyle w:val="SingleTxtG"/>
        <w:rPr>
          <w:lang w:val="en-US"/>
        </w:rPr>
      </w:pPr>
      <w:r w:rsidRPr="00F0055D">
        <w:rPr>
          <w:lang w:val="en-US"/>
        </w:rPr>
        <w:t>5.8</w:t>
      </w:r>
      <w:r w:rsidR="005C4ED3" w:rsidRPr="00F0055D">
        <w:rPr>
          <w:lang w:val="en-US"/>
        </w:rPr>
        <w:tab/>
      </w:r>
      <w:r w:rsidRPr="00F0055D">
        <w:rPr>
          <w:lang w:val="en-US"/>
        </w:rPr>
        <w:t xml:space="preserve">On 15 March 2010, he reiterated his claims and added, in particular, that in violation of article 14, paragraph 3 (b), of the Covenant, he did not have enough time and opportunity to prepare his defence, as he was denied the right to get acquainted with the </w:t>
      </w:r>
      <w:r w:rsidR="00106B1F" w:rsidRPr="00F0055D">
        <w:rPr>
          <w:lang w:val="en-US"/>
        </w:rPr>
        <w:t xml:space="preserve">content of the </w:t>
      </w:r>
      <w:r w:rsidRPr="00F0055D">
        <w:rPr>
          <w:lang w:val="en-US"/>
        </w:rPr>
        <w:t>criminal case during the pretrial investigation (e.g., related to questioning of several witnesses</w:t>
      </w:r>
      <w:r w:rsidR="00106B1F" w:rsidRPr="00F0055D">
        <w:rPr>
          <w:lang w:val="en-US"/>
        </w:rPr>
        <w:t>,</w:t>
      </w:r>
      <w:r w:rsidRPr="00F0055D">
        <w:rPr>
          <w:lang w:val="en-US"/>
        </w:rPr>
        <w:t xml:space="preserve"> the decision to perform </w:t>
      </w:r>
      <w:r w:rsidR="00106B1F" w:rsidRPr="00F0055D">
        <w:rPr>
          <w:lang w:val="en-US"/>
        </w:rPr>
        <w:t xml:space="preserve">a </w:t>
      </w:r>
      <w:r w:rsidRPr="00F0055D">
        <w:rPr>
          <w:lang w:val="en-US"/>
        </w:rPr>
        <w:t>psychiatric examination</w:t>
      </w:r>
      <w:r w:rsidR="00106B1F" w:rsidRPr="00F0055D">
        <w:rPr>
          <w:lang w:val="en-US"/>
        </w:rPr>
        <w:t>,</w:t>
      </w:r>
      <w:r w:rsidRPr="00F0055D">
        <w:rPr>
          <w:lang w:val="en-US"/>
        </w:rPr>
        <w:t xml:space="preserve"> documents relating to witnesses </w:t>
      </w:r>
      <w:r w:rsidR="00106B1F" w:rsidRPr="00F0055D">
        <w:rPr>
          <w:lang w:val="en-US"/>
        </w:rPr>
        <w:t xml:space="preserve">being </w:t>
      </w:r>
      <w:r w:rsidRPr="00F0055D">
        <w:rPr>
          <w:lang w:val="en-US"/>
        </w:rPr>
        <w:t xml:space="preserve">granted anonymity), or to adduce materials </w:t>
      </w:r>
      <w:r w:rsidR="00106B1F" w:rsidRPr="00F0055D">
        <w:rPr>
          <w:lang w:val="en-US"/>
        </w:rPr>
        <w:t xml:space="preserve">either </w:t>
      </w:r>
      <w:r w:rsidRPr="00F0055D">
        <w:rPr>
          <w:lang w:val="en-US"/>
        </w:rPr>
        <w:t xml:space="preserve">during the pretrial investigation or during the trial. </w:t>
      </w:r>
    </w:p>
    <w:p w:rsidR="00AC35A2" w:rsidRPr="00F0055D" w:rsidRDefault="00AC35A2" w:rsidP="0033414E">
      <w:pPr>
        <w:pStyle w:val="SingleTxtG"/>
        <w:rPr>
          <w:lang w:val="en-US"/>
        </w:rPr>
      </w:pPr>
      <w:r w:rsidRPr="00F0055D">
        <w:rPr>
          <w:lang w:val="en-US"/>
        </w:rPr>
        <w:t>5.</w:t>
      </w:r>
      <w:r w:rsidRPr="00F0055D" w:rsidDel="0015571B">
        <w:rPr>
          <w:lang w:val="en-US"/>
        </w:rPr>
        <w:t xml:space="preserve"> </w:t>
      </w:r>
      <w:r w:rsidRPr="00F0055D">
        <w:rPr>
          <w:lang w:val="en-US"/>
        </w:rPr>
        <w:t>9</w:t>
      </w:r>
      <w:r w:rsidR="005C4ED3" w:rsidRPr="00F0055D">
        <w:rPr>
          <w:lang w:val="en-US"/>
        </w:rPr>
        <w:tab/>
      </w:r>
      <w:r w:rsidRPr="00F0055D">
        <w:rPr>
          <w:lang w:val="en-US"/>
        </w:rPr>
        <w:t xml:space="preserve">On 24 August 2005, his lawyer asked the prosecutor to </w:t>
      </w:r>
      <w:r w:rsidR="00696724" w:rsidRPr="00F0055D">
        <w:rPr>
          <w:lang w:val="en-US"/>
        </w:rPr>
        <w:t xml:space="preserve">allow him to </w:t>
      </w:r>
      <w:r w:rsidRPr="00F0055D">
        <w:rPr>
          <w:lang w:val="en-US"/>
        </w:rPr>
        <w:t>acquainted</w:t>
      </w:r>
      <w:r w:rsidR="00696724" w:rsidRPr="00F0055D">
        <w:rPr>
          <w:lang w:val="en-US"/>
        </w:rPr>
        <w:t xml:space="preserve"> himself</w:t>
      </w:r>
      <w:r w:rsidRPr="00F0055D">
        <w:rPr>
          <w:lang w:val="en-US"/>
        </w:rPr>
        <w:t xml:space="preserve"> with author’s criminal case file</w:t>
      </w:r>
      <w:r w:rsidR="00696724" w:rsidRPr="00F0055D">
        <w:rPr>
          <w:lang w:val="en-US"/>
        </w:rPr>
        <w:t xml:space="preserve">; </w:t>
      </w:r>
      <w:r w:rsidRPr="00F0055D">
        <w:rPr>
          <w:lang w:val="en-US"/>
        </w:rPr>
        <w:t xml:space="preserve">the request was rejected on 25 August 2005. The </w:t>
      </w:r>
      <w:r w:rsidR="00696724" w:rsidRPr="00F0055D">
        <w:rPr>
          <w:lang w:val="en-US"/>
        </w:rPr>
        <w:t xml:space="preserve">lawyer </w:t>
      </w:r>
      <w:r w:rsidRPr="00F0055D">
        <w:rPr>
          <w:lang w:val="en-US"/>
        </w:rPr>
        <w:t>appealed</w:t>
      </w:r>
      <w:r w:rsidR="00696724" w:rsidRPr="00F0055D">
        <w:rPr>
          <w:lang w:val="en-US"/>
        </w:rPr>
        <w:t xml:space="preserve"> the refusal, but</w:t>
      </w:r>
      <w:r w:rsidRPr="00F0055D">
        <w:rPr>
          <w:lang w:val="en-US"/>
        </w:rPr>
        <w:t xml:space="preserve"> on 16 September 2005, the Vilnius Second District Court quashed it, </w:t>
      </w:r>
      <w:r w:rsidR="00696724" w:rsidRPr="00F0055D">
        <w:rPr>
          <w:lang w:val="en-US"/>
        </w:rPr>
        <w:t>stating</w:t>
      </w:r>
      <w:r w:rsidRPr="00F0055D">
        <w:rPr>
          <w:lang w:val="en-US"/>
        </w:rPr>
        <w:t xml:space="preserve"> that only in exceptional situations</w:t>
      </w:r>
      <w:r w:rsidR="00F0055D">
        <w:rPr>
          <w:lang w:val="en-US"/>
        </w:rPr>
        <w:t>,</w:t>
      </w:r>
      <w:r w:rsidRPr="00F0055D">
        <w:rPr>
          <w:lang w:val="en-US"/>
        </w:rPr>
        <w:t xml:space="preserve"> a suspect and his defence</w:t>
      </w:r>
      <w:r w:rsidR="00696724" w:rsidRPr="00F0055D">
        <w:rPr>
          <w:lang w:val="en-US"/>
        </w:rPr>
        <w:t xml:space="preserve"> lawyer</w:t>
      </w:r>
      <w:r w:rsidRPr="00F0055D">
        <w:rPr>
          <w:lang w:val="en-US"/>
        </w:rPr>
        <w:t xml:space="preserve"> may be refused</w:t>
      </w:r>
      <w:r w:rsidR="00696724" w:rsidRPr="00F0055D">
        <w:rPr>
          <w:lang w:val="en-US"/>
        </w:rPr>
        <w:t xml:space="preserve"> permission</w:t>
      </w:r>
      <w:r w:rsidRPr="00F0055D">
        <w:rPr>
          <w:lang w:val="en-US"/>
        </w:rPr>
        <w:t xml:space="preserve"> to </w:t>
      </w:r>
      <w:r w:rsidR="00696724" w:rsidRPr="00F0055D">
        <w:rPr>
          <w:lang w:val="en-US"/>
        </w:rPr>
        <w:t>become</w:t>
      </w:r>
      <w:r w:rsidRPr="00F0055D">
        <w:rPr>
          <w:lang w:val="en-US"/>
        </w:rPr>
        <w:t xml:space="preserve"> acquainted with case file materials. On 6 October 2005, </w:t>
      </w:r>
      <w:r w:rsidR="002F3BAE" w:rsidRPr="00F0055D">
        <w:rPr>
          <w:lang w:val="en-US"/>
        </w:rPr>
        <w:t>the prosecutor</w:t>
      </w:r>
      <w:r w:rsidRPr="00F0055D">
        <w:rPr>
          <w:lang w:val="en-US"/>
        </w:rPr>
        <w:t xml:space="preserve"> permitted </w:t>
      </w:r>
      <w:r w:rsidR="00172E0A" w:rsidRPr="00F0055D">
        <w:rPr>
          <w:lang w:val="en-US"/>
        </w:rPr>
        <w:t xml:space="preserve">the lawyer </w:t>
      </w:r>
      <w:r w:rsidRPr="00F0055D">
        <w:rPr>
          <w:lang w:val="en-US"/>
        </w:rPr>
        <w:t>to acquaint</w:t>
      </w:r>
      <w:r w:rsidR="00172E0A" w:rsidRPr="00F0055D">
        <w:rPr>
          <w:lang w:val="en-US"/>
        </w:rPr>
        <w:t xml:space="preserve"> himself</w:t>
      </w:r>
      <w:r w:rsidRPr="00F0055D">
        <w:rPr>
          <w:lang w:val="en-US"/>
        </w:rPr>
        <w:t xml:space="preserve"> with case materials not related to the information</w:t>
      </w:r>
      <w:r w:rsidR="00311830" w:rsidRPr="00F0055D">
        <w:rPr>
          <w:lang w:val="en-US"/>
        </w:rPr>
        <w:t>-</w:t>
      </w:r>
      <w:r w:rsidRPr="00F0055D">
        <w:rPr>
          <w:lang w:val="en-US"/>
        </w:rPr>
        <w:t>gathering process. On 10 October 2005, the author’s lawyer appealed th</w:t>
      </w:r>
      <w:r w:rsidR="00172E0A" w:rsidRPr="00F0055D">
        <w:rPr>
          <w:lang w:val="en-US"/>
        </w:rPr>
        <w:t>at</w:t>
      </w:r>
      <w:r w:rsidRPr="00F0055D">
        <w:rPr>
          <w:lang w:val="en-US"/>
        </w:rPr>
        <w:t xml:space="preserve"> decision; however</w:t>
      </w:r>
      <w:r w:rsidR="00172E0A" w:rsidRPr="00F0055D">
        <w:rPr>
          <w:lang w:val="en-US"/>
        </w:rPr>
        <w:t>,</w:t>
      </w:r>
      <w:r w:rsidRPr="00F0055D">
        <w:rPr>
          <w:lang w:val="en-US"/>
        </w:rPr>
        <w:t xml:space="preserve"> the court dismissed </w:t>
      </w:r>
      <w:r w:rsidR="00172E0A" w:rsidRPr="00F0055D">
        <w:rPr>
          <w:lang w:val="en-US"/>
        </w:rPr>
        <w:t>the appeal</w:t>
      </w:r>
      <w:r w:rsidRPr="00F0055D">
        <w:rPr>
          <w:lang w:val="en-US"/>
        </w:rPr>
        <w:t xml:space="preserve"> on 12 October 2005, </w:t>
      </w:r>
      <w:r w:rsidR="00172E0A" w:rsidRPr="00F0055D">
        <w:rPr>
          <w:lang w:val="en-US"/>
        </w:rPr>
        <w:t>stating that</w:t>
      </w:r>
      <w:r w:rsidRPr="00F0055D">
        <w:rPr>
          <w:lang w:val="en-US"/>
        </w:rPr>
        <w:t xml:space="preserve"> pretrial operational work was still ongoing and details could not be disclosed. The author </w:t>
      </w:r>
      <w:r w:rsidR="00172E0A" w:rsidRPr="00F0055D">
        <w:rPr>
          <w:lang w:val="en-US"/>
        </w:rPr>
        <w:t xml:space="preserve">was permitted to </w:t>
      </w:r>
      <w:r w:rsidRPr="00F0055D">
        <w:rPr>
          <w:lang w:val="en-US"/>
        </w:rPr>
        <w:t>acquaint</w:t>
      </w:r>
      <w:r w:rsidR="00172E0A" w:rsidRPr="00F0055D">
        <w:rPr>
          <w:lang w:val="en-US"/>
        </w:rPr>
        <w:t xml:space="preserve"> himself</w:t>
      </w:r>
      <w:r w:rsidRPr="00F0055D">
        <w:rPr>
          <w:lang w:val="en-US"/>
        </w:rPr>
        <w:t xml:space="preserve"> with the case file materials as allowed on 3 November 2005. He notes that the requests to </w:t>
      </w:r>
      <w:r w:rsidR="00172E0A" w:rsidRPr="00F0055D">
        <w:rPr>
          <w:lang w:val="en-US"/>
        </w:rPr>
        <w:t>become</w:t>
      </w:r>
      <w:r w:rsidRPr="00F0055D">
        <w:rPr>
          <w:lang w:val="en-US"/>
        </w:rPr>
        <w:t xml:space="preserve"> acquainted with particular materials of the pretrial investigation were rejected by the Prosecutor’s Office and the courts on 6 December 2005, 25 January 2006, 10 and 14 July</w:t>
      </w:r>
      <w:r w:rsidR="00172E0A" w:rsidRPr="00F0055D">
        <w:rPr>
          <w:lang w:val="en-US"/>
        </w:rPr>
        <w:t xml:space="preserve"> 2006</w:t>
      </w:r>
      <w:r w:rsidRPr="00F0055D">
        <w:rPr>
          <w:lang w:val="en-US"/>
        </w:rPr>
        <w:t>, 11 and 23 August</w:t>
      </w:r>
      <w:r w:rsidR="00172E0A" w:rsidRPr="00F0055D">
        <w:rPr>
          <w:lang w:val="en-US"/>
        </w:rPr>
        <w:t xml:space="preserve"> 2006</w:t>
      </w:r>
      <w:r w:rsidRPr="00F0055D">
        <w:rPr>
          <w:lang w:val="en-US"/>
        </w:rPr>
        <w:t>, 7 September</w:t>
      </w:r>
      <w:r w:rsidR="00172E0A" w:rsidRPr="00F0055D">
        <w:rPr>
          <w:lang w:val="en-US"/>
        </w:rPr>
        <w:t xml:space="preserve"> 2006</w:t>
      </w:r>
      <w:r w:rsidRPr="00F0055D">
        <w:rPr>
          <w:lang w:val="en-US"/>
        </w:rPr>
        <w:t>, 6 October</w:t>
      </w:r>
      <w:r w:rsidR="00172E0A" w:rsidRPr="00F0055D">
        <w:rPr>
          <w:lang w:val="en-US"/>
        </w:rPr>
        <w:t xml:space="preserve"> 2006</w:t>
      </w:r>
      <w:r w:rsidRPr="00F0055D">
        <w:rPr>
          <w:lang w:val="en-US"/>
        </w:rPr>
        <w:t>, 16 October</w:t>
      </w:r>
      <w:r w:rsidR="00172E0A" w:rsidRPr="00F0055D">
        <w:rPr>
          <w:lang w:val="en-US"/>
        </w:rPr>
        <w:t xml:space="preserve"> 2006</w:t>
      </w:r>
      <w:r w:rsidRPr="00F0055D">
        <w:rPr>
          <w:lang w:val="en-US"/>
        </w:rPr>
        <w:t>, 20 October</w:t>
      </w:r>
      <w:r w:rsidR="00172E0A" w:rsidRPr="00F0055D">
        <w:rPr>
          <w:lang w:val="en-US"/>
        </w:rPr>
        <w:t xml:space="preserve"> 2006</w:t>
      </w:r>
      <w:r w:rsidRPr="00F0055D">
        <w:rPr>
          <w:lang w:val="en-US"/>
        </w:rPr>
        <w:t>, 25 October</w:t>
      </w:r>
      <w:r w:rsidR="00172E0A" w:rsidRPr="00F0055D">
        <w:rPr>
          <w:lang w:val="en-US"/>
        </w:rPr>
        <w:t xml:space="preserve"> 2006</w:t>
      </w:r>
      <w:r w:rsidRPr="00F0055D">
        <w:rPr>
          <w:lang w:val="en-US"/>
        </w:rPr>
        <w:t>, 27 November 2006, 9 January</w:t>
      </w:r>
      <w:r w:rsidR="00172E0A" w:rsidRPr="00F0055D">
        <w:rPr>
          <w:lang w:val="en-US"/>
        </w:rPr>
        <w:t xml:space="preserve"> 2007</w:t>
      </w:r>
      <w:r w:rsidRPr="00F0055D">
        <w:rPr>
          <w:lang w:val="en-US"/>
        </w:rPr>
        <w:t>, 22 and 23 January</w:t>
      </w:r>
      <w:r w:rsidR="00172E0A" w:rsidRPr="00F0055D">
        <w:rPr>
          <w:lang w:val="en-US"/>
        </w:rPr>
        <w:t xml:space="preserve"> 2007</w:t>
      </w:r>
      <w:r w:rsidRPr="00F0055D">
        <w:rPr>
          <w:lang w:val="en-US"/>
        </w:rPr>
        <w:t>, 5 and 19 March</w:t>
      </w:r>
      <w:r w:rsidR="00172E0A" w:rsidRPr="00F0055D">
        <w:rPr>
          <w:lang w:val="en-US"/>
        </w:rPr>
        <w:t xml:space="preserve"> 2007</w:t>
      </w:r>
      <w:r w:rsidRPr="00F0055D">
        <w:rPr>
          <w:lang w:val="en-US"/>
        </w:rPr>
        <w:t xml:space="preserve">, 7 June 2007. On nine occasions the courts ordered the Prosecutor’s Office to review its refusals to give access to different materials, </w:t>
      </w:r>
      <w:r w:rsidR="00172E0A" w:rsidRPr="00F0055D">
        <w:rPr>
          <w:lang w:val="en-US"/>
        </w:rPr>
        <w:t xml:space="preserve">all of which </w:t>
      </w:r>
      <w:r w:rsidRPr="00F0055D">
        <w:rPr>
          <w:lang w:val="en-US"/>
        </w:rPr>
        <w:t>were ignored.</w:t>
      </w:r>
    </w:p>
    <w:p w:rsidR="00AC35A2" w:rsidRPr="00F0055D" w:rsidRDefault="00AC35A2" w:rsidP="0033414E">
      <w:pPr>
        <w:pStyle w:val="SingleTxtG"/>
        <w:rPr>
          <w:lang w:val="en-US"/>
        </w:rPr>
      </w:pPr>
      <w:r w:rsidRPr="00F0055D">
        <w:rPr>
          <w:lang w:val="en-US"/>
        </w:rPr>
        <w:t>5.10</w:t>
      </w:r>
      <w:r w:rsidR="005C4ED3" w:rsidRPr="00F0055D">
        <w:rPr>
          <w:lang w:val="en-US"/>
        </w:rPr>
        <w:tab/>
      </w:r>
      <w:r w:rsidRPr="00F0055D">
        <w:rPr>
          <w:lang w:val="en-US"/>
        </w:rPr>
        <w:t xml:space="preserve">On 31 March 2008, the author was informed that the pretrial investigation </w:t>
      </w:r>
      <w:r w:rsidR="00484862" w:rsidRPr="00F0055D">
        <w:rPr>
          <w:lang w:val="en-US"/>
        </w:rPr>
        <w:t>was</w:t>
      </w:r>
      <w:r w:rsidRPr="00F0055D">
        <w:rPr>
          <w:lang w:val="en-US"/>
        </w:rPr>
        <w:t xml:space="preserve"> finished and that he c</w:t>
      </w:r>
      <w:r w:rsidR="00484862" w:rsidRPr="00F0055D">
        <w:rPr>
          <w:lang w:val="en-US"/>
        </w:rPr>
        <w:t>ould</w:t>
      </w:r>
      <w:r w:rsidRPr="00F0055D">
        <w:rPr>
          <w:lang w:val="en-US"/>
        </w:rPr>
        <w:t xml:space="preserve"> acquaint</w:t>
      </w:r>
      <w:r w:rsidR="00484862" w:rsidRPr="00F0055D">
        <w:rPr>
          <w:lang w:val="en-US"/>
        </w:rPr>
        <w:t xml:space="preserve"> himself</w:t>
      </w:r>
      <w:r w:rsidRPr="00F0055D">
        <w:rPr>
          <w:lang w:val="en-US"/>
        </w:rPr>
        <w:t xml:space="preserve"> with all the case materials. On 15 May 2008, he informed the prosecutor that </w:t>
      </w:r>
      <w:r w:rsidR="00484862" w:rsidRPr="00F0055D">
        <w:rPr>
          <w:lang w:val="en-US"/>
        </w:rPr>
        <w:t xml:space="preserve">the </w:t>
      </w:r>
      <w:r w:rsidRPr="00F0055D">
        <w:rPr>
          <w:lang w:val="en-US"/>
        </w:rPr>
        <w:t xml:space="preserve">prohibition to leave Palanga </w:t>
      </w:r>
      <w:r w:rsidR="00484862" w:rsidRPr="00F0055D">
        <w:rPr>
          <w:lang w:val="en-US"/>
        </w:rPr>
        <w:t>had been</w:t>
      </w:r>
      <w:r w:rsidRPr="00F0055D">
        <w:rPr>
          <w:lang w:val="en-US"/>
        </w:rPr>
        <w:t xml:space="preserve"> imposed on him since 13 September 2005 and th</w:t>
      </w:r>
      <w:r w:rsidR="00484862" w:rsidRPr="00F0055D">
        <w:rPr>
          <w:lang w:val="en-US"/>
        </w:rPr>
        <w:t>erefore</w:t>
      </w:r>
      <w:r w:rsidRPr="00F0055D">
        <w:rPr>
          <w:lang w:val="en-US"/>
        </w:rPr>
        <w:t xml:space="preserve"> he could not go to </w:t>
      </w:r>
      <w:smartTag w:uri="urn:schemas-microsoft-com:office:smarttags" w:element="place">
        <w:smartTag w:uri="urn:schemas-microsoft-com:office:smarttags" w:element="City">
          <w:r w:rsidRPr="00F0055D">
            <w:rPr>
              <w:lang w:val="en-US"/>
            </w:rPr>
            <w:t>Vilnius</w:t>
          </w:r>
        </w:smartTag>
      </w:smartTag>
      <w:r w:rsidRPr="00F0055D">
        <w:rPr>
          <w:lang w:val="en-US"/>
        </w:rPr>
        <w:t xml:space="preserve"> to familiari</w:t>
      </w:r>
      <w:r w:rsidR="00484862" w:rsidRPr="00F0055D">
        <w:rPr>
          <w:lang w:val="en-US"/>
        </w:rPr>
        <w:t>z</w:t>
      </w:r>
      <w:r w:rsidRPr="00F0055D">
        <w:rPr>
          <w:lang w:val="en-US"/>
        </w:rPr>
        <w:t xml:space="preserve">e himself with the materials. On the same day, he was informed by the </w:t>
      </w:r>
      <w:r w:rsidR="00484862" w:rsidRPr="00F0055D">
        <w:rPr>
          <w:lang w:val="en-US"/>
        </w:rPr>
        <w:t>Fourth</w:t>
      </w:r>
      <w:r w:rsidRPr="00F0055D">
        <w:rPr>
          <w:lang w:val="en-US"/>
        </w:rPr>
        <w:t xml:space="preserve"> Organized Crime Investigation Service of the Criminal Police Bureau that cop</w:t>
      </w:r>
      <w:r w:rsidR="00484862" w:rsidRPr="00F0055D">
        <w:rPr>
          <w:lang w:val="en-US"/>
        </w:rPr>
        <w:t>ies</w:t>
      </w:r>
      <w:r w:rsidRPr="00F0055D">
        <w:rPr>
          <w:lang w:val="en-US"/>
        </w:rPr>
        <w:t xml:space="preserve"> of the pretrial investigation materials would be ready for his attention by 23 May 2008. On 22 May 2008, the author requested the prosecutor to allow hi</w:t>
      </w:r>
      <w:r w:rsidR="00484862" w:rsidRPr="00F0055D">
        <w:rPr>
          <w:lang w:val="en-US"/>
        </w:rPr>
        <w:t>m to</w:t>
      </w:r>
      <w:r w:rsidRPr="00F0055D">
        <w:rPr>
          <w:lang w:val="en-US"/>
        </w:rPr>
        <w:t xml:space="preserve"> travel to </w:t>
      </w:r>
      <w:smartTag w:uri="urn:schemas-microsoft-com:office:smarttags" w:element="place">
        <w:smartTag w:uri="urn:schemas-microsoft-com:office:smarttags" w:element="City">
          <w:r w:rsidRPr="00F0055D">
            <w:rPr>
              <w:lang w:val="en-US"/>
            </w:rPr>
            <w:t>Vilnius</w:t>
          </w:r>
        </w:smartTag>
      </w:smartTag>
      <w:r w:rsidRPr="00F0055D">
        <w:rPr>
          <w:lang w:val="en-US"/>
        </w:rPr>
        <w:t xml:space="preserve"> </w:t>
      </w:r>
      <w:r w:rsidR="00484862" w:rsidRPr="00F0055D">
        <w:rPr>
          <w:lang w:val="en-US"/>
        </w:rPr>
        <w:t xml:space="preserve">to </w:t>
      </w:r>
      <w:r w:rsidRPr="00F0055D">
        <w:rPr>
          <w:lang w:val="en-US"/>
        </w:rPr>
        <w:t>consult the case file, as at that time</w:t>
      </w:r>
      <w:r w:rsidR="00484862" w:rsidRPr="00F0055D">
        <w:rPr>
          <w:lang w:val="en-US"/>
        </w:rPr>
        <w:t>,</w:t>
      </w:r>
      <w:r w:rsidRPr="00F0055D">
        <w:rPr>
          <w:lang w:val="en-US"/>
        </w:rPr>
        <w:t xml:space="preserve"> he was receiving treatment in a hospital and the request to send the criminal case file materials to his defence lawyers </w:t>
      </w:r>
      <w:r w:rsidR="00484862" w:rsidRPr="00F0055D">
        <w:rPr>
          <w:lang w:val="en-US"/>
        </w:rPr>
        <w:t>had been</w:t>
      </w:r>
      <w:r w:rsidRPr="00F0055D">
        <w:rPr>
          <w:lang w:val="en-US"/>
        </w:rPr>
        <w:t xml:space="preserve"> denied.</w:t>
      </w:r>
    </w:p>
    <w:p w:rsidR="00AC35A2" w:rsidRPr="00F0055D" w:rsidRDefault="00AC35A2" w:rsidP="0033414E">
      <w:pPr>
        <w:pStyle w:val="SingleTxtG"/>
        <w:rPr>
          <w:lang w:val="en-US"/>
        </w:rPr>
      </w:pPr>
      <w:r w:rsidRPr="00F0055D">
        <w:rPr>
          <w:lang w:val="en-US"/>
        </w:rPr>
        <w:t>5.11</w:t>
      </w:r>
      <w:r w:rsidR="005C4ED3" w:rsidRPr="00F0055D">
        <w:rPr>
          <w:lang w:val="en-US"/>
        </w:rPr>
        <w:tab/>
      </w:r>
      <w:r w:rsidRPr="00F0055D">
        <w:rPr>
          <w:lang w:val="en-US"/>
        </w:rPr>
        <w:t>The author further submits that</w:t>
      </w:r>
      <w:r w:rsidR="00484862" w:rsidRPr="00F0055D">
        <w:rPr>
          <w:lang w:val="en-US"/>
        </w:rPr>
        <w:t>,</w:t>
      </w:r>
      <w:r w:rsidRPr="00F0055D">
        <w:rPr>
          <w:lang w:val="en-US"/>
        </w:rPr>
        <w:t xml:space="preserve"> after the completion of the pretrial investigation, his</w:t>
      </w:r>
      <w:r w:rsidR="007F170C" w:rsidRPr="00F0055D">
        <w:rPr>
          <w:lang w:val="en-US"/>
        </w:rPr>
        <w:t xml:space="preserve"> and/or </w:t>
      </w:r>
      <w:r w:rsidRPr="00F0055D">
        <w:rPr>
          <w:lang w:val="en-US"/>
        </w:rPr>
        <w:t xml:space="preserve">his defence lawyers’ requests to adduce additional documents </w:t>
      </w:r>
      <w:r w:rsidR="00484862" w:rsidRPr="00F0055D">
        <w:rPr>
          <w:lang w:val="en-US"/>
        </w:rPr>
        <w:t>were</w:t>
      </w:r>
      <w:r w:rsidRPr="00F0055D">
        <w:rPr>
          <w:lang w:val="en-US"/>
        </w:rPr>
        <w:t xml:space="preserve"> not examined</w:t>
      </w:r>
      <w:r w:rsidR="00484862" w:rsidRPr="00F0055D">
        <w:rPr>
          <w:lang w:val="en-US"/>
        </w:rPr>
        <w:t xml:space="preserve"> in a timely manner</w:t>
      </w:r>
      <w:r w:rsidRPr="00F0055D">
        <w:rPr>
          <w:lang w:val="en-US"/>
        </w:rPr>
        <w:t>. Consequently, the author allege</w:t>
      </w:r>
      <w:r w:rsidR="00484862" w:rsidRPr="00F0055D">
        <w:rPr>
          <w:lang w:val="en-US"/>
        </w:rPr>
        <w:t>s</w:t>
      </w:r>
      <w:r w:rsidRPr="00F0055D">
        <w:rPr>
          <w:lang w:val="en-US"/>
        </w:rPr>
        <w:t xml:space="preserve"> that he was </w:t>
      </w:r>
      <w:r w:rsidR="00484862" w:rsidRPr="00F0055D">
        <w:rPr>
          <w:lang w:val="en-US"/>
        </w:rPr>
        <w:t>“</w:t>
      </w:r>
      <w:r w:rsidRPr="00F0055D">
        <w:rPr>
          <w:lang w:val="en-US"/>
        </w:rPr>
        <w:t>deprived of the right</w:t>
      </w:r>
      <w:r w:rsidR="00484862" w:rsidRPr="00F0055D">
        <w:rPr>
          <w:lang w:val="en-US"/>
        </w:rPr>
        <w:t>”</w:t>
      </w:r>
      <w:r w:rsidRPr="00F0055D">
        <w:rPr>
          <w:lang w:val="en-US"/>
        </w:rPr>
        <w:t xml:space="preserve"> to appeal the pretrial prosecutor’s decision to a higher prosecutor and, th</w:t>
      </w:r>
      <w:r w:rsidR="00484862" w:rsidRPr="00F0055D">
        <w:rPr>
          <w:lang w:val="en-US"/>
        </w:rPr>
        <w:t>erefore</w:t>
      </w:r>
      <w:r w:rsidRPr="00F0055D">
        <w:rPr>
          <w:lang w:val="en-US"/>
        </w:rPr>
        <w:t xml:space="preserve">, </w:t>
      </w:r>
      <w:r w:rsidR="00484862" w:rsidRPr="00F0055D">
        <w:rPr>
          <w:lang w:val="en-US"/>
        </w:rPr>
        <w:t xml:space="preserve">was unable to </w:t>
      </w:r>
      <w:r w:rsidRPr="00F0055D">
        <w:rPr>
          <w:lang w:val="en-US"/>
        </w:rPr>
        <w:t xml:space="preserve">present his defence evidence by 15 December 2008, when the court trial started. </w:t>
      </w:r>
      <w:r w:rsidR="00484862" w:rsidRPr="00F0055D">
        <w:rPr>
          <w:lang w:val="en-US"/>
        </w:rPr>
        <w:t xml:space="preserve">The author </w:t>
      </w:r>
      <w:r w:rsidRPr="00F0055D">
        <w:rPr>
          <w:lang w:val="en-US"/>
        </w:rPr>
        <w:t xml:space="preserve">also notes that on 15 December 2008, the court dismissed his requests regarding defence evidence. He adds that during the adjudication of the criminal case, neither he nor his lawyers </w:t>
      </w:r>
      <w:r w:rsidR="00484862" w:rsidRPr="00F0055D">
        <w:rPr>
          <w:lang w:val="en-US"/>
        </w:rPr>
        <w:t>were able to become</w:t>
      </w:r>
      <w:r w:rsidRPr="00F0055D">
        <w:rPr>
          <w:lang w:val="en-US"/>
        </w:rPr>
        <w:t xml:space="preserve"> acquainted with the evidence which had been removed from the file, whereas some of his defence evidence was disregarded.</w:t>
      </w:r>
    </w:p>
    <w:p w:rsidR="00AC35A2" w:rsidRPr="00F0055D" w:rsidRDefault="00AC35A2" w:rsidP="0033414E">
      <w:pPr>
        <w:pStyle w:val="SingleTxtG"/>
        <w:rPr>
          <w:lang w:val="en-US"/>
        </w:rPr>
      </w:pPr>
      <w:r w:rsidRPr="00F0055D">
        <w:rPr>
          <w:lang w:val="en-US"/>
        </w:rPr>
        <w:t>5.12</w:t>
      </w:r>
      <w:r w:rsidR="005C4ED3" w:rsidRPr="00F0055D">
        <w:rPr>
          <w:lang w:val="en-US"/>
        </w:rPr>
        <w:tab/>
      </w:r>
      <w:r w:rsidRPr="00F0055D">
        <w:rPr>
          <w:lang w:val="en-US"/>
        </w:rPr>
        <w:t xml:space="preserve">Furthermore, the author claims </w:t>
      </w:r>
      <w:r w:rsidR="00484862" w:rsidRPr="00F0055D">
        <w:rPr>
          <w:lang w:val="en-US"/>
        </w:rPr>
        <w:t>a</w:t>
      </w:r>
      <w:r w:rsidRPr="00F0055D">
        <w:rPr>
          <w:lang w:val="en-US"/>
        </w:rPr>
        <w:t xml:space="preserve"> violation of article 14, paragraph 3 (b), of the Covenant, </w:t>
      </w:r>
      <w:r w:rsidR="00484862" w:rsidRPr="00F0055D">
        <w:rPr>
          <w:lang w:val="en-US"/>
        </w:rPr>
        <w:t xml:space="preserve">stating that </w:t>
      </w:r>
      <w:r w:rsidRPr="00F0055D">
        <w:rPr>
          <w:lang w:val="en-US"/>
        </w:rPr>
        <w:t xml:space="preserve">he was hindered </w:t>
      </w:r>
      <w:r w:rsidR="00484862" w:rsidRPr="00F0055D">
        <w:rPr>
          <w:lang w:val="en-US"/>
        </w:rPr>
        <w:t>in</w:t>
      </w:r>
      <w:r w:rsidRPr="00F0055D">
        <w:rPr>
          <w:lang w:val="en-US"/>
        </w:rPr>
        <w:t xml:space="preserve"> communicat</w:t>
      </w:r>
      <w:r w:rsidR="00484862" w:rsidRPr="00F0055D">
        <w:rPr>
          <w:lang w:val="en-US"/>
        </w:rPr>
        <w:t>ing</w:t>
      </w:r>
      <w:r w:rsidRPr="00F0055D">
        <w:rPr>
          <w:lang w:val="en-US"/>
        </w:rPr>
        <w:t xml:space="preserve"> with his defence lawyers while in custody from 19 May to 9 September 2005. He was not precluded </w:t>
      </w:r>
      <w:r w:rsidR="007B7AAB" w:rsidRPr="00F0055D">
        <w:rPr>
          <w:lang w:val="en-US"/>
        </w:rPr>
        <w:t>from</w:t>
      </w:r>
      <w:r w:rsidRPr="00F0055D">
        <w:rPr>
          <w:lang w:val="en-US"/>
        </w:rPr>
        <w:t xml:space="preserve"> communicat</w:t>
      </w:r>
      <w:r w:rsidR="007B7AAB" w:rsidRPr="00F0055D">
        <w:rPr>
          <w:lang w:val="en-US"/>
        </w:rPr>
        <w:t>ing</w:t>
      </w:r>
      <w:r w:rsidRPr="00F0055D">
        <w:rPr>
          <w:lang w:val="en-US"/>
        </w:rPr>
        <w:t xml:space="preserve"> with his lawyers </w:t>
      </w:r>
      <w:r w:rsidR="007B7AAB" w:rsidRPr="00F0055D">
        <w:rPr>
          <w:lang w:val="en-US"/>
        </w:rPr>
        <w:t xml:space="preserve">who were </w:t>
      </w:r>
      <w:r w:rsidRPr="00F0055D">
        <w:rPr>
          <w:lang w:val="en-US"/>
        </w:rPr>
        <w:t xml:space="preserve">working on his case in </w:t>
      </w:r>
      <w:smartTag w:uri="urn:schemas-microsoft-com:office:smarttags" w:element="place">
        <w:smartTag w:uri="urn:schemas-microsoft-com:office:smarttags" w:element="City">
          <w:r w:rsidRPr="00F0055D">
            <w:rPr>
              <w:lang w:val="en-US"/>
            </w:rPr>
            <w:t>Vilnius</w:t>
          </w:r>
        </w:smartTag>
      </w:smartTag>
      <w:r w:rsidRPr="00F0055D">
        <w:rPr>
          <w:lang w:val="en-US"/>
        </w:rPr>
        <w:t xml:space="preserve">, but he had to </w:t>
      </w:r>
      <w:r w:rsidR="007B7AAB" w:rsidRPr="00F0055D">
        <w:rPr>
          <w:lang w:val="en-US"/>
        </w:rPr>
        <w:t>obtain</w:t>
      </w:r>
      <w:r w:rsidRPr="00F0055D">
        <w:rPr>
          <w:lang w:val="en-US"/>
        </w:rPr>
        <w:t xml:space="preserve"> separate permission for that from a prosecutor. On 1 and 5 December 2005, he requested the prosecutor</w:t>
      </w:r>
      <w:r w:rsidR="00214B63" w:rsidRPr="00F0055D">
        <w:rPr>
          <w:lang w:val="en-US"/>
        </w:rPr>
        <w:t xml:space="preserve"> to</w:t>
      </w:r>
      <w:r w:rsidRPr="00F0055D">
        <w:rPr>
          <w:lang w:val="en-US"/>
        </w:rPr>
        <w:t xml:space="preserve">, inter alia, allow him to meet with his lawyers in </w:t>
      </w:r>
      <w:smartTag w:uri="urn:schemas-microsoft-com:office:smarttags" w:element="place">
        <w:smartTag w:uri="urn:schemas-microsoft-com:office:smarttags" w:element="City">
          <w:r w:rsidRPr="00F0055D">
            <w:rPr>
              <w:lang w:val="en-US"/>
            </w:rPr>
            <w:t>Vilnius</w:t>
          </w:r>
        </w:smartTag>
      </w:smartTag>
      <w:r w:rsidRPr="00F0055D">
        <w:rPr>
          <w:lang w:val="en-US"/>
        </w:rPr>
        <w:t xml:space="preserve"> without specific permission, but on 3 January 2006, his requests were dismissed. On a number of other occasions, he requested </w:t>
      </w:r>
      <w:r w:rsidR="005705FD" w:rsidRPr="00F0055D">
        <w:rPr>
          <w:lang w:val="en-US"/>
        </w:rPr>
        <w:t>the prosecutor</w:t>
      </w:r>
      <w:r w:rsidRPr="00F0055D">
        <w:rPr>
          <w:lang w:val="en-US"/>
        </w:rPr>
        <w:t xml:space="preserve"> to alter his prohibition to leave Palanga, but without success. On 24 April 2009, the </w:t>
      </w:r>
      <w:smartTag w:uri="urn:schemas-microsoft-com:office:smarttags" w:element="Street">
        <w:smartTag w:uri="urn:schemas-microsoft-com:office:smarttags" w:element="address">
          <w:r w:rsidRPr="00F0055D">
            <w:rPr>
              <w:lang w:val="en-US"/>
            </w:rPr>
            <w:t>Vilnius Regional Court</w:t>
          </w:r>
        </w:smartTag>
      </w:smartTag>
      <w:r w:rsidRPr="00F0055D">
        <w:rPr>
          <w:lang w:val="en-US"/>
        </w:rPr>
        <w:t xml:space="preserve"> decided</w:t>
      </w:r>
      <w:r w:rsidR="00214B63" w:rsidRPr="00F0055D">
        <w:rPr>
          <w:lang w:val="en-US"/>
        </w:rPr>
        <w:t xml:space="preserve"> to</w:t>
      </w:r>
      <w:r w:rsidRPr="00F0055D">
        <w:rPr>
          <w:lang w:val="en-US"/>
        </w:rPr>
        <w:t xml:space="preserve">, inter alia, alter his prohibition to leave Palanga without prior written permission. </w:t>
      </w:r>
    </w:p>
    <w:p w:rsidR="00AC35A2" w:rsidRPr="00F0055D" w:rsidRDefault="00AC35A2" w:rsidP="0033414E">
      <w:pPr>
        <w:pStyle w:val="SingleTxtG"/>
        <w:rPr>
          <w:lang w:val="en-US"/>
        </w:rPr>
      </w:pPr>
      <w:r w:rsidRPr="00F0055D">
        <w:rPr>
          <w:lang w:val="en-US"/>
        </w:rPr>
        <w:t>5.13</w:t>
      </w:r>
      <w:r w:rsidR="005C4ED3" w:rsidRPr="00F0055D">
        <w:rPr>
          <w:lang w:val="en-US"/>
        </w:rPr>
        <w:tab/>
      </w:r>
      <w:r w:rsidRPr="00F0055D">
        <w:rPr>
          <w:lang w:val="en-US"/>
        </w:rPr>
        <w:t xml:space="preserve">By letter of 23 June 2010, the author reiterated his previous claims and added that his custody </w:t>
      </w:r>
      <w:r w:rsidR="00214B63" w:rsidRPr="00F0055D">
        <w:rPr>
          <w:lang w:val="en-US"/>
        </w:rPr>
        <w:t>had been</w:t>
      </w:r>
      <w:r w:rsidRPr="00F0055D">
        <w:rPr>
          <w:lang w:val="en-US"/>
        </w:rPr>
        <w:t xml:space="preserve"> unnecessary and that due to his detention, he ha</w:t>
      </w:r>
      <w:r w:rsidR="00214B63" w:rsidRPr="00F0055D">
        <w:rPr>
          <w:lang w:val="en-US"/>
        </w:rPr>
        <w:t>d</w:t>
      </w:r>
      <w:r w:rsidRPr="00F0055D">
        <w:rPr>
          <w:lang w:val="en-US"/>
        </w:rPr>
        <w:t xml:space="preserve"> lost 65</w:t>
      </w:r>
      <w:r w:rsidR="00214B63" w:rsidRPr="00F0055D">
        <w:rPr>
          <w:lang w:val="en-US"/>
        </w:rPr>
        <w:t xml:space="preserve"> per cent</w:t>
      </w:r>
      <w:r w:rsidRPr="00F0055D">
        <w:rPr>
          <w:lang w:val="en-US"/>
        </w:rPr>
        <w:t xml:space="preserve"> of </w:t>
      </w:r>
      <w:r w:rsidR="00214B63" w:rsidRPr="00F0055D">
        <w:rPr>
          <w:lang w:val="en-US"/>
        </w:rPr>
        <w:t xml:space="preserve"> his </w:t>
      </w:r>
      <w:r w:rsidRPr="00F0055D">
        <w:rPr>
          <w:lang w:val="en-US"/>
        </w:rPr>
        <w:t xml:space="preserve">working capacity and </w:t>
      </w:r>
      <w:r w:rsidR="00214B63" w:rsidRPr="00F0055D">
        <w:rPr>
          <w:lang w:val="en-US"/>
        </w:rPr>
        <w:t>was</w:t>
      </w:r>
      <w:r w:rsidRPr="00F0055D">
        <w:rPr>
          <w:lang w:val="en-US"/>
        </w:rPr>
        <w:t xml:space="preserve"> suffering deep depression. As to the State party’s argument that he could have complained about </w:t>
      </w:r>
      <w:r w:rsidR="00214B63" w:rsidRPr="00F0055D">
        <w:rPr>
          <w:lang w:val="en-US"/>
        </w:rPr>
        <w:t xml:space="preserve">the </w:t>
      </w:r>
      <w:r w:rsidRPr="00F0055D">
        <w:rPr>
          <w:lang w:val="en-US"/>
        </w:rPr>
        <w:t xml:space="preserve">allegedly inadequate medical care, he notes that the essence of his claim </w:t>
      </w:r>
      <w:r w:rsidR="00214B63" w:rsidRPr="00F0055D">
        <w:rPr>
          <w:lang w:val="en-US"/>
        </w:rPr>
        <w:t>wa</w:t>
      </w:r>
      <w:r w:rsidRPr="00F0055D">
        <w:rPr>
          <w:lang w:val="en-US"/>
        </w:rPr>
        <w:t>s h</w:t>
      </w:r>
      <w:r w:rsidR="00214B63" w:rsidRPr="00F0055D">
        <w:rPr>
          <w:lang w:val="en-US"/>
        </w:rPr>
        <w:t>is</w:t>
      </w:r>
      <w:r w:rsidRPr="00F0055D">
        <w:rPr>
          <w:lang w:val="en-US"/>
        </w:rPr>
        <w:t xml:space="preserve"> participat</w:t>
      </w:r>
      <w:r w:rsidR="00214B63" w:rsidRPr="00F0055D">
        <w:rPr>
          <w:lang w:val="en-US"/>
        </w:rPr>
        <w:t>ion</w:t>
      </w:r>
      <w:r w:rsidRPr="00F0055D">
        <w:rPr>
          <w:lang w:val="en-US"/>
        </w:rPr>
        <w:t xml:space="preserve"> in clinical research while in detention. The unlawful participation was terminated on 16 August 2005; however, the State institutions did not</w:t>
      </w:r>
      <w:r w:rsidR="00214B63" w:rsidRPr="00F0055D">
        <w:rPr>
          <w:lang w:val="en-US"/>
        </w:rPr>
        <w:t>hing to</w:t>
      </w:r>
      <w:r w:rsidRPr="00F0055D">
        <w:rPr>
          <w:lang w:val="en-US"/>
        </w:rPr>
        <w:t xml:space="preserve"> ensure his participation in the research (i.e. by altering his restraint measure). </w:t>
      </w:r>
    </w:p>
    <w:p w:rsidR="00AC35A2" w:rsidRPr="00F0055D" w:rsidRDefault="00AC35A2" w:rsidP="0033414E">
      <w:pPr>
        <w:pStyle w:val="SingleTxtG"/>
        <w:rPr>
          <w:lang w:val="en-US"/>
        </w:rPr>
      </w:pPr>
      <w:r w:rsidRPr="00F0055D">
        <w:rPr>
          <w:lang w:val="en-US"/>
        </w:rPr>
        <w:t>5.14</w:t>
      </w:r>
      <w:r w:rsidR="005C4ED3" w:rsidRPr="00F0055D">
        <w:rPr>
          <w:lang w:val="en-US"/>
        </w:rPr>
        <w:tab/>
      </w:r>
      <w:r w:rsidRPr="00F0055D">
        <w:rPr>
          <w:lang w:val="en-US"/>
        </w:rPr>
        <w:t xml:space="preserve">The author </w:t>
      </w:r>
      <w:r w:rsidR="00214B63" w:rsidRPr="00F0055D">
        <w:rPr>
          <w:lang w:val="en-US"/>
        </w:rPr>
        <w:t>also</w:t>
      </w:r>
      <w:r w:rsidRPr="00F0055D">
        <w:rPr>
          <w:lang w:val="en-US"/>
        </w:rPr>
        <w:t xml:space="preserve"> reiterates that he was interrogated in </w:t>
      </w:r>
      <w:r w:rsidR="00214B63" w:rsidRPr="00F0055D">
        <w:rPr>
          <w:lang w:val="en-US"/>
        </w:rPr>
        <w:t xml:space="preserve">hospital in </w:t>
      </w:r>
      <w:r w:rsidRPr="00F0055D">
        <w:rPr>
          <w:lang w:val="en-US"/>
        </w:rPr>
        <w:t>the absence of a lawyer</w:t>
      </w:r>
      <w:r w:rsidR="00214B63" w:rsidRPr="00F0055D">
        <w:rPr>
          <w:lang w:val="en-US"/>
        </w:rPr>
        <w:t>,</w:t>
      </w:r>
      <w:r w:rsidRPr="00F0055D">
        <w:rPr>
          <w:lang w:val="en-US"/>
        </w:rPr>
        <w:t xml:space="preserve"> despite his poor state of health, on 5 and 6 June 2005</w:t>
      </w:r>
      <w:r w:rsidR="00214B63" w:rsidRPr="00F0055D">
        <w:rPr>
          <w:lang w:val="en-US"/>
        </w:rPr>
        <w:t>,</w:t>
      </w:r>
      <w:r w:rsidRPr="00F0055D">
        <w:rPr>
          <w:lang w:val="en-US"/>
        </w:rPr>
        <w:t xml:space="preserve"> to make him confess guilt. On 6 June 2005, he complained to the Prosecutor General about the interrogations</w:t>
      </w:r>
      <w:r w:rsidR="00214B63" w:rsidRPr="00F0055D">
        <w:rPr>
          <w:lang w:val="en-US"/>
        </w:rPr>
        <w:t>. He states that</w:t>
      </w:r>
      <w:r w:rsidRPr="00F0055D">
        <w:rPr>
          <w:lang w:val="en-US"/>
        </w:rPr>
        <w:t xml:space="preserve"> the State party incorrectly determined the date of </w:t>
      </w:r>
      <w:r w:rsidR="00214B63" w:rsidRPr="00F0055D">
        <w:rPr>
          <w:lang w:val="en-US"/>
        </w:rPr>
        <w:t xml:space="preserve">the </w:t>
      </w:r>
      <w:r w:rsidRPr="00F0055D">
        <w:rPr>
          <w:lang w:val="en-US"/>
        </w:rPr>
        <w:t>interrogation</w:t>
      </w:r>
      <w:r w:rsidR="00214B63" w:rsidRPr="00F0055D">
        <w:rPr>
          <w:lang w:val="en-US"/>
        </w:rPr>
        <w:t>s</w:t>
      </w:r>
      <w:r w:rsidRPr="00F0055D">
        <w:rPr>
          <w:lang w:val="en-US"/>
        </w:rPr>
        <w:t xml:space="preserve">. He further contests the State party’s contention about his state of health between 3 and 13 June 2005. </w:t>
      </w:r>
    </w:p>
    <w:p w:rsidR="00AC35A2" w:rsidRPr="00F0055D" w:rsidRDefault="00AC35A2" w:rsidP="0033414E">
      <w:pPr>
        <w:pStyle w:val="SingleTxtG"/>
        <w:rPr>
          <w:lang w:val="en-US"/>
        </w:rPr>
      </w:pPr>
      <w:r w:rsidRPr="00F0055D">
        <w:rPr>
          <w:lang w:val="en-US"/>
        </w:rPr>
        <w:t>5.15</w:t>
      </w:r>
      <w:r w:rsidR="005C4ED3" w:rsidRPr="00F0055D">
        <w:rPr>
          <w:lang w:val="en-US"/>
        </w:rPr>
        <w:tab/>
      </w:r>
      <w:r w:rsidRPr="00F0055D">
        <w:rPr>
          <w:lang w:val="en-US"/>
        </w:rPr>
        <w:t xml:space="preserve">As to the violations of article 9, paragraphs 1 and 4, of the Covenant, the author refers to </w:t>
      </w:r>
      <w:r w:rsidR="00214B63" w:rsidRPr="00F0055D">
        <w:rPr>
          <w:lang w:val="en-US"/>
        </w:rPr>
        <w:t>the</w:t>
      </w:r>
      <w:r w:rsidRPr="00F0055D">
        <w:rPr>
          <w:lang w:val="en-US"/>
        </w:rPr>
        <w:t xml:space="preserve"> decision of 9 September 2005 of </w:t>
      </w:r>
      <w:smartTag w:uri="urn:schemas-microsoft-com:office:smarttags" w:element="Street">
        <w:smartTag w:uri="urn:schemas-microsoft-com:office:smarttags" w:element="address">
          <w:r w:rsidRPr="00F0055D">
            <w:rPr>
              <w:lang w:val="en-US"/>
            </w:rPr>
            <w:t>Vilnius Regional Court</w:t>
          </w:r>
        </w:smartTag>
      </w:smartTag>
      <w:r w:rsidRPr="00F0055D">
        <w:rPr>
          <w:lang w:val="en-US"/>
        </w:rPr>
        <w:t xml:space="preserve">, wherein the court held that custody </w:t>
      </w:r>
      <w:r w:rsidR="00FC74C6" w:rsidRPr="00F0055D">
        <w:rPr>
          <w:lang w:val="en-US"/>
        </w:rPr>
        <w:t>had been</w:t>
      </w:r>
      <w:r w:rsidRPr="00F0055D">
        <w:rPr>
          <w:lang w:val="en-US"/>
        </w:rPr>
        <w:t xml:space="preserve"> applied on him </w:t>
      </w:r>
      <w:r w:rsidR="00FC74C6" w:rsidRPr="00F0055D">
        <w:rPr>
          <w:lang w:val="en-US"/>
        </w:rPr>
        <w:t>“</w:t>
      </w:r>
      <w:r w:rsidRPr="00F0055D">
        <w:rPr>
          <w:lang w:val="en-US"/>
        </w:rPr>
        <w:t>unreasonably</w:t>
      </w:r>
      <w:r w:rsidR="00FC74C6" w:rsidRPr="00F0055D">
        <w:rPr>
          <w:lang w:val="en-US"/>
        </w:rPr>
        <w:t>”</w:t>
      </w:r>
      <w:r w:rsidRPr="00F0055D">
        <w:rPr>
          <w:lang w:val="en-US"/>
        </w:rPr>
        <w:t xml:space="preserve">. </w:t>
      </w:r>
    </w:p>
    <w:p w:rsidR="00AC35A2" w:rsidRPr="00F0055D" w:rsidRDefault="00AC35A2" w:rsidP="0033414E">
      <w:pPr>
        <w:pStyle w:val="SingleTxtG"/>
        <w:rPr>
          <w:lang w:val="en-US"/>
        </w:rPr>
      </w:pPr>
      <w:r w:rsidRPr="00F0055D">
        <w:rPr>
          <w:lang w:val="en-US"/>
        </w:rPr>
        <w:t>5.16</w:t>
      </w:r>
      <w:r w:rsidR="005C4ED3" w:rsidRPr="00F0055D">
        <w:rPr>
          <w:lang w:val="en-US"/>
        </w:rPr>
        <w:tab/>
      </w:r>
      <w:r w:rsidRPr="00F0055D">
        <w:rPr>
          <w:lang w:val="en-US"/>
        </w:rPr>
        <w:t xml:space="preserve">Regarding </w:t>
      </w:r>
      <w:r w:rsidR="00FC74C6" w:rsidRPr="00F0055D">
        <w:rPr>
          <w:lang w:val="en-US"/>
        </w:rPr>
        <w:t>the</w:t>
      </w:r>
      <w:r w:rsidRPr="00F0055D">
        <w:rPr>
          <w:lang w:val="en-US"/>
        </w:rPr>
        <w:t xml:space="preserve"> notification </w:t>
      </w:r>
      <w:r w:rsidR="00FC74C6" w:rsidRPr="00F0055D">
        <w:rPr>
          <w:lang w:val="en-US"/>
        </w:rPr>
        <w:t>that he w</w:t>
      </w:r>
      <w:r w:rsidRPr="00F0055D">
        <w:rPr>
          <w:lang w:val="en-US"/>
        </w:rPr>
        <w:t xml:space="preserve">as a suspect on 18 March 2008, </w:t>
      </w:r>
      <w:r w:rsidR="00FC74C6" w:rsidRPr="00F0055D">
        <w:rPr>
          <w:lang w:val="en-US"/>
        </w:rPr>
        <w:t>t</w:t>
      </w:r>
      <w:r w:rsidRPr="00F0055D">
        <w:rPr>
          <w:lang w:val="en-US"/>
        </w:rPr>
        <w:t xml:space="preserve">he </w:t>
      </w:r>
      <w:r w:rsidR="00FC74C6" w:rsidRPr="00F0055D">
        <w:rPr>
          <w:lang w:val="en-US"/>
        </w:rPr>
        <w:t xml:space="preserve">author </w:t>
      </w:r>
      <w:r w:rsidRPr="00F0055D">
        <w:rPr>
          <w:lang w:val="en-US"/>
        </w:rPr>
        <w:t>points out that the officials ignored his doctor</w:t>
      </w:r>
      <w:r w:rsidR="00FC74C6" w:rsidRPr="00F0055D">
        <w:rPr>
          <w:lang w:val="en-US"/>
        </w:rPr>
        <w:t>’</w:t>
      </w:r>
      <w:r w:rsidRPr="00F0055D">
        <w:rPr>
          <w:lang w:val="en-US"/>
        </w:rPr>
        <w:t xml:space="preserve">s recommendation </w:t>
      </w:r>
      <w:r w:rsidR="00FC74C6" w:rsidRPr="00F0055D">
        <w:rPr>
          <w:lang w:val="en-US"/>
        </w:rPr>
        <w:t xml:space="preserve">that </w:t>
      </w:r>
      <w:r w:rsidRPr="00F0055D">
        <w:rPr>
          <w:lang w:val="en-US"/>
        </w:rPr>
        <w:t>investigati</w:t>
      </w:r>
      <w:r w:rsidR="00FC74C6" w:rsidRPr="00F0055D">
        <w:rPr>
          <w:lang w:val="en-US"/>
        </w:rPr>
        <w:t>ve</w:t>
      </w:r>
      <w:r w:rsidRPr="00F0055D">
        <w:rPr>
          <w:lang w:val="en-US"/>
        </w:rPr>
        <w:t xml:space="preserve"> actions </w:t>
      </w:r>
      <w:r w:rsidR="00FC74C6" w:rsidRPr="00F0055D">
        <w:rPr>
          <w:lang w:val="en-US"/>
        </w:rPr>
        <w:t>not be conducted with</w:t>
      </w:r>
      <w:r w:rsidRPr="00F0055D">
        <w:rPr>
          <w:lang w:val="en-US"/>
        </w:rPr>
        <w:t xml:space="preserve"> him</w:t>
      </w:r>
      <w:r w:rsidR="00FC74C6" w:rsidRPr="00F0055D">
        <w:rPr>
          <w:lang w:val="en-US"/>
        </w:rPr>
        <w:t>,</w:t>
      </w:r>
      <w:r w:rsidRPr="00F0055D">
        <w:rPr>
          <w:lang w:val="en-US"/>
        </w:rPr>
        <w:t xml:space="preserve"> and that they could have waited until 20 March 2008, when he was discharged. He also submits that he has exhausted all available domestic remedies in the context of the present claim.</w:t>
      </w:r>
    </w:p>
    <w:p w:rsidR="00AC35A2" w:rsidRPr="00F0055D" w:rsidRDefault="00AC35A2" w:rsidP="0033414E">
      <w:pPr>
        <w:pStyle w:val="SingleTxtG"/>
        <w:rPr>
          <w:lang w:val="en-US"/>
        </w:rPr>
      </w:pPr>
      <w:r w:rsidRPr="00F0055D">
        <w:rPr>
          <w:lang w:val="en-US"/>
        </w:rPr>
        <w:t>5.17</w:t>
      </w:r>
      <w:r w:rsidR="005C4ED3" w:rsidRPr="00F0055D">
        <w:rPr>
          <w:lang w:val="en-US"/>
        </w:rPr>
        <w:tab/>
      </w:r>
      <w:r w:rsidRPr="00F0055D">
        <w:rPr>
          <w:lang w:val="en-US"/>
        </w:rPr>
        <w:t xml:space="preserve">The author further reiterates that his arrest and unlawful interrogations in the hospital in the absence of a lawyer were means to obtain his confession </w:t>
      </w:r>
      <w:r w:rsidR="00FC74C6" w:rsidRPr="00F0055D">
        <w:rPr>
          <w:lang w:val="en-US"/>
        </w:rPr>
        <w:t>to</w:t>
      </w:r>
      <w:r w:rsidRPr="00F0055D">
        <w:rPr>
          <w:lang w:val="en-US"/>
        </w:rPr>
        <w:t xml:space="preserve"> crimes he never committed. He contends that he has exhausted all available domestic remedies, as his request to postpone all the interrogations until his recovery and his complaint about</w:t>
      </w:r>
      <w:r w:rsidR="00FC74C6" w:rsidRPr="00F0055D">
        <w:rPr>
          <w:lang w:val="en-US"/>
        </w:rPr>
        <w:t xml:space="preserve"> the</w:t>
      </w:r>
      <w:r w:rsidRPr="00F0055D">
        <w:rPr>
          <w:lang w:val="en-US"/>
        </w:rPr>
        <w:t xml:space="preserve"> inappropriate interrogation were not duly examined.</w:t>
      </w:r>
    </w:p>
    <w:p w:rsidR="00AC35A2" w:rsidRPr="00F0055D" w:rsidRDefault="00AC35A2" w:rsidP="0033414E">
      <w:pPr>
        <w:pStyle w:val="SingleTxtG"/>
        <w:rPr>
          <w:lang w:val="en-US"/>
        </w:rPr>
      </w:pPr>
      <w:r w:rsidRPr="00F0055D">
        <w:rPr>
          <w:lang w:val="en-US"/>
        </w:rPr>
        <w:t>5.18</w:t>
      </w:r>
      <w:r w:rsidR="005C4ED3" w:rsidRPr="00F0055D">
        <w:rPr>
          <w:lang w:val="en-US"/>
        </w:rPr>
        <w:tab/>
      </w:r>
      <w:r w:rsidR="00FC74C6" w:rsidRPr="00F0055D">
        <w:rPr>
          <w:lang w:val="en-US"/>
        </w:rPr>
        <w:t>The author</w:t>
      </w:r>
      <w:r w:rsidRPr="00F0055D">
        <w:rPr>
          <w:lang w:val="en-US"/>
        </w:rPr>
        <w:t xml:space="preserve"> reiterates that his and his lawyers’ request</w:t>
      </w:r>
      <w:r w:rsidR="00FC74C6" w:rsidRPr="00F0055D">
        <w:rPr>
          <w:lang w:val="en-US"/>
        </w:rPr>
        <w:t>s to</w:t>
      </w:r>
      <w:r w:rsidRPr="00F0055D">
        <w:rPr>
          <w:lang w:val="en-US"/>
        </w:rPr>
        <w:t xml:space="preserve">, inter alia, </w:t>
      </w:r>
      <w:r w:rsidR="00FC74C6" w:rsidRPr="00F0055D">
        <w:rPr>
          <w:lang w:val="en-US"/>
        </w:rPr>
        <w:t>become</w:t>
      </w:r>
      <w:r w:rsidRPr="00F0055D">
        <w:rPr>
          <w:lang w:val="en-US"/>
        </w:rPr>
        <w:t xml:space="preserve"> acquainted with</w:t>
      </w:r>
      <w:r w:rsidR="00FC74C6" w:rsidRPr="00F0055D">
        <w:rPr>
          <w:lang w:val="en-US"/>
        </w:rPr>
        <w:t xml:space="preserve"> and/or </w:t>
      </w:r>
      <w:r w:rsidRPr="00F0055D">
        <w:rPr>
          <w:lang w:val="en-US"/>
        </w:rPr>
        <w:t xml:space="preserve">adduce certain documents in the criminal case file were not duly and </w:t>
      </w:r>
      <w:r w:rsidR="00FC74C6" w:rsidRPr="00F0055D">
        <w:rPr>
          <w:lang w:val="en-US"/>
        </w:rPr>
        <w:t xml:space="preserve">in a </w:t>
      </w:r>
      <w:r w:rsidRPr="00F0055D">
        <w:rPr>
          <w:lang w:val="en-US"/>
        </w:rPr>
        <w:t>timely</w:t>
      </w:r>
      <w:r w:rsidR="00FC74C6" w:rsidRPr="00F0055D">
        <w:rPr>
          <w:lang w:val="en-US"/>
        </w:rPr>
        <w:t xml:space="preserve"> manner</w:t>
      </w:r>
      <w:r w:rsidRPr="00F0055D">
        <w:rPr>
          <w:lang w:val="en-US"/>
        </w:rPr>
        <w:t xml:space="preserve"> examined by the prosecutor. In particular, </w:t>
      </w:r>
      <w:r w:rsidR="00FC74C6" w:rsidRPr="00F0055D">
        <w:rPr>
          <w:lang w:val="en-US"/>
        </w:rPr>
        <w:t xml:space="preserve">he said that he </w:t>
      </w:r>
      <w:r w:rsidRPr="00F0055D">
        <w:rPr>
          <w:lang w:val="en-US"/>
        </w:rPr>
        <w:t xml:space="preserve">appealed </w:t>
      </w:r>
      <w:r w:rsidR="00FC74C6" w:rsidRPr="00F0055D">
        <w:rPr>
          <w:lang w:val="en-US"/>
        </w:rPr>
        <w:t xml:space="preserve">the </w:t>
      </w:r>
      <w:r w:rsidR="00466D90" w:rsidRPr="00F0055D">
        <w:rPr>
          <w:lang w:val="en-US"/>
        </w:rPr>
        <w:t xml:space="preserve">pretrial </w:t>
      </w:r>
      <w:r w:rsidR="00FC74C6" w:rsidRPr="00F0055D">
        <w:rPr>
          <w:lang w:val="en-US"/>
        </w:rPr>
        <w:t xml:space="preserve">prosecutor’s decision of 22 August 2008 </w:t>
      </w:r>
      <w:r w:rsidRPr="00F0055D">
        <w:rPr>
          <w:lang w:val="en-US"/>
        </w:rPr>
        <w:t xml:space="preserve">to a higher prosecutor to </w:t>
      </w:r>
      <w:r w:rsidR="00311830" w:rsidRPr="00F0055D">
        <w:rPr>
          <w:lang w:val="en-US"/>
        </w:rPr>
        <w:t xml:space="preserve">satisfy </w:t>
      </w:r>
      <w:r w:rsidRPr="00F0055D">
        <w:rPr>
          <w:lang w:val="en-US"/>
        </w:rPr>
        <w:t xml:space="preserve">only partly his request to </w:t>
      </w:r>
      <w:r w:rsidR="00311830" w:rsidRPr="00F0055D">
        <w:rPr>
          <w:lang w:val="en-US"/>
        </w:rPr>
        <w:t>add</w:t>
      </w:r>
      <w:r w:rsidRPr="00F0055D">
        <w:rPr>
          <w:lang w:val="en-US"/>
        </w:rPr>
        <w:t xml:space="preserve"> a number of documents </w:t>
      </w:r>
      <w:r w:rsidR="00311830" w:rsidRPr="00F0055D">
        <w:rPr>
          <w:lang w:val="en-US"/>
        </w:rPr>
        <w:t xml:space="preserve">to the </w:t>
      </w:r>
      <w:r w:rsidRPr="00F0055D">
        <w:rPr>
          <w:lang w:val="en-US"/>
        </w:rPr>
        <w:t>case file</w:t>
      </w:r>
      <w:r w:rsidR="00FC74C6" w:rsidRPr="00F0055D">
        <w:rPr>
          <w:lang w:val="en-US"/>
        </w:rPr>
        <w:t xml:space="preserve"> and</w:t>
      </w:r>
      <w:r w:rsidRPr="00F0055D">
        <w:rPr>
          <w:lang w:val="en-US"/>
        </w:rPr>
        <w:t xml:space="preserve"> his appeal was dismissed on 8 September 2008</w:t>
      </w:r>
      <w:r w:rsidR="008209F4" w:rsidRPr="00F0055D">
        <w:rPr>
          <w:lang w:val="en-US"/>
        </w:rPr>
        <w:t xml:space="preserve">, the reason being </w:t>
      </w:r>
      <w:r w:rsidRPr="00F0055D">
        <w:rPr>
          <w:lang w:val="en-US"/>
        </w:rPr>
        <w:t xml:space="preserve">that the pretrial </w:t>
      </w:r>
      <w:r w:rsidR="00FC74C6" w:rsidRPr="00F0055D">
        <w:rPr>
          <w:lang w:val="en-US"/>
        </w:rPr>
        <w:t>investigation</w:t>
      </w:r>
      <w:r w:rsidRPr="00F0055D">
        <w:rPr>
          <w:lang w:val="en-US"/>
        </w:rPr>
        <w:t xml:space="preserve"> had been completed</w:t>
      </w:r>
      <w:r w:rsidR="00FC74C6" w:rsidRPr="00F0055D">
        <w:rPr>
          <w:lang w:val="en-US"/>
        </w:rPr>
        <w:t>. Although,</w:t>
      </w:r>
      <w:r w:rsidRPr="00F0055D">
        <w:rPr>
          <w:lang w:val="en-US"/>
        </w:rPr>
        <w:t xml:space="preserve"> under article 64 of the </w:t>
      </w:r>
      <w:r w:rsidR="00FC74C6" w:rsidRPr="00F0055D">
        <w:rPr>
          <w:lang w:val="en-US"/>
        </w:rPr>
        <w:t xml:space="preserve">Code of </w:t>
      </w:r>
      <w:r w:rsidRPr="00F0055D">
        <w:rPr>
          <w:lang w:val="en-US"/>
        </w:rPr>
        <w:t>Criminal Procedure (CCP)</w:t>
      </w:r>
      <w:r w:rsidR="00FC74C6" w:rsidRPr="00F0055D">
        <w:rPr>
          <w:lang w:val="en-US"/>
        </w:rPr>
        <w:t>,</w:t>
      </w:r>
      <w:r w:rsidRPr="00F0055D">
        <w:rPr>
          <w:lang w:val="en-US"/>
        </w:rPr>
        <w:t xml:space="preserve"> a prosecutor’s decision </w:t>
      </w:r>
      <w:r w:rsidR="00FC74C6" w:rsidRPr="00F0055D">
        <w:rPr>
          <w:lang w:val="en-US"/>
        </w:rPr>
        <w:t>during</w:t>
      </w:r>
      <w:r w:rsidRPr="00F0055D">
        <w:rPr>
          <w:lang w:val="en-US"/>
        </w:rPr>
        <w:t xml:space="preserve"> the pretrial investigation could be appealed during the pretrial investigation period. Consequently, he was </w:t>
      </w:r>
      <w:r w:rsidR="00466D90" w:rsidRPr="00F0055D">
        <w:rPr>
          <w:lang w:val="en-US"/>
        </w:rPr>
        <w:t>“</w:t>
      </w:r>
      <w:r w:rsidRPr="00F0055D">
        <w:rPr>
          <w:lang w:val="en-US"/>
        </w:rPr>
        <w:t>deprived of the right</w:t>
      </w:r>
      <w:r w:rsidR="00466D90" w:rsidRPr="00F0055D">
        <w:rPr>
          <w:lang w:val="en-US"/>
        </w:rPr>
        <w:t>”</w:t>
      </w:r>
      <w:r w:rsidRPr="00F0055D">
        <w:rPr>
          <w:lang w:val="en-US"/>
        </w:rPr>
        <w:t xml:space="preserve"> to appeal the pretrial prosecutor’s decision to a higher prosecutor.</w:t>
      </w:r>
    </w:p>
    <w:p w:rsidR="00AC35A2" w:rsidRPr="00F0055D" w:rsidRDefault="00AC35A2" w:rsidP="0033414E">
      <w:pPr>
        <w:pStyle w:val="SingleTxtG"/>
        <w:rPr>
          <w:lang w:val="en-US"/>
        </w:rPr>
      </w:pPr>
      <w:r w:rsidRPr="00F0055D">
        <w:rPr>
          <w:lang w:val="en-US"/>
        </w:rPr>
        <w:t>5.19</w:t>
      </w:r>
      <w:r w:rsidR="005C4ED3" w:rsidRPr="00F0055D">
        <w:rPr>
          <w:lang w:val="en-US"/>
        </w:rPr>
        <w:tab/>
      </w:r>
      <w:r w:rsidRPr="00F0055D">
        <w:rPr>
          <w:lang w:val="en-US"/>
        </w:rPr>
        <w:t>In conclusion, the author maintains that the present communication fulfils the requirements of articles 2; 3 and 5, paragraph 2 (b), of the Optional Protocol to the</w:t>
      </w:r>
      <w:r w:rsidR="00466D90" w:rsidRPr="00F0055D">
        <w:rPr>
          <w:lang w:val="en-US"/>
        </w:rPr>
        <w:t xml:space="preserve"> International</w:t>
      </w:r>
      <w:r w:rsidRPr="00F0055D">
        <w:rPr>
          <w:lang w:val="en-US"/>
        </w:rPr>
        <w:t xml:space="preserve"> Covenant</w:t>
      </w:r>
      <w:r w:rsidR="00466D90" w:rsidRPr="00F0055D">
        <w:rPr>
          <w:lang w:val="en-US"/>
        </w:rPr>
        <w:t xml:space="preserve"> on Civil and Political Rights</w:t>
      </w:r>
      <w:r w:rsidRPr="00F0055D">
        <w:rPr>
          <w:lang w:val="en-US"/>
        </w:rPr>
        <w:t>.</w:t>
      </w:r>
    </w:p>
    <w:p w:rsidR="00AC35A2" w:rsidRPr="00F0055D" w:rsidRDefault="00803AC0" w:rsidP="00803AC0">
      <w:pPr>
        <w:pStyle w:val="H23G"/>
        <w:rPr>
          <w:lang w:val="en-US"/>
        </w:rPr>
      </w:pPr>
      <w:r w:rsidRPr="00F0055D">
        <w:rPr>
          <w:lang w:val="en-US"/>
        </w:rPr>
        <w:tab/>
      </w:r>
      <w:r w:rsidRPr="00F0055D">
        <w:rPr>
          <w:lang w:val="en-US"/>
        </w:rPr>
        <w:tab/>
      </w:r>
      <w:r w:rsidR="00AC35A2" w:rsidRPr="00F0055D">
        <w:rPr>
          <w:lang w:val="en-US"/>
        </w:rPr>
        <w:t xml:space="preserve">State party’s </w:t>
      </w:r>
      <w:r w:rsidR="00C36860" w:rsidRPr="00F0055D">
        <w:rPr>
          <w:lang w:val="en-US"/>
        </w:rPr>
        <w:t xml:space="preserve">additional </w:t>
      </w:r>
      <w:r w:rsidR="00AC35A2" w:rsidRPr="00F0055D">
        <w:rPr>
          <w:lang w:val="en-US"/>
        </w:rPr>
        <w:t>observations</w:t>
      </w:r>
    </w:p>
    <w:p w:rsidR="00AC35A2" w:rsidRPr="00F0055D" w:rsidRDefault="00AC35A2" w:rsidP="0033414E">
      <w:pPr>
        <w:pStyle w:val="SingleTxtG"/>
        <w:rPr>
          <w:lang w:val="en-US"/>
        </w:rPr>
      </w:pPr>
      <w:r w:rsidRPr="00F0055D">
        <w:rPr>
          <w:lang w:val="en-US"/>
        </w:rPr>
        <w:t>6.1</w:t>
      </w:r>
      <w:r w:rsidR="005C4ED3" w:rsidRPr="00F0055D">
        <w:rPr>
          <w:lang w:val="en-US"/>
        </w:rPr>
        <w:tab/>
      </w:r>
      <w:r w:rsidRPr="00F0055D">
        <w:rPr>
          <w:lang w:val="en-US"/>
        </w:rPr>
        <w:t>On 2 July 2010, the State party noted</w:t>
      </w:r>
      <w:r w:rsidR="00466D90" w:rsidRPr="00F0055D">
        <w:rPr>
          <w:lang w:val="en-US"/>
        </w:rPr>
        <w:t>,</w:t>
      </w:r>
      <w:r w:rsidRPr="00F0055D">
        <w:rPr>
          <w:lang w:val="en-US"/>
        </w:rPr>
        <w:t xml:space="preserve"> </w:t>
      </w:r>
      <w:r w:rsidR="00466D90" w:rsidRPr="00F0055D">
        <w:rPr>
          <w:lang w:val="en-US"/>
        </w:rPr>
        <w:t xml:space="preserve">with regard to the author’s claims under article 14, paragraph 3 (b), </w:t>
      </w:r>
      <w:r w:rsidRPr="00F0055D">
        <w:rPr>
          <w:lang w:val="en-US"/>
        </w:rPr>
        <w:t>that they concern</w:t>
      </w:r>
      <w:r w:rsidR="00466D90" w:rsidRPr="00F0055D">
        <w:rPr>
          <w:lang w:val="en-US"/>
        </w:rPr>
        <w:t>ed</w:t>
      </w:r>
      <w:r w:rsidRPr="00F0055D">
        <w:rPr>
          <w:lang w:val="en-US"/>
        </w:rPr>
        <w:t xml:space="preserve"> exclusively the period of the pretrial investigation. In th</w:t>
      </w:r>
      <w:r w:rsidR="00466D90" w:rsidRPr="00F0055D">
        <w:rPr>
          <w:lang w:val="en-US"/>
        </w:rPr>
        <w:t>at</w:t>
      </w:r>
      <w:r w:rsidRPr="00F0055D">
        <w:rPr>
          <w:lang w:val="en-US"/>
        </w:rPr>
        <w:t xml:space="preserve"> context, the author alleged </w:t>
      </w:r>
      <w:r w:rsidR="00466D90" w:rsidRPr="00F0055D">
        <w:rPr>
          <w:lang w:val="en-US"/>
        </w:rPr>
        <w:t>that it was</w:t>
      </w:r>
      <w:r w:rsidRPr="00F0055D">
        <w:rPr>
          <w:lang w:val="en-US"/>
        </w:rPr>
        <w:t xml:space="preserve"> impossibl</w:t>
      </w:r>
      <w:r w:rsidR="00466D90" w:rsidRPr="00F0055D">
        <w:rPr>
          <w:lang w:val="en-US"/>
        </w:rPr>
        <w:t>e</w:t>
      </w:r>
      <w:r w:rsidRPr="00F0055D">
        <w:rPr>
          <w:lang w:val="en-US"/>
        </w:rPr>
        <w:t xml:space="preserve"> </w:t>
      </w:r>
      <w:r w:rsidR="00466D90" w:rsidRPr="00F0055D">
        <w:rPr>
          <w:lang w:val="en-US"/>
        </w:rPr>
        <w:t xml:space="preserve">for him </w:t>
      </w:r>
      <w:r w:rsidRPr="00F0055D">
        <w:rPr>
          <w:lang w:val="en-US"/>
        </w:rPr>
        <w:t xml:space="preserve">to </w:t>
      </w:r>
      <w:r w:rsidR="00466D90" w:rsidRPr="00F0055D">
        <w:rPr>
          <w:lang w:val="en-US"/>
        </w:rPr>
        <w:t>become</w:t>
      </w:r>
      <w:r w:rsidRPr="00F0055D">
        <w:rPr>
          <w:lang w:val="en-US"/>
        </w:rPr>
        <w:t xml:space="preserve"> acquainted with the </w:t>
      </w:r>
      <w:r w:rsidR="00466D90" w:rsidRPr="00F0055D">
        <w:rPr>
          <w:lang w:val="en-US"/>
        </w:rPr>
        <w:t xml:space="preserve">materials in the </w:t>
      </w:r>
      <w:r w:rsidRPr="00F0055D">
        <w:rPr>
          <w:lang w:val="en-US"/>
        </w:rPr>
        <w:t>case</w:t>
      </w:r>
      <w:r w:rsidR="00466D90" w:rsidRPr="00F0055D">
        <w:rPr>
          <w:lang w:val="en-US"/>
        </w:rPr>
        <w:t xml:space="preserve"> </w:t>
      </w:r>
      <w:r w:rsidRPr="00F0055D">
        <w:rPr>
          <w:lang w:val="en-US"/>
        </w:rPr>
        <w:t>file before the questioning of one of the witnesses; to familiari</w:t>
      </w:r>
      <w:r w:rsidR="00466D90" w:rsidRPr="00F0055D">
        <w:rPr>
          <w:lang w:val="en-US"/>
        </w:rPr>
        <w:t>z</w:t>
      </w:r>
      <w:r w:rsidRPr="00F0055D">
        <w:rPr>
          <w:lang w:val="en-US"/>
        </w:rPr>
        <w:t>e</w:t>
      </w:r>
      <w:r w:rsidR="00466D90" w:rsidRPr="00F0055D">
        <w:rPr>
          <w:lang w:val="en-US"/>
        </w:rPr>
        <w:t xml:space="preserve"> himself</w:t>
      </w:r>
      <w:r w:rsidRPr="00F0055D">
        <w:rPr>
          <w:lang w:val="en-US"/>
        </w:rPr>
        <w:t xml:space="preserve"> with the psychiatric examination records</w:t>
      </w:r>
      <w:r w:rsidR="00466D90" w:rsidRPr="00F0055D">
        <w:rPr>
          <w:lang w:val="en-US"/>
        </w:rPr>
        <w:t xml:space="preserve"> and</w:t>
      </w:r>
      <w:r w:rsidRPr="00F0055D">
        <w:rPr>
          <w:lang w:val="en-US"/>
        </w:rPr>
        <w:t xml:space="preserve"> with the evidence provided by the witnesses to whom anonymity was applied</w:t>
      </w:r>
      <w:r w:rsidR="00466D90" w:rsidRPr="00F0055D">
        <w:rPr>
          <w:lang w:val="en-US"/>
        </w:rPr>
        <w:t>. He also alleged</w:t>
      </w:r>
      <w:r w:rsidRPr="00F0055D">
        <w:rPr>
          <w:lang w:val="en-US"/>
        </w:rPr>
        <w:t xml:space="preserve"> that he was denied the right to appeal </w:t>
      </w:r>
      <w:r w:rsidR="00466D90" w:rsidRPr="00F0055D">
        <w:rPr>
          <w:lang w:val="en-US"/>
        </w:rPr>
        <w:t>the</w:t>
      </w:r>
      <w:r w:rsidRPr="00F0055D">
        <w:rPr>
          <w:lang w:val="en-US"/>
        </w:rPr>
        <w:t xml:space="preserve"> decision of </w:t>
      </w:r>
      <w:r w:rsidR="00466D90" w:rsidRPr="00F0055D">
        <w:rPr>
          <w:lang w:val="en-US"/>
        </w:rPr>
        <w:t>a</w:t>
      </w:r>
      <w:r w:rsidRPr="00F0055D">
        <w:rPr>
          <w:lang w:val="en-US"/>
        </w:rPr>
        <w:t xml:space="preserve"> prosecutor </w:t>
      </w:r>
      <w:r w:rsidR="00466D90" w:rsidRPr="00F0055D">
        <w:rPr>
          <w:lang w:val="en-US"/>
        </w:rPr>
        <w:t>in</w:t>
      </w:r>
      <w:r w:rsidRPr="00F0055D">
        <w:rPr>
          <w:lang w:val="en-US"/>
        </w:rPr>
        <w:t xml:space="preserve"> his request to supplement the</w:t>
      </w:r>
      <w:r w:rsidR="00466D90" w:rsidRPr="00F0055D">
        <w:rPr>
          <w:lang w:val="en-US"/>
        </w:rPr>
        <w:t xml:space="preserve"> documents for</w:t>
      </w:r>
      <w:r w:rsidRPr="00F0055D">
        <w:rPr>
          <w:lang w:val="en-US"/>
        </w:rPr>
        <w:t xml:space="preserve"> </w:t>
      </w:r>
      <w:r w:rsidR="00466D90" w:rsidRPr="00F0055D">
        <w:rPr>
          <w:lang w:val="en-US"/>
        </w:rPr>
        <w:t xml:space="preserve">the </w:t>
      </w:r>
      <w:r w:rsidRPr="00F0055D">
        <w:rPr>
          <w:lang w:val="en-US"/>
        </w:rPr>
        <w:t>pretrial investigation after it had been completed</w:t>
      </w:r>
      <w:r w:rsidR="00466D90" w:rsidRPr="00F0055D">
        <w:rPr>
          <w:lang w:val="en-US"/>
        </w:rPr>
        <w:t xml:space="preserve"> and</w:t>
      </w:r>
      <w:r w:rsidRPr="00F0055D">
        <w:rPr>
          <w:lang w:val="en-US"/>
        </w:rPr>
        <w:t xml:space="preserve"> that he was denied the right to communicate with his lawyers without interference.</w:t>
      </w:r>
    </w:p>
    <w:p w:rsidR="00AC35A2" w:rsidRPr="00F0055D" w:rsidRDefault="00AC35A2" w:rsidP="0033414E">
      <w:pPr>
        <w:pStyle w:val="SingleTxtG"/>
        <w:rPr>
          <w:lang w:val="en-US"/>
        </w:rPr>
      </w:pPr>
      <w:r w:rsidRPr="00F0055D">
        <w:rPr>
          <w:lang w:val="en-US"/>
        </w:rPr>
        <w:t>6.2</w:t>
      </w:r>
      <w:r w:rsidR="005C4ED3" w:rsidRPr="00F0055D">
        <w:rPr>
          <w:lang w:val="en-US"/>
        </w:rPr>
        <w:tab/>
      </w:r>
      <w:r w:rsidRPr="00F0055D">
        <w:rPr>
          <w:lang w:val="en-US"/>
        </w:rPr>
        <w:t>The State party notes that the author’s criminal case has been referred to the court of first instance, namely</w:t>
      </w:r>
      <w:r w:rsidR="00466D90" w:rsidRPr="00F0055D">
        <w:rPr>
          <w:lang w:val="en-US"/>
        </w:rPr>
        <w:t>,</w:t>
      </w:r>
      <w:r w:rsidRPr="00F0055D">
        <w:rPr>
          <w:lang w:val="en-US"/>
        </w:rPr>
        <w:t xml:space="preserve"> </w:t>
      </w:r>
      <w:smartTag w:uri="urn:schemas-microsoft-com:office:smarttags" w:element="Street">
        <w:smartTag w:uri="urn:schemas-microsoft-com:office:smarttags" w:element="address">
          <w:r w:rsidRPr="00F0055D">
            <w:rPr>
              <w:lang w:val="en-US"/>
            </w:rPr>
            <w:t>Vilnius Regional Court</w:t>
          </w:r>
        </w:smartTag>
      </w:smartTag>
      <w:r w:rsidRPr="00F0055D">
        <w:rPr>
          <w:lang w:val="en-US"/>
        </w:rPr>
        <w:t xml:space="preserve">, for examination. Therefore, the issues invoked in the author’s additional claims at the material time could still be raised and addressed in court, </w:t>
      </w:r>
      <w:r w:rsidR="00466D90" w:rsidRPr="00F0055D">
        <w:rPr>
          <w:lang w:val="en-US"/>
        </w:rPr>
        <w:t xml:space="preserve">as well as </w:t>
      </w:r>
      <w:r w:rsidRPr="00F0055D">
        <w:rPr>
          <w:lang w:val="en-US"/>
        </w:rPr>
        <w:t xml:space="preserve">later within appeal and cassation proceedings. </w:t>
      </w:r>
    </w:p>
    <w:p w:rsidR="00AC35A2" w:rsidRPr="00F0055D" w:rsidRDefault="00AC35A2" w:rsidP="0033414E">
      <w:pPr>
        <w:pStyle w:val="SingleTxtG"/>
        <w:rPr>
          <w:lang w:val="en-US"/>
        </w:rPr>
      </w:pPr>
      <w:r w:rsidRPr="00F0055D">
        <w:rPr>
          <w:lang w:val="en-US"/>
        </w:rPr>
        <w:t>6.3</w:t>
      </w:r>
      <w:r w:rsidR="005C4ED3" w:rsidRPr="00F0055D">
        <w:rPr>
          <w:lang w:val="en-US"/>
        </w:rPr>
        <w:tab/>
      </w:r>
      <w:r w:rsidRPr="00F0055D">
        <w:rPr>
          <w:lang w:val="en-US"/>
        </w:rPr>
        <w:t xml:space="preserve">The State party adds that after a case is transferred to court for adjudication, </w:t>
      </w:r>
      <w:r w:rsidR="004F49A1" w:rsidRPr="00F0055D">
        <w:rPr>
          <w:lang w:val="en-US"/>
        </w:rPr>
        <w:t>the</w:t>
      </w:r>
      <w:r w:rsidRPr="00F0055D">
        <w:rPr>
          <w:lang w:val="en-US"/>
        </w:rPr>
        <w:t xml:space="preserve"> court is not precluded from collecting </w:t>
      </w:r>
      <w:r w:rsidR="004F49A1" w:rsidRPr="00F0055D">
        <w:rPr>
          <w:lang w:val="en-US"/>
        </w:rPr>
        <w:t xml:space="preserve">additional </w:t>
      </w:r>
      <w:r w:rsidRPr="00F0055D">
        <w:rPr>
          <w:lang w:val="en-US"/>
        </w:rPr>
        <w:t>data (</w:t>
      </w:r>
      <w:r w:rsidR="004F49A1" w:rsidRPr="00F0055D">
        <w:rPr>
          <w:lang w:val="en-US"/>
        </w:rPr>
        <w:t xml:space="preserve">CCP, </w:t>
      </w:r>
      <w:r w:rsidRPr="00F0055D">
        <w:rPr>
          <w:lang w:val="en-US"/>
        </w:rPr>
        <w:t>article 287). Under article 98</w:t>
      </w:r>
      <w:r w:rsidR="004F49A1" w:rsidRPr="00F0055D">
        <w:rPr>
          <w:lang w:val="en-US"/>
        </w:rPr>
        <w:t xml:space="preserve"> of the</w:t>
      </w:r>
      <w:r w:rsidRPr="00F0055D">
        <w:rPr>
          <w:lang w:val="en-US"/>
        </w:rPr>
        <w:t xml:space="preserve"> CCP, everyone is entitled to submit relevant information to </w:t>
      </w:r>
      <w:r w:rsidR="004F49A1" w:rsidRPr="00F0055D">
        <w:rPr>
          <w:lang w:val="en-US"/>
        </w:rPr>
        <w:t xml:space="preserve">a </w:t>
      </w:r>
      <w:r w:rsidRPr="00F0055D">
        <w:rPr>
          <w:lang w:val="en-US"/>
        </w:rPr>
        <w:t>court. Under article 20</w:t>
      </w:r>
      <w:r w:rsidR="004F49A1" w:rsidRPr="00F0055D">
        <w:rPr>
          <w:lang w:val="en-US"/>
        </w:rPr>
        <w:t xml:space="preserve"> of the</w:t>
      </w:r>
      <w:r w:rsidRPr="00F0055D">
        <w:rPr>
          <w:lang w:val="en-US"/>
        </w:rPr>
        <w:t xml:space="preserve"> CCP, data collected and recorded in the course of</w:t>
      </w:r>
      <w:r w:rsidR="004F49A1" w:rsidRPr="00F0055D">
        <w:rPr>
          <w:lang w:val="en-US"/>
        </w:rPr>
        <w:t xml:space="preserve"> a</w:t>
      </w:r>
      <w:r w:rsidRPr="00F0055D">
        <w:rPr>
          <w:lang w:val="en-US"/>
        </w:rPr>
        <w:t xml:space="preserve"> pretrial investigation may be considered as evidence only by a court decision. </w:t>
      </w:r>
      <w:r w:rsidR="004F49A1" w:rsidRPr="00F0055D">
        <w:rPr>
          <w:lang w:val="en-US"/>
        </w:rPr>
        <w:t>The</w:t>
      </w:r>
      <w:r w:rsidRPr="00F0055D">
        <w:rPr>
          <w:lang w:val="en-US"/>
        </w:rPr>
        <w:t xml:space="preserve"> court examines the data</w:t>
      </w:r>
      <w:r w:rsidR="004F49A1" w:rsidRPr="00F0055D">
        <w:rPr>
          <w:lang w:val="en-US"/>
        </w:rPr>
        <w:t xml:space="preserve"> collected</w:t>
      </w:r>
      <w:r w:rsidRPr="00F0055D">
        <w:rPr>
          <w:lang w:val="en-US"/>
        </w:rPr>
        <w:t xml:space="preserve">, verifies that it was collected lawfully and assesses its relevance to the case. Data transforms into evidence solely upon </w:t>
      </w:r>
      <w:r w:rsidR="004F49A1" w:rsidRPr="00F0055D">
        <w:rPr>
          <w:lang w:val="en-US"/>
        </w:rPr>
        <w:t xml:space="preserve">examination by </w:t>
      </w:r>
      <w:r w:rsidRPr="00F0055D">
        <w:rPr>
          <w:lang w:val="en-US"/>
        </w:rPr>
        <w:t>the court. Parties in the proceedings may object</w:t>
      </w:r>
      <w:r w:rsidR="004F49A1" w:rsidRPr="00F0055D">
        <w:rPr>
          <w:lang w:val="en-US"/>
        </w:rPr>
        <w:t xml:space="preserve"> to</w:t>
      </w:r>
      <w:r w:rsidRPr="00F0055D">
        <w:rPr>
          <w:lang w:val="en-US"/>
        </w:rPr>
        <w:t xml:space="preserve"> data submitted to or collected by a court</w:t>
      </w:r>
      <w:r w:rsidR="004F49A1" w:rsidRPr="00F0055D">
        <w:rPr>
          <w:lang w:val="en-US"/>
        </w:rPr>
        <w:t xml:space="preserve"> (</w:t>
      </w:r>
      <w:r w:rsidRPr="00F0055D">
        <w:rPr>
          <w:lang w:val="en-US"/>
        </w:rPr>
        <w:t xml:space="preserve">e.g. </w:t>
      </w:r>
      <w:r w:rsidR="004F49A1" w:rsidRPr="00F0055D">
        <w:rPr>
          <w:lang w:val="en-US"/>
        </w:rPr>
        <w:t>a</w:t>
      </w:r>
      <w:r w:rsidRPr="00F0055D">
        <w:rPr>
          <w:lang w:val="en-US"/>
        </w:rPr>
        <w:t xml:space="preserve"> request</w:t>
      </w:r>
      <w:r w:rsidR="004F49A1" w:rsidRPr="00F0055D">
        <w:rPr>
          <w:lang w:val="en-US"/>
        </w:rPr>
        <w:t xml:space="preserve"> may be made that the court</w:t>
      </w:r>
      <w:r w:rsidRPr="00F0055D">
        <w:rPr>
          <w:lang w:val="en-US"/>
        </w:rPr>
        <w:t xml:space="preserve"> not consider certain facts or materials as evidence</w:t>
      </w:r>
      <w:r w:rsidR="004F49A1" w:rsidRPr="00F0055D">
        <w:rPr>
          <w:lang w:val="en-US"/>
        </w:rPr>
        <w:t>)</w:t>
      </w:r>
      <w:r w:rsidRPr="00F0055D">
        <w:rPr>
          <w:lang w:val="en-US"/>
        </w:rPr>
        <w:t xml:space="preserve">. The issue </w:t>
      </w:r>
      <w:r w:rsidR="004F49A1" w:rsidRPr="00F0055D">
        <w:rPr>
          <w:lang w:val="en-US"/>
        </w:rPr>
        <w:t xml:space="preserve">as to </w:t>
      </w:r>
      <w:r w:rsidRPr="00F0055D">
        <w:rPr>
          <w:lang w:val="en-US"/>
        </w:rPr>
        <w:t xml:space="preserve">whether the author’s rights have been violated or whether claims are substantiated </w:t>
      </w:r>
      <w:r w:rsidR="004F49A1" w:rsidRPr="00F0055D">
        <w:rPr>
          <w:lang w:val="en-US"/>
        </w:rPr>
        <w:t xml:space="preserve">can only </w:t>
      </w:r>
      <w:r w:rsidRPr="00F0055D">
        <w:rPr>
          <w:lang w:val="en-US"/>
        </w:rPr>
        <w:t xml:space="preserve">be established in the light of </w:t>
      </w:r>
      <w:r w:rsidR="004F49A1" w:rsidRPr="00F0055D">
        <w:rPr>
          <w:lang w:val="en-US"/>
        </w:rPr>
        <w:t xml:space="preserve">the entire </w:t>
      </w:r>
      <w:r w:rsidRPr="00F0055D">
        <w:rPr>
          <w:lang w:val="en-US"/>
        </w:rPr>
        <w:t>criminal proceedings. Consequently, the State party submits that the author’s claims about the violation of his right to access the materials of the pretrial investigation, as well as about the restricted rights to defence are premature.</w:t>
      </w:r>
    </w:p>
    <w:p w:rsidR="00AC35A2" w:rsidRPr="00F0055D" w:rsidRDefault="00AC35A2" w:rsidP="0033414E">
      <w:pPr>
        <w:pStyle w:val="SingleTxtG"/>
        <w:rPr>
          <w:b/>
          <w:lang w:val="en-US"/>
        </w:rPr>
      </w:pPr>
      <w:r w:rsidRPr="00F0055D">
        <w:rPr>
          <w:lang w:val="en-US"/>
        </w:rPr>
        <w:t>6.4</w:t>
      </w:r>
      <w:r w:rsidR="005C4ED3" w:rsidRPr="00F0055D">
        <w:rPr>
          <w:lang w:val="en-US"/>
        </w:rPr>
        <w:tab/>
      </w:r>
      <w:r w:rsidRPr="00F0055D">
        <w:rPr>
          <w:lang w:val="en-US"/>
        </w:rPr>
        <w:t xml:space="preserve">The State party notes that the right to have adequate time and facilities to prepare for </w:t>
      </w:r>
      <w:r w:rsidR="00C640B5" w:rsidRPr="00F0055D">
        <w:rPr>
          <w:lang w:val="en-US"/>
        </w:rPr>
        <w:t xml:space="preserve">his </w:t>
      </w:r>
      <w:r w:rsidRPr="00F0055D">
        <w:rPr>
          <w:lang w:val="en-US"/>
        </w:rPr>
        <w:t>defence, including the right to access case materials, should be differentiated at the various stages of criminal proceedings. Regarding the pretrial investigation stage, it points out that the criminal procedure legislation does not prescribe an absolute right to familiari</w:t>
      </w:r>
      <w:r w:rsidR="00C640B5" w:rsidRPr="00F0055D">
        <w:rPr>
          <w:lang w:val="en-US"/>
        </w:rPr>
        <w:t>z</w:t>
      </w:r>
      <w:r w:rsidRPr="00F0055D">
        <w:rPr>
          <w:lang w:val="en-US"/>
        </w:rPr>
        <w:t>e</w:t>
      </w:r>
      <w:r w:rsidR="00C640B5" w:rsidRPr="00F0055D">
        <w:rPr>
          <w:lang w:val="en-US"/>
        </w:rPr>
        <w:t xml:space="preserve"> oneself</w:t>
      </w:r>
      <w:r w:rsidRPr="00F0055D">
        <w:rPr>
          <w:lang w:val="en-US"/>
        </w:rPr>
        <w:t xml:space="preserve"> with case</w:t>
      </w:r>
      <w:r w:rsidR="00C640B5" w:rsidRPr="00F0055D">
        <w:rPr>
          <w:lang w:val="en-US"/>
        </w:rPr>
        <w:t xml:space="preserve"> </w:t>
      </w:r>
      <w:r w:rsidRPr="00F0055D">
        <w:rPr>
          <w:lang w:val="en-US"/>
        </w:rPr>
        <w:t>file materials during the pretrial investigation. Article 181, para</w:t>
      </w:r>
      <w:r w:rsidR="00C640B5" w:rsidRPr="00F0055D">
        <w:rPr>
          <w:lang w:val="en-US"/>
        </w:rPr>
        <w:t>graph</w:t>
      </w:r>
      <w:r w:rsidRPr="00F0055D">
        <w:rPr>
          <w:lang w:val="en-US"/>
        </w:rPr>
        <w:t xml:space="preserve"> 1,</w:t>
      </w:r>
      <w:r w:rsidR="00C640B5" w:rsidRPr="00F0055D">
        <w:rPr>
          <w:lang w:val="en-US"/>
        </w:rPr>
        <w:t xml:space="preserve"> of the</w:t>
      </w:r>
      <w:r w:rsidRPr="00F0055D">
        <w:rPr>
          <w:lang w:val="en-US"/>
        </w:rPr>
        <w:t xml:space="preserve"> CCP </w:t>
      </w:r>
      <w:r w:rsidR="00C640B5" w:rsidRPr="00F0055D">
        <w:rPr>
          <w:lang w:val="en-US"/>
        </w:rPr>
        <w:t>states</w:t>
      </w:r>
      <w:r w:rsidRPr="00F0055D">
        <w:rPr>
          <w:lang w:val="en-US"/>
        </w:rPr>
        <w:t xml:space="preserve"> that a prosecutor may not grant the right to the suspect or </w:t>
      </w:r>
      <w:r w:rsidR="00C640B5" w:rsidRPr="00F0055D">
        <w:rPr>
          <w:lang w:val="en-US"/>
        </w:rPr>
        <w:t xml:space="preserve">the </w:t>
      </w:r>
      <w:r w:rsidRPr="00F0055D">
        <w:rPr>
          <w:lang w:val="en-US"/>
        </w:rPr>
        <w:t>defence lawyer to familiari</w:t>
      </w:r>
      <w:r w:rsidR="00C640B5" w:rsidRPr="00F0055D">
        <w:rPr>
          <w:lang w:val="en-US"/>
        </w:rPr>
        <w:t>z</w:t>
      </w:r>
      <w:r w:rsidRPr="00F0055D">
        <w:rPr>
          <w:lang w:val="en-US"/>
        </w:rPr>
        <w:t xml:space="preserve">e </w:t>
      </w:r>
      <w:r w:rsidR="00C640B5" w:rsidRPr="00F0055D">
        <w:rPr>
          <w:lang w:val="en-US"/>
        </w:rPr>
        <w:t xml:space="preserve">himself </w:t>
      </w:r>
      <w:r w:rsidRPr="00F0055D">
        <w:rPr>
          <w:lang w:val="en-US"/>
        </w:rPr>
        <w:t>with all or part of the material</w:t>
      </w:r>
      <w:r w:rsidR="00C640B5" w:rsidRPr="00F0055D">
        <w:rPr>
          <w:lang w:val="en-US"/>
        </w:rPr>
        <w:t>s</w:t>
      </w:r>
      <w:r w:rsidRPr="00F0055D">
        <w:rPr>
          <w:lang w:val="en-US"/>
        </w:rPr>
        <w:t xml:space="preserve"> of the pretrial investigation if </w:t>
      </w:r>
      <w:r w:rsidR="00C640B5" w:rsidRPr="00F0055D">
        <w:rPr>
          <w:lang w:val="en-US"/>
        </w:rPr>
        <w:t>such familiarization</w:t>
      </w:r>
      <w:r w:rsidRPr="00F0055D">
        <w:rPr>
          <w:lang w:val="en-US"/>
        </w:rPr>
        <w:t xml:space="preserve"> could undermine the conduct of the pretrial investigation. Such refusals may be appealed to the pretrial judge, whose decision is final.</w:t>
      </w:r>
    </w:p>
    <w:p w:rsidR="00AC35A2" w:rsidRPr="00F0055D" w:rsidRDefault="00AC35A2" w:rsidP="0033414E">
      <w:pPr>
        <w:pStyle w:val="SingleTxtG"/>
        <w:rPr>
          <w:lang w:val="en-US"/>
        </w:rPr>
      </w:pPr>
      <w:r w:rsidRPr="00F0055D">
        <w:rPr>
          <w:lang w:val="en-US"/>
        </w:rPr>
        <w:t>6.5</w:t>
      </w:r>
      <w:r w:rsidR="005C4ED3" w:rsidRPr="00F0055D">
        <w:rPr>
          <w:lang w:val="en-US"/>
        </w:rPr>
        <w:tab/>
      </w:r>
      <w:r w:rsidRPr="00F0055D">
        <w:rPr>
          <w:lang w:val="en-US"/>
        </w:rPr>
        <w:t>Under article 177, para</w:t>
      </w:r>
      <w:r w:rsidR="00C640B5" w:rsidRPr="00F0055D">
        <w:rPr>
          <w:lang w:val="en-US"/>
        </w:rPr>
        <w:t>graph</w:t>
      </w:r>
      <w:r w:rsidRPr="00F0055D">
        <w:rPr>
          <w:lang w:val="en-US"/>
        </w:rPr>
        <w:t xml:space="preserve"> 1,</w:t>
      </w:r>
      <w:r w:rsidR="00C640B5" w:rsidRPr="00F0055D">
        <w:rPr>
          <w:lang w:val="en-US"/>
        </w:rPr>
        <w:t xml:space="preserve"> of the</w:t>
      </w:r>
      <w:r w:rsidRPr="00F0055D">
        <w:rPr>
          <w:lang w:val="en-US"/>
        </w:rPr>
        <w:t xml:space="preserve"> CCP, information about a pretrial investigation shall not be disclosed </w:t>
      </w:r>
      <w:r w:rsidR="00C640B5" w:rsidRPr="00F0055D">
        <w:rPr>
          <w:lang w:val="en-US"/>
        </w:rPr>
        <w:t>or</w:t>
      </w:r>
      <w:r w:rsidRPr="00F0055D">
        <w:rPr>
          <w:lang w:val="en-US"/>
        </w:rPr>
        <w:t xml:space="preserve"> may be disclosed </w:t>
      </w:r>
      <w:r w:rsidR="00C640B5" w:rsidRPr="00F0055D">
        <w:rPr>
          <w:lang w:val="en-US"/>
        </w:rPr>
        <w:t>at the discretion of the</w:t>
      </w:r>
      <w:r w:rsidRPr="00F0055D">
        <w:rPr>
          <w:lang w:val="en-US"/>
        </w:rPr>
        <w:t xml:space="preserve"> prosecutor and only to </w:t>
      </w:r>
      <w:r w:rsidR="00C640B5" w:rsidRPr="00F0055D">
        <w:rPr>
          <w:lang w:val="en-US"/>
        </w:rPr>
        <w:t>the</w:t>
      </w:r>
      <w:r w:rsidRPr="00F0055D">
        <w:rPr>
          <w:lang w:val="en-US"/>
        </w:rPr>
        <w:t xml:space="preserve"> extent deemed permissible</w:t>
      </w:r>
      <w:r w:rsidR="00C640B5" w:rsidRPr="00F0055D">
        <w:rPr>
          <w:lang w:val="en-US"/>
        </w:rPr>
        <w:t xml:space="preserve"> by the prosecutor</w:t>
      </w:r>
      <w:r w:rsidRPr="00F0055D">
        <w:rPr>
          <w:lang w:val="en-US"/>
        </w:rPr>
        <w:t>. During the pretrial investigation, the author was permitted to familiari</w:t>
      </w:r>
      <w:r w:rsidR="00C640B5" w:rsidRPr="00F0055D">
        <w:rPr>
          <w:lang w:val="en-US"/>
        </w:rPr>
        <w:t>z</w:t>
      </w:r>
      <w:r w:rsidRPr="00F0055D">
        <w:rPr>
          <w:lang w:val="en-US"/>
        </w:rPr>
        <w:t>e</w:t>
      </w:r>
      <w:r w:rsidR="00C640B5" w:rsidRPr="00F0055D">
        <w:rPr>
          <w:lang w:val="en-US"/>
        </w:rPr>
        <w:t xml:space="preserve"> himself</w:t>
      </w:r>
      <w:r w:rsidRPr="00F0055D">
        <w:rPr>
          <w:lang w:val="en-US"/>
        </w:rPr>
        <w:t xml:space="preserve"> with certain parts of the case materials, which</w:t>
      </w:r>
      <w:r w:rsidR="00C640B5" w:rsidRPr="00F0055D">
        <w:rPr>
          <w:lang w:val="en-US"/>
        </w:rPr>
        <w:t>,</w:t>
      </w:r>
      <w:r w:rsidRPr="00F0055D">
        <w:rPr>
          <w:lang w:val="en-US"/>
        </w:rPr>
        <w:t xml:space="preserve"> at the material time, did not concern materials related to ongoing investigative actions. Moreover, </w:t>
      </w:r>
      <w:r w:rsidR="00C640B5" w:rsidRPr="00F0055D">
        <w:rPr>
          <w:lang w:val="en-US"/>
        </w:rPr>
        <w:t>t</w:t>
      </w:r>
      <w:r w:rsidRPr="00F0055D">
        <w:rPr>
          <w:lang w:val="en-US"/>
        </w:rPr>
        <w:t>he</w:t>
      </w:r>
      <w:r w:rsidR="00C640B5" w:rsidRPr="00F0055D">
        <w:rPr>
          <w:lang w:val="en-US"/>
        </w:rPr>
        <w:t xml:space="preserve"> author was allowed to </w:t>
      </w:r>
      <w:r w:rsidRPr="00F0055D">
        <w:rPr>
          <w:lang w:val="en-US"/>
        </w:rPr>
        <w:t>acquaint</w:t>
      </w:r>
      <w:r w:rsidR="00C640B5" w:rsidRPr="00F0055D">
        <w:rPr>
          <w:lang w:val="en-US"/>
        </w:rPr>
        <w:t xml:space="preserve"> himself</w:t>
      </w:r>
      <w:r w:rsidRPr="00F0055D">
        <w:rPr>
          <w:lang w:val="en-US"/>
        </w:rPr>
        <w:t xml:space="preserve"> with the whole case</w:t>
      </w:r>
      <w:r w:rsidR="00C640B5" w:rsidRPr="00F0055D">
        <w:rPr>
          <w:lang w:val="en-US"/>
        </w:rPr>
        <w:t xml:space="preserve"> </w:t>
      </w:r>
      <w:r w:rsidRPr="00F0055D">
        <w:rPr>
          <w:lang w:val="en-US"/>
        </w:rPr>
        <w:t xml:space="preserve">file when the pretrial investigation was completed. </w:t>
      </w:r>
    </w:p>
    <w:p w:rsidR="00AC35A2" w:rsidRPr="00F0055D" w:rsidRDefault="00AC35A2" w:rsidP="0033414E">
      <w:pPr>
        <w:pStyle w:val="SingleTxtG"/>
        <w:rPr>
          <w:lang w:val="en-US"/>
        </w:rPr>
      </w:pPr>
      <w:r w:rsidRPr="00F0055D">
        <w:rPr>
          <w:lang w:val="en-US"/>
        </w:rPr>
        <w:t>6.6</w:t>
      </w:r>
      <w:r w:rsidR="005C4ED3" w:rsidRPr="00F0055D">
        <w:rPr>
          <w:lang w:val="en-US"/>
        </w:rPr>
        <w:tab/>
      </w:r>
      <w:r w:rsidRPr="00F0055D">
        <w:rPr>
          <w:lang w:val="en-US"/>
        </w:rPr>
        <w:t>The State party further rejects the author’s statement that</w:t>
      </w:r>
      <w:r w:rsidR="005705FD" w:rsidRPr="00F0055D">
        <w:rPr>
          <w:lang w:val="en-US"/>
        </w:rPr>
        <w:t xml:space="preserve"> the prosecutor</w:t>
      </w:r>
      <w:r w:rsidRPr="00F0055D">
        <w:rPr>
          <w:lang w:val="en-US"/>
        </w:rPr>
        <w:t xml:space="preserve"> ignored the decisions of </w:t>
      </w:r>
      <w:r w:rsidR="00C640B5" w:rsidRPr="00F0055D">
        <w:rPr>
          <w:lang w:val="en-US"/>
        </w:rPr>
        <w:t xml:space="preserve">the </w:t>
      </w:r>
      <w:r w:rsidRPr="00F0055D">
        <w:rPr>
          <w:lang w:val="en-US"/>
        </w:rPr>
        <w:t>pretrial judges. It notes that</w:t>
      </w:r>
      <w:r w:rsidR="00C640B5" w:rsidRPr="00F0055D">
        <w:rPr>
          <w:lang w:val="en-US"/>
        </w:rPr>
        <w:t>,</w:t>
      </w:r>
      <w:r w:rsidRPr="00F0055D">
        <w:rPr>
          <w:lang w:val="en-US"/>
        </w:rPr>
        <w:t xml:space="preserve"> on numerous occasions</w:t>
      </w:r>
      <w:r w:rsidR="00C640B5" w:rsidRPr="00F0055D">
        <w:rPr>
          <w:lang w:val="en-US"/>
        </w:rPr>
        <w:t>, the pretrial judges</w:t>
      </w:r>
      <w:r w:rsidRPr="00F0055D">
        <w:rPr>
          <w:lang w:val="en-US"/>
        </w:rPr>
        <w:t xml:space="preserve"> confirmed </w:t>
      </w:r>
      <w:r w:rsidR="0063533B" w:rsidRPr="00F0055D">
        <w:rPr>
          <w:lang w:val="en-US"/>
        </w:rPr>
        <w:t>that</w:t>
      </w:r>
      <w:r w:rsidRPr="00F0055D">
        <w:rPr>
          <w:lang w:val="en-US"/>
        </w:rPr>
        <w:t xml:space="preserve"> the prosecutor’s decisions</w:t>
      </w:r>
      <w:r w:rsidR="0063533B" w:rsidRPr="00F0055D">
        <w:rPr>
          <w:lang w:val="en-US"/>
        </w:rPr>
        <w:t xml:space="preserve"> were justified (</w:t>
      </w:r>
      <w:r w:rsidRPr="00F0055D">
        <w:rPr>
          <w:lang w:val="en-US"/>
        </w:rPr>
        <w:t xml:space="preserve">e.g. </w:t>
      </w:r>
      <w:r w:rsidR="0063533B" w:rsidRPr="00F0055D">
        <w:rPr>
          <w:lang w:val="en-US"/>
        </w:rPr>
        <w:t xml:space="preserve">the </w:t>
      </w:r>
      <w:r w:rsidRPr="00F0055D">
        <w:rPr>
          <w:lang w:val="en-US"/>
        </w:rPr>
        <w:t>decisions of 12 October 2005, 14 July 2006, 1 January 2007, 22 January 2007 and 19 March 2007</w:t>
      </w:r>
      <w:r w:rsidR="0063533B" w:rsidRPr="00F0055D">
        <w:rPr>
          <w:lang w:val="en-US"/>
        </w:rPr>
        <w:t>)</w:t>
      </w:r>
      <w:r w:rsidRPr="00F0055D">
        <w:rPr>
          <w:lang w:val="en-US"/>
        </w:rPr>
        <w:t xml:space="preserve"> and in cases whe</w:t>
      </w:r>
      <w:r w:rsidR="0063533B" w:rsidRPr="00F0055D">
        <w:rPr>
          <w:lang w:val="en-US"/>
        </w:rPr>
        <w:t>re</w:t>
      </w:r>
      <w:r w:rsidRPr="00F0055D">
        <w:rPr>
          <w:lang w:val="en-US"/>
        </w:rPr>
        <w:t xml:space="preserve"> the author’s appeals were satisfied by a court, the prosecutor duly observed the </w:t>
      </w:r>
      <w:r w:rsidR="0063533B" w:rsidRPr="00F0055D">
        <w:rPr>
          <w:lang w:val="en-US"/>
        </w:rPr>
        <w:t>dec</w:t>
      </w:r>
      <w:r w:rsidR="00D9422C" w:rsidRPr="00F0055D">
        <w:rPr>
          <w:lang w:val="en-US"/>
        </w:rPr>
        <w:t>i</w:t>
      </w:r>
      <w:r w:rsidR="0063533B" w:rsidRPr="00F0055D">
        <w:rPr>
          <w:lang w:val="en-US"/>
        </w:rPr>
        <w:t xml:space="preserve">sions of the </w:t>
      </w:r>
      <w:r w:rsidRPr="00F0055D">
        <w:rPr>
          <w:lang w:val="en-US"/>
        </w:rPr>
        <w:t xml:space="preserve">pretrial judges. </w:t>
      </w:r>
    </w:p>
    <w:p w:rsidR="00AC35A2" w:rsidRPr="00F0055D" w:rsidRDefault="00AC35A2" w:rsidP="0033414E">
      <w:pPr>
        <w:pStyle w:val="SingleTxtG"/>
        <w:rPr>
          <w:lang w:val="en-US"/>
        </w:rPr>
      </w:pPr>
      <w:r w:rsidRPr="00F0055D">
        <w:rPr>
          <w:lang w:val="en-US"/>
        </w:rPr>
        <w:t>6.7</w:t>
      </w:r>
      <w:r w:rsidR="005C4ED3" w:rsidRPr="00F0055D">
        <w:rPr>
          <w:lang w:val="en-US"/>
        </w:rPr>
        <w:tab/>
      </w:r>
      <w:r w:rsidR="0063533B" w:rsidRPr="00F0055D">
        <w:rPr>
          <w:lang w:val="en-US"/>
        </w:rPr>
        <w:t xml:space="preserve">The State party </w:t>
      </w:r>
      <w:r w:rsidRPr="00F0055D">
        <w:rPr>
          <w:lang w:val="en-US"/>
        </w:rPr>
        <w:t xml:space="preserve">further notes that the author misleadingly contends that the decision of the pretrial judge of 16 September 2005 was not executed by the prosecutor. The pretrial judge ordered the prosecutor to re-examine the </w:t>
      </w:r>
      <w:r w:rsidR="00D57A97" w:rsidRPr="00F0055D">
        <w:rPr>
          <w:lang w:val="en-US"/>
        </w:rPr>
        <w:t xml:space="preserve">author’s </w:t>
      </w:r>
      <w:r w:rsidRPr="00F0055D">
        <w:rPr>
          <w:lang w:val="en-US"/>
        </w:rPr>
        <w:t>request to acquaint</w:t>
      </w:r>
      <w:r w:rsidR="00D57A97" w:rsidRPr="00F0055D">
        <w:rPr>
          <w:lang w:val="en-US"/>
        </w:rPr>
        <w:t xml:space="preserve"> himself</w:t>
      </w:r>
      <w:r w:rsidRPr="00F0055D">
        <w:rPr>
          <w:lang w:val="en-US"/>
        </w:rPr>
        <w:t xml:space="preserve"> with the</w:t>
      </w:r>
      <w:r w:rsidR="00D57A97" w:rsidRPr="00F0055D">
        <w:rPr>
          <w:lang w:val="en-US"/>
        </w:rPr>
        <w:t xml:space="preserve"> materials of the</w:t>
      </w:r>
      <w:r w:rsidRPr="00F0055D">
        <w:rPr>
          <w:lang w:val="en-US"/>
        </w:rPr>
        <w:t xml:space="preserve"> pretrial investigation and to indicate the documents </w:t>
      </w:r>
      <w:r w:rsidR="00D57A97" w:rsidRPr="00F0055D">
        <w:rPr>
          <w:lang w:val="en-US"/>
        </w:rPr>
        <w:t xml:space="preserve">to </w:t>
      </w:r>
      <w:r w:rsidRPr="00F0055D">
        <w:rPr>
          <w:lang w:val="en-US"/>
        </w:rPr>
        <w:t xml:space="preserve">which </w:t>
      </w:r>
      <w:r w:rsidR="00D57A97" w:rsidRPr="00F0055D">
        <w:rPr>
          <w:lang w:val="en-US"/>
        </w:rPr>
        <w:t xml:space="preserve">access </w:t>
      </w:r>
      <w:r w:rsidRPr="00F0055D">
        <w:rPr>
          <w:lang w:val="en-US"/>
        </w:rPr>
        <w:t xml:space="preserve">was restricted and provide the reasons. By </w:t>
      </w:r>
      <w:r w:rsidR="00D57A97" w:rsidRPr="00F0055D">
        <w:rPr>
          <w:lang w:val="en-US"/>
        </w:rPr>
        <w:t xml:space="preserve">the </w:t>
      </w:r>
      <w:r w:rsidRPr="00F0055D">
        <w:rPr>
          <w:lang w:val="en-US"/>
        </w:rPr>
        <w:t xml:space="preserve">decision of 6 October 2005, the prosecutor indicated that the author’s lawyer was refused </w:t>
      </w:r>
      <w:r w:rsidR="00D57A97" w:rsidRPr="00F0055D">
        <w:rPr>
          <w:lang w:val="en-US"/>
        </w:rPr>
        <w:t xml:space="preserve">access </w:t>
      </w:r>
      <w:r w:rsidRPr="00F0055D">
        <w:rPr>
          <w:lang w:val="en-US"/>
        </w:rPr>
        <w:t>to familiarize</w:t>
      </w:r>
      <w:r w:rsidR="00D57A97" w:rsidRPr="00F0055D">
        <w:rPr>
          <w:lang w:val="en-US"/>
        </w:rPr>
        <w:t xml:space="preserve"> himself</w:t>
      </w:r>
      <w:r w:rsidRPr="00F0055D">
        <w:rPr>
          <w:lang w:val="en-US"/>
        </w:rPr>
        <w:t xml:space="preserve"> with the materials of the pretrial investigation</w:t>
      </w:r>
      <w:r w:rsidR="00D57A97" w:rsidRPr="00F0055D">
        <w:rPr>
          <w:lang w:val="en-US"/>
        </w:rPr>
        <w:t xml:space="preserve"> that </w:t>
      </w:r>
      <w:r w:rsidRPr="00F0055D">
        <w:rPr>
          <w:lang w:val="en-US"/>
        </w:rPr>
        <w:t>concern</w:t>
      </w:r>
      <w:r w:rsidR="00D57A97" w:rsidRPr="00F0055D">
        <w:rPr>
          <w:lang w:val="en-US"/>
        </w:rPr>
        <w:t>ed the</w:t>
      </w:r>
      <w:r w:rsidRPr="00F0055D">
        <w:rPr>
          <w:lang w:val="en-US"/>
        </w:rPr>
        <w:t xml:space="preserve"> ongoing gathering of information. The prosecutor also noted that the investigation involved acts constituting elements of serious and grave crimes and </w:t>
      </w:r>
      <w:r w:rsidR="00D57A97" w:rsidRPr="00F0055D">
        <w:rPr>
          <w:lang w:val="en-US"/>
        </w:rPr>
        <w:t xml:space="preserve">that </w:t>
      </w:r>
      <w:r w:rsidRPr="00F0055D">
        <w:rPr>
          <w:lang w:val="en-US"/>
        </w:rPr>
        <w:t xml:space="preserve">fact-finding and operative measures were ongoing. He also indicated that there was sufficient information showing that the suspect </w:t>
      </w:r>
      <w:r w:rsidR="00D57A97" w:rsidRPr="00F0055D">
        <w:rPr>
          <w:lang w:val="en-US"/>
        </w:rPr>
        <w:t xml:space="preserve">was </w:t>
      </w:r>
      <w:r w:rsidRPr="00F0055D">
        <w:rPr>
          <w:lang w:val="en-US"/>
        </w:rPr>
        <w:t>exert</w:t>
      </w:r>
      <w:r w:rsidR="00D57A97" w:rsidRPr="00F0055D">
        <w:rPr>
          <w:lang w:val="en-US"/>
        </w:rPr>
        <w:t>ing</w:t>
      </w:r>
      <w:r w:rsidRPr="00F0055D">
        <w:rPr>
          <w:lang w:val="en-US"/>
        </w:rPr>
        <w:t xml:space="preserve"> unlawful pressure on the pretrial investigation </w:t>
      </w:r>
      <w:r w:rsidR="00D57A97" w:rsidRPr="00F0055D">
        <w:rPr>
          <w:lang w:val="en-US"/>
        </w:rPr>
        <w:t xml:space="preserve">by </w:t>
      </w:r>
      <w:r w:rsidRPr="00F0055D">
        <w:rPr>
          <w:lang w:val="en-US"/>
        </w:rPr>
        <w:t xml:space="preserve">making use of information obtained. </w:t>
      </w:r>
      <w:r w:rsidR="00D57A97" w:rsidRPr="00F0055D">
        <w:rPr>
          <w:lang w:val="en-US"/>
        </w:rPr>
        <w:t>H</w:t>
      </w:r>
      <w:r w:rsidRPr="00F0055D">
        <w:rPr>
          <w:lang w:val="en-US"/>
        </w:rPr>
        <w:t>e</w:t>
      </w:r>
      <w:r w:rsidR="00D57A97" w:rsidRPr="00F0055D">
        <w:rPr>
          <w:lang w:val="en-US"/>
        </w:rPr>
        <w:t xml:space="preserve"> further</w:t>
      </w:r>
      <w:r w:rsidRPr="00F0055D">
        <w:rPr>
          <w:lang w:val="en-US"/>
        </w:rPr>
        <w:t xml:space="preserve"> stated that the author </w:t>
      </w:r>
      <w:r w:rsidR="00D57A97" w:rsidRPr="00F0055D">
        <w:rPr>
          <w:lang w:val="en-US"/>
        </w:rPr>
        <w:t xml:space="preserve">had </w:t>
      </w:r>
      <w:r w:rsidRPr="00F0055D">
        <w:rPr>
          <w:lang w:val="en-US"/>
        </w:rPr>
        <w:t>published in the main daily newspaper several “open letters”, in</w:t>
      </w:r>
      <w:r w:rsidR="00D57A97" w:rsidRPr="00F0055D">
        <w:rPr>
          <w:lang w:val="en-US"/>
        </w:rPr>
        <w:t xml:space="preserve"> which</w:t>
      </w:r>
      <w:r w:rsidRPr="00F0055D">
        <w:rPr>
          <w:lang w:val="en-US"/>
        </w:rPr>
        <w:t xml:space="preserve"> he disclosed the essence of evidence </w:t>
      </w:r>
      <w:r w:rsidR="00D57A97" w:rsidRPr="00F0055D">
        <w:rPr>
          <w:lang w:val="en-US"/>
        </w:rPr>
        <w:t xml:space="preserve">against him that was </w:t>
      </w:r>
      <w:r w:rsidRPr="00F0055D">
        <w:rPr>
          <w:lang w:val="en-US"/>
        </w:rPr>
        <w:t xml:space="preserve">given by </w:t>
      </w:r>
      <w:r w:rsidR="00D57A97" w:rsidRPr="00F0055D">
        <w:rPr>
          <w:lang w:val="en-US"/>
        </w:rPr>
        <w:t xml:space="preserve">a </w:t>
      </w:r>
      <w:r w:rsidRPr="00F0055D">
        <w:rPr>
          <w:lang w:val="en-US"/>
        </w:rPr>
        <w:t>witness in an attempt to create a negative image of th</w:t>
      </w:r>
      <w:r w:rsidR="00D57A97" w:rsidRPr="00F0055D">
        <w:rPr>
          <w:lang w:val="en-US"/>
        </w:rPr>
        <w:t>e witness</w:t>
      </w:r>
      <w:r w:rsidRPr="00F0055D">
        <w:rPr>
          <w:lang w:val="en-US"/>
        </w:rPr>
        <w:t xml:space="preserve">. </w:t>
      </w:r>
      <w:r w:rsidR="00D9422C" w:rsidRPr="00F0055D">
        <w:rPr>
          <w:lang w:val="en-US"/>
        </w:rPr>
        <w:t>S</w:t>
      </w:r>
      <w:r w:rsidRPr="00F0055D">
        <w:rPr>
          <w:lang w:val="en-US"/>
        </w:rPr>
        <w:t>uch actions constitute</w:t>
      </w:r>
      <w:r w:rsidR="00D9422C" w:rsidRPr="00F0055D">
        <w:rPr>
          <w:lang w:val="en-US"/>
        </w:rPr>
        <w:t>d</w:t>
      </w:r>
      <w:r w:rsidRPr="00F0055D">
        <w:rPr>
          <w:lang w:val="en-US"/>
        </w:rPr>
        <w:t xml:space="preserve"> an unlawful pressure on the pretrial investigation. Moreover, the author had listed the surnames of other persons involved in the ongoing pretrial investigation. The State party adds that although the author was permitted to examine </w:t>
      </w:r>
      <w:r w:rsidR="00D9422C" w:rsidRPr="00F0055D">
        <w:rPr>
          <w:lang w:val="en-US"/>
        </w:rPr>
        <w:t>some</w:t>
      </w:r>
      <w:r w:rsidRPr="00F0055D">
        <w:rPr>
          <w:lang w:val="en-US"/>
        </w:rPr>
        <w:t xml:space="preserve"> of the materials</w:t>
      </w:r>
      <w:r w:rsidR="00D9422C" w:rsidRPr="00F0055D">
        <w:rPr>
          <w:lang w:val="en-US"/>
        </w:rPr>
        <w:t xml:space="preserve"> in the case file</w:t>
      </w:r>
      <w:r w:rsidRPr="00F0055D">
        <w:rPr>
          <w:lang w:val="en-US"/>
        </w:rPr>
        <w:t>, he nevertheless appealed th</w:t>
      </w:r>
      <w:r w:rsidR="00D9422C" w:rsidRPr="00F0055D">
        <w:rPr>
          <w:lang w:val="en-US"/>
        </w:rPr>
        <w:t>at</w:t>
      </w:r>
      <w:r w:rsidRPr="00F0055D">
        <w:rPr>
          <w:lang w:val="en-US"/>
        </w:rPr>
        <w:t xml:space="preserve"> decision. On 12 October 2005, a pretrial judge of </w:t>
      </w:r>
      <w:r w:rsidR="00D9422C" w:rsidRPr="00F0055D">
        <w:rPr>
          <w:lang w:val="en-US"/>
        </w:rPr>
        <w:t xml:space="preserve"> </w:t>
      </w:r>
      <w:r w:rsidRPr="00F0055D">
        <w:rPr>
          <w:lang w:val="en-US"/>
        </w:rPr>
        <w:t xml:space="preserve">Vilnius Second District Court dismissed the appeal, </w:t>
      </w:r>
      <w:r w:rsidR="00D9422C" w:rsidRPr="00F0055D">
        <w:rPr>
          <w:lang w:val="en-US"/>
        </w:rPr>
        <w:t xml:space="preserve">and </w:t>
      </w:r>
      <w:r w:rsidRPr="00F0055D">
        <w:rPr>
          <w:lang w:val="en-US"/>
        </w:rPr>
        <w:t>confirm</w:t>
      </w:r>
      <w:r w:rsidR="00D9422C" w:rsidRPr="00F0055D">
        <w:rPr>
          <w:lang w:val="en-US"/>
        </w:rPr>
        <w:t>ed</w:t>
      </w:r>
      <w:r w:rsidRPr="00F0055D">
        <w:rPr>
          <w:lang w:val="en-US"/>
        </w:rPr>
        <w:t xml:space="preserve"> the reasonableness of the prosecutor’s decision. On 3 November 2005</w:t>
      </w:r>
      <w:r w:rsidR="00D9422C" w:rsidRPr="00F0055D">
        <w:rPr>
          <w:lang w:val="en-US"/>
        </w:rPr>
        <w:t>,</w:t>
      </w:r>
      <w:r w:rsidRPr="00F0055D">
        <w:rPr>
          <w:lang w:val="en-US"/>
        </w:rPr>
        <w:t xml:space="preserve"> the author’s defence</w:t>
      </w:r>
      <w:r w:rsidR="00D9422C" w:rsidRPr="00F0055D">
        <w:rPr>
          <w:lang w:val="en-US"/>
        </w:rPr>
        <w:t xml:space="preserve"> lawyer was allowed to</w:t>
      </w:r>
      <w:r w:rsidRPr="00F0055D">
        <w:rPr>
          <w:lang w:val="en-US"/>
        </w:rPr>
        <w:t xml:space="preserve"> acquaint</w:t>
      </w:r>
      <w:r w:rsidR="00D9422C" w:rsidRPr="00F0055D">
        <w:rPr>
          <w:lang w:val="en-US"/>
        </w:rPr>
        <w:t xml:space="preserve"> himself</w:t>
      </w:r>
      <w:r w:rsidRPr="00F0055D">
        <w:rPr>
          <w:lang w:val="en-US"/>
        </w:rPr>
        <w:t xml:space="preserve"> with the part of the file</w:t>
      </w:r>
      <w:r w:rsidR="00D9422C" w:rsidRPr="00F0055D">
        <w:rPr>
          <w:lang w:val="en-US"/>
        </w:rPr>
        <w:t xml:space="preserve"> to which access was permitted</w:t>
      </w:r>
      <w:r w:rsidRPr="00F0055D">
        <w:rPr>
          <w:lang w:val="en-US"/>
        </w:rPr>
        <w:t>.</w:t>
      </w:r>
    </w:p>
    <w:p w:rsidR="00AC35A2" w:rsidRPr="00F0055D" w:rsidRDefault="00AC35A2" w:rsidP="0033414E">
      <w:pPr>
        <w:pStyle w:val="SingleTxtG"/>
        <w:rPr>
          <w:lang w:val="en-US"/>
        </w:rPr>
      </w:pPr>
      <w:r w:rsidRPr="00F0055D">
        <w:rPr>
          <w:lang w:val="en-US"/>
        </w:rPr>
        <w:t>6.8</w:t>
      </w:r>
      <w:r w:rsidR="005C4ED3" w:rsidRPr="00F0055D">
        <w:rPr>
          <w:lang w:val="en-US"/>
        </w:rPr>
        <w:tab/>
      </w:r>
      <w:r w:rsidRPr="00F0055D">
        <w:rPr>
          <w:lang w:val="en-US"/>
        </w:rPr>
        <w:t xml:space="preserve">As to the author’s claim concerning </w:t>
      </w:r>
      <w:r w:rsidR="00D9422C" w:rsidRPr="00F0055D">
        <w:rPr>
          <w:lang w:val="en-US"/>
        </w:rPr>
        <w:t xml:space="preserve">his </w:t>
      </w:r>
      <w:r w:rsidRPr="00F0055D">
        <w:rPr>
          <w:lang w:val="en-US"/>
        </w:rPr>
        <w:t xml:space="preserve">inability to </w:t>
      </w:r>
      <w:r w:rsidR="00D9422C" w:rsidRPr="00F0055D">
        <w:rPr>
          <w:lang w:val="en-US"/>
        </w:rPr>
        <w:t>become</w:t>
      </w:r>
      <w:r w:rsidRPr="00F0055D">
        <w:rPr>
          <w:lang w:val="en-US"/>
        </w:rPr>
        <w:t xml:space="preserve"> acquainted with documents related to the questioning of a witness, the State party notes that the pretrial judge examining the lawyer’s appeal in that regard on 14 July 2006, </w:t>
      </w:r>
      <w:r w:rsidR="00D9422C" w:rsidRPr="00F0055D">
        <w:rPr>
          <w:lang w:val="en-US"/>
        </w:rPr>
        <w:t xml:space="preserve">and </w:t>
      </w:r>
      <w:r w:rsidRPr="00F0055D">
        <w:rPr>
          <w:lang w:val="en-US"/>
        </w:rPr>
        <w:t xml:space="preserve">found the prosecutor’s decision to refuse access to certain materials before the questioning justified. </w:t>
      </w:r>
      <w:r w:rsidR="00D9422C" w:rsidRPr="00F0055D">
        <w:rPr>
          <w:lang w:val="en-US"/>
        </w:rPr>
        <w:t>The State party</w:t>
      </w:r>
      <w:r w:rsidRPr="00F0055D">
        <w:rPr>
          <w:lang w:val="en-US"/>
        </w:rPr>
        <w:t xml:space="preserve"> emphasi</w:t>
      </w:r>
      <w:r w:rsidR="00D9422C" w:rsidRPr="00F0055D">
        <w:rPr>
          <w:lang w:val="en-US"/>
        </w:rPr>
        <w:t>z</w:t>
      </w:r>
      <w:r w:rsidRPr="00F0055D">
        <w:rPr>
          <w:lang w:val="en-US"/>
        </w:rPr>
        <w:t xml:space="preserve">es that the author and his lawyers were informed about the questioning </w:t>
      </w:r>
      <w:r w:rsidR="00D9422C" w:rsidRPr="00F0055D">
        <w:rPr>
          <w:lang w:val="en-US"/>
        </w:rPr>
        <w:t xml:space="preserve">of the witness </w:t>
      </w:r>
      <w:r w:rsidRPr="00F0055D">
        <w:rPr>
          <w:lang w:val="en-US"/>
        </w:rPr>
        <w:t>and could have participated therein. Moreover, the author and his defence</w:t>
      </w:r>
      <w:r w:rsidR="00D9422C" w:rsidRPr="00F0055D">
        <w:rPr>
          <w:lang w:val="en-US"/>
        </w:rPr>
        <w:t xml:space="preserve"> lawyer</w:t>
      </w:r>
      <w:r w:rsidRPr="00F0055D">
        <w:rPr>
          <w:lang w:val="en-US"/>
        </w:rPr>
        <w:t xml:space="preserve"> c</w:t>
      </w:r>
      <w:r w:rsidR="00D9422C" w:rsidRPr="00F0055D">
        <w:rPr>
          <w:lang w:val="en-US"/>
        </w:rPr>
        <w:t>ould</w:t>
      </w:r>
      <w:r w:rsidRPr="00F0055D">
        <w:rPr>
          <w:lang w:val="en-US"/>
        </w:rPr>
        <w:t xml:space="preserve"> raise the issues related to the present claim, including the questionings, during the ongoing court trial.</w:t>
      </w:r>
    </w:p>
    <w:p w:rsidR="00AC35A2" w:rsidRPr="00F0055D" w:rsidRDefault="00AC35A2" w:rsidP="0033414E">
      <w:pPr>
        <w:pStyle w:val="SingleTxtG"/>
        <w:rPr>
          <w:lang w:val="en-US"/>
        </w:rPr>
      </w:pPr>
      <w:r w:rsidRPr="00F0055D">
        <w:rPr>
          <w:lang w:val="en-US"/>
        </w:rPr>
        <w:t>6.9</w:t>
      </w:r>
      <w:r w:rsidR="005C4ED3" w:rsidRPr="00F0055D">
        <w:rPr>
          <w:lang w:val="en-US"/>
        </w:rPr>
        <w:tab/>
      </w:r>
      <w:r w:rsidRPr="00F0055D">
        <w:rPr>
          <w:lang w:val="en-US"/>
        </w:rPr>
        <w:t>As concerns the author’s request to acquaint</w:t>
      </w:r>
      <w:r w:rsidR="00D9422C" w:rsidRPr="00F0055D">
        <w:rPr>
          <w:lang w:val="en-US"/>
        </w:rPr>
        <w:t xml:space="preserve"> himself</w:t>
      </w:r>
      <w:r w:rsidRPr="00F0055D">
        <w:rPr>
          <w:lang w:val="en-US"/>
        </w:rPr>
        <w:t xml:space="preserve"> with the prosecutor’s decision to perform a psychiatric examination on two other suspects, as well as with the consecutive records, the State party notes that on 6 October 2006, the prosecutor partly satisfied th</w:t>
      </w:r>
      <w:r w:rsidR="00D9422C" w:rsidRPr="00F0055D">
        <w:rPr>
          <w:lang w:val="en-US"/>
        </w:rPr>
        <w:t>at</w:t>
      </w:r>
      <w:r w:rsidRPr="00F0055D">
        <w:rPr>
          <w:lang w:val="en-US"/>
        </w:rPr>
        <w:t xml:space="preserve"> request</w:t>
      </w:r>
      <w:r w:rsidR="00D9422C" w:rsidRPr="00F0055D">
        <w:rPr>
          <w:lang w:val="en-US"/>
        </w:rPr>
        <w:t xml:space="preserve"> and</w:t>
      </w:r>
      <w:r w:rsidRPr="00F0055D">
        <w:rPr>
          <w:lang w:val="en-US"/>
        </w:rPr>
        <w:t xml:space="preserve"> allow</w:t>
      </w:r>
      <w:r w:rsidR="00D9422C" w:rsidRPr="00F0055D">
        <w:rPr>
          <w:lang w:val="en-US"/>
        </w:rPr>
        <w:t>ed the author</w:t>
      </w:r>
      <w:r w:rsidRPr="00F0055D">
        <w:rPr>
          <w:lang w:val="en-US"/>
        </w:rPr>
        <w:t xml:space="preserve"> to acquaint</w:t>
      </w:r>
      <w:r w:rsidR="00D9422C" w:rsidRPr="00F0055D">
        <w:rPr>
          <w:lang w:val="en-US"/>
        </w:rPr>
        <w:t xml:space="preserve"> himself</w:t>
      </w:r>
      <w:r w:rsidRPr="00F0055D">
        <w:rPr>
          <w:lang w:val="en-US"/>
        </w:rPr>
        <w:t xml:space="preserve"> with the content of </w:t>
      </w:r>
      <w:r w:rsidR="00D9422C" w:rsidRPr="00F0055D">
        <w:rPr>
          <w:lang w:val="en-US"/>
        </w:rPr>
        <w:t xml:space="preserve">the </w:t>
      </w:r>
      <w:r w:rsidRPr="00F0055D">
        <w:rPr>
          <w:lang w:val="en-US"/>
        </w:rPr>
        <w:t>questions to the experts. On 25 October 2006, a pretrial judge</w:t>
      </w:r>
      <w:r w:rsidR="00D9422C" w:rsidRPr="00F0055D">
        <w:rPr>
          <w:lang w:val="en-US"/>
        </w:rPr>
        <w:t xml:space="preserve"> </w:t>
      </w:r>
      <w:r w:rsidRPr="00F0055D">
        <w:rPr>
          <w:lang w:val="en-US"/>
        </w:rPr>
        <w:t>quash</w:t>
      </w:r>
      <w:r w:rsidR="00D9422C" w:rsidRPr="00F0055D">
        <w:rPr>
          <w:lang w:val="en-US"/>
        </w:rPr>
        <w:t>ed</w:t>
      </w:r>
      <w:r w:rsidRPr="00F0055D">
        <w:rPr>
          <w:lang w:val="en-US"/>
        </w:rPr>
        <w:t xml:space="preserve"> the prosecutor’s decision</w:t>
      </w:r>
      <w:r w:rsidR="00D9422C" w:rsidRPr="00F0055D">
        <w:rPr>
          <w:lang w:val="en-US"/>
        </w:rPr>
        <w:t xml:space="preserve"> and</w:t>
      </w:r>
      <w:r w:rsidRPr="00F0055D">
        <w:rPr>
          <w:lang w:val="en-US"/>
        </w:rPr>
        <w:t xml:space="preserve"> indicated that</w:t>
      </w:r>
      <w:r w:rsidR="00D9422C" w:rsidRPr="00F0055D">
        <w:rPr>
          <w:lang w:val="en-US"/>
        </w:rPr>
        <w:t>,</w:t>
      </w:r>
      <w:r w:rsidRPr="00F0055D">
        <w:rPr>
          <w:lang w:val="en-US"/>
        </w:rPr>
        <w:t xml:space="preserve"> in line with article 209 of the CCP, </w:t>
      </w:r>
      <w:r w:rsidR="00D9422C" w:rsidRPr="00F0055D">
        <w:rPr>
          <w:lang w:val="en-US"/>
        </w:rPr>
        <w:t>the</w:t>
      </w:r>
      <w:r w:rsidRPr="00F0055D">
        <w:rPr>
          <w:lang w:val="en-US"/>
        </w:rPr>
        <w:t xml:space="preserve"> prosecutor should inform a suspect</w:t>
      </w:r>
      <w:r w:rsidR="00D9422C" w:rsidRPr="00F0055D">
        <w:rPr>
          <w:lang w:val="en-US"/>
        </w:rPr>
        <w:t xml:space="preserve"> beforehand</w:t>
      </w:r>
      <w:r w:rsidRPr="00F0055D">
        <w:rPr>
          <w:lang w:val="en-US"/>
        </w:rPr>
        <w:t xml:space="preserve"> </w:t>
      </w:r>
      <w:r w:rsidR="00D9422C" w:rsidRPr="00F0055D">
        <w:rPr>
          <w:lang w:val="en-US"/>
        </w:rPr>
        <w:t>of</w:t>
      </w:r>
      <w:r w:rsidRPr="00F0055D">
        <w:rPr>
          <w:lang w:val="en-US"/>
        </w:rPr>
        <w:t xml:space="preserve"> the necessity to perform such </w:t>
      </w:r>
      <w:r w:rsidR="00D9422C" w:rsidRPr="00F0055D">
        <w:rPr>
          <w:lang w:val="en-US"/>
        </w:rPr>
        <w:t xml:space="preserve">an </w:t>
      </w:r>
      <w:r w:rsidRPr="00F0055D">
        <w:rPr>
          <w:lang w:val="en-US"/>
        </w:rPr>
        <w:t>examination</w:t>
      </w:r>
      <w:r w:rsidR="00D9422C" w:rsidRPr="00F0055D">
        <w:rPr>
          <w:lang w:val="en-US"/>
        </w:rPr>
        <w:t>. H</w:t>
      </w:r>
      <w:r w:rsidRPr="00F0055D">
        <w:rPr>
          <w:lang w:val="en-US"/>
        </w:rPr>
        <w:t xml:space="preserve">owever, </w:t>
      </w:r>
      <w:r w:rsidR="007F170C" w:rsidRPr="00F0055D">
        <w:rPr>
          <w:lang w:val="en-US"/>
        </w:rPr>
        <w:t>since</w:t>
      </w:r>
      <w:r w:rsidRPr="00F0055D">
        <w:rPr>
          <w:lang w:val="en-US"/>
        </w:rPr>
        <w:t xml:space="preserve"> the prosecutor </w:t>
      </w:r>
      <w:r w:rsidR="007F170C" w:rsidRPr="00F0055D">
        <w:rPr>
          <w:lang w:val="en-US"/>
        </w:rPr>
        <w:t xml:space="preserve">had </w:t>
      </w:r>
      <w:r w:rsidRPr="00F0055D">
        <w:rPr>
          <w:lang w:val="en-US"/>
        </w:rPr>
        <w:t xml:space="preserve">adopted the order of the examination on 13 May 2005, i.e., before the author </w:t>
      </w:r>
      <w:r w:rsidR="007F170C" w:rsidRPr="00F0055D">
        <w:rPr>
          <w:lang w:val="en-US"/>
        </w:rPr>
        <w:t>was considered</w:t>
      </w:r>
      <w:r w:rsidRPr="00F0055D">
        <w:rPr>
          <w:lang w:val="en-US"/>
        </w:rPr>
        <w:t xml:space="preserve"> a suspect, he was not informed of the said decision. Therefore, the pretrial judge ruled that the author should be permitted to access the content of the examination records. Moreover, </w:t>
      </w:r>
      <w:r w:rsidR="007F170C" w:rsidRPr="00F0055D">
        <w:rPr>
          <w:lang w:val="en-US"/>
        </w:rPr>
        <w:t>t</w:t>
      </w:r>
      <w:r w:rsidRPr="00F0055D">
        <w:rPr>
          <w:lang w:val="en-US"/>
        </w:rPr>
        <w:t>he</w:t>
      </w:r>
      <w:r w:rsidR="007F170C" w:rsidRPr="00F0055D">
        <w:rPr>
          <w:lang w:val="en-US"/>
        </w:rPr>
        <w:t xml:space="preserve"> author and/or </w:t>
      </w:r>
      <w:r w:rsidRPr="00F0055D">
        <w:rPr>
          <w:lang w:val="en-US"/>
        </w:rPr>
        <w:t xml:space="preserve">his defence lawyers </w:t>
      </w:r>
      <w:r w:rsidR="007F170C" w:rsidRPr="00F0055D">
        <w:rPr>
          <w:lang w:val="en-US"/>
        </w:rPr>
        <w:t>could</w:t>
      </w:r>
      <w:r w:rsidRPr="00F0055D">
        <w:rPr>
          <w:lang w:val="en-US"/>
        </w:rPr>
        <w:t xml:space="preserve"> still raise th</w:t>
      </w:r>
      <w:r w:rsidR="007F170C" w:rsidRPr="00F0055D">
        <w:rPr>
          <w:lang w:val="en-US"/>
        </w:rPr>
        <w:t>o</w:t>
      </w:r>
      <w:r w:rsidRPr="00F0055D">
        <w:rPr>
          <w:lang w:val="en-US"/>
        </w:rPr>
        <w:t>se issues during the court trial.</w:t>
      </w:r>
    </w:p>
    <w:p w:rsidR="00AC35A2" w:rsidRPr="00F0055D" w:rsidRDefault="00AC35A2" w:rsidP="0033414E">
      <w:pPr>
        <w:pStyle w:val="SingleTxtG"/>
        <w:rPr>
          <w:lang w:val="en-US"/>
        </w:rPr>
      </w:pPr>
      <w:r w:rsidRPr="00F0055D">
        <w:rPr>
          <w:lang w:val="en-US"/>
        </w:rPr>
        <w:t>6.10</w:t>
      </w:r>
      <w:r w:rsidR="005C4ED3" w:rsidRPr="00F0055D">
        <w:rPr>
          <w:lang w:val="en-US"/>
        </w:rPr>
        <w:tab/>
      </w:r>
      <w:r w:rsidRPr="00F0055D">
        <w:rPr>
          <w:lang w:val="en-US"/>
        </w:rPr>
        <w:t>The State party further notes that the author incorrectly submits that</w:t>
      </w:r>
      <w:r w:rsidR="007F170C" w:rsidRPr="00F0055D">
        <w:rPr>
          <w:lang w:val="en-US"/>
        </w:rPr>
        <w:t>,</w:t>
      </w:r>
      <w:r w:rsidRPr="00F0055D">
        <w:rPr>
          <w:lang w:val="en-US"/>
        </w:rPr>
        <w:t xml:space="preserve"> on 19 March 2005, a pretrial judge </w:t>
      </w:r>
      <w:r w:rsidR="007F170C" w:rsidRPr="00F0055D">
        <w:rPr>
          <w:lang w:val="en-US"/>
        </w:rPr>
        <w:t xml:space="preserve">had </w:t>
      </w:r>
      <w:r w:rsidRPr="00F0055D">
        <w:rPr>
          <w:lang w:val="en-US"/>
        </w:rPr>
        <w:t xml:space="preserve">ordered the prosecutor to grant leave for </w:t>
      </w:r>
      <w:r w:rsidR="007F170C" w:rsidRPr="00F0055D">
        <w:rPr>
          <w:lang w:val="en-US"/>
        </w:rPr>
        <w:t xml:space="preserve">him and his lawyers to </w:t>
      </w:r>
      <w:r w:rsidRPr="00F0055D">
        <w:rPr>
          <w:lang w:val="en-US"/>
        </w:rPr>
        <w:t>familiari</w:t>
      </w:r>
      <w:r w:rsidR="007F170C" w:rsidRPr="00F0055D">
        <w:rPr>
          <w:lang w:val="en-US"/>
        </w:rPr>
        <w:t>ze themselves</w:t>
      </w:r>
      <w:r w:rsidRPr="00F0055D">
        <w:rPr>
          <w:lang w:val="en-US"/>
        </w:rPr>
        <w:t xml:space="preserve"> with the entire case file</w:t>
      </w:r>
      <w:r w:rsidR="007F170C" w:rsidRPr="00F0055D">
        <w:rPr>
          <w:lang w:val="en-US"/>
        </w:rPr>
        <w:t>,</w:t>
      </w:r>
      <w:r w:rsidRPr="00F0055D">
        <w:rPr>
          <w:lang w:val="en-US"/>
        </w:rPr>
        <w:t xml:space="preserve"> </w:t>
      </w:r>
      <w:r w:rsidR="007F170C" w:rsidRPr="00F0055D">
        <w:rPr>
          <w:lang w:val="en-US"/>
        </w:rPr>
        <w:t>and that that order</w:t>
      </w:r>
      <w:r w:rsidRPr="00F0055D">
        <w:rPr>
          <w:lang w:val="en-US"/>
        </w:rPr>
        <w:t xml:space="preserve"> was ignored. It points out that</w:t>
      </w:r>
      <w:r w:rsidR="007F170C" w:rsidRPr="00F0055D">
        <w:rPr>
          <w:lang w:val="en-US"/>
        </w:rPr>
        <w:t>,</w:t>
      </w:r>
      <w:r w:rsidRPr="00F0055D">
        <w:rPr>
          <w:lang w:val="en-US"/>
        </w:rPr>
        <w:t xml:space="preserve"> in fact, the pretrial judge</w:t>
      </w:r>
      <w:r w:rsidR="007F170C" w:rsidRPr="00F0055D">
        <w:rPr>
          <w:lang w:val="en-US"/>
        </w:rPr>
        <w:t>’s decision</w:t>
      </w:r>
      <w:r w:rsidRPr="00F0055D">
        <w:rPr>
          <w:lang w:val="en-US"/>
        </w:rPr>
        <w:t xml:space="preserve"> </w:t>
      </w:r>
      <w:r w:rsidR="007F170C" w:rsidRPr="00F0055D">
        <w:rPr>
          <w:lang w:val="en-US"/>
        </w:rPr>
        <w:t xml:space="preserve">had </w:t>
      </w:r>
      <w:r w:rsidRPr="00F0055D">
        <w:rPr>
          <w:lang w:val="en-US"/>
        </w:rPr>
        <w:t xml:space="preserve">confirmed the prosecutor’s decision as lawful and </w:t>
      </w:r>
      <w:r w:rsidR="007F170C" w:rsidRPr="00F0055D">
        <w:rPr>
          <w:lang w:val="en-US"/>
        </w:rPr>
        <w:t xml:space="preserve">has </w:t>
      </w:r>
      <w:r w:rsidRPr="00F0055D">
        <w:rPr>
          <w:lang w:val="en-US"/>
        </w:rPr>
        <w:t xml:space="preserve">dismissed the appeal. </w:t>
      </w:r>
      <w:r w:rsidR="007F170C" w:rsidRPr="00F0055D">
        <w:rPr>
          <w:lang w:val="en-US"/>
        </w:rPr>
        <w:t xml:space="preserve">However, </w:t>
      </w:r>
      <w:r w:rsidR="005B3AC9" w:rsidRPr="00F0055D">
        <w:rPr>
          <w:lang w:val="en-US"/>
        </w:rPr>
        <w:t>in t</w:t>
      </w:r>
      <w:r w:rsidRPr="00F0055D">
        <w:rPr>
          <w:lang w:val="en-US"/>
        </w:rPr>
        <w:t>he decision of 21 June 2007 of Vilnius Second District Court, the pretrial judge quashed the prosecutor’s decision</w:t>
      </w:r>
      <w:r w:rsidR="005B3AC9" w:rsidRPr="00F0055D">
        <w:rPr>
          <w:lang w:val="en-US"/>
        </w:rPr>
        <w:t xml:space="preserve"> and</w:t>
      </w:r>
      <w:r w:rsidRPr="00F0055D">
        <w:rPr>
          <w:lang w:val="en-US"/>
        </w:rPr>
        <w:t xml:space="preserve"> stated that the prosecutor should allow </w:t>
      </w:r>
      <w:r w:rsidR="005B3AC9" w:rsidRPr="00F0055D">
        <w:rPr>
          <w:lang w:val="en-US"/>
        </w:rPr>
        <w:t xml:space="preserve">the author and his lawyer </w:t>
      </w:r>
      <w:r w:rsidRPr="00F0055D">
        <w:rPr>
          <w:lang w:val="en-US"/>
        </w:rPr>
        <w:t>to acquaint</w:t>
      </w:r>
      <w:r w:rsidR="005B3AC9" w:rsidRPr="00F0055D">
        <w:rPr>
          <w:lang w:val="en-US"/>
        </w:rPr>
        <w:t xml:space="preserve"> themselves</w:t>
      </w:r>
      <w:r w:rsidRPr="00F0055D">
        <w:rPr>
          <w:lang w:val="en-US"/>
        </w:rPr>
        <w:t xml:space="preserve"> with materials</w:t>
      </w:r>
      <w:r w:rsidR="005B3AC9" w:rsidRPr="00F0055D">
        <w:rPr>
          <w:lang w:val="en-US"/>
        </w:rPr>
        <w:t xml:space="preserve"> in the case file</w:t>
      </w:r>
      <w:r w:rsidRPr="00F0055D">
        <w:rPr>
          <w:lang w:val="en-US"/>
        </w:rPr>
        <w:t xml:space="preserve"> whose disclosure would not impede the pretrial investigation. On 13 July 2007, the prosecutor satisfied the author’s request and provided extensive motivation for partially restricting access to </w:t>
      </w:r>
      <w:r w:rsidR="005B3AC9" w:rsidRPr="00F0055D">
        <w:rPr>
          <w:lang w:val="en-US"/>
        </w:rPr>
        <w:t xml:space="preserve">some of </w:t>
      </w:r>
      <w:r w:rsidRPr="00F0055D">
        <w:rPr>
          <w:lang w:val="en-US"/>
        </w:rPr>
        <w:t>the case materials, as</w:t>
      </w:r>
      <w:r w:rsidR="005B3AC9" w:rsidRPr="00F0055D">
        <w:rPr>
          <w:lang w:val="en-US"/>
        </w:rPr>
        <w:t>,</w:t>
      </w:r>
      <w:r w:rsidRPr="00F0055D">
        <w:rPr>
          <w:lang w:val="en-US"/>
        </w:rPr>
        <w:t xml:space="preserve"> in addition to the above</w:t>
      </w:r>
      <w:r w:rsidR="005B3AC9" w:rsidRPr="00F0055D">
        <w:rPr>
          <w:lang w:val="en-US"/>
        </w:rPr>
        <w:t>-</w:t>
      </w:r>
      <w:r w:rsidRPr="00F0055D">
        <w:rPr>
          <w:lang w:val="en-US"/>
        </w:rPr>
        <w:t>mentioned unlawful disclosure of information of the pretrial investigation</w:t>
      </w:r>
      <w:r w:rsidR="005B3AC9" w:rsidRPr="00F0055D">
        <w:rPr>
          <w:lang w:val="en-US"/>
        </w:rPr>
        <w:t xml:space="preserve"> on the part of the author</w:t>
      </w:r>
      <w:r w:rsidRPr="00F0055D">
        <w:rPr>
          <w:lang w:val="en-US"/>
        </w:rPr>
        <w:t xml:space="preserve">, other unlawful actions hindering the investigation </w:t>
      </w:r>
      <w:r w:rsidR="005B3AC9" w:rsidRPr="00F0055D">
        <w:rPr>
          <w:lang w:val="en-US"/>
        </w:rPr>
        <w:t xml:space="preserve">had </w:t>
      </w:r>
      <w:r w:rsidRPr="00F0055D">
        <w:rPr>
          <w:lang w:val="en-US"/>
        </w:rPr>
        <w:t>occurred. In particular, the prosecutor noted that shortly after the questioning of a witness</w:t>
      </w:r>
      <w:r w:rsidR="005B3AC9" w:rsidRPr="00F0055D">
        <w:rPr>
          <w:lang w:val="en-US"/>
        </w:rPr>
        <w:t xml:space="preserve"> at</w:t>
      </w:r>
      <w:r w:rsidRPr="00F0055D">
        <w:rPr>
          <w:lang w:val="en-US"/>
        </w:rPr>
        <w:t xml:space="preserve"> the request of the author, a publication </w:t>
      </w:r>
      <w:r w:rsidR="005B3AC9" w:rsidRPr="00F0055D">
        <w:rPr>
          <w:lang w:val="en-US"/>
        </w:rPr>
        <w:t xml:space="preserve">appeared </w:t>
      </w:r>
      <w:r w:rsidRPr="00F0055D">
        <w:rPr>
          <w:lang w:val="en-US"/>
        </w:rPr>
        <w:t>in the main daily newspaper, in</w:t>
      </w:r>
      <w:r w:rsidR="005B3AC9" w:rsidRPr="00F0055D">
        <w:rPr>
          <w:lang w:val="en-US"/>
        </w:rPr>
        <w:t xml:space="preserve"> which</w:t>
      </w:r>
      <w:r w:rsidRPr="00F0055D">
        <w:rPr>
          <w:lang w:val="en-US"/>
        </w:rPr>
        <w:t xml:space="preserve"> the essence of </w:t>
      </w:r>
      <w:r w:rsidR="005B3AC9" w:rsidRPr="00F0055D">
        <w:rPr>
          <w:lang w:val="en-US"/>
        </w:rPr>
        <w:t>the witness’</w:t>
      </w:r>
      <w:r w:rsidRPr="00F0055D">
        <w:rPr>
          <w:lang w:val="en-US"/>
        </w:rPr>
        <w:t xml:space="preserve"> testimony was revealed. Further</w:t>
      </w:r>
      <w:r w:rsidR="005B3AC9" w:rsidRPr="00F0055D">
        <w:rPr>
          <w:lang w:val="en-US"/>
        </w:rPr>
        <w:t>more</w:t>
      </w:r>
      <w:r w:rsidRPr="00F0055D">
        <w:rPr>
          <w:lang w:val="en-US"/>
        </w:rPr>
        <w:t xml:space="preserve">, in the course of </w:t>
      </w:r>
      <w:r w:rsidR="005B3AC9" w:rsidRPr="00F0055D">
        <w:rPr>
          <w:lang w:val="en-US"/>
        </w:rPr>
        <w:t xml:space="preserve">the </w:t>
      </w:r>
      <w:r w:rsidRPr="00F0055D">
        <w:rPr>
          <w:lang w:val="en-US"/>
        </w:rPr>
        <w:t xml:space="preserve">investigation, two broadcasts </w:t>
      </w:r>
      <w:r w:rsidR="005B3AC9" w:rsidRPr="00F0055D">
        <w:rPr>
          <w:lang w:val="en-US"/>
        </w:rPr>
        <w:t>were aired on</w:t>
      </w:r>
      <w:r w:rsidRPr="00F0055D">
        <w:rPr>
          <w:lang w:val="en-US"/>
        </w:rPr>
        <w:t xml:space="preserve"> </w:t>
      </w:r>
      <w:r w:rsidR="005B3AC9" w:rsidRPr="00F0055D">
        <w:rPr>
          <w:lang w:val="en-US"/>
        </w:rPr>
        <w:t>television</w:t>
      </w:r>
      <w:r w:rsidRPr="00F0055D">
        <w:rPr>
          <w:lang w:val="en-US"/>
        </w:rPr>
        <w:t xml:space="preserve"> </w:t>
      </w:r>
      <w:r w:rsidR="005B3AC9" w:rsidRPr="00F0055D">
        <w:rPr>
          <w:lang w:val="en-US"/>
        </w:rPr>
        <w:t xml:space="preserve">about </w:t>
      </w:r>
      <w:r w:rsidRPr="00F0055D">
        <w:rPr>
          <w:lang w:val="en-US"/>
        </w:rPr>
        <w:t>other ongoing activities</w:t>
      </w:r>
      <w:r w:rsidR="005B3AC9" w:rsidRPr="00F0055D">
        <w:rPr>
          <w:lang w:val="en-US"/>
        </w:rPr>
        <w:t xml:space="preserve"> of the investigation</w:t>
      </w:r>
      <w:r w:rsidRPr="00F0055D">
        <w:rPr>
          <w:lang w:val="en-US"/>
        </w:rPr>
        <w:t xml:space="preserve">. In his decision of 31 August 2007, the prosecutor listed all </w:t>
      </w:r>
      <w:r w:rsidR="005B3AC9" w:rsidRPr="00F0055D">
        <w:rPr>
          <w:lang w:val="en-US"/>
        </w:rPr>
        <w:t xml:space="preserve">the </w:t>
      </w:r>
      <w:r w:rsidRPr="00F0055D">
        <w:rPr>
          <w:lang w:val="en-US"/>
        </w:rPr>
        <w:t xml:space="preserve">documents with which </w:t>
      </w:r>
      <w:r w:rsidR="005B3AC9" w:rsidRPr="00F0055D">
        <w:rPr>
          <w:lang w:val="en-US"/>
        </w:rPr>
        <w:t xml:space="preserve">the author and his lawyers were permitted  to </w:t>
      </w:r>
      <w:r w:rsidRPr="00F0055D">
        <w:rPr>
          <w:lang w:val="en-US"/>
        </w:rPr>
        <w:t>familiari</w:t>
      </w:r>
      <w:r w:rsidR="005B3AC9" w:rsidRPr="00F0055D">
        <w:rPr>
          <w:lang w:val="en-US"/>
        </w:rPr>
        <w:t>ze themselves</w:t>
      </w:r>
      <w:r w:rsidRPr="00F0055D">
        <w:rPr>
          <w:lang w:val="en-US"/>
        </w:rPr>
        <w:t xml:space="preserve">. </w:t>
      </w:r>
    </w:p>
    <w:p w:rsidR="00AC35A2" w:rsidRPr="00F0055D" w:rsidRDefault="00AC35A2" w:rsidP="0033414E">
      <w:pPr>
        <w:pStyle w:val="SingleTxtG"/>
        <w:rPr>
          <w:lang w:val="en-US"/>
        </w:rPr>
      </w:pPr>
      <w:r w:rsidRPr="00F0055D">
        <w:rPr>
          <w:lang w:val="en-US"/>
        </w:rPr>
        <w:t>6.11</w:t>
      </w:r>
      <w:r w:rsidR="005C4ED3" w:rsidRPr="00F0055D">
        <w:rPr>
          <w:lang w:val="en-US"/>
        </w:rPr>
        <w:tab/>
      </w:r>
      <w:r w:rsidRPr="00F0055D">
        <w:rPr>
          <w:lang w:val="en-US"/>
        </w:rPr>
        <w:t>Finally, the State party reiterates that the author and his lawyers were informed about their right to familiari</w:t>
      </w:r>
      <w:r w:rsidR="005B3AC9" w:rsidRPr="00F0055D">
        <w:rPr>
          <w:lang w:val="en-US"/>
        </w:rPr>
        <w:t>z</w:t>
      </w:r>
      <w:r w:rsidRPr="00F0055D">
        <w:rPr>
          <w:lang w:val="en-US"/>
        </w:rPr>
        <w:t xml:space="preserve">e themselves with the </w:t>
      </w:r>
      <w:r w:rsidR="005B3AC9" w:rsidRPr="00F0055D">
        <w:rPr>
          <w:lang w:val="en-US"/>
        </w:rPr>
        <w:t xml:space="preserve">materials of the </w:t>
      </w:r>
      <w:r w:rsidRPr="00F0055D">
        <w:rPr>
          <w:lang w:val="en-US"/>
        </w:rPr>
        <w:t>case</w:t>
      </w:r>
      <w:r w:rsidR="005B3AC9" w:rsidRPr="00F0055D">
        <w:rPr>
          <w:lang w:val="en-US"/>
        </w:rPr>
        <w:t xml:space="preserve"> </w:t>
      </w:r>
      <w:r w:rsidRPr="00F0055D">
        <w:rPr>
          <w:lang w:val="en-US"/>
        </w:rPr>
        <w:t xml:space="preserve">file at the end of the pretrial investigation. </w:t>
      </w:r>
      <w:r w:rsidR="005B3AC9" w:rsidRPr="00F0055D">
        <w:rPr>
          <w:lang w:val="en-US"/>
        </w:rPr>
        <w:t>Indeed, t</w:t>
      </w:r>
      <w:r w:rsidRPr="00F0055D">
        <w:rPr>
          <w:lang w:val="en-US"/>
        </w:rPr>
        <w:t>he author was able to familiari</w:t>
      </w:r>
      <w:r w:rsidR="005B3AC9" w:rsidRPr="00F0055D">
        <w:rPr>
          <w:lang w:val="en-US"/>
        </w:rPr>
        <w:t>z</w:t>
      </w:r>
      <w:r w:rsidRPr="00F0055D">
        <w:rPr>
          <w:lang w:val="en-US"/>
        </w:rPr>
        <w:t>e</w:t>
      </w:r>
      <w:r w:rsidR="005B3AC9" w:rsidRPr="00F0055D">
        <w:rPr>
          <w:lang w:val="en-US"/>
        </w:rPr>
        <w:t xml:space="preserve"> himself</w:t>
      </w:r>
      <w:r w:rsidRPr="00F0055D">
        <w:rPr>
          <w:lang w:val="en-US"/>
        </w:rPr>
        <w:t xml:space="preserve"> with the materials of the pretrial investigation</w:t>
      </w:r>
      <w:r w:rsidR="005B3AC9" w:rsidRPr="00F0055D">
        <w:rPr>
          <w:lang w:val="en-US"/>
        </w:rPr>
        <w:t xml:space="preserve"> after it had been completed,</w:t>
      </w:r>
      <w:r w:rsidRPr="00F0055D">
        <w:rPr>
          <w:lang w:val="en-US"/>
        </w:rPr>
        <w:t xml:space="preserve"> and had approximately half of year to prepare his defence.</w:t>
      </w:r>
    </w:p>
    <w:p w:rsidR="00AC35A2" w:rsidRPr="00F0055D" w:rsidRDefault="00AC35A2" w:rsidP="0033414E">
      <w:pPr>
        <w:pStyle w:val="SingleTxtG"/>
        <w:rPr>
          <w:lang w:val="en-US"/>
        </w:rPr>
      </w:pPr>
      <w:r w:rsidRPr="00F0055D">
        <w:rPr>
          <w:lang w:val="en-US"/>
        </w:rPr>
        <w:t>6.12</w:t>
      </w:r>
      <w:r w:rsidR="005C4ED3" w:rsidRPr="00F0055D">
        <w:rPr>
          <w:lang w:val="en-US"/>
        </w:rPr>
        <w:tab/>
      </w:r>
      <w:r w:rsidRPr="00F0055D">
        <w:rPr>
          <w:lang w:val="en-US"/>
        </w:rPr>
        <w:t>Regarding the author’s alleged impossibility to adduce additional evidence during the pretrial investigation, the State party notes that under article 218, para</w:t>
      </w:r>
      <w:r w:rsidR="00B0013A" w:rsidRPr="00F0055D">
        <w:rPr>
          <w:lang w:val="en-US"/>
        </w:rPr>
        <w:t>graph</w:t>
      </w:r>
      <w:r w:rsidRPr="00F0055D">
        <w:rPr>
          <w:lang w:val="en-US"/>
        </w:rPr>
        <w:t xml:space="preserve"> 4</w:t>
      </w:r>
      <w:r w:rsidR="00B0013A" w:rsidRPr="00F0055D">
        <w:rPr>
          <w:lang w:val="en-US"/>
        </w:rPr>
        <w:t>, of the</w:t>
      </w:r>
      <w:r w:rsidRPr="00F0055D">
        <w:rPr>
          <w:lang w:val="en-US"/>
        </w:rPr>
        <w:t xml:space="preserve"> CCP, a prosecutor adopts </w:t>
      </w:r>
      <w:r w:rsidR="00B0013A" w:rsidRPr="00F0055D">
        <w:rPr>
          <w:lang w:val="en-US"/>
        </w:rPr>
        <w:t xml:space="preserve">the </w:t>
      </w:r>
      <w:r w:rsidRPr="00F0055D">
        <w:rPr>
          <w:lang w:val="en-US"/>
        </w:rPr>
        <w:t>decisions in th</w:t>
      </w:r>
      <w:r w:rsidR="00B0013A" w:rsidRPr="00F0055D">
        <w:rPr>
          <w:lang w:val="en-US"/>
        </w:rPr>
        <w:t>at</w:t>
      </w:r>
      <w:r w:rsidRPr="00F0055D">
        <w:rPr>
          <w:lang w:val="en-US"/>
        </w:rPr>
        <w:t xml:space="preserve"> regard. On 22 August 2008, the prosecutor rejected the </w:t>
      </w:r>
      <w:r w:rsidR="00B0013A" w:rsidRPr="00F0055D">
        <w:rPr>
          <w:lang w:val="en-US"/>
        </w:rPr>
        <w:t xml:space="preserve">author’s </w:t>
      </w:r>
      <w:r w:rsidRPr="00F0055D">
        <w:rPr>
          <w:lang w:val="en-US"/>
        </w:rPr>
        <w:t>request to supplement the case file. Since the case</w:t>
      </w:r>
      <w:r w:rsidR="00B0013A" w:rsidRPr="00F0055D">
        <w:rPr>
          <w:lang w:val="en-US"/>
        </w:rPr>
        <w:t xml:space="preserve"> </w:t>
      </w:r>
      <w:r w:rsidRPr="00F0055D">
        <w:rPr>
          <w:lang w:val="en-US"/>
        </w:rPr>
        <w:t xml:space="preserve">file was transmitted to </w:t>
      </w:r>
      <w:smartTag w:uri="urn:schemas-microsoft-com:office:smarttags" w:element="Street">
        <w:smartTag w:uri="urn:schemas-microsoft-com:office:smarttags" w:element="address">
          <w:r w:rsidRPr="00F0055D">
            <w:rPr>
              <w:lang w:val="en-US"/>
            </w:rPr>
            <w:t>Vilnius Regional Court</w:t>
          </w:r>
        </w:smartTag>
      </w:smartTag>
      <w:r w:rsidRPr="00F0055D">
        <w:rPr>
          <w:lang w:val="en-US"/>
        </w:rPr>
        <w:t xml:space="preserve"> on 2 September 2008, the author’s appeal against the prosecutor’s decision of 22 August 2008</w:t>
      </w:r>
      <w:r w:rsidR="00B0013A" w:rsidRPr="00F0055D">
        <w:rPr>
          <w:lang w:val="en-US"/>
        </w:rPr>
        <w:t>,</w:t>
      </w:r>
      <w:r w:rsidRPr="00F0055D">
        <w:rPr>
          <w:lang w:val="en-US"/>
        </w:rPr>
        <w:t xml:space="preserve"> together with the request to supplement materials</w:t>
      </w:r>
      <w:r w:rsidR="00B0013A" w:rsidRPr="00F0055D">
        <w:rPr>
          <w:lang w:val="en-US"/>
        </w:rPr>
        <w:t>,</w:t>
      </w:r>
      <w:r w:rsidRPr="00F0055D">
        <w:rPr>
          <w:lang w:val="en-US"/>
        </w:rPr>
        <w:t xml:space="preserve"> was transferred to the court of first instance. Contrary to the author’s statement that, on 15 December 2008, the court </w:t>
      </w:r>
      <w:r w:rsidR="00B0013A" w:rsidRPr="00F0055D">
        <w:rPr>
          <w:lang w:val="en-US"/>
        </w:rPr>
        <w:t xml:space="preserve">had </w:t>
      </w:r>
      <w:r w:rsidRPr="00F0055D">
        <w:rPr>
          <w:lang w:val="en-US"/>
        </w:rPr>
        <w:t xml:space="preserve">dismissed all </w:t>
      </w:r>
      <w:r w:rsidR="00B0013A" w:rsidRPr="00F0055D">
        <w:rPr>
          <w:lang w:val="en-US"/>
        </w:rPr>
        <w:t>his and his lawyer’s</w:t>
      </w:r>
      <w:r w:rsidRPr="00F0055D">
        <w:rPr>
          <w:lang w:val="en-US"/>
        </w:rPr>
        <w:t xml:space="preserve"> requests without examination, the State party points out that the court indicated that</w:t>
      </w:r>
      <w:r w:rsidR="00187D3C" w:rsidRPr="00F0055D">
        <w:rPr>
          <w:lang w:val="en-US"/>
        </w:rPr>
        <w:t>,</w:t>
      </w:r>
      <w:r w:rsidRPr="00F0055D">
        <w:rPr>
          <w:lang w:val="en-US"/>
        </w:rPr>
        <w:t xml:space="preserve"> at that stage of</w:t>
      </w:r>
      <w:r w:rsidR="00B0013A" w:rsidRPr="00F0055D">
        <w:rPr>
          <w:lang w:val="en-US"/>
        </w:rPr>
        <w:t xml:space="preserve"> the</w:t>
      </w:r>
      <w:r w:rsidRPr="00F0055D">
        <w:rPr>
          <w:lang w:val="en-US"/>
        </w:rPr>
        <w:t xml:space="preserve"> proceedings, the request </w:t>
      </w:r>
      <w:r w:rsidR="00B0013A" w:rsidRPr="00F0055D">
        <w:rPr>
          <w:lang w:val="en-US"/>
        </w:rPr>
        <w:t xml:space="preserve">had to </w:t>
      </w:r>
      <w:r w:rsidRPr="00F0055D">
        <w:rPr>
          <w:lang w:val="en-US"/>
        </w:rPr>
        <w:t xml:space="preserve">be dismissed as it could not consider requests to supplement the case file before it had examined the materials already on file. This statement, according to the State party, </w:t>
      </w:r>
      <w:r w:rsidR="00B0013A" w:rsidRPr="00F0055D">
        <w:rPr>
          <w:lang w:val="en-US"/>
        </w:rPr>
        <w:t>should</w:t>
      </w:r>
      <w:r w:rsidRPr="00F0055D">
        <w:rPr>
          <w:lang w:val="en-US"/>
        </w:rPr>
        <w:t xml:space="preserve"> not be considered as </w:t>
      </w:r>
      <w:r w:rsidR="00B0013A" w:rsidRPr="00F0055D">
        <w:rPr>
          <w:lang w:val="en-US"/>
        </w:rPr>
        <w:t xml:space="preserve">a </w:t>
      </w:r>
      <w:r w:rsidRPr="00F0055D">
        <w:rPr>
          <w:lang w:val="en-US"/>
        </w:rPr>
        <w:t xml:space="preserve">definitive rejection of the request, but rather as a postponement of addressing it. </w:t>
      </w:r>
    </w:p>
    <w:p w:rsidR="00AC35A2" w:rsidRPr="00F0055D" w:rsidRDefault="00AC35A2" w:rsidP="0033414E">
      <w:pPr>
        <w:pStyle w:val="SingleTxtG"/>
        <w:rPr>
          <w:lang w:val="en-US"/>
        </w:rPr>
      </w:pPr>
      <w:r w:rsidRPr="00F0055D">
        <w:rPr>
          <w:lang w:val="en-US"/>
        </w:rPr>
        <w:t>6.13</w:t>
      </w:r>
      <w:r w:rsidR="005C4ED3" w:rsidRPr="00F0055D">
        <w:rPr>
          <w:lang w:val="en-US"/>
        </w:rPr>
        <w:tab/>
      </w:r>
      <w:r w:rsidR="002E11B3" w:rsidRPr="00F0055D">
        <w:rPr>
          <w:lang w:val="en-US"/>
        </w:rPr>
        <w:t>Regarding</w:t>
      </w:r>
      <w:r w:rsidRPr="00F0055D">
        <w:rPr>
          <w:lang w:val="en-US"/>
        </w:rPr>
        <w:t xml:space="preserve"> access </w:t>
      </w:r>
      <w:r w:rsidR="002E11B3" w:rsidRPr="00F0055D">
        <w:rPr>
          <w:lang w:val="en-US"/>
        </w:rPr>
        <w:t>to</w:t>
      </w:r>
      <w:r w:rsidRPr="00F0055D">
        <w:rPr>
          <w:lang w:val="en-US"/>
        </w:rPr>
        <w:t xml:space="preserve"> materials regarding witnesses who were granted anonymity, the State party submits that, although after the completion of the pretrial investigation, suspects and lawyers are entitled to acquaint</w:t>
      </w:r>
      <w:r w:rsidR="002E11B3" w:rsidRPr="00F0055D">
        <w:rPr>
          <w:lang w:val="en-US"/>
        </w:rPr>
        <w:t xml:space="preserve"> themselves</w:t>
      </w:r>
      <w:r w:rsidRPr="00F0055D">
        <w:rPr>
          <w:lang w:val="en-US"/>
        </w:rPr>
        <w:t xml:space="preserve"> with the case file</w:t>
      </w:r>
      <w:r w:rsidR="002E11B3" w:rsidRPr="00F0055D">
        <w:rPr>
          <w:lang w:val="en-US"/>
        </w:rPr>
        <w:t>,</w:t>
      </w:r>
      <w:r w:rsidRPr="00F0055D">
        <w:rPr>
          <w:lang w:val="en-US"/>
        </w:rPr>
        <w:t xml:space="preserve"> and the author </w:t>
      </w:r>
      <w:r w:rsidR="002E11B3" w:rsidRPr="00F0055D">
        <w:rPr>
          <w:lang w:val="en-US"/>
        </w:rPr>
        <w:t xml:space="preserve">had </w:t>
      </w:r>
      <w:r w:rsidRPr="00F0055D">
        <w:rPr>
          <w:lang w:val="en-US"/>
        </w:rPr>
        <w:t>exercised th</w:t>
      </w:r>
      <w:r w:rsidR="002E11B3" w:rsidRPr="00F0055D">
        <w:rPr>
          <w:lang w:val="en-US"/>
        </w:rPr>
        <w:t>at</w:t>
      </w:r>
      <w:r w:rsidRPr="00F0055D">
        <w:rPr>
          <w:lang w:val="en-US"/>
        </w:rPr>
        <w:t xml:space="preserve"> right, </w:t>
      </w:r>
      <w:r w:rsidR="002E11B3" w:rsidRPr="00F0055D">
        <w:rPr>
          <w:lang w:val="en-US"/>
        </w:rPr>
        <w:t xml:space="preserve">it </w:t>
      </w:r>
      <w:r w:rsidRPr="00F0055D">
        <w:rPr>
          <w:lang w:val="en-US"/>
        </w:rPr>
        <w:t>does not affect the institut</w:t>
      </w:r>
      <w:r w:rsidR="002E11B3" w:rsidRPr="00F0055D">
        <w:rPr>
          <w:lang w:val="en-US"/>
        </w:rPr>
        <w:t xml:space="preserve">ion </w:t>
      </w:r>
      <w:r w:rsidRPr="00F0055D">
        <w:rPr>
          <w:lang w:val="en-US"/>
        </w:rPr>
        <w:t xml:space="preserve">of </w:t>
      </w:r>
      <w:r w:rsidR="002E11B3" w:rsidRPr="00F0055D">
        <w:rPr>
          <w:lang w:val="en-US"/>
        </w:rPr>
        <w:t xml:space="preserve">witness </w:t>
      </w:r>
      <w:r w:rsidRPr="00F0055D">
        <w:rPr>
          <w:lang w:val="en-US"/>
        </w:rPr>
        <w:t>anonymity in criminal proceedings. In particular, in his decision of 17 March 2008</w:t>
      </w:r>
      <w:r w:rsidR="002E11B3" w:rsidRPr="00F0055D">
        <w:rPr>
          <w:lang w:val="en-US"/>
        </w:rPr>
        <w:t>, the prosecutor</w:t>
      </w:r>
      <w:r w:rsidRPr="00F0055D">
        <w:rPr>
          <w:lang w:val="en-US"/>
        </w:rPr>
        <w:t xml:space="preserve"> indicated that certain witnesses had been questioned in </w:t>
      </w:r>
      <w:r w:rsidR="002E11B3" w:rsidRPr="00F0055D">
        <w:rPr>
          <w:lang w:val="en-US"/>
        </w:rPr>
        <w:t>a</w:t>
      </w:r>
      <w:r w:rsidR="00496CE2">
        <w:rPr>
          <w:lang w:val="en-US"/>
        </w:rPr>
        <w:t>n</w:t>
      </w:r>
      <w:r w:rsidR="002E11B3" w:rsidRPr="00F0055D">
        <w:rPr>
          <w:lang w:val="en-US"/>
        </w:rPr>
        <w:t xml:space="preserve"> </w:t>
      </w:r>
      <w:r w:rsidRPr="00F0055D">
        <w:rPr>
          <w:lang w:val="en-US"/>
        </w:rPr>
        <w:t xml:space="preserve">ordinary way, but later requested anonymity due to fears </w:t>
      </w:r>
      <w:r w:rsidR="002E11B3" w:rsidRPr="00F0055D">
        <w:rPr>
          <w:lang w:val="en-US"/>
        </w:rPr>
        <w:t>about</w:t>
      </w:r>
      <w:r w:rsidRPr="00F0055D">
        <w:rPr>
          <w:lang w:val="en-US"/>
        </w:rPr>
        <w:t xml:space="preserve"> retaliation</w:t>
      </w:r>
      <w:r w:rsidR="002E11B3" w:rsidRPr="00F0055D">
        <w:rPr>
          <w:lang w:val="en-US"/>
        </w:rPr>
        <w:t xml:space="preserve"> by the author</w:t>
      </w:r>
      <w:r w:rsidRPr="00F0055D">
        <w:rPr>
          <w:lang w:val="en-US"/>
        </w:rPr>
        <w:t xml:space="preserve">. </w:t>
      </w:r>
      <w:r w:rsidR="00D95CDE" w:rsidRPr="00F0055D">
        <w:rPr>
          <w:lang w:val="en-US"/>
        </w:rPr>
        <w:t xml:space="preserve">As such, </w:t>
      </w:r>
      <w:r w:rsidRPr="00F0055D">
        <w:rPr>
          <w:lang w:val="en-US"/>
        </w:rPr>
        <w:t xml:space="preserve">the records of their </w:t>
      </w:r>
      <w:r w:rsidR="00D95CDE" w:rsidRPr="00F0055D">
        <w:rPr>
          <w:lang w:val="en-US"/>
        </w:rPr>
        <w:t>testimonies</w:t>
      </w:r>
      <w:r w:rsidRPr="00F0055D">
        <w:rPr>
          <w:lang w:val="en-US"/>
        </w:rPr>
        <w:t xml:space="preserve"> were </w:t>
      </w:r>
      <w:r w:rsidR="00D95CDE" w:rsidRPr="00F0055D">
        <w:rPr>
          <w:lang w:val="en-US"/>
        </w:rPr>
        <w:t>removed from the file</w:t>
      </w:r>
      <w:r w:rsidRPr="00F0055D">
        <w:rPr>
          <w:lang w:val="en-US"/>
        </w:rPr>
        <w:t xml:space="preserve">. Given that this issue was also raised during the hearing of 15 December 2008, the court of first instance explained to the author and his defence that they </w:t>
      </w:r>
      <w:r w:rsidR="00D95CDE" w:rsidRPr="00F0055D">
        <w:rPr>
          <w:lang w:val="en-US"/>
        </w:rPr>
        <w:t>would</w:t>
      </w:r>
      <w:r w:rsidRPr="00F0055D">
        <w:rPr>
          <w:lang w:val="en-US"/>
        </w:rPr>
        <w:t xml:space="preserve"> be able to question the witnesses to whom anonymity was applied at a later stage. Similarly, the court stated that the author’s request to additionally question certain witnesses w</w:t>
      </w:r>
      <w:r w:rsidR="00D95CDE" w:rsidRPr="00F0055D">
        <w:rPr>
          <w:lang w:val="en-US"/>
        </w:rPr>
        <w:t>ould</w:t>
      </w:r>
      <w:r w:rsidRPr="00F0055D">
        <w:rPr>
          <w:lang w:val="en-US"/>
        </w:rPr>
        <w:t xml:space="preserve"> be dealt with at a later stage of the examination of the case.</w:t>
      </w:r>
    </w:p>
    <w:p w:rsidR="00AC35A2" w:rsidRPr="00F0055D" w:rsidRDefault="00AC35A2" w:rsidP="0033414E">
      <w:pPr>
        <w:pStyle w:val="SingleTxtG"/>
        <w:rPr>
          <w:lang w:val="en-US"/>
        </w:rPr>
      </w:pPr>
      <w:r w:rsidRPr="00F0055D">
        <w:rPr>
          <w:lang w:val="en-US"/>
        </w:rPr>
        <w:t>6.14</w:t>
      </w:r>
      <w:r w:rsidR="005C4ED3" w:rsidRPr="00F0055D">
        <w:rPr>
          <w:lang w:val="en-US"/>
        </w:rPr>
        <w:tab/>
      </w:r>
      <w:r w:rsidRPr="00F0055D">
        <w:rPr>
          <w:lang w:val="en-US"/>
        </w:rPr>
        <w:t>In</w:t>
      </w:r>
      <w:r w:rsidR="00D95CDE" w:rsidRPr="00F0055D">
        <w:rPr>
          <w:lang w:val="en-US"/>
        </w:rPr>
        <w:t xml:space="preserve"> the</w:t>
      </w:r>
      <w:r w:rsidRPr="00F0055D">
        <w:rPr>
          <w:lang w:val="en-US"/>
        </w:rPr>
        <w:t xml:space="preserve"> light of the above, the State party maintains that the author’s claims regarding </w:t>
      </w:r>
      <w:r w:rsidR="007342FA" w:rsidRPr="00F0055D">
        <w:rPr>
          <w:lang w:val="en-US"/>
        </w:rPr>
        <w:t xml:space="preserve">his ability to </w:t>
      </w:r>
      <w:r w:rsidRPr="00F0055D">
        <w:rPr>
          <w:lang w:val="en-US"/>
        </w:rPr>
        <w:t>familiariz</w:t>
      </w:r>
      <w:r w:rsidR="007342FA" w:rsidRPr="00F0055D">
        <w:rPr>
          <w:lang w:val="en-US"/>
        </w:rPr>
        <w:t>e himself</w:t>
      </w:r>
      <w:r w:rsidRPr="00F0055D">
        <w:rPr>
          <w:lang w:val="en-US"/>
        </w:rPr>
        <w:t xml:space="preserve"> with the materials and his right to defence are unsubstantiated. In any event, the author’s right to access materials </w:t>
      </w:r>
      <w:r w:rsidR="00773298" w:rsidRPr="00F0055D">
        <w:rPr>
          <w:lang w:val="en-US"/>
        </w:rPr>
        <w:t xml:space="preserve">in </w:t>
      </w:r>
      <w:r w:rsidRPr="00F0055D">
        <w:rPr>
          <w:lang w:val="en-US"/>
        </w:rPr>
        <w:t>the case</w:t>
      </w:r>
      <w:r w:rsidR="00773298" w:rsidRPr="00F0055D">
        <w:rPr>
          <w:lang w:val="en-US"/>
        </w:rPr>
        <w:t xml:space="preserve"> file</w:t>
      </w:r>
      <w:r w:rsidRPr="00F0055D">
        <w:rPr>
          <w:lang w:val="en-US"/>
        </w:rPr>
        <w:t xml:space="preserve"> and his right to defence w</w:t>
      </w:r>
      <w:r w:rsidR="00773298" w:rsidRPr="00F0055D">
        <w:rPr>
          <w:lang w:val="en-US"/>
        </w:rPr>
        <w:t>ere</w:t>
      </w:r>
      <w:r w:rsidRPr="00F0055D">
        <w:rPr>
          <w:lang w:val="en-US"/>
        </w:rPr>
        <w:t xml:space="preserve"> not restricted in a manner incompatible with article 14, paragraph 3 (b), of the Covenant.</w:t>
      </w:r>
    </w:p>
    <w:p w:rsidR="00AC35A2" w:rsidRPr="00F0055D" w:rsidRDefault="00AC35A2" w:rsidP="0033414E">
      <w:pPr>
        <w:pStyle w:val="SingleTxtG"/>
        <w:rPr>
          <w:lang w:val="en-US"/>
        </w:rPr>
      </w:pPr>
      <w:r w:rsidRPr="00F0055D">
        <w:rPr>
          <w:lang w:val="en-US"/>
        </w:rPr>
        <w:t>6.15</w:t>
      </w:r>
      <w:r w:rsidR="005C4ED3" w:rsidRPr="00F0055D">
        <w:rPr>
          <w:lang w:val="en-US"/>
        </w:rPr>
        <w:tab/>
      </w:r>
      <w:r w:rsidRPr="00F0055D">
        <w:rPr>
          <w:lang w:val="en-US"/>
        </w:rPr>
        <w:t xml:space="preserve">On the author’s claims about inability to communicate with his lawyers without interference, the State party notes that according to the information on file, he sought the </w:t>
      </w:r>
      <w:r w:rsidR="00773298" w:rsidRPr="00F0055D">
        <w:rPr>
          <w:lang w:val="en-US"/>
        </w:rPr>
        <w:t>alteration</w:t>
      </w:r>
      <w:r w:rsidRPr="00F0055D">
        <w:rPr>
          <w:lang w:val="en-US"/>
        </w:rPr>
        <w:t xml:space="preserve"> of </w:t>
      </w:r>
      <w:r w:rsidR="00773298" w:rsidRPr="00F0055D">
        <w:rPr>
          <w:lang w:val="en-US"/>
        </w:rPr>
        <w:t>the</w:t>
      </w:r>
      <w:r w:rsidRPr="00F0055D">
        <w:rPr>
          <w:lang w:val="en-US"/>
        </w:rPr>
        <w:t xml:space="preserve"> prohibition to leave Palanga, </w:t>
      </w:r>
      <w:r w:rsidR="00773298" w:rsidRPr="00F0055D">
        <w:rPr>
          <w:lang w:val="en-US"/>
        </w:rPr>
        <w:t>because</w:t>
      </w:r>
      <w:r w:rsidRPr="00F0055D">
        <w:rPr>
          <w:lang w:val="en-US"/>
        </w:rPr>
        <w:t xml:space="preserve"> his defence lawyers were based in </w:t>
      </w:r>
      <w:smartTag w:uri="urn:schemas-microsoft-com:office:smarttags" w:element="place">
        <w:smartTag w:uri="urn:schemas-microsoft-com:office:smarttags" w:element="City">
          <w:r w:rsidRPr="00F0055D">
            <w:rPr>
              <w:lang w:val="en-US"/>
            </w:rPr>
            <w:t>Vilnius</w:t>
          </w:r>
        </w:smartTag>
      </w:smartTag>
      <w:r w:rsidRPr="00F0055D">
        <w:rPr>
          <w:lang w:val="en-US"/>
        </w:rPr>
        <w:t xml:space="preserve">. Article 14, paragraph 3 (b), of the Covenant establishes the right to have adequate time and facilities to communicate with counsel of </w:t>
      </w:r>
      <w:r w:rsidR="00773298" w:rsidRPr="00F0055D">
        <w:rPr>
          <w:lang w:val="en-US"/>
        </w:rPr>
        <w:t xml:space="preserve">one’s </w:t>
      </w:r>
      <w:r w:rsidRPr="00F0055D">
        <w:rPr>
          <w:lang w:val="en-US"/>
        </w:rPr>
        <w:t xml:space="preserve">own choosing. </w:t>
      </w:r>
      <w:r w:rsidR="00773298" w:rsidRPr="00F0055D">
        <w:rPr>
          <w:lang w:val="en-US"/>
        </w:rPr>
        <w:t>The State party asserts that n</w:t>
      </w:r>
      <w:r w:rsidRPr="00F0055D">
        <w:rPr>
          <w:lang w:val="en-US"/>
        </w:rPr>
        <w:t xml:space="preserve">othing prevented the author </w:t>
      </w:r>
      <w:r w:rsidR="00773298" w:rsidRPr="00F0055D">
        <w:rPr>
          <w:lang w:val="en-US"/>
        </w:rPr>
        <w:t>from</w:t>
      </w:r>
      <w:r w:rsidRPr="00F0055D">
        <w:rPr>
          <w:lang w:val="en-US"/>
        </w:rPr>
        <w:t xml:space="preserve"> choos</w:t>
      </w:r>
      <w:r w:rsidR="00773298" w:rsidRPr="00F0055D">
        <w:rPr>
          <w:lang w:val="en-US"/>
        </w:rPr>
        <w:t>ing</w:t>
      </w:r>
      <w:r w:rsidRPr="00F0055D">
        <w:rPr>
          <w:lang w:val="en-US"/>
        </w:rPr>
        <w:t xml:space="preserve"> a lawyer practicing in Palanga, </w:t>
      </w:r>
      <w:r w:rsidR="00773298" w:rsidRPr="00F0055D">
        <w:rPr>
          <w:lang w:val="en-US"/>
        </w:rPr>
        <w:t xml:space="preserve">especially </w:t>
      </w:r>
      <w:r w:rsidRPr="00F0055D">
        <w:rPr>
          <w:lang w:val="en-US"/>
        </w:rPr>
        <w:t xml:space="preserve">given </w:t>
      </w:r>
      <w:r w:rsidR="00773298" w:rsidRPr="00F0055D">
        <w:rPr>
          <w:lang w:val="en-US"/>
        </w:rPr>
        <w:t>the</w:t>
      </w:r>
      <w:r w:rsidRPr="00F0055D">
        <w:rPr>
          <w:lang w:val="en-US"/>
        </w:rPr>
        <w:t xml:space="preserve"> restraint measure. However, he chose lawyers practicing elsewhere. Nevertheless, the State party notes that the author’s visits to </w:t>
      </w:r>
      <w:smartTag w:uri="urn:schemas-microsoft-com:office:smarttags" w:element="place">
        <w:smartTag w:uri="urn:schemas-microsoft-com:office:smarttags" w:element="City">
          <w:r w:rsidRPr="00F0055D">
            <w:rPr>
              <w:lang w:val="en-US"/>
            </w:rPr>
            <w:t>Vilnius</w:t>
          </w:r>
        </w:smartTag>
      </w:smartTag>
      <w:r w:rsidRPr="00F0055D">
        <w:rPr>
          <w:lang w:val="en-US"/>
        </w:rPr>
        <w:t xml:space="preserve"> to meet his lawyers</w:t>
      </w:r>
      <w:r w:rsidR="00773298" w:rsidRPr="00F0055D">
        <w:rPr>
          <w:lang w:val="en-US"/>
        </w:rPr>
        <w:t>, not to mention other possible forms of communication,</w:t>
      </w:r>
      <w:r w:rsidRPr="00F0055D">
        <w:rPr>
          <w:lang w:val="en-US"/>
        </w:rPr>
        <w:t xml:space="preserve"> were not hindered. Quite to the contrary, the author’s requests to the prosecutor, who, in accordance with article 136, paragraph 1,</w:t>
      </w:r>
      <w:r w:rsidR="00773298" w:rsidRPr="00F0055D">
        <w:rPr>
          <w:lang w:val="en-US"/>
        </w:rPr>
        <w:t xml:space="preserve"> of the</w:t>
      </w:r>
      <w:r w:rsidRPr="00F0055D">
        <w:rPr>
          <w:lang w:val="en-US"/>
        </w:rPr>
        <w:t xml:space="preserve"> CCP, </w:t>
      </w:r>
      <w:r w:rsidR="00773298" w:rsidRPr="00F0055D">
        <w:rPr>
          <w:lang w:val="en-US"/>
        </w:rPr>
        <w:t>had the power</w:t>
      </w:r>
      <w:r w:rsidRPr="00F0055D">
        <w:rPr>
          <w:lang w:val="en-US"/>
        </w:rPr>
        <w:t xml:space="preserve"> to grant permission to leave the place of residence, were settled in an informal and prompt manner by fax. </w:t>
      </w:r>
      <w:r w:rsidR="005B3855" w:rsidRPr="00F0055D">
        <w:rPr>
          <w:lang w:val="en-US"/>
        </w:rPr>
        <w:t>O</w:t>
      </w:r>
      <w:r w:rsidRPr="00F0055D">
        <w:rPr>
          <w:lang w:val="en-US"/>
        </w:rPr>
        <w:t xml:space="preserve">n several occasions, when examining the author’s appeals against the prosecutor’s decisions refusing to change the conditions of the imposed </w:t>
      </w:r>
      <w:r w:rsidR="005B3855" w:rsidRPr="00F0055D">
        <w:rPr>
          <w:lang w:val="en-US"/>
        </w:rPr>
        <w:t>prohibition</w:t>
      </w:r>
      <w:r w:rsidRPr="00F0055D">
        <w:rPr>
          <w:lang w:val="en-US"/>
        </w:rPr>
        <w:t xml:space="preserve"> to leave Palanga, </w:t>
      </w:r>
      <w:r w:rsidR="005B3855" w:rsidRPr="00F0055D">
        <w:rPr>
          <w:lang w:val="en-US"/>
        </w:rPr>
        <w:t xml:space="preserve">Vilnius Second District Court </w:t>
      </w:r>
      <w:r w:rsidRPr="00F0055D">
        <w:rPr>
          <w:lang w:val="en-US"/>
        </w:rPr>
        <w:t xml:space="preserve">stated that the author was not </w:t>
      </w:r>
      <w:r w:rsidR="005B3855" w:rsidRPr="00F0055D">
        <w:rPr>
          <w:lang w:val="en-US"/>
        </w:rPr>
        <w:t>prevented from</w:t>
      </w:r>
      <w:r w:rsidRPr="00F0055D">
        <w:rPr>
          <w:lang w:val="en-US"/>
        </w:rPr>
        <w:t xml:space="preserve"> </w:t>
      </w:r>
      <w:r w:rsidR="005B3855" w:rsidRPr="00F0055D">
        <w:rPr>
          <w:lang w:val="en-US"/>
        </w:rPr>
        <w:t>going to</w:t>
      </w:r>
      <w:r w:rsidRPr="00F0055D">
        <w:rPr>
          <w:lang w:val="en-US"/>
        </w:rPr>
        <w:t xml:space="preserve"> </w:t>
      </w:r>
      <w:smartTag w:uri="urn:schemas-microsoft-com:office:smarttags" w:element="place">
        <w:smartTag w:uri="urn:schemas-microsoft-com:office:smarttags" w:element="City">
          <w:r w:rsidRPr="00F0055D">
            <w:rPr>
              <w:lang w:val="en-US"/>
            </w:rPr>
            <w:t>Vilnius</w:t>
          </w:r>
        </w:smartTag>
      </w:smartTag>
      <w:r w:rsidRPr="00F0055D">
        <w:rPr>
          <w:lang w:val="en-US"/>
        </w:rPr>
        <w:t xml:space="preserve"> in order to visit doctors or lawyers. Moreover, </w:t>
      </w:r>
      <w:r w:rsidR="005B3855" w:rsidRPr="00F0055D">
        <w:rPr>
          <w:lang w:val="en-US"/>
        </w:rPr>
        <w:t xml:space="preserve">the State party </w:t>
      </w:r>
      <w:r w:rsidRPr="00F0055D">
        <w:rPr>
          <w:lang w:val="en-US"/>
        </w:rPr>
        <w:t>note</w:t>
      </w:r>
      <w:r w:rsidR="005B3855" w:rsidRPr="00F0055D">
        <w:rPr>
          <w:lang w:val="en-US"/>
        </w:rPr>
        <w:t>s</w:t>
      </w:r>
      <w:r w:rsidRPr="00F0055D">
        <w:rPr>
          <w:lang w:val="en-US"/>
        </w:rPr>
        <w:t xml:space="preserve"> that the author had never submitted any complaints about hindrance or preclusion </w:t>
      </w:r>
      <w:r w:rsidR="005B3855" w:rsidRPr="00F0055D">
        <w:rPr>
          <w:lang w:val="en-US"/>
        </w:rPr>
        <w:t xml:space="preserve">with regard </w:t>
      </w:r>
      <w:r w:rsidRPr="00F0055D">
        <w:rPr>
          <w:lang w:val="en-US"/>
        </w:rPr>
        <w:t xml:space="preserve">to </w:t>
      </w:r>
      <w:r w:rsidR="005B3855" w:rsidRPr="00F0055D">
        <w:rPr>
          <w:lang w:val="en-US"/>
        </w:rPr>
        <w:t>meeting with</w:t>
      </w:r>
      <w:r w:rsidRPr="00F0055D">
        <w:rPr>
          <w:lang w:val="en-US"/>
        </w:rPr>
        <w:t xml:space="preserve"> his defence lawyers. Therefore, the State party submits that th</w:t>
      </w:r>
      <w:r w:rsidR="005B3855" w:rsidRPr="00F0055D">
        <w:rPr>
          <w:lang w:val="en-US"/>
        </w:rPr>
        <w:t xml:space="preserve">at </w:t>
      </w:r>
      <w:r w:rsidRPr="00F0055D">
        <w:rPr>
          <w:lang w:val="en-US"/>
        </w:rPr>
        <w:t>claim is unsubstantiated.</w:t>
      </w:r>
    </w:p>
    <w:p w:rsidR="00AC35A2" w:rsidRPr="00F0055D" w:rsidRDefault="00AC35A2" w:rsidP="0033414E">
      <w:pPr>
        <w:pStyle w:val="SingleTxtG"/>
        <w:rPr>
          <w:lang w:val="en-US"/>
        </w:rPr>
      </w:pPr>
      <w:r w:rsidRPr="00F0055D">
        <w:rPr>
          <w:lang w:val="en-US"/>
        </w:rPr>
        <w:t>6.16</w:t>
      </w:r>
      <w:r w:rsidR="005C4ED3" w:rsidRPr="00F0055D">
        <w:rPr>
          <w:lang w:val="en-US"/>
        </w:rPr>
        <w:tab/>
      </w:r>
      <w:r w:rsidRPr="00F0055D">
        <w:rPr>
          <w:lang w:val="en-US"/>
        </w:rPr>
        <w:t>In light of above, the State party maintains that the complaints additionally submitted by the author on 15 March 2010, are premature or unsubstantiated and therefore thus inadmissible. The State party maintains that, in any event, the author’s rights were not violated.</w:t>
      </w:r>
    </w:p>
    <w:p w:rsidR="00AC35A2" w:rsidRPr="00F0055D" w:rsidRDefault="00803AC0" w:rsidP="00803AC0">
      <w:pPr>
        <w:pStyle w:val="H23G"/>
        <w:rPr>
          <w:lang w:val="en-US"/>
        </w:rPr>
      </w:pPr>
      <w:r w:rsidRPr="00F0055D">
        <w:rPr>
          <w:lang w:val="en-US"/>
        </w:rPr>
        <w:tab/>
      </w:r>
      <w:r w:rsidRPr="00F0055D">
        <w:rPr>
          <w:lang w:val="en-US"/>
        </w:rPr>
        <w:tab/>
      </w:r>
      <w:r w:rsidR="00AC35A2" w:rsidRPr="00F0055D">
        <w:rPr>
          <w:lang w:val="en-US"/>
        </w:rPr>
        <w:t>Author’s comments</w:t>
      </w:r>
      <w:r w:rsidR="00C36860" w:rsidRPr="00F0055D">
        <w:rPr>
          <w:lang w:val="en-US"/>
        </w:rPr>
        <w:t xml:space="preserve"> on the State party’s additional observations</w:t>
      </w:r>
    </w:p>
    <w:p w:rsidR="00AC35A2" w:rsidRPr="00F0055D" w:rsidRDefault="00AC35A2" w:rsidP="000C387C">
      <w:pPr>
        <w:pStyle w:val="SingleTxtG"/>
        <w:spacing w:line="220" w:lineRule="atLeast"/>
        <w:rPr>
          <w:lang w:val="en-US"/>
        </w:rPr>
      </w:pPr>
      <w:r w:rsidRPr="00F0055D">
        <w:rPr>
          <w:lang w:val="en-US"/>
        </w:rPr>
        <w:t>7.1</w:t>
      </w:r>
      <w:r w:rsidR="005C4ED3" w:rsidRPr="00F0055D">
        <w:rPr>
          <w:lang w:val="en-US"/>
        </w:rPr>
        <w:tab/>
      </w:r>
      <w:r w:rsidRPr="00F0055D">
        <w:rPr>
          <w:lang w:val="en-US"/>
        </w:rPr>
        <w:t>On 11 September 2010, the author point</w:t>
      </w:r>
      <w:r w:rsidR="005B3855" w:rsidRPr="00F0055D">
        <w:rPr>
          <w:lang w:val="en-US"/>
        </w:rPr>
        <w:t>ed</w:t>
      </w:r>
      <w:r w:rsidRPr="00F0055D">
        <w:rPr>
          <w:lang w:val="en-US"/>
        </w:rPr>
        <w:t xml:space="preserve"> out that the court </w:t>
      </w:r>
      <w:r w:rsidR="005B3855" w:rsidRPr="00F0055D">
        <w:rPr>
          <w:lang w:val="en-US"/>
        </w:rPr>
        <w:t xml:space="preserve">had </w:t>
      </w:r>
      <w:r w:rsidRPr="00F0055D">
        <w:rPr>
          <w:lang w:val="en-US"/>
        </w:rPr>
        <w:t>postponed the adjudication of his criminal case on 15 December 2008. Thereafter, his lawyer requested the court to question several witnesses; however</w:t>
      </w:r>
      <w:r w:rsidR="005B3855" w:rsidRPr="00F0055D">
        <w:rPr>
          <w:lang w:val="en-US"/>
        </w:rPr>
        <w:t>,</w:t>
      </w:r>
      <w:r w:rsidRPr="00F0055D">
        <w:rPr>
          <w:lang w:val="en-US"/>
        </w:rPr>
        <w:t xml:space="preserve"> th</w:t>
      </w:r>
      <w:r w:rsidR="005B3855" w:rsidRPr="00F0055D">
        <w:rPr>
          <w:lang w:val="en-US"/>
        </w:rPr>
        <w:t>at</w:t>
      </w:r>
      <w:r w:rsidRPr="00F0055D">
        <w:rPr>
          <w:lang w:val="en-US"/>
        </w:rPr>
        <w:t xml:space="preserve"> request was dismissed on grounds that, at that stage of </w:t>
      </w:r>
      <w:r w:rsidR="00931FFE" w:rsidRPr="00F0055D">
        <w:rPr>
          <w:lang w:val="en-US"/>
        </w:rPr>
        <w:t xml:space="preserve">the </w:t>
      </w:r>
      <w:r w:rsidRPr="00F0055D">
        <w:rPr>
          <w:lang w:val="en-US"/>
        </w:rPr>
        <w:t xml:space="preserve">criminal proceedings, </w:t>
      </w:r>
      <w:r w:rsidR="00931FFE" w:rsidRPr="00F0055D">
        <w:rPr>
          <w:lang w:val="en-US"/>
        </w:rPr>
        <w:t>that constituted</w:t>
      </w:r>
      <w:r w:rsidRPr="00F0055D">
        <w:rPr>
          <w:lang w:val="en-US"/>
        </w:rPr>
        <w:t xml:space="preserve"> new evidence</w:t>
      </w:r>
      <w:r w:rsidR="00931FFE" w:rsidRPr="00F0055D">
        <w:rPr>
          <w:lang w:val="en-US"/>
        </w:rPr>
        <w:t>,</w:t>
      </w:r>
      <w:r w:rsidRPr="00F0055D">
        <w:rPr>
          <w:lang w:val="en-US"/>
        </w:rPr>
        <w:t xml:space="preserve"> and new evidence could not be examined before evidence already gathered</w:t>
      </w:r>
      <w:r w:rsidR="00931FFE" w:rsidRPr="00F0055D">
        <w:rPr>
          <w:lang w:val="en-US"/>
        </w:rPr>
        <w:t xml:space="preserve"> had been examined</w:t>
      </w:r>
      <w:r w:rsidRPr="00F0055D">
        <w:rPr>
          <w:lang w:val="en-US"/>
        </w:rPr>
        <w:t xml:space="preserve">. The decision </w:t>
      </w:r>
      <w:r w:rsidR="00931FFE" w:rsidRPr="00F0055D">
        <w:rPr>
          <w:lang w:val="en-US"/>
        </w:rPr>
        <w:t>as to</w:t>
      </w:r>
      <w:r w:rsidRPr="00F0055D">
        <w:rPr>
          <w:lang w:val="en-US"/>
        </w:rPr>
        <w:t xml:space="preserve"> whether to alter the prohibition to leave Palanga was also postponed.</w:t>
      </w:r>
    </w:p>
    <w:p w:rsidR="00AC35A2" w:rsidRPr="00F0055D" w:rsidRDefault="00AC35A2" w:rsidP="000C387C">
      <w:pPr>
        <w:pStyle w:val="SingleTxtG"/>
        <w:spacing w:line="220" w:lineRule="atLeast"/>
        <w:rPr>
          <w:lang w:val="en-US"/>
        </w:rPr>
      </w:pPr>
      <w:r w:rsidRPr="00F0055D">
        <w:rPr>
          <w:lang w:val="en-US"/>
        </w:rPr>
        <w:t>7.2</w:t>
      </w:r>
      <w:r w:rsidR="005C4ED3" w:rsidRPr="00F0055D">
        <w:rPr>
          <w:lang w:val="en-US"/>
        </w:rPr>
        <w:tab/>
      </w:r>
      <w:r w:rsidRPr="00F0055D">
        <w:rPr>
          <w:lang w:val="en-US"/>
        </w:rPr>
        <w:t xml:space="preserve">The author further explains in detail the alleged breaches of national law by the </w:t>
      </w:r>
      <w:smartTag w:uri="urn:schemas-microsoft-com:office:smarttags" w:element="Street">
        <w:smartTag w:uri="urn:schemas-microsoft-com:office:smarttags" w:element="address">
          <w:r w:rsidRPr="00F0055D">
            <w:rPr>
              <w:lang w:val="en-US"/>
            </w:rPr>
            <w:t>Vilnius Regional Court</w:t>
          </w:r>
        </w:smartTag>
      </w:smartTag>
      <w:r w:rsidRPr="00F0055D">
        <w:rPr>
          <w:lang w:val="en-US"/>
        </w:rPr>
        <w:t xml:space="preserve"> and the prosecution concerning the unjustified anonymity of witnesses.</w:t>
      </w:r>
    </w:p>
    <w:p w:rsidR="00AC35A2" w:rsidRPr="00F0055D" w:rsidRDefault="00AC35A2" w:rsidP="000C387C">
      <w:pPr>
        <w:pStyle w:val="SingleTxtG"/>
        <w:spacing w:line="220" w:lineRule="atLeast"/>
        <w:rPr>
          <w:lang w:val="en-US"/>
        </w:rPr>
      </w:pPr>
      <w:r w:rsidRPr="00F0055D">
        <w:rPr>
          <w:lang w:val="en-US"/>
        </w:rPr>
        <w:t>7.3</w:t>
      </w:r>
      <w:r w:rsidR="005C4ED3" w:rsidRPr="00F0055D">
        <w:rPr>
          <w:lang w:val="en-US"/>
        </w:rPr>
        <w:tab/>
      </w:r>
      <w:r w:rsidRPr="00F0055D">
        <w:rPr>
          <w:lang w:val="en-US"/>
        </w:rPr>
        <w:t>With reference to the State party’s argument that a prosecutor’s decision may be appealed to a pretrial investigation judge, the author reiterates that</w:t>
      </w:r>
      <w:r w:rsidR="00931FFE" w:rsidRPr="00F0055D">
        <w:rPr>
          <w:lang w:val="en-US"/>
        </w:rPr>
        <w:t>,</w:t>
      </w:r>
      <w:r w:rsidRPr="00F0055D">
        <w:rPr>
          <w:lang w:val="en-US"/>
        </w:rPr>
        <w:t xml:space="preserve"> on </w:t>
      </w:r>
      <w:r w:rsidR="00931FFE" w:rsidRPr="00F0055D">
        <w:rPr>
          <w:lang w:val="en-US"/>
        </w:rPr>
        <w:t>nine</w:t>
      </w:r>
      <w:r w:rsidRPr="00F0055D">
        <w:rPr>
          <w:lang w:val="en-US"/>
        </w:rPr>
        <w:t xml:space="preserve"> occasions</w:t>
      </w:r>
      <w:r w:rsidR="00931FFE" w:rsidRPr="00F0055D">
        <w:rPr>
          <w:lang w:val="en-US"/>
        </w:rPr>
        <w:t>,</w:t>
      </w:r>
      <w:r w:rsidRPr="00F0055D">
        <w:rPr>
          <w:lang w:val="en-US"/>
        </w:rPr>
        <w:t xml:space="preserve"> the pretrial investigation judge quashed decisions of the prosecutor and ordered </w:t>
      </w:r>
      <w:r w:rsidR="00931FFE" w:rsidRPr="00F0055D">
        <w:rPr>
          <w:lang w:val="en-US"/>
        </w:rPr>
        <w:t xml:space="preserve">the prosecutor </w:t>
      </w:r>
      <w:r w:rsidRPr="00F0055D">
        <w:rPr>
          <w:lang w:val="en-US"/>
        </w:rPr>
        <w:t xml:space="preserve">to re-examine </w:t>
      </w:r>
      <w:r w:rsidR="00931FFE" w:rsidRPr="00F0055D">
        <w:rPr>
          <w:lang w:val="en-US"/>
        </w:rPr>
        <w:t xml:space="preserve">his </w:t>
      </w:r>
      <w:r w:rsidRPr="00F0055D">
        <w:rPr>
          <w:lang w:val="en-US"/>
        </w:rPr>
        <w:t xml:space="preserve">requests to access to case file materials. He gives instances of </w:t>
      </w:r>
      <w:r w:rsidR="002F3BAE" w:rsidRPr="00F0055D">
        <w:rPr>
          <w:lang w:val="en-US"/>
        </w:rPr>
        <w:t xml:space="preserve">the </w:t>
      </w:r>
      <w:r w:rsidRPr="00F0055D">
        <w:rPr>
          <w:lang w:val="en-US"/>
        </w:rPr>
        <w:t>prosecutor’s non-compliance with the established time</w:t>
      </w:r>
      <w:r w:rsidR="00931FFE" w:rsidRPr="00F0055D">
        <w:rPr>
          <w:lang w:val="en-US"/>
        </w:rPr>
        <w:t xml:space="preserve"> </w:t>
      </w:r>
      <w:r w:rsidRPr="00F0055D">
        <w:rPr>
          <w:lang w:val="en-US"/>
        </w:rPr>
        <w:t>limits for examination of his requests</w:t>
      </w:r>
      <w:r w:rsidR="00931FFE" w:rsidRPr="00F0055D">
        <w:rPr>
          <w:lang w:val="en-US"/>
        </w:rPr>
        <w:t>,</w:t>
      </w:r>
      <w:r w:rsidRPr="00F0055D">
        <w:rPr>
          <w:lang w:val="en-US"/>
        </w:rPr>
        <w:t xml:space="preserve"> and notes that he could not influence witnesses. He reiterates that he was denied the possibility to participate in the questioning of several witnesses and points out that without </w:t>
      </w:r>
      <w:r w:rsidR="00931FFE" w:rsidRPr="00F0055D">
        <w:rPr>
          <w:lang w:val="en-US"/>
        </w:rPr>
        <w:t>being</w:t>
      </w:r>
      <w:r w:rsidRPr="00F0055D">
        <w:rPr>
          <w:lang w:val="en-US"/>
        </w:rPr>
        <w:t xml:space="preserve"> acquainted with the materials, he was unable to prepare for the questioning of witness N.</w:t>
      </w:r>
    </w:p>
    <w:p w:rsidR="00AC35A2" w:rsidRPr="00F0055D" w:rsidRDefault="00AC35A2" w:rsidP="000C387C">
      <w:pPr>
        <w:pStyle w:val="SingleTxtG"/>
        <w:spacing w:line="220" w:lineRule="atLeast"/>
        <w:rPr>
          <w:lang w:val="en-US"/>
        </w:rPr>
      </w:pPr>
      <w:r w:rsidRPr="00F0055D">
        <w:rPr>
          <w:lang w:val="en-US"/>
        </w:rPr>
        <w:t>7.4</w:t>
      </w:r>
      <w:r w:rsidR="005C4ED3" w:rsidRPr="00F0055D">
        <w:rPr>
          <w:lang w:val="en-US"/>
        </w:rPr>
        <w:tab/>
      </w:r>
      <w:r w:rsidRPr="00F0055D">
        <w:rPr>
          <w:lang w:val="en-US"/>
        </w:rPr>
        <w:t>The author further states that</w:t>
      </w:r>
      <w:r w:rsidR="00931FFE" w:rsidRPr="00F0055D">
        <w:rPr>
          <w:lang w:val="en-US"/>
        </w:rPr>
        <w:t xml:space="preserve"> the prosecutor did not allow </w:t>
      </w:r>
      <w:r w:rsidRPr="00F0055D">
        <w:rPr>
          <w:lang w:val="en-US"/>
        </w:rPr>
        <w:t>h</w:t>
      </w:r>
      <w:r w:rsidR="00931FFE" w:rsidRPr="00F0055D">
        <w:rPr>
          <w:lang w:val="en-US"/>
        </w:rPr>
        <w:t xml:space="preserve">im or </w:t>
      </w:r>
      <w:r w:rsidRPr="00F0055D">
        <w:rPr>
          <w:lang w:val="en-US"/>
        </w:rPr>
        <w:t>his defence</w:t>
      </w:r>
      <w:r w:rsidR="00931FFE" w:rsidRPr="00F0055D">
        <w:rPr>
          <w:lang w:val="en-US"/>
        </w:rPr>
        <w:t xml:space="preserve"> lawyer</w:t>
      </w:r>
      <w:r w:rsidRPr="00F0055D">
        <w:rPr>
          <w:lang w:val="en-US"/>
        </w:rPr>
        <w:t xml:space="preserve"> to </w:t>
      </w:r>
      <w:r w:rsidR="00931FFE" w:rsidRPr="00F0055D">
        <w:rPr>
          <w:lang w:val="en-US"/>
        </w:rPr>
        <w:t>become</w:t>
      </w:r>
      <w:r w:rsidRPr="00F0055D">
        <w:rPr>
          <w:lang w:val="en-US"/>
        </w:rPr>
        <w:t xml:space="preserve"> acquainted with the pretrial investigation materials concerning the questioning of witnesses P and N</w:t>
      </w:r>
      <w:r w:rsidR="00931FFE" w:rsidRPr="00F0055D">
        <w:rPr>
          <w:lang w:val="en-US"/>
        </w:rPr>
        <w:t xml:space="preserve">, which took place </w:t>
      </w:r>
      <w:r w:rsidRPr="00F0055D">
        <w:rPr>
          <w:lang w:val="en-US"/>
        </w:rPr>
        <w:t xml:space="preserve">on 31 May 2006 and 30 June 2006, </w:t>
      </w:r>
      <w:r w:rsidR="00931FFE" w:rsidRPr="00F0055D">
        <w:rPr>
          <w:lang w:val="en-US"/>
        </w:rPr>
        <w:t xml:space="preserve">nor the questioning of </w:t>
      </w:r>
      <w:r w:rsidRPr="00F0055D">
        <w:rPr>
          <w:lang w:val="en-US"/>
        </w:rPr>
        <w:t>witness B. He provides information on how he had unsuccessfully challenged the refusal</w:t>
      </w:r>
      <w:r w:rsidR="00931FFE" w:rsidRPr="00F0055D">
        <w:rPr>
          <w:lang w:val="en-US"/>
        </w:rPr>
        <w:t xml:space="preserve"> decision</w:t>
      </w:r>
      <w:r w:rsidRPr="00F0055D">
        <w:rPr>
          <w:lang w:val="en-US"/>
        </w:rPr>
        <w:t>s in court.</w:t>
      </w:r>
    </w:p>
    <w:p w:rsidR="00AC35A2" w:rsidRPr="00F0055D" w:rsidRDefault="00AC35A2" w:rsidP="000C387C">
      <w:pPr>
        <w:pStyle w:val="SingleTxtG"/>
        <w:spacing w:line="220" w:lineRule="atLeast"/>
        <w:rPr>
          <w:lang w:val="en-US"/>
        </w:rPr>
      </w:pPr>
      <w:r w:rsidRPr="00F0055D">
        <w:rPr>
          <w:lang w:val="en-US"/>
        </w:rPr>
        <w:t>7.5</w:t>
      </w:r>
      <w:r w:rsidR="005C4ED3" w:rsidRPr="00F0055D">
        <w:rPr>
          <w:lang w:val="en-US"/>
        </w:rPr>
        <w:tab/>
      </w:r>
      <w:r w:rsidR="00931FFE" w:rsidRPr="00F0055D">
        <w:rPr>
          <w:lang w:val="en-US"/>
        </w:rPr>
        <w:t>The author</w:t>
      </w:r>
      <w:r w:rsidRPr="00F0055D">
        <w:rPr>
          <w:lang w:val="en-US"/>
        </w:rPr>
        <w:t xml:space="preserve"> adds that on 29 May 2006, </w:t>
      </w:r>
      <w:r w:rsidR="005705FD" w:rsidRPr="00F0055D">
        <w:rPr>
          <w:lang w:val="en-US"/>
        </w:rPr>
        <w:t>the prosecutor</w:t>
      </w:r>
      <w:r w:rsidRPr="00F0055D">
        <w:rPr>
          <w:lang w:val="en-US"/>
        </w:rPr>
        <w:t xml:space="preserve"> rejected his request to be questioned, as </w:t>
      </w:r>
      <w:r w:rsidR="00E925B9" w:rsidRPr="00F0055D">
        <w:rPr>
          <w:lang w:val="en-US"/>
        </w:rPr>
        <w:t xml:space="preserve">he felt that </w:t>
      </w:r>
      <w:r w:rsidRPr="00F0055D">
        <w:rPr>
          <w:lang w:val="en-US"/>
        </w:rPr>
        <w:t xml:space="preserve">the questioning by the pretrial investigation officer </w:t>
      </w:r>
      <w:r w:rsidR="00E925B9" w:rsidRPr="00F0055D">
        <w:rPr>
          <w:lang w:val="en-US"/>
        </w:rPr>
        <w:t xml:space="preserve">lacked </w:t>
      </w:r>
      <w:r w:rsidRPr="00F0055D">
        <w:rPr>
          <w:lang w:val="en-US"/>
        </w:rPr>
        <w:t>objectivity. Th</w:t>
      </w:r>
      <w:r w:rsidR="00E925B9" w:rsidRPr="00F0055D">
        <w:rPr>
          <w:lang w:val="en-US"/>
        </w:rPr>
        <w:t>at</w:t>
      </w:r>
      <w:r w:rsidRPr="00F0055D">
        <w:rPr>
          <w:lang w:val="en-US"/>
        </w:rPr>
        <w:t xml:space="preserve"> refusal was upheld by a court on 21 June 2006. Accordingly, the author submits that he was precluded </w:t>
      </w:r>
      <w:r w:rsidR="00E925B9" w:rsidRPr="00F0055D">
        <w:rPr>
          <w:lang w:val="en-US"/>
        </w:rPr>
        <w:t>from</w:t>
      </w:r>
      <w:r w:rsidRPr="00F0055D">
        <w:rPr>
          <w:lang w:val="en-US"/>
        </w:rPr>
        <w:t xml:space="preserve"> giv</w:t>
      </w:r>
      <w:r w:rsidR="00E925B9" w:rsidRPr="00F0055D">
        <w:rPr>
          <w:lang w:val="en-US"/>
        </w:rPr>
        <w:t>ing</w:t>
      </w:r>
      <w:r w:rsidRPr="00F0055D">
        <w:rPr>
          <w:lang w:val="en-US"/>
        </w:rPr>
        <w:t xml:space="preserve"> evidence</w:t>
      </w:r>
      <w:r w:rsidR="00E925B9" w:rsidRPr="00F0055D">
        <w:rPr>
          <w:lang w:val="en-US"/>
        </w:rPr>
        <w:t>;</w:t>
      </w:r>
      <w:r w:rsidRPr="00F0055D">
        <w:rPr>
          <w:lang w:val="en-US"/>
        </w:rPr>
        <w:t xml:space="preserve"> therefore, his rights guaranteed under article 2, paragraph 3, of the </w:t>
      </w:r>
      <w:r w:rsidR="00E925B9" w:rsidRPr="00F0055D">
        <w:rPr>
          <w:lang w:val="en-US"/>
        </w:rPr>
        <w:t xml:space="preserve">International </w:t>
      </w:r>
      <w:r w:rsidRPr="00F0055D">
        <w:rPr>
          <w:lang w:val="en-US"/>
        </w:rPr>
        <w:t>Covenant</w:t>
      </w:r>
      <w:r w:rsidR="00E925B9" w:rsidRPr="00F0055D">
        <w:rPr>
          <w:lang w:val="en-US"/>
        </w:rPr>
        <w:t xml:space="preserve"> on Civil and Political Rights</w:t>
      </w:r>
      <w:r w:rsidRPr="00F0055D">
        <w:rPr>
          <w:lang w:val="en-US"/>
        </w:rPr>
        <w:t xml:space="preserve"> have been violated. </w:t>
      </w:r>
    </w:p>
    <w:p w:rsidR="00AC35A2" w:rsidRPr="00F0055D" w:rsidRDefault="00AC35A2" w:rsidP="000C387C">
      <w:pPr>
        <w:pStyle w:val="SingleTxtG"/>
        <w:spacing w:line="220" w:lineRule="atLeast"/>
        <w:rPr>
          <w:lang w:val="en-US"/>
        </w:rPr>
      </w:pPr>
      <w:r w:rsidRPr="00F0055D">
        <w:rPr>
          <w:lang w:val="en-US"/>
        </w:rPr>
        <w:t>7.6</w:t>
      </w:r>
      <w:r w:rsidR="005C4ED3" w:rsidRPr="00F0055D">
        <w:rPr>
          <w:lang w:val="en-US"/>
        </w:rPr>
        <w:tab/>
      </w:r>
      <w:r w:rsidRPr="00F0055D">
        <w:rPr>
          <w:lang w:val="en-US"/>
        </w:rPr>
        <w:t>As to the State party’s statement that he</w:t>
      </w:r>
      <w:r w:rsidR="00E925B9" w:rsidRPr="00F0055D">
        <w:rPr>
          <w:lang w:val="en-US"/>
        </w:rPr>
        <w:t xml:space="preserve"> was able to become</w:t>
      </w:r>
      <w:r w:rsidRPr="00F0055D">
        <w:rPr>
          <w:lang w:val="en-US"/>
        </w:rPr>
        <w:t xml:space="preserve"> acquainted with all the </w:t>
      </w:r>
      <w:r w:rsidR="00E925B9" w:rsidRPr="00F0055D">
        <w:rPr>
          <w:lang w:val="en-US"/>
        </w:rPr>
        <w:t xml:space="preserve">materials of the </w:t>
      </w:r>
      <w:r w:rsidRPr="00F0055D">
        <w:rPr>
          <w:lang w:val="en-US"/>
        </w:rPr>
        <w:t xml:space="preserve">pretrial investigation </w:t>
      </w:r>
      <w:r w:rsidR="00E925B9" w:rsidRPr="00F0055D">
        <w:rPr>
          <w:lang w:val="en-US"/>
        </w:rPr>
        <w:t>after</w:t>
      </w:r>
      <w:r w:rsidRPr="00F0055D">
        <w:rPr>
          <w:lang w:val="en-US"/>
        </w:rPr>
        <w:t xml:space="preserve"> its completion in March 2008, he notes that he </w:t>
      </w:r>
      <w:r w:rsidR="00E925B9" w:rsidRPr="00F0055D">
        <w:rPr>
          <w:lang w:val="en-US"/>
        </w:rPr>
        <w:t>became</w:t>
      </w:r>
      <w:r w:rsidRPr="00F0055D">
        <w:rPr>
          <w:lang w:val="en-US"/>
        </w:rPr>
        <w:t xml:space="preserve"> acquaint with the materials on 26 May 2008</w:t>
      </w:r>
      <w:r w:rsidR="00E925B9" w:rsidRPr="00F0055D">
        <w:rPr>
          <w:lang w:val="en-US"/>
        </w:rPr>
        <w:t>. H</w:t>
      </w:r>
      <w:r w:rsidRPr="00F0055D">
        <w:rPr>
          <w:lang w:val="en-US"/>
        </w:rPr>
        <w:t>owever</w:t>
      </w:r>
      <w:r w:rsidR="00E925B9" w:rsidRPr="00F0055D">
        <w:rPr>
          <w:lang w:val="en-US"/>
        </w:rPr>
        <w:t xml:space="preserve">, he </w:t>
      </w:r>
      <w:r w:rsidRPr="00F0055D">
        <w:rPr>
          <w:lang w:val="en-US"/>
        </w:rPr>
        <w:t xml:space="preserve">still could not </w:t>
      </w:r>
      <w:r w:rsidR="00E925B9" w:rsidRPr="00F0055D">
        <w:rPr>
          <w:lang w:val="en-US"/>
        </w:rPr>
        <w:t>access</w:t>
      </w:r>
      <w:r w:rsidRPr="00F0055D">
        <w:rPr>
          <w:lang w:val="en-US"/>
        </w:rPr>
        <w:t xml:space="preserve"> </w:t>
      </w:r>
      <w:r w:rsidR="00E925B9" w:rsidRPr="00F0055D">
        <w:rPr>
          <w:lang w:val="en-US"/>
        </w:rPr>
        <w:t>“</w:t>
      </w:r>
      <w:r w:rsidRPr="00F0055D">
        <w:rPr>
          <w:lang w:val="en-US"/>
        </w:rPr>
        <w:t>hidden rulings, prosecutor’s letters, separate assignments</w:t>
      </w:r>
      <w:r w:rsidR="00E925B9" w:rsidRPr="00F0055D">
        <w:rPr>
          <w:lang w:val="en-US"/>
        </w:rPr>
        <w:t>”</w:t>
      </w:r>
      <w:r w:rsidRPr="00F0055D">
        <w:rPr>
          <w:lang w:val="en-US"/>
        </w:rPr>
        <w:t>.</w:t>
      </w:r>
    </w:p>
    <w:p w:rsidR="00AC35A2" w:rsidRPr="00F0055D" w:rsidRDefault="00AC35A2" w:rsidP="000C387C">
      <w:pPr>
        <w:pStyle w:val="SingleTxtG"/>
        <w:spacing w:line="220" w:lineRule="atLeast"/>
        <w:rPr>
          <w:lang w:val="en-US"/>
        </w:rPr>
      </w:pPr>
      <w:r w:rsidRPr="00F0055D">
        <w:rPr>
          <w:lang w:val="en-US"/>
        </w:rPr>
        <w:t>7.7</w:t>
      </w:r>
      <w:r w:rsidR="005C4ED3" w:rsidRPr="00F0055D">
        <w:rPr>
          <w:lang w:val="en-US"/>
        </w:rPr>
        <w:tab/>
      </w:r>
      <w:r w:rsidRPr="00F0055D">
        <w:rPr>
          <w:lang w:val="en-US"/>
        </w:rPr>
        <w:t>He further notes that the prosecutor’s decision of 22 August 2008, refus</w:t>
      </w:r>
      <w:r w:rsidR="00E925B9" w:rsidRPr="00F0055D">
        <w:rPr>
          <w:lang w:val="en-US"/>
        </w:rPr>
        <w:t>ing</w:t>
      </w:r>
      <w:r w:rsidRPr="00F0055D">
        <w:rPr>
          <w:lang w:val="en-US"/>
        </w:rPr>
        <w:t xml:space="preserve"> </w:t>
      </w:r>
      <w:r w:rsidR="00E925B9" w:rsidRPr="00F0055D">
        <w:rPr>
          <w:lang w:val="en-US"/>
        </w:rPr>
        <w:t xml:space="preserve">permission </w:t>
      </w:r>
      <w:r w:rsidRPr="00F0055D">
        <w:rPr>
          <w:lang w:val="en-US"/>
        </w:rPr>
        <w:t>to adduce evidence, was appealed on 2 September 2008 to a higher prosecutor</w:t>
      </w:r>
      <w:r w:rsidR="00E925B9" w:rsidRPr="00F0055D">
        <w:rPr>
          <w:lang w:val="en-US"/>
        </w:rPr>
        <w:t>. T</w:t>
      </w:r>
      <w:r w:rsidRPr="00F0055D">
        <w:rPr>
          <w:lang w:val="en-US"/>
        </w:rPr>
        <w:t xml:space="preserve">he appeal was </w:t>
      </w:r>
      <w:r w:rsidR="00E925B9" w:rsidRPr="00F0055D">
        <w:rPr>
          <w:lang w:val="en-US"/>
        </w:rPr>
        <w:t>referred</w:t>
      </w:r>
      <w:r w:rsidRPr="00F0055D">
        <w:rPr>
          <w:lang w:val="en-US"/>
        </w:rPr>
        <w:t xml:space="preserve"> for examination to </w:t>
      </w:r>
      <w:smartTag w:uri="urn:schemas-microsoft-com:office:smarttags" w:element="Street">
        <w:smartTag w:uri="urn:schemas-microsoft-com:office:smarttags" w:element="address">
          <w:r w:rsidRPr="00F0055D">
            <w:rPr>
              <w:lang w:val="en-US"/>
            </w:rPr>
            <w:t>Vilnius Regional Court</w:t>
          </w:r>
        </w:smartTag>
      </w:smartTag>
      <w:r w:rsidR="00E925B9" w:rsidRPr="00F0055D">
        <w:rPr>
          <w:lang w:val="en-US"/>
        </w:rPr>
        <w:t xml:space="preserve"> and on </w:t>
      </w:r>
      <w:r w:rsidRPr="00F0055D">
        <w:rPr>
          <w:lang w:val="en-US"/>
        </w:rPr>
        <w:t xml:space="preserve">15 December 2008, the </w:t>
      </w:r>
      <w:r w:rsidR="00E925B9" w:rsidRPr="00F0055D">
        <w:rPr>
          <w:lang w:val="en-US"/>
        </w:rPr>
        <w:t>r</w:t>
      </w:r>
      <w:r w:rsidRPr="00F0055D">
        <w:rPr>
          <w:lang w:val="en-US"/>
        </w:rPr>
        <w:t xml:space="preserve">egional </w:t>
      </w:r>
      <w:r w:rsidR="00E925B9" w:rsidRPr="00F0055D">
        <w:rPr>
          <w:lang w:val="en-US"/>
        </w:rPr>
        <w:t>c</w:t>
      </w:r>
      <w:r w:rsidRPr="00F0055D">
        <w:rPr>
          <w:lang w:val="en-US"/>
        </w:rPr>
        <w:t>ourt refused to examine his request.</w:t>
      </w:r>
    </w:p>
    <w:p w:rsidR="00AC35A2" w:rsidRPr="00F0055D" w:rsidRDefault="00AC35A2" w:rsidP="000C387C">
      <w:pPr>
        <w:pStyle w:val="SingleTxtG"/>
        <w:spacing w:line="220" w:lineRule="atLeast"/>
        <w:rPr>
          <w:lang w:val="en-US"/>
        </w:rPr>
      </w:pPr>
      <w:r w:rsidRPr="00F0055D">
        <w:rPr>
          <w:lang w:val="en-US"/>
        </w:rPr>
        <w:t>7.8</w:t>
      </w:r>
      <w:r w:rsidR="005C4ED3" w:rsidRPr="00F0055D">
        <w:rPr>
          <w:lang w:val="en-US"/>
        </w:rPr>
        <w:tab/>
      </w:r>
      <w:r w:rsidR="00E925B9" w:rsidRPr="00F0055D">
        <w:rPr>
          <w:lang w:val="en-US"/>
        </w:rPr>
        <w:t>Regarding</w:t>
      </w:r>
      <w:r w:rsidRPr="00F0055D">
        <w:rPr>
          <w:lang w:val="en-US"/>
        </w:rPr>
        <w:t xml:space="preserve"> the State party’s argument that he could </w:t>
      </w:r>
      <w:r w:rsidR="00E925B9" w:rsidRPr="00F0055D">
        <w:rPr>
          <w:lang w:val="en-US"/>
        </w:rPr>
        <w:t xml:space="preserve">have </w:t>
      </w:r>
      <w:r w:rsidRPr="00F0055D">
        <w:rPr>
          <w:lang w:val="en-US"/>
        </w:rPr>
        <w:t>opt</w:t>
      </w:r>
      <w:r w:rsidR="00E925B9" w:rsidRPr="00F0055D">
        <w:rPr>
          <w:lang w:val="en-US"/>
        </w:rPr>
        <w:t>ed</w:t>
      </w:r>
      <w:r w:rsidRPr="00F0055D">
        <w:rPr>
          <w:lang w:val="en-US"/>
        </w:rPr>
        <w:t xml:space="preserve"> for a lawyer </w:t>
      </w:r>
      <w:r w:rsidR="00E925B9" w:rsidRPr="00F0055D">
        <w:rPr>
          <w:lang w:val="en-US"/>
        </w:rPr>
        <w:t>in</w:t>
      </w:r>
      <w:r w:rsidRPr="00F0055D">
        <w:rPr>
          <w:lang w:val="en-US"/>
        </w:rPr>
        <w:t xml:space="preserve"> Palanga, the author points out that the national law provides</w:t>
      </w:r>
      <w:r w:rsidR="00E925B9" w:rsidRPr="00F0055D">
        <w:rPr>
          <w:lang w:val="en-US"/>
        </w:rPr>
        <w:t xml:space="preserve"> for</w:t>
      </w:r>
      <w:r w:rsidRPr="00F0055D">
        <w:rPr>
          <w:lang w:val="en-US"/>
        </w:rPr>
        <w:t>, inter alia, unhindered communication with the defence lawyer</w:t>
      </w:r>
      <w:r w:rsidR="00E925B9" w:rsidRPr="00F0055D">
        <w:rPr>
          <w:lang w:val="en-US"/>
        </w:rPr>
        <w:t xml:space="preserve"> of one’s choice</w:t>
      </w:r>
      <w:r w:rsidRPr="00F0055D">
        <w:rPr>
          <w:lang w:val="en-US"/>
        </w:rPr>
        <w:t xml:space="preserve"> and that the prohibition to leave Palanga served in fact as a punishment and </w:t>
      </w:r>
      <w:r w:rsidR="00E925B9" w:rsidRPr="00F0055D">
        <w:rPr>
          <w:lang w:val="en-US"/>
        </w:rPr>
        <w:t xml:space="preserve">a </w:t>
      </w:r>
      <w:r w:rsidRPr="00F0055D">
        <w:rPr>
          <w:lang w:val="en-US"/>
        </w:rPr>
        <w:t xml:space="preserve">hindrance to </w:t>
      </w:r>
      <w:r w:rsidR="00E925B9" w:rsidRPr="00F0055D">
        <w:rPr>
          <w:lang w:val="en-US"/>
        </w:rPr>
        <w:t xml:space="preserve">his </w:t>
      </w:r>
      <w:r w:rsidRPr="00F0055D">
        <w:rPr>
          <w:lang w:val="en-US"/>
        </w:rPr>
        <w:t>enjoy</w:t>
      </w:r>
      <w:r w:rsidR="00E925B9" w:rsidRPr="00F0055D">
        <w:rPr>
          <w:lang w:val="en-US"/>
        </w:rPr>
        <w:t>ment of</w:t>
      </w:r>
      <w:r w:rsidRPr="00F0055D">
        <w:rPr>
          <w:lang w:val="en-US"/>
        </w:rPr>
        <w:t xml:space="preserve"> his right to defence. </w:t>
      </w:r>
    </w:p>
    <w:p w:rsidR="00AC35A2" w:rsidRPr="00F0055D" w:rsidRDefault="00803AC0" w:rsidP="00803AC0">
      <w:pPr>
        <w:pStyle w:val="H23G"/>
        <w:rPr>
          <w:lang w:val="en-US"/>
        </w:rPr>
      </w:pPr>
      <w:r w:rsidRPr="00F0055D">
        <w:rPr>
          <w:lang w:val="en-US"/>
        </w:rPr>
        <w:tab/>
      </w:r>
      <w:r w:rsidRPr="00F0055D">
        <w:rPr>
          <w:lang w:val="en-US"/>
        </w:rPr>
        <w:tab/>
      </w:r>
      <w:r w:rsidR="00AC35A2" w:rsidRPr="00F0055D">
        <w:rPr>
          <w:lang w:val="en-US"/>
        </w:rPr>
        <w:t>Issues and proceedings before the Committee</w:t>
      </w:r>
    </w:p>
    <w:p w:rsidR="00AC35A2" w:rsidRPr="00F0055D" w:rsidRDefault="00AC35A2" w:rsidP="00803AC0">
      <w:pPr>
        <w:pStyle w:val="H4G"/>
        <w:rPr>
          <w:lang w:val="en-US"/>
        </w:rPr>
      </w:pPr>
      <w:r w:rsidRPr="00F0055D">
        <w:rPr>
          <w:lang w:val="en-US"/>
        </w:rPr>
        <w:tab/>
      </w:r>
      <w:r w:rsidRPr="00F0055D">
        <w:rPr>
          <w:lang w:val="en-US"/>
        </w:rPr>
        <w:tab/>
        <w:t>Consideration of admissibility</w:t>
      </w:r>
    </w:p>
    <w:p w:rsidR="00AC35A2" w:rsidRPr="00F0055D" w:rsidRDefault="00AC35A2" w:rsidP="000C387C">
      <w:pPr>
        <w:pStyle w:val="SingleTxtG"/>
        <w:spacing w:line="220" w:lineRule="atLeast"/>
        <w:rPr>
          <w:bCs/>
          <w:lang w:val="en-US"/>
        </w:rPr>
      </w:pPr>
      <w:r w:rsidRPr="00F0055D">
        <w:rPr>
          <w:bCs/>
          <w:lang w:val="en-US"/>
        </w:rPr>
        <w:t>8.1</w:t>
      </w:r>
      <w:r w:rsidRPr="00F0055D">
        <w:rPr>
          <w:bCs/>
          <w:lang w:val="en-US"/>
        </w:rPr>
        <w:tab/>
        <w:t>Before considering any claim contained in a communication, the Human Rights Committee must, in accordance with rule 93 of its rules of procedure, decide whether or not the case is admissible under the Optional Protocol to the Covenant.</w:t>
      </w:r>
    </w:p>
    <w:p w:rsidR="00AC35A2" w:rsidRPr="00F0055D" w:rsidRDefault="00AC35A2" w:rsidP="000C387C">
      <w:pPr>
        <w:pStyle w:val="SingleTxtG"/>
        <w:spacing w:line="220" w:lineRule="atLeast"/>
        <w:rPr>
          <w:lang w:val="en-US"/>
        </w:rPr>
      </w:pPr>
      <w:r w:rsidRPr="00F0055D">
        <w:rPr>
          <w:lang w:val="en-US"/>
        </w:rPr>
        <w:t>8.2</w:t>
      </w:r>
      <w:r w:rsidRPr="00F0055D">
        <w:rPr>
          <w:lang w:val="en-US"/>
        </w:rPr>
        <w:tab/>
      </w:r>
      <w:r w:rsidR="00C36860" w:rsidRPr="00F0055D">
        <w:rPr>
          <w:lang w:val="en-US"/>
        </w:rPr>
        <w:t>A</w:t>
      </w:r>
      <w:r w:rsidRPr="00F0055D">
        <w:rPr>
          <w:lang w:val="en-US"/>
        </w:rPr>
        <w:t xml:space="preserve">s required under article 5, paragraph 2 (a), of the Optional Protocol, </w:t>
      </w:r>
      <w:r w:rsidR="00C36860" w:rsidRPr="00F0055D">
        <w:rPr>
          <w:lang w:val="en-US"/>
        </w:rPr>
        <w:t xml:space="preserve">the Committee has ascertained </w:t>
      </w:r>
      <w:r w:rsidRPr="00F0055D">
        <w:rPr>
          <w:lang w:val="en-US"/>
        </w:rPr>
        <w:t xml:space="preserve">that the same matter is not being examined under another procedure of international investigation or settlement. </w:t>
      </w:r>
    </w:p>
    <w:p w:rsidR="00AC35A2" w:rsidRPr="00F0055D" w:rsidRDefault="00AC35A2" w:rsidP="000C387C">
      <w:pPr>
        <w:pStyle w:val="SingleTxtG"/>
        <w:spacing w:line="220" w:lineRule="atLeast"/>
        <w:rPr>
          <w:lang w:val="en-US"/>
        </w:rPr>
      </w:pPr>
      <w:r w:rsidRPr="00F0055D">
        <w:rPr>
          <w:lang w:val="en-US"/>
        </w:rPr>
        <w:t>8.3</w:t>
      </w:r>
      <w:r w:rsidRPr="00F0055D">
        <w:rPr>
          <w:lang w:val="en-US"/>
        </w:rPr>
        <w:tab/>
        <w:t xml:space="preserve">The Committee notes the author’s claims under articles 7 and 10 of the </w:t>
      </w:r>
      <w:r w:rsidR="00A232A0" w:rsidRPr="00F0055D">
        <w:rPr>
          <w:lang w:val="en-US"/>
        </w:rPr>
        <w:t xml:space="preserve">International Covenant on Civil and Political Rights </w:t>
      </w:r>
      <w:r w:rsidRPr="00F0055D">
        <w:rPr>
          <w:lang w:val="en-US"/>
        </w:rPr>
        <w:t>that the termination of his participation in the experimental clinical trial on 16 August 2005 negatively affected his state of health. In th</w:t>
      </w:r>
      <w:r w:rsidR="00A232A0" w:rsidRPr="00F0055D">
        <w:rPr>
          <w:lang w:val="en-US"/>
        </w:rPr>
        <w:t>at</w:t>
      </w:r>
      <w:r w:rsidRPr="00F0055D">
        <w:rPr>
          <w:lang w:val="en-US"/>
        </w:rPr>
        <w:t xml:space="preserve"> connection, the Committee notes that </w:t>
      </w:r>
      <w:r w:rsidR="00A232A0" w:rsidRPr="00F0055D">
        <w:rPr>
          <w:lang w:val="en-US"/>
        </w:rPr>
        <w:t>the</w:t>
      </w:r>
      <w:r w:rsidRPr="00F0055D">
        <w:rPr>
          <w:lang w:val="en-US"/>
        </w:rPr>
        <w:t xml:space="preserve"> right to participate or not in experimental clinical tests organi</w:t>
      </w:r>
      <w:r w:rsidR="00A232A0" w:rsidRPr="00F0055D">
        <w:rPr>
          <w:lang w:val="en-US"/>
        </w:rPr>
        <w:t>z</w:t>
      </w:r>
      <w:r w:rsidRPr="00F0055D">
        <w:rPr>
          <w:lang w:val="en-US"/>
        </w:rPr>
        <w:t xml:space="preserve">ed by a private entity </w:t>
      </w:r>
      <w:r w:rsidR="00A232A0" w:rsidRPr="00F0055D">
        <w:rPr>
          <w:lang w:val="en-US"/>
        </w:rPr>
        <w:t xml:space="preserve">with the </w:t>
      </w:r>
      <w:r w:rsidRPr="00F0055D">
        <w:rPr>
          <w:lang w:val="en-US"/>
        </w:rPr>
        <w:t>aim</w:t>
      </w:r>
      <w:r w:rsidR="00A232A0" w:rsidRPr="00F0055D">
        <w:rPr>
          <w:lang w:val="en-US"/>
        </w:rPr>
        <w:t xml:space="preserve"> of</w:t>
      </w:r>
      <w:r w:rsidRPr="00F0055D">
        <w:rPr>
          <w:lang w:val="en-US"/>
        </w:rPr>
        <w:t xml:space="preserve"> test</w:t>
      </w:r>
      <w:r w:rsidR="00A232A0" w:rsidRPr="00F0055D">
        <w:rPr>
          <w:lang w:val="en-US"/>
        </w:rPr>
        <w:t>ing</w:t>
      </w:r>
      <w:r w:rsidRPr="00F0055D">
        <w:rPr>
          <w:lang w:val="en-US"/>
        </w:rPr>
        <w:t xml:space="preserve"> a particular drug and which has been entered into at one’s free will prior to </w:t>
      </w:r>
      <w:r w:rsidR="00A232A0" w:rsidRPr="00F0055D">
        <w:rPr>
          <w:lang w:val="en-US"/>
        </w:rPr>
        <w:t>one’s</w:t>
      </w:r>
      <w:r w:rsidRPr="00F0055D">
        <w:rPr>
          <w:lang w:val="en-US"/>
        </w:rPr>
        <w:t xml:space="preserve"> detention, as in the circumstances of the present case, does not fall within the scope of the Covenant. Consequently, </w:t>
      </w:r>
      <w:r w:rsidR="00A232A0" w:rsidRPr="00F0055D">
        <w:rPr>
          <w:lang w:val="en-US"/>
        </w:rPr>
        <w:t>the Committee</w:t>
      </w:r>
      <w:r w:rsidRPr="00F0055D">
        <w:rPr>
          <w:lang w:val="en-US"/>
        </w:rPr>
        <w:t xml:space="preserve"> concludes that th</w:t>
      </w:r>
      <w:r w:rsidR="00A232A0" w:rsidRPr="00F0055D">
        <w:rPr>
          <w:lang w:val="en-US"/>
        </w:rPr>
        <w:t>o</w:t>
      </w:r>
      <w:r w:rsidRPr="00F0055D">
        <w:rPr>
          <w:lang w:val="en-US"/>
        </w:rPr>
        <w:t>se claims are incompatible with the provisions of the Covenant and, therefore, th</w:t>
      </w:r>
      <w:r w:rsidR="00A232A0" w:rsidRPr="00F0055D">
        <w:rPr>
          <w:lang w:val="en-US"/>
        </w:rPr>
        <w:t>at</w:t>
      </w:r>
      <w:r w:rsidRPr="00F0055D">
        <w:rPr>
          <w:lang w:val="en-US"/>
        </w:rPr>
        <w:t xml:space="preserve"> part of the communication is inadmissible under article 3 of the Optional Protocol</w:t>
      </w:r>
      <w:r w:rsidR="00A232A0" w:rsidRPr="00F0055D">
        <w:rPr>
          <w:lang w:val="en-US"/>
        </w:rPr>
        <w:t xml:space="preserve"> to the Covenant</w:t>
      </w:r>
      <w:r w:rsidRPr="00F0055D">
        <w:rPr>
          <w:lang w:val="en-US"/>
        </w:rPr>
        <w:t>.</w:t>
      </w:r>
    </w:p>
    <w:p w:rsidR="00AC35A2" w:rsidRPr="00F0055D" w:rsidRDefault="00803AC0" w:rsidP="000C387C">
      <w:pPr>
        <w:pStyle w:val="SingleTxtG"/>
        <w:spacing w:line="220" w:lineRule="atLeast"/>
        <w:rPr>
          <w:lang w:val="en-US"/>
        </w:rPr>
      </w:pPr>
      <w:r w:rsidRPr="00F0055D">
        <w:rPr>
          <w:lang w:val="en-US"/>
        </w:rPr>
        <w:t>8</w:t>
      </w:r>
      <w:r w:rsidR="00AC35A2" w:rsidRPr="00F0055D">
        <w:rPr>
          <w:lang w:val="en-US"/>
        </w:rPr>
        <w:t>.4</w:t>
      </w:r>
      <w:r w:rsidR="005C4ED3" w:rsidRPr="00F0055D">
        <w:rPr>
          <w:lang w:val="en-US"/>
        </w:rPr>
        <w:tab/>
      </w:r>
      <w:r w:rsidR="00AC35A2" w:rsidRPr="00F0055D">
        <w:rPr>
          <w:lang w:val="en-US"/>
        </w:rPr>
        <w:t>The Committee note</w:t>
      </w:r>
      <w:r w:rsidR="00A232A0" w:rsidRPr="00F0055D">
        <w:rPr>
          <w:lang w:val="en-US"/>
        </w:rPr>
        <w:t>s</w:t>
      </w:r>
      <w:r w:rsidR="00AC35A2" w:rsidRPr="00F0055D">
        <w:rPr>
          <w:lang w:val="en-US"/>
        </w:rPr>
        <w:t xml:space="preserve"> the author’s claim under article 10 of the Covenant concerning his interrogation on 5 and 6 June 2005 while hospitalized</w:t>
      </w:r>
      <w:r w:rsidR="00A232A0" w:rsidRPr="00F0055D">
        <w:rPr>
          <w:lang w:val="en-US"/>
        </w:rPr>
        <w:t>, and which</w:t>
      </w:r>
      <w:r w:rsidR="00AC35A2" w:rsidRPr="00F0055D">
        <w:rPr>
          <w:lang w:val="en-US"/>
        </w:rPr>
        <w:t xml:space="preserve"> allegedly result</w:t>
      </w:r>
      <w:r w:rsidR="00A232A0" w:rsidRPr="00F0055D">
        <w:rPr>
          <w:lang w:val="en-US"/>
        </w:rPr>
        <w:t>ed</w:t>
      </w:r>
      <w:r w:rsidR="00AC35A2" w:rsidRPr="00F0055D">
        <w:rPr>
          <w:lang w:val="en-US"/>
        </w:rPr>
        <w:t xml:space="preserve"> in the deterioration of his health. In </w:t>
      </w:r>
      <w:r w:rsidR="00A232A0" w:rsidRPr="00F0055D">
        <w:rPr>
          <w:lang w:val="en-US"/>
        </w:rPr>
        <w:t xml:space="preserve">the </w:t>
      </w:r>
      <w:r w:rsidR="00AC35A2" w:rsidRPr="00F0055D">
        <w:rPr>
          <w:lang w:val="en-US"/>
        </w:rPr>
        <w:t>light of the information on file, the Committee considers th</w:t>
      </w:r>
      <w:r w:rsidR="00A232A0" w:rsidRPr="00F0055D">
        <w:rPr>
          <w:lang w:val="en-US"/>
        </w:rPr>
        <w:t>at</w:t>
      </w:r>
      <w:r w:rsidR="00AC35A2" w:rsidRPr="00F0055D">
        <w:rPr>
          <w:lang w:val="en-US"/>
        </w:rPr>
        <w:t xml:space="preserve"> claim inadmissible under article 2 of the Optional Protocol</w:t>
      </w:r>
      <w:r w:rsidR="00CC245C">
        <w:rPr>
          <w:lang w:val="en-US"/>
        </w:rPr>
        <w:t>,</w:t>
      </w:r>
      <w:r w:rsidR="00AC35A2" w:rsidRPr="00F0055D">
        <w:rPr>
          <w:lang w:val="en-US"/>
        </w:rPr>
        <w:t xml:space="preserve"> as</w:t>
      </w:r>
      <w:r w:rsidR="00A232A0" w:rsidRPr="00F0055D">
        <w:rPr>
          <w:lang w:val="en-US"/>
        </w:rPr>
        <w:t xml:space="preserve"> it is</w:t>
      </w:r>
      <w:r w:rsidR="00AC35A2" w:rsidRPr="00F0055D">
        <w:rPr>
          <w:lang w:val="en-US"/>
        </w:rPr>
        <w:t xml:space="preserve"> insufficiently substantiated. </w:t>
      </w:r>
    </w:p>
    <w:p w:rsidR="00AC35A2" w:rsidRPr="00F0055D" w:rsidRDefault="00803AC0" w:rsidP="000C387C">
      <w:pPr>
        <w:pStyle w:val="SingleTxtG"/>
        <w:spacing w:line="220" w:lineRule="atLeast"/>
        <w:rPr>
          <w:lang w:val="en-US"/>
        </w:rPr>
      </w:pPr>
      <w:r w:rsidRPr="00F0055D">
        <w:rPr>
          <w:lang w:val="en-US"/>
        </w:rPr>
        <w:t>8</w:t>
      </w:r>
      <w:r w:rsidR="00AC35A2" w:rsidRPr="00F0055D">
        <w:rPr>
          <w:lang w:val="en-US"/>
        </w:rPr>
        <w:t>.5</w:t>
      </w:r>
      <w:r w:rsidR="005C4ED3" w:rsidRPr="00F0055D">
        <w:rPr>
          <w:lang w:val="en-US"/>
        </w:rPr>
        <w:tab/>
      </w:r>
      <w:r w:rsidRPr="00F0055D">
        <w:rPr>
          <w:lang w:val="en-US"/>
        </w:rPr>
        <w:t>S</w:t>
      </w:r>
      <w:r w:rsidR="00AC35A2" w:rsidRPr="00F0055D">
        <w:rPr>
          <w:lang w:val="en-US"/>
        </w:rPr>
        <w:t>imilarly, regarding the author’s claims under article 9 of the Covenant concerning</w:t>
      </w:r>
      <w:r w:rsidR="00A232A0" w:rsidRPr="00F0055D">
        <w:rPr>
          <w:lang w:val="en-US"/>
        </w:rPr>
        <w:t xml:space="preserve"> his </w:t>
      </w:r>
      <w:r w:rsidR="00AC35A2" w:rsidRPr="00F0055D">
        <w:rPr>
          <w:lang w:val="en-US"/>
        </w:rPr>
        <w:t xml:space="preserve">allegedly unlawful placement in custody from 19 May to 9 September 2005, </w:t>
      </w:r>
      <w:r w:rsidR="00A232A0" w:rsidRPr="00F0055D">
        <w:rPr>
          <w:lang w:val="en-US"/>
        </w:rPr>
        <w:t xml:space="preserve">taking into account all pertinent information on file, </w:t>
      </w:r>
      <w:r w:rsidR="00AC35A2" w:rsidRPr="00F0055D">
        <w:rPr>
          <w:lang w:val="en-US"/>
        </w:rPr>
        <w:t>the Committee considers that th</w:t>
      </w:r>
      <w:r w:rsidR="00A232A0" w:rsidRPr="00F0055D">
        <w:rPr>
          <w:lang w:val="en-US"/>
        </w:rPr>
        <w:t>o</w:t>
      </w:r>
      <w:r w:rsidR="00AC35A2" w:rsidRPr="00F0055D">
        <w:rPr>
          <w:lang w:val="en-US"/>
        </w:rPr>
        <w:t xml:space="preserve">se claims </w:t>
      </w:r>
      <w:r w:rsidR="00A232A0" w:rsidRPr="00F0055D">
        <w:rPr>
          <w:lang w:val="en-US"/>
        </w:rPr>
        <w:t>are not</w:t>
      </w:r>
      <w:r w:rsidR="00AC35A2" w:rsidRPr="00F0055D">
        <w:rPr>
          <w:lang w:val="en-US"/>
        </w:rPr>
        <w:t xml:space="preserve"> sufficiently substantiated for purposes of admissibility, and </w:t>
      </w:r>
      <w:r w:rsidR="00A232A0" w:rsidRPr="00F0055D">
        <w:rPr>
          <w:lang w:val="en-US"/>
        </w:rPr>
        <w:t>are therefore</w:t>
      </w:r>
      <w:r w:rsidR="00AC35A2" w:rsidRPr="00F0055D">
        <w:rPr>
          <w:lang w:val="en-US"/>
        </w:rPr>
        <w:t xml:space="preserve"> inadmissible under article 2 of the Optional Protocol.</w:t>
      </w:r>
    </w:p>
    <w:p w:rsidR="00AC35A2" w:rsidRPr="00F0055D" w:rsidRDefault="00803AC0" w:rsidP="000C387C">
      <w:pPr>
        <w:pStyle w:val="SingleTxtG"/>
        <w:spacing w:line="220" w:lineRule="atLeast"/>
        <w:rPr>
          <w:lang w:val="en-US"/>
        </w:rPr>
      </w:pPr>
      <w:r w:rsidRPr="00F0055D">
        <w:rPr>
          <w:lang w:val="en-US"/>
        </w:rPr>
        <w:t>8</w:t>
      </w:r>
      <w:r w:rsidR="00AC35A2" w:rsidRPr="00F0055D">
        <w:rPr>
          <w:lang w:val="en-US"/>
        </w:rPr>
        <w:t>.6</w:t>
      </w:r>
      <w:r w:rsidR="005C4ED3" w:rsidRPr="00F0055D">
        <w:rPr>
          <w:lang w:val="en-US"/>
        </w:rPr>
        <w:tab/>
      </w:r>
      <w:r w:rsidR="00AC35A2" w:rsidRPr="00F0055D">
        <w:rPr>
          <w:lang w:val="en-US"/>
        </w:rPr>
        <w:t>Further</w:t>
      </w:r>
      <w:r w:rsidR="00A232A0" w:rsidRPr="00F0055D">
        <w:rPr>
          <w:lang w:val="en-US"/>
        </w:rPr>
        <w:t>more</w:t>
      </w:r>
      <w:r w:rsidR="00AC35A2" w:rsidRPr="00F0055D">
        <w:rPr>
          <w:lang w:val="en-US"/>
        </w:rPr>
        <w:t>, the author claims violations of his rights under article 14</w:t>
      </w:r>
      <w:r w:rsidR="00960E3C" w:rsidRPr="00F0055D">
        <w:rPr>
          <w:lang w:val="en-US"/>
        </w:rPr>
        <w:t>, paragraph</w:t>
      </w:r>
      <w:r w:rsidR="00AC35A2" w:rsidRPr="00F0055D">
        <w:rPr>
          <w:lang w:val="en-US"/>
        </w:rPr>
        <w:t xml:space="preserve"> 3 (d) and (g), of the Covenant</w:t>
      </w:r>
      <w:r w:rsidR="00CC245C">
        <w:rPr>
          <w:lang w:val="en-US"/>
        </w:rPr>
        <w:t>,</w:t>
      </w:r>
      <w:r w:rsidR="00AC35A2" w:rsidRPr="00F0055D">
        <w:rPr>
          <w:lang w:val="en-US"/>
        </w:rPr>
        <w:t xml:space="preserve"> as on 5 and 6 June 2005</w:t>
      </w:r>
      <w:r w:rsidR="00960E3C" w:rsidRPr="00F0055D">
        <w:rPr>
          <w:lang w:val="en-US"/>
        </w:rPr>
        <w:t>,</w:t>
      </w:r>
      <w:r w:rsidR="00AC35A2" w:rsidRPr="00F0055D">
        <w:rPr>
          <w:lang w:val="en-US"/>
        </w:rPr>
        <w:t xml:space="preserve"> he was interrogated </w:t>
      </w:r>
      <w:r w:rsidR="00960E3C" w:rsidRPr="00F0055D">
        <w:rPr>
          <w:lang w:val="en-US"/>
        </w:rPr>
        <w:t xml:space="preserve">while </w:t>
      </w:r>
      <w:r w:rsidR="00AC35A2" w:rsidRPr="00F0055D">
        <w:rPr>
          <w:lang w:val="en-US"/>
        </w:rPr>
        <w:t>in hospital</w:t>
      </w:r>
      <w:r w:rsidR="00960E3C" w:rsidRPr="00F0055D">
        <w:rPr>
          <w:lang w:val="en-US"/>
        </w:rPr>
        <w:t xml:space="preserve"> and</w:t>
      </w:r>
      <w:r w:rsidR="00AC35A2" w:rsidRPr="00F0055D">
        <w:rPr>
          <w:lang w:val="en-US"/>
        </w:rPr>
        <w:t xml:space="preserve"> in the absence of a lawyer, </w:t>
      </w:r>
      <w:r w:rsidR="00960E3C" w:rsidRPr="00F0055D">
        <w:rPr>
          <w:lang w:val="en-US"/>
        </w:rPr>
        <w:t>and</w:t>
      </w:r>
      <w:r w:rsidR="00AC35A2" w:rsidRPr="00F0055D">
        <w:rPr>
          <w:lang w:val="en-US"/>
        </w:rPr>
        <w:t xml:space="preserve"> his helpless state in hospital</w:t>
      </w:r>
      <w:r w:rsidR="00960E3C" w:rsidRPr="00F0055D">
        <w:rPr>
          <w:lang w:val="en-US"/>
        </w:rPr>
        <w:t xml:space="preserve"> was</w:t>
      </w:r>
      <w:r w:rsidR="00AC35A2" w:rsidRPr="00F0055D">
        <w:rPr>
          <w:lang w:val="en-US"/>
        </w:rPr>
        <w:t xml:space="preserve"> used by the investigation</w:t>
      </w:r>
      <w:r w:rsidR="00960E3C" w:rsidRPr="00F0055D">
        <w:rPr>
          <w:lang w:val="en-US"/>
        </w:rPr>
        <w:t xml:space="preserve"> officer</w:t>
      </w:r>
      <w:r w:rsidR="00AC35A2" w:rsidRPr="00F0055D">
        <w:rPr>
          <w:lang w:val="en-US"/>
        </w:rPr>
        <w:t xml:space="preserve"> in an attempt to force him </w:t>
      </w:r>
      <w:r w:rsidR="00960E3C" w:rsidRPr="00F0055D">
        <w:rPr>
          <w:lang w:val="en-US"/>
        </w:rPr>
        <w:t xml:space="preserve">to </w:t>
      </w:r>
      <w:r w:rsidR="00AC35A2" w:rsidRPr="00F0055D">
        <w:rPr>
          <w:lang w:val="en-US"/>
        </w:rPr>
        <w:t>confess guilt. In th</w:t>
      </w:r>
      <w:r w:rsidR="00960E3C" w:rsidRPr="00F0055D">
        <w:rPr>
          <w:lang w:val="en-US"/>
        </w:rPr>
        <w:t>at</w:t>
      </w:r>
      <w:r w:rsidR="00AC35A2" w:rsidRPr="00F0055D">
        <w:rPr>
          <w:lang w:val="en-US"/>
        </w:rPr>
        <w:t xml:space="preserve"> connection, the Committee notes that, given the available information on file and taking into account that the author never actually confessed guilt, th</w:t>
      </w:r>
      <w:r w:rsidR="00960E3C" w:rsidRPr="00F0055D">
        <w:rPr>
          <w:lang w:val="en-US"/>
        </w:rPr>
        <w:t>o</w:t>
      </w:r>
      <w:r w:rsidR="00AC35A2" w:rsidRPr="00F0055D">
        <w:rPr>
          <w:lang w:val="en-US"/>
        </w:rPr>
        <w:t xml:space="preserve">se claims </w:t>
      </w:r>
      <w:r w:rsidR="00960E3C" w:rsidRPr="00F0055D">
        <w:rPr>
          <w:lang w:val="en-US"/>
        </w:rPr>
        <w:t>are</w:t>
      </w:r>
      <w:r w:rsidR="00AC35A2" w:rsidRPr="00F0055D">
        <w:rPr>
          <w:lang w:val="en-US"/>
        </w:rPr>
        <w:t xml:space="preserve"> also insufficiently substantiated for purposes of admissibility. Accordingly, the Committee concludes that th</w:t>
      </w:r>
      <w:r w:rsidR="00960E3C" w:rsidRPr="00F0055D">
        <w:rPr>
          <w:lang w:val="en-US"/>
        </w:rPr>
        <w:t>at</w:t>
      </w:r>
      <w:r w:rsidR="00AC35A2" w:rsidRPr="00F0055D">
        <w:rPr>
          <w:lang w:val="en-US"/>
        </w:rPr>
        <w:t xml:space="preserve"> part of the communication is inadmissible under article 2 of the Optional Protocol.</w:t>
      </w:r>
    </w:p>
    <w:p w:rsidR="00AC35A2" w:rsidRPr="00F0055D" w:rsidRDefault="00803AC0" w:rsidP="000C387C">
      <w:pPr>
        <w:pStyle w:val="SingleTxtG"/>
        <w:spacing w:line="220" w:lineRule="atLeast"/>
        <w:rPr>
          <w:lang w:val="en-US"/>
        </w:rPr>
      </w:pPr>
      <w:r w:rsidRPr="00F0055D">
        <w:rPr>
          <w:lang w:val="en-US"/>
        </w:rPr>
        <w:t>8</w:t>
      </w:r>
      <w:r w:rsidR="00AC35A2" w:rsidRPr="00F0055D">
        <w:rPr>
          <w:lang w:val="en-US"/>
        </w:rPr>
        <w:t>.7</w:t>
      </w:r>
      <w:r w:rsidR="005C4ED3" w:rsidRPr="00F0055D">
        <w:rPr>
          <w:lang w:val="en-US"/>
        </w:rPr>
        <w:tab/>
      </w:r>
      <w:r w:rsidR="00AC35A2" w:rsidRPr="00F0055D">
        <w:rPr>
          <w:lang w:val="en-US"/>
        </w:rPr>
        <w:t>The Committee further notes the author’s claims under article 14, paragraph 3 (b) and (g), of the Covenant</w:t>
      </w:r>
      <w:r w:rsidR="00960E3C" w:rsidRPr="00F0055D">
        <w:rPr>
          <w:lang w:val="en-US"/>
        </w:rPr>
        <w:t xml:space="preserve"> </w:t>
      </w:r>
      <w:r w:rsidR="00AC35A2" w:rsidRPr="00F0055D">
        <w:rPr>
          <w:lang w:val="en-US"/>
        </w:rPr>
        <w:t xml:space="preserve">that on 18 March 2008, while </w:t>
      </w:r>
      <w:r w:rsidR="00960E3C" w:rsidRPr="00F0055D">
        <w:rPr>
          <w:lang w:val="en-US"/>
        </w:rPr>
        <w:t xml:space="preserve">he was </w:t>
      </w:r>
      <w:r w:rsidR="00AC35A2" w:rsidRPr="00F0055D">
        <w:rPr>
          <w:lang w:val="en-US"/>
        </w:rPr>
        <w:t>hospitali</w:t>
      </w:r>
      <w:r w:rsidR="00960E3C" w:rsidRPr="00F0055D">
        <w:rPr>
          <w:lang w:val="en-US"/>
        </w:rPr>
        <w:t>z</w:t>
      </w:r>
      <w:r w:rsidR="00AC35A2" w:rsidRPr="00F0055D">
        <w:rPr>
          <w:lang w:val="en-US"/>
        </w:rPr>
        <w:t xml:space="preserve">ed and contrary to his medical doctor’s prohibition to </w:t>
      </w:r>
      <w:r w:rsidR="009439E4" w:rsidRPr="00F0055D">
        <w:rPr>
          <w:lang w:val="en-US"/>
        </w:rPr>
        <w:t>conduct</w:t>
      </w:r>
      <w:r w:rsidR="00AC35A2" w:rsidRPr="00F0055D">
        <w:rPr>
          <w:lang w:val="en-US"/>
        </w:rPr>
        <w:t xml:space="preserve"> investigati</w:t>
      </w:r>
      <w:r w:rsidR="00960E3C" w:rsidRPr="00F0055D">
        <w:rPr>
          <w:lang w:val="en-US"/>
        </w:rPr>
        <w:t>ve</w:t>
      </w:r>
      <w:r w:rsidR="00AC35A2" w:rsidRPr="00F0055D">
        <w:rPr>
          <w:lang w:val="en-US"/>
        </w:rPr>
        <w:t xml:space="preserve"> actions, he was notified </w:t>
      </w:r>
      <w:r w:rsidR="00960E3C" w:rsidRPr="00F0055D">
        <w:rPr>
          <w:lang w:val="en-US"/>
        </w:rPr>
        <w:t>that he w</w:t>
      </w:r>
      <w:r w:rsidR="00AC35A2" w:rsidRPr="00F0055D">
        <w:rPr>
          <w:lang w:val="en-US"/>
        </w:rPr>
        <w:t>as a suspect and, despite his poor state of health, was questioned by investigators. In th</w:t>
      </w:r>
      <w:r w:rsidR="00960E3C" w:rsidRPr="00F0055D">
        <w:rPr>
          <w:lang w:val="en-US"/>
        </w:rPr>
        <w:t>at</w:t>
      </w:r>
      <w:r w:rsidR="00AC35A2" w:rsidRPr="00F0055D">
        <w:rPr>
          <w:lang w:val="en-US"/>
        </w:rPr>
        <w:t xml:space="preserve"> regard and in </w:t>
      </w:r>
      <w:r w:rsidR="00960E3C" w:rsidRPr="00F0055D">
        <w:rPr>
          <w:lang w:val="en-US"/>
        </w:rPr>
        <w:t xml:space="preserve">the </w:t>
      </w:r>
      <w:r w:rsidR="00AC35A2" w:rsidRPr="00F0055D">
        <w:rPr>
          <w:lang w:val="en-US"/>
        </w:rPr>
        <w:t xml:space="preserve">light of the information on file, </w:t>
      </w:r>
      <w:r w:rsidR="00960E3C" w:rsidRPr="00F0055D">
        <w:rPr>
          <w:lang w:val="en-US"/>
        </w:rPr>
        <w:t>the Committee</w:t>
      </w:r>
      <w:r w:rsidR="00AC35A2" w:rsidRPr="00F0055D">
        <w:rPr>
          <w:lang w:val="en-US"/>
        </w:rPr>
        <w:t xml:space="preserve"> considers that the author has failed to sufficiently substantiate th</w:t>
      </w:r>
      <w:r w:rsidR="00960E3C" w:rsidRPr="00F0055D">
        <w:rPr>
          <w:lang w:val="en-US"/>
        </w:rPr>
        <w:t>ose</w:t>
      </w:r>
      <w:r w:rsidR="00AC35A2" w:rsidRPr="00F0055D">
        <w:rPr>
          <w:lang w:val="en-US"/>
        </w:rPr>
        <w:t xml:space="preserve"> claims and, therefore, th</w:t>
      </w:r>
      <w:r w:rsidR="00960E3C" w:rsidRPr="00F0055D">
        <w:rPr>
          <w:lang w:val="en-US"/>
        </w:rPr>
        <w:t>at</w:t>
      </w:r>
      <w:r w:rsidR="00AC35A2" w:rsidRPr="00F0055D">
        <w:rPr>
          <w:lang w:val="en-US"/>
        </w:rPr>
        <w:t xml:space="preserve"> part of the communication is inadmissible under article 2 of the Optional Protocol.</w:t>
      </w:r>
    </w:p>
    <w:p w:rsidR="00AC35A2" w:rsidRPr="00F0055D" w:rsidRDefault="00803AC0" w:rsidP="000C387C">
      <w:pPr>
        <w:pStyle w:val="SingleTxtG"/>
        <w:spacing w:line="220" w:lineRule="atLeast"/>
        <w:rPr>
          <w:lang w:val="en-US"/>
        </w:rPr>
      </w:pPr>
      <w:r w:rsidRPr="00F0055D">
        <w:rPr>
          <w:lang w:val="en-US"/>
        </w:rPr>
        <w:t>8</w:t>
      </w:r>
      <w:r w:rsidR="00AC35A2" w:rsidRPr="00F0055D">
        <w:rPr>
          <w:lang w:val="en-US"/>
        </w:rPr>
        <w:t>.8</w:t>
      </w:r>
      <w:r w:rsidR="005C4ED3" w:rsidRPr="00F0055D">
        <w:rPr>
          <w:lang w:val="en-US"/>
        </w:rPr>
        <w:tab/>
      </w:r>
      <w:r w:rsidR="00AC35A2" w:rsidRPr="00F0055D">
        <w:rPr>
          <w:lang w:val="en-US"/>
        </w:rPr>
        <w:t>Regarding the author’s additional claims under article 14</w:t>
      </w:r>
      <w:r w:rsidR="00BF1770" w:rsidRPr="00F0055D">
        <w:rPr>
          <w:lang w:val="en-US"/>
        </w:rPr>
        <w:t>, paragraph</w:t>
      </w:r>
      <w:r w:rsidR="00AC35A2" w:rsidRPr="00F0055D">
        <w:rPr>
          <w:lang w:val="en-US"/>
        </w:rPr>
        <w:t xml:space="preserve"> 3 (b) and (e), of the Covenant that he did not have sufficient time and opportunity to prepare his defence since he was denied </w:t>
      </w:r>
      <w:r w:rsidR="00BF1770" w:rsidRPr="00F0055D">
        <w:rPr>
          <w:lang w:val="en-US"/>
        </w:rPr>
        <w:t>the opportunity</w:t>
      </w:r>
      <w:r w:rsidR="00AC35A2" w:rsidRPr="00F0055D">
        <w:rPr>
          <w:lang w:val="en-US"/>
        </w:rPr>
        <w:t xml:space="preserve"> to acquaint</w:t>
      </w:r>
      <w:r w:rsidR="00BF1770" w:rsidRPr="00F0055D">
        <w:rPr>
          <w:lang w:val="en-US"/>
        </w:rPr>
        <w:t xml:space="preserve"> himself</w:t>
      </w:r>
      <w:r w:rsidR="00AC35A2" w:rsidRPr="00F0055D">
        <w:rPr>
          <w:lang w:val="en-US"/>
        </w:rPr>
        <w:t xml:space="preserve"> with the </w:t>
      </w:r>
      <w:r w:rsidR="00BF1770" w:rsidRPr="00F0055D">
        <w:rPr>
          <w:lang w:val="en-US"/>
        </w:rPr>
        <w:t xml:space="preserve">materials of the </w:t>
      </w:r>
      <w:r w:rsidR="00AC35A2" w:rsidRPr="00F0055D">
        <w:rPr>
          <w:lang w:val="en-US"/>
        </w:rPr>
        <w:t xml:space="preserve">pretrial investigation and </w:t>
      </w:r>
      <w:r w:rsidR="00BF1770" w:rsidRPr="00F0055D">
        <w:rPr>
          <w:lang w:val="en-US"/>
        </w:rPr>
        <w:t xml:space="preserve">to </w:t>
      </w:r>
      <w:r w:rsidR="00AC35A2" w:rsidRPr="00F0055D">
        <w:rPr>
          <w:lang w:val="en-US"/>
        </w:rPr>
        <w:t xml:space="preserve">supplement them, </w:t>
      </w:r>
      <w:r w:rsidR="00BF1770" w:rsidRPr="00F0055D">
        <w:rPr>
          <w:lang w:val="en-US"/>
        </w:rPr>
        <w:t>as well as</w:t>
      </w:r>
      <w:r w:rsidR="00AC35A2" w:rsidRPr="00F0055D">
        <w:rPr>
          <w:lang w:val="en-US"/>
        </w:rPr>
        <w:t xml:space="preserve"> to freely communicate with his lawyer, the Committee notes, first</w:t>
      </w:r>
      <w:r w:rsidR="00BF1770" w:rsidRPr="00F0055D">
        <w:rPr>
          <w:lang w:val="en-US"/>
        </w:rPr>
        <w:t xml:space="preserve"> of all</w:t>
      </w:r>
      <w:r w:rsidR="00AC35A2" w:rsidRPr="00F0055D">
        <w:rPr>
          <w:lang w:val="en-US"/>
        </w:rPr>
        <w:t>, that according to the information provided by the parties, during the pretrial investigation</w:t>
      </w:r>
      <w:r w:rsidR="00BF1770" w:rsidRPr="00F0055D">
        <w:rPr>
          <w:lang w:val="en-US"/>
        </w:rPr>
        <w:t>,</w:t>
      </w:r>
      <w:r w:rsidR="00AC35A2" w:rsidRPr="00F0055D">
        <w:rPr>
          <w:lang w:val="en-US"/>
        </w:rPr>
        <w:t xml:space="preserve"> the author was precluded </w:t>
      </w:r>
      <w:r w:rsidR="00BF1770" w:rsidRPr="00F0055D">
        <w:rPr>
          <w:lang w:val="en-US"/>
        </w:rPr>
        <w:t>from</w:t>
      </w:r>
      <w:r w:rsidR="00AC35A2" w:rsidRPr="00F0055D">
        <w:rPr>
          <w:lang w:val="en-US"/>
        </w:rPr>
        <w:t xml:space="preserve"> acquaint</w:t>
      </w:r>
      <w:r w:rsidR="00BF1770" w:rsidRPr="00F0055D">
        <w:rPr>
          <w:lang w:val="en-US"/>
        </w:rPr>
        <w:t>ing himself</w:t>
      </w:r>
      <w:r w:rsidR="00AC35A2" w:rsidRPr="00F0055D">
        <w:rPr>
          <w:lang w:val="en-US"/>
        </w:rPr>
        <w:t xml:space="preserve"> with specific parts of the materials </w:t>
      </w:r>
      <w:r w:rsidR="00BF1770" w:rsidRPr="00F0055D">
        <w:rPr>
          <w:lang w:val="en-US"/>
        </w:rPr>
        <w:t>in the case</w:t>
      </w:r>
      <w:r w:rsidR="00AC35A2" w:rsidRPr="00F0055D">
        <w:rPr>
          <w:lang w:val="en-US"/>
        </w:rPr>
        <w:t xml:space="preserve"> file</w:t>
      </w:r>
      <w:r w:rsidR="00BF1770" w:rsidRPr="00F0055D">
        <w:rPr>
          <w:lang w:val="en-US"/>
        </w:rPr>
        <w:t>.</w:t>
      </w:r>
      <w:r w:rsidR="00AC35A2" w:rsidRPr="00F0055D">
        <w:rPr>
          <w:lang w:val="en-US"/>
        </w:rPr>
        <w:t xml:space="preserve"> </w:t>
      </w:r>
      <w:r w:rsidR="00BF1770" w:rsidRPr="00F0055D">
        <w:rPr>
          <w:lang w:val="en-US"/>
        </w:rPr>
        <w:t>H</w:t>
      </w:r>
      <w:r w:rsidR="00AC35A2" w:rsidRPr="00F0055D">
        <w:rPr>
          <w:lang w:val="en-US"/>
        </w:rPr>
        <w:t xml:space="preserve">owever, in </w:t>
      </w:r>
      <w:r w:rsidR="00BF1770" w:rsidRPr="00F0055D">
        <w:rPr>
          <w:lang w:val="en-US"/>
        </w:rPr>
        <w:t xml:space="preserve">the </w:t>
      </w:r>
      <w:r w:rsidR="00AC35A2" w:rsidRPr="00F0055D">
        <w:rPr>
          <w:lang w:val="en-US"/>
        </w:rPr>
        <w:t xml:space="preserve">light of the information on file, the refusals to </w:t>
      </w:r>
      <w:r w:rsidR="00BF1770" w:rsidRPr="00F0055D">
        <w:rPr>
          <w:lang w:val="en-US"/>
        </w:rPr>
        <w:t>grant him access to</w:t>
      </w:r>
      <w:r w:rsidR="00AC35A2" w:rsidRPr="00F0055D">
        <w:rPr>
          <w:lang w:val="en-US"/>
        </w:rPr>
        <w:t xml:space="preserve"> part of the materials were motivated</w:t>
      </w:r>
      <w:r w:rsidR="00AC4DCB">
        <w:rPr>
          <w:lang w:val="en-US"/>
        </w:rPr>
        <w:t xml:space="preserve"> and</w:t>
      </w:r>
      <w:r w:rsidR="00BF1770" w:rsidRPr="00F0055D">
        <w:rPr>
          <w:lang w:val="en-US"/>
        </w:rPr>
        <w:t xml:space="preserve"> </w:t>
      </w:r>
      <w:r w:rsidR="00AC35A2" w:rsidRPr="00F0055D">
        <w:rPr>
          <w:lang w:val="en-US"/>
        </w:rPr>
        <w:t xml:space="preserve">on a number of occasions, reviewed by national courts and </w:t>
      </w:r>
      <w:r w:rsidR="009E1BF4" w:rsidRPr="00F0055D">
        <w:rPr>
          <w:lang w:val="en-US"/>
        </w:rPr>
        <w:t xml:space="preserve">while </w:t>
      </w:r>
      <w:r w:rsidR="00BF1770" w:rsidRPr="00F0055D">
        <w:rPr>
          <w:lang w:val="en-US"/>
        </w:rPr>
        <w:t xml:space="preserve">some were </w:t>
      </w:r>
      <w:r w:rsidR="00AC35A2" w:rsidRPr="00F0055D">
        <w:rPr>
          <w:lang w:val="en-US"/>
        </w:rPr>
        <w:t>upheld or modified with more specific grounds for refusal</w:t>
      </w:r>
      <w:r w:rsidR="009E1BF4" w:rsidRPr="00F0055D">
        <w:rPr>
          <w:lang w:val="en-US"/>
        </w:rPr>
        <w:t>, others were overruled and permission was</w:t>
      </w:r>
      <w:r w:rsidR="00AC35A2" w:rsidRPr="00F0055D">
        <w:rPr>
          <w:lang w:val="en-US"/>
        </w:rPr>
        <w:t xml:space="preserve"> grant</w:t>
      </w:r>
      <w:r w:rsidR="00AC4DCB">
        <w:rPr>
          <w:lang w:val="en-US"/>
        </w:rPr>
        <w:t>ed</w:t>
      </w:r>
      <w:r w:rsidR="00AC35A2" w:rsidRPr="00F0055D">
        <w:rPr>
          <w:lang w:val="en-US"/>
        </w:rPr>
        <w:t>. In th</w:t>
      </w:r>
      <w:r w:rsidR="009E1BF4" w:rsidRPr="00F0055D">
        <w:rPr>
          <w:lang w:val="en-US"/>
        </w:rPr>
        <w:t>o</w:t>
      </w:r>
      <w:r w:rsidR="00AC35A2" w:rsidRPr="00F0055D">
        <w:rPr>
          <w:lang w:val="en-US"/>
        </w:rPr>
        <w:t xml:space="preserve">se circumstances, the Committee </w:t>
      </w:r>
      <w:r w:rsidR="009E1BF4" w:rsidRPr="00F0055D">
        <w:rPr>
          <w:lang w:val="en-US"/>
        </w:rPr>
        <w:t>is unable to</w:t>
      </w:r>
      <w:r w:rsidR="00AC35A2" w:rsidRPr="00F0055D">
        <w:rPr>
          <w:lang w:val="en-US"/>
        </w:rPr>
        <w:t xml:space="preserve"> conclu</w:t>
      </w:r>
      <w:r w:rsidR="009E1BF4" w:rsidRPr="00F0055D">
        <w:rPr>
          <w:lang w:val="en-US"/>
        </w:rPr>
        <w:t>de</w:t>
      </w:r>
      <w:r w:rsidR="00AC35A2" w:rsidRPr="00F0055D">
        <w:rPr>
          <w:lang w:val="en-US"/>
        </w:rPr>
        <w:t xml:space="preserve"> that the refusals in question were arbitrary. Furthermore, the Committee notes that the issue of supplement</w:t>
      </w:r>
      <w:r w:rsidR="009E1BF4" w:rsidRPr="00F0055D">
        <w:rPr>
          <w:lang w:val="en-US"/>
        </w:rPr>
        <w:t>ing</w:t>
      </w:r>
      <w:r w:rsidR="00AC35A2" w:rsidRPr="00F0055D">
        <w:rPr>
          <w:lang w:val="en-US"/>
        </w:rPr>
        <w:t xml:space="preserve"> the </w:t>
      </w:r>
      <w:r w:rsidR="009E1BF4" w:rsidRPr="00F0055D">
        <w:rPr>
          <w:lang w:val="en-US"/>
        </w:rPr>
        <w:t xml:space="preserve">materials of the </w:t>
      </w:r>
      <w:r w:rsidR="00AC35A2" w:rsidRPr="00F0055D">
        <w:rPr>
          <w:lang w:val="en-US"/>
        </w:rPr>
        <w:t>pretrial investigation (at the court trial</w:t>
      </w:r>
      <w:r w:rsidR="009E1BF4" w:rsidRPr="00F0055D">
        <w:rPr>
          <w:lang w:val="en-US"/>
        </w:rPr>
        <w:t xml:space="preserve"> stage</w:t>
      </w:r>
      <w:r w:rsidR="00AC35A2" w:rsidRPr="00F0055D">
        <w:rPr>
          <w:lang w:val="en-US"/>
        </w:rPr>
        <w:t xml:space="preserve">) relates to the manner </w:t>
      </w:r>
      <w:r w:rsidR="009E1BF4" w:rsidRPr="00F0055D">
        <w:rPr>
          <w:lang w:val="en-US"/>
        </w:rPr>
        <w:t xml:space="preserve">in which the </w:t>
      </w:r>
      <w:r w:rsidR="00AC35A2" w:rsidRPr="00F0055D">
        <w:rPr>
          <w:lang w:val="en-US"/>
        </w:rPr>
        <w:t xml:space="preserve">national authorities evaluated evidence and </w:t>
      </w:r>
      <w:r w:rsidR="009E1BF4" w:rsidRPr="00F0055D">
        <w:rPr>
          <w:lang w:val="en-US"/>
        </w:rPr>
        <w:t xml:space="preserve">determined </w:t>
      </w:r>
      <w:r w:rsidR="00AC35A2" w:rsidRPr="00F0055D">
        <w:rPr>
          <w:lang w:val="en-US"/>
        </w:rPr>
        <w:t>what evidence specifically was relevan</w:t>
      </w:r>
      <w:r w:rsidR="00CC245C">
        <w:rPr>
          <w:lang w:val="en-US"/>
        </w:rPr>
        <w:t>t</w:t>
      </w:r>
      <w:r w:rsidR="00AC35A2" w:rsidRPr="00F0055D">
        <w:rPr>
          <w:lang w:val="en-US"/>
        </w:rPr>
        <w:t xml:space="preserve"> in the framework of </w:t>
      </w:r>
      <w:r w:rsidR="009E1BF4" w:rsidRPr="00F0055D">
        <w:rPr>
          <w:lang w:val="en-US"/>
        </w:rPr>
        <w:t>the</w:t>
      </w:r>
      <w:r w:rsidR="00AC35A2" w:rsidRPr="00F0055D">
        <w:rPr>
          <w:lang w:val="en-US"/>
        </w:rPr>
        <w:t xml:space="preserve"> court trial. The Committee observes that th</w:t>
      </w:r>
      <w:r w:rsidR="009E1BF4" w:rsidRPr="00F0055D">
        <w:rPr>
          <w:lang w:val="en-US"/>
        </w:rPr>
        <w:t>o</w:t>
      </w:r>
      <w:r w:rsidR="00AC35A2" w:rsidRPr="00F0055D">
        <w:rPr>
          <w:lang w:val="en-US"/>
        </w:rPr>
        <w:t xml:space="preserve">se allegations relate primarily to the evaluation of elements of facts and evidence by the national authorities. </w:t>
      </w:r>
    </w:p>
    <w:p w:rsidR="00AC35A2" w:rsidRPr="00F0055D" w:rsidRDefault="00803AC0" w:rsidP="007655F2">
      <w:pPr>
        <w:pStyle w:val="SingleTxtG"/>
        <w:rPr>
          <w:lang w:val="en-US"/>
        </w:rPr>
      </w:pPr>
      <w:r w:rsidRPr="00F0055D">
        <w:rPr>
          <w:lang w:val="en-US"/>
        </w:rPr>
        <w:t>8</w:t>
      </w:r>
      <w:r w:rsidR="00AC35A2" w:rsidRPr="00F0055D">
        <w:rPr>
          <w:lang w:val="en-US"/>
        </w:rPr>
        <w:t>.9</w:t>
      </w:r>
      <w:r w:rsidR="005C4ED3" w:rsidRPr="00F0055D">
        <w:rPr>
          <w:lang w:val="en-US"/>
        </w:rPr>
        <w:tab/>
      </w:r>
      <w:r w:rsidR="00AC35A2" w:rsidRPr="00F0055D">
        <w:rPr>
          <w:lang w:val="en-US"/>
        </w:rPr>
        <w:t xml:space="preserve">The Committee further notes the author’s claim </w:t>
      </w:r>
      <w:r w:rsidR="009E1BF4" w:rsidRPr="00F0055D">
        <w:rPr>
          <w:lang w:val="en-US"/>
        </w:rPr>
        <w:t xml:space="preserve">regarding </w:t>
      </w:r>
      <w:r w:rsidR="00AC35A2" w:rsidRPr="00F0055D">
        <w:rPr>
          <w:lang w:val="en-US"/>
        </w:rPr>
        <w:t xml:space="preserve">the alleged impossibility to communicate freely with his lawyers, but it </w:t>
      </w:r>
      <w:r w:rsidR="009E1BF4" w:rsidRPr="00F0055D">
        <w:rPr>
          <w:lang w:val="en-US"/>
        </w:rPr>
        <w:t xml:space="preserve">also </w:t>
      </w:r>
      <w:r w:rsidR="00AC35A2" w:rsidRPr="00F0055D">
        <w:rPr>
          <w:lang w:val="en-US"/>
        </w:rPr>
        <w:t xml:space="preserve">notes that the </w:t>
      </w:r>
      <w:r w:rsidR="009E1BF4" w:rsidRPr="00F0055D">
        <w:rPr>
          <w:lang w:val="en-US"/>
        </w:rPr>
        <w:t xml:space="preserve">information </w:t>
      </w:r>
      <w:r w:rsidR="00AC35A2" w:rsidRPr="00F0055D">
        <w:rPr>
          <w:lang w:val="en-US"/>
        </w:rPr>
        <w:t xml:space="preserve">on file does not contain further details thereon, such as, for example, </w:t>
      </w:r>
      <w:r w:rsidR="009E1BF4" w:rsidRPr="00F0055D">
        <w:rPr>
          <w:lang w:val="en-US"/>
        </w:rPr>
        <w:t>the</w:t>
      </w:r>
      <w:r w:rsidR="00AC35A2" w:rsidRPr="00F0055D">
        <w:rPr>
          <w:lang w:val="en-US"/>
        </w:rPr>
        <w:t xml:space="preserve"> exact context </w:t>
      </w:r>
      <w:r w:rsidR="009E1BF4" w:rsidRPr="00F0055D">
        <w:rPr>
          <w:lang w:val="en-US"/>
        </w:rPr>
        <w:t xml:space="preserve">in which </w:t>
      </w:r>
      <w:r w:rsidR="00AC35A2" w:rsidRPr="00F0055D">
        <w:rPr>
          <w:lang w:val="en-US"/>
        </w:rPr>
        <w:t xml:space="preserve">his contacts with his lawyers </w:t>
      </w:r>
      <w:r w:rsidR="009E1BF4" w:rsidRPr="00F0055D">
        <w:rPr>
          <w:lang w:val="en-US"/>
        </w:rPr>
        <w:t xml:space="preserve">were </w:t>
      </w:r>
      <w:r w:rsidR="00AC35A2" w:rsidRPr="00F0055D">
        <w:rPr>
          <w:lang w:val="en-US"/>
        </w:rPr>
        <w:t>obstructed.</w:t>
      </w:r>
      <w:r w:rsidR="005C4ED3" w:rsidRPr="00F0055D">
        <w:rPr>
          <w:lang w:val="en-US"/>
        </w:rPr>
        <w:t xml:space="preserve"> </w:t>
      </w:r>
    </w:p>
    <w:p w:rsidR="00AC35A2" w:rsidRPr="00F0055D" w:rsidRDefault="00803AC0" w:rsidP="007655F2">
      <w:pPr>
        <w:pStyle w:val="SingleTxtG"/>
        <w:rPr>
          <w:lang w:val="en-US"/>
        </w:rPr>
      </w:pPr>
      <w:r w:rsidRPr="00F0055D">
        <w:rPr>
          <w:lang w:val="en-US"/>
        </w:rPr>
        <w:t>8</w:t>
      </w:r>
      <w:r w:rsidR="00AC35A2" w:rsidRPr="00F0055D">
        <w:rPr>
          <w:lang w:val="en-US"/>
        </w:rPr>
        <w:t>.10</w:t>
      </w:r>
      <w:r w:rsidR="005C4ED3" w:rsidRPr="00F0055D">
        <w:rPr>
          <w:lang w:val="en-US"/>
        </w:rPr>
        <w:tab/>
      </w:r>
      <w:r w:rsidR="00AC35A2" w:rsidRPr="00F0055D">
        <w:rPr>
          <w:lang w:val="en-US"/>
        </w:rPr>
        <w:t xml:space="preserve">The Committee recalls that it is generally </w:t>
      </w:r>
      <w:r w:rsidR="009E1BF4" w:rsidRPr="00F0055D">
        <w:rPr>
          <w:lang w:val="en-US"/>
        </w:rPr>
        <w:t>up to</w:t>
      </w:r>
      <w:r w:rsidR="00AC35A2" w:rsidRPr="00F0055D">
        <w:rPr>
          <w:lang w:val="en-US"/>
        </w:rPr>
        <w:t xml:space="preserve"> the </w:t>
      </w:r>
      <w:r w:rsidR="00F0702A" w:rsidRPr="00F0055D">
        <w:rPr>
          <w:lang w:val="en-US"/>
        </w:rPr>
        <w:t xml:space="preserve">courts of </w:t>
      </w:r>
      <w:r w:rsidR="00AC35A2" w:rsidRPr="00F0055D">
        <w:rPr>
          <w:lang w:val="en-US"/>
        </w:rPr>
        <w:t xml:space="preserve">States parties to evaluate </w:t>
      </w:r>
      <w:r w:rsidR="009E1BF4" w:rsidRPr="00F0055D">
        <w:rPr>
          <w:lang w:val="en-US"/>
        </w:rPr>
        <w:t xml:space="preserve">the </w:t>
      </w:r>
      <w:r w:rsidR="00AC35A2" w:rsidRPr="00F0055D">
        <w:rPr>
          <w:lang w:val="en-US"/>
        </w:rPr>
        <w:t>facts and evidence in a particular case,</w:t>
      </w:r>
      <w:r w:rsidR="00F0702A" w:rsidRPr="00F0055D">
        <w:rPr>
          <w:lang w:val="en-US"/>
        </w:rPr>
        <w:t xml:space="preserve"> and that it is not up to the Committee</w:t>
      </w:r>
      <w:r w:rsidR="00AC35A2" w:rsidRPr="00F0055D">
        <w:rPr>
          <w:lang w:val="en-US"/>
        </w:rPr>
        <w:t xml:space="preserve"> </w:t>
      </w:r>
      <w:r w:rsidR="00F0702A" w:rsidRPr="00F0055D">
        <w:rPr>
          <w:lang w:val="en-US"/>
        </w:rPr>
        <w:t xml:space="preserve">to review the evaluation, </w:t>
      </w:r>
      <w:r w:rsidR="00AC35A2" w:rsidRPr="00F0055D">
        <w:rPr>
          <w:lang w:val="en-US"/>
        </w:rPr>
        <w:t>unless it can be ascertained that th</w:t>
      </w:r>
      <w:r w:rsidR="00F0702A" w:rsidRPr="00F0055D">
        <w:rPr>
          <w:lang w:val="en-US"/>
        </w:rPr>
        <w:t>e</w:t>
      </w:r>
      <w:r w:rsidR="00AC35A2" w:rsidRPr="00F0055D">
        <w:rPr>
          <w:lang w:val="en-US"/>
        </w:rPr>
        <w:t xml:space="preserve"> </w:t>
      </w:r>
      <w:r w:rsidR="00F0702A" w:rsidRPr="00F0055D">
        <w:rPr>
          <w:lang w:val="en-US"/>
        </w:rPr>
        <w:t xml:space="preserve">court’s </w:t>
      </w:r>
      <w:r w:rsidR="00AC35A2" w:rsidRPr="00F0055D">
        <w:rPr>
          <w:lang w:val="en-US"/>
        </w:rPr>
        <w:t xml:space="preserve">evaluation was clearly arbitrary or amounted to denial of justice, or that the court </w:t>
      </w:r>
      <w:r w:rsidR="00CC245C">
        <w:rPr>
          <w:lang w:val="en-US"/>
        </w:rPr>
        <w:t xml:space="preserve">had </w:t>
      </w:r>
      <w:r w:rsidR="00AC35A2" w:rsidRPr="00F0055D">
        <w:rPr>
          <w:lang w:val="en-US"/>
        </w:rPr>
        <w:t>violated its obligation of independence and impartiality.</w:t>
      </w:r>
      <w:r w:rsidR="00AC35A2" w:rsidRPr="00F0055D">
        <w:rPr>
          <w:vertAlign w:val="superscript"/>
          <w:lang w:val="en-US"/>
        </w:rPr>
        <w:footnoteReference w:id="5"/>
      </w:r>
      <w:r w:rsidR="00AC35A2" w:rsidRPr="00F0055D">
        <w:rPr>
          <w:lang w:val="en-US"/>
        </w:rPr>
        <w:t xml:space="preserve"> Given the fact that adjudication before the court of first instance was still ongoing at the time the present claims</w:t>
      </w:r>
      <w:r w:rsidR="00F0702A" w:rsidRPr="00F0055D">
        <w:rPr>
          <w:lang w:val="en-US"/>
        </w:rPr>
        <w:t xml:space="preserve"> were submitted</w:t>
      </w:r>
      <w:r w:rsidR="00AC35A2" w:rsidRPr="00F0055D">
        <w:rPr>
          <w:lang w:val="en-US"/>
        </w:rPr>
        <w:t xml:space="preserve"> and in </w:t>
      </w:r>
      <w:r w:rsidR="00F0702A" w:rsidRPr="00F0055D">
        <w:rPr>
          <w:lang w:val="en-US"/>
        </w:rPr>
        <w:t xml:space="preserve">the </w:t>
      </w:r>
      <w:r w:rsidR="00AC35A2" w:rsidRPr="00F0055D">
        <w:rPr>
          <w:lang w:val="en-US"/>
        </w:rPr>
        <w:t xml:space="preserve">light of the information </w:t>
      </w:r>
      <w:r w:rsidR="00B32A05" w:rsidRPr="00F0055D">
        <w:rPr>
          <w:lang w:val="en-US"/>
        </w:rPr>
        <w:t>received</w:t>
      </w:r>
      <w:r w:rsidR="00AC35A2" w:rsidRPr="00F0055D">
        <w:rPr>
          <w:lang w:val="en-US"/>
        </w:rPr>
        <w:t xml:space="preserve">, the Committee considers that in this case, the author has failed to demonstrate that the refusal to supplement the </w:t>
      </w:r>
      <w:r w:rsidR="00F0702A" w:rsidRPr="00F0055D">
        <w:rPr>
          <w:lang w:val="en-US"/>
        </w:rPr>
        <w:t xml:space="preserve">materials of the </w:t>
      </w:r>
      <w:r w:rsidR="00AC35A2" w:rsidRPr="00F0055D">
        <w:rPr>
          <w:lang w:val="en-US"/>
        </w:rPr>
        <w:t xml:space="preserve">pretrial investigation or the postponement of the decision in that respect by the court had reached the threshold of arbitrariness in the evaluation of the evidence or </w:t>
      </w:r>
      <w:r w:rsidR="00F0702A" w:rsidRPr="00F0055D">
        <w:rPr>
          <w:lang w:val="en-US"/>
        </w:rPr>
        <w:t xml:space="preserve">that it </w:t>
      </w:r>
      <w:r w:rsidR="00AC35A2" w:rsidRPr="00F0055D">
        <w:rPr>
          <w:lang w:val="en-US"/>
        </w:rPr>
        <w:t xml:space="preserve">amounted to denial of justice. </w:t>
      </w:r>
    </w:p>
    <w:p w:rsidR="00AC35A2" w:rsidRPr="00F0055D" w:rsidRDefault="00803AC0" w:rsidP="007655F2">
      <w:pPr>
        <w:pStyle w:val="SingleTxtG"/>
        <w:rPr>
          <w:lang w:val="en-US"/>
        </w:rPr>
      </w:pPr>
      <w:r w:rsidRPr="00F0055D">
        <w:rPr>
          <w:lang w:val="en-US"/>
        </w:rPr>
        <w:t>8</w:t>
      </w:r>
      <w:r w:rsidR="00AC35A2" w:rsidRPr="00F0055D">
        <w:rPr>
          <w:lang w:val="en-US"/>
        </w:rPr>
        <w:t>.11</w:t>
      </w:r>
      <w:r w:rsidR="005C4ED3" w:rsidRPr="00F0055D">
        <w:rPr>
          <w:lang w:val="en-US"/>
        </w:rPr>
        <w:tab/>
      </w:r>
      <w:r w:rsidR="00AC35A2" w:rsidRPr="00F0055D">
        <w:rPr>
          <w:lang w:val="en-US"/>
        </w:rPr>
        <w:t>In th</w:t>
      </w:r>
      <w:r w:rsidR="00F0702A" w:rsidRPr="00F0055D">
        <w:rPr>
          <w:lang w:val="en-US"/>
        </w:rPr>
        <w:t>o</w:t>
      </w:r>
      <w:r w:rsidR="00AC35A2" w:rsidRPr="00F0055D">
        <w:rPr>
          <w:lang w:val="en-US"/>
        </w:rPr>
        <w:t>se circumstances, the Committee considers that the author has failed to sufficiently substantiate his allegations under article 14, paragraph 3 (b) and (e), of the Covenant</w:t>
      </w:r>
      <w:r w:rsidR="00F0702A" w:rsidRPr="00F0055D">
        <w:rPr>
          <w:lang w:val="en-US"/>
        </w:rPr>
        <w:t>,</w:t>
      </w:r>
      <w:r w:rsidR="00AC35A2" w:rsidRPr="00F0055D">
        <w:rPr>
          <w:lang w:val="en-US"/>
        </w:rPr>
        <w:t xml:space="preserve"> and th</w:t>
      </w:r>
      <w:r w:rsidR="00CC245C">
        <w:rPr>
          <w:lang w:val="en-US"/>
        </w:rPr>
        <w:t>erefore</w:t>
      </w:r>
      <w:r w:rsidR="00AC35A2" w:rsidRPr="00F0055D">
        <w:rPr>
          <w:lang w:val="en-US"/>
        </w:rPr>
        <w:t xml:space="preserve"> th</w:t>
      </w:r>
      <w:r w:rsidR="00F0702A" w:rsidRPr="00F0055D">
        <w:rPr>
          <w:lang w:val="en-US"/>
        </w:rPr>
        <w:t>at</w:t>
      </w:r>
      <w:r w:rsidR="00AC35A2" w:rsidRPr="00F0055D">
        <w:rPr>
          <w:lang w:val="en-US"/>
        </w:rPr>
        <w:t xml:space="preserve"> part of the communication is inadmissible under article 2 of the Optional Protocol. </w:t>
      </w:r>
    </w:p>
    <w:p w:rsidR="00AC35A2" w:rsidRPr="00F0055D" w:rsidRDefault="00803AC0" w:rsidP="007655F2">
      <w:pPr>
        <w:pStyle w:val="SingleTxtG"/>
        <w:rPr>
          <w:lang w:val="en-US"/>
        </w:rPr>
      </w:pPr>
      <w:r w:rsidRPr="00F0055D">
        <w:rPr>
          <w:lang w:val="en-US"/>
        </w:rPr>
        <w:t>8</w:t>
      </w:r>
      <w:r w:rsidR="00AC35A2" w:rsidRPr="00F0055D">
        <w:rPr>
          <w:lang w:val="en-US"/>
        </w:rPr>
        <w:t>.12</w:t>
      </w:r>
      <w:r w:rsidR="005C4ED3" w:rsidRPr="00F0055D">
        <w:rPr>
          <w:lang w:val="en-US"/>
        </w:rPr>
        <w:tab/>
      </w:r>
      <w:r w:rsidR="00F0702A" w:rsidRPr="00F0055D">
        <w:rPr>
          <w:lang w:val="en-US"/>
        </w:rPr>
        <w:t>Finally, t</w:t>
      </w:r>
      <w:r w:rsidR="00AC35A2" w:rsidRPr="00F0055D">
        <w:rPr>
          <w:lang w:val="en-US"/>
        </w:rPr>
        <w:t>he Committee notes that the author also claim</w:t>
      </w:r>
      <w:r w:rsidR="00F0702A" w:rsidRPr="00F0055D">
        <w:rPr>
          <w:lang w:val="en-US"/>
        </w:rPr>
        <w:t>s</w:t>
      </w:r>
      <w:r w:rsidR="00AC35A2" w:rsidRPr="00F0055D">
        <w:rPr>
          <w:lang w:val="en-US"/>
        </w:rPr>
        <w:t xml:space="preserve"> a violation of his right to examine particular witnesses, in violation of article 14</w:t>
      </w:r>
      <w:r w:rsidR="00B32A05" w:rsidRPr="00F0055D">
        <w:rPr>
          <w:lang w:val="en-US"/>
        </w:rPr>
        <w:t>, paragraph</w:t>
      </w:r>
      <w:r w:rsidR="00AC35A2" w:rsidRPr="00F0055D">
        <w:rPr>
          <w:lang w:val="en-US"/>
        </w:rPr>
        <w:t xml:space="preserve"> 3 (e), of the Covenant, without however providing further explanations thereon, in particular</w:t>
      </w:r>
      <w:r w:rsidR="00B32A05" w:rsidRPr="00F0055D">
        <w:rPr>
          <w:lang w:val="en-US"/>
        </w:rPr>
        <w:t>,</w:t>
      </w:r>
      <w:r w:rsidR="00AC35A2" w:rsidRPr="00F0055D">
        <w:rPr>
          <w:lang w:val="en-US"/>
        </w:rPr>
        <w:t xml:space="preserve"> on </w:t>
      </w:r>
      <w:r w:rsidR="00B32A05" w:rsidRPr="00F0055D">
        <w:rPr>
          <w:lang w:val="en-US"/>
        </w:rPr>
        <w:t xml:space="preserve">the </w:t>
      </w:r>
      <w:r w:rsidR="00AC35A2" w:rsidRPr="00F0055D">
        <w:rPr>
          <w:lang w:val="en-US"/>
        </w:rPr>
        <w:t>relevan</w:t>
      </w:r>
      <w:r w:rsidR="00B32A05" w:rsidRPr="00F0055D">
        <w:rPr>
          <w:lang w:val="en-US"/>
        </w:rPr>
        <w:t>ce of the examination of the witnesses</w:t>
      </w:r>
      <w:r w:rsidR="00AC35A2" w:rsidRPr="00F0055D">
        <w:rPr>
          <w:lang w:val="en-US"/>
        </w:rPr>
        <w:t xml:space="preserve"> to his criminal case. In the circumstances and in the absence of any other pertinent information, the Committee considers that the author has failed to sufficiently substantiate his claim for purposes of admissibility, and accordingly, th</w:t>
      </w:r>
      <w:r w:rsidR="00B32A05" w:rsidRPr="00F0055D">
        <w:rPr>
          <w:lang w:val="en-US"/>
        </w:rPr>
        <w:t>at</w:t>
      </w:r>
      <w:r w:rsidR="00AC35A2" w:rsidRPr="00F0055D">
        <w:rPr>
          <w:lang w:val="en-US"/>
        </w:rPr>
        <w:t xml:space="preserve"> part of the communication is inadmissible under article 2 of the Optional Protocol. </w:t>
      </w:r>
    </w:p>
    <w:p w:rsidR="00AC35A2" w:rsidRPr="00F0055D" w:rsidRDefault="00803AC0" w:rsidP="007655F2">
      <w:pPr>
        <w:pStyle w:val="SingleTxtG"/>
        <w:rPr>
          <w:lang w:val="en-US"/>
        </w:rPr>
      </w:pPr>
      <w:r w:rsidRPr="00F0055D">
        <w:rPr>
          <w:lang w:val="en-US"/>
        </w:rPr>
        <w:t>9.</w:t>
      </w:r>
      <w:r w:rsidR="00AC35A2" w:rsidRPr="00F0055D">
        <w:rPr>
          <w:lang w:val="en-US"/>
        </w:rPr>
        <w:tab/>
        <w:t xml:space="preserve">The Human Rights Committee </w:t>
      </w:r>
      <w:r w:rsidR="00A742CF" w:rsidRPr="00F0055D">
        <w:rPr>
          <w:lang w:val="en-US"/>
        </w:rPr>
        <w:t xml:space="preserve">therefore </w:t>
      </w:r>
      <w:r w:rsidR="00AC35A2" w:rsidRPr="00F0055D">
        <w:rPr>
          <w:lang w:val="en-US"/>
        </w:rPr>
        <w:t>decides that:</w:t>
      </w:r>
    </w:p>
    <w:p w:rsidR="00AC35A2" w:rsidRPr="00F0055D" w:rsidRDefault="00AC35A2" w:rsidP="007655F2">
      <w:pPr>
        <w:pStyle w:val="SingleTxtG"/>
        <w:ind w:firstLine="567"/>
        <w:rPr>
          <w:lang w:val="en-US"/>
        </w:rPr>
      </w:pPr>
      <w:r w:rsidRPr="00F0055D">
        <w:rPr>
          <w:lang w:val="en-US"/>
        </w:rPr>
        <w:t>(a)</w:t>
      </w:r>
      <w:r w:rsidRPr="00F0055D">
        <w:rPr>
          <w:lang w:val="en-US"/>
        </w:rPr>
        <w:tab/>
      </w:r>
      <w:r w:rsidR="00A742CF" w:rsidRPr="00F0055D">
        <w:rPr>
          <w:lang w:val="en-US"/>
        </w:rPr>
        <w:t>T</w:t>
      </w:r>
      <w:r w:rsidRPr="00F0055D">
        <w:rPr>
          <w:lang w:val="en-US"/>
        </w:rPr>
        <w:t xml:space="preserve">he communication is inadmissible </w:t>
      </w:r>
      <w:r w:rsidR="00A742CF" w:rsidRPr="00F0055D">
        <w:rPr>
          <w:lang w:val="en-US"/>
        </w:rPr>
        <w:t>under</w:t>
      </w:r>
      <w:r w:rsidRPr="00F0055D">
        <w:rPr>
          <w:lang w:val="en-US"/>
        </w:rPr>
        <w:t xml:space="preserve"> articles 2 and 3 of the Optional Protocol; </w:t>
      </w:r>
    </w:p>
    <w:p w:rsidR="00AC35A2" w:rsidRPr="00F0055D" w:rsidRDefault="00AC35A2" w:rsidP="007655F2">
      <w:pPr>
        <w:pStyle w:val="SingleTxtG"/>
        <w:ind w:firstLine="567"/>
        <w:rPr>
          <w:lang w:val="en-US"/>
        </w:rPr>
      </w:pPr>
      <w:r w:rsidRPr="00F0055D">
        <w:rPr>
          <w:lang w:val="en-US"/>
        </w:rPr>
        <w:t>(b)</w:t>
      </w:r>
      <w:r w:rsidRPr="00F0055D">
        <w:rPr>
          <w:lang w:val="en-US"/>
        </w:rPr>
        <w:tab/>
      </w:r>
      <w:r w:rsidR="00A742CF" w:rsidRPr="00F0055D">
        <w:rPr>
          <w:lang w:val="en-US"/>
        </w:rPr>
        <w:t>T</w:t>
      </w:r>
      <w:r w:rsidRPr="00F0055D">
        <w:rPr>
          <w:lang w:val="en-US"/>
        </w:rPr>
        <w:t xml:space="preserve">he present decision shall be </w:t>
      </w:r>
      <w:r w:rsidR="00A66BB0" w:rsidRPr="00F0055D">
        <w:rPr>
          <w:lang w:val="en-US"/>
        </w:rPr>
        <w:t xml:space="preserve">transmitted </w:t>
      </w:r>
      <w:r w:rsidRPr="00F0055D">
        <w:rPr>
          <w:lang w:val="en-US"/>
        </w:rPr>
        <w:t xml:space="preserve">to the </w:t>
      </w:r>
      <w:r w:rsidR="00B64F5A" w:rsidRPr="00F0055D">
        <w:rPr>
          <w:lang w:val="en-US"/>
        </w:rPr>
        <w:t xml:space="preserve">State party and the </w:t>
      </w:r>
      <w:r w:rsidRPr="00F0055D">
        <w:rPr>
          <w:lang w:val="en-US"/>
        </w:rPr>
        <w:t>author</w:t>
      </w:r>
      <w:r w:rsidR="00B64F5A" w:rsidRPr="00F0055D">
        <w:rPr>
          <w:lang w:val="en-US"/>
        </w:rPr>
        <w:t>.</w:t>
      </w:r>
    </w:p>
    <w:p w:rsidR="00442A83" w:rsidRPr="00F0055D" w:rsidRDefault="00AC35A2" w:rsidP="007655F2">
      <w:pPr>
        <w:pStyle w:val="SingleTxtG"/>
        <w:rPr>
          <w:lang w:val="en-US"/>
        </w:rPr>
      </w:pPr>
      <w:r w:rsidRPr="00F0055D">
        <w:rPr>
          <w:lang w:val="en-US"/>
        </w:rPr>
        <w:t>[Adopted in English, French and Spanish, the English text being the original version. Subsequently to be issued also in Arabic, Chinese and Russian as part of the Committee's annual report to the General Assembly.]</w:t>
      </w:r>
    </w:p>
    <w:p w:rsidR="00803AC0" w:rsidRPr="00803AC0" w:rsidRDefault="00803AC0" w:rsidP="007655F2">
      <w:pPr>
        <w:pStyle w:val="SingleTxtG"/>
        <w:spacing w:before="240" w:after="0"/>
        <w:jc w:val="center"/>
        <w:rPr>
          <w:u w:val="single"/>
        </w:rPr>
      </w:pPr>
      <w:r>
        <w:rPr>
          <w:u w:val="single"/>
        </w:rPr>
        <w:tab/>
      </w:r>
      <w:r>
        <w:rPr>
          <w:u w:val="single"/>
        </w:rPr>
        <w:tab/>
      </w:r>
      <w:r>
        <w:rPr>
          <w:u w:val="single"/>
        </w:rPr>
        <w:tab/>
      </w:r>
    </w:p>
    <w:sectPr w:rsidR="00803AC0" w:rsidRPr="00803AC0" w:rsidSect="000A1B4C">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D23" w:rsidRDefault="006E2D23"/>
  </w:endnote>
  <w:endnote w:type="continuationSeparator" w:id="0">
    <w:p w:rsidR="006E2D23" w:rsidRDefault="006E2D23"/>
  </w:endnote>
  <w:endnote w:type="continuationNotice" w:id="1">
    <w:p w:rsidR="006E2D23" w:rsidRDefault="006E2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45F" w:rsidRPr="00803AC0" w:rsidRDefault="0011345F" w:rsidP="00803AC0">
    <w:pPr>
      <w:pStyle w:val="Footer"/>
      <w:tabs>
        <w:tab w:val="right" w:pos="9638"/>
      </w:tabs>
    </w:pPr>
    <w:r w:rsidRPr="00803AC0">
      <w:rPr>
        <w:b/>
        <w:sz w:val="18"/>
      </w:rPr>
      <w:fldChar w:fldCharType="begin"/>
    </w:r>
    <w:r w:rsidRPr="00803AC0">
      <w:rPr>
        <w:b/>
        <w:sz w:val="18"/>
      </w:rPr>
      <w:instrText xml:space="preserve"> PAGE  \* MERGEFORMAT </w:instrText>
    </w:r>
    <w:r w:rsidRPr="00803AC0">
      <w:rPr>
        <w:b/>
        <w:sz w:val="18"/>
      </w:rPr>
      <w:fldChar w:fldCharType="separate"/>
    </w:r>
    <w:r w:rsidR="0038728B">
      <w:rPr>
        <w:b/>
        <w:noProof/>
        <w:sz w:val="18"/>
      </w:rPr>
      <w:t>2</w:t>
    </w:r>
    <w:r w:rsidRPr="00803AC0">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45F" w:rsidRPr="00803AC0" w:rsidRDefault="0011345F" w:rsidP="00803AC0">
    <w:pPr>
      <w:pStyle w:val="Footer"/>
      <w:tabs>
        <w:tab w:val="right" w:pos="9638"/>
      </w:tabs>
    </w:pPr>
    <w:r>
      <w:rPr>
        <w:b/>
        <w:sz w:val="18"/>
      </w:rPr>
      <w:tab/>
    </w:r>
    <w:r w:rsidRPr="00803AC0">
      <w:rPr>
        <w:b/>
        <w:sz w:val="18"/>
      </w:rPr>
      <w:fldChar w:fldCharType="begin"/>
    </w:r>
    <w:r w:rsidRPr="00803AC0">
      <w:rPr>
        <w:b/>
        <w:sz w:val="18"/>
      </w:rPr>
      <w:instrText xml:space="preserve"> PAGE  \* MERGEFORMAT </w:instrText>
    </w:r>
    <w:r w:rsidRPr="00803AC0">
      <w:rPr>
        <w:b/>
        <w:sz w:val="18"/>
      </w:rPr>
      <w:fldChar w:fldCharType="separate"/>
    </w:r>
    <w:r w:rsidR="0038728B">
      <w:rPr>
        <w:b/>
        <w:noProof/>
        <w:sz w:val="18"/>
      </w:rPr>
      <w:t>3</w:t>
    </w:r>
    <w:r w:rsidRPr="00803AC0">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45F" w:rsidRDefault="006E2D23">
    <w:r>
      <w:rPr>
        <w:noProof/>
        <w:lang w:val="en-US"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11345F">
      <w:t>GE.14-42908</w:t>
    </w:r>
    <w:r w:rsidR="0011345F">
      <w:br/>
    </w:r>
    <w:r w:rsidR="0011345F" w:rsidRPr="005A3AD3">
      <w:rPr>
        <w:rFonts w:ascii="C39T30Lfz" w:hAnsi="C39T30Lfz"/>
        <w:sz w:val="56"/>
      </w:rPr>
      <w:t></w:t>
    </w:r>
    <w:r w:rsidR="0011345F" w:rsidRPr="005A3AD3">
      <w:rPr>
        <w:rFonts w:ascii="C39T30Lfz" w:hAnsi="C39T30Lfz"/>
        <w:sz w:val="56"/>
      </w:rPr>
      <w:t></w:t>
    </w:r>
    <w:r w:rsidR="0011345F" w:rsidRPr="005A3AD3">
      <w:rPr>
        <w:rFonts w:ascii="C39T30Lfz" w:hAnsi="C39T30Lfz"/>
        <w:sz w:val="56"/>
      </w:rPr>
      <w:t></w:t>
    </w:r>
    <w:r w:rsidR="0011345F" w:rsidRPr="005A3AD3">
      <w:rPr>
        <w:rFonts w:ascii="C39T30Lfz" w:hAnsi="C39T30Lfz"/>
        <w:sz w:val="56"/>
      </w:rPr>
      <w:t></w:t>
    </w:r>
    <w:r w:rsidR="0011345F" w:rsidRPr="005A3AD3">
      <w:rPr>
        <w:rFonts w:ascii="C39T30Lfz" w:hAnsi="C39T30Lfz"/>
        <w:sz w:val="56"/>
      </w:rPr>
      <w:t></w:t>
    </w:r>
    <w:r w:rsidR="0011345F" w:rsidRPr="005A3AD3">
      <w:rPr>
        <w:rFonts w:ascii="C39T30Lfz" w:hAnsi="C39T30Lfz"/>
        <w:sz w:val="56"/>
      </w:rPr>
      <w:t></w:t>
    </w:r>
    <w:r w:rsidR="0011345F" w:rsidRPr="005A3AD3">
      <w:rPr>
        <w:rFonts w:ascii="C39T30Lfz" w:hAnsi="C39T30Lfz"/>
        <w:sz w:val="56"/>
      </w:rPr>
      <w:t></w:t>
    </w:r>
    <w:r w:rsidR="0011345F" w:rsidRPr="005A3AD3">
      <w:rPr>
        <w:rFonts w:ascii="C39T30Lfz" w:hAnsi="C39T30Lfz"/>
        <w:sz w:val="56"/>
      </w:rPr>
      <w:t></w:t>
    </w:r>
    <w:r w:rsidR="0011345F" w:rsidRPr="005A3AD3">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D23" w:rsidRPr="000B175B" w:rsidRDefault="006E2D23" w:rsidP="000B175B">
      <w:pPr>
        <w:tabs>
          <w:tab w:val="right" w:pos="2155"/>
        </w:tabs>
        <w:spacing w:after="80"/>
        <w:ind w:left="680"/>
        <w:rPr>
          <w:u w:val="single"/>
        </w:rPr>
      </w:pPr>
      <w:r>
        <w:rPr>
          <w:u w:val="single"/>
        </w:rPr>
        <w:tab/>
      </w:r>
    </w:p>
  </w:footnote>
  <w:footnote w:type="continuationSeparator" w:id="0">
    <w:p w:rsidR="006E2D23" w:rsidRPr="00FC68B7" w:rsidRDefault="006E2D23" w:rsidP="00FC68B7">
      <w:pPr>
        <w:tabs>
          <w:tab w:val="left" w:pos="2155"/>
        </w:tabs>
        <w:spacing w:after="80"/>
        <w:ind w:left="680"/>
        <w:rPr>
          <w:u w:val="single"/>
        </w:rPr>
      </w:pPr>
      <w:r>
        <w:rPr>
          <w:u w:val="single"/>
        </w:rPr>
        <w:tab/>
      </w:r>
    </w:p>
  </w:footnote>
  <w:footnote w:type="continuationNotice" w:id="1">
    <w:p w:rsidR="006E2D23" w:rsidRDefault="006E2D23"/>
  </w:footnote>
  <w:footnote w:id="2">
    <w:p w:rsidR="0011345F" w:rsidRPr="00496CE2" w:rsidRDefault="0011345F" w:rsidP="000219AC">
      <w:pPr>
        <w:pStyle w:val="FootnoteText"/>
      </w:pPr>
      <w:r>
        <w:tab/>
      </w:r>
      <w:r w:rsidRPr="000219AC">
        <w:rPr>
          <w:rStyle w:val="FootnoteReference"/>
          <w:sz w:val="20"/>
          <w:vertAlign w:val="baseline"/>
        </w:rPr>
        <w:t>*</w:t>
      </w:r>
      <w:r>
        <w:rPr>
          <w:rStyle w:val="FootnoteReference"/>
        </w:rPr>
        <w:tab/>
      </w:r>
      <w:bookmarkStart w:id="1" w:name="OLE_LINK1"/>
      <w:bookmarkStart w:id="2" w:name="OLE_LINK2"/>
      <w:r w:rsidRPr="009131F3">
        <w:rPr>
          <w:szCs w:val="18"/>
        </w:rPr>
        <w:t xml:space="preserve">The following members of the Committee participated in the examination of the present communication: </w:t>
      </w:r>
      <w:bookmarkEnd w:id="1"/>
      <w:bookmarkEnd w:id="2"/>
      <w:r>
        <w:rPr>
          <w:szCs w:val="18"/>
        </w:rPr>
        <w:t xml:space="preserve">Mr. Yadh Ben Achour, </w:t>
      </w:r>
      <w:r w:rsidRPr="009131F3">
        <w:rPr>
          <w:bCs/>
          <w:szCs w:val="18"/>
        </w:rPr>
        <w:t xml:space="preserve">Mr. Lazhari Bouzid, </w:t>
      </w:r>
      <w:r>
        <w:rPr>
          <w:bCs/>
          <w:szCs w:val="18"/>
          <w:lang w:val="en-US"/>
        </w:rPr>
        <w:t>Ms. Christine Chanet, Mr. </w:t>
      </w:r>
      <w:r w:rsidRPr="009131F3">
        <w:rPr>
          <w:bCs/>
          <w:szCs w:val="18"/>
          <w:lang w:val="en-US"/>
        </w:rPr>
        <w:t xml:space="preserve">Ahmad Amin Fathalla, </w:t>
      </w:r>
      <w:r w:rsidRPr="009131F3">
        <w:rPr>
          <w:bCs/>
          <w:szCs w:val="18"/>
        </w:rPr>
        <w:t xml:space="preserve">Mr. Cornelis Flinterman, Mr. Yuji Iwasawa, </w:t>
      </w:r>
      <w:r>
        <w:rPr>
          <w:bCs/>
          <w:szCs w:val="18"/>
        </w:rPr>
        <w:t>Mr. Walter Kälin, Ms. </w:t>
      </w:r>
      <w:r w:rsidRPr="009131F3">
        <w:rPr>
          <w:bCs/>
          <w:szCs w:val="18"/>
        </w:rPr>
        <w:t>Zonke Zanele Majodina,</w:t>
      </w:r>
      <w:r>
        <w:rPr>
          <w:bCs/>
          <w:szCs w:val="18"/>
        </w:rPr>
        <w:t xml:space="preserve"> </w:t>
      </w:r>
      <w:r w:rsidRPr="009131F3">
        <w:rPr>
          <w:bCs/>
          <w:szCs w:val="18"/>
        </w:rPr>
        <w:t xml:space="preserve">Mr. Gerald L. Neuman, </w:t>
      </w:r>
      <w:r>
        <w:rPr>
          <w:bCs/>
          <w:szCs w:val="18"/>
        </w:rPr>
        <w:t>Sir</w:t>
      </w:r>
      <w:r w:rsidRPr="009131F3">
        <w:rPr>
          <w:bCs/>
          <w:szCs w:val="18"/>
        </w:rPr>
        <w:t xml:space="preserve"> Nigel Rodley, </w:t>
      </w:r>
      <w:r>
        <w:rPr>
          <w:bCs/>
          <w:szCs w:val="18"/>
        </w:rPr>
        <w:t xml:space="preserve">Mr. Victor Manuel Rodríguez-Rescia, </w:t>
      </w:r>
      <w:r w:rsidRPr="009131F3">
        <w:rPr>
          <w:bCs/>
          <w:szCs w:val="18"/>
          <w:lang w:val="en-US"/>
        </w:rPr>
        <w:t xml:space="preserve">Mr. Fabian Omar Salvioli, </w:t>
      </w:r>
      <w:r>
        <w:rPr>
          <w:bCs/>
          <w:szCs w:val="18"/>
          <w:lang w:val="en-US"/>
        </w:rPr>
        <w:t xml:space="preserve">Ms. Anja Seibert-Fohr, </w:t>
      </w:r>
      <w:r w:rsidRPr="009131F3">
        <w:rPr>
          <w:bCs/>
          <w:szCs w:val="18"/>
          <w:lang w:val="en-US"/>
        </w:rPr>
        <w:t xml:space="preserve">Mr. </w:t>
      </w:r>
      <w:r>
        <w:rPr>
          <w:bCs/>
          <w:szCs w:val="18"/>
          <w:lang w:val="en-US"/>
        </w:rPr>
        <w:t xml:space="preserve">Yuval Shany, </w:t>
      </w:r>
      <w:r>
        <w:rPr>
          <w:bCs/>
          <w:szCs w:val="18"/>
        </w:rPr>
        <w:t xml:space="preserve">Ms. Margo Waterval and </w:t>
      </w:r>
      <w:r w:rsidRPr="00E065A0">
        <w:rPr>
          <w:bCs/>
          <w:szCs w:val="18"/>
          <w:lang w:val="en-US"/>
        </w:rPr>
        <w:t>Mr.</w:t>
      </w:r>
      <w:r>
        <w:rPr>
          <w:bCs/>
          <w:szCs w:val="18"/>
          <w:lang w:val="en-US"/>
        </w:rPr>
        <w:t> </w:t>
      </w:r>
      <w:r w:rsidRPr="00E065A0">
        <w:rPr>
          <w:bCs/>
          <w:szCs w:val="18"/>
          <w:lang w:val="en-US"/>
        </w:rPr>
        <w:t>Andrei Paul Zlatescu</w:t>
      </w:r>
      <w:r>
        <w:rPr>
          <w:bCs/>
          <w:szCs w:val="18"/>
          <w:lang w:val="en-US"/>
        </w:rPr>
        <w:t>.</w:t>
      </w:r>
    </w:p>
  </w:footnote>
  <w:footnote w:id="3">
    <w:p w:rsidR="0011345F" w:rsidRPr="007C1D12" w:rsidRDefault="0011345F" w:rsidP="00E30DD5">
      <w:pPr>
        <w:pStyle w:val="FootnoteText"/>
      </w:pPr>
      <w:r>
        <w:tab/>
      </w:r>
      <w:r w:rsidRPr="007C1D12">
        <w:rPr>
          <w:rStyle w:val="FootnoteReference"/>
        </w:rPr>
        <w:footnoteRef/>
      </w:r>
      <w:r>
        <w:tab/>
      </w:r>
      <w:r w:rsidRPr="00922D06">
        <w:t>See paragraph 2.4 supra.</w:t>
      </w:r>
    </w:p>
  </w:footnote>
  <w:footnote w:id="4">
    <w:p w:rsidR="0011345F" w:rsidRPr="007353D0" w:rsidRDefault="0011345F" w:rsidP="00803AC0">
      <w:pPr>
        <w:pStyle w:val="FootnoteText"/>
      </w:pPr>
      <w:r w:rsidRPr="00922D06">
        <w:tab/>
      </w:r>
      <w:r w:rsidRPr="007C1D12">
        <w:rPr>
          <w:rStyle w:val="FootnoteReference"/>
        </w:rPr>
        <w:footnoteRef/>
      </w:r>
      <w:r>
        <w:tab/>
      </w:r>
      <w:r w:rsidRPr="007C1D12">
        <w:t xml:space="preserve">The State party refers to </w:t>
      </w:r>
      <w:r w:rsidRPr="00922D06">
        <w:rPr>
          <w:i/>
        </w:rPr>
        <w:t xml:space="preserve">a contrario Aston Little v. </w:t>
      </w:r>
      <w:smartTag w:uri="urn:schemas-microsoft-com:office:smarttags" w:element="place">
        <w:smartTag w:uri="urn:schemas-microsoft-com:office:smarttags" w:element="country-region">
          <w:r w:rsidRPr="00922D06">
            <w:rPr>
              <w:i/>
            </w:rPr>
            <w:t>Jamaica</w:t>
          </w:r>
        </w:smartTag>
      </w:smartTag>
      <w:r w:rsidRPr="007353D0">
        <w:t>, communication No. 283/88, § 8.3.</w:t>
      </w:r>
    </w:p>
  </w:footnote>
  <w:footnote w:id="5">
    <w:p w:rsidR="0011345F" w:rsidRPr="00E30DD5" w:rsidRDefault="0011345F" w:rsidP="00803AC0">
      <w:pPr>
        <w:pStyle w:val="FootnoteText"/>
        <w:rPr>
          <w:szCs w:val="18"/>
        </w:rPr>
      </w:pPr>
      <w:r w:rsidRPr="007353D0">
        <w:rPr>
          <w:szCs w:val="18"/>
        </w:rPr>
        <w:tab/>
      </w:r>
      <w:r w:rsidRPr="007C1D12">
        <w:rPr>
          <w:rStyle w:val="FootnoteReference"/>
          <w:szCs w:val="18"/>
        </w:rPr>
        <w:footnoteRef/>
      </w:r>
      <w:r>
        <w:rPr>
          <w:szCs w:val="18"/>
        </w:rPr>
        <w:tab/>
      </w:r>
      <w:r w:rsidRPr="007C1D12">
        <w:rPr>
          <w:szCs w:val="18"/>
        </w:rPr>
        <w:t xml:space="preserve">See, </w:t>
      </w:r>
      <w:r w:rsidRPr="007C1D12">
        <w:rPr>
          <w:iCs/>
          <w:szCs w:val="18"/>
        </w:rPr>
        <w:t>inter alia</w:t>
      </w:r>
      <w:r w:rsidRPr="007C1D12">
        <w:rPr>
          <w:szCs w:val="18"/>
        </w:rPr>
        <w:t xml:space="preserve">, communication No. 541/1993, </w:t>
      </w:r>
      <w:r w:rsidRPr="007353D0">
        <w:rPr>
          <w:i/>
          <w:iCs/>
          <w:szCs w:val="18"/>
        </w:rPr>
        <w:t>Simms</w:t>
      </w:r>
      <w:r w:rsidRPr="00BF365D">
        <w:rPr>
          <w:szCs w:val="18"/>
        </w:rPr>
        <w:t xml:space="preserve"> v. </w:t>
      </w:r>
      <w:smartTag w:uri="urn:schemas-microsoft-com:office:smarttags" w:element="place">
        <w:smartTag w:uri="urn:schemas-microsoft-com:office:smarttags" w:element="country-region">
          <w:r w:rsidRPr="00E30DD5">
            <w:rPr>
              <w:i/>
              <w:iCs/>
              <w:szCs w:val="18"/>
            </w:rPr>
            <w:t>Jamaica</w:t>
          </w:r>
        </w:smartTag>
      </w:smartTag>
      <w:r w:rsidRPr="00E30DD5">
        <w:rPr>
          <w:szCs w:val="18"/>
        </w:rPr>
        <w:t xml:space="preserve">, </w:t>
      </w:r>
      <w:r>
        <w:rPr>
          <w:szCs w:val="18"/>
        </w:rPr>
        <w:t xml:space="preserve">decision of </w:t>
      </w:r>
      <w:r w:rsidRPr="00E30DD5">
        <w:rPr>
          <w:szCs w:val="18"/>
        </w:rPr>
        <w:t xml:space="preserve">inadmissibility </w:t>
      </w:r>
      <w:r>
        <w:rPr>
          <w:szCs w:val="18"/>
        </w:rPr>
        <w:t xml:space="preserve">adopted </w:t>
      </w:r>
      <w:r w:rsidRPr="00E30DD5">
        <w:rPr>
          <w:szCs w:val="18"/>
        </w:rPr>
        <w:t>o</w:t>
      </w:r>
      <w:r>
        <w:rPr>
          <w:szCs w:val="18"/>
        </w:rPr>
        <w:t>n</w:t>
      </w:r>
      <w:r w:rsidRPr="00E30DD5">
        <w:rPr>
          <w:szCs w:val="18"/>
        </w:rPr>
        <w:t xml:space="preserve"> 3 April 1995, para. 6.</w:t>
      </w:r>
      <w:r>
        <w:rPr>
          <w:szCs w:val="18"/>
        </w:rPr>
        <w:t>2</w:t>
      </w:r>
      <w:r w:rsidRPr="00E30DD5">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45F" w:rsidRPr="00803AC0" w:rsidRDefault="0011345F" w:rsidP="00BE77AC">
    <w:pPr>
      <w:pStyle w:val="Header"/>
      <w:tabs>
        <w:tab w:val="right" w:pos="9639"/>
      </w:tabs>
    </w:pPr>
    <w:r>
      <w:t>CCPR/C/110/D/1894/2009</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45F" w:rsidRPr="00803AC0" w:rsidRDefault="0011345F" w:rsidP="00BE77AC">
    <w:pPr>
      <w:pStyle w:val="Header"/>
      <w:tabs>
        <w:tab w:val="right" w:pos="9639"/>
      </w:tabs>
    </w:pPr>
    <w:r>
      <w:tab/>
      <w:t>CCPR/C/110/D/1894/2009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99636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9C31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6C18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00B2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3CA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72F3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08E6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984A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2E96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70DA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1" w15:restartNumberingAfterBreak="0">
    <w:nsid w:val="022874C5"/>
    <w:multiLevelType w:val="hybridMultilevel"/>
    <w:tmpl w:val="EF4AB0A6"/>
    <w:lvl w:ilvl="0" w:tplc="36D880CE">
      <w:start w:val="1"/>
      <w:numFmt w:val="bullet"/>
      <w:lvlText w:val=""/>
      <w:lvlJc w:val="left"/>
      <w:pPr>
        <w:tabs>
          <w:tab w:val="num" w:pos="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947898"/>
    <w:multiLevelType w:val="multilevel"/>
    <w:tmpl w:val="1AFA64B6"/>
    <w:lvl w:ilvl="0">
      <w:start w:val="4"/>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443CB9"/>
    <w:multiLevelType w:val="hybridMultilevel"/>
    <w:tmpl w:val="6AE427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7" w15:restartNumberingAfterBreak="0">
    <w:nsid w:val="0B70729B"/>
    <w:multiLevelType w:val="hybridMultilevel"/>
    <w:tmpl w:val="559EFB1C"/>
    <w:lvl w:ilvl="0" w:tplc="0427000F">
      <w:start w:val="1"/>
      <w:numFmt w:val="decimal"/>
      <w:lvlText w:val="%1."/>
      <w:lvlJc w:val="left"/>
      <w:pPr>
        <w:tabs>
          <w:tab w:val="num" w:pos="720"/>
        </w:tabs>
        <w:ind w:left="720" w:hanging="360"/>
      </w:pPr>
    </w:lvl>
    <w:lvl w:ilvl="1" w:tplc="E44CC7AE">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B849D3"/>
    <w:multiLevelType w:val="hybridMultilevel"/>
    <w:tmpl w:val="AD925D7E"/>
    <w:lvl w:ilvl="0" w:tplc="808E6B2E">
      <w:start w:val="1"/>
      <w:numFmt w:val="bullet"/>
      <w:lvlText w:val=""/>
      <w:lvlJc w:val="left"/>
      <w:pPr>
        <w:tabs>
          <w:tab w:val="num" w:pos="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21" w15:restartNumberingAfterBreak="0">
    <w:nsid w:val="1B5B32A4"/>
    <w:multiLevelType w:val="multilevel"/>
    <w:tmpl w:val="6AE427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FB51229"/>
    <w:multiLevelType w:val="multilevel"/>
    <w:tmpl w:val="E8EAE8DA"/>
    <w:lvl w:ilvl="0">
      <w:start w:val="7"/>
      <w:numFmt w:val="decimal"/>
      <w:lvlText w:val="%1"/>
      <w:lvlJc w:val="left"/>
      <w:pPr>
        <w:ind w:left="360" w:hanging="360"/>
      </w:pPr>
      <w:rPr>
        <w:rFonts w:hint="default"/>
        <w:sz w:val="20"/>
      </w:rPr>
    </w:lvl>
    <w:lvl w:ilvl="1">
      <w:start w:val="8"/>
      <w:numFmt w:val="decimal"/>
      <w:lvlText w:val="%1.%2"/>
      <w:lvlJc w:val="left"/>
      <w:pPr>
        <w:ind w:left="1494" w:hanging="360"/>
      </w:pPr>
      <w:rPr>
        <w:rFonts w:hint="default"/>
        <w:sz w:val="20"/>
      </w:rPr>
    </w:lvl>
    <w:lvl w:ilvl="2">
      <w:start w:val="1"/>
      <w:numFmt w:val="decimal"/>
      <w:lvlText w:val="%1.%2.%3"/>
      <w:lvlJc w:val="left"/>
      <w:pPr>
        <w:ind w:left="2988" w:hanging="720"/>
      </w:pPr>
      <w:rPr>
        <w:rFonts w:hint="default"/>
        <w:sz w:val="20"/>
      </w:rPr>
    </w:lvl>
    <w:lvl w:ilvl="3">
      <w:start w:val="1"/>
      <w:numFmt w:val="decimal"/>
      <w:lvlText w:val="%1.%2.%3.%4"/>
      <w:lvlJc w:val="left"/>
      <w:pPr>
        <w:ind w:left="4122" w:hanging="720"/>
      </w:pPr>
      <w:rPr>
        <w:rFonts w:hint="default"/>
        <w:sz w:val="20"/>
      </w:rPr>
    </w:lvl>
    <w:lvl w:ilvl="4">
      <w:start w:val="1"/>
      <w:numFmt w:val="decimal"/>
      <w:lvlText w:val="%1.%2.%3.%4.%5"/>
      <w:lvlJc w:val="left"/>
      <w:pPr>
        <w:ind w:left="5616" w:hanging="1080"/>
      </w:pPr>
      <w:rPr>
        <w:rFonts w:hint="default"/>
        <w:sz w:val="20"/>
      </w:rPr>
    </w:lvl>
    <w:lvl w:ilvl="5">
      <w:start w:val="1"/>
      <w:numFmt w:val="decimal"/>
      <w:lvlText w:val="%1.%2.%3.%4.%5.%6"/>
      <w:lvlJc w:val="left"/>
      <w:pPr>
        <w:ind w:left="6750" w:hanging="1080"/>
      </w:pPr>
      <w:rPr>
        <w:rFonts w:hint="default"/>
        <w:sz w:val="20"/>
      </w:rPr>
    </w:lvl>
    <w:lvl w:ilvl="6">
      <w:start w:val="1"/>
      <w:numFmt w:val="decimal"/>
      <w:lvlText w:val="%1.%2.%3.%4.%5.%6.%7"/>
      <w:lvlJc w:val="left"/>
      <w:pPr>
        <w:ind w:left="8244" w:hanging="1440"/>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512" w:hanging="1440"/>
      </w:pPr>
      <w:rPr>
        <w:rFonts w:hint="default"/>
        <w:sz w:val="20"/>
      </w:rPr>
    </w:lvl>
  </w:abstractNum>
  <w:abstractNum w:abstractNumId="23" w15:restartNumberingAfterBreak="0">
    <w:nsid w:val="20871BCF"/>
    <w:multiLevelType w:val="hybridMultilevel"/>
    <w:tmpl w:val="275A1682"/>
    <w:lvl w:ilvl="0" w:tplc="41DE5E26">
      <w:start w:val="1"/>
      <w:numFmt w:val="bullet"/>
      <w:pStyle w:val="Bullet"/>
      <w:lvlText w:val=""/>
      <w:lvlJc w:val="left"/>
      <w:pPr>
        <w:tabs>
          <w:tab w:val="num" w:pos="-31680"/>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3F49C6"/>
    <w:multiLevelType w:val="singleLevel"/>
    <w:tmpl w:val="720CB540"/>
    <w:lvl w:ilvl="0">
      <w:start w:val="1"/>
      <w:numFmt w:val="lowerRoman"/>
      <w:pStyle w:val="Rom2"/>
      <w:lvlText w:val="(%1)"/>
      <w:lvlJc w:val="right"/>
      <w:pPr>
        <w:tabs>
          <w:tab w:val="num" w:pos="2160"/>
        </w:tabs>
        <w:ind w:left="2160" w:hanging="516"/>
      </w:p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1A7890"/>
    <w:multiLevelType w:val="hybridMultilevel"/>
    <w:tmpl w:val="151405B6"/>
    <w:lvl w:ilvl="0" w:tplc="E230D148">
      <w:start w:val="1"/>
      <w:numFmt w:val="bullet"/>
      <w:pStyle w:val="Dash"/>
      <w:lvlText w:val=""/>
      <w:lvlJc w:val="left"/>
      <w:pPr>
        <w:tabs>
          <w:tab w:val="num" w:pos="-31680"/>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96B0C1F"/>
    <w:multiLevelType w:val="hybridMultilevel"/>
    <w:tmpl w:val="B386D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30"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1"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2"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3"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5662464F"/>
    <w:multiLevelType w:val="multilevel"/>
    <w:tmpl w:val="1124180E"/>
    <w:lvl w:ilvl="0">
      <w:start w:val="7"/>
      <w:numFmt w:val="decimal"/>
      <w:lvlText w:val="%1."/>
      <w:lvlJc w:val="left"/>
      <w:pPr>
        <w:ind w:left="360" w:hanging="360"/>
      </w:pPr>
      <w:rPr>
        <w:rFonts w:hint="default"/>
        <w:sz w:val="20"/>
      </w:rPr>
    </w:lvl>
    <w:lvl w:ilvl="1">
      <w:start w:val="7"/>
      <w:numFmt w:val="decimal"/>
      <w:lvlText w:val="%1.%2."/>
      <w:lvlJc w:val="left"/>
      <w:pPr>
        <w:ind w:left="1494" w:hanging="360"/>
      </w:pPr>
      <w:rPr>
        <w:rFonts w:hint="default"/>
        <w:sz w:val="20"/>
      </w:rPr>
    </w:lvl>
    <w:lvl w:ilvl="2">
      <w:start w:val="1"/>
      <w:numFmt w:val="decimal"/>
      <w:lvlText w:val="%1.%2.%3."/>
      <w:lvlJc w:val="left"/>
      <w:pPr>
        <w:ind w:left="2988" w:hanging="720"/>
      </w:pPr>
      <w:rPr>
        <w:rFonts w:hint="default"/>
        <w:sz w:val="20"/>
      </w:rPr>
    </w:lvl>
    <w:lvl w:ilvl="3">
      <w:start w:val="1"/>
      <w:numFmt w:val="decimal"/>
      <w:lvlText w:val="%1.%2.%3.%4."/>
      <w:lvlJc w:val="left"/>
      <w:pPr>
        <w:ind w:left="4122" w:hanging="720"/>
      </w:pPr>
      <w:rPr>
        <w:rFonts w:hint="default"/>
        <w:sz w:val="20"/>
      </w:rPr>
    </w:lvl>
    <w:lvl w:ilvl="4">
      <w:start w:val="1"/>
      <w:numFmt w:val="decimal"/>
      <w:lvlText w:val="%1.%2.%3.%4.%5."/>
      <w:lvlJc w:val="left"/>
      <w:pPr>
        <w:ind w:left="5616" w:hanging="1080"/>
      </w:pPr>
      <w:rPr>
        <w:rFonts w:hint="default"/>
        <w:sz w:val="20"/>
      </w:rPr>
    </w:lvl>
    <w:lvl w:ilvl="5">
      <w:start w:val="1"/>
      <w:numFmt w:val="decimal"/>
      <w:lvlText w:val="%1.%2.%3.%4.%5.%6."/>
      <w:lvlJc w:val="left"/>
      <w:pPr>
        <w:ind w:left="6750" w:hanging="1080"/>
      </w:pPr>
      <w:rPr>
        <w:rFonts w:hint="default"/>
        <w:sz w:val="20"/>
      </w:rPr>
    </w:lvl>
    <w:lvl w:ilvl="6">
      <w:start w:val="1"/>
      <w:numFmt w:val="decimal"/>
      <w:lvlText w:val="%1.%2.%3.%4.%5.%6.%7."/>
      <w:lvlJc w:val="left"/>
      <w:pPr>
        <w:ind w:left="8244" w:hanging="1440"/>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872" w:hanging="1800"/>
      </w:pPr>
      <w:rPr>
        <w:rFonts w:hint="default"/>
        <w:sz w:val="20"/>
      </w:rPr>
    </w:lvl>
  </w:abstractNum>
  <w:abstractNum w:abstractNumId="35" w15:restartNumberingAfterBreak="0">
    <w:nsid w:val="59F37B58"/>
    <w:multiLevelType w:val="hybridMultilevel"/>
    <w:tmpl w:val="44FABB6A"/>
    <w:lvl w:ilvl="0" w:tplc="DB98FAC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7" w15:restartNumberingAfterBreak="0">
    <w:nsid w:val="62291625"/>
    <w:multiLevelType w:val="multilevel"/>
    <w:tmpl w:val="F044FF88"/>
    <w:lvl w:ilvl="0">
      <w:start w:val="7"/>
      <w:numFmt w:val="decimal"/>
      <w:lvlText w:val="%1"/>
      <w:lvlJc w:val="left"/>
      <w:pPr>
        <w:ind w:left="360" w:hanging="360"/>
      </w:pPr>
      <w:rPr>
        <w:rFonts w:hint="default"/>
      </w:rPr>
    </w:lvl>
    <w:lvl w:ilvl="1">
      <w:start w:val="1"/>
      <w:numFmt w:val="decimal"/>
      <w:lvlText w:val="%1.%2"/>
      <w:lvlJc w:val="left"/>
      <w:pPr>
        <w:ind w:left="1494" w:hanging="360"/>
      </w:pPr>
      <w:rPr>
        <w:rFonts w:hint="default"/>
        <w:b w:val="0"/>
        <w:sz w:val="20"/>
        <w:szCs w:val="2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8"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2A1A3F"/>
    <w:multiLevelType w:val="multilevel"/>
    <w:tmpl w:val="A3E06E6C"/>
    <w:lvl w:ilvl="0">
      <w:start w:val="4"/>
      <w:numFmt w:val="decimal"/>
      <w:lvlText w:val="%1"/>
      <w:lvlJc w:val="left"/>
      <w:pPr>
        <w:ind w:left="360" w:hanging="360"/>
      </w:pPr>
      <w:rPr>
        <w:rFonts w:hint="default"/>
      </w:rPr>
    </w:lvl>
    <w:lvl w:ilvl="1">
      <w:start w:val="11"/>
      <w:numFmt w:val="decimal"/>
      <w:lvlText w:val="%1.%2"/>
      <w:lvlJc w:val="left"/>
      <w:pPr>
        <w:ind w:left="1353" w:hanging="360"/>
      </w:pPr>
      <w:rPr>
        <w:rFonts w:hint="default"/>
        <w:b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1"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7CF349BD"/>
    <w:multiLevelType w:val="singleLevel"/>
    <w:tmpl w:val="51D4BF5A"/>
    <w:lvl w:ilvl="0">
      <w:start w:val="1"/>
      <w:numFmt w:val="lowerRoman"/>
      <w:pStyle w:val="Rom1"/>
      <w:lvlText w:val="(%1)"/>
      <w:lvlJc w:val="right"/>
      <w:pPr>
        <w:tabs>
          <w:tab w:val="num" w:pos="1440"/>
        </w:tabs>
        <w:ind w:left="1440" w:hanging="589"/>
      </w:pPr>
      <w:rPr>
        <w:rFonts w:hint="default"/>
      </w:rPr>
    </w:lvl>
  </w:abstractNum>
  <w:abstractNum w:abstractNumId="43" w15:restartNumberingAfterBreak="0">
    <w:nsid w:val="7DBF6B58"/>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7E3E6118"/>
    <w:multiLevelType w:val="multilevel"/>
    <w:tmpl w:val="E9FE4814"/>
    <w:lvl w:ilvl="0">
      <w:start w:val="4"/>
      <w:numFmt w:val="decimal"/>
      <w:lvlText w:val="%1"/>
      <w:lvlJc w:val="left"/>
      <w:pPr>
        <w:ind w:left="360" w:hanging="360"/>
      </w:pPr>
      <w:rPr>
        <w:rFonts w:hint="default"/>
      </w:rPr>
    </w:lvl>
    <w:lvl w:ilvl="1">
      <w:start w:val="13"/>
      <w:numFmt w:val="decimal"/>
      <w:lvlText w:val="%1.%2"/>
      <w:lvlJc w:val="left"/>
      <w:pPr>
        <w:ind w:left="1494" w:hanging="360"/>
      </w:pPr>
      <w:rPr>
        <w:rFonts w:hint="default"/>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num w:numId="1">
    <w:abstractNumId w:val="13"/>
  </w:num>
  <w:num w:numId="2">
    <w:abstractNumId w:val="39"/>
  </w:num>
  <w:num w:numId="3">
    <w:abstractNumId w:val="42"/>
  </w:num>
  <w:num w:numId="4">
    <w:abstractNumId w:val="24"/>
  </w:num>
  <w:num w:numId="5">
    <w:abstractNumId w:val="15"/>
  </w:num>
  <w:num w:numId="6">
    <w:abstractNumId w:val="27"/>
  </w:num>
  <w:num w:numId="7">
    <w:abstractNumId w:val="30"/>
  </w:num>
  <w:num w:numId="8">
    <w:abstractNumId w:val="41"/>
  </w:num>
  <w:num w:numId="9">
    <w:abstractNumId w:val="33"/>
  </w:num>
  <w:num w:numId="10">
    <w:abstractNumId w:val="43"/>
  </w:num>
  <w:num w:numId="11">
    <w:abstractNumId w:val="32"/>
  </w:num>
  <w:num w:numId="12">
    <w:abstractNumId w:val="38"/>
  </w:num>
  <w:num w:numId="13">
    <w:abstractNumId w:val="29"/>
  </w:num>
  <w:num w:numId="14">
    <w:abstractNumId w:val="1"/>
  </w:num>
  <w:num w:numId="15">
    <w:abstractNumId w:val="0"/>
  </w:num>
  <w:num w:numId="16">
    <w:abstractNumId w:val="25"/>
  </w:num>
  <w:num w:numId="17">
    <w:abstractNumId w:val="10"/>
  </w:num>
  <w:num w:numId="18">
    <w:abstractNumId w:val="20"/>
  </w:num>
  <w:num w:numId="19">
    <w:abstractNumId w:val="16"/>
  </w:num>
  <w:num w:numId="20">
    <w:abstractNumId w:val="31"/>
  </w:num>
  <w:num w:numId="21">
    <w:abstractNumId w:val="36"/>
  </w:num>
  <w:num w:numId="22">
    <w:abstractNumId w:val="2"/>
  </w:num>
  <w:num w:numId="23">
    <w:abstractNumId w:val="3"/>
  </w:num>
  <w:num w:numId="24">
    <w:abstractNumId w:val="8"/>
  </w:num>
  <w:num w:numId="25">
    <w:abstractNumId w:val="9"/>
  </w:num>
  <w:num w:numId="26">
    <w:abstractNumId w:val="7"/>
  </w:num>
  <w:num w:numId="27">
    <w:abstractNumId w:val="6"/>
  </w:num>
  <w:num w:numId="28">
    <w:abstractNumId w:val="5"/>
  </w:num>
  <w:num w:numId="29">
    <w:abstractNumId w:val="4"/>
  </w:num>
  <w:num w:numId="30">
    <w:abstractNumId w:val="18"/>
  </w:num>
  <w:num w:numId="31">
    <w:abstractNumId w:val="19"/>
  </w:num>
  <w:num w:numId="32">
    <w:abstractNumId w:val="11"/>
  </w:num>
  <w:num w:numId="33">
    <w:abstractNumId w:val="26"/>
  </w:num>
  <w:num w:numId="34">
    <w:abstractNumId w:val="23"/>
  </w:num>
  <w:num w:numId="35">
    <w:abstractNumId w:val="35"/>
  </w:num>
  <w:num w:numId="36">
    <w:abstractNumId w:val="14"/>
  </w:num>
  <w:num w:numId="37">
    <w:abstractNumId w:val="21"/>
  </w:num>
  <w:num w:numId="38">
    <w:abstractNumId w:val="17"/>
  </w:num>
  <w:num w:numId="39">
    <w:abstractNumId w:val="12"/>
  </w:num>
  <w:num w:numId="40">
    <w:abstractNumId w:val="40"/>
  </w:num>
  <w:num w:numId="41">
    <w:abstractNumId w:val="37"/>
  </w:num>
  <w:num w:numId="42">
    <w:abstractNumId w:val="22"/>
  </w:num>
  <w:num w:numId="43">
    <w:abstractNumId w:val="44"/>
  </w:num>
  <w:num w:numId="44">
    <w:abstractNumId w:val="34"/>
  </w:num>
  <w:num w:numId="45">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5A2"/>
    <w:rsid w:val="000219AC"/>
    <w:rsid w:val="000272B3"/>
    <w:rsid w:val="00040E14"/>
    <w:rsid w:val="00050F6B"/>
    <w:rsid w:val="00057E97"/>
    <w:rsid w:val="00060C3A"/>
    <w:rsid w:val="00063773"/>
    <w:rsid w:val="00063909"/>
    <w:rsid w:val="00072C8C"/>
    <w:rsid w:val="000733B5"/>
    <w:rsid w:val="00081815"/>
    <w:rsid w:val="000931C0"/>
    <w:rsid w:val="000A1B4C"/>
    <w:rsid w:val="000B175B"/>
    <w:rsid w:val="000B3A0F"/>
    <w:rsid w:val="000B4EF7"/>
    <w:rsid w:val="000C2C03"/>
    <w:rsid w:val="000C2D2E"/>
    <w:rsid w:val="000C387C"/>
    <w:rsid w:val="000E0415"/>
    <w:rsid w:val="00106B1F"/>
    <w:rsid w:val="001103AA"/>
    <w:rsid w:val="0011345F"/>
    <w:rsid w:val="001316A9"/>
    <w:rsid w:val="00165F3A"/>
    <w:rsid w:val="00172E0A"/>
    <w:rsid w:val="00183968"/>
    <w:rsid w:val="00187D3C"/>
    <w:rsid w:val="00195ADF"/>
    <w:rsid w:val="001A6686"/>
    <w:rsid w:val="001B4B04"/>
    <w:rsid w:val="001C6663"/>
    <w:rsid w:val="001C7895"/>
    <w:rsid w:val="001D0C8C"/>
    <w:rsid w:val="001D26DF"/>
    <w:rsid w:val="001D3A03"/>
    <w:rsid w:val="001D7F79"/>
    <w:rsid w:val="001E062D"/>
    <w:rsid w:val="001E5204"/>
    <w:rsid w:val="00202DA8"/>
    <w:rsid w:val="00211E0B"/>
    <w:rsid w:val="00214B63"/>
    <w:rsid w:val="002152C2"/>
    <w:rsid w:val="0022513A"/>
    <w:rsid w:val="0023210C"/>
    <w:rsid w:val="00265518"/>
    <w:rsid w:val="00267F5F"/>
    <w:rsid w:val="00286B4D"/>
    <w:rsid w:val="002A15DA"/>
    <w:rsid w:val="002C7B25"/>
    <w:rsid w:val="002E11B3"/>
    <w:rsid w:val="002E75AE"/>
    <w:rsid w:val="002F175C"/>
    <w:rsid w:val="002F3BAE"/>
    <w:rsid w:val="00311830"/>
    <w:rsid w:val="003229D8"/>
    <w:rsid w:val="0033074C"/>
    <w:rsid w:val="0033414E"/>
    <w:rsid w:val="0034331E"/>
    <w:rsid w:val="00352709"/>
    <w:rsid w:val="00365ED6"/>
    <w:rsid w:val="00367254"/>
    <w:rsid w:val="00367567"/>
    <w:rsid w:val="00371178"/>
    <w:rsid w:val="0038336C"/>
    <w:rsid w:val="0038728B"/>
    <w:rsid w:val="003907FA"/>
    <w:rsid w:val="003A6810"/>
    <w:rsid w:val="003C2CC4"/>
    <w:rsid w:val="003D4B23"/>
    <w:rsid w:val="00410C89"/>
    <w:rsid w:val="00425388"/>
    <w:rsid w:val="00426B9B"/>
    <w:rsid w:val="00427F5C"/>
    <w:rsid w:val="00432196"/>
    <w:rsid w:val="004325CB"/>
    <w:rsid w:val="00436B33"/>
    <w:rsid w:val="00437E12"/>
    <w:rsid w:val="00442A83"/>
    <w:rsid w:val="00445D38"/>
    <w:rsid w:val="0045495B"/>
    <w:rsid w:val="00461F8C"/>
    <w:rsid w:val="00466D90"/>
    <w:rsid w:val="00484862"/>
    <w:rsid w:val="00487488"/>
    <w:rsid w:val="00496CE2"/>
    <w:rsid w:val="004A7BFC"/>
    <w:rsid w:val="004B55AF"/>
    <w:rsid w:val="004C115E"/>
    <w:rsid w:val="004C4ED7"/>
    <w:rsid w:val="004D1979"/>
    <w:rsid w:val="004F49A1"/>
    <w:rsid w:val="00513EF7"/>
    <w:rsid w:val="0052136D"/>
    <w:rsid w:val="0052775E"/>
    <w:rsid w:val="005420F2"/>
    <w:rsid w:val="005628B6"/>
    <w:rsid w:val="005705FD"/>
    <w:rsid w:val="005839AB"/>
    <w:rsid w:val="005848B3"/>
    <w:rsid w:val="00590F87"/>
    <w:rsid w:val="00592C4A"/>
    <w:rsid w:val="005A3AD3"/>
    <w:rsid w:val="005B3855"/>
    <w:rsid w:val="005B3AC9"/>
    <w:rsid w:val="005B3DB3"/>
    <w:rsid w:val="005C4ED3"/>
    <w:rsid w:val="005E00AB"/>
    <w:rsid w:val="005F7717"/>
    <w:rsid w:val="005F7B75"/>
    <w:rsid w:val="006001EE"/>
    <w:rsid w:val="00603106"/>
    <w:rsid w:val="00605042"/>
    <w:rsid w:val="00607BA6"/>
    <w:rsid w:val="00611FC4"/>
    <w:rsid w:val="00614A7C"/>
    <w:rsid w:val="006176FB"/>
    <w:rsid w:val="0063533B"/>
    <w:rsid w:val="00640B26"/>
    <w:rsid w:val="00652D0A"/>
    <w:rsid w:val="006625FB"/>
    <w:rsid w:val="00662BB6"/>
    <w:rsid w:val="00684C21"/>
    <w:rsid w:val="0068520F"/>
    <w:rsid w:val="00696724"/>
    <w:rsid w:val="006C282B"/>
    <w:rsid w:val="006D37AF"/>
    <w:rsid w:val="006D51D0"/>
    <w:rsid w:val="006E0597"/>
    <w:rsid w:val="006E2D23"/>
    <w:rsid w:val="006E564B"/>
    <w:rsid w:val="006E7191"/>
    <w:rsid w:val="00700205"/>
    <w:rsid w:val="00703577"/>
    <w:rsid w:val="0072632A"/>
    <w:rsid w:val="00727797"/>
    <w:rsid w:val="0073138F"/>
    <w:rsid w:val="007327D5"/>
    <w:rsid w:val="007342FA"/>
    <w:rsid w:val="007353D0"/>
    <w:rsid w:val="007460D0"/>
    <w:rsid w:val="007629C8"/>
    <w:rsid w:val="007655F2"/>
    <w:rsid w:val="00773298"/>
    <w:rsid w:val="007B6BA5"/>
    <w:rsid w:val="007B7AAB"/>
    <w:rsid w:val="007C1D12"/>
    <w:rsid w:val="007C3390"/>
    <w:rsid w:val="007C4F4B"/>
    <w:rsid w:val="007C784F"/>
    <w:rsid w:val="007D13B6"/>
    <w:rsid w:val="007D37BE"/>
    <w:rsid w:val="007E0B2D"/>
    <w:rsid w:val="007F170C"/>
    <w:rsid w:val="007F6381"/>
    <w:rsid w:val="007F6611"/>
    <w:rsid w:val="00803AC0"/>
    <w:rsid w:val="008105B8"/>
    <w:rsid w:val="008209F4"/>
    <w:rsid w:val="008242D7"/>
    <w:rsid w:val="008257B1"/>
    <w:rsid w:val="00843767"/>
    <w:rsid w:val="0084649A"/>
    <w:rsid w:val="008679D9"/>
    <w:rsid w:val="008979B1"/>
    <w:rsid w:val="008A1DB2"/>
    <w:rsid w:val="008A6B25"/>
    <w:rsid w:val="008A6C4F"/>
    <w:rsid w:val="008B2335"/>
    <w:rsid w:val="008E0678"/>
    <w:rsid w:val="00910F40"/>
    <w:rsid w:val="00912C08"/>
    <w:rsid w:val="009223CA"/>
    <w:rsid w:val="00922D06"/>
    <w:rsid w:val="009248C5"/>
    <w:rsid w:val="00931FFE"/>
    <w:rsid w:val="00940F93"/>
    <w:rsid w:val="009439E4"/>
    <w:rsid w:val="0095347F"/>
    <w:rsid w:val="00960E3C"/>
    <w:rsid w:val="0096407F"/>
    <w:rsid w:val="009760F3"/>
    <w:rsid w:val="009909F5"/>
    <w:rsid w:val="009A0E8D"/>
    <w:rsid w:val="009B26E7"/>
    <w:rsid w:val="009E1BF4"/>
    <w:rsid w:val="009E686C"/>
    <w:rsid w:val="009E6C4D"/>
    <w:rsid w:val="00A00A3F"/>
    <w:rsid w:val="00A01489"/>
    <w:rsid w:val="00A232A0"/>
    <w:rsid w:val="00A2353A"/>
    <w:rsid w:val="00A338F1"/>
    <w:rsid w:val="00A44615"/>
    <w:rsid w:val="00A66BB0"/>
    <w:rsid w:val="00A72F22"/>
    <w:rsid w:val="00A7360F"/>
    <w:rsid w:val="00A742CF"/>
    <w:rsid w:val="00A748A6"/>
    <w:rsid w:val="00A769F4"/>
    <w:rsid w:val="00A776B4"/>
    <w:rsid w:val="00A86C12"/>
    <w:rsid w:val="00A94361"/>
    <w:rsid w:val="00AA293C"/>
    <w:rsid w:val="00AC35A2"/>
    <w:rsid w:val="00AC4DCB"/>
    <w:rsid w:val="00AF7A58"/>
    <w:rsid w:val="00B0013A"/>
    <w:rsid w:val="00B13E9B"/>
    <w:rsid w:val="00B215C7"/>
    <w:rsid w:val="00B25A50"/>
    <w:rsid w:val="00B30179"/>
    <w:rsid w:val="00B32A05"/>
    <w:rsid w:val="00B339A7"/>
    <w:rsid w:val="00B56E4A"/>
    <w:rsid w:val="00B56E9C"/>
    <w:rsid w:val="00B64B1F"/>
    <w:rsid w:val="00B64F5A"/>
    <w:rsid w:val="00B6553F"/>
    <w:rsid w:val="00B66E5E"/>
    <w:rsid w:val="00B758BD"/>
    <w:rsid w:val="00B77D05"/>
    <w:rsid w:val="00B81206"/>
    <w:rsid w:val="00B81E12"/>
    <w:rsid w:val="00B83274"/>
    <w:rsid w:val="00B850CD"/>
    <w:rsid w:val="00B9067B"/>
    <w:rsid w:val="00B96E48"/>
    <w:rsid w:val="00BA0EE7"/>
    <w:rsid w:val="00BC2C23"/>
    <w:rsid w:val="00BC74E9"/>
    <w:rsid w:val="00BD1DD9"/>
    <w:rsid w:val="00BD400C"/>
    <w:rsid w:val="00BE132B"/>
    <w:rsid w:val="00BE77AC"/>
    <w:rsid w:val="00BF1770"/>
    <w:rsid w:val="00BF365D"/>
    <w:rsid w:val="00BF68A8"/>
    <w:rsid w:val="00C11A03"/>
    <w:rsid w:val="00C36860"/>
    <w:rsid w:val="00C42C3C"/>
    <w:rsid w:val="00C463DD"/>
    <w:rsid w:val="00C4724C"/>
    <w:rsid w:val="00C57B49"/>
    <w:rsid w:val="00C62617"/>
    <w:rsid w:val="00C629A0"/>
    <w:rsid w:val="00C640B5"/>
    <w:rsid w:val="00C745C3"/>
    <w:rsid w:val="00CC245C"/>
    <w:rsid w:val="00CE4A8F"/>
    <w:rsid w:val="00CE6C44"/>
    <w:rsid w:val="00CF7ADE"/>
    <w:rsid w:val="00D06917"/>
    <w:rsid w:val="00D15C9E"/>
    <w:rsid w:val="00D2031B"/>
    <w:rsid w:val="00D25FE2"/>
    <w:rsid w:val="00D43252"/>
    <w:rsid w:val="00D47EEA"/>
    <w:rsid w:val="00D57A97"/>
    <w:rsid w:val="00D9422C"/>
    <w:rsid w:val="00D95303"/>
    <w:rsid w:val="00D95CDE"/>
    <w:rsid w:val="00D978C6"/>
    <w:rsid w:val="00DA3111"/>
    <w:rsid w:val="00DA3BE4"/>
    <w:rsid w:val="00DA3C1C"/>
    <w:rsid w:val="00DA4356"/>
    <w:rsid w:val="00DA5E97"/>
    <w:rsid w:val="00DB0C79"/>
    <w:rsid w:val="00DC023F"/>
    <w:rsid w:val="00E27346"/>
    <w:rsid w:val="00E30DD5"/>
    <w:rsid w:val="00E37DF1"/>
    <w:rsid w:val="00E54A20"/>
    <w:rsid w:val="00E71BC8"/>
    <w:rsid w:val="00E7260F"/>
    <w:rsid w:val="00E779FC"/>
    <w:rsid w:val="00E925B9"/>
    <w:rsid w:val="00E96630"/>
    <w:rsid w:val="00EA3F9A"/>
    <w:rsid w:val="00EB2581"/>
    <w:rsid w:val="00EC62AC"/>
    <w:rsid w:val="00ED7A2A"/>
    <w:rsid w:val="00EE6CB7"/>
    <w:rsid w:val="00EF1D7F"/>
    <w:rsid w:val="00F0055D"/>
    <w:rsid w:val="00F0702A"/>
    <w:rsid w:val="00F20C3D"/>
    <w:rsid w:val="00F34302"/>
    <w:rsid w:val="00F43C1A"/>
    <w:rsid w:val="00F43E9E"/>
    <w:rsid w:val="00F70399"/>
    <w:rsid w:val="00F9057C"/>
    <w:rsid w:val="00F906D7"/>
    <w:rsid w:val="00F92C1C"/>
    <w:rsid w:val="00F93781"/>
    <w:rsid w:val="00FB53AE"/>
    <w:rsid w:val="00FB613B"/>
    <w:rsid w:val="00FC68B7"/>
    <w:rsid w:val="00FC74C6"/>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F011BCE3-8630-44B3-9820-39459839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link w:val="Heading1Char"/>
    <w:qFormat/>
    <w:rsid w:val="000272B3"/>
    <w:pPr>
      <w:spacing w:after="0" w:line="240" w:lineRule="auto"/>
      <w:ind w:right="0"/>
      <w:jc w:val="left"/>
      <w:outlineLvl w:val="0"/>
    </w:pPr>
  </w:style>
  <w:style w:type="paragraph" w:styleId="Heading2">
    <w:name w:val="heading 2"/>
    <w:basedOn w:val="Normal"/>
    <w:next w:val="Normal"/>
    <w:link w:val="Heading2Char"/>
    <w:qFormat/>
    <w:rsid w:val="000272B3"/>
    <w:pPr>
      <w:spacing w:line="240" w:lineRule="auto"/>
      <w:outlineLvl w:val="1"/>
    </w:pPr>
  </w:style>
  <w:style w:type="paragraph" w:styleId="Heading3">
    <w:name w:val="heading 3"/>
    <w:basedOn w:val="Normal"/>
    <w:next w:val="Normal"/>
    <w:link w:val="Heading3Char"/>
    <w:qFormat/>
    <w:rsid w:val="000272B3"/>
    <w:pPr>
      <w:spacing w:line="240" w:lineRule="auto"/>
      <w:outlineLvl w:val="2"/>
    </w:pPr>
  </w:style>
  <w:style w:type="paragraph" w:styleId="Heading4">
    <w:name w:val="heading 4"/>
    <w:basedOn w:val="Normal"/>
    <w:next w:val="Normal"/>
    <w:link w:val="Heading4Char"/>
    <w:qFormat/>
    <w:rsid w:val="000272B3"/>
    <w:pPr>
      <w:spacing w:line="240" w:lineRule="auto"/>
      <w:outlineLvl w:val="3"/>
    </w:pPr>
  </w:style>
  <w:style w:type="paragraph" w:styleId="Heading5">
    <w:name w:val="heading 5"/>
    <w:basedOn w:val="Normal"/>
    <w:next w:val="Normal"/>
    <w:link w:val="Heading5Char"/>
    <w:qFormat/>
    <w:rsid w:val="000272B3"/>
    <w:pPr>
      <w:spacing w:line="240" w:lineRule="auto"/>
      <w:outlineLvl w:val="4"/>
    </w:pPr>
  </w:style>
  <w:style w:type="paragraph" w:styleId="Heading6">
    <w:name w:val="heading 6"/>
    <w:basedOn w:val="Normal"/>
    <w:next w:val="Normal"/>
    <w:link w:val="Heading6Char"/>
    <w:qFormat/>
    <w:rsid w:val="000272B3"/>
    <w:pPr>
      <w:spacing w:line="240" w:lineRule="auto"/>
      <w:outlineLvl w:val="5"/>
    </w:pPr>
  </w:style>
  <w:style w:type="paragraph" w:styleId="Heading7">
    <w:name w:val="heading 7"/>
    <w:basedOn w:val="Normal"/>
    <w:next w:val="Normal"/>
    <w:link w:val="Heading7Char"/>
    <w:qFormat/>
    <w:rsid w:val="000272B3"/>
    <w:pPr>
      <w:spacing w:line="240" w:lineRule="auto"/>
      <w:outlineLvl w:val="6"/>
    </w:pPr>
  </w:style>
  <w:style w:type="paragraph" w:styleId="Heading8">
    <w:name w:val="heading 8"/>
    <w:basedOn w:val="Normal"/>
    <w:next w:val="Normal"/>
    <w:link w:val="Heading8Char"/>
    <w:qFormat/>
    <w:rsid w:val="000272B3"/>
    <w:pPr>
      <w:spacing w:line="240" w:lineRule="auto"/>
      <w:outlineLvl w:val="7"/>
    </w:pPr>
  </w:style>
  <w:style w:type="paragraph" w:styleId="Heading9">
    <w:name w:val="heading 9"/>
    <w:basedOn w:val="Normal"/>
    <w:next w:val="Normal"/>
    <w:link w:val="Heading9Char"/>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AC35A2"/>
    <w:rPr>
      <w:rFonts w:ascii="Tahoma" w:hAnsi="Tahoma"/>
      <w:sz w:val="16"/>
      <w:szCs w:val="16"/>
    </w:rPr>
  </w:style>
  <w:style w:type="character" w:customStyle="1" w:styleId="BalloonTextChar">
    <w:name w:val="Balloon Text Char"/>
    <w:link w:val="BalloonText"/>
    <w:rsid w:val="00AC35A2"/>
    <w:rPr>
      <w:rFonts w:ascii="Tahoma" w:hAnsi="Tahoma" w:cs="Tahoma"/>
      <w:sz w:val="16"/>
      <w:szCs w:val="16"/>
      <w:lang w:eastAsia="en-US"/>
    </w:rPr>
  </w:style>
  <w:style w:type="character" w:styleId="CommentReference">
    <w:name w:val="annotation reference"/>
    <w:rsid w:val="00AC35A2"/>
    <w:rPr>
      <w:sz w:val="16"/>
      <w:szCs w:val="16"/>
    </w:rPr>
  </w:style>
  <w:style w:type="paragraph" w:styleId="CommentText">
    <w:name w:val="annotation text"/>
    <w:basedOn w:val="Normal"/>
    <w:link w:val="CommentTextChar"/>
    <w:rsid w:val="00AC35A2"/>
  </w:style>
  <w:style w:type="character" w:customStyle="1" w:styleId="CommentTextChar">
    <w:name w:val="Comment Text Char"/>
    <w:link w:val="CommentText"/>
    <w:rsid w:val="00AC35A2"/>
    <w:rPr>
      <w:lang w:eastAsia="en-US"/>
    </w:rPr>
  </w:style>
  <w:style w:type="paragraph" w:styleId="CommentSubject">
    <w:name w:val="annotation subject"/>
    <w:basedOn w:val="CommentText"/>
    <w:next w:val="CommentText"/>
    <w:link w:val="CommentSubjectChar"/>
    <w:rsid w:val="00AC35A2"/>
    <w:rPr>
      <w:b/>
      <w:bCs/>
    </w:rPr>
  </w:style>
  <w:style w:type="character" w:customStyle="1" w:styleId="CommentSubjectChar">
    <w:name w:val="Comment Subject Char"/>
    <w:link w:val="CommentSubject"/>
    <w:rsid w:val="00AC35A2"/>
    <w:rPr>
      <w:b/>
      <w:bCs/>
      <w:lang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AC35A2"/>
    <w:rPr>
      <w:sz w:val="18"/>
      <w:lang w:eastAsia="en-US"/>
    </w:rPr>
  </w:style>
  <w:style w:type="character" w:customStyle="1" w:styleId="SingleTxtGChar">
    <w:name w:val="_ Single Txt_G Char"/>
    <w:link w:val="SingleTxtG"/>
    <w:rsid w:val="00AC35A2"/>
    <w:rPr>
      <w:lang w:eastAsia="en-US"/>
    </w:rPr>
  </w:style>
  <w:style w:type="character" w:customStyle="1" w:styleId="Heading1Char">
    <w:name w:val="Heading 1 Char"/>
    <w:aliases w:val="Table_G Char"/>
    <w:link w:val="Heading1"/>
    <w:rsid w:val="00AC35A2"/>
    <w:rPr>
      <w:lang w:eastAsia="en-US"/>
    </w:rPr>
  </w:style>
  <w:style w:type="character" w:customStyle="1" w:styleId="Heading2Char">
    <w:name w:val="Heading 2 Char"/>
    <w:link w:val="Heading2"/>
    <w:rsid w:val="00AC35A2"/>
    <w:rPr>
      <w:lang w:eastAsia="en-US"/>
    </w:rPr>
  </w:style>
  <w:style w:type="character" w:customStyle="1" w:styleId="Heading3Char">
    <w:name w:val="Heading 3 Char"/>
    <w:link w:val="Heading3"/>
    <w:rsid w:val="00AC35A2"/>
    <w:rPr>
      <w:lang w:eastAsia="en-US"/>
    </w:rPr>
  </w:style>
  <w:style w:type="character" w:customStyle="1" w:styleId="Heading4Char">
    <w:name w:val="Heading 4 Char"/>
    <w:link w:val="Heading4"/>
    <w:rsid w:val="00AC35A2"/>
    <w:rPr>
      <w:lang w:eastAsia="en-US"/>
    </w:rPr>
  </w:style>
  <w:style w:type="character" w:customStyle="1" w:styleId="Heading5Char">
    <w:name w:val="Heading 5 Char"/>
    <w:link w:val="Heading5"/>
    <w:rsid w:val="00AC35A2"/>
    <w:rPr>
      <w:lang w:eastAsia="en-US"/>
    </w:rPr>
  </w:style>
  <w:style w:type="character" w:customStyle="1" w:styleId="Heading6Char">
    <w:name w:val="Heading 6 Char"/>
    <w:link w:val="Heading6"/>
    <w:rsid w:val="00AC35A2"/>
    <w:rPr>
      <w:lang w:eastAsia="en-US"/>
    </w:rPr>
  </w:style>
  <w:style w:type="character" w:customStyle="1" w:styleId="Heading7Char">
    <w:name w:val="Heading 7 Char"/>
    <w:link w:val="Heading7"/>
    <w:rsid w:val="00AC35A2"/>
    <w:rPr>
      <w:lang w:eastAsia="en-US"/>
    </w:rPr>
  </w:style>
  <w:style w:type="character" w:customStyle="1" w:styleId="Heading8Char">
    <w:name w:val="Heading 8 Char"/>
    <w:link w:val="Heading8"/>
    <w:rsid w:val="00AC35A2"/>
    <w:rPr>
      <w:lang w:eastAsia="en-US"/>
    </w:rPr>
  </w:style>
  <w:style w:type="character" w:customStyle="1" w:styleId="Heading9Char">
    <w:name w:val="Heading 9 Char"/>
    <w:link w:val="Heading9"/>
    <w:rsid w:val="00AC35A2"/>
    <w:rPr>
      <w:lang w:eastAsia="en-US"/>
    </w:rPr>
  </w:style>
  <w:style w:type="character" w:customStyle="1" w:styleId="HeaderChar">
    <w:name w:val="Header Char"/>
    <w:aliases w:val="6_G Char"/>
    <w:link w:val="Header"/>
    <w:rsid w:val="00AC35A2"/>
    <w:rPr>
      <w:b/>
      <w:sz w:val="18"/>
      <w:lang w:eastAsia="en-US"/>
    </w:rPr>
  </w:style>
  <w:style w:type="character" w:customStyle="1" w:styleId="FooterChar">
    <w:name w:val="Footer Char"/>
    <w:aliases w:val="3_G Char"/>
    <w:link w:val="Footer"/>
    <w:rsid w:val="00AC35A2"/>
    <w:rPr>
      <w:sz w:val="16"/>
      <w:lang w:eastAsia="en-US"/>
    </w:rPr>
  </w:style>
  <w:style w:type="paragraph" w:customStyle="1" w:styleId="Rom1">
    <w:name w:val="Rom1"/>
    <w:basedOn w:val="Normal"/>
    <w:rsid w:val="00AC35A2"/>
    <w:pPr>
      <w:numPr>
        <w:numId w:val="3"/>
      </w:numPr>
      <w:tabs>
        <w:tab w:val="clear" w:pos="1440"/>
      </w:tabs>
      <w:suppressAutoHyphens w:val="0"/>
      <w:spacing w:after="240" w:line="240" w:lineRule="auto"/>
      <w:ind w:left="1135" w:hanging="284"/>
    </w:pPr>
    <w:rPr>
      <w:sz w:val="24"/>
    </w:rPr>
  </w:style>
  <w:style w:type="paragraph" w:customStyle="1" w:styleId="Rom2">
    <w:name w:val="Rom2"/>
    <w:basedOn w:val="Normal"/>
    <w:rsid w:val="00AC35A2"/>
    <w:pPr>
      <w:numPr>
        <w:numId w:val="4"/>
      </w:numPr>
      <w:tabs>
        <w:tab w:val="clear" w:pos="2160"/>
      </w:tabs>
      <w:suppressAutoHyphens w:val="0"/>
      <w:spacing w:after="240" w:line="240" w:lineRule="auto"/>
      <w:ind w:left="1702" w:hanging="284"/>
    </w:pPr>
    <w:rPr>
      <w:sz w:val="24"/>
    </w:rPr>
  </w:style>
  <w:style w:type="paragraph" w:customStyle="1" w:styleId="ParaNo">
    <w:name w:val="ParaNo."/>
    <w:basedOn w:val="Normal"/>
    <w:rsid w:val="00AC35A2"/>
    <w:pPr>
      <w:numPr>
        <w:numId w:val="13"/>
      </w:numPr>
      <w:tabs>
        <w:tab w:val="clear" w:pos="360"/>
      </w:tabs>
      <w:suppressAutoHyphens w:val="0"/>
      <w:spacing w:after="240" w:line="240" w:lineRule="auto"/>
      <w:ind w:left="0" w:firstLine="0"/>
    </w:pPr>
    <w:rPr>
      <w:sz w:val="24"/>
    </w:rPr>
  </w:style>
  <w:style w:type="character" w:customStyle="1" w:styleId="EndnoteTextChar">
    <w:name w:val="Endnote Text Char"/>
    <w:aliases w:val="2_G Char"/>
    <w:link w:val="EndnoteText"/>
    <w:rsid w:val="00AC35A2"/>
    <w:rPr>
      <w:sz w:val="18"/>
      <w:lang w:eastAsia="en-US"/>
    </w:rPr>
  </w:style>
  <w:style w:type="paragraph" w:styleId="PlainText">
    <w:name w:val="Plain Text"/>
    <w:basedOn w:val="Normal"/>
    <w:link w:val="PlainTextChar"/>
    <w:rsid w:val="00AC35A2"/>
    <w:pPr>
      <w:suppressAutoHyphens w:val="0"/>
      <w:spacing w:after="240" w:line="240" w:lineRule="auto"/>
    </w:pPr>
    <w:rPr>
      <w:sz w:val="24"/>
    </w:rPr>
  </w:style>
  <w:style w:type="character" w:customStyle="1" w:styleId="PlainTextChar">
    <w:name w:val="Plain Text Char"/>
    <w:link w:val="PlainText"/>
    <w:rsid w:val="00AC35A2"/>
    <w:rPr>
      <w:rFonts w:cs="Courier New"/>
      <w:sz w:val="24"/>
      <w:lang w:eastAsia="en-US"/>
    </w:rPr>
  </w:style>
  <w:style w:type="paragraph" w:styleId="BodyTextIndent">
    <w:name w:val="Body Text Indent"/>
    <w:basedOn w:val="Normal"/>
    <w:next w:val="Normal"/>
    <w:link w:val="BodyTextIndentChar"/>
    <w:rsid w:val="00AC35A2"/>
    <w:pPr>
      <w:suppressAutoHyphens w:val="0"/>
      <w:spacing w:after="240" w:line="240" w:lineRule="auto"/>
      <w:ind w:left="567"/>
    </w:pPr>
    <w:rPr>
      <w:sz w:val="24"/>
    </w:rPr>
  </w:style>
  <w:style w:type="character" w:customStyle="1" w:styleId="BodyTextIndentChar">
    <w:name w:val="Body Text Indent Char"/>
    <w:link w:val="BodyTextIndent"/>
    <w:rsid w:val="00AC35A2"/>
    <w:rPr>
      <w:sz w:val="24"/>
      <w:lang w:eastAsia="en-US"/>
    </w:rPr>
  </w:style>
  <w:style w:type="paragraph" w:styleId="BodyTextIndent2">
    <w:name w:val="Body Text Indent 2"/>
    <w:basedOn w:val="Normal"/>
    <w:next w:val="Normal"/>
    <w:link w:val="BodyTextIndent2Char"/>
    <w:rsid w:val="00AC35A2"/>
    <w:pPr>
      <w:suppressAutoHyphens w:val="0"/>
      <w:spacing w:after="240" w:line="240" w:lineRule="auto"/>
    </w:pPr>
    <w:rPr>
      <w:sz w:val="24"/>
    </w:rPr>
  </w:style>
  <w:style w:type="character" w:customStyle="1" w:styleId="BodyTextIndent2Char">
    <w:name w:val="Body Text Indent 2 Char"/>
    <w:link w:val="BodyTextIndent2"/>
    <w:rsid w:val="00AC35A2"/>
    <w:rPr>
      <w:sz w:val="24"/>
      <w:lang w:eastAsia="en-US"/>
    </w:rPr>
  </w:style>
  <w:style w:type="paragraph" w:styleId="BlockText">
    <w:name w:val="Block Text"/>
    <w:basedOn w:val="Normal"/>
    <w:next w:val="Normal"/>
    <w:rsid w:val="00AC35A2"/>
    <w:pPr>
      <w:suppressAutoHyphens w:val="0"/>
      <w:spacing w:after="240" w:line="240" w:lineRule="auto"/>
    </w:pPr>
    <w:rPr>
      <w:sz w:val="24"/>
    </w:rPr>
  </w:style>
  <w:style w:type="paragraph" w:styleId="BodyText">
    <w:name w:val="Body Text"/>
    <w:basedOn w:val="Normal"/>
    <w:next w:val="Normal"/>
    <w:link w:val="BodyTextChar"/>
    <w:rsid w:val="00AC35A2"/>
    <w:pPr>
      <w:suppressAutoHyphens w:val="0"/>
      <w:spacing w:after="240" w:line="240" w:lineRule="auto"/>
    </w:pPr>
    <w:rPr>
      <w:sz w:val="24"/>
    </w:rPr>
  </w:style>
  <w:style w:type="character" w:customStyle="1" w:styleId="BodyTextChar">
    <w:name w:val="Body Text Char"/>
    <w:link w:val="BodyText"/>
    <w:rsid w:val="00AC35A2"/>
    <w:rPr>
      <w:sz w:val="24"/>
      <w:lang w:eastAsia="en-US"/>
    </w:rPr>
  </w:style>
  <w:style w:type="paragraph" w:styleId="BodyText2">
    <w:name w:val="Body Text 2"/>
    <w:basedOn w:val="Normal"/>
    <w:next w:val="Normal"/>
    <w:link w:val="BodyText2Char"/>
    <w:rsid w:val="00AC35A2"/>
    <w:pPr>
      <w:suppressAutoHyphens w:val="0"/>
      <w:spacing w:after="240" w:line="240" w:lineRule="auto"/>
    </w:pPr>
    <w:rPr>
      <w:sz w:val="24"/>
    </w:rPr>
  </w:style>
  <w:style w:type="character" w:customStyle="1" w:styleId="BodyText2Char">
    <w:name w:val="Body Text 2 Char"/>
    <w:link w:val="BodyText2"/>
    <w:rsid w:val="00AC35A2"/>
    <w:rPr>
      <w:sz w:val="24"/>
      <w:lang w:eastAsia="en-US"/>
    </w:rPr>
  </w:style>
  <w:style w:type="paragraph" w:styleId="BodyText3">
    <w:name w:val="Body Text 3"/>
    <w:basedOn w:val="Normal"/>
    <w:next w:val="Normal"/>
    <w:link w:val="BodyText3Char"/>
    <w:rsid w:val="00AC35A2"/>
    <w:pPr>
      <w:suppressAutoHyphens w:val="0"/>
      <w:spacing w:after="240" w:line="240" w:lineRule="auto"/>
    </w:pPr>
    <w:rPr>
      <w:sz w:val="24"/>
      <w:szCs w:val="16"/>
    </w:rPr>
  </w:style>
  <w:style w:type="character" w:customStyle="1" w:styleId="BodyText3Char">
    <w:name w:val="Body Text 3 Char"/>
    <w:link w:val="BodyText3"/>
    <w:rsid w:val="00AC35A2"/>
    <w:rPr>
      <w:sz w:val="24"/>
      <w:szCs w:val="16"/>
      <w:lang w:eastAsia="en-US"/>
    </w:rPr>
  </w:style>
  <w:style w:type="paragraph" w:styleId="BodyTextFirstIndent">
    <w:name w:val="Body Text First Indent"/>
    <w:basedOn w:val="Normal"/>
    <w:next w:val="Normal"/>
    <w:link w:val="BodyTextFirstIndentChar"/>
    <w:rsid w:val="00AC35A2"/>
    <w:pPr>
      <w:suppressAutoHyphens w:val="0"/>
      <w:spacing w:after="240" w:line="240" w:lineRule="auto"/>
    </w:pPr>
    <w:rPr>
      <w:sz w:val="24"/>
    </w:rPr>
  </w:style>
  <w:style w:type="character" w:customStyle="1" w:styleId="BodyTextFirstIndentChar">
    <w:name w:val="Body Text First Indent Char"/>
    <w:basedOn w:val="BodyTextChar"/>
    <w:link w:val="BodyTextFirstIndent"/>
    <w:rsid w:val="00AC35A2"/>
    <w:rPr>
      <w:sz w:val="24"/>
      <w:lang w:eastAsia="en-US"/>
    </w:rPr>
  </w:style>
  <w:style w:type="paragraph" w:styleId="BodyTextFirstIndent2">
    <w:name w:val="Body Text First Indent 2"/>
    <w:basedOn w:val="Normal"/>
    <w:next w:val="Normal"/>
    <w:link w:val="BodyTextFirstIndent2Char"/>
    <w:rsid w:val="00AC35A2"/>
    <w:pPr>
      <w:suppressAutoHyphens w:val="0"/>
      <w:spacing w:after="240" w:line="240" w:lineRule="auto"/>
    </w:pPr>
    <w:rPr>
      <w:sz w:val="24"/>
    </w:rPr>
  </w:style>
  <w:style w:type="character" w:customStyle="1" w:styleId="BodyTextFirstIndent2Char">
    <w:name w:val="Body Text First Indent 2 Char"/>
    <w:basedOn w:val="BodyTextIndentChar"/>
    <w:link w:val="BodyTextFirstIndent2"/>
    <w:rsid w:val="00AC35A2"/>
    <w:rPr>
      <w:sz w:val="24"/>
      <w:lang w:eastAsia="en-US"/>
    </w:rPr>
  </w:style>
  <w:style w:type="paragraph" w:customStyle="1" w:styleId="Dash">
    <w:name w:val="Dash"/>
    <w:basedOn w:val="Normal"/>
    <w:rsid w:val="00AC35A2"/>
    <w:pPr>
      <w:numPr>
        <w:numId w:val="33"/>
      </w:numPr>
      <w:suppressAutoHyphens w:val="0"/>
      <w:adjustRightInd w:val="0"/>
      <w:snapToGrid w:val="0"/>
      <w:spacing w:after="240" w:line="240" w:lineRule="auto"/>
    </w:pPr>
    <w:rPr>
      <w:sz w:val="24"/>
    </w:rPr>
  </w:style>
  <w:style w:type="paragraph" w:styleId="BodyTextIndent3">
    <w:name w:val="Body Text Indent 3"/>
    <w:basedOn w:val="Normal"/>
    <w:next w:val="Normal"/>
    <w:link w:val="BodyTextIndent3Char"/>
    <w:rsid w:val="00AC35A2"/>
    <w:pPr>
      <w:suppressAutoHyphens w:val="0"/>
      <w:spacing w:after="240" w:line="240" w:lineRule="auto"/>
    </w:pPr>
    <w:rPr>
      <w:sz w:val="24"/>
      <w:szCs w:val="16"/>
    </w:rPr>
  </w:style>
  <w:style w:type="character" w:customStyle="1" w:styleId="BodyTextIndent3Char">
    <w:name w:val="Body Text Indent 3 Char"/>
    <w:link w:val="BodyTextIndent3"/>
    <w:rsid w:val="00AC35A2"/>
    <w:rPr>
      <w:sz w:val="24"/>
      <w:szCs w:val="16"/>
      <w:lang w:eastAsia="en-US"/>
    </w:rPr>
  </w:style>
  <w:style w:type="paragraph" w:customStyle="1" w:styleId="Bullet">
    <w:name w:val="Bullet"/>
    <w:basedOn w:val="Normal"/>
    <w:rsid w:val="00AC35A2"/>
    <w:pPr>
      <w:numPr>
        <w:numId w:val="34"/>
      </w:numPr>
      <w:suppressAutoHyphens w:val="0"/>
      <w:spacing w:after="240" w:line="240" w:lineRule="auto"/>
    </w:pPr>
    <w:rPr>
      <w:sz w:val="24"/>
    </w:rPr>
  </w:style>
  <w:style w:type="paragraph" w:customStyle="1" w:styleId="ParaNo0">
    <w:name w:val="(ParaNo.)"/>
    <w:basedOn w:val="Normal"/>
    <w:rsid w:val="00AC35A2"/>
    <w:pPr>
      <w:tabs>
        <w:tab w:val="num" w:pos="720"/>
      </w:tabs>
      <w:suppressAutoHyphens w:val="0"/>
      <w:spacing w:after="240" w:line="240" w:lineRule="auto"/>
      <w:ind w:left="720" w:hanging="720"/>
    </w:pPr>
    <w:rPr>
      <w:sz w:val="24"/>
    </w:rPr>
  </w:style>
  <w:style w:type="paragraph" w:customStyle="1" w:styleId="tekstaspagrindinis">
    <w:name w:val="tekstaspagrindinis"/>
    <w:basedOn w:val="Normal"/>
    <w:rsid w:val="00AC35A2"/>
    <w:pPr>
      <w:suppressAutoHyphens w:val="0"/>
      <w:spacing w:line="240" w:lineRule="auto"/>
      <w:ind w:firstLine="313"/>
      <w:jc w:val="both"/>
    </w:pPr>
    <w:rPr>
      <w:rFonts w:ascii="Tahoma" w:hAnsi="Tahoma" w:cs="Tahoma"/>
      <w:lang w:val="en-US"/>
    </w:rPr>
  </w:style>
  <w:style w:type="paragraph" w:styleId="ListParagraph">
    <w:name w:val="List Paragraph"/>
    <w:basedOn w:val="Normal"/>
    <w:qFormat/>
    <w:rsid w:val="00AC35A2"/>
    <w:pPr>
      <w:suppressAutoHyphens w:val="0"/>
      <w:spacing w:line="240" w:lineRule="auto"/>
      <w:ind w:left="1296"/>
    </w:pPr>
    <w:rPr>
      <w:sz w:val="24"/>
      <w:szCs w:val="24"/>
      <w:lang w:val="lt-LT" w:eastAsia="lt-LT"/>
    </w:rPr>
  </w:style>
  <w:style w:type="paragraph" w:styleId="Revision">
    <w:name w:val="Revision"/>
    <w:hidden/>
    <w:uiPriority w:val="99"/>
    <w:semiHidden/>
    <w:rsid w:val="00AC35A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8</Pages>
  <Words>9890</Words>
  <Characters>56375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66133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2014-05-01T09:29:00Z</cp:lastPrinted>
  <dcterms:created xsi:type="dcterms:W3CDTF">2017-01-24T23:03:00Z</dcterms:created>
  <dcterms:modified xsi:type="dcterms:W3CDTF">2017-01-24T23:03:00Z</dcterms:modified>
</cp:coreProperties>
</file>