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0E3598" w:rsidP="0069433D">
            <w:pPr>
              <w:jc w:val="right"/>
            </w:pPr>
            <w:r w:rsidRPr="000E3598">
              <w:rPr>
                <w:sz w:val="40"/>
              </w:rPr>
              <w:t>CCPR</w:t>
            </w:r>
            <w:r>
              <w:t>/C/10</w:t>
            </w:r>
            <w:r w:rsidR="00E44A3A">
              <w:t>7</w:t>
            </w:r>
            <w:r w:rsidR="00560650">
              <w:t>/D/</w:t>
            </w:r>
            <w:r w:rsidR="00531FDA">
              <w:t>1911/2009</w:t>
            </w:r>
          </w:p>
        </w:tc>
      </w:tr>
      <w:tr w:rsidR="00B56E9C">
        <w:trPr>
          <w:cantSplit/>
          <w:trHeight w:hRule="exact" w:val="2835"/>
        </w:trPr>
        <w:tc>
          <w:tcPr>
            <w:tcW w:w="1276" w:type="dxa"/>
            <w:tcBorders>
              <w:top w:val="single" w:sz="4" w:space="0" w:color="auto"/>
              <w:bottom w:val="single" w:sz="12" w:space="0" w:color="auto"/>
            </w:tcBorders>
          </w:tcPr>
          <w:p w:rsidR="00B56E9C" w:rsidRDefault="00A27FF8"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27113E" w:rsidRDefault="000E3598" w:rsidP="0027113E">
            <w:pPr>
              <w:spacing w:before="240" w:line="240" w:lineRule="exact"/>
            </w:pPr>
            <w:r>
              <w:t xml:space="preserve">Distr.: </w:t>
            </w:r>
            <w:r w:rsidR="0069433D">
              <w:t>General</w:t>
            </w:r>
          </w:p>
          <w:p w:rsidR="000E3598" w:rsidRDefault="00F42170" w:rsidP="000E3598">
            <w:pPr>
              <w:spacing w:line="240" w:lineRule="exact"/>
            </w:pPr>
            <w:r>
              <w:t xml:space="preserve">23 </w:t>
            </w:r>
            <w:r w:rsidR="000A057A">
              <w:t>May</w:t>
            </w:r>
            <w:r w:rsidR="00CB05C3">
              <w:t xml:space="preserve"> 2013</w:t>
            </w:r>
          </w:p>
          <w:p w:rsidR="000E3598" w:rsidRDefault="000E3598" w:rsidP="000E3598">
            <w:pPr>
              <w:spacing w:line="240" w:lineRule="exact"/>
            </w:pPr>
          </w:p>
          <w:p w:rsidR="00B56E9C" w:rsidRDefault="000E3598" w:rsidP="000E3598">
            <w:pPr>
              <w:spacing w:line="240" w:lineRule="exact"/>
            </w:pPr>
            <w:r>
              <w:t>Original: English</w:t>
            </w:r>
          </w:p>
          <w:p w:rsidR="00824919" w:rsidRDefault="00824919" w:rsidP="000E3598">
            <w:pPr>
              <w:spacing w:line="240" w:lineRule="exact"/>
            </w:pPr>
          </w:p>
          <w:p w:rsidR="00824919" w:rsidRPr="00791D6B" w:rsidRDefault="00824919" w:rsidP="000E3598">
            <w:pPr>
              <w:spacing w:line="240" w:lineRule="exact"/>
              <w:rPr>
                <w:b/>
              </w:rPr>
            </w:pPr>
          </w:p>
        </w:tc>
      </w:tr>
    </w:tbl>
    <w:p w:rsidR="00A5368D" w:rsidRPr="000B2AB3" w:rsidRDefault="00A5368D" w:rsidP="00A5368D">
      <w:pPr>
        <w:spacing w:before="120"/>
        <w:rPr>
          <w:b/>
          <w:sz w:val="24"/>
          <w:szCs w:val="24"/>
        </w:rPr>
      </w:pPr>
      <w:r w:rsidRPr="000B2AB3">
        <w:rPr>
          <w:b/>
          <w:sz w:val="24"/>
          <w:szCs w:val="24"/>
        </w:rPr>
        <w:t>Human Rights Committee</w:t>
      </w:r>
    </w:p>
    <w:p w:rsidR="00A5368D" w:rsidRPr="0027113E" w:rsidRDefault="0027113E" w:rsidP="0027113E">
      <w:pPr>
        <w:pStyle w:val="HChG"/>
      </w:pPr>
      <w:r>
        <w:tab/>
      </w:r>
      <w:r>
        <w:tab/>
      </w:r>
      <w:r w:rsidR="00A5368D" w:rsidRPr="0027113E">
        <w:t>Communication No.</w:t>
      </w:r>
      <w:r w:rsidR="00A12D4A" w:rsidRPr="0027113E">
        <w:t xml:space="preserve"> </w:t>
      </w:r>
      <w:r w:rsidR="00D2501F">
        <w:t>1911</w:t>
      </w:r>
      <w:r w:rsidR="00E44A3A">
        <w:t>/2009</w:t>
      </w:r>
    </w:p>
    <w:p w:rsidR="00A5368D" w:rsidRPr="0027113E" w:rsidRDefault="0027113E" w:rsidP="0027113E">
      <w:pPr>
        <w:pStyle w:val="H1G"/>
      </w:pPr>
      <w:r>
        <w:tab/>
      </w:r>
      <w:r>
        <w:tab/>
      </w:r>
      <w:r w:rsidR="0069433D" w:rsidRPr="0069433D">
        <w:t xml:space="preserve"> </w:t>
      </w:r>
      <w:r w:rsidR="0069433D">
        <w:t>Decision adopted by the Committee at its 107</w:t>
      </w:r>
      <w:r w:rsidR="000A057A">
        <w:t>th</w:t>
      </w:r>
      <w:r w:rsidR="0069433D">
        <w:t xml:space="preserve"> session (11</w:t>
      </w:r>
      <w:r w:rsidR="000A057A">
        <w:t>–</w:t>
      </w:r>
      <w:r w:rsidR="0069433D">
        <w:t>28 March 2013)</w:t>
      </w:r>
    </w:p>
    <w:p w:rsidR="00A5368D" w:rsidRPr="00A5368D" w:rsidRDefault="00A5368D" w:rsidP="00A5368D">
      <w:pPr>
        <w:spacing w:after="120"/>
        <w:ind w:left="4536" w:right="1134" w:hanging="3402"/>
        <w:jc w:val="both"/>
        <w:rPr>
          <w:rStyle w:val="SingleTxtGChar"/>
        </w:rPr>
      </w:pPr>
      <w:r w:rsidRPr="00052009">
        <w:rPr>
          <w:rFonts w:eastAsia="Calibri"/>
          <w:i/>
        </w:rPr>
        <w:t>Submitted by:</w:t>
      </w:r>
      <w:r w:rsidRPr="00A5368D">
        <w:rPr>
          <w:rFonts w:eastAsia="Calibri"/>
          <w:sz w:val="24"/>
          <w:szCs w:val="24"/>
        </w:rPr>
        <w:tab/>
      </w:r>
      <w:r w:rsidR="00D2501F">
        <w:rPr>
          <w:rFonts w:eastAsia="Calibri"/>
        </w:rPr>
        <w:t>T</w:t>
      </w:r>
      <w:r w:rsidR="000E0DD6">
        <w:rPr>
          <w:rFonts w:eastAsia="Calibri"/>
        </w:rPr>
        <w:t>.</w:t>
      </w:r>
      <w:r w:rsidR="00D2501F">
        <w:rPr>
          <w:rFonts w:eastAsia="Calibri"/>
        </w:rPr>
        <w:t>J</w:t>
      </w:r>
      <w:r w:rsidR="000E0DD6">
        <w:rPr>
          <w:rFonts w:eastAsia="Calibri"/>
        </w:rPr>
        <w:t>.</w:t>
      </w:r>
      <w:r w:rsidR="00637642">
        <w:rPr>
          <w:rFonts w:eastAsia="Calibri"/>
        </w:rPr>
        <w:t xml:space="preserve"> (not represented by counsel)</w:t>
      </w:r>
    </w:p>
    <w:p w:rsidR="00A5368D" w:rsidRPr="0029008E" w:rsidRDefault="00A5368D" w:rsidP="00A5368D">
      <w:pPr>
        <w:spacing w:after="120"/>
        <w:ind w:left="4536" w:right="1134" w:hanging="3402"/>
        <w:jc w:val="both"/>
        <w:rPr>
          <w:rStyle w:val="SingleTxtGChar"/>
        </w:rPr>
      </w:pPr>
      <w:r w:rsidRPr="00052009">
        <w:rPr>
          <w:rFonts w:eastAsia="Calibri"/>
          <w:i/>
        </w:rPr>
        <w:t>Alleged victim:</w:t>
      </w:r>
      <w:r w:rsidRPr="00A5368D">
        <w:rPr>
          <w:rFonts w:eastAsia="Calibri"/>
          <w:sz w:val="24"/>
          <w:szCs w:val="24"/>
        </w:rPr>
        <w:tab/>
      </w:r>
      <w:r w:rsidR="00637642">
        <w:rPr>
          <w:rFonts w:eastAsia="Calibri"/>
        </w:rPr>
        <w:t xml:space="preserve">The </w:t>
      </w:r>
      <w:r w:rsidR="005C5950">
        <w:rPr>
          <w:rFonts w:eastAsia="Calibri"/>
        </w:rPr>
        <w:t>author</w:t>
      </w:r>
    </w:p>
    <w:p w:rsidR="00A5368D" w:rsidRPr="0029008E" w:rsidRDefault="00A5368D" w:rsidP="00A5368D">
      <w:pPr>
        <w:spacing w:after="120"/>
        <w:ind w:left="4536" w:right="1134" w:hanging="3402"/>
        <w:jc w:val="both"/>
        <w:rPr>
          <w:rStyle w:val="SingleTxtGChar"/>
        </w:rPr>
      </w:pPr>
      <w:r w:rsidRPr="00052009">
        <w:rPr>
          <w:rFonts w:eastAsia="Calibri"/>
          <w:i/>
        </w:rPr>
        <w:t>State party:</w:t>
      </w:r>
      <w:r w:rsidRPr="00A5368D">
        <w:rPr>
          <w:rFonts w:eastAsia="Calibri"/>
          <w:sz w:val="24"/>
          <w:szCs w:val="24"/>
        </w:rPr>
        <w:tab/>
      </w:r>
      <w:smartTag w:uri="urn:schemas-microsoft-com:office:smarttags" w:element="place">
        <w:smartTag w:uri="urn:schemas-microsoft-com:office:smarttags" w:element="country-region">
          <w:r w:rsidR="0073384D">
            <w:rPr>
              <w:rFonts w:eastAsia="Calibri"/>
            </w:rPr>
            <w:t>Lith</w:t>
          </w:r>
          <w:r w:rsidR="00D2501F">
            <w:rPr>
              <w:rFonts w:eastAsia="Calibri"/>
            </w:rPr>
            <w:t>uania</w:t>
          </w:r>
        </w:smartTag>
      </w:smartTag>
    </w:p>
    <w:p w:rsidR="00A5368D" w:rsidRPr="00A5368D" w:rsidRDefault="00A5368D" w:rsidP="00A5368D">
      <w:pPr>
        <w:spacing w:after="120"/>
        <w:ind w:left="4536" w:right="1134" w:hanging="3402"/>
        <w:jc w:val="both"/>
        <w:rPr>
          <w:rStyle w:val="SingleTxtGChar"/>
        </w:rPr>
      </w:pPr>
      <w:r w:rsidRPr="00052009">
        <w:rPr>
          <w:rFonts w:eastAsia="Calibri"/>
          <w:i/>
        </w:rPr>
        <w:t>Date of communication:</w:t>
      </w:r>
      <w:r w:rsidRPr="00A5368D">
        <w:rPr>
          <w:rFonts w:eastAsia="Calibri"/>
          <w:sz w:val="24"/>
          <w:szCs w:val="24"/>
        </w:rPr>
        <w:tab/>
      </w:r>
      <w:r w:rsidR="00D2501F">
        <w:rPr>
          <w:rStyle w:val="SingleTxtGChar"/>
        </w:rPr>
        <w:t>12 September 2009</w:t>
      </w:r>
      <w:r w:rsidRPr="00A5368D">
        <w:rPr>
          <w:rStyle w:val="SingleTxtGChar"/>
        </w:rPr>
        <w:t xml:space="preserve"> (initial submission)</w:t>
      </w:r>
    </w:p>
    <w:p w:rsidR="00A5368D" w:rsidRPr="00A5368D" w:rsidRDefault="00A5368D" w:rsidP="00A5368D">
      <w:pPr>
        <w:spacing w:after="120"/>
        <w:ind w:left="4536" w:right="1134" w:hanging="3402"/>
        <w:jc w:val="both"/>
        <w:rPr>
          <w:rStyle w:val="SingleTxtGChar"/>
        </w:rPr>
      </w:pPr>
      <w:r w:rsidRPr="00052009">
        <w:rPr>
          <w:rFonts w:eastAsia="Calibri"/>
          <w:i/>
        </w:rPr>
        <w:t>Document references:</w:t>
      </w:r>
      <w:r w:rsidRPr="00A5368D">
        <w:rPr>
          <w:rFonts w:eastAsia="Calibri"/>
          <w:sz w:val="24"/>
          <w:szCs w:val="24"/>
        </w:rPr>
        <w:tab/>
      </w:r>
      <w:r w:rsidRPr="00A5368D">
        <w:rPr>
          <w:rStyle w:val="SingleTxtGChar"/>
        </w:rPr>
        <w:t xml:space="preserve">Special Rapporteur’s rule 97 decision, transmitted to the State party on </w:t>
      </w:r>
      <w:r w:rsidR="00D2501F">
        <w:rPr>
          <w:rStyle w:val="SingleTxtGChar"/>
        </w:rPr>
        <w:t>2 November</w:t>
      </w:r>
      <w:r w:rsidR="005C5950">
        <w:rPr>
          <w:rStyle w:val="SingleTxtGChar"/>
        </w:rPr>
        <w:t xml:space="preserve"> 2009</w:t>
      </w:r>
      <w:r w:rsidRPr="00A5368D">
        <w:rPr>
          <w:rStyle w:val="SingleTxtGChar"/>
        </w:rPr>
        <w:t xml:space="preserve"> (not issued in document form)</w:t>
      </w:r>
    </w:p>
    <w:p w:rsidR="00A5368D" w:rsidRPr="00A5368D" w:rsidRDefault="00A5368D" w:rsidP="00A5368D">
      <w:pPr>
        <w:spacing w:after="120"/>
        <w:ind w:left="4536" w:right="1134" w:hanging="3402"/>
        <w:jc w:val="both"/>
        <w:rPr>
          <w:rStyle w:val="SingleTxtGChar"/>
        </w:rPr>
      </w:pPr>
      <w:r w:rsidRPr="00052009">
        <w:rPr>
          <w:rFonts w:eastAsia="Calibri"/>
          <w:i/>
        </w:rPr>
        <w:t xml:space="preserve">Date of adoption of </w:t>
      </w:r>
      <w:r w:rsidR="00362FB2">
        <w:rPr>
          <w:rFonts w:eastAsia="Calibri"/>
          <w:i/>
        </w:rPr>
        <w:t>d</w:t>
      </w:r>
      <w:r w:rsidR="00C43917">
        <w:rPr>
          <w:rFonts w:eastAsia="Calibri"/>
          <w:i/>
        </w:rPr>
        <w:t>ecision</w:t>
      </w:r>
      <w:r w:rsidRPr="00052009">
        <w:rPr>
          <w:rFonts w:eastAsia="Calibri"/>
          <w:i/>
        </w:rPr>
        <w:t>:</w:t>
      </w:r>
      <w:r w:rsidRPr="00A5368D">
        <w:rPr>
          <w:rFonts w:eastAsia="Calibri"/>
          <w:sz w:val="24"/>
          <w:szCs w:val="24"/>
        </w:rPr>
        <w:tab/>
      </w:r>
      <w:r w:rsidR="0069433D" w:rsidRPr="00791D6B">
        <w:rPr>
          <w:rFonts w:eastAsia="Calibri"/>
        </w:rPr>
        <w:t>25</w:t>
      </w:r>
      <w:r w:rsidR="0069433D">
        <w:rPr>
          <w:rFonts w:eastAsia="Calibri"/>
          <w:sz w:val="24"/>
          <w:szCs w:val="24"/>
        </w:rPr>
        <w:t xml:space="preserve"> </w:t>
      </w:r>
      <w:r w:rsidR="005C5950">
        <w:rPr>
          <w:rFonts w:eastAsia="Calibri"/>
        </w:rPr>
        <w:t>March</w:t>
      </w:r>
      <w:r w:rsidR="00A12D4A" w:rsidRPr="00A12D4A">
        <w:rPr>
          <w:rFonts w:eastAsia="Calibri"/>
        </w:rPr>
        <w:t xml:space="preserve"> </w:t>
      </w:r>
      <w:r w:rsidR="005C5950">
        <w:rPr>
          <w:rStyle w:val="SingleTxtGChar"/>
        </w:rPr>
        <w:t>2013</w:t>
      </w:r>
    </w:p>
    <w:p w:rsidR="00A5368D" w:rsidRPr="00A12D4A" w:rsidRDefault="0027113E" w:rsidP="00A5368D">
      <w:pPr>
        <w:spacing w:after="120"/>
        <w:ind w:left="4536" w:right="1134" w:hanging="3402"/>
        <w:jc w:val="both"/>
        <w:rPr>
          <w:rStyle w:val="SingleTxtGChar"/>
        </w:rPr>
      </w:pPr>
      <w:r>
        <w:rPr>
          <w:rFonts w:eastAsia="Calibri"/>
          <w:i/>
        </w:rPr>
        <w:t>Subject matter:</w:t>
      </w:r>
      <w:r w:rsidR="00A5368D" w:rsidRPr="00A5368D">
        <w:rPr>
          <w:rFonts w:eastAsia="Calibri"/>
          <w:i/>
          <w:sz w:val="24"/>
          <w:szCs w:val="24"/>
        </w:rPr>
        <w:tab/>
      </w:r>
      <w:r w:rsidR="00A8190F" w:rsidRPr="00A8190F">
        <w:rPr>
          <w:rFonts w:eastAsia="Calibri"/>
        </w:rPr>
        <w:t>Undue delay</w:t>
      </w:r>
    </w:p>
    <w:p w:rsidR="00A12D4A" w:rsidRPr="00F3665B" w:rsidRDefault="00A5368D" w:rsidP="00A5368D">
      <w:pPr>
        <w:spacing w:after="120"/>
        <w:ind w:left="4536" w:right="1134" w:hanging="3402"/>
        <w:jc w:val="both"/>
        <w:rPr>
          <w:rFonts w:eastAsia="Calibri"/>
        </w:rPr>
      </w:pPr>
      <w:r w:rsidRPr="00052009">
        <w:rPr>
          <w:rFonts w:eastAsia="Calibri"/>
          <w:i/>
        </w:rPr>
        <w:t>Substantive issues:</w:t>
      </w:r>
      <w:r w:rsidRPr="00A5368D">
        <w:rPr>
          <w:rFonts w:eastAsia="Calibri"/>
          <w:i/>
          <w:sz w:val="24"/>
          <w:szCs w:val="24"/>
        </w:rPr>
        <w:tab/>
      </w:r>
      <w:r w:rsidR="00D2501F">
        <w:rPr>
          <w:rFonts w:eastAsia="Calibri"/>
        </w:rPr>
        <w:t>Length</w:t>
      </w:r>
      <w:r w:rsidR="005369DA">
        <w:rPr>
          <w:rFonts w:eastAsia="Calibri"/>
        </w:rPr>
        <w:t xml:space="preserve"> </w:t>
      </w:r>
      <w:r w:rsidR="00D2501F">
        <w:rPr>
          <w:rFonts w:eastAsia="Calibri"/>
        </w:rPr>
        <w:t>of</w:t>
      </w:r>
      <w:r w:rsidR="005369DA">
        <w:rPr>
          <w:rFonts w:eastAsia="Calibri"/>
        </w:rPr>
        <w:t xml:space="preserve"> </w:t>
      </w:r>
      <w:r w:rsidR="00D2501F">
        <w:rPr>
          <w:rFonts w:eastAsia="Calibri"/>
        </w:rPr>
        <w:t>proceedings during pretrial investigation</w:t>
      </w:r>
      <w:r w:rsidR="00A8190F">
        <w:rPr>
          <w:rFonts w:eastAsia="Calibri"/>
        </w:rPr>
        <w:t xml:space="preserve"> stages and</w:t>
      </w:r>
      <w:r w:rsidR="00D2501F">
        <w:rPr>
          <w:rFonts w:eastAsia="Calibri"/>
        </w:rPr>
        <w:t xml:space="preserve"> court</w:t>
      </w:r>
      <w:r w:rsidR="00A8190F">
        <w:rPr>
          <w:rFonts w:eastAsia="Calibri"/>
        </w:rPr>
        <w:t xml:space="preserve"> proceeding</w:t>
      </w:r>
      <w:r w:rsidR="00D2501F">
        <w:rPr>
          <w:rFonts w:eastAsia="Calibri"/>
        </w:rPr>
        <w:t>s</w:t>
      </w:r>
    </w:p>
    <w:p w:rsidR="00A5368D" w:rsidRPr="00A5368D" w:rsidRDefault="00A5368D" w:rsidP="00A5368D">
      <w:pPr>
        <w:spacing w:after="120"/>
        <w:ind w:left="4536" w:right="1134" w:hanging="3402"/>
        <w:jc w:val="both"/>
        <w:rPr>
          <w:rFonts w:eastAsia="Calibri"/>
          <w:sz w:val="24"/>
          <w:szCs w:val="24"/>
        </w:rPr>
      </w:pPr>
      <w:r w:rsidRPr="00052009">
        <w:rPr>
          <w:rFonts w:eastAsia="Calibri"/>
          <w:i/>
        </w:rPr>
        <w:t>Procedural issues:</w:t>
      </w:r>
      <w:r w:rsidRPr="00A5368D">
        <w:rPr>
          <w:rFonts w:eastAsia="Calibri"/>
          <w:i/>
          <w:sz w:val="24"/>
          <w:szCs w:val="24"/>
        </w:rPr>
        <w:tab/>
      </w:r>
      <w:r w:rsidR="00D2501F">
        <w:rPr>
          <w:rStyle w:val="SingleTxtGChar"/>
        </w:rPr>
        <w:t>Non-exhaustion of domestic remedies</w:t>
      </w:r>
    </w:p>
    <w:p w:rsidR="00A5368D" w:rsidRPr="00A5368D" w:rsidRDefault="00A5368D" w:rsidP="00A5368D">
      <w:pPr>
        <w:spacing w:after="120"/>
        <w:ind w:left="4536" w:right="1134" w:hanging="3402"/>
        <w:jc w:val="both"/>
        <w:rPr>
          <w:rStyle w:val="SingleTxtGChar"/>
        </w:rPr>
      </w:pPr>
      <w:r w:rsidRPr="00052009">
        <w:rPr>
          <w:rFonts w:eastAsia="Calibri"/>
          <w:i/>
        </w:rPr>
        <w:t>Article of the Covenant:</w:t>
      </w:r>
      <w:r w:rsidRPr="00A5368D">
        <w:rPr>
          <w:rFonts w:eastAsia="Calibri"/>
          <w:sz w:val="24"/>
          <w:szCs w:val="24"/>
        </w:rPr>
        <w:t xml:space="preserve"> </w:t>
      </w:r>
      <w:r w:rsidRPr="00A5368D">
        <w:rPr>
          <w:rFonts w:eastAsia="Calibri"/>
          <w:sz w:val="24"/>
          <w:szCs w:val="24"/>
        </w:rPr>
        <w:tab/>
      </w:r>
      <w:r w:rsidR="00D2501F">
        <w:rPr>
          <w:rFonts w:eastAsia="Calibri"/>
        </w:rPr>
        <w:t>14, paragraph 3</w:t>
      </w:r>
      <w:r w:rsidR="00E13C21">
        <w:rPr>
          <w:rFonts w:eastAsia="Calibri"/>
        </w:rPr>
        <w:t xml:space="preserve"> (c)</w:t>
      </w:r>
    </w:p>
    <w:p w:rsidR="00A5368D" w:rsidRDefault="00A5368D" w:rsidP="00A5368D">
      <w:pPr>
        <w:spacing w:after="120"/>
        <w:ind w:left="4536" w:right="1134" w:hanging="3402"/>
        <w:jc w:val="both"/>
        <w:rPr>
          <w:rStyle w:val="SingleTxtGChar"/>
        </w:rPr>
      </w:pPr>
      <w:r w:rsidRPr="00052009">
        <w:rPr>
          <w:rFonts w:eastAsia="Calibri"/>
          <w:i/>
        </w:rPr>
        <w:t>Article of the Optional Protocol:</w:t>
      </w:r>
      <w:r w:rsidRPr="00A5368D">
        <w:rPr>
          <w:rFonts w:eastAsia="Calibri"/>
          <w:i/>
          <w:sz w:val="24"/>
          <w:szCs w:val="24"/>
        </w:rPr>
        <w:t xml:space="preserve"> </w:t>
      </w:r>
      <w:r w:rsidRPr="00A5368D">
        <w:rPr>
          <w:rStyle w:val="SingleTxtGChar"/>
        </w:rPr>
        <w:tab/>
      </w:r>
      <w:r w:rsidR="00D2501F" w:rsidRPr="00A5368D">
        <w:rPr>
          <w:rStyle w:val="SingleTxtGChar"/>
        </w:rPr>
        <w:t>5, paragraph 2 (b)</w:t>
      </w:r>
    </w:p>
    <w:p w:rsidR="00A5368D" w:rsidRPr="0027113E" w:rsidRDefault="00A8029B" w:rsidP="0027113E">
      <w:pPr>
        <w:pStyle w:val="HChG"/>
      </w:pPr>
      <w:r>
        <w:rPr>
          <w:rFonts w:eastAsia="Calibri"/>
          <w:sz w:val="24"/>
          <w:szCs w:val="24"/>
        </w:rPr>
        <w:br w:type="page"/>
      </w:r>
      <w:r w:rsidR="00A5368D" w:rsidRPr="0027113E">
        <w:lastRenderedPageBreak/>
        <w:t>Annex</w:t>
      </w:r>
    </w:p>
    <w:p w:rsidR="00A5368D" w:rsidRPr="008D7960" w:rsidRDefault="00A5368D" w:rsidP="00A5368D">
      <w:pPr>
        <w:keepNext/>
        <w:keepLines/>
        <w:tabs>
          <w:tab w:val="right" w:pos="851"/>
        </w:tabs>
        <w:spacing w:before="360" w:after="240" w:line="300" w:lineRule="exact"/>
        <w:ind w:left="1134" w:right="1134" w:hanging="1134"/>
        <w:rPr>
          <w:b/>
          <w:sz w:val="28"/>
        </w:rPr>
      </w:pPr>
      <w:r w:rsidRPr="008D7960">
        <w:rPr>
          <w:b/>
          <w:sz w:val="28"/>
        </w:rPr>
        <w:tab/>
      </w:r>
      <w:r w:rsidRPr="008D7960">
        <w:rPr>
          <w:b/>
          <w:sz w:val="28"/>
        </w:rPr>
        <w:tab/>
      </w:r>
      <w:r w:rsidR="007416A3">
        <w:rPr>
          <w:b/>
          <w:sz w:val="28"/>
        </w:rPr>
        <w:t>Decision of</w:t>
      </w:r>
      <w:r w:rsidRPr="008D7960">
        <w:rPr>
          <w:b/>
          <w:sz w:val="28"/>
        </w:rPr>
        <w:t xml:space="preserve"> the Human Rights Committee under the Optional Protocol to the International Covenant on Civil and Political Rights (</w:t>
      </w:r>
      <w:r w:rsidR="00880BBE">
        <w:rPr>
          <w:b/>
          <w:sz w:val="28"/>
        </w:rPr>
        <w:t>107th</w:t>
      </w:r>
      <w:r w:rsidRPr="008D7960">
        <w:rPr>
          <w:b/>
          <w:sz w:val="28"/>
        </w:rPr>
        <w:t xml:space="preserve"> session)</w:t>
      </w:r>
    </w:p>
    <w:p w:rsidR="00A5368D" w:rsidRPr="0027113E" w:rsidRDefault="00A5368D" w:rsidP="00A5368D">
      <w:pPr>
        <w:pStyle w:val="SingleTxtG"/>
        <w:rPr>
          <w:rFonts w:eastAsia="Calibri"/>
        </w:rPr>
      </w:pPr>
      <w:r w:rsidRPr="0027113E">
        <w:rPr>
          <w:rFonts w:eastAsia="Calibri"/>
        </w:rPr>
        <w:t>concerning</w:t>
      </w:r>
    </w:p>
    <w:p w:rsidR="00A5368D" w:rsidRPr="00A5368D" w:rsidRDefault="00A5368D" w:rsidP="00A5368D">
      <w:pPr>
        <w:keepNext/>
        <w:keepLines/>
        <w:tabs>
          <w:tab w:val="right" w:pos="851"/>
        </w:tabs>
        <w:spacing w:before="360" w:after="240" w:line="270" w:lineRule="exact"/>
        <w:ind w:left="1134" w:right="1134" w:hanging="1134"/>
        <w:rPr>
          <w:rFonts w:eastAsia="Calibri"/>
          <w:b/>
          <w:sz w:val="24"/>
          <w:szCs w:val="24"/>
        </w:rPr>
      </w:pPr>
      <w:r w:rsidRPr="00A5368D">
        <w:rPr>
          <w:rFonts w:eastAsia="Calibri"/>
          <w:b/>
          <w:sz w:val="24"/>
          <w:szCs w:val="24"/>
        </w:rPr>
        <w:tab/>
      </w:r>
      <w:r w:rsidRPr="00A5368D">
        <w:rPr>
          <w:rFonts w:eastAsia="Calibri"/>
          <w:b/>
          <w:sz w:val="24"/>
          <w:szCs w:val="24"/>
        </w:rPr>
        <w:tab/>
        <w:t xml:space="preserve">Communication No. </w:t>
      </w:r>
      <w:r w:rsidR="00D2501F">
        <w:rPr>
          <w:rFonts w:eastAsia="Calibri"/>
          <w:b/>
          <w:sz w:val="24"/>
          <w:szCs w:val="24"/>
        </w:rPr>
        <w:t>1911</w:t>
      </w:r>
      <w:r w:rsidR="005C5950">
        <w:rPr>
          <w:rFonts w:eastAsia="Calibri"/>
          <w:b/>
          <w:sz w:val="24"/>
          <w:szCs w:val="24"/>
        </w:rPr>
        <w:t>/2009</w:t>
      </w:r>
      <w:r w:rsidR="00824919">
        <w:rPr>
          <w:rStyle w:val="FootnoteReference"/>
          <w:rFonts w:eastAsia="Calibri"/>
          <w:b/>
          <w:szCs w:val="24"/>
        </w:rPr>
        <w:footnoteReference w:customMarkFollows="1" w:id="2"/>
        <w:t>*</w:t>
      </w:r>
    </w:p>
    <w:p w:rsidR="0029008E" w:rsidRPr="00A5368D" w:rsidRDefault="00A5368D" w:rsidP="0029008E">
      <w:pPr>
        <w:spacing w:after="120"/>
        <w:ind w:left="4536" w:right="1134" w:hanging="3402"/>
        <w:jc w:val="both"/>
        <w:rPr>
          <w:rStyle w:val="SingleTxtGChar"/>
        </w:rPr>
      </w:pPr>
      <w:r w:rsidRPr="00052009">
        <w:rPr>
          <w:rFonts w:eastAsia="Calibri"/>
          <w:i/>
        </w:rPr>
        <w:t>Submitted by:</w:t>
      </w:r>
      <w:r w:rsidRPr="00A5368D">
        <w:rPr>
          <w:rFonts w:eastAsia="Calibri"/>
          <w:sz w:val="24"/>
          <w:szCs w:val="24"/>
        </w:rPr>
        <w:tab/>
      </w:r>
      <w:r w:rsidR="00D2501F">
        <w:rPr>
          <w:rFonts w:eastAsia="Calibri"/>
        </w:rPr>
        <w:t>T</w:t>
      </w:r>
      <w:r w:rsidR="000E0DD6">
        <w:rPr>
          <w:rFonts w:eastAsia="Calibri"/>
        </w:rPr>
        <w:t>.</w:t>
      </w:r>
      <w:r w:rsidR="00D2501F">
        <w:rPr>
          <w:rFonts w:eastAsia="Calibri"/>
        </w:rPr>
        <w:t>J</w:t>
      </w:r>
      <w:r w:rsidR="000E0DD6">
        <w:rPr>
          <w:rFonts w:eastAsia="Calibri"/>
        </w:rPr>
        <w:t>.</w:t>
      </w:r>
      <w:r w:rsidR="00637642">
        <w:rPr>
          <w:rFonts w:eastAsia="Calibri"/>
        </w:rPr>
        <w:t xml:space="preserve"> (not represented by counsel)</w:t>
      </w:r>
    </w:p>
    <w:p w:rsidR="0029008E" w:rsidRPr="0029008E" w:rsidRDefault="00A5368D" w:rsidP="0029008E">
      <w:pPr>
        <w:spacing w:after="120"/>
        <w:ind w:left="4536" w:right="1134" w:hanging="3402"/>
        <w:jc w:val="both"/>
        <w:rPr>
          <w:rStyle w:val="SingleTxtGChar"/>
        </w:rPr>
      </w:pPr>
      <w:r w:rsidRPr="00052009">
        <w:rPr>
          <w:rFonts w:eastAsia="Calibri"/>
          <w:i/>
        </w:rPr>
        <w:t>Alleged victim:</w:t>
      </w:r>
      <w:r w:rsidRPr="00A5368D">
        <w:rPr>
          <w:rFonts w:eastAsia="Calibri"/>
          <w:sz w:val="24"/>
          <w:szCs w:val="24"/>
        </w:rPr>
        <w:tab/>
      </w:r>
      <w:r w:rsidR="00637642" w:rsidRPr="0087119B">
        <w:rPr>
          <w:rFonts w:eastAsia="Calibri"/>
        </w:rPr>
        <w:t xml:space="preserve">The </w:t>
      </w:r>
      <w:r w:rsidR="0087119B" w:rsidRPr="0087119B">
        <w:rPr>
          <w:rFonts w:eastAsia="Calibri"/>
        </w:rPr>
        <w:t>author</w:t>
      </w:r>
    </w:p>
    <w:p w:rsidR="0087119B" w:rsidRDefault="00A5368D" w:rsidP="00A5368D">
      <w:pPr>
        <w:spacing w:after="120"/>
        <w:ind w:left="4536" w:right="1134" w:hanging="3402"/>
        <w:jc w:val="both"/>
        <w:rPr>
          <w:rFonts w:eastAsia="Calibri"/>
          <w:i/>
        </w:rPr>
      </w:pPr>
      <w:r w:rsidRPr="00052009">
        <w:rPr>
          <w:rFonts w:eastAsia="Calibri"/>
          <w:i/>
        </w:rPr>
        <w:t>State party:</w:t>
      </w:r>
      <w:r w:rsidRPr="00A5368D">
        <w:rPr>
          <w:rFonts w:eastAsia="Calibri"/>
          <w:sz w:val="24"/>
          <w:szCs w:val="24"/>
        </w:rPr>
        <w:tab/>
      </w:r>
      <w:smartTag w:uri="urn:schemas-microsoft-com:office:smarttags" w:element="place">
        <w:smartTag w:uri="urn:schemas-microsoft-com:office:smarttags" w:element="country-region">
          <w:r w:rsidR="00D2501F">
            <w:rPr>
              <w:rFonts w:eastAsia="Calibri"/>
            </w:rPr>
            <w:t>Lithuania</w:t>
          </w:r>
        </w:smartTag>
      </w:smartTag>
      <w:r w:rsidR="0087119B" w:rsidRPr="0087119B">
        <w:rPr>
          <w:rFonts w:eastAsia="Calibri"/>
          <w:i/>
        </w:rPr>
        <w:t xml:space="preserve"> </w:t>
      </w:r>
    </w:p>
    <w:p w:rsidR="00A5368D" w:rsidRPr="00A5368D" w:rsidRDefault="00A5368D" w:rsidP="00A5368D">
      <w:pPr>
        <w:spacing w:after="120"/>
        <w:ind w:left="4536" w:right="1134" w:hanging="3402"/>
        <w:jc w:val="both"/>
        <w:rPr>
          <w:rStyle w:val="SingleTxtGChar"/>
        </w:rPr>
      </w:pPr>
      <w:r w:rsidRPr="00052009">
        <w:rPr>
          <w:rFonts w:eastAsia="Calibri"/>
          <w:i/>
        </w:rPr>
        <w:t>Date of communication:</w:t>
      </w:r>
      <w:r w:rsidRPr="00A5368D">
        <w:rPr>
          <w:rFonts w:eastAsia="Calibri"/>
          <w:sz w:val="24"/>
          <w:szCs w:val="24"/>
        </w:rPr>
        <w:tab/>
      </w:r>
      <w:r w:rsidR="00D2501F">
        <w:rPr>
          <w:rFonts w:eastAsia="Calibri"/>
        </w:rPr>
        <w:t>12 September 2009</w:t>
      </w:r>
      <w:r w:rsidR="0087119B" w:rsidRPr="0087119B">
        <w:rPr>
          <w:rFonts w:eastAsia="Calibri"/>
        </w:rPr>
        <w:t xml:space="preserve"> (initial submission)</w:t>
      </w:r>
    </w:p>
    <w:p w:rsidR="00A5368D" w:rsidRPr="00A5368D" w:rsidRDefault="00A5368D" w:rsidP="00A5368D">
      <w:pPr>
        <w:spacing w:after="120"/>
        <w:ind w:left="1134" w:right="1134"/>
        <w:jc w:val="both"/>
        <w:rPr>
          <w:rStyle w:val="SingleTxtGChar"/>
        </w:rPr>
      </w:pPr>
      <w:r w:rsidRPr="00A5368D">
        <w:rPr>
          <w:rFonts w:eastAsia="Calibri"/>
          <w:i/>
          <w:sz w:val="24"/>
          <w:szCs w:val="24"/>
        </w:rPr>
        <w:tab/>
      </w:r>
      <w:r w:rsidRPr="00052009">
        <w:rPr>
          <w:rFonts w:eastAsia="Calibri"/>
          <w:i/>
        </w:rPr>
        <w:t>The Human Rights Committee</w:t>
      </w:r>
      <w:r w:rsidRPr="00A5368D">
        <w:rPr>
          <w:rFonts w:eastAsia="Calibri"/>
          <w:sz w:val="24"/>
          <w:szCs w:val="24"/>
        </w:rPr>
        <w:t xml:space="preserve">, </w:t>
      </w:r>
      <w:r w:rsidRPr="00A5368D">
        <w:rPr>
          <w:rStyle w:val="SingleTxtGChar"/>
        </w:rPr>
        <w:t>established under article 28 of the International Covenant on Civil and Political Rights,</w:t>
      </w:r>
    </w:p>
    <w:p w:rsidR="00A5368D" w:rsidRPr="00A5368D" w:rsidRDefault="00A5368D" w:rsidP="00A5368D">
      <w:pPr>
        <w:spacing w:after="120"/>
        <w:ind w:left="1134" w:right="1134"/>
        <w:jc w:val="both"/>
        <w:rPr>
          <w:rStyle w:val="SingleTxtGChar"/>
        </w:rPr>
      </w:pPr>
      <w:r w:rsidRPr="00A5368D">
        <w:rPr>
          <w:rFonts w:eastAsia="Calibri"/>
          <w:sz w:val="24"/>
          <w:szCs w:val="24"/>
        </w:rPr>
        <w:tab/>
      </w:r>
      <w:r w:rsidRPr="00052009">
        <w:rPr>
          <w:rFonts w:eastAsia="Calibri"/>
          <w:i/>
        </w:rPr>
        <w:t xml:space="preserve">Meeting </w:t>
      </w:r>
      <w:r w:rsidRPr="00791D6B">
        <w:rPr>
          <w:rFonts w:eastAsia="Calibri"/>
        </w:rPr>
        <w:t>on</w:t>
      </w:r>
      <w:r w:rsidRPr="00A5368D">
        <w:rPr>
          <w:rFonts w:eastAsia="Calibri"/>
          <w:sz w:val="24"/>
          <w:szCs w:val="24"/>
        </w:rPr>
        <w:t xml:space="preserve"> </w:t>
      </w:r>
      <w:r w:rsidR="00640D9D" w:rsidRPr="00791D6B">
        <w:rPr>
          <w:rFonts w:eastAsia="Calibri"/>
        </w:rPr>
        <w:t>25</w:t>
      </w:r>
      <w:r w:rsidR="00640D9D">
        <w:rPr>
          <w:rFonts w:eastAsia="Calibri"/>
          <w:sz w:val="24"/>
          <w:szCs w:val="24"/>
        </w:rPr>
        <w:t xml:space="preserve"> </w:t>
      </w:r>
      <w:r w:rsidR="0087119B">
        <w:rPr>
          <w:rFonts w:eastAsia="Calibri"/>
        </w:rPr>
        <w:t>March</w:t>
      </w:r>
      <w:r w:rsidR="007416A3">
        <w:rPr>
          <w:rFonts w:eastAsia="Calibri"/>
          <w:sz w:val="24"/>
          <w:szCs w:val="24"/>
        </w:rPr>
        <w:t xml:space="preserve"> </w:t>
      </w:r>
      <w:r w:rsidR="0087119B">
        <w:rPr>
          <w:rStyle w:val="SingleTxtGChar"/>
        </w:rPr>
        <w:t>2013</w:t>
      </w:r>
      <w:r w:rsidRPr="00A5368D">
        <w:rPr>
          <w:rStyle w:val="SingleTxtGChar"/>
        </w:rPr>
        <w:t>,</w:t>
      </w:r>
    </w:p>
    <w:p w:rsidR="00A5368D" w:rsidRPr="00A5368D" w:rsidRDefault="00A5368D" w:rsidP="00A5368D">
      <w:pPr>
        <w:spacing w:after="120"/>
        <w:ind w:left="1134" w:right="1134"/>
        <w:jc w:val="both"/>
        <w:rPr>
          <w:rStyle w:val="SingleTxtGChar"/>
        </w:rPr>
      </w:pPr>
      <w:r w:rsidRPr="00A5368D">
        <w:rPr>
          <w:rFonts w:eastAsia="Calibri"/>
          <w:sz w:val="24"/>
          <w:szCs w:val="24"/>
        </w:rPr>
        <w:tab/>
      </w:r>
      <w:r w:rsidRPr="00052009">
        <w:rPr>
          <w:rFonts w:eastAsia="Calibri"/>
          <w:i/>
        </w:rPr>
        <w:t>Adopts</w:t>
      </w:r>
      <w:r w:rsidRPr="00052009">
        <w:rPr>
          <w:rFonts w:eastAsia="Calibri"/>
        </w:rPr>
        <w:t xml:space="preserve"> </w:t>
      </w:r>
      <w:r w:rsidRPr="00A5368D">
        <w:rPr>
          <w:rStyle w:val="SingleTxtGChar"/>
        </w:rPr>
        <w:t>the following:</w:t>
      </w:r>
    </w:p>
    <w:p w:rsidR="00C61681" w:rsidRPr="00C61681" w:rsidRDefault="0027113E" w:rsidP="007C1AD9">
      <w:pPr>
        <w:pStyle w:val="H1G"/>
      </w:pPr>
      <w:r>
        <w:tab/>
      </w:r>
      <w:r>
        <w:tab/>
      </w:r>
      <w:r w:rsidR="007416A3" w:rsidRPr="007416A3">
        <w:t>Decision on admissibility</w:t>
      </w:r>
    </w:p>
    <w:p w:rsidR="00AA5493" w:rsidRDefault="00AA5493" w:rsidP="00AA5493">
      <w:pPr>
        <w:pStyle w:val="SingleTxtG"/>
      </w:pPr>
      <w:r>
        <w:t>1.</w:t>
      </w:r>
      <w:r>
        <w:tab/>
      </w:r>
      <w:r w:rsidR="007416A3" w:rsidRPr="007416A3">
        <w:t>Th</w:t>
      </w:r>
      <w:r w:rsidR="007416A3">
        <w:t xml:space="preserve">e author of the communication </w:t>
      </w:r>
      <w:r w:rsidR="0029008E">
        <w:t xml:space="preserve">is </w:t>
      </w:r>
      <w:r w:rsidR="00A8190F">
        <w:t>Mr</w:t>
      </w:r>
      <w:r w:rsidR="000E0DD6">
        <w:t>.</w:t>
      </w:r>
      <w:r w:rsidR="00A8190F">
        <w:t xml:space="preserve"> </w:t>
      </w:r>
      <w:r w:rsidR="00D2501F">
        <w:t>T</w:t>
      </w:r>
      <w:r w:rsidR="000E0DD6">
        <w:t>.</w:t>
      </w:r>
      <w:r w:rsidR="00D2501F">
        <w:t>J</w:t>
      </w:r>
      <w:r w:rsidR="000E0DD6">
        <w:t>.</w:t>
      </w:r>
      <w:r w:rsidR="0029008E">
        <w:t>,</w:t>
      </w:r>
      <w:r w:rsidR="0029008E" w:rsidRPr="0029008E">
        <w:t xml:space="preserve"> </w:t>
      </w:r>
      <w:r w:rsidR="009223B4">
        <w:t>a</w:t>
      </w:r>
      <w:r w:rsidR="009223B4" w:rsidRPr="009223B4">
        <w:t xml:space="preserve"> </w:t>
      </w:r>
      <w:r w:rsidR="00D2501F">
        <w:t>Lithuanian</w:t>
      </w:r>
      <w:r w:rsidR="009223B4" w:rsidRPr="009223B4">
        <w:t xml:space="preserve"> </w:t>
      </w:r>
      <w:r w:rsidR="009223B4">
        <w:t>national,</w:t>
      </w:r>
      <w:r w:rsidR="009223B4" w:rsidRPr="009223B4">
        <w:t xml:space="preserve"> born </w:t>
      </w:r>
      <w:r w:rsidR="00A8190F">
        <w:t>in</w:t>
      </w:r>
      <w:r w:rsidR="00D2501F">
        <w:t xml:space="preserve"> 1963</w:t>
      </w:r>
      <w:r w:rsidR="00A8190F">
        <w:t xml:space="preserve">, who claims to be a victim of a violation, by </w:t>
      </w:r>
      <w:r w:rsidR="00D2501F">
        <w:t>Lithuania</w:t>
      </w:r>
      <w:r w:rsidR="00A8190F">
        <w:t xml:space="preserve">, of his </w:t>
      </w:r>
      <w:r w:rsidR="009223B4">
        <w:t>right</w:t>
      </w:r>
      <w:r w:rsidR="00A8190F">
        <w:t>s</w:t>
      </w:r>
      <w:r w:rsidR="009223B4">
        <w:t xml:space="preserve"> </w:t>
      </w:r>
      <w:r w:rsidR="00D2501F">
        <w:t>under article 14, paragraph 3</w:t>
      </w:r>
      <w:r w:rsidR="00A8190F">
        <w:t xml:space="preserve"> (c)</w:t>
      </w:r>
      <w:r w:rsidR="009223B4">
        <w:t>,</w:t>
      </w:r>
      <w:r w:rsidR="0029008E">
        <w:t xml:space="preserve"> of the </w:t>
      </w:r>
      <w:r w:rsidR="007416A3" w:rsidRPr="007416A3">
        <w:t xml:space="preserve">International Covenant </w:t>
      </w:r>
      <w:r w:rsidR="00A64147">
        <w:t>on</w:t>
      </w:r>
      <w:r w:rsidR="007416A3" w:rsidRPr="007416A3">
        <w:t xml:space="preserve"> Civil and Political Rights. </w:t>
      </w:r>
      <w:r w:rsidR="00D2501F">
        <w:t>H</w:t>
      </w:r>
      <w:r w:rsidR="00A64147">
        <w:t>e is</w:t>
      </w:r>
      <w:r w:rsidR="007416A3" w:rsidRPr="007416A3">
        <w:t xml:space="preserve"> </w:t>
      </w:r>
      <w:r w:rsidR="00D2501F">
        <w:t xml:space="preserve">not </w:t>
      </w:r>
      <w:r w:rsidR="007416A3" w:rsidRPr="007416A3">
        <w:t xml:space="preserve">represented by </w:t>
      </w:r>
      <w:r w:rsidR="00A64147">
        <w:t>c</w:t>
      </w:r>
      <w:r w:rsidR="007416A3" w:rsidRPr="007416A3">
        <w:t>ounsel</w:t>
      </w:r>
      <w:r w:rsidR="007416A3">
        <w:rPr>
          <w:rStyle w:val="FootnoteReference"/>
        </w:rPr>
        <w:footnoteReference w:id="3"/>
      </w:r>
      <w:r>
        <w:t>.</w:t>
      </w:r>
    </w:p>
    <w:p w:rsidR="00C61681" w:rsidRPr="0027113E" w:rsidRDefault="0027113E" w:rsidP="007C1AD9">
      <w:pPr>
        <w:pStyle w:val="H23G"/>
      </w:pPr>
      <w:r>
        <w:tab/>
      </w:r>
      <w:r>
        <w:tab/>
      </w:r>
      <w:r w:rsidR="00C61681" w:rsidRPr="0027113E">
        <w:t>The facts as submitted by the author</w:t>
      </w:r>
    </w:p>
    <w:p w:rsidR="00E032D8" w:rsidRDefault="00E032D8" w:rsidP="00545FE2">
      <w:pPr>
        <w:pStyle w:val="SingleTxtG"/>
        <w:rPr>
          <w:lang w:val="en-US"/>
        </w:rPr>
      </w:pPr>
      <w:r>
        <w:rPr>
          <w:lang w:val="en-US"/>
        </w:rPr>
        <w:t>2.1</w:t>
      </w:r>
      <w:r w:rsidR="00824919">
        <w:rPr>
          <w:lang w:val="en-US"/>
        </w:rPr>
        <w:tab/>
      </w:r>
      <w:r>
        <w:rPr>
          <w:lang w:val="en-US"/>
        </w:rPr>
        <w:t xml:space="preserve">On 12 April 1995, the activities of the author’s limited </w:t>
      </w:r>
      <w:r w:rsidR="00A8190F">
        <w:rPr>
          <w:lang w:val="en-US"/>
        </w:rPr>
        <w:t xml:space="preserve">liability </w:t>
      </w:r>
      <w:r>
        <w:rPr>
          <w:lang w:val="en-US"/>
        </w:rPr>
        <w:t xml:space="preserve">company, Skiedra JSC, were suspended by </w:t>
      </w:r>
      <w:r w:rsidR="00A8190F">
        <w:rPr>
          <w:lang w:val="en-US"/>
        </w:rPr>
        <w:t xml:space="preserve">the authorities and an official pretrial investigation was opened against the author on </w:t>
      </w:r>
      <w:r w:rsidR="007E00A8">
        <w:rPr>
          <w:lang w:val="en-US"/>
        </w:rPr>
        <w:t xml:space="preserve">counts of </w:t>
      </w:r>
      <w:r w:rsidR="00A8190F">
        <w:rPr>
          <w:lang w:val="en-US"/>
        </w:rPr>
        <w:t xml:space="preserve">fraud. </w:t>
      </w:r>
      <w:r>
        <w:rPr>
          <w:lang w:val="en-US"/>
        </w:rPr>
        <w:t xml:space="preserve">The </w:t>
      </w:r>
      <w:r w:rsidR="00A8190F">
        <w:rPr>
          <w:lang w:val="en-US"/>
        </w:rPr>
        <w:t xml:space="preserve">authorities </w:t>
      </w:r>
      <w:r>
        <w:rPr>
          <w:lang w:val="en-US"/>
        </w:rPr>
        <w:t xml:space="preserve">seized </w:t>
      </w:r>
      <w:r w:rsidR="00A8190F">
        <w:rPr>
          <w:lang w:val="en-US"/>
        </w:rPr>
        <w:t>the company’s documentation</w:t>
      </w:r>
      <w:r>
        <w:rPr>
          <w:lang w:val="en-US"/>
        </w:rPr>
        <w:t xml:space="preserve">. </w:t>
      </w:r>
    </w:p>
    <w:p w:rsidR="00E032D8" w:rsidRDefault="00E032D8" w:rsidP="00545FE2">
      <w:pPr>
        <w:pStyle w:val="SingleTxtG"/>
        <w:rPr>
          <w:lang w:val="en-US"/>
        </w:rPr>
      </w:pPr>
      <w:r>
        <w:rPr>
          <w:lang w:val="en-US"/>
        </w:rPr>
        <w:t>2.2</w:t>
      </w:r>
      <w:r w:rsidR="00824919">
        <w:rPr>
          <w:lang w:val="en-US"/>
        </w:rPr>
        <w:tab/>
      </w:r>
      <w:r>
        <w:rPr>
          <w:lang w:val="en-US"/>
        </w:rPr>
        <w:t xml:space="preserve">On 10 April 1996, the Police Commissariat of </w:t>
      </w:r>
      <w:r w:rsidRPr="006C09E6">
        <w:rPr>
          <w:lang w:val="en-US"/>
        </w:rPr>
        <w:t>Alytus</w:t>
      </w:r>
      <w:r>
        <w:rPr>
          <w:lang w:val="en-US"/>
        </w:rPr>
        <w:t xml:space="preserve"> Town and District initiated </w:t>
      </w:r>
      <w:r w:rsidR="007E00A8">
        <w:rPr>
          <w:lang w:val="en-US"/>
        </w:rPr>
        <w:t xml:space="preserve">additional </w:t>
      </w:r>
      <w:r>
        <w:rPr>
          <w:lang w:val="en-US"/>
        </w:rPr>
        <w:t xml:space="preserve">criminal proceedings against the author regarding the inappropriate use of a bank loan </w:t>
      </w:r>
      <w:r w:rsidR="007E00A8">
        <w:rPr>
          <w:lang w:val="en-US"/>
        </w:rPr>
        <w:t>contracted in the name of the company</w:t>
      </w:r>
      <w:r>
        <w:rPr>
          <w:lang w:val="en-US"/>
        </w:rPr>
        <w:t xml:space="preserve">. </w:t>
      </w:r>
      <w:r w:rsidR="007E00A8">
        <w:rPr>
          <w:lang w:val="en-US"/>
        </w:rPr>
        <w:t xml:space="preserve">During </w:t>
      </w:r>
      <w:r>
        <w:rPr>
          <w:lang w:val="en-US"/>
        </w:rPr>
        <w:t xml:space="preserve">that year, several contradictory decisions were adopted </w:t>
      </w:r>
      <w:r w:rsidR="007E00A8">
        <w:rPr>
          <w:lang w:val="en-US"/>
        </w:rPr>
        <w:t xml:space="preserve">regarding the continuation or closure </w:t>
      </w:r>
      <w:r>
        <w:rPr>
          <w:lang w:val="en-US"/>
        </w:rPr>
        <w:t>of the criminal case</w:t>
      </w:r>
      <w:r w:rsidR="007E00A8">
        <w:rPr>
          <w:lang w:val="en-US"/>
        </w:rPr>
        <w:t>,</w:t>
      </w:r>
      <w:r>
        <w:rPr>
          <w:lang w:val="en-US"/>
        </w:rPr>
        <w:t xml:space="preserve"> and the </w:t>
      </w:r>
      <w:r w:rsidR="007E00A8">
        <w:rPr>
          <w:lang w:val="en-US"/>
        </w:rPr>
        <w:t xml:space="preserve">closing or resuming </w:t>
      </w:r>
      <w:r>
        <w:rPr>
          <w:lang w:val="en-US"/>
        </w:rPr>
        <w:t xml:space="preserve">of </w:t>
      </w:r>
      <w:r w:rsidR="007E00A8">
        <w:rPr>
          <w:lang w:val="en-US"/>
        </w:rPr>
        <w:t xml:space="preserve">the </w:t>
      </w:r>
      <w:r>
        <w:rPr>
          <w:lang w:val="en-US"/>
        </w:rPr>
        <w:t>investigation</w:t>
      </w:r>
      <w:r w:rsidR="007E00A8">
        <w:rPr>
          <w:lang w:val="en-US"/>
        </w:rPr>
        <w:t xml:space="preserve"> proceedings</w:t>
      </w:r>
      <w:r>
        <w:rPr>
          <w:lang w:val="en-US"/>
        </w:rPr>
        <w:t xml:space="preserve">. On 27 November 1996, three criminal </w:t>
      </w:r>
      <w:r>
        <w:rPr>
          <w:lang w:val="en-US"/>
        </w:rPr>
        <w:lastRenderedPageBreak/>
        <w:t xml:space="preserve">cases </w:t>
      </w:r>
      <w:r w:rsidR="007E00A8">
        <w:rPr>
          <w:lang w:val="en-US"/>
        </w:rPr>
        <w:t xml:space="preserve">against the author </w:t>
      </w:r>
      <w:r>
        <w:rPr>
          <w:lang w:val="en-US"/>
        </w:rPr>
        <w:t>were merged into</w:t>
      </w:r>
      <w:r w:rsidR="007E00A8">
        <w:rPr>
          <w:lang w:val="en-US"/>
        </w:rPr>
        <w:t xml:space="preserve"> a single</w:t>
      </w:r>
      <w:r>
        <w:rPr>
          <w:lang w:val="en-US"/>
        </w:rPr>
        <w:t xml:space="preserve"> one. </w:t>
      </w:r>
      <w:r w:rsidR="007E00A8">
        <w:rPr>
          <w:lang w:val="en-US"/>
        </w:rPr>
        <w:t>In this context, o</w:t>
      </w:r>
      <w:r>
        <w:rPr>
          <w:lang w:val="en-US"/>
        </w:rPr>
        <w:t xml:space="preserve">n 28 November 1996, the author was arrested and two days later he was released. </w:t>
      </w:r>
    </w:p>
    <w:p w:rsidR="00AA6CF7" w:rsidRDefault="00E032D8" w:rsidP="00545FE2">
      <w:pPr>
        <w:pStyle w:val="SingleTxtG"/>
        <w:rPr>
          <w:lang w:val="en-US"/>
        </w:rPr>
      </w:pPr>
      <w:r>
        <w:rPr>
          <w:lang w:val="en-US"/>
        </w:rPr>
        <w:t>2.3</w:t>
      </w:r>
      <w:r w:rsidR="00824919">
        <w:rPr>
          <w:lang w:val="en-US"/>
        </w:rPr>
        <w:tab/>
      </w:r>
      <w:r>
        <w:rPr>
          <w:lang w:val="en-US"/>
        </w:rPr>
        <w:t xml:space="preserve">On 5 August 1997, the author was informed </w:t>
      </w:r>
      <w:r w:rsidR="00C01B17">
        <w:rPr>
          <w:lang w:val="en-US"/>
        </w:rPr>
        <w:t xml:space="preserve">that the </w:t>
      </w:r>
      <w:r>
        <w:rPr>
          <w:lang w:val="en-US"/>
        </w:rPr>
        <w:t xml:space="preserve">pretrial investigation </w:t>
      </w:r>
      <w:r w:rsidR="00AA6CF7">
        <w:rPr>
          <w:lang w:val="en-US"/>
        </w:rPr>
        <w:t>w</w:t>
      </w:r>
      <w:r>
        <w:rPr>
          <w:lang w:val="en-US"/>
        </w:rPr>
        <w:t>as completed</w:t>
      </w:r>
      <w:r w:rsidR="00AA6CF7">
        <w:rPr>
          <w:lang w:val="en-US"/>
        </w:rPr>
        <w:t>. O</w:t>
      </w:r>
      <w:r>
        <w:rPr>
          <w:lang w:val="en-US"/>
        </w:rPr>
        <w:t xml:space="preserve">n 18 August 1997, </w:t>
      </w:r>
      <w:r w:rsidR="00AA6CF7">
        <w:rPr>
          <w:lang w:val="en-US"/>
        </w:rPr>
        <w:t xml:space="preserve">his </w:t>
      </w:r>
      <w:r>
        <w:rPr>
          <w:lang w:val="en-US"/>
        </w:rPr>
        <w:t xml:space="preserve">criminal case </w:t>
      </w:r>
      <w:r w:rsidR="00AA6CF7">
        <w:rPr>
          <w:lang w:val="en-US"/>
        </w:rPr>
        <w:t xml:space="preserve">under article </w:t>
      </w:r>
      <w:r w:rsidR="00AA6CF7" w:rsidRPr="006C09E6">
        <w:rPr>
          <w:lang w:val="en-US"/>
        </w:rPr>
        <w:t>275(3)</w:t>
      </w:r>
      <w:r w:rsidR="00AA6CF7">
        <w:rPr>
          <w:lang w:val="en-US"/>
        </w:rPr>
        <w:t xml:space="preserve"> of the Criminal Code</w:t>
      </w:r>
      <w:r w:rsidR="00AA6CF7">
        <w:rPr>
          <w:rStyle w:val="FootnoteReference"/>
          <w:lang w:val="en-US"/>
        </w:rPr>
        <w:footnoteReference w:id="4"/>
      </w:r>
      <w:r w:rsidR="000930F7">
        <w:rPr>
          <w:lang w:val="en-US"/>
        </w:rPr>
        <w:t xml:space="preserve"> </w:t>
      </w:r>
      <w:r>
        <w:rPr>
          <w:lang w:val="en-US"/>
        </w:rPr>
        <w:t xml:space="preserve">was </w:t>
      </w:r>
      <w:r w:rsidR="00AA6CF7">
        <w:rPr>
          <w:lang w:val="en-US"/>
        </w:rPr>
        <w:t>brought to court</w:t>
      </w:r>
      <w:r>
        <w:rPr>
          <w:lang w:val="en-US"/>
        </w:rPr>
        <w:t xml:space="preserve">. </w:t>
      </w:r>
    </w:p>
    <w:p w:rsidR="00E032D8" w:rsidRDefault="00E032D8" w:rsidP="00545FE2">
      <w:pPr>
        <w:pStyle w:val="SingleTxtG"/>
        <w:rPr>
          <w:lang w:val="en-US"/>
        </w:rPr>
      </w:pPr>
      <w:r>
        <w:rPr>
          <w:lang w:val="en-US"/>
        </w:rPr>
        <w:t>2.4</w:t>
      </w:r>
      <w:r w:rsidR="00824919">
        <w:rPr>
          <w:lang w:val="en-US"/>
        </w:rPr>
        <w:tab/>
      </w:r>
      <w:r w:rsidR="00C01B17">
        <w:rPr>
          <w:lang w:val="en-US"/>
        </w:rPr>
        <w:t>Between</w:t>
      </w:r>
      <w:r>
        <w:rPr>
          <w:lang w:val="en-US"/>
        </w:rPr>
        <w:t xml:space="preserve"> 1999 </w:t>
      </w:r>
      <w:r w:rsidR="00C01B17">
        <w:rPr>
          <w:lang w:val="en-US"/>
        </w:rPr>
        <w:t>and</w:t>
      </w:r>
      <w:r>
        <w:rPr>
          <w:lang w:val="en-US"/>
        </w:rPr>
        <w:t xml:space="preserve"> 2001 the criminal case was </w:t>
      </w:r>
      <w:r w:rsidR="00FB79EE">
        <w:rPr>
          <w:lang w:val="en-US"/>
        </w:rPr>
        <w:t xml:space="preserve">several times </w:t>
      </w:r>
      <w:r w:rsidR="00AA6CF7">
        <w:rPr>
          <w:lang w:val="en-US"/>
        </w:rPr>
        <w:t xml:space="preserve">referred </w:t>
      </w:r>
      <w:r w:rsidR="00FB79EE">
        <w:rPr>
          <w:lang w:val="en-US"/>
        </w:rPr>
        <w:t xml:space="preserve">back </w:t>
      </w:r>
      <w:r w:rsidR="00AA6CF7">
        <w:rPr>
          <w:lang w:val="en-US"/>
        </w:rPr>
        <w:t xml:space="preserve">to have </w:t>
      </w:r>
      <w:r w:rsidR="00C01B17">
        <w:rPr>
          <w:lang w:val="en-US"/>
        </w:rPr>
        <w:t>additional</w:t>
      </w:r>
      <w:r>
        <w:rPr>
          <w:lang w:val="en-US"/>
        </w:rPr>
        <w:t xml:space="preserve"> investigation </w:t>
      </w:r>
      <w:r w:rsidR="00AA6CF7">
        <w:rPr>
          <w:lang w:val="en-US"/>
        </w:rPr>
        <w:t>acts carried out</w:t>
      </w:r>
      <w:r>
        <w:rPr>
          <w:lang w:val="en-US"/>
        </w:rPr>
        <w:t>.</w:t>
      </w:r>
    </w:p>
    <w:p w:rsidR="00E032D8" w:rsidRDefault="00E032D8" w:rsidP="00545FE2">
      <w:pPr>
        <w:pStyle w:val="SingleTxtG"/>
        <w:rPr>
          <w:lang w:val="en-US"/>
        </w:rPr>
      </w:pPr>
      <w:r>
        <w:rPr>
          <w:lang w:val="en-US"/>
        </w:rPr>
        <w:t>2.5</w:t>
      </w:r>
      <w:r w:rsidR="00824919">
        <w:rPr>
          <w:lang w:val="en-US"/>
        </w:rPr>
        <w:tab/>
      </w:r>
      <w:r>
        <w:rPr>
          <w:lang w:val="en-US"/>
        </w:rPr>
        <w:t xml:space="preserve">On 26 February 2003, the County Court of Alytus District </w:t>
      </w:r>
      <w:r w:rsidR="00AA6CF7">
        <w:rPr>
          <w:lang w:val="en-US"/>
        </w:rPr>
        <w:t xml:space="preserve">found the author guilty under </w:t>
      </w:r>
      <w:r>
        <w:rPr>
          <w:lang w:val="en-US"/>
        </w:rPr>
        <w:t>articles 35 and 275(3) of the Criminal Code</w:t>
      </w:r>
      <w:r w:rsidR="00AA6CF7">
        <w:rPr>
          <w:lang w:val="en-US"/>
        </w:rPr>
        <w:t xml:space="preserve"> and </w:t>
      </w:r>
      <w:r w:rsidR="00FB79EE">
        <w:rPr>
          <w:lang w:val="en-US"/>
        </w:rPr>
        <w:t>sentenced</w:t>
      </w:r>
      <w:r w:rsidR="00AA6CF7">
        <w:rPr>
          <w:lang w:val="en-US"/>
        </w:rPr>
        <w:t xml:space="preserve"> him</w:t>
      </w:r>
      <w:r w:rsidR="00FB79EE">
        <w:rPr>
          <w:lang w:val="en-US"/>
        </w:rPr>
        <w:t xml:space="preserve"> to three </w:t>
      </w:r>
      <w:r w:rsidR="00B4650C">
        <w:rPr>
          <w:lang w:val="en-US"/>
        </w:rPr>
        <w:t xml:space="preserve">and a half </w:t>
      </w:r>
      <w:r w:rsidR="00FB79EE">
        <w:rPr>
          <w:lang w:val="en-US"/>
        </w:rPr>
        <w:t>years</w:t>
      </w:r>
      <w:r w:rsidR="00B4650C">
        <w:rPr>
          <w:lang w:val="en-US"/>
        </w:rPr>
        <w:t>’</w:t>
      </w:r>
      <w:r w:rsidR="00AA6CF7">
        <w:rPr>
          <w:lang w:val="en-US"/>
        </w:rPr>
        <w:t xml:space="preserve"> </w:t>
      </w:r>
      <w:r>
        <w:rPr>
          <w:lang w:val="en-US"/>
        </w:rPr>
        <w:t xml:space="preserve">imprisonment, </w:t>
      </w:r>
      <w:r w:rsidR="00FB79EE">
        <w:rPr>
          <w:lang w:val="en-US"/>
        </w:rPr>
        <w:t xml:space="preserve">with </w:t>
      </w:r>
      <w:r w:rsidR="00B4650C">
        <w:rPr>
          <w:lang w:val="en-US"/>
        </w:rPr>
        <w:t xml:space="preserve">a </w:t>
      </w:r>
      <w:r w:rsidR="00FB79EE">
        <w:rPr>
          <w:lang w:val="en-US"/>
        </w:rPr>
        <w:t>prohibition to engage in</w:t>
      </w:r>
      <w:r>
        <w:rPr>
          <w:lang w:val="en-US"/>
        </w:rPr>
        <w:t xml:space="preserve"> materially responsib</w:t>
      </w:r>
      <w:r w:rsidR="00FB79EE">
        <w:rPr>
          <w:lang w:val="en-US"/>
        </w:rPr>
        <w:t xml:space="preserve">le work for a period of </w:t>
      </w:r>
      <w:r w:rsidR="00B4650C">
        <w:rPr>
          <w:lang w:val="en-US"/>
        </w:rPr>
        <w:t>four</w:t>
      </w:r>
      <w:r w:rsidR="00FB79EE">
        <w:rPr>
          <w:lang w:val="en-US"/>
        </w:rPr>
        <w:t xml:space="preserve"> years</w:t>
      </w:r>
      <w:r w:rsidR="00AA6CF7">
        <w:rPr>
          <w:lang w:val="en-US"/>
        </w:rPr>
        <w:t xml:space="preserve">, and a </w:t>
      </w:r>
      <w:r w:rsidR="005E528C">
        <w:rPr>
          <w:lang w:val="en-US"/>
        </w:rPr>
        <w:t xml:space="preserve">fine of </w:t>
      </w:r>
      <w:r w:rsidR="00AA6CF7">
        <w:rPr>
          <w:lang w:val="en-US"/>
        </w:rPr>
        <w:t>5</w:t>
      </w:r>
      <w:r w:rsidR="00B4650C">
        <w:rPr>
          <w:lang w:val="en-US"/>
        </w:rPr>
        <w:t>,</w:t>
      </w:r>
      <w:r w:rsidR="00AA6CF7">
        <w:rPr>
          <w:lang w:val="en-US"/>
        </w:rPr>
        <w:t xml:space="preserve">000 </w:t>
      </w:r>
      <w:r w:rsidR="00FB79EE">
        <w:rPr>
          <w:lang w:val="en-US"/>
        </w:rPr>
        <w:t>Lithuanian litas</w:t>
      </w:r>
      <w:r w:rsidR="00AA6CF7">
        <w:rPr>
          <w:lang w:val="en-US"/>
        </w:rPr>
        <w:t xml:space="preserve"> (equivalent to some 1</w:t>
      </w:r>
      <w:r w:rsidR="00B4650C">
        <w:rPr>
          <w:lang w:val="en-US"/>
        </w:rPr>
        <w:t>,</w:t>
      </w:r>
      <w:r w:rsidR="00AA6CF7">
        <w:rPr>
          <w:lang w:val="en-US"/>
        </w:rPr>
        <w:t xml:space="preserve">450 </w:t>
      </w:r>
      <w:r w:rsidR="00B4650C">
        <w:rPr>
          <w:lang w:val="en-US"/>
        </w:rPr>
        <w:t>e</w:t>
      </w:r>
      <w:r w:rsidR="00AA6CF7">
        <w:rPr>
          <w:lang w:val="en-US"/>
        </w:rPr>
        <w:t>uro</w:t>
      </w:r>
      <w:r w:rsidR="00B4650C">
        <w:rPr>
          <w:lang w:val="en-US"/>
        </w:rPr>
        <w:t>s</w:t>
      </w:r>
      <w:r w:rsidR="00AA6CF7">
        <w:rPr>
          <w:lang w:val="en-US"/>
        </w:rPr>
        <w:t xml:space="preserve"> at the time)</w:t>
      </w:r>
      <w:r w:rsidR="003D5990">
        <w:rPr>
          <w:lang w:val="en-US"/>
        </w:rPr>
        <w:t xml:space="preserve">, with confiscation of his </w:t>
      </w:r>
      <w:r w:rsidR="00FB79EE">
        <w:rPr>
          <w:lang w:val="en-US"/>
        </w:rPr>
        <w:t>property</w:t>
      </w:r>
      <w:r>
        <w:rPr>
          <w:lang w:val="en-US"/>
        </w:rPr>
        <w:t>.</w:t>
      </w:r>
    </w:p>
    <w:p w:rsidR="00E032D8" w:rsidRDefault="00E032D8" w:rsidP="00545FE2">
      <w:pPr>
        <w:pStyle w:val="SingleTxtG"/>
        <w:rPr>
          <w:lang w:val="en-US"/>
        </w:rPr>
      </w:pPr>
      <w:r>
        <w:rPr>
          <w:lang w:val="en-US"/>
        </w:rPr>
        <w:t>2.6</w:t>
      </w:r>
      <w:r w:rsidR="00824919">
        <w:rPr>
          <w:lang w:val="en-US"/>
        </w:rPr>
        <w:tab/>
      </w:r>
      <w:r>
        <w:rPr>
          <w:lang w:val="en-US"/>
        </w:rPr>
        <w:t xml:space="preserve">On 17 March 2003, the author </w:t>
      </w:r>
      <w:r w:rsidR="0034121E">
        <w:rPr>
          <w:lang w:val="en-US"/>
        </w:rPr>
        <w:t>appealed the judgment of 26 February 2003. He requested</w:t>
      </w:r>
      <w:r w:rsidR="003D5990">
        <w:rPr>
          <w:lang w:val="en-US"/>
        </w:rPr>
        <w:t xml:space="preserve"> to </w:t>
      </w:r>
      <w:r w:rsidR="007D4508">
        <w:rPr>
          <w:lang w:val="en-US"/>
        </w:rPr>
        <w:t>have</w:t>
      </w:r>
      <w:r w:rsidR="003D5990">
        <w:rPr>
          <w:lang w:val="en-US"/>
        </w:rPr>
        <w:t xml:space="preserve"> the criminal case against him closed, claiming that his rights both under the </w:t>
      </w:r>
      <w:r>
        <w:rPr>
          <w:lang w:val="en-US"/>
        </w:rPr>
        <w:t xml:space="preserve">Criminal Code and </w:t>
      </w:r>
      <w:r w:rsidR="0034121E">
        <w:rPr>
          <w:lang w:val="en-US"/>
        </w:rPr>
        <w:t xml:space="preserve">the </w:t>
      </w:r>
      <w:r>
        <w:rPr>
          <w:lang w:val="en-US"/>
        </w:rPr>
        <w:t xml:space="preserve">Criminal Procedure Code </w:t>
      </w:r>
      <w:r w:rsidR="00B4650C">
        <w:rPr>
          <w:lang w:val="en-US"/>
        </w:rPr>
        <w:t xml:space="preserve">had been </w:t>
      </w:r>
      <w:r w:rsidR="003D5990">
        <w:rPr>
          <w:lang w:val="en-US"/>
        </w:rPr>
        <w:t>violated</w:t>
      </w:r>
      <w:r>
        <w:rPr>
          <w:lang w:val="en-US"/>
        </w:rPr>
        <w:t xml:space="preserve">. </w:t>
      </w:r>
      <w:r w:rsidR="003D5990">
        <w:rPr>
          <w:lang w:val="en-US"/>
        </w:rPr>
        <w:t xml:space="preserve">By decision of </w:t>
      </w:r>
      <w:r>
        <w:rPr>
          <w:lang w:val="en-US"/>
        </w:rPr>
        <w:t xml:space="preserve">2 March 2004, the </w:t>
      </w:r>
      <w:smartTag w:uri="urn:schemas-microsoft-com:office:smarttags" w:element="Street">
        <w:smartTag w:uri="urn:schemas-microsoft-com:office:smarttags" w:element="address">
          <w:r w:rsidRPr="006C09E6">
            <w:rPr>
              <w:lang w:val="en-US"/>
            </w:rPr>
            <w:t>Kaunas</w:t>
          </w:r>
          <w:r>
            <w:rPr>
              <w:lang w:val="en-US"/>
            </w:rPr>
            <w:t xml:space="preserve"> Region</w:t>
          </w:r>
          <w:r w:rsidR="0034121E">
            <w:rPr>
              <w:lang w:val="en-US"/>
            </w:rPr>
            <w:t>al</w:t>
          </w:r>
          <w:r>
            <w:rPr>
              <w:lang w:val="en-US"/>
            </w:rPr>
            <w:t xml:space="preserve"> Court</w:t>
          </w:r>
        </w:smartTag>
      </w:smartTag>
      <w:r>
        <w:rPr>
          <w:lang w:val="en-US"/>
        </w:rPr>
        <w:t xml:space="preserve"> partially satisfi</w:t>
      </w:r>
      <w:r w:rsidR="003D5990">
        <w:rPr>
          <w:lang w:val="en-US"/>
        </w:rPr>
        <w:t>ed</w:t>
      </w:r>
      <w:r>
        <w:rPr>
          <w:lang w:val="en-US"/>
        </w:rPr>
        <w:t xml:space="preserve"> the author’s appeal</w:t>
      </w:r>
      <w:r w:rsidR="003D5990">
        <w:rPr>
          <w:lang w:val="en-US"/>
        </w:rPr>
        <w:t xml:space="preserve">, </w:t>
      </w:r>
      <w:r>
        <w:rPr>
          <w:lang w:val="en-US"/>
        </w:rPr>
        <w:t>re-qualif</w:t>
      </w:r>
      <w:r w:rsidR="003D5990">
        <w:rPr>
          <w:lang w:val="en-US"/>
        </w:rPr>
        <w:t>y</w:t>
      </w:r>
      <w:r>
        <w:rPr>
          <w:lang w:val="en-US"/>
        </w:rPr>
        <w:t>i</w:t>
      </w:r>
      <w:r w:rsidR="003D5990">
        <w:rPr>
          <w:lang w:val="en-US"/>
        </w:rPr>
        <w:t>ng</w:t>
      </w:r>
      <w:r>
        <w:rPr>
          <w:lang w:val="en-US"/>
        </w:rPr>
        <w:t xml:space="preserve"> h</w:t>
      </w:r>
      <w:r w:rsidR="003D5990">
        <w:rPr>
          <w:lang w:val="en-US"/>
        </w:rPr>
        <w:t>is</w:t>
      </w:r>
      <w:r>
        <w:rPr>
          <w:lang w:val="en-US"/>
        </w:rPr>
        <w:t xml:space="preserve"> </w:t>
      </w:r>
      <w:r w:rsidR="0034121E">
        <w:rPr>
          <w:lang w:val="en-US"/>
        </w:rPr>
        <w:t xml:space="preserve">acts </w:t>
      </w:r>
      <w:r w:rsidR="003D5990">
        <w:rPr>
          <w:lang w:val="en-US"/>
        </w:rPr>
        <w:t xml:space="preserve">under </w:t>
      </w:r>
      <w:r w:rsidR="005369DA" w:rsidRPr="007A564A">
        <w:rPr>
          <w:lang w:val="en-US"/>
        </w:rPr>
        <w:t>article 1845(2) of the</w:t>
      </w:r>
      <w:r w:rsidRPr="007A564A">
        <w:rPr>
          <w:lang w:val="en-US"/>
        </w:rPr>
        <w:t xml:space="preserve"> Criminal Code</w:t>
      </w:r>
      <w:r w:rsidR="0034121E" w:rsidRPr="007A564A">
        <w:rPr>
          <w:lang w:val="en-US"/>
        </w:rPr>
        <w:t xml:space="preserve"> </w:t>
      </w:r>
      <w:r w:rsidR="003D5990" w:rsidRPr="007A564A">
        <w:rPr>
          <w:lang w:val="en-US"/>
        </w:rPr>
        <w:t>(</w:t>
      </w:r>
      <w:r w:rsidR="0034121E" w:rsidRPr="007A564A">
        <w:rPr>
          <w:lang w:val="en-US"/>
        </w:rPr>
        <w:t>2000</w:t>
      </w:r>
      <w:r w:rsidR="003D5990" w:rsidRPr="007A564A">
        <w:rPr>
          <w:lang w:val="en-US"/>
        </w:rPr>
        <w:t>) instead of article 275(3) of the Criminal Code of 1961</w:t>
      </w:r>
      <w:r w:rsidR="003D5990">
        <w:rPr>
          <w:lang w:val="en-US"/>
        </w:rPr>
        <w:t xml:space="preserve">, </w:t>
      </w:r>
      <w:r w:rsidR="0034121E">
        <w:rPr>
          <w:lang w:val="en-US"/>
        </w:rPr>
        <w:t>and sentenced</w:t>
      </w:r>
      <w:r>
        <w:rPr>
          <w:lang w:val="en-US"/>
        </w:rPr>
        <w:t xml:space="preserve"> him to </w:t>
      </w:r>
      <w:r w:rsidR="0034121E">
        <w:rPr>
          <w:lang w:val="en-US"/>
        </w:rPr>
        <w:t>two</w:t>
      </w:r>
      <w:r w:rsidR="00B4650C">
        <w:rPr>
          <w:lang w:val="en-US"/>
        </w:rPr>
        <w:t xml:space="preserve"> and a half</w:t>
      </w:r>
      <w:r>
        <w:rPr>
          <w:lang w:val="en-US"/>
        </w:rPr>
        <w:t xml:space="preserve"> years</w:t>
      </w:r>
      <w:r w:rsidR="00B4650C">
        <w:rPr>
          <w:lang w:val="en-US"/>
        </w:rPr>
        <w:t>’</w:t>
      </w:r>
      <w:r>
        <w:rPr>
          <w:lang w:val="en-US"/>
        </w:rPr>
        <w:t xml:space="preserve"> imprisonment. </w:t>
      </w:r>
      <w:r w:rsidR="0034121E">
        <w:rPr>
          <w:lang w:val="en-US"/>
        </w:rPr>
        <w:t>Pursuant to</w:t>
      </w:r>
      <w:r>
        <w:rPr>
          <w:lang w:val="en-US"/>
        </w:rPr>
        <w:t xml:space="preserve"> </w:t>
      </w:r>
      <w:r w:rsidRPr="006C09E6">
        <w:rPr>
          <w:lang w:val="en-US"/>
        </w:rPr>
        <w:t>article 3</w:t>
      </w:r>
      <w:r w:rsidR="003D5990" w:rsidRPr="006C09E6">
        <w:rPr>
          <w:lang w:val="en-US"/>
        </w:rPr>
        <w:t xml:space="preserve"> </w:t>
      </w:r>
      <w:r w:rsidRPr="006C09E6">
        <w:rPr>
          <w:lang w:val="en-US"/>
        </w:rPr>
        <w:t>(2)</w:t>
      </w:r>
      <w:r w:rsidR="003D5990" w:rsidRPr="006C09E6">
        <w:rPr>
          <w:lang w:val="en-US"/>
        </w:rPr>
        <w:t xml:space="preserve"> </w:t>
      </w:r>
      <w:r w:rsidRPr="006C09E6">
        <w:rPr>
          <w:lang w:val="en-US"/>
        </w:rPr>
        <w:t>(2)</w:t>
      </w:r>
      <w:r>
        <w:rPr>
          <w:lang w:val="en-US"/>
        </w:rPr>
        <w:t xml:space="preserve"> of </w:t>
      </w:r>
      <w:r w:rsidR="005369DA">
        <w:rPr>
          <w:lang w:val="en-US"/>
        </w:rPr>
        <w:t>a</w:t>
      </w:r>
      <w:r w:rsidR="003D5990">
        <w:rPr>
          <w:lang w:val="en-US"/>
        </w:rPr>
        <w:t xml:space="preserve"> general amnesty law</w:t>
      </w:r>
      <w:r>
        <w:rPr>
          <w:lang w:val="en-US"/>
        </w:rPr>
        <w:t>, th</w:t>
      </w:r>
      <w:r w:rsidR="003D5990">
        <w:rPr>
          <w:lang w:val="en-US"/>
        </w:rPr>
        <w:t xml:space="preserve">is </w:t>
      </w:r>
      <w:r w:rsidR="0034121E">
        <w:rPr>
          <w:lang w:val="en-US"/>
        </w:rPr>
        <w:t>sentence was de</w:t>
      </w:r>
      <w:r>
        <w:rPr>
          <w:lang w:val="en-US"/>
        </w:rPr>
        <w:t xml:space="preserve">creased by </w:t>
      </w:r>
      <w:r w:rsidR="00B4650C">
        <w:rPr>
          <w:lang w:val="en-US"/>
        </w:rPr>
        <w:t>20 per cent</w:t>
      </w:r>
      <w:r>
        <w:rPr>
          <w:lang w:val="en-US"/>
        </w:rPr>
        <w:t xml:space="preserve">. </w:t>
      </w:r>
    </w:p>
    <w:p w:rsidR="00E032D8" w:rsidRDefault="00E032D8" w:rsidP="00545FE2">
      <w:pPr>
        <w:pStyle w:val="SingleTxtG"/>
        <w:rPr>
          <w:lang w:val="en-US"/>
        </w:rPr>
      </w:pPr>
      <w:r>
        <w:rPr>
          <w:lang w:val="en-US"/>
        </w:rPr>
        <w:t>2.7</w:t>
      </w:r>
      <w:r w:rsidR="00824919">
        <w:rPr>
          <w:lang w:val="en-US"/>
        </w:rPr>
        <w:tab/>
      </w:r>
      <w:r>
        <w:rPr>
          <w:lang w:val="en-US"/>
        </w:rPr>
        <w:t xml:space="preserve">On 1 June 2004, the author </w:t>
      </w:r>
      <w:r w:rsidR="0034121E">
        <w:rPr>
          <w:lang w:val="en-US"/>
        </w:rPr>
        <w:t xml:space="preserve">submitted </w:t>
      </w:r>
      <w:r>
        <w:rPr>
          <w:lang w:val="en-US"/>
        </w:rPr>
        <w:t xml:space="preserve">a cassation </w:t>
      </w:r>
      <w:r w:rsidR="0034121E">
        <w:rPr>
          <w:lang w:val="en-US"/>
        </w:rPr>
        <w:t>complaint</w:t>
      </w:r>
      <w:r>
        <w:rPr>
          <w:lang w:val="en-US"/>
        </w:rPr>
        <w:t xml:space="preserve"> </w:t>
      </w:r>
      <w:r w:rsidR="003D5990">
        <w:rPr>
          <w:lang w:val="en-US"/>
        </w:rPr>
        <w:t xml:space="preserve">to </w:t>
      </w:r>
      <w:r>
        <w:rPr>
          <w:lang w:val="en-US"/>
        </w:rPr>
        <w:t>the Supreme Court</w:t>
      </w:r>
      <w:r w:rsidR="003D5990">
        <w:rPr>
          <w:lang w:val="en-US"/>
        </w:rPr>
        <w:t xml:space="preserve">, claiming </w:t>
      </w:r>
      <w:r w:rsidR="0034121E">
        <w:rPr>
          <w:lang w:val="en-US"/>
        </w:rPr>
        <w:t>that he was n</w:t>
      </w:r>
      <w:r w:rsidR="003D5990">
        <w:rPr>
          <w:lang w:val="en-US"/>
        </w:rPr>
        <w:t xml:space="preserve">ever </w:t>
      </w:r>
      <w:r w:rsidR="0034121E">
        <w:rPr>
          <w:lang w:val="en-US"/>
        </w:rPr>
        <w:t xml:space="preserve">notified of the date and place of the court hearing </w:t>
      </w:r>
      <w:r w:rsidR="003D5990">
        <w:rPr>
          <w:lang w:val="en-US"/>
        </w:rPr>
        <w:t xml:space="preserve">of his appeal proceedings </w:t>
      </w:r>
      <w:r w:rsidR="0034121E">
        <w:rPr>
          <w:lang w:val="en-US"/>
        </w:rPr>
        <w:t xml:space="preserve">as at the material time he was serving his sentence, </w:t>
      </w:r>
      <w:r w:rsidR="003D5990">
        <w:rPr>
          <w:lang w:val="en-US"/>
        </w:rPr>
        <w:t xml:space="preserve">whereas </w:t>
      </w:r>
      <w:r w:rsidR="0034121E">
        <w:rPr>
          <w:lang w:val="en-US"/>
        </w:rPr>
        <w:t xml:space="preserve">the summons was sent to his home address. </w:t>
      </w:r>
      <w:r>
        <w:rPr>
          <w:lang w:val="en-US"/>
        </w:rPr>
        <w:t>On 12 April 2005</w:t>
      </w:r>
      <w:r w:rsidR="00E8156F">
        <w:rPr>
          <w:lang w:val="en-US"/>
        </w:rPr>
        <w:t>,</w:t>
      </w:r>
      <w:r w:rsidR="00577179">
        <w:rPr>
          <w:rStyle w:val="FootnoteReference"/>
          <w:lang w:val="en-US"/>
        </w:rPr>
        <w:footnoteReference w:id="5"/>
      </w:r>
      <w:r>
        <w:rPr>
          <w:lang w:val="en-US"/>
        </w:rPr>
        <w:t xml:space="preserve"> the Supreme Court </w:t>
      </w:r>
      <w:r w:rsidR="0034121E">
        <w:rPr>
          <w:lang w:val="en-US"/>
        </w:rPr>
        <w:t>rejected h</w:t>
      </w:r>
      <w:r w:rsidR="003D5990">
        <w:rPr>
          <w:lang w:val="en-US"/>
        </w:rPr>
        <w:t>i</w:t>
      </w:r>
      <w:r w:rsidR="0034121E">
        <w:rPr>
          <w:lang w:val="en-US"/>
        </w:rPr>
        <w:t>s</w:t>
      </w:r>
      <w:r>
        <w:rPr>
          <w:lang w:val="en-US"/>
        </w:rPr>
        <w:t xml:space="preserve"> </w:t>
      </w:r>
      <w:r w:rsidR="003D5990">
        <w:rPr>
          <w:lang w:val="en-US"/>
        </w:rPr>
        <w:t>appeal</w:t>
      </w:r>
      <w:r>
        <w:rPr>
          <w:lang w:val="en-US"/>
        </w:rPr>
        <w:t xml:space="preserve">. The author, who </w:t>
      </w:r>
      <w:r w:rsidR="0034121E">
        <w:rPr>
          <w:lang w:val="en-US"/>
        </w:rPr>
        <w:t xml:space="preserve">at the time </w:t>
      </w:r>
      <w:r>
        <w:rPr>
          <w:lang w:val="en-US"/>
        </w:rPr>
        <w:t xml:space="preserve">was serving his sentence </w:t>
      </w:r>
      <w:r w:rsidR="0034121E">
        <w:rPr>
          <w:lang w:val="en-US"/>
        </w:rPr>
        <w:t>in a p</w:t>
      </w:r>
      <w:r w:rsidR="003D5990">
        <w:rPr>
          <w:lang w:val="en-US"/>
        </w:rPr>
        <w:t>enitentiary facility</w:t>
      </w:r>
      <w:r w:rsidR="0034121E">
        <w:rPr>
          <w:lang w:val="en-US"/>
        </w:rPr>
        <w:t>,</w:t>
      </w:r>
      <w:r>
        <w:rPr>
          <w:lang w:val="en-US"/>
        </w:rPr>
        <w:t xml:space="preserve"> </w:t>
      </w:r>
      <w:r w:rsidR="003D5990">
        <w:rPr>
          <w:lang w:val="en-US"/>
        </w:rPr>
        <w:t xml:space="preserve">was not present when his appeal was examined by the court. </w:t>
      </w:r>
      <w:r w:rsidR="00337C95">
        <w:rPr>
          <w:lang w:val="en-US"/>
        </w:rPr>
        <w:t>The author was released on 12 April 2005</w:t>
      </w:r>
      <w:r w:rsidR="003D5990">
        <w:rPr>
          <w:lang w:val="en-US"/>
        </w:rPr>
        <w:t>. H</w:t>
      </w:r>
      <w:r w:rsidR="00337C95">
        <w:rPr>
          <w:lang w:val="en-US"/>
        </w:rPr>
        <w:t>e</w:t>
      </w:r>
      <w:r>
        <w:rPr>
          <w:lang w:val="en-US"/>
        </w:rPr>
        <w:t xml:space="preserve"> received </w:t>
      </w:r>
      <w:r w:rsidR="00337C95">
        <w:rPr>
          <w:lang w:val="en-US"/>
        </w:rPr>
        <w:t>a copy the above-mentioned judgment of the Supreme Court</w:t>
      </w:r>
      <w:r w:rsidR="003D5990">
        <w:rPr>
          <w:lang w:val="en-US"/>
        </w:rPr>
        <w:t xml:space="preserve"> on 13 April 2005</w:t>
      </w:r>
      <w:r w:rsidR="00337C95">
        <w:rPr>
          <w:lang w:val="en-US"/>
        </w:rPr>
        <w:t>.</w:t>
      </w:r>
    </w:p>
    <w:p w:rsidR="00B4421F" w:rsidRPr="0096522A" w:rsidRDefault="00545FE2" w:rsidP="00545FE2">
      <w:pPr>
        <w:pStyle w:val="H23G"/>
      </w:pPr>
      <w:r>
        <w:tab/>
      </w:r>
      <w:r>
        <w:tab/>
      </w:r>
      <w:r w:rsidR="00B4421F" w:rsidRPr="0096522A">
        <w:t>The complaint</w:t>
      </w:r>
    </w:p>
    <w:p w:rsidR="00116FF1" w:rsidRDefault="00116FF1" w:rsidP="00545FE2">
      <w:pPr>
        <w:pStyle w:val="SingleTxtG"/>
        <w:rPr>
          <w:lang w:val="en-US"/>
        </w:rPr>
      </w:pPr>
      <w:r>
        <w:rPr>
          <w:lang w:val="en-US"/>
        </w:rPr>
        <w:t>3.1</w:t>
      </w:r>
      <w:r w:rsidR="00824919">
        <w:rPr>
          <w:lang w:val="en-US"/>
        </w:rPr>
        <w:tab/>
      </w:r>
      <w:r>
        <w:rPr>
          <w:lang w:val="en-US"/>
        </w:rPr>
        <w:t xml:space="preserve">The author claims that the State party has violated his rights under article </w:t>
      </w:r>
      <w:r>
        <w:rPr>
          <w:rStyle w:val="Strong"/>
          <w:b w:val="0"/>
          <w:bCs w:val="0"/>
          <w:lang w:val="en-US"/>
        </w:rPr>
        <w:t>14, paragraph 3 (c)</w:t>
      </w:r>
      <w:r w:rsidR="00E8156F">
        <w:rPr>
          <w:rStyle w:val="Strong"/>
          <w:b w:val="0"/>
          <w:bCs w:val="0"/>
          <w:lang w:val="en-US"/>
        </w:rPr>
        <w:t>,</w:t>
      </w:r>
      <w:r>
        <w:rPr>
          <w:rStyle w:val="Strong"/>
          <w:b w:val="0"/>
          <w:bCs w:val="0"/>
          <w:lang w:val="en-US"/>
        </w:rPr>
        <w:t xml:space="preserve"> </w:t>
      </w:r>
      <w:r>
        <w:rPr>
          <w:lang w:val="en-US"/>
        </w:rPr>
        <w:t xml:space="preserve">of the Covenant, as the criminal proceedings </w:t>
      </w:r>
      <w:r w:rsidR="003D5990">
        <w:rPr>
          <w:lang w:val="en-US"/>
        </w:rPr>
        <w:t>against him</w:t>
      </w:r>
      <w:r>
        <w:rPr>
          <w:lang w:val="en-US"/>
        </w:rPr>
        <w:t xml:space="preserve"> lasted for nine </w:t>
      </w:r>
      <w:r w:rsidR="00E8156F">
        <w:rPr>
          <w:lang w:val="en-US"/>
        </w:rPr>
        <w:t xml:space="preserve">and a half </w:t>
      </w:r>
      <w:r>
        <w:rPr>
          <w:lang w:val="en-US"/>
        </w:rPr>
        <w:t xml:space="preserve">years. </w:t>
      </w:r>
      <w:r w:rsidR="00EB5E0E">
        <w:rPr>
          <w:lang w:val="en-US"/>
        </w:rPr>
        <w:t>T</w:t>
      </w:r>
      <w:r>
        <w:rPr>
          <w:lang w:val="en-US"/>
        </w:rPr>
        <w:t>he pretrial investigation lasted for two years and four months</w:t>
      </w:r>
      <w:r w:rsidR="00EB5E0E">
        <w:rPr>
          <w:lang w:val="en-US"/>
        </w:rPr>
        <w:t xml:space="preserve">; and </w:t>
      </w:r>
      <w:r>
        <w:rPr>
          <w:lang w:val="en-US"/>
        </w:rPr>
        <w:t>the adjudication of his criminal case</w:t>
      </w:r>
      <w:r w:rsidR="00EB5E0E">
        <w:rPr>
          <w:lang w:val="en-US"/>
        </w:rPr>
        <w:t xml:space="preserve"> in court at the </w:t>
      </w:r>
      <w:r>
        <w:rPr>
          <w:lang w:val="en-US"/>
        </w:rPr>
        <w:t>first instance</w:t>
      </w:r>
      <w:r w:rsidR="00EB5E0E">
        <w:rPr>
          <w:lang w:val="en-US"/>
        </w:rPr>
        <w:t xml:space="preserve"> stage</w:t>
      </w:r>
      <w:r>
        <w:rPr>
          <w:lang w:val="en-US"/>
        </w:rPr>
        <w:t xml:space="preserve"> lasted five years and 10 months</w:t>
      </w:r>
      <w:r w:rsidR="00EB5E0E">
        <w:rPr>
          <w:lang w:val="en-US"/>
        </w:rPr>
        <w:t>, whereas t</w:t>
      </w:r>
      <w:r>
        <w:rPr>
          <w:lang w:val="en-US"/>
        </w:rPr>
        <w:t xml:space="preserve">he proceedings before the court of appeal lasted for almost a year. </w:t>
      </w:r>
      <w:r w:rsidR="00EB5E0E">
        <w:rPr>
          <w:lang w:val="en-US"/>
        </w:rPr>
        <w:t>T</w:t>
      </w:r>
      <w:r>
        <w:rPr>
          <w:lang w:val="en-US"/>
        </w:rPr>
        <w:t xml:space="preserve">he proceedings before the </w:t>
      </w:r>
      <w:r w:rsidR="00EB5E0E">
        <w:rPr>
          <w:lang w:val="en-US"/>
        </w:rPr>
        <w:t xml:space="preserve">Supreme Court </w:t>
      </w:r>
      <w:r>
        <w:rPr>
          <w:lang w:val="en-US"/>
        </w:rPr>
        <w:t>lasted for more than four months.</w:t>
      </w:r>
    </w:p>
    <w:p w:rsidR="00A15A90" w:rsidRDefault="00A15A90" w:rsidP="00545FE2">
      <w:pPr>
        <w:pStyle w:val="SingleTxtG"/>
        <w:rPr>
          <w:lang w:val="en-US"/>
        </w:rPr>
      </w:pPr>
      <w:r>
        <w:rPr>
          <w:lang w:val="en-US"/>
        </w:rPr>
        <w:t>3.2</w:t>
      </w:r>
      <w:r w:rsidR="00824919">
        <w:rPr>
          <w:lang w:val="en-US"/>
        </w:rPr>
        <w:tab/>
      </w:r>
      <w:r>
        <w:rPr>
          <w:lang w:val="en-US"/>
        </w:rPr>
        <w:t xml:space="preserve">The author </w:t>
      </w:r>
      <w:r w:rsidR="00EB5E0E">
        <w:rPr>
          <w:lang w:val="en-US"/>
        </w:rPr>
        <w:t xml:space="preserve">claims </w:t>
      </w:r>
      <w:r>
        <w:rPr>
          <w:lang w:val="en-US"/>
        </w:rPr>
        <w:t xml:space="preserve">that his criminal case cannot be classified as </w:t>
      </w:r>
      <w:r w:rsidR="005E528C">
        <w:rPr>
          <w:lang w:val="en-US"/>
        </w:rPr>
        <w:t xml:space="preserve">a </w:t>
      </w:r>
      <w:r>
        <w:rPr>
          <w:lang w:val="en-US"/>
        </w:rPr>
        <w:t xml:space="preserve">complex one because the activities for which he was sentenced were carried out </w:t>
      </w:r>
      <w:r w:rsidR="00EB5E0E">
        <w:rPr>
          <w:lang w:val="en-US"/>
        </w:rPr>
        <w:t xml:space="preserve">within </w:t>
      </w:r>
      <w:r>
        <w:rPr>
          <w:lang w:val="en-US"/>
        </w:rPr>
        <w:t xml:space="preserve">a </w:t>
      </w:r>
      <w:r w:rsidR="00EB5E0E">
        <w:rPr>
          <w:lang w:val="en-US"/>
        </w:rPr>
        <w:t xml:space="preserve">very limited </w:t>
      </w:r>
      <w:r>
        <w:rPr>
          <w:lang w:val="en-US"/>
        </w:rPr>
        <w:t>period of time (from 10 October 1994 to 29 June 1995)</w:t>
      </w:r>
      <w:r w:rsidR="00EB5E0E">
        <w:rPr>
          <w:lang w:val="en-US"/>
        </w:rPr>
        <w:t xml:space="preserve">; </w:t>
      </w:r>
      <w:r>
        <w:rPr>
          <w:lang w:val="en-US"/>
        </w:rPr>
        <w:t>the</w:t>
      </w:r>
      <w:r w:rsidR="00EB5E0E">
        <w:rPr>
          <w:lang w:val="en-US"/>
        </w:rPr>
        <w:t>y</w:t>
      </w:r>
      <w:r>
        <w:rPr>
          <w:lang w:val="en-US"/>
        </w:rPr>
        <w:t xml:space="preserve"> were not carried out </w:t>
      </w:r>
      <w:r w:rsidR="00EB5E0E">
        <w:rPr>
          <w:lang w:val="en-US"/>
        </w:rPr>
        <w:t>in</w:t>
      </w:r>
      <w:r>
        <w:rPr>
          <w:lang w:val="en-US"/>
        </w:rPr>
        <w:t xml:space="preserve"> an organized group</w:t>
      </w:r>
      <w:r w:rsidR="00EB5E0E">
        <w:rPr>
          <w:lang w:val="en-US"/>
        </w:rPr>
        <w:t>,</w:t>
      </w:r>
      <w:r>
        <w:rPr>
          <w:lang w:val="en-US"/>
        </w:rPr>
        <w:t xml:space="preserve"> and the</w:t>
      </w:r>
      <w:r w:rsidR="00EB5E0E">
        <w:rPr>
          <w:lang w:val="en-US"/>
        </w:rPr>
        <w:t>ir</w:t>
      </w:r>
      <w:r>
        <w:rPr>
          <w:lang w:val="en-US"/>
        </w:rPr>
        <w:t xml:space="preserve"> nature and contents were </w:t>
      </w:r>
      <w:r w:rsidR="00EB5E0E">
        <w:rPr>
          <w:lang w:val="en-US"/>
        </w:rPr>
        <w:t xml:space="preserve">quite </w:t>
      </w:r>
      <w:r>
        <w:rPr>
          <w:lang w:val="en-US"/>
        </w:rPr>
        <w:t xml:space="preserve">clear. He further states that all the significant information was known </w:t>
      </w:r>
      <w:r w:rsidR="005E528C">
        <w:rPr>
          <w:lang w:val="en-US"/>
        </w:rPr>
        <w:t>at</w:t>
      </w:r>
      <w:r>
        <w:rPr>
          <w:lang w:val="en-US"/>
        </w:rPr>
        <w:t xml:space="preserve"> </w:t>
      </w:r>
      <w:r w:rsidR="005E528C">
        <w:rPr>
          <w:lang w:val="en-US"/>
        </w:rPr>
        <w:t>an</w:t>
      </w:r>
      <w:r>
        <w:rPr>
          <w:lang w:val="en-US"/>
        </w:rPr>
        <w:t xml:space="preserve"> early stage of the pretrial investigation. The inactivity and malpractice of the pretrial investigation and courts </w:t>
      </w:r>
      <w:r w:rsidR="00EB5E0E">
        <w:rPr>
          <w:lang w:val="en-US"/>
        </w:rPr>
        <w:t xml:space="preserve">caused the </w:t>
      </w:r>
      <w:r>
        <w:rPr>
          <w:lang w:val="en-US"/>
        </w:rPr>
        <w:t xml:space="preserve">unreasonably long investigation </w:t>
      </w:r>
      <w:r w:rsidR="00EB5E0E">
        <w:rPr>
          <w:lang w:val="en-US"/>
        </w:rPr>
        <w:t xml:space="preserve">and </w:t>
      </w:r>
      <w:r>
        <w:rPr>
          <w:lang w:val="en-US"/>
        </w:rPr>
        <w:t xml:space="preserve">court proceedings </w:t>
      </w:r>
      <w:r w:rsidR="00EB5E0E">
        <w:rPr>
          <w:lang w:val="en-US"/>
        </w:rPr>
        <w:t xml:space="preserve">in his </w:t>
      </w:r>
      <w:r>
        <w:rPr>
          <w:lang w:val="en-US"/>
        </w:rPr>
        <w:t>case.</w:t>
      </w:r>
    </w:p>
    <w:p w:rsidR="00B4421F" w:rsidRPr="00384F25" w:rsidRDefault="00545FE2" w:rsidP="00545FE2">
      <w:pPr>
        <w:pStyle w:val="H23G"/>
      </w:pPr>
      <w:r>
        <w:lastRenderedPageBreak/>
        <w:tab/>
      </w:r>
      <w:r>
        <w:tab/>
      </w:r>
      <w:r w:rsidR="00B4421F" w:rsidRPr="00384F25">
        <w:t>State party’</w:t>
      </w:r>
      <w:r w:rsidR="00223E1F" w:rsidRPr="00384F25">
        <w:t>s observations on admissibility</w:t>
      </w:r>
    </w:p>
    <w:p w:rsidR="00B95414" w:rsidRDefault="00B4421F" w:rsidP="00545FE2">
      <w:pPr>
        <w:pStyle w:val="SingleTxtG"/>
      </w:pPr>
      <w:r w:rsidRPr="007C1AD9">
        <w:t>4.</w:t>
      </w:r>
      <w:r w:rsidR="00223E1F" w:rsidRPr="007C1AD9">
        <w:t>1</w:t>
      </w:r>
      <w:r w:rsidR="00223E1F" w:rsidRPr="007C1AD9">
        <w:tab/>
      </w:r>
      <w:r w:rsidR="009B76AC" w:rsidRPr="007C1AD9">
        <w:t xml:space="preserve">By </w:t>
      </w:r>
      <w:r w:rsidR="00416CF4">
        <w:t>n</w:t>
      </w:r>
      <w:r w:rsidR="009B76AC" w:rsidRPr="007C1AD9">
        <w:t xml:space="preserve">ote verbale of </w:t>
      </w:r>
      <w:r w:rsidR="00B95414">
        <w:t>12 January 2010</w:t>
      </w:r>
      <w:r w:rsidR="009B76AC" w:rsidRPr="007C1AD9">
        <w:t xml:space="preserve">, the State party </w:t>
      </w:r>
      <w:r w:rsidR="00EB5E0E">
        <w:t xml:space="preserve">challenged the </w:t>
      </w:r>
      <w:r w:rsidR="009B76AC" w:rsidRPr="007C1AD9">
        <w:t>admissibility of the communication</w:t>
      </w:r>
      <w:r w:rsidR="00EB5E0E">
        <w:t xml:space="preserve"> under both </w:t>
      </w:r>
      <w:r w:rsidR="00B95414">
        <w:t>a</w:t>
      </w:r>
      <w:r w:rsidR="00B95414" w:rsidRPr="00B95414">
        <w:t xml:space="preserve">rticles 2 </w:t>
      </w:r>
      <w:r w:rsidR="00B95414">
        <w:t>and 5, paragraph</w:t>
      </w:r>
      <w:r w:rsidR="00B95414" w:rsidRPr="00B95414">
        <w:t xml:space="preserve"> 2 (b)</w:t>
      </w:r>
      <w:r w:rsidR="00B95414">
        <w:t>,</w:t>
      </w:r>
      <w:r w:rsidR="00B95414" w:rsidRPr="00B95414">
        <w:t xml:space="preserve"> of the Optional Protocol to the </w:t>
      </w:r>
      <w:r w:rsidR="00B95414">
        <w:t>Covenant</w:t>
      </w:r>
      <w:r w:rsidR="00B95414" w:rsidRPr="00B95414">
        <w:t xml:space="preserve"> as</w:t>
      </w:r>
      <w:r w:rsidR="005E528C">
        <w:t>,</w:t>
      </w:r>
      <w:r w:rsidR="00B95414" w:rsidRPr="00B95414">
        <w:t xml:space="preserve"> </w:t>
      </w:r>
      <w:r w:rsidR="00EB5E0E">
        <w:t xml:space="preserve">according to it, </w:t>
      </w:r>
      <w:r w:rsidR="00B95414" w:rsidRPr="00B95414">
        <w:t>the author’s allegations are non-substantiated and</w:t>
      </w:r>
      <w:r w:rsidR="00EB5E0E">
        <w:t xml:space="preserve"> in addition the author’s </w:t>
      </w:r>
      <w:r w:rsidR="00B95414" w:rsidRPr="00B95414">
        <w:t xml:space="preserve">allegations raised in the </w:t>
      </w:r>
      <w:r w:rsidR="00EB5E0E">
        <w:t xml:space="preserve">present </w:t>
      </w:r>
      <w:r w:rsidR="00B95414" w:rsidRPr="00B95414">
        <w:t xml:space="preserve">communication were </w:t>
      </w:r>
      <w:r w:rsidR="00EB5E0E">
        <w:t>never brought to the State party’s authorities and thus domestic remedies have not been exhausted</w:t>
      </w:r>
      <w:r w:rsidR="00B95414" w:rsidRPr="00B95414">
        <w:t>.</w:t>
      </w:r>
    </w:p>
    <w:p w:rsidR="00B95414" w:rsidRDefault="00545FE2" w:rsidP="00545FE2">
      <w:pPr>
        <w:pStyle w:val="SingleTxtG"/>
      </w:pPr>
      <w:r>
        <w:t>4.2</w:t>
      </w:r>
      <w:r>
        <w:tab/>
      </w:r>
      <w:r w:rsidR="00EB5E0E">
        <w:t>T</w:t>
      </w:r>
      <w:r w:rsidR="00B95414">
        <w:t xml:space="preserve">he State </w:t>
      </w:r>
      <w:r w:rsidR="005E528C">
        <w:t xml:space="preserve">party </w:t>
      </w:r>
      <w:r w:rsidR="00EB5E0E">
        <w:t xml:space="preserve">recalls </w:t>
      </w:r>
      <w:r w:rsidR="00B95414">
        <w:t>the fact</w:t>
      </w:r>
      <w:r w:rsidR="00EB5E0E">
        <w:t xml:space="preserve">s </w:t>
      </w:r>
      <w:r w:rsidR="00B95414">
        <w:t>of the case</w:t>
      </w:r>
      <w:r w:rsidR="00EB5E0E">
        <w:t>: t</w:t>
      </w:r>
      <w:r w:rsidR="00B95414">
        <w:t>he author</w:t>
      </w:r>
      <w:r w:rsidR="00EB5E0E">
        <w:t xml:space="preserve"> </w:t>
      </w:r>
      <w:r w:rsidR="00416CF4">
        <w:t>–</w:t>
      </w:r>
      <w:r w:rsidR="00EB5E0E">
        <w:t xml:space="preserve"> </w:t>
      </w:r>
      <w:r w:rsidR="00B95414">
        <w:t xml:space="preserve">the director of </w:t>
      </w:r>
      <w:r w:rsidR="00EB5E0E">
        <w:t>a</w:t>
      </w:r>
      <w:r w:rsidR="00B95414">
        <w:t xml:space="preserve"> company</w:t>
      </w:r>
      <w:r w:rsidR="00EB5E0E">
        <w:t xml:space="preserve"> named</w:t>
      </w:r>
      <w:r w:rsidR="00B95414">
        <w:t xml:space="preserve"> </w:t>
      </w:r>
      <w:r w:rsidR="00B95414" w:rsidRPr="007A564A">
        <w:t>Skiedra</w:t>
      </w:r>
      <w:r w:rsidR="00EB5E0E" w:rsidRPr="007A564A">
        <w:t xml:space="preserve"> Ltd.</w:t>
      </w:r>
      <w:r w:rsidR="00EB5E0E">
        <w:t xml:space="preserve"> </w:t>
      </w:r>
      <w:r w:rsidR="00416CF4">
        <w:t>–</w:t>
      </w:r>
      <w:r w:rsidR="00EB5E0E">
        <w:t xml:space="preserve"> </w:t>
      </w:r>
      <w:r w:rsidR="00B95414">
        <w:t>was suspected of various offences</w:t>
      </w:r>
      <w:r w:rsidR="00416CF4">
        <w:t>,</w:t>
      </w:r>
      <w:r w:rsidR="00B95414">
        <w:t xml:space="preserve"> </w:t>
      </w:r>
      <w:r w:rsidR="00EB5E0E">
        <w:t xml:space="preserve">including </w:t>
      </w:r>
      <w:r w:rsidR="00B95414">
        <w:t xml:space="preserve">financial fraud. </w:t>
      </w:r>
      <w:r w:rsidR="00EB5E0E">
        <w:t>O</w:t>
      </w:r>
      <w:r w:rsidR="00B95414">
        <w:t>n 25 August 1995</w:t>
      </w:r>
      <w:r w:rsidR="005369DA">
        <w:t>,</w:t>
      </w:r>
      <w:r w:rsidR="00B95414">
        <w:t xml:space="preserve"> </w:t>
      </w:r>
      <w:r w:rsidR="00EB5E0E">
        <w:t>a</w:t>
      </w:r>
      <w:r w:rsidR="00B95414">
        <w:t xml:space="preserve"> criminal case concerning fraudulent book</w:t>
      </w:r>
      <w:r w:rsidR="00EB5E0E">
        <w:t>-</w:t>
      </w:r>
      <w:r w:rsidR="00B95414">
        <w:t xml:space="preserve">keeping under </w:t>
      </w:r>
      <w:r w:rsidR="00B95414" w:rsidRPr="007A564A">
        <w:t>article 323 of the Criminal Code applicable</w:t>
      </w:r>
      <w:r w:rsidR="00B95414">
        <w:t xml:space="preserve"> at that time</w:t>
      </w:r>
      <w:r w:rsidR="005369DA">
        <w:t xml:space="preserve"> was opened. </w:t>
      </w:r>
      <w:r w:rsidR="00EB5E0E">
        <w:t xml:space="preserve">Another criminal case was opened </w:t>
      </w:r>
      <w:r w:rsidR="00B95414">
        <w:t>on 10 April 1996</w:t>
      </w:r>
      <w:r w:rsidR="00EB5E0E">
        <w:t xml:space="preserve">, concerning an inadequate </w:t>
      </w:r>
      <w:r w:rsidR="00B95414">
        <w:t>us</w:t>
      </w:r>
      <w:r w:rsidR="00EB5E0E">
        <w:t>e</w:t>
      </w:r>
      <w:r w:rsidR="00B95414">
        <w:t xml:space="preserve"> </w:t>
      </w:r>
      <w:r w:rsidR="00EB5E0E">
        <w:t>of a</w:t>
      </w:r>
      <w:r w:rsidR="00B95414">
        <w:t xml:space="preserve"> </w:t>
      </w:r>
      <w:r w:rsidR="00474A07">
        <w:t xml:space="preserve">company </w:t>
      </w:r>
      <w:r w:rsidR="00B95414">
        <w:t>loan</w:t>
      </w:r>
      <w:r w:rsidR="00474A07">
        <w:t xml:space="preserve">, under </w:t>
      </w:r>
      <w:r w:rsidR="00B95414">
        <w:t>article 314 of the Criminal Code</w:t>
      </w:r>
      <w:r w:rsidR="00474A07">
        <w:t xml:space="preserve">. On </w:t>
      </w:r>
      <w:r w:rsidR="00B95414">
        <w:t>14 November 1996</w:t>
      </w:r>
      <w:r w:rsidR="00474A07">
        <w:t>,</w:t>
      </w:r>
      <w:r w:rsidR="00B95414">
        <w:t xml:space="preserve"> </w:t>
      </w:r>
      <w:r w:rsidR="00474A07">
        <w:t>a</w:t>
      </w:r>
      <w:r w:rsidR="00B95414">
        <w:t xml:space="preserve"> third criminal case was </w:t>
      </w:r>
      <w:r w:rsidR="005E528C">
        <w:t>initiated</w:t>
      </w:r>
      <w:r w:rsidR="00474A07">
        <w:t>,</w:t>
      </w:r>
      <w:r w:rsidR="00B95414">
        <w:t xml:space="preserve"> concerning the appropriation and embezzlement of </w:t>
      </w:r>
      <w:r w:rsidR="00474A07">
        <w:t xml:space="preserve">the </w:t>
      </w:r>
      <w:r w:rsidR="00B95414">
        <w:t>company’s property</w:t>
      </w:r>
      <w:r w:rsidR="00474A07">
        <w:t>,</w:t>
      </w:r>
      <w:r w:rsidR="00B95414">
        <w:t xml:space="preserve"> under article 275 of the Criminal Code. </w:t>
      </w:r>
      <w:r w:rsidR="00B95414" w:rsidRPr="000610C2">
        <w:t xml:space="preserve">All three cases were </w:t>
      </w:r>
      <w:r w:rsidR="00474A07">
        <w:t>merged into one o</w:t>
      </w:r>
      <w:r w:rsidR="00B95414" w:rsidRPr="000610C2">
        <w:t>n 27 November 1996. On 26 February 2003</w:t>
      </w:r>
      <w:r w:rsidR="005E528C">
        <w:t>,</w:t>
      </w:r>
      <w:r w:rsidR="00B95414" w:rsidRPr="000610C2">
        <w:t xml:space="preserve"> the author was found guilty by Alytus District Court</w:t>
      </w:r>
      <w:r w:rsidR="00474A07">
        <w:t>; this</w:t>
      </w:r>
      <w:r w:rsidR="00B95414" w:rsidRPr="000610C2">
        <w:t xml:space="preserve"> decision was upheld</w:t>
      </w:r>
      <w:r w:rsidR="00474A07">
        <w:t>,</w:t>
      </w:r>
      <w:r w:rsidR="00B95414" w:rsidRPr="000610C2">
        <w:t xml:space="preserve"> on 2 March 2004</w:t>
      </w:r>
      <w:r w:rsidR="00474A07">
        <w:t>,</w:t>
      </w:r>
      <w:r w:rsidR="00B95414" w:rsidRPr="000610C2">
        <w:t xml:space="preserve"> by the </w:t>
      </w:r>
      <w:smartTag w:uri="urn:schemas-microsoft-com:office:smarttags" w:element="Street">
        <w:smartTag w:uri="urn:schemas-microsoft-com:office:smarttags" w:element="address">
          <w:r w:rsidR="00B95414" w:rsidRPr="000610C2">
            <w:t>Kaunas Regional Court</w:t>
          </w:r>
        </w:smartTag>
      </w:smartTag>
      <w:r w:rsidR="00B95414" w:rsidRPr="000610C2">
        <w:t xml:space="preserve">. The author was sentenced to </w:t>
      </w:r>
      <w:r w:rsidR="00B95414">
        <w:t xml:space="preserve">two </w:t>
      </w:r>
      <w:r w:rsidR="00F81FA3">
        <w:t xml:space="preserve">and a half </w:t>
      </w:r>
      <w:r w:rsidR="00B95414">
        <w:t>years</w:t>
      </w:r>
      <w:r w:rsidR="00F81FA3">
        <w:t>’</w:t>
      </w:r>
      <w:r w:rsidR="00B95414">
        <w:t xml:space="preserve"> </w:t>
      </w:r>
      <w:r w:rsidR="00B95414" w:rsidRPr="000610C2">
        <w:t xml:space="preserve">imprisonment and this penalty in accordance with </w:t>
      </w:r>
      <w:r w:rsidR="00474A07">
        <w:t xml:space="preserve">an amnesty law </w:t>
      </w:r>
      <w:r w:rsidR="00B95414" w:rsidRPr="000610C2">
        <w:t>was reduced by</w:t>
      </w:r>
      <w:r w:rsidR="00B95414">
        <w:t xml:space="preserve"> </w:t>
      </w:r>
      <w:r w:rsidR="00BF779B">
        <w:t>20 per cent</w:t>
      </w:r>
      <w:r w:rsidR="00B95414" w:rsidRPr="000610C2">
        <w:t xml:space="preserve">. </w:t>
      </w:r>
      <w:r w:rsidR="00474A07">
        <w:t>O</w:t>
      </w:r>
      <w:r w:rsidR="00B95414" w:rsidRPr="000610C2">
        <w:t>n 12 November 2004</w:t>
      </w:r>
      <w:r w:rsidR="00474A07">
        <w:t xml:space="preserve">, </w:t>
      </w:r>
      <w:r w:rsidR="00B95414" w:rsidRPr="000610C2">
        <w:t>the Supreme Court</w:t>
      </w:r>
      <w:r w:rsidR="00474A07">
        <w:t xml:space="preserve"> </w:t>
      </w:r>
      <w:r w:rsidR="00B95414" w:rsidRPr="000610C2">
        <w:t>rejected the author’s cassation appeal</w:t>
      </w:r>
      <w:r w:rsidR="00BF779B">
        <w:t>.</w:t>
      </w:r>
      <w:r w:rsidR="00474A07">
        <w:rPr>
          <w:rStyle w:val="FootnoteReference"/>
        </w:rPr>
        <w:footnoteReference w:id="6"/>
      </w:r>
    </w:p>
    <w:p w:rsidR="00874639" w:rsidRDefault="00545FE2" w:rsidP="00545FE2">
      <w:pPr>
        <w:pStyle w:val="SingleTxtG"/>
      </w:pPr>
      <w:r>
        <w:t>4.3</w:t>
      </w:r>
      <w:r>
        <w:tab/>
      </w:r>
      <w:r w:rsidR="00B95414">
        <w:t xml:space="preserve">The State party </w:t>
      </w:r>
      <w:r w:rsidR="00796037">
        <w:t>observes that</w:t>
      </w:r>
      <w:r w:rsidR="00BF779B">
        <w:t>,</w:t>
      </w:r>
      <w:r w:rsidR="00796037">
        <w:t xml:space="preserve"> in accordance with the </w:t>
      </w:r>
      <w:r w:rsidR="00B95414">
        <w:t>well-established principle of international law</w:t>
      </w:r>
      <w:r w:rsidR="00796037">
        <w:t>,</w:t>
      </w:r>
      <w:r w:rsidR="00B95414">
        <w:t xml:space="preserve"> reflected in the Optional Protocol to the Covenant</w:t>
      </w:r>
      <w:r w:rsidR="00796037">
        <w:t xml:space="preserve">, </w:t>
      </w:r>
      <w:r w:rsidR="00B95414">
        <w:t xml:space="preserve">before resorting to international mechanisms one </w:t>
      </w:r>
      <w:r w:rsidR="00796037">
        <w:t>must first seek justice at home</w:t>
      </w:r>
      <w:r w:rsidR="00EA1CEE">
        <w:t xml:space="preserve">, but this </w:t>
      </w:r>
      <w:r w:rsidR="00796037">
        <w:t>principle</w:t>
      </w:r>
      <w:r w:rsidR="00B95414">
        <w:t xml:space="preserve"> was not </w:t>
      </w:r>
      <w:r w:rsidR="00EA1CEE">
        <w:t xml:space="preserve">respected </w:t>
      </w:r>
      <w:r w:rsidR="00B95414">
        <w:t xml:space="preserve">in the present case. </w:t>
      </w:r>
      <w:r w:rsidR="00EA1CEE">
        <w:t xml:space="preserve">According to the State party, the author </w:t>
      </w:r>
      <w:r w:rsidR="00B95414" w:rsidRPr="00137189">
        <w:t>never</w:t>
      </w:r>
      <w:r w:rsidR="00B95414">
        <w:t xml:space="preserve"> complain</w:t>
      </w:r>
      <w:r w:rsidR="00BF779B">
        <w:t>ed</w:t>
      </w:r>
      <w:r w:rsidR="00B95414">
        <w:t xml:space="preserve"> </w:t>
      </w:r>
      <w:r w:rsidR="00EA1CEE">
        <w:t xml:space="preserve">in court </w:t>
      </w:r>
      <w:r w:rsidR="00B95414">
        <w:t>regard</w:t>
      </w:r>
      <w:r w:rsidR="00EA1CEE">
        <w:t>ing</w:t>
      </w:r>
      <w:r w:rsidR="00B95414">
        <w:t xml:space="preserve"> the length of </w:t>
      </w:r>
      <w:r w:rsidR="00EA1CEE">
        <w:t xml:space="preserve">the </w:t>
      </w:r>
      <w:r w:rsidR="00B95414">
        <w:t xml:space="preserve">criminal proceedings, nor </w:t>
      </w:r>
      <w:r w:rsidR="00EA1CEE">
        <w:t xml:space="preserve">did he </w:t>
      </w:r>
      <w:r w:rsidR="005369DA">
        <w:t>draw</w:t>
      </w:r>
      <w:r w:rsidR="00EA1CEE">
        <w:t xml:space="preserve"> this claim to the attention of the c</w:t>
      </w:r>
      <w:r w:rsidR="00B95414">
        <w:t xml:space="preserve">ourt of </w:t>
      </w:r>
      <w:r w:rsidR="00EA1CEE">
        <w:t>a</w:t>
      </w:r>
      <w:r w:rsidR="00B95414">
        <w:t xml:space="preserve">ppeal or </w:t>
      </w:r>
      <w:r w:rsidR="00EA1CEE">
        <w:t xml:space="preserve">of </w:t>
      </w:r>
      <w:r w:rsidR="00B95414">
        <w:t xml:space="preserve">the Supreme Court. </w:t>
      </w:r>
      <w:r w:rsidR="00EA1CEE">
        <w:t>In these circumstances</w:t>
      </w:r>
      <w:r w:rsidR="00874639">
        <w:t>,</w:t>
      </w:r>
      <w:r w:rsidR="00B95414">
        <w:t xml:space="preserve"> the Committee should reject the communication</w:t>
      </w:r>
      <w:r w:rsidR="00B95414" w:rsidRPr="000F1F01">
        <w:t xml:space="preserve"> </w:t>
      </w:r>
      <w:r w:rsidR="00EA1CEE">
        <w:t xml:space="preserve">for </w:t>
      </w:r>
      <w:r w:rsidR="00B95414" w:rsidRPr="000F1F01">
        <w:t>fail</w:t>
      </w:r>
      <w:r w:rsidR="00EA1CEE">
        <w:t>ure</w:t>
      </w:r>
      <w:r w:rsidR="00B95414" w:rsidRPr="000F1F01">
        <w:t xml:space="preserve"> to exhaust domestic remedies.</w:t>
      </w:r>
      <w:r w:rsidR="00B95414">
        <w:t xml:space="preserve"> </w:t>
      </w:r>
    </w:p>
    <w:p w:rsidR="00874639" w:rsidRDefault="00545FE2" w:rsidP="00545FE2">
      <w:pPr>
        <w:pStyle w:val="SingleTxtG"/>
      </w:pPr>
      <w:r>
        <w:t>4.4</w:t>
      </w:r>
      <w:r>
        <w:tab/>
      </w:r>
      <w:r w:rsidR="00B95414">
        <w:t xml:space="preserve">The </w:t>
      </w:r>
      <w:r w:rsidR="00197F59">
        <w:t>State party</w:t>
      </w:r>
      <w:r w:rsidR="00EA1CEE">
        <w:t xml:space="preserve"> adds in this context </w:t>
      </w:r>
      <w:r w:rsidR="00B95414" w:rsidRPr="00874639">
        <w:t xml:space="preserve">that that the author was able to </w:t>
      </w:r>
      <w:r w:rsidR="00EA1CEE">
        <w:t xml:space="preserve">complain </w:t>
      </w:r>
      <w:r w:rsidR="00B95414" w:rsidRPr="00874639">
        <w:t>against the State in respect of allegedly prolonged criminal proceedings in accordance with the common grounds of liability for damages</w:t>
      </w:r>
      <w:r w:rsidR="00874639">
        <w:t xml:space="preserve">. </w:t>
      </w:r>
      <w:r w:rsidR="00EA1CEE" w:rsidRPr="00EE4059">
        <w:t>A</w:t>
      </w:r>
      <w:r w:rsidR="00B95414" w:rsidRPr="00EE4059">
        <w:t xml:space="preserve">rticle 30 of the </w:t>
      </w:r>
      <w:r w:rsidR="00EA1CEE" w:rsidRPr="00EE4059">
        <w:t xml:space="preserve">Lithuanian </w:t>
      </w:r>
      <w:r w:rsidR="00B95414" w:rsidRPr="00EE4059">
        <w:t>Constitution</w:t>
      </w:r>
      <w:r w:rsidR="00EA1CEE" w:rsidRPr="00EE4059">
        <w:t xml:space="preserve"> </w:t>
      </w:r>
      <w:r w:rsidR="00874639" w:rsidRPr="00EE4059">
        <w:t xml:space="preserve">provides that </w:t>
      </w:r>
      <w:r w:rsidR="00EA1CEE" w:rsidRPr="00EE4059">
        <w:t>“</w:t>
      </w:r>
      <w:r w:rsidR="00EA1CEE" w:rsidRPr="00EE4059">
        <w:rPr>
          <w:bCs/>
          <w:iCs/>
        </w:rPr>
        <w:t>a</w:t>
      </w:r>
      <w:r w:rsidR="00B95414" w:rsidRPr="00EE4059">
        <w:rPr>
          <w:bCs/>
          <w:iCs/>
        </w:rPr>
        <w:t xml:space="preserve"> person whose rights or freedoms are violated shall have the right to apply to court.</w:t>
      </w:r>
      <w:r w:rsidR="00874639" w:rsidRPr="00EE4059">
        <w:t xml:space="preserve"> </w:t>
      </w:r>
      <w:r w:rsidR="00B95414" w:rsidRPr="00EE4059">
        <w:rPr>
          <w:bCs/>
          <w:iCs/>
        </w:rPr>
        <w:t>Compensation for material and moral damage inflicted upon a person shall be established by law”</w:t>
      </w:r>
      <w:r w:rsidR="002147A1" w:rsidRPr="00EE4059">
        <w:rPr>
          <w:bCs/>
          <w:iCs/>
        </w:rPr>
        <w:t>.</w:t>
      </w:r>
    </w:p>
    <w:p w:rsidR="00874639" w:rsidRDefault="00545FE2" w:rsidP="00545FE2">
      <w:pPr>
        <w:pStyle w:val="SingleTxtG"/>
      </w:pPr>
      <w:r>
        <w:t>4.5</w:t>
      </w:r>
      <w:r>
        <w:tab/>
      </w:r>
      <w:r w:rsidR="00B95414">
        <w:t>Further, in accordance with</w:t>
      </w:r>
      <w:r w:rsidR="00874639">
        <w:t xml:space="preserve"> a</w:t>
      </w:r>
      <w:r w:rsidR="00B95414" w:rsidRPr="00C2390E">
        <w:t xml:space="preserve">rticles </w:t>
      </w:r>
      <w:r w:rsidR="00B95414" w:rsidRPr="00EE4059">
        <w:t>483 and 484</w:t>
      </w:r>
      <w:r w:rsidR="00B95414" w:rsidRPr="00C2390E">
        <w:t xml:space="preserve"> of the Civil Code effective until 1 July 2001 and/or directly relying on the provisions of the </w:t>
      </w:r>
      <w:r w:rsidR="00B95414">
        <w:t xml:space="preserve">European </w:t>
      </w:r>
      <w:r w:rsidR="00B95414" w:rsidRPr="00C2390E">
        <w:t xml:space="preserve">Convention </w:t>
      </w:r>
      <w:r w:rsidR="00B95414">
        <w:t>on Human Rights or on the Covenant</w:t>
      </w:r>
      <w:r w:rsidR="00874639">
        <w:t>,</w:t>
      </w:r>
      <w:r w:rsidR="00B95414">
        <w:t xml:space="preserve"> as these international treaties have</w:t>
      </w:r>
      <w:r w:rsidR="00B95414" w:rsidRPr="00C2390E">
        <w:t xml:space="preserve"> been part of Lithuanian domestic law sinc</w:t>
      </w:r>
      <w:r w:rsidR="00B95414" w:rsidRPr="00EE4059">
        <w:t>e 20 June 1995 and 20 February 1992</w:t>
      </w:r>
      <w:r w:rsidR="002147A1">
        <w:t>,</w:t>
      </w:r>
      <w:r w:rsidR="00B95414">
        <w:t xml:space="preserve"> respectively, when they </w:t>
      </w:r>
      <w:r w:rsidR="00B95414" w:rsidRPr="00C2390E">
        <w:t>came into force</w:t>
      </w:r>
      <w:r w:rsidR="00B95414">
        <w:t xml:space="preserve"> with regard to Lithuania</w:t>
      </w:r>
      <w:r w:rsidR="00874639">
        <w:t xml:space="preserve">, the author could have claimed compensation for damages </w:t>
      </w:r>
      <w:r w:rsidR="00874639" w:rsidRPr="002F4D4F">
        <w:t xml:space="preserve">caused by the unlawful acts of the court in </w:t>
      </w:r>
      <w:r w:rsidR="00874639">
        <w:t xml:space="preserve">a </w:t>
      </w:r>
      <w:r w:rsidR="00874639" w:rsidRPr="002F4D4F">
        <w:t>case</w:t>
      </w:r>
      <w:r w:rsidR="00B95414">
        <w:t xml:space="preserve">. </w:t>
      </w:r>
      <w:r w:rsidR="00EA1CEE">
        <w:t>U</w:t>
      </w:r>
      <w:r w:rsidR="00874639">
        <w:t>nder a</w:t>
      </w:r>
      <w:r w:rsidR="00B95414" w:rsidRPr="00C2390E">
        <w:t xml:space="preserve">rticle </w:t>
      </w:r>
      <w:r w:rsidR="00B95414" w:rsidRPr="00EE4059">
        <w:t>138</w:t>
      </w:r>
      <w:r w:rsidR="00874639" w:rsidRPr="00EE4059">
        <w:t>, paragraph 2,</w:t>
      </w:r>
      <w:r w:rsidR="00874639">
        <w:t xml:space="preserve"> </w:t>
      </w:r>
      <w:r w:rsidR="00B95414" w:rsidRPr="00C2390E">
        <w:t>of the Constitution</w:t>
      </w:r>
      <w:r w:rsidR="008A00E0">
        <w:t xml:space="preserve">, </w:t>
      </w:r>
      <w:r w:rsidR="00B95414" w:rsidRPr="00C2390E">
        <w:t xml:space="preserve">international treaties </w:t>
      </w:r>
      <w:r w:rsidR="008A00E0">
        <w:t xml:space="preserve">which are </w:t>
      </w:r>
      <w:r w:rsidR="00B95414" w:rsidRPr="00C2390E">
        <w:t xml:space="preserve">ratified by the </w:t>
      </w:r>
      <w:r w:rsidR="00EA1CEE">
        <w:t xml:space="preserve">parliament </w:t>
      </w:r>
      <w:r w:rsidR="00874639">
        <w:t>are</w:t>
      </w:r>
      <w:r w:rsidR="002147A1">
        <w:t xml:space="preserve"> </w:t>
      </w:r>
      <w:r w:rsidR="00B95414" w:rsidRPr="00C2390E">
        <w:t>constituent part</w:t>
      </w:r>
      <w:r w:rsidR="003F7338">
        <w:t>s</w:t>
      </w:r>
      <w:r w:rsidR="00B95414" w:rsidRPr="00C2390E">
        <w:t xml:space="preserve"> of the legal system</w:t>
      </w:r>
      <w:r w:rsidR="00B95414">
        <w:t xml:space="preserve">. </w:t>
      </w:r>
    </w:p>
    <w:p w:rsidR="00874639" w:rsidRDefault="00545FE2" w:rsidP="00545FE2">
      <w:pPr>
        <w:pStyle w:val="SingleTxtG"/>
      </w:pPr>
      <w:r>
        <w:t>4.6</w:t>
      </w:r>
      <w:r>
        <w:tab/>
      </w:r>
      <w:r w:rsidR="00B95414">
        <w:t>In</w:t>
      </w:r>
      <w:r w:rsidR="00B95414" w:rsidRPr="002F4D4F">
        <w:t xml:space="preserve"> this regard the </w:t>
      </w:r>
      <w:r w:rsidR="00874639">
        <w:t xml:space="preserve">State party </w:t>
      </w:r>
      <w:r w:rsidR="007D4508">
        <w:t>refers</w:t>
      </w:r>
      <w:r w:rsidR="000D77F6">
        <w:t xml:space="preserve"> to a </w:t>
      </w:r>
      <w:r w:rsidR="00B95414" w:rsidRPr="000D6643">
        <w:t xml:space="preserve">case against the </w:t>
      </w:r>
      <w:r w:rsidR="00874639">
        <w:t>national authorities</w:t>
      </w:r>
      <w:r w:rsidR="00B95414" w:rsidRPr="000D6643">
        <w:t xml:space="preserve"> for compensation of damages </w:t>
      </w:r>
      <w:r w:rsidR="00B95414" w:rsidRPr="00791D6B">
        <w:t>inter alia</w:t>
      </w:r>
      <w:r w:rsidR="00B95414" w:rsidRPr="000D6643">
        <w:t xml:space="preserve"> for </w:t>
      </w:r>
      <w:r w:rsidR="000D77F6">
        <w:t xml:space="preserve">undue delay, </w:t>
      </w:r>
      <w:r w:rsidR="00B95414" w:rsidRPr="000D6643">
        <w:t>whe</w:t>
      </w:r>
      <w:r w:rsidR="000D77F6">
        <w:t>re</w:t>
      </w:r>
      <w:r w:rsidR="00B95414" w:rsidRPr="000D6643">
        <w:t xml:space="preserve"> the Supreme Court</w:t>
      </w:r>
      <w:r w:rsidR="000D77F6">
        <w:t>, on</w:t>
      </w:r>
      <w:r w:rsidR="00B95414">
        <w:t xml:space="preserve"> </w:t>
      </w:r>
      <w:r w:rsidR="00B95414" w:rsidRPr="009B5245">
        <w:t>22 November 2000</w:t>
      </w:r>
      <w:r w:rsidR="000D77F6">
        <w:t xml:space="preserve">, </w:t>
      </w:r>
      <w:r w:rsidR="00B95414">
        <w:t xml:space="preserve">case </w:t>
      </w:r>
      <w:r w:rsidR="003F7338">
        <w:t>N</w:t>
      </w:r>
      <w:r w:rsidR="00B95414">
        <w:t>o. 3K-3-1231/2000</w:t>
      </w:r>
      <w:r w:rsidR="000D77F6">
        <w:t>,</w:t>
      </w:r>
      <w:r w:rsidR="00B95414">
        <w:t xml:space="preserve"> </w:t>
      </w:r>
      <w:r w:rsidR="00B95414" w:rsidRPr="000D6643">
        <w:t>applied directly the provisions concerning the “reasonable time” requirement of the European Conv</w:t>
      </w:r>
      <w:r w:rsidR="00874639">
        <w:t>ention on Human Rights, namely article 6, paragraph</w:t>
      </w:r>
      <w:r w:rsidR="00B95414" w:rsidRPr="000D6643">
        <w:t xml:space="preserve"> 1</w:t>
      </w:r>
      <w:r w:rsidR="00796037">
        <w:t>,</w:t>
      </w:r>
      <w:r w:rsidR="00B95414" w:rsidRPr="000D6643">
        <w:t xml:space="preserve"> in this regard.</w:t>
      </w:r>
      <w:r w:rsidR="00B95414" w:rsidRPr="009B5245">
        <w:t xml:space="preserve"> In the said civil case</w:t>
      </w:r>
      <w:r w:rsidR="000D77F6">
        <w:t>,</w:t>
      </w:r>
      <w:r w:rsidR="00B95414" w:rsidRPr="009B5245">
        <w:t xml:space="preserve"> the plaintiff </w:t>
      </w:r>
      <w:r w:rsidR="000D77F6">
        <w:t>had</w:t>
      </w:r>
      <w:r w:rsidR="00874639">
        <w:t xml:space="preserve"> </w:t>
      </w:r>
      <w:r w:rsidR="005369DA">
        <w:t>referred</w:t>
      </w:r>
      <w:r w:rsidR="00874639">
        <w:t xml:space="preserve"> to article 6, paragraph </w:t>
      </w:r>
      <w:r w:rsidR="00B95414" w:rsidRPr="009B5245">
        <w:t>1</w:t>
      </w:r>
      <w:r w:rsidR="00796037">
        <w:t>,</w:t>
      </w:r>
      <w:r w:rsidR="00B95414" w:rsidRPr="009B5245">
        <w:t xml:space="preserve"> of the European Convention on Human Rights </w:t>
      </w:r>
      <w:r w:rsidR="005369DA">
        <w:t>an</w:t>
      </w:r>
      <w:r w:rsidR="000D77F6">
        <w:t xml:space="preserve">d </w:t>
      </w:r>
      <w:r w:rsidR="00B95414" w:rsidRPr="009B5245">
        <w:t xml:space="preserve">claimed that his case </w:t>
      </w:r>
      <w:r w:rsidR="000D77F6">
        <w:t xml:space="preserve">for </w:t>
      </w:r>
      <w:r w:rsidR="00B95414" w:rsidRPr="009B5245">
        <w:t xml:space="preserve">compensation of damages for his allegedly unlawful criminal </w:t>
      </w:r>
      <w:r w:rsidR="00874639" w:rsidRPr="009B5245">
        <w:t>prosecution and</w:t>
      </w:r>
      <w:r w:rsidR="00B95414" w:rsidRPr="009B5245">
        <w:t xml:space="preserve"> </w:t>
      </w:r>
      <w:r w:rsidR="00B95414" w:rsidRPr="009B5245">
        <w:lastRenderedPageBreak/>
        <w:t xml:space="preserve">unlawful detention was not heard within </w:t>
      </w:r>
      <w:r w:rsidR="000D77F6">
        <w:t>a</w:t>
      </w:r>
      <w:r w:rsidR="00B95414" w:rsidRPr="009B5245">
        <w:t xml:space="preserve"> reasonable time</w:t>
      </w:r>
      <w:r w:rsidR="000D77F6">
        <w:t xml:space="preserve">; he </w:t>
      </w:r>
      <w:r w:rsidR="00B95414" w:rsidRPr="009B5245">
        <w:t xml:space="preserve">asked </w:t>
      </w:r>
      <w:r w:rsidR="000D77F6">
        <w:t xml:space="preserve">a </w:t>
      </w:r>
      <w:r w:rsidR="00B95414" w:rsidRPr="009B5245">
        <w:t>compensation f</w:t>
      </w:r>
      <w:r w:rsidR="000D77F6">
        <w:t>or a</w:t>
      </w:r>
      <w:r w:rsidR="00B95414" w:rsidRPr="009B5245">
        <w:t xml:space="preserve"> non-pecuniary damage. </w:t>
      </w:r>
      <w:r w:rsidR="00B95414" w:rsidRPr="0014027F">
        <w:t>The Supreme Court</w:t>
      </w:r>
      <w:r w:rsidR="000D77F6">
        <w:t>,</w:t>
      </w:r>
      <w:r w:rsidR="00B95414" w:rsidRPr="0014027F">
        <w:t xml:space="preserve"> upon assessing all particular circumstances of the</w:t>
      </w:r>
      <w:r w:rsidR="00B95414">
        <w:t xml:space="preserve"> </w:t>
      </w:r>
      <w:r w:rsidR="00B95414" w:rsidRPr="0014027F">
        <w:t>case in the light of the criteria established in the case</w:t>
      </w:r>
      <w:r w:rsidR="003F7338">
        <w:t xml:space="preserve"> </w:t>
      </w:r>
      <w:r w:rsidR="00B95414" w:rsidRPr="0014027F">
        <w:t>law of the European Court of Huma</w:t>
      </w:r>
      <w:r w:rsidR="00B95414">
        <w:t>n Rights, rejected the plaintiff</w:t>
      </w:r>
      <w:r w:rsidR="00B95414" w:rsidRPr="0014027F">
        <w:t xml:space="preserve">’s </w:t>
      </w:r>
      <w:r w:rsidR="00874639">
        <w:t>claim.</w:t>
      </w:r>
      <w:r w:rsidR="00B95414" w:rsidRPr="0014027F">
        <w:t xml:space="preserve">    </w:t>
      </w:r>
    </w:p>
    <w:p w:rsidR="00227EE4" w:rsidRDefault="00545FE2" w:rsidP="00545FE2">
      <w:pPr>
        <w:pStyle w:val="SingleTxtG"/>
      </w:pPr>
      <w:r>
        <w:rPr>
          <w:lang w:val="lt-LT"/>
        </w:rPr>
        <w:t>4.7</w:t>
      </w:r>
      <w:r>
        <w:rPr>
          <w:lang w:val="lt-LT"/>
        </w:rPr>
        <w:tab/>
      </w:r>
      <w:r w:rsidR="000D77F6">
        <w:rPr>
          <w:lang w:val="lt-LT"/>
        </w:rPr>
        <w:t>T</w:t>
      </w:r>
      <w:r w:rsidR="00227EE4">
        <w:rPr>
          <w:lang w:val="lt-LT"/>
        </w:rPr>
        <w:t xml:space="preserve">he State party </w:t>
      </w:r>
      <w:r w:rsidR="000D77F6">
        <w:rPr>
          <w:lang w:val="lt-LT"/>
        </w:rPr>
        <w:t xml:space="preserve">further </w:t>
      </w:r>
      <w:r w:rsidR="00227EE4">
        <w:rPr>
          <w:lang w:val="lt-LT"/>
        </w:rPr>
        <w:t>stresses</w:t>
      </w:r>
      <w:r w:rsidR="00B95414" w:rsidRPr="009B5245">
        <w:t xml:space="preserve"> that</w:t>
      </w:r>
      <w:r w:rsidR="00474383">
        <w:t>,</w:t>
      </w:r>
      <w:r w:rsidR="00B95414" w:rsidRPr="009B5245">
        <w:t xml:space="preserve"> as </w:t>
      </w:r>
      <w:r w:rsidR="00227EE4">
        <w:t>of</w:t>
      </w:r>
      <w:r w:rsidR="00B95414" w:rsidRPr="009B5245">
        <w:t xml:space="preserve"> 1 July 2001</w:t>
      </w:r>
      <w:r w:rsidR="000D77F6">
        <w:t>,</w:t>
      </w:r>
      <w:r w:rsidR="00B95414" w:rsidRPr="009B5245">
        <w:t xml:space="preserve"> </w:t>
      </w:r>
      <w:r w:rsidR="000D77F6">
        <w:t xml:space="preserve">a </w:t>
      </w:r>
      <w:r w:rsidR="00B95414" w:rsidRPr="009B5245">
        <w:t xml:space="preserve">new Civil Code </w:t>
      </w:r>
      <w:r w:rsidR="000D77F6">
        <w:t xml:space="preserve">is </w:t>
      </w:r>
      <w:r w:rsidR="00B95414" w:rsidRPr="009B5245">
        <w:t>in force</w:t>
      </w:r>
      <w:r w:rsidR="000D77F6">
        <w:t xml:space="preserve"> and it allows</w:t>
      </w:r>
      <w:r w:rsidR="00474383">
        <w:t xml:space="preserve"> complainants</w:t>
      </w:r>
      <w:r w:rsidR="000D77F6">
        <w:t xml:space="preserve"> </w:t>
      </w:r>
      <w:r w:rsidR="00B95414" w:rsidRPr="009B5245">
        <w:t xml:space="preserve">to </w:t>
      </w:r>
      <w:r w:rsidR="00474383">
        <w:t>obtain</w:t>
      </w:r>
      <w:r w:rsidR="00474383" w:rsidRPr="009B5245">
        <w:t xml:space="preserve"> </w:t>
      </w:r>
      <w:r w:rsidR="00B95414" w:rsidRPr="009B5245">
        <w:t xml:space="preserve">redress for illegal acts of the </w:t>
      </w:r>
      <w:r w:rsidR="000D77F6">
        <w:t xml:space="preserve">State </w:t>
      </w:r>
      <w:r w:rsidR="00B95414" w:rsidRPr="009B5245">
        <w:t xml:space="preserve">authorities in accordance with </w:t>
      </w:r>
      <w:r w:rsidR="000D77F6">
        <w:t xml:space="preserve">its </w:t>
      </w:r>
      <w:r w:rsidR="00227EE4">
        <w:t>a</w:t>
      </w:r>
      <w:r w:rsidR="00B95414" w:rsidRPr="009B5245">
        <w:t xml:space="preserve">rticles </w:t>
      </w:r>
      <w:r w:rsidR="00B95414" w:rsidRPr="00EE4059">
        <w:t>6.246 and 6.272</w:t>
      </w:r>
      <w:r w:rsidR="00227EE4">
        <w:t>.</w:t>
      </w:r>
      <w:r w:rsidR="005369DA">
        <w:t xml:space="preserve"> </w:t>
      </w:r>
      <w:r w:rsidR="00227EE4">
        <w:t xml:space="preserve">In </w:t>
      </w:r>
      <w:r w:rsidR="00264AFE">
        <w:t>this context</w:t>
      </w:r>
      <w:r w:rsidR="00227EE4">
        <w:t xml:space="preserve">, the State party </w:t>
      </w:r>
      <w:r w:rsidR="00264AFE">
        <w:t>refers to a r</w:t>
      </w:r>
      <w:r w:rsidR="00B95414" w:rsidRPr="009B5245">
        <w:t xml:space="preserve">uling </w:t>
      </w:r>
      <w:r w:rsidR="00264AFE" w:rsidRPr="009B5245">
        <w:t>of the Constitutional Court of 19 August 2006</w:t>
      </w:r>
      <w:r w:rsidR="00264AFE">
        <w:t xml:space="preserve"> </w:t>
      </w:r>
      <w:r w:rsidR="00EE4059">
        <w:t>o</w:t>
      </w:r>
      <w:r w:rsidR="00B95414" w:rsidRPr="00EE4059">
        <w:t xml:space="preserve">n the </w:t>
      </w:r>
      <w:r w:rsidR="00EE4059">
        <w:t>c</w:t>
      </w:r>
      <w:r w:rsidR="00B95414" w:rsidRPr="00EE4059">
        <w:t xml:space="preserve">ompliance of </w:t>
      </w:r>
      <w:r w:rsidR="00264AFE" w:rsidRPr="00EE4059">
        <w:t>p</w:t>
      </w:r>
      <w:r w:rsidR="00B95414" w:rsidRPr="00EE4059">
        <w:t xml:space="preserve">aragraph 3 of </w:t>
      </w:r>
      <w:r w:rsidR="00264AFE" w:rsidRPr="00EE4059">
        <w:t>a</w:t>
      </w:r>
      <w:r w:rsidR="00B95414" w:rsidRPr="00EE4059">
        <w:t>rticle 3 (</w:t>
      </w:r>
      <w:r w:rsidR="00264AFE" w:rsidRPr="00EE4059">
        <w:t>w</w:t>
      </w:r>
      <w:r w:rsidR="00B95414" w:rsidRPr="00EE4059">
        <w:t xml:space="preserve">ording of 13 March 2001) </w:t>
      </w:r>
      <w:r w:rsidR="00264AFE" w:rsidRPr="00EE4059">
        <w:t>a</w:t>
      </w:r>
      <w:r w:rsidR="00B95414" w:rsidRPr="00EE4059">
        <w:t xml:space="preserve">nd </w:t>
      </w:r>
      <w:r w:rsidR="00264AFE" w:rsidRPr="00EE4059">
        <w:t>p</w:t>
      </w:r>
      <w:r w:rsidR="00B95414" w:rsidRPr="00EE4059">
        <w:t xml:space="preserve">aragraph 7 of </w:t>
      </w:r>
      <w:r w:rsidR="00264AFE" w:rsidRPr="00EE4059">
        <w:t>a</w:t>
      </w:r>
      <w:r w:rsidR="00B95414" w:rsidRPr="00EE4059">
        <w:t>rticle 7 (</w:t>
      </w:r>
      <w:r w:rsidR="00264AFE" w:rsidRPr="00EE4059">
        <w:t>w</w:t>
      </w:r>
      <w:r w:rsidR="00B95414" w:rsidRPr="00EE4059">
        <w:t xml:space="preserve">ording of 13 March 2001) of the Law </w:t>
      </w:r>
      <w:r w:rsidR="00EE4059">
        <w:t>o</w:t>
      </w:r>
      <w:r w:rsidR="00B95414" w:rsidRPr="00EE4059">
        <w:t xml:space="preserve">n Compensation for Damage Inflicted </w:t>
      </w:r>
      <w:r w:rsidR="00EE4059">
        <w:t>b</w:t>
      </w:r>
      <w:r w:rsidR="00B95414" w:rsidRPr="00EE4059">
        <w:t xml:space="preserve">y the Unlawful Actions of Interrogatory, Investigatory Bodies, the Prosecutor’s Office and Court, </w:t>
      </w:r>
      <w:r w:rsidR="00264AFE" w:rsidRPr="00EE4059">
        <w:t>w</w:t>
      </w:r>
      <w:r w:rsidR="00B95414" w:rsidRPr="00EE4059">
        <w:t>ith the Constitution of Lithuania</w:t>
      </w:r>
      <w:r w:rsidR="00264AFE">
        <w:t>. In</w:t>
      </w:r>
      <w:r w:rsidR="00BF51B9">
        <w:t xml:space="preserve"> </w:t>
      </w:r>
      <w:r w:rsidR="00264AFE">
        <w:t xml:space="preserve">this ruling, the </w:t>
      </w:r>
      <w:smartTag w:uri="urn:schemas-microsoft-com:office:smarttags" w:element="Street">
        <w:smartTag w:uri="urn:schemas-microsoft-com:office:smarttags" w:element="address">
          <w:r w:rsidR="00B95414" w:rsidRPr="00227EE4">
            <w:rPr>
              <w:lang w:val="en-US"/>
            </w:rPr>
            <w:t>Constitutional Court</w:t>
          </w:r>
        </w:smartTag>
      </w:smartTag>
      <w:r w:rsidR="00B95414" w:rsidRPr="00227EE4">
        <w:rPr>
          <w:lang w:val="en-US"/>
        </w:rPr>
        <w:t xml:space="preserve"> has held that the absence of redress for damage inflicted by an unlawful action of State institutions or officials (even if such redress for damage is not specified in any law) would be incompatible with the Constitution of the </w:t>
      </w:r>
      <w:smartTag w:uri="urn:schemas-microsoft-com:office:smarttags" w:element="place">
        <w:smartTag w:uri="urn:schemas-microsoft-com:office:smarttags" w:element="PlaceType">
          <w:r w:rsidR="00B95414" w:rsidRPr="00227EE4">
            <w:rPr>
              <w:lang w:val="en-US"/>
            </w:rPr>
            <w:t>Republic</w:t>
          </w:r>
        </w:smartTag>
        <w:r w:rsidR="00B95414" w:rsidRPr="00227EE4">
          <w:rPr>
            <w:lang w:val="en-US"/>
          </w:rPr>
          <w:t xml:space="preserve"> of </w:t>
        </w:r>
        <w:smartTag w:uri="urn:schemas-microsoft-com:office:smarttags" w:element="PlaceName">
          <w:smartTag w:uri="urn:schemas-microsoft-com:office:smarttags" w:element="City">
            <w:r w:rsidR="00B95414" w:rsidRPr="00227EE4">
              <w:rPr>
                <w:lang w:val="en-US"/>
              </w:rPr>
              <w:t>Lithuania</w:t>
            </w:r>
          </w:smartTag>
        </w:smartTag>
      </w:smartTag>
      <w:r w:rsidR="00227EE4">
        <w:t>.</w:t>
      </w:r>
      <w:r w:rsidR="00B95414" w:rsidRPr="00227EE4">
        <w:rPr>
          <w:b/>
        </w:rPr>
        <w:t xml:space="preserve"> </w:t>
      </w:r>
    </w:p>
    <w:p w:rsidR="00227EE4" w:rsidRDefault="00545FE2" w:rsidP="00545FE2">
      <w:pPr>
        <w:pStyle w:val="SingleTxtG"/>
      </w:pPr>
      <w:r>
        <w:t>4.8</w:t>
      </w:r>
      <w:r>
        <w:tab/>
      </w:r>
      <w:r w:rsidR="00B95414">
        <w:t>T</w:t>
      </w:r>
      <w:r w:rsidR="00B95414" w:rsidRPr="009B5245">
        <w:t>he case</w:t>
      </w:r>
      <w:r w:rsidR="00474383">
        <w:t xml:space="preserve"> </w:t>
      </w:r>
      <w:r w:rsidR="00B95414" w:rsidRPr="009B5245">
        <w:t xml:space="preserve">law of the </w:t>
      </w:r>
      <w:smartTag w:uri="urn:schemas-microsoft-com:office:smarttags" w:element="Street">
        <w:smartTag w:uri="urn:schemas-microsoft-com:office:smarttags" w:element="address">
          <w:r w:rsidR="00B95414" w:rsidRPr="009B5245">
            <w:t>Constitutional Court</w:t>
          </w:r>
        </w:smartTag>
      </w:smartTag>
      <w:r w:rsidR="00474383" w:rsidRPr="009B5245">
        <w:t xml:space="preserve"> cited above</w:t>
      </w:r>
      <w:r w:rsidR="00B95414" w:rsidRPr="009B5245">
        <w:t xml:space="preserve"> ha</w:t>
      </w:r>
      <w:r w:rsidR="00796037">
        <w:t>s</w:t>
      </w:r>
      <w:r w:rsidR="00B95414" w:rsidRPr="009B5245">
        <w:t xml:space="preserve"> been followed by the domestic courts </w:t>
      </w:r>
      <w:r w:rsidR="008A00E0">
        <w:t xml:space="preserve">when dealing with </w:t>
      </w:r>
      <w:r w:rsidR="00B95414" w:rsidRPr="009B5245">
        <w:t>compensation</w:t>
      </w:r>
      <w:r w:rsidR="008A00E0">
        <w:t xml:space="preserve"> issues</w:t>
      </w:r>
      <w:r w:rsidR="007A77A2">
        <w:t>,</w:t>
      </w:r>
      <w:r w:rsidR="00B95414" w:rsidRPr="009B5245">
        <w:t xml:space="preserve"> </w:t>
      </w:r>
      <w:r w:rsidR="00B95414" w:rsidRPr="00791D6B">
        <w:t>inter alia</w:t>
      </w:r>
      <w:r w:rsidR="007A77A2">
        <w:t>,</w:t>
      </w:r>
      <w:r w:rsidR="00B95414" w:rsidRPr="009B5245">
        <w:t xml:space="preserve"> for prolonged proceedings. The Court of </w:t>
      </w:r>
      <w:r w:rsidR="00B95414">
        <w:t>Appeal</w:t>
      </w:r>
      <w:r w:rsidR="00B95414" w:rsidRPr="009B5245">
        <w:t xml:space="preserve"> </w:t>
      </w:r>
      <w:r w:rsidR="00B95414">
        <w:t xml:space="preserve">of </w:t>
      </w:r>
      <w:smartTag w:uri="urn:schemas-microsoft-com:office:smarttags" w:element="country-region">
        <w:smartTag w:uri="urn:schemas-microsoft-com:office:smarttags" w:element="place">
          <w:r w:rsidR="00B95414" w:rsidRPr="009B5245">
            <w:t>Lithuania</w:t>
          </w:r>
        </w:smartTag>
      </w:smartTag>
      <w:r w:rsidR="008A00E0">
        <w:t>, for example, in a d</w:t>
      </w:r>
      <w:r w:rsidR="00B95414" w:rsidRPr="009B5245">
        <w:t xml:space="preserve">ecision of 28 September 2006 </w:t>
      </w:r>
      <w:r w:rsidR="00B95414">
        <w:t xml:space="preserve">(case </w:t>
      </w:r>
      <w:r w:rsidR="00474383">
        <w:t>N</w:t>
      </w:r>
      <w:r w:rsidR="00B95414">
        <w:t xml:space="preserve">o. 2-495/2006) </w:t>
      </w:r>
      <w:r w:rsidR="008A00E0">
        <w:t xml:space="preserve">had </w:t>
      </w:r>
      <w:r w:rsidR="00B95414" w:rsidRPr="009B5245">
        <w:t xml:space="preserve">quashed the decision of </w:t>
      </w:r>
      <w:r w:rsidR="008A00E0">
        <w:t xml:space="preserve">a </w:t>
      </w:r>
      <w:r w:rsidR="00B95414" w:rsidRPr="009B5245">
        <w:t xml:space="preserve">first instance court, which </w:t>
      </w:r>
      <w:r w:rsidR="008A00E0">
        <w:t xml:space="preserve">had not </w:t>
      </w:r>
      <w:r w:rsidR="00B95414" w:rsidRPr="009B5245">
        <w:t>admit</w:t>
      </w:r>
      <w:r w:rsidR="008A00E0">
        <w:t>ted</w:t>
      </w:r>
      <w:r w:rsidR="00B95414" w:rsidRPr="009B5245">
        <w:t xml:space="preserve"> the plaintiff’s </w:t>
      </w:r>
      <w:r w:rsidR="00B95414" w:rsidRPr="00227EE4">
        <w:t>claim. The Court of Appeal had noted</w:t>
      </w:r>
      <w:r w:rsidR="008A00E0">
        <w:t xml:space="preserve"> in particular </w:t>
      </w:r>
      <w:r w:rsidR="00B95414" w:rsidRPr="00227EE4">
        <w:t xml:space="preserve">that the claim for </w:t>
      </w:r>
      <w:r w:rsidR="0073384D" w:rsidRPr="00227EE4">
        <w:t>compensation</w:t>
      </w:r>
      <w:r w:rsidR="0073384D">
        <w:t xml:space="preserve"> regarding</w:t>
      </w:r>
      <w:r w:rsidR="00B95414" w:rsidRPr="00227EE4">
        <w:t xml:space="preserve"> the alleged delay in the plaintiff’s proceedings </w:t>
      </w:r>
      <w:r w:rsidR="008A00E0">
        <w:t xml:space="preserve">rose </w:t>
      </w:r>
      <w:r w:rsidR="00B95414" w:rsidRPr="00227EE4">
        <w:t xml:space="preserve">out of </w:t>
      </w:r>
      <w:r w:rsidR="008A00E0">
        <w:t xml:space="preserve">both the </w:t>
      </w:r>
      <w:r w:rsidR="00B95414" w:rsidRPr="00227EE4">
        <w:t xml:space="preserve">Constitution and </w:t>
      </w:r>
      <w:r w:rsidR="008A00E0">
        <w:t xml:space="preserve">the </w:t>
      </w:r>
      <w:r w:rsidR="00B95414" w:rsidRPr="00227EE4">
        <w:t>European Convention on Human Rights</w:t>
      </w:r>
      <w:r w:rsidR="008A00E0">
        <w:t xml:space="preserve">, which are </w:t>
      </w:r>
      <w:r w:rsidR="00B95414" w:rsidRPr="00227EE4">
        <w:t>both directly applicable</w:t>
      </w:r>
      <w:r w:rsidR="008A00E0">
        <w:t xml:space="preserve"> acts</w:t>
      </w:r>
      <w:r w:rsidR="00B95414" w:rsidRPr="00227EE4">
        <w:t>.</w:t>
      </w:r>
      <w:r w:rsidR="00B95414" w:rsidRPr="009B5245">
        <w:t xml:space="preserve"> Consequently the plaintiff’s claim for compensation of damages for prolonged proceedings was accepted.</w:t>
      </w:r>
    </w:p>
    <w:p w:rsidR="00662049" w:rsidRDefault="00545FE2" w:rsidP="00545FE2">
      <w:pPr>
        <w:pStyle w:val="SingleTxtG"/>
      </w:pPr>
      <w:r>
        <w:t>4.9</w:t>
      </w:r>
      <w:r>
        <w:tab/>
      </w:r>
      <w:r w:rsidR="00B95414" w:rsidRPr="009B5245">
        <w:t>In this context</w:t>
      </w:r>
      <w:r w:rsidR="007A77A2">
        <w:t>,</w:t>
      </w:r>
      <w:r w:rsidR="00B95414" w:rsidRPr="009B5245">
        <w:t xml:space="preserve"> the </w:t>
      </w:r>
      <w:r w:rsidR="005369DA">
        <w:t>State pa</w:t>
      </w:r>
      <w:r w:rsidR="00227EE4">
        <w:t>rty</w:t>
      </w:r>
      <w:r w:rsidR="00B95414" w:rsidRPr="00227EE4">
        <w:t xml:space="preserve"> </w:t>
      </w:r>
      <w:r w:rsidR="008A00E0">
        <w:t xml:space="preserve">also </w:t>
      </w:r>
      <w:r w:rsidR="00B95414" w:rsidRPr="00227EE4">
        <w:t>note</w:t>
      </w:r>
      <w:r w:rsidR="00227EE4">
        <w:t>s</w:t>
      </w:r>
      <w:r w:rsidR="00B95414" w:rsidRPr="00227EE4">
        <w:t xml:space="preserve"> that it </w:t>
      </w:r>
      <w:r w:rsidR="00227EE4">
        <w:t>is</w:t>
      </w:r>
      <w:r w:rsidR="00B95414" w:rsidRPr="00227EE4">
        <w:t xml:space="preserve"> clear from the </w:t>
      </w:r>
      <w:r w:rsidR="008A00E0">
        <w:t xml:space="preserve">State party’s courts’ </w:t>
      </w:r>
      <w:r w:rsidR="00B95414" w:rsidRPr="00227EE4">
        <w:t>case</w:t>
      </w:r>
      <w:r w:rsidR="00310E22">
        <w:t xml:space="preserve"> </w:t>
      </w:r>
      <w:r w:rsidR="00B95414" w:rsidRPr="00227EE4">
        <w:t>law that lengthy criminal proceedings obviously constitute an unlawful action caused by</w:t>
      </w:r>
      <w:r w:rsidR="005369DA">
        <w:t xml:space="preserve"> the</w:t>
      </w:r>
      <w:r w:rsidR="00B95414" w:rsidRPr="00227EE4">
        <w:t xml:space="preserve"> State institutions and officials for which the State must comp</w:t>
      </w:r>
      <w:r w:rsidR="00227EE4">
        <w:t>ensate th</w:t>
      </w:r>
      <w:r w:rsidR="008A00E0">
        <w:t>os</w:t>
      </w:r>
      <w:r w:rsidR="00227EE4">
        <w:t xml:space="preserve">e </w:t>
      </w:r>
      <w:r w:rsidR="008A00E0">
        <w:t xml:space="preserve">injured </w:t>
      </w:r>
      <w:r w:rsidR="00227EE4">
        <w:t>either under a</w:t>
      </w:r>
      <w:r w:rsidR="00B95414" w:rsidRPr="00227EE4">
        <w:t xml:space="preserve">rticle </w:t>
      </w:r>
      <w:r w:rsidR="00B95414" w:rsidRPr="00EE4059">
        <w:t xml:space="preserve">6.272 of the </w:t>
      </w:r>
      <w:r w:rsidR="00227EE4" w:rsidRPr="00EE4059">
        <w:t>Civil Code together with a</w:t>
      </w:r>
      <w:r w:rsidR="00B95414" w:rsidRPr="00EE4059">
        <w:t>rticle 30 of the Constitution</w:t>
      </w:r>
      <w:r w:rsidR="00227EE4" w:rsidRPr="00EE4059">
        <w:t xml:space="preserve"> and/or </w:t>
      </w:r>
      <w:r w:rsidR="008A00E0" w:rsidRPr="00EE4059">
        <w:t xml:space="preserve">by </w:t>
      </w:r>
      <w:r w:rsidR="00227EE4" w:rsidRPr="00EE4059">
        <w:t xml:space="preserve">directly applying article 6, paragraph </w:t>
      </w:r>
      <w:r w:rsidR="00B95414" w:rsidRPr="00EE4059">
        <w:t>1</w:t>
      </w:r>
      <w:r w:rsidR="00796037" w:rsidRPr="00EE4059">
        <w:t>,</w:t>
      </w:r>
      <w:r w:rsidR="00B95414" w:rsidRPr="00EE4059">
        <w:t xml:space="preserve"> of the European Convention</w:t>
      </w:r>
      <w:r w:rsidR="00227EE4" w:rsidRPr="00EE4059">
        <w:t xml:space="preserve"> on Human Rights or </w:t>
      </w:r>
      <w:r w:rsidR="00310E22" w:rsidRPr="00EE4059">
        <w:t>a</w:t>
      </w:r>
      <w:r w:rsidR="00227EE4" w:rsidRPr="00EE4059">
        <w:t>rticle 14, paragraph</w:t>
      </w:r>
      <w:r w:rsidR="00B95414" w:rsidRPr="00EE4059">
        <w:t xml:space="preserve"> 3 (c)</w:t>
      </w:r>
      <w:r w:rsidR="00796037" w:rsidRPr="00EE4059">
        <w:t>,</w:t>
      </w:r>
      <w:r w:rsidR="00B95414" w:rsidRPr="00227EE4">
        <w:t xml:space="preserve"> of the Covenant</w:t>
      </w:r>
      <w:r w:rsidR="002F698D">
        <w:t>.</w:t>
      </w:r>
      <w:r w:rsidR="00227EE4">
        <w:rPr>
          <w:rStyle w:val="FootnoteReference"/>
        </w:rPr>
        <w:footnoteReference w:id="7"/>
      </w:r>
      <w:r w:rsidR="00B95414" w:rsidRPr="009B5245">
        <w:t xml:space="preserve"> </w:t>
      </w:r>
    </w:p>
    <w:p w:rsidR="00C90093" w:rsidRDefault="00545FE2" w:rsidP="00545FE2">
      <w:pPr>
        <w:pStyle w:val="SingleTxtG"/>
      </w:pPr>
      <w:r>
        <w:t>4.10</w:t>
      </w:r>
      <w:r>
        <w:tab/>
      </w:r>
      <w:r w:rsidR="00B95414" w:rsidRPr="009B5245">
        <w:t xml:space="preserve">The </w:t>
      </w:r>
      <w:r w:rsidR="00662049">
        <w:t>State party</w:t>
      </w:r>
      <w:r w:rsidR="008A00E0">
        <w:t xml:space="preserve"> </w:t>
      </w:r>
      <w:r w:rsidR="00662049">
        <w:t xml:space="preserve">submits that </w:t>
      </w:r>
      <w:r w:rsidR="008A00E0">
        <w:t>its Supreme Court had</w:t>
      </w:r>
      <w:r w:rsidR="00C90093">
        <w:t xml:space="preserve"> held </w:t>
      </w:r>
      <w:r w:rsidR="008A00E0">
        <w:t xml:space="preserve">on </w:t>
      </w:r>
      <w:r w:rsidR="00662049">
        <w:t>6 February 2007</w:t>
      </w:r>
      <w:r w:rsidR="008A00E0">
        <w:t xml:space="preserve"> </w:t>
      </w:r>
      <w:r w:rsidR="00C90093">
        <w:t xml:space="preserve">that </w:t>
      </w:r>
      <w:r w:rsidR="00662049" w:rsidRPr="00662049">
        <w:t>a</w:t>
      </w:r>
      <w:r w:rsidR="00B95414" w:rsidRPr="00662049">
        <w:t xml:space="preserve">rticle 6.272 of the new Civil Code </w:t>
      </w:r>
      <w:r w:rsidR="00C90093">
        <w:t xml:space="preserve">was </w:t>
      </w:r>
      <w:r w:rsidR="00B95414" w:rsidRPr="00662049">
        <w:t>appli</w:t>
      </w:r>
      <w:r w:rsidR="00C90093">
        <w:t>cable</w:t>
      </w:r>
      <w:r w:rsidR="00B95414" w:rsidRPr="00662049">
        <w:t xml:space="preserve"> retroactively to delays which occurred prior to its entry into </w:t>
      </w:r>
      <w:r w:rsidR="00C90093">
        <w:t>force</w:t>
      </w:r>
      <w:r w:rsidR="00B95414" w:rsidRPr="00662049">
        <w:t xml:space="preserve"> (in the case before the Supreme Court</w:t>
      </w:r>
      <w:r w:rsidR="00662049">
        <w:t>,</w:t>
      </w:r>
      <w:r w:rsidR="00B95414" w:rsidRPr="00662049">
        <w:t xml:space="preserve"> the civil claimant was </w:t>
      </w:r>
      <w:r w:rsidR="00662049">
        <w:t>awarded</w:t>
      </w:r>
      <w:r w:rsidR="00B95414" w:rsidRPr="00662049">
        <w:t xml:space="preserve"> </w:t>
      </w:r>
      <w:r w:rsidR="00662049">
        <w:t xml:space="preserve">compensation for </w:t>
      </w:r>
      <w:r w:rsidR="00B95414" w:rsidRPr="00662049">
        <w:t>damage caused by the unreasoned procedural delays in the criminal proceedings against her last</w:t>
      </w:r>
      <w:r w:rsidR="00C90093">
        <w:t>ing for almost six years</w:t>
      </w:r>
      <w:r w:rsidR="00662049">
        <w:t>)</w:t>
      </w:r>
      <w:r w:rsidR="00B95414" w:rsidRPr="00662049">
        <w:t xml:space="preserve">. </w:t>
      </w:r>
      <w:r w:rsidR="00662049">
        <w:t xml:space="preserve">The State party </w:t>
      </w:r>
      <w:r w:rsidR="00C90093">
        <w:t xml:space="preserve">further </w:t>
      </w:r>
      <w:r w:rsidR="00662049">
        <w:t xml:space="preserve">provides </w:t>
      </w:r>
      <w:r w:rsidR="00C90093">
        <w:t xml:space="preserve">numerous other </w:t>
      </w:r>
      <w:r w:rsidR="00662049">
        <w:t>examples of domestic case</w:t>
      </w:r>
      <w:r w:rsidR="00DA0834">
        <w:t xml:space="preserve"> </w:t>
      </w:r>
      <w:r w:rsidR="00662049">
        <w:t>law whereby the national courts had awarded compensation for prolonged proceedings.</w:t>
      </w:r>
      <w:r w:rsidR="00C90093">
        <w:t xml:space="preserve"> In conclusion, the S</w:t>
      </w:r>
      <w:r w:rsidR="00662049">
        <w:t>tate party</w:t>
      </w:r>
      <w:r w:rsidR="00B95414" w:rsidRPr="009B5245">
        <w:t xml:space="preserve"> </w:t>
      </w:r>
      <w:r w:rsidR="00C90093">
        <w:t xml:space="preserve">reiterates </w:t>
      </w:r>
      <w:r w:rsidR="00B95414" w:rsidRPr="009B5245">
        <w:t>that the author had an opportunity</w:t>
      </w:r>
      <w:r w:rsidR="00C90093">
        <w:t xml:space="preserve">, but failed, </w:t>
      </w:r>
      <w:r w:rsidR="00B95414" w:rsidRPr="009B5245">
        <w:t xml:space="preserve">to avail himself of an effective domestic remedy offering reasonable prospects of success </w:t>
      </w:r>
      <w:r w:rsidR="00445AD8">
        <w:t>in line</w:t>
      </w:r>
      <w:r w:rsidR="00B95414" w:rsidRPr="009B5245">
        <w:t xml:space="preserve"> with the practice</w:t>
      </w:r>
      <w:r w:rsidR="00662049">
        <w:t xml:space="preserve"> of the Human Rights Committee</w:t>
      </w:r>
      <w:r w:rsidR="00DA0834">
        <w:t>,</w:t>
      </w:r>
      <w:r w:rsidR="00662049">
        <w:rPr>
          <w:rStyle w:val="FootnoteReference"/>
        </w:rPr>
        <w:footnoteReference w:id="8"/>
      </w:r>
      <w:r w:rsidR="00C90093">
        <w:t xml:space="preserve"> </w:t>
      </w:r>
      <w:r w:rsidR="00B95414" w:rsidRPr="00662049">
        <w:t>and he ha</w:t>
      </w:r>
      <w:r w:rsidR="00C90093">
        <w:t xml:space="preserve">d thus failed to </w:t>
      </w:r>
      <w:r w:rsidR="00B95414" w:rsidRPr="00662049">
        <w:t>exhaust domestic remedies</w:t>
      </w:r>
      <w:r w:rsidR="00C90093">
        <w:t xml:space="preserve">, in violation of the requirements of </w:t>
      </w:r>
      <w:r w:rsidR="00662049">
        <w:t>a</w:t>
      </w:r>
      <w:r w:rsidR="00B95414" w:rsidRPr="00662049">
        <w:t>rticle 5</w:t>
      </w:r>
      <w:r w:rsidR="00662049">
        <w:t xml:space="preserve">, paragraph </w:t>
      </w:r>
      <w:r w:rsidR="00B95414" w:rsidRPr="00662049">
        <w:t>2 (b)</w:t>
      </w:r>
      <w:r w:rsidR="00662049">
        <w:t>,</w:t>
      </w:r>
      <w:r w:rsidR="00B95414" w:rsidRPr="00662049">
        <w:t xml:space="preserve"> of the Optional Protocol. </w:t>
      </w:r>
    </w:p>
    <w:p w:rsidR="00662049" w:rsidRPr="00C90093" w:rsidRDefault="00C90093" w:rsidP="00545FE2">
      <w:pPr>
        <w:pStyle w:val="SingleTxtG"/>
      </w:pPr>
      <w:r>
        <w:t>4.11</w:t>
      </w:r>
      <w:r w:rsidR="00824919">
        <w:tab/>
      </w:r>
      <w:r>
        <w:rPr>
          <w:noProof/>
        </w:rPr>
        <w:t>T</w:t>
      </w:r>
      <w:r w:rsidRPr="00C90093">
        <w:rPr>
          <w:noProof/>
        </w:rPr>
        <w:t xml:space="preserve">he State party adds that the author’s claims </w:t>
      </w:r>
      <w:r w:rsidRPr="00C90093">
        <w:t>under article 14, paragraph 3 (c), of the Covenant</w:t>
      </w:r>
      <w:r w:rsidRPr="00C90093">
        <w:rPr>
          <w:noProof/>
        </w:rPr>
        <w:t xml:space="preserve"> are unsubs</w:t>
      </w:r>
      <w:r w:rsidR="00EB5638">
        <w:rPr>
          <w:noProof/>
        </w:rPr>
        <w:t>ta</w:t>
      </w:r>
      <w:r w:rsidRPr="00C90093">
        <w:rPr>
          <w:noProof/>
        </w:rPr>
        <w:t>ntiated</w:t>
      </w:r>
      <w:r>
        <w:rPr>
          <w:noProof/>
        </w:rPr>
        <w:t xml:space="preserve">, and the communciation must be also declared inadmissble under </w:t>
      </w:r>
      <w:r w:rsidR="00662049" w:rsidRPr="00C90093">
        <w:t>a</w:t>
      </w:r>
      <w:r w:rsidR="00B95414" w:rsidRPr="00C90093">
        <w:t>rticle 2 of the Optional Protocol.</w:t>
      </w:r>
    </w:p>
    <w:p w:rsidR="00662049" w:rsidRDefault="00C90093" w:rsidP="00545FE2">
      <w:pPr>
        <w:pStyle w:val="SingleTxtG"/>
      </w:pPr>
      <w:r>
        <w:lastRenderedPageBreak/>
        <w:t>4.12</w:t>
      </w:r>
      <w:r w:rsidR="00824919">
        <w:tab/>
      </w:r>
      <w:r w:rsidR="00B95414" w:rsidRPr="00E62D11">
        <w:t xml:space="preserve">The </w:t>
      </w:r>
      <w:r w:rsidR="00662049">
        <w:t>State party</w:t>
      </w:r>
      <w:r w:rsidR="00B95414" w:rsidRPr="00E62D11">
        <w:t xml:space="preserve"> admits that the criminal proceedings lasted relatively long at the stage of the judicial proceedings</w:t>
      </w:r>
      <w:r w:rsidR="00EB5638">
        <w:t>,</w:t>
      </w:r>
      <w:r w:rsidR="00B95414" w:rsidRPr="00E62D11">
        <w:t xml:space="preserve"> but this was conditioned by the complexity of the case, the </w:t>
      </w:r>
      <w:r>
        <w:t xml:space="preserve">specific </w:t>
      </w:r>
      <w:r w:rsidR="00B95414" w:rsidRPr="00E62D11">
        <w:t xml:space="preserve">nature of the criminal acts, the author’s conduct and other objective reasons, but </w:t>
      </w:r>
      <w:r>
        <w:t xml:space="preserve">it was </w:t>
      </w:r>
      <w:r w:rsidR="00B95414" w:rsidRPr="00E62D11">
        <w:t>not due to</w:t>
      </w:r>
      <w:r w:rsidR="00EB5638">
        <w:t xml:space="preserve"> any</w:t>
      </w:r>
      <w:r w:rsidR="00B95414" w:rsidRPr="00E62D11">
        <w:t xml:space="preserve"> ineffectiveness or lack of diligence of the domestic authorities</w:t>
      </w:r>
      <w:r>
        <w:t xml:space="preserve"> whatsoever</w:t>
      </w:r>
      <w:r w:rsidR="00B95414" w:rsidRPr="00E62D11">
        <w:t xml:space="preserve">. </w:t>
      </w:r>
    </w:p>
    <w:p w:rsidR="00E76E3A" w:rsidRDefault="00C90093" w:rsidP="00545FE2">
      <w:pPr>
        <w:pStyle w:val="SingleTxtG"/>
      </w:pPr>
      <w:r>
        <w:t>4.13</w:t>
      </w:r>
      <w:r w:rsidR="00824919">
        <w:tab/>
      </w:r>
      <w:r>
        <w:t xml:space="preserve">According to the </w:t>
      </w:r>
      <w:r w:rsidR="00662049">
        <w:t>State party</w:t>
      </w:r>
      <w:r>
        <w:t xml:space="preserve">, </w:t>
      </w:r>
      <w:r w:rsidR="00B95414" w:rsidRPr="00E62D11">
        <w:t xml:space="preserve">the requirement to respect the time limit in putting into practice the right to trial without undue delay is of a key importance in criminal cases and, in particular, when the person </w:t>
      </w:r>
      <w:r w:rsidR="00445AD8">
        <w:t>is</w:t>
      </w:r>
      <w:r>
        <w:t xml:space="preserve"> in </w:t>
      </w:r>
      <w:r w:rsidR="00B95414" w:rsidRPr="00E62D11">
        <w:t>det</w:t>
      </w:r>
      <w:r>
        <w:t>e</w:t>
      </w:r>
      <w:r w:rsidR="00B95414" w:rsidRPr="00E62D11">
        <w:t>n</w:t>
      </w:r>
      <w:r>
        <w:t>tion</w:t>
      </w:r>
      <w:r w:rsidR="00B95414" w:rsidRPr="00E62D11">
        <w:t xml:space="preserve">. </w:t>
      </w:r>
    </w:p>
    <w:p w:rsidR="007D7D92" w:rsidRDefault="00E76E3A" w:rsidP="00545FE2">
      <w:pPr>
        <w:pStyle w:val="SingleTxtG"/>
      </w:pPr>
      <w:r>
        <w:t>4.14</w:t>
      </w:r>
      <w:r w:rsidR="00824919">
        <w:tab/>
      </w:r>
      <w:r>
        <w:t>In substantiation, t</w:t>
      </w:r>
      <w:r w:rsidR="00F366F8" w:rsidRPr="00F366F8">
        <w:t xml:space="preserve">he State party </w:t>
      </w:r>
      <w:r>
        <w:t>point</w:t>
      </w:r>
      <w:r w:rsidR="00445AD8">
        <w:t>s</w:t>
      </w:r>
      <w:r>
        <w:t xml:space="preserve"> out </w:t>
      </w:r>
      <w:r w:rsidR="00F366F8" w:rsidRPr="00F366F8">
        <w:t>that the period</w:t>
      </w:r>
      <w:r w:rsidR="00796037">
        <w:t xml:space="preserve"> to be</w:t>
      </w:r>
      <w:r w:rsidR="00F366F8" w:rsidRPr="00F366F8">
        <w:t xml:space="preserve"> taken into consideration started on 24 October 1995 – when the author was </w:t>
      </w:r>
      <w:r>
        <w:t xml:space="preserve">first </w:t>
      </w:r>
      <w:r w:rsidR="00F366F8" w:rsidRPr="00F366F8">
        <w:t>questioned</w:t>
      </w:r>
      <w:r>
        <w:t xml:space="preserve"> </w:t>
      </w:r>
      <w:r w:rsidR="00F366F8" w:rsidRPr="00F366F8">
        <w:t xml:space="preserve">– </w:t>
      </w:r>
      <w:r w:rsidR="00EB5638">
        <w:t>and ended on</w:t>
      </w:r>
      <w:r w:rsidR="00EB5638" w:rsidRPr="00F366F8">
        <w:t xml:space="preserve"> </w:t>
      </w:r>
      <w:r w:rsidR="00F366F8" w:rsidRPr="00F366F8">
        <w:t>12 October 2004, when the Supreme Court</w:t>
      </w:r>
      <w:r>
        <w:t xml:space="preserve"> </w:t>
      </w:r>
      <w:r w:rsidR="00F366F8" w:rsidRPr="00F366F8">
        <w:t>reject</w:t>
      </w:r>
      <w:r>
        <w:t>ed</w:t>
      </w:r>
      <w:r w:rsidR="00F366F8" w:rsidRPr="00F366F8">
        <w:t xml:space="preserve"> the author’s </w:t>
      </w:r>
      <w:r>
        <w:t xml:space="preserve">cassation </w:t>
      </w:r>
      <w:r w:rsidR="00F366F8" w:rsidRPr="00F366F8">
        <w:t>appeal. The</w:t>
      </w:r>
      <w:r>
        <w:t xml:space="preserve"> </w:t>
      </w:r>
      <w:r w:rsidR="00F366F8" w:rsidRPr="00F366F8">
        <w:t xml:space="preserve">period to be taken into consideration </w:t>
      </w:r>
      <w:r>
        <w:t xml:space="preserve">thus </w:t>
      </w:r>
      <w:r w:rsidR="00F366F8" w:rsidRPr="00F366F8">
        <w:t>encompasses a</w:t>
      </w:r>
      <w:r>
        <w:t xml:space="preserve">round </w:t>
      </w:r>
      <w:r w:rsidR="00F366F8" w:rsidRPr="00F366F8">
        <w:t xml:space="preserve">8 years (excluding the period of approximately 11 months which </w:t>
      </w:r>
      <w:r>
        <w:t xml:space="preserve">are imputable to the </w:t>
      </w:r>
      <w:r w:rsidR="00F366F8" w:rsidRPr="00F366F8">
        <w:t xml:space="preserve">author himself). </w:t>
      </w:r>
    </w:p>
    <w:p w:rsidR="007D7D92" w:rsidRDefault="00C90093" w:rsidP="00545FE2">
      <w:pPr>
        <w:pStyle w:val="SingleTxtG"/>
      </w:pPr>
      <w:r>
        <w:t>4.15</w:t>
      </w:r>
      <w:r w:rsidR="00824919">
        <w:tab/>
      </w:r>
      <w:r w:rsidR="00E76E3A">
        <w:t xml:space="preserve">The State party adds that </w:t>
      </w:r>
      <w:r w:rsidR="00B95414" w:rsidRPr="00E62D11">
        <w:t xml:space="preserve">the Committee assesses the reasonableness of the length of the proceedings in the light of the particular circumstances of </w:t>
      </w:r>
      <w:r w:rsidR="00E76E3A">
        <w:t xml:space="preserve">each </w:t>
      </w:r>
      <w:r w:rsidR="00B95414" w:rsidRPr="00E62D11">
        <w:t>case, its complexity and according to further crit</w:t>
      </w:r>
      <w:r w:rsidR="00F366F8">
        <w:t>eria laid down in its case</w:t>
      </w:r>
      <w:r w:rsidR="00F337CF">
        <w:t xml:space="preserve"> </w:t>
      </w:r>
      <w:r w:rsidR="00F366F8">
        <w:t>law</w:t>
      </w:r>
      <w:r w:rsidR="00F337CF">
        <w:t>.</w:t>
      </w:r>
      <w:r w:rsidR="00F366F8">
        <w:rPr>
          <w:rStyle w:val="FootnoteReference"/>
        </w:rPr>
        <w:footnoteReference w:id="9"/>
      </w:r>
      <w:r w:rsidR="00E76E3A">
        <w:t xml:space="preserve"> It emphasi</w:t>
      </w:r>
      <w:r w:rsidR="00F337CF">
        <w:t>z</w:t>
      </w:r>
      <w:r w:rsidR="00E76E3A">
        <w:t>es the</w:t>
      </w:r>
      <w:r w:rsidR="00B95414" w:rsidRPr="00E62D11">
        <w:t xml:space="preserve"> following considerations: the complexity of the case, </w:t>
      </w:r>
      <w:r w:rsidR="00E76E3A">
        <w:t xml:space="preserve">the author’s own </w:t>
      </w:r>
      <w:r w:rsidR="00B95414" w:rsidRPr="00E62D11">
        <w:t xml:space="preserve">conduct, </w:t>
      </w:r>
      <w:r w:rsidR="00E76E3A">
        <w:t xml:space="preserve">the </w:t>
      </w:r>
      <w:r w:rsidR="00B95414" w:rsidRPr="00E62D11">
        <w:t>conduct and initiatives of authorities dealing with the case as well as endangered interests of the author and impact of the judicial proceedings on the author’s situation during the examination</w:t>
      </w:r>
      <w:r w:rsidR="00E76E3A">
        <w:t xml:space="preserve"> of the case</w:t>
      </w:r>
      <w:r w:rsidR="00B95414">
        <w:t>.</w:t>
      </w:r>
    </w:p>
    <w:p w:rsidR="007D7D92" w:rsidRDefault="00545FE2" w:rsidP="00545FE2">
      <w:pPr>
        <w:pStyle w:val="SingleTxtG"/>
      </w:pPr>
      <w:r>
        <w:t>4.16</w:t>
      </w:r>
      <w:r>
        <w:tab/>
      </w:r>
      <w:r w:rsidR="00E76E3A">
        <w:t xml:space="preserve">According to the </w:t>
      </w:r>
      <w:r w:rsidR="007D7D92">
        <w:t>State party</w:t>
      </w:r>
      <w:r w:rsidR="00E76E3A">
        <w:t xml:space="preserve">, </w:t>
      </w:r>
      <w:r w:rsidR="00B95414" w:rsidRPr="00E62D11">
        <w:t>only delay</w:t>
      </w:r>
      <w:r w:rsidR="00E76E3A">
        <w:t>s</w:t>
      </w:r>
      <w:r w:rsidR="00B95414" w:rsidRPr="00E62D11">
        <w:t xml:space="preserve"> caused by illegal acts or acts lacking diligence by the authorities </w:t>
      </w:r>
      <w:r w:rsidR="00B95414">
        <w:t xml:space="preserve">breach </w:t>
      </w:r>
      <w:r w:rsidR="007D7D92">
        <w:t>article 14, paragraph</w:t>
      </w:r>
      <w:r w:rsidR="00B95414" w:rsidRPr="00E62D11">
        <w:t xml:space="preserve"> 3 (</w:t>
      </w:r>
      <w:r w:rsidR="007D7D92">
        <w:t>c</w:t>
      </w:r>
      <w:r w:rsidR="00B95414" w:rsidRPr="00E62D11">
        <w:t>)</w:t>
      </w:r>
      <w:r w:rsidR="007D7D92">
        <w:t>,</w:t>
      </w:r>
      <w:r w:rsidR="00B95414" w:rsidRPr="00E62D11">
        <w:t xml:space="preserve"> of the Covenant. </w:t>
      </w:r>
      <w:r w:rsidR="00E76E3A">
        <w:t>D</w:t>
      </w:r>
      <w:r w:rsidR="00B95414" w:rsidRPr="00E62D11">
        <w:t>ela</w:t>
      </w:r>
      <w:r w:rsidR="00E76E3A">
        <w:t>ys</w:t>
      </w:r>
      <w:r w:rsidR="00B95414" w:rsidRPr="00E62D11">
        <w:t xml:space="preserve"> caused by a private person party to the proceedings, </w:t>
      </w:r>
      <w:r w:rsidR="00E76E3A">
        <w:t>cannot be directly imputed to the authorities</w:t>
      </w:r>
      <w:r w:rsidR="00B95414" w:rsidRPr="00E62D11">
        <w:t xml:space="preserve">. Further, the justification of the length of the proceedings depends on the analysis of the individual circumstances of </w:t>
      </w:r>
      <w:r w:rsidR="00E76E3A">
        <w:t>each</w:t>
      </w:r>
      <w:r w:rsidR="00B95414" w:rsidRPr="00E62D11">
        <w:t xml:space="preserve"> case. </w:t>
      </w:r>
    </w:p>
    <w:p w:rsidR="00445AD8" w:rsidRDefault="00545FE2" w:rsidP="00545FE2">
      <w:pPr>
        <w:pStyle w:val="SingleTxtG"/>
      </w:pPr>
      <w:r>
        <w:t>4.17</w:t>
      </w:r>
      <w:r>
        <w:tab/>
      </w:r>
      <w:r w:rsidR="00E76E3A">
        <w:t>In connection to the length of pretrial investigation, t</w:t>
      </w:r>
      <w:r w:rsidR="00B95414" w:rsidRPr="00E62D11">
        <w:t xml:space="preserve">he </w:t>
      </w:r>
      <w:r w:rsidR="007D7D92">
        <w:t xml:space="preserve">State party </w:t>
      </w:r>
      <w:r w:rsidR="00E76E3A">
        <w:t xml:space="preserve">notes </w:t>
      </w:r>
      <w:r w:rsidR="00B95414" w:rsidRPr="00E62D11">
        <w:t xml:space="preserve">that the </w:t>
      </w:r>
      <w:r w:rsidR="00E76E3A">
        <w:t xml:space="preserve">relevant time </w:t>
      </w:r>
      <w:r w:rsidR="00B95414" w:rsidRPr="00E62D11">
        <w:t xml:space="preserve">period started to run </w:t>
      </w:r>
      <w:r w:rsidR="00B95414" w:rsidRPr="007D7D92">
        <w:t>on 24 October 1995</w:t>
      </w:r>
      <w:r w:rsidR="007D7D92">
        <w:t>,</w:t>
      </w:r>
      <w:r w:rsidR="00B95414" w:rsidRPr="00E62D11">
        <w:t xml:space="preserve"> when the author was questioned </w:t>
      </w:r>
      <w:r w:rsidR="00D641BE">
        <w:t xml:space="preserve">and </w:t>
      </w:r>
      <w:r w:rsidR="00B95414" w:rsidRPr="00E62D11">
        <w:t xml:space="preserve">ended </w:t>
      </w:r>
      <w:r w:rsidR="00B95414" w:rsidRPr="007D7D92">
        <w:t>on 18 August 1997</w:t>
      </w:r>
      <w:r w:rsidR="007D7D92">
        <w:t>,</w:t>
      </w:r>
      <w:r w:rsidR="00B95414" w:rsidRPr="00E62D11">
        <w:t xml:space="preserve"> when the indictment </w:t>
      </w:r>
      <w:r w:rsidR="00D641BE">
        <w:t xml:space="preserve">act </w:t>
      </w:r>
      <w:r w:rsidR="00B95414" w:rsidRPr="00E62D11">
        <w:t xml:space="preserve">was </w:t>
      </w:r>
      <w:r w:rsidR="00D641BE">
        <w:t>completed</w:t>
      </w:r>
      <w:r w:rsidR="00B95414" w:rsidRPr="00E62D11">
        <w:t xml:space="preserve">. </w:t>
      </w:r>
    </w:p>
    <w:p w:rsidR="00955AA7" w:rsidRDefault="00545FE2" w:rsidP="00545FE2">
      <w:pPr>
        <w:pStyle w:val="SingleTxtG"/>
      </w:pPr>
      <w:r>
        <w:t>4.18</w:t>
      </w:r>
      <w:r>
        <w:tab/>
      </w:r>
      <w:r w:rsidR="00B95414" w:rsidRPr="00E62D11">
        <w:t xml:space="preserve">The </w:t>
      </w:r>
      <w:r w:rsidR="007D7D92">
        <w:t>State party</w:t>
      </w:r>
      <w:r w:rsidR="00B95414" w:rsidRPr="00E62D11">
        <w:t xml:space="preserve"> </w:t>
      </w:r>
      <w:r w:rsidR="00CE69ED">
        <w:t xml:space="preserve">next </w:t>
      </w:r>
      <w:r w:rsidR="00F86518">
        <w:t xml:space="preserve">notes </w:t>
      </w:r>
      <w:r w:rsidR="00CE69ED">
        <w:t xml:space="preserve">that the </w:t>
      </w:r>
      <w:r w:rsidR="00F86518">
        <w:t xml:space="preserve">duration of the </w:t>
      </w:r>
      <w:r w:rsidR="00C96F83">
        <w:t>pretrial</w:t>
      </w:r>
      <w:r w:rsidR="00F86518">
        <w:t xml:space="preserve"> investigation </w:t>
      </w:r>
      <w:r w:rsidR="004E77BF">
        <w:t xml:space="preserve">in the case </w:t>
      </w:r>
      <w:r w:rsidR="00F86518">
        <w:t>wa</w:t>
      </w:r>
      <w:r w:rsidR="00B95414" w:rsidRPr="00E62D11">
        <w:t xml:space="preserve">s reasonable </w:t>
      </w:r>
      <w:r w:rsidR="00F86518">
        <w:t xml:space="preserve">given </w:t>
      </w:r>
      <w:r w:rsidR="00B95414" w:rsidRPr="00E62D11">
        <w:t xml:space="preserve">the complexity of the case. </w:t>
      </w:r>
      <w:r w:rsidR="00A81735">
        <w:t>Together with the author</w:t>
      </w:r>
      <w:r w:rsidR="00CE69ED">
        <w:t>,</w:t>
      </w:r>
      <w:r w:rsidR="004E77BF">
        <w:t xml:space="preserve"> </w:t>
      </w:r>
      <w:r w:rsidR="00B95414" w:rsidRPr="007D7D92">
        <w:t>the</w:t>
      </w:r>
      <w:r w:rsidR="00CE69ED">
        <w:t xml:space="preserve"> two</w:t>
      </w:r>
      <w:r w:rsidR="00B95414" w:rsidRPr="007D7D92">
        <w:t xml:space="preserve"> accountants of the company were </w:t>
      </w:r>
      <w:r w:rsidR="004E77BF">
        <w:t>also investigated</w:t>
      </w:r>
      <w:r w:rsidR="00B95414" w:rsidRPr="00E62D11">
        <w:t xml:space="preserve">. </w:t>
      </w:r>
      <w:r w:rsidR="00CE69ED">
        <w:t>The</w:t>
      </w:r>
      <w:r w:rsidR="00445AD8">
        <w:t xml:space="preserve"> State party also notes that</w:t>
      </w:r>
      <w:r w:rsidR="00CE69ED">
        <w:t xml:space="preserve"> </w:t>
      </w:r>
      <w:r w:rsidR="00445AD8">
        <w:t>three</w:t>
      </w:r>
      <w:r w:rsidR="00CE69ED">
        <w:t xml:space="preserve"> separate sets of </w:t>
      </w:r>
      <w:r w:rsidR="00445AD8">
        <w:t>proceedings concerned</w:t>
      </w:r>
      <w:r w:rsidR="00CE69ED">
        <w:t xml:space="preserve"> </w:t>
      </w:r>
      <w:r w:rsidR="00B95414" w:rsidRPr="007D7D92">
        <w:t xml:space="preserve">the author </w:t>
      </w:r>
      <w:r w:rsidR="00445AD8">
        <w:t xml:space="preserve">regarding </w:t>
      </w:r>
      <w:r w:rsidR="00445AD8" w:rsidRPr="007D7D92">
        <w:t>finance</w:t>
      </w:r>
      <w:r w:rsidR="00CE69ED">
        <w:t xml:space="preserve">-related </w:t>
      </w:r>
      <w:r w:rsidR="00B95414" w:rsidRPr="007D7D92">
        <w:t>criminal</w:t>
      </w:r>
      <w:r w:rsidR="004E77BF">
        <w:t xml:space="preserve"> acts </w:t>
      </w:r>
      <w:r w:rsidR="00445AD8">
        <w:t xml:space="preserve">constituting </w:t>
      </w:r>
      <w:r w:rsidR="00445AD8" w:rsidRPr="007D7D92">
        <w:t>serious</w:t>
      </w:r>
      <w:r w:rsidR="00B95414" w:rsidRPr="009702A8">
        <w:t xml:space="preserve"> crimes </w:t>
      </w:r>
      <w:r w:rsidR="004E77BF">
        <w:t xml:space="preserve">under the law </w:t>
      </w:r>
      <w:r w:rsidR="00FB0D03">
        <w:t>(</w:t>
      </w:r>
      <w:r w:rsidR="007D7D92">
        <w:t>a</w:t>
      </w:r>
      <w:r w:rsidR="00B95414" w:rsidRPr="009702A8">
        <w:t>rticle 8 of the Criminal Code</w:t>
      </w:r>
      <w:r w:rsidR="00FB0D03">
        <w:t>)</w:t>
      </w:r>
      <w:r w:rsidR="00B95414" w:rsidRPr="009702A8">
        <w:t>.</w:t>
      </w:r>
      <w:r w:rsidR="00B95414" w:rsidRPr="00E62D11">
        <w:t xml:space="preserve"> </w:t>
      </w:r>
      <w:r w:rsidR="00FB0D03">
        <w:t xml:space="preserve">In addition, </w:t>
      </w:r>
      <w:r w:rsidR="00B95414" w:rsidRPr="00E62D11">
        <w:t>investigation and examination of cases of economic</w:t>
      </w:r>
      <w:r w:rsidR="00FB0D03">
        <w:t>/</w:t>
      </w:r>
      <w:r w:rsidR="00B95414" w:rsidRPr="00E62D11">
        <w:t>financial nature objectively requires much more time</w:t>
      </w:r>
      <w:r w:rsidR="00445AD8">
        <w:t xml:space="preserve">. </w:t>
      </w:r>
      <w:r w:rsidR="00FB0D03">
        <w:t xml:space="preserve">The State party notes that a number </w:t>
      </w:r>
      <w:r w:rsidR="004E77BF">
        <w:t>of</w:t>
      </w:r>
      <w:r w:rsidR="00FB0D03">
        <w:t xml:space="preserve"> actions were carried out during the preliminary investigation, </w:t>
      </w:r>
      <w:r w:rsidR="00B95414" w:rsidRPr="00E62D11">
        <w:t xml:space="preserve">such as </w:t>
      </w:r>
      <w:r w:rsidR="004E77BF">
        <w:t xml:space="preserve">review </w:t>
      </w:r>
      <w:r w:rsidR="00B95414" w:rsidRPr="00E62D11">
        <w:t xml:space="preserve">of </w:t>
      </w:r>
      <w:r w:rsidR="004E77BF">
        <w:t xml:space="preserve">all </w:t>
      </w:r>
      <w:r w:rsidR="00B95414" w:rsidRPr="00E62D11">
        <w:t>the economic</w:t>
      </w:r>
      <w:r w:rsidR="00FB0D03">
        <w:t>/</w:t>
      </w:r>
      <w:r w:rsidR="00B95414" w:rsidRPr="00E62D11">
        <w:t xml:space="preserve">financial activities of the company, questioning </w:t>
      </w:r>
      <w:r w:rsidR="00FB0D03">
        <w:t xml:space="preserve">of 44 </w:t>
      </w:r>
      <w:r w:rsidR="00FB0D03" w:rsidRPr="00E62D11">
        <w:t>witnesses</w:t>
      </w:r>
      <w:r w:rsidR="00B95414" w:rsidRPr="00E62D11">
        <w:t xml:space="preserve">, </w:t>
      </w:r>
      <w:r w:rsidR="00D847A6">
        <w:t>financial audit, etc.</w:t>
      </w:r>
      <w:r w:rsidR="00B95414" w:rsidRPr="00445AD8">
        <w:rPr>
          <w:szCs w:val="24"/>
        </w:rPr>
        <w:t xml:space="preserve"> </w:t>
      </w:r>
      <w:r w:rsidR="00B95414" w:rsidRPr="00E62D11">
        <w:t xml:space="preserve">The </w:t>
      </w:r>
      <w:r w:rsidR="00955AA7">
        <w:t>State party</w:t>
      </w:r>
      <w:r w:rsidR="00B95414" w:rsidRPr="00E62D11">
        <w:t xml:space="preserve"> </w:t>
      </w:r>
      <w:r w:rsidR="004E77BF">
        <w:t xml:space="preserve">thus </w:t>
      </w:r>
      <w:r w:rsidR="00D847A6">
        <w:t xml:space="preserve">insists </w:t>
      </w:r>
      <w:r w:rsidR="00B95414" w:rsidRPr="00E62D11">
        <w:t xml:space="preserve">that </w:t>
      </w:r>
      <w:r w:rsidR="00D847A6">
        <w:t xml:space="preserve">the investigation was effective and prompt. Additional </w:t>
      </w:r>
      <w:r w:rsidR="00B95414" w:rsidRPr="00E62D11">
        <w:t>investigati</w:t>
      </w:r>
      <w:r w:rsidR="00D847A6">
        <w:t>on</w:t>
      </w:r>
      <w:r w:rsidR="00B95414" w:rsidRPr="00E62D11">
        <w:t xml:space="preserve"> acts w</w:t>
      </w:r>
      <w:r w:rsidR="00D847A6">
        <w:t xml:space="preserve">ere </w:t>
      </w:r>
      <w:r w:rsidR="00B95414" w:rsidRPr="00E62D11">
        <w:t xml:space="preserve">needed </w:t>
      </w:r>
      <w:r w:rsidR="00D847A6">
        <w:t xml:space="preserve">only </w:t>
      </w:r>
      <w:r w:rsidR="00B95414" w:rsidRPr="00E62D11">
        <w:t xml:space="preserve">in order to </w:t>
      </w:r>
      <w:r w:rsidR="00D847A6">
        <w:t xml:space="preserve">ensure the </w:t>
      </w:r>
      <w:r w:rsidR="00B95414" w:rsidRPr="00E62D11">
        <w:t xml:space="preserve">objective and thorough investigation of </w:t>
      </w:r>
      <w:r w:rsidR="00D847A6">
        <w:t xml:space="preserve">all </w:t>
      </w:r>
      <w:r w:rsidR="00B95414" w:rsidRPr="00E62D11">
        <w:t>circumstances of the case.</w:t>
      </w:r>
      <w:r w:rsidR="00D847A6">
        <w:t xml:space="preserve"> In addition, </w:t>
      </w:r>
      <w:r w:rsidR="00B95414" w:rsidRPr="00E62D11">
        <w:t xml:space="preserve">the </w:t>
      </w:r>
      <w:r w:rsidR="00D847A6">
        <w:t xml:space="preserve">new </w:t>
      </w:r>
      <w:r w:rsidR="00B95414" w:rsidRPr="00E62D11">
        <w:t xml:space="preserve">pretrial investigations were </w:t>
      </w:r>
      <w:r w:rsidR="00D847A6">
        <w:t>carried out</w:t>
      </w:r>
      <w:r w:rsidR="00B95414" w:rsidRPr="00E62D11">
        <w:t xml:space="preserve"> within reasonable</w:t>
      </w:r>
      <w:r w:rsidR="004E77BF">
        <w:t xml:space="preserve"> time</w:t>
      </w:r>
      <w:r w:rsidR="00FE04BE">
        <w:t xml:space="preserve"> </w:t>
      </w:r>
      <w:r w:rsidR="004E77BF">
        <w:t>frame</w:t>
      </w:r>
      <w:r w:rsidR="00D847A6">
        <w:t xml:space="preserve">, i.e. </w:t>
      </w:r>
      <w:r w:rsidR="00B95414" w:rsidRPr="00E62D11">
        <w:t xml:space="preserve">in six </w:t>
      </w:r>
      <w:r w:rsidR="00D847A6">
        <w:t xml:space="preserve">or four </w:t>
      </w:r>
      <w:r w:rsidR="00B95414" w:rsidRPr="00E62D11">
        <w:t xml:space="preserve">months (from 3 June </w:t>
      </w:r>
      <w:r w:rsidR="00D847A6">
        <w:t xml:space="preserve">to </w:t>
      </w:r>
      <w:r w:rsidR="00B95414" w:rsidRPr="00E62D11">
        <w:t>4 December 1999</w:t>
      </w:r>
      <w:r w:rsidR="00445AD8">
        <w:t xml:space="preserve"> </w:t>
      </w:r>
      <w:r w:rsidR="00D847A6">
        <w:t xml:space="preserve">and </w:t>
      </w:r>
      <w:r w:rsidR="00B95414" w:rsidRPr="00E62D11">
        <w:t xml:space="preserve">4 September 2001 </w:t>
      </w:r>
      <w:r w:rsidR="00D847A6">
        <w:t xml:space="preserve">to </w:t>
      </w:r>
      <w:r w:rsidR="00B95414" w:rsidRPr="00E62D11">
        <w:t>3 January 2002)</w:t>
      </w:r>
      <w:r w:rsidR="00D847A6">
        <w:t xml:space="preserve">, </w:t>
      </w:r>
      <w:r w:rsidR="002A5383">
        <w:t xml:space="preserve">which </w:t>
      </w:r>
      <w:r w:rsidR="00D847A6">
        <w:t>cannot be seen a</w:t>
      </w:r>
      <w:r w:rsidR="00293F0F">
        <w:t>s</w:t>
      </w:r>
      <w:r w:rsidR="0016476E">
        <w:t xml:space="preserve"> breaching the requirements of </w:t>
      </w:r>
      <w:r w:rsidR="00D847A6">
        <w:t>a</w:t>
      </w:r>
      <w:r w:rsidR="00B95414" w:rsidRPr="00955AA7">
        <w:t xml:space="preserve">rticle </w:t>
      </w:r>
      <w:r w:rsidR="00955AA7">
        <w:t>14, paragraph</w:t>
      </w:r>
      <w:r w:rsidR="00B95414" w:rsidRPr="00955AA7">
        <w:t xml:space="preserve"> 3 (c)</w:t>
      </w:r>
      <w:r w:rsidR="00D847A6">
        <w:t>,</w:t>
      </w:r>
      <w:r w:rsidR="00B95414" w:rsidRPr="00955AA7">
        <w:t xml:space="preserve"> of the Covenant. </w:t>
      </w:r>
    </w:p>
    <w:p w:rsidR="00445AD8" w:rsidRDefault="00545FE2" w:rsidP="00545FE2">
      <w:pPr>
        <w:pStyle w:val="SingleTxtG"/>
      </w:pPr>
      <w:r>
        <w:rPr>
          <w:lang w:val="lt-LT"/>
        </w:rPr>
        <w:t>4.19</w:t>
      </w:r>
      <w:r>
        <w:rPr>
          <w:lang w:val="lt-LT"/>
        </w:rPr>
        <w:tab/>
      </w:r>
      <w:r w:rsidR="00955AA7">
        <w:rPr>
          <w:lang w:val="lt-LT"/>
        </w:rPr>
        <w:t>In addition, i</w:t>
      </w:r>
      <w:r w:rsidR="00B95414" w:rsidRPr="00E62D11">
        <w:t>n the present case</w:t>
      </w:r>
      <w:r w:rsidR="00C00184">
        <w:t xml:space="preserve">, the author’s </w:t>
      </w:r>
      <w:r w:rsidR="00B95414" w:rsidRPr="00E62D11">
        <w:t xml:space="preserve">arrest </w:t>
      </w:r>
      <w:r w:rsidR="00B95414">
        <w:t xml:space="preserve">lasted only </w:t>
      </w:r>
      <w:r w:rsidR="002A5383">
        <w:t>two</w:t>
      </w:r>
      <w:r w:rsidR="00B95414" w:rsidRPr="00E62D11">
        <w:t xml:space="preserve"> days (from 28</w:t>
      </w:r>
      <w:r w:rsidR="002A5383">
        <w:t xml:space="preserve"> November </w:t>
      </w:r>
      <w:r w:rsidR="00B95414" w:rsidRPr="00E62D11">
        <w:t>1996 to 30</w:t>
      </w:r>
      <w:r w:rsidR="002A5383">
        <w:t xml:space="preserve"> November </w:t>
      </w:r>
      <w:r w:rsidR="00B95414" w:rsidRPr="00E62D11">
        <w:t>1996</w:t>
      </w:r>
      <w:r w:rsidR="002A5383">
        <w:t>)</w:t>
      </w:r>
      <w:r w:rsidR="00B95414" w:rsidRPr="00E62D11">
        <w:t xml:space="preserve">, and only on 1 July 1997 </w:t>
      </w:r>
      <w:r w:rsidR="004E77BF">
        <w:t xml:space="preserve">was </w:t>
      </w:r>
      <w:r w:rsidR="00B95414" w:rsidRPr="00E62D11">
        <w:t xml:space="preserve">the author </w:t>
      </w:r>
      <w:r w:rsidR="00C00184">
        <w:t xml:space="preserve">asked to sign </w:t>
      </w:r>
      <w:r w:rsidR="00B95414" w:rsidRPr="00E62D11">
        <w:t xml:space="preserve">a written undertaking </w:t>
      </w:r>
      <w:r w:rsidR="00C00184">
        <w:t xml:space="preserve">that he would </w:t>
      </w:r>
      <w:r w:rsidR="00B95414" w:rsidRPr="00E62D11">
        <w:t>not leave</w:t>
      </w:r>
      <w:r w:rsidR="00955AA7">
        <w:t xml:space="preserve"> the country</w:t>
      </w:r>
      <w:r w:rsidR="00B95414" w:rsidRPr="00E62D11">
        <w:t>.</w:t>
      </w:r>
    </w:p>
    <w:p w:rsidR="00955AA7" w:rsidRPr="00445AD8" w:rsidRDefault="00545FE2" w:rsidP="00545FE2">
      <w:pPr>
        <w:pStyle w:val="SingleTxtG"/>
      </w:pPr>
      <w:r>
        <w:lastRenderedPageBreak/>
        <w:t>4.20</w:t>
      </w:r>
      <w:r>
        <w:tab/>
      </w:r>
      <w:r w:rsidR="00C00184" w:rsidRPr="00445AD8">
        <w:t>As to the length of the proceedings in court, t</w:t>
      </w:r>
      <w:r w:rsidR="00B95414" w:rsidRPr="00445AD8">
        <w:t xml:space="preserve">he </w:t>
      </w:r>
      <w:r w:rsidR="00955AA7" w:rsidRPr="00445AD8">
        <w:t>State party reiterates</w:t>
      </w:r>
      <w:r w:rsidR="00B95414" w:rsidRPr="00445AD8">
        <w:t xml:space="preserve"> that the </w:t>
      </w:r>
      <w:r w:rsidR="00C00184" w:rsidRPr="00445AD8">
        <w:t xml:space="preserve">case was brought to court </w:t>
      </w:r>
      <w:r w:rsidR="00B95414" w:rsidRPr="00445AD8">
        <w:t>on 18 August 1997</w:t>
      </w:r>
      <w:r w:rsidR="00955AA7" w:rsidRPr="00445AD8">
        <w:t>,</w:t>
      </w:r>
      <w:r w:rsidR="00B95414" w:rsidRPr="00445AD8">
        <w:t xml:space="preserve"> end</w:t>
      </w:r>
      <w:r w:rsidR="00C00184" w:rsidRPr="00445AD8">
        <w:t>ing</w:t>
      </w:r>
      <w:r w:rsidR="00B95414" w:rsidRPr="00445AD8">
        <w:t xml:space="preserve"> on 12 October 2004</w:t>
      </w:r>
      <w:r w:rsidR="00955AA7" w:rsidRPr="00445AD8">
        <w:rPr>
          <w:b/>
        </w:rPr>
        <w:t>,</w:t>
      </w:r>
      <w:r w:rsidR="00B95414" w:rsidRPr="00445AD8">
        <w:rPr>
          <w:b/>
        </w:rPr>
        <w:t xml:space="preserve"> </w:t>
      </w:r>
      <w:r w:rsidR="00B95414" w:rsidRPr="00445AD8">
        <w:t xml:space="preserve">when the final decision </w:t>
      </w:r>
      <w:r w:rsidR="00005B7E" w:rsidRPr="00445AD8">
        <w:t xml:space="preserve">in the case </w:t>
      </w:r>
      <w:r w:rsidR="00B95414" w:rsidRPr="00445AD8">
        <w:t>was adopted</w:t>
      </w:r>
      <w:r w:rsidR="00005B7E" w:rsidRPr="00445AD8">
        <w:t>, thus total</w:t>
      </w:r>
      <w:r w:rsidR="002A5383">
        <w:t>l</w:t>
      </w:r>
      <w:r w:rsidR="00005B7E" w:rsidRPr="00445AD8">
        <w:t xml:space="preserve">ing a period of </w:t>
      </w:r>
      <w:r w:rsidR="002A5383">
        <w:t>5</w:t>
      </w:r>
      <w:r w:rsidR="002A5383" w:rsidRPr="00445AD8">
        <w:t xml:space="preserve"> </w:t>
      </w:r>
      <w:r w:rsidR="00B95414" w:rsidRPr="00445AD8">
        <w:t xml:space="preserve">years </w:t>
      </w:r>
      <w:r w:rsidR="00005B7E" w:rsidRPr="00445AD8">
        <w:t xml:space="preserve">and </w:t>
      </w:r>
      <w:r w:rsidR="00B95414" w:rsidRPr="00445AD8">
        <w:t>4 months</w:t>
      </w:r>
      <w:r w:rsidR="00B95414" w:rsidRPr="00445AD8">
        <w:rPr>
          <w:b/>
        </w:rPr>
        <w:t xml:space="preserve"> </w:t>
      </w:r>
      <w:r w:rsidR="00B95414" w:rsidRPr="00445AD8">
        <w:t xml:space="preserve">(excluding the period of approximately 11 months </w:t>
      </w:r>
      <w:r w:rsidR="00C00184" w:rsidRPr="00445AD8">
        <w:t xml:space="preserve">imputable to </w:t>
      </w:r>
      <w:r w:rsidR="00B95414" w:rsidRPr="00445AD8">
        <w:t>the author</w:t>
      </w:r>
      <w:r w:rsidR="004E77BF" w:rsidRPr="00445AD8">
        <w:t xml:space="preserve"> himself</w:t>
      </w:r>
      <w:r w:rsidR="00C00184" w:rsidRPr="00445AD8">
        <w:t xml:space="preserve"> and </w:t>
      </w:r>
      <w:r w:rsidR="002A5383">
        <w:t>an</w:t>
      </w:r>
      <w:r w:rsidR="004E77BF" w:rsidRPr="00445AD8">
        <w:t xml:space="preserve">other </w:t>
      </w:r>
      <w:r w:rsidR="00B95414" w:rsidRPr="00445AD8">
        <w:t>10 months when the case was returned for additiona</w:t>
      </w:r>
      <w:r w:rsidR="00955AA7" w:rsidRPr="00445AD8">
        <w:t>l pretrial investigation</w:t>
      </w:r>
      <w:r w:rsidR="00445AD8">
        <w:t>)</w:t>
      </w:r>
      <w:r w:rsidR="00B95414" w:rsidRPr="00445AD8">
        <w:t xml:space="preserve">. </w:t>
      </w:r>
    </w:p>
    <w:p w:rsidR="00445AD8" w:rsidRDefault="00545FE2" w:rsidP="00545FE2">
      <w:pPr>
        <w:pStyle w:val="SingleTxtG"/>
      </w:pPr>
      <w:r>
        <w:rPr>
          <w:szCs w:val="24"/>
        </w:rPr>
        <w:t>4.21</w:t>
      </w:r>
      <w:r>
        <w:rPr>
          <w:szCs w:val="24"/>
        </w:rPr>
        <w:tab/>
      </w:r>
      <w:r w:rsidR="00C00184">
        <w:rPr>
          <w:szCs w:val="24"/>
        </w:rPr>
        <w:t xml:space="preserve">In addition, </w:t>
      </w:r>
      <w:r w:rsidR="008B7960">
        <w:rPr>
          <w:szCs w:val="24"/>
        </w:rPr>
        <w:t xml:space="preserve">the examination of the case was </w:t>
      </w:r>
      <w:r w:rsidR="00B95414" w:rsidRPr="00955AA7">
        <w:rPr>
          <w:szCs w:val="24"/>
        </w:rPr>
        <w:t xml:space="preserve">adjourned </w:t>
      </w:r>
      <w:r w:rsidR="00C00184">
        <w:rPr>
          <w:szCs w:val="24"/>
        </w:rPr>
        <w:t xml:space="preserve">on a number of occasions as </w:t>
      </w:r>
      <w:r w:rsidR="008B7960">
        <w:rPr>
          <w:szCs w:val="24"/>
        </w:rPr>
        <w:t>t</w:t>
      </w:r>
      <w:r w:rsidR="004E08A8">
        <w:rPr>
          <w:szCs w:val="24"/>
        </w:rPr>
        <w:t>he</w:t>
      </w:r>
      <w:r w:rsidR="008B7960">
        <w:rPr>
          <w:szCs w:val="24"/>
        </w:rPr>
        <w:t xml:space="preserve"> author </w:t>
      </w:r>
      <w:r w:rsidR="004E08A8">
        <w:rPr>
          <w:szCs w:val="24"/>
        </w:rPr>
        <w:t>or his lawyer</w:t>
      </w:r>
      <w:r w:rsidR="002A5383">
        <w:rPr>
          <w:szCs w:val="24"/>
        </w:rPr>
        <w:t xml:space="preserve"> had</w:t>
      </w:r>
      <w:r w:rsidR="008B7960">
        <w:rPr>
          <w:szCs w:val="24"/>
        </w:rPr>
        <w:t xml:space="preserve"> </w:t>
      </w:r>
      <w:r w:rsidR="00B95414" w:rsidRPr="00955AA7">
        <w:rPr>
          <w:szCs w:val="24"/>
        </w:rPr>
        <w:t xml:space="preserve">failed to appear </w:t>
      </w:r>
      <w:r w:rsidR="004E08A8">
        <w:rPr>
          <w:szCs w:val="24"/>
        </w:rPr>
        <w:t>in court</w:t>
      </w:r>
      <w:r w:rsidR="00B95414" w:rsidRPr="00955AA7">
        <w:rPr>
          <w:szCs w:val="24"/>
        </w:rPr>
        <w:t>.</w:t>
      </w:r>
      <w:r w:rsidR="004E77BF">
        <w:rPr>
          <w:szCs w:val="24"/>
        </w:rPr>
        <w:t xml:space="preserve"> </w:t>
      </w:r>
      <w:r w:rsidR="008B7960">
        <w:rPr>
          <w:szCs w:val="24"/>
        </w:rPr>
        <w:t>The resulting delay</w:t>
      </w:r>
      <w:r w:rsidR="004E77BF">
        <w:rPr>
          <w:szCs w:val="24"/>
        </w:rPr>
        <w:t xml:space="preserve">, </w:t>
      </w:r>
      <w:r w:rsidR="00B95414" w:rsidRPr="00955AA7">
        <w:rPr>
          <w:szCs w:val="24"/>
        </w:rPr>
        <w:t>attributable to the author</w:t>
      </w:r>
      <w:r w:rsidR="008B7960">
        <w:rPr>
          <w:szCs w:val="24"/>
        </w:rPr>
        <w:t xml:space="preserve"> </w:t>
      </w:r>
      <w:r w:rsidR="008A2C9F">
        <w:rPr>
          <w:szCs w:val="24"/>
        </w:rPr>
        <w:t xml:space="preserve">was, </w:t>
      </w:r>
      <w:r w:rsidR="008B7960">
        <w:rPr>
          <w:szCs w:val="24"/>
        </w:rPr>
        <w:t xml:space="preserve">according to the State party, </w:t>
      </w:r>
      <w:r w:rsidR="008A2C9F">
        <w:rPr>
          <w:szCs w:val="24"/>
        </w:rPr>
        <w:t xml:space="preserve">equal to some </w:t>
      </w:r>
      <w:r w:rsidR="00B95414" w:rsidRPr="00955AA7">
        <w:rPr>
          <w:szCs w:val="24"/>
        </w:rPr>
        <w:t xml:space="preserve">11 months. </w:t>
      </w:r>
    </w:p>
    <w:p w:rsidR="002F2F27" w:rsidRPr="002F2F27" w:rsidRDefault="00545FE2" w:rsidP="00545FE2">
      <w:pPr>
        <w:pStyle w:val="SingleTxtG"/>
      </w:pPr>
      <w:r>
        <w:rPr>
          <w:szCs w:val="24"/>
        </w:rPr>
        <w:t>4.22</w:t>
      </w:r>
      <w:r>
        <w:rPr>
          <w:szCs w:val="24"/>
        </w:rPr>
        <w:tab/>
      </w:r>
      <w:r w:rsidR="004E77BF" w:rsidRPr="00445AD8">
        <w:rPr>
          <w:szCs w:val="24"/>
        </w:rPr>
        <w:t xml:space="preserve">Regarding the conduct of the authorities, </w:t>
      </w:r>
      <w:r w:rsidR="00B95414" w:rsidRPr="00445AD8">
        <w:rPr>
          <w:szCs w:val="24"/>
        </w:rPr>
        <w:t xml:space="preserve">the </w:t>
      </w:r>
      <w:r w:rsidR="00955AA7" w:rsidRPr="00445AD8">
        <w:rPr>
          <w:szCs w:val="24"/>
        </w:rPr>
        <w:t>State party</w:t>
      </w:r>
      <w:r w:rsidR="00B95414" w:rsidRPr="00445AD8">
        <w:rPr>
          <w:szCs w:val="24"/>
        </w:rPr>
        <w:t xml:space="preserve"> maintains that the court of first instance acted in an effective, </w:t>
      </w:r>
      <w:r w:rsidR="004E77BF" w:rsidRPr="00445AD8">
        <w:rPr>
          <w:szCs w:val="24"/>
        </w:rPr>
        <w:t xml:space="preserve">diligent and prompt </w:t>
      </w:r>
      <w:r w:rsidR="00B95414" w:rsidRPr="00445AD8">
        <w:rPr>
          <w:szCs w:val="24"/>
        </w:rPr>
        <w:t xml:space="preserve">manner for the purposes of fair </w:t>
      </w:r>
      <w:r w:rsidR="004E77BF" w:rsidRPr="00445AD8">
        <w:rPr>
          <w:szCs w:val="24"/>
        </w:rPr>
        <w:t xml:space="preserve">and </w:t>
      </w:r>
      <w:r w:rsidR="009665CA" w:rsidRPr="00445AD8">
        <w:rPr>
          <w:szCs w:val="24"/>
        </w:rPr>
        <w:t xml:space="preserve">thorough </w:t>
      </w:r>
      <w:r w:rsidR="00B95414" w:rsidRPr="00445AD8">
        <w:rPr>
          <w:szCs w:val="24"/>
        </w:rPr>
        <w:t xml:space="preserve">examination of the criminal case. </w:t>
      </w:r>
      <w:r w:rsidR="009665CA" w:rsidRPr="00445AD8">
        <w:rPr>
          <w:szCs w:val="24"/>
        </w:rPr>
        <w:t>W</w:t>
      </w:r>
      <w:r w:rsidR="00B95414" w:rsidRPr="00445AD8">
        <w:rPr>
          <w:szCs w:val="24"/>
        </w:rPr>
        <w:t>hile attempting to conduct the judicial proceedings within the reasonable time and observing the provisions of the Code of Criminal Procedure</w:t>
      </w:r>
      <w:r w:rsidR="002A5383">
        <w:rPr>
          <w:szCs w:val="24"/>
        </w:rPr>
        <w:t>, the</w:t>
      </w:r>
      <w:r w:rsidR="00B95414" w:rsidRPr="00445AD8">
        <w:rPr>
          <w:szCs w:val="24"/>
        </w:rPr>
        <w:t xml:space="preserve"> courts</w:t>
      </w:r>
      <w:r w:rsidR="002A5383">
        <w:rPr>
          <w:szCs w:val="24"/>
        </w:rPr>
        <w:t xml:space="preserve"> are</w:t>
      </w:r>
      <w:r w:rsidR="00B95414" w:rsidRPr="00445AD8">
        <w:rPr>
          <w:szCs w:val="24"/>
        </w:rPr>
        <w:t xml:space="preserve"> also obliged to respect the rights of the parti</w:t>
      </w:r>
      <w:r w:rsidR="009665CA" w:rsidRPr="00445AD8">
        <w:rPr>
          <w:szCs w:val="24"/>
        </w:rPr>
        <w:t>es</w:t>
      </w:r>
      <w:r w:rsidR="00B95414" w:rsidRPr="00445AD8">
        <w:rPr>
          <w:szCs w:val="24"/>
        </w:rPr>
        <w:t xml:space="preserve">, including the defence rights, </w:t>
      </w:r>
      <w:r w:rsidR="009665CA" w:rsidRPr="00445AD8">
        <w:rPr>
          <w:szCs w:val="24"/>
        </w:rPr>
        <w:t xml:space="preserve">in accordance </w:t>
      </w:r>
      <w:r w:rsidR="002A5383">
        <w:rPr>
          <w:szCs w:val="24"/>
        </w:rPr>
        <w:t>with</w:t>
      </w:r>
      <w:r w:rsidR="002A5383" w:rsidRPr="00445AD8">
        <w:rPr>
          <w:szCs w:val="24"/>
        </w:rPr>
        <w:t xml:space="preserve"> </w:t>
      </w:r>
      <w:r w:rsidR="00955AA7" w:rsidRPr="00445AD8">
        <w:rPr>
          <w:szCs w:val="24"/>
        </w:rPr>
        <w:t>article 14, paragraph</w:t>
      </w:r>
      <w:r w:rsidR="00B95414" w:rsidRPr="00445AD8">
        <w:rPr>
          <w:szCs w:val="24"/>
        </w:rPr>
        <w:t xml:space="preserve"> 1</w:t>
      </w:r>
      <w:r w:rsidR="00955AA7" w:rsidRPr="00445AD8">
        <w:rPr>
          <w:szCs w:val="24"/>
        </w:rPr>
        <w:t>,</w:t>
      </w:r>
      <w:r w:rsidR="00B95414" w:rsidRPr="00445AD8">
        <w:rPr>
          <w:szCs w:val="24"/>
        </w:rPr>
        <w:t xml:space="preserve"> of the Covenant. I</w:t>
      </w:r>
      <w:r w:rsidR="009665CA" w:rsidRPr="00445AD8">
        <w:rPr>
          <w:szCs w:val="24"/>
        </w:rPr>
        <w:t xml:space="preserve">n this case, there were </w:t>
      </w:r>
      <w:r w:rsidR="00B95414" w:rsidRPr="00445AD8">
        <w:rPr>
          <w:szCs w:val="24"/>
        </w:rPr>
        <w:t xml:space="preserve">11 witnesses. </w:t>
      </w:r>
      <w:r w:rsidR="009665CA" w:rsidRPr="00445AD8">
        <w:rPr>
          <w:szCs w:val="24"/>
        </w:rPr>
        <w:t>A</w:t>
      </w:r>
      <w:r w:rsidR="00B95414" w:rsidRPr="00445AD8">
        <w:rPr>
          <w:szCs w:val="24"/>
        </w:rPr>
        <w:t xml:space="preserve"> number of adjournments of the</w:t>
      </w:r>
      <w:r w:rsidR="009665CA" w:rsidRPr="00445AD8">
        <w:rPr>
          <w:szCs w:val="24"/>
        </w:rPr>
        <w:t xml:space="preserve"> trial</w:t>
      </w:r>
      <w:r w:rsidR="00B95414" w:rsidRPr="00445AD8">
        <w:rPr>
          <w:szCs w:val="24"/>
        </w:rPr>
        <w:t xml:space="preserve"> were related to failure of the defendant and his representative to appear </w:t>
      </w:r>
      <w:r w:rsidR="009665CA" w:rsidRPr="00445AD8">
        <w:rPr>
          <w:szCs w:val="24"/>
        </w:rPr>
        <w:t>in court</w:t>
      </w:r>
      <w:r w:rsidR="00B95414" w:rsidRPr="00445AD8">
        <w:rPr>
          <w:szCs w:val="24"/>
        </w:rPr>
        <w:t>, while other</w:t>
      </w:r>
      <w:r w:rsidR="009665CA" w:rsidRPr="00445AD8">
        <w:rPr>
          <w:szCs w:val="24"/>
        </w:rPr>
        <w:t>s</w:t>
      </w:r>
      <w:r w:rsidR="00B95414" w:rsidRPr="00445AD8">
        <w:rPr>
          <w:szCs w:val="24"/>
        </w:rPr>
        <w:t xml:space="preserve"> were due </w:t>
      </w:r>
      <w:r w:rsidR="009665CA" w:rsidRPr="00445AD8">
        <w:rPr>
          <w:szCs w:val="24"/>
        </w:rPr>
        <w:t xml:space="preserve">to </w:t>
      </w:r>
      <w:r w:rsidR="00B95414" w:rsidRPr="00445AD8">
        <w:rPr>
          <w:szCs w:val="24"/>
        </w:rPr>
        <w:t xml:space="preserve">objective reasons, </w:t>
      </w:r>
      <w:r w:rsidR="009665CA" w:rsidRPr="00445AD8">
        <w:rPr>
          <w:szCs w:val="24"/>
        </w:rPr>
        <w:t xml:space="preserve">such as </w:t>
      </w:r>
      <w:r w:rsidR="00B95414" w:rsidRPr="00445AD8">
        <w:rPr>
          <w:szCs w:val="24"/>
        </w:rPr>
        <w:t xml:space="preserve">failure of </w:t>
      </w:r>
      <w:r w:rsidR="009665CA" w:rsidRPr="00445AD8">
        <w:rPr>
          <w:szCs w:val="24"/>
        </w:rPr>
        <w:t xml:space="preserve">a </w:t>
      </w:r>
      <w:r w:rsidR="00B95414" w:rsidRPr="00445AD8">
        <w:rPr>
          <w:szCs w:val="24"/>
        </w:rPr>
        <w:t>witnesses</w:t>
      </w:r>
      <w:r w:rsidR="009665CA" w:rsidRPr="00445AD8">
        <w:rPr>
          <w:szCs w:val="24"/>
        </w:rPr>
        <w:t xml:space="preserve"> or a witnesses’ or accused’s representatives to</w:t>
      </w:r>
      <w:r w:rsidR="00B95414" w:rsidRPr="00445AD8">
        <w:rPr>
          <w:szCs w:val="24"/>
        </w:rPr>
        <w:t xml:space="preserve"> appear, judge’s and </w:t>
      </w:r>
      <w:r w:rsidR="009665CA" w:rsidRPr="00445AD8">
        <w:rPr>
          <w:szCs w:val="24"/>
        </w:rPr>
        <w:t xml:space="preserve">experts’ </w:t>
      </w:r>
      <w:r w:rsidR="00B95414" w:rsidRPr="00445AD8">
        <w:rPr>
          <w:szCs w:val="24"/>
        </w:rPr>
        <w:t>sickness</w:t>
      </w:r>
      <w:r w:rsidR="009665CA" w:rsidRPr="00445AD8">
        <w:rPr>
          <w:szCs w:val="24"/>
        </w:rPr>
        <w:t xml:space="preserve">, etc. </w:t>
      </w:r>
      <w:r w:rsidR="00B95414" w:rsidRPr="00445AD8">
        <w:rPr>
          <w:szCs w:val="24"/>
        </w:rPr>
        <w:t xml:space="preserve">Nevertheless, the court of first instance </w:t>
      </w:r>
      <w:r w:rsidR="009665CA" w:rsidRPr="00445AD8">
        <w:rPr>
          <w:szCs w:val="24"/>
        </w:rPr>
        <w:t>used all possible available means</w:t>
      </w:r>
      <w:r w:rsidR="00B95414" w:rsidRPr="00445AD8">
        <w:rPr>
          <w:szCs w:val="24"/>
        </w:rPr>
        <w:t xml:space="preserve"> to</w:t>
      </w:r>
      <w:r w:rsidR="009665CA" w:rsidRPr="00445AD8">
        <w:rPr>
          <w:szCs w:val="24"/>
        </w:rPr>
        <w:t xml:space="preserve"> </w:t>
      </w:r>
      <w:r w:rsidR="00B95414" w:rsidRPr="00445AD8">
        <w:rPr>
          <w:szCs w:val="24"/>
        </w:rPr>
        <w:t xml:space="preserve">prevent further delays, e.g. on 4 December 2000 the court adopted the decision to bring witnesses who failed to arrive to the court’s hearing; on 9 May 2001 the court adopted decision to fine witnesses who did not arrive and to bring them to the next court’s hearing; on 16 September 2002 the court again adopted the decision to fine witnesses who failed to </w:t>
      </w:r>
      <w:r w:rsidR="009665CA" w:rsidRPr="00445AD8">
        <w:rPr>
          <w:szCs w:val="24"/>
        </w:rPr>
        <w:t xml:space="preserve">appear in </w:t>
      </w:r>
      <w:r w:rsidR="00B95414" w:rsidRPr="00445AD8">
        <w:rPr>
          <w:szCs w:val="24"/>
        </w:rPr>
        <w:t>court.</w:t>
      </w:r>
    </w:p>
    <w:p w:rsidR="002F2F27" w:rsidRPr="002F2F27" w:rsidRDefault="00545FE2" w:rsidP="00545FE2">
      <w:pPr>
        <w:pStyle w:val="SingleTxtG"/>
      </w:pPr>
      <w:r>
        <w:rPr>
          <w:szCs w:val="24"/>
        </w:rPr>
        <w:t>4.23</w:t>
      </w:r>
      <w:r>
        <w:rPr>
          <w:szCs w:val="24"/>
        </w:rPr>
        <w:tab/>
      </w:r>
      <w:r w:rsidR="00B95414" w:rsidRPr="002F2F27">
        <w:rPr>
          <w:szCs w:val="24"/>
        </w:rPr>
        <w:t xml:space="preserve">With regard to the </w:t>
      </w:r>
      <w:r w:rsidR="009665CA">
        <w:rPr>
          <w:szCs w:val="24"/>
        </w:rPr>
        <w:t xml:space="preserve">examination of the case on </w:t>
      </w:r>
      <w:r w:rsidR="00B95414" w:rsidRPr="002F2F27">
        <w:rPr>
          <w:szCs w:val="24"/>
        </w:rPr>
        <w:t>appe</w:t>
      </w:r>
      <w:r w:rsidR="009665CA">
        <w:rPr>
          <w:szCs w:val="24"/>
        </w:rPr>
        <w:t>a</w:t>
      </w:r>
      <w:r w:rsidR="00B95414" w:rsidRPr="002F2F27">
        <w:rPr>
          <w:szCs w:val="24"/>
        </w:rPr>
        <w:t xml:space="preserve">l, the </w:t>
      </w:r>
      <w:r w:rsidR="002F2F27">
        <w:rPr>
          <w:szCs w:val="24"/>
        </w:rPr>
        <w:t xml:space="preserve">State party </w:t>
      </w:r>
      <w:r w:rsidR="009665CA">
        <w:rPr>
          <w:szCs w:val="24"/>
        </w:rPr>
        <w:t xml:space="preserve">notes that the proceedings </w:t>
      </w:r>
      <w:r w:rsidR="00B95414" w:rsidRPr="002F2F27">
        <w:rPr>
          <w:szCs w:val="24"/>
        </w:rPr>
        <w:t xml:space="preserve">lasted for </w:t>
      </w:r>
      <w:r w:rsidR="002A5383">
        <w:rPr>
          <w:szCs w:val="24"/>
        </w:rPr>
        <w:t>a</w:t>
      </w:r>
      <w:r w:rsidR="00B95414" w:rsidRPr="002F2F27">
        <w:rPr>
          <w:szCs w:val="24"/>
        </w:rPr>
        <w:t xml:space="preserve"> year, however this period was </w:t>
      </w:r>
      <w:r w:rsidR="00955B78">
        <w:rPr>
          <w:szCs w:val="24"/>
        </w:rPr>
        <w:t xml:space="preserve">due to </w:t>
      </w:r>
      <w:r w:rsidR="00B95414" w:rsidRPr="002F2F27">
        <w:rPr>
          <w:szCs w:val="24"/>
        </w:rPr>
        <w:t xml:space="preserve">objective reasons, i.e. </w:t>
      </w:r>
      <w:r w:rsidR="00955B78">
        <w:rPr>
          <w:szCs w:val="24"/>
        </w:rPr>
        <w:t xml:space="preserve">the repeated </w:t>
      </w:r>
      <w:r w:rsidR="00B95414" w:rsidRPr="002F2F27">
        <w:rPr>
          <w:szCs w:val="24"/>
        </w:rPr>
        <w:t xml:space="preserve">failure of </w:t>
      </w:r>
      <w:r w:rsidR="00955B78">
        <w:rPr>
          <w:szCs w:val="24"/>
        </w:rPr>
        <w:t>a</w:t>
      </w:r>
      <w:r w:rsidR="00B95414" w:rsidRPr="002F2F27">
        <w:rPr>
          <w:szCs w:val="24"/>
        </w:rPr>
        <w:t xml:space="preserve"> witness to appear </w:t>
      </w:r>
      <w:r w:rsidR="00955B78">
        <w:rPr>
          <w:szCs w:val="24"/>
        </w:rPr>
        <w:t xml:space="preserve">in </w:t>
      </w:r>
      <w:r w:rsidR="00B95414" w:rsidRPr="002F2F27">
        <w:rPr>
          <w:szCs w:val="24"/>
        </w:rPr>
        <w:t>court</w:t>
      </w:r>
      <w:r w:rsidR="00955B78">
        <w:rPr>
          <w:szCs w:val="24"/>
        </w:rPr>
        <w:t xml:space="preserve"> or </w:t>
      </w:r>
      <w:r w:rsidR="002A5383" w:rsidRPr="002F2F27">
        <w:rPr>
          <w:szCs w:val="24"/>
        </w:rPr>
        <w:t>sickness</w:t>
      </w:r>
      <w:r w:rsidR="002A5383">
        <w:rPr>
          <w:szCs w:val="24"/>
        </w:rPr>
        <w:t xml:space="preserve"> of</w:t>
      </w:r>
      <w:r w:rsidR="002A5383" w:rsidRPr="002F2F27">
        <w:rPr>
          <w:szCs w:val="24"/>
        </w:rPr>
        <w:t xml:space="preserve"> </w:t>
      </w:r>
      <w:r w:rsidR="00B95414" w:rsidRPr="002F2F27">
        <w:rPr>
          <w:szCs w:val="24"/>
        </w:rPr>
        <w:t>the author</w:t>
      </w:r>
      <w:r w:rsidR="00955B78">
        <w:rPr>
          <w:szCs w:val="24"/>
        </w:rPr>
        <w:t xml:space="preserve"> </w:t>
      </w:r>
      <w:r w:rsidR="00B95414" w:rsidRPr="002F2F27">
        <w:rPr>
          <w:szCs w:val="24"/>
        </w:rPr>
        <w:t>representative.</w:t>
      </w:r>
    </w:p>
    <w:p w:rsidR="00E6223C" w:rsidRPr="007C1AD9" w:rsidRDefault="00545FE2" w:rsidP="00545FE2">
      <w:pPr>
        <w:pStyle w:val="SingleTxtG"/>
      </w:pPr>
      <w:r>
        <w:rPr>
          <w:bCs/>
          <w:noProof/>
          <w:szCs w:val="24"/>
        </w:rPr>
        <w:t>4.24</w:t>
      </w:r>
      <w:r>
        <w:rPr>
          <w:bCs/>
          <w:noProof/>
          <w:szCs w:val="24"/>
        </w:rPr>
        <w:tab/>
      </w:r>
      <w:r w:rsidR="00955B78" w:rsidRPr="00955B78">
        <w:rPr>
          <w:bCs/>
          <w:noProof/>
          <w:szCs w:val="24"/>
        </w:rPr>
        <w:t>T</w:t>
      </w:r>
      <w:r w:rsidR="00B95414" w:rsidRPr="002F2F27">
        <w:rPr>
          <w:noProof/>
        </w:rPr>
        <w:t xml:space="preserve">he </w:t>
      </w:r>
      <w:r w:rsidR="002F2F27">
        <w:rPr>
          <w:noProof/>
        </w:rPr>
        <w:t>State party</w:t>
      </w:r>
      <w:r w:rsidR="00B95414" w:rsidRPr="002F2F27">
        <w:rPr>
          <w:noProof/>
        </w:rPr>
        <w:t xml:space="preserve"> concludes that the criminal proceedings complied with the requirement of the “reasonable time” established in </w:t>
      </w:r>
      <w:r w:rsidR="002F2F27">
        <w:rPr>
          <w:noProof/>
        </w:rPr>
        <w:t>article 14, paragraph</w:t>
      </w:r>
      <w:r w:rsidR="00B95414" w:rsidRPr="002F2F27">
        <w:rPr>
          <w:noProof/>
        </w:rPr>
        <w:t xml:space="preserve"> 3 (</w:t>
      </w:r>
      <w:r w:rsidR="002F2F27">
        <w:rPr>
          <w:noProof/>
        </w:rPr>
        <w:t>c</w:t>
      </w:r>
      <w:r w:rsidR="00B95414" w:rsidRPr="002F2F27">
        <w:rPr>
          <w:noProof/>
        </w:rPr>
        <w:t>)</w:t>
      </w:r>
      <w:r w:rsidR="002F2F27">
        <w:rPr>
          <w:noProof/>
        </w:rPr>
        <w:t>,</w:t>
      </w:r>
      <w:r w:rsidR="00B95414" w:rsidRPr="002F2F27">
        <w:rPr>
          <w:noProof/>
        </w:rPr>
        <w:t xml:space="preserve"> of the </w:t>
      </w:r>
      <w:r w:rsidR="00955B78" w:rsidRPr="002F2F27">
        <w:rPr>
          <w:noProof/>
        </w:rPr>
        <w:t>Covenant</w:t>
      </w:r>
      <w:r w:rsidR="00955B78">
        <w:rPr>
          <w:noProof/>
        </w:rPr>
        <w:t xml:space="preserve">. According to it, </w:t>
      </w:r>
      <w:r w:rsidR="00B95414" w:rsidRPr="002F2F27">
        <w:rPr>
          <w:noProof/>
        </w:rPr>
        <w:t>the au</w:t>
      </w:r>
      <w:r w:rsidR="00AC2AA9">
        <w:rPr>
          <w:noProof/>
        </w:rPr>
        <w:t xml:space="preserve">thor </w:t>
      </w:r>
      <w:r w:rsidR="00955B78">
        <w:rPr>
          <w:noProof/>
        </w:rPr>
        <w:t xml:space="preserve">failed </w:t>
      </w:r>
      <w:r w:rsidR="00AC2AA9">
        <w:rPr>
          <w:noProof/>
        </w:rPr>
        <w:t>t</w:t>
      </w:r>
      <w:r w:rsidR="00955B78">
        <w:rPr>
          <w:noProof/>
        </w:rPr>
        <w:t>o</w:t>
      </w:r>
      <w:r w:rsidR="00AC2AA9">
        <w:rPr>
          <w:noProof/>
        </w:rPr>
        <w:t xml:space="preserve"> submit sufficient</w:t>
      </w:r>
      <w:r w:rsidR="00B95414" w:rsidRPr="002F2F27">
        <w:rPr>
          <w:noProof/>
        </w:rPr>
        <w:t xml:space="preserve"> factual and legal argumentation to </w:t>
      </w:r>
      <w:r w:rsidR="00955B78">
        <w:rPr>
          <w:noProof/>
        </w:rPr>
        <w:t>demonstarte</w:t>
      </w:r>
      <w:r w:rsidR="00B95414" w:rsidRPr="002F2F27">
        <w:rPr>
          <w:noProof/>
        </w:rPr>
        <w:t xml:space="preserve"> the contrary</w:t>
      </w:r>
      <w:r w:rsidR="00955B78">
        <w:rPr>
          <w:noProof/>
        </w:rPr>
        <w:t xml:space="preserve">, and his </w:t>
      </w:r>
      <w:r w:rsidR="00B95414" w:rsidRPr="002F2F27">
        <w:t xml:space="preserve">allegations under </w:t>
      </w:r>
      <w:r w:rsidR="00955B78">
        <w:rPr>
          <w:noProof/>
        </w:rPr>
        <w:t>a</w:t>
      </w:r>
      <w:r w:rsidR="002F2F27">
        <w:rPr>
          <w:noProof/>
        </w:rPr>
        <w:t>rticle 14, paragraph</w:t>
      </w:r>
      <w:r w:rsidR="00B95414" w:rsidRPr="002F2F27">
        <w:rPr>
          <w:noProof/>
        </w:rPr>
        <w:t xml:space="preserve"> 3 (</w:t>
      </w:r>
      <w:r w:rsidR="002F2F27">
        <w:rPr>
          <w:noProof/>
        </w:rPr>
        <w:t>c</w:t>
      </w:r>
      <w:r w:rsidR="00B95414" w:rsidRPr="002F2F27">
        <w:rPr>
          <w:noProof/>
        </w:rPr>
        <w:t>)</w:t>
      </w:r>
      <w:r w:rsidR="002F2F27">
        <w:rPr>
          <w:noProof/>
        </w:rPr>
        <w:t>,</w:t>
      </w:r>
      <w:r w:rsidR="00B95414" w:rsidRPr="002F2F27">
        <w:rPr>
          <w:noProof/>
        </w:rPr>
        <w:t xml:space="preserve"> of the Covenant are non-substantiated</w:t>
      </w:r>
      <w:r w:rsidR="00955B78">
        <w:rPr>
          <w:noProof/>
        </w:rPr>
        <w:t xml:space="preserve">. In addition, the author has failed to exhasut availible domestic remedies. Thus, the </w:t>
      </w:r>
      <w:r w:rsidR="00955B78" w:rsidRPr="002F2F27">
        <w:rPr>
          <w:noProof/>
        </w:rPr>
        <w:t xml:space="preserve">communication must be declared inadmissible </w:t>
      </w:r>
      <w:r w:rsidR="00955B78">
        <w:rPr>
          <w:noProof/>
        </w:rPr>
        <w:t>under a</w:t>
      </w:r>
      <w:r w:rsidR="00955B78" w:rsidRPr="002F2F27">
        <w:rPr>
          <w:noProof/>
        </w:rPr>
        <w:t>rticle</w:t>
      </w:r>
      <w:r w:rsidR="00955B78">
        <w:rPr>
          <w:noProof/>
        </w:rPr>
        <w:t>s</w:t>
      </w:r>
      <w:r w:rsidR="00955B78" w:rsidRPr="002F2F27">
        <w:rPr>
          <w:noProof/>
        </w:rPr>
        <w:t xml:space="preserve"> 2 </w:t>
      </w:r>
      <w:r w:rsidR="00955B78">
        <w:rPr>
          <w:iCs/>
        </w:rPr>
        <w:t>and</w:t>
      </w:r>
      <w:r w:rsidR="002F2F27">
        <w:rPr>
          <w:iCs/>
        </w:rPr>
        <w:t xml:space="preserve"> 5, paragraph</w:t>
      </w:r>
      <w:r w:rsidR="00B95414" w:rsidRPr="002F2F27">
        <w:rPr>
          <w:iCs/>
        </w:rPr>
        <w:t xml:space="preserve"> 2 (b)</w:t>
      </w:r>
      <w:r w:rsidR="002F2F27">
        <w:rPr>
          <w:iCs/>
        </w:rPr>
        <w:t>,</w:t>
      </w:r>
      <w:r w:rsidR="00B95414" w:rsidRPr="002F2F27">
        <w:rPr>
          <w:iCs/>
        </w:rPr>
        <w:t xml:space="preserve"> of the Optional Protocol</w:t>
      </w:r>
      <w:r w:rsidR="00955B78">
        <w:rPr>
          <w:iCs/>
        </w:rPr>
        <w:t xml:space="preserve">. </w:t>
      </w:r>
      <w:r w:rsidR="00B95414" w:rsidRPr="002F2F27">
        <w:rPr>
          <w:iCs/>
        </w:rPr>
        <w:t xml:space="preserve"> </w:t>
      </w:r>
    </w:p>
    <w:p w:rsidR="0086231E" w:rsidRPr="0086231E" w:rsidRDefault="007C1AD9" w:rsidP="007C1AD9">
      <w:pPr>
        <w:pStyle w:val="H23G"/>
      </w:pPr>
      <w:r>
        <w:tab/>
      </w:r>
      <w:r>
        <w:tab/>
      </w:r>
      <w:r w:rsidR="0086231E" w:rsidRPr="0086231E">
        <w:t>Author</w:t>
      </w:r>
      <w:r w:rsidR="00223E1F">
        <w:t>’</w:t>
      </w:r>
      <w:r w:rsidR="009B76AC">
        <w:t>s</w:t>
      </w:r>
      <w:r w:rsidR="0086231E" w:rsidRPr="0086231E">
        <w:t xml:space="preserve"> comments on the State party’s observations </w:t>
      </w:r>
    </w:p>
    <w:p w:rsidR="005F0B13" w:rsidRDefault="0086231E" w:rsidP="005F0B13">
      <w:pPr>
        <w:pStyle w:val="SingleTxtG"/>
      </w:pPr>
      <w:r w:rsidRPr="007C1AD9">
        <w:t>5.1</w:t>
      </w:r>
      <w:r w:rsidRPr="007C1AD9">
        <w:tab/>
        <w:t xml:space="preserve">On </w:t>
      </w:r>
      <w:r w:rsidR="000C7053">
        <w:t>9</w:t>
      </w:r>
      <w:r w:rsidR="00826836">
        <w:t xml:space="preserve"> </w:t>
      </w:r>
      <w:r w:rsidR="000C7053">
        <w:t>April 2010</w:t>
      </w:r>
      <w:r w:rsidR="00BE22F9" w:rsidRPr="007C1AD9">
        <w:t xml:space="preserve">, the author </w:t>
      </w:r>
      <w:r w:rsidR="008E4B7B">
        <w:t>rejected</w:t>
      </w:r>
      <w:r w:rsidR="00A91339" w:rsidRPr="007C1AD9">
        <w:t xml:space="preserve"> the</w:t>
      </w:r>
      <w:r w:rsidR="008E4B7B">
        <w:t xml:space="preserve"> </w:t>
      </w:r>
      <w:r w:rsidR="00AC2AA9">
        <w:t>State party’s observation</w:t>
      </w:r>
      <w:r w:rsidR="002A5383">
        <w:t>s</w:t>
      </w:r>
      <w:r w:rsidR="005F0B13">
        <w:t>.</w:t>
      </w:r>
      <w:r w:rsidR="00D52B9C">
        <w:t xml:space="preserve"> As to the domestic remedies </w:t>
      </w:r>
      <w:r w:rsidR="00955B78">
        <w:t>he</w:t>
      </w:r>
      <w:r w:rsidR="00D52B9C">
        <w:t xml:space="preserve"> notes that the availability, adequacy and effectiveness of remedies are to be evaluated not only in</w:t>
      </w:r>
      <w:r w:rsidR="002A5383">
        <w:t xml:space="preserve"> the</w:t>
      </w:r>
      <w:r w:rsidR="00D52B9C">
        <w:t xml:space="preserve"> light of the facts regarding the law and procedures related to the remedies as such, but in the context of the specific case. The adequacy of a remedy is, thus, to be determined with reference to its suitability for redressing the type of violation to which it applies, and with reference to the prospect to provide the relief. </w:t>
      </w:r>
      <w:r w:rsidR="00955B78">
        <w:t>I</w:t>
      </w:r>
      <w:r w:rsidR="00D52B9C">
        <w:t xml:space="preserve">f in the circumstances of </w:t>
      </w:r>
      <w:r w:rsidR="00955B78">
        <w:t>a given</w:t>
      </w:r>
      <w:r w:rsidR="00D52B9C">
        <w:t xml:space="preserve"> case, an individual is unable to meet the substantive requirements necessary for </w:t>
      </w:r>
      <w:r w:rsidR="00955B78">
        <w:t xml:space="preserve">using </w:t>
      </w:r>
      <w:r w:rsidR="00D52B9C">
        <w:t xml:space="preserve">a particular remedy or that </w:t>
      </w:r>
      <w:r w:rsidR="00AC2AA9">
        <w:t xml:space="preserve">a </w:t>
      </w:r>
      <w:r w:rsidR="00D52B9C">
        <w:t xml:space="preserve">person lacks legal standing, that remedy is de facto unavailable. </w:t>
      </w:r>
    </w:p>
    <w:p w:rsidR="00C41107" w:rsidRDefault="005F0B13" w:rsidP="00C41107">
      <w:pPr>
        <w:pStyle w:val="SingleTxtG"/>
      </w:pPr>
      <w:r>
        <w:t xml:space="preserve">5.2 </w:t>
      </w:r>
      <w:r w:rsidR="00BA6BCC">
        <w:tab/>
      </w:r>
      <w:r>
        <w:t xml:space="preserve">The author </w:t>
      </w:r>
      <w:r w:rsidR="00D52B9C">
        <w:t>further lists a number of exceptions excluding the necessity to exhaust a particular remedy</w:t>
      </w:r>
      <w:r w:rsidR="00691749">
        <w:t xml:space="preserve"> and provides a general description of these exceptions. </w:t>
      </w:r>
      <w:r w:rsidR="00955B78">
        <w:t xml:space="preserve">Thus, </w:t>
      </w:r>
      <w:r w:rsidR="00691749">
        <w:t>a remedy should not be exhausted if it is unduly prolonged</w:t>
      </w:r>
      <w:r w:rsidR="00955B78">
        <w:t xml:space="preserve"> or it </w:t>
      </w:r>
      <w:r w:rsidR="00691749">
        <w:t>is unlikely to bring effective relief</w:t>
      </w:r>
      <w:r w:rsidR="00D52B9C">
        <w:t>.</w:t>
      </w:r>
      <w:r w:rsidR="00691749">
        <w:t xml:space="preserve"> In this connection, the author </w:t>
      </w:r>
      <w:r w:rsidR="007E439D">
        <w:t>refers to the</w:t>
      </w:r>
      <w:r w:rsidR="00691749">
        <w:t xml:space="preserve"> notion of </w:t>
      </w:r>
      <w:r w:rsidR="00BE504C">
        <w:t>“</w:t>
      </w:r>
      <w:r w:rsidR="00691749">
        <w:t xml:space="preserve">existence of a ‘reasonable prospect of </w:t>
      </w:r>
      <w:r w:rsidR="00BE504C">
        <w:lastRenderedPageBreak/>
        <w:t>success’”</w:t>
      </w:r>
      <w:r w:rsidR="00691749">
        <w:rPr>
          <w:rStyle w:val="FootnoteReference"/>
        </w:rPr>
        <w:footnoteReference w:id="10"/>
      </w:r>
      <w:r w:rsidR="007E439D">
        <w:t>, as developed in the Committee’s case</w:t>
      </w:r>
      <w:r w:rsidR="00BE504C">
        <w:t xml:space="preserve"> </w:t>
      </w:r>
      <w:r w:rsidR="007E439D">
        <w:t>law</w:t>
      </w:r>
      <w:r w:rsidR="00691749">
        <w:t>.</w:t>
      </w:r>
      <w:r w:rsidR="00117864">
        <w:t xml:space="preserve"> </w:t>
      </w:r>
      <w:r w:rsidR="007E439D">
        <w:t>H</w:t>
      </w:r>
      <w:r w:rsidR="00591F34">
        <w:t>e further notes that effectiveness of a remedy is to be assessed in</w:t>
      </w:r>
      <w:r w:rsidR="00BE504C">
        <w:t xml:space="preserve"> the</w:t>
      </w:r>
      <w:r w:rsidR="00591F34">
        <w:t xml:space="preserve"> light of the circumstances in advance of resorting to the remedy (ex ante), rather than in</w:t>
      </w:r>
      <w:r w:rsidR="00BE504C">
        <w:t xml:space="preserve"> the</w:t>
      </w:r>
      <w:r w:rsidR="00591F34">
        <w:t xml:space="preserve"> light of the actual outcome of the case</w:t>
      </w:r>
      <w:r w:rsidR="00BE504C">
        <w:t>.</w:t>
      </w:r>
      <w:r w:rsidR="00591F34">
        <w:rPr>
          <w:rStyle w:val="FootnoteReference"/>
        </w:rPr>
        <w:footnoteReference w:id="11"/>
      </w:r>
      <w:r w:rsidR="00935A0C">
        <w:t xml:space="preserve"> </w:t>
      </w:r>
      <w:r w:rsidR="007E439D">
        <w:t xml:space="preserve">He </w:t>
      </w:r>
      <w:r w:rsidR="00935A0C">
        <w:t>submits that the effectiveness of a remedy depends on the nature of the violation</w:t>
      </w:r>
      <w:r w:rsidR="006C15BA">
        <w:t>;</w:t>
      </w:r>
      <w:r w:rsidR="00935A0C">
        <w:rPr>
          <w:rStyle w:val="FootnoteReference"/>
        </w:rPr>
        <w:footnoteReference w:id="12"/>
      </w:r>
      <w:r w:rsidR="007E439D">
        <w:t xml:space="preserve"> </w:t>
      </w:r>
      <w:r w:rsidR="00283681">
        <w:t xml:space="preserve">the correlation between a remedy and the nature of the violation may be assessed by reference to the nature of the right violated, the gravity of violation, the suitability of the remedy </w:t>
      </w:r>
      <w:r w:rsidR="007E439D">
        <w:t>to provide relief</w:t>
      </w:r>
      <w:r w:rsidR="00283681">
        <w:t xml:space="preserve"> and the specific circumstances of the case. Facts that may indicate the ineffectiveness of a remedy include defects in the functioning of the judicial system, the existence of widespread or severe human rights violations, the remedy’s unsuitability to redress a specific type of violation and other factors indicating ineffectiveness of a remedy in general</w:t>
      </w:r>
      <w:r w:rsidR="00BE6822">
        <w:t>.</w:t>
      </w:r>
      <w:r w:rsidR="008C1D12">
        <w:rPr>
          <w:rStyle w:val="FootnoteReference"/>
        </w:rPr>
        <w:footnoteReference w:id="13"/>
      </w:r>
      <w:r w:rsidR="003E01DB">
        <w:t xml:space="preserve"> </w:t>
      </w:r>
    </w:p>
    <w:p w:rsidR="003E01DB" w:rsidRDefault="003E01DB" w:rsidP="00C41107">
      <w:pPr>
        <w:pStyle w:val="SingleTxtG"/>
      </w:pPr>
      <w:r>
        <w:t>5.3</w:t>
      </w:r>
      <w:r w:rsidR="00824919">
        <w:tab/>
      </w:r>
      <w:r>
        <w:t>The author further refers to the case</w:t>
      </w:r>
      <w:r w:rsidR="002460A0">
        <w:t xml:space="preserve"> </w:t>
      </w:r>
      <w:r>
        <w:t>law of the European Court of Human Rights</w:t>
      </w:r>
      <w:r w:rsidR="002460A0">
        <w:t>,</w:t>
      </w:r>
      <w:r>
        <w:rPr>
          <w:rStyle w:val="FootnoteReference"/>
        </w:rPr>
        <w:footnoteReference w:id="14"/>
      </w:r>
      <w:r>
        <w:t xml:space="preserve"> </w:t>
      </w:r>
      <w:r w:rsidR="007E439D">
        <w:t xml:space="preserve">noting </w:t>
      </w:r>
      <w:r>
        <w:t xml:space="preserve">that only available and effective remedies </w:t>
      </w:r>
      <w:r w:rsidR="00BF1C45">
        <w:t>should be exhausted</w:t>
      </w:r>
      <w:r w:rsidR="00BF1C45">
        <w:rPr>
          <w:rStyle w:val="FootnoteReference"/>
        </w:rPr>
        <w:footnoteReference w:id="15"/>
      </w:r>
      <w:r w:rsidR="00DD6F95">
        <w:t xml:space="preserve"> and that it is incumbent on the </w:t>
      </w:r>
      <w:r w:rsidR="007E439D">
        <w:t>States parties</w:t>
      </w:r>
      <w:r w:rsidR="00DD6F95">
        <w:t xml:space="preserve"> </w:t>
      </w:r>
      <w:r w:rsidR="007E439D">
        <w:t xml:space="preserve">invoking </w:t>
      </w:r>
      <w:r w:rsidR="00DD6F95">
        <w:t xml:space="preserve">non-exhaustion to </w:t>
      </w:r>
      <w:r w:rsidR="007E439D">
        <w:t xml:space="preserve">demonstrate </w:t>
      </w:r>
      <w:r w:rsidR="00DD6F95">
        <w:t xml:space="preserve">that the remedy </w:t>
      </w:r>
      <w:r w:rsidR="007E439D">
        <w:t xml:space="preserve">in question </w:t>
      </w:r>
      <w:r w:rsidR="00DD6F95">
        <w:t>was</w:t>
      </w:r>
      <w:r w:rsidR="007E439D">
        <w:t xml:space="preserve"> </w:t>
      </w:r>
      <w:r w:rsidR="00DD6F95">
        <w:t>effective</w:t>
      </w:r>
      <w:r w:rsidR="007E439D">
        <w:t xml:space="preserve">, </w:t>
      </w:r>
      <w:r w:rsidR="00DD6F95">
        <w:t>available</w:t>
      </w:r>
      <w:r w:rsidR="007E439D">
        <w:t xml:space="preserve">, and </w:t>
      </w:r>
      <w:r w:rsidR="00DD6F95">
        <w:t>accessible.</w:t>
      </w:r>
    </w:p>
    <w:p w:rsidR="00DD6F95" w:rsidRDefault="00DD6F95" w:rsidP="00C41107">
      <w:pPr>
        <w:pStyle w:val="SingleTxtG"/>
      </w:pPr>
      <w:r>
        <w:t>5.4</w:t>
      </w:r>
      <w:r w:rsidR="00824919">
        <w:tab/>
      </w:r>
      <w:r w:rsidR="007E439D">
        <w:t>T</w:t>
      </w:r>
      <w:r w:rsidR="00EE360C">
        <w:t xml:space="preserve">he author </w:t>
      </w:r>
      <w:r w:rsidR="007E439D">
        <w:t xml:space="preserve">further </w:t>
      </w:r>
      <w:r w:rsidR="00EE360C">
        <w:t>submits that article 6.272 of the Civil Code</w:t>
      </w:r>
      <w:r w:rsidR="00723F43">
        <w:t xml:space="preserve"> prescribes that damages arising from </w:t>
      </w:r>
      <w:r w:rsidR="002460A0">
        <w:t xml:space="preserve">the </w:t>
      </w:r>
      <w:r w:rsidR="00723F43">
        <w:t>mis</w:t>
      </w:r>
      <w:r w:rsidR="002460A0">
        <w:t>handling</w:t>
      </w:r>
      <w:r w:rsidR="00723F43">
        <w:t xml:space="preserve"> of the criminal case are compensated only in case of unlawful conviction, or unlawful arrest as a measure of restraint, </w:t>
      </w:r>
      <w:r w:rsidR="007E439D">
        <w:t xml:space="preserve">or </w:t>
      </w:r>
      <w:r w:rsidR="00723F43">
        <w:t xml:space="preserve">unlawful detention, or </w:t>
      </w:r>
      <w:r w:rsidR="007E439D">
        <w:t xml:space="preserve">in case of </w:t>
      </w:r>
      <w:r w:rsidR="00723F43">
        <w:t>unlawful procedural measures of restraint or unlawful administrative arrest.</w:t>
      </w:r>
    </w:p>
    <w:p w:rsidR="005F4F87" w:rsidRDefault="005F4F87" w:rsidP="00C41107">
      <w:pPr>
        <w:pStyle w:val="SingleTxtG"/>
      </w:pPr>
      <w:r>
        <w:t>5.5</w:t>
      </w:r>
      <w:r w:rsidR="00824919">
        <w:tab/>
      </w:r>
      <w:r>
        <w:t>Further, the author explains that according to the Code</w:t>
      </w:r>
      <w:r w:rsidR="002460A0">
        <w:t xml:space="preserve"> of Criminal Procedure,</w:t>
      </w:r>
      <w:r w:rsidR="009A3980">
        <w:rPr>
          <w:rStyle w:val="FootnoteReference"/>
        </w:rPr>
        <w:footnoteReference w:id="16"/>
      </w:r>
      <w:r>
        <w:t xml:space="preserve"> a criminal case may be </w:t>
      </w:r>
      <w:r w:rsidR="00336EB5">
        <w:t>re-</w:t>
      </w:r>
      <w:r>
        <w:t xml:space="preserve">examined only in three </w:t>
      </w:r>
      <w:r w:rsidR="00336EB5">
        <w:t>situations</w:t>
      </w:r>
      <w:r>
        <w:t xml:space="preserve"> – i</w:t>
      </w:r>
      <w:r w:rsidR="00336EB5">
        <w:t>f</w:t>
      </w:r>
      <w:r>
        <w:t xml:space="preserve"> new evidence or circumstances have emerged; i</w:t>
      </w:r>
      <w:r w:rsidR="00336EB5">
        <w:t xml:space="preserve">f </w:t>
      </w:r>
      <w:r>
        <w:t>a person is convicted under a</w:t>
      </w:r>
      <w:r w:rsidR="00445AD8">
        <w:t xml:space="preserve">n </w:t>
      </w:r>
      <w:r w:rsidR="00336EB5">
        <w:t>incorrect</w:t>
      </w:r>
      <w:r>
        <w:t xml:space="preserve"> article</w:t>
      </w:r>
      <w:r w:rsidR="00336EB5">
        <w:t>,</w:t>
      </w:r>
      <w:r>
        <w:t xml:space="preserve"> and in case the European Court of Human </w:t>
      </w:r>
      <w:r w:rsidR="009A3980">
        <w:t>Rights</w:t>
      </w:r>
      <w:r w:rsidR="00AE1969">
        <w:t xml:space="preserve"> or the United Nations Human Rights Committee</w:t>
      </w:r>
      <w:r>
        <w:t xml:space="preserve"> has established that the respective criminal proceedings violated international human rights treaties. The author further </w:t>
      </w:r>
      <w:r w:rsidR="00211444">
        <w:t xml:space="preserve">elaborates extensively on </w:t>
      </w:r>
      <w:r>
        <w:t>the scope of the</w:t>
      </w:r>
      <w:r w:rsidR="00211444">
        <w:t xml:space="preserve">se </w:t>
      </w:r>
      <w:r>
        <w:t>three situations.</w:t>
      </w:r>
    </w:p>
    <w:p w:rsidR="005F4F87" w:rsidRDefault="005F4F87" w:rsidP="00C41107">
      <w:pPr>
        <w:pStyle w:val="SingleTxtG"/>
      </w:pPr>
      <w:r>
        <w:t>5.6</w:t>
      </w:r>
      <w:r w:rsidR="00824919">
        <w:tab/>
      </w:r>
      <w:r w:rsidR="00211444">
        <w:t>T</w:t>
      </w:r>
      <w:r w:rsidR="009A3980">
        <w:t xml:space="preserve">he author </w:t>
      </w:r>
      <w:r w:rsidR="00211444">
        <w:t xml:space="preserve">further </w:t>
      </w:r>
      <w:r w:rsidR="009A3980">
        <w:t>mentions that</w:t>
      </w:r>
      <w:r w:rsidR="002460A0">
        <w:t>,</w:t>
      </w:r>
      <w:r w:rsidR="009A3980">
        <w:t xml:space="preserve"> according to article 228 of the Code</w:t>
      </w:r>
      <w:r w:rsidR="002460A0">
        <w:t xml:space="preserve"> of Criminal Procedure,</w:t>
      </w:r>
      <w:r w:rsidR="009A3980">
        <w:t xml:space="preserve"> a civil servant or other person in official capacity may</w:t>
      </w:r>
      <w:r w:rsidR="00AC2AA9">
        <w:t>be</w:t>
      </w:r>
      <w:r w:rsidR="009A3980">
        <w:t xml:space="preserve"> held criminally liable for abusing his/her official authority</w:t>
      </w:r>
      <w:r w:rsidR="00211444">
        <w:t xml:space="preserve"> or</w:t>
      </w:r>
      <w:r w:rsidR="009A3980">
        <w:t xml:space="preserve"> exceeding official powers</w:t>
      </w:r>
      <w:r w:rsidR="00080409">
        <w:t xml:space="preserve"> </w:t>
      </w:r>
      <w:r w:rsidR="009A3980">
        <w:t>if such act</w:t>
      </w:r>
      <w:r w:rsidR="00211444">
        <w:t>s</w:t>
      </w:r>
      <w:r w:rsidR="009A3980">
        <w:t xml:space="preserve"> cause </w:t>
      </w:r>
      <w:r w:rsidR="00AC2AA9">
        <w:t>serious</w:t>
      </w:r>
      <w:r w:rsidR="009A3980">
        <w:t xml:space="preserve"> damage to the State, an international public organi</w:t>
      </w:r>
      <w:r w:rsidR="002460A0">
        <w:t>z</w:t>
      </w:r>
      <w:r w:rsidR="009A3980">
        <w:t>ation</w:t>
      </w:r>
      <w:r w:rsidR="002460A0">
        <w:t xml:space="preserve"> or</w:t>
      </w:r>
      <w:r w:rsidR="009A3980">
        <w:t xml:space="preserve"> a legal or a natural person. In this connection, the author maintains that if</w:t>
      </w:r>
      <w:r w:rsidR="00211444">
        <w:t xml:space="preserve"> </w:t>
      </w:r>
      <w:r w:rsidR="009A3980">
        <w:t>a victim proves that the pretrial investigation and the court proceedings were unreasonably prolonged</w:t>
      </w:r>
      <w:r w:rsidR="002E7736">
        <w:t xml:space="preserve">, but fails to prove that judges and/or pretrial investigators committed a deliberate offence, a criminal case may not be </w:t>
      </w:r>
      <w:r w:rsidR="00080409">
        <w:t>re-</w:t>
      </w:r>
      <w:r w:rsidR="002E7736">
        <w:t>examined.</w:t>
      </w:r>
    </w:p>
    <w:p w:rsidR="002E7736" w:rsidRPr="007C1AD9" w:rsidRDefault="002E7736" w:rsidP="00C41107">
      <w:pPr>
        <w:pStyle w:val="SingleTxtG"/>
      </w:pPr>
      <w:r>
        <w:t>5.7</w:t>
      </w:r>
      <w:r w:rsidR="00824919">
        <w:tab/>
      </w:r>
      <w:r w:rsidR="00BD3516">
        <w:t>In</w:t>
      </w:r>
      <w:r w:rsidR="002460A0">
        <w:t xml:space="preserve"> the</w:t>
      </w:r>
      <w:r w:rsidR="00BD3516">
        <w:t xml:space="preserve"> light of </w:t>
      </w:r>
      <w:r w:rsidR="00080409">
        <w:t xml:space="preserve">the </w:t>
      </w:r>
      <w:r w:rsidR="00BD3516">
        <w:t xml:space="preserve">above, the author </w:t>
      </w:r>
      <w:r w:rsidR="00080409">
        <w:t xml:space="preserve">contends </w:t>
      </w:r>
      <w:r w:rsidR="00BD3516">
        <w:t>that</w:t>
      </w:r>
      <w:r w:rsidR="00080409">
        <w:t>,</w:t>
      </w:r>
      <w:r w:rsidR="00BD3516">
        <w:t xml:space="preserve"> in the present case</w:t>
      </w:r>
      <w:r w:rsidR="00080409">
        <w:t>,</w:t>
      </w:r>
      <w:r w:rsidR="00BD3516">
        <w:t xml:space="preserve"> exhaustion of domestic remedies as indicated by the State party, would unlikely bring effective relief</w:t>
      </w:r>
      <w:r w:rsidR="00080409">
        <w:t xml:space="preserve"> to him</w:t>
      </w:r>
      <w:r w:rsidR="00AC2AA9">
        <w:t>, as recourse</w:t>
      </w:r>
      <w:r w:rsidR="00BD3516">
        <w:t xml:space="preserve"> to such remedies would not result in the possibility to </w:t>
      </w:r>
      <w:r w:rsidR="00080409">
        <w:t xml:space="preserve">have the criminal case re-examined. The eventual finding of a violation, by the Committee, in this case </w:t>
      </w:r>
      <w:r w:rsidR="00BD3516">
        <w:t xml:space="preserve">would </w:t>
      </w:r>
      <w:r w:rsidR="00080409">
        <w:t>serve as grounds to have the criminal case re-examined</w:t>
      </w:r>
      <w:r w:rsidR="002460A0">
        <w:t>.</w:t>
      </w:r>
      <w:r w:rsidR="00BD3516">
        <w:rPr>
          <w:rStyle w:val="FootnoteReference"/>
        </w:rPr>
        <w:footnoteReference w:id="17"/>
      </w:r>
    </w:p>
    <w:p w:rsidR="00132850" w:rsidRPr="00132850" w:rsidRDefault="007C1AD9" w:rsidP="007C1AD9">
      <w:pPr>
        <w:pStyle w:val="H23G"/>
      </w:pPr>
      <w:r>
        <w:lastRenderedPageBreak/>
        <w:tab/>
      </w:r>
      <w:r>
        <w:tab/>
      </w:r>
      <w:r w:rsidR="00132850" w:rsidRPr="00132850">
        <w:t>Issues and proceedings before the Committee</w:t>
      </w:r>
    </w:p>
    <w:p w:rsidR="00890F2C" w:rsidRDefault="007C1AD9" w:rsidP="00890F2C">
      <w:pPr>
        <w:pStyle w:val="H4G"/>
      </w:pPr>
      <w:r>
        <w:tab/>
      </w:r>
      <w:r>
        <w:tab/>
      </w:r>
      <w:r w:rsidR="00890F2C">
        <w:t>Consideration of admissibility</w:t>
      </w:r>
    </w:p>
    <w:p w:rsidR="00890F2C" w:rsidRDefault="00890F2C" w:rsidP="00890F2C">
      <w:pPr>
        <w:pStyle w:val="SingleTxtG"/>
      </w:pPr>
      <w:r>
        <w:t>6.1</w:t>
      </w:r>
      <w:r>
        <w:tab/>
        <w:t>Before considering any claim contained in a communication, the Human Rights Committee must decide, in accordance with rule 93 of its rules of procedure, whether the communication is admissible under the Optional Protocol to the Covenant.</w:t>
      </w:r>
    </w:p>
    <w:p w:rsidR="00890F2C" w:rsidRDefault="00890F2C" w:rsidP="00890F2C">
      <w:pPr>
        <w:pStyle w:val="SingleTxtG"/>
      </w:pPr>
      <w:r>
        <w:t>6.2</w:t>
      </w:r>
      <w:r>
        <w:tab/>
        <w:t>As required under article 5, paragraph 2 (a), of the Optional Protocol, the Committee has ascertained that the same matter is not being examined under another procedure of international investigation or settlement.</w:t>
      </w:r>
    </w:p>
    <w:p w:rsidR="007A1312" w:rsidRDefault="00890F2C" w:rsidP="007A1312">
      <w:pPr>
        <w:pStyle w:val="SingleTxtG"/>
      </w:pPr>
      <w:r>
        <w:t>6.3</w:t>
      </w:r>
      <w:r>
        <w:tab/>
      </w:r>
      <w:r w:rsidR="00080409">
        <w:t>T</w:t>
      </w:r>
      <w:r w:rsidR="004D67DD">
        <w:t xml:space="preserve">he Committee </w:t>
      </w:r>
      <w:r w:rsidR="00080409">
        <w:t>notes the author</w:t>
      </w:r>
      <w:r w:rsidR="000930F7">
        <w:t xml:space="preserve">’s </w:t>
      </w:r>
      <w:r w:rsidR="00080409">
        <w:t>claim</w:t>
      </w:r>
      <w:r w:rsidR="000930F7">
        <w:t xml:space="preserve"> of</w:t>
      </w:r>
      <w:r w:rsidR="00080409">
        <w:t xml:space="preserve"> a </w:t>
      </w:r>
      <w:r w:rsidR="004D67DD">
        <w:t xml:space="preserve">violation of </w:t>
      </w:r>
      <w:r w:rsidR="00080409">
        <w:t xml:space="preserve">his rights under </w:t>
      </w:r>
      <w:r w:rsidR="004D67DD">
        <w:t xml:space="preserve">article 14, paragraph 3 (c) </w:t>
      </w:r>
      <w:r w:rsidR="00080409">
        <w:t xml:space="preserve">as, according to him, </w:t>
      </w:r>
      <w:r w:rsidR="00EE42FD">
        <w:t>his criminal case suffered from undue delay</w:t>
      </w:r>
      <w:r w:rsidR="00080409">
        <w:t xml:space="preserve"> both at the stages of </w:t>
      </w:r>
      <w:r w:rsidR="004D67DD">
        <w:t xml:space="preserve">pretrial investigation and </w:t>
      </w:r>
      <w:r w:rsidR="00080409">
        <w:t xml:space="preserve">regarding </w:t>
      </w:r>
      <w:r w:rsidR="004D67DD">
        <w:t xml:space="preserve">the court proceedings. </w:t>
      </w:r>
      <w:r w:rsidR="00080409">
        <w:t xml:space="preserve">It </w:t>
      </w:r>
      <w:r w:rsidR="000930F7">
        <w:t xml:space="preserve">also </w:t>
      </w:r>
      <w:r w:rsidR="007A1312">
        <w:t>note</w:t>
      </w:r>
      <w:r w:rsidR="00080409">
        <w:t>s</w:t>
      </w:r>
      <w:r w:rsidR="007A1312">
        <w:t xml:space="preserve"> </w:t>
      </w:r>
      <w:r w:rsidR="00EE42FD">
        <w:t xml:space="preserve">that </w:t>
      </w:r>
      <w:r w:rsidR="007A1312">
        <w:t>the State party</w:t>
      </w:r>
      <w:r w:rsidR="00EE42FD">
        <w:t xml:space="preserve"> has </w:t>
      </w:r>
      <w:r w:rsidR="007A1312">
        <w:t>challenge</w:t>
      </w:r>
      <w:r w:rsidR="00EE42FD">
        <w:t>d</w:t>
      </w:r>
      <w:r w:rsidR="007A1312">
        <w:t xml:space="preserve"> the admissibility of the communication </w:t>
      </w:r>
      <w:r w:rsidR="00EE42FD">
        <w:t xml:space="preserve">for </w:t>
      </w:r>
      <w:r w:rsidR="007A1312">
        <w:t xml:space="preserve">non-exhaustion of domestic remedies, </w:t>
      </w:r>
      <w:r w:rsidR="00EE42FD">
        <w:t xml:space="preserve">given the </w:t>
      </w:r>
      <w:r w:rsidR="007A1312">
        <w:t>author’s failure to complain about the length of proceedings during the pretrial investigation</w:t>
      </w:r>
      <w:r w:rsidR="00EE42FD">
        <w:t xml:space="preserve"> or</w:t>
      </w:r>
      <w:r w:rsidR="007A1312">
        <w:t xml:space="preserve"> during the court </w:t>
      </w:r>
      <w:r w:rsidR="00EE42FD">
        <w:t>trial</w:t>
      </w:r>
      <w:r w:rsidR="007A1312">
        <w:t xml:space="preserve"> and</w:t>
      </w:r>
      <w:r w:rsidR="00EE42FD">
        <w:t xml:space="preserve">, subsequently, his failure </w:t>
      </w:r>
      <w:r w:rsidR="007A1312">
        <w:t xml:space="preserve">to file a claim for compensation of damages incurred as a result of </w:t>
      </w:r>
      <w:r w:rsidR="009B71B4">
        <w:t>length</w:t>
      </w:r>
      <w:r w:rsidR="007A1312">
        <w:t xml:space="preserve"> of criminal proceedings </w:t>
      </w:r>
      <w:r w:rsidR="00792C7C">
        <w:t>before the court</w:t>
      </w:r>
      <w:r w:rsidR="00080409">
        <w:t>s</w:t>
      </w:r>
      <w:r w:rsidR="00792C7C">
        <w:t xml:space="preserve"> of general jurisdiction</w:t>
      </w:r>
      <w:r w:rsidR="00EE42FD" w:rsidRPr="00EE42FD">
        <w:t xml:space="preserve"> </w:t>
      </w:r>
      <w:r w:rsidR="00EE42FD">
        <w:t>within the statutory deadlines</w:t>
      </w:r>
      <w:r w:rsidR="007A1312">
        <w:t xml:space="preserve">. </w:t>
      </w:r>
      <w:r w:rsidR="00080409">
        <w:t>T</w:t>
      </w:r>
      <w:r w:rsidR="007A1312">
        <w:t xml:space="preserve">he Committee </w:t>
      </w:r>
      <w:r w:rsidR="00EE42FD">
        <w:t xml:space="preserve">further </w:t>
      </w:r>
      <w:r w:rsidR="007A1312">
        <w:t xml:space="preserve">notes </w:t>
      </w:r>
      <w:r w:rsidR="00EE42FD">
        <w:t xml:space="preserve">the author’s </w:t>
      </w:r>
      <w:r w:rsidR="00F816A2">
        <w:t>o</w:t>
      </w:r>
      <w:r w:rsidR="00EE42FD">
        <w:t xml:space="preserve">bjections as to the remedies to be exhausted, but also notes </w:t>
      </w:r>
      <w:r w:rsidR="007A1312">
        <w:t xml:space="preserve">the </w:t>
      </w:r>
      <w:r w:rsidR="00EE42FD">
        <w:t xml:space="preserve">numerous </w:t>
      </w:r>
      <w:r w:rsidR="007A1312">
        <w:t>examples of domestic case</w:t>
      </w:r>
      <w:r w:rsidR="006C09E6">
        <w:t xml:space="preserve"> </w:t>
      </w:r>
      <w:r w:rsidR="007A1312">
        <w:t>law demonstrating an opportunity to submit such a claim before national courts</w:t>
      </w:r>
      <w:r w:rsidR="00EE42FD">
        <w:t xml:space="preserve"> as provided by the State party</w:t>
      </w:r>
      <w:r w:rsidR="006C09E6">
        <w:t>.</w:t>
      </w:r>
      <w:r w:rsidR="00FD376D">
        <w:rPr>
          <w:rStyle w:val="FootnoteReference"/>
        </w:rPr>
        <w:footnoteReference w:id="18"/>
      </w:r>
      <w:r w:rsidR="007A1312">
        <w:t xml:space="preserve"> </w:t>
      </w:r>
      <w:r w:rsidR="00080409">
        <w:t>It</w:t>
      </w:r>
      <w:r w:rsidR="00EE42FD">
        <w:t xml:space="preserve"> finally </w:t>
      </w:r>
      <w:r w:rsidR="00080409">
        <w:t xml:space="preserve">notes </w:t>
      </w:r>
      <w:r w:rsidR="007A1312">
        <w:t xml:space="preserve">that the author has not advanced </w:t>
      </w:r>
      <w:r w:rsidR="00080409">
        <w:t xml:space="preserve">any </w:t>
      </w:r>
      <w:r w:rsidR="007A1312">
        <w:t xml:space="preserve">reasons </w:t>
      </w:r>
      <w:r w:rsidR="000930F7">
        <w:t xml:space="preserve">as to </w:t>
      </w:r>
      <w:r w:rsidR="00792C7C">
        <w:t>why he did not complain about the length of proceedings during his criminal proceedings</w:t>
      </w:r>
      <w:r w:rsidR="006C09E6">
        <w:t>,</w:t>
      </w:r>
      <w:r w:rsidR="00080409">
        <w:t xml:space="preserve"> including at the appeal and cassation appeal stages</w:t>
      </w:r>
      <w:r w:rsidR="00F816A2">
        <w:t>,</w:t>
      </w:r>
      <w:r w:rsidR="00792C7C">
        <w:t xml:space="preserve"> as well as for his failure to pursue the</w:t>
      </w:r>
      <w:r w:rsidR="007A1312">
        <w:t xml:space="preserve"> remedy in respect to </w:t>
      </w:r>
      <w:r w:rsidR="00080409">
        <w:t xml:space="preserve">these </w:t>
      </w:r>
      <w:r w:rsidR="007A1312">
        <w:t>claims</w:t>
      </w:r>
      <w:r w:rsidR="00792C7C">
        <w:t xml:space="preserve"> later</w:t>
      </w:r>
      <w:r w:rsidR="00EE42FD">
        <w:t xml:space="preserve"> on, </w:t>
      </w:r>
      <w:r w:rsidR="00792C7C">
        <w:t xml:space="preserve">before the </w:t>
      </w:r>
      <w:r w:rsidR="00EE42FD">
        <w:t xml:space="preserve">ordinary </w:t>
      </w:r>
      <w:r w:rsidR="00F816A2">
        <w:t>courts</w:t>
      </w:r>
      <w:r w:rsidR="007A1312">
        <w:t>. In the circumstances, the Committee considers that the author has failed to exhaust the available domestic remedies and declares the communication inadmissible under article</w:t>
      </w:r>
      <w:r w:rsidR="000930F7">
        <w:t>s</w:t>
      </w:r>
      <w:r w:rsidR="007A1312">
        <w:t xml:space="preserve"> </w:t>
      </w:r>
      <w:r w:rsidR="000930F7">
        <w:t xml:space="preserve">2 and </w:t>
      </w:r>
      <w:r w:rsidR="007A1312">
        <w:t>5, paragraph 2 (b), of the Optional Protocol.</w:t>
      </w:r>
      <w:r w:rsidR="00080409">
        <w:t xml:space="preserve"> </w:t>
      </w:r>
      <w:r w:rsidR="007A1312">
        <w:t xml:space="preserve"> </w:t>
      </w:r>
    </w:p>
    <w:p w:rsidR="007A1312" w:rsidRDefault="007A1312" w:rsidP="007A1312">
      <w:pPr>
        <w:pStyle w:val="SingleTxtG"/>
      </w:pPr>
      <w:r>
        <w:t>7.</w:t>
      </w:r>
      <w:r>
        <w:tab/>
        <w:t>Therefore, the Human Rights Committee decides that:</w:t>
      </w:r>
    </w:p>
    <w:p w:rsidR="007A1312" w:rsidRDefault="007A1312" w:rsidP="007A1312">
      <w:pPr>
        <w:pStyle w:val="SingleTxtG"/>
        <w:ind w:firstLine="567"/>
      </w:pPr>
      <w:r>
        <w:t>(a)</w:t>
      </w:r>
      <w:r>
        <w:tab/>
      </w:r>
      <w:r w:rsidR="006C09E6">
        <w:t>T</w:t>
      </w:r>
      <w:r>
        <w:t>he communication is inadmissible pursuant to article</w:t>
      </w:r>
      <w:r w:rsidR="000930F7">
        <w:t>s 2 and</w:t>
      </w:r>
      <w:r>
        <w:t xml:space="preserve"> 5, paragraph 2 (b), of the Optional Protocol; and</w:t>
      </w:r>
    </w:p>
    <w:p w:rsidR="007A1312" w:rsidRDefault="007A1312" w:rsidP="007A1312">
      <w:pPr>
        <w:pStyle w:val="SingleTxtG"/>
        <w:ind w:firstLine="567"/>
      </w:pPr>
      <w:r>
        <w:t>(b)</w:t>
      </w:r>
      <w:r>
        <w:tab/>
      </w:r>
      <w:r w:rsidR="006C09E6">
        <w:t>T</w:t>
      </w:r>
      <w:r>
        <w:t xml:space="preserve">he present decision shall be communicated to the author and to the State party, for information. </w:t>
      </w:r>
    </w:p>
    <w:p w:rsidR="00D37098" w:rsidRDefault="007A1312" w:rsidP="00F816A2">
      <w:pPr>
        <w:pStyle w:val="SingleTxtG"/>
      </w:pPr>
      <w:r>
        <w:t>[Adopted in English, French and Spanish, the English text being the original version. Subsequently to be issued also in Arabic, Chinese and Russian as part of the Committee</w:t>
      </w:r>
      <w:r w:rsidR="00063DD3">
        <w:t>’</w:t>
      </w:r>
      <w:r>
        <w:t>s annual report to the General Assembly.]</w:t>
      </w:r>
    </w:p>
    <w:p w:rsidR="00EA6677" w:rsidRPr="00E823E3" w:rsidRDefault="00EA6677" w:rsidP="00E823E3">
      <w:pPr>
        <w:pStyle w:val="SingleTxtG"/>
        <w:spacing w:before="240" w:after="0"/>
        <w:jc w:val="center"/>
        <w:rPr>
          <w:u w:val="single"/>
        </w:rPr>
      </w:pPr>
      <w:r>
        <w:rPr>
          <w:u w:val="single"/>
        </w:rPr>
        <w:tab/>
      </w:r>
      <w:r>
        <w:rPr>
          <w:u w:val="single"/>
        </w:rPr>
        <w:tab/>
      </w:r>
      <w:r>
        <w:rPr>
          <w:u w:val="single"/>
        </w:rPr>
        <w:tab/>
      </w:r>
    </w:p>
    <w:sectPr w:rsidR="00EA6677" w:rsidRPr="00E823E3" w:rsidSect="000E359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FF8" w:rsidRDefault="00A27FF8"/>
  </w:endnote>
  <w:endnote w:type="continuationSeparator" w:id="0">
    <w:p w:rsidR="00A27FF8" w:rsidRDefault="00A27FF8"/>
  </w:endnote>
  <w:endnote w:type="continuationNotice" w:id="1">
    <w:p w:rsidR="00A27FF8" w:rsidRDefault="00A27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C8" w:rsidRPr="000E3598" w:rsidRDefault="00CB59C8" w:rsidP="000E3598">
    <w:pPr>
      <w:pStyle w:val="Footer"/>
      <w:tabs>
        <w:tab w:val="right" w:pos="9638"/>
      </w:tabs>
    </w:pPr>
    <w:r w:rsidRPr="000E3598">
      <w:rPr>
        <w:b/>
        <w:sz w:val="18"/>
      </w:rPr>
      <w:fldChar w:fldCharType="begin"/>
    </w:r>
    <w:r w:rsidRPr="000E3598">
      <w:rPr>
        <w:b/>
        <w:sz w:val="18"/>
      </w:rPr>
      <w:instrText xml:space="preserve"> PAGE  \* MERGEFORMAT </w:instrText>
    </w:r>
    <w:r w:rsidRPr="000E3598">
      <w:rPr>
        <w:b/>
        <w:sz w:val="18"/>
      </w:rPr>
      <w:fldChar w:fldCharType="separate"/>
    </w:r>
    <w:r w:rsidR="00664F28">
      <w:rPr>
        <w:b/>
        <w:noProof/>
        <w:sz w:val="18"/>
      </w:rPr>
      <w:t>2</w:t>
    </w:r>
    <w:r w:rsidRPr="000E359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C8" w:rsidRPr="000E3598" w:rsidRDefault="00CB59C8" w:rsidP="000E3598">
    <w:pPr>
      <w:pStyle w:val="Footer"/>
      <w:tabs>
        <w:tab w:val="right" w:pos="9638"/>
      </w:tabs>
      <w:rPr>
        <w:b/>
        <w:sz w:val="18"/>
      </w:rPr>
    </w:pPr>
    <w:r>
      <w:tab/>
    </w:r>
    <w:r w:rsidRPr="000E3598">
      <w:rPr>
        <w:b/>
        <w:sz w:val="18"/>
      </w:rPr>
      <w:fldChar w:fldCharType="begin"/>
    </w:r>
    <w:r w:rsidRPr="000E3598">
      <w:rPr>
        <w:b/>
        <w:sz w:val="18"/>
      </w:rPr>
      <w:instrText xml:space="preserve"> PAGE  \* MERGEFORMAT </w:instrText>
    </w:r>
    <w:r w:rsidRPr="000E3598">
      <w:rPr>
        <w:b/>
        <w:sz w:val="18"/>
      </w:rPr>
      <w:fldChar w:fldCharType="separate"/>
    </w:r>
    <w:r w:rsidR="00664F28">
      <w:rPr>
        <w:b/>
        <w:noProof/>
        <w:sz w:val="18"/>
      </w:rPr>
      <w:t>3</w:t>
    </w:r>
    <w:r w:rsidRPr="000E359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C8" w:rsidRPr="000E3598" w:rsidRDefault="00A27FF8">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451A95">
      <w:t>GE.13</w:t>
    </w:r>
    <w:r w:rsidR="00E771BA">
      <w:t>-43909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FF8" w:rsidRPr="000B175B" w:rsidRDefault="00A27FF8" w:rsidP="000B175B">
      <w:pPr>
        <w:tabs>
          <w:tab w:val="right" w:pos="2155"/>
        </w:tabs>
        <w:spacing w:after="80"/>
        <w:ind w:left="680"/>
        <w:rPr>
          <w:u w:val="single"/>
        </w:rPr>
      </w:pPr>
      <w:r>
        <w:rPr>
          <w:u w:val="single"/>
        </w:rPr>
        <w:tab/>
      </w:r>
    </w:p>
  </w:footnote>
  <w:footnote w:type="continuationSeparator" w:id="0">
    <w:p w:rsidR="00A27FF8" w:rsidRPr="00FC68B7" w:rsidRDefault="00A27FF8" w:rsidP="00FC68B7">
      <w:pPr>
        <w:tabs>
          <w:tab w:val="left" w:pos="2155"/>
        </w:tabs>
        <w:spacing w:after="80"/>
        <w:ind w:left="680"/>
        <w:rPr>
          <w:u w:val="single"/>
        </w:rPr>
      </w:pPr>
      <w:r>
        <w:rPr>
          <w:u w:val="single"/>
        </w:rPr>
        <w:tab/>
      </w:r>
    </w:p>
  </w:footnote>
  <w:footnote w:type="continuationNotice" w:id="1">
    <w:p w:rsidR="00A27FF8" w:rsidRDefault="00A27FF8"/>
  </w:footnote>
  <w:footnote w:id="2">
    <w:p w:rsidR="00CB59C8" w:rsidRPr="006A0AD1" w:rsidRDefault="00CB59C8" w:rsidP="00791D6B">
      <w:pPr>
        <w:widowControl w:val="0"/>
        <w:tabs>
          <w:tab w:val="right" w:pos="1021"/>
        </w:tabs>
        <w:autoSpaceDE w:val="0"/>
        <w:autoSpaceDN w:val="0"/>
        <w:adjustRightInd w:val="0"/>
        <w:ind w:left="1134" w:right="1134" w:hanging="1134"/>
        <w:jc w:val="both"/>
      </w:pPr>
      <w:r>
        <w:tab/>
      </w:r>
      <w:r>
        <w:rPr>
          <w:rStyle w:val="FootnoteReference"/>
        </w:rPr>
        <w:t>*</w:t>
      </w:r>
      <w:r>
        <w:rPr>
          <w:rStyle w:val="FootnoteReference"/>
        </w:rPr>
        <w:tab/>
      </w:r>
      <w:r w:rsidRPr="00791D6B">
        <w:rPr>
          <w:sz w:val="18"/>
          <w:szCs w:val="18"/>
        </w:rPr>
        <w:t xml:space="preserve">The following members of the Committee participated in the examination of the present communication: Mr. Yadh Ben Achour, </w:t>
      </w:r>
      <w:r w:rsidRPr="00791D6B">
        <w:rPr>
          <w:bCs/>
          <w:sz w:val="18"/>
          <w:szCs w:val="18"/>
        </w:rPr>
        <w:t xml:space="preserve">Mr. Lazhari Bouzid, </w:t>
      </w:r>
      <w:r w:rsidRPr="00791D6B">
        <w:rPr>
          <w:sz w:val="18"/>
          <w:szCs w:val="18"/>
        </w:rPr>
        <w:t>Ms. Christine Chanet, Mr.</w:t>
      </w:r>
      <w:r>
        <w:rPr>
          <w:sz w:val="18"/>
          <w:szCs w:val="18"/>
        </w:rPr>
        <w:t> </w:t>
      </w:r>
      <w:r w:rsidRPr="00791D6B">
        <w:rPr>
          <w:sz w:val="18"/>
          <w:szCs w:val="18"/>
        </w:rPr>
        <w:t>Ahmad Amin Fathalla</w:t>
      </w:r>
      <w:r w:rsidRPr="00791D6B">
        <w:rPr>
          <w:bCs/>
          <w:sz w:val="18"/>
          <w:szCs w:val="18"/>
        </w:rPr>
        <w:t xml:space="preserve"> Mr. Cornelis Flinterman, </w:t>
      </w:r>
      <w:r w:rsidRPr="00791D6B">
        <w:rPr>
          <w:sz w:val="18"/>
          <w:szCs w:val="18"/>
        </w:rPr>
        <w:t xml:space="preserve">Mr. Yuji Iwasawa, </w:t>
      </w:r>
      <w:r w:rsidRPr="00791D6B">
        <w:rPr>
          <w:bCs/>
          <w:sz w:val="18"/>
          <w:szCs w:val="18"/>
        </w:rPr>
        <w:t xml:space="preserve">Ms. Zonke Zanele Majodina, </w:t>
      </w:r>
      <w:r w:rsidRPr="00791D6B">
        <w:rPr>
          <w:sz w:val="18"/>
          <w:szCs w:val="18"/>
        </w:rPr>
        <w:t>Mr. Kheshoe Parsad Matadeen, Ms. Iulia Antoanella Motoc</w:t>
      </w:r>
      <w:r w:rsidRPr="00791D6B">
        <w:rPr>
          <w:bCs/>
          <w:sz w:val="18"/>
          <w:szCs w:val="18"/>
          <w:lang w:val="en-US"/>
        </w:rPr>
        <w:t xml:space="preserve">, </w:t>
      </w:r>
      <w:r w:rsidRPr="00791D6B">
        <w:rPr>
          <w:sz w:val="18"/>
          <w:szCs w:val="18"/>
        </w:rPr>
        <w:t xml:space="preserve">Mr. Gerald L. Neuman, </w:t>
      </w:r>
      <w:r w:rsidRPr="00791D6B">
        <w:rPr>
          <w:bCs/>
          <w:sz w:val="18"/>
          <w:szCs w:val="18"/>
          <w:lang w:val="en-US"/>
        </w:rPr>
        <w:t xml:space="preserve">Sir Nigel Rodley, </w:t>
      </w:r>
      <w:r w:rsidRPr="00791D6B">
        <w:rPr>
          <w:sz w:val="18"/>
          <w:szCs w:val="18"/>
        </w:rPr>
        <w:t xml:space="preserve">Mr. Victor Manuel Rodríguez-Rescia, </w:t>
      </w:r>
      <w:r w:rsidRPr="00791D6B">
        <w:rPr>
          <w:bCs/>
          <w:sz w:val="18"/>
          <w:szCs w:val="18"/>
          <w:lang w:val="en-US"/>
        </w:rPr>
        <w:t xml:space="preserve">Mr. Fabián Omar Salvioli, </w:t>
      </w:r>
      <w:r w:rsidRPr="00791D6B">
        <w:rPr>
          <w:sz w:val="18"/>
          <w:szCs w:val="18"/>
        </w:rPr>
        <w:t>Ms. Anja Sei</w:t>
      </w:r>
      <w:r w:rsidR="00791D6B">
        <w:rPr>
          <w:sz w:val="18"/>
          <w:szCs w:val="18"/>
        </w:rPr>
        <w:t>bert-Fohr, Mr. Yuval Shany, Mr. </w:t>
      </w:r>
      <w:r w:rsidRPr="00791D6B">
        <w:rPr>
          <w:sz w:val="18"/>
          <w:szCs w:val="18"/>
        </w:rPr>
        <w:t>Konstantine Vardzelashvili</w:t>
      </w:r>
      <w:r w:rsidRPr="00791D6B">
        <w:rPr>
          <w:bCs/>
          <w:sz w:val="18"/>
          <w:szCs w:val="18"/>
        </w:rPr>
        <w:t xml:space="preserve"> </w:t>
      </w:r>
      <w:r w:rsidRPr="00791D6B">
        <w:rPr>
          <w:bCs/>
          <w:sz w:val="18"/>
          <w:szCs w:val="18"/>
          <w:lang w:val="en-US"/>
        </w:rPr>
        <w:t xml:space="preserve">and </w:t>
      </w:r>
      <w:r w:rsidRPr="00791D6B">
        <w:rPr>
          <w:bCs/>
          <w:sz w:val="18"/>
          <w:szCs w:val="18"/>
        </w:rPr>
        <w:t>Ms. Margo Waterval.</w:t>
      </w:r>
    </w:p>
  </w:footnote>
  <w:footnote w:id="3">
    <w:p w:rsidR="00CB59C8" w:rsidRPr="004F5441" w:rsidRDefault="00CB59C8" w:rsidP="00E823E3">
      <w:pPr>
        <w:pStyle w:val="FootnoteText"/>
        <w:jc w:val="both"/>
      </w:pPr>
      <w:r>
        <w:rPr>
          <w:b/>
          <w:szCs w:val="18"/>
        </w:rPr>
        <w:tab/>
      </w:r>
      <w:r w:rsidRPr="004F5441">
        <w:rPr>
          <w:rStyle w:val="FootnoteReference"/>
        </w:rPr>
        <w:footnoteRef/>
      </w:r>
      <w:r w:rsidRPr="004F5441">
        <w:t xml:space="preserve"> </w:t>
      </w:r>
      <w:r>
        <w:tab/>
      </w:r>
      <w:r w:rsidRPr="00ED435C">
        <w:t>The Optional Protocol entered into force for the State party on 20 February 1992</w:t>
      </w:r>
      <w:r>
        <w:t>.</w:t>
      </w:r>
    </w:p>
  </w:footnote>
  <w:footnote w:id="4">
    <w:p w:rsidR="00CB59C8" w:rsidRPr="00E032D8" w:rsidRDefault="00CB59C8" w:rsidP="00E823E3">
      <w:pPr>
        <w:pStyle w:val="FootnoteText"/>
        <w:jc w:val="both"/>
      </w:pPr>
      <w:r>
        <w:tab/>
      </w:r>
      <w:r>
        <w:rPr>
          <w:rStyle w:val="FootnoteReference"/>
        </w:rPr>
        <w:footnoteRef/>
      </w:r>
      <w:r>
        <w:t xml:space="preserve"> </w:t>
      </w:r>
      <w:r>
        <w:tab/>
        <w:t>Appropriation or dissipation of high-value property which was entrusted to a person.</w:t>
      </w:r>
    </w:p>
  </w:footnote>
  <w:footnote w:id="5">
    <w:p w:rsidR="00CB59C8" w:rsidRPr="00577179" w:rsidRDefault="00CB59C8" w:rsidP="00E823E3">
      <w:pPr>
        <w:pStyle w:val="FootnoteText"/>
        <w:jc w:val="both"/>
      </w:pPr>
      <w:r>
        <w:tab/>
      </w:r>
      <w:r>
        <w:rPr>
          <w:rStyle w:val="FootnoteReference"/>
        </w:rPr>
        <w:footnoteRef/>
      </w:r>
      <w:r>
        <w:t xml:space="preserve"> </w:t>
      </w:r>
      <w:r>
        <w:tab/>
      </w:r>
      <w:r w:rsidRPr="00577179">
        <w:t xml:space="preserve">It appears from the materials </w:t>
      </w:r>
      <w:r>
        <w:t xml:space="preserve">on </w:t>
      </w:r>
      <w:r w:rsidRPr="00577179">
        <w:t>file that the judgment was adopted on 12 October 200</w:t>
      </w:r>
      <w:r>
        <w:t xml:space="preserve">4 and not </w:t>
      </w:r>
      <w:r w:rsidRPr="00577179">
        <w:t xml:space="preserve">on 12 April </w:t>
      </w:r>
      <w:r>
        <w:t>2005</w:t>
      </w:r>
      <w:r w:rsidRPr="00577179">
        <w:t>.</w:t>
      </w:r>
    </w:p>
  </w:footnote>
  <w:footnote w:id="6">
    <w:p w:rsidR="00CB59C8" w:rsidRPr="005E528C" w:rsidRDefault="00CB59C8" w:rsidP="00E823E3">
      <w:pPr>
        <w:pStyle w:val="FootnoteText"/>
        <w:jc w:val="both"/>
      </w:pPr>
      <w:r>
        <w:tab/>
      </w:r>
      <w:r>
        <w:rPr>
          <w:rStyle w:val="FootnoteReference"/>
        </w:rPr>
        <w:footnoteRef/>
      </w:r>
      <w:r>
        <w:t xml:space="preserve"> </w:t>
      </w:r>
      <w:r>
        <w:tab/>
      </w:r>
      <w:r w:rsidRPr="005E528C">
        <w:t>According to the case-file materials, the correct date is 12 October 2004.</w:t>
      </w:r>
    </w:p>
  </w:footnote>
  <w:footnote w:id="7">
    <w:p w:rsidR="00CB59C8" w:rsidRPr="00662049" w:rsidRDefault="00CB59C8" w:rsidP="00E823E3">
      <w:pPr>
        <w:pStyle w:val="FootnoteText"/>
        <w:jc w:val="both"/>
      </w:pPr>
      <w:r>
        <w:tab/>
      </w:r>
      <w:r>
        <w:rPr>
          <w:rStyle w:val="FootnoteReference"/>
        </w:rPr>
        <w:footnoteRef/>
      </w:r>
      <w:r>
        <w:t xml:space="preserve"> </w:t>
      </w:r>
      <w:r>
        <w:tab/>
      </w:r>
      <w:r w:rsidRPr="00662049">
        <w:t>See, para 4.5 above.</w:t>
      </w:r>
    </w:p>
  </w:footnote>
  <w:footnote w:id="8">
    <w:p w:rsidR="00CB59C8" w:rsidRPr="00662049" w:rsidRDefault="00CB59C8" w:rsidP="00E823E3">
      <w:pPr>
        <w:pStyle w:val="FootnoteText"/>
        <w:jc w:val="both"/>
      </w:pPr>
      <w:r>
        <w:tab/>
      </w:r>
      <w:r>
        <w:rPr>
          <w:rStyle w:val="FootnoteReference"/>
        </w:rPr>
        <w:footnoteRef/>
      </w:r>
      <w:r>
        <w:t xml:space="preserve"> </w:t>
      </w:r>
      <w:r>
        <w:tab/>
      </w:r>
      <w:r w:rsidRPr="004237AD">
        <w:t xml:space="preserve">In this regard, the State party refers to, e.g., </w:t>
      </w:r>
      <w:r w:rsidRPr="004237AD">
        <w:rPr>
          <w:i/>
        </w:rPr>
        <w:t xml:space="preserve">Lukyanchik </w:t>
      </w:r>
      <w:r w:rsidRPr="00791D6B">
        <w:t>v.</w:t>
      </w:r>
      <w:r w:rsidRPr="004237AD">
        <w:rPr>
          <w:i/>
        </w:rPr>
        <w:t xml:space="preserve"> </w:t>
      </w:r>
      <w:smartTag w:uri="urn:schemas-microsoft-com:office:smarttags" w:element="country-region">
        <w:smartTag w:uri="urn:schemas-microsoft-com:office:smarttags" w:element="place">
          <w:r w:rsidRPr="004237AD">
            <w:rPr>
              <w:i/>
            </w:rPr>
            <w:t>Belarus</w:t>
          </w:r>
        </w:smartTag>
      </w:smartTag>
      <w:r w:rsidRPr="004237AD">
        <w:t xml:space="preserve">, communication No. 1392/2005, Views </w:t>
      </w:r>
      <w:r>
        <w:t>adopted on</w:t>
      </w:r>
      <w:r w:rsidRPr="004237AD">
        <w:t xml:space="preserve"> </w:t>
      </w:r>
      <w:r>
        <w:t>21 October</w:t>
      </w:r>
      <w:r w:rsidRPr="004237AD">
        <w:t xml:space="preserve"> 2009, para</w:t>
      </w:r>
      <w:r>
        <w:t>.</w:t>
      </w:r>
      <w:r w:rsidRPr="004237AD">
        <w:t xml:space="preserve"> 7.4</w:t>
      </w:r>
    </w:p>
  </w:footnote>
  <w:footnote w:id="9">
    <w:p w:rsidR="00CB59C8" w:rsidRPr="00F366F8" w:rsidRDefault="00CB59C8" w:rsidP="00E823E3">
      <w:pPr>
        <w:pStyle w:val="FootnoteText"/>
        <w:jc w:val="both"/>
      </w:pPr>
      <w:r>
        <w:tab/>
      </w:r>
      <w:r>
        <w:rPr>
          <w:rStyle w:val="FootnoteReference"/>
        </w:rPr>
        <w:footnoteRef/>
      </w:r>
      <w:r>
        <w:t xml:space="preserve"> </w:t>
      </w:r>
      <w:r>
        <w:tab/>
      </w:r>
      <w:r w:rsidRPr="004237AD">
        <w:rPr>
          <w:i/>
        </w:rPr>
        <w:t xml:space="preserve">Hill </w:t>
      </w:r>
      <w:r w:rsidRPr="00791D6B">
        <w:t>v.</w:t>
      </w:r>
      <w:r w:rsidRPr="004237AD">
        <w:rPr>
          <w:i/>
        </w:rPr>
        <w:t xml:space="preserve"> </w:t>
      </w:r>
      <w:smartTag w:uri="urn:schemas-microsoft-com:office:smarttags" w:element="country-region">
        <w:smartTag w:uri="urn:schemas-microsoft-com:office:smarttags" w:element="place">
          <w:r w:rsidRPr="004237AD">
            <w:rPr>
              <w:i/>
            </w:rPr>
            <w:t>Spain</w:t>
          </w:r>
        </w:smartTag>
      </w:smartTag>
      <w:r w:rsidRPr="004237AD">
        <w:t>, communication No. 526/1993, Views adopted on 2 April 1997, para</w:t>
      </w:r>
      <w:r>
        <w:t>.</w:t>
      </w:r>
      <w:r w:rsidRPr="004237AD">
        <w:t xml:space="preserve"> 12.4.</w:t>
      </w:r>
    </w:p>
  </w:footnote>
  <w:footnote w:id="10">
    <w:p w:rsidR="00CB59C8" w:rsidRPr="00691749" w:rsidRDefault="00CB59C8" w:rsidP="00E823E3">
      <w:pPr>
        <w:pStyle w:val="FootnoteText"/>
        <w:jc w:val="both"/>
      </w:pPr>
      <w:r>
        <w:tab/>
      </w:r>
      <w:r>
        <w:rPr>
          <w:rStyle w:val="FootnoteReference"/>
        </w:rPr>
        <w:footnoteRef/>
      </w:r>
      <w:r>
        <w:t xml:space="preserve"> </w:t>
      </w:r>
      <w:r>
        <w:tab/>
      </w:r>
      <w:r w:rsidRPr="007D3B64">
        <w:rPr>
          <w:i/>
        </w:rPr>
        <w:t xml:space="preserve">See, e.g., </w:t>
      </w:r>
      <w:r>
        <w:rPr>
          <w:i/>
        </w:rPr>
        <w:t>D</w:t>
      </w:r>
      <w:r w:rsidRPr="007D3B64">
        <w:rPr>
          <w:i/>
        </w:rPr>
        <w:t>e Dios Prietro v. Spain</w:t>
      </w:r>
      <w:r w:rsidRPr="007D3B64">
        <w:t xml:space="preserve">, communication No. 1293/2004, </w:t>
      </w:r>
      <w:r>
        <w:t xml:space="preserve">decision on </w:t>
      </w:r>
      <w:r>
        <w:rPr>
          <w:lang w:val="en-US"/>
        </w:rPr>
        <w:t>admissibility</w:t>
      </w:r>
      <w:r w:rsidRPr="007D3B64">
        <w:t xml:space="preserve"> adopted on 25 July 2006, paragraph 6.3.</w:t>
      </w:r>
    </w:p>
  </w:footnote>
  <w:footnote w:id="11">
    <w:p w:rsidR="00CB59C8" w:rsidRPr="00BD4613" w:rsidRDefault="00CB59C8" w:rsidP="00E823E3">
      <w:pPr>
        <w:pStyle w:val="FootnoteText"/>
        <w:jc w:val="both"/>
      </w:pPr>
      <w:r>
        <w:tab/>
      </w:r>
      <w:r w:rsidRPr="00BD4613">
        <w:rPr>
          <w:rStyle w:val="FootnoteReference"/>
        </w:rPr>
        <w:footnoteRef/>
      </w:r>
      <w:r w:rsidRPr="00BD4613">
        <w:t xml:space="preserve"> </w:t>
      </w:r>
      <w:r w:rsidRPr="00BD4613">
        <w:tab/>
        <w:t>The author refers to</w:t>
      </w:r>
      <w:r w:rsidRPr="00BD4613">
        <w:rPr>
          <w:i/>
        </w:rPr>
        <w:t xml:space="preserve"> Gilberg </w:t>
      </w:r>
      <w:r w:rsidRPr="00791D6B">
        <w:t>v.</w:t>
      </w:r>
      <w:r w:rsidRPr="00BD4613">
        <w:rPr>
          <w:i/>
        </w:rPr>
        <w:t xml:space="preserve"> </w:t>
      </w:r>
      <w:smartTag w:uri="urn:schemas-microsoft-com:office:smarttags" w:element="country-region">
        <w:smartTag w:uri="urn:schemas-microsoft-com:office:smarttags" w:element="place">
          <w:r w:rsidRPr="00BD4613">
            <w:rPr>
              <w:i/>
            </w:rPr>
            <w:t>Germany</w:t>
          </w:r>
        </w:smartTag>
      </w:smartTag>
      <w:r w:rsidRPr="00BD4613">
        <w:t xml:space="preserve">, communication No. 1403/2005, </w:t>
      </w:r>
      <w:r>
        <w:t>d</w:t>
      </w:r>
      <w:r w:rsidRPr="00BD4613">
        <w:t xml:space="preserve">ecision </w:t>
      </w:r>
      <w:r>
        <w:t xml:space="preserve">on admissibility </w:t>
      </w:r>
      <w:r w:rsidRPr="00BD4613">
        <w:t>adopted on 25 July 2006, para</w:t>
      </w:r>
      <w:r>
        <w:t>.</w:t>
      </w:r>
      <w:r w:rsidRPr="00BD4613">
        <w:t xml:space="preserve"> 6.5.</w:t>
      </w:r>
    </w:p>
  </w:footnote>
  <w:footnote w:id="12">
    <w:p w:rsidR="00CB59C8" w:rsidRPr="00BD4613" w:rsidRDefault="00CB59C8" w:rsidP="00E823E3">
      <w:pPr>
        <w:pStyle w:val="FootnoteText"/>
        <w:jc w:val="both"/>
      </w:pPr>
      <w:r w:rsidRPr="00BD4613">
        <w:tab/>
      </w:r>
      <w:r w:rsidRPr="00BD4613">
        <w:rPr>
          <w:rStyle w:val="FootnoteReference"/>
        </w:rPr>
        <w:footnoteRef/>
      </w:r>
      <w:r w:rsidRPr="00BD4613">
        <w:t xml:space="preserve"> </w:t>
      </w:r>
      <w:r w:rsidRPr="00BD4613">
        <w:tab/>
      </w:r>
      <w:r w:rsidRPr="00791D6B">
        <w:t>See, e.g.,</w:t>
      </w:r>
      <w:r w:rsidRPr="00BD4613">
        <w:rPr>
          <w:i/>
        </w:rPr>
        <w:t xml:space="preserve"> Sankara </w:t>
      </w:r>
      <w:r w:rsidRPr="00791D6B">
        <w:t>v.</w:t>
      </w:r>
      <w:r w:rsidRPr="00BD4613">
        <w:rPr>
          <w:i/>
        </w:rPr>
        <w:t xml:space="preserve"> </w:t>
      </w:r>
      <w:smartTag w:uri="urn:schemas-microsoft-com:office:smarttags" w:element="country-region">
        <w:smartTag w:uri="urn:schemas-microsoft-com:office:smarttags" w:element="place">
          <w:r w:rsidRPr="00BD4613">
            <w:rPr>
              <w:i/>
            </w:rPr>
            <w:t>Burkina Faso</w:t>
          </w:r>
        </w:smartTag>
      </w:smartTag>
      <w:r w:rsidRPr="00BD4613">
        <w:t>, communication No. 1159/2003, Views adopted on 28 March 2006, para</w:t>
      </w:r>
      <w:r>
        <w:t>.</w:t>
      </w:r>
      <w:r w:rsidRPr="00BD4613">
        <w:t xml:space="preserve"> 6.4.</w:t>
      </w:r>
    </w:p>
  </w:footnote>
  <w:footnote w:id="13">
    <w:p w:rsidR="00CB59C8" w:rsidRPr="00BD4613" w:rsidRDefault="00CB59C8" w:rsidP="00E823E3">
      <w:pPr>
        <w:pStyle w:val="FootnoteText"/>
        <w:jc w:val="both"/>
      </w:pPr>
      <w:r w:rsidRPr="00BD4613">
        <w:tab/>
      </w:r>
      <w:r w:rsidRPr="00BD4613">
        <w:rPr>
          <w:rStyle w:val="FootnoteReference"/>
        </w:rPr>
        <w:footnoteRef/>
      </w:r>
      <w:r w:rsidRPr="00BD4613">
        <w:t xml:space="preserve"> </w:t>
      </w:r>
      <w:r w:rsidRPr="00BD4613">
        <w:tab/>
        <w:t>The author refers to communication No. 1403/2005para</w:t>
      </w:r>
      <w:r>
        <w:t>.</w:t>
      </w:r>
      <w:r w:rsidRPr="00BD4613">
        <w:t xml:space="preserve"> 6.5.</w:t>
      </w:r>
    </w:p>
  </w:footnote>
  <w:footnote w:id="14">
    <w:p w:rsidR="00CB59C8" w:rsidRPr="00BD4613" w:rsidRDefault="00CB59C8" w:rsidP="00E823E3">
      <w:pPr>
        <w:pStyle w:val="FootnoteText"/>
        <w:jc w:val="both"/>
      </w:pPr>
      <w:r w:rsidRPr="00BD4613">
        <w:tab/>
      </w:r>
      <w:r w:rsidRPr="00BD4613">
        <w:rPr>
          <w:rStyle w:val="FootnoteReference"/>
        </w:rPr>
        <w:footnoteRef/>
      </w:r>
      <w:r w:rsidRPr="00BD4613">
        <w:t xml:space="preserve"> </w:t>
      </w:r>
      <w:r w:rsidRPr="00BD4613">
        <w:tab/>
      </w:r>
      <w:r w:rsidRPr="00BD4613">
        <w:rPr>
          <w:i/>
        </w:rPr>
        <w:t xml:space="preserve">Handyside </w:t>
      </w:r>
      <w:r w:rsidRPr="00791D6B">
        <w:t xml:space="preserve">v. </w:t>
      </w:r>
      <w:smartTag w:uri="urn:schemas-microsoft-com:office:smarttags" w:element="country-region">
        <w:smartTag w:uri="urn:schemas-microsoft-com:office:smarttags" w:element="place">
          <w:r w:rsidRPr="00BD4613">
            <w:rPr>
              <w:i/>
            </w:rPr>
            <w:t>United Kingdom</w:t>
          </w:r>
        </w:smartTag>
      </w:smartTag>
      <w:r w:rsidRPr="00BD4613">
        <w:t>, judg</w:t>
      </w:r>
      <w:r>
        <w:t>e</w:t>
      </w:r>
      <w:r w:rsidRPr="00BD4613">
        <w:t>ment of 7 December 1976, para</w:t>
      </w:r>
      <w:r>
        <w:t>.</w:t>
      </w:r>
      <w:r w:rsidRPr="00BD4613">
        <w:t xml:space="preserve"> </w:t>
      </w:r>
      <w:r w:rsidR="00975AB4">
        <w:t>27</w:t>
      </w:r>
      <w:r w:rsidRPr="00BD4613">
        <w:t>, Series A No.</w:t>
      </w:r>
      <w:r>
        <w:t xml:space="preserve"> </w:t>
      </w:r>
      <w:r w:rsidRPr="00BD4613">
        <w:t>24, p.</w:t>
      </w:r>
      <w:r>
        <w:t xml:space="preserve"> </w:t>
      </w:r>
      <w:r w:rsidRPr="00BD4613">
        <w:t>22.</w:t>
      </w:r>
    </w:p>
  </w:footnote>
  <w:footnote w:id="15">
    <w:p w:rsidR="00CB59C8" w:rsidRPr="00BD4613" w:rsidRDefault="00CB59C8" w:rsidP="00E823E3">
      <w:pPr>
        <w:pStyle w:val="FootnoteText"/>
        <w:jc w:val="both"/>
      </w:pPr>
      <w:r w:rsidRPr="00BD4613">
        <w:tab/>
      </w:r>
      <w:r w:rsidRPr="00BD4613">
        <w:rPr>
          <w:rStyle w:val="FootnoteReference"/>
        </w:rPr>
        <w:footnoteRef/>
      </w:r>
      <w:r w:rsidRPr="00BD4613">
        <w:t xml:space="preserve"> </w:t>
      </w:r>
      <w:r w:rsidRPr="00BD4613">
        <w:tab/>
      </w:r>
      <w:r w:rsidRPr="00791D6B">
        <w:t>See, e.g.,</w:t>
      </w:r>
      <w:r w:rsidRPr="00BD4613">
        <w:rPr>
          <w:i/>
        </w:rPr>
        <w:t xml:space="preserve"> Vernillo </w:t>
      </w:r>
      <w:r w:rsidRPr="00791D6B">
        <w:t>v</w:t>
      </w:r>
      <w:r>
        <w:rPr>
          <w:i/>
        </w:rPr>
        <w:t>.</w:t>
      </w:r>
      <w:r w:rsidRPr="00BD4613">
        <w:rPr>
          <w:i/>
        </w:rPr>
        <w:t xml:space="preserve"> </w:t>
      </w:r>
      <w:smartTag w:uri="urn:schemas-microsoft-com:office:smarttags" w:element="country-region">
        <w:smartTag w:uri="urn:schemas-microsoft-com:office:smarttags" w:element="place">
          <w:r w:rsidRPr="00BD4613">
            <w:rPr>
              <w:i/>
            </w:rPr>
            <w:t>France</w:t>
          </w:r>
        </w:smartTag>
      </w:smartTag>
      <w:r w:rsidRPr="00BD4613">
        <w:t>, judg</w:t>
      </w:r>
      <w:r>
        <w:t>e</w:t>
      </w:r>
      <w:r w:rsidRPr="00BD4613">
        <w:t>ment of 20 February 1991, para</w:t>
      </w:r>
      <w:r>
        <w:t>.</w:t>
      </w:r>
      <w:r w:rsidRPr="00BD4613">
        <w:t xml:space="preserve"> 45, Series A No.</w:t>
      </w:r>
      <w:r>
        <w:t xml:space="preserve"> </w:t>
      </w:r>
      <w:r w:rsidRPr="00BD4613">
        <w:t xml:space="preserve">198, </w:t>
      </w:r>
      <w:r w:rsidR="00975AB4">
        <w:t>pp.</w:t>
      </w:r>
      <w:r w:rsidRPr="00BD4613">
        <w:t xml:space="preserve"> 11-12.</w:t>
      </w:r>
    </w:p>
  </w:footnote>
  <w:footnote w:id="16">
    <w:p w:rsidR="00CB59C8" w:rsidRPr="00E7403D" w:rsidRDefault="00CB59C8" w:rsidP="00E823E3">
      <w:pPr>
        <w:pStyle w:val="FootnoteText"/>
        <w:jc w:val="both"/>
      </w:pPr>
      <w:r w:rsidRPr="00E7403D">
        <w:tab/>
      </w:r>
      <w:r w:rsidRPr="00E7403D">
        <w:rPr>
          <w:rStyle w:val="FootnoteReference"/>
        </w:rPr>
        <w:footnoteRef/>
      </w:r>
      <w:r w:rsidRPr="00E7403D">
        <w:t xml:space="preserve"> </w:t>
      </w:r>
      <w:r w:rsidRPr="00E7403D">
        <w:tab/>
        <w:t xml:space="preserve">The author </w:t>
      </w:r>
      <w:r>
        <w:t>refers</w:t>
      </w:r>
      <w:r w:rsidRPr="00E7403D">
        <w:t xml:space="preserve"> to article 444 of the</w:t>
      </w:r>
      <w:r>
        <w:t xml:space="preserve"> Code of</w:t>
      </w:r>
      <w:r w:rsidRPr="00E7403D">
        <w:t xml:space="preserve"> Criminal Procedure.</w:t>
      </w:r>
    </w:p>
  </w:footnote>
  <w:footnote w:id="17">
    <w:p w:rsidR="00CB59C8" w:rsidRPr="00BD3516" w:rsidRDefault="00CB59C8" w:rsidP="00E823E3">
      <w:pPr>
        <w:pStyle w:val="FootnoteText"/>
        <w:jc w:val="both"/>
      </w:pPr>
      <w:r w:rsidRPr="00E7403D">
        <w:tab/>
      </w:r>
      <w:r w:rsidRPr="00E7403D">
        <w:rPr>
          <w:rStyle w:val="FootnoteReference"/>
        </w:rPr>
        <w:footnoteRef/>
      </w:r>
      <w:r w:rsidRPr="00E7403D">
        <w:t xml:space="preserve"> </w:t>
      </w:r>
      <w:r w:rsidRPr="00E7403D">
        <w:tab/>
        <w:t xml:space="preserve">The author refers to article 456 of the </w:t>
      </w:r>
      <w:r>
        <w:t>Code of</w:t>
      </w:r>
      <w:r w:rsidRPr="00E7403D">
        <w:t xml:space="preserve"> Criminal Procedure.</w:t>
      </w:r>
    </w:p>
  </w:footnote>
  <w:footnote w:id="18">
    <w:p w:rsidR="00CB59C8" w:rsidRPr="00FD376D" w:rsidRDefault="00CB59C8" w:rsidP="00E823E3">
      <w:pPr>
        <w:pStyle w:val="FootnoteText"/>
        <w:jc w:val="both"/>
        <w:rPr>
          <w:lang w:val="fr-CH"/>
        </w:rPr>
      </w:pPr>
      <w:r>
        <w:tab/>
      </w:r>
      <w:r>
        <w:rPr>
          <w:rStyle w:val="FootnoteReference"/>
        </w:rPr>
        <w:footnoteRef/>
      </w:r>
      <w:r>
        <w:t xml:space="preserve"> </w:t>
      </w:r>
      <w:r>
        <w:tab/>
      </w:r>
      <w:r>
        <w:rPr>
          <w:lang w:val="fr-CH"/>
        </w:rPr>
        <w:t>See paragraphs 4.8–4.9.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C8" w:rsidRPr="000E3598" w:rsidRDefault="00CB59C8" w:rsidP="00791D6B">
    <w:pPr>
      <w:pStyle w:val="Header"/>
      <w:tabs>
        <w:tab w:val="right" w:pos="9639"/>
      </w:tabs>
    </w:pPr>
    <w:r>
      <w:t>CCPR/C/107/D/1911/2009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C8" w:rsidRPr="000E3598" w:rsidRDefault="00CB59C8" w:rsidP="00791D6B">
    <w:pPr>
      <w:pStyle w:val="Header"/>
      <w:tabs>
        <w:tab w:val="right" w:pos="9639"/>
      </w:tabs>
    </w:pPr>
    <w:r>
      <w:tab/>
      <w:t>CCPR/C/107/D/1911/2009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BA" w:rsidRDefault="00E77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0F3"/>
    <w:multiLevelType w:val="multilevel"/>
    <w:tmpl w:val="7D1C0CFE"/>
    <w:lvl w:ilvl="0">
      <w:start w:val="4"/>
      <w:numFmt w:val="decimal"/>
      <w:lvlText w:val="%1"/>
      <w:lvlJc w:val="left"/>
      <w:pPr>
        <w:ind w:left="360" w:hanging="360"/>
      </w:pPr>
      <w:rPr>
        <w:rFonts w:hint="default"/>
      </w:rPr>
    </w:lvl>
    <w:lvl w:ilvl="1">
      <w:start w:val="1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0729B"/>
    <w:multiLevelType w:val="hybridMultilevel"/>
    <w:tmpl w:val="559EFB1C"/>
    <w:lvl w:ilvl="0" w:tplc="0427000F">
      <w:start w:val="1"/>
      <w:numFmt w:val="decimal"/>
      <w:lvlText w:val="%1."/>
      <w:lvlJc w:val="left"/>
      <w:pPr>
        <w:tabs>
          <w:tab w:val="num" w:pos="720"/>
        </w:tabs>
        <w:ind w:left="720" w:hanging="360"/>
      </w:pPr>
    </w:lvl>
    <w:lvl w:ilvl="1" w:tplc="E44CC7AE">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18F36AAC"/>
    <w:multiLevelType w:val="hybridMultilevel"/>
    <w:tmpl w:val="378A1908"/>
    <w:lvl w:ilvl="0" w:tplc="3C7AA3AA">
      <w:start w:val="3"/>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 w15:restartNumberingAfterBreak="0">
    <w:nsid w:val="196F7CDB"/>
    <w:multiLevelType w:val="multilevel"/>
    <w:tmpl w:val="4FC6EE24"/>
    <w:lvl w:ilvl="0">
      <w:start w:val="4"/>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 w15:restartNumberingAfterBreak="0">
    <w:nsid w:val="28435BF1"/>
    <w:multiLevelType w:val="multilevel"/>
    <w:tmpl w:val="F19CB54E"/>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2E5F4031"/>
    <w:multiLevelType w:val="hybridMultilevel"/>
    <w:tmpl w:val="E632CD16"/>
    <w:lvl w:ilvl="0" w:tplc="6B14539E">
      <w:start w:val="5"/>
      <w:numFmt w:val="decimal"/>
      <w:lvlText w:val="%1."/>
      <w:lvlJc w:val="left"/>
      <w:pPr>
        <w:tabs>
          <w:tab w:val="num" w:pos="540"/>
        </w:tabs>
        <w:ind w:left="540" w:hanging="360"/>
      </w:pPr>
      <w:rPr>
        <w:rFonts w:hint="default"/>
        <w:b w:val="0"/>
        <w:i w:val="0"/>
      </w:rPr>
    </w:lvl>
    <w:lvl w:ilvl="1" w:tplc="6C940A5A">
      <w:start w:val="2"/>
      <w:numFmt w:val="upperRoman"/>
      <w:lvlText w:val="%2."/>
      <w:lvlJc w:val="left"/>
      <w:pPr>
        <w:tabs>
          <w:tab w:val="num" w:pos="1800"/>
        </w:tabs>
        <w:ind w:left="1800" w:hanging="720"/>
      </w:pPr>
      <w:rPr>
        <w:rFonts w:hint="default"/>
      </w:rPr>
    </w:lvl>
    <w:lvl w:ilvl="2" w:tplc="0427000F">
      <w:start w:val="1"/>
      <w:numFmt w:val="decimal"/>
      <w:lvlText w:val="%3."/>
      <w:lvlJc w:val="left"/>
      <w:pPr>
        <w:tabs>
          <w:tab w:val="num" w:pos="2340"/>
        </w:tabs>
        <w:ind w:left="2340" w:hanging="360"/>
      </w:pPr>
      <w:rPr>
        <w:rFonts w:hint="default"/>
        <w:b w:val="0"/>
        <w:i w:val="0"/>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65438"/>
    <w:multiLevelType w:val="hybridMultilevel"/>
    <w:tmpl w:val="FF2621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72335AE1"/>
    <w:multiLevelType w:val="multilevel"/>
    <w:tmpl w:val="426EC2D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72852FA5"/>
    <w:multiLevelType w:val="multilevel"/>
    <w:tmpl w:val="E68C146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num w:numId="1">
    <w:abstractNumId w:val="1"/>
  </w:num>
  <w:num w:numId="2">
    <w:abstractNumId w:val="7"/>
  </w:num>
  <w:num w:numId="3">
    <w:abstractNumId w:val="8"/>
  </w:num>
  <w:num w:numId="4">
    <w:abstractNumId w:val="10"/>
  </w:num>
  <w:num w:numId="5">
    <w:abstractNumId w:val="3"/>
  </w:num>
  <w:num w:numId="6">
    <w:abstractNumId w:val="5"/>
  </w:num>
  <w:num w:numId="7">
    <w:abstractNumId w:val="9"/>
  </w:num>
  <w:num w:numId="8">
    <w:abstractNumId w:val="2"/>
  </w:num>
  <w:num w:numId="9">
    <w:abstractNumId w:val="6"/>
  </w:num>
  <w:num w:numId="10">
    <w:abstractNumId w:val="4"/>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P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68D"/>
    <w:rsid w:val="0000330F"/>
    <w:rsid w:val="00004551"/>
    <w:rsid w:val="00005B7E"/>
    <w:rsid w:val="000120D4"/>
    <w:rsid w:val="000239EA"/>
    <w:rsid w:val="000272B3"/>
    <w:rsid w:val="00041FE2"/>
    <w:rsid w:val="00050F6B"/>
    <w:rsid w:val="00052009"/>
    <w:rsid w:val="00057E97"/>
    <w:rsid w:val="00060C3A"/>
    <w:rsid w:val="00063DD3"/>
    <w:rsid w:val="000712E4"/>
    <w:rsid w:val="000719EF"/>
    <w:rsid w:val="00072C8C"/>
    <w:rsid w:val="000733B5"/>
    <w:rsid w:val="00074B61"/>
    <w:rsid w:val="00080025"/>
    <w:rsid w:val="00080409"/>
    <w:rsid w:val="00081815"/>
    <w:rsid w:val="00086544"/>
    <w:rsid w:val="000930F7"/>
    <w:rsid w:val="000931C0"/>
    <w:rsid w:val="000A057A"/>
    <w:rsid w:val="000A08AB"/>
    <w:rsid w:val="000A4B70"/>
    <w:rsid w:val="000A7B11"/>
    <w:rsid w:val="000B175B"/>
    <w:rsid w:val="000B27E7"/>
    <w:rsid w:val="000B3296"/>
    <w:rsid w:val="000B3A0F"/>
    <w:rsid w:val="000B4D35"/>
    <w:rsid w:val="000B4EF7"/>
    <w:rsid w:val="000B6F13"/>
    <w:rsid w:val="000B75F5"/>
    <w:rsid w:val="000C13EF"/>
    <w:rsid w:val="000C2C03"/>
    <w:rsid w:val="000C2D2E"/>
    <w:rsid w:val="000C7053"/>
    <w:rsid w:val="000C7D73"/>
    <w:rsid w:val="000D2609"/>
    <w:rsid w:val="000D77F6"/>
    <w:rsid w:val="000E0415"/>
    <w:rsid w:val="000E0DD6"/>
    <w:rsid w:val="000E3598"/>
    <w:rsid w:val="000E7B41"/>
    <w:rsid w:val="00100B32"/>
    <w:rsid w:val="00107855"/>
    <w:rsid w:val="001103AA"/>
    <w:rsid w:val="00116FF1"/>
    <w:rsid w:val="00117864"/>
    <w:rsid w:val="0013051E"/>
    <w:rsid w:val="001325BC"/>
    <w:rsid w:val="00132850"/>
    <w:rsid w:val="001328C1"/>
    <w:rsid w:val="00135FE6"/>
    <w:rsid w:val="0015088B"/>
    <w:rsid w:val="00152666"/>
    <w:rsid w:val="0016476E"/>
    <w:rsid w:val="00165F3A"/>
    <w:rsid w:val="0017167C"/>
    <w:rsid w:val="00182495"/>
    <w:rsid w:val="00183968"/>
    <w:rsid w:val="00197F59"/>
    <w:rsid w:val="001A6686"/>
    <w:rsid w:val="001B3ECA"/>
    <w:rsid w:val="001B4B04"/>
    <w:rsid w:val="001B5F68"/>
    <w:rsid w:val="001C3D3B"/>
    <w:rsid w:val="001C4AC6"/>
    <w:rsid w:val="001C6663"/>
    <w:rsid w:val="001C7895"/>
    <w:rsid w:val="001D0C8C"/>
    <w:rsid w:val="001D26DF"/>
    <w:rsid w:val="001D3A03"/>
    <w:rsid w:val="001D44EC"/>
    <w:rsid w:val="001D5E3B"/>
    <w:rsid w:val="001E4654"/>
    <w:rsid w:val="001E569C"/>
    <w:rsid w:val="00202DA8"/>
    <w:rsid w:val="00203BBD"/>
    <w:rsid w:val="00203BE0"/>
    <w:rsid w:val="00204745"/>
    <w:rsid w:val="00205F72"/>
    <w:rsid w:val="00211444"/>
    <w:rsid w:val="00211E0B"/>
    <w:rsid w:val="002147A1"/>
    <w:rsid w:val="0021709B"/>
    <w:rsid w:val="00223E1F"/>
    <w:rsid w:val="002252B9"/>
    <w:rsid w:val="00226A5E"/>
    <w:rsid w:val="00227EE4"/>
    <w:rsid w:val="00231DE2"/>
    <w:rsid w:val="0023210C"/>
    <w:rsid w:val="00235083"/>
    <w:rsid w:val="0024133E"/>
    <w:rsid w:val="00241E10"/>
    <w:rsid w:val="0024202A"/>
    <w:rsid w:val="002460A0"/>
    <w:rsid w:val="00254604"/>
    <w:rsid w:val="00254B4C"/>
    <w:rsid w:val="00264AFE"/>
    <w:rsid w:val="00267F5F"/>
    <w:rsid w:val="0027113E"/>
    <w:rsid w:val="0027302A"/>
    <w:rsid w:val="00273CD6"/>
    <w:rsid w:val="002774EB"/>
    <w:rsid w:val="00280138"/>
    <w:rsid w:val="00283681"/>
    <w:rsid w:val="00286B4D"/>
    <w:rsid w:val="0029008E"/>
    <w:rsid w:val="00291659"/>
    <w:rsid w:val="00293F0F"/>
    <w:rsid w:val="0029645A"/>
    <w:rsid w:val="002972DB"/>
    <w:rsid w:val="00297818"/>
    <w:rsid w:val="002A261C"/>
    <w:rsid w:val="002A5241"/>
    <w:rsid w:val="002A5383"/>
    <w:rsid w:val="002A5507"/>
    <w:rsid w:val="002B799C"/>
    <w:rsid w:val="002C0176"/>
    <w:rsid w:val="002C16DE"/>
    <w:rsid w:val="002C7BFE"/>
    <w:rsid w:val="002E1746"/>
    <w:rsid w:val="002E4045"/>
    <w:rsid w:val="002E7736"/>
    <w:rsid w:val="002F175C"/>
    <w:rsid w:val="002F202F"/>
    <w:rsid w:val="002F2F27"/>
    <w:rsid w:val="002F40AD"/>
    <w:rsid w:val="002F698D"/>
    <w:rsid w:val="003022E8"/>
    <w:rsid w:val="00310E22"/>
    <w:rsid w:val="003138F0"/>
    <w:rsid w:val="003229D8"/>
    <w:rsid w:val="00336EB5"/>
    <w:rsid w:val="00337C95"/>
    <w:rsid w:val="0034121E"/>
    <w:rsid w:val="00341408"/>
    <w:rsid w:val="0034311D"/>
    <w:rsid w:val="00347BB2"/>
    <w:rsid w:val="00352473"/>
    <w:rsid w:val="00352709"/>
    <w:rsid w:val="00362FB2"/>
    <w:rsid w:val="00367567"/>
    <w:rsid w:val="00371178"/>
    <w:rsid w:val="00376CBD"/>
    <w:rsid w:val="003807E0"/>
    <w:rsid w:val="0038336C"/>
    <w:rsid w:val="00384F25"/>
    <w:rsid w:val="003914B6"/>
    <w:rsid w:val="00396032"/>
    <w:rsid w:val="003A28F0"/>
    <w:rsid w:val="003A47BD"/>
    <w:rsid w:val="003A615B"/>
    <w:rsid w:val="003A6810"/>
    <w:rsid w:val="003B12B0"/>
    <w:rsid w:val="003C2CC4"/>
    <w:rsid w:val="003C7074"/>
    <w:rsid w:val="003D4B23"/>
    <w:rsid w:val="003D5990"/>
    <w:rsid w:val="003E01DB"/>
    <w:rsid w:val="003E24ED"/>
    <w:rsid w:val="003F1804"/>
    <w:rsid w:val="003F389C"/>
    <w:rsid w:val="003F6BBC"/>
    <w:rsid w:val="003F6DAB"/>
    <w:rsid w:val="003F7338"/>
    <w:rsid w:val="00403E03"/>
    <w:rsid w:val="00410393"/>
    <w:rsid w:val="00410C89"/>
    <w:rsid w:val="004124F0"/>
    <w:rsid w:val="00416CF4"/>
    <w:rsid w:val="004237AD"/>
    <w:rsid w:val="00425E73"/>
    <w:rsid w:val="00426B9B"/>
    <w:rsid w:val="00431BB9"/>
    <w:rsid w:val="004325CB"/>
    <w:rsid w:val="0043571B"/>
    <w:rsid w:val="00436B33"/>
    <w:rsid w:val="00442441"/>
    <w:rsid w:val="00442A83"/>
    <w:rsid w:val="00445AD8"/>
    <w:rsid w:val="00451A95"/>
    <w:rsid w:val="0045495B"/>
    <w:rsid w:val="004614FA"/>
    <w:rsid w:val="00464322"/>
    <w:rsid w:val="00474383"/>
    <w:rsid w:val="00474A07"/>
    <w:rsid w:val="00474E32"/>
    <w:rsid w:val="00484710"/>
    <w:rsid w:val="00486E91"/>
    <w:rsid w:val="00487488"/>
    <w:rsid w:val="00494714"/>
    <w:rsid w:val="00497CBA"/>
    <w:rsid w:val="004B2F61"/>
    <w:rsid w:val="004B4158"/>
    <w:rsid w:val="004C38E0"/>
    <w:rsid w:val="004C501C"/>
    <w:rsid w:val="004C6FDD"/>
    <w:rsid w:val="004D67DD"/>
    <w:rsid w:val="004E08A8"/>
    <w:rsid w:val="004E77BF"/>
    <w:rsid w:val="004F1C8C"/>
    <w:rsid w:val="004F3A51"/>
    <w:rsid w:val="004F5296"/>
    <w:rsid w:val="004F5441"/>
    <w:rsid w:val="00510B87"/>
    <w:rsid w:val="0052136D"/>
    <w:rsid w:val="0052775E"/>
    <w:rsid w:val="00531363"/>
    <w:rsid w:val="00531FDA"/>
    <w:rsid w:val="005369DA"/>
    <w:rsid w:val="005420F2"/>
    <w:rsid w:val="00545FE2"/>
    <w:rsid w:val="005466DC"/>
    <w:rsid w:val="00560650"/>
    <w:rsid w:val="005628B6"/>
    <w:rsid w:val="00577179"/>
    <w:rsid w:val="00581A60"/>
    <w:rsid w:val="00582985"/>
    <w:rsid w:val="005848B3"/>
    <w:rsid w:val="00591F34"/>
    <w:rsid w:val="005A0312"/>
    <w:rsid w:val="005B14A5"/>
    <w:rsid w:val="005B2569"/>
    <w:rsid w:val="005B3DB3"/>
    <w:rsid w:val="005B4472"/>
    <w:rsid w:val="005B78C4"/>
    <w:rsid w:val="005C0735"/>
    <w:rsid w:val="005C5032"/>
    <w:rsid w:val="005C5950"/>
    <w:rsid w:val="005D7AA7"/>
    <w:rsid w:val="005E528C"/>
    <w:rsid w:val="005E60E0"/>
    <w:rsid w:val="005F0B13"/>
    <w:rsid w:val="005F4F87"/>
    <w:rsid w:val="005F7717"/>
    <w:rsid w:val="005F7B75"/>
    <w:rsid w:val="006001EE"/>
    <w:rsid w:val="006045EA"/>
    <w:rsid w:val="00605042"/>
    <w:rsid w:val="006107D4"/>
    <w:rsid w:val="00611FC4"/>
    <w:rsid w:val="006176FB"/>
    <w:rsid w:val="00637642"/>
    <w:rsid w:val="00640B26"/>
    <w:rsid w:val="00640D9D"/>
    <w:rsid w:val="00652D0A"/>
    <w:rsid w:val="00656CC1"/>
    <w:rsid w:val="00662049"/>
    <w:rsid w:val="00662BB6"/>
    <w:rsid w:val="00664F28"/>
    <w:rsid w:val="0068232E"/>
    <w:rsid w:val="00684C21"/>
    <w:rsid w:val="00691749"/>
    <w:rsid w:val="006932EE"/>
    <w:rsid w:val="0069433D"/>
    <w:rsid w:val="00696C70"/>
    <w:rsid w:val="006A0AD1"/>
    <w:rsid w:val="006C09E6"/>
    <w:rsid w:val="006C0CA6"/>
    <w:rsid w:val="006C15BA"/>
    <w:rsid w:val="006C7D32"/>
    <w:rsid w:val="006D37AF"/>
    <w:rsid w:val="006D51D0"/>
    <w:rsid w:val="006D5DC2"/>
    <w:rsid w:val="006E22C2"/>
    <w:rsid w:val="006E564B"/>
    <w:rsid w:val="006E7191"/>
    <w:rsid w:val="006F1C67"/>
    <w:rsid w:val="006F3EAF"/>
    <w:rsid w:val="007030AD"/>
    <w:rsid w:val="00703577"/>
    <w:rsid w:val="00705474"/>
    <w:rsid w:val="00707D02"/>
    <w:rsid w:val="007156E9"/>
    <w:rsid w:val="00716367"/>
    <w:rsid w:val="00723F43"/>
    <w:rsid w:val="0072632A"/>
    <w:rsid w:val="007327D5"/>
    <w:rsid w:val="0073384D"/>
    <w:rsid w:val="00733E32"/>
    <w:rsid w:val="007416A3"/>
    <w:rsid w:val="007461AD"/>
    <w:rsid w:val="00751EB0"/>
    <w:rsid w:val="00757D97"/>
    <w:rsid w:val="007629C8"/>
    <w:rsid w:val="00791D6B"/>
    <w:rsid w:val="00792C7C"/>
    <w:rsid w:val="00796037"/>
    <w:rsid w:val="007967B0"/>
    <w:rsid w:val="007A1312"/>
    <w:rsid w:val="007A3C65"/>
    <w:rsid w:val="007A564A"/>
    <w:rsid w:val="007A6176"/>
    <w:rsid w:val="007A77A2"/>
    <w:rsid w:val="007B06D3"/>
    <w:rsid w:val="007B45F4"/>
    <w:rsid w:val="007B6BA5"/>
    <w:rsid w:val="007C1AD9"/>
    <w:rsid w:val="007C3390"/>
    <w:rsid w:val="007C4F4B"/>
    <w:rsid w:val="007C784F"/>
    <w:rsid w:val="007D1BD5"/>
    <w:rsid w:val="007D3B64"/>
    <w:rsid w:val="007D3DE0"/>
    <w:rsid w:val="007D4508"/>
    <w:rsid w:val="007D7D92"/>
    <w:rsid w:val="007E00A8"/>
    <w:rsid w:val="007E0B2D"/>
    <w:rsid w:val="007E439D"/>
    <w:rsid w:val="007F5790"/>
    <w:rsid w:val="007F6611"/>
    <w:rsid w:val="008017E2"/>
    <w:rsid w:val="008105B8"/>
    <w:rsid w:val="008242D7"/>
    <w:rsid w:val="00824919"/>
    <w:rsid w:val="008257B1"/>
    <w:rsid w:val="00826836"/>
    <w:rsid w:val="008340BC"/>
    <w:rsid w:val="00843767"/>
    <w:rsid w:val="0086231E"/>
    <w:rsid w:val="008679D9"/>
    <w:rsid w:val="0087119B"/>
    <w:rsid w:val="00874639"/>
    <w:rsid w:val="00874CFC"/>
    <w:rsid w:val="00880BBE"/>
    <w:rsid w:val="00886EFB"/>
    <w:rsid w:val="008904A6"/>
    <w:rsid w:val="00890F2C"/>
    <w:rsid w:val="008935AA"/>
    <w:rsid w:val="008979B1"/>
    <w:rsid w:val="008A00E0"/>
    <w:rsid w:val="008A141E"/>
    <w:rsid w:val="008A162D"/>
    <w:rsid w:val="008A1DB2"/>
    <w:rsid w:val="008A2C9F"/>
    <w:rsid w:val="008A65D7"/>
    <w:rsid w:val="008A6B25"/>
    <w:rsid w:val="008A6C4F"/>
    <w:rsid w:val="008B2335"/>
    <w:rsid w:val="008B5F2F"/>
    <w:rsid w:val="008B7960"/>
    <w:rsid w:val="008C1D12"/>
    <w:rsid w:val="008D09FB"/>
    <w:rsid w:val="008D318D"/>
    <w:rsid w:val="008D38FE"/>
    <w:rsid w:val="008D4735"/>
    <w:rsid w:val="008D638A"/>
    <w:rsid w:val="008E0678"/>
    <w:rsid w:val="008E4335"/>
    <w:rsid w:val="008E4B7B"/>
    <w:rsid w:val="008F335E"/>
    <w:rsid w:val="008F56A0"/>
    <w:rsid w:val="0091007B"/>
    <w:rsid w:val="00910F40"/>
    <w:rsid w:val="00912C08"/>
    <w:rsid w:val="009223B4"/>
    <w:rsid w:val="009223CA"/>
    <w:rsid w:val="0092746F"/>
    <w:rsid w:val="009342B8"/>
    <w:rsid w:val="00935A0C"/>
    <w:rsid w:val="00940F93"/>
    <w:rsid w:val="00941ADF"/>
    <w:rsid w:val="00945518"/>
    <w:rsid w:val="00945638"/>
    <w:rsid w:val="0095347F"/>
    <w:rsid w:val="00955AA7"/>
    <w:rsid w:val="00955B78"/>
    <w:rsid w:val="00961A76"/>
    <w:rsid w:val="009630C3"/>
    <w:rsid w:val="0096522A"/>
    <w:rsid w:val="009665CA"/>
    <w:rsid w:val="00966B2E"/>
    <w:rsid w:val="00975AB4"/>
    <w:rsid w:val="009760F3"/>
    <w:rsid w:val="0098294A"/>
    <w:rsid w:val="009861CE"/>
    <w:rsid w:val="009909F5"/>
    <w:rsid w:val="00990B08"/>
    <w:rsid w:val="00993902"/>
    <w:rsid w:val="009A0E8D"/>
    <w:rsid w:val="009A173F"/>
    <w:rsid w:val="009A3980"/>
    <w:rsid w:val="009A59B7"/>
    <w:rsid w:val="009B26E7"/>
    <w:rsid w:val="009B71B4"/>
    <w:rsid w:val="009B76AC"/>
    <w:rsid w:val="009E2B47"/>
    <w:rsid w:val="009F4AB0"/>
    <w:rsid w:val="00A00A3F"/>
    <w:rsid w:val="00A01489"/>
    <w:rsid w:val="00A051EB"/>
    <w:rsid w:val="00A06535"/>
    <w:rsid w:val="00A104F4"/>
    <w:rsid w:val="00A11250"/>
    <w:rsid w:val="00A12D4A"/>
    <w:rsid w:val="00A15A90"/>
    <w:rsid w:val="00A16AB3"/>
    <w:rsid w:val="00A27FF8"/>
    <w:rsid w:val="00A338F1"/>
    <w:rsid w:val="00A40245"/>
    <w:rsid w:val="00A44615"/>
    <w:rsid w:val="00A45E6B"/>
    <w:rsid w:val="00A5368D"/>
    <w:rsid w:val="00A64147"/>
    <w:rsid w:val="00A67556"/>
    <w:rsid w:val="00A67ABD"/>
    <w:rsid w:val="00A72F22"/>
    <w:rsid w:val="00A7360F"/>
    <w:rsid w:val="00A748A6"/>
    <w:rsid w:val="00A769F4"/>
    <w:rsid w:val="00A776B4"/>
    <w:rsid w:val="00A7796C"/>
    <w:rsid w:val="00A8029B"/>
    <w:rsid w:val="00A803F2"/>
    <w:rsid w:val="00A81735"/>
    <w:rsid w:val="00A8190F"/>
    <w:rsid w:val="00A83130"/>
    <w:rsid w:val="00A8731F"/>
    <w:rsid w:val="00A91339"/>
    <w:rsid w:val="00A92DAC"/>
    <w:rsid w:val="00A938A2"/>
    <w:rsid w:val="00A94361"/>
    <w:rsid w:val="00AA293C"/>
    <w:rsid w:val="00AA5493"/>
    <w:rsid w:val="00AA6C3D"/>
    <w:rsid w:val="00AA6CF7"/>
    <w:rsid w:val="00AB7709"/>
    <w:rsid w:val="00AC167F"/>
    <w:rsid w:val="00AC2AA9"/>
    <w:rsid w:val="00AC7830"/>
    <w:rsid w:val="00AE1969"/>
    <w:rsid w:val="00AF0DA2"/>
    <w:rsid w:val="00AF3B60"/>
    <w:rsid w:val="00B02689"/>
    <w:rsid w:val="00B03A2F"/>
    <w:rsid w:val="00B07B13"/>
    <w:rsid w:val="00B108F9"/>
    <w:rsid w:val="00B127D9"/>
    <w:rsid w:val="00B13E9B"/>
    <w:rsid w:val="00B266B0"/>
    <w:rsid w:val="00B30179"/>
    <w:rsid w:val="00B32BB1"/>
    <w:rsid w:val="00B339A7"/>
    <w:rsid w:val="00B37BD3"/>
    <w:rsid w:val="00B43F50"/>
    <w:rsid w:val="00B4421F"/>
    <w:rsid w:val="00B4650C"/>
    <w:rsid w:val="00B46558"/>
    <w:rsid w:val="00B51BA0"/>
    <w:rsid w:val="00B56838"/>
    <w:rsid w:val="00B56E4A"/>
    <w:rsid w:val="00B56E9C"/>
    <w:rsid w:val="00B633C1"/>
    <w:rsid w:val="00B64B1F"/>
    <w:rsid w:val="00B6553F"/>
    <w:rsid w:val="00B66E5E"/>
    <w:rsid w:val="00B77D05"/>
    <w:rsid w:val="00B81206"/>
    <w:rsid w:val="00B81E12"/>
    <w:rsid w:val="00B87AB3"/>
    <w:rsid w:val="00B904C6"/>
    <w:rsid w:val="00B9067B"/>
    <w:rsid w:val="00B95414"/>
    <w:rsid w:val="00BA1629"/>
    <w:rsid w:val="00BA6BCC"/>
    <w:rsid w:val="00BB27AF"/>
    <w:rsid w:val="00BB40BB"/>
    <w:rsid w:val="00BC2C23"/>
    <w:rsid w:val="00BC5E63"/>
    <w:rsid w:val="00BC74E9"/>
    <w:rsid w:val="00BD3516"/>
    <w:rsid w:val="00BD4613"/>
    <w:rsid w:val="00BE22F9"/>
    <w:rsid w:val="00BE280C"/>
    <w:rsid w:val="00BE2992"/>
    <w:rsid w:val="00BE504C"/>
    <w:rsid w:val="00BE6822"/>
    <w:rsid w:val="00BF0685"/>
    <w:rsid w:val="00BF1C45"/>
    <w:rsid w:val="00BF51B9"/>
    <w:rsid w:val="00BF68A8"/>
    <w:rsid w:val="00BF779B"/>
    <w:rsid w:val="00C00184"/>
    <w:rsid w:val="00C00F1C"/>
    <w:rsid w:val="00C01B17"/>
    <w:rsid w:val="00C11A03"/>
    <w:rsid w:val="00C15F86"/>
    <w:rsid w:val="00C2592F"/>
    <w:rsid w:val="00C26D8A"/>
    <w:rsid w:val="00C41107"/>
    <w:rsid w:val="00C43917"/>
    <w:rsid w:val="00C463DD"/>
    <w:rsid w:val="00C4724C"/>
    <w:rsid w:val="00C55B2A"/>
    <w:rsid w:val="00C61681"/>
    <w:rsid w:val="00C629A0"/>
    <w:rsid w:val="00C64BF8"/>
    <w:rsid w:val="00C664CD"/>
    <w:rsid w:val="00C745C3"/>
    <w:rsid w:val="00C759E3"/>
    <w:rsid w:val="00C82C84"/>
    <w:rsid w:val="00C8769D"/>
    <w:rsid w:val="00C87ADC"/>
    <w:rsid w:val="00C87D13"/>
    <w:rsid w:val="00C90093"/>
    <w:rsid w:val="00C912C9"/>
    <w:rsid w:val="00C96F83"/>
    <w:rsid w:val="00CB05C3"/>
    <w:rsid w:val="00CB59C8"/>
    <w:rsid w:val="00CE41EA"/>
    <w:rsid w:val="00CE4A8F"/>
    <w:rsid w:val="00CE69ED"/>
    <w:rsid w:val="00D038C6"/>
    <w:rsid w:val="00D078A8"/>
    <w:rsid w:val="00D07A58"/>
    <w:rsid w:val="00D1271F"/>
    <w:rsid w:val="00D14453"/>
    <w:rsid w:val="00D17BBC"/>
    <w:rsid w:val="00D2031B"/>
    <w:rsid w:val="00D22B22"/>
    <w:rsid w:val="00D2501F"/>
    <w:rsid w:val="00D25FE2"/>
    <w:rsid w:val="00D32FCE"/>
    <w:rsid w:val="00D37098"/>
    <w:rsid w:val="00D4067A"/>
    <w:rsid w:val="00D4110A"/>
    <w:rsid w:val="00D43252"/>
    <w:rsid w:val="00D46E94"/>
    <w:rsid w:val="00D47EEA"/>
    <w:rsid w:val="00D508BE"/>
    <w:rsid w:val="00D51485"/>
    <w:rsid w:val="00D52B9C"/>
    <w:rsid w:val="00D606B4"/>
    <w:rsid w:val="00D641BE"/>
    <w:rsid w:val="00D7222E"/>
    <w:rsid w:val="00D847A6"/>
    <w:rsid w:val="00D923DA"/>
    <w:rsid w:val="00D95303"/>
    <w:rsid w:val="00D978C6"/>
    <w:rsid w:val="00DA0834"/>
    <w:rsid w:val="00DA3111"/>
    <w:rsid w:val="00DA3C1C"/>
    <w:rsid w:val="00DB0C79"/>
    <w:rsid w:val="00DC1C95"/>
    <w:rsid w:val="00DD32D8"/>
    <w:rsid w:val="00DD6AE9"/>
    <w:rsid w:val="00DD6F95"/>
    <w:rsid w:val="00DD7A76"/>
    <w:rsid w:val="00DE1088"/>
    <w:rsid w:val="00DE2D48"/>
    <w:rsid w:val="00E032D8"/>
    <w:rsid w:val="00E07359"/>
    <w:rsid w:val="00E13C21"/>
    <w:rsid w:val="00E25C27"/>
    <w:rsid w:val="00E27346"/>
    <w:rsid w:val="00E33323"/>
    <w:rsid w:val="00E422E4"/>
    <w:rsid w:val="00E42DC7"/>
    <w:rsid w:val="00E443ED"/>
    <w:rsid w:val="00E44A3A"/>
    <w:rsid w:val="00E508BC"/>
    <w:rsid w:val="00E604A3"/>
    <w:rsid w:val="00E60C0B"/>
    <w:rsid w:val="00E6223C"/>
    <w:rsid w:val="00E668DE"/>
    <w:rsid w:val="00E71BC8"/>
    <w:rsid w:val="00E7260F"/>
    <w:rsid w:val="00E7403D"/>
    <w:rsid w:val="00E76E3A"/>
    <w:rsid w:val="00E771BA"/>
    <w:rsid w:val="00E779FC"/>
    <w:rsid w:val="00E8156F"/>
    <w:rsid w:val="00E823E3"/>
    <w:rsid w:val="00E96630"/>
    <w:rsid w:val="00EA0317"/>
    <w:rsid w:val="00EA1CEE"/>
    <w:rsid w:val="00EA3D2A"/>
    <w:rsid w:val="00EA6677"/>
    <w:rsid w:val="00EB219A"/>
    <w:rsid w:val="00EB2581"/>
    <w:rsid w:val="00EB2856"/>
    <w:rsid w:val="00EB5638"/>
    <w:rsid w:val="00EB5758"/>
    <w:rsid w:val="00EB5E0E"/>
    <w:rsid w:val="00EC27EC"/>
    <w:rsid w:val="00EC7DA4"/>
    <w:rsid w:val="00ED435C"/>
    <w:rsid w:val="00ED7A2A"/>
    <w:rsid w:val="00EE360C"/>
    <w:rsid w:val="00EE3DAB"/>
    <w:rsid w:val="00EE4059"/>
    <w:rsid w:val="00EE42FD"/>
    <w:rsid w:val="00EE538C"/>
    <w:rsid w:val="00EE68D2"/>
    <w:rsid w:val="00EF1D7F"/>
    <w:rsid w:val="00EF31DC"/>
    <w:rsid w:val="00EF3DB7"/>
    <w:rsid w:val="00EF4018"/>
    <w:rsid w:val="00EF56A6"/>
    <w:rsid w:val="00EF644D"/>
    <w:rsid w:val="00F074D6"/>
    <w:rsid w:val="00F20C3D"/>
    <w:rsid w:val="00F22811"/>
    <w:rsid w:val="00F278CE"/>
    <w:rsid w:val="00F337CF"/>
    <w:rsid w:val="00F3665B"/>
    <w:rsid w:val="00F366F8"/>
    <w:rsid w:val="00F42170"/>
    <w:rsid w:val="00F43E9E"/>
    <w:rsid w:val="00F449FC"/>
    <w:rsid w:val="00F62ABE"/>
    <w:rsid w:val="00F7039D"/>
    <w:rsid w:val="00F73D43"/>
    <w:rsid w:val="00F77EAD"/>
    <w:rsid w:val="00F816A2"/>
    <w:rsid w:val="00F81FA3"/>
    <w:rsid w:val="00F858F6"/>
    <w:rsid w:val="00F86518"/>
    <w:rsid w:val="00F9057C"/>
    <w:rsid w:val="00F906D7"/>
    <w:rsid w:val="00F93781"/>
    <w:rsid w:val="00F9624D"/>
    <w:rsid w:val="00FA78A2"/>
    <w:rsid w:val="00FB0D03"/>
    <w:rsid w:val="00FB54DC"/>
    <w:rsid w:val="00FB613B"/>
    <w:rsid w:val="00FB79EE"/>
    <w:rsid w:val="00FC2AA5"/>
    <w:rsid w:val="00FC4BF5"/>
    <w:rsid w:val="00FC68B7"/>
    <w:rsid w:val="00FD376D"/>
    <w:rsid w:val="00FE04BE"/>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1D425E8A-660C-434F-A495-0D1AF98A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A5368D"/>
    <w:rPr>
      <w:lang w:val="en-GB" w:eastAsia="en-US" w:bidi="ar-SA"/>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w:link w:val="FootnoteText"/>
    <w:locked/>
    <w:rsid w:val="00A5368D"/>
    <w:rPr>
      <w:sz w:val="18"/>
      <w:lang w:val="en-GB" w:eastAsia="en-US" w:bidi="ar-SA"/>
    </w:rPr>
  </w:style>
  <w:style w:type="paragraph" w:styleId="BalloonText">
    <w:name w:val="Balloon Text"/>
    <w:basedOn w:val="Normal"/>
    <w:link w:val="BalloonTextChar"/>
    <w:rsid w:val="00052009"/>
    <w:pPr>
      <w:spacing w:line="240" w:lineRule="auto"/>
    </w:pPr>
    <w:rPr>
      <w:rFonts w:ascii="Tahoma" w:hAnsi="Tahoma"/>
      <w:sz w:val="16"/>
      <w:szCs w:val="16"/>
    </w:rPr>
  </w:style>
  <w:style w:type="character" w:customStyle="1" w:styleId="BalloonTextChar">
    <w:name w:val="Balloon Text Char"/>
    <w:link w:val="BalloonText"/>
    <w:rsid w:val="00052009"/>
    <w:rPr>
      <w:rFonts w:ascii="Tahoma" w:hAnsi="Tahoma" w:cs="Tahoma"/>
      <w:sz w:val="16"/>
      <w:szCs w:val="16"/>
      <w:lang w:eastAsia="en-US"/>
    </w:rPr>
  </w:style>
  <w:style w:type="character" w:styleId="Strong">
    <w:name w:val="Strong"/>
    <w:qFormat/>
    <w:rsid w:val="00116FF1"/>
    <w:rPr>
      <w:b/>
      <w:bCs/>
    </w:rPr>
  </w:style>
  <w:style w:type="paragraph" w:styleId="ListParagraph">
    <w:name w:val="List Paragraph"/>
    <w:basedOn w:val="Normal"/>
    <w:qFormat/>
    <w:rsid w:val="00B95414"/>
    <w:pPr>
      <w:suppressAutoHyphens w:val="0"/>
      <w:spacing w:line="240" w:lineRule="auto"/>
      <w:ind w:left="1296"/>
    </w:pPr>
    <w:rPr>
      <w:sz w:val="24"/>
      <w:szCs w:val="24"/>
      <w:lang w:val="lt-LT" w:eastAsia="lt-LT"/>
    </w:rPr>
  </w:style>
  <w:style w:type="paragraph" w:styleId="BodyText">
    <w:name w:val="Body Text"/>
    <w:basedOn w:val="Normal"/>
    <w:link w:val="BodyTextChar"/>
    <w:rsid w:val="00B95414"/>
    <w:pPr>
      <w:widowControl w:val="0"/>
      <w:suppressAutoHyphens w:val="0"/>
      <w:spacing w:line="360" w:lineRule="auto"/>
      <w:jc w:val="both"/>
    </w:pPr>
    <w:rPr>
      <w:sz w:val="24"/>
      <w:lang w:val="en-US"/>
    </w:rPr>
  </w:style>
  <w:style w:type="character" w:customStyle="1" w:styleId="BodyTextChar">
    <w:name w:val="Body Text Char"/>
    <w:link w:val="BodyText"/>
    <w:rsid w:val="00B95414"/>
    <w:rPr>
      <w:sz w:val="24"/>
      <w:lang w:val="en-US" w:eastAsia="en-US"/>
    </w:rPr>
  </w:style>
  <w:style w:type="paragraph" w:styleId="Revision">
    <w:name w:val="Revision"/>
    <w:hidden/>
    <w:uiPriority w:val="99"/>
    <w:semiHidden/>
    <w:rsid w:val="00C90093"/>
    <w:rPr>
      <w:lang w:val="en-GB"/>
    </w:rPr>
  </w:style>
  <w:style w:type="character" w:styleId="CommentReference">
    <w:name w:val="annotation reference"/>
    <w:semiHidden/>
    <w:rsid w:val="006C09E6"/>
    <w:rPr>
      <w:sz w:val="16"/>
      <w:szCs w:val="16"/>
    </w:rPr>
  </w:style>
  <w:style w:type="paragraph" w:styleId="CommentText">
    <w:name w:val="annotation text"/>
    <w:basedOn w:val="Normal"/>
    <w:semiHidden/>
    <w:rsid w:val="006C09E6"/>
  </w:style>
  <w:style w:type="paragraph" w:styleId="CommentSubject">
    <w:name w:val="annotation subject"/>
    <w:basedOn w:val="CommentText"/>
    <w:next w:val="CommentText"/>
    <w:semiHidden/>
    <w:rsid w:val="006C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542189">
      <w:bodyDiv w:val="1"/>
      <w:marLeft w:val="0"/>
      <w:marRight w:val="0"/>
      <w:marTop w:val="0"/>
      <w:marBottom w:val="0"/>
      <w:divBdr>
        <w:top w:val="none" w:sz="0" w:space="0" w:color="auto"/>
        <w:left w:val="none" w:sz="0" w:space="0" w:color="auto"/>
        <w:bottom w:val="none" w:sz="0" w:space="0" w:color="auto"/>
        <w:right w:val="none" w:sz="0" w:space="0" w:color="auto"/>
      </w:divBdr>
    </w:div>
    <w:div w:id="1001733094">
      <w:bodyDiv w:val="1"/>
      <w:marLeft w:val="0"/>
      <w:marRight w:val="0"/>
      <w:marTop w:val="0"/>
      <w:marBottom w:val="0"/>
      <w:divBdr>
        <w:top w:val="none" w:sz="0" w:space="0" w:color="auto"/>
        <w:left w:val="none" w:sz="0" w:space="0" w:color="auto"/>
        <w:bottom w:val="none" w:sz="0" w:space="0" w:color="auto"/>
        <w:right w:val="none" w:sz="0" w:space="0" w:color="auto"/>
      </w:divBdr>
    </w:div>
    <w:div w:id="2051373549">
      <w:bodyDiv w:val="1"/>
      <w:marLeft w:val="0"/>
      <w:marRight w:val="0"/>
      <w:marTop w:val="0"/>
      <w:marBottom w:val="0"/>
      <w:divBdr>
        <w:top w:val="none" w:sz="0" w:space="0" w:color="auto"/>
        <w:left w:val="none" w:sz="0" w:space="0" w:color="auto"/>
        <w:bottom w:val="none" w:sz="0" w:space="0" w:color="auto"/>
        <w:right w:val="none" w:sz="0" w:space="0" w:color="auto"/>
      </w:divBdr>
    </w:div>
    <w:div w:id="20552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2013-04-04T13:35:00Z</cp:lastPrinted>
  <dcterms:created xsi:type="dcterms:W3CDTF">2017-04-05T21:00:00Z</dcterms:created>
  <dcterms:modified xsi:type="dcterms:W3CDTF">2017-04-05T21:00:00Z</dcterms:modified>
</cp:coreProperties>
</file>