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65C15" w:rsidRPr="00FD622E" w:rsidTr="00CA1AEA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5C15" w:rsidRDefault="00165C15" w:rsidP="00CA1AEA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65C15" w:rsidRPr="00B97172" w:rsidRDefault="00165C15" w:rsidP="00CA1AEA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</w:t>
            </w:r>
            <w:r w:rsidR="000D3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D622E" w:rsidRDefault="002844CE" w:rsidP="002844CE">
            <w:pPr>
              <w:suppressAutoHyphens w:val="0"/>
              <w:spacing w:after="20"/>
              <w:jc w:val="right"/>
              <w:rPr>
                <w:lang w:val="fr-CH"/>
              </w:rPr>
            </w:pPr>
            <w:r w:rsidRPr="0086637A">
              <w:rPr>
                <w:sz w:val="40"/>
                <w:lang w:val="fr-CH"/>
              </w:rPr>
              <w:t>CCPR</w:t>
            </w:r>
            <w:r w:rsidRPr="0086637A">
              <w:rPr>
                <w:lang w:val="fr-CH"/>
              </w:rPr>
              <w:t>/C/122/D/2270/2013</w:t>
            </w:r>
          </w:p>
          <w:p w:rsidR="00165C15" w:rsidRPr="0086637A" w:rsidRDefault="002844CE" w:rsidP="002844CE">
            <w:pPr>
              <w:suppressAutoHyphens w:val="0"/>
              <w:spacing w:after="20"/>
              <w:jc w:val="right"/>
              <w:rPr>
                <w:lang w:val="fr-CH"/>
              </w:rPr>
            </w:pPr>
            <w:r w:rsidRPr="0086637A">
              <w:rPr>
                <w:sz w:val="40"/>
                <w:szCs w:val="40"/>
                <w:lang w:val="fr-CH"/>
              </w:rPr>
              <w:t>CCPR</w:t>
            </w:r>
            <w:r w:rsidRPr="0086637A">
              <w:rPr>
                <w:lang w:val="fr-CH"/>
              </w:rPr>
              <w:t>/C/122/D/2851/2016</w:t>
            </w:r>
          </w:p>
        </w:tc>
      </w:tr>
      <w:tr w:rsidR="00165C15" w:rsidTr="00CA1AE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165C15" w:rsidP="00CA1AEA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1F469E40" wp14:editId="7331C9C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5C15" w:rsidRPr="00267F5F" w:rsidRDefault="00165C15" w:rsidP="00CA1AEA">
            <w:pPr>
              <w:spacing w:before="120" w:line="380" w:lineRule="exact"/>
              <w:rPr>
                <w:sz w:val="34"/>
              </w:rPr>
            </w:pPr>
            <w:r w:rsidRPr="00267F5F">
              <w:rPr>
                <w:b/>
                <w:sz w:val="34"/>
                <w:szCs w:val="40"/>
              </w:rPr>
              <w:t>International</w:t>
            </w:r>
            <w:r w:rsidR="000D306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Covenant</w:t>
            </w:r>
            <w:r w:rsidR="000D306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on</w:t>
            </w:r>
            <w:r>
              <w:rPr>
                <w:b/>
                <w:sz w:val="34"/>
                <w:szCs w:val="40"/>
              </w:rPr>
              <w:br/>
              <w:t>Civil</w:t>
            </w:r>
            <w:r w:rsidR="000D306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and</w:t>
            </w:r>
            <w:r w:rsidR="000D306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Political</w:t>
            </w:r>
            <w:r w:rsidR="000D3068">
              <w:rPr>
                <w:b/>
                <w:sz w:val="34"/>
                <w:szCs w:val="40"/>
              </w:rPr>
              <w:t xml:space="preserve"> </w:t>
            </w:r>
            <w:r>
              <w:rPr>
                <w:b/>
                <w:sz w:val="34"/>
                <w:szCs w:val="40"/>
              </w:rPr>
              <w:t>R</w:t>
            </w:r>
            <w:r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2844CE" w:rsidP="002844CE">
            <w:pPr>
              <w:suppressAutoHyphens w:val="0"/>
              <w:spacing w:before="240" w:line="240" w:lineRule="exact"/>
            </w:pPr>
            <w:r>
              <w:t>Distr.:</w:t>
            </w:r>
            <w:r w:rsidR="000D3068">
              <w:t xml:space="preserve"> </w:t>
            </w:r>
            <w:r>
              <w:t>General</w:t>
            </w:r>
          </w:p>
          <w:p w:rsidR="002844CE" w:rsidRDefault="0037440B" w:rsidP="002844CE">
            <w:pPr>
              <w:suppressAutoHyphens w:val="0"/>
            </w:pPr>
            <w:r>
              <w:t>4</w:t>
            </w:r>
            <w:r w:rsidR="000D3068">
              <w:t xml:space="preserve"> </w:t>
            </w:r>
            <w:r w:rsidR="002844CE">
              <w:t>May</w:t>
            </w:r>
            <w:r w:rsidR="000D3068">
              <w:t xml:space="preserve"> </w:t>
            </w:r>
            <w:r w:rsidR="002844CE">
              <w:t>2018</w:t>
            </w:r>
          </w:p>
          <w:p w:rsidR="002844CE" w:rsidRDefault="002844CE" w:rsidP="002844CE">
            <w:pPr>
              <w:suppressAutoHyphens w:val="0"/>
            </w:pPr>
          </w:p>
          <w:p w:rsidR="002844CE" w:rsidRDefault="002844CE" w:rsidP="002844CE">
            <w:pPr>
              <w:suppressAutoHyphens w:val="0"/>
            </w:pPr>
            <w:r>
              <w:t>Original:</w:t>
            </w:r>
            <w:r w:rsidR="000D3068">
              <w:t xml:space="preserve"> </w:t>
            </w:r>
            <w:r>
              <w:t>English</w:t>
            </w:r>
          </w:p>
        </w:tc>
      </w:tr>
    </w:tbl>
    <w:p w:rsidR="000D3068" w:rsidRPr="000D3068" w:rsidRDefault="000D3068" w:rsidP="000D3068">
      <w:pPr>
        <w:spacing w:before="120"/>
        <w:rPr>
          <w:b/>
          <w:bCs/>
          <w:sz w:val="24"/>
          <w:szCs w:val="24"/>
        </w:rPr>
      </w:pPr>
      <w:r w:rsidRPr="000D3068">
        <w:rPr>
          <w:b/>
          <w:bCs/>
          <w:sz w:val="24"/>
          <w:szCs w:val="24"/>
        </w:rPr>
        <w:t>Human</w:t>
      </w:r>
      <w:r>
        <w:rPr>
          <w:b/>
          <w:bCs/>
          <w:sz w:val="24"/>
          <w:szCs w:val="24"/>
        </w:rPr>
        <w:t xml:space="preserve"> </w:t>
      </w:r>
      <w:r w:rsidRPr="000D3068">
        <w:rPr>
          <w:b/>
          <w:bCs/>
          <w:sz w:val="24"/>
          <w:szCs w:val="24"/>
        </w:rPr>
        <w:t>Rights</w:t>
      </w:r>
      <w:r>
        <w:rPr>
          <w:b/>
          <w:bCs/>
          <w:sz w:val="24"/>
          <w:szCs w:val="24"/>
        </w:rPr>
        <w:t xml:space="preserve"> </w:t>
      </w:r>
      <w:r w:rsidRPr="000D3068">
        <w:rPr>
          <w:b/>
          <w:bCs/>
          <w:sz w:val="24"/>
          <w:szCs w:val="24"/>
        </w:rPr>
        <w:t>Committee</w:t>
      </w:r>
    </w:p>
    <w:p w:rsidR="000D3068" w:rsidRPr="002B292D" w:rsidRDefault="000D3068" w:rsidP="002865F2">
      <w:pPr>
        <w:pStyle w:val="HChG"/>
      </w:pPr>
      <w:r w:rsidRPr="002B292D">
        <w:tab/>
      </w:r>
      <w:r>
        <w:tab/>
      </w:r>
      <w:r w:rsidRPr="002B292D">
        <w:t>Views</w:t>
      </w:r>
      <w:r>
        <w:t xml:space="preserve"> </w:t>
      </w:r>
      <w:r w:rsidRPr="002B292D">
        <w:t>adopted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5</w:t>
      </w:r>
      <w:r>
        <w:t xml:space="preserve"> </w:t>
      </w:r>
      <w:r w:rsidRPr="002B292D">
        <w:t>(4)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Protocol,</w:t>
      </w:r>
      <w:r>
        <w:t xml:space="preserve"> </w:t>
      </w:r>
      <w:r w:rsidRPr="002B292D">
        <w:t>concerning</w:t>
      </w:r>
      <w:r>
        <w:t xml:space="preserve"> </w:t>
      </w:r>
      <w:r w:rsidRPr="002B292D">
        <w:t>communications</w:t>
      </w:r>
      <w:r>
        <w:t xml:space="preserve"> </w:t>
      </w:r>
      <w:r w:rsidR="00A9117B">
        <w:br/>
      </w:r>
      <w:r w:rsidRPr="002B292D">
        <w:t>No.</w:t>
      </w:r>
      <w:r>
        <w:t xml:space="preserve"> </w:t>
      </w:r>
      <w:r w:rsidRPr="002B292D">
        <w:t>2270/2013</w:t>
      </w:r>
      <w:r>
        <w:t xml:space="preserve"> </w:t>
      </w:r>
      <w:r w:rsidRPr="002B292D">
        <w:t>and</w:t>
      </w:r>
      <w:r>
        <w:t xml:space="preserve"> </w:t>
      </w:r>
      <w:r w:rsidRPr="002B292D">
        <w:t>No.</w:t>
      </w:r>
      <w:r>
        <w:t xml:space="preserve"> </w:t>
      </w:r>
      <w:r w:rsidRPr="002B292D">
        <w:t>2851/2016</w:t>
      </w:r>
      <w:r w:rsidR="00B47607" w:rsidRPr="002865F2">
        <w:rPr>
          <w:rStyle w:val="FootnoteReference"/>
          <w:b w:val="0"/>
          <w:bCs/>
          <w:sz w:val="20"/>
          <w:vertAlign w:val="baseline"/>
        </w:rPr>
        <w:footnoteReference w:customMarkFollows="1" w:id="1"/>
        <w:t>*</w:t>
      </w:r>
      <w:r w:rsidR="00EE1201" w:rsidRPr="003001EB">
        <w:rPr>
          <w:b w:val="0"/>
          <w:bCs/>
          <w:position w:val="6"/>
          <w:sz w:val="18"/>
          <w:szCs w:val="18"/>
        </w:rPr>
        <w:t>,</w:t>
      </w:r>
      <w:r w:rsidR="002865F2" w:rsidRPr="0086637A">
        <w:rPr>
          <w:b w:val="0"/>
          <w:bCs/>
          <w:sz w:val="20"/>
        </w:rPr>
        <w:t xml:space="preserve"> </w:t>
      </w:r>
      <w:r w:rsidR="002865F2" w:rsidRPr="002865F2">
        <w:rPr>
          <w:rStyle w:val="FootnoteReference"/>
          <w:b w:val="0"/>
          <w:bCs/>
          <w:sz w:val="20"/>
          <w:vertAlign w:val="baseline"/>
        </w:rPr>
        <w:footnoteReference w:customMarkFollows="1" w:id="2"/>
        <w:t>**</w:t>
      </w:r>
    </w:p>
    <w:p w:rsidR="000D3068" w:rsidRPr="00B47607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Cs/>
        </w:rPr>
      </w:pPr>
      <w:r w:rsidRPr="00B47607">
        <w:rPr>
          <w:i/>
        </w:rPr>
        <w:t>Communication submitted by:</w:t>
      </w:r>
      <w:r w:rsidRPr="00B47607">
        <w:rPr>
          <w:i/>
        </w:rPr>
        <w:tab/>
      </w:r>
      <w:r w:rsidRPr="00B47607">
        <w:rPr>
          <w:iCs/>
        </w:rPr>
        <w:t>Mohamed Nasheed (represented by counsel, Hassan Latheef and Farah Faizal for communication No. 2270/2013 and Jared Genser and Nicole Santiago for communication No. 2851/2016)</w:t>
      </w:r>
    </w:p>
    <w:p w:rsidR="000D3068" w:rsidRPr="00B47607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/>
        </w:rPr>
      </w:pPr>
      <w:r w:rsidRPr="00B47607">
        <w:rPr>
          <w:i/>
        </w:rPr>
        <w:t>Alleged victim:</w:t>
      </w:r>
      <w:r w:rsidRPr="00B47607">
        <w:rPr>
          <w:i/>
        </w:rPr>
        <w:tab/>
      </w:r>
      <w:r w:rsidRPr="00B47607">
        <w:rPr>
          <w:iCs/>
        </w:rPr>
        <w:t>The author</w:t>
      </w:r>
      <w:r w:rsidRPr="00B47607">
        <w:rPr>
          <w:i/>
        </w:rPr>
        <w:t xml:space="preserve"> </w:t>
      </w:r>
    </w:p>
    <w:p w:rsidR="000D3068" w:rsidRPr="00B47607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Cs/>
        </w:rPr>
      </w:pPr>
      <w:r w:rsidRPr="00B47607">
        <w:rPr>
          <w:i/>
        </w:rPr>
        <w:t>State party:</w:t>
      </w:r>
      <w:r w:rsidRPr="00B47607">
        <w:rPr>
          <w:i/>
        </w:rPr>
        <w:tab/>
      </w:r>
      <w:r w:rsidRPr="00B47607">
        <w:rPr>
          <w:iCs/>
        </w:rPr>
        <w:t>Republic of Maldives</w:t>
      </w:r>
    </w:p>
    <w:p w:rsidR="000D3068" w:rsidRPr="00B47607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Cs/>
        </w:rPr>
      </w:pPr>
      <w:r w:rsidRPr="00B47607">
        <w:rPr>
          <w:i/>
        </w:rPr>
        <w:t>Date of communication:</w:t>
      </w:r>
      <w:r w:rsidRPr="00B47607">
        <w:rPr>
          <w:i/>
        </w:rPr>
        <w:tab/>
      </w:r>
      <w:r w:rsidRPr="00B47607">
        <w:rPr>
          <w:iCs/>
        </w:rPr>
        <w:t>8 July 2013 (for communication No. 2270/2013) and 7 October 2016 (for communication</w:t>
      </w:r>
      <w:r w:rsidRPr="00B47607">
        <w:rPr>
          <w:iCs/>
        </w:rPr>
        <w:br/>
        <w:t>No. 2851/2016) (initial submission)</w:t>
      </w:r>
    </w:p>
    <w:p w:rsidR="000D3068" w:rsidRPr="00B47607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Cs/>
        </w:rPr>
      </w:pPr>
      <w:r w:rsidRPr="00B47607">
        <w:rPr>
          <w:i/>
        </w:rPr>
        <w:t>Document references:</w:t>
      </w:r>
      <w:r w:rsidRPr="00B47607">
        <w:rPr>
          <w:i/>
        </w:rPr>
        <w:tab/>
      </w:r>
      <w:r w:rsidRPr="00B47607">
        <w:rPr>
          <w:iCs/>
        </w:rPr>
        <w:t>Decision taken pursuant to rule 97 of the Committee</w:t>
      </w:r>
      <w:r w:rsidR="00995FAE">
        <w:rPr>
          <w:iCs/>
        </w:rPr>
        <w:t>’</w:t>
      </w:r>
      <w:r w:rsidRPr="00B47607">
        <w:rPr>
          <w:iCs/>
        </w:rPr>
        <w:t>s rules of procedure, transmitted to the State party on 17 July 2013 (for communication No. 2270/2013) and 15 November 2016 (for communication No. 2851/2016) (not issued in document form)</w:t>
      </w:r>
    </w:p>
    <w:p w:rsidR="000D3068" w:rsidRPr="00B47607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Cs/>
        </w:rPr>
      </w:pPr>
      <w:r w:rsidRPr="00B47607">
        <w:rPr>
          <w:i/>
        </w:rPr>
        <w:t>Date of adoption of Views:</w:t>
      </w:r>
      <w:r w:rsidRPr="00B47607">
        <w:rPr>
          <w:i/>
        </w:rPr>
        <w:tab/>
      </w:r>
      <w:r w:rsidRPr="00B47607">
        <w:rPr>
          <w:iCs/>
        </w:rPr>
        <w:t>4 April 2018</w:t>
      </w:r>
    </w:p>
    <w:p w:rsidR="000D3068" w:rsidRPr="000421E8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Cs/>
        </w:rPr>
      </w:pPr>
      <w:r w:rsidRPr="00B47607">
        <w:rPr>
          <w:i/>
        </w:rPr>
        <w:t>Subject matter:</w:t>
      </w:r>
      <w:r w:rsidRPr="00B47607">
        <w:rPr>
          <w:i/>
        </w:rPr>
        <w:tab/>
      </w:r>
      <w:r w:rsidRPr="000421E8">
        <w:rPr>
          <w:iCs/>
        </w:rPr>
        <w:t>Participation in presidential elections</w:t>
      </w:r>
    </w:p>
    <w:p w:rsidR="000D3068" w:rsidRPr="00533F65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Cs/>
        </w:rPr>
      </w:pPr>
      <w:r w:rsidRPr="00B47607">
        <w:rPr>
          <w:i/>
        </w:rPr>
        <w:t xml:space="preserve">Procedural issues: </w:t>
      </w:r>
      <w:r w:rsidRPr="00B47607">
        <w:rPr>
          <w:i/>
        </w:rPr>
        <w:tab/>
      </w:r>
      <w:r w:rsidRPr="00533F65">
        <w:rPr>
          <w:iCs/>
        </w:rPr>
        <w:t>Consideration of the same matter by another procedure of international investigation; substantiation of claims</w:t>
      </w:r>
    </w:p>
    <w:p w:rsidR="000D3068" w:rsidRPr="00533F65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Cs/>
        </w:rPr>
      </w:pPr>
      <w:r w:rsidRPr="00B47607">
        <w:rPr>
          <w:i/>
        </w:rPr>
        <w:t xml:space="preserve">Substantive issues: </w:t>
      </w:r>
      <w:r w:rsidRPr="00B47607">
        <w:rPr>
          <w:i/>
        </w:rPr>
        <w:tab/>
      </w:r>
      <w:r w:rsidRPr="00533F65">
        <w:rPr>
          <w:iCs/>
        </w:rPr>
        <w:t>Fair trial; freedom of association; right to be elected</w:t>
      </w:r>
    </w:p>
    <w:p w:rsidR="000D3068" w:rsidRPr="00B47607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/>
        </w:rPr>
      </w:pPr>
      <w:r w:rsidRPr="00B47607">
        <w:rPr>
          <w:i/>
        </w:rPr>
        <w:t>Articles of the Covenant:</w:t>
      </w:r>
      <w:r w:rsidRPr="00B47607">
        <w:rPr>
          <w:i/>
        </w:rPr>
        <w:tab/>
      </w:r>
      <w:r w:rsidRPr="00533F65">
        <w:rPr>
          <w:iCs/>
        </w:rPr>
        <w:t>14, 22, 25</w:t>
      </w:r>
    </w:p>
    <w:p w:rsidR="000D3068" w:rsidRPr="00B47607" w:rsidRDefault="000D3068" w:rsidP="00B47607">
      <w:pPr>
        <w:pStyle w:val="SingleTxtG"/>
        <w:tabs>
          <w:tab w:val="left" w:pos="4820"/>
        </w:tabs>
        <w:ind w:left="4536" w:hanging="3402"/>
        <w:jc w:val="left"/>
        <w:rPr>
          <w:i/>
        </w:rPr>
      </w:pPr>
      <w:r w:rsidRPr="00B47607">
        <w:rPr>
          <w:i/>
        </w:rPr>
        <w:t>Articles of the Optional Protocol:</w:t>
      </w:r>
      <w:r w:rsidRPr="00B47607">
        <w:rPr>
          <w:i/>
        </w:rPr>
        <w:tab/>
      </w:r>
      <w:r w:rsidRPr="00533F65">
        <w:rPr>
          <w:iCs/>
        </w:rPr>
        <w:t>2 and 5 (2) (a)</w:t>
      </w:r>
    </w:p>
    <w:p w:rsidR="000D3068" w:rsidRPr="002B292D" w:rsidRDefault="000D3068" w:rsidP="00533F65">
      <w:pPr>
        <w:pStyle w:val="SingleTxtG"/>
      </w:pPr>
      <w:r w:rsidRPr="002B292D">
        <w:t>1.1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communications</w:t>
      </w:r>
      <w:r>
        <w:t xml:space="preserve"> </w:t>
      </w:r>
      <w:r w:rsidRPr="002B292D">
        <w:t>is</w:t>
      </w:r>
      <w:r>
        <w:t xml:space="preserve"> </w:t>
      </w:r>
      <w:r w:rsidRPr="002B292D">
        <w:t>Nasheed</w:t>
      </w:r>
      <w:r>
        <w:t xml:space="preserve"> </w:t>
      </w:r>
      <w:r w:rsidRPr="002B292D">
        <w:t>Mohamed,</w:t>
      </w:r>
      <w:r>
        <w:t xml:space="preserve"> </w:t>
      </w:r>
      <w:r w:rsidRPr="002B292D">
        <w:t>a</w:t>
      </w:r>
      <w:r>
        <w:t xml:space="preserve"> </w:t>
      </w:r>
      <w:r w:rsidRPr="002B292D">
        <w:t>national</w:t>
      </w:r>
      <w:r>
        <w:t xml:space="preserve"> </w:t>
      </w:r>
      <w:r w:rsidRPr="002B292D">
        <w:t>of</w:t>
      </w:r>
      <w:r>
        <w:t xml:space="preserve"> </w:t>
      </w:r>
      <w:r w:rsidRPr="002B292D">
        <w:t>Maldives</w:t>
      </w:r>
      <w:r>
        <w:t xml:space="preserve"> </w:t>
      </w:r>
      <w:r w:rsidRPr="002B292D">
        <w:t>born</w:t>
      </w:r>
      <w:r>
        <w:t xml:space="preserve"> </w:t>
      </w:r>
      <w:r w:rsidRPr="002B292D">
        <w:t>on</w:t>
      </w:r>
      <w:r>
        <w:t xml:space="preserve"> </w:t>
      </w:r>
      <w:r w:rsidRPr="002B292D">
        <w:t>17</w:t>
      </w:r>
      <w:r>
        <w:t xml:space="preserve"> </w:t>
      </w:r>
      <w:r w:rsidRPr="002B292D">
        <w:t>May</w:t>
      </w:r>
      <w:r>
        <w:t xml:space="preserve"> </w:t>
      </w:r>
      <w:r w:rsidRPr="002B292D">
        <w:t>1967.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violated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lastRenderedPageBreak/>
        <w:t>14,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</w:t>
      </w:r>
      <w:r>
        <w:t xml:space="preserve"> </w:t>
      </w:r>
      <w:r w:rsidRPr="002B292D">
        <w:t>entered</w:t>
      </w:r>
      <w:r>
        <w:t xml:space="preserve"> </w:t>
      </w:r>
      <w:r w:rsidRPr="002B292D">
        <w:t>into</w:t>
      </w:r>
      <w:r>
        <w:t xml:space="preserve"> </w:t>
      </w:r>
      <w:r w:rsidRPr="002B292D">
        <w:t>force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on</w:t>
      </w:r>
      <w:r>
        <w:t xml:space="preserve"> </w:t>
      </w:r>
      <w:r w:rsidRPr="002B292D">
        <w:t>19</w:t>
      </w:r>
      <w:r>
        <w:t xml:space="preserve"> </w:t>
      </w:r>
      <w:r w:rsidRPr="002B292D">
        <w:t>December</w:t>
      </w:r>
      <w:r>
        <w:t xml:space="preserve"> </w:t>
      </w:r>
      <w:r w:rsidRPr="002B292D">
        <w:t>2006.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is</w:t>
      </w:r>
      <w:r>
        <w:t xml:space="preserve"> </w:t>
      </w:r>
      <w:r w:rsidRPr="002B292D">
        <w:t>represented</w:t>
      </w:r>
      <w:r>
        <w:t xml:space="preserve"> </w:t>
      </w:r>
      <w:r w:rsidRPr="002B292D">
        <w:t>by</w:t>
      </w:r>
      <w:r>
        <w:t xml:space="preserve"> </w:t>
      </w:r>
      <w:r w:rsidRPr="002B292D">
        <w:t>counsel.</w:t>
      </w:r>
    </w:p>
    <w:p w:rsidR="000D3068" w:rsidRPr="002B292D" w:rsidRDefault="000D3068" w:rsidP="00533F65">
      <w:pPr>
        <w:pStyle w:val="SingleTxtG"/>
      </w:pPr>
      <w:r w:rsidRPr="002B292D">
        <w:t>1.2</w:t>
      </w:r>
      <w:r w:rsidRPr="002B292D">
        <w:tab/>
        <w:t>On</w:t>
      </w:r>
      <w:r>
        <w:t xml:space="preserve"> </w:t>
      </w:r>
      <w:r w:rsidRPr="002B292D">
        <w:t>16</w:t>
      </w:r>
      <w:r>
        <w:t xml:space="preserve"> </w:t>
      </w:r>
      <w:r w:rsidRPr="002B292D">
        <w:t>July</w:t>
      </w:r>
      <w:r>
        <w:t xml:space="preserve"> </w:t>
      </w:r>
      <w:r w:rsidRPr="002B292D">
        <w:t>2013,</w:t>
      </w:r>
      <w:r>
        <w:t xml:space="preserve"> </w:t>
      </w:r>
      <w:r w:rsidRPr="002B292D">
        <w:t>pursuant</w:t>
      </w:r>
      <w:r>
        <w:t xml:space="preserve"> </w:t>
      </w:r>
      <w:r w:rsidRPr="002B292D">
        <w:t>to</w:t>
      </w:r>
      <w:r>
        <w:t xml:space="preserve"> </w:t>
      </w:r>
      <w:r w:rsidRPr="002B292D">
        <w:t>rule</w:t>
      </w:r>
      <w:r>
        <w:t xml:space="preserve"> </w:t>
      </w:r>
      <w:r w:rsidRPr="002B292D">
        <w:t>92</w:t>
      </w:r>
      <w:r>
        <w:t xml:space="preserve"> </w:t>
      </w:r>
      <w:r w:rsidRPr="002B292D">
        <w:t>of</w:t>
      </w:r>
      <w:r>
        <w:t xml:space="preserve"> </w:t>
      </w:r>
      <w:r w:rsidRPr="002B292D">
        <w:t>its</w:t>
      </w:r>
      <w:r>
        <w:t xml:space="preserve"> </w:t>
      </w:r>
      <w:r w:rsidRPr="002B292D">
        <w:t>rules</w:t>
      </w:r>
      <w:r>
        <w:t xml:space="preserve"> </w:t>
      </w:r>
      <w:r w:rsidRPr="002B292D">
        <w:t>of</w:t>
      </w:r>
      <w:r>
        <w:t xml:space="preserve"> </w:t>
      </w:r>
      <w:r w:rsidRPr="002B292D">
        <w:t>procedure,</w:t>
      </w:r>
      <w:r>
        <w:t xml:space="preserve"> </w:t>
      </w:r>
      <w:r w:rsidRPr="002B292D">
        <w:t>the</w:t>
      </w:r>
      <w:r>
        <w:t xml:space="preserve"> </w:t>
      </w:r>
      <w:r w:rsidRPr="002B292D">
        <w:t>Committee,</w:t>
      </w:r>
      <w:r>
        <w:t xml:space="preserve"> </w:t>
      </w:r>
      <w:r w:rsidRPr="002B292D">
        <w:t>acting</w:t>
      </w:r>
      <w:r>
        <w:t xml:space="preserve"> </w:t>
      </w:r>
      <w:r w:rsidRPr="002B292D">
        <w:t>through</w:t>
      </w:r>
      <w:r>
        <w:t xml:space="preserve"> </w:t>
      </w:r>
      <w:r w:rsidRPr="002B292D">
        <w:t>its</w:t>
      </w:r>
      <w:r>
        <w:t xml:space="preserve"> </w:t>
      </w:r>
      <w:r w:rsidRPr="002B292D">
        <w:t>Special</w:t>
      </w:r>
      <w:r>
        <w:t xml:space="preserve"> </w:t>
      </w:r>
      <w:r w:rsidRPr="002B292D">
        <w:t>Rapporteur</w:t>
      </w:r>
      <w:r>
        <w:t xml:space="preserve"> </w:t>
      </w:r>
      <w:r w:rsidRPr="002B292D">
        <w:t>on</w:t>
      </w:r>
      <w:r>
        <w:t xml:space="preserve"> </w:t>
      </w:r>
      <w:r w:rsidRPr="002B292D">
        <w:t>new</w:t>
      </w:r>
      <w:r>
        <w:t xml:space="preserve"> </w:t>
      </w:r>
      <w:r w:rsidRPr="002B292D">
        <w:t>communications</w:t>
      </w:r>
      <w:r>
        <w:t xml:space="preserve"> </w:t>
      </w:r>
      <w:r w:rsidRPr="002B292D">
        <w:t>and</w:t>
      </w:r>
      <w:r>
        <w:t xml:space="preserve"> </w:t>
      </w:r>
      <w:r w:rsidRPr="002B292D">
        <w:t>interim</w:t>
      </w:r>
      <w:r>
        <w:t xml:space="preserve"> </w:t>
      </w:r>
      <w:r w:rsidRPr="002B292D">
        <w:t>measures,</w:t>
      </w:r>
      <w:r>
        <w:t xml:space="preserve"> </w:t>
      </w:r>
      <w:r w:rsidRPr="002B292D">
        <w:t>decided</w:t>
      </w:r>
      <w:r>
        <w:t xml:space="preserve"> </w:t>
      </w:r>
      <w:r w:rsidRPr="002B292D">
        <w:t>not</w:t>
      </w:r>
      <w:r>
        <w:t xml:space="preserve"> </w:t>
      </w:r>
      <w:r w:rsidRPr="002B292D">
        <w:t>to</w:t>
      </w:r>
      <w:r>
        <w:t xml:space="preserve"> </w:t>
      </w:r>
      <w:r w:rsidRPr="002B292D">
        <w:t>grant</w:t>
      </w:r>
      <w:r>
        <w:t xml:space="preserve"> </w:t>
      </w:r>
      <w:r w:rsidRPr="002B292D">
        <w:t>interim</w:t>
      </w:r>
      <w:r>
        <w:t xml:space="preserve"> </w:t>
      </w:r>
      <w:r w:rsidRPr="002B292D">
        <w:t>measures</w:t>
      </w:r>
      <w:r>
        <w:t xml:space="preserve"> </w:t>
      </w:r>
      <w:r w:rsidRPr="002B292D">
        <w:t>in</w:t>
      </w:r>
      <w:r>
        <w:t xml:space="preserve"> </w:t>
      </w:r>
      <w:r w:rsidRPr="002B292D">
        <w:t>respect</w:t>
      </w:r>
      <w:r>
        <w:t xml:space="preserve"> </w:t>
      </w:r>
      <w:r w:rsidRPr="002B292D">
        <w:t>of</w:t>
      </w:r>
      <w:r>
        <w:t xml:space="preserve"> </w:t>
      </w:r>
      <w:r w:rsidRPr="002B292D"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2270/2013.</w:t>
      </w:r>
    </w:p>
    <w:p w:rsidR="000D3068" w:rsidRPr="002B292D" w:rsidRDefault="000D3068" w:rsidP="00533F65">
      <w:pPr>
        <w:pStyle w:val="SingleTxtG"/>
      </w:pPr>
      <w:r w:rsidRPr="002B292D">
        <w:t>1.3</w:t>
      </w:r>
      <w:r w:rsidRPr="002B292D">
        <w:tab/>
        <w:t>On</w:t>
      </w:r>
      <w:r>
        <w:t xml:space="preserve"> </w:t>
      </w:r>
      <w:r w:rsidRPr="002B292D">
        <w:t>4</w:t>
      </w:r>
      <w:r>
        <w:t xml:space="preserve"> </w:t>
      </w:r>
      <w:r w:rsidRPr="002B292D">
        <w:t>April</w:t>
      </w:r>
      <w:r>
        <w:t xml:space="preserve"> </w:t>
      </w:r>
      <w:r w:rsidRPr="002B292D">
        <w:t>2018,</w:t>
      </w:r>
      <w:r>
        <w:t xml:space="preserve"> </w:t>
      </w:r>
      <w:r w:rsidRPr="002B292D">
        <w:t>pursuant</w:t>
      </w:r>
      <w:r>
        <w:t xml:space="preserve"> </w:t>
      </w:r>
      <w:r w:rsidRPr="002B292D">
        <w:t>to</w:t>
      </w:r>
      <w:r>
        <w:t xml:space="preserve"> </w:t>
      </w:r>
      <w:r w:rsidRPr="002B292D">
        <w:t>rule</w:t>
      </w:r>
      <w:r>
        <w:t xml:space="preserve"> </w:t>
      </w:r>
      <w:r w:rsidRPr="002B292D">
        <w:t>94</w:t>
      </w:r>
      <w:r>
        <w:t xml:space="preserve"> </w:t>
      </w:r>
      <w:r w:rsidRPr="002B292D">
        <w:t>(2)</w:t>
      </w:r>
      <w:r>
        <w:t xml:space="preserve"> </w:t>
      </w:r>
      <w:r w:rsidRPr="002B292D">
        <w:t>of</w:t>
      </w:r>
      <w:r>
        <w:t xml:space="preserve"> </w:t>
      </w:r>
      <w:r w:rsidRPr="002B292D">
        <w:t>its</w:t>
      </w:r>
      <w:r>
        <w:t xml:space="preserve"> </w:t>
      </w:r>
      <w:r w:rsidRPr="002B292D">
        <w:t>rules</w:t>
      </w:r>
      <w:r>
        <w:t xml:space="preserve"> </w:t>
      </w:r>
      <w:r w:rsidRPr="002B292D">
        <w:t>of</w:t>
      </w:r>
      <w:r>
        <w:t xml:space="preserve"> </w:t>
      </w:r>
      <w:r w:rsidRPr="002B292D">
        <w:t>procedure,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decided</w:t>
      </w:r>
      <w:r>
        <w:t xml:space="preserve"> </w:t>
      </w:r>
      <w:r w:rsidRPr="002B292D">
        <w:t>to</w:t>
      </w:r>
      <w:r>
        <w:t xml:space="preserve"> </w:t>
      </w:r>
      <w:r w:rsidRPr="002B292D">
        <w:t>deal</w:t>
      </w:r>
      <w:r>
        <w:t xml:space="preserve"> </w:t>
      </w:r>
      <w:r w:rsidRPr="002B292D">
        <w:t>jointly</w:t>
      </w:r>
      <w:r>
        <w:t xml:space="preserve"> </w:t>
      </w:r>
      <w:r w:rsidRPr="002B292D">
        <w:t>with</w:t>
      </w:r>
      <w:r>
        <w:t xml:space="preserve"> </w:t>
      </w:r>
      <w:r w:rsidRPr="002B292D">
        <w:t>communications</w:t>
      </w:r>
      <w:r>
        <w:t xml:space="preserve"> </w:t>
      </w:r>
      <w:r w:rsidRPr="002B292D">
        <w:t>Nos.</w:t>
      </w:r>
      <w:r>
        <w:t xml:space="preserve"> </w:t>
      </w:r>
      <w:r w:rsidRPr="002B292D">
        <w:t>2270/2013</w:t>
      </w:r>
      <w:r>
        <w:t xml:space="preserve"> </w:t>
      </w:r>
      <w:r w:rsidRPr="002B292D">
        <w:t>and</w:t>
      </w:r>
      <w:r>
        <w:t xml:space="preserve"> </w:t>
      </w:r>
      <w:r w:rsidRPr="002B292D">
        <w:t>2851/2016,</w:t>
      </w:r>
      <w:r>
        <w:t xml:space="preserve"> </w:t>
      </w:r>
      <w:r w:rsidRPr="002B292D">
        <w:t>submitted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same</w:t>
      </w:r>
      <w:r>
        <w:t xml:space="preserve"> </w:t>
      </w:r>
      <w:r w:rsidRPr="002B292D">
        <w:t>author,</w:t>
      </w:r>
      <w:r>
        <w:t xml:space="preserve"> </w:t>
      </w:r>
      <w:r w:rsidRPr="002B292D">
        <w:t>for</w:t>
      </w:r>
      <w:r>
        <w:t xml:space="preserve"> </w:t>
      </w:r>
      <w:r w:rsidRPr="002B292D">
        <w:t>decision,</w:t>
      </w:r>
      <w:r>
        <w:t xml:space="preserve"> </w:t>
      </w:r>
      <w:r w:rsidRPr="002B292D">
        <w:t>in</w:t>
      </w:r>
      <w:r>
        <w:t xml:space="preserve"> </w:t>
      </w:r>
      <w:r w:rsidRPr="002B292D">
        <w:t>view</w:t>
      </w:r>
      <w:r>
        <w:t xml:space="preserve"> </w:t>
      </w:r>
      <w:r w:rsidRPr="002B292D">
        <w:t>of</w:t>
      </w:r>
      <w:r>
        <w:t xml:space="preserve"> </w:t>
      </w:r>
      <w:r w:rsidRPr="002B292D">
        <w:t>their</w:t>
      </w:r>
      <w:r>
        <w:t xml:space="preserve"> </w:t>
      </w:r>
      <w:r w:rsidRPr="002B292D">
        <w:t>substantial</w:t>
      </w:r>
      <w:r>
        <w:t xml:space="preserve"> </w:t>
      </w:r>
      <w:r w:rsidRPr="002B292D">
        <w:t>factual</w:t>
      </w:r>
      <w:r>
        <w:t xml:space="preserve"> </w:t>
      </w:r>
      <w:r w:rsidRPr="002B292D">
        <w:t>and</w:t>
      </w:r>
      <w:r>
        <w:t xml:space="preserve"> </w:t>
      </w:r>
      <w:r w:rsidRPr="002B292D">
        <w:t>legal</w:t>
      </w:r>
      <w:r>
        <w:t xml:space="preserve"> </w:t>
      </w:r>
      <w:r w:rsidRPr="002B292D">
        <w:t>similarity.</w:t>
      </w:r>
    </w:p>
    <w:p w:rsidR="000D3068" w:rsidRPr="002B292D" w:rsidRDefault="000D3068" w:rsidP="00533F65">
      <w:pPr>
        <w:pStyle w:val="H23G"/>
      </w:pPr>
      <w:r w:rsidRPr="002B292D">
        <w:tab/>
      </w:r>
      <w:r w:rsidRPr="002B292D">
        <w:tab/>
        <w:t>The</w:t>
      </w:r>
      <w:r>
        <w:t xml:space="preserve"> </w:t>
      </w:r>
      <w:r w:rsidRPr="002B292D">
        <w:t>facts</w:t>
      </w:r>
      <w:r>
        <w:t xml:space="preserve"> </w:t>
      </w:r>
      <w:r w:rsidRPr="002B292D">
        <w:t>as</w:t>
      </w:r>
      <w:r>
        <w:t xml:space="preserve"> </w:t>
      </w:r>
      <w:r w:rsidRPr="002B292D">
        <w:t>submitted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</w:p>
    <w:p w:rsidR="000D3068" w:rsidRPr="002B292D" w:rsidRDefault="000D3068" w:rsidP="00533F65">
      <w:pPr>
        <w:pStyle w:val="SingleTxtG"/>
      </w:pPr>
      <w:r w:rsidRPr="002B292D">
        <w:t>2.1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head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Maldivian</w:t>
      </w:r>
      <w:r>
        <w:t xml:space="preserve"> </w:t>
      </w:r>
      <w:r w:rsidRPr="002B292D">
        <w:t>Democratic</w:t>
      </w:r>
      <w:r>
        <w:t xml:space="preserve"> </w:t>
      </w:r>
      <w:r w:rsidRPr="002B292D">
        <w:t>Party</w:t>
      </w:r>
      <w:r>
        <w:t xml:space="preserve"> </w:t>
      </w:r>
      <w:r w:rsidRPr="002B292D">
        <w:t>and</w:t>
      </w:r>
      <w:r>
        <w:t xml:space="preserve"> </w:t>
      </w:r>
      <w:r w:rsidRPr="002B292D">
        <w:t>in</w:t>
      </w:r>
      <w:r>
        <w:t xml:space="preserve"> </w:t>
      </w:r>
      <w:r w:rsidRPr="002B292D">
        <w:t>October</w:t>
      </w:r>
      <w:r>
        <w:t xml:space="preserve"> </w:t>
      </w:r>
      <w:r w:rsidRPr="002B292D">
        <w:t>2008</w:t>
      </w:r>
      <w:r>
        <w:t xml:space="preserve"> </w:t>
      </w:r>
      <w:r w:rsidRPr="002B292D">
        <w:t>became</w:t>
      </w:r>
      <w:r>
        <w:t xml:space="preserve"> </w:t>
      </w:r>
      <w:r w:rsidRPr="002B292D">
        <w:t>the</w:t>
      </w:r>
      <w:r>
        <w:t xml:space="preserve"> </w:t>
      </w:r>
      <w:r w:rsidRPr="002B292D">
        <w:t>first</w:t>
      </w:r>
      <w:r>
        <w:t xml:space="preserve"> </w:t>
      </w:r>
      <w:r w:rsidRPr="002B292D">
        <w:t>democratically</w:t>
      </w:r>
      <w:r>
        <w:t xml:space="preserve"> </w:t>
      </w:r>
      <w:r w:rsidRPr="002B292D">
        <w:t>elected</w:t>
      </w:r>
      <w:r>
        <w:t xml:space="preserve"> </w:t>
      </w:r>
      <w:r w:rsidRPr="002B292D">
        <w:t>president</w:t>
      </w:r>
      <w:r>
        <w:t xml:space="preserve"> </w:t>
      </w:r>
      <w:r w:rsidRPr="002B292D">
        <w:t>of</w:t>
      </w:r>
      <w:r>
        <w:t xml:space="preserve"> </w:t>
      </w:r>
      <w:r w:rsidRPr="002B292D">
        <w:t>Maldives.</w:t>
      </w:r>
      <w:r>
        <w:t xml:space="preserve"> </w:t>
      </w:r>
      <w:r w:rsidRPr="002B292D">
        <w:t>In</w:t>
      </w:r>
      <w:r>
        <w:t xml:space="preserve"> </w:t>
      </w:r>
      <w:r w:rsidRPr="002B292D">
        <w:t>2009,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first-ever</w:t>
      </w:r>
      <w:r>
        <w:t xml:space="preserve"> </w:t>
      </w:r>
      <w:r w:rsidRPr="002B292D">
        <w:t>multiparty</w:t>
      </w:r>
      <w:r>
        <w:t xml:space="preserve"> </w:t>
      </w:r>
      <w:r w:rsidRPr="002B292D">
        <w:t>parliamentary</w:t>
      </w:r>
      <w:r>
        <w:t xml:space="preserve"> </w:t>
      </w:r>
      <w:r w:rsidRPr="002B292D">
        <w:t>elections</w:t>
      </w:r>
      <w:r>
        <w:t xml:space="preserve"> </w:t>
      </w:r>
      <w:r w:rsidRPr="002B292D">
        <w:t>took</w:t>
      </w:r>
      <w:r>
        <w:t xml:space="preserve"> </w:t>
      </w:r>
      <w:r w:rsidRPr="002B292D">
        <w:t>place.</w:t>
      </w:r>
      <w:r>
        <w:t xml:space="preserve"> </w:t>
      </w:r>
      <w:r w:rsidRPr="002B292D">
        <w:t>A</w:t>
      </w:r>
      <w:r>
        <w:t xml:space="preserve"> </w:t>
      </w:r>
      <w:r w:rsidRPr="002B292D">
        <w:t>majority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parliamentary</w:t>
      </w:r>
      <w:r>
        <w:t xml:space="preserve"> </w:t>
      </w:r>
      <w:r w:rsidRPr="002B292D">
        <w:t>seats</w:t>
      </w:r>
      <w:r>
        <w:t xml:space="preserve"> </w:t>
      </w:r>
      <w:r w:rsidRPr="002B292D">
        <w:t>went</w:t>
      </w:r>
      <w:r>
        <w:t xml:space="preserve"> </w:t>
      </w:r>
      <w:r w:rsidRPr="002B292D">
        <w:t>to</w:t>
      </w:r>
      <w:r>
        <w:t xml:space="preserve"> </w:t>
      </w:r>
      <w:r w:rsidRPr="002B292D">
        <w:t>supporters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defeated</w:t>
      </w:r>
      <w:r>
        <w:t xml:space="preserve"> </w:t>
      </w:r>
      <w:r w:rsidRPr="002B292D">
        <w:t>former</w:t>
      </w:r>
      <w:r>
        <w:t xml:space="preserve"> </w:t>
      </w:r>
      <w:r w:rsidRPr="002B292D">
        <w:t>President.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administration</w:t>
      </w:r>
      <w:r>
        <w:t xml:space="preserve"> </w:t>
      </w:r>
      <w:r w:rsidRPr="002B292D">
        <w:t>tried</w:t>
      </w:r>
      <w:r>
        <w:t xml:space="preserve"> </w:t>
      </w:r>
      <w:r w:rsidRPr="002B292D">
        <w:t>to</w:t>
      </w:r>
      <w:r>
        <w:t xml:space="preserve"> </w:t>
      </w:r>
      <w:r w:rsidRPr="002B292D">
        <w:t>implement</w:t>
      </w:r>
      <w:r>
        <w:t xml:space="preserve"> </w:t>
      </w:r>
      <w:r w:rsidRPr="002B292D">
        <w:t>political</w:t>
      </w:r>
      <w:r>
        <w:t xml:space="preserve"> </w:t>
      </w:r>
      <w:r w:rsidRPr="002B292D">
        <w:t>reforms</w:t>
      </w:r>
      <w:r>
        <w:t xml:space="preserve"> </w:t>
      </w:r>
      <w:r w:rsidRPr="002B292D">
        <w:t>to</w:t>
      </w:r>
      <w:r>
        <w:t xml:space="preserve"> </w:t>
      </w:r>
      <w:r w:rsidRPr="002B292D">
        <w:t>secure</w:t>
      </w:r>
      <w:r>
        <w:t xml:space="preserve"> </w:t>
      </w:r>
      <w:r w:rsidRPr="002B292D">
        <w:t>democracy.</w:t>
      </w:r>
      <w:r>
        <w:t xml:space="preserve"> </w:t>
      </w:r>
      <w:r w:rsidRPr="002B292D">
        <w:t>However,</w:t>
      </w:r>
      <w:r>
        <w:t xml:space="preserve"> </w:t>
      </w:r>
      <w:r w:rsidRPr="002B292D">
        <w:t>the</w:t>
      </w:r>
      <w:r>
        <w:t xml:space="preserve"> </w:t>
      </w:r>
      <w:r w:rsidRPr="002B292D">
        <w:t>judiciary</w:t>
      </w:r>
      <w:r>
        <w:t xml:space="preserve"> </w:t>
      </w:r>
      <w:r w:rsidRPr="002B292D">
        <w:t>remained</w:t>
      </w:r>
      <w:r>
        <w:t xml:space="preserve"> </w:t>
      </w:r>
      <w:r w:rsidRPr="002B292D">
        <w:t>largely</w:t>
      </w:r>
      <w:r>
        <w:t xml:space="preserve"> </w:t>
      </w:r>
      <w:r w:rsidRPr="002B292D">
        <w:t>unchanged</w:t>
      </w:r>
      <w:r>
        <w:t xml:space="preserve"> </w:t>
      </w:r>
      <w:r w:rsidRPr="002B292D">
        <w:t>and,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result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influence</w:t>
      </w:r>
      <w:r>
        <w:t xml:space="preserve"> </w:t>
      </w:r>
      <w:r w:rsidRPr="002B292D">
        <w:t>of</w:t>
      </w:r>
      <w:r>
        <w:t xml:space="preserve"> </w:t>
      </w:r>
      <w:r w:rsidRPr="002B292D">
        <w:t>judges</w:t>
      </w:r>
      <w:r>
        <w:t xml:space="preserve"> </w:t>
      </w:r>
      <w:r w:rsidRPr="002B292D">
        <w:t>loyal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former</w:t>
      </w:r>
      <w:r>
        <w:t xml:space="preserve"> </w:t>
      </w:r>
      <w:r w:rsidRPr="002B292D">
        <w:t>President,</w:t>
      </w:r>
      <w:r>
        <w:t xml:space="preserve"> </w:t>
      </w:r>
      <w:r w:rsidRPr="002B292D">
        <w:t>reluctant</w:t>
      </w:r>
      <w:r>
        <w:t xml:space="preserve"> </w:t>
      </w:r>
      <w:r w:rsidRPr="002B292D">
        <w:t>to</w:t>
      </w:r>
      <w:r>
        <w:t xml:space="preserve"> </w:t>
      </w:r>
      <w:r w:rsidRPr="002B292D">
        <w:t>promote</w:t>
      </w:r>
      <w:r>
        <w:t xml:space="preserve"> </w:t>
      </w:r>
      <w:r w:rsidRPr="002B292D">
        <w:t>judicial</w:t>
      </w:r>
      <w:r>
        <w:t xml:space="preserve"> </w:t>
      </w:r>
      <w:r w:rsidRPr="002B292D">
        <w:t>reforms.</w:t>
      </w:r>
      <w:r>
        <w:t xml:space="preserve"> </w:t>
      </w:r>
      <w:r w:rsidRPr="002B292D">
        <w:t>In</w:t>
      </w:r>
      <w:r>
        <w:t xml:space="preserve"> </w:t>
      </w:r>
      <w:r w:rsidRPr="002B292D">
        <w:t>this</w:t>
      </w:r>
      <w:r>
        <w:t xml:space="preserve"> </w:t>
      </w:r>
      <w:r w:rsidRPr="002B292D">
        <w:t>connection,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emphasizes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</w:t>
      </w:r>
      <w:r>
        <w:t xml:space="preserve"> </w:t>
      </w:r>
      <w:r w:rsidRPr="002B292D">
        <w:t>of</w:t>
      </w:r>
      <w:r>
        <w:t xml:space="preserve"> </w:t>
      </w:r>
      <w:r w:rsidRPr="002B292D">
        <w:t>2008</w:t>
      </w:r>
      <w:r>
        <w:t xml:space="preserve"> </w:t>
      </w:r>
      <w:r w:rsidRPr="002B292D">
        <w:t>stipulated</w:t>
      </w:r>
      <w:r>
        <w:t xml:space="preserve"> </w:t>
      </w:r>
      <w:r w:rsidRPr="002B292D">
        <w:t>the</w:t>
      </w:r>
      <w:r>
        <w:t xml:space="preserve"> </w:t>
      </w:r>
      <w:r w:rsidRPr="002B292D">
        <w:t>mechanism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appointment</w:t>
      </w:r>
      <w:r>
        <w:t xml:space="preserve"> </w:t>
      </w:r>
      <w:r w:rsidRPr="002B292D">
        <w:t>of</w:t>
      </w:r>
      <w:r>
        <w:t xml:space="preserve"> </w:t>
      </w:r>
      <w:r w:rsidRPr="002B292D">
        <w:t>an</w:t>
      </w:r>
      <w:r>
        <w:t xml:space="preserve"> </w:t>
      </w:r>
      <w:r w:rsidRPr="002B292D">
        <w:t>independent</w:t>
      </w:r>
      <w:r>
        <w:t xml:space="preserve"> </w:t>
      </w:r>
      <w:r w:rsidRPr="002B292D">
        <w:t>judiciary,</w:t>
      </w:r>
      <w:r>
        <w:t xml:space="preserve"> </w:t>
      </w:r>
      <w:r w:rsidRPr="002B292D">
        <w:t>which</w:t>
      </w:r>
      <w:r>
        <w:t xml:space="preserve"> </w:t>
      </w:r>
      <w:r w:rsidRPr="002B292D">
        <w:t>was</w:t>
      </w:r>
      <w:r>
        <w:t xml:space="preserve"> </w:t>
      </w:r>
      <w:r w:rsidRPr="002B292D">
        <w:t>to</w:t>
      </w:r>
      <w:r>
        <w:t xml:space="preserve"> </w:t>
      </w:r>
      <w:r w:rsidRPr="002B292D">
        <w:t>take</w:t>
      </w:r>
      <w:r>
        <w:t xml:space="preserve"> </w:t>
      </w:r>
      <w:r w:rsidRPr="002B292D">
        <w:t>place</w:t>
      </w:r>
      <w:r>
        <w:t xml:space="preserve"> </w:t>
      </w:r>
      <w:r w:rsidRPr="002B292D">
        <w:t>within</w:t>
      </w:r>
      <w:r>
        <w:t xml:space="preserve"> </w:t>
      </w:r>
      <w:r w:rsidRPr="002B292D">
        <w:t>two</w:t>
      </w:r>
      <w:r>
        <w:t xml:space="preserve"> </w:t>
      </w:r>
      <w:r w:rsidRPr="002B292D">
        <w:t>years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</w:t>
      </w:r>
      <w:r>
        <w:t xml:space="preserve"> </w:t>
      </w:r>
      <w:r w:rsidRPr="002B292D">
        <w:t>being</w:t>
      </w:r>
      <w:r>
        <w:t xml:space="preserve"> </w:t>
      </w:r>
      <w:r w:rsidRPr="002B292D">
        <w:t>adopted,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central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prescribed</w:t>
      </w:r>
      <w:r>
        <w:t xml:space="preserve"> </w:t>
      </w:r>
      <w:r w:rsidRPr="002B292D">
        <w:t>reforms</w:t>
      </w:r>
      <w:r>
        <w:t xml:space="preserve"> </w:t>
      </w:r>
      <w:r w:rsidRPr="002B292D">
        <w:t>was</w:t>
      </w:r>
      <w:r>
        <w:t xml:space="preserve"> </w:t>
      </w:r>
      <w:r w:rsidRPr="002B292D">
        <w:t>the</w:t>
      </w:r>
      <w:r>
        <w:t xml:space="preserve"> </w:t>
      </w:r>
      <w:r w:rsidRPr="002B292D">
        <w:t>removal</w:t>
      </w:r>
      <w:r>
        <w:t xml:space="preserve"> </w:t>
      </w:r>
      <w:r w:rsidRPr="002B292D">
        <w:t>of</w:t>
      </w:r>
      <w:r>
        <w:t xml:space="preserve"> </w:t>
      </w:r>
      <w:r w:rsidRPr="002B292D">
        <w:t>non-qualified</w:t>
      </w:r>
      <w:r>
        <w:t xml:space="preserve"> </w:t>
      </w:r>
      <w:r w:rsidRPr="002B292D">
        <w:t>judges.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</w:t>
      </w:r>
      <w:r>
        <w:t xml:space="preserve"> </w:t>
      </w:r>
      <w:r w:rsidRPr="002B292D">
        <w:t>was</w:t>
      </w:r>
      <w:r>
        <w:t xml:space="preserve"> </w:t>
      </w:r>
      <w:r w:rsidRPr="002B292D">
        <w:t>responsible</w:t>
      </w:r>
      <w:r>
        <w:t xml:space="preserve"> </w:t>
      </w:r>
      <w:r w:rsidRPr="002B292D">
        <w:t>for</w:t>
      </w:r>
      <w:r>
        <w:t xml:space="preserve"> </w:t>
      </w:r>
      <w:r w:rsidRPr="002B292D">
        <w:t>assessing</w:t>
      </w:r>
      <w:r>
        <w:t xml:space="preserve"> </w:t>
      </w:r>
      <w:r w:rsidRPr="002B292D">
        <w:t>the</w:t>
      </w:r>
      <w:r>
        <w:t xml:space="preserve"> </w:t>
      </w:r>
      <w:r w:rsidRPr="002B292D">
        <w:t>qualifications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existing</w:t>
      </w:r>
      <w:r>
        <w:t xml:space="preserve"> </w:t>
      </w:r>
      <w:r w:rsidRPr="002B292D">
        <w:t>judges</w:t>
      </w:r>
      <w:r>
        <w:t xml:space="preserve"> </w:t>
      </w:r>
      <w:r w:rsidRPr="002B292D">
        <w:t>and</w:t>
      </w:r>
      <w:r>
        <w:t xml:space="preserve"> </w:t>
      </w:r>
      <w:r w:rsidRPr="002B292D">
        <w:t>reappointing</w:t>
      </w:r>
      <w:r>
        <w:t xml:space="preserve"> </w:t>
      </w:r>
      <w:r w:rsidRPr="002B292D">
        <w:t>them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end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two-year</w:t>
      </w:r>
      <w:r>
        <w:t xml:space="preserve"> </w:t>
      </w:r>
      <w:r w:rsidRPr="002B292D">
        <w:t>period.</w:t>
      </w:r>
      <w:r>
        <w:t xml:space="preserve"> </w:t>
      </w:r>
      <w:r w:rsidRPr="002B292D">
        <w:t>By</w:t>
      </w:r>
      <w:r>
        <w:t xml:space="preserve"> </w:t>
      </w:r>
      <w:r w:rsidRPr="002B292D">
        <w:t>7</w:t>
      </w:r>
      <w:r>
        <w:t xml:space="preserve"> </w:t>
      </w:r>
      <w:r w:rsidRPr="002B292D">
        <w:t>August</w:t>
      </w:r>
      <w:r>
        <w:t xml:space="preserve"> </w:t>
      </w:r>
      <w:r w:rsidRPr="002B292D">
        <w:t>2010,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</w:t>
      </w:r>
      <w:r>
        <w:t xml:space="preserve"> </w:t>
      </w:r>
      <w:r w:rsidRPr="002B292D">
        <w:t>had</w:t>
      </w:r>
      <w:r>
        <w:t xml:space="preserve"> </w:t>
      </w:r>
      <w:r w:rsidRPr="002B292D">
        <w:t>reappointed</w:t>
      </w:r>
      <w:r>
        <w:t xml:space="preserve"> </w:t>
      </w:r>
      <w:r w:rsidRPr="002B292D">
        <w:t>191</w:t>
      </w:r>
      <w:r>
        <w:t xml:space="preserve"> </w:t>
      </w:r>
      <w:r w:rsidRPr="002B292D">
        <w:t>out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197</w:t>
      </w:r>
      <w:r>
        <w:t xml:space="preserve"> </w:t>
      </w:r>
      <w:r w:rsidRPr="002B292D">
        <w:t>judges</w:t>
      </w:r>
      <w:r>
        <w:t xml:space="preserve"> </w:t>
      </w:r>
      <w:r w:rsidRPr="002B292D">
        <w:t>and</w:t>
      </w:r>
      <w:r>
        <w:t xml:space="preserve"> </w:t>
      </w:r>
      <w:r w:rsidRPr="002B292D">
        <w:t>magistrates</w:t>
      </w:r>
      <w:r>
        <w:t xml:space="preserve"> </w:t>
      </w:r>
      <w:r w:rsidRPr="002B292D">
        <w:t>that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appointed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former</w:t>
      </w:r>
      <w:r>
        <w:t xml:space="preserve"> </w:t>
      </w:r>
      <w:r w:rsidRPr="002B292D">
        <w:t>President.</w:t>
      </w:r>
      <w:r w:rsidRPr="00A035EA">
        <w:rPr>
          <w:rStyle w:val="FootnoteReference"/>
        </w:rPr>
        <w:footnoteReference w:id="3"/>
      </w:r>
    </w:p>
    <w:p w:rsidR="000D3068" w:rsidRPr="002B292D" w:rsidRDefault="000D3068" w:rsidP="00533F65">
      <w:pPr>
        <w:pStyle w:val="SingleTxtG"/>
      </w:pPr>
      <w:r w:rsidRPr="002B292D">
        <w:t>2.2</w:t>
      </w:r>
      <w:r w:rsidRPr="002B292D">
        <w:tab/>
        <w:t>On</w:t>
      </w:r>
      <w:r>
        <w:t xml:space="preserve"> </w:t>
      </w:r>
      <w:r w:rsidRPr="002B292D">
        <w:t>16</w:t>
      </w:r>
      <w:r>
        <w:t xml:space="preserve"> </w:t>
      </w:r>
      <w:r w:rsidRPr="002B292D">
        <w:t>January</w:t>
      </w:r>
      <w:r>
        <w:t xml:space="preserve"> </w:t>
      </w:r>
      <w:r w:rsidRPr="002B292D">
        <w:t>2012,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in</w:t>
      </w:r>
      <w:r>
        <w:t xml:space="preserve"> </w:t>
      </w:r>
      <w:r w:rsidRPr="002B292D">
        <w:t>Malé,</w:t>
      </w:r>
      <w:r>
        <w:t xml:space="preserve"> </w:t>
      </w:r>
      <w:r w:rsidRPr="002B292D">
        <w:t>Judge</w:t>
      </w:r>
      <w:r>
        <w:t xml:space="preserve"> </w:t>
      </w:r>
      <w:r w:rsidRPr="002B292D">
        <w:t>A.M.,</w:t>
      </w:r>
      <w:r>
        <w:t xml:space="preserve"> </w:t>
      </w:r>
      <w:r w:rsidRPr="002B292D">
        <w:t>was</w:t>
      </w:r>
      <w:r>
        <w:t xml:space="preserve"> </w:t>
      </w:r>
      <w:r w:rsidRPr="002B292D">
        <w:t>detained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Maldives</w:t>
      </w:r>
      <w:r>
        <w:t xml:space="preserve"> </w:t>
      </w:r>
      <w:r w:rsidRPr="002B292D">
        <w:t>National</w:t>
      </w:r>
      <w:r>
        <w:t xml:space="preserve"> </w:t>
      </w:r>
      <w:r w:rsidRPr="002B292D">
        <w:t>Defence</w:t>
      </w:r>
      <w:r>
        <w:t xml:space="preserve"> </w:t>
      </w:r>
      <w:r w:rsidRPr="002B292D">
        <w:t>Force</w:t>
      </w:r>
      <w:r>
        <w:t xml:space="preserve"> </w:t>
      </w:r>
      <w:r w:rsidRPr="002B292D">
        <w:t>in</w:t>
      </w:r>
      <w:r>
        <w:t xml:space="preserve"> </w:t>
      </w:r>
      <w:r w:rsidRPr="002B292D">
        <w:t>relation</w:t>
      </w:r>
      <w:r>
        <w:t xml:space="preserve"> </w:t>
      </w:r>
      <w:r w:rsidRPr="002B292D">
        <w:t>to</w:t>
      </w:r>
      <w:r>
        <w:t xml:space="preserve"> </w:t>
      </w:r>
      <w:r w:rsidRPr="002B292D">
        <w:t>complaints</w:t>
      </w:r>
      <w:r>
        <w:t xml:space="preserve"> </w:t>
      </w:r>
      <w:r w:rsidRPr="002B292D">
        <w:t>of</w:t>
      </w:r>
      <w:r>
        <w:t xml:space="preserve"> </w:t>
      </w:r>
      <w:r w:rsidRPr="002B292D">
        <w:t>serious</w:t>
      </w:r>
      <w:r>
        <w:t xml:space="preserve"> </w:t>
      </w:r>
      <w:r w:rsidRPr="002B292D">
        <w:t>misconduct.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tension</w:t>
      </w:r>
      <w:r>
        <w:t xml:space="preserve"> </w:t>
      </w:r>
      <w:r w:rsidRPr="002B292D">
        <w:t>between</w:t>
      </w:r>
      <w:r>
        <w:t xml:space="preserve"> </w:t>
      </w:r>
      <w:r w:rsidRPr="002B292D">
        <w:t>the</w:t>
      </w:r>
      <w:r>
        <w:t xml:space="preserve"> </w:t>
      </w:r>
      <w:r w:rsidRPr="002B292D">
        <w:t>executive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judiciary</w:t>
      </w:r>
      <w:r>
        <w:t xml:space="preserve"> </w:t>
      </w:r>
      <w:r w:rsidRPr="002B292D">
        <w:t>escalated</w:t>
      </w:r>
      <w:r>
        <w:t xml:space="preserve"> </w:t>
      </w:r>
      <w:r w:rsidRPr="002B292D">
        <w:t>after</w:t>
      </w:r>
      <w:r>
        <w:t xml:space="preserve"> </w:t>
      </w:r>
      <w:r w:rsidRPr="002B292D">
        <w:t>this</w:t>
      </w:r>
      <w:r>
        <w:t xml:space="preserve"> </w:t>
      </w:r>
      <w:r w:rsidRPr="002B292D">
        <w:t>detention,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political</w:t>
      </w:r>
      <w:r>
        <w:t xml:space="preserve"> </w:t>
      </w:r>
      <w:r w:rsidRPr="002B292D">
        <w:t>opposition</w:t>
      </w:r>
      <w:r>
        <w:t xml:space="preserve"> </w:t>
      </w:r>
      <w:r w:rsidRPr="002B292D">
        <w:t>used</w:t>
      </w:r>
      <w:r>
        <w:t xml:space="preserve"> </w:t>
      </w:r>
      <w:r w:rsidRPr="002B292D">
        <w:t>that</w:t>
      </w:r>
      <w:r>
        <w:t xml:space="preserve"> </w:t>
      </w:r>
      <w:r w:rsidRPr="002B292D">
        <w:t>tension</w:t>
      </w:r>
      <w:r>
        <w:t xml:space="preserve"> </w:t>
      </w:r>
      <w:r w:rsidRPr="002B292D">
        <w:t>against</w:t>
      </w:r>
      <w:r>
        <w:t xml:space="preserve"> </w:t>
      </w:r>
      <w:r w:rsidRPr="002B292D">
        <w:t>him,</w:t>
      </w:r>
      <w:r>
        <w:t xml:space="preserve"> </w:t>
      </w:r>
      <w:r w:rsidRPr="002B292D">
        <w:t>alleging</w:t>
      </w:r>
      <w:r>
        <w:t xml:space="preserve"> </w:t>
      </w:r>
      <w:r w:rsidRPr="002B292D">
        <w:t>that</w:t>
      </w:r>
      <w:r>
        <w:t xml:space="preserve"> </w:t>
      </w:r>
      <w:r w:rsidRPr="002B292D">
        <w:t>he,</w:t>
      </w:r>
      <w:r>
        <w:t xml:space="preserve"> </w:t>
      </w:r>
      <w:r w:rsidRPr="002B292D">
        <w:t>as</w:t>
      </w:r>
      <w:r>
        <w:t xml:space="preserve"> </w:t>
      </w:r>
      <w:r w:rsidRPr="002B292D">
        <w:t>Commander-in-Chief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Maldives</w:t>
      </w:r>
      <w:r>
        <w:t xml:space="preserve"> </w:t>
      </w:r>
      <w:r w:rsidRPr="002B292D">
        <w:t>National</w:t>
      </w:r>
      <w:r>
        <w:t xml:space="preserve"> </w:t>
      </w:r>
      <w:r w:rsidRPr="002B292D">
        <w:t>Defence</w:t>
      </w:r>
      <w:r>
        <w:t xml:space="preserve"> </w:t>
      </w:r>
      <w:r w:rsidRPr="002B292D">
        <w:t>Force,</w:t>
      </w:r>
      <w:r>
        <w:t xml:space="preserve"> </w:t>
      </w:r>
      <w:r w:rsidRPr="002B292D">
        <w:t>ordered</w:t>
      </w:r>
      <w:r>
        <w:t xml:space="preserve"> </w:t>
      </w:r>
      <w:r w:rsidRPr="002B292D">
        <w:t>the</w:t>
      </w:r>
      <w:r>
        <w:t xml:space="preserve"> </w:t>
      </w:r>
      <w:r w:rsidRPr="002B292D">
        <w:t>then-Minister</w:t>
      </w:r>
      <w:r>
        <w:t xml:space="preserve"> </w:t>
      </w:r>
      <w:r w:rsidRPr="002B292D">
        <w:t>of</w:t>
      </w:r>
      <w:r>
        <w:t xml:space="preserve"> </w:t>
      </w:r>
      <w:r w:rsidRPr="002B292D">
        <w:t>Defence</w:t>
      </w:r>
      <w:r>
        <w:t xml:space="preserve"> </w:t>
      </w:r>
      <w:r w:rsidRPr="002B292D">
        <w:t>to</w:t>
      </w:r>
      <w:r>
        <w:t xml:space="preserve"> </w:t>
      </w:r>
      <w:r w:rsidRPr="002B292D">
        <w:t>detain</w:t>
      </w:r>
      <w:r>
        <w:t xml:space="preserve"> </w:t>
      </w:r>
      <w:r w:rsidRPr="002B292D">
        <w:t>Judge</w:t>
      </w:r>
      <w:r>
        <w:t xml:space="preserve"> </w:t>
      </w:r>
      <w:r w:rsidRPr="002B292D">
        <w:t>A.M.</w:t>
      </w:r>
      <w:r>
        <w:t xml:space="preserve"> </w:t>
      </w:r>
      <w:r w:rsidRPr="002B292D">
        <w:t>The</w:t>
      </w:r>
      <w:r>
        <w:t xml:space="preserve"> </w:t>
      </w:r>
      <w:r w:rsidRPr="002B292D">
        <w:t>detention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judge</w:t>
      </w:r>
      <w:r>
        <w:t xml:space="preserve"> </w:t>
      </w:r>
      <w:r w:rsidRPr="002B292D">
        <w:t>also</w:t>
      </w:r>
      <w:r>
        <w:t xml:space="preserve"> </w:t>
      </w:r>
      <w:r w:rsidRPr="002B292D">
        <w:t>led</w:t>
      </w:r>
      <w:r>
        <w:t xml:space="preserve"> </w:t>
      </w:r>
      <w:r w:rsidRPr="002B292D">
        <w:t>to</w:t>
      </w:r>
      <w:r>
        <w:t xml:space="preserve"> </w:t>
      </w:r>
      <w:r w:rsidRPr="002B292D">
        <w:t>a</w:t>
      </w:r>
      <w:r>
        <w:t xml:space="preserve"> </w:t>
      </w:r>
      <w:r w:rsidRPr="002B292D">
        <w:t>period</w:t>
      </w:r>
      <w:r>
        <w:t xml:space="preserve"> </w:t>
      </w:r>
      <w:r w:rsidRPr="002B292D">
        <w:t>of</w:t>
      </w:r>
      <w:r>
        <w:t xml:space="preserve"> </w:t>
      </w:r>
      <w:r w:rsidRPr="002B292D">
        <w:t>civil</w:t>
      </w:r>
      <w:r>
        <w:t xml:space="preserve"> </w:t>
      </w:r>
      <w:r w:rsidRPr="002B292D">
        <w:t>unrest</w:t>
      </w:r>
      <w:r>
        <w:t xml:space="preserve"> </w:t>
      </w:r>
      <w:r w:rsidRPr="002B292D">
        <w:t>in</w:t>
      </w:r>
      <w:r>
        <w:t xml:space="preserve"> </w:t>
      </w:r>
      <w:r w:rsidRPr="002B292D">
        <w:t>Maldives.</w:t>
      </w:r>
    </w:p>
    <w:p w:rsidR="000D3068" w:rsidRPr="002B292D" w:rsidRDefault="000D3068" w:rsidP="00533F65">
      <w:pPr>
        <w:pStyle w:val="H4G"/>
      </w:pPr>
      <w:r w:rsidRPr="002B292D">
        <w:tab/>
      </w:r>
      <w:r w:rsidRPr="002B292D">
        <w:tab/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2270/2013</w:t>
      </w:r>
    </w:p>
    <w:p w:rsidR="000D3068" w:rsidRPr="002B292D" w:rsidRDefault="000D3068" w:rsidP="00533F65">
      <w:pPr>
        <w:pStyle w:val="SingleTxtG"/>
      </w:pPr>
      <w:r w:rsidRPr="002B292D">
        <w:t>2.3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on</w:t>
      </w:r>
      <w:r>
        <w:t xml:space="preserve"> </w:t>
      </w:r>
      <w:r w:rsidRPr="002B292D">
        <w:t>7</w:t>
      </w:r>
      <w:r>
        <w:t xml:space="preserve"> </w:t>
      </w:r>
      <w:r w:rsidRPr="002B292D">
        <w:t>February</w:t>
      </w:r>
      <w:r>
        <w:t xml:space="preserve"> </w:t>
      </w:r>
      <w:r w:rsidRPr="002B292D">
        <w:t>2012,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forced</w:t>
      </w:r>
      <w:r>
        <w:t xml:space="preserve"> </w:t>
      </w:r>
      <w:r w:rsidRPr="002B292D">
        <w:t>to</w:t>
      </w:r>
      <w:r>
        <w:t xml:space="preserve"> </w:t>
      </w:r>
      <w:r w:rsidRPr="002B292D">
        <w:t>resign</w:t>
      </w:r>
      <w:r>
        <w:t xml:space="preserve"> </w:t>
      </w:r>
      <w:r w:rsidRPr="002B292D">
        <w:t>from</w:t>
      </w:r>
      <w:r>
        <w:t xml:space="preserve"> </w:t>
      </w:r>
      <w:r w:rsidRPr="002B292D">
        <w:t>office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threat</w:t>
      </w:r>
      <w:r>
        <w:t xml:space="preserve"> </w:t>
      </w:r>
      <w:r w:rsidRPr="002B292D">
        <w:t>of</w:t>
      </w:r>
      <w:r>
        <w:t xml:space="preserve"> </w:t>
      </w:r>
      <w:r w:rsidRPr="002B292D">
        <w:t>violence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and</w:t>
      </w:r>
      <w:r>
        <w:t xml:space="preserve"> </w:t>
      </w:r>
      <w:r w:rsidRPr="002B292D">
        <w:t>domestic</w:t>
      </w:r>
      <w:r>
        <w:t xml:space="preserve"> </w:t>
      </w:r>
      <w:r w:rsidRPr="002B292D">
        <w:t>unrest</w:t>
      </w:r>
      <w:r>
        <w:t xml:space="preserve"> </w:t>
      </w:r>
      <w:r w:rsidRPr="002B292D">
        <w:t>caused</w:t>
      </w:r>
      <w:r>
        <w:t xml:space="preserve"> </w:t>
      </w:r>
      <w:r w:rsidRPr="002B292D">
        <w:t>by</w:t>
      </w:r>
      <w:r>
        <w:t xml:space="preserve"> </w:t>
      </w:r>
      <w:r w:rsidRPr="002B292D">
        <w:t>his</w:t>
      </w:r>
      <w:r>
        <w:t xml:space="preserve"> </w:t>
      </w:r>
      <w:r w:rsidRPr="002B292D">
        <w:t>political</w:t>
      </w:r>
      <w:r>
        <w:t xml:space="preserve"> </w:t>
      </w:r>
      <w:r w:rsidRPr="002B292D">
        <w:t>opponents,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in</w:t>
      </w:r>
      <w:r>
        <w:t xml:space="preserve"> </w:t>
      </w:r>
      <w:r w:rsidRPr="002B292D">
        <w:t>practice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forcibly</w:t>
      </w:r>
      <w:r>
        <w:t xml:space="preserve"> </w:t>
      </w:r>
      <w:r w:rsidRPr="002B292D">
        <w:t>removed</w:t>
      </w:r>
      <w:r>
        <w:t xml:space="preserve"> </w:t>
      </w:r>
      <w:r w:rsidRPr="002B292D">
        <w:t>from</w:t>
      </w:r>
      <w:r>
        <w:t xml:space="preserve"> </w:t>
      </w:r>
      <w:r w:rsidRPr="002B292D">
        <w:t>power</w:t>
      </w:r>
      <w:r>
        <w:t xml:space="preserve"> </w:t>
      </w:r>
      <w:r w:rsidRPr="002B292D">
        <w:t>by</w:t>
      </w:r>
      <w:r>
        <w:t xml:space="preserve"> </w:t>
      </w:r>
      <w:r w:rsidRPr="002B292D">
        <w:t>members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police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army</w:t>
      </w:r>
      <w:r>
        <w:t xml:space="preserve"> </w:t>
      </w:r>
      <w:r w:rsidRPr="002B292D">
        <w:t>loyal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former</w:t>
      </w:r>
      <w:r>
        <w:t xml:space="preserve"> </w:t>
      </w:r>
      <w:r w:rsidRPr="002B292D">
        <w:t>President,</w:t>
      </w:r>
      <w:r>
        <w:t xml:space="preserve"> </w:t>
      </w:r>
      <w:r w:rsidRPr="002B292D">
        <w:t>in</w:t>
      </w:r>
      <w:r>
        <w:t xml:space="preserve"> </w:t>
      </w:r>
      <w:r w:rsidRPr="002B292D">
        <w:t>collusion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Vice-President,</w:t>
      </w:r>
      <w:r>
        <w:t xml:space="preserve"> </w:t>
      </w:r>
      <w:r w:rsidRPr="002B292D">
        <w:t>who</w:t>
      </w:r>
      <w:r>
        <w:t xml:space="preserve"> </w:t>
      </w:r>
      <w:r w:rsidRPr="002B292D">
        <w:t>assumed</w:t>
      </w:r>
      <w:r>
        <w:t xml:space="preserve"> </w:t>
      </w:r>
      <w:r w:rsidRPr="002B292D">
        <w:t>the</w:t>
      </w:r>
      <w:r>
        <w:t xml:space="preserve"> </w:t>
      </w:r>
      <w:r w:rsidRPr="002B292D">
        <w:t>presidency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remainder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term,</w:t>
      </w:r>
      <w:r>
        <w:t xml:space="preserve"> </w:t>
      </w:r>
      <w:r w:rsidRPr="002B292D">
        <w:t>which</w:t>
      </w:r>
      <w:r>
        <w:t xml:space="preserve"> </w:t>
      </w:r>
      <w:r w:rsidRPr="002B292D">
        <w:t>ended</w:t>
      </w:r>
      <w:r>
        <w:t xml:space="preserve"> </w:t>
      </w:r>
      <w:r w:rsidRPr="002B292D">
        <w:t>in</w:t>
      </w:r>
      <w:r>
        <w:t xml:space="preserve"> </w:t>
      </w:r>
      <w:r w:rsidRPr="002B292D">
        <w:t>November</w:t>
      </w:r>
      <w:r>
        <w:t xml:space="preserve"> </w:t>
      </w:r>
      <w:r w:rsidRPr="002B292D">
        <w:t>2013.</w:t>
      </w:r>
      <w:r>
        <w:t xml:space="preserve"> </w:t>
      </w:r>
      <w:r w:rsidRPr="002B292D">
        <w:t>He</w:t>
      </w:r>
      <w:r>
        <w:t xml:space="preserve"> </w:t>
      </w:r>
      <w:r w:rsidRPr="002B292D">
        <w:t>states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forced</w:t>
      </w:r>
      <w:r>
        <w:t xml:space="preserve"> </w:t>
      </w:r>
      <w:r w:rsidRPr="002B292D">
        <w:t>resignation</w:t>
      </w:r>
      <w:r>
        <w:t xml:space="preserve"> </w:t>
      </w:r>
      <w:r w:rsidRPr="002B292D">
        <w:t>was</w:t>
      </w:r>
      <w:r>
        <w:t xml:space="preserve"> </w:t>
      </w:r>
      <w:r w:rsidRPr="002B292D">
        <w:t>also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highly</w:t>
      </w:r>
      <w:r>
        <w:t xml:space="preserve"> </w:t>
      </w:r>
      <w:r w:rsidRPr="002B292D">
        <w:t>controversial</w:t>
      </w:r>
      <w:r>
        <w:t xml:space="preserve"> </w:t>
      </w:r>
      <w:r w:rsidRPr="002B292D">
        <w:t>detention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Justice.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same</w:t>
      </w:r>
      <w:r>
        <w:t xml:space="preserve"> </w:t>
      </w:r>
      <w:r w:rsidRPr="002B292D">
        <w:t>day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detained,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was</w:t>
      </w:r>
      <w:r>
        <w:t xml:space="preserve"> </w:t>
      </w:r>
      <w:r w:rsidRPr="002B292D">
        <w:t>released.</w:t>
      </w:r>
      <w:r>
        <w:t xml:space="preserve"> </w:t>
      </w:r>
      <w:r w:rsidRPr="002B292D">
        <w:t>Subsequently,</w:t>
      </w:r>
      <w:r>
        <w:t xml:space="preserve"> </w:t>
      </w:r>
      <w:r w:rsidRPr="002B292D">
        <w:t>on</w:t>
      </w:r>
      <w:r>
        <w:t xml:space="preserve"> </w:t>
      </w:r>
      <w:r w:rsidRPr="002B292D">
        <w:t>an</w:t>
      </w:r>
      <w:r>
        <w:t xml:space="preserve"> </w:t>
      </w:r>
      <w:r w:rsidRPr="002B292D">
        <w:t>unspecified</w:t>
      </w:r>
      <w:r>
        <w:t xml:space="preserve"> </w:t>
      </w:r>
      <w:r w:rsidRPr="002B292D">
        <w:t>date,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released.</w:t>
      </w:r>
    </w:p>
    <w:p w:rsidR="000D3068" w:rsidRPr="002B292D" w:rsidRDefault="000D3068" w:rsidP="00533F65">
      <w:pPr>
        <w:pStyle w:val="SingleTxtG"/>
      </w:pPr>
      <w:r w:rsidRPr="002B292D">
        <w:t>2.4</w:t>
      </w:r>
      <w:r w:rsidRPr="002B292D">
        <w:tab/>
        <w:t>On</w:t>
      </w:r>
      <w:r>
        <w:t xml:space="preserve"> </w:t>
      </w:r>
      <w:r w:rsidRPr="002B292D">
        <w:t>9</w:t>
      </w:r>
      <w:r>
        <w:t xml:space="preserve"> </w:t>
      </w:r>
      <w:r w:rsidRPr="002B292D">
        <w:t>October</w:t>
      </w:r>
      <w:r>
        <w:t xml:space="preserve"> </w:t>
      </w:r>
      <w:r w:rsidRPr="002B292D">
        <w:t>2012,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arrested</w:t>
      </w:r>
      <w:r>
        <w:t xml:space="preserve"> </w:t>
      </w:r>
      <w:r w:rsidRPr="002B292D">
        <w:t>while</w:t>
      </w:r>
      <w:r>
        <w:t xml:space="preserve"> </w:t>
      </w:r>
      <w:r w:rsidRPr="002B292D">
        <w:t>campaigning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island</w:t>
      </w:r>
      <w:r>
        <w:t xml:space="preserve"> </w:t>
      </w:r>
      <w:r w:rsidRPr="002B292D">
        <w:t>of</w:t>
      </w:r>
      <w:r>
        <w:t xml:space="preserve"> </w:t>
      </w:r>
      <w:r w:rsidRPr="002B292D">
        <w:t>Fares-Maathodaa</w:t>
      </w:r>
      <w:r>
        <w:t xml:space="preserve"> </w:t>
      </w:r>
      <w:r w:rsidRPr="002B292D">
        <w:t>and</w:t>
      </w:r>
      <w:r>
        <w:t xml:space="preserve"> </w:t>
      </w:r>
      <w:r w:rsidRPr="002B292D">
        <w:t>was</w:t>
      </w:r>
      <w:r>
        <w:t xml:space="preserve"> </w:t>
      </w:r>
      <w:r w:rsidRPr="002B292D">
        <w:t>taken</w:t>
      </w:r>
      <w:r>
        <w:t xml:space="preserve"> </w:t>
      </w:r>
      <w:r w:rsidRPr="002B292D">
        <w:t>to</w:t>
      </w:r>
      <w:r>
        <w:t xml:space="preserve"> </w:t>
      </w:r>
      <w:r w:rsidRPr="002B292D">
        <w:t>Dhoonidhoo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charged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81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Penal</w:t>
      </w:r>
      <w:r>
        <w:t xml:space="preserve"> </w:t>
      </w:r>
      <w:r w:rsidRPr="002B292D">
        <w:t>Code</w:t>
      </w:r>
      <w:r w:rsidRPr="00A035EA">
        <w:rPr>
          <w:rStyle w:val="FootnoteReference"/>
        </w:rPr>
        <w:footnoteReference w:id="4"/>
      </w:r>
      <w:r>
        <w:t xml:space="preserve"> </w:t>
      </w:r>
      <w:r w:rsidRPr="002B292D">
        <w:t>with</w:t>
      </w:r>
      <w:r>
        <w:t xml:space="preserve"> </w:t>
      </w:r>
      <w:r w:rsidRPr="002B292D">
        <w:t>allegedly</w:t>
      </w:r>
      <w:r>
        <w:t xml:space="preserve"> </w:t>
      </w:r>
      <w:r w:rsidRPr="002B292D">
        <w:t>abusing</w:t>
      </w:r>
      <w:r>
        <w:t xml:space="preserve"> </w:t>
      </w:r>
      <w:r w:rsidRPr="002B292D">
        <w:t>his</w:t>
      </w:r>
      <w:r>
        <w:t xml:space="preserve"> </w:t>
      </w:r>
      <w:r w:rsidRPr="002B292D">
        <w:t>power</w:t>
      </w:r>
      <w:r>
        <w:t xml:space="preserve"> </w:t>
      </w:r>
      <w:r w:rsidRPr="002B292D">
        <w:t>by</w:t>
      </w:r>
      <w:r>
        <w:t xml:space="preserve"> </w:t>
      </w:r>
      <w:r w:rsidRPr="002B292D">
        <w:t>ordering</w:t>
      </w:r>
      <w:r>
        <w:t xml:space="preserve"> </w:t>
      </w:r>
      <w:r w:rsidRPr="002B292D">
        <w:t>the</w:t>
      </w:r>
      <w:r>
        <w:t xml:space="preserve"> </w:t>
      </w:r>
      <w:r w:rsidRPr="002B292D">
        <w:t>detention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this</w:t>
      </w:r>
      <w:r>
        <w:t xml:space="preserve"> </w:t>
      </w:r>
      <w:r w:rsidRPr="002B292D">
        <w:t>was</w:t>
      </w:r>
      <w:r>
        <w:t xml:space="preserve"> </w:t>
      </w:r>
      <w:r w:rsidRPr="002B292D">
        <w:t>an</w:t>
      </w:r>
      <w:r>
        <w:t xml:space="preserve"> </w:t>
      </w:r>
      <w:r w:rsidRPr="002B292D">
        <w:t>attempt</w:t>
      </w:r>
      <w:r>
        <w:t xml:space="preserve"> </w:t>
      </w:r>
      <w:r w:rsidRPr="002B292D">
        <w:t>to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successfully</w:t>
      </w:r>
      <w:r>
        <w:t xml:space="preserve"> </w:t>
      </w:r>
      <w:r w:rsidRPr="002B292D">
        <w:t>campaigning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</w:t>
      </w:r>
      <w:r>
        <w:t xml:space="preserve"> </w:t>
      </w:r>
      <w:r w:rsidRPr="002B292D">
        <w:t>in</w:t>
      </w:r>
      <w:r>
        <w:t xml:space="preserve"> </w:t>
      </w:r>
      <w:r w:rsidRPr="002B292D">
        <w:t>November</w:t>
      </w:r>
      <w:r>
        <w:t xml:space="preserve"> </w:t>
      </w:r>
      <w:r w:rsidRPr="002B292D">
        <w:t>2013.</w:t>
      </w:r>
      <w:r>
        <w:t xml:space="preserve"> </w:t>
      </w:r>
      <w:r w:rsidRPr="002B292D">
        <w:t>Later,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released.</w:t>
      </w:r>
      <w:r>
        <w:t xml:space="preserve"> </w:t>
      </w:r>
      <w:r w:rsidRPr="002B292D">
        <w:t>Afterwards,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subjected</w:t>
      </w:r>
      <w:r>
        <w:t xml:space="preserve"> </w:t>
      </w:r>
      <w:r w:rsidRPr="002B292D">
        <w:t>to</w:t>
      </w:r>
      <w:r>
        <w:t xml:space="preserve"> </w:t>
      </w:r>
      <w:r w:rsidRPr="002B292D">
        <w:t>ill-treatment</w:t>
      </w:r>
      <w:r>
        <w:t xml:space="preserve"> </w:t>
      </w:r>
      <w:r w:rsidRPr="002B292D">
        <w:t>and</w:t>
      </w:r>
      <w:r>
        <w:t xml:space="preserve"> </w:t>
      </w:r>
      <w:r w:rsidRPr="002B292D">
        <w:t>was</w:t>
      </w:r>
      <w:r>
        <w:t xml:space="preserve"> </w:t>
      </w:r>
      <w:r w:rsidRPr="002B292D">
        <w:t>continually</w:t>
      </w:r>
      <w:r>
        <w:t xml:space="preserve"> </w:t>
      </w:r>
      <w:r w:rsidRPr="002B292D">
        <w:t>harassed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authorities.</w:t>
      </w:r>
    </w:p>
    <w:p w:rsidR="000D3068" w:rsidRPr="002B292D" w:rsidRDefault="000D3068" w:rsidP="00533F65">
      <w:pPr>
        <w:pStyle w:val="SingleTxtG"/>
      </w:pPr>
      <w:r w:rsidRPr="002B292D">
        <w:lastRenderedPageBreak/>
        <w:t>2.5</w:t>
      </w:r>
      <w:r w:rsidRPr="002B292D">
        <w:tab/>
        <w:t>On</w:t>
      </w:r>
      <w:r>
        <w:t xml:space="preserve"> </w:t>
      </w:r>
      <w:r w:rsidRPr="002B292D">
        <w:t>an</w:t>
      </w:r>
      <w:r>
        <w:t xml:space="preserve"> </w:t>
      </w:r>
      <w:r w:rsidRPr="002B292D">
        <w:t>unspecified</w:t>
      </w:r>
      <w:r>
        <w:t xml:space="preserve"> </w:t>
      </w:r>
      <w:r w:rsidRPr="002B292D">
        <w:t>date,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</w:t>
      </w:r>
      <w:r>
        <w:t xml:space="preserve"> </w:t>
      </w:r>
      <w:r w:rsidRPr="002B292D">
        <w:t>established</w:t>
      </w:r>
      <w:r>
        <w:t xml:space="preserve"> </w:t>
      </w:r>
      <w:r w:rsidRPr="002B292D">
        <w:t>a</w:t>
      </w:r>
      <w:r>
        <w:t xml:space="preserve"> </w:t>
      </w:r>
      <w:r w:rsidRPr="002B292D">
        <w:t>special</w:t>
      </w:r>
      <w:r>
        <w:t xml:space="preserve"> </w:t>
      </w:r>
      <w:r w:rsidRPr="002B292D">
        <w:t>court</w:t>
      </w:r>
      <w:r>
        <w:t xml:space="preserve"> </w:t>
      </w:r>
      <w:r w:rsidRPr="002B292D">
        <w:t>within</w:t>
      </w:r>
      <w:r>
        <w:t xml:space="preserve"> </w:t>
      </w:r>
      <w:r w:rsidRPr="002B292D">
        <w:t>Hulhumalé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(hereinafter</w:t>
      </w:r>
      <w:r>
        <w:t xml:space="preserve"> </w:t>
      </w:r>
      <w:r w:rsidRPr="002B292D">
        <w:t>referred</w:t>
      </w:r>
      <w:r>
        <w:t xml:space="preserve"> </w:t>
      </w:r>
      <w:r w:rsidRPr="002B292D">
        <w:t>to</w:t>
      </w:r>
      <w:r>
        <w:t xml:space="preserve"> </w:t>
      </w:r>
      <w:r w:rsidRPr="002B292D"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Court)</w:t>
      </w:r>
      <w:r>
        <w:t xml:space="preserve"> </w:t>
      </w:r>
      <w:r w:rsidRPr="002B292D">
        <w:t>and</w:t>
      </w:r>
      <w:r>
        <w:t xml:space="preserve"> </w:t>
      </w:r>
      <w:r w:rsidRPr="002B292D">
        <w:t>appointed</w:t>
      </w:r>
      <w:r>
        <w:t xml:space="preserve"> </w:t>
      </w:r>
      <w:r w:rsidRPr="002B292D">
        <w:t>three</w:t>
      </w:r>
      <w:r>
        <w:t xml:space="preserve"> </w:t>
      </w:r>
      <w:r w:rsidRPr="002B292D">
        <w:t>special</w:t>
      </w:r>
      <w:r>
        <w:t xml:space="preserve"> </w:t>
      </w:r>
      <w:r w:rsidRPr="002B292D">
        <w:t>judges</w:t>
      </w:r>
      <w:r>
        <w:t xml:space="preserve"> </w:t>
      </w:r>
      <w:r w:rsidRPr="002B292D">
        <w:t>to</w:t>
      </w:r>
      <w:r>
        <w:t xml:space="preserve"> </w:t>
      </w:r>
      <w:r w:rsidRPr="002B292D">
        <w:t>conduct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trial.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</w:t>
      </w:r>
      <w:r>
        <w:t xml:space="preserve"> </w:t>
      </w:r>
      <w:r w:rsidRPr="002B292D">
        <w:t>was</w:t>
      </w:r>
      <w:r>
        <w:t xml:space="preserve"> </w:t>
      </w:r>
      <w:r w:rsidRPr="002B292D">
        <w:t>controlled</w:t>
      </w:r>
      <w:r>
        <w:t xml:space="preserve"> </w:t>
      </w:r>
      <w:r w:rsidRPr="002B292D">
        <w:t>by</w:t>
      </w:r>
      <w:r>
        <w:t xml:space="preserve"> </w:t>
      </w:r>
      <w:r w:rsidRPr="002B292D">
        <w:t>government</w:t>
      </w:r>
      <w:r>
        <w:t xml:space="preserve"> </w:t>
      </w:r>
      <w:r w:rsidRPr="002B292D">
        <w:t>parties</w:t>
      </w:r>
      <w:r>
        <w:t xml:space="preserve"> </w:t>
      </w:r>
      <w:r w:rsidRPr="002B292D">
        <w:t>and</w:t>
      </w:r>
      <w:r>
        <w:t xml:space="preserve"> </w:t>
      </w:r>
      <w:r w:rsidRPr="002B292D">
        <w:t>government-aligned</w:t>
      </w:r>
      <w:r>
        <w:t xml:space="preserve"> </w:t>
      </w:r>
      <w:r w:rsidRPr="002B292D">
        <w:t>individuals,</w:t>
      </w:r>
      <w:r>
        <w:t xml:space="preserve"> </w:t>
      </w:r>
      <w:r w:rsidRPr="002B292D">
        <w:t>as</w:t>
      </w:r>
      <w:r>
        <w:t xml:space="preserve"> </w:t>
      </w:r>
      <w:r w:rsidRPr="002B292D">
        <w:t>well</w:t>
      </w:r>
      <w:r>
        <w:t xml:space="preserve"> </w:t>
      </w:r>
      <w:r w:rsidRPr="002B292D">
        <w:t>as</w:t>
      </w:r>
      <w:r>
        <w:t xml:space="preserve"> </w:t>
      </w:r>
      <w:r w:rsidRPr="002B292D">
        <w:t>members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judiciary.</w:t>
      </w:r>
    </w:p>
    <w:p w:rsidR="000D3068" w:rsidRPr="002B292D" w:rsidRDefault="000D3068" w:rsidP="00533F65">
      <w:pPr>
        <w:pStyle w:val="SingleTxtG"/>
      </w:pPr>
      <w:r w:rsidRPr="002B292D">
        <w:t>2.6</w:t>
      </w:r>
      <w:r w:rsidRPr="002B292D">
        <w:tab/>
        <w:t>On</w:t>
      </w:r>
      <w:r>
        <w:t xml:space="preserve"> </w:t>
      </w:r>
      <w:r w:rsidRPr="002B292D">
        <w:t>4</w:t>
      </w:r>
      <w:r>
        <w:t xml:space="preserve"> </w:t>
      </w:r>
      <w:r w:rsidRPr="002B292D">
        <w:t>November</w:t>
      </w:r>
      <w:r>
        <w:t xml:space="preserve"> </w:t>
      </w:r>
      <w:r w:rsidRPr="002B292D">
        <w:t>2012,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filed</w:t>
      </w:r>
      <w:r>
        <w:t xml:space="preserve"> </w:t>
      </w:r>
      <w:r w:rsidRPr="002B292D">
        <w:t>an</w:t>
      </w:r>
      <w:r>
        <w:t xml:space="preserve"> </w:t>
      </w:r>
      <w:r w:rsidRPr="002B292D">
        <w:t>application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of</w:t>
      </w:r>
      <w:r>
        <w:t xml:space="preserve"> </w:t>
      </w:r>
      <w:r w:rsidRPr="002B292D">
        <w:t>Maldives</w:t>
      </w:r>
      <w:r>
        <w:t xml:space="preserve"> </w:t>
      </w:r>
      <w:r w:rsidRPr="002B292D">
        <w:t>and</w:t>
      </w:r>
      <w:r>
        <w:t xml:space="preserve"> </w:t>
      </w:r>
      <w:r w:rsidRPr="002B292D">
        <w:t>challenged,</w:t>
      </w:r>
      <w:r>
        <w:t xml:space="preserve"> </w:t>
      </w:r>
      <w:r w:rsidRPr="002B292D">
        <w:t>inter</w:t>
      </w:r>
      <w:r>
        <w:t xml:space="preserve"> </w:t>
      </w:r>
      <w:r w:rsidRPr="002B292D">
        <w:t>alia,</w:t>
      </w:r>
      <w:r>
        <w:t xml:space="preserve"> </w:t>
      </w:r>
      <w:r w:rsidRPr="002B292D">
        <w:t>the</w:t>
      </w:r>
      <w:r>
        <w:t xml:space="preserve"> </w:t>
      </w:r>
      <w:r w:rsidRPr="002B292D">
        <w:t>competence</w:t>
      </w:r>
      <w:r>
        <w:t xml:space="preserve"> </w:t>
      </w:r>
      <w:r w:rsidRPr="002B292D">
        <w:t>and</w:t>
      </w:r>
      <w:r>
        <w:t xml:space="preserve"> </w:t>
      </w:r>
      <w:r w:rsidRPr="002B292D">
        <w:t>legality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Court,</w:t>
      </w:r>
      <w:r>
        <w:t xml:space="preserve"> </w:t>
      </w:r>
      <w:r w:rsidRPr="002B292D">
        <w:t>as</w:t>
      </w:r>
      <w:r>
        <w:t xml:space="preserve"> </w:t>
      </w:r>
      <w:r w:rsidRPr="002B292D">
        <w:t>well</w:t>
      </w:r>
      <w:r>
        <w:t xml:space="preserve"> </w:t>
      </w:r>
      <w:r w:rsidRPr="002B292D"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composition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special</w:t>
      </w:r>
      <w:r>
        <w:t xml:space="preserve"> </w:t>
      </w:r>
      <w:r w:rsidRPr="002B292D">
        <w:t>bench</w:t>
      </w:r>
      <w:r>
        <w:t xml:space="preserve"> </w:t>
      </w:r>
      <w:r w:rsidRPr="002B292D">
        <w:t>constituted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to</w:t>
      </w:r>
      <w:r>
        <w:t xml:space="preserve"> </w:t>
      </w:r>
      <w:r w:rsidRPr="002B292D">
        <w:t>try</w:t>
      </w:r>
      <w:r>
        <w:t xml:space="preserve"> </w:t>
      </w:r>
      <w:r w:rsidRPr="002B292D">
        <w:t>him,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special</w:t>
      </w:r>
      <w:r>
        <w:t xml:space="preserve"> </w:t>
      </w:r>
      <w:r w:rsidRPr="002B292D">
        <w:t>bench</w:t>
      </w:r>
      <w:r>
        <w:t xml:space="preserve"> </w:t>
      </w:r>
      <w:r w:rsidRPr="002B292D">
        <w:t>had</w:t>
      </w:r>
      <w:r>
        <w:t xml:space="preserve"> </w:t>
      </w:r>
      <w:r w:rsidRPr="002B292D">
        <w:t>no</w:t>
      </w:r>
      <w:r>
        <w:t xml:space="preserve"> </w:t>
      </w:r>
      <w:r w:rsidRPr="002B292D">
        <w:t>constitutional</w:t>
      </w:r>
      <w:r>
        <w:t xml:space="preserve"> </w:t>
      </w:r>
      <w:r w:rsidRPr="002B292D">
        <w:t>basis</w:t>
      </w:r>
      <w:r>
        <w:t xml:space="preserve"> </w:t>
      </w:r>
      <w:r w:rsidRPr="002B292D">
        <w:t>and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a</w:t>
      </w:r>
      <w:r>
        <w:t xml:space="preserve"> </w:t>
      </w:r>
      <w:r w:rsidRPr="002B292D">
        <w:t>valid</w:t>
      </w:r>
      <w:r>
        <w:t xml:space="preserve"> </w:t>
      </w:r>
      <w:r w:rsidRPr="002B292D">
        <w:t>court.</w:t>
      </w:r>
      <w:r w:rsidRPr="00A035EA">
        <w:rPr>
          <w:rStyle w:val="FootnoteReference"/>
        </w:rPr>
        <w:footnoteReference w:id="5"/>
      </w:r>
      <w:r>
        <w:t xml:space="preserve"> </w:t>
      </w:r>
      <w:r w:rsidRPr="002B292D">
        <w:t>Thereafter,</w:t>
      </w:r>
      <w:r>
        <w:t xml:space="preserve"> </w:t>
      </w:r>
      <w:r w:rsidRPr="002B292D">
        <w:t>he</w:t>
      </w:r>
      <w:r>
        <w:t xml:space="preserve"> </w:t>
      </w:r>
      <w:r w:rsidRPr="002B292D">
        <w:t>also</w:t>
      </w:r>
      <w:r>
        <w:t xml:space="preserve"> </w:t>
      </w:r>
      <w:r w:rsidRPr="002B292D">
        <w:t>filed</w:t>
      </w:r>
      <w:r>
        <w:t xml:space="preserve"> </w:t>
      </w:r>
      <w:r w:rsidRPr="002B292D">
        <w:t>an</w:t>
      </w:r>
      <w:r>
        <w:t xml:space="preserve"> </w:t>
      </w:r>
      <w:r w:rsidRPr="002B292D">
        <w:t>application</w:t>
      </w:r>
      <w:r>
        <w:t xml:space="preserve"> </w:t>
      </w:r>
      <w:r w:rsidRPr="002B292D">
        <w:t>before</w:t>
      </w:r>
      <w:r>
        <w:t xml:space="preserve"> </w:t>
      </w:r>
      <w:r w:rsidRPr="002B292D">
        <w:t>a</w:t>
      </w:r>
      <w:r>
        <w:t xml:space="preserve"> </w:t>
      </w:r>
      <w:r w:rsidRPr="002B292D">
        <w:t>Civil</w:t>
      </w:r>
      <w:r>
        <w:t xml:space="preserve"> </w:t>
      </w:r>
      <w:r w:rsidRPr="002B292D">
        <w:t>Court,</w:t>
      </w:r>
      <w:r>
        <w:t xml:space="preserve"> </w:t>
      </w:r>
      <w:r w:rsidRPr="002B292D">
        <w:t>requesting</w:t>
      </w:r>
      <w:r>
        <w:t xml:space="preserve"> </w:t>
      </w:r>
      <w:r w:rsidRPr="002B292D">
        <w:t>a</w:t>
      </w:r>
      <w:r>
        <w:t xml:space="preserve"> </w:t>
      </w:r>
      <w:r w:rsidRPr="002B292D">
        <w:t>judicial</w:t>
      </w:r>
      <w:r>
        <w:t xml:space="preserve"> </w:t>
      </w:r>
      <w:r w:rsidRPr="002B292D">
        <w:t>review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decision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to</w:t>
      </w:r>
      <w:r>
        <w:t xml:space="preserve"> </w:t>
      </w:r>
      <w:r w:rsidRPr="002B292D">
        <w:t>file</w:t>
      </w:r>
      <w:r>
        <w:t xml:space="preserve"> </w:t>
      </w:r>
      <w:r w:rsidRPr="002B292D">
        <w:t>a</w:t>
      </w:r>
      <w:r>
        <w:t xml:space="preserve"> </w:t>
      </w:r>
      <w:r w:rsidRPr="002B292D">
        <w:t>criminal</w:t>
      </w:r>
      <w:r>
        <w:t xml:space="preserve"> </w:t>
      </w:r>
      <w:r w:rsidRPr="002B292D">
        <w:t>complaint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rather</w:t>
      </w:r>
      <w:r>
        <w:t xml:space="preserve"> </w:t>
      </w:r>
      <w:r w:rsidRPr="002B292D">
        <w:t>than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in</w:t>
      </w:r>
      <w:r>
        <w:t xml:space="preserve"> </w:t>
      </w:r>
      <w:r w:rsidRPr="002B292D">
        <w:t>Malé.</w:t>
      </w:r>
      <w:r>
        <w:t xml:space="preserve"> </w:t>
      </w:r>
      <w:r w:rsidRPr="002B292D">
        <w:t>Finally,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claimed</w:t>
      </w:r>
      <w:r>
        <w:t xml:space="preserve"> </w:t>
      </w:r>
      <w:r w:rsidRPr="002B292D">
        <w:t>that</w:t>
      </w:r>
      <w:r>
        <w:t xml:space="preserve"> </w:t>
      </w:r>
      <w:r w:rsidRPr="002B292D">
        <w:t>no</w:t>
      </w:r>
      <w:r>
        <w:t xml:space="preserve"> </w:t>
      </w:r>
      <w:r w:rsidRPr="002B292D">
        <w:t>prosecution</w:t>
      </w:r>
      <w:r>
        <w:t xml:space="preserve"> </w:t>
      </w:r>
      <w:r w:rsidRPr="002B292D">
        <w:t>had</w:t>
      </w:r>
      <w:r>
        <w:t xml:space="preserve"> </w:t>
      </w:r>
      <w:r w:rsidRPr="002B292D">
        <w:t>ever</w:t>
      </w:r>
      <w:r>
        <w:t xml:space="preserve"> </w:t>
      </w:r>
      <w:r w:rsidRPr="002B292D">
        <w:t>been</w:t>
      </w:r>
      <w:r>
        <w:t xml:space="preserve"> </w:t>
      </w:r>
      <w:r w:rsidRPr="002B292D">
        <w:t>brought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81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Penal</w:t>
      </w:r>
      <w:r>
        <w:t xml:space="preserve"> </w:t>
      </w:r>
      <w:r w:rsidRPr="002B292D">
        <w:t>Code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charges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under</w:t>
      </w:r>
      <w:r>
        <w:t xml:space="preserve"> </w:t>
      </w:r>
      <w:r w:rsidRPr="002B292D">
        <w:t>that</w:t>
      </w:r>
      <w:r>
        <w:t xml:space="preserve"> </w:t>
      </w:r>
      <w:r w:rsidRPr="002B292D">
        <w:t>article</w:t>
      </w:r>
      <w:r>
        <w:t xml:space="preserve"> </w:t>
      </w:r>
      <w:r w:rsidRPr="002B292D">
        <w:t>were</w:t>
      </w:r>
      <w:r>
        <w:t xml:space="preserve"> </w:t>
      </w:r>
      <w:r w:rsidRPr="002B292D">
        <w:t>discriminatory.</w:t>
      </w:r>
    </w:p>
    <w:p w:rsidR="000D3068" w:rsidRPr="002B292D" w:rsidRDefault="000D3068" w:rsidP="00533F65">
      <w:pPr>
        <w:pStyle w:val="SingleTxtG"/>
      </w:pPr>
      <w:r w:rsidRPr="002B292D">
        <w:t>2.7</w:t>
      </w:r>
      <w:r w:rsidRPr="002B292D">
        <w:tab/>
        <w:t>In</w:t>
      </w:r>
      <w:r>
        <w:t xml:space="preserve"> </w:t>
      </w:r>
      <w:r w:rsidRPr="002B292D">
        <w:t>parallel,</w:t>
      </w:r>
      <w:r>
        <w:t xml:space="preserve"> </w:t>
      </w:r>
      <w:r w:rsidRPr="002B292D">
        <w:t>the</w:t>
      </w:r>
      <w:r>
        <w:t xml:space="preserve"> </w:t>
      </w:r>
      <w:r w:rsidRPr="002B292D">
        <w:t>issue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competence</w:t>
      </w:r>
      <w:r>
        <w:t xml:space="preserve"> </w:t>
      </w:r>
      <w:r w:rsidRPr="002B292D">
        <w:t>and</w:t>
      </w:r>
      <w:r>
        <w:t xml:space="preserve"> </w:t>
      </w:r>
      <w:r w:rsidRPr="002B292D">
        <w:t>legality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was</w:t>
      </w:r>
      <w:r>
        <w:t xml:space="preserve"> </w:t>
      </w:r>
      <w:r w:rsidRPr="002B292D">
        <w:t>pending</w:t>
      </w:r>
      <w:r>
        <w:t xml:space="preserve"> </w:t>
      </w:r>
      <w:r w:rsidRPr="002B292D">
        <w:t>in</w:t>
      </w:r>
      <w:r>
        <w:t xml:space="preserve"> </w:t>
      </w:r>
      <w:r w:rsidRPr="002B292D">
        <w:t>another</w:t>
      </w:r>
      <w:r>
        <w:t xml:space="preserve"> </w:t>
      </w:r>
      <w:r w:rsidRPr="002B292D">
        <w:t>case</w:t>
      </w:r>
      <w:r>
        <w:t xml:space="preserve"> </w:t>
      </w:r>
      <w:r w:rsidRPr="002B292D">
        <w:t>unrelated</w:t>
      </w:r>
      <w:r>
        <w:t xml:space="preserve"> </w:t>
      </w:r>
      <w:r w:rsidRPr="002B292D">
        <w:t>to</w:t>
      </w:r>
      <w:r>
        <w:t xml:space="preserve"> </w:t>
      </w:r>
      <w:r w:rsidRPr="002B292D">
        <w:t>that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author,</w:t>
      </w:r>
      <w:r>
        <w:t xml:space="preserve"> </w:t>
      </w:r>
      <w:r w:rsidRPr="002B292D">
        <w:t>which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before</w:t>
      </w:r>
      <w:r>
        <w:t xml:space="preserve"> </w:t>
      </w:r>
      <w:r w:rsidRPr="002B292D">
        <w:t>the</w:t>
      </w:r>
      <w:r>
        <w:t xml:space="preserve"> </w:t>
      </w:r>
      <w:r w:rsidRPr="002B292D">
        <w:t>Civil</w:t>
      </w:r>
      <w:r>
        <w:t xml:space="preserve"> </w:t>
      </w:r>
      <w:r w:rsidRPr="002B292D">
        <w:t>Court</w:t>
      </w:r>
      <w:r>
        <w:t xml:space="preserve"> </w:t>
      </w:r>
      <w:r w:rsidRPr="002B292D">
        <w:t>since</w:t>
      </w:r>
      <w:r>
        <w:t xml:space="preserve"> </w:t>
      </w:r>
      <w:r w:rsidRPr="002B292D">
        <w:t>2011.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Court,</w:t>
      </w:r>
      <w:r>
        <w:t xml:space="preserve"> </w:t>
      </w:r>
      <w:r w:rsidRPr="002B292D">
        <w:t>upon</w:t>
      </w:r>
      <w:r>
        <w:t xml:space="preserve"> </w:t>
      </w:r>
      <w:r w:rsidRPr="002B292D">
        <w:t>application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Commission,</w:t>
      </w:r>
      <w:r>
        <w:t xml:space="preserve"> </w:t>
      </w:r>
      <w:r w:rsidRPr="002B292D">
        <w:t>took</w:t>
      </w:r>
      <w:r>
        <w:t xml:space="preserve"> </w:t>
      </w:r>
      <w:r w:rsidRPr="002B292D">
        <w:t>over</w:t>
      </w:r>
      <w:r>
        <w:t xml:space="preserve"> </w:t>
      </w:r>
      <w:r w:rsidRPr="002B292D">
        <w:t>the</w:t>
      </w:r>
      <w:r>
        <w:t xml:space="preserve"> </w:t>
      </w:r>
      <w:r w:rsidRPr="002B292D">
        <w:t>case</w:t>
      </w:r>
      <w:r>
        <w:t xml:space="preserve"> </w:t>
      </w:r>
      <w:r w:rsidRPr="002B292D">
        <w:t>being</w:t>
      </w:r>
      <w:r>
        <w:t xml:space="preserve"> </w:t>
      </w:r>
      <w:r w:rsidRPr="002B292D">
        <w:t>tried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Civil</w:t>
      </w:r>
      <w:r>
        <w:t xml:space="preserve"> </w:t>
      </w:r>
      <w:r w:rsidRPr="002B292D">
        <w:t>Court</w:t>
      </w:r>
      <w:r>
        <w:t xml:space="preserve"> </w:t>
      </w:r>
      <w:r w:rsidRPr="002B292D">
        <w:t>and</w:t>
      </w:r>
      <w:r>
        <w:t xml:space="preserve"> </w:t>
      </w:r>
      <w:r w:rsidRPr="002B292D">
        <w:t>ordered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to</w:t>
      </w:r>
      <w:r>
        <w:t xml:space="preserve"> </w:t>
      </w:r>
      <w:r w:rsidRPr="002B292D">
        <w:t>adjourn</w:t>
      </w:r>
      <w:r>
        <w:t xml:space="preserve"> </w:t>
      </w:r>
      <w:r w:rsidRPr="002B292D">
        <w:t>its</w:t>
      </w:r>
      <w:r>
        <w:t xml:space="preserve"> </w:t>
      </w:r>
      <w:r w:rsidRPr="002B292D">
        <w:t>hearing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case,</w:t>
      </w:r>
      <w:r>
        <w:t xml:space="preserve"> </w:t>
      </w:r>
      <w:r w:rsidRPr="002B292D">
        <w:t>pending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 w:rsidR="00995FAE">
        <w:t>’</w:t>
      </w:r>
      <w:r w:rsidRPr="002B292D">
        <w:t>s</w:t>
      </w:r>
      <w:r>
        <w:t xml:space="preserve"> </w:t>
      </w:r>
      <w:r w:rsidRPr="002B292D">
        <w:t>judgment.</w:t>
      </w:r>
    </w:p>
    <w:p w:rsidR="000D3068" w:rsidRPr="002B292D" w:rsidRDefault="000D3068" w:rsidP="00533F65">
      <w:pPr>
        <w:pStyle w:val="SingleTxtG"/>
      </w:pPr>
      <w:r w:rsidRPr="002B292D">
        <w:t>2.8</w:t>
      </w:r>
      <w:r w:rsidRPr="002B292D">
        <w:tab/>
        <w:t>On</w:t>
      </w:r>
      <w:r>
        <w:t xml:space="preserve"> </w:t>
      </w:r>
      <w:r w:rsidRPr="002B292D">
        <w:t>5</w:t>
      </w:r>
      <w:r>
        <w:t xml:space="preserve"> </w:t>
      </w:r>
      <w:r w:rsidRPr="002B292D">
        <w:t>December</w:t>
      </w:r>
      <w:r>
        <w:t xml:space="preserve"> </w:t>
      </w:r>
      <w:r w:rsidRPr="002B292D">
        <w:t>2012,</w:t>
      </w:r>
      <w:r>
        <w:t xml:space="preserve"> </w:t>
      </w:r>
      <w:r w:rsidRPr="002B292D">
        <w:t>a</w:t>
      </w:r>
      <w:r>
        <w:t xml:space="preserve"> </w:t>
      </w:r>
      <w:r w:rsidRPr="002B292D">
        <w:t>majority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held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established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law</w:t>
      </w:r>
      <w:r>
        <w:t xml:space="preserve"> </w:t>
      </w:r>
      <w:r w:rsidRPr="002B292D">
        <w:t>and</w:t>
      </w:r>
      <w:r>
        <w:t xml:space="preserve"> </w:t>
      </w:r>
      <w:r w:rsidRPr="002B292D">
        <w:t>could</w:t>
      </w:r>
      <w:r>
        <w:t xml:space="preserve"> </w:t>
      </w:r>
      <w:r w:rsidRPr="002B292D">
        <w:t>operate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court</w:t>
      </w:r>
      <w:r>
        <w:t xml:space="preserve"> </w:t>
      </w:r>
      <w:r w:rsidRPr="002B292D">
        <w:t>of</w:t>
      </w:r>
      <w:r>
        <w:t xml:space="preserve"> </w:t>
      </w:r>
      <w:r w:rsidRPr="002B292D">
        <w:t>law.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stated</w:t>
      </w:r>
      <w:r>
        <w:t xml:space="preserve"> </w:t>
      </w:r>
      <w:r w:rsidRPr="002B292D">
        <w:t>that</w:t>
      </w:r>
      <w:r>
        <w:t xml:space="preserve"> </w:t>
      </w:r>
      <w:r w:rsidRPr="002B292D">
        <w:t>although</w:t>
      </w:r>
      <w:r>
        <w:t xml:space="preserve"> </w:t>
      </w:r>
      <w:r w:rsidRPr="002B292D">
        <w:t>Hulhumalé</w:t>
      </w:r>
      <w:r>
        <w:t xml:space="preserve"> </w:t>
      </w:r>
      <w:r w:rsidRPr="002B292D">
        <w:t>was</w:t>
      </w:r>
      <w:r>
        <w:t xml:space="preserve"> </w:t>
      </w:r>
      <w:r w:rsidRPr="002B292D">
        <w:t>considered</w:t>
      </w:r>
      <w:r>
        <w:t xml:space="preserve"> </w:t>
      </w:r>
      <w:r w:rsidRPr="002B292D">
        <w:t>an</w:t>
      </w:r>
      <w:r>
        <w:t xml:space="preserve"> </w:t>
      </w:r>
      <w:r w:rsidRPr="002B292D">
        <w:t>administrative</w:t>
      </w:r>
      <w:r>
        <w:t xml:space="preserve"> </w:t>
      </w:r>
      <w:r w:rsidRPr="002B292D">
        <w:t>division</w:t>
      </w:r>
      <w:r>
        <w:t xml:space="preserve"> </w:t>
      </w:r>
      <w:r w:rsidRPr="002B292D">
        <w:t>of</w:t>
      </w:r>
      <w:r>
        <w:t xml:space="preserve"> </w:t>
      </w:r>
      <w:r w:rsidRPr="002B292D">
        <w:t>Malé</w:t>
      </w:r>
      <w:r>
        <w:t xml:space="preserve"> </w:t>
      </w:r>
      <w:r w:rsidRPr="002B292D">
        <w:t>according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Decentralisation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No.</w:t>
      </w:r>
      <w:r>
        <w:t xml:space="preserve"> </w:t>
      </w:r>
      <w:r w:rsidRPr="002B292D">
        <w:t>7/2010),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an</w:t>
      </w:r>
      <w:r>
        <w:t xml:space="preserve"> </w:t>
      </w:r>
      <w:r w:rsidRPr="002B292D">
        <w:t>island</w:t>
      </w:r>
      <w:r>
        <w:t xml:space="preserve"> </w:t>
      </w:r>
      <w:r w:rsidRPr="002B292D">
        <w:t>with</w:t>
      </w:r>
      <w:r>
        <w:t xml:space="preserve"> </w:t>
      </w:r>
      <w:r w:rsidRPr="002B292D">
        <w:t>a</w:t>
      </w:r>
      <w:r>
        <w:t xml:space="preserve"> </w:t>
      </w:r>
      <w:r w:rsidRPr="002B292D">
        <w:t>large</w:t>
      </w:r>
      <w:r>
        <w:t xml:space="preserve"> </w:t>
      </w:r>
      <w:r w:rsidRPr="002B292D">
        <w:t>population</w:t>
      </w:r>
      <w:r>
        <w:t xml:space="preserve"> </w:t>
      </w:r>
      <w:r w:rsidRPr="002B292D">
        <w:t>and</w:t>
      </w:r>
      <w:r>
        <w:t xml:space="preserve"> </w:t>
      </w:r>
      <w:r w:rsidRPr="002B292D">
        <w:t>no</w:t>
      </w:r>
      <w:r>
        <w:t xml:space="preserve"> </w:t>
      </w:r>
      <w:r w:rsidRPr="002B292D">
        <w:t>superior</w:t>
      </w:r>
      <w:r>
        <w:t xml:space="preserve"> </w:t>
      </w:r>
      <w:r w:rsidRPr="002B292D">
        <w:t>court;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presence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was</w:t>
      </w:r>
      <w:r>
        <w:t xml:space="preserve"> </w:t>
      </w:r>
      <w:r w:rsidRPr="002B292D">
        <w:t>justified</w:t>
      </w:r>
      <w:r>
        <w:t xml:space="preserve"> </w:t>
      </w:r>
      <w:r w:rsidRPr="002B292D">
        <w:t>because</w:t>
      </w:r>
      <w:r>
        <w:t xml:space="preserve"> </w:t>
      </w:r>
      <w:r w:rsidRPr="002B292D">
        <w:t>otherwise</w:t>
      </w:r>
      <w:r>
        <w:t xml:space="preserve"> </w:t>
      </w:r>
      <w:r w:rsidRPr="002B292D">
        <w:t>residents</w:t>
      </w:r>
      <w:r>
        <w:t xml:space="preserve"> </w:t>
      </w:r>
      <w:r w:rsidRPr="002B292D">
        <w:t>of</w:t>
      </w:r>
      <w:r>
        <w:t xml:space="preserve"> </w:t>
      </w:r>
      <w:r w:rsidRPr="002B292D">
        <w:t>Hulhumalé</w:t>
      </w:r>
      <w:r>
        <w:t xml:space="preserve"> </w:t>
      </w:r>
      <w:r w:rsidRPr="002B292D">
        <w:t>would</w:t>
      </w:r>
      <w:r>
        <w:t xml:space="preserve"> </w:t>
      </w:r>
      <w:r w:rsidRPr="002B292D">
        <w:t>have</w:t>
      </w:r>
      <w:r>
        <w:t xml:space="preserve"> </w:t>
      </w:r>
      <w:r w:rsidRPr="002B292D">
        <w:t>to</w:t>
      </w:r>
      <w:r>
        <w:t xml:space="preserve"> </w:t>
      </w:r>
      <w:r w:rsidRPr="002B292D">
        <w:t>travel</w:t>
      </w:r>
      <w:r>
        <w:t xml:space="preserve"> </w:t>
      </w:r>
      <w:r w:rsidRPr="002B292D">
        <w:t>to</w:t>
      </w:r>
      <w:r>
        <w:t xml:space="preserve"> </w:t>
      </w:r>
      <w:r w:rsidRPr="002B292D">
        <w:t>another</w:t>
      </w:r>
      <w:r>
        <w:t xml:space="preserve"> </w:t>
      </w:r>
      <w:r w:rsidRPr="002B292D">
        <w:t>island</w:t>
      </w:r>
      <w:r>
        <w:t xml:space="preserve"> </w:t>
      </w:r>
      <w:r w:rsidRPr="002B292D">
        <w:t>to</w:t>
      </w:r>
      <w:r>
        <w:t xml:space="preserve"> </w:t>
      </w:r>
      <w:r w:rsidRPr="002B292D">
        <w:t>resolve</w:t>
      </w:r>
      <w:r>
        <w:t xml:space="preserve"> </w:t>
      </w:r>
      <w:r w:rsidRPr="002B292D">
        <w:t>their</w:t>
      </w:r>
      <w:r>
        <w:t xml:space="preserve"> </w:t>
      </w:r>
      <w:r w:rsidRPr="002B292D">
        <w:t>legal</w:t>
      </w:r>
      <w:r>
        <w:t xml:space="preserve"> </w:t>
      </w:r>
      <w:r w:rsidRPr="002B292D">
        <w:t>disputes;</w:t>
      </w:r>
      <w:r>
        <w:t xml:space="preserve"> </w:t>
      </w:r>
      <w:r w:rsidRPr="002B292D">
        <w:t>and</w:t>
      </w:r>
      <w:r>
        <w:t xml:space="preserve"> </w:t>
      </w:r>
      <w:r w:rsidRPr="002B292D">
        <w:t>that,</w:t>
      </w:r>
      <w:r>
        <w:t xml:space="preserve"> </w:t>
      </w:r>
      <w:r w:rsidRPr="002B292D">
        <w:t>thus,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was</w:t>
      </w:r>
      <w:r>
        <w:t xml:space="preserve"> </w:t>
      </w:r>
      <w:r w:rsidRPr="002B292D">
        <w:t>a</w:t>
      </w:r>
      <w:r>
        <w:t xml:space="preserve"> </w:t>
      </w:r>
      <w:r w:rsidR="00995FAE">
        <w:t>“</w:t>
      </w:r>
      <w:r w:rsidRPr="002B292D">
        <w:t>legitimate</w:t>
      </w:r>
      <w:r>
        <w:t xml:space="preserve"> </w:t>
      </w:r>
      <w:r w:rsidRPr="002B292D">
        <w:t>court</w:t>
      </w:r>
      <w:r w:rsidR="00995FAE">
        <w:t>”</w:t>
      </w:r>
      <w:r w:rsidRPr="002B292D">
        <w:t>,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Judicature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No.</w:t>
      </w:r>
      <w:r>
        <w:t xml:space="preserve"> </w:t>
      </w:r>
      <w:r w:rsidRPr="002B292D">
        <w:t>22/2010)</w:t>
      </w:r>
      <w:r>
        <w:t xml:space="preserve"> </w:t>
      </w:r>
      <w:r w:rsidRPr="002B292D">
        <w:t>stated</w:t>
      </w:r>
      <w:r>
        <w:t xml:space="preserve"> </w:t>
      </w:r>
      <w:r w:rsidRPr="002B292D">
        <w:t>that</w:t>
      </w:r>
      <w:r>
        <w:t xml:space="preserve"> </w:t>
      </w:r>
      <w:r w:rsidRPr="002B292D">
        <w:t>justice</w:t>
      </w:r>
      <w:r>
        <w:t xml:space="preserve"> </w:t>
      </w:r>
      <w:r w:rsidRPr="002B292D">
        <w:t>should</w:t>
      </w:r>
      <w:r>
        <w:t xml:space="preserve"> </w:t>
      </w:r>
      <w:r w:rsidRPr="002B292D">
        <w:t>be</w:t>
      </w:r>
      <w:r>
        <w:t xml:space="preserve"> </w:t>
      </w:r>
      <w:r w:rsidRPr="002B292D">
        <w:t>dispensed</w:t>
      </w:r>
      <w:r>
        <w:t xml:space="preserve"> </w:t>
      </w:r>
      <w:r w:rsidRPr="002B292D">
        <w:t>equally</w:t>
      </w:r>
      <w:r>
        <w:t xml:space="preserve"> </w:t>
      </w:r>
      <w:r w:rsidRPr="002B292D">
        <w:t>and</w:t>
      </w:r>
      <w:r>
        <w:t xml:space="preserve"> </w:t>
      </w:r>
      <w:r w:rsidRPr="002B292D">
        <w:t>based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same</w:t>
      </w:r>
      <w:r>
        <w:t xml:space="preserve"> </w:t>
      </w:r>
      <w:r w:rsidRPr="002B292D">
        <w:t>principles,</w:t>
      </w:r>
      <w:r>
        <w:t xml:space="preserve"> </w:t>
      </w:r>
      <w:r w:rsidRPr="002B292D">
        <w:t>hence</w:t>
      </w:r>
      <w:r>
        <w:t xml:space="preserve"> </w:t>
      </w:r>
      <w:r w:rsidRPr="002B292D">
        <w:t>there</w:t>
      </w:r>
      <w:r>
        <w:t xml:space="preserve"> </w:t>
      </w:r>
      <w:r w:rsidRPr="002B292D">
        <w:t>was</w:t>
      </w:r>
      <w:r>
        <w:t xml:space="preserve"> </w:t>
      </w:r>
      <w:r w:rsidRPr="002B292D">
        <w:t>no</w:t>
      </w:r>
      <w:r>
        <w:t xml:space="preserve"> </w:t>
      </w:r>
      <w:r w:rsidRPr="002B292D">
        <w:t>legal</w:t>
      </w:r>
      <w:r>
        <w:t xml:space="preserve"> </w:t>
      </w:r>
      <w:r w:rsidRPr="002B292D">
        <w:t>basis</w:t>
      </w:r>
      <w:r>
        <w:t xml:space="preserve"> </w:t>
      </w:r>
      <w:r w:rsidRPr="002B292D">
        <w:t>to</w:t>
      </w:r>
      <w:r>
        <w:t xml:space="preserve"> </w:t>
      </w:r>
      <w:r w:rsidRPr="002B292D">
        <w:t>discriminate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inhabitants</w:t>
      </w:r>
      <w:r>
        <w:t xml:space="preserve"> </w:t>
      </w:r>
      <w:r w:rsidRPr="002B292D">
        <w:t>of</w:t>
      </w:r>
      <w:r>
        <w:t xml:space="preserve"> </w:t>
      </w:r>
      <w:r w:rsidRPr="002B292D">
        <w:t>Hulhumalé.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deciding</w:t>
      </w:r>
      <w:r>
        <w:t xml:space="preserve"> </w:t>
      </w:r>
      <w:r w:rsidRPr="002B292D">
        <w:t>vote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case</w:t>
      </w:r>
      <w:r>
        <w:t xml:space="preserve"> </w:t>
      </w:r>
      <w:r w:rsidRPr="002B292D">
        <w:t>was</w:t>
      </w:r>
      <w:r>
        <w:t xml:space="preserve"> </w:t>
      </w:r>
      <w:r w:rsidRPr="002B292D">
        <w:t>cast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Judge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Court,</w:t>
      </w:r>
      <w:r>
        <w:t xml:space="preserve"> </w:t>
      </w:r>
      <w:r w:rsidRPr="002B292D">
        <w:t>who</w:t>
      </w:r>
      <w:r>
        <w:t xml:space="preserve"> </w:t>
      </w:r>
      <w:r w:rsidRPr="002B292D">
        <w:t>was</w:t>
      </w:r>
      <w:r>
        <w:t xml:space="preserve"> </w:t>
      </w:r>
      <w:r w:rsidRPr="002B292D">
        <w:t>also</w:t>
      </w:r>
      <w:r>
        <w:t xml:space="preserve"> </w:t>
      </w:r>
      <w:r w:rsidRPr="002B292D">
        <w:t>the</w:t>
      </w:r>
      <w:r>
        <w:t xml:space="preserve"> </w:t>
      </w:r>
      <w:r w:rsidRPr="002B292D">
        <w:t>President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Commission,</w:t>
      </w:r>
      <w:r>
        <w:t xml:space="preserve"> </w:t>
      </w:r>
      <w:r w:rsidRPr="002B292D">
        <w:t>the</w:t>
      </w:r>
      <w:r>
        <w:t xml:space="preserve"> </w:t>
      </w:r>
      <w:r w:rsidRPr="002B292D">
        <w:t>body</w:t>
      </w:r>
      <w:r>
        <w:t xml:space="preserve"> </w:t>
      </w:r>
      <w:r w:rsidRPr="002B292D">
        <w:t>that</w:t>
      </w:r>
      <w:r>
        <w:t xml:space="preserve"> </w:t>
      </w:r>
      <w:r w:rsidRPr="002B292D">
        <w:t>established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Court.</w:t>
      </w:r>
    </w:p>
    <w:p w:rsidR="000D3068" w:rsidRPr="002B292D" w:rsidRDefault="000D3068" w:rsidP="00533F65">
      <w:pPr>
        <w:pStyle w:val="SingleTxtG"/>
      </w:pPr>
      <w:r w:rsidRPr="002B292D">
        <w:t>2.9</w:t>
      </w:r>
      <w:r w:rsidRPr="002B292D">
        <w:tab/>
        <w:t>On</w:t>
      </w:r>
      <w:r>
        <w:t xml:space="preserve"> </w:t>
      </w:r>
      <w:r w:rsidRPr="002B292D">
        <w:t>an</w:t>
      </w:r>
      <w:r>
        <w:t xml:space="preserve"> </w:t>
      </w:r>
      <w:r w:rsidRPr="002B292D">
        <w:t>unspecified</w:t>
      </w:r>
      <w:r>
        <w:t xml:space="preserve"> </w:t>
      </w:r>
      <w:r w:rsidRPr="002B292D">
        <w:t>date,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submitted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were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motivated,</w:t>
      </w:r>
      <w:r>
        <w:t xml:space="preserve"> </w:t>
      </w:r>
      <w:r w:rsidRPr="002B292D">
        <w:t>and</w:t>
      </w:r>
      <w:r>
        <w:t xml:space="preserve"> </w:t>
      </w:r>
      <w:r w:rsidRPr="002B292D">
        <w:t>requested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proceedings</w:t>
      </w:r>
      <w:r>
        <w:t xml:space="preserve"> </w:t>
      </w:r>
      <w:r w:rsidRPr="002B292D">
        <w:t>be</w:t>
      </w:r>
      <w:r>
        <w:t xml:space="preserve"> </w:t>
      </w:r>
      <w:r w:rsidRPr="002B292D">
        <w:t>adjourned,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public</w:t>
      </w:r>
      <w:r>
        <w:t xml:space="preserve"> </w:t>
      </w:r>
      <w:r w:rsidRPr="002B292D">
        <w:t>interest,</w:t>
      </w:r>
      <w:r>
        <w:t xml:space="preserve"> </w:t>
      </w:r>
      <w:r w:rsidRPr="002B292D">
        <w:t>until</w:t>
      </w:r>
      <w:r>
        <w:t xml:space="preserve"> </w:t>
      </w:r>
      <w:r w:rsidRPr="002B292D">
        <w:t>after</w:t>
      </w:r>
      <w:r>
        <w:t xml:space="preserve"> </w:t>
      </w:r>
      <w:r w:rsidRPr="002B292D">
        <w:t>the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</w:t>
      </w:r>
      <w:r>
        <w:t xml:space="preserve"> </w:t>
      </w:r>
      <w:r w:rsidRPr="002B292D">
        <w:t>in</w:t>
      </w:r>
      <w:r>
        <w:t xml:space="preserve"> </w:t>
      </w:r>
      <w:r w:rsidRPr="002B292D">
        <w:t>September</w:t>
      </w:r>
      <w:r>
        <w:t xml:space="preserve"> </w:t>
      </w:r>
      <w:r w:rsidRPr="002B292D">
        <w:t>2013.</w:t>
      </w:r>
      <w:r>
        <w:t xml:space="preserve"> </w:t>
      </w:r>
      <w:r w:rsidRPr="002B292D">
        <w:t>However,</w:t>
      </w:r>
      <w:r>
        <w:t xml:space="preserve"> </w:t>
      </w:r>
      <w:r w:rsidRPr="002B292D">
        <w:t>on</w:t>
      </w:r>
      <w:r>
        <w:t xml:space="preserve"> </w:t>
      </w:r>
      <w:r w:rsidRPr="002B292D">
        <w:t>4</w:t>
      </w:r>
      <w:r>
        <w:t xml:space="preserve"> </w:t>
      </w:r>
      <w:r w:rsidRPr="002B292D">
        <w:t>February</w:t>
      </w:r>
      <w:r>
        <w:t xml:space="preserve"> </w:t>
      </w:r>
      <w:r w:rsidRPr="002B292D">
        <w:t>2013,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stated</w:t>
      </w:r>
      <w:r>
        <w:t xml:space="preserve"> </w:t>
      </w:r>
      <w:r w:rsidRPr="002B292D">
        <w:t>that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bound</w:t>
      </w:r>
      <w:r>
        <w:t xml:space="preserve"> </w:t>
      </w:r>
      <w:r w:rsidRPr="002B292D">
        <w:t>to</w:t>
      </w:r>
      <w:r>
        <w:t xml:space="preserve"> </w:t>
      </w:r>
      <w:r w:rsidRPr="002B292D">
        <w:t>follow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 w:rsidR="00995FAE">
        <w:t>’</w:t>
      </w:r>
      <w:r w:rsidRPr="002B292D">
        <w:t>s</w:t>
      </w:r>
      <w:r>
        <w:t xml:space="preserve"> </w:t>
      </w:r>
      <w:r w:rsidRPr="002B292D">
        <w:t>decision</w:t>
      </w:r>
      <w:r>
        <w:t xml:space="preserve"> </w:t>
      </w:r>
      <w:r w:rsidRPr="002B292D">
        <w:t>regarding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 w:rsidR="00995FAE">
        <w:t>’</w:t>
      </w:r>
      <w:r w:rsidRPr="002B292D">
        <w:t>s</w:t>
      </w:r>
      <w:r>
        <w:t xml:space="preserve"> </w:t>
      </w:r>
      <w:r w:rsidR="00995FAE">
        <w:t>“</w:t>
      </w:r>
      <w:r w:rsidRPr="002B292D">
        <w:t>legitimacy</w:t>
      </w:r>
      <w:r w:rsidR="00995FAE">
        <w:t>”</w:t>
      </w:r>
      <w:r>
        <w:t xml:space="preserve"> </w:t>
      </w:r>
      <w:r w:rsidRPr="002B292D">
        <w:t>and</w:t>
      </w:r>
      <w:r>
        <w:t xml:space="preserve"> </w:t>
      </w:r>
      <w:r w:rsidRPr="002B292D">
        <w:t>rejected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objections</w:t>
      </w:r>
      <w:r>
        <w:t xml:space="preserve"> </w:t>
      </w:r>
      <w:r w:rsidRPr="002B292D">
        <w:t>of</w:t>
      </w:r>
      <w:r>
        <w:t xml:space="preserve"> </w:t>
      </w:r>
      <w:r w:rsidRPr="002B292D">
        <w:t>4</w:t>
      </w:r>
      <w:r>
        <w:t xml:space="preserve"> </w:t>
      </w:r>
      <w:r w:rsidRPr="002B292D">
        <w:t>November</w:t>
      </w:r>
      <w:r>
        <w:t xml:space="preserve"> </w:t>
      </w:r>
      <w:r w:rsidRPr="002B292D">
        <w:t>2012.</w:t>
      </w:r>
      <w:r>
        <w:t xml:space="preserve"> </w:t>
      </w:r>
      <w:r w:rsidRPr="002B292D">
        <w:t>Within</w:t>
      </w:r>
      <w:r>
        <w:t xml:space="preserve"> </w:t>
      </w:r>
      <w:r w:rsidRPr="002B292D">
        <w:t>hours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judgment,</w:t>
      </w:r>
      <w:r>
        <w:t xml:space="preserve"> </w:t>
      </w:r>
      <w:r w:rsidRPr="002B292D">
        <w:t>a</w:t>
      </w:r>
      <w:r>
        <w:t xml:space="preserve"> </w:t>
      </w:r>
      <w:r w:rsidRPr="002B292D">
        <w:t>summons</w:t>
      </w:r>
      <w:r>
        <w:t xml:space="preserve"> </w:t>
      </w:r>
      <w:r w:rsidRPr="002B292D">
        <w:t>was</w:t>
      </w:r>
      <w:r>
        <w:t xml:space="preserve"> </w:t>
      </w:r>
      <w:r w:rsidRPr="002B292D">
        <w:t>issued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to</w:t>
      </w:r>
      <w:r>
        <w:t xml:space="preserve"> </w:t>
      </w:r>
      <w:r w:rsidRPr="002B292D">
        <w:t>appear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on</w:t>
      </w:r>
      <w:r>
        <w:t xml:space="preserve"> </w:t>
      </w:r>
      <w:r w:rsidRPr="002B292D">
        <w:t>10</w:t>
      </w:r>
      <w:r>
        <w:t xml:space="preserve"> </w:t>
      </w:r>
      <w:r w:rsidRPr="002B292D">
        <w:t>February</w:t>
      </w:r>
      <w:r>
        <w:t xml:space="preserve"> </w:t>
      </w:r>
      <w:r w:rsidRPr="002B292D">
        <w:t>2013.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failed</w:t>
      </w:r>
      <w:r>
        <w:t xml:space="preserve"> </w:t>
      </w:r>
      <w:r w:rsidRPr="002B292D">
        <w:t>to</w:t>
      </w:r>
      <w:r>
        <w:t xml:space="preserve"> </w:t>
      </w:r>
      <w:r w:rsidRPr="002B292D">
        <w:t>appear</w:t>
      </w:r>
      <w:r>
        <w:t xml:space="preserve"> </w:t>
      </w:r>
      <w:r w:rsidRPr="002B292D">
        <w:t>in</w:t>
      </w:r>
      <w:r>
        <w:t xml:space="preserve"> </w:t>
      </w:r>
      <w:r w:rsidRPr="002B292D">
        <w:t>court</w:t>
      </w:r>
      <w:r>
        <w:t xml:space="preserve"> </w:t>
      </w:r>
      <w:r w:rsidRPr="002B292D">
        <w:t>and</w:t>
      </w:r>
      <w:r>
        <w:t xml:space="preserve"> </w:t>
      </w:r>
      <w:r w:rsidRPr="002B292D">
        <w:t>an</w:t>
      </w:r>
      <w:r>
        <w:t xml:space="preserve"> </w:t>
      </w:r>
      <w:r w:rsidRPr="002B292D">
        <w:t>arrest</w:t>
      </w:r>
      <w:r>
        <w:t xml:space="preserve"> </w:t>
      </w:r>
      <w:r w:rsidRPr="002B292D">
        <w:t>warrant</w:t>
      </w:r>
      <w:r>
        <w:t xml:space="preserve"> </w:t>
      </w:r>
      <w:r w:rsidRPr="002B292D">
        <w:t>was</w:t>
      </w:r>
      <w:r>
        <w:t xml:space="preserve"> </w:t>
      </w:r>
      <w:r w:rsidRPr="002B292D">
        <w:t>issued</w:t>
      </w:r>
      <w:r>
        <w:t xml:space="preserve"> </w:t>
      </w:r>
      <w:r w:rsidRPr="002B292D">
        <w:t>against</w:t>
      </w:r>
      <w:r>
        <w:t xml:space="preserve"> </w:t>
      </w:r>
      <w:r w:rsidRPr="002B292D">
        <w:t>him.</w:t>
      </w:r>
    </w:p>
    <w:p w:rsidR="000D3068" w:rsidRPr="002B292D" w:rsidRDefault="000D3068" w:rsidP="00533F65">
      <w:pPr>
        <w:pStyle w:val="SingleTxtG"/>
      </w:pPr>
      <w:r w:rsidRPr="002B292D">
        <w:t>2.10</w:t>
      </w:r>
      <w:r w:rsidRPr="002B292D">
        <w:tab/>
        <w:t>On</w:t>
      </w:r>
      <w:r>
        <w:t xml:space="preserve"> </w:t>
      </w:r>
      <w:r w:rsidRPr="002B292D">
        <w:t>5</w:t>
      </w:r>
      <w:r>
        <w:t xml:space="preserve"> </w:t>
      </w:r>
      <w:r w:rsidRPr="002B292D">
        <w:t>March</w:t>
      </w:r>
      <w:r>
        <w:t xml:space="preserve"> </w:t>
      </w:r>
      <w:r w:rsidRPr="002B292D">
        <w:t>2013,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arrested</w:t>
      </w:r>
      <w:r>
        <w:t xml:space="preserve"> </w:t>
      </w:r>
      <w:r w:rsidRPr="002B292D">
        <w:t>and</w:t>
      </w:r>
      <w:r>
        <w:t xml:space="preserve"> </w:t>
      </w:r>
      <w:r w:rsidRPr="002B292D">
        <w:t>was</w:t>
      </w:r>
      <w:r>
        <w:t xml:space="preserve"> </w:t>
      </w:r>
      <w:r w:rsidRPr="002B292D">
        <w:t>imprisoned</w:t>
      </w:r>
      <w:r>
        <w:t xml:space="preserve"> </w:t>
      </w:r>
      <w:r w:rsidRPr="002B292D">
        <w:t>at</w:t>
      </w:r>
      <w:r>
        <w:t xml:space="preserve"> </w:t>
      </w:r>
      <w:r w:rsidRPr="002B292D">
        <w:t>Dhoonidhoo</w:t>
      </w:r>
      <w:r>
        <w:t xml:space="preserve"> </w:t>
      </w:r>
      <w:r w:rsidRPr="002B292D">
        <w:t>Prison</w:t>
      </w:r>
      <w:r>
        <w:t xml:space="preserve"> </w:t>
      </w:r>
      <w:r w:rsidRPr="002B292D">
        <w:t>when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go</w:t>
      </w:r>
      <w:r>
        <w:t xml:space="preserve"> </w:t>
      </w:r>
      <w:r w:rsidRPr="002B292D">
        <w:t>on</w:t>
      </w:r>
      <w:r>
        <w:t xml:space="preserve"> </w:t>
      </w:r>
      <w:r w:rsidRPr="002B292D">
        <w:t>a</w:t>
      </w:r>
      <w:r>
        <w:t xml:space="preserve"> </w:t>
      </w:r>
      <w:r w:rsidRPr="002B292D">
        <w:t>campaigning</w:t>
      </w:r>
      <w:r>
        <w:t xml:space="preserve"> </w:t>
      </w:r>
      <w:r w:rsidRPr="002B292D">
        <w:t>trip.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this</w:t>
      </w:r>
      <w:r>
        <w:t xml:space="preserve"> </w:t>
      </w:r>
      <w:r w:rsidRPr="002B292D">
        <w:t>arrest,</w:t>
      </w:r>
      <w:r>
        <w:t xml:space="preserve"> </w:t>
      </w:r>
      <w:r w:rsidRPr="002B292D">
        <w:t>as</w:t>
      </w:r>
      <w:r>
        <w:t xml:space="preserve"> </w:t>
      </w:r>
      <w:r w:rsidRPr="002B292D">
        <w:t>well</w:t>
      </w:r>
      <w:r>
        <w:t xml:space="preserve"> </w:t>
      </w:r>
      <w:r w:rsidRPr="002B292D"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arrest</w:t>
      </w:r>
      <w:r>
        <w:t xml:space="preserve"> </w:t>
      </w:r>
      <w:r w:rsidRPr="002B292D">
        <w:t>of</w:t>
      </w:r>
      <w:r>
        <w:t xml:space="preserve"> </w:t>
      </w:r>
      <w:r w:rsidRPr="002B292D">
        <w:t>9</w:t>
      </w:r>
      <w:r>
        <w:t xml:space="preserve"> </w:t>
      </w:r>
      <w:r w:rsidRPr="002B292D">
        <w:t>October</w:t>
      </w:r>
      <w:r>
        <w:t xml:space="preserve"> </w:t>
      </w:r>
      <w:r w:rsidRPr="002B292D">
        <w:t>2012,</w:t>
      </w:r>
      <w:r>
        <w:t xml:space="preserve"> </w:t>
      </w:r>
      <w:r w:rsidRPr="002B292D">
        <w:t>conveniently</w:t>
      </w:r>
      <w:r>
        <w:t xml:space="preserve"> </w:t>
      </w:r>
      <w:r w:rsidRPr="002B292D">
        <w:t>coincided</w:t>
      </w:r>
      <w:r>
        <w:t xml:space="preserve"> </w:t>
      </w:r>
      <w:r w:rsidRPr="002B292D">
        <w:t>with</w:t>
      </w:r>
      <w:r>
        <w:t xml:space="preserve"> </w:t>
      </w:r>
      <w:r w:rsidRPr="002B292D">
        <w:t>campaigning</w:t>
      </w:r>
      <w:r>
        <w:t xml:space="preserve"> </w:t>
      </w:r>
      <w:r w:rsidRPr="002B292D">
        <w:t>trips.</w:t>
      </w:r>
    </w:p>
    <w:p w:rsidR="000D3068" w:rsidRPr="002B292D" w:rsidRDefault="000D3068" w:rsidP="00533F65">
      <w:pPr>
        <w:pStyle w:val="SingleTxtG"/>
      </w:pPr>
      <w:r w:rsidRPr="002B292D">
        <w:t>2.11</w:t>
      </w:r>
      <w:r w:rsidRPr="002B292D">
        <w:tab/>
        <w:t>On</w:t>
      </w:r>
      <w:r>
        <w:t xml:space="preserve"> </w:t>
      </w:r>
      <w:r w:rsidRPr="002B292D">
        <w:t>6</w:t>
      </w:r>
      <w:r>
        <w:t xml:space="preserve"> </w:t>
      </w:r>
      <w:r w:rsidRPr="002B292D">
        <w:t>March</w:t>
      </w:r>
      <w:r>
        <w:t xml:space="preserve"> </w:t>
      </w:r>
      <w:r w:rsidRPr="002B292D">
        <w:t>2013,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brought</w:t>
      </w:r>
      <w:r>
        <w:t xml:space="preserve"> </w:t>
      </w:r>
      <w:r w:rsidRPr="002B292D">
        <w:t>before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Court.</w:t>
      </w:r>
      <w:r>
        <w:t xml:space="preserve"> </w:t>
      </w:r>
      <w:r w:rsidRPr="002B292D">
        <w:t>He</w:t>
      </w:r>
      <w:r>
        <w:t xml:space="preserve"> </w:t>
      </w:r>
      <w:r w:rsidRPr="002B292D">
        <w:t>requested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trial</w:t>
      </w:r>
      <w:r>
        <w:t xml:space="preserve"> </w:t>
      </w:r>
      <w:r w:rsidRPr="002B292D">
        <w:t>be</w:t>
      </w:r>
      <w:r>
        <w:t xml:space="preserve"> </w:t>
      </w:r>
      <w:r w:rsidRPr="002B292D">
        <w:t>adjourned</w:t>
      </w:r>
      <w:r>
        <w:t xml:space="preserve"> </w:t>
      </w:r>
      <w:r w:rsidRPr="002B292D">
        <w:t>until</w:t>
      </w:r>
      <w:r>
        <w:t xml:space="preserve"> </w:t>
      </w:r>
      <w:r w:rsidRPr="002B292D">
        <w:t>after</w:t>
      </w:r>
      <w:r>
        <w:t xml:space="preserve"> </w:t>
      </w:r>
      <w:r w:rsidRPr="002B292D">
        <w:t>the</w:t>
      </w:r>
      <w:r>
        <w:t xml:space="preserve"> </w:t>
      </w:r>
      <w:r w:rsidRPr="002B292D">
        <w:t>elections</w:t>
      </w:r>
      <w:r>
        <w:t xml:space="preserve"> </w:t>
      </w:r>
      <w:r w:rsidRPr="002B292D">
        <w:t>in</w:t>
      </w:r>
      <w:r>
        <w:t xml:space="preserve"> </w:t>
      </w:r>
      <w:r w:rsidRPr="002B292D">
        <w:t>November</w:t>
      </w:r>
      <w:r>
        <w:t xml:space="preserve"> </w:t>
      </w:r>
      <w:r w:rsidRPr="002B292D">
        <w:t>2013.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denied</w:t>
      </w:r>
      <w:r>
        <w:t xml:space="preserve"> </w:t>
      </w:r>
      <w:r w:rsidRPr="002B292D">
        <w:t>the</w:t>
      </w:r>
      <w:r>
        <w:t xml:space="preserve"> </w:t>
      </w:r>
      <w:r w:rsidRPr="002B292D">
        <w:t>request</w:t>
      </w:r>
      <w:r>
        <w:t xml:space="preserve"> </w:t>
      </w:r>
      <w:r w:rsidRPr="002B292D">
        <w:t>because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could</w:t>
      </w:r>
      <w:r>
        <w:t xml:space="preserve"> </w:t>
      </w:r>
      <w:r w:rsidRPr="002B292D">
        <w:t>not</w:t>
      </w:r>
      <w:r>
        <w:t xml:space="preserve"> </w:t>
      </w:r>
      <w:r w:rsidRPr="002B292D">
        <w:t>be</w:t>
      </w:r>
      <w:r>
        <w:t xml:space="preserve"> </w:t>
      </w:r>
      <w:r w:rsidRPr="002B292D">
        <w:t>considered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a</w:t>
      </w:r>
      <w:r>
        <w:t xml:space="preserve"> </w:t>
      </w:r>
      <w:r w:rsidRPr="002B292D">
        <w:t>presidential</w:t>
      </w:r>
      <w:r>
        <w:t xml:space="preserve"> </w:t>
      </w:r>
      <w:r w:rsidRPr="002B292D">
        <w:t>candidate,</w:t>
      </w:r>
      <w:r>
        <w:t xml:space="preserve"> </w:t>
      </w:r>
      <w:r w:rsidRPr="002B292D">
        <w:lastRenderedPageBreak/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candidates</w:t>
      </w:r>
      <w:r>
        <w:t xml:space="preserve"> </w:t>
      </w:r>
      <w:r w:rsidRPr="002B292D">
        <w:t>would</w:t>
      </w:r>
      <w:r>
        <w:t xml:space="preserve"> </w:t>
      </w:r>
      <w:r w:rsidRPr="002B292D">
        <w:t>not</w:t>
      </w:r>
      <w:r>
        <w:t xml:space="preserve"> </w:t>
      </w:r>
      <w:r w:rsidRPr="002B292D">
        <w:t>be</w:t>
      </w:r>
      <w:r>
        <w:t xml:space="preserve"> </w:t>
      </w:r>
      <w:r w:rsidRPr="002B292D">
        <w:t>officially</w:t>
      </w:r>
      <w:r>
        <w:t xml:space="preserve"> </w:t>
      </w:r>
      <w:r w:rsidRPr="002B292D">
        <w:t>declared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Elections</w:t>
      </w:r>
      <w:r>
        <w:t xml:space="preserve"> </w:t>
      </w:r>
      <w:r w:rsidRPr="002B292D">
        <w:t>Commission</w:t>
      </w:r>
      <w:r>
        <w:t xml:space="preserve"> </w:t>
      </w:r>
      <w:r w:rsidRPr="002B292D">
        <w:t>until</w:t>
      </w:r>
      <w:r>
        <w:t xml:space="preserve"> </w:t>
      </w:r>
      <w:r w:rsidRPr="002B292D">
        <w:t>July</w:t>
      </w:r>
      <w:r>
        <w:t xml:space="preserve"> </w:t>
      </w:r>
      <w:r w:rsidRPr="002B292D">
        <w:t>2013.</w:t>
      </w:r>
    </w:p>
    <w:p w:rsidR="000D3068" w:rsidRPr="002B292D" w:rsidRDefault="000D3068" w:rsidP="00533F65">
      <w:pPr>
        <w:pStyle w:val="SingleTxtG"/>
      </w:pPr>
      <w:r w:rsidRPr="002B292D">
        <w:t>2.12</w:t>
      </w:r>
      <w:r w:rsidRPr="002B292D">
        <w:tab/>
        <w:t>On</w:t>
      </w:r>
      <w:r>
        <w:t xml:space="preserve"> </w:t>
      </w:r>
      <w:r w:rsidRPr="002B292D">
        <w:t>24</w:t>
      </w:r>
      <w:r>
        <w:t xml:space="preserve"> </w:t>
      </w:r>
      <w:r w:rsidRPr="002B292D">
        <w:t>March</w:t>
      </w:r>
      <w:r>
        <w:t xml:space="preserve"> </w:t>
      </w:r>
      <w:r w:rsidRPr="002B292D">
        <w:t>2013,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filed</w:t>
      </w:r>
      <w:r>
        <w:t xml:space="preserve"> </w:t>
      </w:r>
      <w:r w:rsidRPr="002B292D">
        <w:t>a</w:t>
      </w:r>
      <w:r>
        <w:t xml:space="preserve"> </w:t>
      </w:r>
      <w:r w:rsidRPr="002B292D">
        <w:t>petition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seeking</w:t>
      </w:r>
      <w:r>
        <w:t xml:space="preserve"> </w:t>
      </w:r>
      <w:r w:rsidRPr="002B292D">
        <w:t>another</w:t>
      </w:r>
      <w:r>
        <w:t xml:space="preserve"> </w:t>
      </w:r>
      <w:r w:rsidRPr="002B292D">
        <w:t>adjournment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trial</w:t>
      </w:r>
      <w:r>
        <w:t xml:space="preserve"> </w:t>
      </w:r>
      <w:r w:rsidRPr="002B292D">
        <w:t>until</w:t>
      </w:r>
      <w:r>
        <w:t xml:space="preserve"> </w:t>
      </w:r>
      <w:r w:rsidRPr="002B292D">
        <w:t>after</w:t>
      </w:r>
      <w:r>
        <w:t xml:space="preserve"> </w:t>
      </w:r>
      <w:r w:rsidRPr="002B292D">
        <w:t>the</w:t>
      </w:r>
      <w:r>
        <w:t xml:space="preserve"> </w:t>
      </w:r>
      <w:r w:rsidRPr="002B292D">
        <w:t>elections.</w:t>
      </w:r>
      <w:r>
        <w:t xml:space="preserve"> </w:t>
      </w:r>
      <w:r w:rsidRPr="002B292D">
        <w:t>On</w:t>
      </w:r>
      <w:r>
        <w:t xml:space="preserve"> </w:t>
      </w:r>
      <w:r w:rsidRPr="002B292D">
        <w:t>31</w:t>
      </w:r>
      <w:r>
        <w:t xml:space="preserve"> </w:t>
      </w:r>
      <w:r w:rsidRPr="002B292D">
        <w:t>March</w:t>
      </w:r>
      <w:r>
        <w:t xml:space="preserve"> </w:t>
      </w:r>
      <w:r w:rsidRPr="002B292D">
        <w:t>2013,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suspended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trial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pending</w:t>
      </w:r>
      <w:r>
        <w:t xml:space="preserve"> </w:t>
      </w:r>
      <w:r w:rsidRPr="002B292D">
        <w:t>a</w:t>
      </w:r>
      <w:r>
        <w:t xml:space="preserve"> </w:t>
      </w:r>
      <w:r w:rsidRPr="002B292D">
        <w:t>determination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legality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composition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argues</w:t>
      </w:r>
      <w:r>
        <w:t xml:space="preserve"> </w:t>
      </w:r>
      <w:r w:rsidRPr="002B292D">
        <w:t>that,</w:t>
      </w:r>
      <w:r>
        <w:t xml:space="preserve"> </w:t>
      </w:r>
      <w:r w:rsidRPr="002B292D">
        <w:t>on</w:t>
      </w:r>
      <w:r>
        <w:t xml:space="preserve"> </w:t>
      </w:r>
      <w:r w:rsidRPr="002B292D">
        <w:t>several</w:t>
      </w:r>
      <w:r>
        <w:t xml:space="preserve"> </w:t>
      </w:r>
      <w:r w:rsidRPr="002B292D">
        <w:t>occasions,</w:t>
      </w:r>
      <w:r>
        <w:t xml:space="preserve"> </w:t>
      </w:r>
      <w:r w:rsidRPr="002B292D">
        <w:t>his</w:t>
      </w:r>
      <w:r>
        <w:t xml:space="preserve"> </w:t>
      </w:r>
      <w:r w:rsidRPr="002B292D">
        <w:t>requests</w:t>
      </w:r>
      <w:r>
        <w:t xml:space="preserve"> </w:t>
      </w:r>
      <w:r w:rsidRPr="002B292D">
        <w:t>to</w:t>
      </w:r>
      <w:r>
        <w:t xml:space="preserve"> </w:t>
      </w:r>
      <w:r w:rsidRPr="002B292D">
        <w:t>travel</w:t>
      </w:r>
      <w:r>
        <w:t xml:space="preserve"> </w:t>
      </w:r>
      <w:r w:rsidRPr="002B292D">
        <w:t>to</w:t>
      </w:r>
      <w:r>
        <w:t xml:space="preserve"> </w:t>
      </w:r>
      <w:r w:rsidRPr="002B292D">
        <w:t>islands</w:t>
      </w:r>
      <w:r>
        <w:t xml:space="preserve"> </w:t>
      </w:r>
      <w:r w:rsidRPr="002B292D">
        <w:t>in</w:t>
      </w:r>
      <w:r>
        <w:t xml:space="preserve"> </w:t>
      </w:r>
      <w:r w:rsidRPr="002B292D">
        <w:t>Maldives</w:t>
      </w:r>
      <w:r>
        <w:t xml:space="preserve"> </w:t>
      </w:r>
      <w:r w:rsidRPr="002B292D">
        <w:t>and</w:t>
      </w:r>
      <w:r>
        <w:t xml:space="preserve"> </w:t>
      </w:r>
      <w:r w:rsidRPr="002B292D">
        <w:t>abroad</w:t>
      </w:r>
      <w:r>
        <w:t xml:space="preserve"> </w:t>
      </w:r>
      <w:r w:rsidRPr="002B292D">
        <w:t>were</w:t>
      </w:r>
      <w:r>
        <w:t xml:space="preserve"> </w:t>
      </w:r>
      <w:r w:rsidRPr="002B292D">
        <w:t>refused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and</w:t>
      </w:r>
      <w:r>
        <w:t xml:space="preserve"> </w:t>
      </w:r>
      <w:r w:rsidRPr="002B292D">
        <w:t>by</w:t>
      </w:r>
      <w:r>
        <w:t xml:space="preserve"> </w:t>
      </w:r>
      <w:r w:rsidRPr="002B292D">
        <w:t>government</w:t>
      </w:r>
      <w:r>
        <w:t xml:space="preserve"> </w:t>
      </w:r>
      <w:r w:rsidRPr="002B292D">
        <w:t>agencies</w:t>
      </w:r>
      <w:r>
        <w:t xml:space="preserve"> </w:t>
      </w:r>
      <w:r w:rsidRPr="002B292D">
        <w:t>such</w:t>
      </w:r>
      <w:r>
        <w:t xml:space="preserve"> </w:t>
      </w:r>
      <w:r w:rsidRPr="002B292D"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Department</w:t>
      </w:r>
      <w:r>
        <w:t xml:space="preserve"> </w:t>
      </w:r>
      <w:r w:rsidRPr="002B292D">
        <w:t>of</w:t>
      </w:r>
      <w:r>
        <w:t xml:space="preserve"> </w:t>
      </w:r>
      <w:r w:rsidRPr="002B292D">
        <w:t>Immigration;</w:t>
      </w:r>
      <w:r>
        <w:t xml:space="preserve"> </w:t>
      </w:r>
      <w:r w:rsidRPr="002B292D">
        <w:t>that</w:t>
      </w:r>
      <w:r>
        <w:t xml:space="preserve"> </w:t>
      </w:r>
      <w:r w:rsidRPr="002B292D">
        <w:t>on</w:t>
      </w:r>
      <w:r>
        <w:t xml:space="preserve"> </w:t>
      </w:r>
      <w:r w:rsidRPr="002B292D">
        <w:t>29</w:t>
      </w:r>
      <w:r>
        <w:t xml:space="preserve"> </w:t>
      </w:r>
      <w:r w:rsidRPr="002B292D">
        <w:t>May</w:t>
      </w:r>
      <w:r>
        <w:t xml:space="preserve"> </w:t>
      </w:r>
      <w:r w:rsidRPr="002B292D">
        <w:t>2013,</w:t>
      </w:r>
      <w:r>
        <w:t xml:space="preserve"> </w:t>
      </w:r>
      <w:r w:rsidRPr="002B292D">
        <w:t>a</w:t>
      </w:r>
      <w:r>
        <w:t xml:space="preserve"> </w:t>
      </w:r>
      <w:r w:rsidRPr="002B292D">
        <w:t>hearing,</w:t>
      </w:r>
      <w:r>
        <w:t xml:space="preserve"> </w:t>
      </w:r>
      <w:r w:rsidRPr="002B292D">
        <w:t>for</w:t>
      </w:r>
      <w:r>
        <w:t xml:space="preserve"> </w:t>
      </w:r>
      <w:r w:rsidRPr="002B292D">
        <w:t>which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had</w:t>
      </w:r>
      <w:r>
        <w:t xml:space="preserve"> </w:t>
      </w:r>
      <w:r w:rsidRPr="002B292D">
        <w:t>to</w:t>
      </w:r>
      <w:r>
        <w:t xml:space="preserve"> </w:t>
      </w:r>
      <w:r w:rsidRPr="002B292D">
        <w:t>cut</w:t>
      </w:r>
      <w:r>
        <w:t xml:space="preserve"> </w:t>
      </w:r>
      <w:r w:rsidRPr="002B292D">
        <w:t>short</w:t>
      </w:r>
      <w:r>
        <w:t xml:space="preserve"> </w:t>
      </w:r>
      <w:r w:rsidRPr="002B292D">
        <w:t>a</w:t>
      </w:r>
      <w:r>
        <w:t xml:space="preserve"> </w:t>
      </w:r>
      <w:r w:rsidRPr="002B292D">
        <w:t>campaigning</w:t>
      </w:r>
      <w:r>
        <w:t xml:space="preserve"> </w:t>
      </w:r>
      <w:r w:rsidRPr="002B292D">
        <w:t>trip,</w:t>
      </w:r>
      <w:r>
        <w:t xml:space="preserve"> </w:t>
      </w:r>
      <w:r w:rsidRPr="002B292D">
        <w:t>was</w:t>
      </w:r>
      <w:r>
        <w:t xml:space="preserve"> </w:t>
      </w:r>
      <w:r w:rsidRPr="002B292D">
        <w:t>cancelled</w:t>
      </w:r>
      <w:r>
        <w:t xml:space="preserve"> </w:t>
      </w:r>
      <w:r w:rsidRPr="002B292D">
        <w:t>three</w:t>
      </w:r>
      <w:r>
        <w:t xml:space="preserve"> </w:t>
      </w:r>
      <w:r w:rsidRPr="002B292D">
        <w:t>hours</w:t>
      </w:r>
      <w:r>
        <w:t xml:space="preserve"> </w:t>
      </w:r>
      <w:r w:rsidRPr="002B292D">
        <w:t>before</w:t>
      </w:r>
      <w:r>
        <w:t xml:space="preserve"> </w:t>
      </w:r>
      <w:r w:rsidRPr="002B292D">
        <w:t>its</w:t>
      </w:r>
      <w:r>
        <w:t xml:space="preserve"> </w:t>
      </w:r>
      <w:r w:rsidRPr="002B292D">
        <w:t>scheduled</w:t>
      </w:r>
      <w:r>
        <w:t xml:space="preserve"> </w:t>
      </w:r>
      <w:r w:rsidRPr="002B292D">
        <w:t>start,</w:t>
      </w:r>
      <w:r>
        <w:t xml:space="preserve"> </w:t>
      </w:r>
      <w:r w:rsidRPr="002B292D">
        <w:t>when</w:t>
      </w:r>
      <w:r>
        <w:t xml:space="preserve"> </w:t>
      </w:r>
      <w:r w:rsidRPr="002B292D">
        <w:t>a</w:t>
      </w:r>
      <w:r>
        <w:t xml:space="preserve"> </w:t>
      </w:r>
      <w:r w:rsidRPr="002B292D">
        <w:t>sitting</w:t>
      </w:r>
      <w:r>
        <w:t xml:space="preserve"> </w:t>
      </w:r>
      <w:r w:rsidRPr="002B292D">
        <w:t>judge</w:t>
      </w:r>
      <w:r>
        <w:t xml:space="preserve"> </w:t>
      </w:r>
      <w:r w:rsidRPr="002B292D">
        <w:t>took</w:t>
      </w:r>
      <w:r>
        <w:t xml:space="preserve"> </w:t>
      </w:r>
      <w:r w:rsidRPr="002B292D">
        <w:t>last-minute</w:t>
      </w:r>
      <w:r>
        <w:t xml:space="preserve"> </w:t>
      </w:r>
      <w:r w:rsidRPr="002B292D">
        <w:t>leave;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despite</w:t>
      </w:r>
      <w:r>
        <w:t xml:space="preserve"> </w:t>
      </w:r>
      <w:r w:rsidRPr="002B292D">
        <w:t>his</w:t>
      </w:r>
      <w:r>
        <w:t xml:space="preserve"> </w:t>
      </w:r>
      <w:r w:rsidRPr="002B292D">
        <w:t>request,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provided</w:t>
      </w:r>
      <w:r>
        <w:t xml:space="preserve"> </w:t>
      </w:r>
      <w:r w:rsidRPr="002B292D">
        <w:t>with</w:t>
      </w:r>
      <w:r>
        <w:t xml:space="preserve"> </w:t>
      </w:r>
      <w:r w:rsidRPr="002B292D">
        <w:t>a</w:t>
      </w:r>
      <w:r>
        <w:t xml:space="preserve"> </w:t>
      </w:r>
      <w:r w:rsidRPr="002B292D">
        <w:t>schedule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hearings.</w:t>
      </w:r>
    </w:p>
    <w:p w:rsidR="000D3068" w:rsidRPr="002B292D" w:rsidRDefault="000D3068" w:rsidP="00533F65">
      <w:pPr>
        <w:pStyle w:val="SingleTxtG"/>
      </w:pPr>
      <w:r w:rsidRPr="002B292D">
        <w:t>2.13</w:t>
      </w:r>
      <w:r w:rsidRPr="002B292D">
        <w:tab/>
        <w:t>In</w:t>
      </w:r>
      <w:r>
        <w:t xml:space="preserve"> </w:t>
      </w:r>
      <w:r w:rsidRPr="002B292D">
        <w:t>July</w:t>
      </w:r>
      <w:r>
        <w:t xml:space="preserve"> </w:t>
      </w:r>
      <w:r w:rsidRPr="002B292D">
        <w:t>2013,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alleged</w:t>
      </w:r>
      <w:r>
        <w:t xml:space="preserve"> </w:t>
      </w:r>
      <w:r w:rsidRPr="002B292D">
        <w:t>arrest</w:t>
      </w:r>
      <w:r>
        <w:t xml:space="preserve"> </w:t>
      </w:r>
      <w:r w:rsidRPr="002B292D">
        <w:t>and</w:t>
      </w:r>
      <w:r>
        <w:t xml:space="preserve"> </w:t>
      </w:r>
      <w:r w:rsidRPr="002B292D">
        <w:t>detention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</w:t>
      </w:r>
      <w:r>
        <w:t xml:space="preserve"> </w:t>
      </w:r>
      <w:r w:rsidRPr="002B292D">
        <w:t>were</w:t>
      </w:r>
      <w:r>
        <w:t xml:space="preserve"> </w:t>
      </w:r>
      <w:r w:rsidRPr="002B292D">
        <w:t>suspended</w:t>
      </w:r>
      <w:r>
        <w:t xml:space="preserve"> </w:t>
      </w:r>
      <w:r w:rsidRPr="002B292D">
        <w:t>and</w:t>
      </w:r>
      <w:r>
        <w:t xml:space="preserve"> </w:t>
      </w:r>
      <w:r w:rsidRPr="002B292D">
        <w:t>no</w:t>
      </w:r>
      <w:r>
        <w:t xml:space="preserve"> </w:t>
      </w:r>
      <w:r w:rsidRPr="002B292D">
        <w:t>further</w:t>
      </w:r>
      <w:r>
        <w:t xml:space="preserve"> </w:t>
      </w:r>
      <w:r w:rsidRPr="002B292D">
        <w:t>proceedings</w:t>
      </w:r>
      <w:r>
        <w:t xml:space="preserve"> </w:t>
      </w:r>
      <w:r w:rsidRPr="002B292D">
        <w:t>took</w:t>
      </w:r>
      <w:r>
        <w:t xml:space="preserve"> </w:t>
      </w:r>
      <w:r w:rsidRPr="002B292D">
        <w:t>place.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time</w:t>
      </w:r>
      <w:r>
        <w:t xml:space="preserve"> </w:t>
      </w:r>
      <w:r w:rsidRPr="002B292D">
        <w:t>that</w:t>
      </w:r>
      <w:r>
        <w:t xml:space="preserve"> </w:t>
      </w:r>
      <w:r w:rsidRPr="002B292D"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2270/2013</w:t>
      </w:r>
      <w:r>
        <w:t xml:space="preserve"> </w:t>
      </w:r>
      <w:r w:rsidRPr="002B292D">
        <w:t>was</w:t>
      </w:r>
      <w:r>
        <w:t xml:space="preserve"> </w:t>
      </w:r>
      <w:r w:rsidRPr="002B292D">
        <w:t>submitted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Committee,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claimed</w:t>
      </w:r>
      <w:r>
        <w:t xml:space="preserve"> </w:t>
      </w:r>
      <w:r w:rsidRPr="002B292D">
        <w:t>that</w:t>
      </w:r>
      <w:r>
        <w:t xml:space="preserve"> </w:t>
      </w:r>
      <w:r w:rsidRPr="002B292D">
        <w:t>domestic</w:t>
      </w:r>
      <w:r>
        <w:t xml:space="preserve"> </w:t>
      </w:r>
      <w:r w:rsidRPr="002B292D">
        <w:t>remedies</w:t>
      </w:r>
      <w:r>
        <w:t xml:space="preserve"> </w:t>
      </w:r>
      <w:r w:rsidRPr="002B292D">
        <w:t>were</w:t>
      </w:r>
      <w:r>
        <w:t xml:space="preserve"> </w:t>
      </w:r>
      <w:r w:rsidRPr="002B292D">
        <w:t>not</w:t>
      </w:r>
      <w:r>
        <w:t xml:space="preserve"> </w:t>
      </w:r>
      <w:r w:rsidRPr="002B292D">
        <w:t>effective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lack</w:t>
      </w:r>
      <w:r>
        <w:t xml:space="preserve"> </w:t>
      </w:r>
      <w:r w:rsidRPr="002B292D">
        <w:t>of</w:t>
      </w:r>
      <w:r>
        <w:t xml:space="preserve"> </w:t>
      </w:r>
      <w:r w:rsidRPr="002B292D">
        <w:t>independence</w:t>
      </w:r>
      <w:r>
        <w:t xml:space="preserve"> </w:t>
      </w:r>
      <w:r w:rsidRPr="002B292D">
        <w:t>and</w:t>
      </w:r>
      <w:r>
        <w:t xml:space="preserve"> </w:t>
      </w:r>
      <w:r w:rsidRPr="002B292D">
        <w:t>politicization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judiciary.</w:t>
      </w:r>
    </w:p>
    <w:p w:rsidR="000D3068" w:rsidRPr="002B292D" w:rsidRDefault="000D3068" w:rsidP="00533F65">
      <w:pPr>
        <w:pStyle w:val="SingleTxtG"/>
      </w:pPr>
      <w:r w:rsidRPr="002B292D">
        <w:t>2.14</w:t>
      </w:r>
      <w:r w:rsidRPr="002B292D">
        <w:tab/>
        <w:t>In</w:t>
      </w:r>
      <w:r>
        <w:t xml:space="preserve"> </w:t>
      </w:r>
      <w:r w:rsidRPr="002B292D">
        <w:t>November</w:t>
      </w:r>
      <w:r>
        <w:t xml:space="preserve"> </w:t>
      </w:r>
      <w:r w:rsidRPr="002B292D">
        <w:t>2013,</w:t>
      </w:r>
      <w:r>
        <w:t xml:space="preserve"> </w:t>
      </w:r>
      <w:r w:rsidRPr="002B292D">
        <w:t>the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</w:t>
      </w:r>
      <w:r>
        <w:t xml:space="preserve"> </w:t>
      </w:r>
      <w:r w:rsidRPr="002B292D">
        <w:t>took</w:t>
      </w:r>
      <w:r>
        <w:t xml:space="preserve"> </w:t>
      </w:r>
      <w:r w:rsidRPr="002B292D">
        <w:t>place.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narrowly</w:t>
      </w:r>
      <w:r>
        <w:t xml:space="preserve"> </w:t>
      </w:r>
      <w:r w:rsidRPr="002B292D">
        <w:t>lost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current</w:t>
      </w:r>
      <w:r>
        <w:t xml:space="preserve"> </w:t>
      </w:r>
      <w:r w:rsidRPr="002B292D">
        <w:t>president.</w:t>
      </w:r>
    </w:p>
    <w:p w:rsidR="000D3068" w:rsidRPr="002B292D" w:rsidRDefault="000D3068" w:rsidP="005E2AEE">
      <w:pPr>
        <w:pStyle w:val="H4G"/>
      </w:pPr>
      <w:r w:rsidRPr="002B292D">
        <w:tab/>
      </w:r>
      <w:r w:rsidRPr="002B292D">
        <w:tab/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2851/2016</w:t>
      </w:r>
    </w:p>
    <w:p w:rsidR="000D3068" w:rsidRPr="002B292D" w:rsidRDefault="000D3068" w:rsidP="00533F65">
      <w:pPr>
        <w:pStyle w:val="SingleTxtG"/>
      </w:pPr>
      <w:r w:rsidRPr="002B292D">
        <w:t>2.15</w:t>
      </w:r>
      <w:r w:rsidRPr="002B292D">
        <w:tab/>
        <w:t>On</w:t>
      </w:r>
      <w:r>
        <w:t xml:space="preserve"> </w:t>
      </w:r>
      <w:r w:rsidRPr="002B292D">
        <w:t>16</w:t>
      </w:r>
      <w:r>
        <w:t xml:space="preserve"> </w:t>
      </w:r>
      <w:r w:rsidRPr="002B292D">
        <w:t>February</w:t>
      </w:r>
      <w:r>
        <w:t xml:space="preserve"> </w:t>
      </w:r>
      <w:r w:rsidRPr="002B292D">
        <w:t>2015,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withdrew</w:t>
      </w:r>
      <w:r>
        <w:t xml:space="preserve"> </w:t>
      </w:r>
      <w:r w:rsidRPr="002B292D">
        <w:t>the</w:t>
      </w:r>
      <w:r>
        <w:t xml:space="preserve"> </w:t>
      </w:r>
      <w:r w:rsidRPr="002B292D">
        <w:t>suspended</w:t>
      </w:r>
      <w:r>
        <w:t xml:space="preserve"> </w:t>
      </w:r>
      <w:r w:rsidRPr="002B292D">
        <w:t>criminal</w:t>
      </w:r>
      <w:r>
        <w:t xml:space="preserve"> </w:t>
      </w:r>
      <w:r w:rsidRPr="002B292D">
        <w:t>charges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author.</w:t>
      </w:r>
      <w:r>
        <w:t xml:space="preserve"> </w:t>
      </w:r>
      <w:r w:rsidRPr="002B292D">
        <w:t>However,</w:t>
      </w:r>
      <w:r>
        <w:t xml:space="preserve"> </w:t>
      </w:r>
      <w:r w:rsidRPr="002B292D">
        <w:t>on</w:t>
      </w:r>
      <w:r>
        <w:t xml:space="preserve"> </w:t>
      </w:r>
      <w:r w:rsidRPr="002B292D">
        <w:t>22</w:t>
      </w:r>
      <w:r>
        <w:t xml:space="preserve"> </w:t>
      </w:r>
      <w:r w:rsidRPr="002B292D">
        <w:t>February</w:t>
      </w:r>
      <w:r>
        <w:t xml:space="preserve"> </w:t>
      </w:r>
      <w:r w:rsidRPr="002B292D">
        <w:t>2015,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arrested</w:t>
      </w:r>
      <w:r>
        <w:t xml:space="preserve"> </w:t>
      </w:r>
      <w:r w:rsidRPr="002B292D">
        <w:t>on</w:t>
      </w:r>
      <w:r>
        <w:t xml:space="preserve"> </w:t>
      </w:r>
      <w:r w:rsidRPr="002B292D">
        <w:t>new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</w:t>
      </w:r>
      <w:r>
        <w:t xml:space="preserve"> </w:t>
      </w:r>
      <w:r w:rsidRPr="002B292D">
        <w:t>(b)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Prevention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Act</w:t>
      </w:r>
      <w:r>
        <w:t xml:space="preserve"> </w:t>
      </w:r>
      <w:r w:rsidRPr="002B292D">
        <w:t>1990</w:t>
      </w:r>
      <w:r w:rsidRPr="00A035EA">
        <w:rPr>
          <w:rStyle w:val="FootnoteReference"/>
        </w:rPr>
        <w:footnoteReference w:id="6"/>
      </w:r>
      <w:r>
        <w:t xml:space="preserve"> </w:t>
      </w:r>
      <w:r w:rsidRPr="002B292D">
        <w:t>for</w:t>
      </w:r>
      <w:r>
        <w:t xml:space="preserve"> </w:t>
      </w:r>
      <w:r w:rsidRPr="002B292D">
        <w:t>his</w:t>
      </w:r>
      <w:r>
        <w:t xml:space="preserve"> </w:t>
      </w:r>
      <w:r w:rsidRPr="002B292D">
        <w:t>alleged</w:t>
      </w:r>
      <w:r>
        <w:t xml:space="preserve"> </w:t>
      </w:r>
      <w:r w:rsidRPr="002B292D">
        <w:t>role</w:t>
      </w:r>
      <w:r>
        <w:t xml:space="preserve"> </w:t>
      </w:r>
      <w:r w:rsidRPr="002B292D">
        <w:t>in</w:t>
      </w:r>
      <w:r>
        <w:t xml:space="preserve"> </w:t>
      </w:r>
      <w:r w:rsidRPr="002B292D">
        <w:t>arresting</w:t>
      </w:r>
      <w:r>
        <w:t xml:space="preserve"> </w:t>
      </w:r>
      <w:r w:rsidRPr="002B292D">
        <w:t>and</w:t>
      </w:r>
      <w:r>
        <w:t xml:space="preserve"> </w:t>
      </w:r>
      <w:r w:rsidRPr="002B292D">
        <w:t>detaining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on</w:t>
      </w:r>
      <w:r>
        <w:t xml:space="preserve"> </w:t>
      </w:r>
      <w:r w:rsidRPr="002B292D">
        <w:t>16</w:t>
      </w:r>
      <w:r>
        <w:t xml:space="preserve"> </w:t>
      </w:r>
      <w:r w:rsidRPr="002B292D">
        <w:t>January</w:t>
      </w:r>
      <w:r>
        <w:t xml:space="preserve"> </w:t>
      </w:r>
      <w:r w:rsidRPr="002B292D">
        <w:t>2012.</w:t>
      </w:r>
    </w:p>
    <w:p w:rsidR="000D3068" w:rsidRPr="002B292D" w:rsidRDefault="000D3068" w:rsidP="00533F65">
      <w:pPr>
        <w:pStyle w:val="SingleTxtG"/>
      </w:pPr>
      <w:r w:rsidRPr="002B292D">
        <w:t>2.16</w:t>
      </w:r>
      <w:r w:rsidRPr="002B292D">
        <w:tab/>
        <w:t>The</w:t>
      </w:r>
      <w:r>
        <w:t xml:space="preserve"> </w:t>
      </w:r>
      <w:r w:rsidRPr="002B292D">
        <w:t>next</w:t>
      </w:r>
      <w:r>
        <w:t xml:space="preserve"> </w:t>
      </w:r>
      <w:r w:rsidRPr="002B292D">
        <w:t>day,</w:t>
      </w:r>
      <w:r>
        <w:t xml:space="preserve"> </w:t>
      </w:r>
      <w:r w:rsidRPr="002B292D">
        <w:t>on</w:t>
      </w:r>
      <w:r>
        <w:t xml:space="preserve"> </w:t>
      </w:r>
      <w:r w:rsidRPr="002B292D">
        <w:t>23</w:t>
      </w:r>
      <w:r>
        <w:t xml:space="preserve"> </w:t>
      </w:r>
      <w:r w:rsidRPr="002B292D">
        <w:t>February</w:t>
      </w:r>
      <w:r>
        <w:t xml:space="preserve"> </w:t>
      </w:r>
      <w:r w:rsidRPr="002B292D">
        <w:t>2015,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trial</w:t>
      </w:r>
      <w:r>
        <w:t xml:space="preserve"> </w:t>
      </w:r>
      <w:r w:rsidRPr="002B292D">
        <w:t>commenced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in</w:t>
      </w:r>
      <w:r>
        <w:t xml:space="preserve"> </w:t>
      </w:r>
      <w:r w:rsidRPr="002B292D">
        <w:t>Malé.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alleges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did</w:t>
      </w:r>
      <w:r>
        <w:t xml:space="preserve"> </w:t>
      </w:r>
      <w:r w:rsidRPr="002B292D">
        <w:t>not</w:t>
      </w:r>
      <w:r>
        <w:t xml:space="preserve"> </w:t>
      </w:r>
      <w:r w:rsidRPr="002B292D">
        <w:t>observe</w:t>
      </w:r>
      <w:r>
        <w:t xml:space="preserve"> </w:t>
      </w:r>
      <w:r w:rsidRPr="002B292D">
        <w:t>due</w:t>
      </w:r>
      <w:r>
        <w:t xml:space="preserve"> </w:t>
      </w:r>
      <w:r w:rsidRPr="002B292D">
        <w:t>process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displayed</w:t>
      </w:r>
      <w:r>
        <w:t xml:space="preserve"> </w:t>
      </w:r>
      <w:r w:rsidRPr="002B292D">
        <w:t>a</w:t>
      </w:r>
      <w:r>
        <w:t xml:space="preserve"> </w:t>
      </w:r>
      <w:r w:rsidRPr="002B292D">
        <w:t>lack</w:t>
      </w:r>
      <w:r>
        <w:t xml:space="preserve"> </w:t>
      </w:r>
      <w:r w:rsidRPr="002B292D">
        <w:t>of</w:t>
      </w:r>
      <w:r>
        <w:t xml:space="preserve"> </w:t>
      </w:r>
      <w:r w:rsidRPr="002B292D">
        <w:t>impartiality.</w:t>
      </w:r>
      <w:r>
        <w:t xml:space="preserve"> </w:t>
      </w:r>
      <w:r w:rsidRPr="002B292D">
        <w:t>By</w:t>
      </w:r>
      <w:r>
        <w:t xml:space="preserve"> </w:t>
      </w:r>
      <w:r w:rsidRPr="002B292D">
        <w:t>way</w:t>
      </w:r>
      <w:r>
        <w:t xml:space="preserve"> </w:t>
      </w:r>
      <w:r w:rsidRPr="002B292D">
        <w:t>of</w:t>
      </w:r>
      <w:r>
        <w:t xml:space="preserve"> </w:t>
      </w:r>
      <w:r w:rsidRPr="002B292D">
        <w:t>illustration,</w:t>
      </w:r>
      <w:r>
        <w:t xml:space="preserve"> </w:t>
      </w:r>
      <w:r w:rsidRPr="002B292D">
        <w:t>he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lawyers</w:t>
      </w:r>
      <w:r>
        <w:t xml:space="preserve"> </w:t>
      </w:r>
      <w:r w:rsidRPr="002B292D">
        <w:t>were</w:t>
      </w:r>
      <w:r>
        <w:t xml:space="preserve"> </w:t>
      </w:r>
      <w:r w:rsidRPr="002B292D">
        <w:t>barred</w:t>
      </w:r>
      <w:r>
        <w:t xml:space="preserve"> </w:t>
      </w:r>
      <w:r w:rsidRPr="002B292D">
        <w:t>from</w:t>
      </w:r>
      <w:r>
        <w:t xml:space="preserve"> </w:t>
      </w:r>
      <w:r w:rsidRPr="002B292D">
        <w:t>attending</w:t>
      </w:r>
      <w:r>
        <w:t xml:space="preserve"> </w:t>
      </w:r>
      <w:r w:rsidRPr="002B292D">
        <w:t>the</w:t>
      </w:r>
      <w:r>
        <w:t xml:space="preserve"> </w:t>
      </w:r>
      <w:r w:rsidRPr="002B292D">
        <w:t>first</w:t>
      </w:r>
      <w:r>
        <w:t xml:space="preserve"> </w:t>
      </w:r>
      <w:r w:rsidRPr="002B292D">
        <w:t>day</w:t>
      </w:r>
      <w:r>
        <w:t xml:space="preserve"> </w:t>
      </w:r>
      <w:r w:rsidRPr="002B292D">
        <w:t>of</w:t>
      </w:r>
      <w:r>
        <w:t xml:space="preserve"> </w:t>
      </w:r>
      <w:r w:rsidRPr="002B292D">
        <w:t>proceedings</w:t>
      </w:r>
      <w:r>
        <w:t xml:space="preserve"> </w:t>
      </w:r>
      <w:r w:rsidRPr="002B292D">
        <w:t>because</w:t>
      </w:r>
      <w:r>
        <w:t xml:space="preserve"> </w:t>
      </w:r>
      <w:r w:rsidRPr="002B292D">
        <w:t>they</w:t>
      </w:r>
      <w:r>
        <w:t xml:space="preserve"> </w:t>
      </w:r>
      <w:r w:rsidRPr="002B292D">
        <w:t>were</w:t>
      </w:r>
      <w:r>
        <w:t xml:space="preserve"> </w:t>
      </w:r>
      <w:r w:rsidRPr="002B292D">
        <w:t>supposedly</w:t>
      </w:r>
      <w:r>
        <w:t xml:space="preserve"> </w:t>
      </w:r>
      <w:r w:rsidRPr="002B292D">
        <w:t>required</w:t>
      </w:r>
      <w:r>
        <w:t xml:space="preserve"> </w:t>
      </w:r>
      <w:r w:rsidRPr="002B292D">
        <w:t>to</w:t>
      </w:r>
      <w:r>
        <w:t xml:space="preserve"> </w:t>
      </w:r>
      <w:r w:rsidRPr="002B292D">
        <w:t>register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two</w:t>
      </w:r>
      <w:r>
        <w:t xml:space="preserve"> </w:t>
      </w:r>
      <w:r w:rsidRPr="002B292D">
        <w:t>days</w:t>
      </w:r>
      <w:r>
        <w:t xml:space="preserve"> </w:t>
      </w:r>
      <w:r w:rsidRPr="002B292D">
        <w:t>before,</w:t>
      </w:r>
      <w:r>
        <w:t xml:space="preserve"> </w:t>
      </w:r>
      <w:r w:rsidRPr="002B292D">
        <w:t>even</w:t>
      </w:r>
      <w:r>
        <w:t xml:space="preserve"> </w:t>
      </w:r>
      <w:r w:rsidRPr="002B292D">
        <w:t>though</w:t>
      </w:r>
      <w:r>
        <w:t xml:space="preserve"> </w:t>
      </w:r>
      <w:r w:rsidRPr="002B292D">
        <w:t>that</w:t>
      </w:r>
      <w:r>
        <w:t xml:space="preserve"> </w:t>
      </w:r>
      <w:r w:rsidRPr="002B292D">
        <w:t>was</w:t>
      </w:r>
      <w:r>
        <w:t xml:space="preserve"> </w:t>
      </w:r>
      <w:r w:rsidRPr="002B292D">
        <w:t>impossible</w:t>
      </w:r>
      <w:r>
        <w:t xml:space="preserve"> </w:t>
      </w:r>
      <w:r w:rsidRPr="002B292D">
        <w:t>given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had</w:t>
      </w:r>
      <w:r>
        <w:t xml:space="preserve"> </w:t>
      </w:r>
      <w:r w:rsidRPr="002B292D">
        <w:t>only</w:t>
      </w:r>
      <w:r>
        <w:t xml:space="preserve"> </w:t>
      </w:r>
      <w:r w:rsidRPr="002B292D">
        <w:t>been</w:t>
      </w:r>
      <w:r>
        <w:t xml:space="preserve"> </w:t>
      </w:r>
      <w:r w:rsidRPr="002B292D">
        <w:t>arrested</w:t>
      </w:r>
      <w:r>
        <w:t xml:space="preserve"> </w:t>
      </w:r>
      <w:r w:rsidRPr="002B292D">
        <w:t>the</w:t>
      </w:r>
      <w:r>
        <w:t xml:space="preserve"> </w:t>
      </w:r>
      <w:r w:rsidRPr="002B292D">
        <w:t>previous</w:t>
      </w:r>
      <w:r>
        <w:t xml:space="preserve"> </w:t>
      </w:r>
      <w:r w:rsidRPr="002B292D">
        <w:t>day.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request</w:t>
      </w:r>
      <w:r>
        <w:t xml:space="preserve"> </w:t>
      </w:r>
      <w:r w:rsidRPr="002B292D">
        <w:t>for</w:t>
      </w:r>
      <w:r>
        <w:t xml:space="preserve"> </w:t>
      </w:r>
      <w:r w:rsidRPr="002B292D">
        <w:t>a</w:t>
      </w:r>
      <w:r>
        <w:t xml:space="preserve"> </w:t>
      </w:r>
      <w:r w:rsidRPr="002B292D">
        <w:t>10-day</w:t>
      </w:r>
      <w:r>
        <w:t xml:space="preserve"> </w:t>
      </w:r>
      <w:r w:rsidRPr="002B292D">
        <w:t>extension</w:t>
      </w:r>
      <w:r>
        <w:t xml:space="preserve"> </w:t>
      </w:r>
      <w:r w:rsidRPr="002B292D">
        <w:t>so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lawyers</w:t>
      </w:r>
      <w:r>
        <w:t xml:space="preserve"> </w:t>
      </w:r>
      <w:r w:rsidRPr="002B292D">
        <w:t>could</w:t>
      </w:r>
      <w:r>
        <w:t xml:space="preserve"> </w:t>
      </w:r>
      <w:r w:rsidRPr="002B292D">
        <w:t>prepare</w:t>
      </w:r>
      <w:r>
        <w:t xml:space="preserve"> </w:t>
      </w:r>
      <w:r w:rsidRPr="002B292D">
        <w:t>his</w:t>
      </w:r>
      <w:r>
        <w:t xml:space="preserve"> </w:t>
      </w:r>
      <w:r w:rsidRPr="002B292D">
        <w:t>defence</w:t>
      </w:r>
      <w:r>
        <w:t xml:space="preserve"> </w:t>
      </w:r>
      <w:r w:rsidRPr="002B292D">
        <w:t>was</w:t>
      </w:r>
      <w:r>
        <w:t xml:space="preserve"> </w:t>
      </w:r>
      <w:r w:rsidRPr="002B292D">
        <w:t>summarily</w:t>
      </w:r>
      <w:r>
        <w:t xml:space="preserve"> </w:t>
      </w:r>
      <w:r w:rsidRPr="002B292D">
        <w:t>dismissed.</w:t>
      </w:r>
      <w:r>
        <w:t xml:space="preserve"> </w:t>
      </w:r>
      <w:r w:rsidRPr="002B292D">
        <w:t>All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 w:rsidR="00995FAE">
        <w:t>’</w:t>
      </w:r>
      <w:r w:rsidRPr="002B292D">
        <w:t>s</w:t>
      </w:r>
      <w:r>
        <w:t xml:space="preserve"> </w:t>
      </w:r>
      <w:r w:rsidRPr="002B292D">
        <w:t>evidence</w:t>
      </w:r>
      <w:r>
        <w:t xml:space="preserve"> </w:t>
      </w:r>
      <w:r w:rsidRPr="002B292D">
        <w:t>was</w:t>
      </w:r>
      <w:r>
        <w:t xml:space="preserve"> </w:t>
      </w:r>
      <w:r w:rsidRPr="002B292D">
        <w:t>withheld</w:t>
      </w:r>
      <w:r>
        <w:t xml:space="preserve"> </w:t>
      </w:r>
      <w:r w:rsidRPr="002B292D">
        <w:t>until</w:t>
      </w:r>
      <w:r>
        <w:t xml:space="preserve"> </w:t>
      </w:r>
      <w:r w:rsidRPr="002B292D">
        <w:t>the</w:t>
      </w:r>
      <w:r>
        <w:t xml:space="preserve"> </w:t>
      </w:r>
      <w:r w:rsidRPr="002B292D">
        <w:t>time</w:t>
      </w:r>
      <w:r>
        <w:t xml:space="preserve"> </w:t>
      </w:r>
      <w:r w:rsidRPr="002B292D">
        <w:t>that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formally</w:t>
      </w:r>
      <w:r>
        <w:t xml:space="preserve"> </w:t>
      </w:r>
      <w:r w:rsidRPr="002B292D">
        <w:t>introduced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Court.</w:t>
      </w:r>
      <w:r>
        <w:t xml:space="preserve"> </w:t>
      </w:r>
      <w:r w:rsidRPr="002B292D">
        <w:t>When</w:t>
      </w:r>
      <w:r>
        <w:t xml:space="preserve"> </w:t>
      </w:r>
      <w:r w:rsidRPr="002B292D">
        <w:t>evidence</w:t>
      </w:r>
      <w:r>
        <w:t xml:space="preserve"> </w:t>
      </w:r>
      <w:r w:rsidRPr="002B292D">
        <w:t>was</w:t>
      </w:r>
      <w:r>
        <w:t xml:space="preserve"> </w:t>
      </w:r>
      <w:r w:rsidRPr="002B292D">
        <w:t>introduced,</w:t>
      </w:r>
      <w:r>
        <w:t xml:space="preserve"> </w:t>
      </w:r>
      <w:r w:rsidRPr="002B292D">
        <w:t>there</w:t>
      </w:r>
      <w:r>
        <w:t xml:space="preserve"> </w:t>
      </w:r>
      <w:r w:rsidRPr="002B292D">
        <w:t>was</w:t>
      </w:r>
      <w:r>
        <w:t xml:space="preserve"> </w:t>
      </w:r>
      <w:r w:rsidRPr="002B292D">
        <w:t>nothing</w:t>
      </w:r>
      <w:r>
        <w:t xml:space="preserve"> </w:t>
      </w:r>
      <w:r w:rsidRPr="002B292D">
        <w:t>provided</w:t>
      </w:r>
      <w:r>
        <w:t xml:space="preserve"> </w:t>
      </w:r>
      <w:r w:rsidRPr="002B292D">
        <w:t>to</w:t>
      </w:r>
      <w:r>
        <w:t xml:space="preserve"> </w:t>
      </w:r>
      <w:r w:rsidRPr="002B292D">
        <w:t>show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had</w:t>
      </w:r>
      <w:r>
        <w:t xml:space="preserve"> </w:t>
      </w:r>
      <w:r w:rsidRPr="002B292D">
        <w:t>actually</w:t>
      </w:r>
      <w:r>
        <w:t xml:space="preserve"> </w:t>
      </w:r>
      <w:r w:rsidRPr="002B292D">
        <w:t>ordered</w:t>
      </w:r>
      <w:r>
        <w:t xml:space="preserve"> </w:t>
      </w:r>
      <w:r w:rsidRPr="002B292D">
        <w:t>the</w:t>
      </w:r>
      <w:r>
        <w:t xml:space="preserve"> </w:t>
      </w:r>
      <w:r w:rsidRPr="002B292D">
        <w:t>arrest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in</w:t>
      </w:r>
      <w:r>
        <w:t xml:space="preserve"> </w:t>
      </w:r>
      <w:r w:rsidRPr="002B292D">
        <w:t>Malé,</w:t>
      </w:r>
      <w:r>
        <w:t xml:space="preserve"> </w:t>
      </w:r>
      <w:r w:rsidRPr="002B292D">
        <w:t>nor</w:t>
      </w:r>
      <w:r>
        <w:t xml:space="preserve"> </w:t>
      </w:r>
      <w:r w:rsidRPr="002B292D">
        <w:t>were</w:t>
      </w:r>
      <w:r>
        <w:t xml:space="preserve"> </w:t>
      </w:r>
      <w:r w:rsidRPr="002B292D">
        <w:t>there</w:t>
      </w:r>
      <w:r>
        <w:t xml:space="preserve"> </w:t>
      </w:r>
      <w:r w:rsidRPr="002B292D">
        <w:t>any</w:t>
      </w:r>
      <w:r>
        <w:t xml:space="preserve"> </w:t>
      </w:r>
      <w:r w:rsidRPr="002B292D">
        <w:t>arguments</w:t>
      </w:r>
      <w:r>
        <w:t xml:space="preserve"> </w:t>
      </w:r>
      <w:r w:rsidRPr="002B292D">
        <w:t>made</w:t>
      </w:r>
      <w:r>
        <w:t xml:space="preserve"> </w:t>
      </w:r>
      <w:r w:rsidRPr="002B292D">
        <w:t>explaining</w:t>
      </w:r>
      <w:r>
        <w:t xml:space="preserve"> </w:t>
      </w:r>
      <w:r w:rsidRPr="002B292D">
        <w:t>how</w:t>
      </w:r>
      <w:r>
        <w:t xml:space="preserve"> </w:t>
      </w:r>
      <w:r w:rsidRPr="002B292D">
        <w:t>a</w:t>
      </w:r>
      <w:r>
        <w:t xml:space="preserve"> </w:t>
      </w:r>
      <w:r w:rsidRPr="002B292D">
        <w:t>lawful</w:t>
      </w:r>
      <w:r>
        <w:t xml:space="preserve"> </w:t>
      </w:r>
      <w:r w:rsidRPr="002B292D">
        <w:t>arrest</w:t>
      </w:r>
      <w:r>
        <w:t xml:space="preserve"> </w:t>
      </w:r>
      <w:r w:rsidRPr="002B292D">
        <w:t>qualified</w:t>
      </w:r>
      <w:r>
        <w:t xml:space="preserve"> </w:t>
      </w:r>
      <w:r w:rsidRPr="002B292D">
        <w:t>as</w:t>
      </w:r>
      <w:r>
        <w:t xml:space="preserve"> </w:t>
      </w:r>
      <w:r w:rsidR="00995FAE">
        <w:t>“</w:t>
      </w:r>
      <w:r w:rsidRPr="002B292D">
        <w:t>terrorism</w:t>
      </w:r>
      <w:r w:rsidR="00995FAE">
        <w:t>”</w:t>
      </w:r>
      <w:r w:rsidRPr="002B292D">
        <w:t>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opportunity</w:t>
      </w:r>
      <w:r>
        <w:t xml:space="preserve"> </w:t>
      </w:r>
      <w:r w:rsidRPr="002B292D">
        <w:t>to</w:t>
      </w:r>
      <w:r>
        <w:t xml:space="preserve"> </w:t>
      </w:r>
      <w:r w:rsidRPr="002B292D">
        <w:t>cross-examine</w:t>
      </w:r>
      <w:r>
        <w:t xml:space="preserve"> </w:t>
      </w:r>
      <w:r w:rsidRPr="002B292D">
        <w:t>witnesses</w:t>
      </w:r>
      <w:r>
        <w:t xml:space="preserve"> </w:t>
      </w:r>
      <w:r w:rsidRPr="002B292D">
        <w:t>was</w:t>
      </w:r>
      <w:r>
        <w:t xml:space="preserve"> </w:t>
      </w:r>
      <w:r w:rsidRPr="002B292D">
        <w:t>limited</w:t>
      </w:r>
      <w:r>
        <w:t xml:space="preserve"> </w:t>
      </w:r>
      <w:r w:rsidRPr="002B292D">
        <w:t>and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permitted</w:t>
      </w:r>
      <w:r>
        <w:t xml:space="preserve"> </w:t>
      </w:r>
      <w:r w:rsidRPr="002B292D">
        <w:t>to</w:t>
      </w:r>
      <w:r>
        <w:t xml:space="preserve"> </w:t>
      </w:r>
      <w:r w:rsidRPr="002B292D">
        <w:t>call</w:t>
      </w:r>
      <w:r>
        <w:t xml:space="preserve"> </w:t>
      </w:r>
      <w:r w:rsidRPr="002B292D">
        <w:t>witnesses</w:t>
      </w:r>
      <w:r>
        <w:t xml:space="preserve"> </w:t>
      </w:r>
      <w:r w:rsidRPr="002B292D">
        <w:t>in</w:t>
      </w:r>
      <w:r>
        <w:t xml:space="preserve"> </w:t>
      </w:r>
      <w:r w:rsidRPr="002B292D">
        <w:t>his</w:t>
      </w:r>
      <w:r>
        <w:t xml:space="preserve"> </w:t>
      </w:r>
      <w:r w:rsidRPr="002B292D">
        <w:t>defence.</w:t>
      </w:r>
      <w:r>
        <w:t xml:space="preserve"> </w:t>
      </w:r>
      <w:r w:rsidRPr="002B292D">
        <w:t>Faced</w:t>
      </w:r>
      <w:r>
        <w:t xml:space="preserve"> </w:t>
      </w:r>
      <w:r w:rsidRPr="002B292D">
        <w:t>with</w:t>
      </w:r>
      <w:r>
        <w:t xml:space="preserve"> </w:t>
      </w:r>
      <w:r w:rsidRPr="002B292D">
        <w:t>these</w:t>
      </w:r>
      <w:r>
        <w:t xml:space="preserve"> </w:t>
      </w:r>
      <w:r w:rsidRPr="002B292D">
        <w:t>challenges,</w:t>
      </w:r>
      <w:r>
        <w:t xml:space="preserve"> </w:t>
      </w:r>
      <w:r w:rsidRPr="002B292D">
        <w:t>on</w:t>
      </w:r>
      <w:r>
        <w:t xml:space="preserve"> </w:t>
      </w:r>
      <w:r w:rsidRPr="002B292D">
        <w:t>8</w:t>
      </w:r>
      <w:r>
        <w:t xml:space="preserve"> </w:t>
      </w:r>
      <w:r w:rsidRPr="002B292D">
        <w:t>March</w:t>
      </w:r>
      <w:r>
        <w:t xml:space="preserve"> </w:t>
      </w:r>
      <w:r w:rsidRPr="002B292D">
        <w:t>2015</w:t>
      </w:r>
      <w:r>
        <w:t xml:space="preserve"> </w:t>
      </w:r>
      <w:r w:rsidRPr="002B292D">
        <w:t>his</w:t>
      </w:r>
      <w:r>
        <w:t xml:space="preserve"> </w:t>
      </w:r>
      <w:r w:rsidRPr="002B292D">
        <w:t>lawyers</w:t>
      </w:r>
      <w:r>
        <w:t xml:space="preserve"> </w:t>
      </w:r>
      <w:r w:rsidRPr="002B292D">
        <w:t>felt</w:t>
      </w:r>
      <w:r>
        <w:t xml:space="preserve"> </w:t>
      </w:r>
      <w:r w:rsidRPr="002B292D">
        <w:t>compelled</w:t>
      </w:r>
      <w:r>
        <w:t xml:space="preserve"> </w:t>
      </w:r>
      <w:r w:rsidRPr="002B292D">
        <w:t>to</w:t>
      </w:r>
      <w:r>
        <w:t xml:space="preserve"> </w:t>
      </w:r>
      <w:r w:rsidRPr="002B292D">
        <w:t>withdraw</w:t>
      </w:r>
      <w:r>
        <w:t xml:space="preserve"> </w:t>
      </w:r>
      <w:r w:rsidRPr="002B292D">
        <w:t>from</w:t>
      </w:r>
      <w:r>
        <w:t xml:space="preserve"> </w:t>
      </w:r>
      <w:r w:rsidRPr="002B292D">
        <w:t>the</w:t>
      </w:r>
      <w:r>
        <w:t xml:space="preserve"> </w:t>
      </w:r>
      <w:r w:rsidRPr="002B292D">
        <w:t>case,</w:t>
      </w:r>
      <w:r>
        <w:t xml:space="preserve"> </w:t>
      </w:r>
      <w:r w:rsidRPr="002B292D">
        <w:t>believing</w:t>
      </w:r>
      <w:r>
        <w:t xml:space="preserve"> </w:t>
      </w:r>
      <w:r w:rsidRPr="002B292D">
        <w:t>that</w:t>
      </w:r>
      <w:r>
        <w:t xml:space="preserve"> </w:t>
      </w:r>
      <w:r w:rsidRPr="002B292D">
        <w:t>their</w:t>
      </w:r>
      <w:r>
        <w:t xml:space="preserve"> </w:t>
      </w:r>
      <w:r w:rsidRPr="002B292D">
        <w:t>continued</w:t>
      </w:r>
      <w:r>
        <w:t xml:space="preserve"> </w:t>
      </w:r>
      <w:r w:rsidRPr="002B292D">
        <w:t>representation</w:t>
      </w:r>
      <w:r>
        <w:t xml:space="preserve"> </w:t>
      </w:r>
      <w:r w:rsidRPr="002B292D">
        <w:t>of</w:t>
      </w:r>
      <w:r>
        <w:t xml:space="preserve"> </w:t>
      </w:r>
      <w:r w:rsidRPr="002B292D">
        <w:t>him</w:t>
      </w:r>
      <w:r>
        <w:t xml:space="preserve"> </w:t>
      </w:r>
      <w:r w:rsidRPr="002B292D">
        <w:t>would</w:t>
      </w:r>
      <w:r>
        <w:t xml:space="preserve"> </w:t>
      </w:r>
      <w:r w:rsidRPr="002B292D">
        <w:t>violate</w:t>
      </w:r>
      <w:r>
        <w:t xml:space="preserve"> </w:t>
      </w:r>
      <w:r w:rsidRPr="002B292D">
        <w:t>applicable</w:t>
      </w:r>
      <w:r>
        <w:t xml:space="preserve"> </w:t>
      </w:r>
      <w:r w:rsidRPr="002B292D">
        <w:t>rules</w:t>
      </w:r>
      <w:r>
        <w:t xml:space="preserve"> </w:t>
      </w:r>
      <w:r w:rsidRPr="002B292D">
        <w:t>of</w:t>
      </w:r>
      <w:r>
        <w:t xml:space="preserve"> </w:t>
      </w:r>
      <w:r w:rsidRPr="002B292D">
        <w:t>professional</w:t>
      </w:r>
      <w:r>
        <w:t xml:space="preserve"> </w:t>
      </w:r>
      <w:r w:rsidRPr="002B292D">
        <w:t>responsibility.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carried</w:t>
      </w:r>
      <w:r>
        <w:t xml:space="preserve"> </w:t>
      </w:r>
      <w:r w:rsidRPr="002B292D">
        <w:t>on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trial,</w:t>
      </w:r>
      <w:r>
        <w:t xml:space="preserve"> </w:t>
      </w:r>
      <w:r w:rsidRPr="002B292D">
        <w:t>ignoring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repeated</w:t>
      </w:r>
      <w:r>
        <w:t xml:space="preserve"> </w:t>
      </w:r>
      <w:r w:rsidRPr="002B292D">
        <w:t>requests</w:t>
      </w:r>
      <w:r>
        <w:t xml:space="preserve"> </w:t>
      </w:r>
      <w:r w:rsidRPr="002B292D">
        <w:t>for</w:t>
      </w:r>
      <w:r>
        <w:t xml:space="preserve"> </w:t>
      </w:r>
      <w:r w:rsidRPr="002B292D">
        <w:t>new</w:t>
      </w:r>
      <w:r>
        <w:t xml:space="preserve"> </w:t>
      </w:r>
      <w:r w:rsidRPr="002B292D">
        <w:t>legal</w:t>
      </w:r>
      <w:r>
        <w:t xml:space="preserve"> </w:t>
      </w:r>
      <w:r w:rsidRPr="002B292D">
        <w:t>counsel.</w:t>
      </w:r>
      <w:r>
        <w:t xml:space="preserve"> </w:t>
      </w:r>
      <w:r w:rsidRPr="002B292D">
        <w:t>On</w:t>
      </w:r>
      <w:r>
        <w:t xml:space="preserve"> </w:t>
      </w:r>
      <w:r w:rsidRPr="002B292D">
        <w:t>13</w:t>
      </w:r>
      <w:r>
        <w:t xml:space="preserve"> </w:t>
      </w:r>
      <w:r w:rsidRPr="002B292D">
        <w:t>March</w:t>
      </w:r>
      <w:r>
        <w:t xml:space="preserve"> </w:t>
      </w:r>
      <w:r w:rsidRPr="002B292D">
        <w:t>2015,</w:t>
      </w:r>
      <w:r>
        <w:t xml:space="preserve"> </w:t>
      </w:r>
      <w:r w:rsidRPr="002B292D">
        <w:t>less</w:t>
      </w:r>
      <w:r>
        <w:t xml:space="preserve"> </w:t>
      </w:r>
      <w:r w:rsidRPr="002B292D">
        <w:t>than</w:t>
      </w:r>
      <w:r>
        <w:t xml:space="preserve"> </w:t>
      </w:r>
      <w:r w:rsidRPr="002B292D">
        <w:t>three</w:t>
      </w:r>
      <w:r>
        <w:t xml:space="preserve"> </w:t>
      </w:r>
      <w:r w:rsidRPr="002B292D">
        <w:t>weeks</w:t>
      </w:r>
      <w:r>
        <w:t xml:space="preserve"> </w:t>
      </w:r>
      <w:r w:rsidRPr="002B292D">
        <w:t>after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arrested</w:t>
      </w:r>
      <w:r>
        <w:t xml:space="preserve"> </w:t>
      </w:r>
      <w:r w:rsidRPr="002B292D">
        <w:t>and</w:t>
      </w:r>
      <w:r>
        <w:t xml:space="preserve"> </w:t>
      </w:r>
      <w:r w:rsidRPr="002B292D">
        <w:t>charged,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convicted</w:t>
      </w:r>
      <w:r>
        <w:t xml:space="preserve"> </w:t>
      </w:r>
      <w:r w:rsidRPr="002B292D">
        <w:t>and</w:t>
      </w:r>
      <w:r>
        <w:t xml:space="preserve"> </w:t>
      </w:r>
      <w:r w:rsidRPr="002B292D">
        <w:t>sentenced</w:t>
      </w:r>
      <w:r>
        <w:t xml:space="preserve"> </w:t>
      </w:r>
      <w:r w:rsidRPr="002B292D">
        <w:t>to</w:t>
      </w:r>
      <w:r>
        <w:t xml:space="preserve"> </w:t>
      </w:r>
      <w:r w:rsidRPr="002B292D">
        <w:t>13</w:t>
      </w:r>
      <w:r>
        <w:t xml:space="preserve"> </w:t>
      </w:r>
      <w:r w:rsidRPr="002B292D">
        <w:t>years</w:t>
      </w:r>
      <w:r w:rsidR="00995FAE">
        <w:t>’</w:t>
      </w:r>
      <w:r>
        <w:t xml:space="preserve"> </w:t>
      </w:r>
      <w:r w:rsidRPr="002B292D">
        <w:t>imprisonment</w:t>
      </w:r>
      <w:r>
        <w:t xml:space="preserve"> </w:t>
      </w:r>
      <w:r w:rsidRPr="002B292D">
        <w:t>with</w:t>
      </w:r>
      <w:r>
        <w:t xml:space="preserve"> </w:t>
      </w:r>
      <w:r w:rsidRPr="002B292D">
        <w:t>no</w:t>
      </w:r>
      <w:r>
        <w:t xml:space="preserve"> </w:t>
      </w:r>
      <w:r w:rsidRPr="002B292D">
        <w:t>opportunity</w:t>
      </w:r>
      <w:r>
        <w:t xml:space="preserve"> </w:t>
      </w:r>
      <w:r w:rsidRPr="002B292D">
        <w:t>for</w:t>
      </w:r>
      <w:r>
        <w:t xml:space="preserve"> </w:t>
      </w:r>
      <w:r w:rsidRPr="002B292D">
        <w:t>parole</w:t>
      </w:r>
      <w:r>
        <w:t xml:space="preserve"> </w:t>
      </w:r>
      <w:r w:rsidRPr="002B292D">
        <w:t>or</w:t>
      </w:r>
      <w:r>
        <w:t xml:space="preserve"> </w:t>
      </w:r>
      <w:r w:rsidRPr="002B292D">
        <w:t>supervised</w:t>
      </w:r>
      <w:r>
        <w:t xml:space="preserve"> </w:t>
      </w:r>
      <w:r w:rsidRPr="002B292D">
        <w:t>release.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this</w:t>
      </w:r>
      <w:r>
        <w:t xml:space="preserve"> </w:t>
      </w:r>
      <w:r w:rsidRPr="002B292D">
        <w:t>verdict</w:t>
      </w:r>
      <w:r>
        <w:t xml:space="preserve"> </w:t>
      </w:r>
      <w:r w:rsidRPr="002B292D">
        <w:t>was</w:t>
      </w:r>
      <w:r>
        <w:t xml:space="preserve"> </w:t>
      </w:r>
      <w:r w:rsidRPr="002B292D">
        <w:t>based</w:t>
      </w:r>
      <w:r>
        <w:t xml:space="preserve"> </w:t>
      </w:r>
      <w:r w:rsidRPr="002B292D">
        <w:t>solely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evidence</w:t>
      </w:r>
      <w:r>
        <w:t xml:space="preserve"> </w:t>
      </w:r>
      <w:r w:rsidRPr="002B292D">
        <w:t>presented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Prosecutor.</w:t>
      </w:r>
    </w:p>
    <w:p w:rsidR="000D3068" w:rsidRPr="002B292D" w:rsidRDefault="000D3068" w:rsidP="00533F65">
      <w:pPr>
        <w:pStyle w:val="SingleTxtG"/>
      </w:pPr>
      <w:r w:rsidRPr="002B292D">
        <w:t>2.17</w:t>
      </w:r>
      <w:r w:rsidRPr="002B292D">
        <w:tab/>
        <w:t>Although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counsel</w:t>
      </w:r>
      <w:r>
        <w:t xml:space="preserve"> </w:t>
      </w:r>
      <w:r w:rsidRPr="002B292D">
        <w:t>had</w:t>
      </w:r>
      <w:r>
        <w:t xml:space="preserve"> </w:t>
      </w:r>
      <w:r w:rsidRPr="002B292D">
        <w:t>indicated</w:t>
      </w:r>
      <w:r>
        <w:t xml:space="preserve"> </w:t>
      </w:r>
      <w:r w:rsidRPr="002B292D">
        <w:t>in</w:t>
      </w:r>
      <w:r>
        <w:t xml:space="preserve"> </w:t>
      </w:r>
      <w:r w:rsidRPr="002B292D">
        <w:t>writing</w:t>
      </w:r>
      <w:r>
        <w:t xml:space="preserve"> </w:t>
      </w:r>
      <w:r w:rsidRPr="002B292D">
        <w:t>on</w:t>
      </w:r>
      <w:r>
        <w:t xml:space="preserve"> </w:t>
      </w:r>
      <w:r w:rsidRPr="002B292D">
        <w:t>15</w:t>
      </w:r>
      <w:r>
        <w:t xml:space="preserve"> </w:t>
      </w:r>
      <w:r w:rsidRPr="002B292D">
        <w:t>March</w:t>
      </w:r>
      <w:r>
        <w:t xml:space="preserve"> </w:t>
      </w:r>
      <w:r w:rsidRPr="002B292D">
        <w:t>2015</w:t>
      </w:r>
      <w:r>
        <w:t xml:space="preserve"> </w:t>
      </w:r>
      <w:r w:rsidRPr="002B292D">
        <w:t>that</w:t>
      </w:r>
      <w:r>
        <w:t xml:space="preserve"> </w:t>
      </w:r>
      <w:r w:rsidRPr="002B292D">
        <w:t>they</w:t>
      </w:r>
      <w:r>
        <w:t xml:space="preserve"> </w:t>
      </w:r>
      <w:r w:rsidRPr="002B292D">
        <w:t>intended</w:t>
      </w:r>
      <w:r>
        <w:t xml:space="preserve"> </w:t>
      </w:r>
      <w:r w:rsidRPr="002B292D">
        <w:t>to</w:t>
      </w:r>
      <w:r>
        <w:t xml:space="preserve"> </w:t>
      </w:r>
      <w:r w:rsidRPr="002B292D">
        <w:t>appeal,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failed</w:t>
      </w:r>
      <w:r>
        <w:t xml:space="preserve"> </w:t>
      </w:r>
      <w:r w:rsidRPr="002B292D">
        <w:t>to</w:t>
      </w:r>
      <w:r>
        <w:t xml:space="preserve"> </w:t>
      </w:r>
      <w:r w:rsidRPr="002B292D">
        <w:t>provide</w:t>
      </w:r>
      <w:r>
        <w:t xml:space="preserve"> </w:t>
      </w:r>
      <w:r w:rsidRPr="002B292D">
        <w:t>them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trial</w:t>
      </w:r>
      <w:r>
        <w:t xml:space="preserve"> </w:t>
      </w:r>
      <w:r w:rsidRPr="002B292D">
        <w:t>record</w:t>
      </w:r>
      <w:r>
        <w:t xml:space="preserve"> </w:t>
      </w:r>
      <w:r w:rsidRPr="002B292D">
        <w:t>until</w:t>
      </w:r>
      <w:r>
        <w:t xml:space="preserve"> </w:t>
      </w:r>
      <w:r w:rsidRPr="002B292D">
        <w:t>24</w:t>
      </w:r>
      <w:r>
        <w:t xml:space="preserve"> </w:t>
      </w:r>
      <w:r w:rsidRPr="002B292D">
        <w:lastRenderedPageBreak/>
        <w:t>March</w:t>
      </w:r>
      <w:r>
        <w:t xml:space="preserve"> </w:t>
      </w:r>
      <w:r w:rsidRPr="002B292D">
        <w:t>2015</w:t>
      </w:r>
      <w:r>
        <w:t xml:space="preserve"> </w:t>
      </w:r>
      <w:r w:rsidRPr="002B292D">
        <w:t>—</w:t>
      </w:r>
      <w:r>
        <w:t xml:space="preserve"> </w:t>
      </w:r>
      <w:r w:rsidRPr="002B292D">
        <w:t>11</w:t>
      </w:r>
      <w:r>
        <w:t xml:space="preserve"> </w:t>
      </w:r>
      <w:r w:rsidRPr="002B292D">
        <w:t>days</w:t>
      </w:r>
      <w:r>
        <w:t xml:space="preserve"> </w:t>
      </w:r>
      <w:r w:rsidRPr="002B292D">
        <w:t>after</w:t>
      </w:r>
      <w:r>
        <w:t xml:space="preserve"> </w:t>
      </w:r>
      <w:r w:rsidRPr="002B292D">
        <w:t>the</w:t>
      </w:r>
      <w:r>
        <w:t xml:space="preserve"> </w:t>
      </w:r>
      <w:r w:rsidRPr="002B292D">
        <w:t>verdict.</w:t>
      </w:r>
      <w:r>
        <w:t xml:space="preserve"> </w:t>
      </w:r>
      <w:r w:rsidRPr="002B292D">
        <w:t>Therefore,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substantively</w:t>
      </w:r>
      <w:r>
        <w:t xml:space="preserve"> </w:t>
      </w:r>
      <w:r w:rsidRPr="002B292D">
        <w:t>unable</w:t>
      </w:r>
      <w:r>
        <w:t xml:space="preserve"> </w:t>
      </w:r>
      <w:r w:rsidRPr="002B292D">
        <w:t>to</w:t>
      </w:r>
      <w:r>
        <w:t xml:space="preserve"> </w:t>
      </w:r>
      <w:r w:rsidRPr="002B292D">
        <w:t>lodge</w:t>
      </w:r>
      <w:r>
        <w:t xml:space="preserve"> </w:t>
      </w:r>
      <w:r w:rsidRPr="002B292D">
        <w:t>an</w:t>
      </w:r>
      <w:r>
        <w:t xml:space="preserve"> </w:t>
      </w:r>
      <w:r w:rsidRPr="002B292D">
        <w:t>appeal</w:t>
      </w:r>
      <w:r>
        <w:t xml:space="preserve"> </w:t>
      </w:r>
      <w:r w:rsidRPr="002B292D">
        <w:t>within</w:t>
      </w:r>
      <w:r>
        <w:t xml:space="preserve"> </w:t>
      </w:r>
      <w:r w:rsidRPr="002B292D">
        <w:t>the</w:t>
      </w:r>
      <w:r>
        <w:t xml:space="preserve"> </w:t>
      </w:r>
      <w:r w:rsidRPr="002B292D">
        <w:t>10-day</w:t>
      </w:r>
      <w:r>
        <w:t xml:space="preserve"> </w:t>
      </w:r>
      <w:r w:rsidRPr="002B292D">
        <w:t>deadline</w:t>
      </w:r>
      <w:r>
        <w:t xml:space="preserve"> </w:t>
      </w:r>
      <w:r w:rsidRPr="002B292D">
        <w:t>established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Judicature</w:t>
      </w:r>
      <w:r>
        <w:t xml:space="preserve"> </w:t>
      </w:r>
      <w:r w:rsidRPr="002B292D">
        <w:t>Act.</w:t>
      </w:r>
    </w:p>
    <w:p w:rsidR="000D3068" w:rsidRPr="002B292D" w:rsidRDefault="000D3068" w:rsidP="00533F65">
      <w:pPr>
        <w:pStyle w:val="SingleTxtG"/>
      </w:pPr>
      <w:r w:rsidRPr="002B292D">
        <w:t>2.18</w:t>
      </w:r>
      <w:r w:rsidRPr="002B292D">
        <w:tab/>
        <w:t>On</w:t>
      </w:r>
      <w:r>
        <w:t xml:space="preserve"> </w:t>
      </w:r>
      <w:r w:rsidRPr="002B292D">
        <w:t>30</w:t>
      </w:r>
      <w:r>
        <w:t xml:space="preserve"> </w:t>
      </w:r>
      <w:r w:rsidRPr="002B292D">
        <w:t>March</w:t>
      </w:r>
      <w:r>
        <w:t xml:space="preserve"> </w:t>
      </w:r>
      <w:r w:rsidRPr="002B292D">
        <w:t>2015,</w:t>
      </w:r>
      <w:r>
        <w:t xml:space="preserve"> </w:t>
      </w:r>
      <w:r w:rsidRPr="002B292D">
        <w:t>the</w:t>
      </w:r>
      <w:r>
        <w:t xml:space="preserve"> </w:t>
      </w:r>
      <w:r w:rsidRPr="002B292D">
        <w:t>People</w:t>
      </w:r>
      <w:r w:rsidR="00995FAE">
        <w:t>’</w:t>
      </w:r>
      <w:r w:rsidRPr="002B292D">
        <w:t>s</w:t>
      </w:r>
      <w:r>
        <w:t xml:space="preserve"> </w:t>
      </w:r>
      <w:r w:rsidRPr="002B292D">
        <w:t>Majlis</w:t>
      </w:r>
      <w:r>
        <w:t xml:space="preserve"> </w:t>
      </w:r>
      <w:r w:rsidRPr="002B292D">
        <w:t>(the</w:t>
      </w:r>
      <w:r>
        <w:t xml:space="preserve"> </w:t>
      </w:r>
      <w:r w:rsidRPr="002B292D">
        <w:t>country</w:t>
      </w:r>
      <w:r w:rsidR="00995FAE">
        <w:t>’</w:t>
      </w:r>
      <w:r w:rsidRPr="002B292D">
        <w:t>s</w:t>
      </w:r>
      <w:r>
        <w:t xml:space="preserve"> </w:t>
      </w:r>
      <w:r w:rsidRPr="002B292D">
        <w:t>parliament)</w:t>
      </w:r>
      <w:r>
        <w:t xml:space="preserve"> </w:t>
      </w:r>
      <w:r w:rsidRPr="002B292D">
        <w:t>passed</w:t>
      </w:r>
      <w:r>
        <w:t xml:space="preserve"> </w:t>
      </w:r>
      <w:r w:rsidRPr="002B292D">
        <w:t>the</w:t>
      </w:r>
      <w:r>
        <w:t xml:space="preserve"> </w:t>
      </w:r>
      <w:r w:rsidRPr="002B292D">
        <w:t>Bill</w:t>
      </w:r>
      <w:r>
        <w:t xml:space="preserve"> </w:t>
      </w:r>
      <w:r w:rsidRPr="002B292D">
        <w:t>on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Act,</w:t>
      </w:r>
      <w:r w:rsidRPr="00A035EA">
        <w:rPr>
          <w:rStyle w:val="FootnoteReference"/>
        </w:rPr>
        <w:footnoteReference w:id="7"/>
      </w:r>
      <w:r>
        <w:t xml:space="preserve"> </w:t>
      </w:r>
      <w:r w:rsidRPr="002B292D">
        <w:t>banning</w:t>
      </w:r>
      <w:r>
        <w:t xml:space="preserve"> </w:t>
      </w:r>
      <w:r w:rsidRPr="002B292D">
        <w:t>all</w:t>
      </w:r>
      <w:r>
        <w:t xml:space="preserve"> </w:t>
      </w:r>
      <w:r w:rsidRPr="002B292D">
        <w:t>prisoners</w:t>
      </w:r>
      <w:r>
        <w:t xml:space="preserve"> </w:t>
      </w:r>
      <w:r w:rsidRPr="002B292D">
        <w:t>from</w:t>
      </w:r>
      <w:r>
        <w:t xml:space="preserve"> </w:t>
      </w:r>
      <w:r w:rsidRPr="002B292D">
        <w:t>holding</w:t>
      </w:r>
      <w:r>
        <w:t xml:space="preserve"> </w:t>
      </w:r>
      <w:r w:rsidRPr="002B292D">
        <w:t>leadership</w:t>
      </w:r>
      <w:r>
        <w:t xml:space="preserve"> </w:t>
      </w:r>
      <w:r w:rsidRPr="002B292D">
        <w:t>positions</w:t>
      </w:r>
      <w:r>
        <w:t xml:space="preserve"> </w:t>
      </w:r>
      <w:r w:rsidRPr="002B292D">
        <w:t>in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parties.</w:t>
      </w:r>
    </w:p>
    <w:p w:rsidR="000D3068" w:rsidRPr="002B292D" w:rsidRDefault="000D3068" w:rsidP="00533F65">
      <w:pPr>
        <w:pStyle w:val="SingleTxtG"/>
      </w:pPr>
      <w:r w:rsidRPr="002B292D">
        <w:t>2.19</w:t>
      </w:r>
      <w:r w:rsidRPr="002B292D">
        <w:tab/>
        <w:t>In</w:t>
      </w:r>
      <w:r>
        <w:t xml:space="preserve"> </w:t>
      </w:r>
      <w:r w:rsidRPr="002B292D">
        <w:t>April</w:t>
      </w:r>
      <w:r>
        <w:t xml:space="preserve"> </w:t>
      </w:r>
      <w:r w:rsidRPr="002B292D">
        <w:t>2015,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submitted</w:t>
      </w:r>
      <w:r>
        <w:t xml:space="preserve"> </w:t>
      </w:r>
      <w:r w:rsidRPr="002B292D">
        <w:t>his</w:t>
      </w:r>
      <w:r>
        <w:t xml:space="preserve"> </w:t>
      </w:r>
      <w:r w:rsidRPr="002B292D">
        <w:t>case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on</w:t>
      </w:r>
      <w:r>
        <w:t xml:space="preserve"> </w:t>
      </w:r>
      <w:r w:rsidRPr="002B292D">
        <w:t>Arbitrary</w:t>
      </w:r>
      <w:r>
        <w:t xml:space="preserve"> </w:t>
      </w:r>
      <w:r w:rsidRPr="002B292D">
        <w:t>Detention.</w:t>
      </w:r>
      <w:r>
        <w:t xml:space="preserve"> </w:t>
      </w:r>
      <w:r w:rsidRPr="002B292D">
        <w:t>On</w:t>
      </w:r>
      <w:r>
        <w:t xml:space="preserve"> </w:t>
      </w:r>
      <w:r w:rsidRPr="002B292D">
        <w:t>4</w:t>
      </w:r>
      <w:r>
        <w:t xml:space="preserve"> </w:t>
      </w:r>
      <w:r w:rsidRPr="002B292D">
        <w:t>September</w:t>
      </w:r>
      <w:r>
        <w:t xml:space="preserve"> </w:t>
      </w:r>
      <w:r w:rsidRPr="002B292D">
        <w:t>2015,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found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deprivation</w:t>
      </w:r>
      <w:r>
        <w:t xml:space="preserve"> </w:t>
      </w:r>
      <w:r w:rsidRPr="002B292D">
        <w:t>of</w:t>
      </w:r>
      <w:r>
        <w:t xml:space="preserve"> </w:t>
      </w:r>
      <w:r w:rsidRPr="002B292D">
        <w:t>liberty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in</w:t>
      </w:r>
      <w:r>
        <w:t xml:space="preserve"> </w:t>
      </w:r>
      <w:r w:rsidRPr="002B292D">
        <w:t>contravention</w:t>
      </w:r>
      <w:r>
        <w:t xml:space="preserve"> </w:t>
      </w:r>
      <w:r w:rsidRPr="002B292D">
        <w:t>of</w:t>
      </w:r>
      <w:r>
        <w:t xml:space="preserve"> </w:t>
      </w:r>
      <w:r w:rsidRPr="002B292D">
        <w:t>articles</w:t>
      </w:r>
      <w:r>
        <w:t xml:space="preserve"> </w:t>
      </w:r>
      <w:r w:rsidRPr="002B292D">
        <w:t>9,</w:t>
      </w:r>
      <w:r>
        <w:t xml:space="preserve"> </w:t>
      </w:r>
      <w:r w:rsidRPr="002B292D">
        <w:t>14,</w:t>
      </w:r>
      <w:r>
        <w:t xml:space="preserve"> </w:t>
      </w:r>
      <w:r w:rsidRPr="002B292D">
        <w:t>19,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and</w:t>
      </w:r>
      <w:r>
        <w:t xml:space="preserve"> </w:t>
      </w:r>
      <w:r w:rsidRPr="002B292D">
        <w:t>was</w:t>
      </w:r>
      <w:r>
        <w:t xml:space="preserve"> </w:t>
      </w:r>
      <w:r w:rsidRPr="002B292D">
        <w:t>therefore</w:t>
      </w:r>
      <w:r>
        <w:t xml:space="preserve"> </w:t>
      </w:r>
      <w:r w:rsidRPr="002B292D">
        <w:t>arbitrary,</w:t>
      </w:r>
      <w:r>
        <w:t xml:space="preserve"> </w:t>
      </w:r>
      <w:r w:rsidRPr="002B292D">
        <w:t>and</w:t>
      </w:r>
      <w:r>
        <w:t xml:space="preserve"> </w:t>
      </w:r>
      <w:r w:rsidRPr="002B292D">
        <w:t>requested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to</w:t>
      </w:r>
      <w:r>
        <w:t xml:space="preserve"> </w:t>
      </w:r>
      <w:r w:rsidRPr="002B292D">
        <w:t>take</w:t>
      </w:r>
      <w:r>
        <w:t xml:space="preserve"> </w:t>
      </w:r>
      <w:r w:rsidRPr="002B292D">
        <w:t>the</w:t>
      </w:r>
      <w:r>
        <w:t xml:space="preserve"> </w:t>
      </w:r>
      <w:r w:rsidRPr="002B292D">
        <w:t>necessary</w:t>
      </w:r>
      <w:r>
        <w:t xml:space="preserve"> </w:t>
      </w:r>
      <w:r w:rsidRPr="002B292D">
        <w:t>steps</w:t>
      </w:r>
      <w:r>
        <w:t xml:space="preserve"> </w:t>
      </w:r>
      <w:r w:rsidRPr="002B292D">
        <w:t>to</w:t>
      </w:r>
      <w:r>
        <w:t xml:space="preserve"> </w:t>
      </w:r>
      <w:r w:rsidRPr="002B292D">
        <w:t>remedy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situation.</w:t>
      </w:r>
      <w:r w:rsidRPr="00A035EA">
        <w:rPr>
          <w:rStyle w:val="FootnoteReference"/>
        </w:rPr>
        <w:footnoteReference w:id="8"/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considered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adequate</w:t>
      </w:r>
      <w:r>
        <w:t xml:space="preserve"> </w:t>
      </w:r>
      <w:r w:rsidRPr="002B292D">
        <w:t>remedy</w:t>
      </w:r>
      <w:r>
        <w:t xml:space="preserve"> </w:t>
      </w:r>
      <w:r w:rsidRPr="002B292D">
        <w:t>would</w:t>
      </w:r>
      <w:r>
        <w:t xml:space="preserve"> </w:t>
      </w:r>
      <w:r w:rsidRPr="002B292D">
        <w:t>be</w:t>
      </w:r>
      <w:r>
        <w:t xml:space="preserve"> </w:t>
      </w:r>
      <w:r w:rsidRPr="002B292D">
        <w:t>to</w:t>
      </w:r>
      <w:r>
        <w:t xml:space="preserve"> </w:t>
      </w:r>
      <w:r w:rsidRPr="002B292D">
        <w:t>release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immediately</w:t>
      </w:r>
      <w:r>
        <w:t xml:space="preserve"> </w:t>
      </w:r>
      <w:r w:rsidRPr="002B292D">
        <w:t>and</w:t>
      </w:r>
      <w:r>
        <w:t xml:space="preserve"> </w:t>
      </w:r>
      <w:r w:rsidRPr="002B292D">
        <w:t>grant</w:t>
      </w:r>
      <w:r>
        <w:t xml:space="preserve"> </w:t>
      </w:r>
      <w:r w:rsidRPr="002B292D">
        <w:t>him</w:t>
      </w:r>
      <w:r>
        <w:t xml:space="preserve"> </w:t>
      </w:r>
      <w:r w:rsidRPr="002B292D">
        <w:t>compensation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article</w:t>
      </w:r>
      <w:r>
        <w:t xml:space="preserve"> </w:t>
      </w:r>
      <w:r w:rsidRPr="002B292D">
        <w:t>9</w:t>
      </w:r>
      <w:r>
        <w:t xml:space="preserve"> </w:t>
      </w:r>
      <w:r w:rsidRPr="002B292D">
        <w:t>(5)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</w:p>
    <w:p w:rsidR="000D3068" w:rsidRPr="002B292D" w:rsidRDefault="000D3068" w:rsidP="00533F65">
      <w:pPr>
        <w:pStyle w:val="SingleTxtG"/>
      </w:pPr>
      <w:r w:rsidRPr="002B292D">
        <w:t>2.20</w:t>
      </w:r>
      <w:r w:rsidRPr="002B292D">
        <w:tab/>
        <w:t>In</w:t>
      </w:r>
      <w:r>
        <w:t xml:space="preserve"> </w:t>
      </w:r>
      <w:r w:rsidRPr="002B292D">
        <w:t>September</w:t>
      </w:r>
      <w:r>
        <w:t xml:space="preserve"> </w:t>
      </w:r>
      <w:r w:rsidRPr="002B292D">
        <w:t>2015,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filed</w:t>
      </w:r>
      <w:r>
        <w:t xml:space="preserve"> </w:t>
      </w:r>
      <w:r w:rsidRPr="002B292D">
        <w:t>an</w:t>
      </w:r>
      <w:r>
        <w:t xml:space="preserve"> </w:t>
      </w:r>
      <w:r w:rsidRPr="002B292D">
        <w:t>appeal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behalf</w:t>
      </w:r>
      <w:r>
        <w:t xml:space="preserve"> </w:t>
      </w:r>
      <w:r w:rsidRPr="002B292D">
        <w:t>before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Court,</w:t>
      </w:r>
      <w:r>
        <w:t xml:space="preserve"> </w:t>
      </w:r>
      <w:r w:rsidRPr="002B292D">
        <w:t>though</w:t>
      </w:r>
      <w:r>
        <w:t xml:space="preserve"> </w:t>
      </w:r>
      <w:r w:rsidRPr="002B292D">
        <w:t>not</w:t>
      </w:r>
      <w:r>
        <w:t xml:space="preserve"> </w:t>
      </w:r>
      <w:r w:rsidRPr="002B292D">
        <w:t>at</w:t>
      </w:r>
      <w:r>
        <w:t xml:space="preserve"> </w:t>
      </w:r>
      <w:r w:rsidRPr="002B292D">
        <w:t>his</w:t>
      </w:r>
      <w:r>
        <w:t xml:space="preserve"> </w:t>
      </w:r>
      <w:r w:rsidRPr="002B292D">
        <w:t>request.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responded</w:t>
      </w:r>
      <w:r>
        <w:t xml:space="preserve"> </w:t>
      </w:r>
      <w:r w:rsidRPr="002B292D">
        <w:t>by</w:t>
      </w:r>
      <w:r>
        <w:t xml:space="preserve"> </w:t>
      </w:r>
      <w:r w:rsidRPr="002B292D">
        <w:t>filing</w:t>
      </w:r>
      <w:r>
        <w:t xml:space="preserve"> </w:t>
      </w:r>
      <w:r w:rsidRPr="002B292D">
        <w:t>his</w:t>
      </w:r>
      <w:r>
        <w:t xml:space="preserve"> </w:t>
      </w:r>
      <w:r w:rsidRPr="002B292D">
        <w:t>own</w:t>
      </w:r>
      <w:r>
        <w:t xml:space="preserve"> </w:t>
      </w:r>
      <w:r w:rsidRPr="002B292D">
        <w:t>appeal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on</w:t>
      </w:r>
      <w:r>
        <w:t xml:space="preserve"> </w:t>
      </w:r>
      <w:r w:rsidRPr="002B292D">
        <w:t>20</w:t>
      </w:r>
      <w:r>
        <w:t xml:space="preserve"> </w:t>
      </w:r>
      <w:r w:rsidRPr="002B292D">
        <w:t>December</w:t>
      </w:r>
      <w:r>
        <w:t xml:space="preserve"> </w:t>
      </w:r>
      <w:r w:rsidRPr="002B292D">
        <w:t>2015.</w:t>
      </w:r>
      <w:r>
        <w:t xml:space="preserve"> </w:t>
      </w:r>
      <w:r w:rsidRPr="002B292D">
        <w:t>However,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only</w:t>
      </w:r>
      <w:r>
        <w:t xml:space="preserve"> </w:t>
      </w:r>
      <w:r w:rsidRPr="002B292D">
        <w:t>heard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 w:rsidR="00995FAE">
        <w:t>’</w:t>
      </w:r>
      <w:r w:rsidRPr="002B292D">
        <w:t>s</w:t>
      </w:r>
      <w:r>
        <w:t xml:space="preserve"> </w:t>
      </w:r>
      <w:r w:rsidRPr="002B292D">
        <w:t>appeal.</w:t>
      </w:r>
      <w:r>
        <w:t xml:space="preserve"> </w:t>
      </w:r>
      <w:r w:rsidRPr="002B292D">
        <w:t>On</w:t>
      </w:r>
      <w:r>
        <w:t xml:space="preserve"> </w:t>
      </w:r>
      <w:r w:rsidRPr="002B292D">
        <w:t>27</w:t>
      </w:r>
      <w:r>
        <w:t xml:space="preserve"> </w:t>
      </w:r>
      <w:r w:rsidRPr="002B292D">
        <w:t>June</w:t>
      </w:r>
      <w:r>
        <w:t xml:space="preserve"> </w:t>
      </w:r>
      <w:r w:rsidRPr="002B292D">
        <w:t>2016,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confirmed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conviction.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none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arguments</w:t>
      </w:r>
      <w:r>
        <w:t xml:space="preserve"> </w:t>
      </w:r>
      <w:r w:rsidRPr="002B292D">
        <w:t>raised</w:t>
      </w:r>
      <w:r>
        <w:t xml:space="preserve"> </w:t>
      </w:r>
      <w:r w:rsidRPr="002B292D">
        <w:t>by</w:t>
      </w:r>
      <w:r>
        <w:t xml:space="preserve"> </w:t>
      </w:r>
      <w:r w:rsidRPr="002B292D">
        <w:t>him</w:t>
      </w:r>
      <w:r>
        <w:t xml:space="preserve"> </w:t>
      </w:r>
      <w:r w:rsidRPr="002B292D">
        <w:t>were</w:t>
      </w:r>
      <w:r>
        <w:t xml:space="preserve"> </w:t>
      </w:r>
      <w:r w:rsidRPr="002B292D">
        <w:t>addressed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Court.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found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had</w:t>
      </w:r>
      <w:r>
        <w:t xml:space="preserve"> </w:t>
      </w:r>
      <w:r w:rsidRPr="002B292D">
        <w:t>had</w:t>
      </w:r>
      <w:r>
        <w:t xml:space="preserve"> </w:t>
      </w:r>
      <w:r w:rsidRPr="002B292D">
        <w:t>adequate</w:t>
      </w:r>
      <w:r>
        <w:t xml:space="preserve"> </w:t>
      </w:r>
      <w:r w:rsidRPr="002B292D">
        <w:t>time</w:t>
      </w:r>
      <w:r>
        <w:t xml:space="preserve"> </w:t>
      </w:r>
      <w:r w:rsidRPr="002B292D">
        <w:t>to</w:t>
      </w:r>
      <w:r>
        <w:t xml:space="preserve"> </w:t>
      </w:r>
      <w:r w:rsidRPr="002B292D">
        <w:t>prepare</w:t>
      </w:r>
      <w:r>
        <w:t xml:space="preserve"> </w:t>
      </w:r>
      <w:r w:rsidRPr="002B292D">
        <w:t>a</w:t>
      </w:r>
      <w:r>
        <w:t xml:space="preserve"> </w:t>
      </w:r>
      <w:r w:rsidRPr="002B292D">
        <w:t>defence</w:t>
      </w:r>
      <w:r>
        <w:t xml:space="preserve"> </w:t>
      </w:r>
      <w:r w:rsidRPr="002B292D">
        <w:t>during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proceedings,</w:t>
      </w:r>
      <w:r>
        <w:t xml:space="preserve"> </w:t>
      </w:r>
      <w:r w:rsidRPr="002B292D">
        <w:t>even</w:t>
      </w:r>
      <w:r>
        <w:t xml:space="preserve"> </w:t>
      </w:r>
      <w:r w:rsidRPr="002B292D">
        <w:t>though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only</w:t>
      </w:r>
      <w:r>
        <w:t xml:space="preserve"> </w:t>
      </w:r>
      <w:r w:rsidRPr="002B292D">
        <w:t>had</w:t>
      </w:r>
      <w:r>
        <w:t xml:space="preserve"> </w:t>
      </w:r>
      <w:r w:rsidRPr="002B292D">
        <w:t>a</w:t>
      </w:r>
      <w:r>
        <w:t xml:space="preserve"> </w:t>
      </w:r>
      <w:r w:rsidRPr="002B292D">
        <w:t>total</w:t>
      </w:r>
      <w:r>
        <w:t xml:space="preserve"> </w:t>
      </w:r>
      <w:r w:rsidRPr="002B292D">
        <w:t>of</w:t>
      </w:r>
      <w:r>
        <w:t xml:space="preserve"> </w:t>
      </w:r>
      <w:r w:rsidRPr="002B292D">
        <w:t>19</w:t>
      </w:r>
      <w:r>
        <w:t xml:space="preserve"> </w:t>
      </w:r>
      <w:r w:rsidRPr="002B292D">
        <w:t>days</w:t>
      </w:r>
      <w:r>
        <w:t xml:space="preserve"> </w:t>
      </w:r>
      <w:r w:rsidRPr="002B292D">
        <w:t>from</w:t>
      </w:r>
      <w:r>
        <w:t xml:space="preserve"> </w:t>
      </w:r>
      <w:r w:rsidRPr="002B292D">
        <w:t>the</w:t>
      </w:r>
      <w:r>
        <w:t xml:space="preserve"> </w:t>
      </w:r>
      <w:r w:rsidRPr="002B292D">
        <w:t>time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had</w:t>
      </w:r>
      <w:r>
        <w:t xml:space="preserve"> </w:t>
      </w:r>
      <w:r w:rsidRPr="002B292D">
        <w:t>brought</w:t>
      </w:r>
      <w:r>
        <w:t xml:space="preserve"> </w:t>
      </w:r>
      <w:r w:rsidRPr="002B292D">
        <w:t>the</w:t>
      </w:r>
      <w:r>
        <w:t xml:space="preserve"> </w:t>
      </w:r>
      <w:r w:rsidRPr="002B292D">
        <w:t>new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until</w:t>
      </w:r>
      <w:r>
        <w:t xml:space="preserve"> </w:t>
      </w:r>
      <w:r w:rsidRPr="002B292D">
        <w:t>his</w:t>
      </w:r>
      <w:r>
        <w:t xml:space="preserve"> </w:t>
      </w:r>
      <w:r w:rsidRPr="002B292D">
        <w:t>conviction.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reasoned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author,</w:t>
      </w:r>
      <w:r>
        <w:t xml:space="preserve"> </w:t>
      </w:r>
      <w:r w:rsidRPr="002B292D">
        <w:t>and</w:t>
      </w:r>
      <w:r>
        <w:t xml:space="preserve"> </w:t>
      </w:r>
      <w:r w:rsidRPr="002B292D">
        <w:t>his</w:t>
      </w:r>
      <w:r>
        <w:t xml:space="preserve"> </w:t>
      </w:r>
      <w:r w:rsidRPr="002B292D">
        <w:t>lawyers</w:t>
      </w:r>
      <w:r>
        <w:t xml:space="preserve"> </w:t>
      </w:r>
      <w:r w:rsidRPr="002B292D">
        <w:t>who</w:t>
      </w:r>
      <w:r>
        <w:t xml:space="preserve"> </w:t>
      </w:r>
      <w:r w:rsidRPr="002B292D">
        <w:t>had</w:t>
      </w:r>
      <w:r>
        <w:t xml:space="preserve"> </w:t>
      </w:r>
      <w:r w:rsidRPr="002B292D">
        <w:t>represented</w:t>
      </w:r>
      <w:r>
        <w:t xml:space="preserve"> </w:t>
      </w:r>
      <w:r w:rsidRPr="002B292D">
        <w:t>him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original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proceedings,</w:t>
      </w:r>
      <w:r>
        <w:t xml:space="preserve"> </w:t>
      </w:r>
      <w:r w:rsidRPr="002B292D">
        <w:t>had</w:t>
      </w:r>
      <w:r>
        <w:t xml:space="preserve"> </w:t>
      </w:r>
      <w:r w:rsidRPr="002B292D">
        <w:t>known</w:t>
      </w:r>
      <w:r>
        <w:t xml:space="preserve"> </w:t>
      </w:r>
      <w:r w:rsidRPr="002B292D">
        <w:t>since</w:t>
      </w:r>
      <w:r>
        <w:t xml:space="preserve"> </w:t>
      </w:r>
      <w:r w:rsidRPr="002B292D">
        <w:t>2012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accused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alleged</w:t>
      </w:r>
      <w:r>
        <w:t xml:space="preserve"> </w:t>
      </w:r>
      <w:r w:rsidRPr="002B292D">
        <w:t>illegal</w:t>
      </w:r>
      <w:r>
        <w:t xml:space="preserve"> </w:t>
      </w:r>
      <w:r w:rsidRPr="002B292D">
        <w:t>detention</w:t>
      </w:r>
      <w:r>
        <w:t xml:space="preserve"> </w:t>
      </w:r>
      <w:r w:rsidRPr="002B292D">
        <w:t>of</w:t>
      </w:r>
      <w:r>
        <w:t xml:space="preserve"> </w:t>
      </w:r>
      <w:r w:rsidRPr="002B292D">
        <w:t>a</w:t>
      </w:r>
      <w:r>
        <w:t xml:space="preserve"> </w:t>
      </w:r>
      <w:r w:rsidRPr="002B292D">
        <w:t>Chief</w:t>
      </w:r>
      <w:r>
        <w:t xml:space="preserve"> </w:t>
      </w:r>
      <w:r w:rsidRPr="002B292D">
        <w:t>Justice.</w:t>
      </w:r>
    </w:p>
    <w:p w:rsidR="000D3068" w:rsidRPr="002B292D" w:rsidRDefault="000D3068" w:rsidP="00533F65">
      <w:pPr>
        <w:pStyle w:val="SingleTxtG"/>
      </w:pPr>
      <w:r w:rsidRPr="002B292D">
        <w:t>2.21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argues</w:t>
      </w:r>
      <w:r>
        <w:t xml:space="preserve"> </w:t>
      </w:r>
      <w:r w:rsidRPr="002B292D">
        <w:t>that</w:t>
      </w:r>
      <w:r>
        <w:t xml:space="preserve"> </w:t>
      </w:r>
      <w:r w:rsidRPr="002B292D">
        <w:t>international</w:t>
      </w:r>
      <w:r>
        <w:t xml:space="preserve"> </w:t>
      </w:r>
      <w:r w:rsidRPr="002B292D">
        <w:t>organizations,</w:t>
      </w:r>
      <w:r>
        <w:t xml:space="preserve"> </w:t>
      </w:r>
      <w:r w:rsidRPr="002B292D">
        <w:t>States</w:t>
      </w:r>
      <w:r>
        <w:t xml:space="preserve"> </w:t>
      </w:r>
      <w:r w:rsidRPr="002B292D">
        <w:t>and</w:t>
      </w:r>
      <w:r>
        <w:t xml:space="preserve"> </w:t>
      </w:r>
      <w:r w:rsidRPr="002B292D">
        <w:t>well-known</w:t>
      </w:r>
      <w:r>
        <w:t xml:space="preserve"> </w:t>
      </w:r>
      <w:r w:rsidRPr="002B292D">
        <w:t>non-governmental</w:t>
      </w:r>
      <w:r>
        <w:t xml:space="preserve"> </w:t>
      </w:r>
      <w:r w:rsidRPr="002B292D">
        <w:t>organizations</w:t>
      </w:r>
      <w:r>
        <w:t xml:space="preserve"> </w:t>
      </w:r>
      <w:r w:rsidRPr="002B292D">
        <w:t>(NGOs)</w:t>
      </w:r>
      <w:r>
        <w:t xml:space="preserve"> </w:t>
      </w:r>
      <w:r w:rsidRPr="002B292D">
        <w:t>expressed</w:t>
      </w:r>
      <w:r>
        <w:t xml:space="preserve"> </w:t>
      </w:r>
      <w:r w:rsidRPr="002B292D">
        <w:t>their</w:t>
      </w:r>
      <w:r>
        <w:t xml:space="preserve"> </w:t>
      </w:r>
      <w:r w:rsidRPr="002B292D">
        <w:t>concerns</w:t>
      </w:r>
      <w:r>
        <w:t xml:space="preserve"> </w:t>
      </w:r>
      <w:r w:rsidRPr="002B292D">
        <w:t>about</w:t>
      </w:r>
      <w:r>
        <w:t xml:space="preserve"> </w:t>
      </w:r>
      <w:r w:rsidRPr="002B292D">
        <w:t>the</w:t>
      </w:r>
      <w:r>
        <w:t xml:space="preserve"> </w:t>
      </w:r>
      <w:r w:rsidRPr="002B292D">
        <w:t>lack</w:t>
      </w:r>
      <w:r>
        <w:t xml:space="preserve"> </w:t>
      </w:r>
      <w:r w:rsidRPr="002B292D">
        <w:t>of</w:t>
      </w:r>
      <w:r>
        <w:t xml:space="preserve"> </w:t>
      </w:r>
      <w:r w:rsidRPr="002B292D">
        <w:t>a</w:t>
      </w:r>
      <w:r>
        <w:t xml:space="preserve"> </w:t>
      </w:r>
      <w:r w:rsidRPr="002B292D">
        <w:t>fair</w:t>
      </w:r>
      <w:r>
        <w:t xml:space="preserve"> </w:t>
      </w:r>
      <w:r w:rsidRPr="002B292D">
        <w:t>trial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case,</w:t>
      </w:r>
      <w:r w:rsidRPr="00A035EA">
        <w:rPr>
          <w:rStyle w:val="FootnoteReference"/>
        </w:rPr>
        <w:footnoteReference w:id="9"/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international</w:t>
      </w:r>
      <w:r>
        <w:t xml:space="preserve"> </w:t>
      </w:r>
      <w:r w:rsidRPr="002B292D">
        <w:t>pressure,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released</w:t>
      </w:r>
      <w:r>
        <w:t xml:space="preserve"> </w:t>
      </w:r>
      <w:r w:rsidRPr="002B292D">
        <w:t>on</w:t>
      </w:r>
      <w:r>
        <w:t xml:space="preserve"> </w:t>
      </w:r>
      <w:r w:rsidRPr="002B292D">
        <w:t>medical</w:t>
      </w:r>
      <w:r>
        <w:t xml:space="preserve"> </w:t>
      </w:r>
      <w:r w:rsidRPr="002B292D">
        <w:t>leave</w:t>
      </w:r>
      <w:r>
        <w:t xml:space="preserve"> </w:t>
      </w:r>
      <w:r w:rsidRPr="002B292D">
        <w:t>in</w:t>
      </w:r>
      <w:r>
        <w:t xml:space="preserve"> </w:t>
      </w:r>
      <w:r w:rsidRPr="002B292D">
        <w:t>January</w:t>
      </w:r>
      <w:r>
        <w:t xml:space="preserve"> </w:t>
      </w:r>
      <w:r w:rsidRPr="002B292D">
        <w:t>2016</w:t>
      </w:r>
      <w:r>
        <w:t xml:space="preserve"> </w:t>
      </w:r>
      <w:r w:rsidRPr="002B292D">
        <w:t>and</w:t>
      </w:r>
      <w:r>
        <w:t xml:space="preserve"> </w:t>
      </w:r>
      <w:r w:rsidRPr="002B292D">
        <w:t>was</w:t>
      </w:r>
      <w:r>
        <w:t xml:space="preserve"> </w:t>
      </w:r>
      <w:r w:rsidRPr="002B292D">
        <w:t>permitted</w:t>
      </w:r>
      <w:r>
        <w:t xml:space="preserve"> </w:t>
      </w:r>
      <w:r w:rsidRPr="002B292D">
        <w:t>to</w:t>
      </w:r>
      <w:r>
        <w:t xml:space="preserve"> </w:t>
      </w:r>
      <w:r w:rsidRPr="002B292D">
        <w:t>travel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United</w:t>
      </w:r>
      <w:r>
        <w:t xml:space="preserve"> </w:t>
      </w:r>
      <w:r w:rsidRPr="002B292D">
        <w:t>Kingdom</w:t>
      </w:r>
      <w:r>
        <w:t xml:space="preserve"> </w:t>
      </w:r>
      <w:r w:rsidRPr="002B292D">
        <w:t>of</w:t>
      </w:r>
      <w:r>
        <w:t xml:space="preserve"> </w:t>
      </w:r>
      <w:r w:rsidRPr="002B292D">
        <w:t>Great</w:t>
      </w:r>
      <w:r>
        <w:t xml:space="preserve"> </w:t>
      </w:r>
      <w:r w:rsidRPr="002B292D">
        <w:t>Britain</w:t>
      </w:r>
      <w:r>
        <w:t xml:space="preserve"> </w:t>
      </w:r>
      <w:r w:rsidRPr="002B292D">
        <w:t>and</w:t>
      </w:r>
      <w:r>
        <w:t xml:space="preserve"> </w:t>
      </w:r>
      <w:r w:rsidRPr="002B292D">
        <w:t>Northern</w:t>
      </w:r>
      <w:r>
        <w:t xml:space="preserve"> </w:t>
      </w:r>
      <w:r w:rsidRPr="002B292D">
        <w:t>Ireland</w:t>
      </w:r>
      <w:r>
        <w:t xml:space="preserve"> </w:t>
      </w:r>
      <w:r w:rsidRPr="002B292D">
        <w:t>for</w:t>
      </w:r>
      <w:r>
        <w:t xml:space="preserve"> </w:t>
      </w:r>
      <w:r w:rsidRPr="002B292D">
        <w:t>treatment.</w:t>
      </w:r>
      <w:r>
        <w:t xml:space="preserve"> </w:t>
      </w:r>
      <w:r w:rsidRPr="002B292D">
        <w:t>On</w:t>
      </w:r>
      <w:r>
        <w:t xml:space="preserve"> </w:t>
      </w:r>
      <w:r w:rsidRPr="002B292D">
        <w:t>19</w:t>
      </w:r>
      <w:r>
        <w:t xml:space="preserve"> </w:t>
      </w:r>
      <w:r w:rsidRPr="002B292D">
        <w:t>May</w:t>
      </w:r>
      <w:r>
        <w:t xml:space="preserve"> </w:t>
      </w:r>
      <w:r w:rsidRPr="002B292D">
        <w:t>2016,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granted</w:t>
      </w:r>
      <w:r>
        <w:t xml:space="preserve"> </w:t>
      </w:r>
      <w:r w:rsidRPr="002B292D">
        <w:t>political</w:t>
      </w:r>
      <w:r>
        <w:t xml:space="preserve"> </w:t>
      </w:r>
      <w:r w:rsidRPr="002B292D">
        <w:t>asylum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United</w:t>
      </w:r>
      <w:r>
        <w:t xml:space="preserve"> </w:t>
      </w:r>
      <w:r w:rsidRPr="002B292D">
        <w:t>Kingdom.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also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time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second</w:t>
      </w:r>
      <w:r>
        <w:t xml:space="preserve"> </w:t>
      </w:r>
      <w:r w:rsidRPr="002B292D">
        <w:t>communication</w:t>
      </w:r>
      <w:r>
        <w:t xml:space="preserve"> </w:t>
      </w:r>
      <w:r w:rsidRPr="002B292D">
        <w:t>was</w:t>
      </w:r>
      <w:r>
        <w:t xml:space="preserve"> </w:t>
      </w:r>
      <w:r w:rsidRPr="002B292D">
        <w:t>submitted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Committee,</w:t>
      </w:r>
      <w:r>
        <w:t xml:space="preserve"> </w:t>
      </w:r>
      <w:r w:rsidRPr="002B292D">
        <w:t>his</w:t>
      </w:r>
      <w:r>
        <w:t xml:space="preserve"> </w:t>
      </w:r>
      <w:r w:rsidRPr="002B292D">
        <w:t>sentence</w:t>
      </w:r>
      <w:r>
        <w:t xml:space="preserve"> </w:t>
      </w:r>
      <w:r w:rsidRPr="002B292D">
        <w:t>had</w:t>
      </w:r>
      <w:r>
        <w:t xml:space="preserve"> </w:t>
      </w:r>
      <w:r w:rsidRPr="002B292D">
        <w:t>not</w:t>
      </w:r>
      <w:r>
        <w:t xml:space="preserve"> </w:t>
      </w:r>
      <w:r w:rsidRPr="002B292D">
        <w:t>been</w:t>
      </w:r>
      <w:r>
        <w:t xml:space="preserve"> </w:t>
      </w:r>
      <w:r w:rsidRPr="002B292D">
        <w:t>commuted</w:t>
      </w:r>
      <w:r>
        <w:t xml:space="preserve"> </w:t>
      </w:r>
      <w:r w:rsidRPr="002B292D">
        <w:t>and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still</w:t>
      </w:r>
      <w:r>
        <w:t xml:space="preserve"> </w:t>
      </w:r>
      <w:r w:rsidRPr="002B292D">
        <w:t>considered</w:t>
      </w:r>
      <w:r>
        <w:t xml:space="preserve"> </w:t>
      </w:r>
      <w:r w:rsidRPr="002B292D">
        <w:t>a</w:t>
      </w:r>
      <w:r>
        <w:t xml:space="preserve"> </w:t>
      </w:r>
      <w:r w:rsidRPr="002B292D">
        <w:t>criminal</w:t>
      </w:r>
      <w:r>
        <w:t xml:space="preserve"> </w:t>
      </w:r>
      <w:r w:rsidRPr="002B292D">
        <w:t>convicted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and</w:t>
      </w:r>
      <w:r>
        <w:t xml:space="preserve"> </w:t>
      </w:r>
      <w:r w:rsidRPr="002B292D">
        <w:t>all</w:t>
      </w:r>
      <w:r>
        <w:t xml:space="preserve"> </w:t>
      </w:r>
      <w:r w:rsidRPr="002B292D">
        <w:t>other</w:t>
      </w:r>
      <w:r>
        <w:t xml:space="preserve"> </w:t>
      </w:r>
      <w:r w:rsidRPr="002B292D">
        <w:t>restraints</w:t>
      </w:r>
      <w:r>
        <w:t xml:space="preserve"> </w:t>
      </w:r>
      <w:r w:rsidRPr="002B292D">
        <w:t>on</w:t>
      </w:r>
      <w:r>
        <w:t xml:space="preserve"> </w:t>
      </w:r>
      <w:r w:rsidRPr="002B292D">
        <w:t>his</w:t>
      </w:r>
      <w:r>
        <w:t xml:space="preserve"> </w:t>
      </w:r>
      <w:r w:rsidRPr="002B292D">
        <w:t>liberty</w:t>
      </w:r>
      <w:r>
        <w:t xml:space="preserve"> </w:t>
      </w:r>
      <w:r w:rsidRPr="002B292D">
        <w:t>were</w:t>
      </w:r>
      <w:r>
        <w:t xml:space="preserve"> </w:t>
      </w:r>
      <w:r w:rsidRPr="002B292D">
        <w:t>in</w:t>
      </w:r>
      <w:r>
        <w:t xml:space="preserve"> </w:t>
      </w:r>
      <w:r w:rsidRPr="002B292D">
        <w:t>effect,</w:t>
      </w:r>
      <w:r>
        <w:t xml:space="preserve"> </w:t>
      </w:r>
      <w:r w:rsidRPr="002B292D">
        <w:t>including</w:t>
      </w:r>
      <w:r>
        <w:t xml:space="preserve"> </w:t>
      </w:r>
      <w:r w:rsidRPr="002B292D">
        <w:t>restrictions</w:t>
      </w:r>
      <w:r>
        <w:t xml:space="preserve"> </w:t>
      </w:r>
      <w:r w:rsidRPr="002B292D">
        <w:t>on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participate</w:t>
      </w:r>
      <w:r>
        <w:t xml:space="preserve"> </w:t>
      </w:r>
      <w:r w:rsidRPr="002B292D">
        <w:t>in</w:t>
      </w:r>
      <w:r>
        <w:t xml:space="preserve"> </w:t>
      </w:r>
      <w:r w:rsidRPr="002B292D">
        <w:t>political</w:t>
      </w:r>
      <w:r>
        <w:t xml:space="preserve"> </w:t>
      </w:r>
      <w:r w:rsidRPr="002B292D">
        <w:t>elections.</w:t>
      </w:r>
      <w:r w:rsidR="00995FAE"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result,</w:t>
      </w:r>
      <w:r>
        <w:t xml:space="preserve"> </w:t>
      </w:r>
      <w:r w:rsidRPr="002B292D">
        <w:t>he</w:t>
      </w:r>
      <w:r>
        <w:t xml:space="preserve"> </w:t>
      </w:r>
      <w:r w:rsidRPr="002B292D">
        <w:t>is</w:t>
      </w:r>
      <w:r>
        <w:t xml:space="preserve"> </w:t>
      </w:r>
      <w:r w:rsidRPr="002B292D">
        <w:t>subject</w:t>
      </w:r>
      <w:r>
        <w:t xml:space="preserve"> </w:t>
      </w:r>
      <w:r w:rsidRPr="002B292D">
        <w:t>to</w:t>
      </w:r>
      <w:r>
        <w:t xml:space="preserve"> </w:t>
      </w:r>
      <w:r w:rsidRPr="002B292D">
        <w:t>a</w:t>
      </w:r>
      <w:r>
        <w:t xml:space="preserve"> </w:t>
      </w:r>
      <w:r w:rsidRPr="002B292D">
        <w:t>16-year</w:t>
      </w:r>
      <w:r>
        <w:t xml:space="preserve"> </w:t>
      </w:r>
      <w:r w:rsidRPr="002B292D">
        <w:t>disqualification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for</w:t>
      </w:r>
      <w:r>
        <w:t xml:space="preserve"> </w:t>
      </w:r>
      <w:r w:rsidRPr="002B292D">
        <w:t>political</w:t>
      </w:r>
      <w:r>
        <w:t xml:space="preserve"> </w:t>
      </w:r>
      <w:r w:rsidRPr="002B292D">
        <w:t>office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Constitution,</w:t>
      </w:r>
      <w:r>
        <w:t xml:space="preserve"> </w:t>
      </w:r>
      <w:r w:rsidRPr="002B292D">
        <w:t>and</w:t>
      </w:r>
      <w:r>
        <w:t xml:space="preserve"> </w:t>
      </w:r>
      <w:r w:rsidRPr="002B292D">
        <w:t>he</w:t>
      </w:r>
      <w:r>
        <w:t xml:space="preserve"> </w:t>
      </w:r>
      <w:r w:rsidRPr="002B292D">
        <w:t>is</w:t>
      </w:r>
      <w:r>
        <w:t xml:space="preserve"> </w:t>
      </w:r>
      <w:r w:rsidRPr="002B292D">
        <w:t>banned</w:t>
      </w:r>
      <w:r>
        <w:t xml:space="preserve"> </w:t>
      </w:r>
      <w:r w:rsidRPr="002B292D">
        <w:t>from</w:t>
      </w:r>
      <w:r>
        <w:t xml:space="preserve"> </w:t>
      </w:r>
      <w:r w:rsidRPr="002B292D">
        <w:t>holding</w:t>
      </w:r>
      <w:r>
        <w:t xml:space="preserve"> </w:t>
      </w:r>
      <w:r w:rsidRPr="002B292D">
        <w:t>a</w:t>
      </w:r>
      <w:r>
        <w:t xml:space="preserve"> </w:t>
      </w:r>
      <w:r w:rsidRPr="002B292D">
        <w:t>leadership</w:t>
      </w:r>
      <w:r>
        <w:t xml:space="preserve"> </w:t>
      </w:r>
      <w:r w:rsidRPr="002B292D">
        <w:t>position</w:t>
      </w:r>
      <w:r>
        <w:t xml:space="preserve"> </w:t>
      </w:r>
      <w:r w:rsidRPr="002B292D">
        <w:t>in</w:t>
      </w:r>
      <w:r>
        <w:t xml:space="preserve"> </w:t>
      </w:r>
      <w:r w:rsidRPr="002B292D">
        <w:t>a</w:t>
      </w:r>
      <w:r>
        <w:t xml:space="preserve"> </w:t>
      </w:r>
      <w:r w:rsidRPr="002B292D">
        <w:t>political</w:t>
      </w:r>
      <w:r>
        <w:t xml:space="preserve"> </w:t>
      </w:r>
      <w:r w:rsidRPr="002B292D">
        <w:t>party,</w:t>
      </w:r>
      <w:r>
        <w:t xml:space="preserve"> </w:t>
      </w:r>
      <w:r w:rsidRPr="002B292D">
        <w:t>under</w:t>
      </w:r>
      <w:r>
        <w:t xml:space="preserve"> </w:t>
      </w:r>
      <w:r w:rsidRPr="002B292D">
        <w:t>an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Act.</w:t>
      </w:r>
    </w:p>
    <w:p w:rsidR="000D3068" w:rsidRPr="002B292D" w:rsidRDefault="000D3068" w:rsidP="00533F65">
      <w:pPr>
        <w:pStyle w:val="SingleTxtG"/>
      </w:pPr>
      <w:r w:rsidRPr="002B292D">
        <w:t>2.22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all</w:t>
      </w:r>
      <w:r>
        <w:t xml:space="preserve"> </w:t>
      </w:r>
      <w:r w:rsidRPr="002B292D">
        <w:t>domestic</w:t>
      </w:r>
      <w:r>
        <w:t xml:space="preserve"> </w:t>
      </w:r>
      <w:r w:rsidRPr="002B292D">
        <w:t>remedies</w:t>
      </w:r>
      <w:r>
        <w:t xml:space="preserve"> </w:t>
      </w:r>
      <w:r w:rsidRPr="002B292D">
        <w:t>available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exhausted.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time</w:t>
      </w:r>
      <w:r>
        <w:t xml:space="preserve"> </w:t>
      </w:r>
      <w:r w:rsidRPr="002B292D">
        <w:t>that</w:t>
      </w:r>
      <w:r>
        <w:t xml:space="preserve"> </w:t>
      </w:r>
      <w:r w:rsidRPr="002B292D"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2851/2016</w:t>
      </w:r>
      <w:r>
        <w:t xml:space="preserve"> </w:t>
      </w:r>
      <w:r w:rsidRPr="002B292D">
        <w:t>was</w:t>
      </w:r>
      <w:r>
        <w:t xml:space="preserve"> </w:t>
      </w:r>
      <w:r w:rsidRPr="002B292D">
        <w:t>submitted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Committee,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had</w:t>
      </w:r>
      <w:r>
        <w:t xml:space="preserve"> </w:t>
      </w:r>
      <w:r w:rsidRPr="002B292D">
        <w:t>not</w:t>
      </w:r>
      <w:r>
        <w:t xml:space="preserve"> </w:t>
      </w:r>
      <w:r w:rsidRPr="002B292D">
        <w:t>made</w:t>
      </w:r>
      <w:r>
        <w:t xml:space="preserve"> </w:t>
      </w:r>
      <w:r w:rsidRPr="002B292D">
        <w:t>a</w:t>
      </w:r>
      <w:r>
        <w:t xml:space="preserve"> </w:t>
      </w:r>
      <w:r w:rsidRPr="002B292D">
        <w:t>decision</w:t>
      </w:r>
      <w:r>
        <w:t xml:space="preserve"> </w:t>
      </w:r>
      <w:r w:rsidRPr="002B292D">
        <w:t>on</w:t>
      </w:r>
      <w:r>
        <w:t xml:space="preserve"> </w:t>
      </w:r>
      <w:r w:rsidRPr="002B292D">
        <w:t>whether</w:t>
      </w:r>
      <w:r>
        <w:t xml:space="preserve"> </w:t>
      </w:r>
      <w:r w:rsidRPr="002B292D">
        <w:t>to</w:t>
      </w:r>
      <w:r>
        <w:t xml:space="preserve"> </w:t>
      </w:r>
      <w:r w:rsidRPr="002B292D">
        <w:t>grant</w:t>
      </w:r>
      <w:r>
        <w:t xml:space="preserve"> </w:t>
      </w:r>
      <w:r w:rsidRPr="002B292D">
        <w:t>leave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appeal</w:t>
      </w:r>
      <w:r>
        <w:t xml:space="preserve"> </w:t>
      </w:r>
      <w:r w:rsidRPr="002B292D">
        <w:t>submitted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author,</w:t>
      </w:r>
      <w:r>
        <w:t xml:space="preserve"> </w:t>
      </w:r>
      <w:r w:rsidRPr="002B292D">
        <w:t>and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likely</w:t>
      </w:r>
      <w:r>
        <w:t xml:space="preserve"> </w:t>
      </w:r>
      <w:r w:rsidRPr="002B292D">
        <w:t>that</w:t>
      </w:r>
      <w:r>
        <w:t xml:space="preserve"> </w:t>
      </w:r>
      <w:r w:rsidRPr="002B292D">
        <w:t>they</w:t>
      </w:r>
      <w:r>
        <w:t xml:space="preserve"> </w:t>
      </w:r>
      <w:r w:rsidRPr="002B292D">
        <w:t>would</w:t>
      </w:r>
      <w:r>
        <w:t xml:space="preserve"> </w:t>
      </w:r>
      <w:r w:rsidRPr="002B292D">
        <w:t>do</w:t>
      </w:r>
      <w:r>
        <w:t xml:space="preserve"> </w:t>
      </w:r>
      <w:r w:rsidRPr="002B292D">
        <w:t>so,</w:t>
      </w:r>
      <w:r>
        <w:t xml:space="preserve"> </w:t>
      </w:r>
      <w:r w:rsidRPr="002B292D">
        <w:t>given</w:t>
      </w:r>
      <w:r>
        <w:t xml:space="preserve"> </w:t>
      </w:r>
      <w:r w:rsidRPr="002B292D">
        <w:t>the</w:t>
      </w:r>
      <w:r>
        <w:t xml:space="preserve"> </w:t>
      </w:r>
      <w:r w:rsidRPr="002B292D">
        <w:t>already</w:t>
      </w:r>
      <w:r>
        <w:t xml:space="preserve"> </w:t>
      </w:r>
      <w:r w:rsidRPr="002B292D">
        <w:t>prolonged</w:t>
      </w:r>
      <w:r>
        <w:t xml:space="preserve"> </w:t>
      </w:r>
      <w:r w:rsidRPr="002B292D">
        <w:t>process</w:t>
      </w:r>
      <w:r>
        <w:t xml:space="preserve"> </w:t>
      </w:r>
      <w:r w:rsidRPr="002B292D">
        <w:t>and</w:t>
      </w:r>
      <w:r>
        <w:t xml:space="preserve"> </w:t>
      </w:r>
      <w:r w:rsidRPr="002B292D">
        <w:t>elaborate</w:t>
      </w:r>
      <w:r>
        <w:t xml:space="preserve"> </w:t>
      </w:r>
      <w:r w:rsidRPr="002B292D">
        <w:t>machinations</w:t>
      </w:r>
      <w:r>
        <w:t xml:space="preserve"> </w:t>
      </w:r>
      <w:r w:rsidRPr="002B292D">
        <w:t>that</w:t>
      </w:r>
      <w:r>
        <w:t xml:space="preserve"> </w:t>
      </w:r>
      <w:r w:rsidRPr="002B292D">
        <w:t>characterized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case.</w:t>
      </w:r>
    </w:p>
    <w:p w:rsidR="000D3068" w:rsidRPr="002B292D" w:rsidRDefault="000D3068" w:rsidP="00E67817">
      <w:pPr>
        <w:pStyle w:val="H23G"/>
      </w:pPr>
      <w:r w:rsidRPr="002B292D">
        <w:lastRenderedPageBreak/>
        <w:tab/>
      </w:r>
      <w:r w:rsidRPr="002B292D">
        <w:tab/>
        <w:t>The</w:t>
      </w:r>
      <w:r>
        <w:t xml:space="preserve"> </w:t>
      </w:r>
      <w:r w:rsidRPr="002B292D">
        <w:t>complaint</w:t>
      </w:r>
    </w:p>
    <w:p w:rsidR="000D3068" w:rsidRPr="002B292D" w:rsidRDefault="000D3068" w:rsidP="00533F65">
      <w:pPr>
        <w:pStyle w:val="SingleTxtG"/>
      </w:pPr>
      <w:r w:rsidRPr="002B292D">
        <w:t>3.1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violated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t>14,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  <w:r>
        <w:t xml:space="preserve"> </w:t>
      </w:r>
      <w:r w:rsidRPr="002B292D">
        <w:t>He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14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were</w:t>
      </w:r>
      <w:r>
        <w:t xml:space="preserve"> </w:t>
      </w:r>
      <w:r w:rsidRPr="002B292D">
        <w:t>violated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initial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charged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81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Penal</w:t>
      </w:r>
      <w:r>
        <w:t xml:space="preserve"> </w:t>
      </w:r>
      <w:r w:rsidRPr="002B292D">
        <w:t>Code,</w:t>
      </w:r>
      <w:r>
        <w:t xml:space="preserve"> </w:t>
      </w:r>
      <w:r w:rsidRPr="002B292D">
        <w:t>since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tried</w:t>
      </w:r>
      <w:r>
        <w:t xml:space="preserve"> </w:t>
      </w:r>
      <w:r w:rsidRPr="002B292D">
        <w:t>by</w:t>
      </w:r>
      <w:r>
        <w:t xml:space="preserve"> </w:t>
      </w:r>
      <w:r w:rsidRPr="002B292D">
        <w:t>a</w:t>
      </w:r>
      <w:r>
        <w:t xml:space="preserve"> </w:t>
      </w:r>
      <w:r w:rsidRPr="002B292D">
        <w:t>biased</w:t>
      </w:r>
      <w:r>
        <w:t xml:space="preserve"> </w:t>
      </w:r>
      <w:r w:rsidRPr="002B292D">
        <w:t>and</w:t>
      </w:r>
      <w:r>
        <w:t xml:space="preserve"> </w:t>
      </w:r>
      <w:r w:rsidRPr="002B292D">
        <w:t>non-independent</w:t>
      </w:r>
      <w:r>
        <w:t xml:space="preserve"> </w:t>
      </w:r>
      <w:r w:rsidRPr="002B292D">
        <w:t>court.</w:t>
      </w:r>
      <w:r>
        <w:t xml:space="preserve"> </w:t>
      </w:r>
      <w:r w:rsidRPr="002B292D">
        <w:t>Moreover,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treated</w:t>
      </w:r>
      <w:r>
        <w:t xml:space="preserve"> </w:t>
      </w:r>
      <w:r w:rsidRPr="002B292D">
        <w:t>equally</w:t>
      </w:r>
      <w:r>
        <w:t xml:space="preserve"> </w:t>
      </w:r>
      <w:r w:rsidRPr="002B292D">
        <w:t>before</w:t>
      </w:r>
      <w:r>
        <w:t xml:space="preserve"> </w:t>
      </w:r>
      <w:r w:rsidRPr="002B292D">
        <w:t>the</w:t>
      </w:r>
      <w:r>
        <w:t xml:space="preserve"> </w:t>
      </w:r>
      <w:r w:rsidRPr="002B292D">
        <w:t>courts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his</w:t>
      </w:r>
      <w:r>
        <w:t xml:space="preserve"> </w:t>
      </w:r>
      <w:r w:rsidRPr="002B292D">
        <w:t>political</w:t>
      </w:r>
      <w:r>
        <w:t xml:space="preserve"> </w:t>
      </w:r>
      <w:r w:rsidRPr="002B292D">
        <w:t>status.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judiciary,</w:t>
      </w:r>
      <w:r>
        <w:t xml:space="preserve"> </w:t>
      </w:r>
      <w:r w:rsidRPr="002B292D">
        <w:t>including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Court,</w:t>
      </w:r>
      <w:r>
        <w:t xml:space="preserve"> </w:t>
      </w:r>
      <w:r w:rsidRPr="002B292D">
        <w:t>lacked</w:t>
      </w:r>
      <w:r>
        <w:t xml:space="preserve"> </w:t>
      </w:r>
      <w:r w:rsidRPr="002B292D">
        <w:t>independence.</w:t>
      </w:r>
      <w:r>
        <w:t xml:space="preserve"> </w:t>
      </w:r>
      <w:r w:rsidRPr="002B292D">
        <w:t>Likewise,</w:t>
      </w:r>
      <w:r>
        <w:t xml:space="preserve"> </w:t>
      </w:r>
      <w:r w:rsidRPr="002B292D">
        <w:t>the</w:t>
      </w:r>
      <w:r>
        <w:t xml:space="preserve"> </w:t>
      </w:r>
      <w:r w:rsidRPr="002B292D">
        <w:t>composition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</w:t>
      </w:r>
      <w:r>
        <w:t xml:space="preserve"> </w:t>
      </w:r>
      <w:r w:rsidRPr="002B292D">
        <w:t>was</w:t>
      </w:r>
      <w:r>
        <w:t xml:space="preserve"> </w:t>
      </w:r>
      <w:r w:rsidRPr="002B292D">
        <w:t>inadequate</w:t>
      </w:r>
      <w:r>
        <w:t xml:space="preserve"> </w:t>
      </w:r>
      <w:r w:rsidRPr="002B292D">
        <w:t>and</w:t>
      </w:r>
      <w:r>
        <w:t xml:space="preserve"> </w:t>
      </w:r>
      <w:r w:rsidRPr="002B292D">
        <w:t>very</w:t>
      </w:r>
      <w:r>
        <w:t xml:space="preserve"> </w:t>
      </w:r>
      <w:r w:rsidRPr="002B292D">
        <w:t>politicized,</w:t>
      </w:r>
      <w:r>
        <w:t xml:space="preserve"> </w:t>
      </w:r>
      <w:r w:rsidRPr="002B292D">
        <w:t>affecting</w:t>
      </w:r>
      <w:r>
        <w:t xml:space="preserve"> </w:t>
      </w:r>
      <w:r w:rsidRPr="002B292D">
        <w:t>the</w:t>
      </w:r>
      <w:r>
        <w:t xml:space="preserve"> </w:t>
      </w:r>
      <w:r w:rsidRPr="002B292D">
        <w:t>independence</w:t>
      </w:r>
      <w:r>
        <w:t xml:space="preserve"> </w:t>
      </w:r>
      <w:r w:rsidRPr="002B292D">
        <w:t>and</w:t>
      </w:r>
      <w:r>
        <w:t xml:space="preserve"> </w:t>
      </w:r>
      <w:r w:rsidRPr="002B292D">
        <w:t>impartiality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judiciary.</w:t>
      </w:r>
      <w:r w:rsidRPr="00A035EA">
        <w:rPr>
          <w:rStyle w:val="FootnoteReference"/>
        </w:rPr>
        <w:footnoteReference w:id="10"/>
      </w:r>
      <w:r>
        <w:t xml:space="preserve"> </w:t>
      </w:r>
      <w:r w:rsidRPr="002B292D">
        <w:t>He</w:t>
      </w:r>
      <w:r>
        <w:t xml:space="preserve"> </w:t>
      </w:r>
      <w:r w:rsidRPr="002B292D">
        <w:t>also</w:t>
      </w:r>
      <w:r>
        <w:t xml:space="preserve"> </w:t>
      </w:r>
      <w:r w:rsidRPr="002B292D">
        <w:t>refers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report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Special</w:t>
      </w:r>
      <w:r>
        <w:t xml:space="preserve"> </w:t>
      </w:r>
      <w:r w:rsidRPr="002B292D">
        <w:t>Rapporteur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independence</w:t>
      </w:r>
      <w:r>
        <w:t xml:space="preserve"> </w:t>
      </w:r>
      <w:r w:rsidRPr="002B292D">
        <w:t>of</w:t>
      </w:r>
      <w:r>
        <w:t xml:space="preserve"> </w:t>
      </w:r>
      <w:r w:rsidRPr="002B292D">
        <w:t>judges</w:t>
      </w:r>
      <w:r>
        <w:t xml:space="preserve"> </w:t>
      </w:r>
      <w:r w:rsidRPr="002B292D">
        <w:t>and</w:t>
      </w:r>
      <w:r>
        <w:t xml:space="preserve"> </w:t>
      </w:r>
      <w:r w:rsidRPr="002B292D">
        <w:t>lawyers,</w:t>
      </w:r>
      <w:r>
        <w:t xml:space="preserve"> </w:t>
      </w:r>
      <w:r w:rsidRPr="002B292D">
        <w:t>and</w:t>
      </w:r>
      <w:r>
        <w:t xml:space="preserve"> </w:t>
      </w:r>
      <w:r w:rsidRPr="002B292D">
        <w:t>points</w:t>
      </w:r>
      <w:r>
        <w:t xml:space="preserve"> </w:t>
      </w:r>
      <w:r w:rsidRPr="002B292D">
        <w:t>out</w:t>
      </w:r>
      <w:r>
        <w:t xml:space="preserve"> </w:t>
      </w:r>
      <w:r w:rsidRPr="002B292D">
        <w:t>its</w:t>
      </w:r>
      <w:r>
        <w:t xml:space="preserve"> </w:t>
      </w:r>
      <w:r w:rsidRPr="002B292D">
        <w:t>conclusion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constitutionality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was</w:t>
      </w:r>
      <w:r>
        <w:t xml:space="preserve"> </w:t>
      </w:r>
      <w:r w:rsidRPr="002B292D">
        <w:t>questionable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bench</w:t>
      </w:r>
      <w:r>
        <w:t xml:space="preserve"> </w:t>
      </w:r>
      <w:r w:rsidRPr="002B292D">
        <w:t>of</w:t>
      </w:r>
      <w:r>
        <w:t xml:space="preserve"> </w:t>
      </w:r>
      <w:r w:rsidRPr="002B292D">
        <w:t>judges</w:t>
      </w:r>
      <w:r>
        <w:t xml:space="preserve"> </w:t>
      </w:r>
      <w:r w:rsidRPr="002B292D">
        <w:t>that</w:t>
      </w:r>
      <w:r>
        <w:t xml:space="preserve"> </w:t>
      </w:r>
      <w:r w:rsidRPr="002B292D">
        <w:t>was</w:t>
      </w:r>
      <w:r>
        <w:t xml:space="preserve"> </w:t>
      </w:r>
      <w:r w:rsidRPr="002B292D">
        <w:t>constituted</w:t>
      </w:r>
      <w:r>
        <w:t xml:space="preserve"> </w:t>
      </w:r>
      <w:r w:rsidRPr="002B292D">
        <w:t>to</w:t>
      </w:r>
      <w:r>
        <w:t xml:space="preserve"> </w:t>
      </w:r>
      <w:r w:rsidRPr="002B292D">
        <w:t>hear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</w:t>
      </w:r>
      <w:r>
        <w:t xml:space="preserve"> </w:t>
      </w:r>
      <w:r w:rsidRPr="002B292D">
        <w:t>also</w:t>
      </w:r>
      <w:r>
        <w:t xml:space="preserve"> </w:t>
      </w:r>
      <w:r w:rsidRPr="002B292D">
        <w:t>seemed</w:t>
      </w:r>
      <w:r>
        <w:t xml:space="preserve"> </w:t>
      </w:r>
      <w:r w:rsidRPr="002B292D">
        <w:t>to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set</w:t>
      </w:r>
      <w:r>
        <w:t xml:space="preserve"> </w:t>
      </w:r>
      <w:r w:rsidRPr="002B292D">
        <w:t>up</w:t>
      </w:r>
      <w:r>
        <w:t xml:space="preserve"> </w:t>
      </w:r>
      <w:r w:rsidRPr="002B292D">
        <w:t>in</w:t>
      </w:r>
      <w:r>
        <w:t xml:space="preserve"> </w:t>
      </w:r>
      <w:r w:rsidRPr="002B292D">
        <w:t>an</w:t>
      </w:r>
      <w:r>
        <w:t xml:space="preserve"> </w:t>
      </w:r>
      <w:r w:rsidRPr="002B292D">
        <w:t>arbitrary</w:t>
      </w:r>
      <w:r>
        <w:t xml:space="preserve"> </w:t>
      </w:r>
      <w:r w:rsidRPr="002B292D">
        <w:t>manner,</w:t>
      </w:r>
      <w:r>
        <w:t xml:space="preserve"> </w:t>
      </w:r>
      <w:r w:rsidRPr="002B292D">
        <w:t>without</w:t>
      </w:r>
      <w:r>
        <w:t xml:space="preserve"> </w:t>
      </w:r>
      <w:r w:rsidRPr="002B292D">
        <w:t>following</w:t>
      </w:r>
      <w:r>
        <w:t xml:space="preserve"> </w:t>
      </w:r>
      <w:r w:rsidRPr="002B292D">
        <w:t>procedures</w:t>
      </w:r>
      <w:r>
        <w:t xml:space="preserve"> </w:t>
      </w:r>
      <w:r w:rsidRPr="002B292D">
        <w:t>prescribed</w:t>
      </w:r>
      <w:r>
        <w:t xml:space="preserve"> </w:t>
      </w:r>
      <w:r w:rsidRPr="002B292D">
        <w:t>by</w:t>
      </w:r>
      <w:r>
        <w:t xml:space="preserve"> </w:t>
      </w:r>
      <w:r w:rsidRPr="002B292D">
        <w:t>law.</w:t>
      </w:r>
      <w:r w:rsidRPr="00A035EA">
        <w:rPr>
          <w:rStyle w:val="FootnoteReference"/>
        </w:rPr>
        <w:footnoteReference w:id="11"/>
      </w:r>
    </w:p>
    <w:p w:rsidR="000D3068" w:rsidRPr="002B292D" w:rsidRDefault="000D3068" w:rsidP="00533F65">
      <w:pPr>
        <w:pStyle w:val="SingleTxtG"/>
      </w:pPr>
      <w:r w:rsidRPr="002B292D">
        <w:t>3.2</w:t>
      </w:r>
      <w:r w:rsidRPr="002B292D">
        <w:tab/>
        <w:t>The</w:t>
      </w:r>
      <w:r>
        <w:t xml:space="preserve"> </w:t>
      </w:r>
      <w:r w:rsidRPr="002B292D">
        <w:t>original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were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</w:t>
      </w:r>
      <w:r>
        <w:t xml:space="preserve"> </w:t>
      </w:r>
      <w:r w:rsidRPr="002B292D">
        <w:t>and</w:t>
      </w:r>
      <w:r>
        <w:t xml:space="preserve"> </w:t>
      </w:r>
      <w:r w:rsidRPr="002B292D">
        <w:t>were</w:t>
      </w:r>
      <w:r>
        <w:t xml:space="preserve"> </w:t>
      </w:r>
      <w:r w:rsidRPr="002B292D">
        <w:t>instituted</w:t>
      </w:r>
      <w:r>
        <w:t xml:space="preserve"> </w:t>
      </w:r>
      <w:r w:rsidRPr="002B292D">
        <w:t>in</w:t>
      </w:r>
      <w:r>
        <w:t xml:space="preserve"> </w:t>
      </w:r>
      <w:r w:rsidRPr="002B292D">
        <w:t>order</w:t>
      </w:r>
      <w:r>
        <w:t xml:space="preserve"> </w:t>
      </w:r>
      <w:r w:rsidRPr="002B292D">
        <w:t>to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2013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elections.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particular</w:t>
      </w:r>
      <w:r>
        <w:t xml:space="preserve"> </w:t>
      </w:r>
      <w:r w:rsidRPr="002B292D">
        <w:t>circumstances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case,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>
        <w:t xml:space="preserve"> </w:t>
      </w:r>
      <w:r w:rsidRPr="002B292D">
        <w:t>amounted</w:t>
      </w:r>
      <w:r>
        <w:t xml:space="preserve"> </w:t>
      </w:r>
      <w:r w:rsidRPr="002B292D">
        <w:t>to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were</w:t>
      </w:r>
      <w:r>
        <w:t xml:space="preserve"> </w:t>
      </w:r>
      <w:r w:rsidRPr="002B292D">
        <w:t>used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means</w:t>
      </w:r>
      <w:r>
        <w:t xml:space="preserve"> </w:t>
      </w:r>
      <w:r w:rsidRPr="002B292D">
        <w:t>of</w:t>
      </w:r>
      <w:r>
        <w:t xml:space="preserve"> </w:t>
      </w:r>
      <w:r w:rsidRPr="002B292D">
        <w:t>preventing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campaigning</w:t>
      </w:r>
      <w:r>
        <w:t xml:space="preserve"> </w:t>
      </w:r>
      <w:r w:rsidRPr="002B292D">
        <w:t>for</w:t>
      </w:r>
      <w:r>
        <w:t xml:space="preserve"> </w:t>
      </w:r>
      <w:r w:rsidRPr="002B292D">
        <w:t>elections</w:t>
      </w:r>
      <w:r>
        <w:t xml:space="preserve"> </w:t>
      </w:r>
      <w:r w:rsidRPr="002B292D">
        <w:t>and,</w:t>
      </w:r>
      <w:r>
        <w:t xml:space="preserve"> </w:t>
      </w:r>
      <w:r w:rsidRPr="002B292D">
        <w:t>together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measures</w:t>
      </w:r>
      <w:r>
        <w:t xml:space="preserve"> </w:t>
      </w:r>
      <w:r w:rsidRPr="002B292D">
        <w:t>imposed</w:t>
      </w:r>
      <w:r>
        <w:t xml:space="preserve"> </w:t>
      </w:r>
      <w:r w:rsidRPr="002B292D">
        <w:t>on</w:t>
      </w:r>
      <w:r>
        <w:t xml:space="preserve"> </w:t>
      </w:r>
      <w:r w:rsidRPr="002B292D">
        <w:t>him,</w:t>
      </w:r>
      <w:r>
        <w:t xml:space="preserve"> </w:t>
      </w:r>
      <w:r w:rsidRPr="002B292D">
        <w:t>were</w:t>
      </w:r>
      <w:r>
        <w:t xml:space="preserve"> </w:t>
      </w:r>
      <w:r w:rsidRPr="002B292D">
        <w:t>a</w:t>
      </w:r>
      <w:r>
        <w:t xml:space="preserve"> </w:t>
      </w:r>
      <w:r w:rsidRPr="002B292D">
        <w:t>form</w:t>
      </w:r>
      <w:r>
        <w:t xml:space="preserve"> </w:t>
      </w:r>
      <w:r w:rsidRPr="002B292D">
        <w:t>of</w:t>
      </w:r>
      <w:r>
        <w:t xml:space="preserve"> </w:t>
      </w:r>
      <w:r w:rsidRPr="002B292D">
        <w:t>unreasonable</w:t>
      </w:r>
      <w:r>
        <w:t xml:space="preserve"> </w:t>
      </w:r>
      <w:r w:rsidRPr="002B292D">
        <w:t>restriction</w:t>
      </w:r>
      <w:r>
        <w:t xml:space="preserve"> </w:t>
      </w:r>
      <w:r w:rsidRPr="002B292D">
        <w:t>upon</w:t>
      </w:r>
      <w:r>
        <w:t xml:space="preserve"> </w:t>
      </w:r>
      <w:r w:rsidRPr="002B292D">
        <w:t>his</w:t>
      </w:r>
      <w:r>
        <w:t xml:space="preserve"> </w:t>
      </w:r>
      <w:r w:rsidRPr="002B292D">
        <w:t>ability</w:t>
      </w:r>
      <w:r>
        <w:t xml:space="preserve"> </w:t>
      </w:r>
      <w:r w:rsidRPr="002B292D">
        <w:t>to</w:t>
      </w:r>
      <w:r>
        <w:t xml:space="preserve"> </w:t>
      </w:r>
      <w:r w:rsidRPr="002B292D">
        <w:t>take</w:t>
      </w:r>
      <w:r>
        <w:t xml:space="preserve"> </w:t>
      </w:r>
      <w:r w:rsidRPr="002B292D">
        <w:t>part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conduct</w:t>
      </w:r>
      <w:r>
        <w:t xml:space="preserve"> </w:t>
      </w:r>
      <w:r w:rsidRPr="002B292D">
        <w:t>of</w:t>
      </w:r>
      <w:r>
        <w:t xml:space="preserve"> </w:t>
      </w:r>
      <w:r w:rsidRPr="002B292D">
        <w:t>public</w:t>
      </w:r>
      <w:r>
        <w:t xml:space="preserve"> </w:t>
      </w:r>
      <w:r w:rsidRPr="002B292D">
        <w:t>affairs.</w:t>
      </w:r>
      <w:r>
        <w:t xml:space="preserve"> </w:t>
      </w:r>
      <w:r w:rsidRPr="002B292D">
        <w:t>In</w:t>
      </w:r>
      <w:r>
        <w:t xml:space="preserve"> </w:t>
      </w:r>
      <w:r w:rsidRPr="002B292D">
        <w:t>this</w:t>
      </w:r>
      <w:r>
        <w:t xml:space="preserve"> </w:t>
      </w:r>
      <w:r w:rsidRPr="002B292D">
        <w:t>connection,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arrested</w:t>
      </w:r>
      <w:r>
        <w:t xml:space="preserve"> </w:t>
      </w:r>
      <w:r w:rsidRPr="002B292D">
        <w:t>on</w:t>
      </w:r>
      <w:r>
        <w:t xml:space="preserve"> </w:t>
      </w:r>
      <w:r w:rsidRPr="002B292D">
        <w:t>9</w:t>
      </w:r>
      <w:r>
        <w:t xml:space="preserve"> </w:t>
      </w:r>
      <w:r w:rsidRPr="002B292D">
        <w:t>October</w:t>
      </w:r>
      <w:r>
        <w:t xml:space="preserve"> </w:t>
      </w:r>
      <w:r w:rsidRPr="002B292D">
        <w:t>2012</w:t>
      </w:r>
      <w:r>
        <w:t xml:space="preserve"> </w:t>
      </w:r>
      <w:r w:rsidRPr="002B292D">
        <w:t>during</w:t>
      </w:r>
      <w:r>
        <w:t xml:space="preserve"> </w:t>
      </w:r>
      <w:r w:rsidRPr="002B292D">
        <w:t>a</w:t>
      </w:r>
      <w:r>
        <w:t xml:space="preserve"> </w:t>
      </w:r>
      <w:r w:rsidRPr="002B292D">
        <w:t>campaign</w:t>
      </w:r>
      <w:r>
        <w:t xml:space="preserve"> </w:t>
      </w:r>
      <w:r w:rsidRPr="002B292D">
        <w:t>trip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island</w:t>
      </w:r>
      <w:r>
        <w:t xml:space="preserve"> </w:t>
      </w:r>
      <w:r w:rsidRPr="002B292D">
        <w:t>of</w:t>
      </w:r>
      <w:r>
        <w:t xml:space="preserve"> </w:t>
      </w:r>
      <w:r w:rsidRPr="002B292D">
        <w:t>Fares-Maathodaa,</w:t>
      </w:r>
      <w:r>
        <w:t xml:space="preserve"> </w:t>
      </w:r>
      <w:r w:rsidRPr="002B292D">
        <w:t>and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brought</w:t>
      </w:r>
      <w:r>
        <w:t xml:space="preserve"> </w:t>
      </w:r>
      <w:r w:rsidRPr="002B292D">
        <w:t>to</w:t>
      </w:r>
      <w:r>
        <w:t xml:space="preserve"> </w:t>
      </w:r>
      <w:r w:rsidRPr="002B292D">
        <w:t>Dhoonidhoo</w:t>
      </w:r>
      <w:r>
        <w:t xml:space="preserve"> </w:t>
      </w:r>
      <w:r w:rsidRPr="002B292D">
        <w:t>Prison</w:t>
      </w:r>
      <w:r>
        <w:t xml:space="preserve"> </w:t>
      </w:r>
      <w:r w:rsidRPr="002B292D">
        <w:t>on</w:t>
      </w:r>
      <w:r>
        <w:t xml:space="preserve"> </w:t>
      </w:r>
      <w:r w:rsidRPr="002B292D">
        <w:t>5</w:t>
      </w:r>
      <w:r>
        <w:t xml:space="preserve"> </w:t>
      </w:r>
      <w:r w:rsidRPr="002B292D">
        <w:t>March</w:t>
      </w:r>
      <w:r>
        <w:t xml:space="preserve"> </w:t>
      </w:r>
      <w:r w:rsidRPr="002B292D">
        <w:t>2013,</w:t>
      </w:r>
      <w:r>
        <w:t xml:space="preserve"> </w:t>
      </w:r>
      <w:r w:rsidRPr="002B292D">
        <w:t>just</w:t>
      </w:r>
      <w:r>
        <w:t xml:space="preserve"> </w:t>
      </w:r>
      <w:r w:rsidRPr="002B292D">
        <w:t>prior</w:t>
      </w:r>
      <w:r>
        <w:t xml:space="preserve"> </w:t>
      </w:r>
      <w:r w:rsidRPr="002B292D">
        <w:t>to</w:t>
      </w:r>
      <w:r>
        <w:t xml:space="preserve"> </w:t>
      </w:r>
      <w:r w:rsidRPr="002B292D">
        <w:t>his</w:t>
      </w:r>
      <w:r>
        <w:t xml:space="preserve"> </w:t>
      </w:r>
      <w:r w:rsidRPr="002B292D">
        <w:t>departure</w:t>
      </w:r>
      <w:r>
        <w:t xml:space="preserve"> </w:t>
      </w:r>
      <w:r w:rsidRPr="002B292D">
        <w:t>for</w:t>
      </w:r>
      <w:r>
        <w:t xml:space="preserve"> </w:t>
      </w:r>
      <w:r w:rsidRPr="002B292D">
        <w:t>another</w:t>
      </w:r>
      <w:r>
        <w:t xml:space="preserve"> </w:t>
      </w:r>
      <w:r w:rsidRPr="002B292D">
        <w:t>campaigning</w:t>
      </w:r>
      <w:r>
        <w:t xml:space="preserve"> </w:t>
      </w:r>
      <w:r w:rsidRPr="002B292D">
        <w:t>trip;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Department</w:t>
      </w:r>
      <w:r>
        <w:t xml:space="preserve"> </w:t>
      </w:r>
      <w:r w:rsidRPr="002B292D">
        <w:t>of</w:t>
      </w:r>
      <w:r>
        <w:t xml:space="preserve"> </w:t>
      </w:r>
      <w:r w:rsidRPr="002B292D">
        <w:t>Immigration</w:t>
      </w:r>
      <w:r>
        <w:t xml:space="preserve"> </w:t>
      </w:r>
      <w:r w:rsidRPr="002B292D">
        <w:t>denied</w:t>
      </w:r>
      <w:r>
        <w:t xml:space="preserve"> </w:t>
      </w:r>
      <w:r w:rsidRPr="002B292D">
        <w:t>his</w:t>
      </w:r>
      <w:r>
        <w:t xml:space="preserve"> </w:t>
      </w:r>
      <w:r w:rsidRPr="002B292D">
        <w:t>requests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authorized</w:t>
      </w:r>
      <w:r>
        <w:t xml:space="preserve"> </w:t>
      </w:r>
      <w:r w:rsidRPr="002B292D">
        <w:t>to</w:t>
      </w:r>
      <w:r>
        <w:t xml:space="preserve"> </w:t>
      </w:r>
      <w:r w:rsidRPr="002B292D">
        <w:t>travel</w:t>
      </w:r>
      <w:r>
        <w:t xml:space="preserve"> </w:t>
      </w:r>
      <w:r w:rsidRPr="002B292D">
        <w:t>to</w:t>
      </w:r>
      <w:r>
        <w:t xml:space="preserve"> </w:t>
      </w:r>
      <w:r w:rsidRPr="002B292D">
        <w:t>other</w:t>
      </w:r>
      <w:r>
        <w:t xml:space="preserve"> </w:t>
      </w:r>
      <w:r w:rsidRPr="002B292D">
        <w:t>islands</w:t>
      </w:r>
      <w:r>
        <w:t xml:space="preserve"> </w:t>
      </w:r>
      <w:r w:rsidRPr="002B292D">
        <w:t>and</w:t>
      </w:r>
      <w:r>
        <w:t xml:space="preserve"> </w:t>
      </w:r>
      <w:r w:rsidRPr="002B292D">
        <w:t>abroad</w:t>
      </w:r>
      <w:r>
        <w:t xml:space="preserve"> </w:t>
      </w:r>
      <w:r w:rsidRPr="002B292D">
        <w:t>in</w:t>
      </w:r>
      <w:r>
        <w:t xml:space="preserve"> </w:t>
      </w:r>
      <w:r w:rsidRPr="002B292D">
        <w:t>connection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political</w:t>
      </w:r>
      <w:r>
        <w:t xml:space="preserve"> </w:t>
      </w:r>
      <w:r w:rsidRPr="002B292D">
        <w:t>campaign;</w:t>
      </w:r>
      <w:r>
        <w:t xml:space="preserve"> </w:t>
      </w:r>
      <w:r w:rsidRPr="002B292D">
        <w:t>that</w:t>
      </w:r>
      <w:r>
        <w:t xml:space="preserve"> </w:t>
      </w:r>
      <w:r w:rsidRPr="002B292D">
        <w:t>on</w:t>
      </w:r>
      <w:r>
        <w:t xml:space="preserve"> </w:t>
      </w:r>
      <w:r w:rsidRPr="002B292D">
        <w:t>29</w:t>
      </w:r>
      <w:r>
        <w:t xml:space="preserve"> </w:t>
      </w:r>
      <w:r w:rsidRPr="002B292D">
        <w:t>May</w:t>
      </w:r>
      <w:r>
        <w:t xml:space="preserve"> </w:t>
      </w:r>
      <w:r w:rsidRPr="002B292D">
        <w:t>2013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unexpectedly</w:t>
      </w:r>
      <w:r>
        <w:t xml:space="preserve"> </w:t>
      </w:r>
      <w:r w:rsidRPr="002B292D">
        <w:t>cancelled</w:t>
      </w:r>
      <w:r>
        <w:t xml:space="preserve"> </w:t>
      </w:r>
      <w:r w:rsidRPr="002B292D">
        <w:t>the</w:t>
      </w:r>
      <w:r>
        <w:t xml:space="preserve"> </w:t>
      </w:r>
      <w:r w:rsidRPr="002B292D">
        <w:t>hearing</w:t>
      </w:r>
      <w:r>
        <w:t xml:space="preserve"> </w:t>
      </w:r>
      <w:r w:rsidRPr="002B292D">
        <w:t>three</w:t>
      </w:r>
      <w:r>
        <w:t xml:space="preserve"> </w:t>
      </w:r>
      <w:r w:rsidRPr="002B292D">
        <w:t>hours</w:t>
      </w:r>
      <w:r>
        <w:t xml:space="preserve"> </w:t>
      </w:r>
      <w:r w:rsidRPr="002B292D">
        <w:t>before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begin,</w:t>
      </w:r>
      <w:r>
        <w:t xml:space="preserve"> </w:t>
      </w:r>
      <w:r w:rsidRPr="002B292D">
        <w:t>even</w:t>
      </w:r>
      <w:r>
        <w:t xml:space="preserve"> </w:t>
      </w:r>
      <w:r w:rsidRPr="002B292D">
        <w:t>though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come</w:t>
      </w:r>
      <w:r>
        <w:t xml:space="preserve"> </w:t>
      </w:r>
      <w:r w:rsidRPr="002B292D">
        <w:t>back</w:t>
      </w:r>
      <w:r>
        <w:t xml:space="preserve"> </w:t>
      </w:r>
      <w:r w:rsidRPr="002B292D">
        <w:t>to</w:t>
      </w:r>
      <w:r>
        <w:t xml:space="preserve"> </w:t>
      </w:r>
      <w:r w:rsidRPr="002B292D">
        <w:t>Malé</w:t>
      </w:r>
      <w:r>
        <w:t xml:space="preserve"> </w:t>
      </w:r>
      <w:r w:rsidRPr="002B292D">
        <w:t>to</w:t>
      </w:r>
      <w:r>
        <w:t xml:space="preserve"> </w:t>
      </w:r>
      <w:r w:rsidRPr="002B292D">
        <w:t>attend</w:t>
      </w:r>
      <w:r>
        <w:t xml:space="preserve"> </w:t>
      </w:r>
      <w:r w:rsidRPr="002B292D">
        <w:t>it,</w:t>
      </w:r>
      <w:r>
        <w:t xml:space="preserve"> </w:t>
      </w:r>
      <w:r w:rsidRPr="002B292D">
        <w:t>cutting</w:t>
      </w:r>
      <w:r>
        <w:t xml:space="preserve"> </w:t>
      </w:r>
      <w:r w:rsidRPr="002B292D">
        <w:t>short</w:t>
      </w:r>
      <w:r>
        <w:t xml:space="preserve"> </w:t>
      </w:r>
      <w:r w:rsidRPr="002B292D">
        <w:t>his</w:t>
      </w:r>
      <w:r>
        <w:t xml:space="preserve"> </w:t>
      </w:r>
      <w:r w:rsidRPr="002B292D">
        <w:t>campaign</w:t>
      </w:r>
      <w:r>
        <w:t xml:space="preserve"> </w:t>
      </w:r>
      <w:r w:rsidRPr="002B292D">
        <w:t>trip</w:t>
      </w:r>
      <w:r>
        <w:t xml:space="preserve"> </w:t>
      </w:r>
      <w:r w:rsidRPr="002B292D">
        <w:t>in</w:t>
      </w:r>
      <w:r>
        <w:t xml:space="preserve"> </w:t>
      </w:r>
      <w:r w:rsidRPr="002B292D">
        <w:t>Raa</w:t>
      </w:r>
      <w:r>
        <w:t xml:space="preserve"> </w:t>
      </w:r>
      <w:r w:rsidRPr="002B292D">
        <w:t>Atoll;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authorities</w:t>
      </w:r>
      <w:r>
        <w:t xml:space="preserve"> </w:t>
      </w:r>
      <w:r w:rsidRPr="002B292D">
        <w:t>denied</w:t>
      </w:r>
      <w:r>
        <w:t xml:space="preserve"> </w:t>
      </w:r>
      <w:r w:rsidRPr="002B292D">
        <w:t>his</w:t>
      </w:r>
      <w:r>
        <w:t xml:space="preserve"> </w:t>
      </w:r>
      <w:r w:rsidRPr="002B292D">
        <w:t>request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given</w:t>
      </w:r>
      <w:r>
        <w:t xml:space="preserve"> </w:t>
      </w:r>
      <w:r w:rsidRPr="002B292D">
        <w:t>the</w:t>
      </w:r>
      <w:r>
        <w:t xml:space="preserve"> </w:t>
      </w:r>
      <w:r w:rsidRPr="002B292D">
        <w:t>schedule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hearings</w:t>
      </w:r>
      <w:r>
        <w:t xml:space="preserve"> </w:t>
      </w:r>
      <w:r w:rsidRPr="002B292D">
        <w:t>so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could</w:t>
      </w:r>
      <w:r>
        <w:t xml:space="preserve"> </w:t>
      </w:r>
      <w:r w:rsidRPr="002B292D">
        <w:t>plan</w:t>
      </w:r>
      <w:r>
        <w:t xml:space="preserve"> </w:t>
      </w:r>
      <w:r w:rsidRPr="002B292D">
        <w:t>his</w:t>
      </w:r>
      <w:r>
        <w:t xml:space="preserve"> </w:t>
      </w:r>
      <w:r w:rsidRPr="002B292D">
        <w:t>campaigning</w:t>
      </w:r>
      <w:r>
        <w:t xml:space="preserve"> </w:t>
      </w:r>
      <w:r w:rsidRPr="002B292D">
        <w:t>trips</w:t>
      </w:r>
      <w:r>
        <w:t xml:space="preserve"> </w:t>
      </w:r>
      <w:r w:rsidRPr="002B292D">
        <w:t>accordingly.</w:t>
      </w:r>
      <w:r w:rsidRPr="00A035EA">
        <w:rPr>
          <w:rStyle w:val="FootnoteReference"/>
        </w:rPr>
        <w:footnoteReference w:id="12"/>
      </w:r>
      <w:r>
        <w:t xml:space="preserve"> </w:t>
      </w:r>
      <w:r w:rsidRPr="002B292D">
        <w:t>He</w:t>
      </w:r>
      <w:r>
        <w:t xml:space="preserve"> </w:t>
      </w:r>
      <w:r w:rsidRPr="002B292D">
        <w:t>also</w:t>
      </w:r>
      <w:r>
        <w:t xml:space="preserve"> </w:t>
      </w:r>
      <w:r w:rsidRPr="002B292D">
        <w:t>points</w:t>
      </w:r>
      <w:r>
        <w:t xml:space="preserve"> </w:t>
      </w:r>
      <w:r w:rsidRPr="002B292D">
        <w:t>out</w:t>
      </w:r>
      <w:r>
        <w:t xml:space="preserve"> </w:t>
      </w:r>
      <w:r w:rsidRPr="002B292D">
        <w:t>that</w:t>
      </w:r>
      <w:r>
        <w:t xml:space="preserve"> </w:t>
      </w:r>
      <w:r w:rsidRPr="002B292D">
        <w:t>a</w:t>
      </w:r>
      <w:r>
        <w:t xml:space="preserve"> </w:t>
      </w:r>
      <w:r w:rsidRPr="002B292D">
        <w:t>former</w:t>
      </w:r>
      <w:r>
        <w:t xml:space="preserve"> </w:t>
      </w:r>
      <w:r w:rsidRPr="002B292D">
        <w:t>minister</w:t>
      </w:r>
      <w:r>
        <w:t xml:space="preserve"> </w:t>
      </w:r>
      <w:r w:rsidRPr="002B292D">
        <w:t>responsible</w:t>
      </w:r>
      <w:r>
        <w:t xml:space="preserve"> </w:t>
      </w:r>
      <w:r w:rsidRPr="002B292D">
        <w:t>for</w:t>
      </w:r>
      <w:r>
        <w:t xml:space="preserve"> </w:t>
      </w:r>
      <w:r w:rsidRPr="002B292D">
        <w:t>human</w:t>
      </w:r>
      <w:r>
        <w:t xml:space="preserve"> </w:t>
      </w:r>
      <w:r w:rsidRPr="002B292D">
        <w:t>rights</w:t>
      </w:r>
      <w:r>
        <w:t xml:space="preserve"> </w:t>
      </w:r>
      <w:r w:rsidRPr="002B292D">
        <w:t>in</w:t>
      </w:r>
      <w:r>
        <w:t xml:space="preserve"> </w:t>
      </w:r>
      <w:r w:rsidRPr="002B292D">
        <w:t>Maldives</w:t>
      </w:r>
      <w:r>
        <w:t xml:space="preserve"> </w:t>
      </w:r>
      <w:r w:rsidRPr="002B292D">
        <w:t>stated</w:t>
      </w:r>
      <w:r>
        <w:t xml:space="preserve"> </w:t>
      </w:r>
      <w:r w:rsidRPr="002B292D">
        <w:t>in</w:t>
      </w:r>
      <w:r>
        <w:t xml:space="preserve"> </w:t>
      </w:r>
      <w:r w:rsidRPr="002B292D">
        <w:t>a</w:t>
      </w:r>
      <w:r>
        <w:t xml:space="preserve"> </w:t>
      </w:r>
      <w:r w:rsidRPr="002B292D">
        <w:t>letter</w:t>
      </w:r>
      <w:r>
        <w:t xml:space="preserve"> </w:t>
      </w:r>
      <w:r w:rsidRPr="002B292D">
        <w:t>addressed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Justice,</w:t>
      </w:r>
      <w:r>
        <w:t xml:space="preserve"> </w:t>
      </w:r>
      <w:r w:rsidRPr="002B292D">
        <w:t>A.F.H.,</w:t>
      </w:r>
      <w:r>
        <w:t xml:space="preserve"> </w:t>
      </w:r>
      <w:r w:rsidRPr="002B292D">
        <w:t>that</w:t>
      </w:r>
      <w:r>
        <w:t xml:space="preserve"> </w:t>
      </w:r>
      <w:r w:rsidRPr="002B292D">
        <w:t>she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asked</w:t>
      </w:r>
      <w:r>
        <w:t xml:space="preserve"> </w:t>
      </w:r>
      <w:r w:rsidRPr="002B292D">
        <w:t>by</w:t>
      </w:r>
      <w:r>
        <w:t xml:space="preserve"> </w:t>
      </w:r>
      <w:r w:rsidRPr="002B292D">
        <w:t>a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judge</w:t>
      </w:r>
      <w:r>
        <w:t xml:space="preserve"> </w:t>
      </w:r>
      <w:r w:rsidRPr="002B292D">
        <w:t>to</w:t>
      </w:r>
      <w:r>
        <w:t xml:space="preserve"> </w:t>
      </w:r>
      <w:r w:rsidRPr="002B292D">
        <w:t>file</w:t>
      </w:r>
      <w:r>
        <w:t xml:space="preserve"> </w:t>
      </w:r>
      <w:r w:rsidRPr="002B292D">
        <w:t>a</w:t>
      </w:r>
      <w:r>
        <w:t xml:space="preserve"> </w:t>
      </w:r>
      <w:r w:rsidRPr="002B292D">
        <w:t>case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to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presidency</w:t>
      </w:r>
      <w:r>
        <w:t xml:space="preserve"> </w:t>
      </w:r>
      <w:r w:rsidRPr="002B292D">
        <w:t>in</w:t>
      </w:r>
      <w:r>
        <w:t xml:space="preserve"> </w:t>
      </w:r>
      <w:r w:rsidRPr="002B292D">
        <w:t>2013.</w:t>
      </w:r>
    </w:p>
    <w:p w:rsidR="000D3068" w:rsidRPr="002B292D" w:rsidRDefault="000D3068" w:rsidP="00533F65">
      <w:pPr>
        <w:pStyle w:val="SingleTxtG"/>
      </w:pPr>
      <w:r w:rsidRPr="002B292D">
        <w:t>3.3</w:t>
      </w:r>
      <w:r w:rsidRPr="002B292D">
        <w:tab/>
        <w:t>Furthermore,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stand</w:t>
      </w:r>
      <w:r>
        <w:t xml:space="preserve"> </w:t>
      </w:r>
      <w:r w:rsidRPr="002B292D">
        <w:t>for</w:t>
      </w:r>
      <w:r>
        <w:t xml:space="preserve"> </w:t>
      </w:r>
      <w:r w:rsidRPr="002B292D">
        <w:t>elections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was</w:t>
      </w:r>
      <w:r>
        <w:t xml:space="preserve"> </w:t>
      </w:r>
      <w:r w:rsidRPr="002B292D">
        <w:t>also</w:t>
      </w:r>
      <w:r>
        <w:t xml:space="preserve"> </w:t>
      </w:r>
      <w:r w:rsidRPr="002B292D">
        <w:t>arbitrarily</w:t>
      </w:r>
      <w:r>
        <w:t xml:space="preserve"> </w:t>
      </w:r>
      <w:r w:rsidRPr="002B292D">
        <w:t>and</w:t>
      </w:r>
      <w:r>
        <w:t xml:space="preserve"> </w:t>
      </w:r>
      <w:r w:rsidRPr="002B292D">
        <w:t>unreasonably</w:t>
      </w:r>
      <w:r>
        <w:t xml:space="preserve"> </w:t>
      </w:r>
      <w:r w:rsidRPr="002B292D">
        <w:t>restricted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result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arbitrary</w:t>
      </w:r>
      <w:r>
        <w:t xml:space="preserve"> </w:t>
      </w:r>
      <w:r w:rsidRPr="002B292D">
        <w:t>detention,</w:t>
      </w:r>
      <w:r>
        <w:t xml:space="preserve"> </w:t>
      </w:r>
      <w:r w:rsidRPr="002B292D">
        <w:t>prosecution</w:t>
      </w:r>
      <w:r>
        <w:t xml:space="preserve"> </w:t>
      </w:r>
      <w:r w:rsidRPr="002B292D">
        <w:t>and</w:t>
      </w:r>
      <w:r>
        <w:t xml:space="preserve"> </w:t>
      </w:r>
      <w:r w:rsidRPr="002B292D">
        <w:t>conviction</w:t>
      </w:r>
      <w:r>
        <w:t xml:space="preserve"> </w:t>
      </w:r>
      <w:r w:rsidRPr="002B292D">
        <w:t>on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terrorism,</w:t>
      </w:r>
      <w:r>
        <w:t xml:space="preserve"> </w:t>
      </w:r>
      <w:r w:rsidRPr="002B292D">
        <w:t>without</w:t>
      </w:r>
      <w:r>
        <w:t xml:space="preserve"> </w:t>
      </w:r>
      <w:r w:rsidRPr="002B292D">
        <w:t>a</w:t>
      </w:r>
      <w:r>
        <w:t xml:space="preserve"> </w:t>
      </w:r>
      <w:r w:rsidRPr="002B292D">
        <w:t>fair</w:t>
      </w:r>
      <w:r>
        <w:t xml:space="preserve"> </w:t>
      </w:r>
      <w:r w:rsidRPr="002B292D">
        <w:t>trial</w:t>
      </w:r>
      <w:r>
        <w:t xml:space="preserve"> </w:t>
      </w:r>
      <w:r w:rsidRPr="002B292D">
        <w:t>(see</w:t>
      </w:r>
      <w:r>
        <w:t xml:space="preserve"> </w:t>
      </w:r>
      <w:r w:rsidRPr="002B292D">
        <w:t>para.</w:t>
      </w:r>
      <w:r>
        <w:t xml:space="preserve"> </w:t>
      </w:r>
      <w:r w:rsidRPr="002B292D">
        <w:t>2.16</w:t>
      </w:r>
      <w:r>
        <w:t xml:space="preserve"> </w:t>
      </w:r>
      <w:r w:rsidRPr="002B292D">
        <w:t>above).</w:t>
      </w:r>
      <w:r w:rsidRPr="00A035EA">
        <w:rPr>
          <w:rStyle w:val="FootnoteReference"/>
        </w:rPr>
        <w:footnoteReference w:id="13"/>
      </w:r>
      <w:r>
        <w:t xml:space="preserve"> </w:t>
      </w:r>
      <w:r w:rsidRPr="002B292D">
        <w:t>Those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amounted,</w:t>
      </w:r>
      <w:r>
        <w:t xml:space="preserve"> </w:t>
      </w:r>
      <w:r w:rsidRPr="002B292D">
        <w:t>in</w:t>
      </w:r>
      <w:r>
        <w:t xml:space="preserve"> </w:t>
      </w:r>
      <w:r w:rsidRPr="002B292D">
        <w:t>practice,</w:t>
      </w:r>
      <w:r>
        <w:t xml:space="preserve"> </w:t>
      </w:r>
      <w:r w:rsidRPr="002B292D">
        <w:t>to</w:t>
      </w:r>
      <w:r>
        <w:t xml:space="preserve"> </w:t>
      </w:r>
      <w:r w:rsidRPr="002B292D">
        <w:t>political</w:t>
      </w:r>
      <w:r>
        <w:t xml:space="preserve"> </w:t>
      </w:r>
      <w:r w:rsidRPr="002B292D">
        <w:t>persecution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then-President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party.</w:t>
      </w:r>
      <w:r w:rsidRPr="00A035EA">
        <w:rPr>
          <w:rStyle w:val="FootnoteReference"/>
        </w:rPr>
        <w:footnoteReference w:id="14"/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refers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 w:rsidR="00995FAE">
        <w:t>’</w:t>
      </w:r>
      <w:r w:rsidRPr="002B292D">
        <w:t>s</w:t>
      </w:r>
      <w:r>
        <w:t xml:space="preserve"> </w:t>
      </w:r>
      <w:r w:rsidRPr="002B292D">
        <w:t>general</w:t>
      </w:r>
      <w:r>
        <w:t xml:space="preserve"> </w:t>
      </w:r>
      <w:r w:rsidRPr="002B292D">
        <w:t>comment</w:t>
      </w:r>
      <w:r>
        <w:t xml:space="preserve"> </w:t>
      </w:r>
      <w:r w:rsidRPr="002B292D">
        <w:t>No.</w:t>
      </w:r>
      <w:r>
        <w:t xml:space="preserve"> </w:t>
      </w:r>
      <w:r w:rsidRPr="002B292D">
        <w:t>25</w:t>
      </w:r>
      <w:r>
        <w:t xml:space="preserve"> </w:t>
      </w:r>
      <w:r w:rsidRPr="002B292D">
        <w:t>(1996)</w:t>
      </w:r>
      <w:r>
        <w:t xml:space="preserve"> </w:t>
      </w:r>
      <w:r w:rsidRPr="002B292D">
        <w:t>on</w:t>
      </w:r>
      <w:r>
        <w:t xml:space="preserve"> </w:t>
      </w:r>
      <w:r w:rsidRPr="002B292D">
        <w:t>participation</w:t>
      </w:r>
      <w:r>
        <w:t xml:space="preserve"> </w:t>
      </w:r>
      <w:r w:rsidRPr="002B292D">
        <w:t>in</w:t>
      </w:r>
      <w:r>
        <w:t xml:space="preserve"> </w:t>
      </w:r>
      <w:r w:rsidRPr="002B292D">
        <w:t>public</w:t>
      </w:r>
      <w:r>
        <w:t xml:space="preserve"> </w:t>
      </w:r>
      <w:r w:rsidRPr="002B292D">
        <w:t>affairs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vote</w:t>
      </w:r>
      <w:r>
        <w:t xml:space="preserve"> </w:t>
      </w:r>
      <w:r w:rsidRPr="002B292D">
        <w:t>and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any</w:t>
      </w:r>
      <w:r>
        <w:t xml:space="preserve"> </w:t>
      </w:r>
      <w:r w:rsidRPr="002B292D">
        <w:t>conditions</w:t>
      </w:r>
      <w:r>
        <w:t xml:space="preserve"> </w:t>
      </w:r>
      <w:r w:rsidRPr="002B292D">
        <w:t>applied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exercise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rights</w:t>
      </w:r>
      <w:r>
        <w:t xml:space="preserve"> </w:t>
      </w:r>
      <w:r w:rsidRPr="002B292D">
        <w:t>protected</w:t>
      </w:r>
      <w:r>
        <w:t xml:space="preserve"> </w:t>
      </w:r>
      <w:r w:rsidRPr="002B292D">
        <w:t>by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should</w:t>
      </w:r>
      <w:r>
        <w:t xml:space="preserve"> </w:t>
      </w:r>
      <w:r w:rsidRPr="002B292D">
        <w:t>be</w:t>
      </w:r>
      <w:r>
        <w:t xml:space="preserve"> </w:t>
      </w:r>
      <w:r w:rsidRPr="002B292D">
        <w:t>based</w:t>
      </w:r>
      <w:r>
        <w:t xml:space="preserve"> </w:t>
      </w:r>
      <w:r w:rsidRPr="002B292D">
        <w:t>on</w:t>
      </w:r>
      <w:r>
        <w:t xml:space="preserve"> </w:t>
      </w:r>
      <w:r w:rsidRPr="002B292D">
        <w:t>objective</w:t>
      </w:r>
      <w:r>
        <w:t xml:space="preserve"> </w:t>
      </w:r>
      <w:r w:rsidRPr="002B292D">
        <w:t>and</w:t>
      </w:r>
      <w:r>
        <w:t xml:space="preserve"> </w:t>
      </w:r>
      <w:r w:rsidRPr="002B292D">
        <w:t>reasonable</w:t>
      </w:r>
      <w:r>
        <w:t xml:space="preserve"> </w:t>
      </w:r>
      <w:r w:rsidRPr="002B292D">
        <w:t>criteria</w:t>
      </w:r>
      <w:r>
        <w:t xml:space="preserve"> </w:t>
      </w:r>
      <w:r w:rsidRPr="002B292D">
        <w:t>and</w:t>
      </w:r>
      <w:r>
        <w:t xml:space="preserve"> </w:t>
      </w:r>
      <w:r w:rsidRPr="002B292D">
        <w:t>established</w:t>
      </w:r>
      <w:r>
        <w:t xml:space="preserve"> </w:t>
      </w:r>
      <w:r w:rsidRPr="002B292D">
        <w:t>by</w:t>
      </w:r>
      <w:r>
        <w:t xml:space="preserve"> </w:t>
      </w:r>
      <w:r w:rsidRPr="002B292D">
        <w:t>law.</w:t>
      </w:r>
      <w:r>
        <w:t xml:space="preserve"> </w:t>
      </w:r>
      <w:r w:rsidRPr="002B292D">
        <w:t>Additionally,</w:t>
      </w:r>
      <w:r>
        <w:t xml:space="preserve"> </w:t>
      </w:r>
      <w:r w:rsidRPr="002B292D">
        <w:t>persons</w:t>
      </w:r>
      <w:r>
        <w:t xml:space="preserve"> </w:t>
      </w:r>
      <w:r w:rsidRPr="002B292D">
        <w:t>who</w:t>
      </w:r>
      <w:r>
        <w:t xml:space="preserve"> </w:t>
      </w:r>
      <w:r w:rsidRPr="002B292D">
        <w:t>are</w:t>
      </w:r>
      <w:r>
        <w:t xml:space="preserve"> </w:t>
      </w:r>
      <w:r w:rsidRPr="002B292D">
        <w:t>otherwise</w:t>
      </w:r>
      <w:r>
        <w:t xml:space="preserve"> </w:t>
      </w:r>
      <w:r w:rsidRPr="002B292D">
        <w:t>eligible</w:t>
      </w:r>
      <w:r>
        <w:t xml:space="preserve"> </w:t>
      </w:r>
      <w:r w:rsidRPr="002B292D">
        <w:t>to</w:t>
      </w:r>
      <w:r>
        <w:t xml:space="preserve"> </w:t>
      </w:r>
      <w:r w:rsidRPr="002B292D">
        <w:t>stand</w:t>
      </w:r>
      <w:r>
        <w:t xml:space="preserve"> </w:t>
      </w:r>
      <w:r w:rsidRPr="002B292D">
        <w:t>for</w:t>
      </w:r>
      <w:r>
        <w:t xml:space="preserve"> </w:t>
      </w:r>
      <w:r w:rsidRPr="002B292D">
        <w:t>election</w:t>
      </w:r>
      <w:r>
        <w:t xml:space="preserve"> </w:t>
      </w:r>
      <w:r w:rsidR="00995FAE">
        <w:t>“</w:t>
      </w:r>
      <w:r w:rsidRPr="002B292D">
        <w:t>should</w:t>
      </w:r>
      <w:r>
        <w:t xml:space="preserve"> </w:t>
      </w:r>
      <w:r w:rsidRPr="002B292D">
        <w:t>not</w:t>
      </w:r>
      <w:r>
        <w:t xml:space="preserve"> </w:t>
      </w:r>
      <w:r w:rsidRPr="002B292D">
        <w:t>be</w:t>
      </w:r>
      <w:r>
        <w:t xml:space="preserve"> </w:t>
      </w:r>
      <w:r w:rsidRPr="002B292D">
        <w:t>excluded</w:t>
      </w:r>
      <w:r>
        <w:t xml:space="preserve"> </w:t>
      </w:r>
      <w:r w:rsidRPr="002B292D">
        <w:t>by</w:t>
      </w:r>
      <w:r>
        <w:t xml:space="preserve"> </w:t>
      </w:r>
      <w:r w:rsidRPr="002B292D">
        <w:t>unreasonable</w:t>
      </w:r>
      <w:r>
        <w:t xml:space="preserve"> </w:t>
      </w:r>
      <w:r w:rsidRPr="002B292D">
        <w:t>or</w:t>
      </w:r>
      <w:r>
        <w:t xml:space="preserve"> </w:t>
      </w:r>
      <w:r w:rsidRPr="002B292D">
        <w:t>discriminatory</w:t>
      </w:r>
      <w:r>
        <w:t xml:space="preserve"> </w:t>
      </w:r>
      <w:r w:rsidRPr="002B292D">
        <w:t>requirements</w:t>
      </w:r>
      <w:r w:rsidR="00336483">
        <w:t xml:space="preserve"> </w:t>
      </w:r>
      <w:r w:rsidRPr="002B292D">
        <w:t>…</w:t>
      </w:r>
      <w:r>
        <w:t xml:space="preserve"> </w:t>
      </w:r>
      <w:r w:rsidRPr="002B292D">
        <w:t>or</w:t>
      </w:r>
      <w:r>
        <w:t xml:space="preserve"> </w:t>
      </w:r>
      <w:r w:rsidRPr="002B292D">
        <w:t>by</w:t>
      </w:r>
      <w:r>
        <w:t xml:space="preserve"> </w:t>
      </w:r>
      <w:r w:rsidRPr="002B292D">
        <w:t>reason</w:t>
      </w:r>
      <w:r>
        <w:t xml:space="preserve"> </w:t>
      </w:r>
      <w:r w:rsidRPr="002B292D">
        <w:t>of</w:t>
      </w:r>
      <w:r>
        <w:t xml:space="preserve"> </w:t>
      </w:r>
      <w:r w:rsidRPr="002B292D">
        <w:t>political</w:t>
      </w:r>
      <w:r>
        <w:t xml:space="preserve"> </w:t>
      </w:r>
      <w:r w:rsidRPr="002B292D">
        <w:t>affiliation</w:t>
      </w:r>
      <w:r w:rsidR="00995FAE">
        <w:t>”</w:t>
      </w:r>
      <w:r w:rsidRPr="002B292D">
        <w:t>.</w:t>
      </w:r>
      <w:r w:rsidRPr="00A035EA">
        <w:rPr>
          <w:rStyle w:val="FootnoteReference"/>
        </w:rPr>
        <w:footnoteReference w:id="15"/>
      </w:r>
      <w:r>
        <w:t xml:space="preserve"> </w:t>
      </w:r>
      <w:r w:rsidRPr="002B292D">
        <w:t>In</w:t>
      </w:r>
      <w:r>
        <w:t xml:space="preserve"> </w:t>
      </w:r>
      <w:r w:rsidRPr="002B292D">
        <w:t>his</w:t>
      </w:r>
      <w:r>
        <w:t xml:space="preserve"> </w:t>
      </w:r>
      <w:r w:rsidRPr="002B292D">
        <w:t>case,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sentence</w:t>
      </w:r>
      <w:r>
        <w:t xml:space="preserve"> </w:t>
      </w:r>
      <w:r w:rsidRPr="002B292D">
        <w:t>of</w:t>
      </w:r>
      <w:r>
        <w:t xml:space="preserve"> </w:t>
      </w:r>
      <w:r w:rsidRPr="002B292D">
        <w:t>13</w:t>
      </w:r>
      <w:r>
        <w:t xml:space="preserve"> </w:t>
      </w:r>
      <w:r w:rsidRPr="002B292D">
        <w:t>years</w:t>
      </w:r>
      <w:r>
        <w:t xml:space="preserve"> </w:t>
      </w:r>
      <w:r w:rsidRPr="002B292D">
        <w:t>of</w:t>
      </w:r>
      <w:r>
        <w:t xml:space="preserve"> </w:t>
      </w:r>
      <w:r w:rsidRPr="002B292D">
        <w:t>imprisonment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crime</w:t>
      </w:r>
      <w:r>
        <w:t xml:space="preserve"> </w:t>
      </w:r>
      <w:r w:rsidRPr="002B292D">
        <w:t>of</w:t>
      </w:r>
      <w:r>
        <w:t xml:space="preserve"> </w:t>
      </w:r>
      <w:r w:rsidRPr="002B292D">
        <w:t>terrorism,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prohibited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for</w:t>
      </w:r>
      <w:r>
        <w:t xml:space="preserve"> </w:t>
      </w:r>
      <w:r w:rsidRPr="002B292D">
        <w:t>political</w:t>
      </w:r>
      <w:r>
        <w:t xml:space="preserve"> </w:t>
      </w:r>
      <w:r w:rsidRPr="002B292D">
        <w:t>office.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adds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political</w:t>
      </w:r>
      <w:r>
        <w:t xml:space="preserve"> </w:t>
      </w:r>
      <w:r w:rsidRPr="002B292D">
        <w:t>context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the</w:t>
      </w:r>
      <w:r>
        <w:t xml:space="preserve"> </w:t>
      </w:r>
      <w:r w:rsidRPr="002B292D">
        <w:t>Bill</w:t>
      </w:r>
      <w:r>
        <w:t xml:space="preserve"> </w:t>
      </w:r>
      <w:r w:rsidRPr="002B292D">
        <w:t>on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</w:t>
      </w:r>
      <w:r>
        <w:t xml:space="preserve"> </w:t>
      </w:r>
      <w:r w:rsidRPr="002B292D">
        <w:t>was</w:t>
      </w:r>
      <w:r>
        <w:t xml:space="preserve"> </w:t>
      </w:r>
      <w:r w:rsidRPr="002B292D">
        <w:t>passed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People</w:t>
      </w:r>
      <w:r w:rsidR="00995FAE">
        <w:t>’</w:t>
      </w:r>
      <w:r w:rsidRPr="002B292D">
        <w:t>s</w:t>
      </w:r>
      <w:r>
        <w:t xml:space="preserve"> </w:t>
      </w:r>
      <w:r w:rsidRPr="002B292D">
        <w:t>Majlis</w:t>
      </w:r>
      <w:r>
        <w:t xml:space="preserve"> </w:t>
      </w:r>
      <w:r w:rsidRPr="002B292D">
        <w:t>on</w:t>
      </w:r>
      <w:r>
        <w:t xml:space="preserve"> </w:t>
      </w:r>
      <w:r w:rsidRPr="002B292D">
        <w:t>30</w:t>
      </w:r>
      <w:r>
        <w:t xml:space="preserve"> </w:t>
      </w:r>
      <w:r w:rsidRPr="002B292D">
        <w:t>March</w:t>
      </w:r>
      <w:r>
        <w:t xml:space="preserve"> </w:t>
      </w:r>
      <w:r w:rsidRPr="002B292D">
        <w:t>2015</w:t>
      </w:r>
      <w:r>
        <w:t xml:space="preserve"> </w:t>
      </w:r>
      <w:r w:rsidRPr="002B292D">
        <w:t>suggests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amendment</w:t>
      </w:r>
      <w:r>
        <w:t xml:space="preserve"> </w:t>
      </w:r>
      <w:r w:rsidRPr="002B292D">
        <w:t>specifically</w:t>
      </w:r>
      <w:r>
        <w:t xml:space="preserve"> </w:t>
      </w:r>
      <w:r w:rsidRPr="002B292D">
        <w:t>targeted</w:t>
      </w:r>
      <w:r>
        <w:t xml:space="preserve"> </w:t>
      </w:r>
      <w:r w:rsidRPr="002B292D">
        <w:t>him,</w:t>
      </w:r>
      <w:r>
        <w:t xml:space="preserve"> </w:t>
      </w:r>
      <w:r w:rsidRPr="002B292D"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main</w:t>
      </w:r>
      <w:r>
        <w:t xml:space="preserve"> </w:t>
      </w:r>
      <w:r w:rsidRPr="002B292D">
        <w:t>political</w:t>
      </w:r>
      <w:r>
        <w:t xml:space="preserve"> </w:t>
      </w:r>
      <w:r w:rsidRPr="002B292D">
        <w:t>opponent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President</w:t>
      </w:r>
      <w:r>
        <w:t xml:space="preserve"> </w:t>
      </w:r>
      <w:r w:rsidRPr="002B292D">
        <w:t>of</w:t>
      </w:r>
      <w:r>
        <w:t xml:space="preserve"> </w:t>
      </w:r>
      <w:r w:rsidRPr="002B292D">
        <w:t>Maldives,</w:t>
      </w:r>
      <w:r>
        <w:t xml:space="preserve"> </w:t>
      </w:r>
      <w:r w:rsidRPr="002B292D">
        <w:t>in</w:t>
      </w:r>
      <w:r>
        <w:t xml:space="preserve"> </w:t>
      </w:r>
      <w:r w:rsidRPr="002B292D">
        <w:t>particular</w:t>
      </w:r>
      <w:r>
        <w:t xml:space="preserve"> </w:t>
      </w:r>
      <w:r w:rsidRPr="002B292D">
        <w:t>given</w:t>
      </w:r>
      <w:r>
        <w:t xml:space="preserve"> </w:t>
      </w:r>
      <w:r w:rsidRPr="002B292D">
        <w:t>that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put</w:t>
      </w:r>
      <w:r>
        <w:t xml:space="preserve"> </w:t>
      </w:r>
      <w:r w:rsidRPr="002B292D">
        <w:t>through</w:t>
      </w:r>
      <w:r>
        <w:t xml:space="preserve"> </w:t>
      </w:r>
      <w:r w:rsidRPr="002B292D">
        <w:t>the</w:t>
      </w:r>
      <w:r>
        <w:t xml:space="preserve"> </w:t>
      </w:r>
      <w:r w:rsidRPr="002B292D">
        <w:t>legislature</w:t>
      </w:r>
      <w:r>
        <w:t xml:space="preserve"> </w:t>
      </w:r>
      <w:r w:rsidRPr="002B292D">
        <w:t>only</w:t>
      </w:r>
      <w:r>
        <w:t xml:space="preserve"> </w:t>
      </w:r>
      <w:r w:rsidRPr="002B292D">
        <w:t>two</w:t>
      </w:r>
      <w:r>
        <w:t xml:space="preserve"> </w:t>
      </w:r>
      <w:r w:rsidRPr="002B292D">
        <w:t>weeks</w:t>
      </w:r>
      <w:r>
        <w:t xml:space="preserve"> </w:t>
      </w:r>
      <w:r w:rsidRPr="002B292D">
        <w:t>after</w:t>
      </w:r>
      <w:r>
        <w:t xml:space="preserve"> </w:t>
      </w:r>
      <w:r w:rsidRPr="002B292D">
        <w:t>his</w:t>
      </w:r>
      <w:r>
        <w:t xml:space="preserve"> </w:t>
      </w:r>
      <w:r w:rsidRPr="002B292D">
        <w:t>conviction.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has</w:t>
      </w:r>
      <w:r>
        <w:t xml:space="preserve"> </w:t>
      </w:r>
      <w:r w:rsidRPr="002B292D">
        <w:t>essentially</w:t>
      </w:r>
      <w:r>
        <w:t xml:space="preserve"> </w:t>
      </w:r>
      <w:r w:rsidRPr="002B292D">
        <w:t>been</w:t>
      </w:r>
      <w:r>
        <w:t xml:space="preserve"> </w:t>
      </w:r>
      <w:r w:rsidRPr="002B292D">
        <w:t>subjected</w:t>
      </w:r>
      <w:r>
        <w:t xml:space="preserve"> </w:t>
      </w:r>
      <w:r w:rsidRPr="002B292D">
        <w:t>to</w:t>
      </w:r>
      <w:r>
        <w:t xml:space="preserve"> </w:t>
      </w:r>
      <w:r w:rsidRPr="002B292D">
        <w:t>a</w:t>
      </w:r>
      <w:r>
        <w:t xml:space="preserve"> </w:t>
      </w:r>
      <w:r w:rsidRPr="002B292D">
        <w:t>16-year</w:t>
      </w:r>
      <w:r>
        <w:t xml:space="preserve"> </w:t>
      </w:r>
      <w:r w:rsidRPr="002B292D">
        <w:t>disqualification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for</w:t>
      </w:r>
      <w:r>
        <w:t xml:space="preserve"> </w:t>
      </w:r>
      <w:r w:rsidRPr="002B292D">
        <w:t>political</w:t>
      </w:r>
      <w:r>
        <w:t xml:space="preserve"> </w:t>
      </w:r>
      <w:r w:rsidRPr="002B292D">
        <w:t>office,</w:t>
      </w:r>
      <w:r>
        <w:t xml:space="preserve"> </w:t>
      </w:r>
      <w:r w:rsidRPr="002B292D">
        <w:lastRenderedPageBreak/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</w:t>
      </w:r>
      <w:r>
        <w:t xml:space="preserve"> </w:t>
      </w:r>
      <w:r w:rsidRPr="002B292D">
        <w:t>prohibits</w:t>
      </w:r>
      <w:r>
        <w:t xml:space="preserve"> </w:t>
      </w:r>
      <w:r w:rsidRPr="002B292D">
        <w:t>individuals</w:t>
      </w:r>
      <w:r>
        <w:t xml:space="preserve"> </w:t>
      </w:r>
      <w:r w:rsidRPr="002B292D">
        <w:t>who</w:t>
      </w:r>
      <w:r>
        <w:t xml:space="preserve"> </w:t>
      </w:r>
      <w:r w:rsidRPr="002B292D">
        <w:t>have</w:t>
      </w:r>
      <w:r>
        <w:t xml:space="preserve"> </w:t>
      </w:r>
      <w:r w:rsidRPr="002B292D">
        <w:t>completed</w:t>
      </w:r>
      <w:r>
        <w:t xml:space="preserve"> </w:t>
      </w:r>
      <w:r w:rsidRPr="002B292D">
        <w:t>a</w:t>
      </w:r>
      <w:r>
        <w:t xml:space="preserve"> </w:t>
      </w:r>
      <w:r w:rsidRPr="002B292D">
        <w:t>prison</w:t>
      </w:r>
      <w:r>
        <w:t xml:space="preserve"> </w:t>
      </w:r>
      <w:r w:rsidRPr="002B292D">
        <w:t>sentence</w:t>
      </w:r>
      <w:r>
        <w:t xml:space="preserve"> </w:t>
      </w:r>
      <w:r w:rsidRPr="002B292D">
        <w:t>of</w:t>
      </w:r>
      <w:r>
        <w:t xml:space="preserve"> </w:t>
      </w:r>
      <w:r w:rsidRPr="002B292D">
        <w:t>more</w:t>
      </w:r>
      <w:r>
        <w:t xml:space="preserve"> </w:t>
      </w:r>
      <w:r w:rsidRPr="002B292D">
        <w:t>than</w:t>
      </w:r>
      <w:r>
        <w:t xml:space="preserve"> </w:t>
      </w:r>
      <w:r w:rsidRPr="002B292D">
        <w:t>one</w:t>
      </w:r>
      <w:r>
        <w:t xml:space="preserve"> </w:t>
      </w:r>
      <w:r w:rsidRPr="002B292D">
        <w:t>year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until</w:t>
      </w:r>
      <w:r>
        <w:t xml:space="preserve"> </w:t>
      </w:r>
      <w:r w:rsidRPr="002B292D">
        <w:t>three</w:t>
      </w:r>
      <w:r>
        <w:t xml:space="preserve"> </w:t>
      </w:r>
      <w:r w:rsidRPr="002B292D">
        <w:t>years</w:t>
      </w:r>
      <w:r>
        <w:t xml:space="preserve"> </w:t>
      </w:r>
      <w:r w:rsidRPr="002B292D">
        <w:t>after</w:t>
      </w:r>
      <w:r>
        <w:t xml:space="preserve"> </w:t>
      </w:r>
      <w:r w:rsidRPr="002B292D">
        <w:t>their</w:t>
      </w:r>
      <w:r>
        <w:t xml:space="preserve"> </w:t>
      </w:r>
      <w:r w:rsidRPr="002B292D">
        <w:t>release.</w:t>
      </w:r>
      <w:r w:rsidRPr="00A035EA">
        <w:rPr>
          <w:rStyle w:val="FootnoteReference"/>
        </w:rPr>
        <w:footnoteReference w:id="16"/>
      </w:r>
      <w:r>
        <w:t xml:space="preserve"> </w:t>
      </w:r>
      <w:r w:rsidRPr="002B292D">
        <w:t>Therefore,</w:t>
      </w:r>
      <w:r>
        <w:t xml:space="preserve"> </w:t>
      </w:r>
      <w:r w:rsidRPr="002B292D">
        <w:t>he</w:t>
      </w:r>
      <w:r>
        <w:t xml:space="preserve"> </w:t>
      </w:r>
      <w:r w:rsidRPr="002B292D">
        <w:t>will</w:t>
      </w:r>
      <w:r>
        <w:t xml:space="preserve"> </w:t>
      </w:r>
      <w:r w:rsidRPr="002B292D">
        <w:t>be</w:t>
      </w:r>
      <w:r>
        <w:t xml:space="preserve"> </w:t>
      </w:r>
      <w:r w:rsidRPr="002B292D">
        <w:t>unable</w:t>
      </w:r>
      <w:r>
        <w:t xml:space="preserve"> </w:t>
      </w:r>
      <w:r w:rsidRPr="002B292D">
        <w:t>to</w:t>
      </w:r>
      <w:r>
        <w:t xml:space="preserve"> </w:t>
      </w:r>
      <w:r w:rsidRPr="002B292D">
        <w:t>participate</w:t>
      </w:r>
      <w:r>
        <w:t xml:space="preserve"> </w:t>
      </w:r>
      <w:r w:rsidRPr="002B292D">
        <w:t>in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</w:t>
      </w:r>
      <w:r>
        <w:t xml:space="preserve"> </w:t>
      </w:r>
      <w:r w:rsidRPr="002B292D">
        <w:t>until</w:t>
      </w:r>
      <w:r>
        <w:t xml:space="preserve"> </w:t>
      </w:r>
      <w:r w:rsidRPr="002B292D">
        <w:t>after</w:t>
      </w:r>
      <w:r>
        <w:t xml:space="preserve"> </w:t>
      </w:r>
      <w:r w:rsidRPr="002B292D">
        <w:t>2031.</w:t>
      </w:r>
      <w:r>
        <w:t xml:space="preserve"> </w:t>
      </w:r>
      <w:r w:rsidRPr="002B292D">
        <w:t>By</w:t>
      </w:r>
      <w:r>
        <w:t xml:space="preserve"> </w:t>
      </w:r>
      <w:r w:rsidRPr="002B292D">
        <w:t>comparison,</w:t>
      </w:r>
      <w:r>
        <w:t xml:space="preserve"> </w:t>
      </w:r>
      <w:r w:rsidRPr="002B292D">
        <w:t>if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convicted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initial</w:t>
      </w:r>
      <w:r>
        <w:t xml:space="preserve"> </w:t>
      </w:r>
      <w:r w:rsidRPr="002B292D">
        <w:t>charges,</w:t>
      </w:r>
      <w:r>
        <w:t xml:space="preserve"> </w:t>
      </w:r>
      <w:r w:rsidRPr="002B292D">
        <w:t>of</w:t>
      </w:r>
      <w:r>
        <w:t xml:space="preserve"> </w:t>
      </w:r>
      <w:r w:rsidRPr="002B292D">
        <w:t>2012,</w:t>
      </w:r>
      <w:r>
        <w:t xml:space="preserve"> </w:t>
      </w:r>
      <w:r w:rsidRPr="002B292D">
        <w:t>he</w:t>
      </w:r>
      <w:r>
        <w:t xml:space="preserve"> </w:t>
      </w:r>
      <w:r w:rsidRPr="002B292D">
        <w:t>would</w:t>
      </w:r>
      <w:r>
        <w:t xml:space="preserve"> </w:t>
      </w:r>
      <w:r w:rsidRPr="002B292D">
        <w:t>have</w:t>
      </w:r>
      <w:r>
        <w:t xml:space="preserve"> </w:t>
      </w:r>
      <w:r w:rsidRPr="002B292D">
        <w:t>only</w:t>
      </w:r>
      <w:r>
        <w:t xml:space="preserve"> </w:t>
      </w:r>
      <w:r w:rsidRPr="002B292D">
        <w:t>been</w:t>
      </w:r>
      <w:r>
        <w:t xml:space="preserve"> </w:t>
      </w:r>
      <w:r w:rsidRPr="002B292D">
        <w:t>barred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for</w:t>
      </w:r>
      <w:r>
        <w:t xml:space="preserve"> </w:t>
      </w:r>
      <w:r w:rsidRPr="002B292D">
        <w:t>political</w:t>
      </w:r>
      <w:r>
        <w:t xml:space="preserve"> </w:t>
      </w:r>
      <w:r w:rsidRPr="002B292D">
        <w:t>office</w:t>
      </w:r>
      <w:r>
        <w:t xml:space="preserve"> </w:t>
      </w:r>
      <w:r w:rsidRPr="002B292D">
        <w:t>until</w:t>
      </w:r>
      <w:r>
        <w:t xml:space="preserve"> </w:t>
      </w:r>
      <w:r w:rsidRPr="002B292D">
        <w:t>2021.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refers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findings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on</w:t>
      </w:r>
      <w:r>
        <w:t xml:space="preserve"> </w:t>
      </w:r>
      <w:r w:rsidRPr="002B292D">
        <w:t>Arbitrary</w:t>
      </w:r>
      <w:r>
        <w:t xml:space="preserve"> </w:t>
      </w:r>
      <w:r w:rsidRPr="002B292D">
        <w:t>Detention</w:t>
      </w:r>
      <w:r>
        <w:t xml:space="preserve"> </w:t>
      </w:r>
      <w:r w:rsidRPr="002B292D">
        <w:t>and</w:t>
      </w:r>
      <w:r>
        <w:t xml:space="preserve"> </w:t>
      </w:r>
      <w:r w:rsidRPr="002B292D">
        <w:t>argues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conviction</w:t>
      </w:r>
      <w:r>
        <w:t xml:space="preserve"> </w:t>
      </w:r>
      <w:r w:rsidRPr="002B292D">
        <w:t>and</w:t>
      </w:r>
      <w:r>
        <w:t xml:space="preserve"> </w:t>
      </w:r>
      <w:r w:rsidRPr="002B292D">
        <w:t>detention</w:t>
      </w:r>
      <w:r>
        <w:t xml:space="preserve"> </w:t>
      </w:r>
      <w:r w:rsidRPr="002B292D">
        <w:t>in</w:t>
      </w:r>
      <w:r>
        <w:t xml:space="preserve"> </w:t>
      </w:r>
      <w:r w:rsidRPr="002B292D">
        <w:t>March</w:t>
      </w:r>
      <w:r>
        <w:t xml:space="preserve"> </w:t>
      </w:r>
      <w:r w:rsidRPr="002B292D">
        <w:t>2015</w:t>
      </w:r>
      <w:r>
        <w:t xml:space="preserve"> </w:t>
      </w:r>
      <w:r w:rsidRPr="002B292D">
        <w:t>on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were</w:t>
      </w:r>
      <w:r>
        <w:t xml:space="preserve"> </w:t>
      </w:r>
      <w:r w:rsidRPr="002B292D">
        <w:t>arbitrary,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during</w:t>
      </w:r>
      <w:r>
        <w:t xml:space="preserve"> </w:t>
      </w:r>
      <w:r w:rsidRPr="002B292D">
        <w:t>the</w:t>
      </w:r>
      <w:r>
        <w:t xml:space="preserve"> </w:t>
      </w:r>
      <w:r w:rsidRPr="002B292D">
        <w:t>trial</w:t>
      </w:r>
      <w:r>
        <w:t xml:space="preserve"> </w:t>
      </w:r>
      <w:r w:rsidRPr="002B292D">
        <w:t>the</w:t>
      </w:r>
      <w:r>
        <w:t xml:space="preserve"> </w:t>
      </w:r>
      <w:r w:rsidRPr="002B292D">
        <w:t>authorities</w:t>
      </w:r>
      <w:r>
        <w:t xml:space="preserve"> </w:t>
      </w:r>
      <w:r w:rsidRPr="002B292D">
        <w:t>failed</w:t>
      </w:r>
      <w:r>
        <w:t xml:space="preserve"> </w:t>
      </w:r>
      <w:r w:rsidRPr="002B292D">
        <w:t>to</w:t>
      </w:r>
      <w:r>
        <w:t xml:space="preserve"> </w:t>
      </w:r>
      <w:r w:rsidRPr="002B292D">
        <w:t>provide</w:t>
      </w:r>
      <w:r>
        <w:t xml:space="preserve"> </w:t>
      </w:r>
      <w:r w:rsidRPr="002B292D">
        <w:t>any</w:t>
      </w:r>
      <w:r>
        <w:t xml:space="preserve"> </w:t>
      </w:r>
      <w:r w:rsidRPr="002B292D">
        <w:t>supporting</w:t>
      </w:r>
      <w:r>
        <w:t xml:space="preserve"> </w:t>
      </w:r>
      <w:r w:rsidRPr="002B292D">
        <w:t>evidence</w:t>
      </w:r>
      <w:r>
        <w:t xml:space="preserve"> </w:t>
      </w:r>
      <w:r w:rsidRPr="002B292D">
        <w:t>for</w:t>
      </w:r>
      <w:r>
        <w:t xml:space="preserve"> </w:t>
      </w:r>
      <w:r w:rsidRPr="002B292D">
        <w:t>his</w:t>
      </w:r>
      <w:r>
        <w:t xml:space="preserve"> </w:t>
      </w:r>
      <w:r w:rsidRPr="002B292D">
        <w:t>conviction.</w:t>
      </w:r>
      <w:r w:rsidRPr="00A035EA">
        <w:rPr>
          <w:rStyle w:val="FootnoteReference"/>
        </w:rPr>
        <w:footnoteReference w:id="17"/>
      </w:r>
      <w:r>
        <w:t xml:space="preserve"> </w:t>
      </w:r>
      <w:r w:rsidRPr="002B292D">
        <w:t>Furthermore,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concluded</w:t>
      </w:r>
      <w:r>
        <w:t xml:space="preserve"> </w:t>
      </w:r>
      <w:r w:rsidRPr="002B292D">
        <w:t>that</w:t>
      </w:r>
      <w:r>
        <w:t xml:space="preserve"> </w:t>
      </w:r>
      <w:r w:rsidRPr="002B292D">
        <w:t>there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rights</w:t>
      </w:r>
      <w:r>
        <w:t xml:space="preserve"> </w:t>
      </w:r>
      <w:r w:rsidRPr="002B292D">
        <w:t>to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opinion</w:t>
      </w:r>
      <w:r>
        <w:t xml:space="preserve"> </w:t>
      </w:r>
      <w:r w:rsidRPr="002B292D">
        <w:t>and</w:t>
      </w:r>
      <w:r>
        <w:t xml:space="preserve"> </w:t>
      </w:r>
      <w:r w:rsidRPr="002B292D">
        <w:t>expression,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association,</w:t>
      </w:r>
      <w:r>
        <w:t xml:space="preserve"> </w:t>
      </w:r>
      <w:r w:rsidRPr="002B292D">
        <w:t>and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participation,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t>19,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targeted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basis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political</w:t>
      </w:r>
      <w:r>
        <w:t xml:space="preserve"> </w:t>
      </w:r>
      <w:r w:rsidRPr="002B292D">
        <w:t>opinions.</w:t>
      </w:r>
      <w:r w:rsidRPr="00A035EA">
        <w:rPr>
          <w:rStyle w:val="FootnoteReference"/>
        </w:rPr>
        <w:footnoteReference w:id="18"/>
      </w:r>
    </w:p>
    <w:p w:rsidR="000D3068" w:rsidRPr="002B292D" w:rsidRDefault="000D3068" w:rsidP="00533F65">
      <w:pPr>
        <w:pStyle w:val="SingleTxtG"/>
      </w:pPr>
      <w:r w:rsidRPr="002B292D">
        <w:t>3.4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if</w:t>
      </w:r>
      <w:r>
        <w:t xml:space="preserve"> </w:t>
      </w:r>
      <w:r w:rsidRPr="002B292D">
        <w:t>the</w:t>
      </w:r>
      <w:r>
        <w:t xml:space="preserve"> </w:t>
      </w:r>
      <w:r w:rsidRPr="002B292D">
        <w:t>underlying</w:t>
      </w:r>
      <w:r>
        <w:t xml:space="preserve"> </w:t>
      </w:r>
      <w:r w:rsidRPr="002B292D">
        <w:t>basis</w:t>
      </w:r>
      <w:r>
        <w:t xml:space="preserve"> </w:t>
      </w:r>
      <w:r w:rsidRPr="002B292D">
        <w:t>for</w:t>
      </w:r>
      <w:r>
        <w:t xml:space="preserve"> </w:t>
      </w:r>
      <w:r w:rsidRPr="002B292D">
        <w:t>a</w:t>
      </w:r>
      <w:r>
        <w:t xml:space="preserve"> </w:t>
      </w:r>
      <w:r w:rsidRPr="002B292D">
        <w:t>restriction</w:t>
      </w:r>
      <w:r>
        <w:t xml:space="preserve"> </w:t>
      </w:r>
      <w:r w:rsidRPr="002B292D">
        <w:t>on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participation</w:t>
      </w:r>
      <w:r>
        <w:t xml:space="preserve"> </w:t>
      </w:r>
      <w:r w:rsidRPr="002B292D">
        <w:t>is</w:t>
      </w:r>
      <w:r>
        <w:t xml:space="preserve"> </w:t>
      </w:r>
      <w:r w:rsidRPr="002B292D">
        <w:t>a</w:t>
      </w:r>
      <w:r>
        <w:t xml:space="preserve"> </w:t>
      </w:r>
      <w:r w:rsidRPr="002B292D">
        <w:t>criminal</w:t>
      </w:r>
      <w:r>
        <w:t xml:space="preserve"> </w:t>
      </w:r>
      <w:r w:rsidRPr="002B292D">
        <w:t>conviction</w:t>
      </w:r>
      <w:r>
        <w:t xml:space="preserve"> </w:t>
      </w:r>
      <w:r w:rsidRPr="002B292D">
        <w:t>that</w:t>
      </w:r>
      <w:r>
        <w:t xml:space="preserve"> </w:t>
      </w:r>
      <w:r w:rsidRPr="002B292D">
        <w:t>is</w:t>
      </w:r>
      <w:r>
        <w:t xml:space="preserve"> </w:t>
      </w:r>
      <w:r w:rsidRPr="002B292D">
        <w:t>later</w:t>
      </w:r>
      <w:r>
        <w:t xml:space="preserve"> </w:t>
      </w:r>
      <w:r w:rsidRPr="002B292D">
        <w:t>found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arbitrary,</w:t>
      </w:r>
      <w:r>
        <w:t xml:space="preserve"> </w:t>
      </w:r>
      <w:r w:rsidRPr="002B292D">
        <w:t>this</w:t>
      </w:r>
      <w:r>
        <w:t xml:space="preserve"> </w:t>
      </w:r>
      <w:r w:rsidRPr="002B292D">
        <w:t>creates</w:t>
      </w:r>
      <w:r>
        <w:t xml:space="preserve"> </w:t>
      </w:r>
      <w:r w:rsidRPr="002B292D">
        <w:t>a</w:t>
      </w:r>
      <w:r>
        <w:t xml:space="preserve"> </w:t>
      </w:r>
      <w:r w:rsidRPr="002B292D">
        <w:t>prima</w:t>
      </w:r>
      <w:r>
        <w:t xml:space="preserve"> </w:t>
      </w:r>
      <w:r w:rsidRPr="002B292D">
        <w:t>facie</w:t>
      </w:r>
      <w:r>
        <w:t xml:space="preserve"> </w:t>
      </w:r>
      <w:r w:rsidRPr="002B292D">
        <w:t>presumption</w:t>
      </w:r>
      <w:r>
        <w:t xml:space="preserve"> </w:t>
      </w:r>
      <w:r w:rsidRPr="002B292D">
        <w:t>of</w:t>
      </w:r>
      <w:r>
        <w:t xml:space="preserve"> </w:t>
      </w:r>
      <w:r w:rsidRPr="002B292D">
        <w:t>unreasonableness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purposes</w:t>
      </w:r>
      <w:r>
        <w:t xml:space="preserve"> </w:t>
      </w:r>
      <w:r w:rsidRPr="002B292D">
        <w:t>of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  <w:r w:rsidRPr="00A035EA">
        <w:rPr>
          <w:rStyle w:val="FootnoteReference"/>
        </w:rPr>
        <w:footnoteReference w:id="19"/>
      </w:r>
      <w:r>
        <w:t xml:space="preserve"> </w:t>
      </w:r>
      <w:r w:rsidRPr="002B292D">
        <w:t>In</w:t>
      </w:r>
      <w:r>
        <w:t xml:space="preserve"> </w:t>
      </w:r>
      <w:r w:rsidRPr="002B292D">
        <w:t>his</w:t>
      </w:r>
      <w:r>
        <w:t xml:space="preserve"> </w:t>
      </w:r>
      <w:r w:rsidRPr="002B292D">
        <w:t>case,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on</w:t>
      </w:r>
      <w:r>
        <w:t xml:space="preserve"> </w:t>
      </w:r>
      <w:r w:rsidRPr="002B292D">
        <w:t>Arbitrary</w:t>
      </w:r>
      <w:r>
        <w:t xml:space="preserve"> </w:t>
      </w:r>
      <w:r w:rsidRPr="002B292D">
        <w:t>Detention</w:t>
      </w:r>
      <w:r>
        <w:t xml:space="preserve"> </w:t>
      </w:r>
      <w:r w:rsidRPr="002B292D">
        <w:t>found</w:t>
      </w:r>
      <w:r>
        <w:t xml:space="preserve"> </w:t>
      </w:r>
      <w:r w:rsidRPr="002B292D">
        <w:t>his</w:t>
      </w:r>
      <w:r>
        <w:t xml:space="preserve"> </w:t>
      </w:r>
      <w:r w:rsidRPr="002B292D">
        <w:t>conviction,</w:t>
      </w:r>
      <w:r>
        <w:t xml:space="preserve"> </w:t>
      </w:r>
      <w:r w:rsidRPr="002B292D">
        <w:t>sentence</w:t>
      </w:r>
      <w:r>
        <w:t xml:space="preserve"> </w:t>
      </w:r>
      <w:r w:rsidRPr="002B292D">
        <w:t>and</w:t>
      </w:r>
      <w:r>
        <w:t xml:space="preserve"> </w:t>
      </w:r>
      <w:r w:rsidRPr="002B292D">
        <w:t>detention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arbitrary.</w:t>
      </w:r>
      <w:r>
        <w:t xml:space="preserve"> </w:t>
      </w:r>
      <w:r w:rsidRPr="002B292D">
        <w:t>In</w:t>
      </w:r>
      <w:r>
        <w:t xml:space="preserve"> </w:t>
      </w:r>
      <w:r w:rsidRPr="002B292D">
        <w:t>this</w:t>
      </w:r>
      <w:r>
        <w:t xml:space="preserve"> </w:t>
      </w:r>
      <w:r w:rsidRPr="002B292D">
        <w:t>regard,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requests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to</w:t>
      </w:r>
      <w:r>
        <w:t xml:space="preserve"> </w:t>
      </w:r>
      <w:r w:rsidRPr="002B292D">
        <w:t>accept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 w:rsidR="00995FAE">
        <w:t>’</w:t>
      </w:r>
      <w:r w:rsidRPr="002B292D">
        <w:t>s</w:t>
      </w:r>
      <w:r>
        <w:t xml:space="preserve"> </w:t>
      </w:r>
      <w:r w:rsidRPr="002B292D">
        <w:t>findings</w:t>
      </w:r>
      <w:r>
        <w:t xml:space="preserve"> </w:t>
      </w:r>
      <w:r w:rsidRPr="002B292D">
        <w:t>as</w:t>
      </w:r>
      <w:r>
        <w:t xml:space="preserve"> </w:t>
      </w:r>
      <w:r w:rsidRPr="002B292D">
        <w:t>valid</w:t>
      </w:r>
      <w:r>
        <w:t xml:space="preserve"> </w:t>
      </w:r>
      <w:r w:rsidRPr="002B292D">
        <w:t>in</w:t>
      </w:r>
      <w:r>
        <w:t xml:space="preserve"> </w:t>
      </w:r>
      <w:r w:rsidRPr="002B292D">
        <w:t>order</w:t>
      </w:r>
      <w:r>
        <w:t xml:space="preserve"> </w:t>
      </w:r>
      <w:r w:rsidRPr="002B292D">
        <w:t>to</w:t>
      </w:r>
      <w:r>
        <w:t xml:space="preserve"> </w:t>
      </w:r>
      <w:r w:rsidRPr="002B292D">
        <w:t>proceed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examination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claims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25.</w:t>
      </w:r>
      <w:r>
        <w:t xml:space="preserve"> </w:t>
      </w:r>
      <w:r w:rsidRPr="002B292D">
        <w:t>Against</w:t>
      </w:r>
      <w:r>
        <w:t xml:space="preserve"> </w:t>
      </w:r>
      <w:r w:rsidRPr="002B292D">
        <w:t>this</w:t>
      </w:r>
      <w:r>
        <w:t xml:space="preserve"> </w:t>
      </w:r>
      <w:r w:rsidRPr="002B292D">
        <w:t>background,</w:t>
      </w:r>
      <w:r>
        <w:t xml:space="preserve"> </w:t>
      </w:r>
      <w:r w:rsidRPr="002B292D">
        <w:t>he</w:t>
      </w:r>
      <w:r>
        <w:t xml:space="preserve"> </w:t>
      </w:r>
      <w:r w:rsidRPr="002B292D">
        <w:t>concludes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arbitrary</w:t>
      </w:r>
      <w:r>
        <w:t xml:space="preserve"> </w:t>
      </w:r>
      <w:r w:rsidRPr="002B292D">
        <w:t>conviction</w:t>
      </w:r>
      <w:r>
        <w:t xml:space="preserve"> </w:t>
      </w:r>
      <w:r w:rsidRPr="002B292D">
        <w:t>and</w:t>
      </w:r>
      <w:r>
        <w:t xml:space="preserve"> </w:t>
      </w:r>
      <w:r w:rsidRPr="002B292D">
        <w:t>sentence</w:t>
      </w:r>
      <w:r>
        <w:t xml:space="preserve"> </w:t>
      </w:r>
      <w:r w:rsidRPr="002B292D">
        <w:t>are</w:t>
      </w:r>
      <w:r>
        <w:t xml:space="preserve"> </w:t>
      </w:r>
      <w:r w:rsidRPr="002B292D">
        <w:t>not</w:t>
      </w:r>
      <w:r>
        <w:t xml:space="preserve"> </w:t>
      </w:r>
      <w:r w:rsidRPr="002B292D">
        <w:t>reasonable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they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applied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means</w:t>
      </w:r>
      <w:r>
        <w:t xml:space="preserve"> </w:t>
      </w:r>
      <w:r w:rsidRPr="002B292D">
        <w:t>to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participating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actions</w:t>
      </w:r>
      <w:r>
        <w:t xml:space="preserve"> </w:t>
      </w:r>
      <w:r w:rsidRPr="002B292D">
        <w:t>are</w:t>
      </w:r>
      <w:r>
        <w:t xml:space="preserve"> </w:t>
      </w:r>
      <w:r w:rsidRPr="002B292D">
        <w:t>targeted</w:t>
      </w:r>
      <w:r>
        <w:t xml:space="preserve"> </w:t>
      </w:r>
      <w:r w:rsidRPr="002B292D">
        <w:t>and</w:t>
      </w:r>
      <w:r>
        <w:t xml:space="preserve"> </w:t>
      </w:r>
      <w:r w:rsidRPr="002B292D">
        <w:t>systematic,</w:t>
      </w:r>
      <w:r>
        <w:t xml:space="preserve"> </w:t>
      </w:r>
      <w:r w:rsidRPr="002B292D">
        <w:t>and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used</w:t>
      </w:r>
      <w:r>
        <w:t xml:space="preserve"> </w:t>
      </w:r>
      <w:r w:rsidRPr="002B292D">
        <w:t>to</w:t>
      </w:r>
      <w:r>
        <w:t xml:space="preserve"> </w:t>
      </w:r>
      <w:r w:rsidRPr="002B292D">
        <w:t>discredit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image,</w:t>
      </w:r>
      <w:r>
        <w:t xml:space="preserve"> </w:t>
      </w:r>
      <w:r w:rsidRPr="002B292D">
        <w:t>suppress</w:t>
      </w:r>
      <w:r>
        <w:t xml:space="preserve"> </w:t>
      </w:r>
      <w:r w:rsidRPr="002B292D">
        <w:t>his</w:t>
      </w:r>
      <w:r>
        <w:t xml:space="preserve"> </w:t>
      </w:r>
      <w:r w:rsidRPr="002B292D">
        <w:t>involvement</w:t>
      </w:r>
      <w:r>
        <w:t xml:space="preserve"> </w:t>
      </w:r>
      <w:r w:rsidRPr="002B292D">
        <w:t>in</w:t>
      </w:r>
      <w:r>
        <w:t xml:space="preserve"> </w:t>
      </w:r>
      <w:r w:rsidRPr="002B292D">
        <w:t>national</w:t>
      </w:r>
      <w:r>
        <w:t xml:space="preserve"> </w:t>
      </w:r>
      <w:r w:rsidRPr="002B292D">
        <w:t>politics,</w:t>
      </w:r>
      <w:r>
        <w:t xml:space="preserve"> </w:t>
      </w:r>
      <w:r w:rsidRPr="002B292D">
        <w:t>silence</w:t>
      </w:r>
      <w:r>
        <w:t xml:space="preserve"> </w:t>
      </w:r>
      <w:r w:rsidRPr="002B292D">
        <w:t>his</w:t>
      </w:r>
      <w:r>
        <w:t xml:space="preserve"> </w:t>
      </w:r>
      <w:r w:rsidRPr="002B292D">
        <w:t>voice,</w:t>
      </w:r>
      <w:r>
        <w:t xml:space="preserve"> </w:t>
      </w:r>
      <w:r w:rsidRPr="002B292D">
        <w:t>and</w:t>
      </w:r>
      <w:r>
        <w:t xml:space="preserve"> </w:t>
      </w:r>
      <w:r w:rsidRPr="002B292D">
        <w:t>ultimately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participating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2018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elections.</w:t>
      </w:r>
      <w:r w:rsidRPr="00A035EA">
        <w:rPr>
          <w:rStyle w:val="FootnoteReference"/>
        </w:rPr>
        <w:footnoteReference w:id="20"/>
      </w:r>
    </w:p>
    <w:p w:rsidR="000D3068" w:rsidRPr="002B292D" w:rsidRDefault="000D3068" w:rsidP="00533F65">
      <w:pPr>
        <w:pStyle w:val="SingleTxtG"/>
      </w:pPr>
      <w:r w:rsidRPr="002B292D">
        <w:t>3.5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association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22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has</w:t>
      </w:r>
      <w:r>
        <w:t xml:space="preserve"> </w:t>
      </w:r>
      <w:r w:rsidRPr="002B292D">
        <w:t>also</w:t>
      </w:r>
      <w:r>
        <w:t xml:space="preserve"> </w:t>
      </w:r>
      <w:r w:rsidRPr="002B292D">
        <w:t>been</w:t>
      </w:r>
      <w:r>
        <w:t xml:space="preserve"> </w:t>
      </w:r>
      <w:r w:rsidRPr="002B292D">
        <w:t>arbitrarily</w:t>
      </w:r>
      <w:r>
        <w:t xml:space="preserve"> </w:t>
      </w:r>
      <w:r w:rsidRPr="002B292D">
        <w:t>restricted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his</w:t>
      </w:r>
      <w:r>
        <w:t xml:space="preserve"> </w:t>
      </w:r>
      <w:r w:rsidRPr="002B292D">
        <w:t>terrorism</w:t>
      </w:r>
      <w:r>
        <w:t xml:space="preserve"> </w:t>
      </w:r>
      <w:r w:rsidRPr="002B292D">
        <w:t>conviction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adoption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Bill</w:t>
      </w:r>
      <w:r>
        <w:t xml:space="preserve"> </w:t>
      </w:r>
      <w:r w:rsidRPr="002B292D">
        <w:t>on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Act.</w:t>
      </w:r>
      <w:r>
        <w:t xml:space="preserve"> </w:t>
      </w:r>
      <w:r w:rsidRPr="002B292D">
        <w:t>This</w:t>
      </w:r>
      <w:r>
        <w:t xml:space="preserve"> </w:t>
      </w:r>
      <w:r w:rsidRPr="002B292D">
        <w:t>amendment</w:t>
      </w:r>
      <w:r>
        <w:t xml:space="preserve"> </w:t>
      </w:r>
      <w:r w:rsidRPr="002B292D">
        <w:t>effectively</w:t>
      </w:r>
      <w:r>
        <w:t xml:space="preserve"> </w:t>
      </w:r>
      <w:r w:rsidRPr="002B292D">
        <w:t>bans</w:t>
      </w:r>
      <w:r>
        <w:t xml:space="preserve"> </w:t>
      </w:r>
      <w:r w:rsidRPr="002B292D">
        <w:t>him,</w:t>
      </w:r>
      <w:r>
        <w:t xml:space="preserve"> </w:t>
      </w:r>
      <w:r w:rsidRPr="002B292D"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principal</w:t>
      </w:r>
      <w:r>
        <w:t xml:space="preserve"> </w:t>
      </w:r>
      <w:r w:rsidRPr="002B292D">
        <w:t>political</w:t>
      </w:r>
      <w:r>
        <w:t xml:space="preserve"> </w:t>
      </w:r>
      <w:r w:rsidRPr="002B292D">
        <w:t>opponent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current</w:t>
      </w:r>
      <w:r>
        <w:t xml:space="preserve"> </w:t>
      </w:r>
      <w:r w:rsidRPr="002B292D">
        <w:t>president,</w:t>
      </w:r>
      <w:r>
        <w:t xml:space="preserve"> </w:t>
      </w:r>
      <w:r w:rsidRPr="002B292D">
        <w:t>from</w:t>
      </w:r>
      <w:r>
        <w:t xml:space="preserve"> </w:t>
      </w:r>
      <w:r w:rsidRPr="002B292D">
        <w:t>leading</w:t>
      </w:r>
      <w:r>
        <w:t xml:space="preserve"> </w:t>
      </w:r>
      <w:r w:rsidRPr="002B292D">
        <w:t>his</w:t>
      </w:r>
      <w:r>
        <w:t xml:space="preserve"> </w:t>
      </w:r>
      <w:r w:rsidRPr="002B292D">
        <w:t>political</w:t>
      </w:r>
      <w:r>
        <w:t xml:space="preserve"> </w:t>
      </w:r>
      <w:r w:rsidRPr="002B292D">
        <w:t>party.</w:t>
      </w:r>
      <w:r>
        <w:t xml:space="preserve"> </w:t>
      </w:r>
      <w:r w:rsidRPr="002B292D">
        <w:t>He</w:t>
      </w:r>
      <w:r>
        <w:t xml:space="preserve"> </w:t>
      </w:r>
      <w:r w:rsidRPr="002B292D">
        <w:t>also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bill</w:t>
      </w:r>
      <w:r>
        <w:t xml:space="preserve"> </w:t>
      </w:r>
      <w:r w:rsidRPr="002B292D">
        <w:t>was</w:t>
      </w:r>
      <w:r>
        <w:t xml:space="preserve"> </w:t>
      </w:r>
      <w:r w:rsidRPr="002B292D">
        <w:t>passed</w:t>
      </w:r>
      <w:r>
        <w:t xml:space="preserve"> </w:t>
      </w:r>
      <w:r w:rsidRPr="002B292D">
        <w:t>specifically</w:t>
      </w:r>
      <w:r>
        <w:t xml:space="preserve"> </w:t>
      </w:r>
      <w:r w:rsidRPr="002B292D">
        <w:t>to</w:t>
      </w:r>
      <w:r>
        <w:t xml:space="preserve"> </w:t>
      </w:r>
      <w:r w:rsidRPr="002B292D">
        <w:t>target</w:t>
      </w:r>
      <w:r>
        <w:t xml:space="preserve"> </w:t>
      </w:r>
      <w:r w:rsidRPr="002B292D">
        <w:t>him.</w:t>
      </w:r>
    </w:p>
    <w:p w:rsidR="000D3068" w:rsidRPr="002B292D" w:rsidRDefault="000D3068" w:rsidP="00E67817">
      <w:pPr>
        <w:pStyle w:val="H23G"/>
      </w:pPr>
      <w:r w:rsidRPr="002B292D">
        <w:tab/>
      </w:r>
      <w:r w:rsidRPr="002B292D">
        <w:tab/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observations</w:t>
      </w:r>
      <w:r>
        <w:t xml:space="preserve"> </w:t>
      </w:r>
      <w:r w:rsidRPr="002B292D">
        <w:t>on</w:t>
      </w:r>
      <w:r>
        <w:t xml:space="preserve"> </w:t>
      </w:r>
      <w:r w:rsidRPr="002B292D">
        <w:t>admissibility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merits</w:t>
      </w:r>
    </w:p>
    <w:p w:rsidR="000D3068" w:rsidRPr="002B292D" w:rsidRDefault="000D3068" w:rsidP="00533F65">
      <w:pPr>
        <w:pStyle w:val="SingleTxtG"/>
      </w:pPr>
      <w:r w:rsidRPr="002B292D">
        <w:t>4.1</w:t>
      </w:r>
      <w:r w:rsidRPr="002B292D">
        <w:tab/>
        <w:t>On</w:t>
      </w:r>
      <w:r>
        <w:t xml:space="preserve"> </w:t>
      </w:r>
      <w:r w:rsidRPr="002B292D">
        <w:t>13</w:t>
      </w:r>
      <w:r>
        <w:t xml:space="preserve"> </w:t>
      </w:r>
      <w:r w:rsidRPr="002B292D">
        <w:t>December</w:t>
      </w:r>
      <w:r>
        <w:t xml:space="preserve"> </w:t>
      </w:r>
      <w:r w:rsidRPr="002B292D">
        <w:t>2017,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submitted</w:t>
      </w:r>
      <w:r>
        <w:t xml:space="preserve"> </w:t>
      </w:r>
      <w:r w:rsidRPr="002B292D">
        <w:t>its</w:t>
      </w:r>
      <w:r>
        <w:t xml:space="preserve"> </w:t>
      </w:r>
      <w:r w:rsidRPr="002B292D">
        <w:t>observations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admissibility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merits</w:t>
      </w:r>
      <w:r>
        <w:t xml:space="preserve"> </w:t>
      </w:r>
      <w:r w:rsidRPr="002B292D">
        <w:t>of</w:t>
      </w:r>
      <w:r>
        <w:t xml:space="preserve"> </w:t>
      </w:r>
      <w:r w:rsidRPr="002B292D"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2851/2016,</w:t>
      </w:r>
      <w:r>
        <w:t xml:space="preserve"> </w:t>
      </w:r>
      <w:r w:rsidRPr="002B292D">
        <w:t>only.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communication</w:t>
      </w:r>
      <w:r>
        <w:t xml:space="preserve"> </w:t>
      </w:r>
      <w:r w:rsidRPr="002B292D">
        <w:t>is</w:t>
      </w:r>
      <w:r>
        <w:t xml:space="preserve"> </w:t>
      </w:r>
      <w:r w:rsidRPr="002B292D">
        <w:t>manifestly</w:t>
      </w:r>
      <w:r>
        <w:t xml:space="preserve"> </w:t>
      </w:r>
      <w:r w:rsidRPr="002B292D">
        <w:t>ill-founded,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allegations</w:t>
      </w:r>
      <w:r>
        <w:t xml:space="preserve"> </w:t>
      </w:r>
      <w:r w:rsidRPr="002B292D">
        <w:t>are</w:t>
      </w:r>
      <w:r>
        <w:t xml:space="preserve"> </w:t>
      </w:r>
      <w:r w:rsidRPr="002B292D">
        <w:t>factually</w:t>
      </w:r>
      <w:r>
        <w:t xml:space="preserve"> </w:t>
      </w:r>
      <w:r w:rsidRPr="002B292D">
        <w:t>incorrect</w:t>
      </w:r>
      <w:r>
        <w:t xml:space="preserve"> </w:t>
      </w:r>
      <w:r w:rsidRPr="002B292D">
        <w:t>and</w:t>
      </w:r>
      <w:r>
        <w:t xml:space="preserve"> </w:t>
      </w:r>
      <w:r w:rsidRPr="002B292D">
        <w:t>his</w:t>
      </w:r>
      <w:r>
        <w:t xml:space="preserve"> </w:t>
      </w:r>
      <w:r w:rsidRPr="002B292D">
        <w:t>detention</w:t>
      </w:r>
      <w:r>
        <w:t xml:space="preserve"> </w:t>
      </w:r>
      <w:r w:rsidRPr="002B292D">
        <w:t>is</w:t>
      </w:r>
      <w:r>
        <w:t xml:space="preserve"> </w:t>
      </w:r>
      <w:r w:rsidRPr="002B292D">
        <w:t>justified</w:t>
      </w:r>
      <w:r>
        <w:t xml:space="preserve"> </w:t>
      </w:r>
      <w:r w:rsidRPr="002B292D">
        <w:t>and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domestic</w:t>
      </w:r>
      <w:r>
        <w:t xml:space="preserve"> </w:t>
      </w:r>
      <w:r w:rsidRPr="002B292D">
        <w:t>and</w:t>
      </w:r>
      <w:r>
        <w:t xml:space="preserve"> </w:t>
      </w:r>
      <w:r w:rsidRPr="002B292D">
        <w:t>international</w:t>
      </w:r>
      <w:r>
        <w:t xml:space="preserve"> </w:t>
      </w:r>
      <w:r w:rsidRPr="002B292D">
        <w:t>law.</w:t>
      </w:r>
      <w:r>
        <w:t xml:space="preserve"> </w:t>
      </w:r>
      <w:r w:rsidRPr="002B292D">
        <w:t>Thus,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detention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cannot</w:t>
      </w:r>
      <w:r>
        <w:t xml:space="preserve"> </w:t>
      </w:r>
      <w:r w:rsidRPr="002B292D">
        <w:t>be</w:t>
      </w:r>
      <w:r>
        <w:t xml:space="preserve"> </w:t>
      </w:r>
      <w:r w:rsidRPr="002B292D">
        <w:t>deemed</w:t>
      </w:r>
      <w:r>
        <w:t xml:space="preserve"> </w:t>
      </w:r>
      <w:r w:rsidRPr="002B292D">
        <w:t>arbitrary,</w:t>
      </w:r>
      <w:r>
        <w:t xml:space="preserve"> </w:t>
      </w:r>
      <w:r w:rsidRPr="002B292D">
        <w:t>the</w:t>
      </w:r>
      <w:r>
        <w:t xml:space="preserve"> </w:t>
      </w:r>
      <w:r w:rsidRPr="002B292D">
        <w:t>restrictions</w:t>
      </w:r>
      <w:r>
        <w:t xml:space="preserve"> </w:t>
      </w:r>
      <w:r w:rsidRPr="002B292D">
        <w:t>on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to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participation</w:t>
      </w:r>
      <w:r>
        <w:t xml:space="preserve"> </w:t>
      </w:r>
      <w:r w:rsidRPr="002B292D">
        <w:t>and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association</w:t>
      </w:r>
      <w:r>
        <w:t xml:space="preserve"> </w:t>
      </w:r>
      <w:r w:rsidRPr="002B292D">
        <w:t>are</w:t>
      </w:r>
      <w:r>
        <w:t xml:space="preserve"> </w:t>
      </w:r>
      <w:r w:rsidRPr="002B292D">
        <w:t>justified</w:t>
      </w:r>
      <w:r>
        <w:t xml:space="preserve"> </w:t>
      </w:r>
      <w:r w:rsidRPr="002B292D">
        <w:t>and</w:t>
      </w:r>
      <w:r>
        <w:t xml:space="preserve"> </w:t>
      </w:r>
      <w:r w:rsidRPr="002B292D">
        <w:t>reasonable.</w:t>
      </w:r>
    </w:p>
    <w:p w:rsidR="000D3068" w:rsidRPr="002B292D" w:rsidRDefault="000D3068" w:rsidP="00533F65">
      <w:pPr>
        <w:pStyle w:val="SingleTxtG"/>
      </w:pPr>
      <w:r w:rsidRPr="002B292D">
        <w:t>4.2</w:t>
      </w:r>
      <w:r w:rsidRPr="002B292D">
        <w:tab/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contrary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allegation</w:t>
      </w:r>
      <w:r>
        <w:t xml:space="preserve"> </w:t>
      </w:r>
      <w:r w:rsidRPr="002B292D">
        <w:t>made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author,</w:t>
      </w:r>
      <w:r>
        <w:t xml:space="preserve"> </w:t>
      </w:r>
      <w:r w:rsidRPr="002B292D">
        <w:t>on</w:t>
      </w:r>
      <w:r>
        <w:t xml:space="preserve"> </w:t>
      </w:r>
      <w:r w:rsidRPr="002B292D">
        <w:t>7</w:t>
      </w:r>
      <w:r>
        <w:t xml:space="preserve"> </w:t>
      </w:r>
      <w:r w:rsidRPr="002B292D">
        <w:t>February</w:t>
      </w:r>
      <w:r>
        <w:t xml:space="preserve"> </w:t>
      </w:r>
      <w:r w:rsidRPr="002B292D">
        <w:t>2012</w:t>
      </w:r>
      <w:r>
        <w:t xml:space="preserve"> </w:t>
      </w:r>
      <w:r w:rsidRPr="002B292D">
        <w:t>he</w:t>
      </w:r>
      <w:r>
        <w:t xml:space="preserve"> </w:t>
      </w:r>
      <w:r w:rsidRPr="002B292D">
        <w:t>voluntarily</w:t>
      </w:r>
      <w:r>
        <w:t xml:space="preserve"> </w:t>
      </w:r>
      <w:r w:rsidRPr="002B292D">
        <w:t>resigned</w:t>
      </w:r>
      <w:r>
        <w:t xml:space="preserve"> </w:t>
      </w:r>
      <w:r w:rsidRPr="002B292D">
        <w:t>from</w:t>
      </w:r>
      <w:r>
        <w:t xml:space="preserve"> </w:t>
      </w:r>
      <w:r w:rsidRPr="002B292D">
        <w:t>office.</w:t>
      </w:r>
      <w:r w:rsidRPr="00A035EA">
        <w:rPr>
          <w:rStyle w:val="FootnoteReference"/>
        </w:rPr>
        <w:footnoteReference w:id="21"/>
      </w:r>
    </w:p>
    <w:p w:rsidR="000D3068" w:rsidRPr="002B292D" w:rsidRDefault="000D3068" w:rsidP="00533F65">
      <w:pPr>
        <w:pStyle w:val="SingleTxtG"/>
      </w:pPr>
      <w:r w:rsidRPr="002B292D">
        <w:t>4.3</w:t>
      </w:r>
      <w:r w:rsidRPr="002B292D">
        <w:tab/>
        <w:t>Concerning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upon</w:t>
      </w:r>
      <w:r>
        <w:t xml:space="preserve"> </w:t>
      </w:r>
      <w:r w:rsidRPr="002B292D">
        <w:t>appeal,</w:t>
      </w:r>
      <w:r>
        <w:t xml:space="preserve"> </w:t>
      </w:r>
      <w:r w:rsidRPr="002B292D">
        <w:t>on</w:t>
      </w:r>
      <w:r>
        <w:t xml:space="preserve"> </w:t>
      </w:r>
      <w:r w:rsidRPr="002B292D">
        <w:t>27</w:t>
      </w:r>
      <w:r>
        <w:t xml:space="preserve"> </w:t>
      </w:r>
      <w:r w:rsidRPr="002B292D">
        <w:t>June</w:t>
      </w:r>
      <w:r>
        <w:t xml:space="preserve"> </w:t>
      </w:r>
      <w:r w:rsidRPr="002B292D">
        <w:t>2016,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ruled,</w:t>
      </w:r>
      <w:r>
        <w:t xml:space="preserve"> </w:t>
      </w:r>
      <w:r w:rsidRPr="002B292D">
        <w:t>inter</w:t>
      </w:r>
      <w:r>
        <w:t xml:space="preserve"> </w:t>
      </w:r>
      <w:r w:rsidRPr="002B292D">
        <w:t>alia,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lastRenderedPageBreak/>
        <w:t>afforded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adequate</w:t>
      </w:r>
      <w:r>
        <w:t xml:space="preserve"> </w:t>
      </w:r>
      <w:r w:rsidRPr="002B292D">
        <w:t>time</w:t>
      </w:r>
      <w:r>
        <w:t xml:space="preserve"> </w:t>
      </w:r>
      <w:r w:rsidRPr="002B292D">
        <w:t>and</w:t>
      </w:r>
      <w:r>
        <w:t xml:space="preserve"> </w:t>
      </w:r>
      <w:r w:rsidRPr="002B292D">
        <w:t>facilities</w:t>
      </w:r>
      <w:r>
        <w:t xml:space="preserve"> </w:t>
      </w:r>
      <w:r w:rsidRPr="002B292D">
        <w:t>to</w:t>
      </w:r>
      <w:r>
        <w:t xml:space="preserve"> </w:t>
      </w:r>
      <w:r w:rsidRPr="002B292D">
        <w:t>prepare</w:t>
      </w:r>
      <w:r>
        <w:t xml:space="preserve"> </w:t>
      </w:r>
      <w:r w:rsidRPr="002B292D">
        <w:t>his</w:t>
      </w:r>
      <w:r>
        <w:t xml:space="preserve"> </w:t>
      </w:r>
      <w:r w:rsidRPr="002B292D">
        <w:t>defence,</w:t>
      </w:r>
      <w:r>
        <w:t xml:space="preserve"> </w:t>
      </w:r>
      <w:r w:rsidRPr="002B292D">
        <w:t>including</w:t>
      </w:r>
      <w:r>
        <w:t xml:space="preserve"> </w:t>
      </w:r>
      <w:r w:rsidRPr="002B292D">
        <w:t>being</w:t>
      </w:r>
      <w:r>
        <w:t xml:space="preserve"> </w:t>
      </w:r>
      <w:r w:rsidRPr="002B292D">
        <w:t>assisted</w:t>
      </w:r>
      <w:r>
        <w:t xml:space="preserve"> </w:t>
      </w:r>
      <w:r w:rsidRPr="002B292D">
        <w:t>by</w:t>
      </w:r>
      <w:r>
        <w:t xml:space="preserve"> </w:t>
      </w:r>
      <w:r w:rsidRPr="002B292D">
        <w:t>legal</w:t>
      </w:r>
      <w:r>
        <w:t xml:space="preserve"> </w:t>
      </w:r>
      <w:r w:rsidRPr="002B292D">
        <w:t>counsel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own</w:t>
      </w:r>
      <w:r>
        <w:t xml:space="preserve"> </w:t>
      </w:r>
      <w:r w:rsidRPr="002B292D">
        <w:t>choosing,</w:t>
      </w:r>
      <w:r>
        <w:t xml:space="preserve"> </w:t>
      </w:r>
      <w:r w:rsidRPr="002B292D">
        <w:t>and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afforded</w:t>
      </w:r>
      <w:r>
        <w:t xml:space="preserve"> </w:t>
      </w:r>
      <w:r w:rsidRPr="002B292D">
        <w:t>a</w:t>
      </w:r>
      <w:r>
        <w:t xml:space="preserve"> </w:t>
      </w:r>
      <w:r w:rsidRPr="002B292D">
        <w:t>fair</w:t>
      </w:r>
      <w:r>
        <w:t xml:space="preserve"> </w:t>
      </w:r>
      <w:r w:rsidRPr="002B292D">
        <w:t>trial.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also</w:t>
      </w:r>
      <w:r>
        <w:t xml:space="preserve"> </w:t>
      </w:r>
      <w:r w:rsidRPr="002B292D">
        <w:t>stated</w:t>
      </w:r>
      <w:r>
        <w:t xml:space="preserve"> </w:t>
      </w:r>
      <w:r w:rsidRPr="002B292D">
        <w:t>that</w:t>
      </w:r>
      <w:r>
        <w:t xml:space="preserve"> </w:t>
      </w:r>
      <w:r w:rsidRPr="002B292D">
        <w:t>as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failed</w:t>
      </w:r>
      <w:r>
        <w:t xml:space="preserve"> </w:t>
      </w:r>
      <w:r w:rsidRPr="002B292D">
        <w:t>to</w:t>
      </w:r>
      <w:r>
        <w:t xml:space="preserve"> </w:t>
      </w:r>
      <w:r w:rsidRPr="002B292D">
        <w:t>exercise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appeal</w:t>
      </w:r>
      <w:r>
        <w:t xml:space="preserve"> </w:t>
      </w:r>
      <w:r w:rsidRPr="002B292D">
        <w:t>within</w:t>
      </w:r>
      <w:r>
        <w:t xml:space="preserve"> </w:t>
      </w:r>
      <w:r w:rsidRPr="002B292D">
        <w:t>the</w:t>
      </w:r>
      <w:r>
        <w:t xml:space="preserve"> </w:t>
      </w:r>
      <w:r w:rsidRPr="002B292D">
        <w:t>stipulated</w:t>
      </w:r>
      <w:r>
        <w:t xml:space="preserve"> </w:t>
      </w:r>
      <w:r w:rsidRPr="002B292D">
        <w:t>period,</w:t>
      </w:r>
      <w:r>
        <w:t xml:space="preserve"> </w:t>
      </w:r>
      <w:r w:rsidRPr="002B292D">
        <w:t>the</w:t>
      </w:r>
      <w:r>
        <w:t xml:space="preserve"> </w:t>
      </w:r>
      <w:r w:rsidRPr="002B292D">
        <w:t>merits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trial</w:t>
      </w:r>
      <w:r>
        <w:t xml:space="preserve"> </w:t>
      </w:r>
      <w:r w:rsidRPr="002B292D">
        <w:t>court</w:t>
      </w:r>
      <w:r>
        <w:t xml:space="preserve"> </w:t>
      </w:r>
      <w:r w:rsidRPr="002B292D">
        <w:t>judgment</w:t>
      </w:r>
      <w:r>
        <w:t xml:space="preserve"> </w:t>
      </w:r>
      <w:r w:rsidRPr="002B292D">
        <w:t>had</w:t>
      </w:r>
      <w:r>
        <w:t xml:space="preserve"> </w:t>
      </w:r>
      <w:r w:rsidRPr="002B292D">
        <w:t>become</w:t>
      </w:r>
      <w:r>
        <w:t xml:space="preserve"> </w:t>
      </w:r>
      <w:r w:rsidRPr="002B292D">
        <w:t>final.</w:t>
      </w:r>
      <w:r>
        <w:t xml:space="preserve"> </w:t>
      </w:r>
      <w:r w:rsidRPr="002B292D">
        <w:t>It</w:t>
      </w:r>
      <w:r>
        <w:t xml:space="preserve"> </w:t>
      </w:r>
      <w:r w:rsidRPr="002B292D">
        <w:t>also</w:t>
      </w:r>
      <w:r>
        <w:t xml:space="preserve"> </w:t>
      </w:r>
      <w:r w:rsidRPr="002B292D">
        <w:t>upheld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 w:rsidR="00995FAE">
        <w:t>’</w:t>
      </w:r>
      <w:r w:rsidRPr="002B292D">
        <w:t>s</w:t>
      </w:r>
      <w:r>
        <w:t xml:space="preserve"> </w:t>
      </w:r>
      <w:r w:rsidRPr="002B292D">
        <w:t>decision</w:t>
      </w:r>
      <w:r>
        <w:t xml:space="preserve"> </w:t>
      </w:r>
      <w:r w:rsidRPr="002B292D">
        <w:t>not</w:t>
      </w:r>
      <w:r>
        <w:t xml:space="preserve"> </w:t>
      </w:r>
      <w:r w:rsidRPr="002B292D">
        <w:t>to</w:t>
      </w:r>
      <w:r>
        <w:t xml:space="preserve"> </w:t>
      </w:r>
      <w:r w:rsidRPr="002B292D">
        <w:t>grant</w:t>
      </w:r>
      <w:r>
        <w:t xml:space="preserve"> </w:t>
      </w:r>
      <w:r w:rsidRPr="002B292D">
        <w:t>leave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appeal</w:t>
      </w:r>
      <w:r>
        <w:t xml:space="preserve"> </w:t>
      </w:r>
      <w:r w:rsidRPr="002B292D">
        <w:t>lodged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General,</w:t>
      </w:r>
      <w:r>
        <w:t xml:space="preserve"> </w:t>
      </w:r>
      <w:r w:rsidRPr="002B292D">
        <w:t>based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fact</w:t>
      </w:r>
      <w:r>
        <w:t xml:space="preserve"> </w:t>
      </w:r>
      <w:r w:rsidRPr="002B292D">
        <w:t>that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and</w:t>
      </w:r>
      <w:r>
        <w:t xml:space="preserve"> </w:t>
      </w:r>
      <w:r w:rsidRPr="002B292D">
        <w:t>not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who</w:t>
      </w:r>
      <w:r>
        <w:t xml:space="preserve"> </w:t>
      </w:r>
      <w:r w:rsidRPr="002B292D">
        <w:t>lodged</w:t>
      </w:r>
      <w:r>
        <w:t xml:space="preserve"> </w:t>
      </w:r>
      <w:r w:rsidRPr="002B292D">
        <w:t>the</w:t>
      </w:r>
      <w:r>
        <w:t xml:space="preserve"> </w:t>
      </w:r>
      <w:r w:rsidRPr="002B292D">
        <w:t>appeal.</w:t>
      </w:r>
    </w:p>
    <w:p w:rsidR="000D3068" w:rsidRPr="002B292D" w:rsidRDefault="000D3068" w:rsidP="00040CB3">
      <w:pPr>
        <w:pStyle w:val="SingleTxtG"/>
      </w:pPr>
      <w:r w:rsidRPr="002B292D">
        <w:t>4.4</w:t>
      </w:r>
      <w:r w:rsidRPr="002B292D">
        <w:tab/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points</w:t>
      </w:r>
      <w:r>
        <w:t xml:space="preserve"> </w:t>
      </w:r>
      <w:r w:rsidRPr="002B292D">
        <w:t>out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allegations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are</w:t>
      </w:r>
      <w:r>
        <w:t xml:space="preserve"> </w:t>
      </w:r>
      <w:r w:rsidRPr="002B292D">
        <w:t>founded</w:t>
      </w:r>
      <w:r>
        <w:t xml:space="preserve"> </w:t>
      </w:r>
      <w:r w:rsidRPr="002B292D">
        <w:t>upon</w:t>
      </w:r>
      <w:r>
        <w:t xml:space="preserve"> </w:t>
      </w:r>
      <w:r w:rsidRPr="002B292D">
        <w:t>the</w:t>
      </w:r>
      <w:r>
        <w:t xml:space="preserve"> </w:t>
      </w:r>
      <w:r w:rsidRPr="002B292D">
        <w:t>opinion</w:t>
      </w:r>
      <w:r>
        <w:t xml:space="preserve"> </w:t>
      </w:r>
      <w:r w:rsidRPr="002B292D">
        <w:t>rendered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on</w:t>
      </w:r>
      <w:r>
        <w:t xml:space="preserve"> </w:t>
      </w:r>
      <w:r w:rsidRPr="002B292D">
        <w:t>Arbitrary</w:t>
      </w:r>
      <w:r>
        <w:t xml:space="preserve"> </w:t>
      </w:r>
      <w:r w:rsidRPr="002B292D">
        <w:t>Detention.</w:t>
      </w:r>
      <w:r>
        <w:t xml:space="preserve"> </w:t>
      </w:r>
      <w:r w:rsidRPr="002B292D">
        <w:t>Nevertheless,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does</w:t>
      </w:r>
      <w:r>
        <w:t xml:space="preserve"> </w:t>
      </w:r>
      <w:r w:rsidRPr="002B292D">
        <w:t>not</w:t>
      </w:r>
      <w:r>
        <w:t xml:space="preserve"> </w:t>
      </w:r>
      <w:r w:rsidRPr="002B292D">
        <w:t>accept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 w:rsidR="00995FAE">
        <w:t>’</w:t>
      </w:r>
      <w:r w:rsidRPr="002B292D">
        <w:t>s</w:t>
      </w:r>
      <w:r>
        <w:t xml:space="preserve"> </w:t>
      </w:r>
      <w:r w:rsidRPr="002B292D">
        <w:t>finding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detention</w:t>
      </w:r>
      <w:r>
        <w:t xml:space="preserve"> </w:t>
      </w:r>
      <w:r w:rsidRPr="002B292D">
        <w:t>was</w:t>
      </w:r>
      <w:r>
        <w:t xml:space="preserve"> </w:t>
      </w:r>
      <w:r w:rsidRPr="002B292D">
        <w:t>arbitrary</w:t>
      </w:r>
      <w:r>
        <w:t xml:space="preserve"> </w:t>
      </w:r>
      <w:r w:rsidRPr="002B292D">
        <w:t>and</w:t>
      </w:r>
      <w:r>
        <w:t xml:space="preserve"> </w:t>
      </w:r>
      <w:r w:rsidRPr="002B292D">
        <w:t>in</w:t>
      </w:r>
      <w:r>
        <w:t xml:space="preserve"> </w:t>
      </w:r>
      <w:r w:rsidRPr="002B292D">
        <w:t>breach</w:t>
      </w:r>
      <w:r>
        <w:t xml:space="preserve"> </w:t>
      </w:r>
      <w:r w:rsidRPr="002B292D">
        <w:t>of</w:t>
      </w:r>
      <w:r>
        <w:t xml:space="preserve"> </w:t>
      </w:r>
      <w:r w:rsidRPr="002B292D">
        <w:t>international</w:t>
      </w:r>
      <w:r>
        <w:t xml:space="preserve"> </w:t>
      </w:r>
      <w:r w:rsidRPr="002B292D">
        <w:t>law.</w:t>
      </w:r>
      <w:r>
        <w:t xml:space="preserve"> </w:t>
      </w:r>
      <w:r w:rsidRPr="002B292D">
        <w:t>In</w:t>
      </w:r>
      <w:r>
        <w:t xml:space="preserve"> </w:t>
      </w:r>
      <w:r w:rsidRPr="002B292D">
        <w:t>this</w:t>
      </w:r>
      <w:r>
        <w:t xml:space="preserve"> </w:t>
      </w:r>
      <w:r w:rsidRPr="002B292D">
        <w:t>regard,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provides</w:t>
      </w:r>
      <w:r>
        <w:t xml:space="preserve"> </w:t>
      </w:r>
      <w:r w:rsidRPr="002B292D">
        <w:t>detailed</w:t>
      </w:r>
      <w:r>
        <w:t xml:space="preserve"> </w:t>
      </w:r>
      <w:r w:rsidRPr="002B292D">
        <w:t>objections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 w:rsidR="00995FAE">
        <w:t>’</w:t>
      </w:r>
      <w:r w:rsidRPr="002B292D">
        <w:t>s</w:t>
      </w:r>
      <w:r>
        <w:t xml:space="preserve"> </w:t>
      </w:r>
      <w:r w:rsidRPr="002B292D">
        <w:t>finding,</w:t>
      </w:r>
      <w:r>
        <w:t xml:space="preserve"> </w:t>
      </w:r>
      <w:r w:rsidRPr="002B292D">
        <w:t>and</w:t>
      </w:r>
      <w:r>
        <w:t xml:space="preserve"> </w:t>
      </w:r>
      <w:r w:rsidRPr="002B292D">
        <w:t>requests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to</w:t>
      </w:r>
      <w:r>
        <w:t xml:space="preserve"> </w:t>
      </w:r>
      <w:r w:rsidR="00995FAE">
        <w:t>“</w:t>
      </w:r>
      <w:r w:rsidRPr="002B292D">
        <w:t>deliberate</w:t>
      </w:r>
      <w:r w:rsidR="00995FAE">
        <w:t>”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issues</w:t>
      </w:r>
      <w:r>
        <w:t xml:space="preserve"> </w:t>
      </w:r>
      <w:r w:rsidRPr="002B292D">
        <w:t>raised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in</w:t>
      </w:r>
      <w:r>
        <w:t xml:space="preserve"> </w:t>
      </w:r>
      <w:r w:rsidRPr="002B292D">
        <w:t>his</w:t>
      </w:r>
      <w:r>
        <w:t xml:space="preserve"> </w:t>
      </w:r>
      <w:r w:rsidRPr="002B292D">
        <w:t>communication</w:t>
      </w:r>
      <w:r>
        <w:t xml:space="preserve"> </w:t>
      </w:r>
      <w:r w:rsidRPr="002B292D">
        <w:t>with</w:t>
      </w:r>
      <w:r>
        <w:t xml:space="preserve"> </w:t>
      </w:r>
      <w:r w:rsidRPr="002B292D">
        <w:t>respect</w:t>
      </w:r>
      <w:r>
        <w:t xml:space="preserve"> </w:t>
      </w:r>
      <w:r w:rsidRPr="002B292D">
        <w:t>to</w:t>
      </w:r>
      <w:r>
        <w:t xml:space="preserve"> </w:t>
      </w:r>
      <w:r w:rsidRPr="002B292D">
        <w:t>his</w:t>
      </w:r>
      <w:r>
        <w:t xml:space="preserve"> </w:t>
      </w:r>
      <w:r w:rsidRPr="002B292D">
        <w:t>arrest,</w:t>
      </w:r>
      <w:r>
        <w:t xml:space="preserve"> </w:t>
      </w:r>
      <w:r w:rsidRPr="002B292D">
        <w:t>detention,</w:t>
      </w:r>
      <w:r>
        <w:t xml:space="preserve"> </w:t>
      </w:r>
      <w:r w:rsidRPr="002B292D">
        <w:t>trial</w:t>
      </w:r>
      <w:r>
        <w:t xml:space="preserve"> </w:t>
      </w:r>
      <w:r w:rsidRPr="002B292D">
        <w:t>and</w:t>
      </w:r>
      <w:r>
        <w:t xml:space="preserve"> </w:t>
      </w:r>
      <w:r w:rsidRPr="002B292D">
        <w:t>conviction,</w:t>
      </w:r>
      <w:r>
        <w:t xml:space="preserve"> </w:t>
      </w:r>
      <w:r w:rsidRPr="002B292D">
        <w:t>separately</w:t>
      </w:r>
      <w:r>
        <w:t xml:space="preserve"> </w:t>
      </w:r>
      <w:r w:rsidRPr="002B292D">
        <w:t>from</w:t>
      </w:r>
      <w:r>
        <w:t xml:space="preserve"> </w:t>
      </w:r>
      <w:r w:rsidRPr="002B292D">
        <w:t>the</w:t>
      </w:r>
      <w:r>
        <w:t xml:space="preserve"> </w:t>
      </w:r>
      <w:r w:rsidRPr="002B292D">
        <w:t>opinion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Group.</w:t>
      </w:r>
      <w:r>
        <w:t xml:space="preserve"> </w:t>
      </w:r>
      <w:r w:rsidRPr="002B292D">
        <w:t>Notably,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decision</w:t>
      </w:r>
      <w:r>
        <w:t xml:space="preserve"> </w:t>
      </w:r>
      <w:r w:rsidRPr="002B292D">
        <w:t>to</w:t>
      </w:r>
      <w:r>
        <w:t xml:space="preserve"> </w:t>
      </w:r>
      <w:r w:rsidRPr="002B292D">
        <w:t>convict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law,</w:t>
      </w:r>
      <w:r>
        <w:t xml:space="preserve"> </w:t>
      </w:r>
      <w:r w:rsidRPr="002B292D">
        <w:t>as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used</w:t>
      </w:r>
      <w:r>
        <w:t xml:space="preserve"> </w:t>
      </w:r>
      <w:r w:rsidRPr="002B292D">
        <w:t>the</w:t>
      </w:r>
      <w:r>
        <w:t xml:space="preserve"> </w:t>
      </w:r>
      <w:r w:rsidRPr="002B292D">
        <w:t>military</w:t>
      </w:r>
      <w:r>
        <w:t xml:space="preserve"> </w:t>
      </w:r>
      <w:r w:rsidRPr="002B292D">
        <w:t>illegally</w:t>
      </w:r>
      <w:r>
        <w:t xml:space="preserve"> </w:t>
      </w:r>
      <w:r w:rsidRPr="002B292D">
        <w:t>to</w:t>
      </w:r>
      <w:r>
        <w:t xml:space="preserve"> </w:t>
      </w:r>
      <w:r w:rsidRPr="002B292D">
        <w:t>abduct</w:t>
      </w:r>
      <w:r>
        <w:t xml:space="preserve"> </w:t>
      </w:r>
      <w:r w:rsidRPr="002B292D">
        <w:t>a</w:t>
      </w:r>
      <w:r>
        <w:t xml:space="preserve"> </w:t>
      </w:r>
      <w:r w:rsidRPr="002B292D">
        <w:t>serving</w:t>
      </w:r>
      <w:r>
        <w:t xml:space="preserve"> </w:t>
      </w:r>
      <w:r w:rsidRPr="002B292D">
        <w:t>judge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and</w:t>
      </w:r>
      <w:r>
        <w:t xml:space="preserve"> </w:t>
      </w:r>
      <w:r w:rsidRPr="002B292D">
        <w:t>hold</w:t>
      </w:r>
      <w:r>
        <w:t xml:space="preserve"> </w:t>
      </w:r>
      <w:r w:rsidRPr="002B292D">
        <w:t>him</w:t>
      </w:r>
      <w:r>
        <w:t xml:space="preserve"> </w:t>
      </w:r>
      <w:r w:rsidRPr="002B292D">
        <w:t>incommunicado</w:t>
      </w:r>
      <w:r>
        <w:t xml:space="preserve"> </w:t>
      </w:r>
      <w:r w:rsidRPr="002B292D">
        <w:t>for</w:t>
      </w:r>
      <w:r>
        <w:t xml:space="preserve"> </w:t>
      </w:r>
      <w:r w:rsidRPr="002B292D">
        <w:t>21</w:t>
      </w:r>
      <w:r>
        <w:t xml:space="preserve"> </w:t>
      </w:r>
      <w:r w:rsidRPr="002B292D">
        <w:t>days.</w:t>
      </w:r>
      <w:r>
        <w:t xml:space="preserve"> </w:t>
      </w:r>
      <w:r w:rsidRPr="002B292D">
        <w:t>Although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denies</w:t>
      </w:r>
      <w:r>
        <w:t xml:space="preserve"> </w:t>
      </w:r>
      <w:r w:rsidRPr="002B292D">
        <w:t>unlawful</w:t>
      </w:r>
      <w:r>
        <w:t xml:space="preserve"> </w:t>
      </w:r>
      <w:r w:rsidRPr="002B292D">
        <w:t>arrest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judge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Committee,</w:t>
      </w:r>
      <w:r>
        <w:t xml:space="preserve"> </w:t>
      </w:r>
      <w:r w:rsidRPr="002B292D">
        <w:t>this</w:t>
      </w:r>
      <w:r>
        <w:t xml:space="preserve"> </w:t>
      </w:r>
      <w:r w:rsidRPr="002B292D">
        <w:t>does</w:t>
      </w:r>
      <w:r>
        <w:t xml:space="preserve"> </w:t>
      </w:r>
      <w:r w:rsidRPr="002B292D">
        <w:t>not</w:t>
      </w:r>
      <w:r>
        <w:t xml:space="preserve"> </w:t>
      </w:r>
      <w:r w:rsidRPr="002B292D">
        <w:t>align</w:t>
      </w:r>
      <w:r>
        <w:t xml:space="preserve"> </w:t>
      </w:r>
      <w:r w:rsidRPr="002B292D">
        <w:t>with</w:t>
      </w:r>
      <w:r>
        <w:t xml:space="preserve"> </w:t>
      </w:r>
      <w:r w:rsidRPr="002B292D">
        <w:t>various</w:t>
      </w:r>
      <w:r>
        <w:t xml:space="preserve"> </w:t>
      </w:r>
      <w:r w:rsidRPr="002B292D">
        <w:t>public</w:t>
      </w:r>
      <w:r>
        <w:t xml:space="preserve"> </w:t>
      </w:r>
      <w:r w:rsidRPr="002B292D">
        <w:t>statements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delivered,</w:t>
      </w:r>
      <w:r>
        <w:t xml:space="preserve"> </w:t>
      </w:r>
      <w:r w:rsidRPr="002B292D">
        <w:t>admitting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arrest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made</w:t>
      </w:r>
      <w:r>
        <w:t xml:space="preserve"> </w:t>
      </w:r>
      <w:r w:rsidRPr="002B292D">
        <w:t>in</w:t>
      </w:r>
      <w:r>
        <w:t xml:space="preserve"> </w:t>
      </w:r>
      <w:r w:rsidRPr="002B292D">
        <w:t>response</w:t>
      </w:r>
      <w:r>
        <w:t xml:space="preserve"> </w:t>
      </w:r>
      <w:r w:rsidRPr="002B292D">
        <w:t>to</w:t>
      </w:r>
      <w:r>
        <w:t xml:space="preserve"> </w:t>
      </w:r>
      <w:r w:rsidRPr="002B292D">
        <w:t>his</w:t>
      </w:r>
      <w:r>
        <w:t xml:space="preserve"> </w:t>
      </w:r>
      <w:r w:rsidRPr="002B292D">
        <w:t>wishes.</w:t>
      </w:r>
      <w:r w:rsidRPr="00A035EA">
        <w:rPr>
          <w:rStyle w:val="FootnoteReference"/>
        </w:rPr>
        <w:footnoteReference w:id="22"/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also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a</w:t>
      </w:r>
      <w:r>
        <w:t xml:space="preserve"> </w:t>
      </w:r>
      <w:r w:rsidRPr="002B292D">
        <w:t>wealth</w:t>
      </w:r>
      <w:r>
        <w:t xml:space="preserve"> </w:t>
      </w:r>
      <w:r w:rsidRPr="002B292D">
        <w:t>of</w:t>
      </w:r>
      <w:r>
        <w:t xml:space="preserve"> </w:t>
      </w:r>
      <w:r w:rsidRPr="002B292D">
        <w:t>documentary</w:t>
      </w:r>
      <w:r>
        <w:t xml:space="preserve"> </w:t>
      </w:r>
      <w:r w:rsidRPr="002B292D">
        <w:t>evidence</w:t>
      </w:r>
      <w:r>
        <w:t xml:space="preserve"> </w:t>
      </w:r>
      <w:r w:rsidRPr="002B292D">
        <w:t>was</w:t>
      </w:r>
      <w:r>
        <w:t xml:space="preserve"> </w:t>
      </w:r>
      <w:r w:rsidRPr="002B292D">
        <w:t>put</w:t>
      </w:r>
      <w:r>
        <w:t xml:space="preserve"> </w:t>
      </w:r>
      <w:r w:rsidRPr="002B292D">
        <w:t>forward</w:t>
      </w:r>
      <w:r>
        <w:t xml:space="preserve"> </w:t>
      </w:r>
      <w:r w:rsidRPr="002B292D">
        <w:t>at</w:t>
      </w:r>
      <w:r>
        <w:t xml:space="preserve"> </w:t>
      </w:r>
      <w:r w:rsidRPr="002B292D">
        <w:t>trial</w:t>
      </w:r>
      <w:r>
        <w:t xml:space="preserve"> </w:t>
      </w:r>
      <w:r w:rsidRPr="002B292D">
        <w:t>and</w:t>
      </w:r>
      <w:r>
        <w:t xml:space="preserve"> </w:t>
      </w:r>
      <w:r w:rsidRPr="002B292D">
        <w:t>a</w:t>
      </w:r>
      <w:r>
        <w:t xml:space="preserve"> </w:t>
      </w:r>
      <w:r w:rsidRPr="002B292D">
        <w:t>number</w:t>
      </w:r>
      <w:r>
        <w:t xml:space="preserve"> </w:t>
      </w:r>
      <w:r w:rsidRPr="002B292D">
        <w:t>of</w:t>
      </w:r>
      <w:r>
        <w:t xml:space="preserve"> </w:t>
      </w:r>
      <w:r w:rsidRPr="002B292D">
        <w:t>witnesses</w:t>
      </w:r>
      <w:r>
        <w:t xml:space="preserve"> </w:t>
      </w:r>
      <w:r w:rsidRPr="002B292D">
        <w:t>were</w:t>
      </w:r>
      <w:r>
        <w:t xml:space="preserve"> </w:t>
      </w:r>
      <w:r w:rsidRPr="002B292D">
        <w:t>heard</w:t>
      </w:r>
      <w:r>
        <w:t xml:space="preserve"> </w:t>
      </w:r>
      <w:r w:rsidRPr="002B292D">
        <w:t>before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convicted.</w:t>
      </w:r>
    </w:p>
    <w:p w:rsidR="000D3068" w:rsidRPr="002B292D" w:rsidRDefault="000D3068" w:rsidP="00533F65">
      <w:pPr>
        <w:pStyle w:val="SingleTxtG"/>
      </w:pPr>
      <w:r w:rsidRPr="002B292D">
        <w:t>4.5</w:t>
      </w:r>
      <w:r w:rsidRPr="002B292D">
        <w:tab/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afforded</w:t>
      </w:r>
      <w:r>
        <w:t xml:space="preserve"> </w:t>
      </w:r>
      <w:r w:rsidRPr="002B292D">
        <w:t>a</w:t>
      </w:r>
      <w:r>
        <w:t xml:space="preserve"> </w:t>
      </w:r>
      <w:r w:rsidRPr="002B292D">
        <w:t>fair</w:t>
      </w:r>
      <w:r>
        <w:t xml:space="preserve"> </w:t>
      </w:r>
      <w:r w:rsidRPr="002B292D">
        <w:t>trial.</w:t>
      </w:r>
      <w:r>
        <w:t xml:space="preserve"> </w:t>
      </w:r>
      <w:r w:rsidRPr="002B292D">
        <w:t>The</w:t>
      </w:r>
      <w:r>
        <w:t xml:space="preserve"> </w:t>
      </w:r>
      <w:r w:rsidRPr="002B292D">
        <w:t>arrest</w:t>
      </w:r>
      <w:r>
        <w:t xml:space="preserve"> </w:t>
      </w:r>
      <w:r w:rsidRPr="002B292D">
        <w:t>warrant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was</w:t>
      </w:r>
      <w:r>
        <w:t xml:space="preserve"> </w:t>
      </w:r>
      <w:r w:rsidRPr="002B292D">
        <w:t>issued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upon</w:t>
      </w:r>
      <w:r>
        <w:t xml:space="preserve"> </w:t>
      </w:r>
      <w:r w:rsidRPr="002B292D">
        <w:t>request</w:t>
      </w:r>
      <w:r>
        <w:t xml:space="preserve"> </w:t>
      </w:r>
      <w:r w:rsidRPr="002B292D">
        <w:t>from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General,</w:t>
      </w:r>
      <w:r>
        <w:t xml:space="preserve"> </w:t>
      </w:r>
      <w:r w:rsidRPr="002B292D">
        <w:t>pursuant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powers</w:t>
      </w:r>
      <w:r>
        <w:t xml:space="preserve"> </w:t>
      </w:r>
      <w:r w:rsidRPr="002B292D">
        <w:t>accorded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223</w:t>
      </w:r>
      <w:r>
        <w:t xml:space="preserve"> </w:t>
      </w:r>
      <w:r w:rsidRPr="002B292D">
        <w:t>(e)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</w:t>
      </w:r>
      <w:r>
        <w:t xml:space="preserve"> </w:t>
      </w:r>
      <w:r w:rsidRPr="002B292D">
        <w:t>and</w:t>
      </w:r>
      <w:r>
        <w:t xml:space="preserve"> </w:t>
      </w:r>
      <w:r w:rsidRPr="002B292D">
        <w:t>under</w:t>
      </w:r>
      <w:r>
        <w:t xml:space="preserve"> </w:t>
      </w:r>
      <w:r w:rsidRPr="002B292D">
        <w:t>section</w:t>
      </w:r>
      <w:r>
        <w:t xml:space="preserve"> </w:t>
      </w:r>
      <w:r w:rsidRPr="002B292D">
        <w:t>15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 w:rsidR="00995FAE">
        <w:t>’</w:t>
      </w:r>
      <w:r w:rsidRPr="002B292D">
        <w:t>s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No.</w:t>
      </w:r>
      <w:r>
        <w:t xml:space="preserve"> </w:t>
      </w:r>
      <w:r w:rsidRPr="002B292D">
        <w:t>9/2008).</w:t>
      </w:r>
      <w:r>
        <w:t xml:space="preserve"> </w:t>
      </w:r>
      <w:r w:rsidRPr="002B292D">
        <w:t>All</w:t>
      </w:r>
      <w:r>
        <w:t xml:space="preserve"> </w:t>
      </w:r>
      <w:r w:rsidRPr="002B292D">
        <w:t>measures</w:t>
      </w:r>
      <w:r>
        <w:t xml:space="preserve"> </w:t>
      </w:r>
      <w:r w:rsidRPr="002B292D">
        <w:t>were</w:t>
      </w:r>
      <w:r>
        <w:t xml:space="preserve"> </w:t>
      </w:r>
      <w:r w:rsidRPr="002B292D">
        <w:t>taken</w:t>
      </w:r>
      <w:r>
        <w:t xml:space="preserve"> </w:t>
      </w:r>
      <w:r w:rsidRPr="002B292D">
        <w:t>to</w:t>
      </w:r>
      <w:r>
        <w:t xml:space="preserve"> </w:t>
      </w:r>
      <w:r w:rsidRPr="002B292D">
        <w:t>ensure</w:t>
      </w:r>
      <w:r>
        <w:t xml:space="preserve"> </w:t>
      </w:r>
      <w:r w:rsidRPr="002B292D">
        <w:t>the</w:t>
      </w:r>
      <w:r>
        <w:t xml:space="preserve"> </w:t>
      </w:r>
      <w:r w:rsidRPr="002B292D">
        <w:t>independence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court,</w:t>
      </w:r>
      <w:r>
        <w:t xml:space="preserve"> </w:t>
      </w:r>
      <w:r w:rsidRPr="002B292D">
        <w:t>as</w:t>
      </w:r>
      <w:r>
        <w:t xml:space="preserve"> </w:t>
      </w:r>
      <w:r w:rsidRPr="002B292D">
        <w:t>well</w:t>
      </w:r>
      <w:r>
        <w:t xml:space="preserve"> </w:t>
      </w:r>
      <w:r w:rsidRPr="002B292D">
        <w:t>as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bench</w:t>
      </w:r>
      <w:r>
        <w:t xml:space="preserve"> </w:t>
      </w:r>
      <w:r w:rsidRPr="002B292D">
        <w:t>hearing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case,</w:t>
      </w:r>
      <w:r>
        <w:t xml:space="preserve"> </w:t>
      </w:r>
      <w:r w:rsidRPr="002B292D">
        <w:t>at</w:t>
      </w:r>
      <w:r>
        <w:t xml:space="preserve"> </w:t>
      </w:r>
      <w:r w:rsidRPr="002B292D">
        <w:t>all</w:t>
      </w:r>
      <w:r>
        <w:t xml:space="preserve"> </w:t>
      </w:r>
      <w:r w:rsidRPr="002B292D">
        <w:t>stages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proceedings.</w:t>
      </w:r>
    </w:p>
    <w:p w:rsidR="000D3068" w:rsidRPr="002B292D" w:rsidRDefault="000D3068" w:rsidP="00533F65">
      <w:pPr>
        <w:pStyle w:val="SingleTxtG"/>
      </w:pPr>
      <w:r w:rsidRPr="002B292D">
        <w:t>4.6</w:t>
      </w:r>
      <w:r w:rsidRPr="002B292D">
        <w:tab/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lawyers</w:t>
      </w:r>
      <w:r>
        <w:t xml:space="preserve"> </w:t>
      </w:r>
      <w:r w:rsidRPr="002B292D">
        <w:t>were</w:t>
      </w:r>
      <w:r>
        <w:t xml:space="preserve"> </w:t>
      </w:r>
      <w:r w:rsidRPr="002B292D">
        <w:t>barred</w:t>
      </w:r>
      <w:r>
        <w:t xml:space="preserve"> </w:t>
      </w:r>
      <w:r w:rsidRPr="002B292D">
        <w:t>from</w:t>
      </w:r>
      <w:r>
        <w:t xml:space="preserve"> </w:t>
      </w:r>
      <w:r w:rsidRPr="002B292D">
        <w:t>attending</w:t>
      </w:r>
      <w:r>
        <w:t xml:space="preserve"> </w:t>
      </w:r>
      <w:r w:rsidRPr="002B292D">
        <w:t>the</w:t>
      </w:r>
      <w:r>
        <w:t xml:space="preserve"> </w:t>
      </w:r>
      <w:r w:rsidRPr="002B292D">
        <w:t>first</w:t>
      </w:r>
      <w:r>
        <w:t xml:space="preserve"> </w:t>
      </w:r>
      <w:r w:rsidRPr="002B292D">
        <w:t>day</w:t>
      </w:r>
      <w:r>
        <w:t xml:space="preserve"> </w:t>
      </w:r>
      <w:r w:rsidRPr="002B292D">
        <w:t>of</w:t>
      </w:r>
      <w:r>
        <w:t xml:space="preserve"> </w:t>
      </w:r>
      <w:r w:rsidRPr="002B292D">
        <w:t>proceedings</w:t>
      </w:r>
      <w:r>
        <w:t xml:space="preserve"> </w:t>
      </w:r>
      <w:r w:rsidRPr="002B292D">
        <w:t>is</w:t>
      </w:r>
      <w:r>
        <w:t xml:space="preserve"> </w:t>
      </w:r>
      <w:r w:rsidRPr="002B292D">
        <w:t>unfounded.</w:t>
      </w:r>
      <w:r>
        <w:t xml:space="preserve"> </w:t>
      </w:r>
      <w:r w:rsidRPr="002B292D">
        <w:t>His</w:t>
      </w:r>
      <w:r>
        <w:t xml:space="preserve"> </w:t>
      </w:r>
      <w:r w:rsidRPr="002B292D">
        <w:t>lawyers</w:t>
      </w:r>
      <w:r>
        <w:t xml:space="preserve"> </w:t>
      </w:r>
      <w:r w:rsidRPr="002B292D">
        <w:t>failed</w:t>
      </w:r>
      <w:r>
        <w:t xml:space="preserve"> </w:t>
      </w:r>
      <w:r w:rsidRPr="002B292D">
        <w:t>to</w:t>
      </w:r>
      <w:r>
        <w:t xml:space="preserve"> </w:t>
      </w:r>
      <w:r w:rsidRPr="002B292D">
        <w:t>appoint</w:t>
      </w:r>
      <w:r>
        <w:t xml:space="preserve"> </w:t>
      </w:r>
      <w:r w:rsidRPr="002B292D">
        <w:t>and</w:t>
      </w:r>
      <w:r>
        <w:t xml:space="preserve"> </w:t>
      </w:r>
      <w:r w:rsidRPr="002B292D">
        <w:t>register</w:t>
      </w:r>
      <w:r>
        <w:t xml:space="preserve"> </w:t>
      </w:r>
      <w:r w:rsidRPr="002B292D">
        <w:t>themselves</w:t>
      </w:r>
      <w:r>
        <w:t xml:space="preserve"> </w:t>
      </w:r>
      <w:r w:rsidRPr="002B292D">
        <w:t>as</w:t>
      </w:r>
      <w:r>
        <w:t xml:space="preserve"> </w:t>
      </w:r>
      <w:r w:rsidRPr="002B292D">
        <w:t>legal</w:t>
      </w:r>
      <w:r>
        <w:t xml:space="preserve"> </w:t>
      </w:r>
      <w:r w:rsidRPr="002B292D">
        <w:t>counsel</w:t>
      </w:r>
      <w:r>
        <w:t xml:space="preserve"> </w:t>
      </w:r>
      <w:r w:rsidRPr="002B292D">
        <w:t>two</w:t>
      </w:r>
      <w:r>
        <w:t xml:space="preserve"> </w:t>
      </w:r>
      <w:r w:rsidRPr="002B292D">
        <w:t>days</w:t>
      </w:r>
      <w:r>
        <w:t xml:space="preserve"> </w:t>
      </w:r>
      <w:r w:rsidRPr="002B292D">
        <w:t>prior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hearing,</w:t>
      </w:r>
      <w:r>
        <w:t xml:space="preserve"> </w:t>
      </w:r>
      <w:r w:rsidRPr="002B292D">
        <w:t>as</w:t>
      </w:r>
      <w:r>
        <w:t xml:space="preserve"> </w:t>
      </w:r>
      <w:r w:rsidRPr="002B292D">
        <w:t>is</w:t>
      </w:r>
      <w:r>
        <w:t xml:space="preserve"> </w:t>
      </w:r>
      <w:r w:rsidRPr="002B292D">
        <w:t>required</w:t>
      </w:r>
      <w:r>
        <w:t xml:space="preserve"> </w:t>
      </w:r>
      <w:r w:rsidRPr="002B292D">
        <w:t>under</w:t>
      </w:r>
      <w:r>
        <w:t xml:space="preserve"> </w:t>
      </w:r>
      <w:r w:rsidRPr="002B292D">
        <w:t>regulation</w:t>
      </w:r>
      <w:r>
        <w:t xml:space="preserve"> </w:t>
      </w:r>
      <w:r w:rsidRPr="002B292D">
        <w:t>No.</w:t>
      </w:r>
      <w:r>
        <w:t xml:space="preserve"> </w:t>
      </w:r>
      <w:r w:rsidRPr="002B292D">
        <w:t>02/2014</w:t>
      </w:r>
      <w:r>
        <w:t xml:space="preserve"> </w:t>
      </w:r>
      <w:r w:rsidRPr="002B292D">
        <w:t>(the</w:t>
      </w:r>
      <w:r>
        <w:t xml:space="preserve"> </w:t>
      </w:r>
      <w:r w:rsidRPr="002B292D">
        <w:t>regulation</w:t>
      </w:r>
      <w:r>
        <w:t xml:space="preserve"> </w:t>
      </w:r>
      <w:r w:rsidRPr="002B292D">
        <w:t>on</w:t>
      </w:r>
      <w:r>
        <w:t xml:space="preserve"> </w:t>
      </w:r>
      <w:r w:rsidRPr="002B292D">
        <w:t>trial</w:t>
      </w:r>
      <w:r>
        <w:t xml:space="preserve"> </w:t>
      </w:r>
      <w:r w:rsidRPr="002B292D">
        <w:t>advocacy)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of</w:t>
      </w:r>
      <w:r>
        <w:t xml:space="preserve"> </w:t>
      </w:r>
      <w:r w:rsidRPr="002B292D">
        <w:t>Maldives,</w:t>
      </w:r>
      <w:r>
        <w:t xml:space="preserve"> </w:t>
      </w:r>
      <w:r w:rsidRPr="002B292D">
        <w:t>formulated</w:t>
      </w:r>
      <w:r>
        <w:t xml:space="preserve"> </w:t>
      </w:r>
      <w:r w:rsidRPr="002B292D">
        <w:t>pursuant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 w:rsidR="00995FAE">
        <w:t xml:space="preserve"> </w:t>
      </w:r>
      <w:r w:rsidRPr="002B292D">
        <w:t>Judicature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No.</w:t>
      </w:r>
      <w:r>
        <w:t xml:space="preserve"> </w:t>
      </w:r>
      <w:r w:rsidRPr="002B292D">
        <w:t>22/2010).</w:t>
      </w:r>
      <w:r>
        <w:t xml:space="preserve"> </w:t>
      </w:r>
      <w:r w:rsidRPr="002B292D">
        <w:t>Had</w:t>
      </w:r>
      <w:r>
        <w:t xml:space="preserve"> </w:t>
      </w:r>
      <w:r w:rsidRPr="002B292D">
        <w:t>counsel</w:t>
      </w:r>
      <w:r>
        <w:t xml:space="preserve"> </w:t>
      </w:r>
      <w:r w:rsidRPr="002B292D">
        <w:t>complied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registration</w:t>
      </w:r>
      <w:r>
        <w:t xml:space="preserve"> </w:t>
      </w:r>
      <w:r w:rsidRPr="002B292D">
        <w:t>requirements,</w:t>
      </w:r>
      <w:r>
        <w:t xml:space="preserve"> </w:t>
      </w:r>
      <w:r w:rsidRPr="002B292D">
        <w:t>they</w:t>
      </w:r>
      <w:r>
        <w:t xml:space="preserve"> </w:t>
      </w:r>
      <w:r w:rsidRPr="002B292D">
        <w:t>would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afforded</w:t>
      </w:r>
      <w:r>
        <w:t xml:space="preserve"> </w:t>
      </w:r>
      <w:r w:rsidRPr="002B292D">
        <w:t>every</w:t>
      </w:r>
      <w:r>
        <w:t xml:space="preserve"> </w:t>
      </w:r>
      <w:r w:rsidRPr="002B292D">
        <w:t>opportunity</w:t>
      </w:r>
      <w:r>
        <w:t xml:space="preserve"> </w:t>
      </w:r>
      <w:r w:rsidRPr="002B292D">
        <w:t>to</w:t>
      </w:r>
      <w:r>
        <w:t xml:space="preserve"> </w:t>
      </w:r>
      <w:r w:rsidRPr="002B292D">
        <w:t>act</w:t>
      </w:r>
      <w:r>
        <w:t xml:space="preserve"> </w:t>
      </w:r>
      <w:r w:rsidRPr="002B292D">
        <w:t>for</w:t>
      </w:r>
      <w:r>
        <w:t xml:space="preserve"> </w:t>
      </w:r>
      <w:r w:rsidRPr="002B292D">
        <w:t>and</w:t>
      </w:r>
      <w:r>
        <w:t xml:space="preserve"> </w:t>
      </w:r>
      <w:r w:rsidRPr="002B292D">
        <w:t>represent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throughout</w:t>
      </w:r>
      <w:r>
        <w:t xml:space="preserve"> </w:t>
      </w:r>
      <w:r w:rsidRPr="002B292D">
        <w:t>the</w:t>
      </w:r>
      <w:r>
        <w:t xml:space="preserve"> </w:t>
      </w:r>
      <w:r w:rsidRPr="002B292D">
        <w:t>trial</w:t>
      </w:r>
      <w:r>
        <w:t xml:space="preserve"> </w:t>
      </w:r>
      <w:r w:rsidRPr="002B292D">
        <w:t>and</w:t>
      </w:r>
      <w:r>
        <w:t xml:space="preserve"> </w:t>
      </w:r>
      <w:r w:rsidRPr="002B292D">
        <w:t>subsequent</w:t>
      </w:r>
      <w:r>
        <w:t xml:space="preserve"> </w:t>
      </w:r>
      <w:r w:rsidRPr="002B292D">
        <w:t>appeals.</w:t>
      </w:r>
    </w:p>
    <w:p w:rsidR="000D3068" w:rsidRPr="002B292D" w:rsidRDefault="000D3068" w:rsidP="00533F65">
      <w:pPr>
        <w:pStyle w:val="SingleTxtG"/>
      </w:pPr>
      <w:r w:rsidRPr="002B292D">
        <w:t>4.7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given</w:t>
      </w:r>
      <w:r>
        <w:t xml:space="preserve"> </w:t>
      </w:r>
      <w:r w:rsidRPr="002B292D">
        <w:t>adequate</w:t>
      </w:r>
      <w:r>
        <w:t xml:space="preserve"> </w:t>
      </w:r>
      <w:r w:rsidRPr="002B292D">
        <w:t>time</w:t>
      </w:r>
      <w:r>
        <w:t xml:space="preserve"> </w:t>
      </w:r>
      <w:r w:rsidRPr="002B292D">
        <w:t>to</w:t>
      </w:r>
      <w:r>
        <w:t xml:space="preserve"> </w:t>
      </w:r>
      <w:r w:rsidRPr="002B292D">
        <w:t>prepare</w:t>
      </w:r>
      <w:r>
        <w:t xml:space="preserve"> </w:t>
      </w:r>
      <w:r w:rsidRPr="002B292D">
        <w:t>his</w:t>
      </w:r>
      <w:r>
        <w:t xml:space="preserve"> </w:t>
      </w:r>
      <w:r w:rsidRPr="002B292D">
        <w:t>defence.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facts</w:t>
      </w:r>
      <w:r>
        <w:t xml:space="preserve"> </w:t>
      </w:r>
      <w:r w:rsidRPr="002B292D">
        <w:t>date</w:t>
      </w:r>
      <w:r>
        <w:t xml:space="preserve"> </w:t>
      </w:r>
      <w:r w:rsidRPr="002B292D">
        <w:t>back</w:t>
      </w:r>
      <w:r>
        <w:t xml:space="preserve"> </w:t>
      </w:r>
      <w:r w:rsidRPr="002B292D">
        <w:t>to</w:t>
      </w:r>
      <w:r>
        <w:t xml:space="preserve"> </w:t>
      </w:r>
      <w:r w:rsidRPr="002B292D">
        <w:t>February</w:t>
      </w:r>
      <w:r>
        <w:t xml:space="preserve"> </w:t>
      </w:r>
      <w:r w:rsidRPr="002B292D">
        <w:t>2012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 w:rsidR="00995FAE">
        <w:t>’</w:t>
      </w:r>
      <w:r w:rsidRPr="002B292D">
        <w:t>s</w:t>
      </w:r>
      <w:r>
        <w:t xml:space="preserve"> </w:t>
      </w:r>
      <w:r w:rsidRPr="002B292D">
        <w:t>evidence</w:t>
      </w:r>
      <w:r>
        <w:t xml:space="preserve"> </w:t>
      </w:r>
      <w:r w:rsidRPr="002B292D">
        <w:t>was</w:t>
      </w:r>
      <w:r>
        <w:t xml:space="preserve"> </w:t>
      </w:r>
      <w:r w:rsidRPr="002B292D">
        <w:t>served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and</w:t>
      </w:r>
      <w:r>
        <w:t xml:space="preserve"> </w:t>
      </w:r>
      <w:r w:rsidRPr="002B292D">
        <w:t>his</w:t>
      </w:r>
      <w:r>
        <w:t xml:space="preserve"> </w:t>
      </w:r>
      <w:r w:rsidRPr="002B292D">
        <w:t>legal</w:t>
      </w:r>
      <w:r>
        <w:t xml:space="preserve"> </w:t>
      </w:r>
      <w:r w:rsidRPr="002B292D">
        <w:t>representatives</w:t>
      </w:r>
      <w:r>
        <w:t xml:space="preserve"> </w:t>
      </w:r>
      <w:r w:rsidRPr="002B292D">
        <w:t>during</w:t>
      </w:r>
      <w:r>
        <w:t xml:space="preserve"> </w:t>
      </w:r>
      <w:r w:rsidRPr="002B292D">
        <w:t>the</w:t>
      </w:r>
      <w:r>
        <w:t xml:space="preserve"> </w:t>
      </w:r>
      <w:r w:rsidRPr="002B292D">
        <w:t>first</w:t>
      </w:r>
      <w:r>
        <w:t xml:space="preserve"> </w:t>
      </w:r>
      <w:r w:rsidRPr="002B292D">
        <w:t>set</w:t>
      </w:r>
      <w:r>
        <w:t xml:space="preserve"> </w:t>
      </w:r>
      <w:r w:rsidRPr="002B292D">
        <w:t>of</w:t>
      </w:r>
      <w:r>
        <w:t xml:space="preserve"> </w:t>
      </w:r>
      <w:r w:rsidRPr="002B292D">
        <w:t>proceedings.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and</w:t>
      </w:r>
      <w:r>
        <w:t xml:space="preserve"> </w:t>
      </w:r>
      <w:r w:rsidRPr="002B292D">
        <w:t>his</w:t>
      </w:r>
      <w:r>
        <w:t xml:space="preserve"> </w:t>
      </w:r>
      <w:r w:rsidRPr="002B292D">
        <w:t>legal</w:t>
      </w:r>
      <w:r>
        <w:t xml:space="preserve"> </w:t>
      </w:r>
      <w:r w:rsidRPr="002B292D">
        <w:t>team,</w:t>
      </w:r>
      <w:r>
        <w:t xml:space="preserve"> </w:t>
      </w:r>
      <w:r w:rsidRPr="002B292D">
        <w:t>which</w:t>
      </w:r>
      <w:r>
        <w:t xml:space="preserve"> </w:t>
      </w:r>
      <w:r w:rsidRPr="002B292D">
        <w:t>remained</w:t>
      </w:r>
      <w:r>
        <w:t xml:space="preserve"> </w:t>
      </w:r>
      <w:r w:rsidRPr="002B292D">
        <w:t>unchanged,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given</w:t>
      </w:r>
      <w:r>
        <w:t xml:space="preserve"> </w:t>
      </w:r>
      <w:r w:rsidRPr="002B292D">
        <w:t>a</w:t>
      </w:r>
      <w:r>
        <w:t xml:space="preserve"> </w:t>
      </w:r>
      <w:r w:rsidRPr="002B292D">
        <w:t>great</w:t>
      </w:r>
      <w:r>
        <w:t xml:space="preserve"> </w:t>
      </w:r>
      <w:r w:rsidRPr="002B292D">
        <w:t>deal</w:t>
      </w:r>
      <w:r>
        <w:t xml:space="preserve"> </w:t>
      </w:r>
      <w:r w:rsidRPr="002B292D">
        <w:t>of</w:t>
      </w:r>
      <w:r>
        <w:t xml:space="preserve"> </w:t>
      </w:r>
      <w:r w:rsidRPr="002B292D">
        <w:t>time</w:t>
      </w:r>
      <w:r>
        <w:t xml:space="preserve"> </w:t>
      </w:r>
      <w:r w:rsidRPr="002B292D">
        <w:t>to</w:t>
      </w:r>
      <w:r>
        <w:t xml:space="preserve"> </w:t>
      </w:r>
      <w:r w:rsidRPr="002B292D">
        <w:t>prepare</w:t>
      </w:r>
      <w:r>
        <w:t xml:space="preserve"> </w:t>
      </w:r>
      <w:r w:rsidRPr="002B292D">
        <w:t>for</w:t>
      </w:r>
      <w:r>
        <w:t xml:space="preserve"> </w:t>
      </w:r>
      <w:r w:rsidRPr="002B292D">
        <w:t>trial.</w:t>
      </w:r>
      <w:r>
        <w:t xml:space="preserve"> </w:t>
      </w:r>
      <w:r w:rsidRPr="002B292D">
        <w:t>The</w:t>
      </w:r>
      <w:r>
        <w:t xml:space="preserve"> </w:t>
      </w:r>
      <w:r w:rsidRPr="002B292D">
        <w:t>only</w:t>
      </w:r>
      <w:r>
        <w:t xml:space="preserve"> </w:t>
      </w:r>
      <w:r w:rsidRPr="002B292D">
        <w:t>material</w:t>
      </w:r>
      <w:r>
        <w:t xml:space="preserve"> </w:t>
      </w:r>
      <w:r w:rsidRPr="002B292D">
        <w:t>change</w:t>
      </w:r>
      <w:r>
        <w:t xml:space="preserve"> </w:t>
      </w:r>
      <w:r w:rsidRPr="002B292D">
        <w:t>was</w:t>
      </w:r>
      <w:r>
        <w:t xml:space="preserve"> </w:t>
      </w:r>
      <w:r w:rsidRPr="002B292D">
        <w:t>the</w:t>
      </w:r>
      <w:r>
        <w:t xml:space="preserve"> </w:t>
      </w:r>
      <w:r w:rsidRPr="002B292D">
        <w:t>legal</w:t>
      </w:r>
      <w:r>
        <w:t xml:space="preserve"> </w:t>
      </w:r>
      <w:r w:rsidRPr="002B292D">
        <w:t>qualification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charge</w:t>
      </w:r>
      <w:r>
        <w:t xml:space="preserve"> </w:t>
      </w:r>
      <w:r w:rsidRPr="002B292D">
        <w:t>as</w:t>
      </w:r>
      <w:r>
        <w:t xml:space="preserve"> </w:t>
      </w:r>
      <w:r w:rsidRPr="002B292D">
        <w:t>an</w:t>
      </w:r>
      <w:r>
        <w:t xml:space="preserve"> </w:t>
      </w:r>
      <w:r w:rsidRPr="002B292D">
        <w:t>offence</w:t>
      </w:r>
      <w:r>
        <w:t xml:space="preserve"> </w:t>
      </w:r>
      <w:r w:rsidRPr="002B292D">
        <w:t>of</w:t>
      </w:r>
      <w:r>
        <w:t xml:space="preserve"> </w:t>
      </w:r>
      <w:r w:rsidRPr="002B292D">
        <w:t>terrorism.</w:t>
      </w:r>
    </w:p>
    <w:p w:rsidR="000D3068" w:rsidRPr="002B292D" w:rsidRDefault="000D3068" w:rsidP="00533F65">
      <w:pPr>
        <w:pStyle w:val="SingleTxtG"/>
      </w:pPr>
      <w:r w:rsidRPr="002B292D">
        <w:t>4.8</w:t>
      </w:r>
      <w:r w:rsidRPr="002B292D">
        <w:tab/>
        <w:t>Concerning</w:t>
      </w:r>
      <w:r>
        <w:t xml:space="preserve"> </w:t>
      </w:r>
      <w:r w:rsidRPr="002B292D">
        <w:t>the</w:t>
      </w:r>
      <w:r>
        <w:t xml:space="preserve"> </w:t>
      </w:r>
      <w:r w:rsidRPr="002B292D">
        <w:t>length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proceedings,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had</w:t>
      </w:r>
      <w:r>
        <w:t xml:space="preserve"> </w:t>
      </w:r>
      <w:r w:rsidRPr="002B292D">
        <w:t>previously</w:t>
      </w:r>
      <w:r>
        <w:t xml:space="preserve"> </w:t>
      </w:r>
      <w:r w:rsidRPr="002B292D">
        <w:t>filed</w:t>
      </w:r>
      <w:r>
        <w:t xml:space="preserve"> </w:t>
      </w:r>
      <w:r w:rsidRPr="002B292D">
        <w:t>an</w:t>
      </w:r>
      <w:r>
        <w:t xml:space="preserve"> </w:t>
      </w:r>
      <w:r w:rsidRPr="002B292D">
        <w:t>application,</w:t>
      </w:r>
      <w:r>
        <w:t xml:space="preserve"> </w:t>
      </w:r>
      <w:r w:rsidRPr="002B292D">
        <w:t>on</w:t>
      </w:r>
      <w:r>
        <w:t xml:space="preserve"> </w:t>
      </w:r>
      <w:r w:rsidRPr="002B292D">
        <w:t>27</w:t>
      </w:r>
      <w:r>
        <w:t xml:space="preserve"> </w:t>
      </w:r>
      <w:r w:rsidRPr="002B292D">
        <w:t>April</w:t>
      </w:r>
      <w:r>
        <w:t xml:space="preserve"> </w:t>
      </w:r>
      <w:r w:rsidRPr="002B292D">
        <w:t>2014,</w:t>
      </w:r>
      <w:r>
        <w:t xml:space="preserve"> </w:t>
      </w:r>
      <w:r w:rsidRPr="002B292D">
        <w:t>requesting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speed</w:t>
      </w:r>
      <w:r>
        <w:t xml:space="preserve"> </w:t>
      </w:r>
      <w:r w:rsidRPr="002B292D">
        <w:t>up</w:t>
      </w:r>
      <w:r>
        <w:t xml:space="preserve"> </w:t>
      </w:r>
      <w:r w:rsidRPr="002B292D">
        <w:t>the</w:t>
      </w:r>
      <w:r>
        <w:t xml:space="preserve"> </w:t>
      </w:r>
      <w:r w:rsidRPr="002B292D">
        <w:t>proceedings.</w:t>
      </w:r>
      <w:r>
        <w:t xml:space="preserve"> </w:t>
      </w:r>
      <w:r w:rsidRPr="002B292D">
        <w:t>It</w:t>
      </w:r>
      <w:r>
        <w:t xml:space="preserve"> </w:t>
      </w:r>
      <w:r w:rsidRPr="002B292D">
        <w:t>is</w:t>
      </w:r>
      <w:r>
        <w:t xml:space="preserve"> </w:t>
      </w:r>
      <w:r w:rsidRPr="002B292D">
        <w:t>therefore</w:t>
      </w:r>
      <w:r>
        <w:t xml:space="preserve"> </w:t>
      </w:r>
      <w:r w:rsidRPr="002B292D">
        <w:t>rather</w:t>
      </w:r>
      <w:r>
        <w:t xml:space="preserve"> </w:t>
      </w:r>
      <w:r w:rsidRPr="002B292D">
        <w:t>paradoxical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would</w:t>
      </w:r>
      <w:r>
        <w:t xml:space="preserve"> </w:t>
      </w:r>
      <w:r w:rsidRPr="002B292D">
        <w:t>subsequently</w:t>
      </w:r>
      <w:r>
        <w:t xml:space="preserve"> </w:t>
      </w:r>
      <w:r w:rsidRPr="002B292D">
        <w:t>argue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proceedings</w:t>
      </w:r>
      <w:r>
        <w:t xml:space="preserve"> </w:t>
      </w:r>
      <w:r w:rsidRPr="002B292D">
        <w:t>were</w:t>
      </w:r>
      <w:r>
        <w:t xml:space="preserve"> </w:t>
      </w:r>
      <w:r w:rsidRPr="002B292D">
        <w:t>rushed.</w:t>
      </w:r>
      <w:r>
        <w:t xml:space="preserve"> </w:t>
      </w:r>
      <w:r w:rsidRPr="002B292D">
        <w:t>Moreover,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had</w:t>
      </w:r>
      <w:r>
        <w:t xml:space="preserve"> </w:t>
      </w:r>
      <w:r w:rsidRPr="002B292D">
        <w:t>demonstrated</w:t>
      </w:r>
      <w:r>
        <w:t xml:space="preserve"> </w:t>
      </w:r>
      <w:r w:rsidRPr="002B292D">
        <w:t>his</w:t>
      </w:r>
      <w:r>
        <w:t xml:space="preserve"> </w:t>
      </w:r>
      <w:r w:rsidRPr="002B292D">
        <w:t>unwillingness</w:t>
      </w:r>
      <w:r>
        <w:t xml:space="preserve"> </w:t>
      </w:r>
      <w:r w:rsidRPr="002B292D">
        <w:t>to</w:t>
      </w:r>
      <w:r>
        <w:t xml:space="preserve"> </w:t>
      </w:r>
      <w:r w:rsidRPr="002B292D">
        <w:t>cooperate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relevant</w:t>
      </w:r>
      <w:r>
        <w:t xml:space="preserve"> </w:t>
      </w:r>
      <w:r w:rsidRPr="002B292D">
        <w:t>authorities,</w:t>
      </w:r>
      <w:r>
        <w:t xml:space="preserve"> </w:t>
      </w:r>
      <w:r w:rsidRPr="002B292D">
        <w:t>a</w:t>
      </w:r>
      <w:r>
        <w:t xml:space="preserve"> </w:t>
      </w:r>
      <w:r w:rsidRPr="002B292D">
        <w:t>speedy</w:t>
      </w:r>
      <w:r>
        <w:t xml:space="preserve"> </w:t>
      </w:r>
      <w:r w:rsidRPr="002B292D">
        <w:t>trial</w:t>
      </w:r>
      <w:r>
        <w:t xml:space="preserve"> </w:t>
      </w:r>
      <w:r w:rsidRPr="002B292D">
        <w:t>was</w:t>
      </w:r>
      <w:r>
        <w:t xml:space="preserve"> </w:t>
      </w:r>
      <w:r w:rsidRPr="002B292D">
        <w:t>required.</w:t>
      </w:r>
    </w:p>
    <w:p w:rsidR="000D3068" w:rsidRPr="002B292D" w:rsidRDefault="000D3068" w:rsidP="00533F65">
      <w:pPr>
        <w:pStyle w:val="SingleTxtG"/>
      </w:pPr>
      <w:r w:rsidRPr="002B292D">
        <w:t>4.9</w:t>
      </w:r>
      <w:r w:rsidRPr="002B292D">
        <w:tab/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did</w:t>
      </w:r>
      <w:r>
        <w:t xml:space="preserve"> </w:t>
      </w:r>
      <w:r w:rsidRPr="002B292D">
        <w:t>not</w:t>
      </w:r>
      <w:r>
        <w:t xml:space="preserve"> </w:t>
      </w:r>
      <w:r w:rsidRPr="002B292D">
        <w:t>impede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from</w:t>
      </w:r>
      <w:r>
        <w:t xml:space="preserve"> </w:t>
      </w:r>
      <w:r w:rsidRPr="002B292D">
        <w:t>cross-examining</w:t>
      </w:r>
      <w:r>
        <w:t xml:space="preserve"> </w:t>
      </w:r>
      <w:r w:rsidRPr="002B292D">
        <w:t>prosecution</w:t>
      </w:r>
      <w:r>
        <w:t xml:space="preserve"> </w:t>
      </w:r>
      <w:r w:rsidRPr="002B292D">
        <w:t>witnesses,</w:t>
      </w:r>
      <w:r>
        <w:t xml:space="preserve"> </w:t>
      </w:r>
      <w:r w:rsidRPr="002B292D">
        <w:t>but</w:t>
      </w:r>
      <w:r>
        <w:t xml:space="preserve"> </w:t>
      </w:r>
      <w:r w:rsidRPr="002B292D">
        <w:t>put</w:t>
      </w:r>
      <w:r>
        <w:t xml:space="preserve"> </w:t>
      </w:r>
      <w:r w:rsidRPr="002B292D">
        <w:t>reasonable</w:t>
      </w:r>
      <w:r>
        <w:t xml:space="preserve"> </w:t>
      </w:r>
      <w:r w:rsidRPr="002B292D">
        <w:t>limitations</w:t>
      </w:r>
      <w:r>
        <w:t xml:space="preserve"> </w:t>
      </w:r>
      <w:r w:rsidRPr="002B292D">
        <w:t>on</w:t>
      </w:r>
      <w:r>
        <w:t xml:space="preserve"> </w:t>
      </w:r>
      <w:r w:rsidRPr="002B292D">
        <w:t>questions</w:t>
      </w:r>
      <w:r>
        <w:t xml:space="preserve"> </w:t>
      </w:r>
      <w:r w:rsidRPr="002B292D">
        <w:t>that</w:t>
      </w:r>
      <w:r>
        <w:t xml:space="preserve"> </w:t>
      </w:r>
      <w:r w:rsidRPr="002B292D">
        <w:t>were</w:t>
      </w:r>
      <w:r>
        <w:t xml:space="preserve"> </w:t>
      </w:r>
      <w:r w:rsidRPr="002B292D">
        <w:t>deemed</w:t>
      </w:r>
      <w:r>
        <w:t xml:space="preserve"> </w:t>
      </w:r>
      <w:r w:rsidRPr="002B292D">
        <w:t>irrelevant</w:t>
      </w:r>
      <w:r>
        <w:t xml:space="preserve"> </w:t>
      </w:r>
      <w:r w:rsidRPr="002B292D">
        <w:t>being</w:t>
      </w:r>
      <w:r>
        <w:t xml:space="preserve"> </w:t>
      </w:r>
      <w:r w:rsidRPr="002B292D">
        <w:t>put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witnesses.</w:t>
      </w:r>
      <w:r>
        <w:t xml:space="preserve"> </w:t>
      </w:r>
      <w:r w:rsidRPr="002B292D">
        <w:t>Likewise,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prevented</w:t>
      </w:r>
      <w:r>
        <w:t xml:space="preserve"> </w:t>
      </w:r>
      <w:r w:rsidRPr="002B292D">
        <w:t>from</w:t>
      </w:r>
      <w:r>
        <w:t xml:space="preserve"> </w:t>
      </w:r>
      <w:r w:rsidRPr="002B292D">
        <w:t>calling</w:t>
      </w:r>
      <w:r>
        <w:t xml:space="preserve"> </w:t>
      </w:r>
      <w:r w:rsidRPr="002B292D">
        <w:t>any</w:t>
      </w:r>
      <w:r>
        <w:t xml:space="preserve"> </w:t>
      </w:r>
      <w:r w:rsidRPr="002B292D">
        <w:t>witness</w:t>
      </w:r>
      <w:r>
        <w:t xml:space="preserve"> </w:t>
      </w:r>
      <w:r w:rsidRPr="002B292D">
        <w:t>in</w:t>
      </w:r>
      <w:r>
        <w:t xml:space="preserve"> </w:t>
      </w:r>
      <w:r w:rsidRPr="002B292D">
        <w:t>his</w:t>
      </w:r>
      <w:r>
        <w:t xml:space="preserve"> </w:t>
      </w:r>
      <w:r w:rsidRPr="002B292D">
        <w:t>defence.</w:t>
      </w:r>
      <w:r>
        <w:t xml:space="preserve"> </w:t>
      </w:r>
      <w:r w:rsidRPr="002B292D">
        <w:t>After</w:t>
      </w:r>
      <w:r>
        <w:t xml:space="preserve"> </w:t>
      </w:r>
      <w:r w:rsidRPr="002B292D">
        <w:t>it</w:t>
      </w:r>
      <w:r>
        <w:t xml:space="preserve"> </w:t>
      </w:r>
      <w:r w:rsidRPr="002B292D">
        <w:t>became</w:t>
      </w:r>
      <w:r>
        <w:t xml:space="preserve"> </w:t>
      </w:r>
      <w:r w:rsidRPr="002B292D">
        <w:t>evident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that</w:t>
      </w:r>
      <w:r>
        <w:t xml:space="preserve"> </w:t>
      </w:r>
      <w:r w:rsidRPr="002B292D">
        <w:t>none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witnesses</w:t>
      </w:r>
      <w:r>
        <w:t xml:space="preserve"> </w:t>
      </w:r>
      <w:r w:rsidRPr="002B292D">
        <w:t>presented</w:t>
      </w:r>
      <w:r>
        <w:t xml:space="preserve"> </w:t>
      </w:r>
      <w:r w:rsidRPr="002B292D">
        <w:t>by</w:t>
      </w:r>
      <w:r>
        <w:t xml:space="preserve"> </w:t>
      </w:r>
      <w:r w:rsidRPr="002B292D">
        <w:t>him</w:t>
      </w:r>
      <w:r>
        <w:t xml:space="preserve"> </w:t>
      </w:r>
      <w:r w:rsidRPr="002B292D">
        <w:t>were</w:t>
      </w:r>
      <w:r>
        <w:t xml:space="preserve"> </w:t>
      </w:r>
      <w:r w:rsidRPr="002B292D">
        <w:t>able</w:t>
      </w:r>
      <w:r>
        <w:t xml:space="preserve"> </w:t>
      </w:r>
      <w:r w:rsidRPr="002B292D">
        <w:t>to</w:t>
      </w:r>
      <w:r>
        <w:t xml:space="preserve"> </w:t>
      </w:r>
      <w:r w:rsidRPr="002B292D">
        <w:t>give</w:t>
      </w:r>
      <w:r>
        <w:t xml:space="preserve"> </w:t>
      </w:r>
      <w:r w:rsidRPr="002B292D">
        <w:t>evidence</w:t>
      </w:r>
      <w:r>
        <w:t xml:space="preserve"> </w:t>
      </w:r>
      <w:r w:rsidRPr="002B292D">
        <w:t>as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circumstances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case,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ruled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lastRenderedPageBreak/>
        <w:t>witnesses</w:t>
      </w:r>
      <w:r>
        <w:t xml:space="preserve"> </w:t>
      </w:r>
      <w:r w:rsidRPr="002B292D">
        <w:t>proposed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were</w:t>
      </w:r>
      <w:r>
        <w:t xml:space="preserve"> </w:t>
      </w:r>
      <w:r w:rsidRPr="002B292D">
        <w:t>not</w:t>
      </w:r>
      <w:r>
        <w:t xml:space="preserve"> </w:t>
      </w:r>
      <w:r w:rsidRPr="002B292D">
        <w:t>relevant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charges.</w:t>
      </w:r>
      <w:r w:rsidRPr="00A035EA">
        <w:rPr>
          <w:rStyle w:val="FootnoteReference"/>
        </w:rPr>
        <w:footnoteReference w:id="23"/>
      </w:r>
      <w:r>
        <w:t xml:space="preserve"> </w:t>
      </w:r>
      <w:r w:rsidRPr="002B292D">
        <w:t>Although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did</w:t>
      </w:r>
      <w:r>
        <w:t xml:space="preserve"> </w:t>
      </w:r>
      <w:r w:rsidRPr="002B292D">
        <w:t>not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calling</w:t>
      </w:r>
      <w:r>
        <w:t xml:space="preserve"> </w:t>
      </w:r>
      <w:r w:rsidRPr="002B292D">
        <w:t>additional</w:t>
      </w:r>
      <w:r>
        <w:t xml:space="preserve"> </w:t>
      </w:r>
      <w:r w:rsidRPr="002B292D">
        <w:t>witnesses,</w:t>
      </w:r>
      <w:r>
        <w:t xml:space="preserve"> </w:t>
      </w:r>
      <w:r w:rsidRPr="002B292D">
        <w:t>he</w:t>
      </w:r>
      <w:r>
        <w:t xml:space="preserve"> </w:t>
      </w:r>
      <w:r w:rsidRPr="002B292D">
        <w:t>failed</w:t>
      </w:r>
      <w:r>
        <w:t xml:space="preserve"> </w:t>
      </w:r>
      <w:r w:rsidRPr="002B292D">
        <w:t>to</w:t>
      </w:r>
      <w:r>
        <w:t xml:space="preserve"> </w:t>
      </w:r>
      <w:r w:rsidRPr="002B292D">
        <w:t>do</w:t>
      </w:r>
      <w:r>
        <w:t xml:space="preserve"> </w:t>
      </w:r>
      <w:r w:rsidRPr="002B292D">
        <w:t>so.</w:t>
      </w:r>
    </w:p>
    <w:p w:rsidR="000D3068" w:rsidRPr="002B292D" w:rsidRDefault="000D3068" w:rsidP="00533F65">
      <w:pPr>
        <w:pStyle w:val="SingleTxtG"/>
      </w:pPr>
      <w:r w:rsidRPr="002B292D">
        <w:t>4.10</w:t>
      </w:r>
      <w:r w:rsidRPr="002B292D">
        <w:tab/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law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party,</w:t>
      </w:r>
      <w:r>
        <w:t xml:space="preserve"> </w:t>
      </w:r>
      <w:r w:rsidRPr="002B292D">
        <w:t>any</w:t>
      </w:r>
      <w:r>
        <w:t xml:space="preserve"> </w:t>
      </w:r>
      <w:r w:rsidRPr="002B292D">
        <w:t>convicted</w:t>
      </w:r>
      <w:r>
        <w:t xml:space="preserve"> </w:t>
      </w:r>
      <w:r w:rsidRPr="002B292D">
        <w:t>person</w:t>
      </w:r>
      <w:r>
        <w:t xml:space="preserve"> </w:t>
      </w:r>
      <w:r w:rsidRPr="002B292D">
        <w:t>has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appeal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within</w:t>
      </w:r>
      <w:r>
        <w:t xml:space="preserve"> </w:t>
      </w:r>
      <w:r w:rsidRPr="002B292D">
        <w:t>10</w:t>
      </w:r>
      <w:r>
        <w:t xml:space="preserve"> </w:t>
      </w:r>
      <w:r w:rsidRPr="002B292D">
        <w:t>working</w:t>
      </w:r>
      <w:r>
        <w:t xml:space="preserve"> </w:t>
      </w:r>
      <w:r w:rsidRPr="002B292D">
        <w:t>days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judgment</w:t>
      </w:r>
      <w:r>
        <w:t xml:space="preserve"> </w:t>
      </w:r>
      <w:r w:rsidRPr="002B292D">
        <w:t>being</w:t>
      </w:r>
      <w:r>
        <w:t xml:space="preserve"> </w:t>
      </w:r>
      <w:r w:rsidRPr="002B292D">
        <w:t>passed,</w:t>
      </w:r>
      <w:r>
        <w:t xml:space="preserve"> </w:t>
      </w:r>
      <w:r w:rsidRPr="002B292D">
        <w:t>and</w:t>
      </w:r>
      <w:r>
        <w:t xml:space="preserve"> </w:t>
      </w:r>
      <w:r w:rsidRPr="002B292D">
        <w:t>subsequently</w:t>
      </w:r>
      <w:r>
        <w:t xml:space="preserve"> </w:t>
      </w:r>
      <w:r w:rsidRPr="002B292D">
        <w:t>to</w:t>
      </w:r>
      <w:r>
        <w:t xml:space="preserve"> </w:t>
      </w:r>
      <w:r w:rsidRPr="002B292D">
        <w:t>appeal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 w:rsidR="00995FAE">
        <w:t>’</w:t>
      </w:r>
      <w:r w:rsidRPr="002B292D">
        <w:t>s</w:t>
      </w:r>
      <w:r>
        <w:t xml:space="preserve"> </w:t>
      </w:r>
      <w:r w:rsidRPr="002B292D">
        <w:t>decision,</w:t>
      </w:r>
      <w:r>
        <w:t xml:space="preserve"> </w:t>
      </w:r>
      <w:r w:rsidRPr="002B292D">
        <w:t>within</w:t>
      </w:r>
      <w:r>
        <w:t xml:space="preserve"> </w:t>
      </w:r>
      <w:r w:rsidRPr="002B292D">
        <w:t>60</w:t>
      </w:r>
      <w:r>
        <w:t xml:space="preserve"> </w:t>
      </w:r>
      <w:r w:rsidRPr="002B292D">
        <w:t>working</w:t>
      </w:r>
      <w:r>
        <w:t xml:space="preserve"> </w:t>
      </w:r>
      <w:r w:rsidRPr="002B292D">
        <w:t>days,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convicted</w:t>
      </w:r>
      <w:r>
        <w:t xml:space="preserve"> </w:t>
      </w:r>
      <w:r w:rsidRPr="002B292D">
        <w:t>on</w:t>
      </w:r>
      <w:r>
        <w:t xml:space="preserve"> </w:t>
      </w:r>
      <w:r w:rsidRPr="002B292D">
        <w:t>13</w:t>
      </w:r>
      <w:r>
        <w:t xml:space="preserve"> </w:t>
      </w:r>
      <w:r w:rsidRPr="002B292D">
        <w:t>March</w:t>
      </w:r>
      <w:r>
        <w:t xml:space="preserve"> </w:t>
      </w:r>
      <w:r w:rsidRPr="002B292D">
        <w:t>2015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Court,</w:t>
      </w:r>
      <w:r>
        <w:t xml:space="preserve"> </w:t>
      </w:r>
      <w:r w:rsidRPr="002B292D">
        <w:t>which</w:t>
      </w:r>
      <w:r>
        <w:t xml:space="preserve"> </w:t>
      </w:r>
      <w:r w:rsidRPr="002B292D">
        <w:t>gave</w:t>
      </w:r>
      <w:r>
        <w:t xml:space="preserve"> </w:t>
      </w:r>
      <w:r w:rsidRPr="002B292D">
        <w:t>him</w:t>
      </w:r>
      <w:r>
        <w:t xml:space="preserve"> </w:t>
      </w:r>
      <w:r w:rsidRPr="002B292D">
        <w:t>until</w:t>
      </w:r>
      <w:r>
        <w:t xml:space="preserve"> </w:t>
      </w:r>
      <w:r w:rsidRPr="002B292D">
        <w:t>29</w:t>
      </w:r>
      <w:r>
        <w:t xml:space="preserve"> </w:t>
      </w:r>
      <w:r w:rsidRPr="002B292D">
        <w:t>March</w:t>
      </w:r>
      <w:r>
        <w:t xml:space="preserve"> </w:t>
      </w:r>
      <w:r w:rsidRPr="002B292D">
        <w:t>2015</w:t>
      </w:r>
      <w:r>
        <w:t xml:space="preserve"> </w:t>
      </w:r>
      <w:r w:rsidRPr="002B292D">
        <w:t>to</w:t>
      </w:r>
      <w:r>
        <w:t xml:space="preserve"> </w:t>
      </w:r>
      <w:r w:rsidRPr="002B292D">
        <w:t>lodge</w:t>
      </w:r>
      <w:r>
        <w:t xml:space="preserve"> </w:t>
      </w:r>
      <w:r w:rsidRPr="002B292D">
        <w:t>his</w:t>
      </w:r>
      <w:r>
        <w:t xml:space="preserve"> </w:t>
      </w:r>
      <w:r w:rsidRPr="002B292D">
        <w:t>appeal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Court.</w:t>
      </w:r>
      <w:r>
        <w:t xml:space="preserve"> </w:t>
      </w:r>
      <w:r w:rsidRPr="002B292D">
        <w:t>However,</w:t>
      </w:r>
      <w:r>
        <w:t xml:space="preserve"> </w:t>
      </w:r>
      <w:r w:rsidRPr="002B292D">
        <w:t>he</w:t>
      </w:r>
      <w:r>
        <w:t xml:space="preserve"> </w:t>
      </w:r>
      <w:r w:rsidRPr="002B292D">
        <w:t>refused</w:t>
      </w:r>
      <w:r>
        <w:t xml:space="preserve"> </w:t>
      </w:r>
      <w:r w:rsidRPr="002B292D">
        <w:t>to</w:t>
      </w:r>
      <w:r>
        <w:t xml:space="preserve"> </w:t>
      </w:r>
      <w:r w:rsidRPr="002B292D">
        <w:t>avail</w:t>
      </w:r>
      <w:r>
        <w:t xml:space="preserve"> </w:t>
      </w:r>
      <w:r w:rsidRPr="002B292D">
        <w:t>himself</w:t>
      </w:r>
      <w:r>
        <w:t xml:space="preserve"> </w:t>
      </w:r>
      <w:r w:rsidRPr="002B292D">
        <w:t>of</w:t>
      </w:r>
      <w:r>
        <w:t xml:space="preserve"> </w:t>
      </w:r>
      <w:r w:rsidRPr="002B292D">
        <w:t>that</w:t>
      </w:r>
      <w:r>
        <w:t xml:space="preserve"> </w:t>
      </w:r>
      <w:r w:rsidRPr="002B292D">
        <w:t>right,</w:t>
      </w:r>
      <w:r>
        <w:t xml:space="preserve"> </w:t>
      </w:r>
      <w:r w:rsidRPr="002B292D">
        <w:t>let</w:t>
      </w:r>
      <w:r>
        <w:t xml:space="preserve"> </w:t>
      </w:r>
      <w:r w:rsidRPr="002B292D">
        <w:t>the</w:t>
      </w:r>
      <w:r>
        <w:t xml:space="preserve"> </w:t>
      </w:r>
      <w:r w:rsidRPr="002B292D">
        <w:t>appeal</w:t>
      </w:r>
      <w:r>
        <w:t xml:space="preserve"> </w:t>
      </w:r>
      <w:r w:rsidRPr="002B292D">
        <w:t>period</w:t>
      </w:r>
      <w:r>
        <w:t xml:space="preserve"> </w:t>
      </w:r>
      <w:r w:rsidRPr="002B292D">
        <w:t>lapse,</w:t>
      </w:r>
      <w:r>
        <w:t xml:space="preserve"> </w:t>
      </w:r>
      <w:r w:rsidRPr="002B292D">
        <w:t>and</w:t>
      </w:r>
      <w:r>
        <w:t xml:space="preserve"> </w:t>
      </w:r>
      <w:r w:rsidRPr="002B292D">
        <w:t>instead</w:t>
      </w:r>
      <w:r>
        <w:t xml:space="preserve"> </w:t>
      </w:r>
      <w:r w:rsidRPr="002B292D">
        <w:t>requested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to</w:t>
      </w:r>
      <w:r>
        <w:t xml:space="preserve"> </w:t>
      </w:r>
      <w:r w:rsidRPr="002B292D">
        <w:t>file</w:t>
      </w:r>
      <w:r>
        <w:t xml:space="preserve"> </w:t>
      </w:r>
      <w:r w:rsidRPr="002B292D">
        <w:t>an</w:t>
      </w:r>
      <w:r>
        <w:t xml:space="preserve"> </w:t>
      </w:r>
      <w:r w:rsidRPr="002B292D">
        <w:t>appeal</w:t>
      </w:r>
      <w:r>
        <w:t xml:space="preserve"> </w:t>
      </w:r>
      <w:r w:rsidRPr="002B292D">
        <w:t>on</w:t>
      </w:r>
      <w:r>
        <w:t xml:space="preserve"> </w:t>
      </w:r>
      <w:r w:rsidRPr="002B292D">
        <w:t>his</w:t>
      </w:r>
      <w:r>
        <w:t xml:space="preserve"> </w:t>
      </w:r>
      <w:r w:rsidRPr="002B292D">
        <w:t>behalf</w:t>
      </w:r>
      <w:r>
        <w:t xml:space="preserve"> </w:t>
      </w:r>
      <w:r w:rsidRPr="002B292D">
        <w:t>on</w:t>
      </w:r>
      <w:r>
        <w:t xml:space="preserve"> </w:t>
      </w:r>
      <w:r w:rsidRPr="002B292D">
        <w:t>30</w:t>
      </w:r>
      <w:r>
        <w:t xml:space="preserve"> </w:t>
      </w:r>
      <w:r w:rsidRPr="002B292D">
        <w:t>July</w:t>
      </w:r>
      <w:r>
        <w:t xml:space="preserve"> </w:t>
      </w:r>
      <w:r w:rsidRPr="002B292D">
        <w:t>2015.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subsequent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 w:rsidR="00995FAE">
        <w:t>’</w:t>
      </w:r>
      <w:r w:rsidRPr="002B292D">
        <w:t>s</w:t>
      </w:r>
      <w:r>
        <w:t xml:space="preserve"> </w:t>
      </w:r>
      <w:r w:rsidRPr="002B292D">
        <w:t>appeal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also</w:t>
      </w:r>
      <w:r>
        <w:t xml:space="preserve"> </w:t>
      </w:r>
      <w:r w:rsidRPr="002B292D">
        <w:t>appealed</w:t>
      </w:r>
      <w:r>
        <w:t xml:space="preserve"> </w:t>
      </w:r>
      <w:r w:rsidRPr="002B292D">
        <w:t>his</w:t>
      </w:r>
      <w:r>
        <w:t xml:space="preserve"> </w:t>
      </w:r>
      <w:r w:rsidRPr="002B292D">
        <w:t>conviction,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basis</w:t>
      </w:r>
      <w:r>
        <w:t xml:space="preserve"> </w:t>
      </w:r>
      <w:r w:rsidRPr="002B292D">
        <w:t>of</w:t>
      </w:r>
      <w:r>
        <w:t xml:space="preserve"> </w:t>
      </w:r>
      <w:r w:rsidRPr="002B292D">
        <w:t>substantive</w:t>
      </w:r>
      <w:r>
        <w:t xml:space="preserve"> </w:t>
      </w:r>
      <w:r w:rsidRPr="002B292D">
        <w:t>legal</w:t>
      </w:r>
      <w:r>
        <w:t xml:space="preserve"> </w:t>
      </w:r>
      <w:r w:rsidRPr="002B292D">
        <w:t>errors</w:t>
      </w:r>
      <w:r>
        <w:t xml:space="preserve"> </w:t>
      </w:r>
      <w:r w:rsidRPr="002B292D">
        <w:t>and</w:t>
      </w:r>
      <w:r>
        <w:t xml:space="preserve"> </w:t>
      </w:r>
      <w:r w:rsidRPr="002B292D">
        <w:t>procedural</w:t>
      </w:r>
      <w:r>
        <w:t xml:space="preserve"> </w:t>
      </w:r>
      <w:r w:rsidRPr="002B292D">
        <w:t>violations,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point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observations</w:t>
      </w:r>
      <w:r>
        <w:t xml:space="preserve"> </w:t>
      </w:r>
      <w:r w:rsidRPr="002B292D">
        <w:t>were</w:t>
      </w:r>
      <w:r>
        <w:t xml:space="preserve"> </w:t>
      </w:r>
      <w:r w:rsidRPr="002B292D">
        <w:t>submitted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Committee,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had</w:t>
      </w:r>
      <w:r>
        <w:t xml:space="preserve"> </w:t>
      </w:r>
      <w:r w:rsidRPr="002B292D">
        <w:t>not</w:t>
      </w:r>
      <w:r>
        <w:t xml:space="preserve"> </w:t>
      </w:r>
      <w:r w:rsidRPr="002B292D">
        <w:t>made</w:t>
      </w:r>
      <w:r>
        <w:t xml:space="preserve"> </w:t>
      </w:r>
      <w:r w:rsidRPr="002B292D">
        <w:t>a</w:t>
      </w:r>
      <w:r>
        <w:t xml:space="preserve"> </w:t>
      </w:r>
      <w:r w:rsidRPr="002B292D">
        <w:t>decision</w:t>
      </w:r>
      <w:r>
        <w:t xml:space="preserve"> </w:t>
      </w:r>
      <w:r w:rsidRPr="002B292D">
        <w:t>on</w:t>
      </w:r>
      <w:r>
        <w:t xml:space="preserve"> </w:t>
      </w:r>
      <w:r w:rsidRPr="002B292D">
        <w:t>whether</w:t>
      </w:r>
      <w:r>
        <w:t xml:space="preserve"> </w:t>
      </w:r>
      <w:r w:rsidRPr="002B292D">
        <w:t>to</w:t>
      </w:r>
      <w:r>
        <w:t xml:space="preserve"> </w:t>
      </w:r>
      <w:r w:rsidRPr="002B292D">
        <w:t>grant</w:t>
      </w:r>
      <w:r>
        <w:t xml:space="preserve"> </w:t>
      </w:r>
      <w:r w:rsidRPr="002B292D">
        <w:t>leave</w:t>
      </w:r>
      <w:r>
        <w:t xml:space="preserve"> </w:t>
      </w:r>
      <w:r w:rsidRPr="002B292D">
        <w:t>for</w:t>
      </w:r>
      <w:r>
        <w:t xml:space="preserve"> </w:t>
      </w:r>
      <w:r w:rsidRPr="002B292D">
        <w:t>that</w:t>
      </w:r>
      <w:r>
        <w:t xml:space="preserve"> </w:t>
      </w:r>
      <w:r w:rsidRPr="002B292D">
        <w:t>appeal.</w:t>
      </w:r>
    </w:p>
    <w:p w:rsidR="000D3068" w:rsidRPr="002B292D" w:rsidRDefault="000D3068" w:rsidP="00533F65">
      <w:pPr>
        <w:pStyle w:val="SingleTxtG"/>
      </w:pPr>
      <w:r w:rsidRPr="002B292D">
        <w:t>4.11</w:t>
      </w:r>
      <w:r w:rsidRPr="002B292D">
        <w:tab/>
        <w:t>With</w:t>
      </w:r>
      <w:r>
        <w:t xml:space="preserve"> </w:t>
      </w:r>
      <w:r w:rsidRPr="002B292D">
        <w:t>regard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allegations</w:t>
      </w:r>
      <w:r>
        <w:t xml:space="preserve"> </w:t>
      </w:r>
      <w:r w:rsidRPr="002B292D">
        <w:t>of</w:t>
      </w:r>
      <w:r>
        <w:t xml:space="preserve"> </w:t>
      </w:r>
      <w:r w:rsidRPr="002B292D">
        <w:t>violations</w:t>
      </w:r>
      <w:r>
        <w:t xml:space="preserve"> </w:t>
      </w:r>
      <w:r w:rsidRPr="002B292D">
        <w:t>of</w:t>
      </w:r>
      <w:r>
        <w:t xml:space="preserve"> </w:t>
      </w:r>
      <w:r w:rsidRPr="002B292D">
        <w:t>articles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pursuant</w:t>
      </w:r>
      <w:r>
        <w:t xml:space="preserve"> </w:t>
      </w:r>
      <w:r w:rsidRPr="002B292D">
        <w:t>to</w:t>
      </w:r>
      <w:r>
        <w:t xml:space="preserve"> </w:t>
      </w:r>
      <w:r w:rsidRPr="002B292D">
        <w:t>article</w:t>
      </w:r>
      <w:r>
        <w:t xml:space="preserve"> </w:t>
      </w:r>
      <w:r w:rsidRPr="002B292D">
        <w:t>109</w:t>
      </w:r>
      <w:r>
        <w:t xml:space="preserve"> </w:t>
      </w:r>
      <w:r w:rsidRPr="002B292D">
        <w:t>(f)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</w:t>
      </w:r>
      <w:r w:rsidRPr="00A035EA">
        <w:rPr>
          <w:rStyle w:val="FootnoteReference"/>
        </w:rPr>
        <w:footnoteReference w:id="24"/>
      </w:r>
      <w:r>
        <w:t xml:space="preserve"> </w:t>
      </w:r>
      <w:r w:rsidRPr="002B292D">
        <w:t>as</w:t>
      </w:r>
      <w:r>
        <w:t xml:space="preserve"> </w:t>
      </w:r>
      <w:r w:rsidRPr="002B292D">
        <w:t>well</w:t>
      </w:r>
      <w:r>
        <w:t xml:space="preserve"> </w:t>
      </w:r>
      <w:r w:rsidRPr="002B292D">
        <w:t>as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No.</w:t>
      </w:r>
      <w:r>
        <w:t xml:space="preserve"> </w:t>
      </w:r>
      <w:r w:rsidRPr="002B292D">
        <w:t>12/2008),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current</w:t>
      </w:r>
      <w:r>
        <w:t xml:space="preserve"> </w:t>
      </w:r>
      <w:r w:rsidRPr="002B292D">
        <w:t>conviction</w:t>
      </w:r>
      <w:r>
        <w:t xml:space="preserve"> </w:t>
      </w:r>
      <w:r w:rsidRPr="002B292D">
        <w:t>results</w:t>
      </w:r>
      <w:r>
        <w:t xml:space="preserve"> </w:t>
      </w:r>
      <w:r w:rsidRPr="002B292D">
        <w:t>in</w:t>
      </w:r>
      <w:r>
        <w:t xml:space="preserve"> </w:t>
      </w:r>
      <w:r w:rsidRPr="002B292D">
        <w:t>his</w:t>
      </w:r>
      <w:r>
        <w:t xml:space="preserve"> </w:t>
      </w:r>
      <w:r w:rsidRPr="002B292D">
        <w:t>disqualification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term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sentence</w:t>
      </w:r>
      <w:r>
        <w:t xml:space="preserve"> </w:t>
      </w:r>
      <w:r w:rsidRPr="002B292D">
        <w:t>and</w:t>
      </w:r>
      <w:r>
        <w:t xml:space="preserve"> </w:t>
      </w:r>
      <w:r w:rsidRPr="002B292D">
        <w:t>for</w:t>
      </w:r>
      <w:r>
        <w:t xml:space="preserve"> </w:t>
      </w:r>
      <w:r w:rsidRPr="002B292D">
        <w:t>an</w:t>
      </w:r>
      <w:r>
        <w:t xml:space="preserve"> </w:t>
      </w:r>
      <w:r w:rsidRPr="002B292D">
        <w:t>additional</w:t>
      </w:r>
      <w:r>
        <w:t xml:space="preserve"> </w:t>
      </w:r>
      <w:r w:rsidRPr="002B292D">
        <w:t>three</w:t>
      </w:r>
      <w:r>
        <w:t xml:space="preserve"> </w:t>
      </w:r>
      <w:r w:rsidRPr="002B292D">
        <w:t>years.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also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charges</w:t>
      </w:r>
      <w:r>
        <w:t xml:space="preserve"> </w:t>
      </w:r>
      <w:r w:rsidRPr="002B292D">
        <w:t>brought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were</w:t>
      </w:r>
      <w:r>
        <w:t xml:space="preserve"> </w:t>
      </w:r>
      <w:r w:rsidRPr="002B292D">
        <w:t>lodged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General,</w:t>
      </w:r>
      <w:r>
        <w:t xml:space="preserve"> </w:t>
      </w:r>
      <w:r w:rsidRPr="002B292D">
        <w:t>who</w:t>
      </w:r>
      <w:r>
        <w:t xml:space="preserve"> </w:t>
      </w:r>
      <w:r w:rsidRPr="002B292D">
        <w:t>is</w:t>
      </w:r>
      <w:r>
        <w:t xml:space="preserve"> </w:t>
      </w:r>
      <w:r w:rsidRPr="002B292D">
        <w:t>independent</w:t>
      </w:r>
      <w:r>
        <w:t xml:space="preserve"> </w:t>
      </w:r>
      <w:r w:rsidRPr="002B292D">
        <w:t>and</w:t>
      </w:r>
      <w:r>
        <w:t xml:space="preserve"> </w:t>
      </w:r>
      <w:r w:rsidRPr="002B292D">
        <w:t>impartial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course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or</w:t>
      </w:r>
      <w:r>
        <w:t xml:space="preserve"> </w:t>
      </w:r>
      <w:r w:rsidRPr="002B292D">
        <w:t>her</w:t>
      </w:r>
      <w:r>
        <w:t xml:space="preserve"> </w:t>
      </w:r>
      <w:r w:rsidRPr="002B292D">
        <w:t>duty.</w:t>
      </w:r>
      <w:r>
        <w:t xml:space="preserve"> </w:t>
      </w:r>
      <w:r w:rsidRPr="002B292D">
        <w:t>Notably,</w:t>
      </w:r>
      <w:r>
        <w:t xml:space="preserve"> </w:t>
      </w:r>
      <w:r w:rsidRPr="002B292D">
        <w:t>the</w:t>
      </w:r>
      <w:r>
        <w:t xml:space="preserve"> </w:t>
      </w:r>
      <w:r w:rsidRPr="002B292D">
        <w:t>review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charges</w:t>
      </w:r>
      <w:r>
        <w:t xml:space="preserve"> </w:t>
      </w:r>
      <w:r w:rsidRPr="002B292D">
        <w:t>in</w:t>
      </w:r>
      <w:r>
        <w:t xml:space="preserve"> </w:t>
      </w:r>
      <w:r w:rsidRPr="002B292D">
        <w:t>2012,</w:t>
      </w:r>
      <w:r>
        <w:t xml:space="preserve"> </w:t>
      </w:r>
      <w:r w:rsidRPr="002B292D">
        <w:t>from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="00995FAE">
        <w:t>“</w:t>
      </w:r>
      <w:r w:rsidRPr="002B292D">
        <w:t>illegal</w:t>
      </w:r>
      <w:r>
        <w:t xml:space="preserve"> </w:t>
      </w:r>
      <w:r w:rsidRPr="002B292D">
        <w:t>detention</w:t>
      </w:r>
      <w:r w:rsidR="00995FAE">
        <w:t>”</w:t>
      </w:r>
      <w:r>
        <w:t xml:space="preserve"> </w:t>
      </w:r>
      <w:r w:rsidRPr="002B292D">
        <w:t>to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="00995FAE">
        <w:t>“</w:t>
      </w:r>
      <w:r w:rsidRPr="002B292D">
        <w:t>terrorism</w:t>
      </w:r>
      <w:r w:rsidR="00995FAE">
        <w:t>”</w:t>
      </w:r>
      <w:r w:rsidRPr="002B292D">
        <w:t>,</w:t>
      </w:r>
      <w:r>
        <w:t xml:space="preserve"> </w:t>
      </w:r>
      <w:r w:rsidRPr="002B292D">
        <w:t>were</w:t>
      </w:r>
      <w:r>
        <w:t xml:space="preserve"> </w:t>
      </w:r>
      <w:r w:rsidRPr="002B292D">
        <w:t>not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motivated,</w:t>
      </w:r>
      <w:r>
        <w:t xml:space="preserve"> </w:t>
      </w:r>
      <w:r w:rsidRPr="002B292D">
        <w:t>but</w:t>
      </w:r>
      <w:r>
        <w:t xml:space="preserve"> </w:t>
      </w:r>
      <w:r w:rsidRPr="002B292D">
        <w:t>commensurate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acts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committed</w:t>
      </w:r>
      <w:r>
        <w:t xml:space="preserve"> </w:t>
      </w:r>
      <w:r w:rsidRPr="002B292D">
        <w:t>(see</w:t>
      </w:r>
      <w:r>
        <w:t xml:space="preserve"> </w:t>
      </w:r>
      <w:r w:rsidRPr="002B292D">
        <w:t>para.</w:t>
      </w:r>
      <w:r>
        <w:t xml:space="preserve"> </w:t>
      </w:r>
      <w:r w:rsidRPr="002B292D">
        <w:t>4.4</w:t>
      </w:r>
      <w:r>
        <w:t xml:space="preserve"> </w:t>
      </w:r>
      <w:r w:rsidRPr="002B292D">
        <w:t>above).</w:t>
      </w:r>
    </w:p>
    <w:p w:rsidR="000D3068" w:rsidRPr="002B292D" w:rsidRDefault="000D3068" w:rsidP="00916D2E">
      <w:pPr>
        <w:pStyle w:val="SingleTxtG"/>
      </w:pPr>
      <w:r w:rsidRPr="002B292D">
        <w:t>4.12</w:t>
      </w:r>
      <w:r w:rsidRPr="002B292D">
        <w:tab/>
        <w:t>The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No.</w:t>
      </w:r>
      <w:r>
        <w:t xml:space="preserve"> </w:t>
      </w:r>
      <w:r w:rsidRPr="002B292D">
        <w:t>10/2015)</w:t>
      </w:r>
      <w:r>
        <w:t xml:space="preserve"> </w:t>
      </w:r>
      <w:r w:rsidRPr="002B292D">
        <w:t>—</w:t>
      </w:r>
      <w:r>
        <w:t xml:space="preserve"> </w:t>
      </w:r>
      <w:r w:rsidRPr="002B292D">
        <w:t>the</w:t>
      </w:r>
      <w:r>
        <w:t xml:space="preserve"> </w:t>
      </w:r>
      <w:r w:rsidRPr="002B292D">
        <w:t>first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</w:t>
      </w:r>
      <w:r w:rsidR="00916D2E">
        <w:t>.</w:t>
      </w:r>
      <w:r>
        <w:t xml:space="preserve"> </w:t>
      </w:r>
      <w:r w:rsidRPr="002B292D">
        <w:t>14/2013)</w:t>
      </w:r>
      <w:r>
        <w:t xml:space="preserve"> </w:t>
      </w:r>
      <w:r w:rsidRPr="002B292D">
        <w:t>—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specifically</w:t>
      </w:r>
      <w:r>
        <w:t xml:space="preserve"> </w:t>
      </w:r>
      <w:r w:rsidRPr="002B292D">
        <w:t>targeted</w:t>
      </w:r>
      <w:r>
        <w:t xml:space="preserve"> </w:t>
      </w:r>
      <w:r w:rsidRPr="002B292D">
        <w:t>at</w:t>
      </w:r>
      <w:r>
        <w:t xml:space="preserve"> </w:t>
      </w:r>
      <w:r w:rsidRPr="002B292D">
        <w:t>hindering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political</w:t>
      </w:r>
      <w:r>
        <w:t xml:space="preserve"> </w:t>
      </w:r>
      <w:r w:rsidRPr="002B292D">
        <w:t>activity</w:t>
      </w:r>
      <w:r>
        <w:t xml:space="preserve"> </w:t>
      </w:r>
      <w:r w:rsidRPr="002B292D">
        <w:t>and</w:t>
      </w:r>
      <w:r>
        <w:t xml:space="preserve"> </w:t>
      </w:r>
      <w:r w:rsidRPr="002B292D">
        <w:t>participation.</w:t>
      </w:r>
      <w:r>
        <w:t xml:space="preserve"> </w:t>
      </w:r>
      <w:r w:rsidRPr="002B292D">
        <w:t>Moreover,</w:t>
      </w:r>
      <w:r>
        <w:t xml:space="preserve"> </w:t>
      </w:r>
      <w:r w:rsidRPr="002B292D">
        <w:t>the</w:t>
      </w:r>
      <w:r>
        <w:t xml:space="preserve"> </w:t>
      </w:r>
      <w:r w:rsidRPr="002B292D">
        <w:t>amendment</w:t>
      </w:r>
      <w:r>
        <w:t xml:space="preserve"> </w:t>
      </w:r>
      <w:r w:rsidRPr="002B292D">
        <w:t>affords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participation</w:t>
      </w:r>
      <w:r>
        <w:t xml:space="preserve"> </w:t>
      </w:r>
      <w:r w:rsidRPr="002B292D">
        <w:t>and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association,</w:t>
      </w:r>
      <w:r>
        <w:t xml:space="preserve"> </w:t>
      </w:r>
      <w:r w:rsidRPr="002B292D">
        <w:t>as</w:t>
      </w:r>
      <w:r>
        <w:t xml:space="preserve"> </w:t>
      </w:r>
      <w:r w:rsidRPr="002B292D">
        <w:t>it</w:t>
      </w:r>
      <w:r>
        <w:t xml:space="preserve"> </w:t>
      </w:r>
      <w:r w:rsidRPr="002B292D">
        <w:t>allows</w:t>
      </w:r>
      <w:r>
        <w:t xml:space="preserve"> </w:t>
      </w:r>
      <w:r w:rsidRPr="002B292D">
        <w:t>him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a</w:t>
      </w:r>
      <w:r>
        <w:t xml:space="preserve"> </w:t>
      </w:r>
      <w:r w:rsidRPr="002B292D">
        <w:t>member</w:t>
      </w:r>
      <w:r>
        <w:t xml:space="preserve"> </w:t>
      </w:r>
      <w:r w:rsidRPr="002B292D">
        <w:t>of</w:t>
      </w:r>
      <w:r>
        <w:t xml:space="preserve"> </w:t>
      </w:r>
      <w:r w:rsidRPr="002B292D">
        <w:t>a</w:t>
      </w:r>
      <w:r>
        <w:t xml:space="preserve"> </w:t>
      </w:r>
      <w:r w:rsidRPr="002B292D">
        <w:t>political</w:t>
      </w:r>
      <w:r>
        <w:t xml:space="preserve"> </w:t>
      </w:r>
      <w:r w:rsidRPr="002B292D">
        <w:t>party.</w:t>
      </w:r>
      <w:r>
        <w:t xml:space="preserve"> </w:t>
      </w:r>
      <w:r w:rsidRPr="002B292D">
        <w:t>In</w:t>
      </w:r>
      <w:r>
        <w:t xml:space="preserve"> </w:t>
      </w:r>
      <w:r w:rsidRPr="002B292D">
        <w:t>this</w:t>
      </w:r>
      <w:r>
        <w:t xml:space="preserve"> </w:t>
      </w:r>
      <w:r w:rsidRPr="002B292D">
        <w:t>connection,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points</w:t>
      </w:r>
      <w:r>
        <w:t xml:space="preserve"> </w:t>
      </w:r>
      <w:r w:rsidRPr="002B292D">
        <w:t>out</w:t>
      </w:r>
      <w:r>
        <w:t xml:space="preserve"> </w:t>
      </w:r>
      <w:r w:rsidRPr="002B292D">
        <w:t>that</w:t>
      </w:r>
      <w:r>
        <w:t xml:space="preserve"> </w:t>
      </w:r>
      <w:r w:rsidRPr="002B292D">
        <w:t>similar</w:t>
      </w:r>
      <w:r>
        <w:t xml:space="preserve"> </w:t>
      </w:r>
      <w:r w:rsidRPr="002B292D">
        <w:t>restrictions</w:t>
      </w:r>
      <w:r>
        <w:t xml:space="preserve"> </w:t>
      </w:r>
      <w:r w:rsidRPr="002B292D">
        <w:t>on</w:t>
      </w:r>
      <w:r>
        <w:t xml:space="preserve"> </w:t>
      </w:r>
      <w:r w:rsidRPr="002B292D">
        <w:t>civil</w:t>
      </w:r>
      <w:r>
        <w:t xml:space="preserve"> </w:t>
      </w:r>
      <w:r w:rsidRPr="002B292D">
        <w:t>liberties</w:t>
      </w:r>
      <w:r>
        <w:t xml:space="preserve"> </w:t>
      </w:r>
      <w:r w:rsidRPr="002B292D">
        <w:t>are</w:t>
      </w:r>
      <w:r>
        <w:t xml:space="preserve"> </w:t>
      </w:r>
      <w:r w:rsidRPr="002B292D">
        <w:t>exercised</w:t>
      </w:r>
      <w:r>
        <w:t xml:space="preserve"> </w:t>
      </w:r>
      <w:r w:rsidRPr="002B292D">
        <w:t>in</w:t>
      </w:r>
      <w:r>
        <w:t xml:space="preserve"> </w:t>
      </w:r>
      <w:r w:rsidRPr="002B292D">
        <w:t>all</w:t>
      </w:r>
      <w:r>
        <w:t xml:space="preserve"> </w:t>
      </w:r>
      <w:r w:rsidRPr="002B292D">
        <w:t>jurisdictions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consequence</w:t>
      </w:r>
      <w:r>
        <w:t xml:space="preserve"> </w:t>
      </w:r>
      <w:r w:rsidRPr="002B292D">
        <w:t>of</w:t>
      </w:r>
      <w:r>
        <w:t xml:space="preserve"> </w:t>
      </w:r>
      <w:r w:rsidRPr="002B292D">
        <w:t>a</w:t>
      </w:r>
      <w:r>
        <w:t xml:space="preserve"> </w:t>
      </w:r>
      <w:r w:rsidRPr="002B292D">
        <w:t>criminal</w:t>
      </w:r>
      <w:r>
        <w:t xml:space="preserve"> </w:t>
      </w:r>
      <w:r w:rsidRPr="002B292D">
        <w:t>conviction,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such</w:t>
      </w:r>
      <w:r>
        <w:t xml:space="preserve"> </w:t>
      </w:r>
      <w:r w:rsidRPr="002B292D">
        <w:t>limitations</w:t>
      </w:r>
      <w:r>
        <w:t xml:space="preserve"> </w:t>
      </w:r>
      <w:r w:rsidRPr="002B292D">
        <w:t>are</w:t>
      </w:r>
      <w:r>
        <w:t xml:space="preserve"> </w:t>
      </w:r>
      <w:r w:rsidRPr="002B292D">
        <w:t>necessary</w:t>
      </w:r>
      <w:r>
        <w:t xml:space="preserve"> </w:t>
      </w:r>
      <w:r w:rsidRPr="002B292D">
        <w:t>in</w:t>
      </w:r>
      <w:r>
        <w:t xml:space="preserve"> </w:t>
      </w:r>
      <w:r w:rsidRPr="002B292D">
        <w:t>democratic</w:t>
      </w:r>
      <w:r>
        <w:t xml:space="preserve"> </w:t>
      </w:r>
      <w:r w:rsidRPr="002B292D">
        <w:t>societies</w:t>
      </w:r>
      <w:r>
        <w:t xml:space="preserve"> </w:t>
      </w:r>
      <w:r w:rsidRPr="002B292D">
        <w:t>to</w:t>
      </w:r>
      <w:r>
        <w:t xml:space="preserve"> </w:t>
      </w:r>
      <w:r w:rsidRPr="002B292D">
        <w:t>ensure</w:t>
      </w:r>
      <w:r>
        <w:t xml:space="preserve"> </w:t>
      </w:r>
      <w:r w:rsidRPr="002B292D">
        <w:t>public</w:t>
      </w:r>
      <w:r>
        <w:t xml:space="preserve"> </w:t>
      </w:r>
      <w:r w:rsidRPr="002B292D">
        <w:t>order</w:t>
      </w:r>
      <w:r>
        <w:t xml:space="preserve"> </w:t>
      </w:r>
      <w:r w:rsidRPr="002B292D">
        <w:t>and</w:t>
      </w:r>
      <w:r>
        <w:t xml:space="preserve"> </w:t>
      </w:r>
      <w:r w:rsidRPr="002B292D">
        <w:t>accountability</w:t>
      </w:r>
      <w:r>
        <w:t xml:space="preserve"> </w:t>
      </w:r>
      <w:r w:rsidRPr="002B292D">
        <w:t>and</w:t>
      </w:r>
      <w:r>
        <w:t xml:space="preserve"> </w:t>
      </w:r>
      <w:r w:rsidRPr="002B292D">
        <w:t>to</w:t>
      </w:r>
      <w:r>
        <w:t xml:space="preserve"> </w:t>
      </w:r>
      <w:r w:rsidRPr="002B292D">
        <w:t>safeguard</w:t>
      </w:r>
      <w:r>
        <w:t xml:space="preserve"> </w:t>
      </w:r>
      <w:r w:rsidRPr="002B292D">
        <w:t>the</w:t>
      </w:r>
      <w:r>
        <w:t xml:space="preserve"> </w:t>
      </w:r>
      <w:r w:rsidRPr="002B292D">
        <w:t>public</w:t>
      </w:r>
      <w:r>
        <w:t xml:space="preserve"> </w:t>
      </w:r>
      <w:r w:rsidRPr="002B292D">
        <w:t>interest.</w:t>
      </w:r>
    </w:p>
    <w:p w:rsidR="000D3068" w:rsidRPr="002B292D" w:rsidRDefault="000D3068" w:rsidP="00533F65">
      <w:pPr>
        <w:pStyle w:val="SingleTxtG"/>
      </w:pPr>
      <w:r w:rsidRPr="002B292D">
        <w:t>4.13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still</w:t>
      </w:r>
      <w:r>
        <w:t xml:space="preserve"> </w:t>
      </w:r>
      <w:r w:rsidRPr="002B292D">
        <w:t>has</w:t>
      </w:r>
      <w:r>
        <w:t xml:space="preserve"> </w:t>
      </w:r>
      <w:r w:rsidRPr="002B292D">
        <w:t>the</w:t>
      </w:r>
      <w:r>
        <w:t xml:space="preserve"> </w:t>
      </w:r>
      <w:r w:rsidRPr="002B292D">
        <w:t>opportunity</w:t>
      </w:r>
      <w:r>
        <w:t xml:space="preserve"> </w:t>
      </w:r>
      <w:r w:rsidRPr="002B292D">
        <w:t>to</w:t>
      </w:r>
      <w:r>
        <w:t xml:space="preserve"> </w:t>
      </w:r>
      <w:r w:rsidRPr="002B292D">
        <w:t>request</w:t>
      </w:r>
      <w:r>
        <w:t xml:space="preserve"> </w:t>
      </w:r>
      <w:r w:rsidRPr="002B292D">
        <w:t>clemency,</w:t>
      </w:r>
      <w:r>
        <w:t xml:space="preserve"> </w:t>
      </w:r>
      <w:r w:rsidRPr="002B292D">
        <w:t>which,</w:t>
      </w:r>
      <w:r>
        <w:t xml:space="preserve"> </w:t>
      </w:r>
      <w:r w:rsidRPr="002B292D">
        <w:t>if</w:t>
      </w:r>
      <w:r>
        <w:t xml:space="preserve"> </w:t>
      </w:r>
      <w:r w:rsidRPr="002B292D">
        <w:t>granted,</w:t>
      </w:r>
      <w:r>
        <w:t xml:space="preserve"> </w:t>
      </w:r>
      <w:r w:rsidRPr="002B292D">
        <w:t>will</w:t>
      </w:r>
      <w:r>
        <w:t xml:space="preserve"> </w:t>
      </w:r>
      <w:r w:rsidRPr="002B292D">
        <w:t>make</w:t>
      </w:r>
      <w:r>
        <w:t xml:space="preserve"> </w:t>
      </w:r>
      <w:r w:rsidRPr="002B292D">
        <w:t>him</w:t>
      </w:r>
      <w:r>
        <w:t xml:space="preserve"> </w:t>
      </w:r>
      <w:r w:rsidRPr="002B292D">
        <w:t>eligible</w:t>
      </w:r>
      <w:r>
        <w:t xml:space="preserve"> </w:t>
      </w:r>
      <w:r w:rsidRPr="002B292D">
        <w:t>to</w:t>
      </w:r>
      <w:r>
        <w:t xml:space="preserve"> </w:t>
      </w:r>
      <w:r w:rsidRPr="002B292D">
        <w:t>run</w:t>
      </w:r>
      <w:r>
        <w:t xml:space="preserve"> </w:t>
      </w:r>
      <w:r w:rsidRPr="002B292D">
        <w:t>for</w:t>
      </w:r>
      <w:r>
        <w:t xml:space="preserve"> </w:t>
      </w:r>
      <w:r w:rsidRPr="002B292D">
        <w:t>president.</w:t>
      </w:r>
      <w:r>
        <w:t xml:space="preserve"> </w:t>
      </w:r>
      <w:r w:rsidRPr="002B292D">
        <w:t>He</w:t>
      </w:r>
      <w:r>
        <w:t xml:space="preserve"> </w:t>
      </w:r>
      <w:r w:rsidRPr="002B292D">
        <w:t>becomes</w:t>
      </w:r>
      <w:r>
        <w:t xml:space="preserve"> </w:t>
      </w:r>
      <w:r w:rsidRPr="002B292D">
        <w:t>eligible</w:t>
      </w:r>
      <w:r>
        <w:t xml:space="preserve"> </w:t>
      </w:r>
      <w:r w:rsidRPr="002B292D">
        <w:t>to</w:t>
      </w:r>
      <w:r>
        <w:t xml:space="preserve"> </w:t>
      </w:r>
      <w:r w:rsidRPr="002B292D">
        <w:t>request</w:t>
      </w:r>
      <w:r>
        <w:t xml:space="preserve"> </w:t>
      </w:r>
      <w:r w:rsidRPr="002B292D">
        <w:t>leniency</w:t>
      </w:r>
      <w:r>
        <w:t xml:space="preserve"> </w:t>
      </w:r>
      <w:r w:rsidRPr="002B292D">
        <w:t>for</w:t>
      </w:r>
      <w:r>
        <w:t xml:space="preserve"> </w:t>
      </w:r>
      <w:r w:rsidRPr="002B292D">
        <w:t>his</w:t>
      </w:r>
      <w:r>
        <w:t xml:space="preserve"> </w:t>
      </w:r>
      <w:r w:rsidRPr="002B292D">
        <w:t>sentence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Clemency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No.</w:t>
      </w:r>
      <w:r>
        <w:t xml:space="preserve"> </w:t>
      </w:r>
      <w:r w:rsidRPr="002B292D">
        <w:t>2/2010)</w:t>
      </w:r>
      <w:r>
        <w:t xml:space="preserve"> </w:t>
      </w:r>
      <w:r w:rsidRPr="002B292D">
        <w:t>once</w:t>
      </w:r>
      <w:r>
        <w:t xml:space="preserve"> </w:t>
      </w:r>
      <w:r w:rsidRPr="002B292D">
        <w:t>he</w:t>
      </w:r>
      <w:r>
        <w:t xml:space="preserve"> </w:t>
      </w:r>
      <w:r w:rsidRPr="002B292D">
        <w:t>has</w:t>
      </w:r>
      <w:r>
        <w:t xml:space="preserve"> </w:t>
      </w:r>
      <w:r w:rsidRPr="002B292D">
        <w:t>served</w:t>
      </w:r>
      <w:r>
        <w:t xml:space="preserve"> </w:t>
      </w:r>
      <w:r w:rsidRPr="002B292D">
        <w:t>one</w:t>
      </w:r>
      <w:r>
        <w:t xml:space="preserve"> </w:t>
      </w:r>
      <w:r w:rsidRPr="002B292D">
        <w:t>quarter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sentence,</w:t>
      </w:r>
      <w:r>
        <w:t xml:space="preserve"> </w:t>
      </w:r>
      <w:r w:rsidRPr="002B292D">
        <w:t>under</w:t>
      </w:r>
      <w:r>
        <w:t xml:space="preserve"> </w:t>
      </w:r>
      <w:r w:rsidRPr="002B292D">
        <w:t>section</w:t>
      </w:r>
      <w:r>
        <w:t xml:space="preserve"> </w:t>
      </w:r>
      <w:r w:rsidRPr="002B292D">
        <w:t>7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Act.</w:t>
      </w:r>
      <w:r>
        <w:t xml:space="preserve"> </w:t>
      </w:r>
      <w:r w:rsidRPr="002B292D">
        <w:t>Additionally,</w:t>
      </w:r>
      <w:r>
        <w:t xml:space="preserve"> </w:t>
      </w:r>
      <w:r w:rsidRPr="002B292D">
        <w:t>section</w:t>
      </w:r>
      <w:r>
        <w:t xml:space="preserve"> </w:t>
      </w:r>
      <w:r w:rsidRPr="002B292D">
        <w:t>29</w:t>
      </w:r>
      <w:r>
        <w:t xml:space="preserve"> </w:t>
      </w:r>
      <w:r w:rsidRPr="002B292D">
        <w:t>(c)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Clemency</w:t>
      </w:r>
      <w:r>
        <w:t xml:space="preserve"> </w:t>
      </w:r>
      <w:r w:rsidRPr="002B292D">
        <w:t>Act</w:t>
      </w:r>
      <w:r>
        <w:t xml:space="preserve"> </w:t>
      </w:r>
      <w:r w:rsidRPr="002B292D">
        <w:t>affords</w:t>
      </w:r>
      <w:r>
        <w:t xml:space="preserve"> </w:t>
      </w:r>
      <w:r w:rsidRPr="002B292D">
        <w:t>the</w:t>
      </w:r>
      <w:r>
        <w:t xml:space="preserve"> </w:t>
      </w:r>
      <w:r w:rsidRPr="002B292D">
        <w:t>President</w:t>
      </w:r>
      <w:r>
        <w:t xml:space="preserve"> </w:t>
      </w:r>
      <w:r w:rsidRPr="002B292D">
        <w:t>of</w:t>
      </w:r>
      <w:r>
        <w:t xml:space="preserve"> </w:t>
      </w:r>
      <w:r w:rsidRPr="002B292D">
        <w:t>Maldives</w:t>
      </w:r>
      <w:r>
        <w:t xml:space="preserve"> </w:t>
      </w:r>
      <w:r w:rsidRPr="002B292D">
        <w:t>the</w:t>
      </w:r>
      <w:r>
        <w:t xml:space="preserve"> </w:t>
      </w:r>
      <w:r w:rsidRPr="002B292D">
        <w:t>executive</w:t>
      </w:r>
      <w:r>
        <w:t xml:space="preserve"> </w:t>
      </w:r>
      <w:r w:rsidRPr="002B292D">
        <w:t>power</w:t>
      </w:r>
      <w:r>
        <w:t xml:space="preserve"> </w:t>
      </w:r>
      <w:r w:rsidRPr="002B292D">
        <w:t>to</w:t>
      </w:r>
      <w:r>
        <w:t xml:space="preserve"> </w:t>
      </w:r>
      <w:r w:rsidRPr="002B292D">
        <w:t>grant</w:t>
      </w:r>
      <w:r>
        <w:t xml:space="preserve"> </w:t>
      </w:r>
      <w:r w:rsidRPr="002B292D">
        <w:t>clemency</w:t>
      </w:r>
      <w:r>
        <w:t xml:space="preserve"> </w:t>
      </w:r>
      <w:r w:rsidRPr="002B292D">
        <w:t>in</w:t>
      </w:r>
      <w:r>
        <w:t xml:space="preserve"> </w:t>
      </w:r>
      <w:r w:rsidRPr="002B292D">
        <w:t>certain</w:t>
      </w:r>
      <w:r>
        <w:t xml:space="preserve"> </w:t>
      </w:r>
      <w:r w:rsidRPr="002B292D">
        <w:t>circumstances.</w:t>
      </w:r>
    </w:p>
    <w:p w:rsidR="000D3068" w:rsidRPr="002B292D" w:rsidRDefault="000D3068" w:rsidP="00533F65">
      <w:pPr>
        <w:pStyle w:val="SingleTxtG"/>
      </w:pPr>
      <w:r w:rsidRPr="002B292D">
        <w:t>4.14</w:t>
      </w:r>
      <w:r w:rsidRPr="002B292D">
        <w:tab/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light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foregoing,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rights</w:t>
      </w:r>
      <w:r>
        <w:t xml:space="preserve"> </w:t>
      </w:r>
      <w:r w:rsidRPr="002B292D">
        <w:t>to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participation</w:t>
      </w:r>
      <w:r>
        <w:t xml:space="preserve"> </w:t>
      </w:r>
      <w:r w:rsidRPr="002B292D">
        <w:t>and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association</w:t>
      </w:r>
      <w:r>
        <w:t xml:space="preserve"> </w:t>
      </w:r>
      <w:r w:rsidRPr="002B292D">
        <w:t>have</w:t>
      </w:r>
      <w:r>
        <w:t xml:space="preserve"> </w:t>
      </w:r>
      <w:r w:rsidRPr="002B292D">
        <w:t>not</w:t>
      </w:r>
      <w:r>
        <w:t xml:space="preserve"> </w:t>
      </w:r>
      <w:r w:rsidRPr="002B292D">
        <w:t>been</w:t>
      </w:r>
      <w:r>
        <w:t xml:space="preserve"> </w:t>
      </w:r>
      <w:r w:rsidRPr="002B292D">
        <w:t>violated.</w:t>
      </w:r>
      <w:r>
        <w:t xml:space="preserve"> </w:t>
      </w:r>
      <w:r w:rsidRPr="002B292D">
        <w:t>In</w:t>
      </w:r>
      <w:r>
        <w:t xml:space="preserve"> </w:t>
      </w:r>
      <w:r w:rsidRPr="002B292D">
        <w:t>fact,</w:t>
      </w:r>
      <w:r>
        <w:t xml:space="preserve"> </w:t>
      </w:r>
      <w:r w:rsidRPr="002B292D">
        <w:t>within</w:t>
      </w:r>
      <w:r>
        <w:t xml:space="preserve"> </w:t>
      </w:r>
      <w:r w:rsidRPr="002B292D">
        <w:t>the</w:t>
      </w:r>
      <w:r>
        <w:t xml:space="preserve"> </w:t>
      </w:r>
      <w:r w:rsidRPr="002B292D">
        <w:t>ambit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may</w:t>
      </w:r>
      <w:r>
        <w:t xml:space="preserve"> </w:t>
      </w:r>
      <w:r w:rsidRPr="002B292D">
        <w:t>remain</w:t>
      </w:r>
      <w:r>
        <w:t xml:space="preserve"> </w:t>
      </w:r>
      <w:r w:rsidRPr="002B292D">
        <w:t>a</w:t>
      </w:r>
      <w:r>
        <w:t xml:space="preserve"> </w:t>
      </w:r>
      <w:r w:rsidRPr="002B292D">
        <w:t>member</w:t>
      </w:r>
      <w:r>
        <w:t xml:space="preserve"> </w:t>
      </w:r>
      <w:r w:rsidRPr="002B292D">
        <w:t>of</w:t>
      </w:r>
      <w:r>
        <w:t xml:space="preserve"> </w:t>
      </w:r>
      <w:r w:rsidRPr="002B292D">
        <w:t>a</w:t>
      </w:r>
      <w:r>
        <w:t xml:space="preserve"> </w:t>
      </w:r>
      <w:r w:rsidRPr="002B292D">
        <w:t>political</w:t>
      </w:r>
      <w:r>
        <w:t xml:space="preserve"> </w:t>
      </w:r>
      <w:r w:rsidRPr="002B292D">
        <w:t>party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own</w:t>
      </w:r>
      <w:r>
        <w:t xml:space="preserve"> </w:t>
      </w:r>
      <w:r w:rsidRPr="002B292D">
        <w:t>choice,</w:t>
      </w:r>
      <w:r>
        <w:t xml:space="preserve"> </w:t>
      </w:r>
      <w:r w:rsidRPr="002B292D">
        <w:t>exercise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vote,</w:t>
      </w:r>
      <w:r>
        <w:t xml:space="preserve"> </w:t>
      </w:r>
      <w:r w:rsidRPr="002B292D">
        <w:t>exercise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political</w:t>
      </w:r>
      <w:r>
        <w:t xml:space="preserve"> </w:t>
      </w:r>
      <w:r w:rsidRPr="002B292D">
        <w:t>decision-making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nation,</w:t>
      </w:r>
      <w:r>
        <w:t xml:space="preserve"> </w:t>
      </w:r>
      <w:r w:rsidRPr="002B292D">
        <w:t>and</w:t>
      </w:r>
      <w:r>
        <w:t xml:space="preserve"> </w:t>
      </w:r>
      <w:r w:rsidRPr="002B292D">
        <w:t>go</w:t>
      </w:r>
      <w:r>
        <w:t xml:space="preserve"> </w:t>
      </w:r>
      <w:r w:rsidRPr="002B292D">
        <w:t>so</w:t>
      </w:r>
      <w:r>
        <w:t xml:space="preserve"> </w:t>
      </w:r>
      <w:r w:rsidRPr="002B292D">
        <w:t>far</w:t>
      </w:r>
      <w:r>
        <w:t xml:space="preserve"> </w:t>
      </w:r>
      <w:r w:rsidRPr="002B292D">
        <w:t>as</w:t>
      </w:r>
      <w:r>
        <w:t xml:space="preserve"> </w:t>
      </w:r>
      <w:r w:rsidRPr="002B292D">
        <w:t>advocate</w:t>
      </w:r>
      <w:r>
        <w:t xml:space="preserve"> </w:t>
      </w:r>
      <w:r w:rsidRPr="002B292D">
        <w:t>for</w:t>
      </w:r>
      <w:r>
        <w:t xml:space="preserve"> </w:t>
      </w:r>
      <w:r w:rsidRPr="002B292D">
        <w:t>a</w:t>
      </w:r>
      <w:r>
        <w:t xml:space="preserve"> </w:t>
      </w:r>
      <w:r w:rsidRPr="002B292D">
        <w:t>political</w:t>
      </w:r>
      <w:r>
        <w:t xml:space="preserve"> </w:t>
      </w:r>
      <w:r w:rsidRPr="002B292D">
        <w:t>view</w:t>
      </w:r>
      <w:r>
        <w:t xml:space="preserve"> </w:t>
      </w:r>
      <w:r w:rsidRPr="002B292D">
        <w:t>and/or</w:t>
      </w:r>
      <w:r>
        <w:t xml:space="preserve"> </w:t>
      </w:r>
      <w:r w:rsidRPr="002B292D">
        <w:t>party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own</w:t>
      </w:r>
      <w:r>
        <w:t xml:space="preserve"> </w:t>
      </w:r>
      <w:r w:rsidRPr="002B292D">
        <w:t>choosing.</w:t>
      </w:r>
      <w:r>
        <w:t xml:space="preserve"> </w:t>
      </w:r>
      <w:r w:rsidRPr="002B292D">
        <w:t>The</w:t>
      </w:r>
      <w:r>
        <w:t xml:space="preserve"> </w:t>
      </w:r>
      <w:r w:rsidRPr="002B292D">
        <w:t>extent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participation</w:t>
      </w:r>
      <w:r>
        <w:t xml:space="preserve"> </w:t>
      </w:r>
      <w:r w:rsidRPr="002B292D">
        <w:t>conforms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notion</w:t>
      </w:r>
      <w:r>
        <w:t xml:space="preserve"> </w:t>
      </w:r>
      <w:r w:rsidRPr="002B292D">
        <w:t>of</w:t>
      </w:r>
      <w:r>
        <w:t xml:space="preserve"> </w:t>
      </w:r>
      <w:r w:rsidRPr="002B292D">
        <w:t>direct</w:t>
      </w:r>
      <w:r>
        <w:t xml:space="preserve"> </w:t>
      </w:r>
      <w:r w:rsidRPr="002B292D">
        <w:t>participation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conduct</w:t>
      </w:r>
      <w:r>
        <w:t xml:space="preserve"> </w:t>
      </w:r>
      <w:r w:rsidRPr="002B292D">
        <w:t>of</w:t>
      </w:r>
      <w:r>
        <w:t xml:space="preserve"> </w:t>
      </w:r>
      <w:r w:rsidRPr="002B292D">
        <w:t>public</w:t>
      </w:r>
      <w:r>
        <w:t xml:space="preserve"> </w:t>
      </w:r>
      <w:r w:rsidRPr="002B292D">
        <w:t>affairs,</w:t>
      </w:r>
      <w:r>
        <w:t xml:space="preserve"> </w:t>
      </w:r>
      <w:r w:rsidRPr="002B292D">
        <w:t>and</w:t>
      </w:r>
      <w:r>
        <w:t xml:space="preserve"> </w:t>
      </w:r>
      <w:r w:rsidRPr="002B292D">
        <w:t>therefore,</w:t>
      </w:r>
      <w:r>
        <w:t xml:space="preserve"> </w:t>
      </w:r>
      <w:r w:rsidRPr="002B292D">
        <w:t>the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this</w:t>
      </w:r>
      <w:r>
        <w:t xml:space="preserve"> </w:t>
      </w:r>
      <w:r w:rsidRPr="002B292D">
        <w:t>Act</w:t>
      </w:r>
      <w:r>
        <w:t xml:space="preserve"> </w:t>
      </w:r>
      <w:r w:rsidRPr="002B292D">
        <w:t>conforms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test</w:t>
      </w:r>
      <w:r>
        <w:t xml:space="preserve"> </w:t>
      </w:r>
      <w:r w:rsidRPr="002B292D">
        <w:t>of</w:t>
      </w:r>
      <w:r>
        <w:t xml:space="preserve"> </w:t>
      </w:r>
      <w:r w:rsidRPr="002B292D">
        <w:t>reasonableness.</w:t>
      </w:r>
    </w:p>
    <w:p w:rsidR="000D3068" w:rsidRPr="002B292D" w:rsidRDefault="000D3068" w:rsidP="001C6EF3">
      <w:pPr>
        <w:pStyle w:val="H23G"/>
      </w:pPr>
      <w:r w:rsidRPr="002B292D">
        <w:tab/>
      </w:r>
      <w:r w:rsidRPr="002B292D">
        <w:tab/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comments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observations</w:t>
      </w:r>
    </w:p>
    <w:p w:rsidR="000D3068" w:rsidRPr="002B292D" w:rsidRDefault="000D3068" w:rsidP="00533F65">
      <w:pPr>
        <w:pStyle w:val="SingleTxtG"/>
      </w:pPr>
      <w:r w:rsidRPr="002B292D">
        <w:t>5.1</w:t>
      </w:r>
      <w:r w:rsidRPr="002B292D">
        <w:tab/>
        <w:t>On</w:t>
      </w:r>
      <w:r>
        <w:t xml:space="preserve"> </w:t>
      </w:r>
      <w:r w:rsidRPr="002B292D">
        <w:t>22</w:t>
      </w:r>
      <w:r>
        <w:t xml:space="preserve"> </w:t>
      </w:r>
      <w:r w:rsidRPr="002B292D">
        <w:t>January</w:t>
      </w:r>
      <w:r>
        <w:t xml:space="preserve"> </w:t>
      </w:r>
      <w:r w:rsidRPr="002B292D">
        <w:t>2018,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submitted</w:t>
      </w:r>
      <w:r>
        <w:t xml:space="preserve"> </w:t>
      </w:r>
      <w:r w:rsidRPr="002B292D">
        <w:t>his</w:t>
      </w:r>
      <w:r>
        <w:t xml:space="preserve"> </w:t>
      </w:r>
      <w:r w:rsidRPr="002B292D">
        <w:t>comments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observations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admissibility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merits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communication.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reiterated</w:t>
      </w:r>
      <w:r>
        <w:t xml:space="preserve"> </w:t>
      </w:r>
      <w:r w:rsidRPr="002B292D">
        <w:t>his</w:t>
      </w:r>
      <w:r>
        <w:t xml:space="preserve"> </w:t>
      </w:r>
      <w:r w:rsidRPr="002B292D">
        <w:t>allegations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violated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Covenant,</w:t>
      </w:r>
      <w:r>
        <w:t xml:space="preserve"> </w:t>
      </w:r>
      <w:r w:rsidRPr="002B292D">
        <w:t>by</w:t>
      </w:r>
      <w:r>
        <w:t xml:space="preserve"> </w:t>
      </w:r>
      <w:r w:rsidRPr="002B292D">
        <w:t>disqualifying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for</w:t>
      </w:r>
      <w:r>
        <w:t xml:space="preserve"> </w:t>
      </w:r>
      <w:r w:rsidRPr="002B292D">
        <w:t>office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basis</w:t>
      </w:r>
      <w:r>
        <w:t xml:space="preserve"> </w:t>
      </w:r>
      <w:r w:rsidRPr="002B292D">
        <w:t>of</w:t>
      </w:r>
      <w:r>
        <w:t xml:space="preserve"> </w:t>
      </w:r>
      <w:r w:rsidRPr="002B292D">
        <w:t>an</w:t>
      </w:r>
      <w:r>
        <w:t xml:space="preserve"> </w:t>
      </w:r>
      <w:r w:rsidRPr="002B292D">
        <w:t>arbitrary</w:t>
      </w:r>
      <w:r>
        <w:t xml:space="preserve"> </w:t>
      </w:r>
      <w:r w:rsidRPr="002B292D">
        <w:lastRenderedPageBreak/>
        <w:t>arrest,</w:t>
      </w:r>
      <w:r>
        <w:t xml:space="preserve"> </w:t>
      </w:r>
      <w:r w:rsidRPr="002B292D">
        <w:t>trial,</w:t>
      </w:r>
      <w:r>
        <w:t xml:space="preserve"> </w:t>
      </w:r>
      <w:r w:rsidRPr="002B292D">
        <w:t>conviction</w:t>
      </w:r>
      <w:r>
        <w:t xml:space="preserve"> </w:t>
      </w:r>
      <w:r w:rsidRPr="002B292D">
        <w:t>and</w:t>
      </w:r>
      <w:r>
        <w:t xml:space="preserve"> </w:t>
      </w:r>
      <w:r w:rsidRPr="002B292D">
        <w:t>sentence,</w:t>
      </w:r>
      <w:r>
        <w:t xml:space="preserve"> </w:t>
      </w:r>
      <w:r w:rsidRPr="002B292D">
        <w:t>and</w:t>
      </w:r>
      <w:r>
        <w:t xml:space="preserve"> </w:t>
      </w:r>
      <w:r w:rsidRPr="002B292D">
        <w:t>prohibiting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being</w:t>
      </w:r>
      <w:r>
        <w:t xml:space="preserve"> </w:t>
      </w:r>
      <w:r w:rsidRPr="002B292D">
        <w:t>the</w:t>
      </w:r>
      <w:r>
        <w:t xml:space="preserve"> </w:t>
      </w:r>
      <w:r w:rsidRPr="002B292D">
        <w:t>leader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political</w:t>
      </w:r>
      <w:r>
        <w:t xml:space="preserve"> </w:t>
      </w:r>
      <w:r w:rsidRPr="002B292D">
        <w:t>party.</w:t>
      </w:r>
    </w:p>
    <w:p w:rsidR="000D3068" w:rsidRPr="002B292D" w:rsidRDefault="000D3068" w:rsidP="00533F65">
      <w:pPr>
        <w:pStyle w:val="SingleTxtG"/>
      </w:pPr>
      <w:r w:rsidRPr="002B292D">
        <w:t>5.2</w:t>
      </w:r>
      <w:r w:rsidRPr="002B292D">
        <w:tab/>
        <w:t>As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facts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case,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during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there</w:t>
      </w:r>
      <w:r>
        <w:t xml:space="preserve"> </w:t>
      </w:r>
      <w:r w:rsidRPr="002B292D">
        <w:t>was</w:t>
      </w:r>
      <w:r>
        <w:t xml:space="preserve"> </w:t>
      </w:r>
      <w:r w:rsidRPr="002B292D">
        <w:t>no</w:t>
      </w:r>
      <w:r>
        <w:t xml:space="preserve"> </w:t>
      </w:r>
      <w:r w:rsidRPr="002B292D">
        <w:t>specific</w:t>
      </w:r>
      <w:r>
        <w:t xml:space="preserve"> </w:t>
      </w:r>
      <w:r w:rsidRPr="002B292D">
        <w:t>documentation</w:t>
      </w:r>
      <w:r>
        <w:t xml:space="preserve"> </w:t>
      </w:r>
      <w:r w:rsidRPr="002B292D">
        <w:t>or</w:t>
      </w:r>
      <w:r>
        <w:t xml:space="preserve"> </w:t>
      </w:r>
      <w:r w:rsidRPr="002B292D">
        <w:t>evidence</w:t>
      </w:r>
      <w:r>
        <w:t xml:space="preserve"> </w:t>
      </w:r>
      <w:r w:rsidRPr="002B292D">
        <w:t>before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which</w:t>
      </w:r>
      <w:r>
        <w:t xml:space="preserve"> </w:t>
      </w:r>
      <w:r w:rsidRPr="002B292D">
        <w:t>showed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ordered</w:t>
      </w:r>
      <w:r>
        <w:t xml:space="preserve"> </w:t>
      </w:r>
      <w:r w:rsidRPr="002B292D">
        <w:t>the</w:t>
      </w:r>
      <w:r>
        <w:t xml:space="preserve"> </w:t>
      </w:r>
      <w:r w:rsidRPr="002B292D">
        <w:t>arrest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Justice,</w:t>
      </w:r>
      <w:r>
        <w:t xml:space="preserve"> </w:t>
      </w:r>
      <w:r w:rsidRPr="002B292D">
        <w:t>Judge</w:t>
      </w:r>
      <w:r>
        <w:t xml:space="preserve"> </w:t>
      </w:r>
      <w:r w:rsidRPr="002B292D">
        <w:t>A.M.</w:t>
      </w:r>
      <w:r>
        <w:t xml:space="preserve"> </w:t>
      </w:r>
      <w:r w:rsidRPr="002B292D">
        <w:t>He</w:t>
      </w:r>
      <w:r>
        <w:t xml:space="preserve"> </w:t>
      </w:r>
      <w:r w:rsidRPr="002B292D">
        <w:t>also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</w:t>
      </w:r>
      <w:r>
        <w:t xml:space="preserve"> </w:t>
      </w:r>
      <w:r w:rsidRPr="002B292D">
        <w:t>case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remained</w:t>
      </w:r>
      <w:r>
        <w:t xml:space="preserve"> </w:t>
      </w:r>
      <w:r w:rsidRPr="002B292D">
        <w:t>inactive</w:t>
      </w:r>
      <w:r>
        <w:t xml:space="preserve"> </w:t>
      </w:r>
      <w:r w:rsidRPr="002B292D">
        <w:t>between</w:t>
      </w:r>
      <w:r>
        <w:t xml:space="preserve"> </w:t>
      </w:r>
      <w:r w:rsidRPr="002B292D">
        <w:t>July</w:t>
      </w:r>
      <w:r>
        <w:t xml:space="preserve"> </w:t>
      </w:r>
      <w:r w:rsidRPr="002B292D">
        <w:t>2013</w:t>
      </w:r>
      <w:r>
        <w:t xml:space="preserve"> </w:t>
      </w:r>
      <w:r w:rsidRPr="002B292D">
        <w:t>and</w:t>
      </w:r>
      <w:r>
        <w:t xml:space="preserve"> </w:t>
      </w:r>
      <w:r w:rsidRPr="002B292D">
        <w:t>January</w:t>
      </w:r>
      <w:r>
        <w:t xml:space="preserve"> </w:t>
      </w:r>
      <w:r w:rsidRPr="002B292D">
        <w:t>2015,</w:t>
      </w:r>
      <w:r>
        <w:t xml:space="preserve"> </w:t>
      </w:r>
      <w:r w:rsidRPr="002B292D">
        <w:t>when</w:t>
      </w:r>
      <w:r>
        <w:t xml:space="preserve"> </w:t>
      </w:r>
      <w:r w:rsidRPr="002B292D">
        <w:t>the</w:t>
      </w:r>
      <w:r>
        <w:t xml:space="preserve"> </w:t>
      </w:r>
      <w:r w:rsidRPr="002B292D">
        <w:t>Jumhooree</w:t>
      </w:r>
      <w:r>
        <w:t xml:space="preserve"> </w:t>
      </w:r>
      <w:r w:rsidRPr="002B292D">
        <w:t>Party,</w:t>
      </w:r>
      <w:r>
        <w:t xml:space="preserve"> </w:t>
      </w:r>
      <w:r w:rsidRPr="002B292D">
        <w:t>a</w:t>
      </w:r>
      <w:r>
        <w:t xml:space="preserve"> </w:t>
      </w:r>
      <w:r w:rsidRPr="002B292D">
        <w:t>political</w:t>
      </w:r>
      <w:r>
        <w:t xml:space="preserve"> </w:t>
      </w:r>
      <w:r w:rsidRPr="002B292D">
        <w:t>party</w:t>
      </w:r>
      <w:r>
        <w:t xml:space="preserve"> </w:t>
      </w:r>
      <w:r w:rsidRPr="002B292D">
        <w:t>whose</w:t>
      </w:r>
      <w:r>
        <w:t xml:space="preserve"> </w:t>
      </w:r>
      <w:r w:rsidRPr="002B292D">
        <w:t>backing</w:t>
      </w:r>
      <w:r>
        <w:t xml:space="preserve"> </w:t>
      </w:r>
      <w:r w:rsidRPr="002B292D">
        <w:t>was</w:t>
      </w:r>
      <w:r>
        <w:t xml:space="preserve"> </w:t>
      </w:r>
      <w:r w:rsidRPr="002B292D">
        <w:t>crucial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government</w:t>
      </w:r>
      <w:r>
        <w:t xml:space="preserve"> </w:t>
      </w:r>
      <w:r w:rsidRPr="002B292D">
        <w:t>coalition</w:t>
      </w:r>
      <w:r w:rsidR="00995FAE">
        <w:t>’</w:t>
      </w:r>
      <w:r w:rsidRPr="002B292D">
        <w:t>s</w:t>
      </w:r>
      <w:r>
        <w:t xml:space="preserve"> </w:t>
      </w:r>
      <w:r w:rsidRPr="002B292D">
        <w:t>narrow</w:t>
      </w:r>
      <w:r>
        <w:t xml:space="preserve"> </w:t>
      </w:r>
      <w:r w:rsidRPr="002B292D">
        <w:t>2013</w:t>
      </w:r>
      <w:r>
        <w:t xml:space="preserve"> </w:t>
      </w:r>
      <w:r w:rsidRPr="002B292D">
        <w:t>victory,</w:t>
      </w:r>
      <w:r>
        <w:t xml:space="preserve"> </w:t>
      </w:r>
      <w:r w:rsidRPr="002B292D">
        <w:t>left</w:t>
      </w:r>
      <w:r>
        <w:t xml:space="preserve"> </w:t>
      </w:r>
      <w:r w:rsidRPr="002B292D">
        <w:t>the</w:t>
      </w:r>
      <w:r>
        <w:t xml:space="preserve"> </w:t>
      </w:r>
      <w:r w:rsidRPr="002B292D">
        <w:t>ruling</w:t>
      </w:r>
      <w:r>
        <w:t xml:space="preserve"> </w:t>
      </w:r>
      <w:r w:rsidRPr="002B292D">
        <w:t>coalition</w:t>
      </w:r>
      <w:r>
        <w:t xml:space="preserve"> </w:t>
      </w:r>
      <w:r w:rsidRPr="002B292D">
        <w:t>and</w:t>
      </w:r>
      <w:r>
        <w:t xml:space="preserve"> </w:t>
      </w:r>
      <w:r w:rsidRPr="002B292D">
        <w:t>joined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Maldivian</w:t>
      </w:r>
      <w:r>
        <w:t xml:space="preserve"> </w:t>
      </w:r>
      <w:r w:rsidRPr="002B292D">
        <w:t>Democratic</w:t>
      </w:r>
      <w:r>
        <w:t xml:space="preserve"> </w:t>
      </w:r>
      <w:r w:rsidRPr="002B292D">
        <w:t>Party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opposition.</w:t>
      </w:r>
    </w:p>
    <w:p w:rsidR="000D3068" w:rsidRPr="002B292D" w:rsidRDefault="000D3068" w:rsidP="00533F65">
      <w:pPr>
        <w:pStyle w:val="SingleTxtG"/>
      </w:pPr>
      <w:r w:rsidRPr="002B292D">
        <w:t>5.3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conformity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arrest,</w:t>
      </w:r>
      <w:r>
        <w:t xml:space="preserve"> </w:t>
      </w:r>
      <w:r w:rsidRPr="002B292D">
        <w:t>detention,</w:t>
      </w:r>
      <w:r>
        <w:t xml:space="preserve"> </w:t>
      </w:r>
      <w:r w:rsidRPr="002B292D">
        <w:t>trial,</w:t>
      </w:r>
      <w:r>
        <w:t xml:space="preserve"> </w:t>
      </w:r>
      <w:r w:rsidRPr="002B292D">
        <w:t>conviction</w:t>
      </w:r>
      <w:r>
        <w:t xml:space="preserve"> </w:t>
      </w:r>
      <w:r w:rsidRPr="002B292D">
        <w:t>and</w:t>
      </w:r>
      <w:r>
        <w:t xml:space="preserve"> </w:t>
      </w:r>
      <w:r w:rsidRPr="002B292D">
        <w:t>imprisonment,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human</w:t>
      </w:r>
      <w:r>
        <w:t xml:space="preserve"> </w:t>
      </w:r>
      <w:r w:rsidRPr="002B292D">
        <w:t>rights</w:t>
      </w:r>
      <w:r>
        <w:t xml:space="preserve"> </w:t>
      </w:r>
      <w:r w:rsidRPr="002B292D">
        <w:t>obligations,</w:t>
      </w:r>
      <w:r>
        <w:t xml:space="preserve"> </w:t>
      </w:r>
      <w:r w:rsidRPr="002B292D">
        <w:t>including</w:t>
      </w:r>
      <w:r>
        <w:t xml:space="preserve"> </w:t>
      </w:r>
      <w:r w:rsidRPr="002B292D">
        <w:t>the</w:t>
      </w:r>
      <w:r>
        <w:t xml:space="preserve"> </w:t>
      </w:r>
      <w:r w:rsidRPr="002B292D">
        <w:t>Covenant,</w:t>
      </w:r>
      <w:r>
        <w:t xml:space="preserve"> </w:t>
      </w:r>
      <w:r w:rsidRPr="002B292D">
        <w:t>was</w:t>
      </w:r>
      <w:r>
        <w:t xml:space="preserve"> </w:t>
      </w:r>
      <w:r w:rsidRPr="002B292D">
        <w:t>thoroughly</w:t>
      </w:r>
      <w:r>
        <w:t xml:space="preserve"> </w:t>
      </w:r>
      <w:r w:rsidRPr="002B292D">
        <w:t>examined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on</w:t>
      </w:r>
      <w:r>
        <w:t xml:space="preserve"> </w:t>
      </w:r>
      <w:r w:rsidRPr="002B292D">
        <w:t>Arbitrary</w:t>
      </w:r>
      <w:r>
        <w:t xml:space="preserve"> </w:t>
      </w:r>
      <w:r w:rsidRPr="002B292D">
        <w:t>Detention</w:t>
      </w:r>
      <w:r>
        <w:t xml:space="preserve"> </w:t>
      </w:r>
      <w:r w:rsidRPr="002B292D">
        <w:t>(see</w:t>
      </w:r>
      <w:r>
        <w:t xml:space="preserve"> </w:t>
      </w:r>
      <w:r w:rsidRPr="002B292D">
        <w:t>para.</w:t>
      </w:r>
      <w:r>
        <w:t xml:space="preserve"> </w:t>
      </w:r>
      <w:r w:rsidRPr="002B292D">
        <w:t>2.19</w:t>
      </w:r>
      <w:r>
        <w:t xml:space="preserve"> </w:t>
      </w:r>
      <w:r w:rsidRPr="002B292D">
        <w:t>above),</w:t>
      </w:r>
      <w:r>
        <w:t xml:space="preserve"> </w:t>
      </w:r>
      <w:r w:rsidRPr="002B292D">
        <w:t>whose</w:t>
      </w:r>
      <w:r>
        <w:t xml:space="preserve"> </w:t>
      </w:r>
      <w:r w:rsidRPr="002B292D">
        <w:t>findings</w:t>
      </w:r>
      <w:r>
        <w:t xml:space="preserve"> </w:t>
      </w:r>
      <w:r w:rsidRPr="002B292D">
        <w:t>are</w:t>
      </w:r>
      <w:r>
        <w:t xml:space="preserve"> </w:t>
      </w:r>
      <w:r w:rsidRPr="002B292D">
        <w:t>confirmed</w:t>
      </w:r>
      <w:r>
        <w:t xml:space="preserve"> </w:t>
      </w:r>
      <w:r w:rsidRPr="002B292D">
        <w:t>by</w:t>
      </w:r>
      <w:r>
        <w:t xml:space="preserve"> </w:t>
      </w:r>
      <w:r w:rsidRPr="002B292D">
        <w:t>reports</w:t>
      </w:r>
      <w:r>
        <w:t xml:space="preserve"> </w:t>
      </w:r>
      <w:r w:rsidRPr="002B292D">
        <w:t>of</w:t>
      </w:r>
      <w:r>
        <w:t xml:space="preserve"> </w:t>
      </w:r>
      <w:r w:rsidRPr="002B292D">
        <w:t>States,</w:t>
      </w:r>
      <w:r>
        <w:t xml:space="preserve"> </w:t>
      </w:r>
      <w:r w:rsidRPr="002B292D">
        <w:t>international</w:t>
      </w:r>
      <w:r>
        <w:t xml:space="preserve"> </w:t>
      </w:r>
      <w:r w:rsidRPr="002B292D">
        <w:t>organizations</w:t>
      </w:r>
      <w:r>
        <w:t xml:space="preserve"> </w:t>
      </w:r>
      <w:r w:rsidRPr="002B292D">
        <w:t>and</w:t>
      </w:r>
      <w:r>
        <w:t xml:space="preserve"> </w:t>
      </w:r>
      <w:r w:rsidRPr="002B292D">
        <w:t>well-known</w:t>
      </w:r>
      <w:r>
        <w:t xml:space="preserve"> </w:t>
      </w:r>
      <w:r w:rsidRPr="002B292D">
        <w:t>NGOs.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reiterates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arrest,</w:t>
      </w:r>
      <w:r>
        <w:t xml:space="preserve"> </w:t>
      </w:r>
      <w:r w:rsidRPr="002B292D">
        <w:t>trial,</w:t>
      </w:r>
      <w:r>
        <w:t xml:space="preserve"> </w:t>
      </w:r>
      <w:r w:rsidRPr="002B292D">
        <w:t>conviction,</w:t>
      </w:r>
      <w:r>
        <w:t xml:space="preserve"> </w:t>
      </w:r>
      <w:r w:rsidRPr="002B292D">
        <w:t>sentencing</w:t>
      </w:r>
      <w:r>
        <w:t xml:space="preserve"> </w:t>
      </w:r>
      <w:r w:rsidRPr="002B292D">
        <w:t>and</w:t>
      </w:r>
      <w:r>
        <w:t xml:space="preserve"> </w:t>
      </w:r>
      <w:r w:rsidRPr="002B292D">
        <w:t>imprisonment</w:t>
      </w:r>
      <w:r>
        <w:t xml:space="preserve"> </w:t>
      </w:r>
      <w:r w:rsidRPr="002B292D">
        <w:t>were</w:t>
      </w:r>
      <w:r>
        <w:t xml:space="preserve"> </w:t>
      </w:r>
      <w:r w:rsidRPr="002B292D">
        <w:t>arbitrary</w:t>
      </w:r>
      <w:r>
        <w:t xml:space="preserve"> </w:t>
      </w:r>
      <w:r w:rsidRPr="002B292D">
        <w:t>and</w:t>
      </w:r>
      <w:r>
        <w:t xml:space="preserve"> </w:t>
      </w:r>
      <w:r w:rsidRPr="002B292D">
        <w:t>in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</w:p>
    <w:p w:rsidR="000D3068" w:rsidRPr="002B292D" w:rsidRDefault="000D3068" w:rsidP="00533F65">
      <w:pPr>
        <w:pStyle w:val="SingleTxtG"/>
      </w:pPr>
      <w:r w:rsidRPr="002B292D">
        <w:t>5.4</w:t>
      </w:r>
      <w:r w:rsidRPr="002B292D">
        <w:tab/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presumption</w:t>
      </w:r>
      <w:r>
        <w:t xml:space="preserve"> </w:t>
      </w:r>
      <w:r w:rsidRPr="002B292D">
        <w:t>of</w:t>
      </w:r>
      <w:r>
        <w:t xml:space="preserve"> </w:t>
      </w:r>
      <w:r w:rsidRPr="002B292D">
        <w:t>innocence</w:t>
      </w:r>
      <w:r>
        <w:t xml:space="preserve"> </w:t>
      </w:r>
      <w:r w:rsidRPr="002B292D">
        <w:t>was</w:t>
      </w:r>
      <w:r>
        <w:t xml:space="preserve"> </w:t>
      </w:r>
      <w:r w:rsidRPr="002B292D">
        <w:t>systematically</w:t>
      </w:r>
      <w:r>
        <w:t xml:space="preserve"> </w:t>
      </w:r>
      <w:r w:rsidRPr="002B292D">
        <w:t>violated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actions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indicated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result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trial</w:t>
      </w:r>
      <w:r>
        <w:t xml:space="preserve"> </w:t>
      </w:r>
      <w:r w:rsidRPr="002B292D">
        <w:t>was</w:t>
      </w:r>
      <w:r>
        <w:t xml:space="preserve"> </w:t>
      </w:r>
      <w:r w:rsidRPr="002B292D">
        <w:t>predetermined.</w:t>
      </w:r>
      <w:r w:rsidRPr="00A035EA">
        <w:rPr>
          <w:rStyle w:val="FootnoteReference"/>
        </w:rPr>
        <w:footnoteReference w:id="25"/>
      </w:r>
    </w:p>
    <w:p w:rsidR="000D3068" w:rsidRPr="002B292D" w:rsidRDefault="000D3068" w:rsidP="00533F65">
      <w:pPr>
        <w:pStyle w:val="SingleTxtG"/>
      </w:pPr>
      <w:r w:rsidRPr="002B292D">
        <w:t>5.5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arrested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basis</w:t>
      </w:r>
      <w:r>
        <w:t xml:space="preserve"> </w:t>
      </w:r>
      <w:r w:rsidRPr="002B292D">
        <w:t>of</w:t>
      </w:r>
      <w:r>
        <w:t xml:space="preserve"> </w:t>
      </w:r>
      <w:r w:rsidRPr="002B292D">
        <w:t>a</w:t>
      </w:r>
      <w:r>
        <w:t xml:space="preserve"> </w:t>
      </w:r>
      <w:r w:rsidRPr="002B292D">
        <w:t>defective</w:t>
      </w:r>
      <w:r>
        <w:t xml:space="preserve"> </w:t>
      </w:r>
      <w:r w:rsidRPr="002B292D">
        <w:t>arrest</w:t>
      </w:r>
      <w:r>
        <w:t xml:space="preserve"> </w:t>
      </w:r>
      <w:r w:rsidRPr="002B292D">
        <w:t>warrant</w:t>
      </w:r>
      <w:r>
        <w:t xml:space="preserve"> </w:t>
      </w:r>
      <w:r w:rsidRPr="002B292D">
        <w:t>that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in</w:t>
      </w:r>
      <w:r>
        <w:t xml:space="preserve"> </w:t>
      </w:r>
      <w:r w:rsidRPr="002B292D">
        <w:t>conformity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law.</w:t>
      </w:r>
      <w:r>
        <w:t xml:space="preserve"> </w:t>
      </w:r>
      <w:r w:rsidRPr="002B292D">
        <w:t>Firstly,</w:t>
      </w:r>
      <w:r>
        <w:t xml:space="preserve"> </w:t>
      </w:r>
      <w:r w:rsidRPr="002B292D">
        <w:t>the</w:t>
      </w:r>
      <w:r>
        <w:t xml:space="preserve"> </w:t>
      </w:r>
      <w:r w:rsidRPr="002B292D">
        <w:t>warrant</w:t>
      </w:r>
      <w:r>
        <w:t xml:space="preserve"> </w:t>
      </w:r>
      <w:r w:rsidRPr="002B292D">
        <w:t>was</w:t>
      </w:r>
      <w:r>
        <w:t xml:space="preserve"> </w:t>
      </w:r>
      <w:r w:rsidRPr="002B292D">
        <w:t>issued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request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General,</w:t>
      </w:r>
      <w:r>
        <w:t xml:space="preserve"> </w:t>
      </w:r>
      <w:r w:rsidRPr="002B292D">
        <w:t>when</w:t>
      </w:r>
      <w:r>
        <w:t xml:space="preserve"> </w:t>
      </w:r>
      <w:r w:rsidRPr="002B292D">
        <w:t>normally,</w:t>
      </w:r>
      <w:r>
        <w:t xml:space="preserve"> </w:t>
      </w:r>
      <w:r w:rsidRPr="002B292D">
        <w:t>only</w:t>
      </w:r>
      <w:r>
        <w:t xml:space="preserve"> </w:t>
      </w:r>
      <w:r w:rsidRPr="002B292D">
        <w:t>a</w:t>
      </w:r>
      <w:r>
        <w:t xml:space="preserve"> </w:t>
      </w:r>
      <w:r w:rsidRPr="002B292D">
        <w:t>criminal</w:t>
      </w:r>
      <w:r>
        <w:t xml:space="preserve"> </w:t>
      </w:r>
      <w:r w:rsidRPr="002B292D">
        <w:t>investigation</w:t>
      </w:r>
      <w:r>
        <w:t xml:space="preserve"> </w:t>
      </w:r>
      <w:r w:rsidRPr="002B292D">
        <w:t>agency,</w:t>
      </w:r>
      <w:r>
        <w:t xml:space="preserve"> </w:t>
      </w:r>
      <w:r w:rsidRPr="002B292D">
        <w:t>such</w:t>
      </w:r>
      <w:r>
        <w:t xml:space="preserve"> </w:t>
      </w:r>
      <w:r w:rsidRPr="002B292D">
        <w:t>as</w:t>
      </w:r>
      <w:r>
        <w:t xml:space="preserve"> </w:t>
      </w:r>
      <w:r w:rsidRPr="002B292D">
        <w:t>the</w:t>
      </w:r>
      <w:r>
        <w:t xml:space="preserve"> </w:t>
      </w:r>
      <w:r w:rsidRPr="002B292D">
        <w:t>police,</w:t>
      </w:r>
      <w:r>
        <w:t xml:space="preserve"> </w:t>
      </w:r>
      <w:r w:rsidRPr="002B292D">
        <w:t>requests</w:t>
      </w:r>
      <w:r>
        <w:t xml:space="preserve"> </w:t>
      </w:r>
      <w:r w:rsidRPr="002B292D">
        <w:t>arrest</w:t>
      </w:r>
      <w:r>
        <w:t xml:space="preserve"> </w:t>
      </w:r>
      <w:r w:rsidRPr="002B292D">
        <w:t>warrants</w:t>
      </w:r>
      <w:r>
        <w:t xml:space="preserve"> </w:t>
      </w:r>
      <w:r w:rsidRPr="002B292D">
        <w:t>from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Court.</w:t>
      </w:r>
      <w:r>
        <w:t xml:space="preserve"> </w:t>
      </w:r>
      <w:r w:rsidRPr="002B292D">
        <w:t>Neither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</w:t>
      </w:r>
      <w:r>
        <w:t xml:space="preserve"> </w:t>
      </w:r>
      <w:r w:rsidRPr="002B292D">
        <w:t>nor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 w:rsidR="00995FAE">
        <w:t>’</w:t>
      </w:r>
      <w:r w:rsidRPr="002B292D">
        <w:t>s</w:t>
      </w:r>
      <w:r>
        <w:t xml:space="preserve"> </w:t>
      </w:r>
      <w:r w:rsidRPr="002B292D">
        <w:t>Act</w:t>
      </w:r>
      <w:r>
        <w:t xml:space="preserve"> </w:t>
      </w:r>
      <w:r w:rsidRPr="002B292D">
        <w:t>gives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the</w:t>
      </w:r>
      <w:r>
        <w:t xml:space="preserve"> </w:t>
      </w:r>
      <w:r w:rsidRPr="002B292D">
        <w:t>power</w:t>
      </w:r>
      <w:r>
        <w:t xml:space="preserve"> </w:t>
      </w:r>
      <w:r w:rsidRPr="002B292D">
        <w:t>or</w:t>
      </w:r>
      <w:r>
        <w:t xml:space="preserve"> </w:t>
      </w:r>
      <w:r w:rsidRPr="002B292D">
        <w:t>authority</w:t>
      </w:r>
      <w:r>
        <w:t xml:space="preserve"> </w:t>
      </w:r>
      <w:r w:rsidRPr="002B292D">
        <w:t>to</w:t>
      </w:r>
      <w:r>
        <w:t xml:space="preserve"> </w:t>
      </w:r>
      <w:r w:rsidRPr="002B292D">
        <w:t>request</w:t>
      </w:r>
      <w:r>
        <w:t xml:space="preserve"> </w:t>
      </w:r>
      <w:r w:rsidRPr="002B292D">
        <w:t>arrest</w:t>
      </w:r>
      <w:r>
        <w:t xml:space="preserve"> </w:t>
      </w:r>
      <w:r w:rsidRPr="002B292D">
        <w:t>warrants.</w:t>
      </w:r>
      <w:r>
        <w:t xml:space="preserve"> </w:t>
      </w:r>
      <w:r w:rsidRPr="002B292D">
        <w:t>The</w:t>
      </w:r>
      <w:r>
        <w:t xml:space="preserve"> </w:t>
      </w:r>
      <w:r w:rsidRPr="002B292D">
        <w:t>fact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Prosecutor,</w:t>
      </w:r>
      <w:r>
        <w:t xml:space="preserve"> </w:t>
      </w:r>
      <w:r w:rsidRPr="002B292D">
        <w:t>acting</w:t>
      </w:r>
      <w:r>
        <w:t xml:space="preserve"> </w:t>
      </w:r>
      <w:r w:rsidRPr="002B292D">
        <w:t>outside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authority,</w:t>
      </w:r>
      <w:r>
        <w:t xml:space="preserve"> </w:t>
      </w:r>
      <w:r w:rsidRPr="002B292D">
        <w:t>took</w:t>
      </w:r>
      <w:r>
        <w:t xml:space="preserve"> </w:t>
      </w:r>
      <w:r w:rsidRPr="002B292D">
        <w:t>the</w:t>
      </w:r>
      <w:r>
        <w:t xml:space="preserve"> </w:t>
      </w:r>
      <w:r w:rsidRPr="002B292D">
        <w:t>time</w:t>
      </w:r>
      <w:r>
        <w:t xml:space="preserve"> </w:t>
      </w:r>
      <w:r w:rsidRPr="002B292D">
        <w:t>to</w:t>
      </w:r>
      <w:r>
        <w:t xml:space="preserve"> </w:t>
      </w:r>
      <w:r w:rsidRPr="002B292D">
        <w:t>personally</w:t>
      </w:r>
      <w:r>
        <w:t xml:space="preserve"> </w:t>
      </w:r>
      <w:r w:rsidRPr="002B292D">
        <w:t>request</w:t>
      </w:r>
      <w:r>
        <w:t xml:space="preserve"> </w:t>
      </w:r>
      <w:r w:rsidRPr="002B292D">
        <w:t>the</w:t>
      </w:r>
      <w:r>
        <w:t xml:space="preserve"> </w:t>
      </w:r>
      <w:r w:rsidRPr="002B292D">
        <w:t>arrest</w:t>
      </w:r>
      <w:r>
        <w:t xml:space="preserve"> </w:t>
      </w:r>
      <w:r w:rsidRPr="002B292D">
        <w:t>warrant</w:t>
      </w:r>
      <w:r>
        <w:t xml:space="preserve"> </w:t>
      </w:r>
      <w:r w:rsidRPr="002B292D">
        <w:t>is</w:t>
      </w:r>
      <w:r>
        <w:t xml:space="preserve"> </w:t>
      </w:r>
      <w:r w:rsidRPr="002B292D">
        <w:t>both</w:t>
      </w:r>
      <w:r>
        <w:t xml:space="preserve"> </w:t>
      </w:r>
      <w:r w:rsidRPr="002B292D">
        <w:t>irregular</w:t>
      </w:r>
      <w:r>
        <w:t xml:space="preserve"> </w:t>
      </w:r>
      <w:r w:rsidRPr="002B292D">
        <w:t>and</w:t>
      </w:r>
      <w:r>
        <w:t xml:space="preserve"> </w:t>
      </w:r>
      <w:r w:rsidRPr="002B292D">
        <w:t>strongly</w:t>
      </w:r>
      <w:r>
        <w:t xml:space="preserve"> </w:t>
      </w:r>
      <w:r w:rsidRPr="002B292D">
        <w:t>suggests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decision</w:t>
      </w:r>
      <w:r>
        <w:t xml:space="preserve"> </w:t>
      </w:r>
      <w:r w:rsidRPr="002B292D">
        <w:t>was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motivated.</w:t>
      </w:r>
      <w:r>
        <w:t xml:space="preserve"> </w:t>
      </w:r>
      <w:r w:rsidRPr="002B292D">
        <w:t>Secondly,</w:t>
      </w:r>
      <w:r>
        <w:t xml:space="preserve"> </w:t>
      </w:r>
      <w:r w:rsidRPr="002B292D">
        <w:t>the</w:t>
      </w:r>
      <w:r>
        <w:t xml:space="preserve"> </w:t>
      </w:r>
      <w:r w:rsidRPr="002B292D">
        <w:t>warrant,</w:t>
      </w:r>
      <w:r>
        <w:t xml:space="preserve"> </w:t>
      </w:r>
      <w:r w:rsidRPr="002B292D">
        <w:t>issued</w:t>
      </w:r>
      <w:r>
        <w:t xml:space="preserve"> </w:t>
      </w:r>
      <w:r w:rsidRPr="002B292D">
        <w:t>on</w:t>
      </w:r>
      <w:r>
        <w:t xml:space="preserve"> </w:t>
      </w:r>
      <w:r w:rsidRPr="002B292D">
        <w:t>22</w:t>
      </w:r>
      <w:r>
        <w:t xml:space="preserve"> </w:t>
      </w:r>
      <w:r w:rsidRPr="002B292D">
        <w:t>February</w:t>
      </w:r>
      <w:r>
        <w:t xml:space="preserve"> </w:t>
      </w:r>
      <w:r w:rsidRPr="002B292D">
        <w:t>2015,</w:t>
      </w:r>
      <w:r>
        <w:t xml:space="preserve"> </w:t>
      </w:r>
      <w:r w:rsidRPr="002B292D">
        <w:t>omitted</w:t>
      </w:r>
      <w:r>
        <w:t xml:space="preserve"> </w:t>
      </w:r>
      <w:r w:rsidRPr="002B292D">
        <w:t>critical</w:t>
      </w:r>
      <w:r>
        <w:t xml:space="preserve"> </w:t>
      </w:r>
      <w:r w:rsidRPr="002B292D">
        <w:t>information,</w:t>
      </w:r>
      <w:r>
        <w:t xml:space="preserve"> </w:t>
      </w:r>
      <w:r w:rsidRPr="002B292D">
        <w:t>including</w:t>
      </w:r>
      <w:r>
        <w:t xml:space="preserve"> </w:t>
      </w:r>
      <w:r w:rsidRPr="002B292D">
        <w:t>the</w:t>
      </w:r>
      <w:r>
        <w:t xml:space="preserve"> </w:t>
      </w:r>
      <w:r w:rsidRPr="002B292D">
        <w:t>place</w:t>
      </w:r>
      <w:r>
        <w:t xml:space="preserve"> </w:t>
      </w:r>
      <w:r w:rsidRPr="002B292D">
        <w:t>where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should</w:t>
      </w:r>
      <w:r>
        <w:t xml:space="preserve"> </w:t>
      </w:r>
      <w:r w:rsidRPr="002B292D">
        <w:t>be</w:t>
      </w:r>
      <w:r>
        <w:t xml:space="preserve"> </w:t>
      </w:r>
      <w:r w:rsidRPr="002B292D">
        <w:t>detained,</w:t>
      </w:r>
      <w:r>
        <w:t xml:space="preserve"> </w:t>
      </w:r>
      <w:r w:rsidRPr="002B292D">
        <w:t>the</w:t>
      </w:r>
      <w:r>
        <w:t xml:space="preserve"> </w:t>
      </w:r>
      <w:r w:rsidRPr="002B292D">
        <w:t>period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detention,</w:t>
      </w:r>
      <w:r>
        <w:t xml:space="preserve"> </w:t>
      </w:r>
      <w:r w:rsidRPr="002B292D">
        <w:t>and</w:t>
      </w:r>
      <w:r>
        <w:t xml:space="preserve"> </w:t>
      </w:r>
      <w:r w:rsidRPr="002B292D">
        <w:t>when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brought</w:t>
      </w:r>
      <w:r>
        <w:t xml:space="preserve"> </w:t>
      </w:r>
      <w:r w:rsidRPr="002B292D">
        <w:t>to</w:t>
      </w:r>
      <w:r>
        <w:t xml:space="preserve"> </w:t>
      </w:r>
      <w:r w:rsidRPr="002B292D">
        <w:t>court</w:t>
      </w:r>
      <w:bookmarkStart w:id="1" w:name="_Ref290908336"/>
      <w:r w:rsidRPr="002B292D">
        <w:t>.</w:t>
      </w:r>
      <w:bookmarkEnd w:id="1"/>
      <w:r>
        <w:t xml:space="preserve"> </w:t>
      </w:r>
      <w:r w:rsidRPr="002B292D">
        <w:t>Therefore,</w:t>
      </w:r>
      <w:r>
        <w:t xml:space="preserve"> </w:t>
      </w:r>
      <w:r w:rsidRPr="002B292D">
        <w:t>the</w:t>
      </w:r>
      <w:r>
        <w:t xml:space="preserve"> </w:t>
      </w:r>
      <w:r w:rsidRPr="002B292D">
        <w:t>police</w:t>
      </w:r>
      <w:r>
        <w:t xml:space="preserve"> </w:t>
      </w:r>
      <w:r w:rsidRPr="002B292D">
        <w:t>did</w:t>
      </w:r>
      <w:r>
        <w:t xml:space="preserve"> </w:t>
      </w:r>
      <w:r w:rsidRPr="002B292D">
        <w:t>not</w:t>
      </w:r>
      <w:r>
        <w:t xml:space="preserve"> </w:t>
      </w:r>
      <w:r w:rsidRPr="002B292D">
        <w:t>have</w:t>
      </w:r>
      <w:r>
        <w:t xml:space="preserve"> </w:t>
      </w:r>
      <w:r w:rsidRPr="002B292D">
        <w:t>the</w:t>
      </w:r>
      <w:r>
        <w:t xml:space="preserve"> </w:t>
      </w:r>
      <w:r w:rsidRPr="002B292D">
        <w:t>authority</w:t>
      </w:r>
      <w:r>
        <w:t xml:space="preserve"> </w:t>
      </w:r>
      <w:r w:rsidRPr="002B292D">
        <w:t>to</w:t>
      </w:r>
      <w:r>
        <w:t xml:space="preserve"> </w:t>
      </w:r>
      <w:r w:rsidRPr="002B292D">
        <w:t>arrest</w:t>
      </w:r>
      <w:r>
        <w:t xml:space="preserve"> </w:t>
      </w:r>
      <w:r w:rsidRPr="002B292D">
        <w:t>or</w:t>
      </w:r>
      <w:r>
        <w:t xml:space="preserve"> </w:t>
      </w:r>
      <w:r w:rsidRPr="002B292D">
        <w:t>detain</w:t>
      </w:r>
      <w:r>
        <w:t xml:space="preserve"> </w:t>
      </w:r>
      <w:r w:rsidRPr="002B292D">
        <w:t>him.</w:t>
      </w:r>
      <w:r>
        <w:t xml:space="preserve"> </w:t>
      </w:r>
      <w:r w:rsidRPr="002B292D">
        <w:t>To</w:t>
      </w:r>
      <w:r>
        <w:t xml:space="preserve"> </w:t>
      </w:r>
      <w:r w:rsidRPr="002B292D">
        <w:t>cover</w:t>
      </w:r>
      <w:r>
        <w:t xml:space="preserve"> </w:t>
      </w:r>
      <w:r w:rsidRPr="002B292D">
        <w:t>up</w:t>
      </w:r>
      <w:r>
        <w:t xml:space="preserve"> </w:t>
      </w:r>
      <w:r w:rsidRPr="002B292D">
        <w:t>its</w:t>
      </w:r>
      <w:r>
        <w:t xml:space="preserve"> </w:t>
      </w:r>
      <w:r w:rsidRPr="002B292D">
        <w:t>error,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issued</w:t>
      </w:r>
      <w:r>
        <w:t xml:space="preserve"> </w:t>
      </w:r>
      <w:r w:rsidRPr="002B292D">
        <w:t>a</w:t>
      </w:r>
      <w:r>
        <w:t xml:space="preserve"> </w:t>
      </w:r>
      <w:r w:rsidRPr="002B292D">
        <w:t>second</w:t>
      </w:r>
      <w:r>
        <w:t xml:space="preserve"> </w:t>
      </w:r>
      <w:r w:rsidRPr="002B292D">
        <w:t>warrant</w:t>
      </w:r>
      <w:r>
        <w:t xml:space="preserve"> </w:t>
      </w:r>
      <w:r w:rsidRPr="002B292D">
        <w:t>the</w:t>
      </w:r>
      <w:r>
        <w:t xml:space="preserve"> </w:t>
      </w:r>
      <w:r w:rsidRPr="002B292D">
        <w:t>following</w:t>
      </w:r>
      <w:r>
        <w:t xml:space="preserve"> </w:t>
      </w:r>
      <w:r w:rsidRPr="002B292D">
        <w:t>day,</w:t>
      </w:r>
      <w:r>
        <w:t xml:space="preserve"> </w:t>
      </w:r>
      <w:r w:rsidRPr="002B292D">
        <w:t>ordering</w:t>
      </w:r>
      <w:r>
        <w:t xml:space="preserve"> </w:t>
      </w:r>
      <w:r w:rsidRPr="002B292D">
        <w:t>the</w:t>
      </w:r>
      <w:r>
        <w:t xml:space="preserve"> </w:t>
      </w:r>
      <w:r w:rsidRPr="002B292D">
        <w:t>police</w:t>
      </w:r>
      <w:r>
        <w:t xml:space="preserve"> </w:t>
      </w:r>
      <w:r w:rsidRPr="002B292D">
        <w:t>to</w:t>
      </w:r>
      <w:r>
        <w:t xml:space="preserve"> </w:t>
      </w:r>
      <w:r w:rsidRPr="002B292D">
        <w:t>present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at</w:t>
      </w:r>
      <w:r>
        <w:t xml:space="preserve"> </w:t>
      </w:r>
      <w:r w:rsidRPr="002B292D">
        <w:t>a</w:t>
      </w:r>
      <w:r>
        <w:t xml:space="preserve"> </w:t>
      </w:r>
      <w:r w:rsidRPr="002B292D">
        <w:t>specific</w:t>
      </w:r>
      <w:r>
        <w:t xml:space="preserve"> </w:t>
      </w:r>
      <w:r w:rsidRPr="002B292D">
        <w:t>time.</w:t>
      </w:r>
      <w:r>
        <w:t xml:space="preserve"> </w:t>
      </w:r>
      <w:r w:rsidRPr="002B292D">
        <w:t>Finally,</w:t>
      </w:r>
      <w:r>
        <w:t xml:space="preserve"> </w:t>
      </w:r>
      <w:r w:rsidRPr="002B292D">
        <w:t>the</w:t>
      </w:r>
      <w:r>
        <w:t xml:space="preserve"> </w:t>
      </w:r>
      <w:r w:rsidRPr="002B292D">
        <w:t>justification</w:t>
      </w:r>
      <w:r>
        <w:t xml:space="preserve"> </w:t>
      </w:r>
      <w:r w:rsidRPr="002B292D">
        <w:t>for</w:t>
      </w:r>
      <w:r>
        <w:t xml:space="preserve"> </w:t>
      </w:r>
      <w:r w:rsidRPr="002B292D">
        <w:t>issuing</w:t>
      </w:r>
      <w:r>
        <w:t xml:space="preserve"> </w:t>
      </w:r>
      <w:r w:rsidRPr="002B292D">
        <w:t>an</w:t>
      </w:r>
      <w:r>
        <w:t xml:space="preserve"> </w:t>
      </w:r>
      <w:r w:rsidRPr="002B292D">
        <w:t>arrest</w:t>
      </w:r>
      <w:r>
        <w:t xml:space="preserve"> </w:t>
      </w:r>
      <w:r w:rsidRPr="002B292D">
        <w:t>warrant</w:t>
      </w:r>
      <w:r>
        <w:t xml:space="preserve"> </w:t>
      </w:r>
      <w:r w:rsidRPr="002B292D">
        <w:t>pending</w:t>
      </w:r>
      <w:r>
        <w:t xml:space="preserve"> </w:t>
      </w:r>
      <w:r w:rsidRPr="002B292D">
        <w:t>trial</w:t>
      </w:r>
      <w:r>
        <w:t xml:space="preserve"> </w:t>
      </w:r>
      <w:r w:rsidRPr="002B292D">
        <w:t>was</w:t>
      </w:r>
      <w:r>
        <w:t xml:space="preserve"> </w:t>
      </w:r>
      <w:r w:rsidRPr="002B292D">
        <w:t>without</w:t>
      </w:r>
      <w:r>
        <w:t xml:space="preserve"> </w:t>
      </w:r>
      <w:r w:rsidRPr="002B292D">
        <w:t>merit.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stated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warrant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being</w:t>
      </w:r>
      <w:r>
        <w:t xml:space="preserve"> </w:t>
      </w:r>
      <w:r w:rsidRPr="002B292D">
        <w:t>detained</w:t>
      </w:r>
      <w:r>
        <w:t xml:space="preserve"> </w:t>
      </w:r>
      <w:r w:rsidRPr="002B292D">
        <w:t>on</w:t>
      </w:r>
      <w:r>
        <w:t xml:space="preserve"> </w:t>
      </w:r>
      <w:r w:rsidRPr="002B292D">
        <w:t>suspicion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="00995FAE">
        <w:t>“</w:t>
      </w:r>
      <w:r w:rsidRPr="002B292D">
        <w:t>likely</w:t>
      </w:r>
      <w:r>
        <w:t xml:space="preserve"> </w:t>
      </w:r>
      <w:r w:rsidRPr="002B292D">
        <w:t>to</w:t>
      </w:r>
      <w:r>
        <w:t xml:space="preserve"> </w:t>
      </w:r>
      <w:r w:rsidRPr="002B292D">
        <w:t>abscond</w:t>
      </w:r>
      <w:r>
        <w:t xml:space="preserve"> </w:t>
      </w:r>
      <w:r w:rsidRPr="002B292D">
        <w:t>to</w:t>
      </w:r>
      <w:r>
        <w:t xml:space="preserve"> </w:t>
      </w:r>
      <w:r w:rsidRPr="002B292D">
        <w:t>avoid</w:t>
      </w:r>
      <w:r>
        <w:t xml:space="preserve"> </w:t>
      </w:r>
      <w:r w:rsidRPr="002B292D">
        <w:t>facing</w:t>
      </w:r>
      <w:r>
        <w:t xml:space="preserve"> </w:t>
      </w:r>
      <w:r w:rsidRPr="002B292D">
        <w:t>terrorism</w:t>
      </w:r>
      <w:r>
        <w:t xml:space="preserve"> </w:t>
      </w:r>
      <w:r w:rsidRPr="002B292D">
        <w:t>charges</w:t>
      </w:r>
      <w:r w:rsidR="00995FAE">
        <w:t>”</w:t>
      </w:r>
      <w:r w:rsidRPr="002B292D">
        <w:t>.</w:t>
      </w:r>
      <w:r>
        <w:t xml:space="preserve"> </w:t>
      </w:r>
      <w:r w:rsidRPr="002B292D">
        <w:t>However,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never</w:t>
      </w:r>
      <w:r>
        <w:t xml:space="preserve"> </w:t>
      </w:r>
      <w:r w:rsidRPr="002B292D">
        <w:t>absconded</w:t>
      </w:r>
      <w:r>
        <w:t xml:space="preserve"> </w:t>
      </w:r>
      <w:r w:rsidRPr="002B292D">
        <w:t>from</w:t>
      </w:r>
      <w:r>
        <w:t xml:space="preserve"> </w:t>
      </w:r>
      <w:r w:rsidRPr="002B292D">
        <w:t>court,</w:t>
      </w:r>
      <w:r>
        <w:t xml:space="preserve"> </w:t>
      </w:r>
      <w:r w:rsidRPr="002B292D">
        <w:t>nor</w:t>
      </w:r>
      <w:r>
        <w:t xml:space="preserve"> </w:t>
      </w:r>
      <w:r w:rsidRPr="002B292D">
        <w:t>taken</w:t>
      </w:r>
      <w:r>
        <w:t xml:space="preserve"> </w:t>
      </w:r>
      <w:r w:rsidRPr="002B292D">
        <w:t>the</w:t>
      </w:r>
      <w:r>
        <w:t xml:space="preserve"> </w:t>
      </w:r>
      <w:r w:rsidRPr="002B292D">
        <w:t>opportunity</w:t>
      </w:r>
      <w:r>
        <w:t xml:space="preserve"> </w:t>
      </w:r>
      <w:r w:rsidRPr="002B292D">
        <w:t>to</w:t>
      </w:r>
      <w:r>
        <w:t xml:space="preserve"> </w:t>
      </w:r>
      <w:r w:rsidRPr="002B292D">
        <w:t>flee</w:t>
      </w:r>
      <w:r>
        <w:t xml:space="preserve"> </w:t>
      </w:r>
      <w:r w:rsidRPr="002B292D">
        <w:t>or</w:t>
      </w:r>
      <w:r>
        <w:t xml:space="preserve"> </w:t>
      </w:r>
      <w:r w:rsidRPr="002B292D">
        <w:t>go</w:t>
      </w:r>
      <w:r>
        <w:t xml:space="preserve"> </w:t>
      </w:r>
      <w:r w:rsidRPr="002B292D">
        <w:t>into</w:t>
      </w:r>
      <w:r>
        <w:t xml:space="preserve"> </w:t>
      </w:r>
      <w:r w:rsidRPr="002B292D">
        <w:t>hiding,</w:t>
      </w:r>
      <w:r>
        <w:t xml:space="preserve"> </w:t>
      </w:r>
      <w:r w:rsidRPr="002B292D">
        <w:t>during</w:t>
      </w:r>
      <w:r>
        <w:t xml:space="preserve"> </w:t>
      </w:r>
      <w:r w:rsidRPr="002B292D">
        <w:t>numerous</w:t>
      </w:r>
      <w:r>
        <w:t xml:space="preserve"> </w:t>
      </w:r>
      <w:r w:rsidRPr="002B292D">
        <w:t>opportunities</w:t>
      </w:r>
      <w:r>
        <w:t xml:space="preserve"> </w:t>
      </w:r>
      <w:r w:rsidRPr="002B292D">
        <w:t>to</w:t>
      </w:r>
      <w:r>
        <w:t xml:space="preserve"> </w:t>
      </w:r>
      <w:r w:rsidRPr="002B292D">
        <w:t>travel</w:t>
      </w:r>
      <w:r>
        <w:t xml:space="preserve"> </w:t>
      </w:r>
      <w:r w:rsidRPr="002B292D">
        <w:t>abroad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preceding</w:t>
      </w:r>
      <w:r>
        <w:t xml:space="preserve"> </w:t>
      </w:r>
      <w:r w:rsidRPr="002B292D">
        <w:t>few</w:t>
      </w:r>
      <w:r>
        <w:t xml:space="preserve"> </w:t>
      </w:r>
      <w:r w:rsidRPr="002B292D">
        <w:t>weeks.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attempted</w:t>
      </w:r>
      <w:r>
        <w:t xml:space="preserve"> </w:t>
      </w:r>
      <w:r w:rsidRPr="002B292D">
        <w:t>to</w:t>
      </w:r>
      <w:r>
        <w:t xml:space="preserve"> </w:t>
      </w:r>
      <w:r w:rsidRPr="002B292D">
        <w:t>raise</w:t>
      </w:r>
      <w:r>
        <w:t xml:space="preserve"> </w:t>
      </w:r>
      <w:r w:rsidRPr="002B292D">
        <w:t>these</w:t>
      </w:r>
      <w:r>
        <w:t xml:space="preserve"> </w:t>
      </w:r>
      <w:r w:rsidRPr="002B292D">
        <w:t>procedural</w:t>
      </w:r>
      <w:r>
        <w:t xml:space="preserve"> </w:t>
      </w:r>
      <w:r w:rsidRPr="002B292D">
        <w:t>errors</w:t>
      </w:r>
      <w:r>
        <w:t xml:space="preserve"> </w:t>
      </w:r>
      <w:r w:rsidRPr="002B292D">
        <w:t>and</w:t>
      </w:r>
      <w:r>
        <w:t xml:space="preserve"> </w:t>
      </w:r>
      <w:r w:rsidRPr="002B292D">
        <w:t>irregularities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Court,</w:t>
      </w:r>
      <w:r>
        <w:t xml:space="preserve"> </w:t>
      </w:r>
      <w:r w:rsidRPr="002B292D">
        <w:t>requesting</w:t>
      </w:r>
      <w:r>
        <w:t xml:space="preserve"> </w:t>
      </w:r>
      <w:r w:rsidRPr="002B292D">
        <w:t>a</w:t>
      </w:r>
      <w:r>
        <w:t xml:space="preserve"> </w:t>
      </w:r>
      <w:r w:rsidRPr="002B292D">
        <w:t>hearing</w:t>
      </w:r>
      <w:r>
        <w:t xml:space="preserve"> </w:t>
      </w:r>
      <w:r w:rsidRPr="002B292D">
        <w:t>to</w:t>
      </w:r>
      <w:r>
        <w:t xml:space="preserve"> </w:t>
      </w:r>
      <w:r w:rsidRPr="002B292D">
        <w:t>consider</w:t>
      </w:r>
      <w:r>
        <w:t xml:space="preserve"> </w:t>
      </w:r>
      <w:r w:rsidRPr="002B292D">
        <w:t>the</w:t>
      </w:r>
      <w:r>
        <w:t xml:space="preserve"> </w:t>
      </w:r>
      <w:r w:rsidRPr="002B292D">
        <w:t>legality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arrest</w:t>
      </w:r>
      <w:r>
        <w:t xml:space="preserve"> </w:t>
      </w:r>
      <w:r w:rsidRPr="002B292D">
        <w:t>and</w:t>
      </w:r>
      <w:r>
        <w:t xml:space="preserve"> </w:t>
      </w:r>
      <w:r w:rsidRPr="002B292D">
        <w:t>request</w:t>
      </w:r>
      <w:r>
        <w:t xml:space="preserve"> </w:t>
      </w:r>
      <w:r w:rsidRPr="002B292D">
        <w:t>bail.</w:t>
      </w:r>
      <w:r>
        <w:t xml:space="preserve"> </w:t>
      </w:r>
      <w:r w:rsidRPr="002B292D">
        <w:t>The</w:t>
      </w:r>
      <w:r>
        <w:t xml:space="preserve"> </w:t>
      </w:r>
      <w:r w:rsidRPr="002B292D">
        <w:t>High</w:t>
      </w:r>
      <w:r>
        <w:t xml:space="preserve"> </w:t>
      </w:r>
      <w:r w:rsidRPr="002B292D">
        <w:t>Court</w:t>
      </w:r>
      <w:r>
        <w:t xml:space="preserve"> </w:t>
      </w:r>
      <w:r w:rsidRPr="002B292D">
        <w:t>scheduled</w:t>
      </w:r>
      <w:r>
        <w:t xml:space="preserve"> </w:t>
      </w:r>
      <w:r w:rsidRPr="002B292D">
        <w:t>a</w:t>
      </w:r>
      <w:r>
        <w:t xml:space="preserve"> </w:t>
      </w:r>
      <w:r w:rsidRPr="002B292D">
        <w:t>hearing</w:t>
      </w:r>
      <w:r>
        <w:t xml:space="preserve"> </w:t>
      </w:r>
      <w:r w:rsidRPr="002B292D">
        <w:t>regarding</w:t>
      </w:r>
      <w:r>
        <w:t xml:space="preserve"> </w:t>
      </w:r>
      <w:r w:rsidRPr="002B292D">
        <w:t>the</w:t>
      </w:r>
      <w:r>
        <w:t xml:space="preserve"> </w:t>
      </w:r>
      <w:r w:rsidRPr="002B292D">
        <w:t>issue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first</w:t>
      </w:r>
      <w:r>
        <w:t xml:space="preserve"> </w:t>
      </w:r>
      <w:r w:rsidRPr="002B292D">
        <w:t>arrest</w:t>
      </w:r>
      <w:r>
        <w:t xml:space="preserve"> </w:t>
      </w:r>
      <w:r w:rsidRPr="002B292D">
        <w:t>warrant</w:t>
      </w:r>
      <w:r>
        <w:t xml:space="preserve"> </w:t>
      </w:r>
      <w:r w:rsidRPr="002B292D">
        <w:t>for</w:t>
      </w:r>
      <w:r>
        <w:t xml:space="preserve"> </w:t>
      </w:r>
      <w:r w:rsidRPr="002B292D">
        <w:t>15</w:t>
      </w:r>
      <w:r>
        <w:t xml:space="preserve"> </w:t>
      </w:r>
      <w:r w:rsidRPr="002B292D">
        <w:t>March</w:t>
      </w:r>
      <w:r>
        <w:t xml:space="preserve"> </w:t>
      </w:r>
      <w:r w:rsidRPr="002B292D">
        <w:t>2015</w:t>
      </w:r>
      <w:r>
        <w:t xml:space="preserve"> </w:t>
      </w:r>
      <w:r w:rsidRPr="002B292D">
        <w:t>—</w:t>
      </w:r>
      <w:r>
        <w:t xml:space="preserve"> </w:t>
      </w:r>
      <w:r w:rsidRPr="002B292D">
        <w:t>two</w:t>
      </w:r>
      <w:r>
        <w:t xml:space="preserve"> </w:t>
      </w:r>
      <w:r w:rsidRPr="002B292D">
        <w:t>days</w:t>
      </w:r>
      <w:r>
        <w:t xml:space="preserve"> </w:t>
      </w:r>
      <w:r w:rsidRPr="002B292D">
        <w:t>after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summarily</w:t>
      </w:r>
      <w:r>
        <w:t xml:space="preserve"> </w:t>
      </w:r>
      <w:r w:rsidRPr="002B292D">
        <w:t>convicted</w:t>
      </w:r>
      <w:r>
        <w:t xml:space="preserve"> </w:t>
      </w:r>
      <w:r w:rsidRPr="002B292D">
        <w:t>and</w:t>
      </w:r>
      <w:r>
        <w:t xml:space="preserve"> </w:t>
      </w:r>
      <w:r w:rsidRPr="002B292D">
        <w:t>sentenced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Court.</w:t>
      </w:r>
    </w:p>
    <w:p w:rsidR="000D3068" w:rsidRPr="002B292D" w:rsidRDefault="000D3068" w:rsidP="00533F65">
      <w:pPr>
        <w:pStyle w:val="SingleTxtG"/>
      </w:pPr>
      <w:r w:rsidRPr="002B292D">
        <w:t>5.6</w:t>
      </w:r>
      <w:r w:rsidRPr="002B292D">
        <w:tab/>
        <w:t>The</w:t>
      </w:r>
      <w:r>
        <w:t xml:space="preserve"> </w:t>
      </w:r>
      <w:r w:rsidRPr="002B292D">
        <w:t>judges</w:t>
      </w:r>
      <w:r>
        <w:t xml:space="preserve"> </w:t>
      </w:r>
      <w:r w:rsidRPr="002B292D">
        <w:t>in</w:t>
      </w:r>
      <w:r>
        <w:t xml:space="preserve"> </w:t>
      </w:r>
      <w:r w:rsidRPr="002B292D">
        <w:t>charge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trial</w:t>
      </w:r>
      <w:r>
        <w:t xml:space="preserve"> </w:t>
      </w:r>
      <w:r w:rsidRPr="002B292D">
        <w:t>lacked</w:t>
      </w:r>
      <w:r>
        <w:t xml:space="preserve"> </w:t>
      </w:r>
      <w:r w:rsidRPr="002B292D">
        <w:t>independence</w:t>
      </w:r>
      <w:r>
        <w:t xml:space="preserve"> </w:t>
      </w:r>
      <w:r w:rsidRPr="002B292D">
        <w:t>and</w:t>
      </w:r>
      <w:r>
        <w:t xml:space="preserve"> </w:t>
      </w:r>
      <w:r w:rsidRPr="002B292D">
        <w:t>impartiality.</w:t>
      </w:r>
      <w:r>
        <w:t xml:space="preserve"> </w:t>
      </w:r>
      <w:r w:rsidRPr="002B292D">
        <w:t>Two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three</w:t>
      </w:r>
      <w:r>
        <w:t xml:space="preserve"> </w:t>
      </w:r>
      <w:r w:rsidRPr="002B292D">
        <w:t>judges</w:t>
      </w:r>
      <w:r>
        <w:t xml:space="preserve"> </w:t>
      </w:r>
      <w:r w:rsidRPr="002B292D">
        <w:t>presiding</w:t>
      </w:r>
      <w:r>
        <w:t xml:space="preserve"> </w:t>
      </w:r>
      <w:r w:rsidRPr="002B292D">
        <w:t>over</w:t>
      </w:r>
      <w:r>
        <w:t xml:space="preserve"> </w:t>
      </w:r>
      <w:r w:rsidRPr="002B292D">
        <w:t>his</w:t>
      </w:r>
      <w:r>
        <w:t xml:space="preserve"> </w:t>
      </w:r>
      <w:r w:rsidRPr="002B292D">
        <w:t>case</w:t>
      </w:r>
      <w:r>
        <w:t xml:space="preserve"> </w:t>
      </w:r>
      <w:r w:rsidRPr="002B292D">
        <w:t>were</w:t>
      </w:r>
      <w:r>
        <w:t xml:space="preserve"> </w:t>
      </w:r>
      <w:r w:rsidRPr="002B292D">
        <w:t>not</w:t>
      </w:r>
      <w:r>
        <w:t xml:space="preserve"> </w:t>
      </w:r>
      <w:r w:rsidRPr="002B292D">
        <w:t>only</w:t>
      </w:r>
      <w:r>
        <w:t xml:space="preserve"> </w:t>
      </w:r>
      <w:r w:rsidRPr="002B292D">
        <w:t>present</w:t>
      </w:r>
      <w:r>
        <w:t xml:space="preserve"> </w:t>
      </w:r>
      <w:r w:rsidRPr="002B292D">
        <w:t>at</w:t>
      </w:r>
      <w:r>
        <w:t xml:space="preserve"> </w:t>
      </w:r>
      <w:r w:rsidRPr="002B292D">
        <w:t>Judge</w:t>
      </w:r>
      <w:r>
        <w:t xml:space="preserve"> </w:t>
      </w:r>
      <w:r w:rsidRPr="002B292D">
        <w:t>A.M.</w:t>
      </w:r>
      <w:r w:rsidR="00995FAE">
        <w:t>’</w:t>
      </w:r>
      <w:r w:rsidRPr="002B292D">
        <w:t>s</w:t>
      </w:r>
      <w:r>
        <w:t xml:space="preserve"> </w:t>
      </w:r>
      <w:r w:rsidRPr="002B292D">
        <w:t>arrest</w:t>
      </w:r>
      <w:r>
        <w:t xml:space="preserve"> </w:t>
      </w:r>
      <w:r w:rsidRPr="002B292D">
        <w:t>and</w:t>
      </w:r>
      <w:r>
        <w:t xml:space="preserve"> </w:t>
      </w:r>
      <w:r w:rsidRPr="002B292D">
        <w:t>were</w:t>
      </w:r>
      <w:r>
        <w:t xml:space="preserve"> </w:t>
      </w:r>
      <w:r w:rsidRPr="002B292D">
        <w:t>close</w:t>
      </w:r>
      <w:r>
        <w:t xml:space="preserve"> </w:t>
      </w:r>
      <w:r w:rsidRPr="002B292D">
        <w:t>friends</w:t>
      </w:r>
      <w:r>
        <w:t xml:space="preserve"> </w:t>
      </w:r>
      <w:r w:rsidRPr="002B292D">
        <w:t>of</w:t>
      </w:r>
      <w:r>
        <w:t xml:space="preserve"> </w:t>
      </w:r>
      <w:r w:rsidRPr="002B292D">
        <w:t>Judge</w:t>
      </w:r>
      <w:r>
        <w:t xml:space="preserve"> </w:t>
      </w:r>
      <w:r w:rsidRPr="002B292D">
        <w:t>A.M.,</w:t>
      </w:r>
      <w:r>
        <w:t xml:space="preserve"> </w:t>
      </w:r>
      <w:r w:rsidRPr="002B292D">
        <w:t>they</w:t>
      </w:r>
      <w:r>
        <w:t xml:space="preserve"> </w:t>
      </w:r>
      <w:r w:rsidRPr="002B292D">
        <w:t>also</w:t>
      </w:r>
      <w:r>
        <w:t xml:space="preserve"> </w:t>
      </w:r>
      <w:r w:rsidRPr="002B292D">
        <w:t>submitted</w:t>
      </w:r>
      <w:r>
        <w:t xml:space="preserve"> </w:t>
      </w:r>
      <w:r w:rsidRPr="002B292D">
        <w:t>witness</w:t>
      </w:r>
      <w:r>
        <w:t xml:space="preserve"> </w:t>
      </w:r>
      <w:r w:rsidRPr="002B292D">
        <w:t>statements</w:t>
      </w:r>
      <w:r>
        <w:t xml:space="preserve"> </w:t>
      </w:r>
      <w:r w:rsidRPr="002B292D">
        <w:t>on</w:t>
      </w:r>
      <w:r>
        <w:t xml:space="preserve"> </w:t>
      </w:r>
      <w:r w:rsidRPr="002B292D">
        <w:t>behalf</w:t>
      </w:r>
      <w:r>
        <w:t xml:space="preserve"> </w:t>
      </w:r>
      <w:r w:rsidRPr="002B292D">
        <w:t>of</w:t>
      </w:r>
      <w:r>
        <w:t xml:space="preserve"> </w:t>
      </w:r>
      <w:r w:rsidRPr="002B292D">
        <w:t>Judge</w:t>
      </w:r>
      <w:r>
        <w:t xml:space="preserve"> </w:t>
      </w:r>
      <w:r w:rsidRPr="002B292D">
        <w:t>A.M.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police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country</w:t>
      </w:r>
      <w:r w:rsidR="00995FAE">
        <w:t>’</w:t>
      </w:r>
      <w:r w:rsidRPr="002B292D">
        <w:t>s</w:t>
      </w:r>
      <w:r>
        <w:t xml:space="preserve"> </w:t>
      </w:r>
      <w:r w:rsidRPr="002B292D">
        <w:t>Human</w:t>
      </w:r>
      <w:r>
        <w:t xml:space="preserve"> </w:t>
      </w:r>
      <w:r w:rsidRPr="002B292D">
        <w:t>Rights</w:t>
      </w:r>
      <w:r>
        <w:t xml:space="preserve"> </w:t>
      </w:r>
      <w:r w:rsidRPr="002B292D">
        <w:t>Commission,</w:t>
      </w:r>
      <w:r>
        <w:t xml:space="preserve"> </w:t>
      </w:r>
      <w:r w:rsidRPr="002B292D">
        <w:t>and</w:t>
      </w:r>
      <w:r>
        <w:t xml:space="preserve"> </w:t>
      </w:r>
      <w:r w:rsidRPr="002B292D">
        <w:t>were</w:t>
      </w:r>
      <w:r>
        <w:t xml:space="preserve"> </w:t>
      </w:r>
      <w:r w:rsidRPr="002B292D">
        <w:t>listed</w:t>
      </w:r>
      <w:r>
        <w:t xml:space="preserve"> </w:t>
      </w:r>
      <w:r w:rsidRPr="002B292D">
        <w:t>as</w:t>
      </w:r>
      <w:r>
        <w:t xml:space="preserve"> </w:t>
      </w:r>
      <w:r w:rsidRPr="002B292D">
        <w:t>witnesses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case,</w:t>
      </w:r>
      <w:r>
        <w:t xml:space="preserve"> </w:t>
      </w:r>
      <w:r w:rsidRPr="002B292D">
        <w:t>when</w:t>
      </w:r>
      <w:r>
        <w:t xml:space="preserve"> </w:t>
      </w:r>
      <w:r w:rsidRPr="002B292D">
        <w:t>the</w:t>
      </w:r>
      <w:r>
        <w:t xml:space="preserve"> </w:t>
      </w:r>
      <w:r w:rsidRPr="002B292D">
        <w:t>charges</w:t>
      </w:r>
      <w:r>
        <w:t xml:space="preserve"> </w:t>
      </w:r>
      <w:r w:rsidRPr="002B292D">
        <w:t>were</w:t>
      </w:r>
      <w:r>
        <w:t xml:space="preserve"> </w:t>
      </w:r>
      <w:r w:rsidRPr="002B292D">
        <w:t>still</w:t>
      </w:r>
      <w:r>
        <w:t xml:space="preserve"> </w:t>
      </w:r>
      <w:r w:rsidRPr="002B292D">
        <w:t>framed</w:t>
      </w:r>
      <w:r>
        <w:t xml:space="preserve"> </w:t>
      </w:r>
      <w:r w:rsidRPr="002B292D">
        <w:t>as</w:t>
      </w:r>
      <w:r>
        <w:t xml:space="preserve"> </w:t>
      </w:r>
      <w:r w:rsidR="00995FAE">
        <w:t>“</w:t>
      </w:r>
      <w:r w:rsidRPr="002B292D">
        <w:t>illegal</w:t>
      </w:r>
      <w:r>
        <w:t xml:space="preserve"> </w:t>
      </w:r>
      <w:r w:rsidRPr="002B292D">
        <w:t>detention</w:t>
      </w:r>
      <w:r w:rsidR="00995FAE">
        <w:t>”</w:t>
      </w:r>
      <w:r w:rsidRPr="002B292D">
        <w:t>.</w:t>
      </w:r>
      <w:r w:rsidRPr="00A035EA">
        <w:rPr>
          <w:rStyle w:val="FootnoteReference"/>
        </w:rPr>
        <w:footnoteReference w:id="26"/>
      </w:r>
      <w:r>
        <w:t xml:space="preserve"> </w:t>
      </w:r>
      <w:r w:rsidRPr="002B292D">
        <w:t>Despite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request,</w:t>
      </w:r>
      <w:r>
        <w:t xml:space="preserve"> </w:t>
      </w:r>
      <w:r w:rsidRPr="002B292D">
        <w:t>these</w:t>
      </w:r>
      <w:r>
        <w:t xml:space="preserve"> </w:t>
      </w:r>
      <w:r w:rsidRPr="002B292D">
        <w:t>judges</w:t>
      </w:r>
      <w:r>
        <w:t xml:space="preserve"> </w:t>
      </w:r>
      <w:r w:rsidRPr="002B292D">
        <w:t>refused</w:t>
      </w:r>
      <w:r>
        <w:t xml:space="preserve"> </w:t>
      </w:r>
      <w:r w:rsidRPr="002B292D">
        <w:t>to</w:t>
      </w:r>
      <w:r>
        <w:t xml:space="preserve"> </w:t>
      </w:r>
      <w:r w:rsidRPr="002B292D">
        <w:t>recuse</w:t>
      </w:r>
      <w:r>
        <w:t xml:space="preserve"> </w:t>
      </w:r>
      <w:r w:rsidRPr="002B292D">
        <w:t>themselves.</w:t>
      </w:r>
      <w:r>
        <w:t xml:space="preserve"> </w:t>
      </w:r>
      <w:r w:rsidRPr="002B292D">
        <w:t>The</w:t>
      </w:r>
      <w:r>
        <w:t xml:space="preserve"> </w:t>
      </w:r>
      <w:r w:rsidRPr="002B292D">
        <w:t>judges</w:t>
      </w:r>
      <w:r>
        <w:t xml:space="preserve"> </w:t>
      </w:r>
      <w:r w:rsidRPr="002B292D">
        <w:t>demonstrated</w:t>
      </w:r>
      <w:r>
        <w:t xml:space="preserve"> </w:t>
      </w:r>
      <w:r w:rsidRPr="002B292D">
        <w:t>bias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during</w:t>
      </w:r>
      <w:r>
        <w:t xml:space="preserve"> </w:t>
      </w:r>
      <w:r w:rsidRPr="002B292D">
        <w:t>the</w:t>
      </w:r>
      <w:r>
        <w:t xml:space="preserve"> </w:t>
      </w:r>
      <w:r w:rsidRPr="002B292D">
        <w:t>trial.</w:t>
      </w:r>
      <w:r>
        <w:t xml:space="preserve"> </w:t>
      </w:r>
      <w:r w:rsidRPr="002B292D">
        <w:t>For</w:t>
      </w:r>
      <w:r>
        <w:t xml:space="preserve"> </w:t>
      </w:r>
      <w:r w:rsidRPr="002B292D">
        <w:t>instance,</w:t>
      </w:r>
      <w:r>
        <w:t xml:space="preserve"> </w:t>
      </w:r>
      <w:r w:rsidRPr="002B292D">
        <w:t>they</w:t>
      </w:r>
      <w:r>
        <w:t xml:space="preserve"> </w:t>
      </w:r>
      <w:r w:rsidRPr="002B292D">
        <w:t>refused</w:t>
      </w:r>
      <w:r>
        <w:t xml:space="preserve"> </w:t>
      </w:r>
      <w:r w:rsidRPr="002B292D">
        <w:t>to</w:t>
      </w:r>
      <w:r>
        <w:t xml:space="preserve"> </w:t>
      </w:r>
      <w:r w:rsidRPr="002B292D">
        <w:t>allow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to</w:t>
      </w:r>
      <w:r>
        <w:t xml:space="preserve"> </w:t>
      </w:r>
      <w:r w:rsidRPr="002B292D">
        <w:t>call</w:t>
      </w:r>
      <w:r>
        <w:t xml:space="preserve"> </w:t>
      </w:r>
      <w:r w:rsidRPr="002B292D">
        <w:t>any</w:t>
      </w:r>
      <w:r>
        <w:t xml:space="preserve"> </w:t>
      </w:r>
      <w:r w:rsidRPr="002B292D">
        <w:t>witnesses</w:t>
      </w:r>
      <w:r>
        <w:t xml:space="preserve"> </w:t>
      </w:r>
      <w:r w:rsidRPr="002B292D">
        <w:t>in</w:t>
      </w:r>
      <w:r>
        <w:t xml:space="preserve"> </w:t>
      </w:r>
      <w:r w:rsidRPr="002B292D">
        <w:t>his</w:t>
      </w:r>
      <w:r>
        <w:t xml:space="preserve"> </w:t>
      </w:r>
      <w:r w:rsidRPr="002B292D">
        <w:t>defence,</w:t>
      </w:r>
      <w:r>
        <w:t xml:space="preserve"> </w:t>
      </w:r>
      <w:r w:rsidRPr="002B292D">
        <w:t>and</w:t>
      </w:r>
      <w:r>
        <w:t xml:space="preserve"> </w:t>
      </w:r>
      <w:r w:rsidRPr="002B292D">
        <w:t>they</w:t>
      </w:r>
      <w:r>
        <w:t xml:space="preserve"> </w:t>
      </w:r>
      <w:r w:rsidRPr="002B292D">
        <w:t>limited</w:t>
      </w:r>
      <w:r>
        <w:t xml:space="preserve"> </w:t>
      </w:r>
      <w:r w:rsidRPr="002B292D">
        <w:t>the</w:t>
      </w:r>
      <w:r>
        <w:t xml:space="preserve"> </w:t>
      </w:r>
      <w:r w:rsidRPr="002B292D">
        <w:t>cross-examination</w:t>
      </w:r>
      <w:r>
        <w:t xml:space="preserve"> </w:t>
      </w:r>
      <w:r w:rsidRPr="002B292D">
        <w:t>of</w:t>
      </w:r>
      <w:r>
        <w:t xml:space="preserve"> </w:t>
      </w:r>
      <w:r w:rsidRPr="002B292D">
        <w:t>five</w:t>
      </w:r>
      <w:r>
        <w:t xml:space="preserve"> </w:t>
      </w:r>
      <w:r w:rsidRPr="002B292D">
        <w:t>out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nine</w:t>
      </w:r>
      <w:r>
        <w:t xml:space="preserve"> </w:t>
      </w:r>
      <w:r w:rsidRPr="002B292D">
        <w:t>prosecution</w:t>
      </w:r>
      <w:r>
        <w:t xml:space="preserve"> </w:t>
      </w:r>
      <w:r w:rsidRPr="002B292D">
        <w:t>witnesses;</w:t>
      </w:r>
      <w:r>
        <w:t xml:space="preserve"> </w:t>
      </w:r>
      <w:r w:rsidRPr="002B292D">
        <w:t>they</w:t>
      </w:r>
      <w:r>
        <w:t xml:space="preserve"> </w:t>
      </w:r>
      <w:r w:rsidRPr="002B292D">
        <w:t>themselves</w:t>
      </w:r>
      <w:r>
        <w:t xml:space="preserve"> </w:t>
      </w:r>
      <w:r w:rsidRPr="002B292D">
        <w:t>were</w:t>
      </w:r>
      <w:r>
        <w:t xml:space="preserve"> </w:t>
      </w:r>
      <w:r w:rsidRPr="002B292D">
        <w:t>leading</w:t>
      </w:r>
      <w:r>
        <w:t xml:space="preserve"> </w:t>
      </w:r>
      <w:r w:rsidRPr="002B292D">
        <w:t>State</w:t>
      </w:r>
      <w:r>
        <w:t xml:space="preserve"> </w:t>
      </w:r>
      <w:r w:rsidRPr="002B292D">
        <w:t>officials</w:t>
      </w:r>
      <w:r>
        <w:t xml:space="preserve"> </w:t>
      </w:r>
      <w:r w:rsidRPr="002B292D">
        <w:t>who</w:t>
      </w:r>
      <w:r>
        <w:t xml:space="preserve"> </w:t>
      </w:r>
      <w:r w:rsidRPr="002B292D">
        <w:t>were</w:t>
      </w:r>
      <w:r>
        <w:t xml:space="preserve"> </w:t>
      </w:r>
      <w:r w:rsidRPr="002B292D">
        <w:t>witnesses</w:t>
      </w:r>
      <w:r>
        <w:t xml:space="preserve"> </w:t>
      </w:r>
      <w:r w:rsidRPr="002B292D">
        <w:t>through</w:t>
      </w:r>
      <w:r>
        <w:t xml:space="preserve"> </w:t>
      </w:r>
      <w:r w:rsidRPr="002B292D">
        <w:t>their</w:t>
      </w:r>
      <w:r>
        <w:t xml:space="preserve"> </w:t>
      </w:r>
      <w:r w:rsidRPr="002B292D">
        <w:t>testimony;</w:t>
      </w:r>
      <w:r>
        <w:t xml:space="preserve"> </w:t>
      </w:r>
      <w:r w:rsidRPr="002B292D">
        <w:t>and</w:t>
      </w:r>
      <w:r>
        <w:t xml:space="preserve"> </w:t>
      </w:r>
      <w:r w:rsidRPr="002B292D">
        <w:t>they</w:t>
      </w:r>
      <w:r>
        <w:t xml:space="preserve"> </w:t>
      </w:r>
      <w:r w:rsidRPr="002B292D">
        <w:t>called</w:t>
      </w:r>
      <w:r>
        <w:t xml:space="preserve"> </w:t>
      </w:r>
      <w:r w:rsidRPr="002B292D">
        <w:t>Judge</w:t>
      </w:r>
      <w:r>
        <w:t xml:space="preserve"> </w:t>
      </w:r>
      <w:r w:rsidRPr="002B292D">
        <w:t>A.M.,</w:t>
      </w:r>
      <w:r>
        <w:t xml:space="preserve"> </w:t>
      </w:r>
      <w:r w:rsidRPr="002B292D">
        <w:lastRenderedPageBreak/>
        <w:t>their</w:t>
      </w:r>
      <w:r>
        <w:t xml:space="preserve"> </w:t>
      </w:r>
      <w:r w:rsidRPr="002B292D">
        <w:t>boss,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witness</w:t>
      </w:r>
      <w:r>
        <w:t xml:space="preserve"> </w:t>
      </w:r>
      <w:r w:rsidRPr="002B292D">
        <w:t>to</w:t>
      </w:r>
      <w:r>
        <w:t xml:space="preserve"> </w:t>
      </w:r>
      <w:r w:rsidRPr="002B292D">
        <w:t>testify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prosecution.</w:t>
      </w:r>
      <w:r w:rsidRPr="00A035EA">
        <w:rPr>
          <w:rStyle w:val="FootnoteReference"/>
        </w:rPr>
        <w:footnoteReference w:id="27"/>
      </w:r>
      <w:r>
        <w:t xml:space="preserve"> </w:t>
      </w:r>
      <w:r w:rsidRPr="002B292D">
        <w:t>The</w:t>
      </w:r>
      <w:r>
        <w:t xml:space="preserve"> </w:t>
      </w:r>
      <w:r w:rsidRPr="002B292D">
        <w:t>alleged</w:t>
      </w:r>
      <w:r>
        <w:t xml:space="preserve"> </w:t>
      </w:r>
      <w:r w:rsidRPr="002B292D">
        <w:t>victim,</w:t>
      </w:r>
      <w:r>
        <w:t xml:space="preserve"> </w:t>
      </w:r>
      <w:r w:rsidRPr="002B292D">
        <w:t>Judge</w:t>
      </w:r>
      <w:r>
        <w:t xml:space="preserve"> </w:t>
      </w:r>
      <w:r w:rsidRPr="002B292D">
        <w:t>A.M,</w:t>
      </w:r>
      <w:r>
        <w:t xml:space="preserve"> </w:t>
      </w:r>
      <w:r w:rsidRPr="002B292D">
        <w:t>was</w:t>
      </w:r>
      <w:r>
        <w:t xml:space="preserve"> </w:t>
      </w:r>
      <w:r w:rsidRPr="002B292D">
        <w:t>very</w:t>
      </w:r>
      <w:r>
        <w:t xml:space="preserve"> </w:t>
      </w:r>
      <w:r w:rsidRPr="002B292D">
        <w:t>much</w:t>
      </w:r>
      <w:r>
        <w:t xml:space="preserve"> </w:t>
      </w:r>
      <w:r w:rsidRPr="002B292D">
        <w:t>present</w:t>
      </w:r>
      <w:r>
        <w:t xml:space="preserve"> </w:t>
      </w:r>
      <w:r w:rsidRPr="002B292D">
        <w:t>and</w:t>
      </w:r>
      <w:r>
        <w:t xml:space="preserve"> </w:t>
      </w:r>
      <w:r w:rsidRPr="002B292D">
        <w:t>involved</w:t>
      </w:r>
      <w:r>
        <w:t xml:space="preserve"> </w:t>
      </w:r>
      <w:r w:rsidRPr="002B292D">
        <w:t>in</w:t>
      </w:r>
      <w:r>
        <w:t xml:space="preserve"> </w:t>
      </w:r>
      <w:r w:rsidRPr="002B292D">
        <w:t>all</w:t>
      </w:r>
      <w:r>
        <w:t xml:space="preserve"> </w:t>
      </w:r>
      <w:r w:rsidRPr="002B292D">
        <w:t>affairs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in</w:t>
      </w:r>
      <w:r>
        <w:t xml:space="preserve"> </w:t>
      </w:r>
      <w:r w:rsidRPr="002B292D">
        <w:t>general,</w:t>
      </w:r>
      <w:r>
        <w:t xml:space="preserve"> </w:t>
      </w:r>
      <w:r w:rsidRPr="002B292D">
        <w:t>and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</w:t>
      </w:r>
      <w:r>
        <w:t xml:space="preserve"> </w:t>
      </w:r>
      <w:r w:rsidRPr="002B292D">
        <w:t>in</w:t>
      </w:r>
      <w:r>
        <w:t xml:space="preserve"> </w:t>
      </w:r>
      <w:r w:rsidRPr="002B292D">
        <w:t>particular.</w:t>
      </w:r>
      <w:r w:rsidRPr="00A035EA">
        <w:rPr>
          <w:rStyle w:val="FootnoteReference"/>
        </w:rPr>
        <w:footnoteReference w:id="28"/>
      </w:r>
      <w:r>
        <w:t xml:space="preserve"> </w:t>
      </w:r>
      <w:r w:rsidRPr="002B292D">
        <w:t>Furthermore,</w:t>
      </w:r>
      <w:r>
        <w:t xml:space="preserve"> </w:t>
      </w:r>
      <w:r w:rsidRPr="002B292D">
        <w:t>there</w:t>
      </w:r>
      <w:r>
        <w:t xml:space="preserve"> </w:t>
      </w:r>
      <w:r w:rsidRPr="002B292D">
        <w:t>was</w:t>
      </w:r>
      <w:r>
        <w:t xml:space="preserve"> </w:t>
      </w:r>
      <w:r w:rsidRPr="002B292D">
        <w:t>a</w:t>
      </w:r>
      <w:r>
        <w:t xml:space="preserve"> </w:t>
      </w:r>
      <w:r w:rsidRPr="002B292D">
        <w:t>lack</w:t>
      </w:r>
      <w:r>
        <w:t xml:space="preserve"> </w:t>
      </w:r>
      <w:r w:rsidRPr="002B292D">
        <w:t>of</w:t>
      </w:r>
      <w:r>
        <w:t xml:space="preserve"> </w:t>
      </w:r>
      <w:r w:rsidRPr="002B292D">
        <w:t>legal</w:t>
      </w:r>
      <w:r>
        <w:t xml:space="preserve"> </w:t>
      </w:r>
      <w:r w:rsidRPr="002B292D">
        <w:t>basis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judges</w:t>
      </w:r>
      <w:r>
        <w:t xml:space="preserve"> </w:t>
      </w:r>
      <w:r w:rsidRPr="002B292D">
        <w:t>to</w:t>
      </w:r>
      <w:r>
        <w:t xml:space="preserve"> </w:t>
      </w:r>
      <w:r w:rsidRPr="002B292D">
        <w:t>convict</w:t>
      </w:r>
      <w:r>
        <w:t xml:space="preserve"> </w:t>
      </w:r>
      <w:r w:rsidRPr="002B292D">
        <w:t>the</w:t>
      </w:r>
      <w:r>
        <w:t xml:space="preserve"> </w:t>
      </w:r>
      <w:r w:rsidRPr="002B292D">
        <w:t>author,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alleged</w:t>
      </w:r>
      <w:r>
        <w:t xml:space="preserve"> </w:t>
      </w:r>
      <w:r w:rsidRPr="002B292D">
        <w:t>conduct</w:t>
      </w:r>
      <w:r>
        <w:t xml:space="preserve"> </w:t>
      </w:r>
      <w:r w:rsidRPr="002B292D">
        <w:t>—</w:t>
      </w:r>
      <w:r>
        <w:t xml:space="preserve"> </w:t>
      </w:r>
      <w:r w:rsidRPr="002B292D">
        <w:t>an</w:t>
      </w:r>
      <w:r>
        <w:t xml:space="preserve"> </w:t>
      </w:r>
      <w:r w:rsidRPr="002B292D">
        <w:t>unlawful</w:t>
      </w:r>
      <w:r>
        <w:t xml:space="preserve"> </w:t>
      </w:r>
      <w:r w:rsidRPr="002B292D">
        <w:t>arrest</w:t>
      </w:r>
      <w:r>
        <w:t xml:space="preserve"> </w:t>
      </w:r>
      <w:r w:rsidRPr="002B292D">
        <w:t>—</w:t>
      </w:r>
      <w:r>
        <w:t xml:space="preserve"> </w:t>
      </w:r>
      <w:r w:rsidRPr="002B292D">
        <w:t>does</w:t>
      </w:r>
      <w:r>
        <w:t xml:space="preserve"> </w:t>
      </w:r>
      <w:r w:rsidRPr="002B292D">
        <w:t>not</w:t>
      </w:r>
      <w:r>
        <w:t xml:space="preserve"> </w:t>
      </w:r>
      <w:r w:rsidRPr="002B292D">
        <w:t>satisfy</w:t>
      </w:r>
      <w:r>
        <w:t xml:space="preserve"> </w:t>
      </w:r>
      <w:r w:rsidRPr="002B292D">
        <w:t>the</w:t>
      </w:r>
      <w:r>
        <w:t xml:space="preserve"> </w:t>
      </w:r>
      <w:r w:rsidRPr="002B292D">
        <w:t>actus</w:t>
      </w:r>
      <w:r>
        <w:t xml:space="preserve"> </w:t>
      </w:r>
      <w:r w:rsidRPr="002B292D">
        <w:t>reus</w:t>
      </w:r>
      <w:r>
        <w:t xml:space="preserve"> </w:t>
      </w:r>
      <w:r w:rsidRPr="002B292D">
        <w:t>element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Prevention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Act</w:t>
      </w:r>
      <w:r>
        <w:t xml:space="preserve"> </w:t>
      </w:r>
      <w:r w:rsidRPr="002B292D">
        <w:t>1990,</w:t>
      </w:r>
      <w:r>
        <w:t xml:space="preserve"> </w:t>
      </w:r>
      <w:r w:rsidRPr="002B292D">
        <w:t>which</w:t>
      </w:r>
      <w:r>
        <w:t xml:space="preserve"> </w:t>
      </w:r>
      <w:r w:rsidRPr="002B292D">
        <w:t>itself</w:t>
      </w:r>
      <w:r>
        <w:t xml:space="preserve"> </w:t>
      </w:r>
      <w:r w:rsidRPr="002B292D">
        <w:t>is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international</w:t>
      </w:r>
      <w:r>
        <w:t xml:space="preserve"> </w:t>
      </w:r>
      <w:r w:rsidRPr="002B292D">
        <w:t>law</w:t>
      </w:r>
      <w:r>
        <w:t xml:space="preserve"> </w:t>
      </w:r>
      <w:r w:rsidRPr="002B292D">
        <w:t>and</w:t>
      </w:r>
      <w:r>
        <w:t xml:space="preserve"> </w:t>
      </w:r>
      <w:r w:rsidRPr="002B292D">
        <w:t>should</w:t>
      </w:r>
      <w:r>
        <w:t xml:space="preserve"> </w:t>
      </w:r>
      <w:r w:rsidRPr="002B292D">
        <w:t>be</w:t>
      </w:r>
      <w:r>
        <w:t xml:space="preserve"> </w:t>
      </w:r>
      <w:r w:rsidRPr="002B292D">
        <w:t>invalid</w:t>
      </w:r>
      <w:r>
        <w:t xml:space="preserve"> </w:t>
      </w:r>
      <w:r w:rsidRPr="002B292D">
        <w:t>because</w:t>
      </w:r>
      <w:r>
        <w:t xml:space="preserve"> </w:t>
      </w:r>
      <w:r w:rsidRPr="002B292D">
        <w:t>of</w:t>
      </w:r>
      <w:r>
        <w:t xml:space="preserve"> </w:t>
      </w:r>
      <w:r w:rsidRPr="002B292D">
        <w:t>its</w:t>
      </w:r>
      <w:r>
        <w:t xml:space="preserve"> </w:t>
      </w:r>
      <w:r w:rsidRPr="002B292D">
        <w:t>vagueness.</w:t>
      </w:r>
      <w:r>
        <w:t xml:space="preserve"> </w:t>
      </w:r>
      <w:r w:rsidRPr="002B292D">
        <w:t>Even</w:t>
      </w:r>
      <w:r>
        <w:t xml:space="preserve"> </w:t>
      </w:r>
      <w:r w:rsidRPr="002B292D">
        <w:t>assuming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alleged</w:t>
      </w:r>
      <w:r>
        <w:t xml:space="preserve"> </w:t>
      </w:r>
      <w:r w:rsidRPr="002B292D">
        <w:t>action</w:t>
      </w:r>
      <w:r>
        <w:t xml:space="preserve"> </w:t>
      </w:r>
      <w:r w:rsidRPr="002B292D">
        <w:t>did</w:t>
      </w:r>
      <w:r>
        <w:t xml:space="preserve"> </w:t>
      </w:r>
      <w:r w:rsidRPr="002B292D">
        <w:t>satisfy</w:t>
      </w:r>
      <w:r>
        <w:t xml:space="preserve"> </w:t>
      </w:r>
      <w:r w:rsidRPr="002B292D">
        <w:t>the</w:t>
      </w:r>
      <w:r>
        <w:t xml:space="preserve"> </w:t>
      </w:r>
      <w:r w:rsidRPr="002B292D">
        <w:t>definition</w:t>
      </w:r>
      <w:r>
        <w:t xml:space="preserve"> </w:t>
      </w:r>
      <w:r w:rsidRPr="002B292D">
        <w:t>of</w:t>
      </w:r>
      <w:r>
        <w:t xml:space="preserve"> </w:t>
      </w:r>
      <w:r w:rsidRPr="002B292D">
        <w:t>terrorism,</w:t>
      </w:r>
      <w:r>
        <w:t xml:space="preserve"> </w:t>
      </w:r>
      <w:r w:rsidRPr="002B292D">
        <w:t>there</w:t>
      </w:r>
      <w:r>
        <w:t xml:space="preserve"> </w:t>
      </w:r>
      <w:r w:rsidRPr="002B292D">
        <w:t>was</w:t>
      </w:r>
      <w:r>
        <w:t xml:space="preserve"> </w:t>
      </w:r>
      <w:r w:rsidRPr="002B292D">
        <w:t>no</w:t>
      </w:r>
      <w:r>
        <w:t xml:space="preserve"> </w:t>
      </w:r>
      <w:r w:rsidRPr="002B292D">
        <w:t>evidence</w:t>
      </w:r>
      <w:r>
        <w:t xml:space="preserve"> </w:t>
      </w:r>
      <w:r w:rsidRPr="002B292D">
        <w:t>presented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court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ordered</w:t>
      </w:r>
      <w:r>
        <w:t xml:space="preserve"> </w:t>
      </w:r>
      <w:r w:rsidRPr="002B292D">
        <w:t>the</w:t>
      </w:r>
      <w:r>
        <w:t xml:space="preserve"> </w:t>
      </w:r>
      <w:r w:rsidRPr="002B292D">
        <w:t>arrest</w:t>
      </w:r>
      <w:r>
        <w:t xml:space="preserve"> </w:t>
      </w:r>
      <w:r w:rsidRPr="002B292D">
        <w:t>of</w:t>
      </w:r>
      <w:r>
        <w:t xml:space="preserve"> </w:t>
      </w:r>
      <w:r w:rsidRPr="002B292D">
        <w:t>Judge</w:t>
      </w:r>
      <w:r>
        <w:t xml:space="preserve"> </w:t>
      </w:r>
      <w:r w:rsidRPr="002B292D">
        <w:t>A.M.</w:t>
      </w:r>
    </w:p>
    <w:p w:rsidR="000D3068" w:rsidRPr="002B292D" w:rsidRDefault="000D3068" w:rsidP="00533F65">
      <w:pPr>
        <w:pStyle w:val="SingleTxtG"/>
      </w:pPr>
      <w:r w:rsidRPr="002B292D">
        <w:t>5.7</w:t>
      </w:r>
      <w:r w:rsidRPr="002B292D">
        <w:tab/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was</w:t>
      </w:r>
      <w:r>
        <w:t xml:space="preserve"> </w:t>
      </w:r>
      <w:r w:rsidRPr="002B292D">
        <w:t>biased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motivated.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was</w:t>
      </w:r>
      <w:r>
        <w:t xml:space="preserve"> </w:t>
      </w:r>
      <w:r w:rsidRPr="002B292D">
        <w:t>also</w:t>
      </w:r>
      <w:r>
        <w:t xml:space="preserve"> </w:t>
      </w:r>
      <w:r w:rsidRPr="002B292D">
        <w:t>a</w:t>
      </w:r>
      <w:r>
        <w:t xml:space="preserve"> </w:t>
      </w:r>
      <w:r w:rsidRPr="002B292D">
        <w:t>witness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arrest</w:t>
      </w:r>
      <w:r>
        <w:t xml:space="preserve"> </w:t>
      </w:r>
      <w:r w:rsidRPr="002B292D">
        <w:t>of</w:t>
      </w:r>
      <w:r>
        <w:t xml:space="preserve"> </w:t>
      </w:r>
      <w:r w:rsidRPr="002B292D">
        <w:t>Judge</w:t>
      </w:r>
      <w:r>
        <w:t xml:space="preserve"> </w:t>
      </w:r>
      <w:r w:rsidRPr="002B292D">
        <w:t>A.M.,</w:t>
      </w:r>
      <w:r>
        <w:t xml:space="preserve"> </w:t>
      </w:r>
      <w:r w:rsidRPr="002B292D">
        <w:t>and</w:t>
      </w:r>
      <w:r>
        <w:t xml:space="preserve"> </w:t>
      </w:r>
      <w:r w:rsidRPr="002B292D">
        <w:t>was</w:t>
      </w:r>
      <w:r>
        <w:t xml:space="preserve"> </w:t>
      </w:r>
      <w:r w:rsidRPr="002B292D">
        <w:t>himself,</w:t>
      </w:r>
      <w:r>
        <w:t xml:space="preserve"> </w:t>
      </w:r>
      <w:r w:rsidRPr="002B292D">
        <w:t>at</w:t>
      </w:r>
      <w:r>
        <w:t xml:space="preserve"> </w:t>
      </w:r>
      <w:r w:rsidRPr="002B292D">
        <w:t>the</w:t>
      </w:r>
      <w:r>
        <w:t xml:space="preserve"> </w:t>
      </w:r>
      <w:r w:rsidRPr="002B292D">
        <w:t>time,</w:t>
      </w:r>
      <w:r>
        <w:t xml:space="preserve"> </w:t>
      </w:r>
      <w:r w:rsidRPr="002B292D">
        <w:t>a</w:t>
      </w:r>
      <w:r>
        <w:t xml:space="preserve"> </w:t>
      </w:r>
      <w:r w:rsidRPr="002B292D">
        <w:t>judge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of</w:t>
      </w:r>
      <w:r>
        <w:t xml:space="preserve"> </w:t>
      </w:r>
      <w:r w:rsidRPr="002B292D">
        <w:t>Maldives.</w:t>
      </w:r>
      <w:r w:rsidRPr="00A035EA">
        <w:rPr>
          <w:rStyle w:val="FootnoteReference"/>
        </w:rPr>
        <w:footnoteReference w:id="29"/>
      </w:r>
      <w:r>
        <w:t xml:space="preserve"> </w:t>
      </w:r>
      <w:r w:rsidRPr="002B292D">
        <w:t>Despite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request,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>
        <w:t xml:space="preserve"> </w:t>
      </w:r>
      <w:r w:rsidRPr="002B292D">
        <w:t>team</w:t>
      </w:r>
      <w:r>
        <w:t xml:space="preserve"> </w:t>
      </w:r>
      <w:r w:rsidRPr="002B292D">
        <w:t>submitted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would</w:t>
      </w:r>
      <w:r>
        <w:t xml:space="preserve"> </w:t>
      </w:r>
      <w:r w:rsidRPr="002B292D">
        <w:t>recuse</w:t>
      </w:r>
      <w:r>
        <w:t xml:space="preserve"> </w:t>
      </w:r>
      <w:r w:rsidRPr="002B292D">
        <w:t>himself</w:t>
      </w:r>
      <w:r>
        <w:t xml:space="preserve"> </w:t>
      </w:r>
      <w:r w:rsidRPr="002B292D">
        <w:t>if</w:t>
      </w:r>
      <w:r>
        <w:t xml:space="preserve"> </w:t>
      </w:r>
      <w:r w:rsidRPr="002B292D">
        <w:t>and</w:t>
      </w:r>
      <w:r>
        <w:t xml:space="preserve"> </w:t>
      </w:r>
      <w:r w:rsidRPr="002B292D">
        <w:t>when</w:t>
      </w:r>
      <w:r>
        <w:t xml:space="preserve"> </w:t>
      </w:r>
      <w:r w:rsidRPr="002B292D">
        <w:t>he</w:t>
      </w:r>
      <w:r>
        <w:t xml:space="preserve"> </w:t>
      </w:r>
      <w:r w:rsidRPr="002B292D">
        <w:t>felt</w:t>
      </w:r>
      <w:r>
        <w:t xml:space="preserve"> </w:t>
      </w:r>
      <w:r w:rsidRPr="002B292D">
        <w:t>it</w:t>
      </w:r>
      <w:r>
        <w:t xml:space="preserve"> </w:t>
      </w:r>
      <w:r w:rsidRPr="002B292D">
        <w:t>was</w:t>
      </w:r>
      <w:r>
        <w:t xml:space="preserve"> </w:t>
      </w:r>
      <w:r w:rsidRPr="002B292D">
        <w:t>necessary,</w:t>
      </w:r>
      <w:r>
        <w:t xml:space="preserve"> </w:t>
      </w:r>
      <w:r w:rsidRPr="002B292D">
        <w:t>but</w:t>
      </w:r>
      <w:r>
        <w:t xml:space="preserve"> </w:t>
      </w:r>
      <w:r w:rsidRPr="002B292D">
        <w:t>he</w:t>
      </w:r>
      <w:r>
        <w:t xml:space="preserve"> </w:t>
      </w:r>
      <w:r w:rsidRPr="002B292D">
        <w:t>never</w:t>
      </w:r>
      <w:r>
        <w:t xml:space="preserve"> </w:t>
      </w:r>
      <w:r w:rsidRPr="002B292D">
        <w:t>did.</w:t>
      </w:r>
      <w:r>
        <w:t xml:space="preserve"> </w:t>
      </w:r>
      <w:r w:rsidRPr="002B292D">
        <w:t>Against</w:t>
      </w:r>
      <w:r>
        <w:t xml:space="preserve"> </w:t>
      </w:r>
      <w:r w:rsidRPr="002B292D">
        <w:t>this</w:t>
      </w:r>
      <w:r>
        <w:t xml:space="preserve"> </w:t>
      </w:r>
      <w:r w:rsidRPr="002B292D">
        <w:t>background,</w:t>
      </w:r>
      <w:r>
        <w:t xml:space="preserve"> </w:t>
      </w:r>
      <w:r w:rsidRPr="002B292D">
        <w:t>the</w:t>
      </w:r>
      <w:r>
        <w:t xml:space="preserve"> </w:t>
      </w:r>
      <w:r w:rsidRPr="002B292D">
        <w:t>lack</w:t>
      </w:r>
      <w:r>
        <w:t xml:space="preserve"> </w:t>
      </w:r>
      <w:r w:rsidRPr="002B292D">
        <w:t>of</w:t>
      </w:r>
      <w:r>
        <w:t xml:space="preserve"> </w:t>
      </w:r>
      <w:r w:rsidRPr="002B292D">
        <w:t>prosecutorial</w:t>
      </w:r>
      <w:r>
        <w:t xml:space="preserve"> </w:t>
      </w:r>
      <w:r w:rsidRPr="002B292D">
        <w:t>impartiality</w:t>
      </w:r>
      <w:r>
        <w:t xml:space="preserve"> </w:t>
      </w:r>
      <w:r w:rsidRPr="002B292D">
        <w:t>and</w:t>
      </w:r>
      <w:r>
        <w:t xml:space="preserve"> </w:t>
      </w:r>
      <w:r w:rsidRPr="002B292D">
        <w:t>independence,</w:t>
      </w:r>
      <w:r>
        <w:t xml:space="preserve"> </w:t>
      </w:r>
      <w:r w:rsidRPr="002B292D">
        <w:t>together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</w:t>
      </w:r>
      <w:r>
        <w:t xml:space="preserve"> </w:t>
      </w:r>
      <w:r w:rsidRPr="002B292D">
        <w:t>and</w:t>
      </w:r>
      <w:r>
        <w:t xml:space="preserve"> </w:t>
      </w:r>
      <w:r w:rsidRPr="002B292D">
        <w:t>selective</w:t>
      </w:r>
      <w:r>
        <w:t xml:space="preserve"> </w:t>
      </w:r>
      <w:r w:rsidRPr="002B292D">
        <w:t>nature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prosecution,</w:t>
      </w:r>
      <w:r>
        <w:t xml:space="preserve"> </w:t>
      </w:r>
      <w:r w:rsidRPr="002B292D">
        <w:t>violated</w:t>
      </w:r>
      <w:r>
        <w:t xml:space="preserve"> </w:t>
      </w:r>
      <w:r w:rsidRPr="002B292D">
        <w:t>the</w:t>
      </w:r>
      <w:r>
        <w:t xml:space="preserve"> </w:t>
      </w:r>
      <w:r w:rsidRPr="002B292D">
        <w:t>principle</w:t>
      </w:r>
      <w:r>
        <w:t xml:space="preserve"> </w:t>
      </w:r>
      <w:r w:rsidRPr="002B292D">
        <w:t>of</w:t>
      </w:r>
      <w:r>
        <w:t xml:space="preserve"> </w:t>
      </w:r>
      <w:r w:rsidRPr="002B292D">
        <w:t>equality</w:t>
      </w:r>
      <w:r>
        <w:t xml:space="preserve"> </w:t>
      </w:r>
      <w:r w:rsidRPr="002B292D">
        <w:t>before</w:t>
      </w:r>
      <w:r>
        <w:t xml:space="preserve"> </w:t>
      </w:r>
      <w:r w:rsidRPr="002B292D">
        <w:t>the</w:t>
      </w:r>
      <w:r>
        <w:t xml:space="preserve"> </w:t>
      </w:r>
      <w:r w:rsidRPr="002B292D">
        <w:t>courts</w:t>
      </w:r>
      <w:r>
        <w:t xml:space="preserve"> </w:t>
      </w:r>
      <w:r w:rsidRPr="002B292D">
        <w:t>as</w:t>
      </w:r>
      <w:r>
        <w:t xml:space="preserve"> </w:t>
      </w:r>
      <w:r w:rsidRPr="002B292D">
        <w:t>enshrined</w:t>
      </w:r>
      <w:r>
        <w:t xml:space="preserve"> </w:t>
      </w:r>
      <w:r w:rsidRPr="002B292D">
        <w:t>in</w:t>
      </w:r>
      <w:r>
        <w:t xml:space="preserve"> </w:t>
      </w:r>
      <w:r w:rsidRPr="002B292D">
        <w:t>article</w:t>
      </w:r>
      <w:r>
        <w:t xml:space="preserve"> </w:t>
      </w:r>
      <w:r w:rsidRPr="002B292D">
        <w:t>14</w:t>
      </w:r>
      <w:r>
        <w:t xml:space="preserve"> </w:t>
      </w:r>
      <w:r w:rsidRPr="002B292D">
        <w:t>(1)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</w:p>
    <w:p w:rsidR="000D3068" w:rsidRPr="002B292D" w:rsidRDefault="000D3068" w:rsidP="00533F65">
      <w:pPr>
        <w:pStyle w:val="SingleTxtG"/>
      </w:pPr>
      <w:r w:rsidRPr="002B292D">
        <w:t>5.8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did</w:t>
      </w:r>
      <w:r>
        <w:t xml:space="preserve"> </w:t>
      </w:r>
      <w:r w:rsidRPr="002B292D">
        <w:t>not</w:t>
      </w:r>
      <w:r>
        <w:t xml:space="preserve"> </w:t>
      </w:r>
      <w:r w:rsidRPr="002B292D">
        <w:t>have</w:t>
      </w:r>
      <w:r>
        <w:t xml:space="preserve"> </w:t>
      </w:r>
      <w:r w:rsidRPr="002B292D">
        <w:t>adequate</w:t>
      </w:r>
      <w:r>
        <w:t xml:space="preserve"> </w:t>
      </w:r>
      <w:r w:rsidRPr="002B292D">
        <w:t>time</w:t>
      </w:r>
      <w:r>
        <w:t xml:space="preserve"> </w:t>
      </w:r>
      <w:r w:rsidRPr="002B292D">
        <w:t>and</w:t>
      </w:r>
      <w:r>
        <w:t xml:space="preserve"> </w:t>
      </w:r>
      <w:r w:rsidRPr="002B292D">
        <w:t>facilities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preparation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defence,</w:t>
      </w:r>
      <w:r>
        <w:t xml:space="preserve"> </w:t>
      </w:r>
      <w:r w:rsidRPr="002B292D">
        <w:t>since,</w:t>
      </w:r>
      <w:r>
        <w:t xml:space="preserve"> </w:t>
      </w:r>
      <w:r w:rsidRPr="002B292D">
        <w:t>inter</w:t>
      </w:r>
      <w:r>
        <w:t xml:space="preserve"> </w:t>
      </w:r>
      <w:r w:rsidRPr="002B292D">
        <w:t>alia,</w:t>
      </w:r>
      <w:r>
        <w:t xml:space="preserve"> </w:t>
      </w:r>
      <w:r w:rsidRPr="002B292D">
        <w:t>only</w:t>
      </w:r>
      <w:r>
        <w:t xml:space="preserve"> </w:t>
      </w:r>
      <w:r w:rsidRPr="002B292D">
        <w:t>20</w:t>
      </w:r>
      <w:r>
        <w:t xml:space="preserve"> </w:t>
      </w:r>
      <w:r w:rsidRPr="002B292D">
        <w:t>days</w:t>
      </w:r>
      <w:r>
        <w:t xml:space="preserve"> </w:t>
      </w:r>
      <w:r w:rsidRPr="002B292D">
        <w:t>elapsed</w:t>
      </w:r>
      <w:r>
        <w:t xml:space="preserve"> </w:t>
      </w:r>
      <w:r w:rsidRPr="002B292D">
        <w:t>from</w:t>
      </w:r>
      <w:r>
        <w:t xml:space="preserve"> </w:t>
      </w:r>
      <w:r w:rsidRPr="002B292D">
        <w:t>his</w:t>
      </w:r>
      <w:r>
        <w:t xml:space="preserve"> </w:t>
      </w:r>
      <w:r w:rsidRPr="002B292D">
        <w:t>arrest</w:t>
      </w:r>
      <w:r>
        <w:t xml:space="preserve"> </w:t>
      </w:r>
      <w:r w:rsidRPr="002B292D">
        <w:t>to</w:t>
      </w:r>
      <w:r>
        <w:t xml:space="preserve"> </w:t>
      </w:r>
      <w:r w:rsidRPr="002B292D">
        <w:t>his</w:t>
      </w:r>
      <w:r>
        <w:t xml:space="preserve"> </w:t>
      </w:r>
      <w:r w:rsidRPr="002B292D">
        <w:t>sentencing;</w:t>
      </w:r>
      <w:r>
        <w:t xml:space="preserve"> </w:t>
      </w:r>
      <w:r w:rsidRPr="002B292D">
        <w:t>proceedings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merits</w:t>
      </w:r>
      <w:r>
        <w:t xml:space="preserve"> </w:t>
      </w:r>
      <w:r w:rsidRPr="002B292D">
        <w:t>began</w:t>
      </w:r>
      <w:r>
        <w:t xml:space="preserve"> </w:t>
      </w:r>
      <w:r w:rsidRPr="002B292D">
        <w:t>the</w:t>
      </w:r>
      <w:r>
        <w:t xml:space="preserve"> </w:t>
      </w:r>
      <w:r w:rsidRPr="002B292D">
        <w:t>day</w:t>
      </w:r>
      <w:r>
        <w:t xml:space="preserve"> </w:t>
      </w:r>
      <w:r w:rsidRPr="002B292D">
        <w:t>after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arrest,</w:t>
      </w:r>
      <w:r>
        <w:t xml:space="preserve"> </w:t>
      </w:r>
      <w:r w:rsidRPr="002B292D">
        <w:t>and</w:t>
      </w:r>
      <w:r>
        <w:t xml:space="preserve"> </w:t>
      </w:r>
      <w:r w:rsidRPr="002B292D">
        <w:t>when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notified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new</w:t>
      </w:r>
      <w:r>
        <w:t xml:space="preserve"> </w:t>
      </w:r>
      <w:r w:rsidRPr="002B292D">
        <w:t>charges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and</w:t>
      </w:r>
      <w:r>
        <w:t xml:space="preserve"> </w:t>
      </w:r>
      <w:r w:rsidRPr="002B292D">
        <w:t>his</w:t>
      </w:r>
      <w:r>
        <w:t xml:space="preserve"> </w:t>
      </w:r>
      <w:r w:rsidRPr="002B292D">
        <w:t>counsel</w:t>
      </w:r>
      <w:r>
        <w:t xml:space="preserve"> </w:t>
      </w:r>
      <w:r w:rsidRPr="002B292D">
        <w:t>were</w:t>
      </w:r>
      <w:r>
        <w:t xml:space="preserve"> </w:t>
      </w:r>
      <w:r w:rsidRPr="002B292D">
        <w:t>denied</w:t>
      </w:r>
      <w:r>
        <w:t xml:space="preserve"> </w:t>
      </w:r>
      <w:r w:rsidRPr="002B292D">
        <w:t>access</w:t>
      </w:r>
      <w:r>
        <w:t xml:space="preserve"> </w:t>
      </w:r>
      <w:r w:rsidRPr="002B292D">
        <w:t>to</w:t>
      </w:r>
      <w:r>
        <w:t xml:space="preserve"> </w:t>
      </w:r>
      <w:r w:rsidRPr="002B292D">
        <w:t>evidence;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counsel</w:t>
      </w:r>
      <w:r>
        <w:t xml:space="preserve"> </w:t>
      </w:r>
      <w:r w:rsidRPr="002B292D">
        <w:t>was</w:t>
      </w:r>
      <w:r>
        <w:t xml:space="preserve"> </w:t>
      </w:r>
      <w:r w:rsidRPr="002B292D">
        <w:t>absent</w:t>
      </w:r>
      <w:r>
        <w:t xml:space="preserve"> </w:t>
      </w:r>
      <w:r w:rsidRPr="002B292D">
        <w:t>from</w:t>
      </w:r>
      <w:r>
        <w:t xml:space="preserve"> </w:t>
      </w:r>
      <w:r w:rsidRPr="002B292D">
        <w:t>key</w:t>
      </w:r>
      <w:r>
        <w:t xml:space="preserve"> </w:t>
      </w:r>
      <w:r w:rsidRPr="002B292D">
        <w:t>hearings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case.</w:t>
      </w:r>
      <w:r w:rsidRPr="00A035EA">
        <w:rPr>
          <w:rStyle w:val="FootnoteReference"/>
        </w:rPr>
        <w:footnoteReference w:id="30"/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also</w:t>
      </w:r>
      <w:r>
        <w:t xml:space="preserve"> </w:t>
      </w:r>
      <w:r w:rsidRPr="002B292D">
        <w:t>arbitrarily</w:t>
      </w:r>
      <w:r>
        <w:t xml:space="preserve"> </w:t>
      </w:r>
      <w:r w:rsidRPr="002B292D">
        <w:t>denied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present</w:t>
      </w:r>
      <w:r>
        <w:t xml:space="preserve"> </w:t>
      </w:r>
      <w:r w:rsidRPr="002B292D">
        <w:t>any</w:t>
      </w:r>
      <w:r>
        <w:t xml:space="preserve"> </w:t>
      </w:r>
      <w:r w:rsidRPr="002B292D">
        <w:t>witnesses</w:t>
      </w:r>
      <w:r>
        <w:t xml:space="preserve"> </w:t>
      </w:r>
      <w:r w:rsidRPr="002B292D">
        <w:t>and</w:t>
      </w:r>
      <w:r>
        <w:t xml:space="preserve"> </w:t>
      </w:r>
      <w:r w:rsidRPr="002B292D">
        <w:t>unable</w:t>
      </w:r>
      <w:r>
        <w:t xml:space="preserve"> </w:t>
      </w:r>
      <w:r w:rsidRPr="002B292D">
        <w:t>to</w:t>
      </w:r>
      <w:r>
        <w:t xml:space="preserve"> </w:t>
      </w:r>
      <w:r w:rsidRPr="002B292D">
        <w:t>cross-examine</w:t>
      </w:r>
      <w:r>
        <w:t xml:space="preserve"> </w:t>
      </w:r>
      <w:r w:rsidRPr="002B292D">
        <w:t>witnesses.</w:t>
      </w:r>
      <w:r>
        <w:t xml:space="preserve"> </w:t>
      </w:r>
      <w:r w:rsidRPr="002B292D">
        <w:t>For</w:t>
      </w:r>
      <w:r>
        <w:t xml:space="preserve"> </w:t>
      </w:r>
      <w:r w:rsidRPr="002B292D">
        <w:t>instance,</w:t>
      </w:r>
      <w:r>
        <w:t xml:space="preserve"> </w:t>
      </w:r>
      <w:r w:rsidRPr="002B292D">
        <w:t>his</w:t>
      </w:r>
      <w:r>
        <w:t xml:space="preserve"> </w:t>
      </w:r>
      <w:r w:rsidRPr="002B292D">
        <w:t>defence</w:t>
      </w:r>
      <w:r>
        <w:t xml:space="preserve"> </w:t>
      </w:r>
      <w:r w:rsidRPr="002B292D">
        <w:t>counsel</w:t>
      </w:r>
      <w:r>
        <w:t xml:space="preserve"> </w:t>
      </w:r>
      <w:r w:rsidRPr="002B292D">
        <w:t>was</w:t>
      </w:r>
      <w:r>
        <w:t xml:space="preserve"> </w:t>
      </w:r>
      <w:r w:rsidRPr="002B292D">
        <w:t>prohibited</w:t>
      </w:r>
      <w:r>
        <w:t xml:space="preserve"> </w:t>
      </w:r>
      <w:r w:rsidRPr="002B292D">
        <w:t>from</w:t>
      </w:r>
      <w:r>
        <w:t xml:space="preserve"> </w:t>
      </w:r>
      <w:r w:rsidRPr="002B292D">
        <w:t>questioning</w:t>
      </w:r>
      <w:r>
        <w:t xml:space="preserve"> </w:t>
      </w:r>
      <w:r w:rsidRPr="002B292D">
        <w:t>the</w:t>
      </w:r>
      <w:r>
        <w:t xml:space="preserve"> </w:t>
      </w:r>
      <w:r w:rsidRPr="002B292D">
        <w:t>credibility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 w:rsidR="00995FAE">
        <w:t>’</w:t>
      </w:r>
      <w:r w:rsidRPr="002B292D">
        <w:t>s</w:t>
      </w:r>
      <w:r>
        <w:t xml:space="preserve"> </w:t>
      </w:r>
      <w:r w:rsidRPr="002B292D">
        <w:t>witnesses</w:t>
      </w:r>
      <w:r>
        <w:t xml:space="preserve"> </w:t>
      </w:r>
      <w:r w:rsidRPr="002B292D">
        <w:t>to</w:t>
      </w:r>
      <w:r>
        <w:t xml:space="preserve"> </w:t>
      </w:r>
      <w:r w:rsidRPr="002B292D">
        <w:t>establish</w:t>
      </w:r>
      <w:r>
        <w:t xml:space="preserve"> </w:t>
      </w:r>
      <w:r w:rsidRPr="002B292D">
        <w:t>bias</w:t>
      </w:r>
      <w:r>
        <w:t xml:space="preserve"> </w:t>
      </w:r>
      <w:r w:rsidRPr="002B292D">
        <w:t>or</w:t>
      </w:r>
      <w:r>
        <w:t xml:space="preserve"> </w:t>
      </w:r>
      <w:r w:rsidRPr="002B292D">
        <w:t>otherwise</w:t>
      </w:r>
      <w:r>
        <w:t xml:space="preserve"> </w:t>
      </w:r>
      <w:r w:rsidRPr="002B292D">
        <w:t>discredit</w:t>
      </w:r>
      <w:r>
        <w:t xml:space="preserve"> </w:t>
      </w:r>
      <w:r w:rsidRPr="002B292D">
        <w:t>their</w:t>
      </w:r>
      <w:r>
        <w:t xml:space="preserve"> </w:t>
      </w:r>
      <w:r w:rsidRPr="002B292D">
        <w:t>testimony.</w:t>
      </w:r>
      <w:r>
        <w:t xml:space="preserve"> </w:t>
      </w:r>
      <w:r w:rsidRPr="002B292D">
        <w:t>Cross-examination</w:t>
      </w:r>
      <w:r>
        <w:t xml:space="preserve"> </w:t>
      </w:r>
      <w:r w:rsidRPr="002B292D">
        <w:t>was</w:t>
      </w:r>
      <w:r>
        <w:t xml:space="preserve"> </w:t>
      </w:r>
      <w:r w:rsidRPr="002B292D">
        <w:t>limited</w:t>
      </w:r>
      <w:r>
        <w:t xml:space="preserve"> </w:t>
      </w:r>
      <w:r w:rsidRPr="002B292D">
        <w:t>in</w:t>
      </w:r>
      <w:r>
        <w:t xml:space="preserve"> </w:t>
      </w:r>
      <w:r w:rsidRPr="002B292D">
        <w:t>this</w:t>
      </w:r>
      <w:r>
        <w:t xml:space="preserve"> </w:t>
      </w:r>
      <w:r w:rsidRPr="002B292D">
        <w:t>fashion</w:t>
      </w:r>
      <w:r>
        <w:t xml:space="preserve"> </w:t>
      </w:r>
      <w:r w:rsidRPr="002B292D">
        <w:t>for</w:t>
      </w:r>
      <w:r>
        <w:t xml:space="preserve"> </w:t>
      </w:r>
      <w:r w:rsidRPr="002B292D">
        <w:t>five</w:t>
      </w:r>
      <w:r>
        <w:t xml:space="preserve"> </w:t>
      </w:r>
      <w:r w:rsidRPr="002B292D">
        <w:t>out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nine</w:t>
      </w:r>
      <w:r>
        <w:t xml:space="preserve"> </w:t>
      </w:r>
      <w:r w:rsidRPr="002B292D">
        <w:t>witnesses</w:t>
      </w:r>
      <w:r>
        <w:t xml:space="preserve"> </w:t>
      </w:r>
      <w:r w:rsidRPr="002B292D">
        <w:t>presented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prosecution.</w:t>
      </w:r>
      <w:r w:rsidRPr="00A035EA">
        <w:rPr>
          <w:rStyle w:val="FootnoteReference"/>
        </w:rPr>
        <w:footnoteReference w:id="31"/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denied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assisted</w:t>
      </w:r>
      <w:r>
        <w:t xml:space="preserve"> </w:t>
      </w:r>
      <w:r w:rsidRPr="002B292D">
        <w:t>by</w:t>
      </w:r>
      <w:r>
        <w:t xml:space="preserve"> </w:t>
      </w:r>
      <w:r w:rsidRPr="002B292D">
        <w:t>counsel</w:t>
      </w:r>
      <w:r>
        <w:t xml:space="preserve"> </w:t>
      </w:r>
      <w:r w:rsidRPr="002B292D">
        <w:t>throughout</w:t>
      </w:r>
      <w:r>
        <w:t xml:space="preserve"> </w:t>
      </w:r>
      <w:r w:rsidRPr="002B292D">
        <w:t>the</w:t>
      </w:r>
      <w:r>
        <w:t xml:space="preserve"> </w:t>
      </w:r>
      <w:r w:rsidRPr="002B292D">
        <w:t>whole</w:t>
      </w:r>
      <w:r>
        <w:t xml:space="preserve"> </w:t>
      </w:r>
      <w:r w:rsidRPr="002B292D">
        <w:t>proceedings.</w:t>
      </w:r>
      <w:r>
        <w:t xml:space="preserve"> </w:t>
      </w:r>
      <w:r w:rsidRPr="002B292D">
        <w:t>Likewise,</w:t>
      </w:r>
      <w:r>
        <w:t xml:space="preserve"> </w:t>
      </w:r>
      <w:r w:rsidRPr="002B292D">
        <w:t>in</w:t>
      </w:r>
      <w:r>
        <w:t xml:space="preserve"> </w:t>
      </w:r>
      <w:r w:rsidRPr="002B292D">
        <w:t>practice,</w:t>
      </w:r>
      <w:r>
        <w:t xml:space="preserve"> </w:t>
      </w:r>
      <w:r w:rsidRPr="002B292D">
        <w:t>he</w:t>
      </w:r>
      <w:r>
        <w:t xml:space="preserve"> </w:t>
      </w:r>
      <w:r w:rsidRPr="002B292D">
        <w:t>had</w:t>
      </w:r>
      <w:r>
        <w:t xml:space="preserve"> </w:t>
      </w:r>
      <w:r w:rsidRPr="002B292D">
        <w:t>no</w:t>
      </w:r>
      <w:r>
        <w:t xml:space="preserve"> </w:t>
      </w:r>
      <w:r w:rsidRPr="002B292D">
        <w:t>opportunity</w:t>
      </w:r>
      <w:r>
        <w:t xml:space="preserve"> </w:t>
      </w:r>
      <w:r w:rsidRPr="002B292D">
        <w:t>to</w:t>
      </w:r>
      <w:r>
        <w:t xml:space="preserve"> </w:t>
      </w:r>
      <w:r w:rsidRPr="002B292D">
        <w:t>file</w:t>
      </w:r>
      <w:r>
        <w:t xml:space="preserve"> </w:t>
      </w:r>
      <w:r w:rsidRPr="002B292D">
        <w:t>an</w:t>
      </w:r>
      <w:r>
        <w:t xml:space="preserve"> </w:t>
      </w:r>
      <w:r w:rsidRPr="002B292D">
        <w:t>appeal</w:t>
      </w:r>
      <w:r>
        <w:t xml:space="preserve"> </w:t>
      </w:r>
      <w:r w:rsidRPr="002B292D">
        <w:t>against</w:t>
      </w:r>
      <w:r>
        <w:t xml:space="preserve"> </w:t>
      </w:r>
      <w:r w:rsidRPr="002B292D">
        <w:t>his</w:t>
      </w:r>
      <w:r>
        <w:t xml:space="preserve"> </w:t>
      </w:r>
      <w:r w:rsidRPr="002B292D">
        <w:t>sentence</w:t>
      </w:r>
      <w:r>
        <w:t xml:space="preserve"> </w:t>
      </w:r>
      <w:r w:rsidRPr="002B292D">
        <w:t>and</w:t>
      </w:r>
      <w:r>
        <w:t xml:space="preserve"> </w:t>
      </w:r>
      <w:r w:rsidRPr="002B292D">
        <w:t>conviction,</w:t>
      </w:r>
      <w:r>
        <w:t xml:space="preserve"> </w:t>
      </w:r>
      <w:r w:rsidRPr="002B292D">
        <w:t>which</w:t>
      </w:r>
      <w:r>
        <w:t xml:space="preserve"> </w:t>
      </w:r>
      <w:r w:rsidRPr="002B292D">
        <w:t>was</w:t>
      </w:r>
      <w:r>
        <w:t xml:space="preserve"> </w:t>
      </w:r>
      <w:r w:rsidRPr="002B292D">
        <w:t>denied</w:t>
      </w:r>
      <w:r>
        <w:t xml:space="preserve"> </w:t>
      </w:r>
      <w:r w:rsidRPr="002B292D">
        <w:t>in</w:t>
      </w:r>
      <w:r>
        <w:t xml:space="preserve"> </w:t>
      </w:r>
      <w:r w:rsidRPr="002B292D">
        <w:t>part</w:t>
      </w:r>
      <w:r>
        <w:t xml:space="preserve"> </w:t>
      </w:r>
      <w:r w:rsidRPr="002B292D">
        <w:t>because</w:t>
      </w:r>
      <w:r>
        <w:t xml:space="preserve"> </w:t>
      </w:r>
      <w:r w:rsidRPr="002B292D">
        <w:t>of</w:t>
      </w:r>
      <w:r>
        <w:t xml:space="preserve"> </w:t>
      </w:r>
      <w:r w:rsidRPr="002B292D">
        <w:t>a</w:t>
      </w:r>
      <w:r>
        <w:t xml:space="preserve"> </w:t>
      </w:r>
      <w:r w:rsidRPr="002B292D">
        <w:t>sudden</w:t>
      </w:r>
      <w:r>
        <w:t xml:space="preserve"> </w:t>
      </w:r>
      <w:r w:rsidRPr="002B292D">
        <w:t>change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appeal</w:t>
      </w:r>
      <w:r>
        <w:t xml:space="preserve"> </w:t>
      </w:r>
      <w:r w:rsidRPr="002B292D">
        <w:t>rules,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delay</w:t>
      </w:r>
      <w:r>
        <w:t xml:space="preserve"> </w:t>
      </w:r>
      <w:r w:rsidRPr="002B292D">
        <w:t>in</w:t>
      </w:r>
      <w:r>
        <w:t xml:space="preserve"> </w:t>
      </w:r>
      <w:r w:rsidRPr="002B292D">
        <w:t>providing</w:t>
      </w:r>
      <w:r>
        <w:t xml:space="preserve"> </w:t>
      </w:r>
      <w:r w:rsidRPr="002B292D">
        <w:t>the</w:t>
      </w:r>
      <w:r>
        <w:t xml:space="preserve"> </w:t>
      </w:r>
      <w:r w:rsidRPr="002B292D">
        <w:t>trial</w:t>
      </w:r>
      <w:r>
        <w:t xml:space="preserve"> </w:t>
      </w:r>
      <w:r w:rsidRPr="002B292D">
        <w:t>record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defence</w:t>
      </w:r>
      <w:r>
        <w:t xml:space="preserve"> </w:t>
      </w:r>
      <w:r w:rsidRPr="002B292D">
        <w:t>(see</w:t>
      </w:r>
      <w:r>
        <w:t xml:space="preserve"> </w:t>
      </w:r>
      <w:r w:rsidRPr="002B292D">
        <w:t>para.</w:t>
      </w:r>
      <w:r>
        <w:t xml:space="preserve"> </w:t>
      </w:r>
      <w:r w:rsidRPr="002B292D">
        <w:t>2.17</w:t>
      </w:r>
      <w:r>
        <w:t xml:space="preserve"> </w:t>
      </w:r>
      <w:r w:rsidRPr="002B292D">
        <w:t>above).</w:t>
      </w:r>
      <w:r w:rsidRPr="00A035EA">
        <w:rPr>
          <w:rStyle w:val="FootnoteReference"/>
        </w:rPr>
        <w:footnoteReference w:id="32"/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shortened</w:t>
      </w:r>
      <w:r>
        <w:t xml:space="preserve"> </w:t>
      </w:r>
      <w:r w:rsidRPr="002B292D">
        <w:t>the</w:t>
      </w:r>
      <w:r>
        <w:t xml:space="preserve"> </w:t>
      </w:r>
      <w:r w:rsidRPr="002B292D">
        <w:t>deadline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filing</w:t>
      </w:r>
      <w:r>
        <w:t xml:space="preserve"> </w:t>
      </w:r>
      <w:r w:rsidRPr="002B292D">
        <w:t>of</w:t>
      </w:r>
      <w:r>
        <w:t xml:space="preserve"> </w:t>
      </w:r>
      <w:r w:rsidRPr="002B292D">
        <w:t>appeals</w:t>
      </w:r>
      <w:r>
        <w:t xml:space="preserve"> </w:t>
      </w:r>
      <w:r w:rsidRPr="002B292D">
        <w:t>to</w:t>
      </w:r>
      <w:r>
        <w:t xml:space="preserve"> </w:t>
      </w:r>
      <w:r w:rsidRPr="002B292D">
        <w:t>10</w:t>
      </w:r>
      <w:r>
        <w:t xml:space="preserve"> </w:t>
      </w:r>
      <w:r w:rsidRPr="002B292D">
        <w:t>days,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only</w:t>
      </w:r>
      <w:r>
        <w:t xml:space="preserve"> </w:t>
      </w:r>
      <w:r w:rsidRPr="002B292D">
        <w:t>provided</w:t>
      </w:r>
      <w:r>
        <w:t xml:space="preserve"> </w:t>
      </w:r>
      <w:r w:rsidRPr="002B292D">
        <w:t>with</w:t>
      </w:r>
      <w:r>
        <w:t xml:space="preserve"> </w:t>
      </w:r>
      <w:r w:rsidRPr="002B292D">
        <w:t>an</w:t>
      </w:r>
      <w:r>
        <w:t xml:space="preserve"> </w:t>
      </w:r>
      <w:r w:rsidRPr="002B292D">
        <w:t>incomplete</w:t>
      </w:r>
      <w:r>
        <w:t xml:space="preserve"> </w:t>
      </w:r>
      <w:r w:rsidRPr="002B292D">
        <w:t>and</w:t>
      </w:r>
      <w:r>
        <w:t xml:space="preserve"> </w:t>
      </w:r>
      <w:r w:rsidRPr="002B292D">
        <w:t>inaccurate</w:t>
      </w:r>
      <w:r>
        <w:t xml:space="preserve"> </w:t>
      </w:r>
      <w:r w:rsidRPr="002B292D">
        <w:t>trial</w:t>
      </w:r>
      <w:r>
        <w:t xml:space="preserve"> </w:t>
      </w:r>
      <w:r w:rsidRPr="002B292D">
        <w:t>report,</w:t>
      </w:r>
      <w:r>
        <w:t xml:space="preserve"> </w:t>
      </w:r>
      <w:r w:rsidRPr="002B292D">
        <w:t>11</w:t>
      </w:r>
      <w:r>
        <w:t xml:space="preserve"> </w:t>
      </w:r>
      <w:r w:rsidRPr="002B292D">
        <w:t>days</w:t>
      </w:r>
      <w:r>
        <w:t xml:space="preserve"> </w:t>
      </w:r>
      <w:r w:rsidRPr="002B292D">
        <w:t>after</w:t>
      </w:r>
      <w:r>
        <w:t xml:space="preserve"> </w:t>
      </w:r>
      <w:r w:rsidRPr="002B292D">
        <w:t>the</w:t>
      </w:r>
      <w:r>
        <w:t xml:space="preserve"> </w:t>
      </w:r>
      <w:r w:rsidRPr="002B292D">
        <w:t>judgment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rendered.</w:t>
      </w:r>
    </w:p>
    <w:p w:rsidR="000D3068" w:rsidRPr="002B292D" w:rsidRDefault="000D3068" w:rsidP="00533F65">
      <w:pPr>
        <w:pStyle w:val="SingleTxtG"/>
      </w:pPr>
      <w:r w:rsidRPr="002B292D">
        <w:t>5.9</w:t>
      </w:r>
      <w:r w:rsidRPr="002B292D">
        <w:tab/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refers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findings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Working</w:t>
      </w:r>
      <w:r>
        <w:t xml:space="preserve"> </w:t>
      </w:r>
      <w:r w:rsidRPr="002B292D">
        <w:t>Group</w:t>
      </w:r>
      <w:r>
        <w:t xml:space="preserve"> </w:t>
      </w:r>
      <w:r w:rsidRPr="002B292D">
        <w:t>on</w:t>
      </w:r>
      <w:r>
        <w:t xml:space="preserve"> </w:t>
      </w:r>
      <w:r w:rsidRPr="002B292D">
        <w:t>Arbitrary</w:t>
      </w:r>
      <w:r>
        <w:t xml:space="preserve"> </w:t>
      </w:r>
      <w:r w:rsidRPr="002B292D">
        <w:t>Detention</w:t>
      </w:r>
      <w:r>
        <w:t xml:space="preserve"> </w:t>
      </w:r>
      <w:r w:rsidRPr="002B292D">
        <w:t>and</w:t>
      </w:r>
      <w:r>
        <w:t xml:space="preserve"> </w:t>
      </w:r>
      <w:r w:rsidRPr="002B292D">
        <w:t>argues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detention</w:t>
      </w:r>
      <w:r>
        <w:t xml:space="preserve"> </w:t>
      </w:r>
      <w:r w:rsidRPr="002B292D">
        <w:t>resulted</w:t>
      </w:r>
      <w:r>
        <w:t xml:space="preserve"> </w:t>
      </w:r>
      <w:r w:rsidRPr="002B292D">
        <w:t>from</w:t>
      </w:r>
      <w:r>
        <w:t xml:space="preserve"> </w:t>
      </w:r>
      <w:r w:rsidRPr="002B292D">
        <w:t>the</w:t>
      </w:r>
      <w:r>
        <w:t xml:space="preserve"> </w:t>
      </w:r>
      <w:r w:rsidRPr="002B292D">
        <w:t>exercise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political</w:t>
      </w:r>
      <w:r>
        <w:t xml:space="preserve"> </w:t>
      </w:r>
      <w:r w:rsidRPr="002B292D">
        <w:t>opposition</w:t>
      </w:r>
      <w:r>
        <w:t xml:space="preserve"> </w:t>
      </w:r>
      <w:r w:rsidRPr="002B292D">
        <w:t>leader</w:t>
      </w:r>
      <w:r>
        <w:t xml:space="preserve"> </w:t>
      </w:r>
      <w:r w:rsidRPr="002B292D">
        <w:t>to</w:t>
      </w:r>
      <w:r>
        <w:t xml:space="preserve"> </w:t>
      </w:r>
      <w:r w:rsidRPr="002B292D">
        <w:t>express</w:t>
      </w:r>
      <w:r>
        <w:t xml:space="preserve"> </w:t>
      </w:r>
      <w:r w:rsidRPr="002B292D">
        <w:t>views</w:t>
      </w:r>
      <w:r>
        <w:t xml:space="preserve"> </w:t>
      </w:r>
      <w:r w:rsidRPr="002B292D">
        <w:t>contrary</w:t>
      </w:r>
      <w:r>
        <w:t xml:space="preserve"> </w:t>
      </w:r>
      <w:r w:rsidRPr="002B292D">
        <w:t>to</w:t>
      </w:r>
      <w:r>
        <w:t xml:space="preserve"> </w:t>
      </w:r>
      <w:r w:rsidRPr="002B292D">
        <w:t>those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government</w:t>
      </w:r>
      <w:r>
        <w:t xml:space="preserve"> </w:t>
      </w:r>
      <w:r w:rsidRPr="002B292D">
        <w:t>authorities,</w:t>
      </w:r>
      <w:r>
        <w:t xml:space="preserve"> </w:t>
      </w:r>
      <w:r w:rsidRPr="002B292D">
        <w:t>to</w:t>
      </w:r>
      <w:r>
        <w:t xml:space="preserve"> </w:t>
      </w:r>
      <w:r w:rsidRPr="002B292D">
        <w:t>associate</w:t>
      </w:r>
      <w:r>
        <w:t xml:space="preserve"> </w:t>
      </w:r>
      <w:r w:rsidRPr="002B292D">
        <w:t>with</w:t>
      </w:r>
      <w:r>
        <w:t xml:space="preserve"> </w:t>
      </w:r>
      <w:r w:rsidRPr="002B292D">
        <w:t>his</w:t>
      </w:r>
      <w:r>
        <w:t xml:space="preserve"> </w:t>
      </w:r>
      <w:r w:rsidRPr="002B292D">
        <w:t>own</w:t>
      </w:r>
      <w:r>
        <w:t xml:space="preserve"> </w:t>
      </w:r>
      <w:r w:rsidRPr="002B292D">
        <w:t>and</w:t>
      </w:r>
      <w:r>
        <w:t xml:space="preserve"> </w:t>
      </w:r>
      <w:r w:rsidRPr="002B292D">
        <w:t>other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parties,</w:t>
      </w:r>
      <w:r>
        <w:t xml:space="preserve"> </w:t>
      </w:r>
      <w:r w:rsidRPr="002B292D">
        <w:t>and</w:t>
      </w:r>
      <w:r>
        <w:t xml:space="preserve"> </w:t>
      </w:r>
      <w:r w:rsidRPr="002B292D">
        <w:t>to</w:t>
      </w:r>
      <w:r>
        <w:t xml:space="preserve"> </w:t>
      </w:r>
      <w:r w:rsidRPr="002B292D">
        <w:t>participate</w:t>
      </w:r>
      <w:r>
        <w:t xml:space="preserve"> </w:t>
      </w:r>
      <w:r w:rsidRPr="002B292D">
        <w:t>in</w:t>
      </w:r>
      <w:r>
        <w:t xml:space="preserve"> </w:t>
      </w:r>
      <w:r w:rsidRPr="002B292D">
        <w:t>public</w:t>
      </w:r>
      <w:r>
        <w:t xml:space="preserve"> </w:t>
      </w:r>
      <w:r w:rsidRPr="002B292D">
        <w:t>life</w:t>
      </w:r>
      <w:r>
        <w:t xml:space="preserve"> </w:t>
      </w:r>
      <w:r w:rsidRPr="002B292D">
        <w:t>in</w:t>
      </w:r>
      <w:r>
        <w:t xml:space="preserve"> </w:t>
      </w:r>
      <w:r w:rsidRPr="002B292D">
        <w:t>Maldives.</w:t>
      </w:r>
      <w:r w:rsidRPr="00A035EA">
        <w:rPr>
          <w:rStyle w:val="FootnoteReference"/>
        </w:rPr>
        <w:footnoteReference w:id="33"/>
      </w:r>
      <w:r>
        <w:t xml:space="preserve"> </w:t>
      </w:r>
      <w:r w:rsidRPr="002B292D">
        <w:t>Thus,</w:t>
      </w:r>
      <w:r>
        <w:t xml:space="preserve"> </w:t>
      </w:r>
      <w:r w:rsidRPr="002B292D">
        <w:t>it</w:t>
      </w:r>
      <w:r>
        <w:t xml:space="preserve"> </w:t>
      </w:r>
      <w:r w:rsidRPr="002B292D">
        <w:t>constituted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opinion.</w:t>
      </w:r>
    </w:p>
    <w:p w:rsidR="000D3068" w:rsidRPr="002B292D" w:rsidRDefault="000D3068" w:rsidP="00533F65">
      <w:pPr>
        <w:pStyle w:val="SingleTxtG"/>
      </w:pPr>
      <w:r w:rsidRPr="002B292D">
        <w:t>5.10</w:t>
      </w:r>
      <w:r w:rsidRPr="002B292D">
        <w:tab/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light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above,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reiterates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arbitrary</w:t>
      </w:r>
      <w:r>
        <w:t xml:space="preserve"> </w:t>
      </w:r>
      <w:r w:rsidRPr="002B292D">
        <w:t>and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</w:t>
      </w:r>
      <w:r>
        <w:t xml:space="preserve"> </w:t>
      </w:r>
      <w:r w:rsidRPr="002B292D">
        <w:t>detention,</w:t>
      </w:r>
      <w:r>
        <w:t xml:space="preserve"> </w:t>
      </w:r>
      <w:r w:rsidRPr="002B292D">
        <w:t>trial,</w:t>
      </w:r>
      <w:r>
        <w:t xml:space="preserve"> </w:t>
      </w:r>
      <w:r w:rsidRPr="002B292D">
        <w:t>sentence</w:t>
      </w:r>
      <w:r>
        <w:t xml:space="preserve"> </w:t>
      </w:r>
      <w:r w:rsidRPr="002B292D">
        <w:t>and</w:t>
      </w:r>
      <w:r>
        <w:t xml:space="preserve"> </w:t>
      </w:r>
      <w:r w:rsidRPr="002B292D">
        <w:t>conviction</w:t>
      </w:r>
      <w:r>
        <w:t xml:space="preserve"> </w:t>
      </w:r>
      <w:r w:rsidRPr="002B292D">
        <w:t>on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terrorism,</w:t>
      </w:r>
      <w:r>
        <w:t xml:space="preserve"> </w:t>
      </w:r>
      <w:r w:rsidRPr="002B292D">
        <w:t>together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Act,</w:t>
      </w:r>
      <w:r>
        <w:t xml:space="preserve"> </w:t>
      </w:r>
      <w:r w:rsidRPr="002B292D">
        <w:t>constituted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  <w:r>
        <w:t xml:space="preserve"> </w:t>
      </w:r>
      <w:r w:rsidRPr="002B292D">
        <w:t>He</w:t>
      </w:r>
      <w:r>
        <w:t xml:space="preserve"> </w:t>
      </w:r>
      <w:r w:rsidRPr="002B292D">
        <w:t>points</w:t>
      </w:r>
      <w:r>
        <w:t xml:space="preserve"> </w:t>
      </w:r>
      <w:r w:rsidRPr="002B292D">
        <w:t>out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prosecution</w:t>
      </w:r>
      <w:r>
        <w:t xml:space="preserve"> </w:t>
      </w:r>
      <w:r w:rsidRPr="002B292D">
        <w:t>and</w:t>
      </w:r>
      <w:r>
        <w:t xml:space="preserve"> </w:t>
      </w:r>
      <w:r w:rsidRPr="002B292D">
        <w:t>detention</w:t>
      </w:r>
      <w:r>
        <w:t xml:space="preserve"> </w:t>
      </w:r>
      <w:r w:rsidRPr="002B292D">
        <w:t>were</w:t>
      </w:r>
      <w:r>
        <w:t xml:space="preserve"> </w:t>
      </w:r>
      <w:r w:rsidRPr="002B292D">
        <w:t>a</w:t>
      </w:r>
      <w:r>
        <w:t xml:space="preserve"> </w:t>
      </w:r>
      <w:r w:rsidRPr="002B292D">
        <w:t>result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association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Maldivian</w:t>
      </w:r>
      <w:r>
        <w:t xml:space="preserve"> </w:t>
      </w:r>
      <w:r w:rsidRPr="002B292D">
        <w:t>Democratic</w:t>
      </w:r>
      <w:r>
        <w:t xml:space="preserve"> </w:t>
      </w:r>
      <w:r w:rsidRPr="002B292D">
        <w:t>Party</w:t>
      </w:r>
      <w:r>
        <w:t xml:space="preserve"> </w:t>
      </w:r>
      <w:r w:rsidRPr="002B292D">
        <w:t>opposition</w:t>
      </w:r>
      <w:r>
        <w:t xml:space="preserve"> </w:t>
      </w:r>
      <w:r w:rsidRPr="002B292D">
        <w:t>party</w:t>
      </w:r>
      <w:r>
        <w:t xml:space="preserve"> </w:t>
      </w:r>
      <w:r w:rsidRPr="002B292D">
        <w:t>and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participation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conduct</w:t>
      </w:r>
      <w:r>
        <w:t xml:space="preserve"> </w:t>
      </w:r>
      <w:r w:rsidRPr="002B292D">
        <w:t>of</w:t>
      </w:r>
      <w:r>
        <w:t xml:space="preserve"> </w:t>
      </w:r>
      <w:r w:rsidRPr="002B292D">
        <w:t>public</w:t>
      </w:r>
      <w:r>
        <w:t xml:space="preserve"> </w:t>
      </w:r>
      <w:r w:rsidRPr="002B292D">
        <w:t>affairs</w:t>
      </w:r>
      <w:r>
        <w:t xml:space="preserve"> </w:t>
      </w:r>
      <w:r w:rsidRPr="002B292D">
        <w:t>as</w:t>
      </w:r>
      <w:r>
        <w:t xml:space="preserve"> </w:t>
      </w:r>
      <w:r w:rsidRPr="002B292D">
        <w:t>leader</w:t>
      </w:r>
      <w:r>
        <w:t xml:space="preserve"> </w:t>
      </w:r>
      <w:r w:rsidRPr="002B292D">
        <w:t>of</w:t>
      </w:r>
      <w:r>
        <w:t xml:space="preserve"> </w:t>
      </w:r>
      <w:r w:rsidRPr="002B292D">
        <w:t>that</w:t>
      </w:r>
      <w:r>
        <w:t xml:space="preserve"> </w:t>
      </w:r>
      <w:r w:rsidRPr="002B292D">
        <w:t>party,</w:t>
      </w:r>
      <w:r>
        <w:t xml:space="preserve"> </w:t>
      </w:r>
      <w:r w:rsidRPr="002B292D">
        <w:t>and</w:t>
      </w:r>
      <w:r>
        <w:t xml:space="preserve"> </w:t>
      </w:r>
      <w:r w:rsidRPr="002B292D">
        <w:t>were</w:t>
      </w:r>
      <w:r>
        <w:t xml:space="preserve"> </w:t>
      </w:r>
      <w:r w:rsidRPr="002B292D">
        <w:t>an</w:t>
      </w:r>
      <w:r>
        <w:t xml:space="preserve"> </w:t>
      </w:r>
      <w:r w:rsidRPr="002B292D">
        <w:t>attempt</w:t>
      </w:r>
      <w:r>
        <w:t xml:space="preserve"> </w:t>
      </w:r>
      <w:r w:rsidRPr="002B292D">
        <w:t>to</w:t>
      </w:r>
      <w:r>
        <w:t xml:space="preserve"> </w:t>
      </w:r>
      <w:r w:rsidRPr="002B292D">
        <w:lastRenderedPageBreak/>
        <w:t>suppress</w:t>
      </w:r>
      <w:r>
        <w:t xml:space="preserve"> </w:t>
      </w:r>
      <w:r w:rsidRPr="002B292D">
        <w:t>their</w:t>
      </w:r>
      <w:r>
        <w:t xml:space="preserve"> </w:t>
      </w:r>
      <w:r w:rsidRPr="002B292D">
        <w:t>involvement</w:t>
      </w:r>
      <w:r>
        <w:t xml:space="preserve"> </w:t>
      </w:r>
      <w:r w:rsidRPr="002B292D">
        <w:t>in</w:t>
      </w:r>
      <w:r>
        <w:t xml:space="preserve"> </w:t>
      </w:r>
      <w:r w:rsidRPr="002B292D">
        <w:t>national</w:t>
      </w:r>
      <w:r>
        <w:t xml:space="preserve"> </w:t>
      </w:r>
      <w:r w:rsidRPr="002B292D">
        <w:t>politics</w:t>
      </w:r>
      <w:r>
        <w:t xml:space="preserve"> </w:t>
      </w:r>
      <w:r w:rsidRPr="002B292D">
        <w:t>in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freedom</w:t>
      </w:r>
      <w:r>
        <w:t xml:space="preserve"> </w:t>
      </w:r>
      <w:r w:rsidRPr="002B292D">
        <w:t>of</w:t>
      </w:r>
      <w:r>
        <w:t xml:space="preserve"> </w:t>
      </w:r>
      <w:r w:rsidRPr="002B292D">
        <w:t>association</w:t>
      </w:r>
      <w:r>
        <w:t xml:space="preserve"> </w:t>
      </w:r>
      <w:r w:rsidRPr="002B292D">
        <w:t>and</w:t>
      </w:r>
      <w:r>
        <w:t xml:space="preserve"> </w:t>
      </w:r>
      <w:r w:rsidRPr="002B292D">
        <w:t>to</w:t>
      </w:r>
      <w:r>
        <w:t xml:space="preserve"> </w:t>
      </w:r>
      <w:r w:rsidRPr="002B292D">
        <w:t>take</w:t>
      </w:r>
      <w:r>
        <w:t xml:space="preserve"> </w:t>
      </w:r>
      <w:r w:rsidRPr="002B292D">
        <w:t>part</w:t>
      </w:r>
      <w:r>
        <w:t xml:space="preserve"> </w:t>
      </w:r>
      <w:r w:rsidRPr="002B292D">
        <w:t>in</w:t>
      </w:r>
      <w:r>
        <w:t xml:space="preserve"> </w:t>
      </w:r>
      <w:r w:rsidRPr="002B292D">
        <w:t>public</w:t>
      </w:r>
      <w:r>
        <w:t xml:space="preserve"> </w:t>
      </w:r>
      <w:r w:rsidRPr="002B292D">
        <w:t>affairs</w:t>
      </w:r>
      <w:r>
        <w:t xml:space="preserve"> </w:t>
      </w:r>
      <w:r w:rsidRPr="002B292D">
        <w:t>and</w:t>
      </w:r>
      <w:r>
        <w:t xml:space="preserve"> </w:t>
      </w:r>
      <w:r w:rsidRPr="002B292D">
        <w:t>be</w:t>
      </w:r>
      <w:r>
        <w:t xml:space="preserve"> </w:t>
      </w:r>
      <w:r w:rsidRPr="002B292D">
        <w:t>elected</w:t>
      </w:r>
      <w:r>
        <w:t xml:space="preserve"> </w:t>
      </w:r>
      <w:r w:rsidRPr="002B292D">
        <w:t>without</w:t>
      </w:r>
      <w:r>
        <w:t xml:space="preserve"> </w:t>
      </w:r>
      <w:r w:rsidRPr="002B292D">
        <w:t>unreasonable</w:t>
      </w:r>
      <w:r>
        <w:t xml:space="preserve"> </w:t>
      </w:r>
      <w:r w:rsidRPr="002B292D">
        <w:t>restrictions.</w:t>
      </w:r>
      <w:r w:rsidRPr="00A035EA">
        <w:rPr>
          <w:rStyle w:val="FootnoteReference"/>
        </w:rPr>
        <w:footnoteReference w:id="34"/>
      </w:r>
      <w:r w:rsidR="00995FAE">
        <w:t xml:space="preserve"> </w:t>
      </w:r>
      <w:r w:rsidRPr="002B292D">
        <w:t>He</w:t>
      </w:r>
      <w:r>
        <w:t xml:space="preserve"> </w:t>
      </w:r>
      <w:r w:rsidRPr="002B292D">
        <w:t>also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failed</w:t>
      </w:r>
      <w:r>
        <w:t xml:space="preserve"> </w:t>
      </w:r>
      <w:r w:rsidRPr="002B292D">
        <w:t>to</w:t>
      </w:r>
      <w:r>
        <w:t xml:space="preserve"> </w:t>
      </w:r>
      <w:r w:rsidRPr="002B292D">
        <w:t>provide</w:t>
      </w:r>
      <w:r>
        <w:t xml:space="preserve"> </w:t>
      </w:r>
      <w:r w:rsidRPr="002B292D">
        <w:t>any</w:t>
      </w:r>
      <w:r>
        <w:t xml:space="preserve"> </w:t>
      </w:r>
      <w:r w:rsidRPr="002B292D">
        <w:t>independent</w:t>
      </w:r>
      <w:r>
        <w:t xml:space="preserve"> </w:t>
      </w:r>
      <w:r w:rsidRPr="002B292D">
        <w:t>report</w:t>
      </w:r>
      <w:r>
        <w:t xml:space="preserve"> </w:t>
      </w:r>
      <w:r w:rsidRPr="002B292D">
        <w:t>from</w:t>
      </w:r>
      <w:r>
        <w:t xml:space="preserve"> </w:t>
      </w:r>
      <w:r w:rsidRPr="002B292D">
        <w:t>an</w:t>
      </w:r>
      <w:r>
        <w:t xml:space="preserve"> </w:t>
      </w:r>
      <w:r w:rsidRPr="002B292D">
        <w:t>international</w:t>
      </w:r>
      <w:r>
        <w:t xml:space="preserve"> </w:t>
      </w:r>
      <w:r w:rsidRPr="002B292D">
        <w:t>organization,</w:t>
      </w:r>
      <w:r>
        <w:t xml:space="preserve"> </w:t>
      </w:r>
      <w:r w:rsidRPr="002B292D">
        <w:t>a</w:t>
      </w:r>
      <w:r>
        <w:t xml:space="preserve"> </w:t>
      </w:r>
      <w:r w:rsidRPr="002B292D">
        <w:t>State,</w:t>
      </w:r>
      <w:r>
        <w:t xml:space="preserve"> </w:t>
      </w:r>
      <w:r w:rsidRPr="002B292D">
        <w:t>an</w:t>
      </w:r>
      <w:r>
        <w:t xml:space="preserve"> </w:t>
      </w:r>
      <w:r w:rsidRPr="002B292D">
        <w:t>NGO</w:t>
      </w:r>
      <w:r>
        <w:t xml:space="preserve"> </w:t>
      </w:r>
      <w:r w:rsidRPr="002B292D">
        <w:t>or</w:t>
      </w:r>
      <w:r>
        <w:t xml:space="preserve"> </w:t>
      </w:r>
      <w:r w:rsidRPr="002B292D">
        <w:t>the</w:t>
      </w:r>
      <w:r>
        <w:t xml:space="preserve"> </w:t>
      </w:r>
      <w:r w:rsidRPr="002B292D">
        <w:t>media</w:t>
      </w:r>
      <w:r>
        <w:t xml:space="preserve"> </w:t>
      </w:r>
      <w:r w:rsidRPr="002B292D">
        <w:t>to</w:t>
      </w:r>
      <w:r>
        <w:t xml:space="preserve"> </w:t>
      </w:r>
      <w:r w:rsidRPr="002B292D">
        <w:t>support</w:t>
      </w:r>
      <w:r>
        <w:t xml:space="preserve"> </w:t>
      </w:r>
      <w:r w:rsidRPr="002B292D">
        <w:t>its</w:t>
      </w:r>
      <w:r>
        <w:t xml:space="preserve"> </w:t>
      </w:r>
      <w:r w:rsidRPr="002B292D">
        <w:t>assertion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prosecution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motivated.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contrary,</w:t>
      </w:r>
      <w:r>
        <w:t xml:space="preserve"> </w:t>
      </w:r>
      <w:r w:rsidRPr="002B292D">
        <w:t>credible</w:t>
      </w:r>
      <w:r>
        <w:t xml:space="preserve"> </w:t>
      </w:r>
      <w:r w:rsidRPr="002B292D">
        <w:t>reports</w:t>
      </w:r>
      <w:r>
        <w:t xml:space="preserve"> </w:t>
      </w:r>
      <w:r w:rsidRPr="002B292D">
        <w:t>indicate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</w:t>
      </w:r>
      <w:r>
        <w:t xml:space="preserve"> </w:t>
      </w:r>
      <w:r w:rsidRPr="002B292D">
        <w:t>was</w:t>
      </w:r>
      <w:r>
        <w:t xml:space="preserve"> </w:t>
      </w:r>
      <w:r w:rsidRPr="002B292D">
        <w:t>adopted</w:t>
      </w:r>
      <w:r>
        <w:t xml:space="preserve"> </w:t>
      </w:r>
      <w:r w:rsidRPr="002B292D">
        <w:t>to</w:t>
      </w:r>
      <w:r>
        <w:t xml:space="preserve"> </w:t>
      </w:r>
      <w:r w:rsidRPr="002B292D">
        <w:t>target</w:t>
      </w:r>
      <w:r>
        <w:t xml:space="preserve"> </w:t>
      </w:r>
      <w:r w:rsidRPr="002B292D">
        <w:t>him</w:t>
      </w:r>
      <w:r>
        <w:t xml:space="preserve"> </w:t>
      </w:r>
      <w:r w:rsidRPr="002B292D">
        <w:t>and</w:t>
      </w:r>
      <w:r>
        <w:t xml:space="preserve"> </w:t>
      </w:r>
      <w:r w:rsidRPr="002B292D">
        <w:t>to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taking</w:t>
      </w:r>
      <w:r>
        <w:t xml:space="preserve"> </w:t>
      </w:r>
      <w:r w:rsidRPr="002B292D">
        <w:t>part</w:t>
      </w:r>
      <w:r>
        <w:t xml:space="preserve"> </w:t>
      </w:r>
      <w:r w:rsidRPr="002B292D">
        <w:t>in</w:t>
      </w:r>
      <w:r>
        <w:t xml:space="preserve"> </w:t>
      </w:r>
      <w:r w:rsidRPr="002B292D">
        <w:t>political</w:t>
      </w:r>
      <w:r>
        <w:t xml:space="preserve"> </w:t>
      </w:r>
      <w:r w:rsidRPr="002B292D">
        <w:t>activities.</w:t>
      </w:r>
      <w:r>
        <w:t xml:space="preserve"> </w:t>
      </w:r>
      <w:r w:rsidRPr="002B292D">
        <w:t>In</w:t>
      </w:r>
      <w:r>
        <w:t xml:space="preserve"> </w:t>
      </w:r>
      <w:r w:rsidRPr="002B292D">
        <w:t>this</w:t>
      </w:r>
      <w:r>
        <w:t xml:space="preserve"> </w:t>
      </w:r>
      <w:r w:rsidRPr="002B292D">
        <w:t>connection,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failed</w:t>
      </w:r>
      <w:r>
        <w:t xml:space="preserve"> </w:t>
      </w:r>
      <w:r w:rsidRPr="002B292D">
        <w:t>to</w:t>
      </w:r>
      <w:r>
        <w:t xml:space="preserve"> </w:t>
      </w:r>
      <w:r w:rsidRPr="002B292D">
        <w:t>explain</w:t>
      </w:r>
      <w:r>
        <w:t xml:space="preserve"> </w:t>
      </w:r>
      <w:r w:rsidRPr="002B292D">
        <w:t>how</w:t>
      </w:r>
      <w:r>
        <w:t xml:space="preserve"> </w:t>
      </w:r>
      <w:r w:rsidRPr="002B292D">
        <w:t>the</w:t>
      </w:r>
      <w:r>
        <w:t xml:space="preserve"> </w:t>
      </w:r>
      <w:r w:rsidRPr="002B292D">
        <w:t>law</w:t>
      </w:r>
      <w:r>
        <w:t xml:space="preserve"> </w:t>
      </w:r>
      <w:r w:rsidRPr="002B292D">
        <w:t>prohibiting</w:t>
      </w:r>
      <w:r>
        <w:t xml:space="preserve"> </w:t>
      </w:r>
      <w:r w:rsidRPr="002B292D">
        <w:t>convicts</w:t>
      </w:r>
      <w:r>
        <w:t xml:space="preserve"> </w:t>
      </w:r>
      <w:r w:rsidRPr="002B292D">
        <w:t>from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participation</w:t>
      </w:r>
      <w:r>
        <w:t xml:space="preserve"> </w:t>
      </w:r>
      <w:r w:rsidRPr="002B292D">
        <w:t>is</w:t>
      </w:r>
      <w:r>
        <w:t xml:space="preserve"> </w:t>
      </w:r>
      <w:r w:rsidRPr="002B292D">
        <w:t>consistent</w:t>
      </w:r>
      <w:r>
        <w:t xml:space="preserve"> </w:t>
      </w:r>
      <w:r w:rsidRPr="002B292D">
        <w:t>with</w:t>
      </w:r>
      <w:r>
        <w:t xml:space="preserve"> </w:t>
      </w:r>
      <w:r w:rsidRPr="002B292D">
        <w:t>its</w:t>
      </w:r>
      <w:r>
        <w:t xml:space="preserve"> </w:t>
      </w:r>
      <w:r w:rsidRPr="002B292D">
        <w:t>obligations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  <w:r>
        <w:t xml:space="preserve"> </w:t>
      </w:r>
    </w:p>
    <w:p w:rsidR="000D3068" w:rsidRPr="002B292D" w:rsidRDefault="000D3068" w:rsidP="001C6EF3">
      <w:pPr>
        <w:pStyle w:val="H23G"/>
      </w:pPr>
      <w:r w:rsidRPr="002B292D">
        <w:tab/>
      </w:r>
      <w:r w:rsidRPr="002B292D">
        <w:tab/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failure</w:t>
      </w:r>
      <w:r>
        <w:t xml:space="preserve"> </w:t>
      </w:r>
      <w:r w:rsidRPr="002B292D">
        <w:t>to</w:t>
      </w:r>
      <w:r>
        <w:t xml:space="preserve"> </w:t>
      </w:r>
      <w:r w:rsidRPr="002B292D">
        <w:t>cooperate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procedure</w:t>
      </w:r>
      <w:r>
        <w:t xml:space="preserve"> </w:t>
      </w:r>
      <w:r w:rsidRPr="002B292D">
        <w:t>concerning</w:t>
      </w:r>
      <w:r>
        <w:t xml:space="preserve"> </w:t>
      </w:r>
      <w:r w:rsidRPr="002B292D">
        <w:t>communication</w:t>
      </w:r>
      <w:r>
        <w:t xml:space="preserve"> </w:t>
      </w:r>
      <w:r w:rsidR="001C6EF3">
        <w:br/>
      </w:r>
      <w:r w:rsidRPr="002B292D">
        <w:t>No.</w:t>
      </w:r>
      <w:r>
        <w:t xml:space="preserve"> </w:t>
      </w:r>
      <w:r w:rsidRPr="002B292D">
        <w:t>2270/2013</w:t>
      </w:r>
    </w:p>
    <w:p w:rsidR="000D3068" w:rsidRPr="002B292D" w:rsidRDefault="000D3068" w:rsidP="00533F65">
      <w:pPr>
        <w:pStyle w:val="SingleTxtG"/>
      </w:pPr>
      <w:r w:rsidRPr="002B292D">
        <w:t>6.</w:t>
      </w:r>
      <w:r w:rsidRPr="002B292D">
        <w:tab/>
        <w:t>In</w:t>
      </w:r>
      <w:r>
        <w:t xml:space="preserve"> </w:t>
      </w:r>
      <w:r w:rsidRPr="002B292D">
        <w:t>notes</w:t>
      </w:r>
      <w:r>
        <w:t xml:space="preserve"> </w:t>
      </w:r>
      <w:r w:rsidRPr="002B292D">
        <w:t>verbales</w:t>
      </w:r>
      <w:r>
        <w:t xml:space="preserve"> </w:t>
      </w:r>
      <w:r w:rsidRPr="002B292D">
        <w:t>dated</w:t>
      </w:r>
      <w:r>
        <w:t xml:space="preserve"> </w:t>
      </w:r>
      <w:r w:rsidRPr="002B292D">
        <w:t>17</w:t>
      </w:r>
      <w:r>
        <w:t xml:space="preserve"> </w:t>
      </w:r>
      <w:r w:rsidRPr="002B292D">
        <w:t>July</w:t>
      </w:r>
      <w:r>
        <w:t xml:space="preserve"> </w:t>
      </w:r>
      <w:r w:rsidRPr="002B292D">
        <w:t>2013,</w:t>
      </w:r>
      <w:r>
        <w:t xml:space="preserve"> </w:t>
      </w:r>
      <w:r w:rsidRPr="002B292D">
        <w:t>11</w:t>
      </w:r>
      <w:r>
        <w:t xml:space="preserve"> </w:t>
      </w:r>
      <w:r w:rsidRPr="002B292D">
        <w:t>February</w:t>
      </w:r>
      <w:r>
        <w:t xml:space="preserve"> </w:t>
      </w:r>
      <w:r w:rsidRPr="002B292D">
        <w:t>2015,</w:t>
      </w:r>
      <w:r>
        <w:t xml:space="preserve"> </w:t>
      </w:r>
      <w:r w:rsidRPr="002B292D">
        <w:t>25</w:t>
      </w:r>
      <w:r>
        <w:t xml:space="preserve"> </w:t>
      </w:r>
      <w:r w:rsidRPr="002B292D">
        <w:t>November</w:t>
      </w:r>
      <w:r>
        <w:t xml:space="preserve"> </w:t>
      </w:r>
      <w:r w:rsidRPr="002B292D">
        <w:t>2015</w:t>
      </w:r>
      <w:r>
        <w:t xml:space="preserve"> </w:t>
      </w:r>
      <w:r w:rsidRPr="002B292D">
        <w:t>and</w:t>
      </w:r>
      <w:r>
        <w:t xml:space="preserve"> </w:t>
      </w:r>
      <w:r w:rsidRPr="002B292D">
        <w:t>1</w:t>
      </w:r>
      <w:r>
        <w:t xml:space="preserve"> </w:t>
      </w:r>
      <w:r w:rsidRPr="002B292D">
        <w:t>February</w:t>
      </w:r>
      <w:r>
        <w:t xml:space="preserve"> </w:t>
      </w:r>
      <w:r w:rsidRPr="002B292D">
        <w:t>2017,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requested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to</w:t>
      </w:r>
      <w:r>
        <w:t xml:space="preserve"> </w:t>
      </w:r>
      <w:r w:rsidRPr="002B292D">
        <w:t>submit</w:t>
      </w:r>
      <w:r>
        <w:t xml:space="preserve"> </w:t>
      </w:r>
      <w:r w:rsidRPr="002B292D">
        <w:t>to</w:t>
      </w:r>
      <w:r>
        <w:t xml:space="preserve"> </w:t>
      </w:r>
      <w:r w:rsidRPr="002B292D">
        <w:t>it</w:t>
      </w:r>
      <w:r>
        <w:t xml:space="preserve"> </w:t>
      </w:r>
      <w:r w:rsidRPr="002B292D">
        <w:t>information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admissibility</w:t>
      </w:r>
      <w:r>
        <w:t xml:space="preserve"> </w:t>
      </w:r>
      <w:r w:rsidRPr="002B292D">
        <w:t>and</w:t>
      </w:r>
      <w:r>
        <w:t xml:space="preserve"> </w:t>
      </w:r>
      <w:r w:rsidRPr="002B292D">
        <w:t>merits</w:t>
      </w:r>
      <w:r>
        <w:t xml:space="preserve"> </w:t>
      </w:r>
      <w:r w:rsidRPr="002B292D">
        <w:t>of</w:t>
      </w:r>
      <w:r>
        <w:t xml:space="preserve"> </w:t>
      </w:r>
      <w:r w:rsidRPr="002B292D"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2270/2013.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notes</w:t>
      </w:r>
      <w:r>
        <w:t xml:space="preserve"> </w:t>
      </w:r>
      <w:r w:rsidRPr="002B292D">
        <w:t>that</w:t>
      </w:r>
      <w:r>
        <w:t xml:space="preserve"> </w:t>
      </w:r>
      <w:r w:rsidRPr="002B292D">
        <w:t>this</w:t>
      </w:r>
      <w:r>
        <w:t xml:space="preserve"> </w:t>
      </w:r>
      <w:r w:rsidRPr="002B292D">
        <w:t>information</w:t>
      </w:r>
      <w:r>
        <w:t xml:space="preserve"> </w:t>
      </w:r>
      <w:r w:rsidRPr="002B292D">
        <w:t>has</w:t>
      </w:r>
      <w:r>
        <w:t xml:space="preserve"> </w:t>
      </w:r>
      <w:r w:rsidRPr="002B292D">
        <w:t>not</w:t>
      </w:r>
      <w:r>
        <w:t xml:space="preserve"> </w:t>
      </w:r>
      <w:r w:rsidRPr="002B292D">
        <w:t>been</w:t>
      </w:r>
      <w:r>
        <w:t xml:space="preserve"> </w:t>
      </w:r>
      <w:r w:rsidRPr="002B292D">
        <w:t>received.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regrets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failure</w:t>
      </w:r>
      <w:r>
        <w:t xml:space="preserve"> </w:t>
      </w:r>
      <w:r w:rsidRPr="002B292D">
        <w:t>to</w:t>
      </w:r>
      <w:r>
        <w:t xml:space="preserve"> </w:t>
      </w:r>
      <w:r w:rsidRPr="002B292D">
        <w:t>provide</w:t>
      </w:r>
      <w:r>
        <w:t xml:space="preserve"> </w:t>
      </w:r>
      <w:r w:rsidRPr="002B292D">
        <w:t>any</w:t>
      </w:r>
      <w:r>
        <w:t xml:space="preserve"> </w:t>
      </w:r>
      <w:r w:rsidRPr="002B292D">
        <w:t>information</w:t>
      </w:r>
      <w:r>
        <w:t xml:space="preserve"> </w:t>
      </w:r>
      <w:r w:rsidRPr="002B292D">
        <w:t>with</w:t>
      </w:r>
      <w:r>
        <w:t xml:space="preserve"> </w:t>
      </w:r>
      <w:r w:rsidRPr="002B292D">
        <w:t>regard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admissibility</w:t>
      </w:r>
      <w:r>
        <w:t xml:space="preserve"> </w:t>
      </w:r>
      <w:r w:rsidRPr="002B292D">
        <w:t>or</w:t>
      </w:r>
      <w:r>
        <w:t xml:space="preserve"> </w:t>
      </w:r>
      <w:r w:rsidRPr="002B292D">
        <w:t>the</w:t>
      </w:r>
      <w:r>
        <w:t xml:space="preserve"> </w:t>
      </w:r>
      <w:r w:rsidRPr="002B292D">
        <w:t>substance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claims.</w:t>
      </w:r>
      <w:r>
        <w:t xml:space="preserve"> </w:t>
      </w:r>
      <w:r w:rsidRPr="002B292D">
        <w:t>It</w:t>
      </w:r>
      <w:r>
        <w:t xml:space="preserve"> </w:t>
      </w:r>
      <w:r w:rsidRPr="002B292D">
        <w:t>recalls</w:t>
      </w:r>
      <w:r>
        <w:t xml:space="preserve"> </w:t>
      </w:r>
      <w:r w:rsidRPr="002B292D">
        <w:t>that</w:t>
      </w:r>
      <w:r>
        <w:t xml:space="preserve"> </w:t>
      </w:r>
      <w:r w:rsidRPr="002B292D">
        <w:t>article</w:t>
      </w:r>
      <w:r>
        <w:t xml:space="preserve"> </w:t>
      </w:r>
      <w:r w:rsidRPr="002B292D">
        <w:t>4</w:t>
      </w:r>
      <w:r>
        <w:t xml:space="preserve"> </w:t>
      </w:r>
      <w:r w:rsidRPr="002B292D">
        <w:t>(2)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</w:t>
      </w:r>
      <w:r>
        <w:t xml:space="preserve"> </w:t>
      </w:r>
      <w:r w:rsidRPr="002B292D">
        <w:t>obliges</w:t>
      </w:r>
      <w:r>
        <w:t xml:space="preserve"> </w:t>
      </w:r>
      <w:r w:rsidRPr="002B292D">
        <w:t>States</w:t>
      </w:r>
      <w:r>
        <w:t xml:space="preserve"> </w:t>
      </w:r>
      <w:r w:rsidRPr="002B292D">
        <w:t>parties</w:t>
      </w:r>
      <w:r>
        <w:t xml:space="preserve"> </w:t>
      </w:r>
      <w:r w:rsidRPr="002B292D">
        <w:t>to</w:t>
      </w:r>
      <w:r>
        <w:t xml:space="preserve"> </w:t>
      </w:r>
      <w:r w:rsidRPr="002B292D">
        <w:t>examine</w:t>
      </w:r>
      <w:r>
        <w:t xml:space="preserve"> </w:t>
      </w:r>
      <w:r w:rsidRPr="002B292D">
        <w:t>in</w:t>
      </w:r>
      <w:r>
        <w:t xml:space="preserve"> </w:t>
      </w:r>
      <w:r w:rsidRPr="002B292D">
        <w:t>good</w:t>
      </w:r>
      <w:r>
        <w:t xml:space="preserve"> </w:t>
      </w:r>
      <w:r w:rsidRPr="002B292D">
        <w:t>faith</w:t>
      </w:r>
      <w:r>
        <w:t xml:space="preserve"> </w:t>
      </w:r>
      <w:r w:rsidRPr="002B292D">
        <w:t>all</w:t>
      </w:r>
      <w:r>
        <w:t xml:space="preserve"> </w:t>
      </w:r>
      <w:r w:rsidRPr="002B292D">
        <w:t>allegations</w:t>
      </w:r>
      <w:r>
        <w:t xml:space="preserve"> </w:t>
      </w:r>
      <w:r w:rsidRPr="002B292D">
        <w:t>brought</w:t>
      </w:r>
      <w:r>
        <w:t xml:space="preserve"> </w:t>
      </w:r>
      <w:r w:rsidRPr="002B292D">
        <w:t>against</w:t>
      </w:r>
      <w:r>
        <w:t xml:space="preserve"> </w:t>
      </w:r>
      <w:r w:rsidRPr="002B292D">
        <w:t>them</w:t>
      </w:r>
      <w:r>
        <w:t xml:space="preserve"> </w:t>
      </w:r>
      <w:r w:rsidRPr="002B292D">
        <w:t>and</w:t>
      </w:r>
      <w:r>
        <w:t xml:space="preserve"> </w:t>
      </w:r>
      <w:r w:rsidRPr="002B292D">
        <w:t>to</w:t>
      </w:r>
      <w:r>
        <w:t xml:space="preserve"> </w:t>
      </w:r>
      <w:r w:rsidRPr="002B292D">
        <w:t>make</w:t>
      </w:r>
      <w:r>
        <w:t xml:space="preserve"> </w:t>
      </w:r>
      <w:r w:rsidRPr="002B292D">
        <w:t>available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all</w:t>
      </w:r>
      <w:r>
        <w:t xml:space="preserve"> </w:t>
      </w:r>
      <w:r w:rsidRPr="002B292D">
        <w:t>information</w:t>
      </w:r>
      <w:r>
        <w:t xml:space="preserve"> </w:t>
      </w:r>
      <w:r w:rsidRPr="002B292D">
        <w:t>at</w:t>
      </w:r>
      <w:r>
        <w:t xml:space="preserve"> </w:t>
      </w:r>
      <w:r w:rsidRPr="002B292D">
        <w:t>their</w:t>
      </w:r>
      <w:r>
        <w:t xml:space="preserve"> </w:t>
      </w:r>
      <w:r w:rsidRPr="002B292D">
        <w:t>disposal.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absence</w:t>
      </w:r>
      <w:r>
        <w:t xml:space="preserve"> </w:t>
      </w:r>
      <w:r w:rsidRPr="002B292D">
        <w:t>of</w:t>
      </w:r>
      <w:r>
        <w:t xml:space="preserve"> </w:t>
      </w:r>
      <w:r w:rsidRPr="002B292D">
        <w:t>a</w:t>
      </w:r>
      <w:r>
        <w:t xml:space="preserve"> </w:t>
      </w:r>
      <w:r w:rsidRPr="002B292D">
        <w:t>reply</w:t>
      </w:r>
      <w:r>
        <w:t xml:space="preserve"> </w:t>
      </w:r>
      <w:r w:rsidRPr="002B292D">
        <w:t>from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party,</w:t>
      </w:r>
      <w:r>
        <w:t xml:space="preserve"> </w:t>
      </w:r>
      <w:r w:rsidRPr="002B292D">
        <w:t>due</w:t>
      </w:r>
      <w:r>
        <w:t xml:space="preserve"> </w:t>
      </w:r>
      <w:r w:rsidRPr="002B292D">
        <w:t>weight</w:t>
      </w:r>
      <w:r>
        <w:t xml:space="preserve"> </w:t>
      </w:r>
      <w:r w:rsidRPr="002B292D">
        <w:t>must</w:t>
      </w:r>
      <w:r>
        <w:t xml:space="preserve"> </w:t>
      </w:r>
      <w:r w:rsidRPr="002B292D">
        <w:t>be</w:t>
      </w:r>
      <w:r>
        <w:t xml:space="preserve"> </w:t>
      </w:r>
      <w:r w:rsidRPr="002B292D">
        <w:t>given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allegations,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extent</w:t>
      </w:r>
      <w:r>
        <w:t xml:space="preserve"> </w:t>
      </w:r>
      <w:r w:rsidRPr="002B292D">
        <w:t>that</w:t>
      </w:r>
      <w:r>
        <w:t xml:space="preserve"> </w:t>
      </w:r>
      <w:r w:rsidRPr="002B292D">
        <w:t>they</w:t>
      </w:r>
      <w:r>
        <w:t xml:space="preserve"> </w:t>
      </w:r>
      <w:r w:rsidRPr="002B292D">
        <w:t>are</w:t>
      </w:r>
      <w:r>
        <w:t xml:space="preserve"> </w:t>
      </w:r>
      <w:r w:rsidRPr="002B292D">
        <w:t>substantiated.</w:t>
      </w:r>
      <w:r w:rsidRPr="00744EE1">
        <w:rPr>
          <w:rStyle w:val="FootnoteReference"/>
        </w:rPr>
        <w:footnoteReference w:id="35"/>
      </w:r>
    </w:p>
    <w:p w:rsidR="000D3068" w:rsidRPr="002B292D" w:rsidRDefault="000D3068" w:rsidP="000E076D">
      <w:pPr>
        <w:pStyle w:val="H23G"/>
      </w:pPr>
      <w:r w:rsidRPr="002B292D">
        <w:tab/>
      </w:r>
      <w:r w:rsidRPr="002B292D">
        <w:tab/>
        <w:t>Issues</w:t>
      </w:r>
      <w:r>
        <w:t xml:space="preserve"> </w:t>
      </w:r>
      <w:r w:rsidRPr="002B292D">
        <w:t>and</w:t>
      </w:r>
      <w:r>
        <w:t xml:space="preserve"> </w:t>
      </w:r>
      <w:r w:rsidRPr="002B292D">
        <w:t>proceedings</w:t>
      </w:r>
      <w:r>
        <w:t xml:space="preserve"> </w:t>
      </w:r>
      <w:r w:rsidRPr="002B292D">
        <w:t>before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</w:p>
    <w:p w:rsidR="000D3068" w:rsidRPr="002B292D" w:rsidRDefault="000D3068" w:rsidP="000E076D">
      <w:pPr>
        <w:pStyle w:val="H4G"/>
      </w:pPr>
      <w:r w:rsidRPr="002B292D">
        <w:tab/>
      </w:r>
      <w:r w:rsidRPr="002B292D">
        <w:tab/>
        <w:t>Consideration</w:t>
      </w:r>
      <w:r>
        <w:t xml:space="preserve"> </w:t>
      </w:r>
      <w:r w:rsidRPr="002B292D">
        <w:t>of</w:t>
      </w:r>
      <w:r>
        <w:t xml:space="preserve"> </w:t>
      </w:r>
      <w:r w:rsidRPr="002B292D">
        <w:t>admissibility</w:t>
      </w:r>
    </w:p>
    <w:p w:rsidR="000D3068" w:rsidRPr="002B292D" w:rsidRDefault="000D3068" w:rsidP="00533F65">
      <w:pPr>
        <w:pStyle w:val="SingleTxtG"/>
      </w:pPr>
      <w:r w:rsidRPr="002B292D">
        <w:t>7.1</w:t>
      </w:r>
      <w:r w:rsidRPr="002B292D">
        <w:tab/>
        <w:t>Before</w:t>
      </w:r>
      <w:r>
        <w:t xml:space="preserve"> </w:t>
      </w:r>
      <w:r w:rsidRPr="002B292D">
        <w:t>considering</w:t>
      </w:r>
      <w:r>
        <w:t xml:space="preserve"> </w:t>
      </w:r>
      <w:r w:rsidRPr="002B292D">
        <w:t>any</w:t>
      </w:r>
      <w:r>
        <w:t xml:space="preserve"> </w:t>
      </w:r>
      <w:r w:rsidRPr="002B292D">
        <w:t>claim</w:t>
      </w:r>
      <w:r>
        <w:t xml:space="preserve"> </w:t>
      </w:r>
      <w:r w:rsidRPr="002B292D">
        <w:t>contained</w:t>
      </w:r>
      <w:r>
        <w:t xml:space="preserve"> </w:t>
      </w:r>
      <w:r w:rsidRPr="002B292D">
        <w:t>in</w:t>
      </w:r>
      <w:r>
        <w:t xml:space="preserve"> </w:t>
      </w:r>
      <w:r w:rsidRPr="002B292D">
        <w:t>a</w:t>
      </w:r>
      <w:r>
        <w:t xml:space="preserve"> </w:t>
      </w:r>
      <w:r w:rsidRPr="002B292D">
        <w:t>communication,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must</w:t>
      </w:r>
      <w:r>
        <w:t xml:space="preserve"> </w:t>
      </w:r>
      <w:r w:rsidRPr="002B292D">
        <w:t>decide,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rule</w:t>
      </w:r>
      <w:r>
        <w:t xml:space="preserve"> </w:t>
      </w:r>
      <w:r w:rsidRPr="002B292D">
        <w:t>93</w:t>
      </w:r>
      <w:r>
        <w:t xml:space="preserve"> </w:t>
      </w:r>
      <w:r w:rsidRPr="002B292D">
        <w:t>of</w:t>
      </w:r>
      <w:r>
        <w:t xml:space="preserve"> </w:t>
      </w:r>
      <w:r w:rsidRPr="002B292D">
        <w:t>its</w:t>
      </w:r>
      <w:r>
        <w:t xml:space="preserve"> </w:t>
      </w:r>
      <w:r w:rsidRPr="002B292D">
        <w:t>rules</w:t>
      </w:r>
      <w:r>
        <w:t xml:space="preserve"> </w:t>
      </w:r>
      <w:r w:rsidRPr="002B292D">
        <w:t>of</w:t>
      </w:r>
      <w:r>
        <w:t xml:space="preserve"> </w:t>
      </w:r>
      <w:r w:rsidRPr="002B292D">
        <w:t>procedure,</w:t>
      </w:r>
      <w:r>
        <w:t xml:space="preserve"> </w:t>
      </w:r>
      <w:r w:rsidRPr="002B292D">
        <w:t>whether</w:t>
      </w:r>
      <w:r>
        <w:t xml:space="preserve"> </w:t>
      </w:r>
      <w:r w:rsidRPr="002B292D">
        <w:t>the</w:t>
      </w:r>
      <w:r>
        <w:t xml:space="preserve"> </w:t>
      </w:r>
      <w:r w:rsidRPr="002B292D">
        <w:t>communication</w:t>
      </w:r>
      <w:r>
        <w:t xml:space="preserve"> </w:t>
      </w:r>
      <w:r w:rsidRPr="002B292D">
        <w:t>is</w:t>
      </w:r>
      <w:r>
        <w:t xml:space="preserve"> </w:t>
      </w:r>
      <w:r w:rsidRPr="002B292D">
        <w:t>admissible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Protocol.</w:t>
      </w:r>
    </w:p>
    <w:p w:rsidR="000D3068" w:rsidRPr="002B292D" w:rsidRDefault="000D3068" w:rsidP="00533F65">
      <w:pPr>
        <w:pStyle w:val="SingleTxtG"/>
      </w:pPr>
      <w:r w:rsidRPr="002B292D">
        <w:t>7.2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has</w:t>
      </w:r>
      <w:r>
        <w:t xml:space="preserve"> </w:t>
      </w:r>
      <w:r w:rsidRPr="002B292D">
        <w:t>ascertained,</w:t>
      </w:r>
      <w:r>
        <w:t xml:space="preserve"> </w:t>
      </w:r>
      <w:r w:rsidRPr="002B292D">
        <w:t>as</w:t>
      </w:r>
      <w:r>
        <w:t xml:space="preserve"> </w:t>
      </w:r>
      <w:r w:rsidRPr="002B292D">
        <w:t>required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5</w:t>
      </w:r>
      <w:r>
        <w:t xml:space="preserve"> </w:t>
      </w:r>
      <w:r w:rsidRPr="002B292D">
        <w:t>(2)</w:t>
      </w:r>
      <w:r>
        <w:t xml:space="preserve"> </w:t>
      </w:r>
      <w:r w:rsidRPr="002B292D">
        <w:t>(a)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Protocol,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same</w:t>
      </w:r>
      <w:r>
        <w:t xml:space="preserve"> </w:t>
      </w:r>
      <w:r w:rsidRPr="002B292D">
        <w:t>matter</w:t>
      </w:r>
      <w:r>
        <w:t xml:space="preserve"> </w:t>
      </w:r>
      <w:r w:rsidRPr="002B292D">
        <w:t>is</w:t>
      </w:r>
      <w:r>
        <w:t xml:space="preserve"> </w:t>
      </w:r>
      <w:r w:rsidRPr="002B292D">
        <w:t>not</w:t>
      </w:r>
      <w:r>
        <w:t xml:space="preserve"> </w:t>
      </w:r>
      <w:r w:rsidRPr="002B292D">
        <w:t>being</w:t>
      </w:r>
      <w:r>
        <w:t xml:space="preserve"> </w:t>
      </w:r>
      <w:r w:rsidRPr="002B292D">
        <w:t>examined</w:t>
      </w:r>
      <w:r>
        <w:t xml:space="preserve"> </w:t>
      </w:r>
      <w:r w:rsidRPr="002B292D">
        <w:t>under</w:t>
      </w:r>
      <w:r>
        <w:t xml:space="preserve"> </w:t>
      </w:r>
      <w:r w:rsidRPr="002B292D">
        <w:t>another</w:t>
      </w:r>
      <w:r>
        <w:t xml:space="preserve"> </w:t>
      </w:r>
      <w:r w:rsidRPr="002B292D">
        <w:t>procedure</w:t>
      </w:r>
      <w:r>
        <w:t xml:space="preserve"> </w:t>
      </w:r>
      <w:r w:rsidRPr="002B292D">
        <w:t>of</w:t>
      </w:r>
      <w:r>
        <w:t xml:space="preserve"> </w:t>
      </w:r>
      <w:r w:rsidRPr="002B292D">
        <w:t>international</w:t>
      </w:r>
      <w:r>
        <w:t xml:space="preserve"> </w:t>
      </w:r>
      <w:r w:rsidRPr="002B292D">
        <w:t>investigation</w:t>
      </w:r>
      <w:r>
        <w:t xml:space="preserve"> </w:t>
      </w:r>
      <w:r w:rsidRPr="002B292D">
        <w:t>or</w:t>
      </w:r>
      <w:r>
        <w:t xml:space="preserve"> </w:t>
      </w:r>
      <w:r w:rsidRPr="002B292D">
        <w:t>settlement.</w:t>
      </w:r>
    </w:p>
    <w:p w:rsidR="000D3068" w:rsidRPr="002B292D" w:rsidRDefault="000D3068" w:rsidP="00533F65">
      <w:pPr>
        <w:pStyle w:val="SingleTxtG"/>
      </w:pPr>
      <w:r w:rsidRPr="002B292D">
        <w:t>7.3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notes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claim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has</w:t>
      </w:r>
      <w:r>
        <w:t xml:space="preserve"> </w:t>
      </w:r>
      <w:r w:rsidRPr="002B292D">
        <w:t>exhausted</w:t>
      </w:r>
      <w:r>
        <w:t xml:space="preserve"> </w:t>
      </w:r>
      <w:r w:rsidRPr="002B292D">
        <w:t>all</w:t>
      </w:r>
      <w:r>
        <w:t xml:space="preserve"> </w:t>
      </w:r>
      <w:r w:rsidRPr="002B292D">
        <w:t>effective</w:t>
      </w:r>
      <w:r>
        <w:t xml:space="preserve"> </w:t>
      </w:r>
      <w:r w:rsidRPr="002B292D">
        <w:t>domestic</w:t>
      </w:r>
      <w:r>
        <w:t xml:space="preserve"> </w:t>
      </w:r>
      <w:r w:rsidRPr="002B292D">
        <w:t>remedies</w:t>
      </w:r>
      <w:r>
        <w:t xml:space="preserve"> </w:t>
      </w:r>
      <w:r w:rsidRPr="002B292D">
        <w:t>available</w:t>
      </w:r>
      <w:r>
        <w:t xml:space="preserve"> </w:t>
      </w:r>
      <w:r w:rsidRPr="002B292D">
        <w:t>to</w:t>
      </w:r>
      <w:r>
        <w:t xml:space="preserve"> </w:t>
      </w:r>
      <w:r w:rsidRPr="002B292D">
        <w:t>him.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absence</w:t>
      </w:r>
      <w:r>
        <w:t xml:space="preserve"> </w:t>
      </w:r>
      <w:r w:rsidRPr="002B292D">
        <w:t>of</w:t>
      </w:r>
      <w:r>
        <w:t xml:space="preserve"> </w:t>
      </w:r>
      <w:r w:rsidRPr="002B292D">
        <w:t>any</w:t>
      </w:r>
      <w:r>
        <w:t xml:space="preserve"> </w:t>
      </w:r>
      <w:r w:rsidRPr="002B292D">
        <w:t>objection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in</w:t>
      </w:r>
      <w:r>
        <w:t xml:space="preserve"> </w:t>
      </w:r>
      <w:r w:rsidRPr="002B292D">
        <w:t>that</w:t>
      </w:r>
      <w:r>
        <w:t xml:space="preserve"> </w:t>
      </w:r>
      <w:r w:rsidRPr="002B292D">
        <w:t>connection,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considers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requirements</w:t>
      </w:r>
      <w:r>
        <w:t xml:space="preserve"> </w:t>
      </w:r>
      <w:r w:rsidRPr="002B292D">
        <w:t>of</w:t>
      </w:r>
      <w:r>
        <w:t xml:space="preserve"> </w:t>
      </w:r>
      <w:r w:rsidRPr="002B292D">
        <w:t>article</w:t>
      </w:r>
      <w:r>
        <w:t xml:space="preserve"> </w:t>
      </w:r>
      <w:r w:rsidRPr="002B292D">
        <w:t>5</w:t>
      </w:r>
      <w:r>
        <w:t xml:space="preserve"> </w:t>
      </w:r>
      <w:r w:rsidRPr="002B292D">
        <w:t>(2)</w:t>
      </w:r>
      <w:r>
        <w:t xml:space="preserve"> </w:t>
      </w:r>
      <w:r w:rsidRPr="002B292D">
        <w:t>(b)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met.</w:t>
      </w:r>
    </w:p>
    <w:p w:rsidR="000D3068" w:rsidRPr="002B292D" w:rsidRDefault="000D3068" w:rsidP="00533F65">
      <w:pPr>
        <w:pStyle w:val="SingleTxtG"/>
      </w:pPr>
      <w:r w:rsidRPr="002B292D">
        <w:t>7.4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notes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claims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14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in</w:t>
      </w:r>
      <w:r>
        <w:t xml:space="preserve"> </w:t>
      </w:r>
      <w:r w:rsidRPr="002B292D"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2270/2013</w:t>
      </w:r>
      <w:r>
        <w:t xml:space="preserve"> </w:t>
      </w:r>
      <w:r w:rsidRPr="002B292D">
        <w:t>regarding</w:t>
      </w:r>
      <w:r>
        <w:t xml:space="preserve"> </w:t>
      </w:r>
      <w:r w:rsidRPr="002B292D">
        <w:t>the</w:t>
      </w:r>
      <w:r>
        <w:t xml:space="preserve"> </w:t>
      </w:r>
      <w:r w:rsidRPr="002B292D">
        <w:t>initial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proceedings,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charged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81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Penal</w:t>
      </w:r>
      <w:r>
        <w:t xml:space="preserve"> </w:t>
      </w:r>
      <w:r w:rsidRPr="002B292D">
        <w:t>Code;</w:t>
      </w:r>
      <w:r>
        <w:t xml:space="preserve"> </w:t>
      </w:r>
      <w:r w:rsidRPr="002B292D">
        <w:t>and</w:t>
      </w:r>
      <w:r>
        <w:t xml:space="preserve"> </w:t>
      </w:r>
      <w:r w:rsidRPr="002B292D">
        <w:t>his</w:t>
      </w:r>
      <w:r>
        <w:t xml:space="preserve"> </w:t>
      </w:r>
      <w:r w:rsidRPr="002B292D">
        <w:t>claims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tried</w:t>
      </w:r>
      <w:r>
        <w:t xml:space="preserve"> </w:t>
      </w:r>
      <w:r w:rsidRPr="002B292D">
        <w:t>by</w:t>
      </w:r>
      <w:r>
        <w:t xml:space="preserve"> </w:t>
      </w:r>
      <w:r w:rsidRPr="002B292D">
        <w:t>a</w:t>
      </w:r>
      <w:r>
        <w:t xml:space="preserve"> </w:t>
      </w:r>
      <w:r w:rsidRPr="002B292D">
        <w:t>biased</w:t>
      </w:r>
      <w:r>
        <w:t xml:space="preserve"> </w:t>
      </w:r>
      <w:r w:rsidRPr="002B292D">
        <w:t>and</w:t>
      </w:r>
      <w:r>
        <w:t xml:space="preserve"> </w:t>
      </w:r>
      <w:r w:rsidRPr="002B292D">
        <w:t>non-independent</w:t>
      </w:r>
      <w:r>
        <w:t xml:space="preserve"> </w:t>
      </w:r>
      <w:r w:rsidRPr="002B292D">
        <w:t>court,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treated</w:t>
      </w:r>
      <w:r>
        <w:t xml:space="preserve"> </w:t>
      </w:r>
      <w:r w:rsidRPr="002B292D">
        <w:t>equally</w:t>
      </w:r>
      <w:r>
        <w:t xml:space="preserve"> </w:t>
      </w:r>
      <w:r w:rsidRPr="002B292D">
        <w:t>before</w:t>
      </w:r>
      <w:r>
        <w:t xml:space="preserve"> </w:t>
      </w:r>
      <w:r w:rsidRPr="002B292D">
        <w:t>courts</w:t>
      </w:r>
      <w:r>
        <w:t xml:space="preserve"> </w:t>
      </w:r>
      <w:r w:rsidRPr="002B292D">
        <w:t>due</w:t>
      </w:r>
      <w:r>
        <w:t xml:space="preserve"> </w:t>
      </w:r>
      <w:r w:rsidRPr="002B292D">
        <w:t>to</w:t>
      </w:r>
      <w:r>
        <w:t xml:space="preserve"> </w:t>
      </w:r>
      <w:r w:rsidRPr="002B292D">
        <w:t>his</w:t>
      </w:r>
      <w:r>
        <w:t xml:space="preserve"> </w:t>
      </w:r>
      <w:r w:rsidRPr="002B292D">
        <w:t>political</w:t>
      </w:r>
      <w:r>
        <w:t xml:space="preserve"> </w:t>
      </w:r>
      <w:r w:rsidRPr="002B292D">
        <w:t>status.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also</w:t>
      </w:r>
      <w:r>
        <w:t xml:space="preserve"> </w:t>
      </w:r>
      <w:r w:rsidRPr="002B292D">
        <w:t>notes</w:t>
      </w:r>
      <w:r>
        <w:t xml:space="preserve"> </w:t>
      </w:r>
      <w:r w:rsidRPr="002B292D">
        <w:t>that,</w:t>
      </w:r>
      <w:r>
        <w:t xml:space="preserve"> </w:t>
      </w:r>
      <w:r w:rsidRPr="002B292D">
        <w:t>although</w:t>
      </w:r>
      <w:r>
        <w:t xml:space="preserve"> </w:t>
      </w:r>
      <w:r w:rsidRPr="002B292D">
        <w:t>in</w:t>
      </w:r>
      <w:r>
        <w:t xml:space="preserve"> </w:t>
      </w:r>
      <w:r w:rsidRPr="002B292D">
        <w:t>communication</w:t>
      </w:r>
      <w:r>
        <w:t xml:space="preserve"> </w:t>
      </w:r>
      <w:r w:rsidRPr="002B292D">
        <w:t>No.</w:t>
      </w:r>
      <w:r>
        <w:t xml:space="preserve"> </w:t>
      </w:r>
      <w:r w:rsidRPr="002B292D">
        <w:t>2851/2016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did</w:t>
      </w:r>
      <w:r>
        <w:t xml:space="preserve"> </w:t>
      </w:r>
      <w:r w:rsidRPr="002B292D">
        <w:t>not</w:t>
      </w:r>
      <w:r>
        <w:t xml:space="preserve"> </w:t>
      </w:r>
      <w:r w:rsidRPr="002B292D">
        <w:t>expressly</w:t>
      </w:r>
      <w:r>
        <w:t xml:space="preserve"> </w:t>
      </w:r>
      <w:r w:rsidRPr="002B292D">
        <w:t>raise</w:t>
      </w:r>
      <w:r>
        <w:t xml:space="preserve"> </w:t>
      </w:r>
      <w:r w:rsidRPr="002B292D">
        <w:t>a</w:t>
      </w:r>
      <w:r>
        <w:t xml:space="preserve"> </w:t>
      </w:r>
      <w:r w:rsidRPr="002B292D">
        <w:t>claim</w:t>
      </w:r>
      <w:r>
        <w:t xml:space="preserve"> </w:t>
      </w:r>
      <w:r w:rsidRPr="002B292D">
        <w:t>that</w:t>
      </w:r>
      <w:r>
        <w:t xml:space="preserve"> </w:t>
      </w:r>
      <w:r w:rsidRPr="002B292D">
        <w:t>article</w:t>
      </w:r>
      <w:r>
        <w:t xml:space="preserve"> </w:t>
      </w:r>
      <w:r w:rsidRPr="002B292D">
        <w:t>14</w:t>
      </w:r>
      <w:r>
        <w:t xml:space="preserve"> </w:t>
      </w:r>
      <w:r w:rsidRPr="002B292D">
        <w:t>was</w:t>
      </w:r>
      <w:r>
        <w:t xml:space="preserve"> </w:t>
      </w:r>
      <w:r w:rsidRPr="002B292D">
        <w:t>violated</w:t>
      </w:r>
      <w:r>
        <w:t xml:space="preserve"> </w:t>
      </w:r>
      <w:r w:rsidRPr="002B292D">
        <w:t>within</w:t>
      </w:r>
      <w:r>
        <w:t xml:space="preserve"> </w:t>
      </w:r>
      <w:r w:rsidRPr="002B292D">
        <w:t>the</w:t>
      </w:r>
      <w:r>
        <w:t xml:space="preserve"> </w:t>
      </w:r>
      <w:r w:rsidRPr="002B292D">
        <w:t>second</w:t>
      </w:r>
      <w:r>
        <w:t xml:space="preserve"> </w:t>
      </w:r>
      <w:r w:rsidRPr="002B292D">
        <w:t>part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same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in</w:t>
      </w:r>
      <w:r>
        <w:t xml:space="preserve"> </w:t>
      </w:r>
      <w:r w:rsidRPr="002B292D">
        <w:t>2015,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finally</w:t>
      </w:r>
      <w:r>
        <w:t xml:space="preserve"> </w:t>
      </w:r>
      <w:r w:rsidRPr="002B292D">
        <w:t>sentenced</w:t>
      </w:r>
      <w:r>
        <w:t xml:space="preserve"> </w:t>
      </w:r>
      <w:r w:rsidRPr="002B292D">
        <w:t>and</w:t>
      </w:r>
      <w:r>
        <w:t xml:space="preserve"> </w:t>
      </w:r>
      <w:r w:rsidRPr="002B292D">
        <w:t>convicted</w:t>
      </w:r>
      <w:r>
        <w:t xml:space="preserve"> </w:t>
      </w:r>
      <w:r w:rsidRPr="002B292D">
        <w:t>on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terrorism,</w:t>
      </w:r>
      <w:r>
        <w:t xml:space="preserve"> </w:t>
      </w:r>
      <w:r w:rsidRPr="002B292D">
        <w:t>both</w:t>
      </w:r>
      <w:r>
        <w:t xml:space="preserve"> </w:t>
      </w:r>
      <w:r w:rsidRPr="002B292D">
        <w:t>parties</w:t>
      </w:r>
      <w:r>
        <w:t xml:space="preserve"> </w:t>
      </w:r>
      <w:r w:rsidRPr="002B292D">
        <w:t>have</w:t>
      </w:r>
      <w:r>
        <w:t xml:space="preserve"> </w:t>
      </w:r>
      <w:r w:rsidRPr="002B292D">
        <w:t>provided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with</w:t>
      </w:r>
      <w:r>
        <w:t xml:space="preserve"> </w:t>
      </w:r>
      <w:r w:rsidRPr="002B292D">
        <w:t>allegations</w:t>
      </w:r>
      <w:r>
        <w:t xml:space="preserve"> </w:t>
      </w:r>
      <w:r w:rsidRPr="002B292D">
        <w:t>and</w:t>
      </w:r>
      <w:r>
        <w:t xml:space="preserve"> </w:t>
      </w:r>
      <w:r w:rsidRPr="002B292D">
        <w:t>arguments</w:t>
      </w:r>
      <w:r>
        <w:t xml:space="preserve"> </w:t>
      </w:r>
      <w:r w:rsidRPr="002B292D">
        <w:t>in</w:t>
      </w:r>
      <w:r>
        <w:t xml:space="preserve"> </w:t>
      </w:r>
      <w:r w:rsidRPr="002B292D">
        <w:t>relation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fairness</w:t>
      </w:r>
      <w:r>
        <w:t xml:space="preserve"> </w:t>
      </w:r>
      <w:r w:rsidRPr="002B292D">
        <w:t>of</w:t>
      </w:r>
      <w:r>
        <w:t xml:space="preserve"> </w:t>
      </w:r>
      <w:r w:rsidRPr="002B292D">
        <w:t>that</w:t>
      </w:r>
      <w:r>
        <w:t xml:space="preserve"> </w:t>
      </w:r>
      <w:r w:rsidRPr="002B292D">
        <w:t>part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has</w:t>
      </w:r>
      <w:r>
        <w:t xml:space="preserve"> </w:t>
      </w:r>
      <w:r w:rsidRPr="002B292D">
        <w:t>referred</w:t>
      </w:r>
      <w:r>
        <w:t xml:space="preserve"> </w:t>
      </w:r>
      <w:r w:rsidRPr="002B292D">
        <w:t>to</w:t>
      </w:r>
      <w:r>
        <w:t xml:space="preserve"> </w:t>
      </w:r>
      <w:r w:rsidRPr="002B292D">
        <w:t>relevant</w:t>
      </w:r>
      <w:r>
        <w:t xml:space="preserve"> </w:t>
      </w:r>
      <w:r w:rsidRPr="002B292D">
        <w:t>reports</w:t>
      </w:r>
      <w:r>
        <w:t xml:space="preserve"> </w:t>
      </w:r>
      <w:r w:rsidRPr="002B292D">
        <w:t>and</w:t>
      </w:r>
      <w:r>
        <w:t xml:space="preserve"> </w:t>
      </w:r>
      <w:r w:rsidRPr="002B292D">
        <w:t>provided</w:t>
      </w:r>
      <w:r>
        <w:t xml:space="preserve"> </w:t>
      </w:r>
      <w:r w:rsidRPr="002B292D">
        <w:t>sufficient</w:t>
      </w:r>
      <w:r>
        <w:t xml:space="preserve"> </w:t>
      </w:r>
      <w:r w:rsidRPr="002B292D">
        <w:t>detailed</w:t>
      </w:r>
      <w:r>
        <w:t xml:space="preserve"> </w:t>
      </w:r>
      <w:r w:rsidRPr="002B292D">
        <w:t>information</w:t>
      </w:r>
      <w:r>
        <w:t xml:space="preserve"> </w:t>
      </w:r>
      <w:r w:rsidRPr="002B292D">
        <w:t>concerning</w:t>
      </w:r>
      <w:r>
        <w:t xml:space="preserve"> </w:t>
      </w:r>
      <w:r w:rsidRPr="002B292D">
        <w:t>the</w:t>
      </w:r>
      <w:r>
        <w:t xml:space="preserve"> </w:t>
      </w:r>
      <w:r w:rsidRPr="002B292D">
        <w:t>fairness</w:t>
      </w:r>
      <w:r>
        <w:t xml:space="preserve"> </w:t>
      </w:r>
      <w:r w:rsidRPr="002B292D">
        <w:t>of</w:t>
      </w:r>
      <w:r>
        <w:t xml:space="preserve"> </w:t>
      </w:r>
      <w:r w:rsidRPr="002B292D">
        <w:t>both</w:t>
      </w:r>
      <w:r>
        <w:t xml:space="preserve"> </w:t>
      </w:r>
      <w:r w:rsidRPr="002B292D">
        <w:t>proceedings.</w:t>
      </w:r>
      <w:r>
        <w:t xml:space="preserve"> </w:t>
      </w:r>
      <w:r w:rsidRPr="002B292D">
        <w:t>Accordingly,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considers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claims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14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sufficiently</w:t>
      </w:r>
      <w:r>
        <w:t xml:space="preserve"> </w:t>
      </w:r>
      <w:r w:rsidRPr="002B292D">
        <w:t>substantiated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purpose</w:t>
      </w:r>
      <w:r>
        <w:t xml:space="preserve"> </w:t>
      </w:r>
      <w:r w:rsidRPr="002B292D">
        <w:t>of</w:t>
      </w:r>
      <w:r>
        <w:t xml:space="preserve"> </w:t>
      </w:r>
      <w:r w:rsidRPr="002B292D">
        <w:t>admissibility.</w:t>
      </w:r>
    </w:p>
    <w:p w:rsidR="000D3068" w:rsidRPr="002B292D" w:rsidRDefault="000D3068" w:rsidP="00533F65">
      <w:pPr>
        <w:pStyle w:val="SingleTxtG"/>
      </w:pPr>
      <w:r w:rsidRPr="002B292D">
        <w:t>7.5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notes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arguments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claims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Covenant,</w:t>
      </w:r>
      <w:r>
        <w:t xml:space="preserve"> </w:t>
      </w:r>
      <w:r w:rsidRPr="002B292D">
        <w:t>in</w:t>
      </w:r>
      <w:r>
        <w:t xml:space="preserve"> </w:t>
      </w:r>
      <w:r w:rsidRPr="002B292D">
        <w:t>relation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sentenced</w:t>
      </w:r>
      <w:r>
        <w:t xml:space="preserve"> </w:t>
      </w:r>
      <w:r w:rsidRPr="002B292D">
        <w:t>and</w:t>
      </w:r>
      <w:r>
        <w:t xml:space="preserve"> </w:t>
      </w:r>
      <w:r w:rsidRPr="002B292D">
        <w:t>convicted</w:t>
      </w:r>
      <w:r>
        <w:t xml:space="preserve"> </w:t>
      </w:r>
      <w:r w:rsidRPr="002B292D">
        <w:t>on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terrorism,</w:t>
      </w:r>
      <w:r>
        <w:t xml:space="preserve"> </w:t>
      </w:r>
      <w:r w:rsidRPr="002B292D">
        <w:t>and</w:t>
      </w:r>
      <w:r>
        <w:t xml:space="preserve"> </w:t>
      </w:r>
      <w:r w:rsidRPr="002B292D">
        <w:t>accordingly</w:t>
      </w:r>
      <w:r>
        <w:t xml:space="preserve"> </w:t>
      </w:r>
      <w:r w:rsidRPr="002B292D">
        <w:t>barred</w:t>
      </w:r>
      <w:r>
        <w:t xml:space="preserve"> </w:t>
      </w:r>
      <w:r w:rsidRPr="002B292D">
        <w:t>from</w:t>
      </w:r>
      <w:r>
        <w:t xml:space="preserve"> </w:t>
      </w:r>
      <w:r w:rsidRPr="002B292D">
        <w:t>political</w:t>
      </w:r>
      <w:r>
        <w:t xml:space="preserve"> </w:t>
      </w:r>
      <w:r w:rsidRPr="002B292D">
        <w:t>office,</w:t>
      </w:r>
      <w:r>
        <w:t xml:space="preserve"> </w:t>
      </w:r>
      <w:r w:rsidRPr="002B292D">
        <w:t>are</w:t>
      </w:r>
      <w:r>
        <w:t xml:space="preserve"> </w:t>
      </w:r>
      <w:r w:rsidRPr="002B292D">
        <w:t>manifestly</w:t>
      </w:r>
      <w:r>
        <w:t xml:space="preserve"> </w:t>
      </w:r>
      <w:r w:rsidRPr="002B292D">
        <w:t>ill-founded.</w:t>
      </w:r>
      <w:r>
        <w:t xml:space="preserve"> </w:t>
      </w:r>
      <w:r w:rsidRPr="002B292D">
        <w:t>However,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has</w:t>
      </w:r>
      <w:r>
        <w:t xml:space="preserve"> </w:t>
      </w:r>
      <w:r w:rsidRPr="002B292D">
        <w:lastRenderedPageBreak/>
        <w:t>sufficiently</w:t>
      </w:r>
      <w:r>
        <w:t xml:space="preserve"> </w:t>
      </w:r>
      <w:r w:rsidRPr="002B292D">
        <w:t>substantiated</w:t>
      </w:r>
      <w:r>
        <w:t xml:space="preserve"> </w:t>
      </w:r>
      <w:r w:rsidRPr="002B292D">
        <w:t>these</w:t>
      </w:r>
      <w:r>
        <w:t xml:space="preserve"> </w:t>
      </w:r>
      <w:r w:rsidRPr="002B292D">
        <w:t>claims,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purpose</w:t>
      </w:r>
      <w:r>
        <w:t xml:space="preserve"> </w:t>
      </w:r>
      <w:r w:rsidRPr="002B292D">
        <w:t>of</w:t>
      </w:r>
      <w:r>
        <w:t xml:space="preserve"> </w:t>
      </w:r>
      <w:r w:rsidRPr="002B292D">
        <w:t>admissibility,</w:t>
      </w:r>
      <w:r>
        <w:t xml:space="preserve"> </w:t>
      </w:r>
      <w:r w:rsidRPr="002B292D">
        <w:t>and</w:t>
      </w:r>
      <w:r>
        <w:t xml:space="preserve"> </w:t>
      </w:r>
      <w:r w:rsidRPr="002B292D">
        <w:t>has</w:t>
      </w:r>
      <w:r>
        <w:t xml:space="preserve"> </w:t>
      </w:r>
      <w:r w:rsidRPr="002B292D">
        <w:t>provided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with</w:t>
      </w:r>
      <w:r>
        <w:t xml:space="preserve"> </w:t>
      </w:r>
      <w:r w:rsidRPr="002B292D">
        <w:t>relevant</w:t>
      </w:r>
      <w:r>
        <w:t xml:space="preserve"> </w:t>
      </w:r>
      <w:r w:rsidRPr="002B292D">
        <w:t>and</w:t>
      </w:r>
      <w:r>
        <w:t xml:space="preserve"> </w:t>
      </w:r>
      <w:r w:rsidRPr="002B292D">
        <w:t>detailed</w:t>
      </w:r>
      <w:r>
        <w:t xml:space="preserve"> </w:t>
      </w:r>
      <w:r w:rsidRPr="002B292D">
        <w:t>information.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therefore</w:t>
      </w:r>
      <w:r>
        <w:t xml:space="preserve"> </w:t>
      </w:r>
      <w:r w:rsidRPr="002B292D">
        <w:t>considers</w:t>
      </w:r>
      <w:r>
        <w:t xml:space="preserve"> </w:t>
      </w:r>
      <w:r w:rsidRPr="002B292D">
        <w:t>these</w:t>
      </w:r>
      <w:r>
        <w:t xml:space="preserve"> </w:t>
      </w:r>
      <w:r w:rsidRPr="002B292D">
        <w:t>claims</w:t>
      </w:r>
      <w:r>
        <w:t xml:space="preserve"> </w:t>
      </w:r>
      <w:r w:rsidRPr="002B292D">
        <w:t>admissible.</w:t>
      </w:r>
    </w:p>
    <w:p w:rsidR="000D3068" w:rsidRPr="002B292D" w:rsidRDefault="000D3068" w:rsidP="00533F65">
      <w:pPr>
        <w:pStyle w:val="SingleTxtG"/>
      </w:pPr>
      <w:r w:rsidRPr="002B292D">
        <w:t>7.6</w:t>
      </w:r>
      <w:r w:rsidRPr="002B292D">
        <w:tab/>
        <w:t>As</w:t>
      </w:r>
      <w:r>
        <w:t xml:space="preserve"> </w:t>
      </w:r>
      <w:r w:rsidRPr="002B292D">
        <w:t>all</w:t>
      </w:r>
      <w:r>
        <w:t xml:space="preserve"> </w:t>
      </w:r>
      <w:r w:rsidRPr="002B292D">
        <w:t>admissibility</w:t>
      </w:r>
      <w:r>
        <w:t xml:space="preserve"> </w:t>
      </w:r>
      <w:r w:rsidRPr="002B292D">
        <w:t>requirements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met,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declares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claims</w:t>
      </w:r>
      <w:r>
        <w:t xml:space="preserve"> </w:t>
      </w:r>
      <w:r w:rsidRPr="002B292D">
        <w:t>under</w:t>
      </w:r>
      <w:r>
        <w:t xml:space="preserve"> </w:t>
      </w:r>
      <w:r w:rsidRPr="002B292D">
        <w:t>articles</w:t>
      </w:r>
      <w:r>
        <w:t xml:space="preserve"> </w:t>
      </w:r>
      <w:r w:rsidRPr="002B292D">
        <w:t>14,</w:t>
      </w:r>
      <w:r>
        <w:t xml:space="preserve"> </w:t>
      </w:r>
      <w:r w:rsidRPr="002B292D">
        <w:t>22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admissible</w:t>
      </w:r>
      <w:r>
        <w:t xml:space="preserve"> </w:t>
      </w:r>
      <w:r w:rsidRPr="002B292D">
        <w:t>and</w:t>
      </w:r>
      <w:r>
        <w:t xml:space="preserve"> </w:t>
      </w:r>
      <w:r w:rsidRPr="002B292D">
        <w:t>proceeds</w:t>
      </w:r>
      <w:r>
        <w:t xml:space="preserve"> </w:t>
      </w:r>
      <w:r w:rsidRPr="002B292D">
        <w:t>with</w:t>
      </w:r>
      <w:r>
        <w:t xml:space="preserve"> </w:t>
      </w:r>
      <w:r w:rsidRPr="002B292D">
        <w:t>its</w:t>
      </w:r>
      <w:r>
        <w:t xml:space="preserve"> </w:t>
      </w:r>
      <w:r w:rsidRPr="002B292D">
        <w:t>consideration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merits.</w:t>
      </w:r>
    </w:p>
    <w:p w:rsidR="000D3068" w:rsidRPr="002B292D" w:rsidRDefault="000D3068" w:rsidP="00755DF1">
      <w:pPr>
        <w:pStyle w:val="H4G"/>
      </w:pPr>
      <w:r w:rsidRPr="002B292D">
        <w:tab/>
      </w:r>
      <w:r w:rsidRPr="002B292D">
        <w:tab/>
        <w:t>Consideration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merits</w:t>
      </w:r>
    </w:p>
    <w:p w:rsidR="000D3068" w:rsidRPr="002B292D" w:rsidRDefault="000D3068" w:rsidP="00533F65">
      <w:pPr>
        <w:pStyle w:val="SingleTxtG"/>
      </w:pPr>
      <w:r w:rsidRPr="002B292D">
        <w:t>8.1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has</w:t>
      </w:r>
      <w:r>
        <w:t xml:space="preserve"> </w:t>
      </w:r>
      <w:r w:rsidRPr="002B292D">
        <w:t>considered</w:t>
      </w:r>
      <w:r>
        <w:t xml:space="preserve"> </w:t>
      </w:r>
      <w:r w:rsidRPr="002B292D">
        <w:t>the</w:t>
      </w:r>
      <w:r>
        <w:t xml:space="preserve"> </w:t>
      </w:r>
      <w:r w:rsidRPr="002B292D">
        <w:t>case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light</w:t>
      </w:r>
      <w:r>
        <w:t xml:space="preserve"> </w:t>
      </w:r>
      <w:r w:rsidRPr="002B292D">
        <w:t>of</w:t>
      </w:r>
      <w:r>
        <w:t xml:space="preserve"> </w:t>
      </w:r>
      <w:r w:rsidRPr="002B292D">
        <w:t>all</w:t>
      </w:r>
      <w:r>
        <w:t xml:space="preserve"> </w:t>
      </w:r>
      <w:r w:rsidRPr="002B292D">
        <w:t>the</w:t>
      </w:r>
      <w:r>
        <w:t xml:space="preserve"> </w:t>
      </w:r>
      <w:r w:rsidRPr="002B292D">
        <w:t>information</w:t>
      </w:r>
      <w:r>
        <w:t xml:space="preserve"> </w:t>
      </w:r>
      <w:r w:rsidRPr="002B292D">
        <w:t>submitted</w:t>
      </w:r>
      <w:r>
        <w:t xml:space="preserve"> </w:t>
      </w:r>
      <w:r w:rsidRPr="002B292D">
        <w:t>to</w:t>
      </w:r>
      <w:r>
        <w:t xml:space="preserve"> </w:t>
      </w:r>
      <w:r w:rsidRPr="002B292D">
        <w:t>it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parties,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article</w:t>
      </w:r>
      <w:r>
        <w:t xml:space="preserve"> </w:t>
      </w:r>
      <w:r w:rsidRPr="002B292D">
        <w:t>5</w:t>
      </w:r>
      <w:r>
        <w:t xml:space="preserve"> </w:t>
      </w:r>
      <w:r w:rsidRPr="002B292D">
        <w:t>(1)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Protocol.</w:t>
      </w:r>
    </w:p>
    <w:p w:rsidR="000D3068" w:rsidRPr="002B292D" w:rsidRDefault="000D3068" w:rsidP="005F3677">
      <w:pPr>
        <w:pStyle w:val="SingleTxtG"/>
      </w:pPr>
      <w:r w:rsidRPr="002B292D">
        <w:t>8.2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takes</w:t>
      </w:r>
      <w:r>
        <w:t xml:space="preserve"> </w:t>
      </w:r>
      <w:r w:rsidRPr="002B292D">
        <w:t>note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allegations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14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were</w:t>
      </w:r>
      <w:r>
        <w:t xml:space="preserve"> </w:t>
      </w:r>
      <w:r w:rsidRPr="002B292D">
        <w:t>violated</w:t>
      </w:r>
      <w:r>
        <w:t xml:space="preserve"> </w:t>
      </w:r>
      <w:r w:rsidRPr="002B292D">
        <w:t>within</w:t>
      </w:r>
      <w:r>
        <w:t xml:space="preserve"> </w:t>
      </w:r>
      <w:r w:rsidRPr="002B292D">
        <w:t>the</w:t>
      </w:r>
      <w:r>
        <w:t xml:space="preserve"> </w:t>
      </w:r>
      <w:r w:rsidRPr="002B292D">
        <w:t>initial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charged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81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Penal</w:t>
      </w:r>
      <w:r>
        <w:t xml:space="preserve"> </w:t>
      </w:r>
      <w:r w:rsidRPr="002B292D">
        <w:t>Code,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>
        <w:t xml:space="preserve"> </w:t>
      </w:r>
      <w:r w:rsidRPr="002B292D">
        <w:t>was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motivated,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legally</w:t>
      </w:r>
      <w:r>
        <w:t xml:space="preserve"> </w:t>
      </w:r>
      <w:r w:rsidRPr="002B292D">
        <w:t>competent</w:t>
      </w:r>
      <w:r>
        <w:t xml:space="preserve"> </w:t>
      </w:r>
      <w:r w:rsidRPr="002B292D">
        <w:t>and</w:t>
      </w:r>
      <w:r>
        <w:t xml:space="preserve"> </w:t>
      </w:r>
      <w:r w:rsidRPr="002B292D">
        <w:t>independent,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bench</w:t>
      </w:r>
      <w:r>
        <w:t xml:space="preserve"> </w:t>
      </w:r>
      <w:r w:rsidRPr="002B292D">
        <w:t>of</w:t>
      </w:r>
      <w:r>
        <w:t xml:space="preserve"> </w:t>
      </w:r>
      <w:r w:rsidRPr="002B292D">
        <w:t>judges</w:t>
      </w:r>
      <w:r>
        <w:t xml:space="preserve"> </w:t>
      </w:r>
      <w:r w:rsidRPr="002B292D">
        <w:t>that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constituted</w:t>
      </w:r>
      <w:r>
        <w:t xml:space="preserve"> </w:t>
      </w:r>
      <w:r w:rsidRPr="002B292D">
        <w:t>to</w:t>
      </w:r>
      <w:r>
        <w:t xml:space="preserve"> </w:t>
      </w:r>
      <w:r w:rsidRPr="002B292D">
        <w:t>hear</w:t>
      </w:r>
      <w:r>
        <w:t xml:space="preserve"> </w:t>
      </w:r>
      <w:r w:rsidRPr="002B292D">
        <w:t>his</w:t>
      </w:r>
      <w:r>
        <w:t xml:space="preserve"> </w:t>
      </w:r>
      <w:r w:rsidRPr="002B292D">
        <w:t>case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established</w:t>
      </w:r>
      <w:r>
        <w:t xml:space="preserve"> </w:t>
      </w:r>
      <w:r w:rsidRPr="002B292D">
        <w:t>in</w:t>
      </w:r>
      <w:r>
        <w:t xml:space="preserve"> </w:t>
      </w:r>
      <w:r w:rsidRPr="002B292D">
        <w:t>an</w:t>
      </w:r>
      <w:r>
        <w:t xml:space="preserve"> </w:t>
      </w:r>
      <w:r w:rsidRPr="002B292D">
        <w:t>arbitrary</w:t>
      </w:r>
      <w:r>
        <w:t xml:space="preserve"> </w:t>
      </w:r>
      <w:r w:rsidRPr="002B292D">
        <w:t>manner.</w:t>
      </w:r>
      <w:r>
        <w:t xml:space="preserve"> </w:t>
      </w:r>
      <w:r w:rsidRPr="002B292D">
        <w:t>In</w:t>
      </w:r>
      <w:r>
        <w:t xml:space="preserve"> </w:t>
      </w:r>
      <w:r w:rsidRPr="002B292D">
        <w:t>that</w:t>
      </w:r>
      <w:r>
        <w:t xml:space="preserve"> </w:t>
      </w:r>
      <w:r w:rsidRPr="002B292D">
        <w:t>regard,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argues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</w:t>
      </w:r>
      <w:r>
        <w:t xml:space="preserve"> </w:t>
      </w:r>
      <w:r w:rsidRPr="002B292D">
        <w:t>established</w:t>
      </w:r>
      <w:r>
        <w:t xml:space="preserve"> </w:t>
      </w:r>
      <w:r w:rsidRPr="002B292D">
        <w:t>a</w:t>
      </w:r>
      <w:r>
        <w:t xml:space="preserve"> </w:t>
      </w:r>
      <w:r w:rsidRPr="002B292D">
        <w:t>special</w:t>
      </w:r>
      <w:r>
        <w:t xml:space="preserve"> </w:t>
      </w:r>
      <w:r w:rsidRPr="002B292D">
        <w:t>court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and</w:t>
      </w:r>
      <w:r>
        <w:t xml:space="preserve"> </w:t>
      </w:r>
      <w:r w:rsidRPr="002B292D">
        <w:t>appointed</w:t>
      </w:r>
      <w:r>
        <w:t xml:space="preserve"> </w:t>
      </w:r>
      <w:r w:rsidRPr="002B292D">
        <w:t>three</w:t>
      </w:r>
      <w:r>
        <w:t xml:space="preserve"> </w:t>
      </w:r>
      <w:r w:rsidRPr="002B292D">
        <w:t>special</w:t>
      </w:r>
      <w:r>
        <w:t xml:space="preserve"> </w:t>
      </w:r>
      <w:r w:rsidRPr="002B292D">
        <w:t>judges</w:t>
      </w:r>
      <w:r>
        <w:t xml:space="preserve"> </w:t>
      </w:r>
      <w:r w:rsidRPr="002B292D">
        <w:t>in</w:t>
      </w:r>
      <w:r>
        <w:t xml:space="preserve"> </w:t>
      </w:r>
      <w:r w:rsidRPr="002B292D">
        <w:t>order</w:t>
      </w:r>
      <w:r>
        <w:t xml:space="preserve"> </w:t>
      </w:r>
      <w:r w:rsidRPr="002B292D">
        <w:t>to</w:t>
      </w:r>
      <w:r>
        <w:t xml:space="preserve"> </w:t>
      </w:r>
      <w:r w:rsidRPr="002B292D">
        <w:t>conduct</w:t>
      </w:r>
      <w:r>
        <w:t xml:space="preserve"> </w:t>
      </w:r>
      <w:r w:rsidRPr="002B292D">
        <w:t>his</w:t>
      </w:r>
      <w:r>
        <w:t xml:space="preserve"> </w:t>
      </w:r>
      <w:r w:rsidRPr="002B292D">
        <w:t>trial;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</w:t>
      </w:r>
      <w:r>
        <w:t xml:space="preserve"> </w:t>
      </w:r>
      <w:r w:rsidRPr="002B292D">
        <w:t>was</w:t>
      </w:r>
      <w:r>
        <w:t xml:space="preserve"> </w:t>
      </w:r>
      <w:r w:rsidRPr="002B292D">
        <w:t>controlled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then-government</w:t>
      </w:r>
      <w:r>
        <w:t xml:space="preserve"> </w:t>
      </w:r>
      <w:r w:rsidRPr="002B292D">
        <w:t>parties</w:t>
      </w:r>
      <w:r>
        <w:t xml:space="preserve"> </w:t>
      </w:r>
      <w:r w:rsidRPr="002B292D">
        <w:t>and</w:t>
      </w:r>
      <w:r>
        <w:t xml:space="preserve"> </w:t>
      </w:r>
      <w:r w:rsidRPr="002B292D">
        <w:t>government-aligned</w:t>
      </w:r>
      <w:r>
        <w:t xml:space="preserve"> </w:t>
      </w:r>
      <w:r w:rsidRPr="002B292D">
        <w:t>individuals,</w:t>
      </w:r>
      <w:r>
        <w:t xml:space="preserve"> </w:t>
      </w:r>
      <w:r w:rsidRPr="002B292D">
        <w:t>including</w:t>
      </w:r>
      <w:r>
        <w:t xml:space="preserve"> </w:t>
      </w:r>
      <w:r w:rsidRPr="002B292D">
        <w:t>one</w:t>
      </w:r>
      <w:r>
        <w:t xml:space="preserve"> </w:t>
      </w:r>
      <w:r w:rsidRPr="002B292D">
        <w:t>who</w:t>
      </w:r>
      <w:r>
        <w:t xml:space="preserve"> </w:t>
      </w:r>
      <w:r w:rsidRPr="002B292D">
        <w:t>became</w:t>
      </w:r>
      <w:r>
        <w:t xml:space="preserve"> </w:t>
      </w:r>
      <w:r w:rsidRPr="002B292D">
        <w:t>a</w:t>
      </w:r>
      <w:r>
        <w:t xml:space="preserve"> </w:t>
      </w:r>
      <w:r w:rsidRPr="002B292D">
        <w:t>candidate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2013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elections,</w:t>
      </w:r>
      <w:r>
        <w:t xml:space="preserve"> </w:t>
      </w:r>
      <w:r w:rsidRPr="002B292D">
        <w:t>as</w:t>
      </w:r>
      <w:r>
        <w:t xml:space="preserve"> </w:t>
      </w:r>
      <w:r w:rsidRPr="002B292D">
        <w:t>well</w:t>
      </w:r>
      <w:r>
        <w:t xml:space="preserve"> </w:t>
      </w:r>
      <w:r w:rsidRPr="002B292D">
        <w:t>as</w:t>
      </w:r>
      <w:r>
        <w:t xml:space="preserve"> </w:t>
      </w:r>
      <w:r w:rsidRPr="002B292D">
        <w:t>members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judiciary;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although</w:t>
      </w:r>
      <w:r>
        <w:t xml:space="preserve"> </w:t>
      </w:r>
      <w:r w:rsidRPr="002B292D">
        <w:t>on</w:t>
      </w:r>
      <w:r>
        <w:t xml:space="preserve"> </w:t>
      </w:r>
      <w:r w:rsidRPr="002B292D">
        <w:t>5</w:t>
      </w:r>
      <w:r>
        <w:t xml:space="preserve"> </w:t>
      </w:r>
      <w:r w:rsidRPr="002B292D">
        <w:t>December</w:t>
      </w:r>
      <w:r>
        <w:t xml:space="preserve"> </w:t>
      </w:r>
      <w:r w:rsidRPr="002B292D">
        <w:t>2012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</w:t>
      </w:r>
      <w:r>
        <w:t xml:space="preserve"> </w:t>
      </w:r>
      <w:r w:rsidRPr="002B292D">
        <w:t>held,</w:t>
      </w:r>
      <w:r>
        <w:t xml:space="preserve"> </w:t>
      </w:r>
      <w:r w:rsidRPr="002B292D">
        <w:t>by</w:t>
      </w:r>
      <w:r>
        <w:t xml:space="preserve"> </w:t>
      </w:r>
      <w:r w:rsidRPr="002B292D">
        <w:t>majority,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established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law</w:t>
      </w:r>
      <w:r>
        <w:t xml:space="preserve"> </w:t>
      </w:r>
      <w:r w:rsidRPr="002B292D">
        <w:t>and</w:t>
      </w:r>
      <w:r>
        <w:t xml:space="preserve"> </w:t>
      </w:r>
      <w:r w:rsidRPr="002B292D">
        <w:t>could</w:t>
      </w:r>
      <w:r>
        <w:t xml:space="preserve"> </w:t>
      </w:r>
      <w:r w:rsidRPr="002B292D">
        <w:t>operate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court</w:t>
      </w:r>
      <w:r>
        <w:t xml:space="preserve"> </w:t>
      </w:r>
      <w:r w:rsidRPr="002B292D">
        <w:t>of</w:t>
      </w:r>
      <w:r>
        <w:t xml:space="preserve"> </w:t>
      </w:r>
      <w:r w:rsidRPr="002B292D">
        <w:t>law,</w:t>
      </w:r>
      <w:r>
        <w:t xml:space="preserve"> </w:t>
      </w:r>
      <w:r w:rsidRPr="002B292D">
        <w:t>the</w:t>
      </w:r>
      <w:r>
        <w:t xml:space="preserve"> </w:t>
      </w:r>
      <w:r w:rsidRPr="002B292D">
        <w:t>deciding</w:t>
      </w:r>
      <w:r>
        <w:t xml:space="preserve"> </w:t>
      </w:r>
      <w:r w:rsidRPr="002B292D">
        <w:t>vote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case</w:t>
      </w:r>
      <w:r>
        <w:t xml:space="preserve"> </w:t>
      </w:r>
      <w:r w:rsidRPr="002B292D">
        <w:t>was</w:t>
      </w:r>
      <w:r>
        <w:t xml:space="preserve"> </w:t>
      </w:r>
      <w:r w:rsidRPr="002B292D">
        <w:t>cast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Judge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Court,</w:t>
      </w:r>
      <w:r>
        <w:t xml:space="preserve"> </w:t>
      </w:r>
      <w:r w:rsidRPr="002B292D">
        <w:t>who</w:t>
      </w:r>
      <w:r>
        <w:t xml:space="preserve"> </w:t>
      </w:r>
      <w:r w:rsidRPr="002B292D">
        <w:t>was</w:t>
      </w:r>
      <w:r>
        <w:t xml:space="preserve"> </w:t>
      </w:r>
      <w:r w:rsidRPr="002B292D">
        <w:t>also</w:t>
      </w:r>
      <w:r>
        <w:t xml:space="preserve"> </w:t>
      </w:r>
      <w:r w:rsidRPr="002B292D">
        <w:t>the</w:t>
      </w:r>
      <w:r>
        <w:t xml:space="preserve"> </w:t>
      </w:r>
      <w:r w:rsidRPr="002B292D">
        <w:t>President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Commission,</w:t>
      </w:r>
      <w:r>
        <w:t xml:space="preserve"> </w:t>
      </w:r>
      <w:r w:rsidRPr="002B292D">
        <w:t>the</w:t>
      </w:r>
      <w:r>
        <w:t xml:space="preserve"> </w:t>
      </w:r>
      <w:r w:rsidRPr="002B292D">
        <w:t>body</w:t>
      </w:r>
      <w:r>
        <w:t xml:space="preserve"> </w:t>
      </w:r>
      <w:r w:rsidRPr="002B292D">
        <w:t>that</w:t>
      </w:r>
      <w:r>
        <w:t xml:space="preserve"> </w:t>
      </w:r>
      <w:r w:rsidRPr="002B292D">
        <w:t>established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also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reports</w:t>
      </w:r>
      <w:r>
        <w:t xml:space="preserve"> </w:t>
      </w:r>
      <w:r w:rsidRPr="002B292D">
        <w:t>provided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Pr="00744EE1">
        <w:rPr>
          <w:rStyle w:val="FootnoteReference"/>
        </w:rPr>
        <w:footnoteReference w:id="36"/>
      </w:r>
      <w:r>
        <w:t xml:space="preserve"> </w:t>
      </w:r>
      <w:r w:rsidRPr="002B292D">
        <w:t>indicate</w:t>
      </w:r>
      <w:r>
        <w:t xml:space="preserve"> </w:t>
      </w:r>
      <w:r w:rsidRPr="002B292D">
        <w:t>that</w:t>
      </w:r>
      <w:r>
        <w:t xml:space="preserve"> </w:t>
      </w:r>
      <w:r w:rsidRPr="002B292D">
        <w:t>there</w:t>
      </w:r>
      <w:r>
        <w:t xml:space="preserve"> </w:t>
      </w:r>
      <w:r w:rsidRPr="002B292D">
        <w:t>were</w:t>
      </w:r>
      <w:r>
        <w:t xml:space="preserve"> </w:t>
      </w:r>
      <w:r w:rsidRPr="002B292D">
        <w:t>serious</w:t>
      </w:r>
      <w:r>
        <w:t xml:space="preserve"> </w:t>
      </w:r>
      <w:r w:rsidRPr="002B292D">
        <w:t>concerns</w:t>
      </w:r>
      <w:r>
        <w:t xml:space="preserve"> </w:t>
      </w:r>
      <w:r w:rsidRPr="002B292D">
        <w:t>about</w:t>
      </w:r>
      <w:r>
        <w:t xml:space="preserve"> </w:t>
      </w:r>
      <w:r w:rsidRPr="002B292D">
        <w:t>the</w:t>
      </w:r>
      <w:r>
        <w:t xml:space="preserve"> </w:t>
      </w:r>
      <w:r w:rsidRPr="002B292D">
        <w:t>lack</w:t>
      </w:r>
      <w:r>
        <w:t xml:space="preserve"> </w:t>
      </w:r>
      <w:r w:rsidRPr="002B292D">
        <w:t>of</w:t>
      </w:r>
      <w:r>
        <w:t xml:space="preserve"> </w:t>
      </w:r>
      <w:r w:rsidRPr="002B292D">
        <w:t>independence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judiciary,</w:t>
      </w:r>
      <w:r>
        <w:t xml:space="preserve"> </w:t>
      </w:r>
      <w:r w:rsidRPr="002B292D">
        <w:t>including</w:t>
      </w:r>
      <w:r>
        <w:t xml:space="preserve"> </w:t>
      </w:r>
      <w:r w:rsidRPr="002B292D">
        <w:t>the</w:t>
      </w:r>
      <w:r>
        <w:t xml:space="preserve"> </w:t>
      </w:r>
      <w:r w:rsidRPr="002B292D">
        <w:t>Supreme</w:t>
      </w:r>
      <w:r>
        <w:t xml:space="preserve"> </w:t>
      </w:r>
      <w:r w:rsidRPr="002B292D">
        <w:t>Court,</w:t>
      </w:r>
      <w:r>
        <w:t xml:space="preserve"> </w:t>
      </w:r>
      <w:r w:rsidRPr="002B292D">
        <w:t>and</w:t>
      </w:r>
      <w:r>
        <w:t xml:space="preserve"> </w:t>
      </w:r>
      <w:r w:rsidRPr="002B292D">
        <w:t>about</w:t>
      </w:r>
      <w:r>
        <w:t xml:space="preserve"> </w:t>
      </w:r>
      <w:r w:rsidRPr="002B292D">
        <w:t>the</w:t>
      </w:r>
      <w:r>
        <w:t xml:space="preserve"> </w:t>
      </w:r>
      <w:r w:rsidRPr="002B292D">
        <w:t>inadequate</w:t>
      </w:r>
      <w:r>
        <w:t xml:space="preserve"> </w:t>
      </w:r>
      <w:r w:rsidRPr="002B292D">
        <w:t>and</w:t>
      </w:r>
      <w:r>
        <w:t xml:space="preserve"> </w:t>
      </w:r>
      <w:r w:rsidRPr="002B292D">
        <w:t>politicized</w:t>
      </w:r>
      <w:r>
        <w:t xml:space="preserve"> </w:t>
      </w:r>
      <w:r w:rsidRPr="002B292D">
        <w:t>composition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Service</w:t>
      </w:r>
      <w:r>
        <w:t xml:space="preserve"> </w:t>
      </w:r>
      <w:r w:rsidRPr="002B292D">
        <w:t>Commission.</w:t>
      </w:r>
      <w:r>
        <w:t xml:space="preserve"> </w:t>
      </w:r>
      <w:r w:rsidRPr="002B292D">
        <w:t>Those</w:t>
      </w:r>
      <w:r>
        <w:t xml:space="preserve"> </w:t>
      </w:r>
      <w:r w:rsidRPr="002B292D">
        <w:t>reports</w:t>
      </w:r>
      <w:r>
        <w:t xml:space="preserve"> </w:t>
      </w:r>
      <w:r w:rsidRPr="002B292D">
        <w:t>also</w:t>
      </w:r>
      <w:r>
        <w:t xml:space="preserve"> </w:t>
      </w:r>
      <w:r w:rsidRPr="002B292D">
        <w:t>state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Magistrates</w:t>
      </w:r>
      <w:r w:rsidR="00995FAE">
        <w:t>’</w:t>
      </w:r>
      <w:r>
        <w:t xml:space="preserve"> </w:t>
      </w:r>
      <w:r w:rsidRPr="002B292D">
        <w:t>Court</w:t>
      </w:r>
      <w:r>
        <w:t xml:space="preserve"> </w:t>
      </w:r>
      <w:r w:rsidRPr="002B292D">
        <w:t>was</w:t>
      </w:r>
      <w:r>
        <w:t xml:space="preserve"> </w:t>
      </w:r>
      <w:r w:rsidRPr="002B292D">
        <w:t>unlawfully</w:t>
      </w:r>
      <w:r>
        <w:t xml:space="preserve"> </w:t>
      </w:r>
      <w:r w:rsidRPr="002B292D">
        <w:t>constituted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bench</w:t>
      </w:r>
      <w:r>
        <w:t xml:space="preserve"> </w:t>
      </w:r>
      <w:r w:rsidRPr="002B292D">
        <w:t>of</w:t>
      </w:r>
      <w:r>
        <w:t xml:space="preserve"> </w:t>
      </w:r>
      <w:r w:rsidRPr="002B292D">
        <w:t>judges</w:t>
      </w:r>
      <w:r>
        <w:t xml:space="preserve"> </w:t>
      </w:r>
      <w:r w:rsidRPr="002B292D">
        <w:t>in</w:t>
      </w:r>
      <w:r>
        <w:t xml:space="preserve"> </w:t>
      </w:r>
      <w:r w:rsidRPr="002B292D">
        <w:t>charge</w:t>
      </w:r>
      <w:r>
        <w:t xml:space="preserve"> </w:t>
      </w:r>
      <w:r w:rsidRPr="002B292D">
        <w:t>of</w:t>
      </w:r>
      <w:r>
        <w:t xml:space="preserve"> </w:t>
      </w:r>
      <w:r w:rsidRPr="002B292D">
        <w:t>hearing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</w:t>
      </w:r>
      <w:r>
        <w:t xml:space="preserve"> </w:t>
      </w:r>
      <w:r w:rsidRPr="002B292D">
        <w:t>also</w:t>
      </w:r>
      <w:r>
        <w:t xml:space="preserve"> </w:t>
      </w:r>
      <w:r w:rsidRPr="002B292D">
        <w:t>seemed</w:t>
      </w:r>
      <w:r>
        <w:t xml:space="preserve"> </w:t>
      </w:r>
      <w:r w:rsidRPr="002B292D">
        <w:t>to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set</w:t>
      </w:r>
      <w:r>
        <w:t xml:space="preserve"> </w:t>
      </w:r>
      <w:r w:rsidRPr="002B292D">
        <w:t>up</w:t>
      </w:r>
      <w:r>
        <w:t xml:space="preserve"> </w:t>
      </w:r>
      <w:r w:rsidRPr="002B292D">
        <w:t>in</w:t>
      </w:r>
      <w:r>
        <w:t xml:space="preserve"> </w:t>
      </w:r>
      <w:r w:rsidRPr="002B292D">
        <w:t>an</w:t>
      </w:r>
      <w:r>
        <w:t xml:space="preserve"> </w:t>
      </w:r>
      <w:r w:rsidRPr="002B292D">
        <w:t>arbitrary</w:t>
      </w:r>
      <w:r>
        <w:t xml:space="preserve"> </w:t>
      </w:r>
      <w:r w:rsidRPr="002B292D">
        <w:t>manner,</w:t>
      </w:r>
      <w:r>
        <w:t xml:space="preserve"> </w:t>
      </w:r>
      <w:r w:rsidRPr="002B292D">
        <w:t>without</w:t>
      </w:r>
      <w:r>
        <w:t xml:space="preserve"> </w:t>
      </w:r>
      <w:r w:rsidRPr="002B292D">
        <w:t>following</w:t>
      </w:r>
      <w:r>
        <w:t xml:space="preserve"> </w:t>
      </w:r>
      <w:r w:rsidRPr="002B292D">
        <w:t>procedures</w:t>
      </w:r>
      <w:r>
        <w:t xml:space="preserve"> </w:t>
      </w:r>
      <w:r w:rsidRPr="002B292D">
        <w:t>prescribed</w:t>
      </w:r>
      <w:r>
        <w:t xml:space="preserve"> </w:t>
      </w:r>
      <w:r w:rsidRPr="002B292D">
        <w:t>by</w:t>
      </w:r>
      <w:r>
        <w:t xml:space="preserve"> </w:t>
      </w:r>
      <w:r w:rsidRPr="002B292D">
        <w:t>law.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not</w:t>
      </w:r>
      <w:r>
        <w:t xml:space="preserve"> </w:t>
      </w:r>
      <w:r w:rsidRPr="002B292D">
        <w:t>responded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above-mentioned</w:t>
      </w:r>
      <w:r>
        <w:t xml:space="preserve"> </w:t>
      </w:r>
      <w:r w:rsidRPr="002B292D">
        <w:t>allegations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findings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reports</w:t>
      </w:r>
      <w:r>
        <w:t xml:space="preserve"> </w:t>
      </w:r>
      <w:r w:rsidRPr="002B292D">
        <w:t>provided</w:t>
      </w:r>
      <w:r>
        <w:t xml:space="preserve"> </w:t>
      </w:r>
      <w:r w:rsidRPr="002B292D">
        <w:t>in</w:t>
      </w:r>
      <w:r>
        <w:t xml:space="preserve"> </w:t>
      </w:r>
      <w:r w:rsidRPr="002B292D">
        <w:t>support</w:t>
      </w:r>
      <w:r>
        <w:t xml:space="preserve"> </w:t>
      </w:r>
      <w:r w:rsidRPr="002B292D">
        <w:t>of</w:t>
      </w:r>
      <w:r>
        <w:t xml:space="preserve"> </w:t>
      </w:r>
      <w:r w:rsidRPr="002B292D">
        <w:t>those</w:t>
      </w:r>
      <w:r>
        <w:t xml:space="preserve"> </w:t>
      </w:r>
      <w:r w:rsidRPr="002B292D">
        <w:t>claims.</w:t>
      </w:r>
    </w:p>
    <w:p w:rsidR="000D3068" w:rsidRPr="002B292D" w:rsidRDefault="000D3068" w:rsidP="00533F65">
      <w:pPr>
        <w:pStyle w:val="SingleTxtG"/>
      </w:pPr>
      <w:r w:rsidRPr="002B292D">
        <w:t>8.3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further</w:t>
      </w:r>
      <w:r>
        <w:t xml:space="preserve"> </w:t>
      </w:r>
      <w:r w:rsidRPr="002B292D">
        <w:t>observes</w:t>
      </w:r>
      <w:r>
        <w:t xml:space="preserve"> </w:t>
      </w:r>
      <w:r w:rsidRPr="002B292D">
        <w:t>that,</w:t>
      </w:r>
      <w:r>
        <w:t xml:space="preserve"> </w:t>
      </w:r>
      <w:r w:rsidRPr="002B292D">
        <w:t>in</w:t>
      </w:r>
      <w:r>
        <w:t xml:space="preserve"> </w:t>
      </w:r>
      <w:r w:rsidRPr="002B292D">
        <w:t>2012,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charged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81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Penal</w:t>
      </w:r>
      <w:r>
        <w:t xml:space="preserve"> </w:t>
      </w:r>
      <w:r w:rsidRPr="002B292D">
        <w:t>Code</w:t>
      </w:r>
      <w:r>
        <w:t xml:space="preserve"> </w:t>
      </w:r>
      <w:r w:rsidRPr="002B292D">
        <w:t>with</w:t>
      </w:r>
      <w:r>
        <w:t xml:space="preserve"> </w:t>
      </w:r>
      <w:r w:rsidRPr="002B292D">
        <w:t>allegedly</w:t>
      </w:r>
      <w:r>
        <w:t xml:space="preserve"> </w:t>
      </w:r>
      <w:r w:rsidRPr="002B292D">
        <w:t>abusing</w:t>
      </w:r>
      <w:r>
        <w:t xml:space="preserve"> </w:t>
      </w:r>
      <w:r w:rsidRPr="002B292D">
        <w:t>his</w:t>
      </w:r>
      <w:r>
        <w:t xml:space="preserve"> </w:t>
      </w:r>
      <w:r w:rsidRPr="002B292D">
        <w:t>power</w:t>
      </w:r>
      <w:r>
        <w:t xml:space="preserve"> </w:t>
      </w:r>
      <w:r w:rsidRPr="002B292D">
        <w:t>and</w:t>
      </w:r>
      <w:r>
        <w:t xml:space="preserve"> </w:t>
      </w:r>
      <w:r w:rsidRPr="002B292D">
        <w:t>allegedly</w:t>
      </w:r>
      <w:r>
        <w:t xml:space="preserve"> </w:t>
      </w:r>
      <w:r w:rsidRPr="002B292D">
        <w:t>ordering</w:t>
      </w:r>
      <w:r>
        <w:t xml:space="preserve"> </w:t>
      </w:r>
      <w:r w:rsidRPr="002B292D">
        <w:t>the</w:t>
      </w:r>
      <w:r>
        <w:t xml:space="preserve"> </w:t>
      </w:r>
      <w:r w:rsidRPr="002B292D">
        <w:t>illegal</w:t>
      </w:r>
      <w:r>
        <w:t xml:space="preserve"> </w:t>
      </w:r>
      <w:r w:rsidRPr="002B292D">
        <w:t>detention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Chief</w:t>
      </w:r>
      <w:r>
        <w:t xml:space="preserve"> </w:t>
      </w:r>
      <w:r w:rsidRPr="002B292D">
        <w:t>of</w:t>
      </w:r>
      <w:r>
        <w:t xml:space="preserve"> </w:t>
      </w:r>
      <w:r w:rsidRPr="002B292D">
        <w:t>Justice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in</w:t>
      </w:r>
      <w:r>
        <w:t xml:space="preserve"> </w:t>
      </w:r>
      <w:r w:rsidRPr="002B292D">
        <w:t>Malé.</w:t>
      </w:r>
      <w:r>
        <w:t xml:space="preserve"> </w:t>
      </w:r>
      <w:r w:rsidRPr="002B292D">
        <w:t>After</w:t>
      </w:r>
      <w:r>
        <w:t xml:space="preserve"> </w:t>
      </w:r>
      <w:r w:rsidRPr="002B292D">
        <w:t>proceedings</w:t>
      </w:r>
      <w:r>
        <w:t xml:space="preserve"> </w:t>
      </w:r>
      <w:r w:rsidRPr="002B292D">
        <w:t>had</w:t>
      </w:r>
      <w:r>
        <w:t xml:space="preserve"> </w:t>
      </w:r>
      <w:r w:rsidRPr="002B292D">
        <w:t>been</w:t>
      </w:r>
      <w:r>
        <w:t xml:space="preserve"> </w:t>
      </w:r>
      <w:r w:rsidRPr="002B292D">
        <w:t>suspended</w:t>
      </w:r>
      <w:r>
        <w:t xml:space="preserve"> </w:t>
      </w:r>
      <w:r w:rsidRPr="002B292D">
        <w:t>for</w:t>
      </w:r>
      <w:r>
        <w:t xml:space="preserve"> </w:t>
      </w:r>
      <w:r w:rsidRPr="002B292D">
        <w:t>a</w:t>
      </w:r>
      <w:r>
        <w:t xml:space="preserve"> </w:t>
      </w:r>
      <w:r w:rsidRPr="002B292D">
        <w:t>considerable</w:t>
      </w:r>
      <w:r>
        <w:t xml:space="preserve"> </w:t>
      </w:r>
      <w:r w:rsidRPr="002B292D">
        <w:t>time,</w:t>
      </w:r>
      <w:r>
        <w:t xml:space="preserve"> </w:t>
      </w:r>
      <w:r w:rsidRPr="002B292D">
        <w:t>in</w:t>
      </w:r>
      <w:r>
        <w:t xml:space="preserve"> </w:t>
      </w:r>
      <w:r w:rsidRPr="002B292D">
        <w:t>February</w:t>
      </w:r>
      <w:r>
        <w:t xml:space="preserve"> </w:t>
      </w:r>
      <w:r w:rsidRPr="002B292D">
        <w:t>2015</w:t>
      </w:r>
      <w:r>
        <w:t xml:space="preserve"> </w:t>
      </w:r>
      <w:r w:rsidRPr="002B292D">
        <w:t>the</w:t>
      </w:r>
      <w:r>
        <w:t xml:space="preserve"> </w:t>
      </w:r>
      <w:r w:rsidRPr="002B292D">
        <w:t>Prosecutor</w:t>
      </w:r>
      <w:r>
        <w:t xml:space="preserve"> </w:t>
      </w:r>
      <w:r w:rsidRPr="002B292D">
        <w:t>General</w:t>
      </w:r>
      <w:r>
        <w:t xml:space="preserve"> </w:t>
      </w:r>
      <w:r w:rsidRPr="002B292D">
        <w:t>requalified</w:t>
      </w:r>
      <w:r>
        <w:t xml:space="preserve"> </w:t>
      </w:r>
      <w:r w:rsidRPr="002B292D">
        <w:t>the</w:t>
      </w:r>
      <w:r>
        <w:t xml:space="preserve"> </w:t>
      </w:r>
      <w:r w:rsidRPr="002B292D">
        <w:t>charges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author,</w:t>
      </w:r>
      <w:r>
        <w:t xml:space="preserve"> </w:t>
      </w:r>
      <w:r w:rsidRPr="002B292D">
        <w:t>based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same</w:t>
      </w:r>
      <w:r>
        <w:t xml:space="preserve"> </w:t>
      </w:r>
      <w:r w:rsidRPr="002B292D">
        <w:t>facts,</w:t>
      </w:r>
      <w:r>
        <w:t xml:space="preserve"> </w:t>
      </w:r>
      <w:r w:rsidRPr="002B292D">
        <w:t>as</w:t>
      </w:r>
      <w:r>
        <w:t xml:space="preserve"> </w:t>
      </w:r>
      <w:r w:rsidRPr="002B292D">
        <w:t>offences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under</w:t>
      </w:r>
      <w:r>
        <w:t xml:space="preserve"> </w:t>
      </w:r>
      <w:r w:rsidRPr="002B292D">
        <w:t>section</w:t>
      </w:r>
      <w:r>
        <w:t xml:space="preserve"> </w:t>
      </w:r>
      <w:r w:rsidRPr="002B292D">
        <w:t>2</w:t>
      </w:r>
      <w:r>
        <w:t xml:space="preserve"> </w:t>
      </w:r>
      <w:r w:rsidRPr="002B292D">
        <w:t>(b)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Prevention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Act</w:t>
      </w:r>
      <w:r>
        <w:t xml:space="preserve"> </w:t>
      </w:r>
      <w:r w:rsidRPr="002B292D">
        <w:t>1990.</w:t>
      </w:r>
      <w:r>
        <w:t xml:space="preserve"> </w:t>
      </w:r>
      <w:r w:rsidRPr="002B292D">
        <w:t>Three</w:t>
      </w:r>
      <w:r>
        <w:t xml:space="preserve"> </w:t>
      </w:r>
      <w:r w:rsidRPr="002B292D">
        <w:t>weeks</w:t>
      </w:r>
      <w:r>
        <w:t xml:space="preserve"> </w:t>
      </w:r>
      <w:r w:rsidRPr="002B292D">
        <w:t>later,</w:t>
      </w:r>
      <w:r>
        <w:t xml:space="preserve"> </w:t>
      </w:r>
      <w:r w:rsidRPr="002B292D">
        <w:t>on</w:t>
      </w:r>
      <w:r>
        <w:t xml:space="preserve"> </w:t>
      </w:r>
      <w:r w:rsidRPr="002B292D">
        <w:t>13</w:t>
      </w:r>
      <w:r>
        <w:t xml:space="preserve"> </w:t>
      </w:r>
      <w:r w:rsidRPr="002B292D">
        <w:t>March</w:t>
      </w:r>
      <w:r>
        <w:t xml:space="preserve"> </w:t>
      </w:r>
      <w:r w:rsidRPr="002B292D">
        <w:t>2015,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found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guilty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and</w:t>
      </w:r>
      <w:r>
        <w:t xml:space="preserve"> </w:t>
      </w:r>
      <w:r w:rsidRPr="002B292D">
        <w:t>sentenced</w:t>
      </w:r>
      <w:r>
        <w:t xml:space="preserve"> </w:t>
      </w:r>
      <w:r w:rsidRPr="002B292D">
        <w:t>him</w:t>
      </w:r>
      <w:r>
        <w:t xml:space="preserve"> </w:t>
      </w:r>
      <w:r w:rsidRPr="002B292D">
        <w:t>to</w:t>
      </w:r>
      <w:r>
        <w:t xml:space="preserve"> </w:t>
      </w:r>
      <w:r w:rsidRPr="002B292D">
        <w:t>13</w:t>
      </w:r>
      <w:r>
        <w:t xml:space="preserve"> </w:t>
      </w:r>
      <w:r w:rsidRPr="002B292D">
        <w:t>years</w:t>
      </w:r>
      <w:r w:rsidR="00995FAE">
        <w:t>’</w:t>
      </w:r>
      <w:r>
        <w:t xml:space="preserve"> </w:t>
      </w:r>
      <w:r w:rsidRPr="002B292D">
        <w:t>imprisonment.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requalification</w:t>
      </w:r>
      <w:r>
        <w:t xml:space="preserve"> </w:t>
      </w:r>
      <w:r w:rsidRPr="002B292D">
        <w:t>of</w:t>
      </w:r>
      <w:r>
        <w:t xml:space="preserve"> </w:t>
      </w:r>
      <w:r w:rsidRPr="002B292D">
        <w:t>charges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sentence</w:t>
      </w:r>
      <w:r>
        <w:t xml:space="preserve"> </w:t>
      </w:r>
      <w:r w:rsidRPr="002B292D">
        <w:t>and</w:t>
      </w:r>
      <w:r>
        <w:t xml:space="preserve"> </w:t>
      </w:r>
      <w:r w:rsidRPr="002B292D">
        <w:t>conviction</w:t>
      </w:r>
      <w:r>
        <w:t xml:space="preserve"> </w:t>
      </w:r>
      <w:r w:rsidRPr="002B292D">
        <w:t>were</w:t>
      </w:r>
      <w:r>
        <w:t xml:space="preserve"> </w:t>
      </w:r>
      <w:r w:rsidRPr="002B292D">
        <w:t>commensurate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acts</w:t>
      </w:r>
      <w:r>
        <w:t xml:space="preserve"> </w:t>
      </w:r>
      <w:r w:rsidRPr="002B292D">
        <w:t>he</w:t>
      </w:r>
      <w:r>
        <w:t xml:space="preserve"> </w:t>
      </w:r>
      <w:r w:rsidRPr="002B292D">
        <w:t>allegedly</w:t>
      </w:r>
      <w:r>
        <w:t xml:space="preserve"> </w:t>
      </w:r>
      <w:r w:rsidRPr="002B292D">
        <w:t>committed</w:t>
      </w:r>
      <w:r>
        <w:t xml:space="preserve"> </w:t>
      </w:r>
      <w:r w:rsidRPr="002B292D">
        <w:t>—</w:t>
      </w:r>
      <w:r>
        <w:t xml:space="preserve"> </w:t>
      </w:r>
      <w:r w:rsidRPr="002B292D">
        <w:t>ordering</w:t>
      </w:r>
      <w:r>
        <w:t xml:space="preserve"> </w:t>
      </w:r>
      <w:r w:rsidRPr="002B292D">
        <w:t>the</w:t>
      </w:r>
      <w:r>
        <w:t xml:space="preserve"> </w:t>
      </w:r>
      <w:r w:rsidRPr="002B292D">
        <w:t>military</w:t>
      </w:r>
      <w:r>
        <w:t xml:space="preserve"> </w:t>
      </w:r>
      <w:r w:rsidRPr="002B292D">
        <w:t>to</w:t>
      </w:r>
      <w:r>
        <w:t xml:space="preserve"> </w:t>
      </w:r>
      <w:r w:rsidRPr="002B292D">
        <w:t>abduct</w:t>
      </w:r>
      <w:r>
        <w:t xml:space="preserve"> </w:t>
      </w:r>
      <w:r w:rsidRPr="002B292D">
        <w:t>a</w:t>
      </w:r>
      <w:r>
        <w:t xml:space="preserve"> </w:t>
      </w:r>
      <w:r w:rsidRPr="002B292D">
        <w:t>serving</w:t>
      </w:r>
      <w:r>
        <w:t xml:space="preserve"> </w:t>
      </w:r>
      <w:r w:rsidRPr="002B292D">
        <w:t>judge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and</w:t>
      </w:r>
      <w:r>
        <w:t xml:space="preserve"> </w:t>
      </w:r>
      <w:r w:rsidRPr="002B292D">
        <w:t>hold</w:t>
      </w:r>
      <w:r>
        <w:t xml:space="preserve"> </w:t>
      </w:r>
      <w:r w:rsidRPr="002B292D">
        <w:t>him</w:t>
      </w:r>
      <w:r>
        <w:t xml:space="preserve"> </w:t>
      </w:r>
      <w:r w:rsidRPr="002B292D">
        <w:t>incommunicado</w:t>
      </w:r>
      <w:r>
        <w:t xml:space="preserve"> </w:t>
      </w:r>
      <w:r w:rsidRPr="002B292D">
        <w:t>for</w:t>
      </w:r>
      <w:r>
        <w:t xml:space="preserve"> </w:t>
      </w:r>
      <w:r w:rsidRPr="002B292D">
        <w:t>21</w:t>
      </w:r>
      <w:r>
        <w:t xml:space="preserve"> </w:t>
      </w:r>
      <w:r w:rsidRPr="002B292D">
        <w:t>days.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observes,</w:t>
      </w:r>
      <w:r>
        <w:t xml:space="preserve"> </w:t>
      </w:r>
      <w:r w:rsidRPr="002B292D">
        <w:t>however,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not</w:t>
      </w:r>
      <w:r>
        <w:t xml:space="preserve"> </w:t>
      </w:r>
      <w:r w:rsidRPr="002B292D">
        <w:t>explained</w:t>
      </w:r>
      <w:r>
        <w:t xml:space="preserve"> </w:t>
      </w:r>
      <w:r w:rsidRPr="002B292D">
        <w:t>the</w:t>
      </w:r>
      <w:r>
        <w:t xml:space="preserve"> </w:t>
      </w:r>
      <w:r w:rsidRPr="002B292D">
        <w:t>legal</w:t>
      </w:r>
      <w:r>
        <w:t xml:space="preserve"> </w:t>
      </w:r>
      <w:r w:rsidRPr="002B292D">
        <w:t>basis</w:t>
      </w:r>
      <w:r>
        <w:t xml:space="preserve"> </w:t>
      </w:r>
      <w:r w:rsidRPr="002B292D">
        <w:t>for</w:t>
      </w:r>
      <w:r>
        <w:t xml:space="preserve"> </w:t>
      </w:r>
      <w:r w:rsidRPr="002B292D">
        <w:t>requalifying</w:t>
      </w:r>
      <w:r>
        <w:t xml:space="preserve"> </w:t>
      </w:r>
      <w:r w:rsidRPr="002B292D">
        <w:t>the</w:t>
      </w:r>
      <w:r>
        <w:t xml:space="preserve"> </w:t>
      </w:r>
      <w:r w:rsidRPr="002B292D">
        <w:t>charges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and</w:t>
      </w:r>
      <w:r>
        <w:t xml:space="preserve"> </w:t>
      </w:r>
      <w:r w:rsidRPr="002B292D">
        <w:t>charging</w:t>
      </w:r>
      <w:r>
        <w:t xml:space="preserve"> </w:t>
      </w:r>
      <w:r w:rsidRPr="002B292D">
        <w:t>him</w:t>
      </w:r>
      <w:r>
        <w:t xml:space="preserve"> </w:t>
      </w:r>
      <w:r w:rsidRPr="002B292D">
        <w:t>with</w:t>
      </w:r>
      <w:r>
        <w:t xml:space="preserve"> </w:t>
      </w:r>
      <w:r w:rsidRPr="002B292D">
        <w:t>terrorism.</w:t>
      </w:r>
      <w:r>
        <w:t xml:space="preserve"> </w:t>
      </w:r>
      <w:r w:rsidRPr="002B292D">
        <w:t>Nor</w:t>
      </w:r>
      <w:r>
        <w:t xml:space="preserve"> </w:t>
      </w:r>
      <w:r w:rsidRPr="002B292D">
        <w:t>has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shown</w:t>
      </w:r>
      <w:r>
        <w:t xml:space="preserve"> </w:t>
      </w:r>
      <w:r w:rsidRPr="002B292D">
        <w:t>how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alleged</w:t>
      </w:r>
      <w:r>
        <w:t xml:space="preserve"> </w:t>
      </w:r>
      <w:r w:rsidRPr="002B292D">
        <w:t>conduct</w:t>
      </w:r>
      <w:r>
        <w:t xml:space="preserve"> </w:t>
      </w:r>
      <w:r w:rsidRPr="002B292D">
        <w:t>satisfies</w:t>
      </w:r>
      <w:r>
        <w:t xml:space="preserve"> </w:t>
      </w:r>
      <w:r w:rsidRPr="002B292D">
        <w:t>the</w:t>
      </w:r>
      <w:r>
        <w:t xml:space="preserve"> </w:t>
      </w:r>
      <w:r w:rsidRPr="002B292D">
        <w:t>elements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crime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Prevention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Act</w:t>
      </w:r>
      <w:r>
        <w:t xml:space="preserve"> </w:t>
      </w:r>
      <w:r w:rsidRPr="002B292D">
        <w:t>1990.</w:t>
      </w:r>
      <w:r>
        <w:t xml:space="preserve"> </w:t>
      </w:r>
      <w:r w:rsidRPr="002B292D">
        <w:t>Furthermore,</w:t>
      </w:r>
      <w:r>
        <w:t xml:space="preserve"> </w:t>
      </w:r>
      <w:r w:rsidRPr="002B292D">
        <w:t>it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crime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as</w:t>
      </w:r>
      <w:r>
        <w:t xml:space="preserve"> </w:t>
      </w:r>
      <w:r w:rsidRPr="002B292D">
        <w:t>established</w:t>
      </w:r>
      <w:r>
        <w:t xml:space="preserve"> </w:t>
      </w:r>
      <w:r w:rsidRPr="002B292D">
        <w:t>in</w:t>
      </w:r>
      <w:r>
        <w:t xml:space="preserve"> </w:t>
      </w:r>
      <w:r w:rsidRPr="002B292D">
        <w:t>section</w:t>
      </w:r>
      <w:r>
        <w:t xml:space="preserve"> </w:t>
      </w:r>
      <w:r w:rsidRPr="002B292D">
        <w:t>2</w:t>
      </w:r>
      <w:r>
        <w:t xml:space="preserve"> </w:t>
      </w:r>
      <w:r w:rsidRPr="002B292D">
        <w:t>(b)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Prevention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Act</w:t>
      </w:r>
      <w:r>
        <w:t xml:space="preserve"> </w:t>
      </w:r>
      <w:r w:rsidRPr="002B292D">
        <w:t>(see</w:t>
      </w:r>
      <w:r>
        <w:t xml:space="preserve"> </w:t>
      </w:r>
      <w:r w:rsidRPr="002B292D">
        <w:t>footnote</w:t>
      </w:r>
      <w:r>
        <w:t xml:space="preserve"> </w:t>
      </w:r>
      <w:r w:rsidRPr="002B292D">
        <w:t>4)</w:t>
      </w:r>
      <w:r>
        <w:t xml:space="preserve"> </w:t>
      </w:r>
      <w:r w:rsidRPr="002B292D">
        <w:t>is</w:t>
      </w:r>
      <w:r>
        <w:t xml:space="preserve"> </w:t>
      </w:r>
      <w:r w:rsidRPr="002B292D">
        <w:t>formulated</w:t>
      </w:r>
      <w:r>
        <w:t xml:space="preserve"> </w:t>
      </w:r>
      <w:r w:rsidRPr="002B292D">
        <w:t>in</w:t>
      </w:r>
      <w:r>
        <w:t xml:space="preserve"> </w:t>
      </w:r>
      <w:r w:rsidRPr="002B292D">
        <w:t>a</w:t>
      </w:r>
      <w:r>
        <w:t xml:space="preserve"> </w:t>
      </w:r>
      <w:r w:rsidRPr="002B292D">
        <w:t>broad</w:t>
      </w:r>
      <w:r>
        <w:t xml:space="preserve"> </w:t>
      </w:r>
      <w:r w:rsidRPr="002B292D">
        <w:t>and</w:t>
      </w:r>
      <w:r>
        <w:t xml:space="preserve"> </w:t>
      </w:r>
      <w:r w:rsidRPr="002B292D">
        <w:t>vague</w:t>
      </w:r>
      <w:r>
        <w:t xml:space="preserve"> </w:t>
      </w:r>
      <w:r w:rsidRPr="002B292D">
        <w:t>fashion</w:t>
      </w:r>
      <w:r>
        <w:t xml:space="preserve"> </w:t>
      </w:r>
      <w:r w:rsidRPr="002B292D">
        <w:t>that</w:t>
      </w:r>
      <w:r>
        <w:t xml:space="preserve"> </w:t>
      </w:r>
      <w:r w:rsidRPr="002B292D">
        <w:t>is</w:t>
      </w:r>
      <w:r>
        <w:t xml:space="preserve"> </w:t>
      </w:r>
      <w:r w:rsidRPr="002B292D">
        <w:t>susceptible</w:t>
      </w:r>
      <w:r>
        <w:t xml:space="preserve"> </w:t>
      </w:r>
      <w:r w:rsidRPr="002B292D">
        <w:t>to</w:t>
      </w:r>
      <w:r>
        <w:t xml:space="preserve"> </w:t>
      </w:r>
      <w:r w:rsidRPr="002B292D">
        <w:t>wide</w:t>
      </w:r>
      <w:r>
        <w:t xml:space="preserve"> </w:t>
      </w:r>
      <w:r w:rsidRPr="002B292D">
        <w:t>interpretation,</w:t>
      </w:r>
      <w:r>
        <w:t xml:space="preserve"> </w:t>
      </w:r>
      <w:r w:rsidRPr="002B292D">
        <w:t>as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case,</w:t>
      </w:r>
      <w:r>
        <w:t xml:space="preserve"> </w:t>
      </w:r>
      <w:r w:rsidRPr="002B292D">
        <w:t>and</w:t>
      </w:r>
      <w:r>
        <w:t xml:space="preserve"> </w:t>
      </w:r>
      <w:r w:rsidRPr="002B292D">
        <w:t>does</w:t>
      </w:r>
      <w:r>
        <w:t xml:space="preserve"> </w:t>
      </w:r>
      <w:r w:rsidRPr="002B292D">
        <w:t>not</w:t>
      </w:r>
      <w:r>
        <w:t xml:space="preserve"> </w:t>
      </w:r>
      <w:r w:rsidRPr="002B292D">
        <w:t>comply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principle</w:t>
      </w:r>
      <w:r>
        <w:t xml:space="preserve"> </w:t>
      </w:r>
      <w:r w:rsidRPr="002B292D">
        <w:t>of</w:t>
      </w:r>
      <w:r>
        <w:t xml:space="preserve"> </w:t>
      </w:r>
      <w:r w:rsidRPr="002B292D">
        <w:t>legal</w:t>
      </w:r>
      <w:r>
        <w:t xml:space="preserve"> </w:t>
      </w:r>
      <w:r w:rsidRPr="002B292D">
        <w:t>certainty</w:t>
      </w:r>
      <w:r>
        <w:t xml:space="preserve"> </w:t>
      </w:r>
      <w:r w:rsidRPr="002B292D">
        <w:t>and</w:t>
      </w:r>
      <w:r>
        <w:t xml:space="preserve"> </w:t>
      </w:r>
      <w:r w:rsidRPr="002B292D">
        <w:t>predictability.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also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despite</w:t>
      </w:r>
      <w:r>
        <w:t xml:space="preserve"> </w:t>
      </w:r>
      <w:r w:rsidRPr="002B292D">
        <w:t>the</w:t>
      </w:r>
      <w:r>
        <w:t xml:space="preserve"> </w:t>
      </w:r>
      <w:r w:rsidRPr="002B292D">
        <w:t>requalification</w:t>
      </w:r>
      <w:r>
        <w:t xml:space="preserve"> </w:t>
      </w:r>
      <w:r w:rsidRPr="002B292D">
        <w:t>of</w:t>
      </w:r>
      <w:r>
        <w:t xml:space="preserve"> </w:t>
      </w:r>
      <w:r w:rsidRPr="002B292D">
        <w:t>charges,</w:t>
      </w:r>
      <w:r>
        <w:t xml:space="preserve"> </w:t>
      </w:r>
      <w:r w:rsidRPr="002B292D">
        <w:t>the</w:t>
      </w:r>
      <w:r>
        <w:t xml:space="preserve"> </w:t>
      </w:r>
      <w:r w:rsidRPr="002B292D">
        <w:t>trial</w:t>
      </w:r>
      <w:r>
        <w:t xml:space="preserve"> </w:t>
      </w:r>
      <w:r w:rsidRPr="002B292D">
        <w:t>started</w:t>
      </w:r>
      <w:r>
        <w:t xml:space="preserve"> </w:t>
      </w:r>
      <w:r w:rsidRPr="002B292D">
        <w:t>the</w:t>
      </w:r>
      <w:r>
        <w:t xml:space="preserve"> </w:t>
      </w:r>
      <w:r w:rsidRPr="002B292D">
        <w:t>day</w:t>
      </w:r>
      <w:r>
        <w:t xml:space="preserve"> </w:t>
      </w:r>
      <w:r w:rsidRPr="002B292D">
        <w:t>after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arrest,</w:t>
      </w:r>
      <w:r>
        <w:t xml:space="preserve"> </w:t>
      </w:r>
      <w:r w:rsidRPr="002B292D">
        <w:t>when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notified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charges;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not</w:t>
      </w:r>
      <w:r>
        <w:t xml:space="preserve"> </w:t>
      </w:r>
      <w:r w:rsidRPr="002B292D">
        <w:t>allowed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represented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counsel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choice</w:t>
      </w:r>
      <w:r>
        <w:t xml:space="preserve"> </w:t>
      </w:r>
      <w:r w:rsidRPr="002B292D">
        <w:t>because</w:t>
      </w:r>
      <w:r>
        <w:t xml:space="preserve"> </w:t>
      </w:r>
      <w:r w:rsidRPr="002B292D">
        <w:t>two</w:t>
      </w:r>
      <w:r>
        <w:t xml:space="preserve"> </w:t>
      </w:r>
      <w:r w:rsidRPr="002B292D">
        <w:t>days</w:t>
      </w:r>
      <w:r>
        <w:t xml:space="preserve"> </w:t>
      </w:r>
      <w:r w:rsidRPr="002B292D">
        <w:t>were</w:t>
      </w:r>
      <w:r>
        <w:t xml:space="preserve"> </w:t>
      </w:r>
      <w:r w:rsidRPr="002B292D">
        <w:t>required</w:t>
      </w:r>
      <w:r>
        <w:t xml:space="preserve"> </w:t>
      </w:r>
      <w:r w:rsidRPr="002B292D">
        <w:t>for</w:t>
      </w:r>
      <w:r>
        <w:t xml:space="preserve"> </w:t>
      </w:r>
      <w:r w:rsidRPr="002B292D">
        <w:t>counsel</w:t>
      </w:r>
      <w:r>
        <w:t xml:space="preserve"> </w:t>
      </w:r>
      <w:r w:rsidRPr="002B292D">
        <w:t>to</w:t>
      </w:r>
      <w:r>
        <w:t xml:space="preserve"> </w:t>
      </w:r>
      <w:r w:rsidRPr="002B292D">
        <w:t>register;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Court</w:t>
      </w:r>
      <w:r>
        <w:t xml:space="preserve"> </w:t>
      </w:r>
      <w:r w:rsidRPr="002B292D">
        <w:t>delivered</w:t>
      </w:r>
      <w:r>
        <w:t xml:space="preserve"> </w:t>
      </w:r>
      <w:r w:rsidRPr="002B292D">
        <w:t>its</w:t>
      </w:r>
      <w:r>
        <w:t xml:space="preserve"> </w:t>
      </w:r>
      <w:r w:rsidRPr="002B292D">
        <w:t>judgment</w:t>
      </w:r>
      <w:r>
        <w:t xml:space="preserve"> </w:t>
      </w:r>
      <w:r w:rsidRPr="002B292D">
        <w:t>a</w:t>
      </w:r>
      <w:r>
        <w:t xml:space="preserve"> </w:t>
      </w:r>
      <w:r w:rsidRPr="002B292D">
        <w:t>few</w:t>
      </w:r>
      <w:r>
        <w:t xml:space="preserve"> </w:t>
      </w:r>
      <w:r w:rsidRPr="002B292D">
        <w:t>weeks</w:t>
      </w:r>
      <w:r>
        <w:t xml:space="preserve"> </w:t>
      </w:r>
      <w:r w:rsidRPr="002B292D">
        <w:t>later,</w:t>
      </w:r>
      <w:r>
        <w:t xml:space="preserve"> </w:t>
      </w:r>
      <w:r w:rsidRPr="002B292D">
        <w:t>on</w:t>
      </w:r>
      <w:r>
        <w:t xml:space="preserve"> </w:t>
      </w:r>
      <w:r w:rsidRPr="002B292D">
        <w:t>13</w:t>
      </w:r>
      <w:r>
        <w:t xml:space="preserve"> </w:t>
      </w:r>
      <w:r w:rsidRPr="002B292D">
        <w:t>March</w:t>
      </w:r>
      <w:r>
        <w:t xml:space="preserve"> </w:t>
      </w:r>
      <w:r w:rsidRPr="002B292D">
        <w:t>2015.</w:t>
      </w:r>
      <w:r>
        <w:t xml:space="preserve"> </w:t>
      </w:r>
      <w:r w:rsidRPr="002B292D">
        <w:t>Although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maintains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facts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</w:t>
      </w:r>
      <w:r>
        <w:t xml:space="preserve"> </w:t>
      </w:r>
      <w:r w:rsidRPr="002B292D">
        <w:t>date</w:t>
      </w:r>
      <w:r>
        <w:t xml:space="preserve"> </w:t>
      </w:r>
      <w:r w:rsidRPr="002B292D">
        <w:lastRenderedPageBreak/>
        <w:t>back</w:t>
      </w:r>
      <w:r>
        <w:t xml:space="preserve"> </w:t>
      </w:r>
      <w:r w:rsidRPr="002B292D">
        <w:t>to</w:t>
      </w:r>
      <w:r>
        <w:t xml:space="preserve"> </w:t>
      </w:r>
      <w:r w:rsidRPr="002B292D">
        <w:t>February</w:t>
      </w:r>
      <w:r>
        <w:t xml:space="preserve"> </w:t>
      </w:r>
      <w:r w:rsidRPr="002B292D">
        <w:t>2012,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legal</w:t>
      </w:r>
      <w:r>
        <w:t xml:space="preserve"> </w:t>
      </w:r>
      <w:r w:rsidRPr="002B292D">
        <w:t>team,</w:t>
      </w:r>
      <w:r>
        <w:t xml:space="preserve"> </w:t>
      </w:r>
      <w:r w:rsidRPr="002B292D">
        <w:t>which</w:t>
      </w:r>
      <w:r>
        <w:t xml:space="preserve"> </w:t>
      </w:r>
      <w:r w:rsidRPr="002B292D">
        <w:t>remained</w:t>
      </w:r>
      <w:r>
        <w:t xml:space="preserve"> </w:t>
      </w:r>
      <w:r w:rsidRPr="002B292D">
        <w:t>unchanged,</w:t>
      </w:r>
      <w:r>
        <w:t xml:space="preserve"> </w:t>
      </w:r>
      <w:r w:rsidRPr="002B292D">
        <w:t>was</w:t>
      </w:r>
      <w:r>
        <w:t xml:space="preserve"> </w:t>
      </w:r>
      <w:r w:rsidRPr="002B292D">
        <w:t>given</w:t>
      </w:r>
      <w:r>
        <w:t xml:space="preserve"> </w:t>
      </w:r>
      <w:r w:rsidRPr="002B292D">
        <w:t>sufficient</w:t>
      </w:r>
      <w:r>
        <w:t xml:space="preserve"> </w:t>
      </w:r>
      <w:r w:rsidRPr="002B292D">
        <w:t>time</w:t>
      </w:r>
      <w:r>
        <w:t xml:space="preserve"> </w:t>
      </w:r>
      <w:r w:rsidRPr="002B292D">
        <w:t>to</w:t>
      </w:r>
      <w:r>
        <w:t xml:space="preserve"> </w:t>
      </w:r>
      <w:r w:rsidRPr="002B292D">
        <w:t>prepare</w:t>
      </w:r>
      <w:r>
        <w:t xml:space="preserve"> </w:t>
      </w:r>
      <w:r w:rsidRPr="002B292D">
        <w:t>for</w:t>
      </w:r>
      <w:r>
        <w:t xml:space="preserve"> </w:t>
      </w:r>
      <w:r w:rsidRPr="002B292D">
        <w:t>trial</w:t>
      </w:r>
      <w:r>
        <w:t xml:space="preserve"> </w:t>
      </w:r>
      <w:r w:rsidRPr="002B292D">
        <w:t>during</w:t>
      </w:r>
      <w:r>
        <w:t xml:space="preserve"> </w:t>
      </w:r>
      <w:r w:rsidRPr="002B292D">
        <w:t>the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not</w:t>
      </w:r>
      <w:r>
        <w:t xml:space="preserve"> </w:t>
      </w:r>
      <w:r w:rsidRPr="002B292D">
        <w:t>shown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afforded</w:t>
      </w:r>
      <w:r>
        <w:t xml:space="preserve"> </w:t>
      </w:r>
      <w:r w:rsidRPr="002B292D">
        <w:t>adequate</w:t>
      </w:r>
      <w:r>
        <w:t xml:space="preserve"> </w:t>
      </w:r>
      <w:r w:rsidRPr="002B292D">
        <w:t>time</w:t>
      </w:r>
      <w:r>
        <w:t xml:space="preserve"> </w:t>
      </w:r>
      <w:r w:rsidRPr="002B292D">
        <w:t>to</w:t>
      </w:r>
      <w:r>
        <w:t xml:space="preserve"> </w:t>
      </w:r>
      <w:r w:rsidRPr="002B292D">
        <w:t>prepare</w:t>
      </w:r>
      <w:r>
        <w:t xml:space="preserve"> </w:t>
      </w:r>
      <w:r w:rsidRPr="002B292D">
        <w:t>his</w:t>
      </w:r>
      <w:r>
        <w:t xml:space="preserve"> </w:t>
      </w:r>
      <w:r w:rsidRPr="002B292D">
        <w:t>defence</w:t>
      </w:r>
      <w:r>
        <w:t xml:space="preserve"> </w:t>
      </w:r>
      <w:r w:rsidRPr="002B292D">
        <w:t>after</w:t>
      </w:r>
      <w:r>
        <w:t xml:space="preserve"> </w:t>
      </w:r>
      <w:r w:rsidRPr="002B292D">
        <w:t>the</w:t>
      </w:r>
      <w:r>
        <w:t xml:space="preserve"> </w:t>
      </w:r>
      <w:r w:rsidRPr="002B292D">
        <w:t>new</w:t>
      </w:r>
      <w:r>
        <w:t xml:space="preserve"> </w:t>
      </w:r>
      <w:r w:rsidRPr="002B292D">
        <w:t>charges</w:t>
      </w:r>
      <w:r>
        <w:t xml:space="preserve"> </w:t>
      </w:r>
      <w:r w:rsidRPr="002B292D">
        <w:t>were</w:t>
      </w:r>
      <w:r>
        <w:t xml:space="preserve"> </w:t>
      </w:r>
      <w:r w:rsidRPr="002B292D">
        <w:t>notified.</w:t>
      </w:r>
      <w:r>
        <w:t xml:space="preserve"> </w:t>
      </w:r>
      <w:r w:rsidRPr="002B292D">
        <w:t>Moreover,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not</w:t>
      </w:r>
      <w:r>
        <w:t xml:space="preserve"> </w:t>
      </w:r>
      <w:r w:rsidRPr="002B292D">
        <w:t>rebutted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judges</w:t>
      </w:r>
      <w:r>
        <w:t xml:space="preserve"> </w:t>
      </w:r>
      <w:r w:rsidRPr="002B292D">
        <w:t>in</w:t>
      </w:r>
      <w:r>
        <w:t xml:space="preserve"> </w:t>
      </w:r>
      <w:r w:rsidRPr="002B292D">
        <w:t>charge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trial</w:t>
      </w:r>
      <w:r>
        <w:t xml:space="preserve"> </w:t>
      </w:r>
      <w:r w:rsidRPr="002B292D">
        <w:t>lacked</w:t>
      </w:r>
      <w:r>
        <w:t xml:space="preserve"> </w:t>
      </w:r>
      <w:r w:rsidRPr="002B292D">
        <w:t>independence</w:t>
      </w:r>
      <w:r>
        <w:t xml:space="preserve"> </w:t>
      </w:r>
      <w:r w:rsidRPr="002B292D">
        <w:t>and</w:t>
      </w:r>
      <w:r>
        <w:t xml:space="preserve"> </w:t>
      </w:r>
      <w:r w:rsidRPr="002B292D">
        <w:t>impartiality</w:t>
      </w:r>
      <w:r>
        <w:t xml:space="preserve"> </w:t>
      </w:r>
      <w:r w:rsidRPr="002B292D">
        <w:t>since</w:t>
      </w:r>
      <w:r>
        <w:t xml:space="preserve"> </w:t>
      </w:r>
      <w:r w:rsidRPr="002B292D">
        <w:t>two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three</w:t>
      </w:r>
      <w:r>
        <w:t xml:space="preserve"> </w:t>
      </w:r>
      <w:r w:rsidRPr="002B292D">
        <w:t>judges</w:t>
      </w:r>
      <w:r>
        <w:t xml:space="preserve"> </w:t>
      </w:r>
      <w:r w:rsidRPr="002B292D">
        <w:t>presiding</w:t>
      </w:r>
      <w:r>
        <w:t xml:space="preserve"> </w:t>
      </w:r>
      <w:r w:rsidRPr="002B292D">
        <w:t>over</w:t>
      </w:r>
      <w:r>
        <w:t xml:space="preserve"> </w:t>
      </w:r>
      <w:r w:rsidRPr="002B292D">
        <w:t>his</w:t>
      </w:r>
      <w:r>
        <w:t xml:space="preserve"> </w:t>
      </w:r>
      <w:r w:rsidRPr="002B292D">
        <w:t>case</w:t>
      </w:r>
      <w:r>
        <w:t xml:space="preserve"> </w:t>
      </w:r>
      <w:r w:rsidRPr="002B292D">
        <w:t>were</w:t>
      </w:r>
      <w:r>
        <w:t xml:space="preserve"> </w:t>
      </w:r>
      <w:r w:rsidRPr="002B292D">
        <w:t>not</w:t>
      </w:r>
      <w:r>
        <w:t xml:space="preserve"> </w:t>
      </w:r>
      <w:r w:rsidRPr="002B292D">
        <w:t>only</w:t>
      </w:r>
      <w:r>
        <w:t xml:space="preserve"> </w:t>
      </w:r>
      <w:r w:rsidRPr="002B292D">
        <w:t>close</w:t>
      </w:r>
      <w:r>
        <w:t xml:space="preserve"> </w:t>
      </w:r>
      <w:r w:rsidRPr="002B292D">
        <w:t>friends</w:t>
      </w:r>
      <w:r>
        <w:t xml:space="preserve"> </w:t>
      </w:r>
      <w:r w:rsidRPr="002B292D">
        <w:t>of</w:t>
      </w:r>
      <w:r>
        <w:t xml:space="preserve"> </w:t>
      </w:r>
      <w:r w:rsidRPr="002B292D">
        <w:t>Judge</w:t>
      </w:r>
      <w:r>
        <w:t xml:space="preserve"> </w:t>
      </w:r>
      <w:r w:rsidRPr="002B292D">
        <w:t>A.M.</w:t>
      </w:r>
      <w:r>
        <w:t xml:space="preserve"> </w:t>
      </w:r>
      <w:r w:rsidRPr="002B292D">
        <w:t>and</w:t>
      </w:r>
      <w:r>
        <w:t xml:space="preserve"> </w:t>
      </w:r>
      <w:r w:rsidRPr="002B292D">
        <w:t>present</w:t>
      </w:r>
      <w:r>
        <w:t xml:space="preserve"> </w:t>
      </w:r>
      <w:r w:rsidRPr="002B292D">
        <w:t>at</w:t>
      </w:r>
      <w:r>
        <w:t xml:space="preserve"> </w:t>
      </w:r>
      <w:r w:rsidRPr="002B292D">
        <w:t>his</w:t>
      </w:r>
      <w:r>
        <w:t xml:space="preserve"> </w:t>
      </w:r>
      <w:r w:rsidRPr="002B292D">
        <w:t>arrest,</w:t>
      </w:r>
      <w:r>
        <w:t xml:space="preserve"> </w:t>
      </w:r>
      <w:r w:rsidRPr="002B292D">
        <w:t>but</w:t>
      </w:r>
      <w:r>
        <w:t xml:space="preserve"> </w:t>
      </w:r>
      <w:r w:rsidRPr="002B292D">
        <w:t>they</w:t>
      </w:r>
      <w:r>
        <w:t xml:space="preserve"> </w:t>
      </w:r>
      <w:r w:rsidRPr="002B292D">
        <w:t>also</w:t>
      </w:r>
      <w:r>
        <w:t xml:space="preserve"> </w:t>
      </w:r>
      <w:r w:rsidRPr="002B292D">
        <w:t>submitted</w:t>
      </w:r>
      <w:r>
        <w:t xml:space="preserve"> </w:t>
      </w:r>
      <w:r w:rsidRPr="002B292D">
        <w:t>witness</w:t>
      </w:r>
      <w:r>
        <w:t xml:space="preserve"> </w:t>
      </w:r>
      <w:r w:rsidRPr="002B292D">
        <w:t>statements</w:t>
      </w:r>
      <w:r>
        <w:t xml:space="preserve"> </w:t>
      </w:r>
      <w:r w:rsidRPr="002B292D">
        <w:t>on</w:t>
      </w:r>
      <w:r>
        <w:t xml:space="preserve"> </w:t>
      </w:r>
      <w:r w:rsidRPr="002B292D">
        <w:t>behalf</w:t>
      </w:r>
      <w:r>
        <w:t xml:space="preserve"> </w:t>
      </w:r>
      <w:r w:rsidRPr="002B292D">
        <w:t>of</w:t>
      </w:r>
      <w:r>
        <w:t xml:space="preserve"> </w:t>
      </w:r>
      <w:r w:rsidRPr="002B292D">
        <w:t>Judge</w:t>
      </w:r>
      <w:r>
        <w:t xml:space="preserve"> </w:t>
      </w:r>
      <w:r w:rsidRPr="002B292D">
        <w:t>A.M.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police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country</w:t>
      </w:r>
      <w:r w:rsidR="00995FAE">
        <w:t>’</w:t>
      </w:r>
      <w:r w:rsidRPr="002B292D">
        <w:t>s</w:t>
      </w:r>
      <w:r>
        <w:t xml:space="preserve"> </w:t>
      </w:r>
      <w:r w:rsidRPr="002B292D">
        <w:t>Human</w:t>
      </w:r>
      <w:r>
        <w:t xml:space="preserve"> </w:t>
      </w:r>
      <w:r w:rsidRPr="002B292D">
        <w:t>Rights</w:t>
      </w:r>
      <w:r>
        <w:t xml:space="preserve"> </w:t>
      </w:r>
      <w:r w:rsidRPr="002B292D">
        <w:t>Commission,</w:t>
      </w:r>
      <w:r>
        <w:t xml:space="preserve"> </w:t>
      </w:r>
      <w:r w:rsidRPr="002B292D">
        <w:t>and</w:t>
      </w:r>
      <w:r>
        <w:t xml:space="preserve"> </w:t>
      </w:r>
      <w:r w:rsidRPr="002B292D">
        <w:t>were</w:t>
      </w:r>
      <w:r>
        <w:t xml:space="preserve"> </w:t>
      </w:r>
      <w:r w:rsidRPr="002B292D">
        <w:t>listed</w:t>
      </w:r>
      <w:r>
        <w:t xml:space="preserve"> </w:t>
      </w:r>
      <w:r w:rsidRPr="002B292D">
        <w:t>as</w:t>
      </w:r>
      <w:r>
        <w:t xml:space="preserve"> </w:t>
      </w:r>
      <w:r w:rsidRPr="002B292D">
        <w:t>witnesses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prosecution</w:t>
      </w:r>
      <w:r>
        <w:t xml:space="preserve"> </w:t>
      </w:r>
      <w:r w:rsidRPr="002B292D">
        <w:t>when</w:t>
      </w:r>
      <w:r>
        <w:t xml:space="preserve"> </w:t>
      </w:r>
      <w:r w:rsidRPr="002B292D">
        <w:t>the</w:t>
      </w:r>
      <w:r>
        <w:t xml:space="preserve"> </w:t>
      </w:r>
      <w:r w:rsidRPr="002B292D">
        <w:t>charges</w:t>
      </w:r>
      <w:r>
        <w:t xml:space="preserve"> </w:t>
      </w:r>
      <w:r w:rsidRPr="002B292D">
        <w:t>were</w:t>
      </w:r>
      <w:r>
        <w:t xml:space="preserve"> </w:t>
      </w:r>
      <w:r w:rsidRPr="002B292D">
        <w:t>still</w:t>
      </w:r>
      <w:r>
        <w:t xml:space="preserve"> </w:t>
      </w:r>
      <w:r w:rsidRPr="002B292D">
        <w:t>framed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81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Penal</w:t>
      </w:r>
      <w:r>
        <w:t xml:space="preserve"> </w:t>
      </w:r>
      <w:r w:rsidRPr="002B292D">
        <w:t>Code.</w:t>
      </w:r>
      <w:r>
        <w:t xml:space="preserve"> </w:t>
      </w:r>
      <w:r w:rsidRPr="002B292D">
        <w:t>Against</w:t>
      </w:r>
      <w:r>
        <w:t xml:space="preserve"> </w:t>
      </w:r>
      <w:r w:rsidRPr="002B292D">
        <w:t>this</w:t>
      </w:r>
      <w:r>
        <w:t xml:space="preserve"> </w:t>
      </w:r>
      <w:r w:rsidRPr="002B292D">
        <w:t>background,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considers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finally</w:t>
      </w:r>
      <w:r>
        <w:t xml:space="preserve"> </w:t>
      </w:r>
      <w:r w:rsidRPr="002B292D">
        <w:t>convicted</w:t>
      </w:r>
      <w:r>
        <w:t xml:space="preserve"> </w:t>
      </w:r>
      <w:r w:rsidRPr="002B292D">
        <w:t>and</w:t>
      </w:r>
      <w:r>
        <w:t xml:space="preserve"> </w:t>
      </w:r>
      <w:r w:rsidRPr="002B292D">
        <w:t>sentenced</w:t>
      </w:r>
      <w:r>
        <w:t xml:space="preserve"> </w:t>
      </w:r>
      <w:r w:rsidRPr="002B292D">
        <w:t>for</w:t>
      </w:r>
      <w:r>
        <w:t xml:space="preserve"> </w:t>
      </w:r>
      <w:r w:rsidRPr="002B292D">
        <w:t>terrorism</w:t>
      </w:r>
      <w:r>
        <w:t xml:space="preserve"> </w:t>
      </w:r>
      <w:r w:rsidRPr="002B292D">
        <w:t>violated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fair</w:t>
      </w:r>
      <w:r>
        <w:t xml:space="preserve"> </w:t>
      </w:r>
      <w:r w:rsidRPr="002B292D">
        <w:t>trial,</w:t>
      </w:r>
      <w:r>
        <w:t xml:space="preserve"> </w:t>
      </w:r>
      <w:r w:rsidRPr="002B292D">
        <w:t>and,</w:t>
      </w:r>
      <w:r>
        <w:t xml:space="preserve"> </w:t>
      </w:r>
      <w:r w:rsidRPr="002B292D">
        <w:t>therefore,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14</w:t>
      </w:r>
      <w:r>
        <w:t xml:space="preserve"> </w:t>
      </w:r>
      <w:r w:rsidRPr="002B292D">
        <w:t>(1)</w:t>
      </w:r>
      <w:r>
        <w:t xml:space="preserve"> </w:t>
      </w:r>
      <w:r w:rsidRPr="002B292D">
        <w:t>and</w:t>
      </w:r>
      <w:r>
        <w:t xml:space="preserve"> </w:t>
      </w:r>
      <w:r w:rsidRPr="002B292D">
        <w:t>(3)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were</w:t>
      </w:r>
      <w:r>
        <w:t xml:space="preserve"> </w:t>
      </w:r>
      <w:r w:rsidRPr="002B292D">
        <w:t>violated.</w:t>
      </w:r>
    </w:p>
    <w:p w:rsidR="000D3068" w:rsidRPr="002B292D" w:rsidRDefault="000D3068" w:rsidP="00533F65">
      <w:pPr>
        <w:pStyle w:val="SingleTxtG"/>
      </w:pPr>
      <w:r w:rsidRPr="002B292D">
        <w:t>8.4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notes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were</w:t>
      </w:r>
      <w:r>
        <w:t xml:space="preserve"> </w:t>
      </w:r>
      <w:r w:rsidRPr="002B292D">
        <w:t>violated</w:t>
      </w:r>
      <w:r>
        <w:t xml:space="preserve"> </w:t>
      </w:r>
      <w:r w:rsidRPr="002B292D">
        <w:t>since</w:t>
      </w:r>
      <w:r>
        <w:t xml:space="preserve"> </w:t>
      </w:r>
      <w:r w:rsidRPr="002B292D">
        <w:t>the</w:t>
      </w:r>
      <w:r>
        <w:t xml:space="preserve"> </w:t>
      </w:r>
      <w:r w:rsidRPr="002B292D">
        <w:t>original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were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</w:t>
      </w:r>
      <w:r>
        <w:t xml:space="preserve"> </w:t>
      </w:r>
      <w:r w:rsidRPr="002B292D">
        <w:t>and</w:t>
      </w:r>
      <w:r>
        <w:t xml:space="preserve"> </w:t>
      </w:r>
      <w:r w:rsidRPr="002B292D">
        <w:t>instituted</w:t>
      </w:r>
      <w:r>
        <w:t xml:space="preserve"> </w:t>
      </w:r>
      <w:r w:rsidRPr="002B292D">
        <w:t>in</w:t>
      </w:r>
      <w:r>
        <w:t xml:space="preserve"> </w:t>
      </w:r>
      <w:r w:rsidRPr="002B292D">
        <w:t>order</w:t>
      </w:r>
      <w:r>
        <w:t xml:space="preserve"> </w:t>
      </w:r>
      <w:r w:rsidRPr="002B292D">
        <w:t>to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2013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elections.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also</w:t>
      </w:r>
      <w:r>
        <w:t xml:space="preserve"> </w:t>
      </w:r>
      <w:r w:rsidRPr="002B292D">
        <w:t>notes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stand</w:t>
      </w:r>
      <w:r>
        <w:t xml:space="preserve"> </w:t>
      </w:r>
      <w:r w:rsidRPr="002B292D">
        <w:t>for</w:t>
      </w:r>
      <w:r>
        <w:t xml:space="preserve"> </w:t>
      </w:r>
      <w:r w:rsidRPr="002B292D">
        <w:t>election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was</w:t>
      </w:r>
      <w:r>
        <w:t xml:space="preserve"> </w:t>
      </w:r>
      <w:r w:rsidRPr="002B292D">
        <w:t>unreasonably</w:t>
      </w:r>
      <w:r>
        <w:t xml:space="preserve"> </w:t>
      </w:r>
      <w:r w:rsidRPr="002B292D">
        <w:t>restricted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result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arbitrary</w:t>
      </w:r>
      <w:r>
        <w:t xml:space="preserve"> </w:t>
      </w:r>
      <w:r w:rsidRPr="002B292D">
        <w:t>detention</w:t>
      </w:r>
      <w:r>
        <w:t xml:space="preserve"> </w:t>
      </w:r>
      <w:r w:rsidRPr="002B292D">
        <w:t>and</w:t>
      </w:r>
      <w:r>
        <w:t xml:space="preserve"> </w:t>
      </w:r>
      <w:r w:rsidRPr="002B292D">
        <w:t>conviction</w:t>
      </w:r>
      <w:r>
        <w:t xml:space="preserve"> </w:t>
      </w:r>
      <w:r w:rsidRPr="002B292D">
        <w:t>on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in</w:t>
      </w:r>
      <w:r>
        <w:t xml:space="preserve"> </w:t>
      </w:r>
      <w:r w:rsidRPr="002B292D">
        <w:t>2015,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basis</w:t>
      </w:r>
      <w:r>
        <w:t xml:space="preserve"> </w:t>
      </w:r>
      <w:r w:rsidRPr="002B292D">
        <w:t>of</w:t>
      </w:r>
      <w:r>
        <w:t xml:space="preserve"> </w:t>
      </w:r>
      <w:r w:rsidRPr="002B292D">
        <w:t>an</w:t>
      </w:r>
      <w:r>
        <w:t xml:space="preserve"> </w:t>
      </w:r>
      <w:r w:rsidRPr="002B292D">
        <w:t>unfair</w:t>
      </w:r>
      <w:r>
        <w:t xml:space="preserve"> </w:t>
      </w:r>
      <w:r w:rsidRPr="002B292D">
        <w:t>trial.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submits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were</w:t>
      </w:r>
      <w:r>
        <w:t xml:space="preserve"> </w:t>
      </w:r>
      <w:r w:rsidRPr="002B292D">
        <w:t>also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motivated;</w:t>
      </w:r>
      <w:r>
        <w:t xml:space="preserve"> </w:t>
      </w:r>
      <w:r w:rsidRPr="002B292D">
        <w:t>that</w:t>
      </w:r>
      <w:r>
        <w:t xml:space="preserve"> </w:t>
      </w:r>
      <w:r w:rsidRPr="002B292D">
        <w:t>his</w:t>
      </w:r>
      <w:r>
        <w:t xml:space="preserve"> </w:t>
      </w:r>
      <w:r w:rsidRPr="002B292D">
        <w:t>conviction</w:t>
      </w:r>
      <w:r>
        <w:t xml:space="preserve"> </w:t>
      </w:r>
      <w:r w:rsidRPr="002B292D">
        <w:t>and</w:t>
      </w:r>
      <w:r>
        <w:t xml:space="preserve"> </w:t>
      </w:r>
      <w:r w:rsidRPr="002B292D">
        <w:t>sentence</w:t>
      </w:r>
      <w:r>
        <w:t xml:space="preserve"> </w:t>
      </w:r>
      <w:r w:rsidRPr="002B292D">
        <w:t>were</w:t>
      </w:r>
      <w:r>
        <w:t xml:space="preserve"> </w:t>
      </w:r>
      <w:r w:rsidRPr="002B292D">
        <w:t>an</w:t>
      </w:r>
      <w:r>
        <w:t xml:space="preserve"> </w:t>
      </w:r>
      <w:r w:rsidRPr="002B292D">
        <w:t>attempt</w:t>
      </w:r>
      <w:r>
        <w:t xml:space="preserve"> </w:t>
      </w:r>
      <w:r w:rsidRPr="002B292D">
        <w:t>to</w:t>
      </w:r>
      <w:r>
        <w:t xml:space="preserve"> </w:t>
      </w:r>
      <w:r w:rsidRPr="002B292D">
        <w:t>ultimately</w:t>
      </w:r>
      <w:r>
        <w:t xml:space="preserve"> </w:t>
      </w:r>
      <w:r w:rsidRPr="002B292D">
        <w:t>prevent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participating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2018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elections,</w:t>
      </w:r>
      <w:r>
        <w:t xml:space="preserve"> </w:t>
      </w:r>
      <w:r w:rsidRPr="002B292D">
        <w:t>since</w:t>
      </w:r>
      <w:r>
        <w:t xml:space="preserve"> </w:t>
      </w:r>
      <w:r w:rsidRPr="002B292D">
        <w:t>he</w:t>
      </w:r>
      <w:r>
        <w:t xml:space="preserve"> </w:t>
      </w:r>
      <w:r w:rsidRPr="002B292D">
        <w:t>has</w:t>
      </w:r>
      <w:r>
        <w:t xml:space="preserve"> </w:t>
      </w:r>
      <w:r w:rsidRPr="002B292D">
        <w:t>been</w:t>
      </w:r>
      <w:r>
        <w:t xml:space="preserve"> </w:t>
      </w:r>
      <w:r w:rsidRPr="002B292D">
        <w:t>subjected</w:t>
      </w:r>
      <w:r>
        <w:t xml:space="preserve"> </w:t>
      </w:r>
      <w:r w:rsidRPr="002B292D">
        <w:t>to</w:t>
      </w:r>
      <w:r>
        <w:t xml:space="preserve"> </w:t>
      </w:r>
      <w:r w:rsidRPr="002B292D">
        <w:t>a</w:t>
      </w:r>
      <w:r>
        <w:t xml:space="preserve"> </w:t>
      </w:r>
      <w:r w:rsidRPr="002B292D">
        <w:t>16-year</w:t>
      </w:r>
      <w:r>
        <w:t xml:space="preserve"> </w:t>
      </w:r>
      <w:r w:rsidRPr="002B292D">
        <w:t>disqualification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for</w:t>
      </w:r>
      <w:r>
        <w:t xml:space="preserve"> </w:t>
      </w:r>
      <w:r w:rsidRPr="002B292D">
        <w:t>political</w:t>
      </w:r>
      <w:r>
        <w:t xml:space="preserve"> </w:t>
      </w:r>
      <w:r w:rsidRPr="002B292D">
        <w:t>office</w:t>
      </w:r>
      <w:r>
        <w:t xml:space="preserve"> </w:t>
      </w:r>
      <w:r w:rsidRPr="002B292D">
        <w:t>(until</w:t>
      </w:r>
      <w:r>
        <w:t xml:space="preserve"> </w:t>
      </w:r>
      <w:r w:rsidRPr="002B292D">
        <w:t>after</w:t>
      </w:r>
      <w:r>
        <w:t xml:space="preserve"> </w:t>
      </w:r>
      <w:r w:rsidRPr="002B292D">
        <w:t>2031);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he</w:t>
      </w:r>
      <w:r>
        <w:t xml:space="preserve"> </w:t>
      </w:r>
      <w:r w:rsidRPr="002B292D">
        <w:t>is</w:t>
      </w:r>
      <w:r>
        <w:t xml:space="preserve"> </w:t>
      </w:r>
      <w:r w:rsidRPr="002B292D">
        <w:t>banned</w:t>
      </w:r>
      <w:r>
        <w:t xml:space="preserve"> </w:t>
      </w:r>
      <w:r w:rsidRPr="002B292D">
        <w:t>from</w:t>
      </w:r>
      <w:r>
        <w:t xml:space="preserve"> </w:t>
      </w:r>
      <w:r w:rsidRPr="002B292D">
        <w:t>holding</w:t>
      </w:r>
      <w:r>
        <w:t xml:space="preserve"> </w:t>
      </w:r>
      <w:r w:rsidRPr="002B292D">
        <w:t>a</w:t>
      </w:r>
      <w:r>
        <w:t xml:space="preserve"> </w:t>
      </w:r>
      <w:r w:rsidRPr="002B292D">
        <w:t>leadership</w:t>
      </w:r>
      <w:r>
        <w:t xml:space="preserve"> </w:t>
      </w:r>
      <w:r w:rsidRPr="002B292D">
        <w:t>position</w:t>
      </w:r>
      <w:r>
        <w:t xml:space="preserve"> </w:t>
      </w:r>
      <w:r w:rsidRPr="002B292D">
        <w:t>in</w:t>
      </w:r>
      <w:r>
        <w:t xml:space="preserve"> </w:t>
      </w:r>
      <w:r w:rsidRPr="002B292D">
        <w:t>a</w:t>
      </w:r>
      <w:r>
        <w:t xml:space="preserve"> </w:t>
      </w:r>
      <w:r w:rsidRPr="002B292D">
        <w:t>political</w:t>
      </w:r>
      <w:r>
        <w:t xml:space="preserve"> </w:t>
      </w:r>
      <w:r w:rsidRPr="002B292D">
        <w:t>party</w:t>
      </w:r>
      <w:r>
        <w:t xml:space="preserve"> </w:t>
      </w:r>
      <w:r w:rsidRPr="002B292D">
        <w:t>under</w:t>
      </w:r>
      <w:r>
        <w:t xml:space="preserve"> </w:t>
      </w:r>
      <w:r w:rsidRPr="002B292D">
        <w:t>the</w:t>
      </w:r>
      <w:r>
        <w:t xml:space="preserve"> </w:t>
      </w:r>
      <w:r w:rsidRPr="002B292D">
        <w:t>2015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Act.</w:t>
      </w:r>
    </w:p>
    <w:p w:rsidR="000D3068" w:rsidRPr="002B292D" w:rsidRDefault="000D3068" w:rsidP="00533F65">
      <w:pPr>
        <w:pStyle w:val="SingleTxtG"/>
      </w:pPr>
      <w:r w:rsidRPr="002B292D">
        <w:t>8.5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also</w:t>
      </w:r>
      <w:r>
        <w:t xml:space="preserve"> </w:t>
      </w:r>
      <w:r w:rsidRPr="002B292D">
        <w:t>notes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 w:rsidR="00995FAE">
        <w:t>’</w:t>
      </w:r>
      <w:r w:rsidRPr="002B292D">
        <w:t>s</w:t>
      </w:r>
      <w:r>
        <w:t xml:space="preserve"> </w:t>
      </w:r>
      <w:r w:rsidRPr="002B292D">
        <w:t>arguments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detention,</w:t>
      </w:r>
      <w:r>
        <w:t xml:space="preserve"> </w:t>
      </w:r>
      <w:r w:rsidRPr="002B292D">
        <w:t>sentence</w:t>
      </w:r>
      <w:r>
        <w:t xml:space="preserve"> </w:t>
      </w:r>
      <w:r w:rsidRPr="002B292D">
        <w:t>and</w:t>
      </w:r>
      <w:r>
        <w:t xml:space="preserve"> </w:t>
      </w:r>
      <w:r w:rsidRPr="002B292D">
        <w:t>conviction</w:t>
      </w:r>
      <w:r>
        <w:t xml:space="preserve"> </w:t>
      </w:r>
      <w:r w:rsidRPr="002B292D">
        <w:t>cannot</w:t>
      </w:r>
      <w:r>
        <w:t xml:space="preserve"> </w:t>
      </w:r>
      <w:r w:rsidRPr="002B292D">
        <w:t>be</w:t>
      </w:r>
      <w:r>
        <w:t xml:space="preserve"> </w:t>
      </w:r>
      <w:r w:rsidRPr="002B292D">
        <w:t>deemed</w:t>
      </w:r>
      <w:r>
        <w:t xml:space="preserve"> </w:t>
      </w:r>
      <w:r w:rsidRPr="002B292D">
        <w:t>arbitrary</w:t>
      </w:r>
      <w:r>
        <w:t xml:space="preserve"> </w:t>
      </w:r>
      <w:r w:rsidRPr="002B292D">
        <w:t>and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restrictions</w:t>
      </w:r>
      <w:r>
        <w:t xml:space="preserve"> </w:t>
      </w:r>
      <w:r w:rsidRPr="002B292D">
        <w:t>on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to</w:t>
      </w:r>
      <w:r>
        <w:t xml:space="preserve"> </w:t>
      </w:r>
      <w:r w:rsidRPr="002B292D">
        <w:t>political</w:t>
      </w:r>
      <w:r>
        <w:t xml:space="preserve"> </w:t>
      </w:r>
      <w:r w:rsidRPr="002B292D">
        <w:t>participation</w:t>
      </w:r>
      <w:r>
        <w:t xml:space="preserve"> </w:t>
      </w:r>
      <w:r w:rsidRPr="002B292D">
        <w:t>and</w:t>
      </w:r>
      <w:r>
        <w:t xml:space="preserve"> </w:t>
      </w:r>
      <w:r w:rsidRPr="002B292D">
        <w:t>association</w:t>
      </w:r>
      <w:r>
        <w:t xml:space="preserve"> </w:t>
      </w:r>
      <w:r w:rsidRPr="002B292D">
        <w:t>are</w:t>
      </w:r>
      <w:r>
        <w:t xml:space="preserve"> </w:t>
      </w:r>
      <w:r w:rsidRPr="002B292D">
        <w:t>therefore</w:t>
      </w:r>
      <w:r>
        <w:t xml:space="preserve"> </w:t>
      </w:r>
      <w:r w:rsidRPr="002B292D">
        <w:t>justified</w:t>
      </w:r>
      <w:r>
        <w:t xml:space="preserve"> </w:t>
      </w:r>
      <w:r w:rsidRPr="002B292D">
        <w:t>and</w:t>
      </w:r>
      <w:r>
        <w:t xml:space="preserve"> </w:t>
      </w:r>
      <w:r w:rsidRPr="002B292D">
        <w:t>reasonable.</w:t>
      </w:r>
      <w:r>
        <w:t xml:space="preserve"> </w:t>
      </w:r>
      <w:r w:rsidRPr="002B292D">
        <w:t>According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conviction</w:t>
      </w:r>
      <w:r>
        <w:t xml:space="preserve"> </w:t>
      </w:r>
      <w:r w:rsidRPr="002B292D">
        <w:t>on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and</w:t>
      </w:r>
      <w:r>
        <w:t xml:space="preserve"> </w:t>
      </w:r>
      <w:r w:rsidRPr="002B292D">
        <w:t>his</w:t>
      </w:r>
      <w:r>
        <w:t xml:space="preserve"> </w:t>
      </w:r>
      <w:r w:rsidRPr="002B292D">
        <w:t>subsequent</w:t>
      </w:r>
      <w:r>
        <w:t xml:space="preserve"> </w:t>
      </w:r>
      <w:r w:rsidRPr="002B292D">
        <w:t>sentence</w:t>
      </w:r>
      <w:r>
        <w:t xml:space="preserve"> </w:t>
      </w:r>
      <w:r w:rsidRPr="002B292D">
        <w:t>of</w:t>
      </w:r>
      <w:r>
        <w:t xml:space="preserve"> </w:t>
      </w:r>
      <w:r w:rsidRPr="002B292D">
        <w:t>13</w:t>
      </w:r>
      <w:r>
        <w:t xml:space="preserve"> </w:t>
      </w:r>
      <w:r w:rsidRPr="002B292D">
        <w:t>years</w:t>
      </w:r>
      <w:r w:rsidR="00995FAE">
        <w:t>’</w:t>
      </w:r>
      <w:r>
        <w:t xml:space="preserve"> </w:t>
      </w:r>
      <w:r w:rsidRPr="002B292D">
        <w:t>imprisonment</w:t>
      </w:r>
      <w:r>
        <w:t xml:space="preserve"> </w:t>
      </w:r>
      <w:r w:rsidRPr="002B292D">
        <w:t>were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law</w:t>
      </w:r>
      <w:r>
        <w:t xml:space="preserve"> </w:t>
      </w:r>
      <w:r w:rsidRPr="002B292D">
        <w:t>and</w:t>
      </w:r>
      <w:r>
        <w:t xml:space="preserve"> </w:t>
      </w:r>
      <w:r w:rsidRPr="002B292D">
        <w:t>were</w:t>
      </w:r>
      <w:r>
        <w:t xml:space="preserve"> </w:t>
      </w:r>
      <w:r w:rsidRPr="002B292D">
        <w:t>imposed</w:t>
      </w:r>
      <w:r>
        <w:t xml:space="preserve"> </w:t>
      </w:r>
      <w:r w:rsidRPr="002B292D">
        <w:t>within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all</w:t>
      </w:r>
      <w:r>
        <w:t xml:space="preserve"> </w:t>
      </w:r>
      <w:r w:rsidRPr="002B292D">
        <w:t>judicial</w:t>
      </w:r>
      <w:r>
        <w:t xml:space="preserve"> </w:t>
      </w:r>
      <w:r w:rsidRPr="002B292D">
        <w:t>guarantees</w:t>
      </w:r>
      <w:r>
        <w:t xml:space="preserve"> </w:t>
      </w:r>
      <w:r w:rsidRPr="002B292D">
        <w:t>were</w:t>
      </w:r>
      <w:r>
        <w:t xml:space="preserve"> </w:t>
      </w:r>
      <w:r w:rsidRPr="002B292D">
        <w:t>observed,</w:t>
      </w:r>
      <w:r>
        <w:t xml:space="preserve"> </w:t>
      </w:r>
      <w:r w:rsidRPr="002B292D">
        <w:t>and</w:t>
      </w:r>
      <w:r>
        <w:t xml:space="preserve"> </w:t>
      </w:r>
      <w:r w:rsidRPr="002B292D">
        <w:t>were</w:t>
      </w:r>
      <w:r>
        <w:t xml:space="preserve"> </w:t>
      </w:r>
      <w:r w:rsidRPr="002B292D">
        <w:t>not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motivated.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result,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is</w:t>
      </w:r>
      <w:r>
        <w:t xml:space="preserve"> </w:t>
      </w:r>
      <w:r w:rsidRPr="002B292D">
        <w:t>disqualified</w:t>
      </w:r>
      <w:r>
        <w:t xml:space="preserve"> </w:t>
      </w:r>
      <w:r w:rsidRPr="002B292D">
        <w:t>from</w:t>
      </w:r>
      <w:r>
        <w:t xml:space="preserve"> </w:t>
      </w:r>
      <w:r w:rsidRPr="002B292D">
        <w:t>running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term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sentence</w:t>
      </w:r>
      <w:r>
        <w:t xml:space="preserve"> </w:t>
      </w:r>
      <w:r w:rsidRPr="002B292D">
        <w:t>and</w:t>
      </w:r>
      <w:r>
        <w:t xml:space="preserve"> </w:t>
      </w:r>
      <w:r w:rsidRPr="002B292D">
        <w:t>for</w:t>
      </w:r>
      <w:r>
        <w:t xml:space="preserve"> </w:t>
      </w:r>
      <w:r w:rsidRPr="002B292D">
        <w:t>an</w:t>
      </w:r>
      <w:r>
        <w:t xml:space="preserve"> </w:t>
      </w:r>
      <w:r w:rsidRPr="002B292D">
        <w:t>additional</w:t>
      </w:r>
      <w:r>
        <w:t xml:space="preserve"> </w:t>
      </w:r>
      <w:r w:rsidRPr="002B292D">
        <w:t>three</w:t>
      </w:r>
      <w:r>
        <w:t xml:space="preserve"> </w:t>
      </w:r>
      <w:r w:rsidRPr="002B292D">
        <w:t>years,</w:t>
      </w:r>
      <w:r>
        <w:t xml:space="preserve"> </w:t>
      </w:r>
      <w:r w:rsidRPr="002B292D">
        <w:t>pursuant</w:t>
      </w:r>
      <w:r>
        <w:t xml:space="preserve"> </w:t>
      </w:r>
      <w:r w:rsidRPr="002B292D">
        <w:t>to</w:t>
      </w:r>
      <w:r>
        <w:t xml:space="preserve"> </w:t>
      </w:r>
      <w:r w:rsidRPr="002B292D">
        <w:t>article</w:t>
      </w:r>
      <w:r>
        <w:t xml:space="preserve"> </w:t>
      </w:r>
      <w:r w:rsidRPr="002B292D">
        <w:t>109</w:t>
      </w:r>
      <w:r>
        <w:t xml:space="preserve"> </w:t>
      </w:r>
      <w:r w:rsidRPr="002B292D">
        <w:t>(f)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Constitution</w:t>
      </w:r>
      <w:r>
        <w:t xml:space="preserve"> </w:t>
      </w:r>
      <w:r w:rsidRPr="002B292D">
        <w:t>and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</w:t>
      </w:r>
      <w:r>
        <w:t xml:space="preserve"> </w:t>
      </w:r>
      <w:r w:rsidRPr="002B292D">
        <w:t>Act</w:t>
      </w:r>
      <w:r>
        <w:t xml:space="preserve"> </w:t>
      </w:r>
      <w:r w:rsidRPr="002B292D">
        <w:t>(Law</w:t>
      </w:r>
      <w:r>
        <w:t xml:space="preserve"> </w:t>
      </w:r>
      <w:r w:rsidRPr="002B292D">
        <w:t>No.</w:t>
      </w:r>
      <w:r>
        <w:t xml:space="preserve"> </w:t>
      </w:r>
      <w:r w:rsidRPr="002B292D">
        <w:t>12/2008).</w:t>
      </w:r>
      <w:r>
        <w:t xml:space="preserve"> </w:t>
      </w:r>
      <w:r w:rsidRPr="002B292D">
        <w:t>Moreover,</w:t>
      </w:r>
      <w:r>
        <w:t xml:space="preserve"> </w:t>
      </w:r>
      <w:r w:rsidRPr="002B292D"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amendment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Prison</w:t>
      </w:r>
      <w:r>
        <w:t xml:space="preserve"> </w:t>
      </w:r>
      <w:r w:rsidRPr="002B292D">
        <w:t>and</w:t>
      </w:r>
      <w:r>
        <w:t xml:space="preserve"> </w:t>
      </w:r>
      <w:r w:rsidRPr="002B292D">
        <w:t>Parole</w:t>
      </w:r>
      <w:r>
        <w:t xml:space="preserve"> </w:t>
      </w:r>
      <w:r w:rsidRPr="002B292D">
        <w:t>Act,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may,</w:t>
      </w:r>
      <w:r>
        <w:t xml:space="preserve"> </w:t>
      </w:r>
      <w:r w:rsidRPr="002B292D">
        <w:t>inter</w:t>
      </w:r>
      <w:r>
        <w:t xml:space="preserve"> </w:t>
      </w:r>
      <w:r w:rsidRPr="002B292D">
        <w:t>alia,</w:t>
      </w:r>
      <w:r>
        <w:t xml:space="preserve"> </w:t>
      </w:r>
      <w:r w:rsidRPr="002B292D">
        <w:t>exercise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vote,</w:t>
      </w:r>
      <w:r>
        <w:t xml:space="preserve"> </w:t>
      </w:r>
      <w:r w:rsidRPr="002B292D">
        <w:t>exercise</w:t>
      </w:r>
      <w:r>
        <w:t xml:space="preserve"> </w:t>
      </w:r>
      <w:r w:rsidRPr="002B292D">
        <w:t>his</w:t>
      </w:r>
      <w:r>
        <w:t xml:space="preserve"> </w:t>
      </w:r>
      <w:r w:rsidRPr="002B292D">
        <w:t>rights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political</w:t>
      </w:r>
      <w:r>
        <w:t xml:space="preserve"> </w:t>
      </w:r>
      <w:r w:rsidRPr="002B292D">
        <w:t>decision-making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nation,</w:t>
      </w:r>
      <w:r>
        <w:t xml:space="preserve"> </w:t>
      </w:r>
      <w:r w:rsidRPr="002B292D">
        <w:t>and</w:t>
      </w:r>
      <w:r>
        <w:t xml:space="preserve"> </w:t>
      </w:r>
      <w:r w:rsidRPr="002B292D">
        <w:t>advocate</w:t>
      </w:r>
      <w:r>
        <w:t xml:space="preserve"> </w:t>
      </w:r>
      <w:r w:rsidRPr="002B292D">
        <w:t>for</w:t>
      </w:r>
      <w:r>
        <w:t xml:space="preserve"> </w:t>
      </w:r>
      <w:r w:rsidRPr="002B292D">
        <w:t>a</w:t>
      </w:r>
      <w:r>
        <w:t xml:space="preserve"> </w:t>
      </w:r>
      <w:r w:rsidRPr="002B292D">
        <w:t>political</w:t>
      </w:r>
      <w:r>
        <w:t xml:space="preserve"> </w:t>
      </w:r>
      <w:r w:rsidRPr="002B292D">
        <w:t>view</w:t>
      </w:r>
      <w:r>
        <w:t xml:space="preserve"> </w:t>
      </w:r>
      <w:r w:rsidRPr="002B292D">
        <w:t>and/or</w:t>
      </w:r>
      <w:r>
        <w:t xml:space="preserve"> </w:t>
      </w:r>
      <w:r w:rsidRPr="002B292D">
        <w:t>party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own</w:t>
      </w:r>
      <w:r>
        <w:t xml:space="preserve"> </w:t>
      </w:r>
      <w:r w:rsidRPr="002B292D">
        <w:t>choosing.</w:t>
      </w:r>
    </w:p>
    <w:p w:rsidR="000D3068" w:rsidRPr="002B292D" w:rsidRDefault="000D3068" w:rsidP="00533F65">
      <w:pPr>
        <w:pStyle w:val="SingleTxtG"/>
      </w:pPr>
      <w:r w:rsidRPr="002B292D">
        <w:t>8.6</w:t>
      </w:r>
      <w:r w:rsidRPr="002B292D">
        <w:tab/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recalls</w:t>
      </w:r>
      <w:r>
        <w:t xml:space="preserve"> </w:t>
      </w:r>
      <w:r w:rsidRPr="002B292D">
        <w:t>that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recognizes</w:t>
      </w:r>
      <w:r>
        <w:t xml:space="preserve"> </w:t>
      </w:r>
      <w:r w:rsidRPr="002B292D">
        <w:t>and</w:t>
      </w:r>
      <w:r>
        <w:t xml:space="preserve"> </w:t>
      </w:r>
      <w:r w:rsidRPr="002B292D">
        <w:t>protects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of</w:t>
      </w:r>
      <w:r>
        <w:t xml:space="preserve"> </w:t>
      </w:r>
      <w:r w:rsidRPr="002B292D">
        <w:t>every</w:t>
      </w:r>
      <w:r>
        <w:t xml:space="preserve"> </w:t>
      </w:r>
      <w:r w:rsidRPr="002B292D">
        <w:t>citizen</w:t>
      </w:r>
      <w:r>
        <w:t xml:space="preserve"> </w:t>
      </w:r>
      <w:r w:rsidRPr="002B292D">
        <w:t>to</w:t>
      </w:r>
      <w:r>
        <w:t xml:space="preserve"> </w:t>
      </w:r>
      <w:r w:rsidRPr="002B292D">
        <w:t>take</w:t>
      </w:r>
      <w:r>
        <w:t xml:space="preserve"> </w:t>
      </w:r>
      <w:r w:rsidRPr="002B292D">
        <w:t>part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conduct</w:t>
      </w:r>
      <w:r>
        <w:t xml:space="preserve"> </w:t>
      </w:r>
      <w:r w:rsidRPr="002B292D">
        <w:t>of</w:t>
      </w:r>
      <w:r>
        <w:t xml:space="preserve"> </w:t>
      </w:r>
      <w:r w:rsidRPr="002B292D">
        <w:t>public</w:t>
      </w:r>
      <w:r>
        <w:t xml:space="preserve"> </w:t>
      </w:r>
      <w:r w:rsidRPr="002B292D">
        <w:t>affairs,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vote</w:t>
      </w:r>
      <w:r>
        <w:t xml:space="preserve"> </w:t>
      </w:r>
      <w:r w:rsidRPr="002B292D">
        <w:t>and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elected,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have</w:t>
      </w:r>
      <w:r>
        <w:t xml:space="preserve"> </w:t>
      </w:r>
      <w:r w:rsidRPr="002B292D">
        <w:t>access</w:t>
      </w:r>
      <w:r>
        <w:t xml:space="preserve"> </w:t>
      </w:r>
      <w:r w:rsidRPr="002B292D">
        <w:t>to</w:t>
      </w:r>
      <w:r>
        <w:t xml:space="preserve"> </w:t>
      </w:r>
      <w:r w:rsidRPr="002B292D">
        <w:t>public</w:t>
      </w:r>
      <w:r>
        <w:t xml:space="preserve"> </w:t>
      </w:r>
      <w:r w:rsidRPr="002B292D">
        <w:t>service.</w:t>
      </w:r>
      <w:r>
        <w:t xml:space="preserve"> </w:t>
      </w:r>
      <w:r w:rsidRPr="002B292D">
        <w:t>Whatever</w:t>
      </w:r>
      <w:r>
        <w:t xml:space="preserve"> </w:t>
      </w:r>
      <w:r w:rsidRPr="002B292D">
        <w:t>form</w:t>
      </w:r>
      <w:r>
        <w:t xml:space="preserve"> </w:t>
      </w:r>
      <w:r w:rsidRPr="002B292D">
        <w:t>of</w:t>
      </w:r>
      <w:r>
        <w:t xml:space="preserve"> </w:t>
      </w:r>
      <w:r w:rsidRPr="002B292D">
        <w:t>constitution</w:t>
      </w:r>
      <w:r>
        <w:t xml:space="preserve"> </w:t>
      </w:r>
      <w:r w:rsidRPr="002B292D">
        <w:t>or</w:t>
      </w:r>
      <w:r>
        <w:t xml:space="preserve"> </w:t>
      </w:r>
      <w:r w:rsidRPr="002B292D">
        <w:t>government</w:t>
      </w:r>
      <w:r>
        <w:t xml:space="preserve"> </w:t>
      </w:r>
      <w:r w:rsidRPr="002B292D">
        <w:t>is</w:t>
      </w:r>
      <w:r>
        <w:t xml:space="preserve"> </w:t>
      </w:r>
      <w:r w:rsidRPr="002B292D">
        <w:t>in</w:t>
      </w:r>
      <w:r>
        <w:t xml:space="preserve"> </w:t>
      </w:r>
      <w:r w:rsidRPr="002B292D">
        <w:t>force,</w:t>
      </w:r>
      <w:r>
        <w:t xml:space="preserve"> </w:t>
      </w:r>
      <w:r w:rsidRPr="002B292D">
        <w:t>the</w:t>
      </w:r>
      <w:r>
        <w:t xml:space="preserve"> </w:t>
      </w:r>
      <w:r w:rsidRPr="002B292D">
        <w:t>exercise</w:t>
      </w:r>
      <w:r>
        <w:t xml:space="preserve"> </w:t>
      </w:r>
      <w:r w:rsidRPr="002B292D">
        <w:t>of</w:t>
      </w:r>
      <w:r>
        <w:t xml:space="preserve"> </w:t>
      </w:r>
      <w:r w:rsidRPr="002B292D">
        <w:t>these</w:t>
      </w:r>
      <w:r>
        <w:t xml:space="preserve"> </w:t>
      </w:r>
      <w:r w:rsidRPr="002B292D">
        <w:t>rights</w:t>
      </w:r>
      <w:r>
        <w:t xml:space="preserve"> </w:t>
      </w:r>
      <w:r w:rsidRPr="002B292D">
        <w:t>by</w:t>
      </w:r>
      <w:r>
        <w:t xml:space="preserve"> </w:t>
      </w:r>
      <w:r w:rsidRPr="002B292D">
        <w:t>citizens</w:t>
      </w:r>
      <w:r>
        <w:t xml:space="preserve"> </w:t>
      </w:r>
      <w:r w:rsidRPr="002B292D">
        <w:t>may</w:t>
      </w:r>
      <w:r>
        <w:t xml:space="preserve"> </w:t>
      </w:r>
      <w:r w:rsidRPr="002B292D">
        <w:t>not</w:t>
      </w:r>
      <w:r>
        <w:t xml:space="preserve"> </w:t>
      </w:r>
      <w:r w:rsidRPr="002B292D">
        <w:t>be</w:t>
      </w:r>
      <w:r>
        <w:t xml:space="preserve"> </w:t>
      </w:r>
      <w:r w:rsidRPr="002B292D">
        <w:t>suspended</w:t>
      </w:r>
      <w:r>
        <w:t xml:space="preserve"> </w:t>
      </w:r>
      <w:r w:rsidRPr="002B292D">
        <w:t>or</w:t>
      </w:r>
      <w:r>
        <w:t xml:space="preserve"> </w:t>
      </w:r>
      <w:r w:rsidRPr="002B292D">
        <w:t>excluded</w:t>
      </w:r>
      <w:r>
        <w:t xml:space="preserve"> </w:t>
      </w:r>
      <w:r w:rsidRPr="002B292D">
        <w:t>except</w:t>
      </w:r>
      <w:r>
        <w:t xml:space="preserve"> </w:t>
      </w:r>
      <w:r w:rsidRPr="002B292D">
        <w:t>on</w:t>
      </w:r>
      <w:r>
        <w:t xml:space="preserve"> </w:t>
      </w:r>
      <w:r w:rsidRPr="002B292D">
        <w:t>grounds</w:t>
      </w:r>
      <w:r>
        <w:t xml:space="preserve"> </w:t>
      </w:r>
      <w:r w:rsidRPr="002B292D">
        <w:t>which</w:t>
      </w:r>
      <w:r>
        <w:t xml:space="preserve"> </w:t>
      </w:r>
      <w:r w:rsidRPr="002B292D">
        <w:t>are</w:t>
      </w:r>
      <w:r>
        <w:t xml:space="preserve"> </w:t>
      </w:r>
      <w:r w:rsidRPr="002B292D">
        <w:t>established</w:t>
      </w:r>
      <w:r>
        <w:t xml:space="preserve"> </w:t>
      </w:r>
      <w:r w:rsidRPr="002B292D">
        <w:t>by</w:t>
      </w:r>
      <w:r>
        <w:t xml:space="preserve"> </w:t>
      </w:r>
      <w:r w:rsidRPr="002B292D">
        <w:t>laws</w:t>
      </w:r>
      <w:r>
        <w:t xml:space="preserve"> </w:t>
      </w:r>
      <w:r w:rsidRPr="002B292D">
        <w:t>that</w:t>
      </w:r>
      <w:r>
        <w:t xml:space="preserve"> </w:t>
      </w:r>
      <w:r w:rsidRPr="002B292D">
        <w:t>are</w:t>
      </w:r>
      <w:r>
        <w:t xml:space="preserve"> </w:t>
      </w:r>
      <w:r w:rsidRPr="002B292D">
        <w:t>objective</w:t>
      </w:r>
      <w:r>
        <w:t xml:space="preserve"> </w:t>
      </w:r>
      <w:r w:rsidRPr="002B292D">
        <w:t>and</w:t>
      </w:r>
      <w:r>
        <w:t xml:space="preserve"> </w:t>
      </w:r>
      <w:r w:rsidRPr="002B292D">
        <w:t>reasonable.</w:t>
      </w:r>
      <w:r w:rsidRPr="00744EE1">
        <w:rPr>
          <w:rStyle w:val="FootnoteReference"/>
        </w:rPr>
        <w:footnoteReference w:id="37"/>
      </w:r>
      <w:r>
        <w:t xml:space="preserve"> </w:t>
      </w:r>
      <w:r w:rsidRPr="002B292D">
        <w:t>Persons</w:t>
      </w:r>
      <w:r>
        <w:t xml:space="preserve"> </w:t>
      </w:r>
      <w:r w:rsidRPr="002B292D">
        <w:t>who</w:t>
      </w:r>
      <w:r>
        <w:t xml:space="preserve"> </w:t>
      </w:r>
      <w:r w:rsidRPr="002B292D">
        <w:t>are</w:t>
      </w:r>
      <w:r>
        <w:t xml:space="preserve"> </w:t>
      </w:r>
      <w:r w:rsidRPr="002B292D">
        <w:t>otherwise</w:t>
      </w:r>
      <w:r>
        <w:t xml:space="preserve"> </w:t>
      </w:r>
      <w:r w:rsidRPr="002B292D">
        <w:t>eligible</w:t>
      </w:r>
      <w:r>
        <w:t xml:space="preserve"> </w:t>
      </w:r>
      <w:r w:rsidRPr="002B292D">
        <w:t>to</w:t>
      </w:r>
      <w:r>
        <w:t xml:space="preserve"> </w:t>
      </w:r>
      <w:r w:rsidRPr="002B292D">
        <w:t>stand</w:t>
      </w:r>
      <w:r>
        <w:t xml:space="preserve"> </w:t>
      </w:r>
      <w:r w:rsidRPr="002B292D">
        <w:t>for</w:t>
      </w:r>
      <w:r>
        <w:t xml:space="preserve"> </w:t>
      </w:r>
      <w:r w:rsidRPr="002B292D">
        <w:t>election</w:t>
      </w:r>
      <w:r>
        <w:t xml:space="preserve"> </w:t>
      </w:r>
      <w:r w:rsidRPr="002B292D">
        <w:t>should</w:t>
      </w:r>
      <w:r>
        <w:t xml:space="preserve"> </w:t>
      </w:r>
      <w:r w:rsidRPr="002B292D">
        <w:t>not</w:t>
      </w:r>
      <w:r>
        <w:t xml:space="preserve"> </w:t>
      </w:r>
      <w:r w:rsidRPr="002B292D">
        <w:t>be</w:t>
      </w:r>
      <w:r>
        <w:t xml:space="preserve"> </w:t>
      </w:r>
      <w:r w:rsidRPr="002B292D">
        <w:t>excluded</w:t>
      </w:r>
      <w:r>
        <w:t xml:space="preserve"> </w:t>
      </w:r>
      <w:r w:rsidRPr="002B292D">
        <w:t>by</w:t>
      </w:r>
      <w:r>
        <w:t xml:space="preserve"> </w:t>
      </w:r>
      <w:r w:rsidRPr="002B292D">
        <w:t>reason</w:t>
      </w:r>
      <w:r>
        <w:t xml:space="preserve"> </w:t>
      </w:r>
      <w:r w:rsidRPr="002B292D">
        <w:t>of</w:t>
      </w:r>
      <w:r>
        <w:t xml:space="preserve"> </w:t>
      </w:r>
      <w:r w:rsidRPr="002B292D">
        <w:t>political</w:t>
      </w:r>
      <w:r>
        <w:t xml:space="preserve"> </w:t>
      </w:r>
      <w:r w:rsidRPr="002B292D">
        <w:t>affiliation.</w:t>
      </w:r>
      <w:r w:rsidRPr="00744EE1">
        <w:rPr>
          <w:rStyle w:val="FootnoteReference"/>
        </w:rPr>
        <w:footnoteReference w:id="38"/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also</w:t>
      </w:r>
      <w:r>
        <w:t xml:space="preserve"> </w:t>
      </w:r>
      <w:r w:rsidRPr="002B292D">
        <w:t>recalls</w:t>
      </w:r>
      <w:r>
        <w:t xml:space="preserve"> </w:t>
      </w:r>
      <w:r w:rsidRPr="002B292D">
        <w:t>that</w:t>
      </w:r>
      <w:r>
        <w:t xml:space="preserve"> </w:t>
      </w:r>
      <w:r w:rsidRPr="002B292D">
        <w:t>if</w:t>
      </w:r>
      <w:r>
        <w:t xml:space="preserve"> </w:t>
      </w:r>
      <w:r w:rsidRPr="002B292D">
        <w:t>a</w:t>
      </w:r>
      <w:r>
        <w:t xml:space="preserve"> </w:t>
      </w:r>
      <w:r w:rsidRPr="002B292D">
        <w:t>conviction</w:t>
      </w:r>
      <w:r>
        <w:t xml:space="preserve"> </w:t>
      </w:r>
      <w:r w:rsidRPr="002B292D">
        <w:t>for</w:t>
      </w:r>
      <w:r>
        <w:t xml:space="preserve"> </w:t>
      </w:r>
      <w:r w:rsidRPr="002B292D">
        <w:t>an</w:t>
      </w:r>
      <w:r>
        <w:t xml:space="preserve"> </w:t>
      </w:r>
      <w:r w:rsidRPr="002B292D">
        <w:t>offence</w:t>
      </w:r>
      <w:r>
        <w:t xml:space="preserve"> </w:t>
      </w:r>
      <w:r w:rsidRPr="002B292D">
        <w:t>is</w:t>
      </w:r>
      <w:r>
        <w:t xml:space="preserve"> </w:t>
      </w:r>
      <w:r w:rsidRPr="002B292D">
        <w:t>a</w:t>
      </w:r>
      <w:r>
        <w:t xml:space="preserve"> </w:t>
      </w:r>
      <w:r w:rsidRPr="002B292D">
        <w:t>basis</w:t>
      </w:r>
      <w:r>
        <w:t xml:space="preserve"> </w:t>
      </w:r>
      <w:r w:rsidRPr="002B292D">
        <w:t>for</w:t>
      </w:r>
      <w:r>
        <w:t xml:space="preserve"> </w:t>
      </w:r>
      <w:r w:rsidRPr="002B292D">
        <w:t>suspending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vote</w:t>
      </w:r>
      <w:r>
        <w:t xml:space="preserve"> </w:t>
      </w:r>
      <w:r w:rsidRPr="002B292D">
        <w:t>or</w:t>
      </w:r>
      <w:r>
        <w:t xml:space="preserve"> </w:t>
      </w:r>
      <w:r w:rsidRPr="002B292D">
        <w:t>to</w:t>
      </w:r>
      <w:r>
        <w:t xml:space="preserve"> </w:t>
      </w:r>
      <w:r w:rsidRPr="002B292D">
        <w:t>stand</w:t>
      </w:r>
      <w:r>
        <w:t xml:space="preserve"> </w:t>
      </w:r>
      <w:r w:rsidRPr="002B292D">
        <w:t>for</w:t>
      </w:r>
      <w:r>
        <w:t xml:space="preserve"> </w:t>
      </w:r>
      <w:r w:rsidRPr="002B292D">
        <w:t>office,</w:t>
      </w:r>
      <w:r>
        <w:t xml:space="preserve"> </w:t>
      </w:r>
      <w:r w:rsidRPr="002B292D">
        <w:t>such</w:t>
      </w:r>
      <w:r>
        <w:t xml:space="preserve"> </w:t>
      </w:r>
      <w:r w:rsidRPr="002B292D">
        <w:t>restriction</w:t>
      </w:r>
      <w:r>
        <w:t xml:space="preserve"> </w:t>
      </w:r>
      <w:r w:rsidRPr="002B292D">
        <w:t>must</w:t>
      </w:r>
      <w:r>
        <w:t xml:space="preserve"> </w:t>
      </w:r>
      <w:r w:rsidRPr="002B292D">
        <w:t>be</w:t>
      </w:r>
      <w:r>
        <w:t xml:space="preserve"> </w:t>
      </w:r>
      <w:r w:rsidRPr="002B292D">
        <w:t>proportionate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offence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sentence.</w:t>
      </w:r>
      <w:r w:rsidRPr="00744EE1">
        <w:rPr>
          <w:rStyle w:val="FootnoteReference"/>
        </w:rPr>
        <w:footnoteReference w:id="39"/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considers</w:t>
      </w:r>
      <w:r>
        <w:t xml:space="preserve"> </w:t>
      </w:r>
      <w:r w:rsidRPr="002B292D">
        <w:t>that</w:t>
      </w:r>
      <w:r>
        <w:t xml:space="preserve"> </w:t>
      </w:r>
      <w:r w:rsidRPr="002B292D">
        <w:t>when</w:t>
      </w:r>
      <w:r>
        <w:t xml:space="preserve"> </w:t>
      </w:r>
      <w:r w:rsidRPr="002B292D">
        <w:t>this</w:t>
      </w:r>
      <w:r>
        <w:t xml:space="preserve"> </w:t>
      </w:r>
      <w:r w:rsidRPr="002B292D">
        <w:t>conviction</w:t>
      </w:r>
      <w:r>
        <w:t xml:space="preserve"> </w:t>
      </w:r>
      <w:r w:rsidRPr="002B292D">
        <w:t>is</w:t>
      </w:r>
      <w:r>
        <w:t xml:space="preserve"> </w:t>
      </w:r>
      <w:r w:rsidRPr="002B292D">
        <w:t>clearly</w:t>
      </w:r>
      <w:r>
        <w:t xml:space="preserve"> </w:t>
      </w:r>
      <w:r w:rsidRPr="002B292D">
        <w:t>arbitrary</w:t>
      </w:r>
      <w:r>
        <w:t xml:space="preserve"> </w:t>
      </w:r>
      <w:r w:rsidRPr="002B292D">
        <w:t>or</w:t>
      </w:r>
      <w:r>
        <w:t xml:space="preserve"> </w:t>
      </w:r>
      <w:r w:rsidRPr="002B292D">
        <w:t>amounts</w:t>
      </w:r>
      <w:r>
        <w:t xml:space="preserve"> </w:t>
      </w:r>
      <w:r w:rsidRPr="002B292D">
        <w:t>to</w:t>
      </w:r>
      <w:r>
        <w:t xml:space="preserve"> </w:t>
      </w:r>
      <w:r w:rsidRPr="002B292D">
        <w:t>a</w:t>
      </w:r>
      <w:r>
        <w:t xml:space="preserve"> </w:t>
      </w:r>
      <w:r w:rsidRPr="002B292D">
        <w:t>manifest</w:t>
      </w:r>
      <w:r>
        <w:t xml:space="preserve"> </w:t>
      </w:r>
      <w:r w:rsidRPr="002B292D">
        <w:t>error</w:t>
      </w:r>
      <w:r>
        <w:t xml:space="preserve"> </w:t>
      </w:r>
      <w:r w:rsidRPr="002B292D">
        <w:t>or</w:t>
      </w:r>
      <w:r>
        <w:t xml:space="preserve"> </w:t>
      </w:r>
      <w:r w:rsidRPr="002B292D">
        <w:t>a</w:t>
      </w:r>
      <w:r>
        <w:t xml:space="preserve"> </w:t>
      </w:r>
      <w:r w:rsidRPr="002B292D">
        <w:t>denial</w:t>
      </w:r>
      <w:r>
        <w:t xml:space="preserve"> </w:t>
      </w:r>
      <w:r w:rsidRPr="002B292D">
        <w:t>of</w:t>
      </w:r>
      <w:r>
        <w:t xml:space="preserve"> </w:t>
      </w:r>
      <w:r w:rsidRPr="002B292D">
        <w:t>justice,</w:t>
      </w:r>
      <w:r>
        <w:t xml:space="preserve"> </w:t>
      </w:r>
      <w:r w:rsidRPr="002B292D">
        <w:t>or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resulting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conviction</w:t>
      </w:r>
      <w:r>
        <w:t xml:space="preserve"> </w:t>
      </w:r>
      <w:r w:rsidRPr="002B292D">
        <w:t>otherwise</w:t>
      </w:r>
      <w:r>
        <w:t xml:space="preserve"> </w:t>
      </w:r>
      <w:r w:rsidRPr="002B292D">
        <w:t>violate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fair</w:t>
      </w:r>
      <w:r>
        <w:t xml:space="preserve"> </w:t>
      </w:r>
      <w:r w:rsidRPr="002B292D">
        <w:t>trial,</w:t>
      </w:r>
      <w:r>
        <w:t xml:space="preserve"> </w:t>
      </w:r>
      <w:r w:rsidRPr="002B292D">
        <w:t>it</w:t>
      </w:r>
      <w:r>
        <w:t xml:space="preserve"> </w:t>
      </w:r>
      <w:r w:rsidRPr="002B292D">
        <w:t>may</w:t>
      </w:r>
      <w:r>
        <w:t xml:space="preserve"> </w:t>
      </w:r>
      <w:r w:rsidRPr="002B292D">
        <w:t>render</w:t>
      </w:r>
      <w:r>
        <w:t xml:space="preserve"> </w:t>
      </w:r>
      <w:r w:rsidRPr="002B292D">
        <w:t>the</w:t>
      </w:r>
      <w:r>
        <w:t xml:space="preserve"> </w:t>
      </w:r>
      <w:r w:rsidRPr="002B292D">
        <w:t>restriction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arbitrary.</w:t>
      </w:r>
    </w:p>
    <w:p w:rsidR="000D3068" w:rsidRPr="002B292D" w:rsidRDefault="000D3068" w:rsidP="00533F65">
      <w:pPr>
        <w:pStyle w:val="SingleTxtG"/>
      </w:pPr>
      <w:r w:rsidRPr="002B292D">
        <w:t>8.7</w:t>
      </w:r>
      <w:r w:rsidRPr="002B292D">
        <w:tab/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case</w:t>
      </w:r>
      <w:r>
        <w:t xml:space="preserve"> </w:t>
      </w:r>
      <w:r w:rsidRPr="002B292D">
        <w:t>at</w:t>
      </w:r>
      <w:r>
        <w:t xml:space="preserve"> </w:t>
      </w:r>
      <w:r w:rsidRPr="002B292D">
        <w:t>hand,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although</w:t>
      </w:r>
      <w:r>
        <w:t xml:space="preserve"> </w:t>
      </w:r>
      <w:r w:rsidRPr="002B292D">
        <w:t>criminal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against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for</w:t>
      </w:r>
      <w:r>
        <w:t xml:space="preserve"> </w:t>
      </w:r>
      <w:r w:rsidRPr="002B292D">
        <w:t>charges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81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Penal</w:t>
      </w:r>
      <w:r>
        <w:t xml:space="preserve"> </w:t>
      </w:r>
      <w:r w:rsidRPr="002B292D">
        <w:t>Code</w:t>
      </w:r>
      <w:r>
        <w:t xml:space="preserve"> </w:t>
      </w:r>
      <w:r w:rsidRPr="002B292D">
        <w:t>were</w:t>
      </w:r>
      <w:r>
        <w:t xml:space="preserve"> </w:t>
      </w:r>
      <w:r w:rsidRPr="002B292D">
        <w:t>suspended</w:t>
      </w:r>
      <w:r>
        <w:t xml:space="preserve"> </w:t>
      </w:r>
      <w:r w:rsidRPr="002B292D">
        <w:t>in</w:t>
      </w:r>
      <w:r>
        <w:t xml:space="preserve"> </w:t>
      </w:r>
      <w:r w:rsidRPr="002B292D">
        <w:t>July</w:t>
      </w:r>
      <w:r>
        <w:t xml:space="preserve"> </w:t>
      </w:r>
      <w:r w:rsidRPr="002B292D">
        <w:t>2013</w:t>
      </w:r>
      <w:r>
        <w:t xml:space="preserve"> </w:t>
      </w:r>
      <w:r w:rsidRPr="002B292D">
        <w:t>and</w:t>
      </w:r>
      <w:r>
        <w:t xml:space="preserve"> </w:t>
      </w:r>
      <w:r w:rsidRPr="002B292D">
        <w:t>he</w:t>
      </w:r>
      <w:r>
        <w:t xml:space="preserve"> </w:t>
      </w:r>
      <w:r w:rsidRPr="002B292D">
        <w:t>was</w:t>
      </w:r>
      <w:r>
        <w:t xml:space="preserve"> </w:t>
      </w:r>
      <w:r w:rsidRPr="002B292D">
        <w:t>ultimately</w:t>
      </w:r>
      <w:r>
        <w:t xml:space="preserve"> </w:t>
      </w:r>
      <w:r w:rsidRPr="002B292D">
        <w:t>able</w:t>
      </w:r>
      <w:r>
        <w:t xml:space="preserve"> </w:t>
      </w:r>
      <w:r w:rsidRPr="002B292D">
        <w:t>to</w:t>
      </w:r>
      <w:r>
        <w:t xml:space="preserve"> </w:t>
      </w:r>
      <w:r w:rsidRPr="002B292D">
        <w:t>run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presidency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November</w:t>
      </w:r>
      <w:r>
        <w:t xml:space="preserve"> </w:t>
      </w:r>
      <w:r w:rsidRPr="002B292D">
        <w:t>2013</w:t>
      </w:r>
      <w:r>
        <w:t xml:space="preserve"> </w:t>
      </w:r>
      <w:r w:rsidRPr="002B292D">
        <w:t>elections,</w:t>
      </w:r>
      <w:r>
        <w:t xml:space="preserve"> </w:t>
      </w:r>
      <w:r w:rsidRPr="002B292D">
        <w:t>which</w:t>
      </w:r>
      <w:r>
        <w:t xml:space="preserve"> </w:t>
      </w:r>
      <w:r w:rsidRPr="002B292D">
        <w:t>he</w:t>
      </w:r>
      <w:r>
        <w:t xml:space="preserve"> </w:t>
      </w:r>
      <w:r w:rsidRPr="002B292D">
        <w:t>narrowly</w:t>
      </w:r>
      <w:r>
        <w:t xml:space="preserve"> </w:t>
      </w:r>
      <w:r w:rsidRPr="002B292D">
        <w:t>lost,</w:t>
      </w:r>
      <w:r>
        <w:t xml:space="preserve"> </w:t>
      </w:r>
      <w:r w:rsidRPr="002B292D">
        <w:t>reports</w:t>
      </w:r>
      <w:r>
        <w:t xml:space="preserve"> </w:t>
      </w:r>
      <w:r w:rsidRPr="002B292D">
        <w:t>indicate</w:t>
      </w:r>
      <w:r>
        <w:t xml:space="preserve"> </w:t>
      </w:r>
      <w:r w:rsidRPr="002B292D">
        <w:t>that</w:t>
      </w:r>
      <w:r>
        <w:t xml:space="preserve"> </w:t>
      </w:r>
      <w:r w:rsidRPr="002B292D">
        <w:t>those</w:t>
      </w:r>
      <w:r>
        <w:t xml:space="preserve"> </w:t>
      </w:r>
      <w:r w:rsidRPr="002B292D">
        <w:t>proceedings</w:t>
      </w:r>
      <w:r>
        <w:t xml:space="preserve"> </w:t>
      </w:r>
      <w:r w:rsidRPr="002B292D">
        <w:t>raised</w:t>
      </w:r>
      <w:r>
        <w:t xml:space="preserve"> </w:t>
      </w:r>
      <w:r w:rsidRPr="002B292D">
        <w:t>serious</w:t>
      </w:r>
      <w:r>
        <w:t xml:space="preserve"> </w:t>
      </w:r>
      <w:r w:rsidRPr="002B292D">
        <w:t>concerns</w:t>
      </w:r>
      <w:r>
        <w:t xml:space="preserve"> </w:t>
      </w:r>
      <w:r w:rsidRPr="002B292D">
        <w:t>in</w:t>
      </w:r>
      <w:r>
        <w:t xml:space="preserve"> </w:t>
      </w:r>
      <w:r w:rsidRPr="002B292D">
        <w:lastRenderedPageBreak/>
        <w:t>regard</w:t>
      </w:r>
      <w:r>
        <w:t xml:space="preserve"> </w:t>
      </w:r>
      <w:r w:rsidRPr="002B292D">
        <w:t>to</w:t>
      </w:r>
      <w:r>
        <w:t xml:space="preserve"> </w:t>
      </w:r>
      <w:r w:rsidRPr="002B292D">
        <w:t>their</w:t>
      </w:r>
      <w:r>
        <w:t xml:space="preserve"> </w:t>
      </w:r>
      <w:r w:rsidRPr="002B292D">
        <w:t>fairness,</w:t>
      </w:r>
      <w:r>
        <w:t xml:space="preserve"> </w:t>
      </w:r>
      <w:r w:rsidRPr="002B292D">
        <w:t>appeared</w:t>
      </w:r>
      <w:r>
        <w:t xml:space="preserve"> </w:t>
      </w:r>
      <w:r w:rsidRPr="002B292D">
        <w:t>designed</w:t>
      </w:r>
      <w:r>
        <w:t xml:space="preserve"> </w:t>
      </w:r>
      <w:r w:rsidRPr="002B292D">
        <w:t>to</w:t>
      </w:r>
      <w:r>
        <w:t xml:space="preserve"> </w:t>
      </w:r>
      <w:r w:rsidRPr="002B292D">
        <w:t>prevent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participation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2013</w:t>
      </w:r>
      <w:r>
        <w:t xml:space="preserve"> </w:t>
      </w:r>
      <w:r w:rsidRPr="002B292D">
        <w:t>elections</w:t>
      </w:r>
      <w:r>
        <w:t xml:space="preserve"> </w:t>
      </w:r>
      <w:r w:rsidRPr="002B292D">
        <w:t>and</w:t>
      </w:r>
      <w:r>
        <w:t xml:space="preserve"> </w:t>
      </w:r>
      <w:r w:rsidRPr="002B292D">
        <w:t>may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motivated.</w:t>
      </w:r>
      <w:r w:rsidRPr="00744EE1">
        <w:rPr>
          <w:rStyle w:val="FootnoteReference"/>
        </w:rPr>
        <w:footnoteReference w:id="40"/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not</w:t>
      </w:r>
      <w:r>
        <w:t xml:space="preserve"> </w:t>
      </w:r>
      <w:r w:rsidRPr="002B292D">
        <w:t>refuted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allegations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against</w:t>
      </w:r>
      <w:r>
        <w:t xml:space="preserve"> </w:t>
      </w:r>
      <w:r w:rsidRPr="002B292D">
        <w:t>him,</w:t>
      </w:r>
      <w:r>
        <w:t xml:space="preserve"> </w:t>
      </w:r>
      <w:r w:rsidRPr="002B292D">
        <w:t>and</w:t>
      </w:r>
      <w:r>
        <w:t xml:space="preserve"> </w:t>
      </w:r>
      <w:r w:rsidRPr="002B292D">
        <w:t>the</w:t>
      </w:r>
      <w:r>
        <w:t xml:space="preserve"> </w:t>
      </w:r>
      <w:r w:rsidRPr="002B292D">
        <w:t>measures</w:t>
      </w:r>
      <w:r>
        <w:t xml:space="preserve"> </w:t>
      </w:r>
      <w:r w:rsidRPr="002B292D">
        <w:t>taken</w:t>
      </w:r>
      <w:r>
        <w:t xml:space="preserve"> </w:t>
      </w:r>
      <w:r w:rsidRPr="002B292D">
        <w:t>during</w:t>
      </w:r>
      <w:r>
        <w:t xml:space="preserve"> </w:t>
      </w:r>
      <w:r w:rsidRPr="002B292D">
        <w:t>the</w:t>
      </w:r>
      <w:r>
        <w:t xml:space="preserve"> </w:t>
      </w:r>
      <w:r w:rsidRPr="002B292D">
        <w:t>proceedings</w:t>
      </w:r>
      <w:r>
        <w:t xml:space="preserve"> </w:t>
      </w:r>
      <w:r w:rsidRPr="002B292D">
        <w:t>in</w:t>
      </w:r>
      <w:r>
        <w:t xml:space="preserve"> </w:t>
      </w:r>
      <w:r w:rsidRPr="002B292D">
        <w:t>2012</w:t>
      </w:r>
      <w:r>
        <w:t xml:space="preserve"> </w:t>
      </w:r>
      <w:r w:rsidRPr="002B292D">
        <w:t>and</w:t>
      </w:r>
      <w:r>
        <w:t xml:space="preserve"> </w:t>
      </w:r>
      <w:r w:rsidRPr="002B292D">
        <w:t>2013,</w:t>
      </w:r>
      <w:r>
        <w:t xml:space="preserve"> </w:t>
      </w:r>
      <w:r w:rsidRPr="002B292D">
        <w:t>cumulatively,</w:t>
      </w:r>
      <w:r>
        <w:t xml:space="preserve"> </w:t>
      </w:r>
      <w:r w:rsidRPr="002B292D">
        <w:t>were</w:t>
      </w:r>
      <w:r>
        <w:t xml:space="preserve"> </w:t>
      </w:r>
      <w:r w:rsidRPr="002B292D">
        <w:t>used</w:t>
      </w:r>
      <w:r>
        <w:t xml:space="preserve"> </w:t>
      </w:r>
      <w:r w:rsidRPr="002B292D">
        <w:t>as</w:t>
      </w:r>
      <w:r>
        <w:t xml:space="preserve"> </w:t>
      </w:r>
      <w:r w:rsidRPr="002B292D">
        <w:t>a</w:t>
      </w:r>
      <w:r>
        <w:t xml:space="preserve"> </w:t>
      </w:r>
      <w:r w:rsidRPr="002B292D">
        <w:t>means</w:t>
      </w:r>
      <w:r>
        <w:t xml:space="preserve"> </w:t>
      </w:r>
      <w:r w:rsidRPr="002B292D">
        <w:t>of</w:t>
      </w:r>
      <w:r>
        <w:t xml:space="preserve"> </w:t>
      </w:r>
      <w:r w:rsidRPr="002B292D">
        <w:t>preventing</w:t>
      </w:r>
      <w:r>
        <w:t xml:space="preserve"> </w:t>
      </w:r>
      <w:r w:rsidRPr="002B292D">
        <w:t>him</w:t>
      </w:r>
      <w:r>
        <w:t xml:space="preserve"> </w:t>
      </w:r>
      <w:r w:rsidRPr="002B292D">
        <w:t>from</w:t>
      </w:r>
      <w:r>
        <w:t xml:space="preserve"> </w:t>
      </w:r>
      <w:r w:rsidRPr="002B292D">
        <w:t>campaigning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2013</w:t>
      </w:r>
      <w:r>
        <w:t xml:space="preserve"> </w:t>
      </w:r>
      <w:r w:rsidRPr="002B292D">
        <w:t>presidential</w:t>
      </w:r>
      <w:r>
        <w:t xml:space="preserve"> </w:t>
      </w:r>
      <w:r w:rsidRPr="002B292D">
        <w:t>elections,</w:t>
      </w:r>
      <w:r>
        <w:t xml:space="preserve"> </w:t>
      </w:r>
      <w:r w:rsidRPr="002B292D">
        <w:t>such</w:t>
      </w:r>
      <w:r>
        <w:t xml:space="preserve"> </w:t>
      </w:r>
      <w:r w:rsidRPr="002B292D">
        <w:t>as</w:t>
      </w:r>
      <w:r>
        <w:t xml:space="preserve"> </w:t>
      </w:r>
      <w:r w:rsidRPr="002B292D">
        <w:t>twice</w:t>
      </w:r>
      <w:r>
        <w:t xml:space="preserve"> </w:t>
      </w:r>
      <w:r w:rsidRPr="002B292D">
        <w:t>arresting</w:t>
      </w:r>
      <w:r>
        <w:t xml:space="preserve"> </w:t>
      </w:r>
      <w:r w:rsidRPr="002B292D">
        <w:t>him</w:t>
      </w:r>
      <w:r>
        <w:t xml:space="preserve"> </w:t>
      </w:r>
      <w:r w:rsidRPr="002B292D">
        <w:t>to</w:t>
      </w:r>
      <w:r>
        <w:t xml:space="preserve"> </w:t>
      </w:r>
      <w:r w:rsidRPr="002B292D">
        <w:t>interrupt</w:t>
      </w:r>
      <w:r>
        <w:t xml:space="preserve"> </w:t>
      </w:r>
      <w:r w:rsidRPr="002B292D">
        <w:t>campaign</w:t>
      </w:r>
      <w:r>
        <w:t xml:space="preserve"> </w:t>
      </w:r>
      <w:r w:rsidRPr="002B292D">
        <w:t>trips</w:t>
      </w:r>
      <w:r>
        <w:t xml:space="preserve"> </w:t>
      </w:r>
      <w:r w:rsidRPr="002B292D">
        <w:t>and</w:t>
      </w:r>
      <w:r>
        <w:t xml:space="preserve"> </w:t>
      </w:r>
      <w:r w:rsidRPr="002B292D">
        <w:t>denying</w:t>
      </w:r>
      <w:r>
        <w:t xml:space="preserve"> </w:t>
      </w:r>
      <w:r w:rsidRPr="002B292D">
        <w:t>his</w:t>
      </w:r>
      <w:r>
        <w:t xml:space="preserve"> </w:t>
      </w:r>
      <w:r w:rsidRPr="002B292D">
        <w:t>request</w:t>
      </w:r>
      <w:r>
        <w:t xml:space="preserve"> </w:t>
      </w:r>
      <w:r w:rsidRPr="002B292D">
        <w:t>to</w:t>
      </w:r>
      <w:r>
        <w:t xml:space="preserve"> </w:t>
      </w:r>
      <w:r w:rsidRPr="002B292D">
        <w:t>be</w:t>
      </w:r>
      <w:r>
        <w:t xml:space="preserve"> </w:t>
      </w:r>
      <w:r w:rsidRPr="002B292D">
        <w:t>authorized</w:t>
      </w:r>
      <w:r>
        <w:t xml:space="preserve"> </w:t>
      </w:r>
      <w:r w:rsidRPr="002B292D">
        <w:t>to</w:t>
      </w:r>
      <w:r>
        <w:t xml:space="preserve"> </w:t>
      </w:r>
      <w:r w:rsidRPr="002B292D">
        <w:t>travel</w:t>
      </w:r>
      <w:r>
        <w:t xml:space="preserve"> </w:t>
      </w:r>
      <w:r w:rsidRPr="002B292D">
        <w:t>to</w:t>
      </w:r>
      <w:r>
        <w:t xml:space="preserve"> </w:t>
      </w:r>
      <w:r w:rsidRPr="002B292D">
        <w:t>other</w:t>
      </w:r>
      <w:r>
        <w:t xml:space="preserve"> </w:t>
      </w:r>
      <w:r w:rsidRPr="002B292D">
        <w:t>islands</w:t>
      </w:r>
      <w:r>
        <w:t xml:space="preserve"> </w:t>
      </w:r>
      <w:r w:rsidRPr="002B292D">
        <w:t>and</w:t>
      </w:r>
      <w:r>
        <w:t xml:space="preserve"> </w:t>
      </w:r>
      <w:r w:rsidRPr="002B292D">
        <w:t>abroad</w:t>
      </w:r>
      <w:r>
        <w:t xml:space="preserve"> </w:t>
      </w:r>
      <w:r w:rsidRPr="002B292D">
        <w:t>in</w:t>
      </w:r>
      <w:r>
        <w:t xml:space="preserve"> </w:t>
      </w:r>
      <w:r w:rsidRPr="002B292D">
        <w:t>connection</w:t>
      </w:r>
      <w:r>
        <w:t xml:space="preserve"> </w:t>
      </w:r>
      <w:r w:rsidRPr="002B292D">
        <w:t>with</w:t>
      </w:r>
      <w:r>
        <w:t xml:space="preserve"> </w:t>
      </w:r>
      <w:r w:rsidRPr="002B292D">
        <w:t>the</w:t>
      </w:r>
      <w:r>
        <w:t xml:space="preserve"> </w:t>
      </w:r>
      <w:r w:rsidRPr="002B292D">
        <w:t>political</w:t>
      </w:r>
      <w:r>
        <w:t xml:space="preserve"> </w:t>
      </w:r>
      <w:r w:rsidRPr="002B292D">
        <w:t>campaign</w:t>
      </w:r>
      <w:r>
        <w:t xml:space="preserve"> </w:t>
      </w:r>
      <w:r w:rsidRPr="002B292D">
        <w:t>(see</w:t>
      </w:r>
      <w:r>
        <w:t xml:space="preserve"> </w:t>
      </w:r>
      <w:r w:rsidRPr="002B292D">
        <w:t>para.</w:t>
      </w:r>
      <w:r>
        <w:t xml:space="preserve"> </w:t>
      </w:r>
      <w:r w:rsidRPr="002B292D">
        <w:t>3.2</w:t>
      </w:r>
      <w:r>
        <w:t xml:space="preserve"> </w:t>
      </w:r>
      <w:r w:rsidRPr="002B292D">
        <w:t>above).</w:t>
      </w:r>
      <w:r>
        <w:t xml:space="preserve"> </w:t>
      </w:r>
      <w:r w:rsidRPr="002B292D">
        <w:t>Furthermore,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observes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judicial</w:t>
      </w:r>
      <w:r>
        <w:t xml:space="preserve"> </w:t>
      </w:r>
      <w:r w:rsidRPr="002B292D">
        <w:t>proceedings</w:t>
      </w:r>
      <w:r>
        <w:t xml:space="preserve"> </w:t>
      </w:r>
      <w:r w:rsidRPr="002B292D">
        <w:t>in</w:t>
      </w:r>
      <w:r>
        <w:t xml:space="preserve"> </w:t>
      </w:r>
      <w:r w:rsidRPr="002B292D">
        <w:t>which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>
        <w:t xml:space="preserve"> </w:t>
      </w:r>
      <w:r w:rsidRPr="002B292D">
        <w:t>was</w:t>
      </w:r>
      <w:r>
        <w:t xml:space="preserve"> </w:t>
      </w:r>
      <w:r w:rsidRPr="002B292D">
        <w:t>finally</w:t>
      </w:r>
      <w:r>
        <w:t xml:space="preserve"> </w:t>
      </w:r>
      <w:r w:rsidRPr="002B292D">
        <w:t>sentenced</w:t>
      </w:r>
      <w:r>
        <w:t xml:space="preserve"> </w:t>
      </w:r>
      <w:r w:rsidRPr="002B292D">
        <w:t>and</w:t>
      </w:r>
      <w:r>
        <w:t xml:space="preserve"> </w:t>
      </w:r>
      <w:r w:rsidRPr="002B292D">
        <w:t>convicted</w:t>
      </w:r>
      <w:r>
        <w:t xml:space="preserve"> </w:t>
      </w:r>
      <w:r w:rsidRPr="002B292D">
        <w:t>on</w:t>
      </w:r>
      <w:r>
        <w:t xml:space="preserve"> </w:t>
      </w:r>
      <w:r w:rsidRPr="002B292D">
        <w:t>charges</w:t>
      </w:r>
      <w:r>
        <w:t xml:space="preserve"> </w:t>
      </w:r>
      <w:r w:rsidRPr="002B292D">
        <w:t>of</w:t>
      </w:r>
      <w:r>
        <w:t xml:space="preserve"> </w:t>
      </w:r>
      <w:r w:rsidRPr="002B292D">
        <w:t>terrorism</w:t>
      </w:r>
      <w:r>
        <w:t xml:space="preserve"> </w:t>
      </w:r>
      <w:r w:rsidRPr="002B292D">
        <w:t>were</w:t>
      </w:r>
      <w:r>
        <w:t xml:space="preserve"> </w:t>
      </w:r>
      <w:r w:rsidRPr="002B292D">
        <w:t>politically</w:t>
      </w:r>
      <w:r>
        <w:t xml:space="preserve"> </w:t>
      </w:r>
      <w:r w:rsidRPr="002B292D">
        <w:t>motivated,</w:t>
      </w:r>
      <w:r>
        <w:t xml:space="preserve"> </w:t>
      </w:r>
      <w:r w:rsidRPr="002B292D">
        <w:t>had</w:t>
      </w:r>
      <w:r>
        <w:t xml:space="preserve"> </w:t>
      </w:r>
      <w:r w:rsidRPr="002B292D">
        <w:t>serious</w:t>
      </w:r>
      <w:r>
        <w:t xml:space="preserve"> </w:t>
      </w:r>
      <w:r w:rsidRPr="002B292D">
        <w:t>flaws</w:t>
      </w:r>
      <w:r>
        <w:t xml:space="preserve"> </w:t>
      </w:r>
      <w:r w:rsidRPr="002B292D">
        <w:t>and</w:t>
      </w:r>
      <w:r>
        <w:t xml:space="preserve"> </w:t>
      </w:r>
      <w:r w:rsidRPr="002B292D">
        <w:t>violated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fair</w:t>
      </w:r>
      <w:r>
        <w:t xml:space="preserve"> </w:t>
      </w:r>
      <w:r w:rsidRPr="002B292D">
        <w:t>trial</w:t>
      </w:r>
      <w:r>
        <w:t xml:space="preserve"> </w:t>
      </w:r>
      <w:r w:rsidRPr="002B292D">
        <w:t>(see</w:t>
      </w:r>
      <w:r>
        <w:t xml:space="preserve"> </w:t>
      </w:r>
      <w:r w:rsidRPr="002B292D">
        <w:t>para.</w:t>
      </w:r>
      <w:r>
        <w:t xml:space="preserve"> </w:t>
      </w:r>
      <w:r w:rsidRPr="002B292D">
        <w:t>8.3</w:t>
      </w:r>
      <w:r>
        <w:t xml:space="preserve"> </w:t>
      </w:r>
      <w:r w:rsidRPr="002B292D">
        <w:t>above).</w:t>
      </w:r>
      <w:r>
        <w:t xml:space="preserve"> </w:t>
      </w:r>
      <w:r w:rsidRPr="002B292D">
        <w:t>Accordingly,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considers</w:t>
      </w:r>
      <w:r>
        <w:t xml:space="preserve"> </w:t>
      </w:r>
      <w:r w:rsidRPr="002B292D">
        <w:t>that,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circumstances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case,</w:t>
      </w:r>
      <w:r>
        <w:t xml:space="preserve"> </w:t>
      </w:r>
      <w:r w:rsidRPr="002B292D">
        <w:t>the</w:t>
      </w:r>
      <w:r>
        <w:t xml:space="preserve"> </w:t>
      </w:r>
      <w:r w:rsidRPr="002B292D">
        <w:t>restrictions</w:t>
      </w:r>
      <w:r>
        <w:t xml:space="preserve"> </w:t>
      </w:r>
      <w:r w:rsidRPr="002B292D">
        <w:t>of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stand</w:t>
      </w:r>
      <w:r>
        <w:t xml:space="preserve"> </w:t>
      </w:r>
      <w:r w:rsidRPr="002B292D">
        <w:t>for</w:t>
      </w:r>
      <w:r>
        <w:t xml:space="preserve"> </w:t>
      </w:r>
      <w:r w:rsidRPr="002B292D">
        <w:t>office,</w:t>
      </w:r>
      <w:r>
        <w:t xml:space="preserve"> </w:t>
      </w:r>
      <w:r w:rsidRPr="002B292D">
        <w:t>as</w:t>
      </w:r>
      <w:r w:rsidR="00B52519">
        <w:t xml:space="preserve"> a</w:t>
      </w:r>
      <w:r>
        <w:t xml:space="preserve"> </w:t>
      </w:r>
      <w:r w:rsidRPr="002B292D">
        <w:t>result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said</w:t>
      </w:r>
      <w:r>
        <w:t xml:space="preserve"> </w:t>
      </w:r>
      <w:r w:rsidRPr="002B292D">
        <w:t>conviction</w:t>
      </w:r>
      <w:r>
        <w:t xml:space="preserve"> </w:t>
      </w:r>
      <w:r w:rsidRPr="002B292D">
        <w:t>and</w:t>
      </w:r>
      <w:r>
        <w:t xml:space="preserve"> </w:t>
      </w:r>
      <w:r w:rsidRPr="002B292D">
        <w:t>sentence,</w:t>
      </w:r>
      <w:r>
        <w:t xml:space="preserve"> </w:t>
      </w:r>
      <w:r w:rsidRPr="002B292D">
        <w:t>are</w:t>
      </w:r>
      <w:r>
        <w:t xml:space="preserve"> </w:t>
      </w:r>
      <w:r w:rsidRPr="002B292D">
        <w:t>arbitrary.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light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foregoing,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considers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rights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violated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party.</w:t>
      </w:r>
    </w:p>
    <w:p w:rsidR="000D3068" w:rsidRPr="002B292D" w:rsidRDefault="000D3068" w:rsidP="00533F65">
      <w:pPr>
        <w:pStyle w:val="SingleTxtG"/>
      </w:pPr>
      <w:r w:rsidRPr="002B292D">
        <w:t>8.8</w:t>
      </w:r>
      <w:r w:rsidRPr="002B292D">
        <w:tab/>
        <w:t>Having</w:t>
      </w:r>
      <w:r>
        <w:t xml:space="preserve"> </w:t>
      </w:r>
      <w:r w:rsidRPr="002B292D">
        <w:t>concluded</w:t>
      </w:r>
      <w:r>
        <w:t xml:space="preserve"> </w:t>
      </w:r>
      <w:r w:rsidRPr="002B292D">
        <w:t>that,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present</w:t>
      </w:r>
      <w:r>
        <w:t xml:space="preserve"> </w:t>
      </w:r>
      <w:r w:rsidRPr="002B292D">
        <w:t>case,</w:t>
      </w:r>
      <w:r>
        <w:t xml:space="preserve"> </w:t>
      </w:r>
      <w:r w:rsidRPr="002B292D">
        <w:t>there</w:t>
      </w:r>
      <w:r>
        <w:t xml:space="preserve"> </w:t>
      </w:r>
      <w:r w:rsidRPr="002B292D">
        <w:t>has</w:t>
      </w:r>
      <w:r>
        <w:t xml:space="preserve"> </w:t>
      </w:r>
      <w:r w:rsidRPr="002B292D">
        <w:t>been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article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decides</w:t>
      </w:r>
      <w:r>
        <w:t xml:space="preserve"> </w:t>
      </w:r>
      <w:r w:rsidRPr="002B292D">
        <w:t>not</w:t>
      </w:r>
      <w:r>
        <w:t xml:space="preserve"> </w:t>
      </w:r>
      <w:r w:rsidRPr="002B292D">
        <w:t>to</w:t>
      </w:r>
      <w:r>
        <w:t xml:space="preserve"> </w:t>
      </w:r>
      <w:r w:rsidRPr="002B292D">
        <w:t>examine</w:t>
      </w:r>
      <w:r>
        <w:t xml:space="preserve"> </w:t>
      </w:r>
      <w:r w:rsidRPr="002B292D">
        <w:t>separately</w:t>
      </w:r>
      <w:r>
        <w:t xml:space="preserve"> </w:t>
      </w:r>
      <w:r w:rsidRPr="002B292D">
        <w:t>the</w:t>
      </w:r>
      <w:r>
        <w:t xml:space="preserve"> </w:t>
      </w:r>
      <w:r w:rsidRPr="002B292D">
        <w:t>author</w:t>
      </w:r>
      <w:r w:rsidR="00995FAE">
        <w:t>’</w:t>
      </w:r>
      <w:r w:rsidRPr="002B292D">
        <w:t>s</w:t>
      </w:r>
      <w:r>
        <w:t xml:space="preserve"> </w:t>
      </w:r>
      <w:r w:rsidRPr="002B292D">
        <w:t>claims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22.</w:t>
      </w:r>
    </w:p>
    <w:p w:rsidR="000D3068" w:rsidRPr="002B292D" w:rsidRDefault="000D3068" w:rsidP="00533F65">
      <w:pPr>
        <w:pStyle w:val="SingleTxtG"/>
      </w:pPr>
      <w:r w:rsidRPr="002B292D">
        <w:t>9.</w:t>
      </w:r>
      <w:r w:rsidRPr="002B292D">
        <w:tab/>
        <w:t>The</w:t>
      </w:r>
      <w:r>
        <w:t xml:space="preserve"> </w:t>
      </w:r>
      <w:r w:rsidRPr="002B292D">
        <w:t>Committee,</w:t>
      </w:r>
      <w:r>
        <w:t xml:space="preserve"> </w:t>
      </w:r>
      <w:r w:rsidRPr="002B292D">
        <w:t>acting</w:t>
      </w:r>
      <w:r>
        <w:t xml:space="preserve"> </w:t>
      </w:r>
      <w:r w:rsidRPr="002B292D">
        <w:t>under</w:t>
      </w:r>
      <w:r>
        <w:t xml:space="preserve"> </w:t>
      </w:r>
      <w:r w:rsidRPr="002B292D">
        <w:t>article</w:t>
      </w:r>
      <w:r>
        <w:t xml:space="preserve"> </w:t>
      </w:r>
      <w:r w:rsidRPr="002B292D">
        <w:t>5</w:t>
      </w:r>
      <w:r>
        <w:t xml:space="preserve"> </w:t>
      </w:r>
      <w:r w:rsidRPr="002B292D">
        <w:t>(4)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Protocol,</w:t>
      </w:r>
      <w:r>
        <w:t xml:space="preserve"> </w:t>
      </w:r>
      <w:r w:rsidRPr="002B292D">
        <w:t>is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view</w:t>
      </w:r>
      <w:r>
        <w:t xml:space="preserve"> </w:t>
      </w:r>
      <w:r w:rsidRPr="002B292D">
        <w:t>that</w:t>
      </w:r>
      <w:r>
        <w:t xml:space="preserve"> </w:t>
      </w:r>
      <w:r w:rsidRPr="002B292D">
        <w:t>the</w:t>
      </w:r>
      <w:r>
        <w:t xml:space="preserve"> </w:t>
      </w:r>
      <w:r w:rsidRPr="002B292D">
        <w:t>information</w:t>
      </w:r>
      <w:r>
        <w:t xml:space="preserve"> </w:t>
      </w:r>
      <w:r w:rsidRPr="002B292D">
        <w:t>before</w:t>
      </w:r>
      <w:r>
        <w:t xml:space="preserve"> </w:t>
      </w:r>
      <w:r w:rsidRPr="002B292D">
        <w:t>it</w:t>
      </w:r>
      <w:r>
        <w:t xml:space="preserve"> </w:t>
      </w:r>
      <w:r w:rsidRPr="002B292D">
        <w:t>discloses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by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of</w:t>
      </w:r>
      <w:r>
        <w:t xml:space="preserve"> </w:t>
      </w:r>
      <w:r w:rsidRPr="002B292D">
        <w:t>articles</w:t>
      </w:r>
      <w:r>
        <w:t xml:space="preserve"> </w:t>
      </w:r>
      <w:r w:rsidRPr="002B292D">
        <w:t>14</w:t>
      </w:r>
      <w:r>
        <w:t xml:space="preserve"> </w:t>
      </w:r>
      <w:r w:rsidRPr="002B292D">
        <w:t>(1)</w:t>
      </w:r>
      <w:r>
        <w:t xml:space="preserve"> </w:t>
      </w:r>
      <w:r w:rsidRPr="002B292D">
        <w:t>and</w:t>
      </w:r>
      <w:r>
        <w:t xml:space="preserve"> </w:t>
      </w:r>
      <w:r w:rsidRPr="002B292D">
        <w:t>(3)</w:t>
      </w:r>
      <w:r>
        <w:t xml:space="preserve"> </w:t>
      </w:r>
      <w:r w:rsidRPr="002B292D">
        <w:t>and</w:t>
      </w:r>
      <w:r>
        <w:t xml:space="preserve"> </w:t>
      </w:r>
      <w:r w:rsidRPr="002B292D">
        <w:t>25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Covenant.</w:t>
      </w:r>
    </w:p>
    <w:p w:rsidR="000D3068" w:rsidRPr="002B292D" w:rsidRDefault="000D3068" w:rsidP="00533F65">
      <w:pPr>
        <w:pStyle w:val="SingleTxtG"/>
      </w:pPr>
      <w:r w:rsidRPr="002B292D">
        <w:t>10.</w:t>
      </w:r>
      <w:r w:rsidRPr="002B292D">
        <w:tab/>
        <w:t>In</w:t>
      </w:r>
      <w:r>
        <w:t xml:space="preserve"> </w:t>
      </w:r>
      <w:r w:rsidRPr="002B292D">
        <w:t>accordance</w:t>
      </w:r>
      <w:r>
        <w:t xml:space="preserve"> </w:t>
      </w:r>
      <w:r w:rsidRPr="002B292D">
        <w:t>with</w:t>
      </w:r>
      <w:r>
        <w:t xml:space="preserve"> </w:t>
      </w:r>
      <w:r w:rsidRPr="002B292D">
        <w:t>article</w:t>
      </w:r>
      <w:r>
        <w:t xml:space="preserve"> </w:t>
      </w:r>
      <w:r w:rsidRPr="002B292D">
        <w:t>2</w:t>
      </w:r>
      <w:r>
        <w:t xml:space="preserve"> </w:t>
      </w:r>
      <w:r w:rsidRPr="002B292D">
        <w:t>(3)</w:t>
      </w:r>
      <w:r>
        <w:t xml:space="preserve"> </w:t>
      </w:r>
      <w:r w:rsidRPr="002B292D">
        <w:t>(a)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is</w:t>
      </w:r>
      <w:r>
        <w:t xml:space="preserve"> </w:t>
      </w:r>
      <w:r w:rsidRPr="002B292D">
        <w:t>under</w:t>
      </w:r>
      <w:r>
        <w:t xml:space="preserve"> </w:t>
      </w:r>
      <w:r w:rsidRPr="002B292D">
        <w:t>an</w:t>
      </w:r>
      <w:r>
        <w:t xml:space="preserve"> </w:t>
      </w:r>
      <w:r w:rsidRPr="002B292D">
        <w:t>obligation</w:t>
      </w:r>
      <w:r>
        <w:t xml:space="preserve"> </w:t>
      </w:r>
      <w:r w:rsidRPr="002B292D">
        <w:t>to</w:t>
      </w:r>
      <w:r>
        <w:t xml:space="preserve"> </w:t>
      </w:r>
      <w:r w:rsidRPr="002B292D">
        <w:t>provide</w:t>
      </w:r>
      <w:r>
        <w:t xml:space="preserve"> </w:t>
      </w:r>
      <w:r w:rsidRPr="002B292D">
        <w:t>individuals</w:t>
      </w:r>
      <w:r>
        <w:t xml:space="preserve"> </w:t>
      </w:r>
      <w:r w:rsidRPr="002B292D">
        <w:t>whose</w:t>
      </w:r>
      <w:r>
        <w:t xml:space="preserve"> </w:t>
      </w:r>
      <w:r w:rsidRPr="002B292D">
        <w:t>Covenant</w:t>
      </w:r>
      <w:r>
        <w:t xml:space="preserve"> </w:t>
      </w:r>
      <w:r w:rsidRPr="002B292D">
        <w:t>rights</w:t>
      </w:r>
      <w:r>
        <w:t xml:space="preserve"> </w:t>
      </w:r>
      <w:r w:rsidRPr="002B292D">
        <w:t>have</w:t>
      </w:r>
      <w:r>
        <w:t xml:space="preserve"> </w:t>
      </w:r>
      <w:r w:rsidRPr="002B292D">
        <w:t>been</w:t>
      </w:r>
      <w:r>
        <w:t xml:space="preserve"> </w:t>
      </w:r>
      <w:r w:rsidRPr="002B292D">
        <w:t>violated</w:t>
      </w:r>
      <w:r>
        <w:t xml:space="preserve"> </w:t>
      </w:r>
      <w:r w:rsidRPr="002B292D">
        <w:t>with</w:t>
      </w:r>
      <w:r>
        <w:t xml:space="preserve"> </w:t>
      </w:r>
      <w:r w:rsidRPr="002B292D">
        <w:t>an</w:t>
      </w:r>
      <w:r>
        <w:t xml:space="preserve"> </w:t>
      </w:r>
      <w:r w:rsidRPr="002B292D">
        <w:t>effective</w:t>
      </w:r>
      <w:r>
        <w:t xml:space="preserve"> </w:t>
      </w:r>
      <w:r w:rsidRPr="002B292D">
        <w:t>remedy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form</w:t>
      </w:r>
      <w:r>
        <w:t xml:space="preserve"> </w:t>
      </w:r>
      <w:r w:rsidRPr="002B292D">
        <w:t>of</w:t>
      </w:r>
      <w:r>
        <w:t xml:space="preserve"> </w:t>
      </w:r>
      <w:r w:rsidRPr="002B292D">
        <w:t>full</w:t>
      </w:r>
      <w:r>
        <w:t xml:space="preserve"> </w:t>
      </w:r>
      <w:r w:rsidRPr="002B292D">
        <w:t>reparation.</w:t>
      </w:r>
      <w:r>
        <w:t xml:space="preserve"> </w:t>
      </w:r>
      <w:r w:rsidRPr="002B292D">
        <w:t>Accordingly,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is</w:t>
      </w:r>
      <w:r>
        <w:t xml:space="preserve"> </w:t>
      </w:r>
      <w:r w:rsidRPr="002B292D">
        <w:t>obligated</w:t>
      </w:r>
      <w:r>
        <w:t xml:space="preserve"> </w:t>
      </w:r>
      <w:r w:rsidRPr="002B292D">
        <w:t>to,</w:t>
      </w:r>
      <w:r>
        <w:t xml:space="preserve"> </w:t>
      </w:r>
      <w:r w:rsidRPr="002B292D">
        <w:t>inter</w:t>
      </w:r>
      <w:r>
        <w:t xml:space="preserve"> </w:t>
      </w:r>
      <w:r w:rsidRPr="002B292D">
        <w:t>alia:</w:t>
      </w:r>
      <w:r>
        <w:t xml:space="preserve"> </w:t>
      </w:r>
      <w:r w:rsidRPr="002B292D">
        <w:t>(a)</w:t>
      </w:r>
      <w:r>
        <w:t xml:space="preserve"> </w:t>
      </w:r>
      <w:r w:rsidRPr="002B292D">
        <w:t>quash</w:t>
      </w:r>
      <w:r>
        <w:t xml:space="preserve"> </w:t>
      </w:r>
      <w:r w:rsidRPr="002B292D">
        <w:t>the</w:t>
      </w:r>
      <w:r>
        <w:t xml:space="preserve"> </w:t>
      </w:r>
      <w:r w:rsidRPr="002B292D">
        <w:t>conviction</w:t>
      </w:r>
      <w:r>
        <w:t xml:space="preserve"> </w:t>
      </w:r>
      <w:r w:rsidRPr="002B292D">
        <w:t>of</w:t>
      </w:r>
      <w:r>
        <w:t xml:space="preserve"> </w:t>
      </w:r>
      <w:r w:rsidRPr="002B292D">
        <w:t>Mohamed</w:t>
      </w:r>
      <w:r>
        <w:t xml:space="preserve"> </w:t>
      </w:r>
      <w:r w:rsidRPr="002B292D">
        <w:t>Nasheed,</w:t>
      </w:r>
      <w:r>
        <w:t xml:space="preserve"> </w:t>
      </w:r>
      <w:r w:rsidRPr="002B292D">
        <w:t>review</w:t>
      </w:r>
      <w:r>
        <w:t xml:space="preserve"> </w:t>
      </w:r>
      <w:r w:rsidRPr="002B292D">
        <w:t>the</w:t>
      </w:r>
      <w:r>
        <w:t xml:space="preserve"> </w:t>
      </w:r>
      <w:r w:rsidRPr="002B292D">
        <w:t>charges</w:t>
      </w:r>
      <w:r>
        <w:t xml:space="preserve"> </w:t>
      </w:r>
      <w:r w:rsidRPr="002B292D">
        <w:t>against</w:t>
      </w:r>
      <w:r>
        <w:t xml:space="preserve"> </w:t>
      </w:r>
      <w:r w:rsidRPr="002B292D">
        <w:t>him</w:t>
      </w:r>
      <w:r>
        <w:t xml:space="preserve"> </w:t>
      </w:r>
      <w:r w:rsidRPr="002B292D">
        <w:t>taking</w:t>
      </w:r>
      <w:r>
        <w:t xml:space="preserve"> </w:t>
      </w:r>
      <w:r w:rsidRPr="002B292D">
        <w:t>into</w:t>
      </w:r>
      <w:r>
        <w:t xml:space="preserve"> </w:t>
      </w:r>
      <w:r w:rsidRPr="002B292D">
        <w:t>account</w:t>
      </w:r>
      <w:r>
        <w:t xml:space="preserve"> </w:t>
      </w:r>
      <w:r w:rsidRPr="002B292D">
        <w:t>the</w:t>
      </w:r>
      <w:r>
        <w:t xml:space="preserve"> </w:t>
      </w:r>
      <w:r w:rsidRPr="002B292D">
        <w:t>present</w:t>
      </w:r>
      <w:r>
        <w:t xml:space="preserve"> </w:t>
      </w:r>
      <w:r w:rsidRPr="002B292D">
        <w:t>Views,</w:t>
      </w:r>
      <w:r>
        <w:t xml:space="preserve"> </w:t>
      </w:r>
      <w:r w:rsidRPr="002B292D">
        <w:t>and,</w:t>
      </w:r>
      <w:r>
        <w:t xml:space="preserve"> </w:t>
      </w:r>
      <w:r w:rsidRPr="002B292D">
        <w:t>if</w:t>
      </w:r>
      <w:r>
        <w:t xml:space="preserve"> </w:t>
      </w:r>
      <w:r w:rsidRPr="002B292D">
        <w:t>appropriate,</w:t>
      </w:r>
      <w:r>
        <w:t xml:space="preserve"> </w:t>
      </w:r>
      <w:r w:rsidRPr="002B292D">
        <w:t>conduct</w:t>
      </w:r>
      <w:r>
        <w:t xml:space="preserve"> </w:t>
      </w:r>
      <w:r w:rsidRPr="002B292D">
        <w:t>a</w:t>
      </w:r>
      <w:r>
        <w:t xml:space="preserve"> </w:t>
      </w:r>
      <w:r w:rsidRPr="002B292D">
        <w:t>new</w:t>
      </w:r>
      <w:r>
        <w:t xml:space="preserve"> </w:t>
      </w:r>
      <w:r w:rsidRPr="002B292D">
        <w:t>trial</w:t>
      </w:r>
      <w:r>
        <w:t xml:space="preserve"> </w:t>
      </w:r>
      <w:r w:rsidRPr="002B292D">
        <w:t>ensuring</w:t>
      </w:r>
      <w:r>
        <w:t xml:space="preserve"> </w:t>
      </w:r>
      <w:r w:rsidRPr="002B292D">
        <w:t>all</w:t>
      </w:r>
      <w:r>
        <w:t xml:space="preserve"> </w:t>
      </w:r>
      <w:r w:rsidRPr="002B292D">
        <w:t>fair</w:t>
      </w:r>
      <w:r>
        <w:t xml:space="preserve"> </w:t>
      </w:r>
      <w:r w:rsidRPr="002B292D">
        <w:t>trial</w:t>
      </w:r>
      <w:r>
        <w:t xml:space="preserve"> </w:t>
      </w:r>
      <w:r w:rsidRPr="002B292D">
        <w:t>guarantees;</w:t>
      </w:r>
      <w:r>
        <w:t xml:space="preserve"> </w:t>
      </w:r>
      <w:r w:rsidRPr="002B292D">
        <w:t>and</w:t>
      </w:r>
      <w:r>
        <w:t xml:space="preserve"> </w:t>
      </w:r>
      <w:r w:rsidRPr="002B292D">
        <w:t>(b)</w:t>
      </w:r>
      <w:r>
        <w:t xml:space="preserve"> </w:t>
      </w:r>
      <w:r w:rsidRPr="002B292D">
        <w:t>restore</w:t>
      </w:r>
      <w:r>
        <w:t xml:space="preserve"> </w:t>
      </w:r>
      <w:r w:rsidRPr="002B292D">
        <w:t>his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stand</w:t>
      </w:r>
      <w:r>
        <w:t xml:space="preserve"> </w:t>
      </w:r>
      <w:r w:rsidRPr="002B292D">
        <w:t>for</w:t>
      </w:r>
      <w:r>
        <w:t xml:space="preserve"> </w:t>
      </w:r>
      <w:r w:rsidRPr="002B292D">
        <w:t>office,</w:t>
      </w:r>
      <w:r>
        <w:t xml:space="preserve"> </w:t>
      </w:r>
      <w:r w:rsidRPr="002B292D">
        <w:t>including</w:t>
      </w:r>
      <w:r>
        <w:t xml:space="preserve"> </w:t>
      </w:r>
      <w:r w:rsidRPr="002B292D">
        <w:t>for</w:t>
      </w:r>
      <w:r>
        <w:t xml:space="preserve"> </w:t>
      </w:r>
      <w:r w:rsidRPr="002B292D">
        <w:t>the</w:t>
      </w:r>
      <w:r>
        <w:t xml:space="preserve"> </w:t>
      </w:r>
      <w:r w:rsidRPr="002B292D">
        <w:t>office</w:t>
      </w:r>
      <w:r>
        <w:t xml:space="preserve"> </w:t>
      </w:r>
      <w:r w:rsidRPr="002B292D">
        <w:t>of</w:t>
      </w:r>
      <w:r>
        <w:t xml:space="preserve"> </w:t>
      </w:r>
      <w:r w:rsidRPr="002B292D">
        <w:t>President.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is</w:t>
      </w:r>
      <w:r>
        <w:t xml:space="preserve"> </w:t>
      </w:r>
      <w:r w:rsidRPr="002B292D">
        <w:t>also</w:t>
      </w:r>
      <w:r>
        <w:t xml:space="preserve"> </w:t>
      </w:r>
      <w:r w:rsidRPr="002B292D">
        <w:t>under</w:t>
      </w:r>
      <w:r>
        <w:t xml:space="preserve"> </w:t>
      </w:r>
      <w:r w:rsidRPr="002B292D">
        <w:t>an</w:t>
      </w:r>
      <w:r>
        <w:t xml:space="preserve"> </w:t>
      </w:r>
      <w:r w:rsidRPr="002B292D">
        <w:t>obligation</w:t>
      </w:r>
      <w:r>
        <w:t xml:space="preserve"> </w:t>
      </w:r>
      <w:r w:rsidRPr="002B292D">
        <w:t>to</w:t>
      </w:r>
      <w:r>
        <w:t xml:space="preserve"> </w:t>
      </w:r>
      <w:r w:rsidRPr="002B292D">
        <w:t>take</w:t>
      </w:r>
      <w:r>
        <w:t xml:space="preserve"> </w:t>
      </w:r>
      <w:r w:rsidRPr="002B292D">
        <w:t>steps</w:t>
      </w:r>
      <w:r>
        <w:t xml:space="preserve"> </w:t>
      </w:r>
      <w:r w:rsidRPr="002B292D">
        <w:t>to</w:t>
      </w:r>
      <w:r>
        <w:t xml:space="preserve"> </w:t>
      </w:r>
      <w:r w:rsidRPr="002B292D">
        <w:t>prevent</w:t>
      </w:r>
      <w:r>
        <w:t xml:space="preserve"> </w:t>
      </w:r>
      <w:r w:rsidRPr="002B292D">
        <w:t>similar</w:t>
      </w:r>
      <w:r>
        <w:t xml:space="preserve"> </w:t>
      </w:r>
      <w:r w:rsidRPr="002B292D">
        <w:t>violations</w:t>
      </w:r>
      <w:r>
        <w:t xml:space="preserve"> </w:t>
      </w:r>
      <w:r w:rsidRPr="002B292D">
        <w:t>from</w:t>
      </w:r>
      <w:r>
        <w:t xml:space="preserve"> </w:t>
      </w:r>
      <w:r w:rsidRPr="002B292D">
        <w:t>occurring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future,</w:t>
      </w:r>
      <w:r>
        <w:t xml:space="preserve"> </w:t>
      </w:r>
      <w:r w:rsidRPr="002B292D">
        <w:t>including</w:t>
      </w:r>
      <w:r>
        <w:t xml:space="preserve"> </w:t>
      </w:r>
      <w:r w:rsidRPr="002B292D">
        <w:t>reviewing</w:t>
      </w:r>
      <w:r>
        <w:t xml:space="preserve"> </w:t>
      </w:r>
      <w:r w:rsidRPr="002B292D">
        <w:t>its</w:t>
      </w:r>
      <w:r>
        <w:t xml:space="preserve"> </w:t>
      </w:r>
      <w:r w:rsidRPr="002B292D">
        <w:t>legislation</w:t>
      </w:r>
      <w:r>
        <w:t xml:space="preserve"> </w:t>
      </w:r>
      <w:r w:rsidRPr="002B292D">
        <w:t>to</w:t>
      </w:r>
      <w:r>
        <w:t xml:space="preserve"> </w:t>
      </w:r>
      <w:r w:rsidRPr="002B292D">
        <w:t>ensure</w:t>
      </w:r>
      <w:r>
        <w:t xml:space="preserve"> </w:t>
      </w:r>
      <w:r w:rsidRPr="002B292D">
        <w:t>that</w:t>
      </w:r>
      <w:r>
        <w:t xml:space="preserve"> </w:t>
      </w:r>
      <w:r w:rsidRPr="002B292D">
        <w:t>any</w:t>
      </w:r>
      <w:r>
        <w:t xml:space="preserve"> </w:t>
      </w:r>
      <w:r w:rsidRPr="002B292D">
        <w:t>restriction</w:t>
      </w:r>
      <w:r>
        <w:t xml:space="preserve"> </w:t>
      </w:r>
      <w:r w:rsidRPr="002B292D">
        <w:t>on</w:t>
      </w:r>
      <w:r>
        <w:t xml:space="preserve"> </w:t>
      </w:r>
      <w:r w:rsidRPr="002B292D">
        <w:t>the</w:t>
      </w:r>
      <w:r>
        <w:t xml:space="preserve"> </w:t>
      </w:r>
      <w:r w:rsidRPr="002B292D">
        <w:t>right</w:t>
      </w:r>
      <w:r>
        <w:t xml:space="preserve"> </w:t>
      </w:r>
      <w:r w:rsidRPr="002B292D">
        <w:t>to</w:t>
      </w:r>
      <w:r>
        <w:t xml:space="preserve"> </w:t>
      </w:r>
      <w:r w:rsidRPr="002B292D">
        <w:t>stand</w:t>
      </w:r>
      <w:r>
        <w:t xml:space="preserve"> </w:t>
      </w:r>
      <w:r w:rsidRPr="002B292D">
        <w:t>for</w:t>
      </w:r>
      <w:r>
        <w:t xml:space="preserve"> </w:t>
      </w:r>
      <w:r w:rsidRPr="002B292D">
        <w:t>office</w:t>
      </w:r>
      <w:r>
        <w:t xml:space="preserve"> </w:t>
      </w:r>
      <w:r w:rsidRPr="002B292D">
        <w:t>is</w:t>
      </w:r>
      <w:r>
        <w:t xml:space="preserve"> </w:t>
      </w:r>
      <w:r w:rsidRPr="002B292D">
        <w:t>reasonable</w:t>
      </w:r>
      <w:r>
        <w:t xml:space="preserve"> </w:t>
      </w:r>
      <w:r w:rsidRPr="002B292D">
        <w:t>and</w:t>
      </w:r>
      <w:r>
        <w:t xml:space="preserve"> </w:t>
      </w:r>
      <w:r w:rsidRPr="002B292D">
        <w:t>proportionate.</w:t>
      </w:r>
    </w:p>
    <w:p w:rsidR="000D3068" w:rsidRPr="002B292D" w:rsidRDefault="000D3068" w:rsidP="00533F65">
      <w:pPr>
        <w:pStyle w:val="SingleTxtG"/>
      </w:pPr>
      <w:r w:rsidRPr="002B292D">
        <w:t>11.</w:t>
      </w:r>
      <w:r w:rsidRPr="002B292D">
        <w:tab/>
        <w:t>Bearing</w:t>
      </w:r>
      <w:r>
        <w:t xml:space="preserve"> </w:t>
      </w:r>
      <w:r w:rsidRPr="002B292D">
        <w:t>in</w:t>
      </w:r>
      <w:r>
        <w:t xml:space="preserve"> </w:t>
      </w:r>
      <w:r w:rsidRPr="002B292D">
        <w:t>mind</w:t>
      </w:r>
      <w:r>
        <w:t xml:space="preserve"> </w:t>
      </w:r>
      <w:r w:rsidRPr="002B292D">
        <w:t>that,</w:t>
      </w:r>
      <w:r>
        <w:t xml:space="preserve"> </w:t>
      </w:r>
      <w:r w:rsidRPr="002B292D">
        <w:t>by</w:t>
      </w:r>
      <w:r>
        <w:t xml:space="preserve"> </w:t>
      </w:r>
      <w:r w:rsidRPr="002B292D">
        <w:t>becoming</w:t>
      </w:r>
      <w:r>
        <w:t xml:space="preserve"> </w:t>
      </w:r>
      <w:r w:rsidRPr="002B292D">
        <w:t>a</w:t>
      </w:r>
      <w:r>
        <w:t xml:space="preserve"> </w:t>
      </w:r>
      <w:r w:rsidRPr="002B292D">
        <w:t>party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Optional</w:t>
      </w:r>
      <w:r>
        <w:t xml:space="preserve"> </w:t>
      </w:r>
      <w:r w:rsidRPr="002B292D">
        <w:t>Protocol,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recognized</w:t>
      </w:r>
      <w:r>
        <w:t xml:space="preserve"> </w:t>
      </w:r>
      <w:r w:rsidRPr="002B292D">
        <w:t>the</w:t>
      </w:r>
      <w:r>
        <w:t xml:space="preserve"> </w:t>
      </w:r>
      <w:r w:rsidRPr="002B292D">
        <w:t>competence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to</w:t>
      </w:r>
      <w:r>
        <w:t xml:space="preserve"> </w:t>
      </w:r>
      <w:r w:rsidRPr="002B292D">
        <w:t>determine</w:t>
      </w:r>
      <w:r>
        <w:t xml:space="preserve"> </w:t>
      </w:r>
      <w:r w:rsidRPr="002B292D">
        <w:t>whether</w:t>
      </w:r>
      <w:r>
        <w:t xml:space="preserve"> </w:t>
      </w:r>
      <w:r w:rsidRPr="002B292D">
        <w:t>there</w:t>
      </w:r>
      <w:r>
        <w:t xml:space="preserve"> </w:t>
      </w:r>
      <w:r w:rsidRPr="002B292D">
        <w:t>has</w:t>
      </w:r>
      <w:r>
        <w:t xml:space="preserve"> </w:t>
      </w:r>
      <w:r w:rsidRPr="002B292D">
        <w:t>been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and</w:t>
      </w:r>
      <w:r>
        <w:t xml:space="preserve"> </w:t>
      </w:r>
      <w:r w:rsidRPr="002B292D">
        <w:t>that,</w:t>
      </w:r>
      <w:r>
        <w:t xml:space="preserve"> </w:t>
      </w:r>
      <w:r w:rsidRPr="002B292D">
        <w:t>pursuant</w:t>
      </w:r>
      <w:r>
        <w:t xml:space="preserve"> </w:t>
      </w:r>
      <w:r w:rsidRPr="002B292D">
        <w:t>to</w:t>
      </w:r>
      <w:r>
        <w:t xml:space="preserve"> </w:t>
      </w:r>
      <w:r w:rsidRPr="002B292D">
        <w:t>article</w:t>
      </w:r>
      <w:r>
        <w:t xml:space="preserve"> </w:t>
      </w:r>
      <w:r w:rsidRPr="002B292D">
        <w:t>2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Covenant,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has</w:t>
      </w:r>
      <w:r>
        <w:t xml:space="preserve"> </w:t>
      </w:r>
      <w:r w:rsidRPr="002B292D">
        <w:t>undertaken</w:t>
      </w:r>
      <w:r>
        <w:t xml:space="preserve"> </w:t>
      </w:r>
      <w:r w:rsidRPr="002B292D">
        <w:t>to</w:t>
      </w:r>
      <w:r>
        <w:t xml:space="preserve"> </w:t>
      </w:r>
      <w:r w:rsidRPr="002B292D">
        <w:t>ensure</w:t>
      </w:r>
      <w:r>
        <w:t xml:space="preserve"> </w:t>
      </w:r>
      <w:r w:rsidRPr="002B292D">
        <w:t>to</w:t>
      </w:r>
      <w:r>
        <w:t xml:space="preserve"> </w:t>
      </w:r>
      <w:r w:rsidRPr="002B292D">
        <w:t>all</w:t>
      </w:r>
      <w:r>
        <w:t xml:space="preserve"> </w:t>
      </w:r>
      <w:r w:rsidRPr="002B292D">
        <w:t>individuals</w:t>
      </w:r>
      <w:r>
        <w:t xml:space="preserve"> </w:t>
      </w:r>
      <w:r w:rsidRPr="002B292D">
        <w:t>within</w:t>
      </w:r>
      <w:r>
        <w:t xml:space="preserve"> </w:t>
      </w:r>
      <w:r w:rsidRPr="002B292D">
        <w:t>its</w:t>
      </w:r>
      <w:r>
        <w:t xml:space="preserve"> </w:t>
      </w:r>
      <w:r w:rsidRPr="002B292D">
        <w:t>territory</w:t>
      </w:r>
      <w:r>
        <w:t xml:space="preserve"> </w:t>
      </w:r>
      <w:r w:rsidRPr="002B292D">
        <w:t>or</w:t>
      </w:r>
      <w:r>
        <w:t xml:space="preserve"> </w:t>
      </w:r>
      <w:r w:rsidRPr="002B292D">
        <w:t>subject</w:t>
      </w:r>
      <w:r>
        <w:t xml:space="preserve"> </w:t>
      </w:r>
      <w:r w:rsidRPr="002B292D">
        <w:t>to</w:t>
      </w:r>
      <w:r>
        <w:t xml:space="preserve"> </w:t>
      </w:r>
      <w:r w:rsidRPr="002B292D">
        <w:t>its</w:t>
      </w:r>
      <w:r>
        <w:t xml:space="preserve"> </w:t>
      </w:r>
      <w:r w:rsidRPr="002B292D">
        <w:t>jurisdiction</w:t>
      </w:r>
      <w:r>
        <w:t xml:space="preserve"> </w:t>
      </w:r>
      <w:r w:rsidRPr="002B292D">
        <w:t>the</w:t>
      </w:r>
      <w:r>
        <w:t xml:space="preserve"> </w:t>
      </w:r>
      <w:r w:rsidRPr="002B292D">
        <w:t>rights</w:t>
      </w:r>
      <w:r>
        <w:t xml:space="preserve"> </w:t>
      </w:r>
      <w:r w:rsidRPr="002B292D">
        <w:t>recognized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Covenant</w:t>
      </w:r>
      <w:r>
        <w:t xml:space="preserve"> </w:t>
      </w:r>
      <w:r w:rsidRPr="002B292D">
        <w:t>and</w:t>
      </w:r>
      <w:r>
        <w:t xml:space="preserve"> </w:t>
      </w:r>
      <w:r w:rsidRPr="002B292D">
        <w:t>to</w:t>
      </w:r>
      <w:r>
        <w:t xml:space="preserve"> </w:t>
      </w:r>
      <w:r w:rsidRPr="002B292D">
        <w:t>provide</w:t>
      </w:r>
      <w:r>
        <w:t xml:space="preserve"> </w:t>
      </w:r>
      <w:r w:rsidRPr="002B292D">
        <w:t>an</w:t>
      </w:r>
      <w:r>
        <w:t xml:space="preserve"> </w:t>
      </w:r>
      <w:r w:rsidRPr="002B292D">
        <w:t>effective</w:t>
      </w:r>
      <w:r>
        <w:t xml:space="preserve"> </w:t>
      </w:r>
      <w:r w:rsidRPr="002B292D">
        <w:t>and</w:t>
      </w:r>
      <w:r>
        <w:t xml:space="preserve"> </w:t>
      </w:r>
      <w:r w:rsidRPr="002B292D">
        <w:t>enforceable</w:t>
      </w:r>
      <w:r>
        <w:t xml:space="preserve"> </w:t>
      </w:r>
      <w:r w:rsidRPr="002B292D">
        <w:t>remedy</w:t>
      </w:r>
      <w:r>
        <w:t xml:space="preserve"> </w:t>
      </w:r>
      <w:r w:rsidRPr="002B292D">
        <w:t>when</w:t>
      </w:r>
      <w:r>
        <w:t xml:space="preserve"> </w:t>
      </w:r>
      <w:r w:rsidRPr="002B292D">
        <w:t>it</w:t>
      </w:r>
      <w:r>
        <w:t xml:space="preserve"> </w:t>
      </w:r>
      <w:r w:rsidRPr="002B292D">
        <w:t>has</w:t>
      </w:r>
      <w:r>
        <w:t xml:space="preserve"> </w:t>
      </w:r>
      <w:r w:rsidRPr="002B292D">
        <w:t>been</w:t>
      </w:r>
      <w:r>
        <w:t xml:space="preserve"> </w:t>
      </w:r>
      <w:r w:rsidRPr="002B292D">
        <w:t>determined</w:t>
      </w:r>
      <w:r>
        <w:t xml:space="preserve"> </w:t>
      </w:r>
      <w:r w:rsidRPr="002B292D">
        <w:t>that</w:t>
      </w:r>
      <w:r>
        <w:t xml:space="preserve"> </w:t>
      </w:r>
      <w:r w:rsidRPr="002B292D">
        <w:t>a</w:t>
      </w:r>
      <w:r>
        <w:t xml:space="preserve"> </w:t>
      </w:r>
      <w:r w:rsidRPr="002B292D">
        <w:t>violation</w:t>
      </w:r>
      <w:r>
        <w:t xml:space="preserve"> </w:t>
      </w:r>
      <w:r w:rsidRPr="002B292D">
        <w:t>has</w:t>
      </w:r>
      <w:r>
        <w:t xml:space="preserve"> </w:t>
      </w:r>
      <w:r w:rsidRPr="002B292D">
        <w:t>occurred,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>
        <w:t xml:space="preserve"> </w:t>
      </w:r>
      <w:r w:rsidRPr="002B292D">
        <w:t>wishes</w:t>
      </w:r>
      <w:r>
        <w:t xml:space="preserve"> </w:t>
      </w:r>
      <w:r w:rsidRPr="002B292D">
        <w:t>to</w:t>
      </w:r>
      <w:r>
        <w:t xml:space="preserve"> </w:t>
      </w:r>
      <w:r w:rsidRPr="002B292D">
        <w:t>receive</w:t>
      </w:r>
      <w:r>
        <w:t xml:space="preserve"> </w:t>
      </w:r>
      <w:r w:rsidRPr="002B292D">
        <w:t>from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party,</w:t>
      </w:r>
      <w:r>
        <w:t xml:space="preserve"> </w:t>
      </w:r>
      <w:r w:rsidRPr="002B292D">
        <w:t>within</w:t>
      </w:r>
      <w:r>
        <w:t xml:space="preserve"> </w:t>
      </w:r>
      <w:r w:rsidRPr="002B292D">
        <w:t>180</w:t>
      </w:r>
      <w:r>
        <w:t xml:space="preserve"> </w:t>
      </w:r>
      <w:r w:rsidRPr="002B292D">
        <w:t>days,</w:t>
      </w:r>
      <w:r>
        <w:t xml:space="preserve"> </w:t>
      </w:r>
      <w:r w:rsidRPr="002B292D">
        <w:t>information</w:t>
      </w:r>
      <w:r>
        <w:t xml:space="preserve"> </w:t>
      </w:r>
      <w:r w:rsidRPr="002B292D">
        <w:t>about</w:t>
      </w:r>
      <w:r>
        <w:t xml:space="preserve"> </w:t>
      </w:r>
      <w:r w:rsidRPr="002B292D">
        <w:t>the</w:t>
      </w:r>
      <w:r>
        <w:t xml:space="preserve"> </w:t>
      </w:r>
      <w:r w:rsidRPr="002B292D">
        <w:t>measures</w:t>
      </w:r>
      <w:r>
        <w:t xml:space="preserve"> </w:t>
      </w:r>
      <w:r w:rsidRPr="002B292D">
        <w:t>taken</w:t>
      </w:r>
      <w:r>
        <w:t xml:space="preserve"> </w:t>
      </w:r>
      <w:r w:rsidRPr="002B292D">
        <w:t>to</w:t>
      </w:r>
      <w:r>
        <w:t xml:space="preserve"> </w:t>
      </w:r>
      <w:r w:rsidRPr="002B292D">
        <w:t>give</w:t>
      </w:r>
      <w:r>
        <w:t xml:space="preserve"> </w:t>
      </w:r>
      <w:r w:rsidRPr="002B292D">
        <w:t>effect</w:t>
      </w:r>
      <w:r>
        <w:t xml:space="preserve"> </w:t>
      </w:r>
      <w:r w:rsidRPr="002B292D">
        <w:t>to</w:t>
      </w:r>
      <w:r>
        <w:t xml:space="preserve"> </w:t>
      </w:r>
      <w:r w:rsidRPr="002B292D">
        <w:t>the</w:t>
      </w:r>
      <w:r>
        <w:t xml:space="preserve"> </w:t>
      </w:r>
      <w:r w:rsidRPr="002B292D">
        <w:t>Committee</w:t>
      </w:r>
      <w:r w:rsidR="00995FAE">
        <w:t>’</w:t>
      </w:r>
      <w:r w:rsidRPr="002B292D">
        <w:t>s</w:t>
      </w:r>
      <w:r>
        <w:t xml:space="preserve"> </w:t>
      </w:r>
      <w:r w:rsidRPr="002B292D">
        <w:t>Views.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</w:t>
      </w:r>
      <w:r>
        <w:t xml:space="preserve"> </w:t>
      </w:r>
      <w:r w:rsidRPr="002B292D">
        <w:t>is</w:t>
      </w:r>
      <w:r>
        <w:t xml:space="preserve"> </w:t>
      </w:r>
      <w:r w:rsidRPr="002B292D">
        <w:t>also</w:t>
      </w:r>
      <w:r>
        <w:t xml:space="preserve"> </w:t>
      </w:r>
      <w:r w:rsidRPr="002B292D">
        <w:t>requested</w:t>
      </w:r>
      <w:r>
        <w:t xml:space="preserve"> </w:t>
      </w:r>
      <w:r w:rsidRPr="002B292D">
        <w:t>to</w:t>
      </w:r>
      <w:r>
        <w:t xml:space="preserve"> </w:t>
      </w:r>
      <w:r w:rsidRPr="002B292D">
        <w:t>publish</w:t>
      </w:r>
      <w:r>
        <w:t xml:space="preserve"> </w:t>
      </w:r>
      <w:r w:rsidRPr="002B292D">
        <w:t>the</w:t>
      </w:r>
      <w:r>
        <w:t xml:space="preserve"> </w:t>
      </w:r>
      <w:r w:rsidRPr="002B292D">
        <w:t>present</w:t>
      </w:r>
      <w:r>
        <w:t xml:space="preserve"> </w:t>
      </w:r>
      <w:r w:rsidRPr="002B292D">
        <w:t>Views</w:t>
      </w:r>
      <w:r>
        <w:t xml:space="preserve"> </w:t>
      </w:r>
      <w:r w:rsidRPr="002B292D">
        <w:t>and</w:t>
      </w:r>
      <w:r>
        <w:t xml:space="preserve"> </w:t>
      </w:r>
      <w:r w:rsidRPr="002B292D">
        <w:t>disseminate</w:t>
      </w:r>
      <w:r>
        <w:t xml:space="preserve"> </w:t>
      </w:r>
      <w:r w:rsidRPr="002B292D">
        <w:t>them</w:t>
      </w:r>
      <w:r>
        <w:t xml:space="preserve"> </w:t>
      </w:r>
      <w:r w:rsidRPr="002B292D">
        <w:t>widely</w:t>
      </w:r>
      <w:r>
        <w:t xml:space="preserve"> </w:t>
      </w:r>
      <w:r w:rsidRPr="002B292D">
        <w:t>in</w:t>
      </w:r>
      <w:r>
        <w:t xml:space="preserve"> </w:t>
      </w:r>
      <w:r w:rsidRPr="002B292D">
        <w:t>the</w:t>
      </w:r>
      <w:r>
        <w:t xml:space="preserve"> </w:t>
      </w:r>
      <w:r w:rsidRPr="002B292D">
        <w:t>official</w:t>
      </w:r>
      <w:r>
        <w:t xml:space="preserve"> </w:t>
      </w:r>
      <w:r w:rsidRPr="002B292D">
        <w:t>languages</w:t>
      </w:r>
      <w:r>
        <w:t xml:space="preserve"> </w:t>
      </w:r>
      <w:r w:rsidRPr="002B292D">
        <w:t>of</w:t>
      </w:r>
      <w:r>
        <w:t xml:space="preserve"> </w:t>
      </w:r>
      <w:r w:rsidRPr="002B292D">
        <w:t>the</w:t>
      </w:r>
      <w:r>
        <w:t xml:space="preserve"> </w:t>
      </w:r>
      <w:r w:rsidRPr="002B292D">
        <w:t>State</w:t>
      </w:r>
      <w:r>
        <w:t xml:space="preserve"> </w:t>
      </w:r>
      <w:r w:rsidRPr="002B292D">
        <w:t>party.</w:t>
      </w:r>
    </w:p>
    <w:p w:rsidR="00755DF1" w:rsidRDefault="00755DF1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55DF1" w:rsidSect="002844C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29" w:rsidRPr="00B903E5" w:rsidRDefault="00025E29" w:rsidP="00B903E5">
      <w:pPr>
        <w:pStyle w:val="Footer"/>
      </w:pPr>
    </w:p>
  </w:endnote>
  <w:endnote w:type="continuationSeparator" w:id="0">
    <w:p w:rsidR="00025E29" w:rsidRPr="00B903E5" w:rsidRDefault="00025E29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81" w:rsidRPr="002844CE" w:rsidRDefault="00B97A81" w:rsidP="00A035EA">
    <w:pPr>
      <w:pStyle w:val="Footer"/>
      <w:tabs>
        <w:tab w:val="right" w:pos="9598"/>
      </w:tabs>
    </w:pPr>
    <w:r w:rsidRPr="002844CE">
      <w:rPr>
        <w:b/>
        <w:sz w:val="18"/>
      </w:rPr>
      <w:fldChar w:fldCharType="begin"/>
    </w:r>
    <w:r w:rsidRPr="002844CE">
      <w:rPr>
        <w:b/>
        <w:sz w:val="18"/>
      </w:rPr>
      <w:instrText xml:space="preserve"> PAGE  \* MERGEFORMAT </w:instrText>
    </w:r>
    <w:r w:rsidRPr="002844CE">
      <w:rPr>
        <w:b/>
        <w:sz w:val="18"/>
      </w:rPr>
      <w:fldChar w:fldCharType="separate"/>
    </w:r>
    <w:r w:rsidR="009C4BA5">
      <w:rPr>
        <w:b/>
        <w:noProof/>
        <w:sz w:val="18"/>
      </w:rPr>
      <w:t>2</w:t>
    </w:r>
    <w:r w:rsidRPr="002844C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81" w:rsidRPr="002844CE" w:rsidRDefault="00B97A81" w:rsidP="002844CE">
    <w:pPr>
      <w:pStyle w:val="Footer"/>
      <w:tabs>
        <w:tab w:val="right" w:pos="9598"/>
      </w:tabs>
      <w:rPr>
        <w:b/>
        <w:sz w:val="18"/>
      </w:rPr>
    </w:pPr>
    <w:r>
      <w:tab/>
    </w:r>
    <w:r w:rsidRPr="002844CE">
      <w:rPr>
        <w:b/>
        <w:sz w:val="18"/>
      </w:rPr>
      <w:fldChar w:fldCharType="begin"/>
    </w:r>
    <w:r w:rsidRPr="002844CE">
      <w:rPr>
        <w:b/>
        <w:sz w:val="18"/>
      </w:rPr>
      <w:instrText xml:space="preserve"> PAGE  \* MERGEFORMAT </w:instrText>
    </w:r>
    <w:r w:rsidRPr="002844CE">
      <w:rPr>
        <w:b/>
        <w:sz w:val="18"/>
      </w:rPr>
      <w:fldChar w:fldCharType="separate"/>
    </w:r>
    <w:r w:rsidR="009C4BA5">
      <w:rPr>
        <w:b/>
        <w:noProof/>
        <w:sz w:val="18"/>
      </w:rPr>
      <w:t>5</w:t>
    </w:r>
    <w:r w:rsidRPr="002844C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56" w:rsidRDefault="00E80456" w:rsidP="00E8045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0456" w:rsidRDefault="00E80456" w:rsidP="00E80456">
    <w:pPr>
      <w:pStyle w:val="Footer"/>
      <w:ind w:right="1134"/>
      <w:rPr>
        <w:sz w:val="20"/>
      </w:rPr>
    </w:pPr>
    <w:r>
      <w:rPr>
        <w:sz w:val="20"/>
      </w:rPr>
      <w:t>GE.18-07151(E)</w:t>
    </w:r>
  </w:p>
  <w:p w:rsidR="00E80456" w:rsidRPr="00E80456" w:rsidRDefault="00E80456" w:rsidP="00E80456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CPR/C/122/D/2270/2013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PR/C/122/D/2270/2013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29" w:rsidRPr="00B903E5" w:rsidRDefault="00025E29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025E29" w:rsidRPr="00B903E5" w:rsidRDefault="00025E29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B97A81" w:rsidRPr="00B47607" w:rsidRDefault="00B97A81">
      <w:pPr>
        <w:pStyle w:val="FootnoteText"/>
      </w:pPr>
      <w:r>
        <w:rPr>
          <w:rStyle w:val="FootnoteReference"/>
        </w:rPr>
        <w:tab/>
      </w:r>
      <w:r w:rsidRPr="00EC14AE">
        <w:rPr>
          <w:rStyle w:val="FootnoteReference"/>
          <w:szCs w:val="18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036F3C">
        <w:t>Adopted</w:t>
      </w:r>
      <w:r>
        <w:t xml:space="preserve"> </w:t>
      </w:r>
      <w:r w:rsidRPr="00036F3C">
        <w:t>by</w:t>
      </w:r>
      <w:r>
        <w:t xml:space="preserve"> </w:t>
      </w:r>
      <w:r w:rsidRPr="00036F3C">
        <w:t>the</w:t>
      </w:r>
      <w:r>
        <w:t xml:space="preserve"> </w:t>
      </w:r>
      <w:r w:rsidRPr="00036F3C">
        <w:t>Committee</w:t>
      </w:r>
      <w:r>
        <w:t xml:space="preserve"> </w:t>
      </w:r>
      <w:r w:rsidRPr="00036F3C">
        <w:t>at</w:t>
      </w:r>
      <w:r>
        <w:t xml:space="preserve"> </w:t>
      </w:r>
      <w:r w:rsidRPr="00036F3C">
        <w:t>its</w:t>
      </w:r>
      <w:r>
        <w:t xml:space="preserve"> </w:t>
      </w:r>
      <w:r w:rsidRPr="00036F3C">
        <w:t>122nd</w:t>
      </w:r>
      <w:r>
        <w:t xml:space="preserve"> </w:t>
      </w:r>
      <w:r w:rsidRPr="00036F3C">
        <w:t>session</w:t>
      </w:r>
      <w:r>
        <w:t xml:space="preserve"> </w:t>
      </w:r>
      <w:r w:rsidRPr="00036F3C">
        <w:t>(12</w:t>
      </w:r>
      <w:r>
        <w:t xml:space="preserve"> </w:t>
      </w:r>
      <w:r w:rsidRPr="00036F3C">
        <w:t>March–6</w:t>
      </w:r>
      <w:r>
        <w:t xml:space="preserve"> </w:t>
      </w:r>
      <w:r w:rsidRPr="00036F3C">
        <w:t>April</w:t>
      </w:r>
      <w:r>
        <w:t xml:space="preserve"> </w:t>
      </w:r>
      <w:r w:rsidRPr="00036F3C">
        <w:t>2018).</w:t>
      </w:r>
    </w:p>
  </w:footnote>
  <w:footnote w:id="2">
    <w:p w:rsidR="00B97A81" w:rsidRPr="002865F2" w:rsidRDefault="00B97A81">
      <w:pPr>
        <w:pStyle w:val="FootnoteText"/>
      </w:pPr>
      <w:r>
        <w:rPr>
          <w:rStyle w:val="FootnoteReference"/>
        </w:rPr>
        <w:tab/>
      </w:r>
      <w:r w:rsidRPr="00EC14AE">
        <w:rPr>
          <w:rStyle w:val="FootnoteReference"/>
          <w:szCs w:val="18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 w:rsidRPr="00036F3C">
        <w:t>The</w:t>
      </w:r>
      <w:r>
        <w:t xml:space="preserve"> </w:t>
      </w:r>
      <w:r w:rsidRPr="00036F3C">
        <w:t>following</w:t>
      </w:r>
      <w:r>
        <w:t xml:space="preserve"> </w:t>
      </w:r>
      <w:r w:rsidRPr="00036F3C">
        <w:t>members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Committee</w:t>
      </w:r>
      <w:r>
        <w:t xml:space="preserve"> </w:t>
      </w:r>
      <w:r w:rsidRPr="00036F3C">
        <w:t>participated</w:t>
      </w:r>
      <w:r>
        <w:t xml:space="preserve"> </w:t>
      </w:r>
      <w:r w:rsidRPr="00036F3C">
        <w:t>in</w:t>
      </w:r>
      <w:r>
        <w:t xml:space="preserve"> </w:t>
      </w:r>
      <w:r w:rsidRPr="00036F3C">
        <w:t>the</w:t>
      </w:r>
      <w:r>
        <w:t xml:space="preserve"> </w:t>
      </w:r>
      <w:r w:rsidRPr="00036F3C">
        <w:t>examination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present</w:t>
      </w:r>
      <w:r>
        <w:t xml:space="preserve"> </w:t>
      </w:r>
      <w:r w:rsidRPr="00036F3C">
        <w:t>communication:</w:t>
      </w:r>
      <w:r>
        <w:t xml:space="preserve"> </w:t>
      </w:r>
      <w:r w:rsidRPr="00036F3C">
        <w:t>Yadh</w:t>
      </w:r>
      <w:r>
        <w:t xml:space="preserve"> </w:t>
      </w:r>
      <w:r w:rsidRPr="00036F3C">
        <w:t>Ben</w:t>
      </w:r>
      <w:r>
        <w:t xml:space="preserve"> </w:t>
      </w:r>
      <w:r w:rsidRPr="00036F3C">
        <w:t>Achour,</w:t>
      </w:r>
      <w:r>
        <w:t xml:space="preserve"> </w:t>
      </w:r>
      <w:r w:rsidRPr="00036F3C">
        <w:t>Ilze</w:t>
      </w:r>
      <w:r>
        <w:t xml:space="preserve"> </w:t>
      </w:r>
      <w:r w:rsidRPr="00036F3C">
        <w:t>Brands</w:t>
      </w:r>
      <w:r>
        <w:t xml:space="preserve"> </w:t>
      </w:r>
      <w:r w:rsidRPr="00036F3C">
        <w:t>Kehris,</w:t>
      </w:r>
      <w:r>
        <w:t xml:space="preserve"> </w:t>
      </w:r>
      <w:r w:rsidRPr="00036F3C">
        <w:t>Sarah</w:t>
      </w:r>
      <w:r>
        <w:t xml:space="preserve"> </w:t>
      </w:r>
      <w:r w:rsidRPr="00036F3C">
        <w:t>Cleveland,</w:t>
      </w:r>
      <w:r>
        <w:t xml:space="preserve"> </w:t>
      </w:r>
      <w:r w:rsidRPr="00036F3C">
        <w:t>Ahmed</w:t>
      </w:r>
      <w:r>
        <w:t xml:space="preserve"> </w:t>
      </w:r>
      <w:r w:rsidRPr="00036F3C">
        <w:t>Amin</w:t>
      </w:r>
      <w:r>
        <w:t xml:space="preserve"> </w:t>
      </w:r>
      <w:r w:rsidRPr="00036F3C">
        <w:t>Fathalla,</w:t>
      </w:r>
      <w:r>
        <w:t xml:space="preserve"> </w:t>
      </w:r>
      <w:r w:rsidRPr="00036F3C">
        <w:t>Christof</w:t>
      </w:r>
      <w:r>
        <w:t xml:space="preserve"> </w:t>
      </w:r>
      <w:r w:rsidRPr="00036F3C">
        <w:t>Heyns,</w:t>
      </w:r>
      <w:r>
        <w:t xml:space="preserve"> </w:t>
      </w:r>
      <w:r w:rsidRPr="00036F3C">
        <w:t>Yuji</w:t>
      </w:r>
      <w:r>
        <w:t xml:space="preserve"> </w:t>
      </w:r>
      <w:r w:rsidRPr="00036F3C">
        <w:t>Iwasawa,</w:t>
      </w:r>
      <w:r>
        <w:t xml:space="preserve"> </w:t>
      </w:r>
      <w:r w:rsidRPr="00036F3C">
        <w:t>Ivana</w:t>
      </w:r>
      <w:r>
        <w:t xml:space="preserve"> </w:t>
      </w:r>
      <w:r w:rsidRPr="00036F3C">
        <w:t>Jelić,</w:t>
      </w:r>
      <w:r>
        <w:t xml:space="preserve"> </w:t>
      </w:r>
      <w:r w:rsidRPr="00036F3C">
        <w:t>Bamariam</w:t>
      </w:r>
      <w:r>
        <w:t xml:space="preserve"> </w:t>
      </w:r>
      <w:r w:rsidRPr="00036F3C">
        <w:t>Koita,</w:t>
      </w:r>
      <w:r>
        <w:t xml:space="preserve"> </w:t>
      </w:r>
      <w:r w:rsidRPr="00036F3C">
        <w:t>Duncan</w:t>
      </w:r>
      <w:r>
        <w:t xml:space="preserve"> </w:t>
      </w:r>
      <w:r w:rsidRPr="00036F3C">
        <w:t>Laki</w:t>
      </w:r>
      <w:r>
        <w:t xml:space="preserve"> </w:t>
      </w:r>
      <w:r w:rsidRPr="00036F3C">
        <w:t>Muhumuza,</w:t>
      </w:r>
      <w:r>
        <w:t xml:space="preserve"> </w:t>
      </w:r>
      <w:r w:rsidRPr="00036F3C">
        <w:t>Photini</w:t>
      </w:r>
      <w:r w:rsidR="0086637A">
        <w:t> </w:t>
      </w:r>
      <w:r w:rsidRPr="00036F3C">
        <w:t>Pazartzis,</w:t>
      </w:r>
      <w:r>
        <w:t xml:space="preserve"> </w:t>
      </w:r>
      <w:r w:rsidRPr="00036F3C">
        <w:t>Mauro</w:t>
      </w:r>
      <w:r>
        <w:t xml:space="preserve"> </w:t>
      </w:r>
      <w:r w:rsidRPr="00036F3C">
        <w:t>Politi,</w:t>
      </w:r>
      <w:r>
        <w:t xml:space="preserve"> </w:t>
      </w:r>
      <w:r w:rsidRPr="00036F3C">
        <w:t>José</w:t>
      </w:r>
      <w:r>
        <w:t xml:space="preserve"> </w:t>
      </w:r>
      <w:r w:rsidRPr="00036F3C">
        <w:t>Manuel</w:t>
      </w:r>
      <w:r>
        <w:t xml:space="preserve"> </w:t>
      </w:r>
      <w:r w:rsidRPr="00036F3C">
        <w:t>Santos</w:t>
      </w:r>
      <w:r>
        <w:t xml:space="preserve"> </w:t>
      </w:r>
      <w:r w:rsidRPr="00036F3C">
        <w:t>Pais,</w:t>
      </w:r>
      <w:r>
        <w:t xml:space="preserve"> </w:t>
      </w:r>
      <w:r w:rsidRPr="00036F3C">
        <w:t>Yuval</w:t>
      </w:r>
      <w:r>
        <w:t xml:space="preserve"> </w:t>
      </w:r>
      <w:r w:rsidRPr="00036F3C">
        <w:t>Shany</w:t>
      </w:r>
      <w:r>
        <w:t xml:space="preserve"> </w:t>
      </w:r>
      <w:r w:rsidRPr="00036F3C">
        <w:t>and</w:t>
      </w:r>
      <w:r>
        <w:t xml:space="preserve"> </w:t>
      </w:r>
      <w:r w:rsidRPr="00036F3C">
        <w:t>Margo</w:t>
      </w:r>
      <w:r>
        <w:t xml:space="preserve"> </w:t>
      </w:r>
      <w:r w:rsidRPr="00036F3C">
        <w:t>Waterval.</w:t>
      </w:r>
    </w:p>
  </w:footnote>
  <w:footnote w:id="3">
    <w:p w:rsidR="00B97A81" w:rsidRPr="00036F3C" w:rsidRDefault="00B97A81" w:rsidP="000D3068">
      <w:pPr>
        <w:pStyle w:val="FootnoteText"/>
        <w:rPr>
          <w:lang w:val="en-AU"/>
        </w:rPr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</w:r>
      <w:r w:rsidRPr="00036F3C">
        <w:rPr>
          <w:lang w:val="en-AU"/>
        </w:rPr>
        <w:t>See</w:t>
      </w:r>
      <w:r>
        <w:rPr>
          <w:lang w:val="en-AU"/>
        </w:rPr>
        <w:t xml:space="preserve"> </w:t>
      </w:r>
      <w:r w:rsidRPr="00036F3C">
        <w:t>A/HRC/23/43/Add.3,</w:t>
      </w:r>
      <w:r>
        <w:t xml:space="preserve"> </w:t>
      </w:r>
      <w:r w:rsidRPr="00036F3C">
        <w:t>paras.</w:t>
      </w:r>
      <w:r>
        <w:t xml:space="preserve"> </w:t>
      </w:r>
      <w:r w:rsidRPr="00036F3C">
        <w:t>23</w:t>
      </w:r>
      <w:r>
        <w:t xml:space="preserve"> </w:t>
      </w:r>
      <w:r w:rsidRPr="00036F3C">
        <w:t>and</w:t>
      </w:r>
      <w:r>
        <w:t xml:space="preserve"> </w:t>
      </w:r>
      <w:r w:rsidRPr="00036F3C">
        <w:t>50</w:t>
      </w:r>
      <w:r w:rsidRPr="00036F3C">
        <w:rPr>
          <w:lang w:val="en-AU"/>
        </w:rPr>
        <w:t>;</w:t>
      </w:r>
      <w:r>
        <w:rPr>
          <w:lang w:val="en-AU"/>
        </w:rPr>
        <w:t xml:space="preserve"> </w:t>
      </w:r>
      <w:r w:rsidRPr="00036F3C">
        <w:rPr>
          <w:lang w:val="en-AU"/>
        </w:rPr>
        <w:t>and</w:t>
      </w:r>
      <w:r>
        <w:rPr>
          <w:lang w:val="en-AU"/>
        </w:rPr>
        <w:t xml:space="preserve"> </w:t>
      </w:r>
      <w:r w:rsidRPr="00036F3C">
        <w:rPr>
          <w:lang w:val="en-AU"/>
        </w:rPr>
        <w:t>the</w:t>
      </w:r>
      <w:r>
        <w:rPr>
          <w:lang w:val="en-AU"/>
        </w:rPr>
        <w:t xml:space="preserve"> </w:t>
      </w:r>
      <w:r w:rsidRPr="00036F3C">
        <w:t>Bar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 </w:t>
      </w:r>
      <w:r w:rsidRPr="00036F3C">
        <w:t>Committee</w:t>
      </w:r>
      <w:r>
        <w:t xml:space="preserve"> </w:t>
      </w:r>
      <w:r w:rsidRPr="00036F3C">
        <w:t>of</w:t>
      </w:r>
      <w:r>
        <w:t xml:space="preserve"> </w:t>
      </w:r>
      <w:r w:rsidRPr="00036F3C">
        <w:t>England</w:t>
      </w:r>
      <w:r>
        <w:t xml:space="preserve"> </w:t>
      </w:r>
      <w:r w:rsidRPr="00036F3C">
        <w:t>and</w:t>
      </w:r>
      <w:r>
        <w:t xml:space="preserve"> </w:t>
      </w:r>
      <w:r w:rsidRPr="00036F3C">
        <w:t>Wales</w:t>
      </w:r>
      <w:r>
        <w:t xml:space="preserve"> </w:t>
      </w:r>
      <w:r w:rsidRPr="00036F3C">
        <w:t>(BHRC),</w:t>
      </w:r>
      <w:r>
        <w:t xml:space="preserve"> “</w:t>
      </w:r>
      <w:r w:rsidRPr="00036F3C">
        <w:t>The</w:t>
      </w:r>
      <w:r>
        <w:t xml:space="preserve"> </w:t>
      </w:r>
      <w:r w:rsidRPr="00036F3C">
        <w:t>prosecution</w:t>
      </w:r>
      <w:r>
        <w:t xml:space="preserve"> </w:t>
      </w:r>
      <w:r w:rsidRPr="00036F3C">
        <w:t>of</w:t>
      </w:r>
      <w:r>
        <w:t xml:space="preserve"> </w:t>
      </w:r>
      <w:r w:rsidRPr="00036F3C">
        <w:t>former</w:t>
      </w:r>
      <w:r>
        <w:t xml:space="preserve"> </w:t>
      </w:r>
      <w:r w:rsidRPr="00036F3C">
        <w:t>Maldivian</w:t>
      </w:r>
      <w:r>
        <w:t xml:space="preserve"> </w:t>
      </w:r>
      <w:r w:rsidRPr="00036F3C">
        <w:t>president</w:t>
      </w:r>
      <w:r>
        <w:t xml:space="preserve"> </w:t>
      </w:r>
      <w:r w:rsidRPr="00036F3C">
        <w:t>Mohamed</w:t>
      </w:r>
      <w:r>
        <w:t xml:space="preserve"> </w:t>
      </w:r>
      <w:r w:rsidRPr="00036F3C">
        <w:t>Nasheed:</w:t>
      </w:r>
      <w:r>
        <w:t xml:space="preserve"> </w:t>
      </w:r>
      <w:r w:rsidRPr="00036F3C">
        <w:t>report</w:t>
      </w:r>
      <w:r>
        <w:t xml:space="preserve"> </w:t>
      </w:r>
      <w:r w:rsidRPr="00036F3C">
        <w:t>of</w:t>
      </w:r>
      <w:r>
        <w:t xml:space="preserve"> </w:t>
      </w:r>
      <w:r w:rsidRPr="00036F3C">
        <w:t>BHRC</w:t>
      </w:r>
      <w:r>
        <w:t>’</w:t>
      </w:r>
      <w:r w:rsidRPr="00036F3C">
        <w:t>s</w:t>
      </w:r>
      <w:r>
        <w:t xml:space="preserve"> </w:t>
      </w:r>
      <w:r w:rsidRPr="00036F3C">
        <w:t>second</w:t>
      </w:r>
      <w:r>
        <w:t xml:space="preserve"> </w:t>
      </w:r>
      <w:r w:rsidRPr="00036F3C">
        <w:t>independent</w:t>
      </w:r>
      <w:r>
        <w:t xml:space="preserve"> </w:t>
      </w:r>
      <w:r w:rsidRPr="00036F3C">
        <w:t>legal</w:t>
      </w:r>
      <w:r>
        <w:t xml:space="preserve"> </w:t>
      </w:r>
      <w:r w:rsidRPr="00036F3C">
        <w:t>observation</w:t>
      </w:r>
      <w:r>
        <w:t xml:space="preserve"> </w:t>
      </w:r>
      <w:r w:rsidRPr="00036F3C">
        <w:t>mission</w:t>
      </w:r>
      <w:r>
        <w:t>”</w:t>
      </w:r>
      <w:r w:rsidRPr="00036F3C">
        <w:rPr>
          <w:lang w:val="en-AU"/>
        </w:rPr>
        <w:t>,</w:t>
      </w:r>
      <w:r>
        <w:rPr>
          <w:lang w:val="en-AU"/>
        </w:rPr>
        <w:t xml:space="preserve"> </w:t>
      </w:r>
      <w:r w:rsidRPr="00036F3C">
        <w:rPr>
          <w:lang w:val="en-AU"/>
        </w:rPr>
        <w:t>p.</w:t>
      </w:r>
      <w:r>
        <w:rPr>
          <w:lang w:val="en-AU"/>
        </w:rPr>
        <w:t xml:space="preserve"> </w:t>
      </w:r>
      <w:r w:rsidRPr="00036F3C">
        <w:rPr>
          <w:lang w:val="en-AU"/>
        </w:rPr>
        <w:t>7.</w:t>
      </w:r>
    </w:p>
  </w:footnote>
  <w:footnote w:id="4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Article</w:t>
      </w:r>
      <w:r>
        <w:t xml:space="preserve"> </w:t>
      </w:r>
      <w:r w:rsidRPr="00036F3C">
        <w:t>81</w:t>
      </w:r>
      <w:r>
        <w:t xml:space="preserve"> </w:t>
      </w:r>
      <w:r w:rsidRPr="00036F3C">
        <w:t>stipulates:</w:t>
      </w:r>
      <w:r>
        <w:t xml:space="preserve"> “</w:t>
      </w:r>
      <w:r w:rsidRPr="00036F3C">
        <w:t>It</w:t>
      </w:r>
      <w:r>
        <w:t xml:space="preserve"> </w:t>
      </w:r>
      <w:r w:rsidRPr="00036F3C">
        <w:t>shall</w:t>
      </w:r>
      <w:r>
        <w:t xml:space="preserve"> </w:t>
      </w:r>
      <w:r w:rsidRPr="00036F3C">
        <w:t>be</w:t>
      </w:r>
      <w:r>
        <w:t xml:space="preserve"> </w:t>
      </w:r>
      <w:r w:rsidRPr="00036F3C">
        <w:t>an</w:t>
      </w:r>
      <w:r>
        <w:t xml:space="preserve"> </w:t>
      </w:r>
      <w:r w:rsidRPr="00036F3C">
        <w:t>offence</w:t>
      </w:r>
      <w:r>
        <w:t xml:space="preserve"> </w:t>
      </w:r>
      <w:r w:rsidRPr="00036F3C">
        <w:t>for</w:t>
      </w:r>
      <w:r>
        <w:t xml:space="preserve"> </w:t>
      </w:r>
      <w:r w:rsidRPr="00036F3C">
        <w:t>any</w:t>
      </w:r>
      <w:r>
        <w:t xml:space="preserve"> </w:t>
      </w:r>
      <w:r w:rsidRPr="00036F3C">
        <w:t>public</w:t>
      </w:r>
      <w:r>
        <w:t xml:space="preserve"> </w:t>
      </w:r>
      <w:r w:rsidRPr="00036F3C">
        <w:t>servant</w:t>
      </w:r>
      <w:r>
        <w:t xml:space="preserve"> </w:t>
      </w:r>
      <w:r w:rsidRPr="00036F3C">
        <w:t>by</w:t>
      </w:r>
      <w:r>
        <w:t xml:space="preserve"> </w:t>
      </w:r>
      <w:r w:rsidRPr="00036F3C">
        <w:t>reason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authority</w:t>
      </w:r>
      <w:r>
        <w:t xml:space="preserve"> </w:t>
      </w:r>
      <w:r w:rsidRPr="00036F3C">
        <w:t>of</w:t>
      </w:r>
      <w:r>
        <w:t xml:space="preserve"> </w:t>
      </w:r>
      <w:r w:rsidRPr="00036F3C">
        <w:t>office</w:t>
      </w:r>
      <w:r>
        <w:t xml:space="preserve"> </w:t>
      </w:r>
      <w:r w:rsidRPr="00036F3C">
        <w:t>he</w:t>
      </w:r>
      <w:r>
        <w:t xml:space="preserve"> </w:t>
      </w:r>
      <w:r w:rsidRPr="00036F3C">
        <w:t>is</w:t>
      </w:r>
      <w:r>
        <w:t xml:space="preserve"> </w:t>
      </w:r>
      <w:r w:rsidRPr="00036F3C">
        <w:t>in</w:t>
      </w:r>
      <w:r>
        <w:t xml:space="preserve"> </w:t>
      </w:r>
      <w:r w:rsidRPr="00036F3C">
        <w:t>to</w:t>
      </w:r>
      <w:r>
        <w:t xml:space="preserve"> </w:t>
      </w:r>
      <w:r w:rsidRPr="00036F3C">
        <w:t>detain</w:t>
      </w:r>
      <w:r>
        <w:t xml:space="preserve"> </w:t>
      </w:r>
      <w:r w:rsidRPr="00036F3C">
        <w:t>or</w:t>
      </w:r>
      <w:r>
        <w:t xml:space="preserve"> </w:t>
      </w:r>
      <w:r w:rsidRPr="00036F3C">
        <w:t>arrest</w:t>
      </w:r>
      <w:r>
        <w:t xml:space="preserve"> </w:t>
      </w:r>
      <w:r w:rsidRPr="00036F3C">
        <w:t>in</w:t>
      </w:r>
      <w:r>
        <w:t xml:space="preserve"> </w:t>
      </w:r>
      <w:r w:rsidRPr="00036F3C">
        <w:t>a</w:t>
      </w:r>
      <w:r>
        <w:t xml:space="preserve"> </w:t>
      </w:r>
      <w:r w:rsidRPr="00036F3C">
        <w:t>manner</w:t>
      </w:r>
      <w:r>
        <w:t xml:space="preserve"> </w:t>
      </w:r>
      <w:r w:rsidRPr="00036F3C">
        <w:t>contrary</w:t>
      </w:r>
      <w:r>
        <w:t xml:space="preserve"> </w:t>
      </w:r>
      <w:r w:rsidRPr="00036F3C">
        <w:t>to</w:t>
      </w:r>
      <w:r>
        <w:t xml:space="preserve"> </w:t>
      </w:r>
      <w:r w:rsidRPr="00036F3C">
        <w:t>law</w:t>
      </w:r>
      <w:r>
        <w:t xml:space="preserve"> </w:t>
      </w:r>
      <w:r w:rsidRPr="00036F3C">
        <w:t>innocent</w:t>
      </w:r>
      <w:r>
        <w:t xml:space="preserve"> </w:t>
      </w:r>
      <w:r w:rsidRPr="00036F3C">
        <w:t>persons.</w:t>
      </w:r>
      <w:r>
        <w:t xml:space="preserve"> </w:t>
      </w:r>
      <w:r w:rsidRPr="00036F3C">
        <w:t>Person</w:t>
      </w:r>
      <w:r>
        <w:t xml:space="preserve"> </w:t>
      </w:r>
      <w:r w:rsidRPr="00036F3C">
        <w:t>guilty</w:t>
      </w:r>
      <w:r>
        <w:t xml:space="preserve"> </w:t>
      </w:r>
      <w:r w:rsidRPr="00036F3C">
        <w:t>of</w:t>
      </w:r>
      <w:r>
        <w:t xml:space="preserve"> </w:t>
      </w:r>
      <w:r w:rsidRPr="00036F3C">
        <w:t>this</w:t>
      </w:r>
      <w:r>
        <w:t xml:space="preserve"> </w:t>
      </w:r>
      <w:r w:rsidRPr="00036F3C">
        <w:t>offence</w:t>
      </w:r>
      <w:r>
        <w:t xml:space="preserve"> </w:t>
      </w:r>
      <w:r w:rsidRPr="00036F3C">
        <w:t>shall</w:t>
      </w:r>
      <w:r>
        <w:t xml:space="preserve"> </w:t>
      </w:r>
      <w:r w:rsidRPr="00036F3C">
        <w:t>be</w:t>
      </w:r>
      <w:r>
        <w:t xml:space="preserve"> </w:t>
      </w:r>
      <w:r w:rsidRPr="00036F3C">
        <w:t>subjected</w:t>
      </w:r>
      <w:r>
        <w:t xml:space="preserve"> </w:t>
      </w:r>
      <w:r w:rsidRPr="00036F3C">
        <w:t>to</w:t>
      </w:r>
      <w:r>
        <w:t xml:space="preserve"> </w:t>
      </w:r>
      <w:r w:rsidRPr="00036F3C">
        <w:t>exile</w:t>
      </w:r>
      <w:r>
        <w:t xml:space="preserve"> </w:t>
      </w:r>
      <w:r w:rsidRPr="00036F3C">
        <w:t>or</w:t>
      </w:r>
      <w:r>
        <w:t xml:space="preserve"> </w:t>
      </w:r>
      <w:r w:rsidRPr="00036F3C">
        <w:t>imprisonment</w:t>
      </w:r>
      <w:r>
        <w:t xml:space="preserve"> </w:t>
      </w:r>
      <w:r w:rsidRPr="00036F3C">
        <w:t>for</w:t>
      </w:r>
      <w:r>
        <w:t xml:space="preserve"> </w:t>
      </w:r>
      <w:r w:rsidRPr="00036F3C">
        <w:t>a</w:t>
      </w:r>
      <w:r>
        <w:t xml:space="preserve"> </w:t>
      </w:r>
      <w:r w:rsidRPr="00036F3C">
        <w:t>period</w:t>
      </w:r>
      <w:r>
        <w:t xml:space="preserve"> </w:t>
      </w:r>
      <w:r w:rsidRPr="00036F3C">
        <w:t>not</w:t>
      </w:r>
      <w:r>
        <w:t xml:space="preserve"> </w:t>
      </w:r>
      <w:r w:rsidRPr="00036F3C">
        <w:t>exceeding</w:t>
      </w:r>
      <w:r>
        <w:t xml:space="preserve"> </w:t>
      </w:r>
      <w:r w:rsidRPr="00036F3C">
        <w:t>three</w:t>
      </w:r>
      <w:r>
        <w:t xml:space="preserve"> </w:t>
      </w:r>
      <w:r w:rsidRPr="00036F3C">
        <w:t>years</w:t>
      </w:r>
      <w:r>
        <w:t xml:space="preserve"> </w:t>
      </w:r>
      <w:r w:rsidRPr="00036F3C">
        <w:t>or</w:t>
      </w:r>
      <w:r>
        <w:t xml:space="preserve"> </w:t>
      </w:r>
      <w:r w:rsidRPr="00036F3C">
        <w:t>a</w:t>
      </w:r>
      <w:r>
        <w:t xml:space="preserve"> </w:t>
      </w:r>
      <w:r w:rsidRPr="00036F3C">
        <w:t>fine</w:t>
      </w:r>
      <w:r>
        <w:t xml:space="preserve"> </w:t>
      </w:r>
      <w:r w:rsidRPr="00036F3C">
        <w:t>not</w:t>
      </w:r>
      <w:r>
        <w:t xml:space="preserve"> </w:t>
      </w:r>
      <w:r w:rsidRPr="00036F3C">
        <w:t>exceeding</w:t>
      </w:r>
      <w:r>
        <w:t xml:space="preserve"> </w:t>
      </w:r>
      <w:r w:rsidRPr="00036F3C">
        <w:t>Rf.</w:t>
      </w:r>
      <w:r>
        <w:t xml:space="preserve"> </w:t>
      </w:r>
      <w:r w:rsidRPr="00036F3C">
        <w:t>2,000.00.</w:t>
      </w:r>
      <w:r>
        <w:t>”</w:t>
      </w:r>
    </w:p>
  </w:footnote>
  <w:footnote w:id="5">
    <w:p w:rsidR="00B97A81" w:rsidRPr="00036F3C" w:rsidRDefault="00B97A81" w:rsidP="00A9117B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author</w:t>
      </w:r>
      <w:r>
        <w:t xml:space="preserve"> </w:t>
      </w:r>
      <w:r w:rsidRPr="00036F3C">
        <w:t>argued,</w:t>
      </w:r>
      <w:r>
        <w:t xml:space="preserve"> </w:t>
      </w:r>
      <w:r w:rsidRPr="00036F3C">
        <w:t>inter</w:t>
      </w:r>
      <w:r>
        <w:t xml:space="preserve"> </w:t>
      </w:r>
      <w:r w:rsidRPr="00036F3C">
        <w:t>alia,</w:t>
      </w:r>
      <w:r>
        <w:t xml:space="preserve"> </w:t>
      </w:r>
      <w:r w:rsidRPr="00036F3C">
        <w:rPr>
          <w:color w:val="000000"/>
        </w:rPr>
        <w:t>that</w:t>
      </w:r>
      <w:r>
        <w:rPr>
          <w:color w:val="000000"/>
        </w:rPr>
        <w:t xml:space="preserve"> </w:t>
      </w:r>
      <w:r w:rsidRPr="00036F3C">
        <w:rPr>
          <w:color w:val="000000"/>
        </w:rPr>
        <w:t>his</w:t>
      </w:r>
      <w:r>
        <w:rPr>
          <w:color w:val="000000"/>
        </w:rPr>
        <w:t xml:space="preserve"> </w:t>
      </w:r>
      <w:r w:rsidRPr="00036F3C">
        <w:rPr>
          <w:color w:val="000000"/>
        </w:rPr>
        <w:t>trial</w:t>
      </w:r>
      <w:r>
        <w:rPr>
          <w:color w:val="000000"/>
        </w:rPr>
        <w:t xml:space="preserve"> </w:t>
      </w:r>
      <w:r w:rsidRPr="00036F3C">
        <w:rPr>
          <w:color w:val="000000"/>
        </w:rPr>
        <w:t>had</w:t>
      </w:r>
      <w:r>
        <w:rPr>
          <w:color w:val="000000"/>
        </w:rPr>
        <w:t xml:space="preserve"> </w:t>
      </w:r>
      <w:r w:rsidRPr="00036F3C">
        <w:rPr>
          <w:color w:val="000000"/>
        </w:rPr>
        <w:t>been</w:t>
      </w:r>
      <w:r>
        <w:rPr>
          <w:color w:val="000000"/>
        </w:rPr>
        <w:t xml:space="preserve"> </w:t>
      </w:r>
      <w:r w:rsidRPr="00036F3C">
        <w:rPr>
          <w:color w:val="000000"/>
        </w:rPr>
        <w:t>moved</w:t>
      </w:r>
      <w:r>
        <w:rPr>
          <w:color w:val="000000"/>
        </w:rPr>
        <w:t xml:space="preserve"> </w:t>
      </w:r>
      <w:r w:rsidRPr="00036F3C">
        <w:rPr>
          <w:color w:val="000000"/>
        </w:rPr>
        <w:t>to</w:t>
      </w:r>
      <w:r>
        <w:rPr>
          <w:color w:val="000000"/>
        </w:rPr>
        <w:t xml:space="preserve"> </w:t>
      </w:r>
      <w:r w:rsidRPr="00036F3C">
        <w:rPr>
          <w:color w:val="000000"/>
        </w:rPr>
        <w:t>a</w:t>
      </w:r>
      <w:r>
        <w:rPr>
          <w:color w:val="000000"/>
        </w:rPr>
        <w:t xml:space="preserve"> </w:t>
      </w:r>
      <w:r w:rsidRPr="00036F3C">
        <w:rPr>
          <w:color w:val="000000"/>
        </w:rPr>
        <w:t>magistrates</w:t>
      </w:r>
      <w:r>
        <w:rPr>
          <w:color w:val="000000"/>
        </w:rPr>
        <w:t xml:space="preserve">’ </w:t>
      </w:r>
      <w:r w:rsidRPr="00036F3C">
        <w:rPr>
          <w:color w:val="000000"/>
        </w:rPr>
        <w:t>court</w:t>
      </w:r>
      <w:r>
        <w:rPr>
          <w:color w:val="000000"/>
        </w:rPr>
        <w:t xml:space="preserve"> </w:t>
      </w:r>
      <w:r w:rsidRPr="00036F3C">
        <w:rPr>
          <w:color w:val="000000"/>
        </w:rPr>
        <w:t>in</w:t>
      </w:r>
      <w:r>
        <w:rPr>
          <w:color w:val="000000"/>
        </w:rPr>
        <w:t xml:space="preserve"> </w:t>
      </w:r>
      <w:r w:rsidRPr="00036F3C">
        <w:rPr>
          <w:color w:val="000000"/>
        </w:rPr>
        <w:t>Hulhumalé,</w:t>
      </w:r>
      <w:r>
        <w:rPr>
          <w:color w:val="000000"/>
        </w:rPr>
        <w:t xml:space="preserve"> </w:t>
      </w:r>
      <w:r w:rsidRPr="00036F3C">
        <w:rPr>
          <w:color w:val="000000"/>
        </w:rPr>
        <w:t>away</w:t>
      </w:r>
      <w:r>
        <w:rPr>
          <w:color w:val="000000"/>
        </w:rPr>
        <w:t xml:space="preserve"> </w:t>
      </w:r>
      <w:r w:rsidRPr="00036F3C">
        <w:rPr>
          <w:color w:val="000000"/>
        </w:rPr>
        <w:t>from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island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Malé.</w:t>
      </w:r>
      <w:r>
        <w:rPr>
          <w:color w:val="000000"/>
        </w:rPr>
        <w:t xml:space="preserve"> </w:t>
      </w:r>
      <w:r w:rsidRPr="00036F3C">
        <w:rPr>
          <w:color w:val="000000"/>
        </w:rPr>
        <w:t>However,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island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Hulhumalé</w:t>
      </w:r>
      <w:r>
        <w:rPr>
          <w:color w:val="000000"/>
        </w:rPr>
        <w:t xml:space="preserve"> </w:t>
      </w:r>
      <w:r w:rsidRPr="00036F3C">
        <w:rPr>
          <w:color w:val="000000"/>
        </w:rPr>
        <w:t>was</w:t>
      </w:r>
      <w:r>
        <w:rPr>
          <w:color w:val="000000"/>
        </w:rPr>
        <w:t xml:space="preserve"> </w:t>
      </w:r>
      <w:r w:rsidRPr="00036F3C">
        <w:rPr>
          <w:color w:val="000000"/>
        </w:rPr>
        <w:t>part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administrative</w:t>
      </w:r>
      <w:r>
        <w:rPr>
          <w:color w:val="000000"/>
        </w:rPr>
        <w:t xml:space="preserve"> </w:t>
      </w:r>
      <w:r w:rsidRPr="00036F3C">
        <w:rPr>
          <w:color w:val="000000"/>
        </w:rPr>
        <w:t>district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Malé</w:t>
      </w:r>
      <w:r>
        <w:rPr>
          <w:color w:val="000000"/>
        </w:rPr>
        <w:t xml:space="preserve"> </w:t>
      </w:r>
      <w:r w:rsidRPr="00036F3C">
        <w:rPr>
          <w:color w:val="000000"/>
        </w:rPr>
        <w:t>under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competence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Criminal</w:t>
      </w:r>
      <w:r>
        <w:rPr>
          <w:color w:val="000000"/>
        </w:rPr>
        <w:t xml:space="preserve"> </w:t>
      </w:r>
      <w:r w:rsidRPr="00036F3C">
        <w:rPr>
          <w:color w:val="000000"/>
        </w:rPr>
        <w:t>Court;</w:t>
      </w:r>
      <w:r>
        <w:rPr>
          <w:color w:val="000000"/>
        </w:rPr>
        <w:t xml:space="preserve"> </w:t>
      </w:r>
      <w:r w:rsidRPr="00036F3C">
        <w:rPr>
          <w:color w:val="000000"/>
        </w:rPr>
        <w:t>and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Magistrates</w:t>
      </w:r>
      <w:r>
        <w:rPr>
          <w:color w:val="000000"/>
        </w:rPr>
        <w:t xml:space="preserve">’ </w:t>
      </w:r>
      <w:r w:rsidRPr="00036F3C">
        <w:rPr>
          <w:color w:val="000000"/>
        </w:rPr>
        <w:t>Court</w:t>
      </w:r>
      <w:r>
        <w:rPr>
          <w:color w:val="000000"/>
        </w:rPr>
        <w:t xml:space="preserve"> </w:t>
      </w:r>
      <w:r w:rsidRPr="00036F3C">
        <w:rPr>
          <w:color w:val="000000"/>
        </w:rPr>
        <w:t>had</w:t>
      </w:r>
      <w:r>
        <w:rPr>
          <w:color w:val="000000"/>
        </w:rPr>
        <w:t xml:space="preserve"> </w:t>
      </w:r>
      <w:r w:rsidRPr="00036F3C">
        <w:rPr>
          <w:color w:val="000000"/>
        </w:rPr>
        <w:t>been</w:t>
      </w:r>
      <w:r>
        <w:rPr>
          <w:color w:val="000000"/>
        </w:rPr>
        <w:t xml:space="preserve"> </w:t>
      </w:r>
      <w:r w:rsidRPr="00036F3C">
        <w:rPr>
          <w:color w:val="000000"/>
        </w:rPr>
        <w:t>unconstitutionally</w:t>
      </w:r>
      <w:r>
        <w:rPr>
          <w:color w:val="000000"/>
        </w:rPr>
        <w:t xml:space="preserve"> </w:t>
      </w:r>
      <w:r w:rsidRPr="00036F3C">
        <w:rPr>
          <w:color w:val="000000"/>
        </w:rPr>
        <w:t>formed</w:t>
      </w:r>
      <w:r>
        <w:rPr>
          <w:color w:val="000000"/>
        </w:rPr>
        <w:t xml:space="preserve"> </w:t>
      </w:r>
      <w:r w:rsidRPr="00036F3C">
        <w:rPr>
          <w:color w:val="000000"/>
        </w:rPr>
        <w:t>without</w:t>
      </w:r>
      <w:r>
        <w:rPr>
          <w:color w:val="000000"/>
        </w:rPr>
        <w:t xml:space="preserve"> </w:t>
      </w:r>
      <w:r w:rsidRPr="00036F3C">
        <w:rPr>
          <w:color w:val="000000"/>
        </w:rPr>
        <w:t>an</w:t>
      </w:r>
      <w:r>
        <w:rPr>
          <w:color w:val="000000"/>
        </w:rPr>
        <w:t xml:space="preserve"> </w:t>
      </w:r>
      <w:r w:rsidRPr="00036F3C">
        <w:rPr>
          <w:color w:val="000000"/>
        </w:rPr>
        <w:t>act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Parliament,</w:t>
      </w:r>
      <w:r>
        <w:rPr>
          <w:color w:val="000000"/>
        </w:rPr>
        <w:t xml:space="preserve"> </w:t>
      </w:r>
      <w:r w:rsidRPr="00036F3C">
        <w:rPr>
          <w:color w:val="000000"/>
        </w:rPr>
        <w:t>as</w:t>
      </w:r>
      <w:r>
        <w:rPr>
          <w:color w:val="000000"/>
        </w:rPr>
        <w:t xml:space="preserve"> </w:t>
      </w:r>
      <w:r w:rsidRPr="00036F3C">
        <w:rPr>
          <w:color w:val="000000"/>
        </w:rPr>
        <w:t>required</w:t>
      </w:r>
      <w:r>
        <w:rPr>
          <w:color w:val="000000"/>
        </w:rPr>
        <w:t xml:space="preserve"> </w:t>
      </w:r>
      <w:r w:rsidRPr="00036F3C">
        <w:rPr>
          <w:color w:val="000000"/>
        </w:rPr>
        <w:t>under</w:t>
      </w:r>
      <w:r>
        <w:rPr>
          <w:color w:val="000000"/>
        </w:rPr>
        <w:t xml:space="preserve"> </w:t>
      </w:r>
      <w:r w:rsidRPr="00036F3C">
        <w:rPr>
          <w:color w:val="000000"/>
        </w:rPr>
        <w:t>article</w:t>
      </w:r>
      <w:r>
        <w:rPr>
          <w:color w:val="000000"/>
        </w:rPr>
        <w:t xml:space="preserve"> </w:t>
      </w:r>
      <w:r w:rsidRPr="00036F3C">
        <w:rPr>
          <w:color w:val="000000"/>
        </w:rPr>
        <w:t>141</w:t>
      </w:r>
      <w:r>
        <w:rPr>
          <w:color w:val="000000"/>
        </w:rPr>
        <w:t xml:space="preserve"> </w:t>
      </w:r>
      <w:r w:rsidRPr="00036F3C">
        <w:rPr>
          <w:color w:val="000000"/>
        </w:rPr>
        <w:t>(a)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Constitution.</w:t>
      </w:r>
      <w:r>
        <w:rPr>
          <w:color w:val="000000"/>
        </w:rPr>
        <w:t xml:space="preserve"> </w:t>
      </w:r>
      <w:r w:rsidRPr="00036F3C">
        <w:rPr>
          <w:color w:val="000000"/>
        </w:rPr>
        <w:t>Instead,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Magistrates</w:t>
      </w:r>
      <w:r>
        <w:rPr>
          <w:color w:val="000000"/>
        </w:rPr>
        <w:t xml:space="preserve">’ </w:t>
      </w:r>
      <w:r w:rsidRPr="00036F3C">
        <w:rPr>
          <w:color w:val="000000"/>
        </w:rPr>
        <w:t>Court</w:t>
      </w:r>
      <w:r>
        <w:rPr>
          <w:color w:val="000000"/>
        </w:rPr>
        <w:t xml:space="preserve"> </w:t>
      </w:r>
      <w:r w:rsidRPr="00036F3C">
        <w:rPr>
          <w:color w:val="000000"/>
        </w:rPr>
        <w:t>was</w:t>
      </w:r>
      <w:r>
        <w:rPr>
          <w:color w:val="000000"/>
        </w:rPr>
        <w:t xml:space="preserve"> </w:t>
      </w:r>
      <w:r w:rsidRPr="00036F3C">
        <w:rPr>
          <w:color w:val="000000"/>
        </w:rPr>
        <w:t>established</w:t>
      </w:r>
      <w:r>
        <w:rPr>
          <w:color w:val="000000"/>
        </w:rPr>
        <w:t xml:space="preserve"> </w:t>
      </w:r>
      <w:r w:rsidRPr="00036F3C">
        <w:rPr>
          <w:color w:val="000000"/>
        </w:rPr>
        <w:t>by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t>Judicial</w:t>
      </w:r>
      <w:r>
        <w:t xml:space="preserve"> </w:t>
      </w:r>
      <w:r w:rsidRPr="00036F3C">
        <w:t>Service</w:t>
      </w:r>
      <w:r>
        <w:t xml:space="preserve"> </w:t>
      </w:r>
      <w:r w:rsidRPr="00036F3C">
        <w:t>Commission</w:t>
      </w:r>
      <w:r w:rsidRPr="00036F3C">
        <w:rPr>
          <w:color w:val="000000"/>
        </w:rPr>
        <w:t>,</w:t>
      </w:r>
      <w:r>
        <w:rPr>
          <w:color w:val="000000"/>
        </w:rPr>
        <w:t xml:space="preserve"> </w:t>
      </w:r>
      <w:r w:rsidRPr="00036F3C">
        <w:rPr>
          <w:color w:val="000000"/>
        </w:rPr>
        <w:t>though</w:t>
      </w:r>
      <w:r>
        <w:rPr>
          <w:color w:val="000000"/>
        </w:rPr>
        <w:t xml:space="preserve"> </w:t>
      </w:r>
      <w:r w:rsidRPr="00036F3C">
        <w:rPr>
          <w:color w:val="000000"/>
        </w:rPr>
        <w:t>this</w:t>
      </w:r>
      <w:r>
        <w:rPr>
          <w:color w:val="000000"/>
        </w:rPr>
        <w:t xml:space="preserve"> </w:t>
      </w:r>
      <w:r w:rsidRPr="00036F3C">
        <w:rPr>
          <w:color w:val="000000"/>
        </w:rPr>
        <w:t>was</w:t>
      </w:r>
      <w:r>
        <w:rPr>
          <w:color w:val="000000"/>
        </w:rPr>
        <w:t xml:space="preserve"> </w:t>
      </w:r>
      <w:r w:rsidRPr="00036F3C">
        <w:rPr>
          <w:color w:val="000000"/>
        </w:rPr>
        <w:t>not</w:t>
      </w:r>
      <w:r>
        <w:rPr>
          <w:color w:val="000000"/>
        </w:rPr>
        <w:t xml:space="preserve"> </w:t>
      </w:r>
      <w:r w:rsidRPr="00036F3C">
        <w:rPr>
          <w:color w:val="000000"/>
        </w:rPr>
        <w:t>one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t>Judicial</w:t>
      </w:r>
      <w:r>
        <w:t xml:space="preserve"> </w:t>
      </w:r>
      <w:r w:rsidRPr="00036F3C">
        <w:t>Service</w:t>
      </w:r>
      <w:r>
        <w:t xml:space="preserve"> </w:t>
      </w:r>
      <w:r w:rsidRPr="00036F3C">
        <w:t>Commission</w:t>
      </w:r>
      <w:r>
        <w:rPr>
          <w:color w:val="000000"/>
        </w:rPr>
        <w:t>’</w:t>
      </w:r>
      <w:r w:rsidRPr="00036F3C">
        <w:rPr>
          <w:color w:val="000000"/>
        </w:rPr>
        <w:t>s</w:t>
      </w:r>
      <w:r>
        <w:rPr>
          <w:color w:val="000000"/>
        </w:rPr>
        <w:t xml:space="preserve"> </w:t>
      </w:r>
      <w:r w:rsidRPr="00036F3C">
        <w:rPr>
          <w:color w:val="000000"/>
        </w:rPr>
        <w:t>powers</w:t>
      </w:r>
      <w:r>
        <w:rPr>
          <w:color w:val="000000"/>
        </w:rPr>
        <w:t xml:space="preserve"> </w:t>
      </w:r>
      <w:r w:rsidRPr="00036F3C">
        <w:rPr>
          <w:color w:val="000000"/>
        </w:rPr>
        <w:t>as</w:t>
      </w:r>
      <w:r>
        <w:rPr>
          <w:color w:val="000000"/>
        </w:rPr>
        <w:t xml:space="preserve"> </w:t>
      </w:r>
      <w:r w:rsidRPr="00036F3C">
        <w:rPr>
          <w:color w:val="000000"/>
        </w:rPr>
        <w:t>stipulated</w:t>
      </w:r>
      <w:r>
        <w:rPr>
          <w:color w:val="000000"/>
        </w:rPr>
        <w:t xml:space="preserve"> </w:t>
      </w:r>
      <w:r w:rsidRPr="00036F3C">
        <w:rPr>
          <w:color w:val="000000"/>
        </w:rPr>
        <w:t>in</w:t>
      </w:r>
      <w:r>
        <w:rPr>
          <w:color w:val="000000"/>
        </w:rPr>
        <w:t xml:space="preserve"> </w:t>
      </w:r>
      <w:r w:rsidRPr="00036F3C">
        <w:rPr>
          <w:color w:val="000000"/>
        </w:rPr>
        <w:t>articles</w:t>
      </w:r>
      <w:r>
        <w:rPr>
          <w:color w:val="000000"/>
        </w:rPr>
        <w:t xml:space="preserve"> </w:t>
      </w:r>
      <w:r w:rsidRPr="00036F3C">
        <w:rPr>
          <w:color w:val="000000"/>
        </w:rPr>
        <w:t>157</w:t>
      </w:r>
      <w:r>
        <w:rPr>
          <w:color w:val="000000"/>
        </w:rPr>
        <w:t xml:space="preserve"> </w:t>
      </w:r>
      <w:r w:rsidRPr="00036F3C">
        <w:rPr>
          <w:color w:val="000000"/>
        </w:rPr>
        <w:t>(a)</w:t>
      </w:r>
      <w:r>
        <w:rPr>
          <w:color w:val="000000"/>
        </w:rPr>
        <w:t xml:space="preserve"> </w:t>
      </w:r>
      <w:r w:rsidRPr="00036F3C">
        <w:rPr>
          <w:color w:val="000000"/>
        </w:rPr>
        <w:t>and</w:t>
      </w:r>
      <w:r>
        <w:rPr>
          <w:color w:val="000000"/>
        </w:rPr>
        <w:t xml:space="preserve"> </w:t>
      </w:r>
      <w:r w:rsidRPr="00036F3C">
        <w:rPr>
          <w:color w:val="000000"/>
        </w:rPr>
        <w:t>159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Constitution</w:t>
      </w:r>
      <w:r>
        <w:rPr>
          <w:color w:val="000000"/>
        </w:rPr>
        <w:t xml:space="preserve"> </w:t>
      </w:r>
      <w:r w:rsidRPr="00036F3C">
        <w:rPr>
          <w:color w:val="000000"/>
        </w:rPr>
        <w:t>and</w:t>
      </w:r>
      <w:r>
        <w:rPr>
          <w:color w:val="000000"/>
        </w:rPr>
        <w:t xml:space="preserve"> </w:t>
      </w:r>
      <w:r w:rsidRPr="00036F3C">
        <w:rPr>
          <w:color w:val="000000"/>
        </w:rPr>
        <w:t>section</w:t>
      </w:r>
      <w:r>
        <w:rPr>
          <w:color w:val="000000"/>
        </w:rPr>
        <w:t xml:space="preserve"> </w:t>
      </w:r>
      <w:r w:rsidRPr="00036F3C">
        <w:rPr>
          <w:color w:val="000000"/>
        </w:rPr>
        <w:t>21</w:t>
      </w:r>
      <w:r>
        <w:rPr>
          <w:color w:val="000000"/>
        </w:rPr>
        <w:t xml:space="preserve"> </w:t>
      </w:r>
      <w:r w:rsidRPr="00036F3C">
        <w:rPr>
          <w:color w:val="000000"/>
        </w:rPr>
        <w:t>of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Judicial</w:t>
      </w:r>
      <w:r>
        <w:rPr>
          <w:color w:val="000000"/>
        </w:rPr>
        <w:t xml:space="preserve"> </w:t>
      </w:r>
      <w:r w:rsidRPr="00036F3C">
        <w:rPr>
          <w:color w:val="000000"/>
        </w:rPr>
        <w:t>Service</w:t>
      </w:r>
      <w:r>
        <w:rPr>
          <w:color w:val="000000"/>
        </w:rPr>
        <w:t xml:space="preserve"> </w:t>
      </w:r>
      <w:r w:rsidRPr="00036F3C">
        <w:rPr>
          <w:color w:val="000000"/>
        </w:rPr>
        <w:t>Commission</w:t>
      </w:r>
      <w:r>
        <w:rPr>
          <w:color w:val="000000"/>
        </w:rPr>
        <w:t xml:space="preserve"> </w:t>
      </w:r>
      <w:r w:rsidRPr="00036F3C">
        <w:rPr>
          <w:color w:val="000000"/>
        </w:rPr>
        <w:t>Act</w:t>
      </w:r>
      <w:r>
        <w:rPr>
          <w:color w:val="000000"/>
        </w:rPr>
        <w:t xml:space="preserve"> </w:t>
      </w:r>
      <w:r w:rsidRPr="00036F3C">
        <w:rPr>
          <w:color w:val="000000"/>
        </w:rPr>
        <w:t>(Law</w:t>
      </w:r>
      <w:r>
        <w:rPr>
          <w:color w:val="000000"/>
        </w:rPr>
        <w:t xml:space="preserve"> </w:t>
      </w:r>
      <w:r w:rsidRPr="00036F3C">
        <w:rPr>
          <w:color w:val="000000"/>
        </w:rPr>
        <w:t>No.</w:t>
      </w:r>
      <w:r>
        <w:rPr>
          <w:color w:val="000000"/>
        </w:rPr>
        <w:t xml:space="preserve"> </w:t>
      </w:r>
      <w:r w:rsidRPr="00036F3C">
        <w:rPr>
          <w:color w:val="000000"/>
        </w:rPr>
        <w:t>10/2008).</w:t>
      </w:r>
      <w:r>
        <w:rPr>
          <w:color w:val="000000"/>
        </w:rPr>
        <w:t xml:space="preserve"> </w:t>
      </w:r>
      <w:r w:rsidRPr="00036F3C">
        <w:rPr>
          <w:color w:val="000000"/>
        </w:rPr>
        <w:t>Further,</w:t>
      </w:r>
      <w:r>
        <w:rPr>
          <w:color w:val="000000"/>
        </w:rPr>
        <w:t xml:space="preserve"> </w:t>
      </w:r>
      <w:r w:rsidRPr="00036F3C">
        <w:rPr>
          <w:color w:val="000000"/>
        </w:rPr>
        <w:t>the</w:t>
      </w:r>
      <w:r>
        <w:rPr>
          <w:color w:val="000000"/>
        </w:rPr>
        <w:t xml:space="preserve"> </w:t>
      </w:r>
      <w:r w:rsidRPr="00036F3C">
        <w:rPr>
          <w:color w:val="000000"/>
        </w:rPr>
        <w:t>author</w:t>
      </w:r>
      <w:r>
        <w:rPr>
          <w:color w:val="000000"/>
        </w:rPr>
        <w:t xml:space="preserve"> </w:t>
      </w:r>
      <w:r w:rsidRPr="00036F3C">
        <w:rPr>
          <w:color w:val="000000"/>
        </w:rPr>
        <w:t>argued</w:t>
      </w:r>
      <w:r>
        <w:rPr>
          <w:color w:val="000000"/>
        </w:rPr>
        <w:t xml:space="preserve"> </w:t>
      </w:r>
      <w:r w:rsidRPr="00036F3C">
        <w:rPr>
          <w:color w:val="000000"/>
        </w:rPr>
        <w:t>that</w:t>
      </w:r>
      <w:r>
        <w:rPr>
          <w:color w:val="000000"/>
        </w:rPr>
        <w:t xml:space="preserve"> </w:t>
      </w:r>
      <w:r w:rsidRPr="00036F3C">
        <w:t>the</w:t>
      </w:r>
      <w:r>
        <w:t xml:space="preserve"> </w:t>
      </w:r>
      <w:r w:rsidRPr="00036F3C">
        <w:t>Magistrates</w:t>
      </w:r>
      <w:r>
        <w:t xml:space="preserve">’ </w:t>
      </w:r>
      <w:r w:rsidRPr="00036F3C">
        <w:t>Court</w:t>
      </w:r>
      <w:r>
        <w:t xml:space="preserve"> </w:t>
      </w:r>
      <w:r w:rsidRPr="00036F3C">
        <w:t>bench</w:t>
      </w:r>
      <w:r>
        <w:t xml:space="preserve"> </w:t>
      </w:r>
      <w:r w:rsidRPr="00036F3C">
        <w:t>was</w:t>
      </w:r>
      <w:r>
        <w:t xml:space="preserve"> </w:t>
      </w:r>
      <w:r w:rsidRPr="00036F3C">
        <w:t>composed</w:t>
      </w:r>
      <w:r>
        <w:t xml:space="preserve"> </w:t>
      </w:r>
      <w:r w:rsidRPr="00036F3C">
        <w:t>of</w:t>
      </w:r>
      <w:r>
        <w:t xml:space="preserve"> </w:t>
      </w:r>
      <w:r w:rsidRPr="00036F3C">
        <w:t>three</w:t>
      </w:r>
      <w:r>
        <w:t xml:space="preserve"> </w:t>
      </w:r>
      <w:r w:rsidRPr="00036F3C">
        <w:t>special</w:t>
      </w:r>
      <w:r>
        <w:t xml:space="preserve"> </w:t>
      </w:r>
      <w:r w:rsidRPr="00036F3C">
        <w:t>judges</w:t>
      </w:r>
      <w:r>
        <w:t xml:space="preserve"> </w:t>
      </w:r>
      <w:r w:rsidRPr="00036F3C">
        <w:t>who</w:t>
      </w:r>
      <w:r>
        <w:t xml:space="preserve"> </w:t>
      </w:r>
      <w:r w:rsidRPr="00036F3C">
        <w:t>had</w:t>
      </w:r>
      <w:r>
        <w:t xml:space="preserve"> </w:t>
      </w:r>
      <w:r w:rsidRPr="00036F3C">
        <w:t>been</w:t>
      </w:r>
      <w:r>
        <w:t xml:space="preserve"> </w:t>
      </w:r>
      <w:r w:rsidRPr="00036F3C">
        <w:t>appointed</w:t>
      </w:r>
      <w:r>
        <w:t xml:space="preserve"> </w:t>
      </w:r>
      <w:r w:rsidRPr="00036F3C">
        <w:t>by</w:t>
      </w:r>
      <w:r>
        <w:t xml:space="preserve"> </w:t>
      </w:r>
      <w:r w:rsidRPr="00036F3C">
        <w:t>the</w:t>
      </w:r>
      <w:r>
        <w:t xml:space="preserve"> </w:t>
      </w:r>
      <w:r w:rsidRPr="00036F3C">
        <w:t>Judicial</w:t>
      </w:r>
      <w:r>
        <w:t xml:space="preserve"> </w:t>
      </w:r>
      <w:r w:rsidRPr="00036F3C">
        <w:t>Service</w:t>
      </w:r>
      <w:r>
        <w:t xml:space="preserve"> </w:t>
      </w:r>
      <w:r w:rsidRPr="00036F3C">
        <w:t>Commission</w:t>
      </w:r>
      <w:r>
        <w:t xml:space="preserve"> </w:t>
      </w:r>
      <w:r w:rsidRPr="00036F3C">
        <w:t>unlawfully.</w:t>
      </w:r>
    </w:p>
  </w:footnote>
  <w:footnote w:id="6">
    <w:p w:rsidR="00B97A81" w:rsidRPr="00036F3C" w:rsidRDefault="00B97A81" w:rsidP="00336483">
      <w:pPr>
        <w:pStyle w:val="FootnoteText"/>
        <w:rPr>
          <w:rFonts w:eastAsia="Calibri"/>
          <w:lang w:val="en-AU"/>
        </w:rPr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Art</w:t>
      </w:r>
      <w:r w:rsidR="00336483">
        <w:t>icle</w:t>
      </w:r>
      <w:r>
        <w:t xml:space="preserve"> </w:t>
      </w:r>
      <w:r w:rsidRPr="00036F3C">
        <w:t>2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Act</w:t>
      </w:r>
      <w:r>
        <w:t xml:space="preserve"> </w:t>
      </w:r>
      <w:r w:rsidRPr="00036F3C">
        <w:t>lists</w:t>
      </w:r>
      <w:r>
        <w:t xml:space="preserve"> </w:t>
      </w:r>
      <w:r w:rsidRPr="00036F3C">
        <w:t>acts</w:t>
      </w:r>
      <w:r>
        <w:t xml:space="preserve"> </w:t>
      </w:r>
      <w:r w:rsidRPr="00036F3C">
        <w:t>and</w:t>
      </w:r>
      <w:r>
        <w:t xml:space="preserve"> </w:t>
      </w:r>
      <w:r w:rsidRPr="00036F3C">
        <w:t>activities</w:t>
      </w:r>
      <w:r>
        <w:t xml:space="preserve"> </w:t>
      </w:r>
      <w:r w:rsidRPr="00036F3C">
        <w:t>that</w:t>
      </w:r>
      <w:r>
        <w:t xml:space="preserve"> </w:t>
      </w:r>
      <w:r w:rsidRPr="00036F3C">
        <w:t>shall</w:t>
      </w:r>
      <w:r>
        <w:t xml:space="preserve"> </w:t>
      </w:r>
      <w:r w:rsidRPr="00036F3C">
        <w:t>be</w:t>
      </w:r>
      <w:r>
        <w:t xml:space="preserve"> </w:t>
      </w:r>
      <w:r w:rsidRPr="00036F3C">
        <w:t>construed</w:t>
      </w:r>
      <w:r>
        <w:t xml:space="preserve"> </w:t>
      </w:r>
      <w:r w:rsidRPr="00036F3C">
        <w:t>as</w:t>
      </w:r>
      <w:r>
        <w:t xml:space="preserve"> </w:t>
      </w:r>
      <w:r w:rsidRPr="00036F3C">
        <w:t>acts</w:t>
      </w:r>
      <w:r>
        <w:t xml:space="preserve"> </w:t>
      </w:r>
      <w:r w:rsidRPr="00036F3C">
        <w:t>of</w:t>
      </w:r>
      <w:r>
        <w:t xml:space="preserve"> </w:t>
      </w:r>
      <w:r w:rsidRPr="00036F3C">
        <w:t>terrorism,</w:t>
      </w:r>
      <w:r>
        <w:t xml:space="preserve"> </w:t>
      </w:r>
      <w:r w:rsidRPr="00036F3C">
        <w:t>and</w:t>
      </w:r>
      <w:r>
        <w:t xml:space="preserve"> </w:t>
      </w:r>
      <w:r w:rsidRPr="00036F3C">
        <w:t>art</w:t>
      </w:r>
      <w:r w:rsidR="00336483">
        <w:t xml:space="preserve">icle </w:t>
      </w:r>
      <w:r w:rsidRPr="00036F3C">
        <w:t>2</w:t>
      </w:r>
      <w:r>
        <w:t xml:space="preserve"> </w:t>
      </w:r>
      <w:r w:rsidRPr="00036F3C">
        <w:t>(b)</w:t>
      </w:r>
      <w:r>
        <w:t xml:space="preserve"> </w:t>
      </w:r>
      <w:r w:rsidRPr="00036F3C">
        <w:t>stipulates</w:t>
      </w:r>
      <w:r>
        <w:t xml:space="preserve"> </w:t>
      </w:r>
      <w:r w:rsidRPr="00036F3C">
        <w:t>that</w:t>
      </w:r>
      <w:r>
        <w:t xml:space="preserve"> </w:t>
      </w:r>
      <w:r w:rsidRPr="00036F3C">
        <w:t>included</w:t>
      </w:r>
      <w:r>
        <w:t xml:space="preserve"> </w:t>
      </w:r>
      <w:r w:rsidRPr="00036F3C">
        <w:t>among</w:t>
      </w:r>
      <w:r>
        <w:t xml:space="preserve"> </w:t>
      </w:r>
      <w:r w:rsidRPr="00036F3C">
        <w:t>such</w:t>
      </w:r>
      <w:r>
        <w:t xml:space="preserve"> </w:t>
      </w:r>
      <w:r w:rsidRPr="00036F3C">
        <w:t>acts</w:t>
      </w:r>
      <w:r>
        <w:t xml:space="preserve"> </w:t>
      </w:r>
      <w:r w:rsidRPr="00036F3C">
        <w:t>and</w:t>
      </w:r>
      <w:r>
        <w:t xml:space="preserve"> </w:t>
      </w:r>
      <w:r w:rsidRPr="00036F3C">
        <w:t>activities</w:t>
      </w:r>
      <w:r>
        <w:t xml:space="preserve"> </w:t>
      </w:r>
      <w:r w:rsidRPr="00036F3C">
        <w:t>is</w:t>
      </w:r>
      <w:r>
        <w:t xml:space="preserve"> “</w:t>
      </w:r>
      <w:r w:rsidRPr="00036F3C">
        <w:t>the</w:t>
      </w:r>
      <w:r>
        <w:t xml:space="preserve"> </w:t>
      </w:r>
      <w:r w:rsidRPr="00036F3C">
        <w:t>act</w:t>
      </w:r>
      <w:r>
        <w:t xml:space="preserve"> </w:t>
      </w:r>
      <w:r w:rsidRPr="00036F3C">
        <w:t>or</w:t>
      </w:r>
      <w:r>
        <w:t xml:space="preserve"> </w:t>
      </w:r>
      <w:r w:rsidRPr="00036F3C">
        <w:t>the</w:t>
      </w:r>
      <w:r>
        <w:t xml:space="preserve"> </w:t>
      </w:r>
      <w:r w:rsidRPr="00036F3C">
        <w:t>intention</w:t>
      </w:r>
      <w:r>
        <w:t xml:space="preserve"> </w:t>
      </w:r>
      <w:r w:rsidRPr="00036F3C">
        <w:t>of</w:t>
      </w:r>
      <w:r>
        <w:t xml:space="preserve"> </w:t>
      </w:r>
      <w:r w:rsidRPr="00036F3C">
        <w:t>kidnapping</w:t>
      </w:r>
      <w:r>
        <w:t xml:space="preserve"> </w:t>
      </w:r>
      <w:r w:rsidRPr="00036F3C">
        <w:t>or</w:t>
      </w:r>
      <w:r>
        <w:t xml:space="preserve"> </w:t>
      </w:r>
      <w:r w:rsidRPr="00036F3C">
        <w:t>abduction</w:t>
      </w:r>
      <w:r>
        <w:t xml:space="preserve"> </w:t>
      </w:r>
      <w:r w:rsidRPr="00036F3C">
        <w:t>of</w:t>
      </w:r>
      <w:r>
        <w:t xml:space="preserve"> </w:t>
      </w:r>
      <w:r w:rsidRPr="00036F3C">
        <w:t>person(s)</w:t>
      </w:r>
      <w:r>
        <w:t xml:space="preserve"> </w:t>
      </w:r>
      <w:r w:rsidRPr="00036F3C">
        <w:t>or</w:t>
      </w:r>
      <w:r>
        <w:t xml:space="preserve"> </w:t>
      </w:r>
      <w:r w:rsidRPr="00036F3C">
        <w:t>of</w:t>
      </w:r>
      <w:r>
        <w:t xml:space="preserve"> </w:t>
      </w:r>
      <w:r w:rsidRPr="00036F3C">
        <w:t>taking</w:t>
      </w:r>
      <w:r>
        <w:t xml:space="preserve"> </w:t>
      </w:r>
      <w:r w:rsidRPr="00036F3C">
        <w:t>hostage(s)</w:t>
      </w:r>
      <w:r>
        <w:t>”</w:t>
      </w:r>
      <w:r w:rsidRPr="00036F3C">
        <w:t>.</w:t>
      </w:r>
      <w:r>
        <w:t xml:space="preserve"> </w:t>
      </w:r>
      <w:r w:rsidRPr="00036F3C">
        <w:t>Article</w:t>
      </w:r>
      <w:r>
        <w:t xml:space="preserve"> </w:t>
      </w:r>
      <w:r w:rsidRPr="00036F3C">
        <w:t>6</w:t>
      </w:r>
      <w:r>
        <w:t xml:space="preserve"> </w:t>
      </w:r>
      <w:r w:rsidRPr="00036F3C">
        <w:t>(b)</w:t>
      </w:r>
      <w:r>
        <w:t xml:space="preserve"> </w:t>
      </w:r>
      <w:r w:rsidRPr="00036F3C">
        <w:t>stipulates</w:t>
      </w:r>
      <w:r>
        <w:t xml:space="preserve"> </w:t>
      </w:r>
      <w:r w:rsidRPr="00036F3C">
        <w:t>as</w:t>
      </w:r>
      <w:r>
        <w:t xml:space="preserve"> </w:t>
      </w:r>
      <w:r w:rsidRPr="00036F3C">
        <w:t>follows:</w:t>
      </w:r>
      <w:r>
        <w:t xml:space="preserve"> </w:t>
      </w:r>
      <w:r w:rsidRPr="00036F3C">
        <w:t>Any</w:t>
      </w:r>
      <w:r>
        <w:t xml:space="preserve"> </w:t>
      </w:r>
      <w:r w:rsidRPr="00036F3C">
        <w:t>person(s)</w:t>
      </w:r>
      <w:r>
        <w:t xml:space="preserve"> </w:t>
      </w:r>
      <w:r w:rsidRPr="00036F3C">
        <w:t>found</w:t>
      </w:r>
      <w:r>
        <w:t xml:space="preserve"> </w:t>
      </w:r>
      <w:r w:rsidRPr="00036F3C">
        <w:t>guilty</w:t>
      </w:r>
      <w:r>
        <w:t xml:space="preserve"> </w:t>
      </w:r>
      <w:r w:rsidRPr="00036F3C">
        <w:t>of</w:t>
      </w:r>
      <w:r>
        <w:t xml:space="preserve"> </w:t>
      </w:r>
      <w:r w:rsidRPr="00036F3C">
        <w:t>an</w:t>
      </w:r>
      <w:r>
        <w:t xml:space="preserve"> </w:t>
      </w:r>
      <w:r w:rsidRPr="00036F3C">
        <w:t>act</w:t>
      </w:r>
      <w:r>
        <w:t xml:space="preserve"> </w:t>
      </w:r>
      <w:r w:rsidRPr="00036F3C">
        <w:t>of</w:t>
      </w:r>
      <w:r>
        <w:t xml:space="preserve"> </w:t>
      </w:r>
      <w:r w:rsidRPr="00036F3C">
        <w:t>terrorism,</w:t>
      </w:r>
      <w:r>
        <w:t xml:space="preserve"> </w:t>
      </w:r>
      <w:r w:rsidRPr="00036F3C">
        <w:t>without</w:t>
      </w:r>
      <w:r>
        <w:t xml:space="preserve"> </w:t>
      </w:r>
      <w:r w:rsidRPr="00036F3C">
        <w:t>loss</w:t>
      </w:r>
      <w:r>
        <w:t xml:space="preserve"> </w:t>
      </w:r>
      <w:r w:rsidRPr="00036F3C">
        <w:t>of</w:t>
      </w:r>
      <w:r>
        <w:t xml:space="preserve"> </w:t>
      </w:r>
      <w:r w:rsidRPr="00036F3C">
        <w:t>life,</w:t>
      </w:r>
      <w:r>
        <w:t xml:space="preserve"> </w:t>
      </w:r>
      <w:r w:rsidRPr="00036F3C">
        <w:t>shall</w:t>
      </w:r>
      <w:r>
        <w:t xml:space="preserve"> </w:t>
      </w:r>
      <w:r w:rsidRPr="00036F3C">
        <w:t>be</w:t>
      </w:r>
      <w:r>
        <w:t xml:space="preserve"> </w:t>
      </w:r>
      <w:r w:rsidRPr="00036F3C">
        <w:t>sentenced</w:t>
      </w:r>
      <w:r>
        <w:t xml:space="preserve"> </w:t>
      </w:r>
      <w:r w:rsidRPr="00036F3C">
        <w:t>to</w:t>
      </w:r>
      <w:r>
        <w:t xml:space="preserve"> </w:t>
      </w:r>
      <w:r w:rsidRPr="00036F3C">
        <w:t>between</w:t>
      </w:r>
      <w:r>
        <w:t xml:space="preserve"> </w:t>
      </w:r>
      <w:r w:rsidRPr="00036F3C">
        <w:t>10</w:t>
      </w:r>
      <w:r>
        <w:t xml:space="preserve"> </w:t>
      </w:r>
      <w:r w:rsidRPr="00036F3C">
        <w:t>and</w:t>
      </w:r>
      <w:r>
        <w:t xml:space="preserve"> </w:t>
      </w:r>
      <w:r w:rsidRPr="00036F3C">
        <w:t>15</w:t>
      </w:r>
      <w:r>
        <w:t xml:space="preserve"> </w:t>
      </w:r>
      <w:r w:rsidRPr="00036F3C">
        <w:t>years</w:t>
      </w:r>
      <w:r>
        <w:t xml:space="preserve">’ </w:t>
      </w:r>
      <w:r w:rsidRPr="00036F3C">
        <w:t>imprisonment</w:t>
      </w:r>
      <w:r>
        <w:t xml:space="preserve"> </w:t>
      </w:r>
      <w:r w:rsidRPr="00036F3C">
        <w:t>or</w:t>
      </w:r>
      <w:r>
        <w:t xml:space="preserve"> </w:t>
      </w:r>
      <w:r w:rsidRPr="00036F3C">
        <w:t>banishment.</w:t>
      </w:r>
      <w:r>
        <w:t xml:space="preserve"> </w:t>
      </w:r>
      <w:r w:rsidRPr="00036F3C">
        <w:t>The</w:t>
      </w:r>
      <w:r>
        <w:t xml:space="preserve"> </w:t>
      </w:r>
      <w:r w:rsidRPr="00036F3C">
        <w:t>same</w:t>
      </w:r>
      <w:r>
        <w:t xml:space="preserve"> </w:t>
      </w:r>
      <w:r w:rsidRPr="00036F3C">
        <w:t>penalty</w:t>
      </w:r>
      <w:r>
        <w:t xml:space="preserve"> </w:t>
      </w:r>
      <w:r w:rsidRPr="00036F3C">
        <w:t>shall</w:t>
      </w:r>
      <w:r>
        <w:t xml:space="preserve"> </w:t>
      </w:r>
      <w:r w:rsidRPr="00036F3C">
        <w:t>be</w:t>
      </w:r>
      <w:r>
        <w:t xml:space="preserve"> </w:t>
      </w:r>
      <w:r w:rsidRPr="00036F3C">
        <w:t>passed</w:t>
      </w:r>
      <w:r>
        <w:t xml:space="preserve"> </w:t>
      </w:r>
      <w:r w:rsidRPr="00036F3C">
        <w:t>on</w:t>
      </w:r>
      <w:r>
        <w:t xml:space="preserve"> </w:t>
      </w:r>
      <w:r w:rsidRPr="00036F3C">
        <w:t>those</w:t>
      </w:r>
      <w:r>
        <w:t xml:space="preserve"> </w:t>
      </w:r>
      <w:r w:rsidRPr="00036F3C">
        <w:t>found</w:t>
      </w:r>
      <w:r>
        <w:t xml:space="preserve"> </w:t>
      </w:r>
      <w:r w:rsidRPr="00036F3C">
        <w:t>guilty</w:t>
      </w:r>
      <w:r>
        <w:t xml:space="preserve"> </w:t>
      </w:r>
      <w:r w:rsidRPr="00036F3C">
        <w:t>of</w:t>
      </w:r>
      <w:r>
        <w:t xml:space="preserve"> </w:t>
      </w:r>
      <w:r w:rsidRPr="00036F3C">
        <w:t>complicity</w:t>
      </w:r>
      <w:r>
        <w:t xml:space="preserve"> </w:t>
      </w:r>
      <w:r w:rsidRPr="00036F3C">
        <w:t>in</w:t>
      </w:r>
      <w:r>
        <w:t xml:space="preserve"> </w:t>
      </w:r>
      <w:r w:rsidRPr="00036F3C">
        <w:t>the</w:t>
      </w:r>
      <w:r>
        <w:t xml:space="preserve"> </w:t>
      </w:r>
      <w:r w:rsidRPr="00036F3C">
        <w:t>crime.</w:t>
      </w:r>
      <w:r>
        <w:t xml:space="preserve"> </w:t>
      </w:r>
      <w:r w:rsidRPr="00036F3C">
        <w:t>Person(s)</w:t>
      </w:r>
      <w:r>
        <w:t xml:space="preserve"> </w:t>
      </w:r>
      <w:r w:rsidRPr="00036F3C">
        <w:t>found</w:t>
      </w:r>
      <w:r>
        <w:t xml:space="preserve"> </w:t>
      </w:r>
      <w:r w:rsidRPr="00036F3C">
        <w:t>guilty</w:t>
      </w:r>
      <w:r>
        <w:t xml:space="preserve"> </w:t>
      </w:r>
      <w:r w:rsidRPr="00036F3C">
        <w:t>of</w:t>
      </w:r>
      <w:r>
        <w:t xml:space="preserve"> </w:t>
      </w:r>
      <w:r w:rsidRPr="00036F3C">
        <w:t>abetting</w:t>
      </w:r>
      <w:r>
        <w:t xml:space="preserve"> </w:t>
      </w:r>
      <w:r w:rsidRPr="00036F3C">
        <w:t>and/or</w:t>
      </w:r>
      <w:r>
        <w:t xml:space="preserve"> </w:t>
      </w:r>
      <w:r w:rsidRPr="00036F3C">
        <w:t>privy</w:t>
      </w:r>
      <w:r>
        <w:t xml:space="preserve"> </w:t>
      </w:r>
      <w:r w:rsidRPr="00036F3C">
        <w:t>to</w:t>
      </w:r>
      <w:r>
        <w:t xml:space="preserve"> </w:t>
      </w:r>
      <w:r w:rsidRPr="00036F3C">
        <w:t>such</w:t>
      </w:r>
      <w:r>
        <w:t xml:space="preserve"> </w:t>
      </w:r>
      <w:r w:rsidRPr="00036F3C">
        <w:t>information</w:t>
      </w:r>
      <w:r>
        <w:t xml:space="preserve"> </w:t>
      </w:r>
      <w:r w:rsidRPr="00036F3C">
        <w:t>shall</w:t>
      </w:r>
      <w:r>
        <w:t xml:space="preserve"> </w:t>
      </w:r>
      <w:r w:rsidRPr="00036F3C">
        <w:t>be</w:t>
      </w:r>
      <w:r>
        <w:t xml:space="preserve"> </w:t>
      </w:r>
      <w:r w:rsidRPr="00036F3C">
        <w:t>sentenced</w:t>
      </w:r>
      <w:r>
        <w:t xml:space="preserve"> </w:t>
      </w:r>
      <w:r w:rsidRPr="00036F3C">
        <w:t>to</w:t>
      </w:r>
      <w:r>
        <w:t xml:space="preserve"> </w:t>
      </w:r>
      <w:r w:rsidRPr="00036F3C">
        <w:t>between</w:t>
      </w:r>
      <w:r>
        <w:t xml:space="preserve"> </w:t>
      </w:r>
      <w:r w:rsidRPr="00036F3C">
        <w:t>3</w:t>
      </w:r>
      <w:r>
        <w:t xml:space="preserve"> </w:t>
      </w:r>
      <w:r w:rsidRPr="00036F3C">
        <w:t>and</w:t>
      </w:r>
      <w:r>
        <w:t xml:space="preserve"> </w:t>
      </w:r>
      <w:r w:rsidRPr="00036F3C">
        <w:t>7</w:t>
      </w:r>
      <w:r>
        <w:t xml:space="preserve"> </w:t>
      </w:r>
      <w:r w:rsidRPr="00036F3C">
        <w:t>years</w:t>
      </w:r>
      <w:r>
        <w:t xml:space="preserve">’ </w:t>
      </w:r>
      <w:r w:rsidRPr="00036F3C">
        <w:t>imprisonment</w:t>
      </w:r>
      <w:r>
        <w:t xml:space="preserve"> </w:t>
      </w:r>
      <w:r w:rsidRPr="00036F3C">
        <w:t>or</w:t>
      </w:r>
      <w:r>
        <w:t xml:space="preserve"> </w:t>
      </w:r>
      <w:r w:rsidRPr="00036F3C">
        <w:t>banishment.</w:t>
      </w:r>
    </w:p>
  </w:footnote>
  <w:footnote w:id="7">
    <w:p w:rsidR="00B97A81" w:rsidRPr="00036F3C" w:rsidRDefault="00B97A81" w:rsidP="000D3068">
      <w:pPr>
        <w:pStyle w:val="FootnoteText"/>
        <w:rPr>
          <w:lang w:val="en-AU"/>
        </w:rPr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</w:r>
      <w:r w:rsidRPr="00036F3C">
        <w:rPr>
          <w:lang w:val="en-AU"/>
        </w:rPr>
        <w:t>Law</w:t>
      </w:r>
      <w:r>
        <w:rPr>
          <w:lang w:val="en-AU"/>
        </w:rPr>
        <w:t xml:space="preserve"> </w:t>
      </w:r>
      <w:r w:rsidRPr="00036F3C">
        <w:rPr>
          <w:lang w:val="en-AU"/>
        </w:rPr>
        <w:t>No.</w:t>
      </w:r>
      <w:r>
        <w:rPr>
          <w:lang w:val="en-AU"/>
        </w:rPr>
        <w:t xml:space="preserve"> </w:t>
      </w:r>
      <w:r w:rsidRPr="00036F3C">
        <w:rPr>
          <w:lang w:val="en-AU"/>
        </w:rPr>
        <w:t>14/2013.</w:t>
      </w:r>
      <w:r>
        <w:t xml:space="preserve"> </w:t>
      </w:r>
      <w:r w:rsidRPr="00036F3C">
        <w:t>Section</w:t>
      </w:r>
      <w:r>
        <w:t xml:space="preserve"> </w:t>
      </w:r>
      <w:r w:rsidRPr="00036F3C">
        <w:t>63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Law</w:t>
      </w:r>
      <w:r>
        <w:t xml:space="preserve"> </w:t>
      </w:r>
      <w:r w:rsidRPr="00036F3C">
        <w:t>provides</w:t>
      </w:r>
      <w:r>
        <w:t xml:space="preserve"> </w:t>
      </w:r>
      <w:r w:rsidRPr="00036F3C">
        <w:t>that:</w:t>
      </w:r>
      <w:r>
        <w:t xml:space="preserve"> </w:t>
      </w:r>
      <w:r>
        <w:rPr>
          <w:iCs/>
        </w:rPr>
        <w:t>“</w:t>
      </w:r>
      <w:r w:rsidRPr="00036F3C">
        <w:rPr>
          <w:iCs/>
        </w:rPr>
        <w:t>Apart</w:t>
      </w:r>
      <w:r>
        <w:rPr>
          <w:iCs/>
        </w:rPr>
        <w:t xml:space="preserve"> </w:t>
      </w:r>
      <w:r w:rsidRPr="00036F3C">
        <w:rPr>
          <w:iCs/>
        </w:rPr>
        <w:t>from</w:t>
      </w:r>
      <w:r>
        <w:rPr>
          <w:iCs/>
        </w:rPr>
        <w:t xml:space="preserve"> </w:t>
      </w:r>
      <w:r w:rsidRPr="00036F3C">
        <w:rPr>
          <w:iCs/>
        </w:rPr>
        <w:t>being</w:t>
      </w:r>
      <w:r>
        <w:rPr>
          <w:iCs/>
        </w:rPr>
        <w:t xml:space="preserve"> </w:t>
      </w:r>
      <w:r w:rsidRPr="00036F3C">
        <w:rPr>
          <w:iCs/>
        </w:rPr>
        <w:t>a</w:t>
      </w:r>
      <w:r>
        <w:rPr>
          <w:iCs/>
        </w:rPr>
        <w:t xml:space="preserve"> </w:t>
      </w:r>
      <w:r w:rsidRPr="00036F3C">
        <w:rPr>
          <w:iCs/>
        </w:rPr>
        <w:t>general</w:t>
      </w:r>
      <w:r>
        <w:rPr>
          <w:iCs/>
        </w:rPr>
        <w:t xml:space="preserve"> </w:t>
      </w:r>
      <w:r w:rsidRPr="00036F3C">
        <w:rPr>
          <w:iCs/>
        </w:rPr>
        <w:t>member</w:t>
      </w:r>
      <w:r>
        <w:rPr>
          <w:iCs/>
        </w:rPr>
        <w:t xml:space="preserve"> </w:t>
      </w:r>
      <w:r w:rsidRPr="00036F3C">
        <w:rPr>
          <w:iCs/>
        </w:rPr>
        <w:t>of</w:t>
      </w:r>
      <w:r>
        <w:rPr>
          <w:iCs/>
        </w:rPr>
        <w:t xml:space="preserve"> </w:t>
      </w:r>
      <w:r w:rsidRPr="00036F3C">
        <w:rPr>
          <w:iCs/>
        </w:rPr>
        <w:t>a</w:t>
      </w:r>
      <w:r>
        <w:rPr>
          <w:iCs/>
        </w:rPr>
        <w:t xml:space="preserve"> </w:t>
      </w:r>
      <w:r w:rsidRPr="00036F3C">
        <w:rPr>
          <w:iCs/>
        </w:rPr>
        <w:t>political</w:t>
      </w:r>
      <w:r>
        <w:rPr>
          <w:iCs/>
        </w:rPr>
        <w:t xml:space="preserve"> </w:t>
      </w:r>
      <w:r w:rsidRPr="00036F3C">
        <w:rPr>
          <w:iCs/>
        </w:rPr>
        <w:t>party</w:t>
      </w:r>
      <w:r>
        <w:rPr>
          <w:iCs/>
        </w:rPr>
        <w:t xml:space="preserve"> </w:t>
      </w:r>
      <w:r w:rsidRPr="00036F3C">
        <w:rPr>
          <w:iCs/>
        </w:rPr>
        <w:t>and/or</w:t>
      </w:r>
      <w:r>
        <w:rPr>
          <w:iCs/>
        </w:rPr>
        <w:t xml:space="preserve"> </w:t>
      </w:r>
      <w:r w:rsidRPr="00036F3C">
        <w:rPr>
          <w:iCs/>
        </w:rPr>
        <w:t>organizations,</w:t>
      </w:r>
      <w:r>
        <w:rPr>
          <w:iCs/>
        </w:rPr>
        <w:t xml:space="preserve"> </w:t>
      </w:r>
      <w:r w:rsidRPr="00036F3C">
        <w:rPr>
          <w:iCs/>
        </w:rPr>
        <w:t>a</w:t>
      </w:r>
      <w:r>
        <w:rPr>
          <w:iCs/>
        </w:rPr>
        <w:t xml:space="preserve"> </w:t>
      </w:r>
      <w:r w:rsidRPr="00036F3C">
        <w:rPr>
          <w:iCs/>
        </w:rPr>
        <w:t>person</w:t>
      </w:r>
      <w:r>
        <w:rPr>
          <w:iCs/>
        </w:rPr>
        <w:t xml:space="preserve"> </w:t>
      </w:r>
      <w:r w:rsidRPr="00036F3C">
        <w:rPr>
          <w:iCs/>
        </w:rPr>
        <w:t>convicted</w:t>
      </w:r>
      <w:r>
        <w:rPr>
          <w:iCs/>
        </w:rPr>
        <w:t xml:space="preserve"> </w:t>
      </w:r>
      <w:r w:rsidRPr="00036F3C">
        <w:rPr>
          <w:iCs/>
        </w:rPr>
        <w:t>of</w:t>
      </w:r>
      <w:r>
        <w:rPr>
          <w:iCs/>
        </w:rPr>
        <w:t xml:space="preserve"> </w:t>
      </w:r>
      <w:r w:rsidRPr="00036F3C">
        <w:rPr>
          <w:iCs/>
        </w:rPr>
        <w:t>an</w:t>
      </w:r>
      <w:r>
        <w:rPr>
          <w:iCs/>
        </w:rPr>
        <w:t xml:space="preserve"> </w:t>
      </w:r>
      <w:r w:rsidRPr="00036F3C">
        <w:rPr>
          <w:iCs/>
        </w:rPr>
        <w:t>offence</w:t>
      </w:r>
      <w:r>
        <w:rPr>
          <w:iCs/>
        </w:rPr>
        <w:t xml:space="preserve"> </w:t>
      </w:r>
      <w:r w:rsidRPr="00036F3C">
        <w:rPr>
          <w:iCs/>
        </w:rPr>
        <w:t>and</w:t>
      </w:r>
      <w:r>
        <w:rPr>
          <w:iCs/>
        </w:rPr>
        <w:t xml:space="preserve"> </w:t>
      </w:r>
      <w:r w:rsidRPr="00036F3C">
        <w:rPr>
          <w:iCs/>
        </w:rPr>
        <w:t>serving</w:t>
      </w:r>
      <w:r>
        <w:rPr>
          <w:iCs/>
        </w:rPr>
        <w:t xml:space="preserve"> </w:t>
      </w:r>
      <w:r w:rsidRPr="00036F3C">
        <w:rPr>
          <w:iCs/>
        </w:rPr>
        <w:t>a</w:t>
      </w:r>
      <w:r>
        <w:rPr>
          <w:iCs/>
        </w:rPr>
        <w:t xml:space="preserve"> </w:t>
      </w:r>
      <w:r w:rsidRPr="00036F3C">
        <w:rPr>
          <w:iCs/>
        </w:rPr>
        <w:t>jail</w:t>
      </w:r>
      <w:r>
        <w:rPr>
          <w:iCs/>
        </w:rPr>
        <w:t xml:space="preserve"> </w:t>
      </w:r>
      <w:r w:rsidRPr="00036F3C">
        <w:rPr>
          <w:iCs/>
        </w:rPr>
        <w:t>term</w:t>
      </w:r>
      <w:r>
        <w:rPr>
          <w:iCs/>
        </w:rPr>
        <w:t xml:space="preserve"> </w:t>
      </w:r>
      <w:r w:rsidRPr="00036F3C">
        <w:rPr>
          <w:iCs/>
        </w:rPr>
        <w:t>shall</w:t>
      </w:r>
      <w:r>
        <w:rPr>
          <w:iCs/>
        </w:rPr>
        <w:t xml:space="preserve"> </w:t>
      </w:r>
      <w:r w:rsidRPr="00036F3C">
        <w:rPr>
          <w:iCs/>
        </w:rPr>
        <w:t>not</w:t>
      </w:r>
      <w:r>
        <w:rPr>
          <w:iCs/>
        </w:rPr>
        <w:t xml:space="preserve"> </w:t>
      </w:r>
      <w:r w:rsidRPr="00036F3C">
        <w:rPr>
          <w:iCs/>
        </w:rPr>
        <w:t>have</w:t>
      </w:r>
      <w:r>
        <w:rPr>
          <w:iCs/>
        </w:rPr>
        <w:t xml:space="preserve"> </w:t>
      </w:r>
      <w:r w:rsidRPr="00036F3C">
        <w:rPr>
          <w:iCs/>
        </w:rPr>
        <w:t>the</w:t>
      </w:r>
      <w:r>
        <w:rPr>
          <w:iCs/>
        </w:rPr>
        <w:t xml:space="preserve"> </w:t>
      </w:r>
      <w:r w:rsidRPr="00036F3C">
        <w:rPr>
          <w:iCs/>
        </w:rPr>
        <w:t>right</w:t>
      </w:r>
      <w:r>
        <w:rPr>
          <w:iCs/>
        </w:rPr>
        <w:t xml:space="preserve"> </w:t>
      </w:r>
      <w:r w:rsidRPr="00036F3C">
        <w:rPr>
          <w:iCs/>
        </w:rPr>
        <w:t>to</w:t>
      </w:r>
      <w:r>
        <w:rPr>
          <w:iCs/>
        </w:rPr>
        <w:t xml:space="preserve"> </w:t>
      </w:r>
      <w:r w:rsidRPr="00036F3C">
        <w:rPr>
          <w:iCs/>
        </w:rPr>
        <w:t>hold</w:t>
      </w:r>
      <w:r>
        <w:rPr>
          <w:iCs/>
        </w:rPr>
        <w:t xml:space="preserve"> </w:t>
      </w:r>
      <w:r w:rsidRPr="00036F3C">
        <w:rPr>
          <w:iCs/>
        </w:rPr>
        <w:t>office</w:t>
      </w:r>
      <w:r>
        <w:rPr>
          <w:iCs/>
        </w:rPr>
        <w:t xml:space="preserve"> </w:t>
      </w:r>
      <w:r w:rsidRPr="00036F3C">
        <w:rPr>
          <w:iCs/>
        </w:rPr>
        <w:t>of</w:t>
      </w:r>
      <w:r>
        <w:rPr>
          <w:iCs/>
        </w:rPr>
        <w:t xml:space="preserve"> </w:t>
      </w:r>
      <w:r w:rsidRPr="00036F3C">
        <w:rPr>
          <w:iCs/>
        </w:rPr>
        <w:t>or</w:t>
      </w:r>
      <w:r>
        <w:rPr>
          <w:iCs/>
        </w:rPr>
        <w:t xml:space="preserve"> </w:t>
      </w:r>
      <w:r w:rsidRPr="00036F3C">
        <w:rPr>
          <w:iCs/>
        </w:rPr>
        <w:t>participate</w:t>
      </w:r>
      <w:r>
        <w:rPr>
          <w:iCs/>
        </w:rPr>
        <w:t xml:space="preserve"> </w:t>
      </w:r>
      <w:r w:rsidRPr="00036F3C">
        <w:rPr>
          <w:iCs/>
        </w:rPr>
        <w:t>in</w:t>
      </w:r>
      <w:r>
        <w:rPr>
          <w:iCs/>
        </w:rPr>
        <w:t xml:space="preserve"> </w:t>
      </w:r>
      <w:r w:rsidRPr="00036F3C">
        <w:rPr>
          <w:iCs/>
        </w:rPr>
        <w:t>any</w:t>
      </w:r>
      <w:r>
        <w:rPr>
          <w:iCs/>
        </w:rPr>
        <w:t xml:space="preserve"> </w:t>
      </w:r>
      <w:r w:rsidRPr="00036F3C">
        <w:rPr>
          <w:iCs/>
        </w:rPr>
        <w:t>activities</w:t>
      </w:r>
      <w:r>
        <w:rPr>
          <w:iCs/>
        </w:rPr>
        <w:t xml:space="preserve"> </w:t>
      </w:r>
      <w:r w:rsidRPr="00036F3C">
        <w:rPr>
          <w:iCs/>
        </w:rPr>
        <w:t>organized</w:t>
      </w:r>
      <w:r>
        <w:rPr>
          <w:iCs/>
        </w:rPr>
        <w:t xml:space="preserve"> </w:t>
      </w:r>
      <w:r w:rsidRPr="00036F3C">
        <w:rPr>
          <w:iCs/>
        </w:rPr>
        <w:t>by</w:t>
      </w:r>
      <w:r>
        <w:rPr>
          <w:iCs/>
        </w:rPr>
        <w:t xml:space="preserve"> </w:t>
      </w:r>
      <w:r w:rsidRPr="00036F3C">
        <w:rPr>
          <w:iCs/>
        </w:rPr>
        <w:t>the</w:t>
      </w:r>
      <w:r>
        <w:rPr>
          <w:iCs/>
        </w:rPr>
        <w:t xml:space="preserve"> </w:t>
      </w:r>
      <w:r w:rsidRPr="00036F3C">
        <w:rPr>
          <w:iCs/>
        </w:rPr>
        <w:t>said</w:t>
      </w:r>
      <w:r>
        <w:rPr>
          <w:iCs/>
        </w:rPr>
        <w:t xml:space="preserve"> </w:t>
      </w:r>
      <w:r w:rsidRPr="00036F3C">
        <w:rPr>
          <w:iCs/>
        </w:rPr>
        <w:t>political</w:t>
      </w:r>
      <w:r>
        <w:rPr>
          <w:iCs/>
        </w:rPr>
        <w:t xml:space="preserve"> </w:t>
      </w:r>
      <w:r w:rsidRPr="00036F3C">
        <w:rPr>
          <w:iCs/>
        </w:rPr>
        <w:t>party</w:t>
      </w:r>
      <w:r>
        <w:rPr>
          <w:iCs/>
        </w:rPr>
        <w:t xml:space="preserve"> </w:t>
      </w:r>
      <w:r w:rsidRPr="00036F3C">
        <w:rPr>
          <w:iCs/>
        </w:rPr>
        <w:t>and/or</w:t>
      </w:r>
      <w:r>
        <w:rPr>
          <w:iCs/>
        </w:rPr>
        <w:t xml:space="preserve"> </w:t>
      </w:r>
      <w:r w:rsidRPr="00036F3C">
        <w:rPr>
          <w:iCs/>
        </w:rPr>
        <w:t>organization</w:t>
      </w:r>
      <w:r>
        <w:rPr>
          <w:iCs/>
        </w:rPr>
        <w:t xml:space="preserve"> </w:t>
      </w:r>
      <w:r w:rsidRPr="00036F3C">
        <w:rPr>
          <w:iCs/>
        </w:rPr>
        <w:t>for</w:t>
      </w:r>
      <w:r>
        <w:rPr>
          <w:iCs/>
        </w:rPr>
        <w:t xml:space="preserve"> </w:t>
      </w:r>
      <w:r w:rsidRPr="00036F3C">
        <w:rPr>
          <w:iCs/>
        </w:rPr>
        <w:t>the</w:t>
      </w:r>
      <w:r>
        <w:rPr>
          <w:iCs/>
        </w:rPr>
        <w:t xml:space="preserve"> </w:t>
      </w:r>
      <w:r w:rsidRPr="00036F3C">
        <w:rPr>
          <w:iCs/>
        </w:rPr>
        <w:t>duration</w:t>
      </w:r>
      <w:r>
        <w:rPr>
          <w:iCs/>
        </w:rPr>
        <w:t xml:space="preserve"> </w:t>
      </w:r>
      <w:r w:rsidRPr="00036F3C">
        <w:rPr>
          <w:iCs/>
        </w:rPr>
        <w:t>of</w:t>
      </w:r>
      <w:r>
        <w:rPr>
          <w:iCs/>
        </w:rPr>
        <w:t xml:space="preserve"> </w:t>
      </w:r>
      <w:r w:rsidRPr="00036F3C">
        <w:rPr>
          <w:iCs/>
        </w:rPr>
        <w:t>the</w:t>
      </w:r>
      <w:r>
        <w:rPr>
          <w:iCs/>
        </w:rPr>
        <w:t xml:space="preserve"> </w:t>
      </w:r>
      <w:r w:rsidRPr="00036F3C">
        <w:rPr>
          <w:iCs/>
        </w:rPr>
        <w:t>sentence</w:t>
      </w:r>
      <w:r>
        <w:rPr>
          <w:iCs/>
        </w:rPr>
        <w:t xml:space="preserve"> </w:t>
      </w:r>
      <w:r w:rsidRPr="00036F3C">
        <w:rPr>
          <w:iCs/>
        </w:rPr>
        <w:t>served.</w:t>
      </w:r>
      <w:r>
        <w:rPr>
          <w:iCs/>
        </w:rPr>
        <w:t>”</w:t>
      </w:r>
    </w:p>
  </w:footnote>
  <w:footnote w:id="8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See</w:t>
      </w:r>
      <w:r>
        <w:t xml:space="preserve"> </w:t>
      </w:r>
      <w:r w:rsidRPr="00036F3C">
        <w:t>A/HRC/WGAD/2015/33,</w:t>
      </w:r>
      <w:r>
        <w:t xml:space="preserve"> </w:t>
      </w:r>
      <w:r w:rsidRPr="00036F3C">
        <w:t>paras.</w:t>
      </w:r>
      <w:r>
        <w:t xml:space="preserve"> </w:t>
      </w:r>
      <w:r w:rsidRPr="00036F3C">
        <w:t>97–98.</w:t>
      </w:r>
    </w:p>
  </w:footnote>
  <w:footnote w:id="9">
    <w:p w:rsidR="00B97A81" w:rsidRPr="00036F3C" w:rsidRDefault="00B97A81" w:rsidP="000D3068">
      <w:pPr>
        <w:pStyle w:val="FootnoteText"/>
        <w:rPr>
          <w:spacing w:val="-1"/>
        </w:rPr>
      </w:pPr>
      <w:r w:rsidRPr="00036F3C">
        <w:tab/>
      </w:r>
      <w:r w:rsidRPr="00744EE1">
        <w:rPr>
          <w:rStyle w:val="FootnoteReference"/>
        </w:rPr>
        <w:footnoteRef/>
      </w:r>
      <w:r w:rsidRPr="00036F3C">
        <w:rPr>
          <w:spacing w:val="-1"/>
        </w:rPr>
        <w:tab/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author</w:t>
      </w:r>
      <w:r>
        <w:rPr>
          <w:spacing w:val="-1"/>
        </w:rPr>
        <w:t xml:space="preserve"> </w:t>
      </w:r>
      <w:r w:rsidRPr="00036F3C">
        <w:rPr>
          <w:spacing w:val="-1"/>
        </w:rPr>
        <w:t>refers</w:t>
      </w:r>
      <w:r>
        <w:rPr>
          <w:spacing w:val="-1"/>
        </w:rPr>
        <w:t xml:space="preserve"> </w:t>
      </w:r>
      <w:r w:rsidRPr="00036F3C">
        <w:rPr>
          <w:spacing w:val="-1"/>
        </w:rPr>
        <w:t>to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Office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United</w:t>
      </w:r>
      <w:r>
        <w:rPr>
          <w:spacing w:val="-1"/>
        </w:rPr>
        <w:t xml:space="preserve"> </w:t>
      </w:r>
      <w:r w:rsidRPr="00036F3C">
        <w:rPr>
          <w:spacing w:val="-1"/>
        </w:rPr>
        <w:t>Nations</w:t>
      </w:r>
      <w:r>
        <w:rPr>
          <w:spacing w:val="-1"/>
        </w:rPr>
        <w:t xml:space="preserve"> </w:t>
      </w:r>
      <w:r w:rsidRPr="00036F3C">
        <w:rPr>
          <w:spacing w:val="-1"/>
        </w:rPr>
        <w:t>High</w:t>
      </w:r>
      <w:r>
        <w:rPr>
          <w:spacing w:val="-1"/>
        </w:rPr>
        <w:t xml:space="preserve"> </w:t>
      </w:r>
      <w:r w:rsidRPr="00036F3C">
        <w:rPr>
          <w:spacing w:val="-1"/>
        </w:rPr>
        <w:t>Commissioner</w:t>
      </w:r>
      <w:r>
        <w:rPr>
          <w:spacing w:val="-1"/>
        </w:rPr>
        <w:t xml:space="preserve"> </w:t>
      </w:r>
      <w:r w:rsidRPr="00036F3C">
        <w:rPr>
          <w:spacing w:val="-1"/>
        </w:rPr>
        <w:t>for</w:t>
      </w:r>
      <w:r>
        <w:rPr>
          <w:spacing w:val="-1"/>
        </w:rPr>
        <w:t xml:space="preserve"> </w:t>
      </w:r>
      <w:r w:rsidRPr="00036F3C">
        <w:rPr>
          <w:spacing w:val="-1"/>
        </w:rPr>
        <w:t>Human</w:t>
      </w:r>
      <w:r>
        <w:rPr>
          <w:spacing w:val="-1"/>
        </w:rPr>
        <w:t xml:space="preserve"> </w:t>
      </w:r>
      <w:r w:rsidRPr="00036F3C">
        <w:rPr>
          <w:spacing w:val="-1"/>
        </w:rPr>
        <w:t>Rights</w:t>
      </w:r>
      <w:r>
        <w:rPr>
          <w:spacing w:val="-1"/>
        </w:rPr>
        <w:t xml:space="preserve"> </w:t>
      </w:r>
      <w:r w:rsidRPr="00036F3C">
        <w:rPr>
          <w:spacing w:val="-1"/>
        </w:rPr>
        <w:t>(OHCHR)</w:t>
      </w:r>
      <w:r>
        <w:rPr>
          <w:spacing w:val="-1"/>
        </w:rPr>
        <w:t xml:space="preserve"> </w:t>
      </w:r>
      <w:r w:rsidRPr="00036F3C">
        <w:rPr>
          <w:spacing w:val="-1"/>
        </w:rPr>
        <w:t>press</w:t>
      </w:r>
      <w:r>
        <w:rPr>
          <w:spacing w:val="-1"/>
        </w:rPr>
        <w:t xml:space="preserve"> </w:t>
      </w:r>
      <w:r w:rsidRPr="00036F3C">
        <w:rPr>
          <w:spacing w:val="-1"/>
        </w:rPr>
        <w:t>release</w:t>
      </w:r>
      <w:r>
        <w:rPr>
          <w:spacing w:val="-1"/>
        </w:rPr>
        <w:t xml:space="preserve"> </w:t>
      </w:r>
      <w:r w:rsidRPr="00036F3C">
        <w:rPr>
          <w:spacing w:val="-1"/>
        </w:rPr>
        <w:t>entitled</w:t>
      </w:r>
      <w:r>
        <w:rPr>
          <w:spacing w:val="-1"/>
        </w:rPr>
        <w:t xml:space="preserve"> “</w:t>
      </w:r>
      <w:r w:rsidRPr="00036F3C">
        <w:rPr>
          <w:spacing w:val="-1"/>
        </w:rPr>
        <w:t>Conduct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trial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Maldives</w:t>
      </w:r>
      <w:r>
        <w:rPr>
          <w:spacing w:val="-1"/>
        </w:rPr>
        <w:t xml:space="preserve"> </w:t>
      </w:r>
      <w:r w:rsidRPr="00036F3C">
        <w:rPr>
          <w:spacing w:val="-1"/>
        </w:rPr>
        <w:t>ex-President</w:t>
      </w:r>
      <w:r>
        <w:rPr>
          <w:spacing w:val="-1"/>
        </w:rPr>
        <w:t xml:space="preserve"> </w:t>
      </w:r>
      <w:r w:rsidRPr="00036F3C">
        <w:rPr>
          <w:spacing w:val="-1"/>
        </w:rPr>
        <w:t>raises</w:t>
      </w:r>
      <w:r>
        <w:rPr>
          <w:spacing w:val="-1"/>
        </w:rPr>
        <w:t xml:space="preserve"> </w:t>
      </w:r>
      <w:r w:rsidRPr="00036F3C">
        <w:rPr>
          <w:spacing w:val="-1"/>
        </w:rPr>
        <w:t>serious</w:t>
      </w:r>
      <w:r>
        <w:rPr>
          <w:spacing w:val="-1"/>
        </w:rPr>
        <w:t xml:space="preserve"> </w:t>
      </w:r>
      <w:r w:rsidRPr="00036F3C">
        <w:rPr>
          <w:spacing w:val="-1"/>
        </w:rPr>
        <w:t>concerns</w:t>
      </w:r>
      <w:r>
        <w:rPr>
          <w:spacing w:val="-1"/>
        </w:rPr>
        <w:t>”</w:t>
      </w:r>
      <w:r w:rsidRPr="00036F3C">
        <w:rPr>
          <w:spacing w:val="-1"/>
        </w:rPr>
        <w:t>,</w:t>
      </w:r>
      <w:r>
        <w:rPr>
          <w:spacing w:val="-1"/>
        </w:rPr>
        <w:t xml:space="preserve"> </w:t>
      </w:r>
      <w:r w:rsidRPr="00036F3C">
        <w:rPr>
          <w:spacing w:val="-1"/>
        </w:rPr>
        <w:t>United</w:t>
      </w:r>
      <w:r>
        <w:rPr>
          <w:spacing w:val="-1"/>
        </w:rPr>
        <w:t xml:space="preserve"> </w:t>
      </w:r>
      <w:r w:rsidRPr="00036F3C">
        <w:rPr>
          <w:spacing w:val="-1"/>
        </w:rPr>
        <w:t>Nations</w:t>
      </w:r>
      <w:r>
        <w:rPr>
          <w:spacing w:val="-1"/>
        </w:rPr>
        <w:t xml:space="preserve"> </w:t>
      </w:r>
      <w:r w:rsidRPr="00036F3C">
        <w:rPr>
          <w:spacing w:val="-1"/>
        </w:rPr>
        <w:t>High</w:t>
      </w:r>
      <w:r>
        <w:rPr>
          <w:spacing w:val="-1"/>
        </w:rPr>
        <w:t xml:space="preserve"> </w:t>
      </w:r>
      <w:r w:rsidRPr="00036F3C">
        <w:rPr>
          <w:spacing w:val="-1"/>
        </w:rPr>
        <w:t>Commissioner</w:t>
      </w:r>
      <w:r>
        <w:rPr>
          <w:spacing w:val="-1"/>
        </w:rPr>
        <w:t xml:space="preserve"> </w:t>
      </w:r>
      <w:r w:rsidRPr="00036F3C">
        <w:rPr>
          <w:spacing w:val="-1"/>
        </w:rPr>
        <w:t>for</w:t>
      </w:r>
      <w:r>
        <w:rPr>
          <w:spacing w:val="-1"/>
        </w:rPr>
        <w:t xml:space="preserve"> </w:t>
      </w:r>
      <w:r w:rsidRPr="00036F3C">
        <w:rPr>
          <w:spacing w:val="-1"/>
        </w:rPr>
        <w:t>Human</w:t>
      </w:r>
      <w:r>
        <w:rPr>
          <w:spacing w:val="-1"/>
        </w:rPr>
        <w:t xml:space="preserve"> </w:t>
      </w:r>
      <w:r w:rsidRPr="00036F3C">
        <w:rPr>
          <w:spacing w:val="-1"/>
        </w:rPr>
        <w:t>Rights,</w:t>
      </w:r>
      <w:r>
        <w:rPr>
          <w:spacing w:val="-1"/>
        </w:rPr>
        <w:t xml:space="preserve"> </w:t>
      </w:r>
      <w:r w:rsidRPr="00036F3C">
        <w:rPr>
          <w:spacing w:val="-1"/>
        </w:rPr>
        <w:t>18</w:t>
      </w:r>
      <w:r>
        <w:rPr>
          <w:spacing w:val="-1"/>
        </w:rPr>
        <w:t xml:space="preserve"> </w:t>
      </w:r>
      <w:r w:rsidRPr="00036F3C">
        <w:rPr>
          <w:spacing w:val="-1"/>
        </w:rPr>
        <w:t>March</w:t>
      </w:r>
      <w:r>
        <w:rPr>
          <w:spacing w:val="-1"/>
        </w:rPr>
        <w:t xml:space="preserve"> </w:t>
      </w:r>
      <w:r w:rsidRPr="00036F3C">
        <w:rPr>
          <w:spacing w:val="-1"/>
        </w:rPr>
        <w:t>2015;</w:t>
      </w:r>
      <w:r>
        <w:rPr>
          <w:spacing w:val="-1"/>
        </w:rPr>
        <w:t xml:space="preserve"> </w:t>
      </w:r>
      <w:r w:rsidRPr="00036F3C">
        <w:rPr>
          <w:spacing w:val="-1"/>
        </w:rPr>
        <w:t>OHCHR,</w:t>
      </w:r>
      <w:r>
        <w:rPr>
          <w:spacing w:val="-1"/>
        </w:rPr>
        <w:t xml:space="preserve"> </w:t>
      </w:r>
      <w:r w:rsidRPr="00036F3C">
        <w:rPr>
          <w:spacing w:val="-1"/>
        </w:rPr>
        <w:t>press</w:t>
      </w:r>
      <w:r>
        <w:rPr>
          <w:spacing w:val="-1"/>
        </w:rPr>
        <w:t xml:space="preserve"> </w:t>
      </w:r>
      <w:r w:rsidRPr="00036F3C">
        <w:rPr>
          <w:spacing w:val="-1"/>
        </w:rPr>
        <w:t>briefing</w:t>
      </w:r>
      <w:r>
        <w:rPr>
          <w:spacing w:val="-1"/>
        </w:rPr>
        <w:t xml:space="preserve"> </w:t>
      </w:r>
      <w:r w:rsidRPr="00036F3C">
        <w:rPr>
          <w:spacing w:val="-1"/>
        </w:rPr>
        <w:t>note</w:t>
      </w:r>
      <w:r>
        <w:rPr>
          <w:spacing w:val="-1"/>
        </w:rPr>
        <w:t xml:space="preserve"> </w:t>
      </w:r>
      <w:r w:rsidRPr="00036F3C">
        <w:rPr>
          <w:spacing w:val="-1"/>
        </w:rPr>
        <w:t>on</w:t>
      </w:r>
      <w:r>
        <w:rPr>
          <w:spacing w:val="-1"/>
        </w:rPr>
        <w:t xml:space="preserve"> </w:t>
      </w:r>
      <w:r w:rsidRPr="00036F3C">
        <w:rPr>
          <w:spacing w:val="-1"/>
        </w:rPr>
        <w:t>Maldives,</w:t>
      </w:r>
      <w:r>
        <w:rPr>
          <w:spacing w:val="-1"/>
        </w:rPr>
        <w:t xml:space="preserve"> </w:t>
      </w:r>
      <w:r w:rsidRPr="00036F3C">
        <w:rPr>
          <w:spacing w:val="-1"/>
        </w:rPr>
        <w:t>1</w:t>
      </w:r>
      <w:r>
        <w:rPr>
          <w:spacing w:val="-1"/>
        </w:rPr>
        <w:t xml:space="preserve"> </w:t>
      </w:r>
      <w:r w:rsidRPr="00036F3C">
        <w:rPr>
          <w:spacing w:val="-1"/>
        </w:rPr>
        <w:t>May</w:t>
      </w:r>
      <w:r>
        <w:rPr>
          <w:spacing w:val="-1"/>
        </w:rPr>
        <w:t xml:space="preserve"> </w:t>
      </w:r>
      <w:r w:rsidRPr="00036F3C">
        <w:rPr>
          <w:spacing w:val="-1"/>
        </w:rPr>
        <w:t>2015,</w:t>
      </w:r>
      <w:r>
        <w:rPr>
          <w:spacing w:val="-1"/>
        </w:rPr>
        <w:t xml:space="preserve"> </w:t>
      </w:r>
      <w:r w:rsidRPr="00036F3C">
        <w:rPr>
          <w:spacing w:val="-1"/>
        </w:rPr>
        <w:t>and</w:t>
      </w:r>
      <w:r>
        <w:rPr>
          <w:spacing w:val="-1"/>
        </w:rPr>
        <w:t xml:space="preserve"> </w:t>
      </w:r>
      <w:r w:rsidRPr="00036F3C">
        <w:rPr>
          <w:spacing w:val="-1"/>
        </w:rPr>
        <w:t>see</w:t>
      </w:r>
      <w:r>
        <w:rPr>
          <w:spacing w:val="-1"/>
        </w:rPr>
        <w:t xml:space="preserve"> </w:t>
      </w:r>
      <w:r w:rsidRPr="00036F3C">
        <w:rPr>
          <w:spacing w:val="-1"/>
        </w:rPr>
        <w:t>also</w:t>
      </w:r>
      <w:r>
        <w:rPr>
          <w:spacing w:val="-1"/>
        </w:rPr>
        <w:t xml:space="preserve"> </w:t>
      </w:r>
      <w:r w:rsidRPr="00036F3C">
        <w:rPr>
          <w:spacing w:val="-1"/>
        </w:rPr>
        <w:t>https://news.un.org/en/story/2015/05/497632-maldives-un-rights-office-says-trial-former-president-politicized-unfair;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press</w:t>
      </w:r>
      <w:r>
        <w:rPr>
          <w:spacing w:val="-1"/>
        </w:rPr>
        <w:t xml:space="preserve"> </w:t>
      </w:r>
      <w:r w:rsidRPr="00036F3C">
        <w:rPr>
          <w:spacing w:val="-1"/>
        </w:rPr>
        <w:t>release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Special</w:t>
      </w:r>
      <w:r>
        <w:rPr>
          <w:spacing w:val="-1"/>
        </w:rPr>
        <w:t xml:space="preserve"> </w:t>
      </w:r>
      <w:r w:rsidRPr="00036F3C">
        <w:rPr>
          <w:spacing w:val="-1"/>
        </w:rPr>
        <w:t>Rapporteur</w:t>
      </w:r>
      <w:r>
        <w:rPr>
          <w:spacing w:val="-1"/>
        </w:rPr>
        <w:t xml:space="preserve"> </w:t>
      </w:r>
      <w:r w:rsidRPr="00036F3C">
        <w:rPr>
          <w:spacing w:val="-1"/>
        </w:rPr>
        <w:t>on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independence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judges</w:t>
      </w:r>
      <w:r>
        <w:rPr>
          <w:spacing w:val="-1"/>
        </w:rPr>
        <w:t xml:space="preserve"> </w:t>
      </w:r>
      <w:r w:rsidRPr="00036F3C">
        <w:rPr>
          <w:spacing w:val="-1"/>
        </w:rPr>
        <w:t>and</w:t>
      </w:r>
      <w:r>
        <w:rPr>
          <w:spacing w:val="-1"/>
        </w:rPr>
        <w:t xml:space="preserve"> </w:t>
      </w:r>
      <w:r w:rsidRPr="00036F3C">
        <w:rPr>
          <w:spacing w:val="-1"/>
        </w:rPr>
        <w:t>lawyers,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19</w:t>
      </w:r>
      <w:r>
        <w:rPr>
          <w:spacing w:val="-1"/>
        </w:rPr>
        <w:t xml:space="preserve"> </w:t>
      </w:r>
      <w:r w:rsidRPr="00036F3C">
        <w:rPr>
          <w:spacing w:val="-1"/>
        </w:rPr>
        <w:t>March</w:t>
      </w:r>
      <w:r>
        <w:rPr>
          <w:spacing w:val="-1"/>
        </w:rPr>
        <w:t xml:space="preserve"> </w:t>
      </w:r>
      <w:r w:rsidRPr="00036F3C">
        <w:rPr>
          <w:spacing w:val="-1"/>
        </w:rPr>
        <w:t>2015</w:t>
      </w:r>
      <w:r w:rsidRPr="00036F3C">
        <w:rPr>
          <w:color w:val="000000"/>
          <w:spacing w:val="-1"/>
          <w:shd w:val="clear" w:color="auto" w:fill="FFFFFF"/>
        </w:rPr>
        <w:t>;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European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Parliament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resolutions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No.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2015/2662(RSP)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of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30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April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2015,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and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No.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2015/3017(RSP)</w:t>
      </w:r>
      <w:r w:rsidRPr="00036F3C">
        <w:rPr>
          <w:spacing w:val="-1"/>
        </w:rPr>
        <w:t>;</w:t>
      </w:r>
      <w:r>
        <w:rPr>
          <w:spacing w:val="-1"/>
        </w:rPr>
        <w:t xml:space="preserve"> </w:t>
      </w:r>
      <w:r w:rsidRPr="00036F3C">
        <w:rPr>
          <w:spacing w:val="-1"/>
        </w:rPr>
        <w:t>European</w:t>
      </w:r>
      <w:r>
        <w:rPr>
          <w:spacing w:val="-1"/>
        </w:rPr>
        <w:t xml:space="preserve"> </w:t>
      </w:r>
      <w:r w:rsidRPr="00036F3C">
        <w:rPr>
          <w:spacing w:val="-1"/>
        </w:rPr>
        <w:t>Union,</w:t>
      </w:r>
      <w:r>
        <w:rPr>
          <w:spacing w:val="-1"/>
        </w:rPr>
        <w:t xml:space="preserve"> </w:t>
      </w:r>
      <w:r w:rsidRPr="00036F3C">
        <w:rPr>
          <w:spacing w:val="-1"/>
        </w:rPr>
        <w:t>statement</w:t>
      </w:r>
      <w:r>
        <w:rPr>
          <w:spacing w:val="-1"/>
        </w:rPr>
        <w:t xml:space="preserve"> </w:t>
      </w:r>
      <w:r w:rsidRPr="00036F3C">
        <w:rPr>
          <w:spacing w:val="-1"/>
        </w:rPr>
        <w:t>by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Spokesperson</w:t>
      </w:r>
      <w:r>
        <w:rPr>
          <w:spacing w:val="-1"/>
        </w:rPr>
        <w:t xml:space="preserve"> </w:t>
      </w:r>
      <w:r w:rsidRPr="00036F3C">
        <w:rPr>
          <w:spacing w:val="-1"/>
        </w:rPr>
        <w:t>on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conviction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former</w:t>
      </w:r>
      <w:r>
        <w:rPr>
          <w:spacing w:val="-1"/>
        </w:rPr>
        <w:t xml:space="preserve"> </w:t>
      </w:r>
      <w:r w:rsidRPr="00036F3C">
        <w:rPr>
          <w:spacing w:val="-1"/>
        </w:rPr>
        <w:t>President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Maldives</w:t>
      </w:r>
      <w:r>
        <w:rPr>
          <w:spacing w:val="-1"/>
        </w:rPr>
        <w:t xml:space="preserve"> </w:t>
      </w:r>
      <w:r w:rsidRPr="00036F3C">
        <w:rPr>
          <w:spacing w:val="-1"/>
        </w:rPr>
        <w:t>Mohamed</w:t>
      </w:r>
      <w:r>
        <w:rPr>
          <w:spacing w:val="-1"/>
        </w:rPr>
        <w:t xml:space="preserve"> </w:t>
      </w:r>
      <w:r w:rsidRPr="00036F3C">
        <w:rPr>
          <w:spacing w:val="-1"/>
        </w:rPr>
        <w:t>Nasheed,</w:t>
      </w:r>
      <w:r>
        <w:rPr>
          <w:spacing w:val="-1"/>
        </w:rPr>
        <w:t xml:space="preserve"> </w:t>
      </w:r>
      <w:r w:rsidRPr="00036F3C">
        <w:rPr>
          <w:spacing w:val="-1"/>
        </w:rPr>
        <w:t>14</w:t>
      </w:r>
      <w:r>
        <w:rPr>
          <w:spacing w:val="-1"/>
        </w:rPr>
        <w:t xml:space="preserve"> </w:t>
      </w:r>
      <w:r w:rsidRPr="00036F3C">
        <w:rPr>
          <w:spacing w:val="-1"/>
        </w:rPr>
        <w:t>March</w:t>
      </w:r>
      <w:r>
        <w:rPr>
          <w:spacing w:val="-1"/>
        </w:rPr>
        <w:t xml:space="preserve"> </w:t>
      </w:r>
      <w:r w:rsidRPr="00036F3C">
        <w:rPr>
          <w:spacing w:val="-1"/>
        </w:rPr>
        <w:t>2015;</w:t>
      </w:r>
      <w:r>
        <w:rPr>
          <w:spacing w:val="-1"/>
        </w:rPr>
        <w:t xml:space="preserve"> </w:t>
      </w:r>
      <w:r w:rsidRPr="00036F3C">
        <w:rPr>
          <w:spacing w:val="-1"/>
        </w:rPr>
        <w:t>Transparency</w:t>
      </w:r>
      <w:r>
        <w:rPr>
          <w:spacing w:val="-1"/>
        </w:rPr>
        <w:t xml:space="preserve"> </w:t>
      </w:r>
      <w:r w:rsidRPr="00036F3C">
        <w:rPr>
          <w:spacing w:val="-1"/>
        </w:rPr>
        <w:t>International,</w:t>
      </w:r>
      <w:r>
        <w:rPr>
          <w:spacing w:val="-1"/>
        </w:rPr>
        <w:t xml:space="preserve"> “</w:t>
      </w:r>
      <w:r w:rsidRPr="00036F3C">
        <w:rPr>
          <w:spacing w:val="-1"/>
        </w:rPr>
        <w:t>Transparency</w:t>
      </w:r>
      <w:r>
        <w:rPr>
          <w:spacing w:val="-1"/>
        </w:rPr>
        <w:t xml:space="preserve"> </w:t>
      </w:r>
      <w:r w:rsidRPr="00036F3C">
        <w:rPr>
          <w:spacing w:val="-1"/>
        </w:rPr>
        <w:t>Maldives</w:t>
      </w:r>
      <w:r>
        <w:rPr>
          <w:spacing w:val="-1"/>
        </w:rPr>
        <w:t xml:space="preserve"> </w:t>
      </w:r>
      <w:r w:rsidRPr="00036F3C">
        <w:rPr>
          <w:spacing w:val="-1"/>
        </w:rPr>
        <w:t>concerned</w:t>
      </w:r>
      <w:r>
        <w:rPr>
          <w:spacing w:val="-1"/>
        </w:rPr>
        <w:t xml:space="preserve"> </w:t>
      </w:r>
      <w:r w:rsidRPr="00036F3C">
        <w:rPr>
          <w:spacing w:val="-1"/>
        </w:rPr>
        <w:t>about</w:t>
      </w:r>
      <w:r>
        <w:rPr>
          <w:spacing w:val="-1"/>
        </w:rPr>
        <w:t xml:space="preserve"> </w:t>
      </w:r>
      <w:r w:rsidRPr="00036F3C">
        <w:rPr>
          <w:spacing w:val="-1"/>
        </w:rPr>
        <w:t>legal</w:t>
      </w:r>
      <w:r>
        <w:rPr>
          <w:spacing w:val="-1"/>
        </w:rPr>
        <w:t xml:space="preserve"> </w:t>
      </w:r>
      <w:r w:rsidRPr="00036F3C">
        <w:rPr>
          <w:spacing w:val="-1"/>
        </w:rPr>
        <w:t>process</w:t>
      </w:r>
      <w:r>
        <w:rPr>
          <w:spacing w:val="-1"/>
        </w:rPr>
        <w:t xml:space="preserve"> </w:t>
      </w:r>
      <w:r w:rsidRPr="00036F3C">
        <w:rPr>
          <w:spacing w:val="-1"/>
        </w:rPr>
        <w:t>for</w:t>
      </w:r>
      <w:r>
        <w:rPr>
          <w:spacing w:val="-1"/>
        </w:rPr>
        <w:t xml:space="preserve"> </w:t>
      </w:r>
      <w:r w:rsidRPr="00036F3C">
        <w:rPr>
          <w:spacing w:val="-1"/>
        </w:rPr>
        <w:t>trial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former</w:t>
      </w:r>
      <w:r>
        <w:rPr>
          <w:spacing w:val="-1"/>
        </w:rPr>
        <w:t xml:space="preserve"> </w:t>
      </w:r>
      <w:r w:rsidRPr="00036F3C">
        <w:rPr>
          <w:spacing w:val="-1"/>
        </w:rPr>
        <w:t>President</w:t>
      </w:r>
      <w:r>
        <w:rPr>
          <w:spacing w:val="-1"/>
        </w:rPr>
        <w:t xml:space="preserve"> </w:t>
      </w:r>
      <w:r w:rsidRPr="00036F3C">
        <w:rPr>
          <w:spacing w:val="-1"/>
        </w:rPr>
        <w:t>Nasheed</w:t>
      </w:r>
      <w:r>
        <w:rPr>
          <w:spacing w:val="-1"/>
        </w:rPr>
        <w:t>”</w:t>
      </w:r>
      <w:r w:rsidRPr="00036F3C">
        <w:rPr>
          <w:spacing w:val="-1"/>
        </w:rPr>
        <w:t>,</w:t>
      </w:r>
      <w:r>
        <w:rPr>
          <w:spacing w:val="-1"/>
        </w:rPr>
        <w:t xml:space="preserve"> </w:t>
      </w:r>
      <w:r w:rsidRPr="00036F3C">
        <w:rPr>
          <w:spacing w:val="-1"/>
        </w:rPr>
        <w:t>16</w:t>
      </w:r>
      <w:r>
        <w:rPr>
          <w:spacing w:val="-1"/>
        </w:rPr>
        <w:t xml:space="preserve"> </w:t>
      </w:r>
      <w:r w:rsidRPr="00036F3C">
        <w:rPr>
          <w:spacing w:val="-1"/>
        </w:rPr>
        <w:t>March</w:t>
      </w:r>
      <w:r>
        <w:rPr>
          <w:spacing w:val="-1"/>
        </w:rPr>
        <w:t xml:space="preserve"> </w:t>
      </w:r>
      <w:r w:rsidRPr="00036F3C">
        <w:rPr>
          <w:spacing w:val="-1"/>
        </w:rPr>
        <w:t>2015;</w:t>
      </w:r>
      <w:r>
        <w:rPr>
          <w:spacing w:val="-1"/>
        </w:rPr>
        <w:t xml:space="preserve"> </w:t>
      </w:r>
      <w:r w:rsidRPr="00036F3C">
        <w:rPr>
          <w:spacing w:val="-1"/>
        </w:rPr>
        <w:t>and</w:t>
      </w:r>
      <w:r>
        <w:rPr>
          <w:spacing w:val="-1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International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Commission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of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Jurists,</w:t>
      </w:r>
      <w:r>
        <w:rPr>
          <w:color w:val="000000"/>
          <w:spacing w:val="-1"/>
          <w:shd w:val="clear" w:color="auto" w:fill="FFFFFF"/>
        </w:rPr>
        <w:t xml:space="preserve"> “</w:t>
      </w:r>
      <w:r w:rsidRPr="00036F3C">
        <w:rPr>
          <w:color w:val="000000"/>
          <w:spacing w:val="-1"/>
          <w:shd w:val="clear" w:color="auto" w:fill="FFFFFF"/>
        </w:rPr>
        <w:t>Maldives: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grossly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unfair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Nasheed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conviction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highlights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judicial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politicization</w:t>
      </w:r>
      <w:r>
        <w:rPr>
          <w:color w:val="000000"/>
          <w:spacing w:val="-1"/>
          <w:shd w:val="clear" w:color="auto" w:fill="FFFFFF"/>
        </w:rPr>
        <w:t>”</w:t>
      </w:r>
      <w:r w:rsidRPr="00036F3C">
        <w:rPr>
          <w:color w:val="000000"/>
          <w:spacing w:val="-1"/>
          <w:shd w:val="clear" w:color="auto" w:fill="FFFFFF"/>
        </w:rPr>
        <w:t>,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26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March</w:t>
      </w:r>
      <w:r>
        <w:rPr>
          <w:color w:val="000000"/>
          <w:spacing w:val="-1"/>
          <w:shd w:val="clear" w:color="auto" w:fill="FFFFFF"/>
        </w:rPr>
        <w:t xml:space="preserve"> </w:t>
      </w:r>
      <w:r w:rsidRPr="00036F3C">
        <w:rPr>
          <w:color w:val="000000"/>
          <w:spacing w:val="-1"/>
          <w:shd w:val="clear" w:color="auto" w:fill="FFFFFF"/>
        </w:rPr>
        <w:t>2015</w:t>
      </w:r>
      <w:r w:rsidRPr="00036F3C">
        <w:rPr>
          <w:spacing w:val="-1"/>
        </w:rPr>
        <w:t>.</w:t>
      </w:r>
    </w:p>
  </w:footnote>
  <w:footnote w:id="10">
    <w:p w:rsidR="00B97A81" w:rsidRPr="00036F3C" w:rsidRDefault="00B97A81" w:rsidP="000D3068">
      <w:pPr>
        <w:pStyle w:val="FootnoteText"/>
        <w:rPr>
          <w:lang w:val="en-AU"/>
        </w:rPr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</w:t>
      </w:r>
      <w:r w:rsidRPr="00036F3C">
        <w:rPr>
          <w:lang w:val="en-AU"/>
        </w:rPr>
        <w:t>he</w:t>
      </w:r>
      <w:r>
        <w:rPr>
          <w:lang w:val="en-AU"/>
        </w:rPr>
        <w:t xml:space="preserve"> </w:t>
      </w:r>
      <w:r w:rsidRPr="00036F3C">
        <w:rPr>
          <w:lang w:val="en-AU"/>
        </w:rPr>
        <w:t>author</w:t>
      </w:r>
      <w:r>
        <w:rPr>
          <w:lang w:val="en-AU"/>
        </w:rPr>
        <w:t xml:space="preserve"> </w:t>
      </w:r>
      <w:r w:rsidRPr="00036F3C">
        <w:rPr>
          <w:lang w:val="en-AU"/>
        </w:rPr>
        <w:t>refers</w:t>
      </w:r>
      <w:r>
        <w:rPr>
          <w:lang w:val="en-AU"/>
        </w:rPr>
        <w:t xml:space="preserve"> </w:t>
      </w:r>
      <w:r w:rsidRPr="00036F3C">
        <w:rPr>
          <w:lang w:val="en-AU"/>
        </w:rPr>
        <w:t>to</w:t>
      </w:r>
      <w:r>
        <w:rPr>
          <w:lang w:val="en-AU"/>
        </w:rPr>
        <w:t xml:space="preserve"> </w:t>
      </w:r>
      <w:r w:rsidRPr="00036F3C">
        <w:rPr>
          <w:lang w:val="en-AU"/>
        </w:rPr>
        <w:t>A/HRC/23/43/Add.3,</w:t>
      </w:r>
      <w:r>
        <w:rPr>
          <w:lang w:val="en-AU"/>
        </w:rPr>
        <w:t xml:space="preserve"> </w:t>
      </w:r>
      <w:r w:rsidRPr="00036F3C">
        <w:rPr>
          <w:lang w:val="en-AU"/>
        </w:rPr>
        <w:t>paras.</w:t>
      </w:r>
      <w:r>
        <w:rPr>
          <w:lang w:val="en-AU"/>
        </w:rPr>
        <w:t xml:space="preserve"> </w:t>
      </w:r>
      <w:r w:rsidRPr="00036F3C">
        <w:rPr>
          <w:lang w:val="en-AU"/>
        </w:rPr>
        <w:t>39,</w:t>
      </w:r>
      <w:r>
        <w:rPr>
          <w:lang w:val="en-AU"/>
        </w:rPr>
        <w:t xml:space="preserve"> </w:t>
      </w:r>
      <w:r w:rsidRPr="00036F3C">
        <w:rPr>
          <w:lang w:val="en-AU"/>
        </w:rPr>
        <w:t>41</w:t>
      </w:r>
      <w:r>
        <w:rPr>
          <w:lang w:val="en-AU"/>
        </w:rPr>
        <w:t xml:space="preserve"> </w:t>
      </w:r>
      <w:r w:rsidRPr="00036F3C">
        <w:rPr>
          <w:lang w:val="en-AU"/>
        </w:rPr>
        <w:t>and</w:t>
      </w:r>
      <w:r>
        <w:rPr>
          <w:lang w:val="en-AU"/>
        </w:rPr>
        <w:t xml:space="preserve"> </w:t>
      </w:r>
      <w:r w:rsidRPr="00036F3C">
        <w:rPr>
          <w:lang w:val="en-AU"/>
        </w:rPr>
        <w:t>44;</w:t>
      </w:r>
      <w:r>
        <w:rPr>
          <w:lang w:val="en-AU"/>
        </w:rPr>
        <w:t xml:space="preserve"> </w:t>
      </w:r>
      <w:r w:rsidRPr="00036F3C">
        <w:rPr>
          <w:lang w:val="en-AU"/>
        </w:rPr>
        <w:t>and</w:t>
      </w:r>
      <w:r>
        <w:rPr>
          <w:lang w:val="en-AU"/>
        </w:rPr>
        <w:t xml:space="preserve"> </w:t>
      </w:r>
      <w:r w:rsidRPr="00036F3C">
        <w:rPr>
          <w:lang w:val="en-AU"/>
        </w:rPr>
        <w:t>CCPR/C/MDV/CO/1,</w:t>
      </w:r>
      <w:r>
        <w:rPr>
          <w:lang w:val="en-AU"/>
        </w:rPr>
        <w:t xml:space="preserve"> </w:t>
      </w:r>
      <w:r w:rsidRPr="00036F3C">
        <w:rPr>
          <w:lang w:val="en-AU"/>
        </w:rPr>
        <w:t>para.</w:t>
      </w:r>
      <w:r>
        <w:rPr>
          <w:lang w:val="en-AU"/>
        </w:rPr>
        <w:t xml:space="preserve"> </w:t>
      </w:r>
      <w:r w:rsidRPr="00036F3C">
        <w:rPr>
          <w:lang w:val="en-AU"/>
        </w:rPr>
        <w:t>20.</w:t>
      </w:r>
    </w:p>
  </w:footnote>
  <w:footnote w:id="11">
    <w:p w:rsidR="00B97A81" w:rsidRPr="00036F3C" w:rsidRDefault="00B97A81" w:rsidP="000D3068">
      <w:pPr>
        <w:pStyle w:val="FootnoteText"/>
        <w:rPr>
          <w:spacing w:val="-1"/>
          <w:lang w:val="en-AU"/>
        </w:rPr>
      </w:pPr>
      <w:r w:rsidRPr="00036F3C">
        <w:tab/>
      </w:r>
      <w:r w:rsidRPr="00744EE1">
        <w:rPr>
          <w:rStyle w:val="FootnoteReference"/>
        </w:rPr>
        <w:footnoteRef/>
      </w:r>
      <w:r w:rsidRPr="00036F3C">
        <w:rPr>
          <w:spacing w:val="-1"/>
        </w:rPr>
        <w:tab/>
        <w:t>See</w:t>
      </w:r>
      <w:r>
        <w:rPr>
          <w:spacing w:val="-1"/>
        </w:rPr>
        <w:t xml:space="preserve"> </w:t>
      </w:r>
      <w:r w:rsidRPr="00036F3C">
        <w:rPr>
          <w:spacing w:val="-1"/>
        </w:rPr>
        <w:t>A/HRC/23/43/Add.3</w:t>
      </w:r>
      <w:r w:rsidRPr="00036F3C">
        <w:rPr>
          <w:spacing w:val="-1"/>
          <w:lang w:val="en-AU"/>
        </w:rPr>
        <w:t>,</w:t>
      </w:r>
      <w:r>
        <w:rPr>
          <w:spacing w:val="-1"/>
          <w:lang w:val="en-AU"/>
        </w:rPr>
        <w:t xml:space="preserve"> </w:t>
      </w:r>
      <w:r w:rsidRPr="00036F3C">
        <w:rPr>
          <w:spacing w:val="-1"/>
          <w:lang w:val="en-AU"/>
        </w:rPr>
        <w:t>paras.</w:t>
      </w:r>
      <w:r>
        <w:rPr>
          <w:spacing w:val="-1"/>
          <w:lang w:val="en-AU"/>
        </w:rPr>
        <w:t xml:space="preserve"> </w:t>
      </w:r>
      <w:r w:rsidRPr="00036F3C">
        <w:rPr>
          <w:spacing w:val="-1"/>
          <w:lang w:val="en-AU"/>
        </w:rPr>
        <w:t>30–32.</w:t>
      </w:r>
    </w:p>
  </w:footnote>
  <w:footnote w:id="12">
    <w:p w:rsidR="00B97A81" w:rsidRPr="00036F3C" w:rsidRDefault="00B97A81" w:rsidP="000D3068">
      <w:pPr>
        <w:pStyle w:val="FootnoteText"/>
        <w:rPr>
          <w:lang w:val="en-AU"/>
        </w:rPr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author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t>the</w:t>
      </w:r>
      <w:r>
        <w:t xml:space="preserve"> </w:t>
      </w:r>
      <w:r w:rsidRPr="00036F3C">
        <w:t>report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Bar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 </w:t>
      </w:r>
      <w:r w:rsidRPr="00036F3C">
        <w:t>Committee</w:t>
      </w:r>
      <w:r>
        <w:t xml:space="preserve"> </w:t>
      </w:r>
      <w:r w:rsidRPr="00036F3C">
        <w:t>of</w:t>
      </w:r>
      <w:r>
        <w:t xml:space="preserve"> </w:t>
      </w:r>
      <w:r w:rsidRPr="00036F3C">
        <w:t>England</w:t>
      </w:r>
      <w:r>
        <w:t xml:space="preserve"> </w:t>
      </w:r>
      <w:r w:rsidRPr="00036F3C">
        <w:t>and</w:t>
      </w:r>
      <w:r>
        <w:t xml:space="preserve"> </w:t>
      </w:r>
      <w:r w:rsidRPr="00036F3C">
        <w:t>Wales</w:t>
      </w:r>
      <w:r>
        <w:t xml:space="preserve"> </w:t>
      </w:r>
      <w:r w:rsidRPr="00036F3C">
        <w:t>entitled</w:t>
      </w:r>
      <w:r>
        <w:t xml:space="preserve"> “</w:t>
      </w:r>
      <w:r w:rsidRPr="00036F3C">
        <w:t>The</w:t>
      </w:r>
      <w:r>
        <w:t xml:space="preserve"> </w:t>
      </w:r>
      <w:r w:rsidRPr="00036F3C">
        <w:t>prosecution</w:t>
      </w:r>
      <w:r>
        <w:t xml:space="preserve"> </w:t>
      </w:r>
      <w:r w:rsidRPr="00036F3C">
        <w:t>of</w:t>
      </w:r>
      <w:r>
        <w:t xml:space="preserve"> </w:t>
      </w:r>
      <w:r w:rsidRPr="00036F3C">
        <w:t>former</w:t>
      </w:r>
      <w:r>
        <w:t xml:space="preserve"> </w:t>
      </w:r>
      <w:r w:rsidRPr="00036F3C">
        <w:t>Maldivian</w:t>
      </w:r>
      <w:r>
        <w:t xml:space="preserve"> </w:t>
      </w:r>
      <w:r w:rsidRPr="00036F3C">
        <w:t>president</w:t>
      </w:r>
      <w:r>
        <w:t xml:space="preserve"> </w:t>
      </w:r>
      <w:r w:rsidRPr="00036F3C">
        <w:t>Mohamed</w:t>
      </w:r>
      <w:r>
        <w:t xml:space="preserve"> </w:t>
      </w:r>
      <w:r w:rsidRPr="00036F3C">
        <w:t>Nasheed:</w:t>
      </w:r>
      <w:r>
        <w:t xml:space="preserve"> </w:t>
      </w:r>
      <w:r w:rsidRPr="00036F3C">
        <w:t>report</w:t>
      </w:r>
      <w:r>
        <w:t xml:space="preserve"> </w:t>
      </w:r>
      <w:r w:rsidRPr="00036F3C">
        <w:t>of</w:t>
      </w:r>
      <w:r>
        <w:t xml:space="preserve"> </w:t>
      </w:r>
      <w:r w:rsidRPr="00036F3C">
        <w:t>BHRC</w:t>
      </w:r>
      <w:r>
        <w:t>’</w:t>
      </w:r>
      <w:r w:rsidRPr="00036F3C">
        <w:t>s</w:t>
      </w:r>
      <w:r>
        <w:t xml:space="preserve"> </w:t>
      </w:r>
      <w:r w:rsidRPr="00036F3C">
        <w:t>second</w:t>
      </w:r>
      <w:r>
        <w:t xml:space="preserve"> </w:t>
      </w:r>
      <w:r w:rsidRPr="00036F3C">
        <w:t>independent</w:t>
      </w:r>
      <w:r>
        <w:t xml:space="preserve"> </w:t>
      </w:r>
      <w:r w:rsidRPr="00036F3C">
        <w:t>legal</w:t>
      </w:r>
      <w:r>
        <w:t xml:space="preserve"> </w:t>
      </w:r>
      <w:r w:rsidRPr="00036F3C">
        <w:t>observation</w:t>
      </w:r>
      <w:r>
        <w:t xml:space="preserve"> </w:t>
      </w:r>
      <w:r w:rsidRPr="00036F3C">
        <w:t>mission</w:t>
      </w:r>
      <w:r>
        <w:t xml:space="preserve">” </w:t>
      </w:r>
      <w:r w:rsidRPr="00036F3C">
        <w:t>(see</w:t>
      </w:r>
      <w:r>
        <w:t xml:space="preserve"> </w:t>
      </w:r>
      <w:r w:rsidRPr="00036F3C">
        <w:t>footnote</w:t>
      </w:r>
      <w:r>
        <w:t xml:space="preserve"> </w:t>
      </w:r>
      <w:r w:rsidRPr="00036F3C">
        <w:t>1</w:t>
      </w:r>
      <w:r>
        <w:t xml:space="preserve"> </w:t>
      </w:r>
      <w:r w:rsidRPr="00036F3C">
        <w:t>above).</w:t>
      </w:r>
    </w:p>
  </w:footnote>
  <w:footnote w:id="13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See</w:t>
      </w:r>
      <w:r>
        <w:t xml:space="preserve"> </w:t>
      </w:r>
      <w:r w:rsidRPr="00036F3C">
        <w:t>footnote</w:t>
      </w:r>
      <w:r>
        <w:t xml:space="preserve"> </w:t>
      </w:r>
      <w:r w:rsidRPr="00036F3C">
        <w:t>7</w:t>
      </w:r>
      <w:r>
        <w:t xml:space="preserve"> </w:t>
      </w:r>
      <w:r w:rsidRPr="00036F3C">
        <w:t>above.</w:t>
      </w:r>
    </w:p>
  </w:footnote>
  <w:footnote w:id="14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author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</w:t>
      </w:r>
      <w:r>
        <w:t xml:space="preserve"> </w:t>
      </w:r>
      <w:r w:rsidRPr="00036F3C">
        <w:t>opinion</w:t>
      </w:r>
      <w:r>
        <w:t xml:space="preserve"> </w:t>
      </w:r>
      <w:r w:rsidRPr="00036F3C"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para.</w:t>
      </w:r>
      <w:r>
        <w:t xml:space="preserve"> </w:t>
      </w:r>
      <w:r w:rsidRPr="00036F3C">
        <w:t>97.</w:t>
      </w:r>
    </w:p>
  </w:footnote>
  <w:footnote w:id="15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author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t>the</w:t>
      </w:r>
      <w:r>
        <w:t xml:space="preserve"> </w:t>
      </w:r>
      <w:r w:rsidRPr="00036F3C">
        <w:t>Committee</w:t>
      </w:r>
      <w:r>
        <w:t>’</w:t>
      </w:r>
      <w:r w:rsidRPr="00036F3C">
        <w:t>s</w:t>
      </w:r>
      <w:r>
        <w:t xml:space="preserve"> </w:t>
      </w:r>
      <w:r w:rsidRPr="00036F3C">
        <w:t>general</w:t>
      </w:r>
      <w:r>
        <w:t xml:space="preserve"> </w:t>
      </w:r>
      <w:r w:rsidRPr="00036F3C">
        <w:t>comment</w:t>
      </w:r>
      <w:r>
        <w:t xml:space="preserve"> </w:t>
      </w:r>
      <w:r w:rsidRPr="00036F3C">
        <w:t>No.</w:t>
      </w:r>
      <w:r>
        <w:t xml:space="preserve"> </w:t>
      </w:r>
      <w:r w:rsidRPr="00036F3C">
        <w:t>25,</w:t>
      </w:r>
      <w:r>
        <w:t xml:space="preserve"> </w:t>
      </w:r>
      <w:r w:rsidRPr="00036F3C">
        <w:t>paras.</w:t>
      </w:r>
      <w:r>
        <w:t xml:space="preserve"> </w:t>
      </w:r>
      <w:r w:rsidRPr="00036F3C">
        <w:t>4</w:t>
      </w:r>
      <w:r>
        <w:t xml:space="preserve"> </w:t>
      </w:r>
      <w:r w:rsidRPr="00036F3C">
        <w:t>and</w:t>
      </w:r>
      <w:r>
        <w:t xml:space="preserve"> </w:t>
      </w:r>
      <w:r w:rsidRPr="00036F3C">
        <w:t>15.</w:t>
      </w:r>
    </w:p>
  </w:footnote>
  <w:footnote w:id="16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Article</w:t>
      </w:r>
      <w:r>
        <w:t xml:space="preserve"> </w:t>
      </w:r>
      <w:r w:rsidRPr="00036F3C">
        <w:t>109</w:t>
      </w:r>
      <w:r>
        <w:t xml:space="preserve"> </w:t>
      </w:r>
      <w:r w:rsidRPr="00036F3C">
        <w:t>(f)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Constitution.</w:t>
      </w:r>
    </w:p>
  </w:footnote>
  <w:footnote w:id="17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author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</w:t>
      </w:r>
      <w:r>
        <w:t xml:space="preserve"> </w:t>
      </w:r>
      <w:r w:rsidRPr="00036F3C">
        <w:t>opinion</w:t>
      </w:r>
      <w:r>
        <w:t xml:space="preserve"> </w:t>
      </w:r>
      <w:r w:rsidRPr="00036F3C"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paras.</w:t>
      </w:r>
      <w:r>
        <w:t xml:space="preserve"> </w:t>
      </w:r>
      <w:r w:rsidRPr="00036F3C">
        <w:t>94–95</w:t>
      </w:r>
      <w:r>
        <w:t xml:space="preserve"> </w:t>
      </w:r>
      <w:r w:rsidRPr="00036F3C">
        <w:t>and</w:t>
      </w:r>
      <w:r>
        <w:t xml:space="preserve"> </w:t>
      </w:r>
      <w:r w:rsidRPr="00036F3C">
        <w:t>110–112.</w:t>
      </w:r>
    </w:p>
  </w:footnote>
  <w:footnote w:id="18">
    <w:p w:rsidR="00B97A81" w:rsidRPr="00036F3C" w:rsidRDefault="00B97A81" w:rsidP="004616B2">
      <w:pPr>
        <w:pStyle w:val="FootnoteText"/>
        <w:rPr>
          <w:spacing w:val="-1"/>
        </w:rPr>
      </w:pPr>
      <w:r w:rsidRPr="00036F3C">
        <w:rPr>
          <w:spacing w:val="-1"/>
        </w:rPr>
        <w:tab/>
      </w:r>
      <w:r w:rsidRPr="00744EE1">
        <w:rPr>
          <w:rStyle w:val="FootnoteReference"/>
        </w:rPr>
        <w:footnoteRef/>
      </w:r>
      <w:r w:rsidRPr="00036F3C">
        <w:rPr>
          <w:spacing w:val="-1"/>
        </w:rPr>
        <w:tab/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author</w:t>
      </w:r>
      <w:r>
        <w:rPr>
          <w:spacing w:val="-1"/>
        </w:rPr>
        <w:t xml:space="preserve"> </w:t>
      </w:r>
      <w:r w:rsidRPr="00036F3C">
        <w:rPr>
          <w:spacing w:val="-1"/>
        </w:rPr>
        <w:t>refers</w:t>
      </w:r>
      <w:r>
        <w:rPr>
          <w:spacing w:val="-1"/>
        </w:rPr>
        <w:t xml:space="preserve"> </w:t>
      </w:r>
      <w:r w:rsidRPr="00036F3C">
        <w:rPr>
          <w:spacing w:val="-1"/>
        </w:rPr>
        <w:t>to</w:t>
      </w:r>
      <w:r>
        <w:rPr>
          <w:spacing w:val="-1"/>
        </w:rPr>
        <w:t xml:space="preserve"> </w:t>
      </w:r>
      <w:r w:rsidRPr="00036F3C"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Detention,</w:t>
      </w:r>
      <w:r>
        <w:t xml:space="preserve"> </w:t>
      </w:r>
      <w:r w:rsidRPr="00036F3C">
        <w:t>opinion</w:t>
      </w:r>
      <w:r>
        <w:rPr>
          <w:spacing w:val="-1"/>
        </w:rPr>
        <w:t xml:space="preserve"> </w:t>
      </w:r>
      <w:r w:rsidRPr="00036F3C">
        <w:rPr>
          <w:spacing w:val="-1"/>
        </w:rPr>
        <w:t>No.</w:t>
      </w:r>
      <w:r>
        <w:rPr>
          <w:spacing w:val="-1"/>
        </w:rPr>
        <w:t xml:space="preserve"> </w:t>
      </w:r>
      <w:r w:rsidRPr="00036F3C">
        <w:rPr>
          <w:spacing w:val="-1"/>
        </w:rPr>
        <w:t>33/2015,</w:t>
      </w:r>
      <w:r>
        <w:rPr>
          <w:spacing w:val="-1"/>
        </w:rPr>
        <w:t xml:space="preserve"> </w:t>
      </w:r>
      <w:r w:rsidRPr="00036F3C">
        <w:rPr>
          <w:spacing w:val="-1"/>
        </w:rPr>
        <w:t>para.</w:t>
      </w:r>
      <w:r>
        <w:rPr>
          <w:spacing w:val="-1"/>
        </w:rPr>
        <w:t xml:space="preserve"> </w:t>
      </w:r>
      <w:r w:rsidRPr="00036F3C">
        <w:rPr>
          <w:spacing w:val="-1"/>
        </w:rPr>
        <w:t>98;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>
        <w:rPr>
          <w:spacing w:val="-1"/>
        </w:rPr>
        <w:br/>
      </w:r>
      <w:r w:rsidRPr="00036F3C">
        <w:rPr>
          <w:spacing w:val="-1"/>
        </w:rPr>
        <w:t>13</w:t>
      </w:r>
      <w:r>
        <w:rPr>
          <w:spacing w:val="-1"/>
        </w:rPr>
        <w:t xml:space="preserve"> </w:t>
      </w:r>
      <w:r w:rsidRPr="00036F3C">
        <w:rPr>
          <w:spacing w:val="-1"/>
        </w:rPr>
        <w:t>March</w:t>
      </w:r>
      <w:r>
        <w:rPr>
          <w:spacing w:val="-1"/>
        </w:rPr>
        <w:t xml:space="preserve"> </w:t>
      </w:r>
      <w:r w:rsidRPr="00036F3C">
        <w:rPr>
          <w:spacing w:val="-1"/>
        </w:rPr>
        <w:t>2015</w:t>
      </w:r>
      <w:r>
        <w:rPr>
          <w:spacing w:val="-1"/>
        </w:rPr>
        <w:t xml:space="preserve"> </w:t>
      </w:r>
      <w:r w:rsidRPr="00036F3C">
        <w:rPr>
          <w:spacing w:val="-1"/>
        </w:rPr>
        <w:t>statement</w:t>
      </w:r>
      <w:r>
        <w:rPr>
          <w:spacing w:val="-1"/>
        </w:rPr>
        <w:t xml:space="preserve"> </w:t>
      </w:r>
      <w:r w:rsidRPr="00036F3C">
        <w:rPr>
          <w:spacing w:val="-1"/>
        </w:rPr>
        <w:t>on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trial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former</w:t>
      </w:r>
      <w:r>
        <w:rPr>
          <w:spacing w:val="-1"/>
        </w:rPr>
        <w:t xml:space="preserve"> </w:t>
      </w:r>
      <w:r w:rsidRPr="00036F3C">
        <w:rPr>
          <w:spacing w:val="-1"/>
        </w:rPr>
        <w:t>President</w:t>
      </w:r>
      <w:r>
        <w:rPr>
          <w:spacing w:val="-1"/>
        </w:rPr>
        <w:t xml:space="preserve"> </w:t>
      </w:r>
      <w:r w:rsidRPr="00036F3C">
        <w:rPr>
          <w:spacing w:val="-1"/>
        </w:rPr>
        <w:t>Nasheed</w:t>
      </w:r>
      <w:r>
        <w:rPr>
          <w:spacing w:val="-1"/>
        </w:rPr>
        <w:t xml:space="preserve"> </w:t>
      </w:r>
      <w:r w:rsidRPr="00036F3C">
        <w:rPr>
          <w:spacing w:val="-1"/>
        </w:rPr>
        <w:t>in</w:t>
      </w:r>
      <w:r>
        <w:rPr>
          <w:spacing w:val="-1"/>
        </w:rPr>
        <w:t xml:space="preserve"> </w:t>
      </w:r>
      <w:r w:rsidRPr="00036F3C">
        <w:rPr>
          <w:spacing w:val="-1"/>
        </w:rPr>
        <w:t>Maldives,</w:t>
      </w:r>
      <w:r>
        <w:rPr>
          <w:spacing w:val="-1"/>
        </w:rPr>
        <w:t xml:space="preserve"> </w:t>
      </w:r>
      <w:r w:rsidRPr="00036F3C">
        <w:rPr>
          <w:spacing w:val="-1"/>
        </w:rPr>
        <w:t>by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spokesperson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Department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State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the</w:t>
      </w:r>
      <w:r>
        <w:rPr>
          <w:spacing w:val="-1"/>
        </w:rPr>
        <w:t xml:space="preserve"> </w:t>
      </w:r>
      <w:r w:rsidRPr="00036F3C">
        <w:rPr>
          <w:spacing w:val="-1"/>
        </w:rPr>
        <w:t>United</w:t>
      </w:r>
      <w:r>
        <w:rPr>
          <w:spacing w:val="-1"/>
        </w:rPr>
        <w:t xml:space="preserve"> </w:t>
      </w:r>
      <w:r w:rsidRPr="00036F3C">
        <w:rPr>
          <w:spacing w:val="-1"/>
        </w:rPr>
        <w:t>States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America;</w:t>
      </w:r>
      <w:r>
        <w:rPr>
          <w:spacing w:val="-1"/>
        </w:rPr>
        <w:t xml:space="preserve"> </w:t>
      </w:r>
      <w:r w:rsidRPr="00036F3C">
        <w:rPr>
          <w:spacing w:val="-1"/>
        </w:rPr>
        <w:t>and</w:t>
      </w:r>
      <w:r>
        <w:rPr>
          <w:spacing w:val="-1"/>
        </w:rPr>
        <w:t xml:space="preserve"> </w:t>
      </w:r>
      <w:r w:rsidRPr="00036F3C">
        <w:rPr>
          <w:spacing w:val="-1"/>
        </w:rPr>
        <w:t>Amnesty</w:t>
      </w:r>
      <w:r>
        <w:rPr>
          <w:spacing w:val="-1"/>
        </w:rPr>
        <w:t xml:space="preserve"> </w:t>
      </w:r>
      <w:r w:rsidRPr="00036F3C">
        <w:rPr>
          <w:spacing w:val="-1"/>
        </w:rPr>
        <w:t>International,</w:t>
      </w:r>
      <w:r>
        <w:rPr>
          <w:spacing w:val="-1"/>
        </w:rPr>
        <w:t xml:space="preserve"> “</w:t>
      </w:r>
      <w:r w:rsidRPr="00036F3C">
        <w:rPr>
          <w:spacing w:val="-1"/>
        </w:rPr>
        <w:t>Maldives:</w:t>
      </w:r>
      <w:r>
        <w:rPr>
          <w:spacing w:val="-1"/>
        </w:rPr>
        <w:t xml:space="preserve"> </w:t>
      </w:r>
      <w:r w:rsidRPr="00036F3C">
        <w:rPr>
          <w:spacing w:val="-1"/>
        </w:rPr>
        <w:t>13</w:t>
      </w:r>
      <w:r>
        <w:rPr>
          <w:spacing w:val="-1"/>
        </w:rPr>
        <w:t xml:space="preserve"> </w:t>
      </w:r>
      <w:r w:rsidRPr="00036F3C">
        <w:rPr>
          <w:spacing w:val="-1"/>
        </w:rPr>
        <w:t>year</w:t>
      </w:r>
      <w:r>
        <w:rPr>
          <w:spacing w:val="-1"/>
        </w:rPr>
        <w:t xml:space="preserve"> </w:t>
      </w:r>
      <w:r w:rsidRPr="00036F3C">
        <w:rPr>
          <w:spacing w:val="-1"/>
        </w:rPr>
        <w:t>sentence</w:t>
      </w:r>
      <w:r>
        <w:rPr>
          <w:spacing w:val="-1"/>
        </w:rPr>
        <w:t xml:space="preserve"> </w:t>
      </w:r>
      <w:r w:rsidRPr="00036F3C">
        <w:rPr>
          <w:spacing w:val="-1"/>
        </w:rPr>
        <w:t>for</w:t>
      </w:r>
      <w:r>
        <w:rPr>
          <w:spacing w:val="-1"/>
        </w:rPr>
        <w:t xml:space="preserve"> </w:t>
      </w:r>
      <w:r w:rsidRPr="00036F3C">
        <w:rPr>
          <w:spacing w:val="-1"/>
        </w:rPr>
        <w:t>former</w:t>
      </w:r>
      <w:r>
        <w:rPr>
          <w:spacing w:val="-1"/>
        </w:rPr>
        <w:t xml:space="preserve"> </w:t>
      </w:r>
      <w:r w:rsidRPr="00036F3C">
        <w:rPr>
          <w:spacing w:val="-1"/>
        </w:rPr>
        <w:t>president</w:t>
      </w:r>
      <w:r>
        <w:rPr>
          <w:spacing w:val="-1"/>
        </w:rPr>
        <w:t xml:space="preserve"> ‘</w:t>
      </w:r>
      <w:r w:rsidRPr="00036F3C">
        <w:rPr>
          <w:spacing w:val="-1"/>
        </w:rPr>
        <w:t>a</w:t>
      </w:r>
      <w:r>
        <w:rPr>
          <w:spacing w:val="-1"/>
        </w:rPr>
        <w:t xml:space="preserve"> </w:t>
      </w:r>
      <w:r w:rsidRPr="00036F3C">
        <w:rPr>
          <w:spacing w:val="-1"/>
        </w:rPr>
        <w:t>travesty</w:t>
      </w:r>
      <w:r>
        <w:rPr>
          <w:spacing w:val="-1"/>
        </w:rPr>
        <w:t xml:space="preserve"> </w:t>
      </w:r>
      <w:r w:rsidRPr="00036F3C">
        <w:rPr>
          <w:spacing w:val="-1"/>
        </w:rPr>
        <w:t>of</w:t>
      </w:r>
      <w:r>
        <w:rPr>
          <w:spacing w:val="-1"/>
        </w:rPr>
        <w:t xml:space="preserve"> </w:t>
      </w:r>
      <w:r w:rsidRPr="00036F3C">
        <w:rPr>
          <w:spacing w:val="-1"/>
        </w:rPr>
        <w:t>justice</w:t>
      </w:r>
      <w:r>
        <w:rPr>
          <w:spacing w:val="-1"/>
        </w:rPr>
        <w:t>’”</w:t>
      </w:r>
      <w:r w:rsidRPr="00036F3C">
        <w:rPr>
          <w:spacing w:val="-1"/>
        </w:rPr>
        <w:t>,</w:t>
      </w:r>
      <w:r>
        <w:rPr>
          <w:spacing w:val="-1"/>
        </w:rPr>
        <w:t xml:space="preserve"> </w:t>
      </w:r>
      <w:r w:rsidRPr="00036F3C">
        <w:rPr>
          <w:spacing w:val="-1"/>
        </w:rPr>
        <w:t>13</w:t>
      </w:r>
      <w:r>
        <w:rPr>
          <w:spacing w:val="-1"/>
        </w:rPr>
        <w:t xml:space="preserve"> </w:t>
      </w:r>
      <w:r w:rsidRPr="00036F3C">
        <w:rPr>
          <w:spacing w:val="-1"/>
        </w:rPr>
        <w:t>March</w:t>
      </w:r>
      <w:r>
        <w:rPr>
          <w:spacing w:val="-1"/>
        </w:rPr>
        <w:t xml:space="preserve"> </w:t>
      </w:r>
      <w:r w:rsidRPr="00036F3C">
        <w:rPr>
          <w:spacing w:val="-1"/>
        </w:rPr>
        <w:t>2015.</w:t>
      </w:r>
    </w:p>
  </w:footnote>
  <w:footnote w:id="19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author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rPr>
          <w:i/>
        </w:rPr>
        <w:t>Dissanayake</w:t>
      </w:r>
      <w:r>
        <w:rPr>
          <w:i/>
        </w:rPr>
        <w:t xml:space="preserve"> </w:t>
      </w:r>
      <w:r w:rsidRPr="00036F3C">
        <w:rPr>
          <w:i/>
        </w:rPr>
        <w:t>v.</w:t>
      </w:r>
      <w:r>
        <w:rPr>
          <w:i/>
        </w:rPr>
        <w:t xml:space="preserve"> </w:t>
      </w:r>
      <w:r w:rsidRPr="00036F3C">
        <w:rPr>
          <w:i/>
        </w:rPr>
        <w:t>Sri</w:t>
      </w:r>
      <w:r>
        <w:rPr>
          <w:i/>
        </w:rPr>
        <w:t xml:space="preserve"> </w:t>
      </w:r>
      <w:r w:rsidRPr="00036F3C">
        <w:rPr>
          <w:i/>
        </w:rPr>
        <w:t>Lanka</w:t>
      </w:r>
      <w:r>
        <w:t xml:space="preserve"> </w:t>
      </w:r>
      <w:r w:rsidRPr="00036F3C">
        <w:t>(CCPR/C/93/D/1373/2005),</w:t>
      </w:r>
      <w:r>
        <w:t xml:space="preserve"> </w:t>
      </w:r>
      <w:r w:rsidRPr="00036F3C">
        <w:t>para.</w:t>
      </w:r>
      <w:r>
        <w:t xml:space="preserve"> </w:t>
      </w:r>
      <w:r w:rsidRPr="00036F3C">
        <w:t>8.5;</w:t>
      </w:r>
      <w:r>
        <w:t xml:space="preserve"> </w:t>
      </w:r>
      <w:r w:rsidRPr="00036F3C">
        <w:rPr>
          <w:i/>
        </w:rPr>
        <w:t>Chiiko</w:t>
      </w:r>
      <w:r>
        <w:rPr>
          <w:i/>
        </w:rPr>
        <w:t xml:space="preserve"> </w:t>
      </w:r>
      <w:r w:rsidRPr="00036F3C">
        <w:rPr>
          <w:i/>
        </w:rPr>
        <w:t>Bwalya</w:t>
      </w:r>
      <w:r>
        <w:rPr>
          <w:i/>
        </w:rPr>
        <w:t xml:space="preserve"> </w:t>
      </w:r>
      <w:r w:rsidRPr="00036F3C">
        <w:rPr>
          <w:i/>
        </w:rPr>
        <w:t>v.</w:t>
      </w:r>
      <w:r>
        <w:rPr>
          <w:i/>
        </w:rPr>
        <w:t xml:space="preserve"> </w:t>
      </w:r>
      <w:r w:rsidRPr="00036F3C">
        <w:rPr>
          <w:i/>
        </w:rPr>
        <w:t>Zambia</w:t>
      </w:r>
      <w:r>
        <w:rPr>
          <w:i/>
        </w:rPr>
        <w:t xml:space="preserve"> </w:t>
      </w:r>
      <w:r w:rsidRPr="00036F3C">
        <w:t>(CCPR/C/48/D/314/1988);</w:t>
      </w:r>
      <w:r>
        <w:t xml:space="preserve"> </w:t>
      </w:r>
      <w:r w:rsidRPr="00036F3C">
        <w:t>and</w:t>
      </w:r>
      <w:r>
        <w:t xml:space="preserve"> </w:t>
      </w:r>
      <w:r w:rsidRPr="00036F3C">
        <w:rPr>
          <w:i/>
        </w:rPr>
        <w:t>Sudalenko</w:t>
      </w:r>
      <w:r>
        <w:rPr>
          <w:i/>
        </w:rPr>
        <w:t xml:space="preserve"> </w:t>
      </w:r>
      <w:r w:rsidRPr="00036F3C">
        <w:rPr>
          <w:i/>
        </w:rPr>
        <w:t>v.</w:t>
      </w:r>
      <w:r>
        <w:rPr>
          <w:i/>
        </w:rPr>
        <w:t xml:space="preserve"> </w:t>
      </w:r>
      <w:r w:rsidRPr="00036F3C">
        <w:rPr>
          <w:i/>
        </w:rPr>
        <w:t>Belarus</w:t>
      </w:r>
      <w:r>
        <w:rPr>
          <w:i/>
        </w:rPr>
        <w:t xml:space="preserve"> </w:t>
      </w:r>
      <w:r w:rsidRPr="00036F3C">
        <w:rPr>
          <w:iCs/>
        </w:rPr>
        <w:t>(</w:t>
      </w:r>
      <w:r w:rsidRPr="00036F3C">
        <w:t>CCPR/C/100/D/1354/2005).</w:t>
      </w:r>
    </w:p>
  </w:footnote>
  <w:footnote w:id="20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author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</w:t>
      </w:r>
      <w:r>
        <w:t xml:space="preserve"> </w:t>
      </w:r>
      <w:r w:rsidRPr="00036F3C">
        <w:t>opinion</w:t>
      </w:r>
      <w:r>
        <w:t xml:space="preserve"> </w:t>
      </w:r>
      <w:r w:rsidRPr="00036F3C"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para.</w:t>
      </w:r>
      <w:r>
        <w:t xml:space="preserve"> </w:t>
      </w:r>
      <w:r w:rsidRPr="00036F3C">
        <w:t>97.</w:t>
      </w:r>
      <w:r>
        <w:t xml:space="preserve"> </w:t>
      </w:r>
      <w:r w:rsidRPr="00036F3C">
        <w:t>See</w:t>
      </w:r>
      <w:r>
        <w:t xml:space="preserve"> </w:t>
      </w:r>
      <w:r w:rsidRPr="00036F3C">
        <w:t>also</w:t>
      </w:r>
      <w:r>
        <w:t xml:space="preserve"> </w:t>
      </w:r>
      <w:r w:rsidRPr="00036F3C">
        <w:t>footnote</w:t>
      </w:r>
      <w:r>
        <w:t xml:space="preserve"> </w:t>
      </w:r>
      <w:r w:rsidRPr="00036F3C">
        <w:t>7</w:t>
      </w:r>
      <w:r>
        <w:t xml:space="preserve"> </w:t>
      </w:r>
      <w:r w:rsidRPr="00036F3C">
        <w:t>above.</w:t>
      </w:r>
    </w:p>
  </w:footnote>
  <w:footnote w:id="21">
    <w:p w:rsidR="00B97A81" w:rsidRPr="00036F3C" w:rsidRDefault="00B97A81" w:rsidP="000D3068">
      <w:pPr>
        <w:pStyle w:val="FootnoteText"/>
        <w:rPr>
          <w:rFonts w:ascii="Garamond" w:hAnsi="Garamond"/>
        </w:rPr>
      </w:pPr>
      <w:r w:rsidRPr="00036F3C">
        <w:rPr>
          <w:rFonts w:ascii="Garamond" w:hAnsi="Garamond"/>
        </w:rPr>
        <w:tab/>
      </w:r>
      <w:r w:rsidRPr="00744EE1">
        <w:rPr>
          <w:rStyle w:val="FootnoteReference"/>
        </w:rPr>
        <w:footnoteRef/>
      </w:r>
      <w:r w:rsidRPr="00036F3C">
        <w:rPr>
          <w:rFonts w:ascii="Garamond" w:hAnsi="Garamond"/>
        </w:rPr>
        <w:tab/>
      </w:r>
      <w:r w:rsidRPr="00036F3C">
        <w:t>The</w:t>
      </w:r>
      <w:r>
        <w:t xml:space="preserve"> </w:t>
      </w:r>
      <w:r w:rsidRPr="00036F3C">
        <w:t>State</w:t>
      </w:r>
      <w:r>
        <w:t xml:space="preserve"> </w:t>
      </w:r>
      <w:r w:rsidRPr="00036F3C">
        <w:t>party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t>the</w:t>
      </w:r>
      <w:r>
        <w:t xml:space="preserve"> </w:t>
      </w:r>
      <w:r w:rsidRPr="00036F3C">
        <w:t>report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Commission</w:t>
      </w:r>
      <w:r>
        <w:t xml:space="preserve"> </w:t>
      </w:r>
      <w:r w:rsidRPr="00036F3C">
        <w:t>of</w:t>
      </w:r>
      <w:r>
        <w:t xml:space="preserve"> </w:t>
      </w:r>
      <w:r w:rsidRPr="00036F3C">
        <w:t>National</w:t>
      </w:r>
      <w:r>
        <w:t xml:space="preserve"> </w:t>
      </w:r>
      <w:r w:rsidRPr="00036F3C">
        <w:t>Inquiry,</w:t>
      </w:r>
      <w:r>
        <w:t xml:space="preserve"> </w:t>
      </w:r>
      <w:r w:rsidRPr="00036F3C">
        <w:t>of</w:t>
      </w:r>
      <w:r>
        <w:t xml:space="preserve"> </w:t>
      </w:r>
      <w:r w:rsidRPr="00036F3C">
        <w:t>30</w:t>
      </w:r>
      <w:r>
        <w:t xml:space="preserve"> </w:t>
      </w:r>
      <w:r w:rsidRPr="00036F3C">
        <w:t>August</w:t>
      </w:r>
      <w:r>
        <w:t xml:space="preserve"> </w:t>
      </w:r>
      <w:r w:rsidRPr="00036F3C">
        <w:t>2012,</w:t>
      </w:r>
      <w:r>
        <w:t xml:space="preserve"> </w:t>
      </w:r>
      <w:r w:rsidRPr="00036F3C">
        <w:t>and</w:t>
      </w:r>
      <w:r>
        <w:t xml:space="preserve"> </w:t>
      </w:r>
      <w:r w:rsidRPr="00036F3C">
        <w:t>maintains</w:t>
      </w:r>
      <w:r>
        <w:t xml:space="preserve"> </w:t>
      </w:r>
      <w:r w:rsidRPr="00036F3C">
        <w:t>that</w:t>
      </w:r>
      <w:r>
        <w:t xml:space="preserve"> </w:t>
      </w:r>
      <w:r w:rsidRPr="00036F3C">
        <w:t>its</w:t>
      </w:r>
      <w:r>
        <w:t xml:space="preserve"> </w:t>
      </w:r>
      <w:r w:rsidRPr="00036F3C">
        <w:t>findings</w:t>
      </w:r>
      <w:r>
        <w:t xml:space="preserve"> </w:t>
      </w:r>
      <w:r w:rsidRPr="00036F3C">
        <w:t>were</w:t>
      </w:r>
      <w:r>
        <w:t xml:space="preserve"> </w:t>
      </w:r>
      <w:r w:rsidRPr="00036F3C">
        <w:t>endorsed</w:t>
      </w:r>
      <w:r>
        <w:t xml:space="preserve"> </w:t>
      </w:r>
      <w:r w:rsidRPr="00036F3C">
        <w:t>by</w:t>
      </w:r>
      <w:r>
        <w:t xml:space="preserve"> </w:t>
      </w:r>
      <w:r w:rsidRPr="00036F3C">
        <w:t>the</w:t>
      </w:r>
      <w:r>
        <w:t xml:space="preserve"> </w:t>
      </w:r>
      <w:r w:rsidRPr="00036F3C">
        <w:t>Commonwealth,</w:t>
      </w:r>
      <w:r>
        <w:t xml:space="preserve"> </w:t>
      </w:r>
      <w:r w:rsidRPr="00036F3C">
        <w:t>the</w:t>
      </w:r>
      <w:r>
        <w:t xml:space="preserve"> </w:t>
      </w:r>
      <w:r w:rsidRPr="00036F3C">
        <w:t>European</w:t>
      </w:r>
      <w:r>
        <w:t xml:space="preserve"> </w:t>
      </w:r>
      <w:r w:rsidRPr="00036F3C">
        <w:t>Union,</w:t>
      </w:r>
      <w:r>
        <w:t xml:space="preserve"> </w:t>
      </w:r>
      <w:r w:rsidRPr="00036F3C">
        <w:t>the</w:t>
      </w:r>
      <w:r>
        <w:t xml:space="preserve"> </w:t>
      </w:r>
      <w:r w:rsidRPr="00036F3C">
        <w:t>Foreign</w:t>
      </w:r>
      <w:r>
        <w:t xml:space="preserve"> </w:t>
      </w:r>
      <w:r w:rsidRPr="00036F3C">
        <w:t>and</w:t>
      </w:r>
      <w:r>
        <w:t xml:space="preserve"> </w:t>
      </w:r>
      <w:r w:rsidRPr="00036F3C">
        <w:t>Commonwealth</w:t>
      </w:r>
      <w:r>
        <w:t xml:space="preserve"> </w:t>
      </w:r>
      <w:r w:rsidRPr="00036F3C">
        <w:t>Office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United</w:t>
      </w:r>
      <w:r>
        <w:t xml:space="preserve"> </w:t>
      </w:r>
      <w:r w:rsidRPr="00036F3C">
        <w:t>Kingdom,</w:t>
      </w:r>
      <w:r>
        <w:t xml:space="preserve"> </w:t>
      </w:r>
      <w:r w:rsidRPr="00036F3C">
        <w:t>and</w:t>
      </w:r>
      <w:r>
        <w:t xml:space="preserve"> </w:t>
      </w:r>
      <w:r w:rsidRPr="00036F3C">
        <w:t>the</w:t>
      </w:r>
      <w:r>
        <w:t xml:space="preserve"> </w:t>
      </w:r>
      <w:r w:rsidRPr="00036F3C">
        <w:t>Department</w:t>
      </w:r>
      <w:r>
        <w:t xml:space="preserve"> </w:t>
      </w:r>
      <w:r w:rsidRPr="00036F3C">
        <w:t>of</w:t>
      </w:r>
      <w:r>
        <w:t xml:space="preserve"> </w:t>
      </w:r>
      <w:r w:rsidRPr="00036F3C">
        <w:t>State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United</w:t>
      </w:r>
      <w:r>
        <w:t xml:space="preserve"> </w:t>
      </w:r>
      <w:r w:rsidRPr="00036F3C">
        <w:t>States.</w:t>
      </w:r>
    </w:p>
  </w:footnote>
  <w:footnote w:id="22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State</w:t>
      </w:r>
      <w:r>
        <w:t xml:space="preserve"> </w:t>
      </w:r>
      <w:r w:rsidRPr="00036F3C">
        <w:t>party</w:t>
      </w:r>
      <w:r>
        <w:t xml:space="preserve"> </w:t>
      </w:r>
      <w:r w:rsidRPr="00036F3C">
        <w:t>refers,</w:t>
      </w:r>
      <w:r>
        <w:t xml:space="preserve"> </w:t>
      </w:r>
      <w:r w:rsidRPr="00036F3C">
        <w:t>inter</w:t>
      </w:r>
      <w:r>
        <w:t xml:space="preserve"> </w:t>
      </w:r>
      <w:r w:rsidRPr="00036F3C">
        <w:t>alia,</w:t>
      </w:r>
      <w:r>
        <w:t xml:space="preserve"> </w:t>
      </w:r>
      <w:r w:rsidRPr="00036F3C">
        <w:t>to</w:t>
      </w:r>
      <w:r>
        <w:t xml:space="preserve"> </w:t>
      </w:r>
      <w:r w:rsidRPr="00036F3C">
        <w:t>an</w:t>
      </w:r>
      <w:r>
        <w:t xml:space="preserve"> </w:t>
      </w:r>
      <w:r w:rsidRPr="00036F3C">
        <w:t>interview</w:t>
      </w:r>
      <w:r>
        <w:t xml:space="preserve"> </w:t>
      </w:r>
      <w:r w:rsidRPr="00036F3C">
        <w:t>given</w:t>
      </w:r>
      <w:r>
        <w:t xml:space="preserve"> </w:t>
      </w:r>
      <w:r w:rsidRPr="00036F3C">
        <w:t>to</w:t>
      </w:r>
      <w:r>
        <w:t xml:space="preserve"> </w:t>
      </w:r>
      <w:r w:rsidRPr="00036F3C">
        <w:t>BBC</w:t>
      </w:r>
      <w:r>
        <w:t xml:space="preserve"> </w:t>
      </w:r>
      <w:r w:rsidRPr="00036F3C">
        <w:t>during</w:t>
      </w:r>
      <w:r>
        <w:t xml:space="preserve"> </w:t>
      </w:r>
      <w:r w:rsidRPr="00036F3C">
        <w:t>the</w:t>
      </w:r>
      <w:r>
        <w:t xml:space="preserve"> </w:t>
      </w:r>
      <w:r w:rsidRPr="00036F3C">
        <w:rPr>
          <w:i/>
          <w:iCs/>
        </w:rPr>
        <w:t>Hardtalk</w:t>
      </w:r>
      <w:r>
        <w:rPr>
          <w:i/>
          <w:iCs/>
        </w:rPr>
        <w:t xml:space="preserve"> </w:t>
      </w:r>
      <w:r w:rsidRPr="00036F3C">
        <w:t>programme,</w:t>
      </w:r>
      <w:r>
        <w:t xml:space="preserve"> </w:t>
      </w:r>
      <w:r w:rsidRPr="00036F3C">
        <w:t>broadcast</w:t>
      </w:r>
      <w:r>
        <w:t xml:space="preserve"> </w:t>
      </w:r>
      <w:r w:rsidRPr="00036F3C">
        <w:t>on</w:t>
      </w:r>
      <w:r>
        <w:t xml:space="preserve"> </w:t>
      </w:r>
      <w:r w:rsidRPr="00036F3C">
        <w:t>14</w:t>
      </w:r>
      <w:r>
        <w:t xml:space="preserve"> </w:t>
      </w:r>
      <w:r w:rsidRPr="00036F3C">
        <w:t>February</w:t>
      </w:r>
      <w:r>
        <w:t xml:space="preserve"> </w:t>
      </w:r>
      <w:r w:rsidRPr="00036F3C">
        <w:t>2012.</w:t>
      </w:r>
    </w:p>
  </w:footnote>
  <w:footnote w:id="23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The</w:t>
      </w:r>
      <w:r>
        <w:t xml:space="preserve"> </w:t>
      </w:r>
      <w:r w:rsidRPr="00036F3C">
        <w:t>State</w:t>
      </w:r>
      <w:r>
        <w:t xml:space="preserve"> </w:t>
      </w:r>
      <w:r w:rsidRPr="00036F3C">
        <w:t>party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rPr>
          <w:i/>
          <w:iCs/>
        </w:rPr>
        <w:t>Wright</w:t>
      </w:r>
      <w:r>
        <w:rPr>
          <w:i/>
          <w:iCs/>
        </w:rPr>
        <w:t xml:space="preserve"> </w:t>
      </w:r>
      <w:r w:rsidRPr="00036F3C">
        <w:rPr>
          <w:i/>
          <w:iCs/>
        </w:rPr>
        <w:t>v.</w:t>
      </w:r>
      <w:r>
        <w:rPr>
          <w:i/>
          <w:iCs/>
        </w:rPr>
        <w:t xml:space="preserve"> </w:t>
      </w:r>
      <w:r w:rsidRPr="00036F3C">
        <w:rPr>
          <w:i/>
          <w:iCs/>
        </w:rPr>
        <w:t>Jamaica</w:t>
      </w:r>
      <w:r>
        <w:t xml:space="preserve"> </w:t>
      </w:r>
      <w:r w:rsidRPr="00036F3C">
        <w:t>(CCPR/C/45/D/349/1989),</w:t>
      </w:r>
      <w:r>
        <w:t xml:space="preserve"> </w:t>
      </w:r>
      <w:r w:rsidRPr="00036F3C">
        <w:t>para.</w:t>
      </w:r>
      <w:r>
        <w:t xml:space="preserve"> </w:t>
      </w:r>
      <w:r w:rsidRPr="00036F3C">
        <w:t>8.4.</w:t>
      </w:r>
    </w:p>
  </w:footnote>
  <w:footnote w:id="24">
    <w:p w:rsidR="00B97A81" w:rsidRPr="00036F3C" w:rsidRDefault="00B97A81" w:rsidP="004F772C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It</w:t>
      </w:r>
      <w:r>
        <w:t xml:space="preserve"> </w:t>
      </w:r>
      <w:r w:rsidRPr="00036F3C">
        <w:t>is</w:t>
      </w:r>
      <w:r>
        <w:t xml:space="preserve"> </w:t>
      </w:r>
      <w:r w:rsidRPr="00036F3C">
        <w:t>stated</w:t>
      </w:r>
      <w:r>
        <w:t xml:space="preserve"> </w:t>
      </w:r>
      <w:r w:rsidRPr="00036F3C">
        <w:t>in</w:t>
      </w:r>
      <w:r>
        <w:t xml:space="preserve"> </w:t>
      </w:r>
      <w:r w:rsidR="004F772C">
        <w:t>article</w:t>
      </w:r>
      <w:r>
        <w:t xml:space="preserve"> </w:t>
      </w:r>
      <w:r w:rsidRPr="00036F3C">
        <w:t>109</w:t>
      </w:r>
      <w:r>
        <w:t xml:space="preserve"> </w:t>
      </w:r>
      <w:r w:rsidRPr="00036F3C">
        <w:t>that:</w:t>
      </w:r>
      <w:r>
        <w:t xml:space="preserve"> “</w:t>
      </w:r>
      <w:r w:rsidRPr="00036F3C">
        <w:t>A</w:t>
      </w:r>
      <w:r>
        <w:t xml:space="preserve"> </w:t>
      </w:r>
      <w:r w:rsidRPr="00036F3C">
        <w:t>person</w:t>
      </w:r>
      <w:r>
        <w:t xml:space="preserve"> </w:t>
      </w:r>
      <w:r w:rsidRPr="00036F3C">
        <w:t>elected</w:t>
      </w:r>
      <w:r>
        <w:t xml:space="preserve"> </w:t>
      </w:r>
      <w:r w:rsidRPr="00036F3C">
        <w:t>as</w:t>
      </w:r>
      <w:r>
        <w:t xml:space="preserve"> </w:t>
      </w:r>
      <w:r w:rsidRPr="00036F3C">
        <w:t>President</w:t>
      </w:r>
      <w:r>
        <w:t xml:space="preserve"> </w:t>
      </w:r>
      <w:r w:rsidRPr="00036F3C">
        <w:t>shall</w:t>
      </w:r>
      <w:r>
        <w:t xml:space="preserve"> </w:t>
      </w:r>
      <w:r w:rsidRPr="00036F3C">
        <w:t>have</w:t>
      </w:r>
      <w:r>
        <w:t xml:space="preserve"> </w:t>
      </w:r>
      <w:r w:rsidRPr="00036F3C">
        <w:t>the</w:t>
      </w:r>
      <w:r>
        <w:t xml:space="preserve"> </w:t>
      </w:r>
      <w:r w:rsidRPr="00036F3C">
        <w:t>following</w:t>
      </w:r>
      <w:r>
        <w:t xml:space="preserve"> </w:t>
      </w:r>
      <w:r w:rsidRPr="00036F3C">
        <w:t>qualifications</w:t>
      </w:r>
      <w:r>
        <w:t xml:space="preserve">” </w:t>
      </w:r>
      <w:r w:rsidRPr="00036F3C">
        <w:t>…</w:t>
      </w:r>
      <w:r>
        <w:t xml:space="preserve"> </w:t>
      </w:r>
      <w:r w:rsidRPr="00036F3C">
        <w:t>(f)</w:t>
      </w:r>
      <w:r>
        <w:t xml:space="preserve"> “</w:t>
      </w:r>
      <w:r w:rsidRPr="00036F3C">
        <w:t>not</w:t>
      </w:r>
      <w:r>
        <w:t xml:space="preserve"> </w:t>
      </w:r>
      <w:r w:rsidRPr="00036F3C">
        <w:t>have</w:t>
      </w:r>
      <w:r>
        <w:t xml:space="preserve"> </w:t>
      </w:r>
      <w:r w:rsidRPr="00036F3C">
        <w:t>been</w:t>
      </w:r>
      <w:r>
        <w:t xml:space="preserve"> </w:t>
      </w:r>
      <w:r w:rsidRPr="00036F3C">
        <w:t>convicted</w:t>
      </w:r>
      <w:r>
        <w:t xml:space="preserve"> </w:t>
      </w:r>
      <w:r w:rsidRPr="00036F3C">
        <w:t>of</w:t>
      </w:r>
      <w:r>
        <w:t xml:space="preserve"> </w:t>
      </w:r>
      <w:r w:rsidRPr="00036F3C">
        <w:t>a</w:t>
      </w:r>
      <w:r>
        <w:t xml:space="preserve"> </w:t>
      </w:r>
      <w:r w:rsidRPr="00036F3C">
        <w:t>criminal</w:t>
      </w:r>
      <w:r>
        <w:t xml:space="preserve"> </w:t>
      </w:r>
      <w:r w:rsidRPr="00036F3C">
        <w:t>offence</w:t>
      </w:r>
      <w:r>
        <w:t xml:space="preserve"> </w:t>
      </w:r>
      <w:r w:rsidRPr="00036F3C">
        <w:t>and</w:t>
      </w:r>
      <w:r>
        <w:t xml:space="preserve"> </w:t>
      </w:r>
      <w:r w:rsidRPr="00036F3C">
        <w:t>sentenced</w:t>
      </w:r>
      <w:r>
        <w:t xml:space="preserve"> </w:t>
      </w:r>
      <w:r w:rsidRPr="00036F3C">
        <w:t>to</w:t>
      </w:r>
      <w:r>
        <w:t xml:space="preserve"> </w:t>
      </w:r>
      <w:r w:rsidRPr="00036F3C">
        <w:t>a</w:t>
      </w:r>
      <w:r>
        <w:t xml:space="preserve"> </w:t>
      </w:r>
      <w:r w:rsidRPr="00036F3C">
        <w:t>term</w:t>
      </w:r>
      <w:r>
        <w:t xml:space="preserve"> </w:t>
      </w:r>
      <w:r w:rsidRPr="00036F3C">
        <w:t>of</w:t>
      </w:r>
      <w:r>
        <w:t xml:space="preserve"> </w:t>
      </w:r>
      <w:r w:rsidRPr="00036F3C">
        <w:t>more</w:t>
      </w:r>
      <w:r>
        <w:t xml:space="preserve"> </w:t>
      </w:r>
      <w:r w:rsidRPr="00036F3C">
        <w:t>than</w:t>
      </w:r>
      <w:r>
        <w:t xml:space="preserve"> </w:t>
      </w:r>
      <w:r w:rsidRPr="00036F3C">
        <w:t>twelve</w:t>
      </w:r>
      <w:r>
        <w:t xml:space="preserve"> </w:t>
      </w:r>
      <w:r w:rsidRPr="00036F3C">
        <w:t>months,</w:t>
      </w:r>
      <w:r>
        <w:t xml:space="preserve"> </w:t>
      </w:r>
      <w:r w:rsidRPr="00036F3C">
        <w:t>unless</w:t>
      </w:r>
      <w:r>
        <w:t xml:space="preserve"> </w:t>
      </w:r>
      <w:r w:rsidRPr="00036F3C">
        <w:t>a</w:t>
      </w:r>
      <w:r>
        <w:t xml:space="preserve"> </w:t>
      </w:r>
      <w:r w:rsidRPr="00036F3C">
        <w:t>period</w:t>
      </w:r>
      <w:r>
        <w:t xml:space="preserve"> </w:t>
      </w:r>
      <w:r w:rsidRPr="00036F3C">
        <w:t>of</w:t>
      </w:r>
      <w:r>
        <w:t xml:space="preserve"> </w:t>
      </w:r>
      <w:r w:rsidRPr="00036F3C">
        <w:t>three</w:t>
      </w:r>
      <w:r>
        <w:t xml:space="preserve"> </w:t>
      </w:r>
      <w:r w:rsidRPr="00036F3C">
        <w:t>years</w:t>
      </w:r>
      <w:r>
        <w:t xml:space="preserve"> </w:t>
      </w:r>
      <w:r w:rsidRPr="00036F3C">
        <w:t>has</w:t>
      </w:r>
      <w:r>
        <w:t xml:space="preserve"> </w:t>
      </w:r>
      <w:r w:rsidRPr="00036F3C">
        <w:t>elapsed</w:t>
      </w:r>
      <w:r>
        <w:t xml:space="preserve"> </w:t>
      </w:r>
      <w:r w:rsidRPr="00036F3C">
        <w:t>since</w:t>
      </w:r>
      <w:r>
        <w:t xml:space="preserve"> </w:t>
      </w:r>
      <w:r w:rsidRPr="00036F3C">
        <w:t>his</w:t>
      </w:r>
      <w:r>
        <w:t xml:space="preserve"> </w:t>
      </w:r>
      <w:r w:rsidRPr="00036F3C">
        <w:t>release,</w:t>
      </w:r>
      <w:r>
        <w:t xml:space="preserve"> </w:t>
      </w:r>
      <w:r w:rsidRPr="00036F3C">
        <w:t>or</w:t>
      </w:r>
      <w:r>
        <w:t xml:space="preserve"> </w:t>
      </w:r>
      <w:r w:rsidRPr="00036F3C">
        <w:t>pardon</w:t>
      </w:r>
      <w:r>
        <w:t xml:space="preserve"> </w:t>
      </w:r>
      <w:r w:rsidRPr="00036F3C">
        <w:t>for</w:t>
      </w:r>
      <w:r>
        <w:t xml:space="preserve"> </w:t>
      </w:r>
      <w:r w:rsidRPr="00036F3C">
        <w:t>the</w:t>
      </w:r>
      <w:r>
        <w:t xml:space="preserve"> </w:t>
      </w:r>
      <w:r w:rsidRPr="00036F3C">
        <w:t>offence</w:t>
      </w:r>
      <w:r>
        <w:t xml:space="preserve"> </w:t>
      </w:r>
      <w:r w:rsidRPr="00036F3C">
        <w:t>for</w:t>
      </w:r>
      <w:r>
        <w:t xml:space="preserve"> </w:t>
      </w:r>
      <w:r w:rsidRPr="00036F3C">
        <w:t>which</w:t>
      </w:r>
      <w:r>
        <w:t xml:space="preserve"> </w:t>
      </w:r>
      <w:r w:rsidRPr="00036F3C">
        <w:t>he</w:t>
      </w:r>
      <w:r>
        <w:t xml:space="preserve"> </w:t>
      </w:r>
      <w:r w:rsidRPr="00036F3C">
        <w:t>was</w:t>
      </w:r>
      <w:r>
        <w:t xml:space="preserve"> </w:t>
      </w:r>
      <w:r w:rsidRPr="00036F3C">
        <w:t>sentenced</w:t>
      </w:r>
      <w:r>
        <w:t>”</w:t>
      </w:r>
      <w:r w:rsidRPr="00036F3C">
        <w:t>.</w:t>
      </w:r>
    </w:p>
  </w:footnote>
  <w:footnote w:id="25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See</w:t>
      </w:r>
      <w:r>
        <w:t xml:space="preserve"> </w:t>
      </w:r>
      <w:r w:rsidRPr="00036F3C"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Detention,</w:t>
      </w:r>
      <w:r>
        <w:t xml:space="preserve"> </w:t>
      </w:r>
      <w:r w:rsidRPr="00036F3C">
        <w:t>opinion</w:t>
      </w:r>
      <w:r>
        <w:t xml:space="preserve"> </w:t>
      </w:r>
      <w:r w:rsidRPr="00036F3C"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para.</w:t>
      </w:r>
      <w:r>
        <w:t xml:space="preserve"> </w:t>
      </w:r>
      <w:r w:rsidRPr="00036F3C">
        <w:t>24;</w:t>
      </w:r>
      <w:r>
        <w:t xml:space="preserve"> </w:t>
      </w:r>
      <w:r w:rsidRPr="00036F3C">
        <w:t>the</w:t>
      </w:r>
      <w:r>
        <w:t xml:space="preserve"> </w:t>
      </w:r>
      <w:r w:rsidRPr="00036F3C">
        <w:t>press</w:t>
      </w:r>
      <w:r>
        <w:t xml:space="preserve"> </w:t>
      </w:r>
      <w:r w:rsidRPr="00036F3C">
        <w:t>release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Special</w:t>
      </w:r>
      <w:r>
        <w:t xml:space="preserve"> </w:t>
      </w:r>
      <w:r w:rsidRPr="00036F3C">
        <w:t>Rapporteur</w:t>
      </w:r>
      <w:r>
        <w:t xml:space="preserve"> </w:t>
      </w:r>
      <w:r w:rsidRPr="00036F3C">
        <w:t>on</w:t>
      </w:r>
      <w:r>
        <w:t xml:space="preserve"> </w:t>
      </w:r>
      <w:r w:rsidRPr="00036F3C">
        <w:t>the</w:t>
      </w:r>
      <w:r>
        <w:t xml:space="preserve"> </w:t>
      </w:r>
      <w:r w:rsidRPr="00036F3C">
        <w:t>independence</w:t>
      </w:r>
      <w:r>
        <w:t xml:space="preserve"> </w:t>
      </w:r>
      <w:r w:rsidRPr="00036F3C">
        <w:t>of</w:t>
      </w:r>
      <w:r>
        <w:t xml:space="preserve"> </w:t>
      </w:r>
      <w:r w:rsidRPr="00036F3C">
        <w:t>judges</w:t>
      </w:r>
      <w:r>
        <w:t xml:space="preserve"> </w:t>
      </w:r>
      <w:r w:rsidRPr="00036F3C">
        <w:t>and</w:t>
      </w:r>
      <w:r>
        <w:t xml:space="preserve"> </w:t>
      </w:r>
      <w:r w:rsidRPr="00036F3C">
        <w:t>lawyers</w:t>
      </w:r>
      <w:r>
        <w:t xml:space="preserve"> </w:t>
      </w:r>
      <w:r w:rsidRPr="00036F3C">
        <w:t>(as</w:t>
      </w:r>
      <w:r>
        <w:t xml:space="preserve"> </w:t>
      </w:r>
      <w:r w:rsidRPr="00036F3C">
        <w:t>per</w:t>
      </w:r>
      <w:r>
        <w:t xml:space="preserve"> </w:t>
      </w:r>
      <w:r w:rsidRPr="00036F3C">
        <w:t>footnote</w:t>
      </w:r>
      <w:r>
        <w:t xml:space="preserve"> </w:t>
      </w:r>
      <w:r w:rsidRPr="00036F3C">
        <w:t>7</w:t>
      </w:r>
      <w:r>
        <w:t xml:space="preserve"> </w:t>
      </w:r>
      <w:r w:rsidRPr="00036F3C">
        <w:t>above);</w:t>
      </w:r>
      <w:r>
        <w:t xml:space="preserve"> </w:t>
      </w:r>
      <w:r w:rsidRPr="00036F3C">
        <w:t>and</w:t>
      </w:r>
      <w:r>
        <w:t xml:space="preserve"> </w:t>
      </w:r>
      <w:r w:rsidRPr="00036F3C">
        <w:t>Amnesty</w:t>
      </w:r>
      <w:r>
        <w:t xml:space="preserve"> </w:t>
      </w:r>
      <w:r w:rsidRPr="00036F3C">
        <w:t>International,</w:t>
      </w:r>
      <w:r>
        <w:t xml:space="preserve"> “</w:t>
      </w:r>
      <w:r w:rsidRPr="00036F3C">
        <w:t>Maldives</w:t>
      </w:r>
      <w:r>
        <w:t xml:space="preserve"> </w:t>
      </w:r>
      <w:r w:rsidRPr="00036F3C">
        <w:t>should</w:t>
      </w:r>
      <w:r>
        <w:t xml:space="preserve"> </w:t>
      </w:r>
      <w:r w:rsidRPr="00036F3C">
        <w:t>end</w:t>
      </w:r>
      <w:r>
        <w:t xml:space="preserve"> </w:t>
      </w:r>
      <w:r w:rsidRPr="00036F3C">
        <w:t>the</w:t>
      </w:r>
      <w:r>
        <w:t xml:space="preserve"> </w:t>
      </w:r>
      <w:r w:rsidRPr="00036F3C">
        <w:t>assault</w:t>
      </w:r>
      <w:r>
        <w:t xml:space="preserve"> </w:t>
      </w:r>
      <w:r w:rsidRPr="00036F3C">
        <w:t>on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>”</w:t>
      </w:r>
      <w:r w:rsidRPr="00036F3C">
        <w:t>,</w:t>
      </w:r>
      <w:r>
        <w:t xml:space="preserve"> </w:t>
      </w:r>
      <w:r w:rsidRPr="00036F3C">
        <w:t>5</w:t>
      </w:r>
      <w:r>
        <w:t xml:space="preserve"> </w:t>
      </w:r>
      <w:r w:rsidRPr="00036F3C">
        <w:t>May</w:t>
      </w:r>
      <w:r>
        <w:t xml:space="preserve"> </w:t>
      </w:r>
      <w:r w:rsidRPr="00036F3C">
        <w:t>2015.</w:t>
      </w:r>
    </w:p>
  </w:footnote>
  <w:footnote w:id="26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Detention,</w:t>
      </w:r>
      <w:r>
        <w:t xml:space="preserve"> </w:t>
      </w:r>
      <w:r w:rsidRPr="00036F3C">
        <w:t>opinion</w:t>
      </w:r>
      <w:r>
        <w:rPr>
          <w:spacing w:val="-1"/>
        </w:rPr>
        <w:t xml:space="preserve"> </w:t>
      </w:r>
      <w:r w:rsidRPr="00036F3C">
        <w:rPr>
          <w:spacing w:val="-1"/>
        </w:rPr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para.</w:t>
      </w:r>
      <w:r>
        <w:t xml:space="preserve"> </w:t>
      </w:r>
      <w:r w:rsidRPr="00036F3C">
        <w:t>103</w:t>
      </w:r>
      <w:r>
        <w:t xml:space="preserve"> </w:t>
      </w:r>
      <w:r w:rsidRPr="00036F3C">
        <w:t>(ii);</w:t>
      </w:r>
      <w:r>
        <w:t xml:space="preserve"> </w:t>
      </w:r>
      <w:r w:rsidRPr="00036F3C">
        <w:t>and</w:t>
      </w:r>
      <w:r>
        <w:t xml:space="preserve"> </w:t>
      </w:r>
      <w:r w:rsidRPr="00036F3C">
        <w:rPr>
          <w:lang w:val="en-AU"/>
        </w:rPr>
        <w:t>the</w:t>
      </w:r>
      <w:r>
        <w:rPr>
          <w:lang w:val="en-AU"/>
        </w:rPr>
        <w:t xml:space="preserve"> </w:t>
      </w:r>
      <w:r w:rsidRPr="00036F3C">
        <w:t>Bar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 </w:t>
      </w:r>
      <w:r w:rsidRPr="00036F3C">
        <w:t>Committee</w:t>
      </w:r>
      <w:r>
        <w:t xml:space="preserve"> </w:t>
      </w:r>
      <w:r w:rsidRPr="00036F3C">
        <w:t>of</w:t>
      </w:r>
      <w:r>
        <w:t xml:space="preserve"> </w:t>
      </w:r>
      <w:r w:rsidRPr="00036F3C">
        <w:t>England</w:t>
      </w:r>
      <w:r>
        <w:t xml:space="preserve"> </w:t>
      </w:r>
      <w:r w:rsidRPr="00036F3C">
        <w:t>and</w:t>
      </w:r>
      <w:r>
        <w:t xml:space="preserve"> </w:t>
      </w:r>
      <w:r w:rsidRPr="00036F3C">
        <w:t>Wales,</w:t>
      </w:r>
      <w:r>
        <w:t xml:space="preserve"> “</w:t>
      </w:r>
      <w:r w:rsidRPr="00036F3C">
        <w:t>Trial</w:t>
      </w:r>
      <w:r>
        <w:t xml:space="preserve"> </w:t>
      </w:r>
      <w:r w:rsidRPr="00036F3C">
        <w:t>observation</w:t>
      </w:r>
      <w:r>
        <w:t xml:space="preserve"> </w:t>
      </w:r>
      <w:r w:rsidRPr="00036F3C">
        <w:t>report:</w:t>
      </w:r>
      <w:r>
        <w:t xml:space="preserve"> </w:t>
      </w:r>
      <w:r w:rsidRPr="00036F3C">
        <w:t>prosecution</w:t>
      </w:r>
      <w:r>
        <w:t xml:space="preserve"> </w:t>
      </w:r>
      <w:r w:rsidRPr="00036F3C">
        <w:t>of</w:t>
      </w:r>
      <w:r>
        <w:t xml:space="preserve"> </w:t>
      </w:r>
      <w:r w:rsidRPr="00036F3C">
        <w:t>Mohamed</w:t>
      </w:r>
      <w:r>
        <w:t xml:space="preserve"> </w:t>
      </w:r>
      <w:r w:rsidRPr="00036F3C">
        <w:t>Nasheed,</w:t>
      </w:r>
      <w:r>
        <w:t xml:space="preserve"> </w:t>
      </w:r>
      <w:r w:rsidRPr="00036F3C">
        <w:t>former</w:t>
      </w:r>
      <w:r>
        <w:t xml:space="preserve"> </w:t>
      </w:r>
      <w:r w:rsidRPr="00036F3C">
        <w:t>President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Republic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Maldives</w:t>
      </w:r>
      <w:r>
        <w:t xml:space="preserve">” </w:t>
      </w:r>
      <w:r w:rsidRPr="00036F3C">
        <w:t>(April</w:t>
      </w:r>
      <w:r>
        <w:t xml:space="preserve"> </w:t>
      </w:r>
      <w:r w:rsidRPr="00036F3C">
        <w:t>2015),</w:t>
      </w:r>
      <w:r>
        <w:t xml:space="preserve"> </w:t>
      </w:r>
      <w:r w:rsidRPr="00036F3C">
        <w:t>pp.</w:t>
      </w:r>
      <w:r>
        <w:t xml:space="preserve"> </w:t>
      </w:r>
      <w:r w:rsidRPr="00036F3C">
        <w:t>5</w:t>
      </w:r>
      <w:r>
        <w:t xml:space="preserve"> </w:t>
      </w:r>
      <w:r w:rsidRPr="00036F3C">
        <w:t>and</w:t>
      </w:r>
      <w:r>
        <w:t xml:space="preserve"> </w:t>
      </w:r>
      <w:r w:rsidRPr="00036F3C">
        <w:t>39.</w:t>
      </w:r>
      <w:r>
        <w:t xml:space="preserve"> </w:t>
      </w:r>
      <w:r w:rsidRPr="00036F3C">
        <w:t>See</w:t>
      </w:r>
      <w:r>
        <w:t xml:space="preserve"> </w:t>
      </w:r>
      <w:r w:rsidRPr="00036F3C">
        <w:t>also</w:t>
      </w:r>
      <w:r>
        <w:t xml:space="preserve"> </w:t>
      </w:r>
      <w:r w:rsidRPr="00036F3C">
        <w:t>footnote</w:t>
      </w:r>
      <w:r>
        <w:t xml:space="preserve"> </w:t>
      </w:r>
      <w:r w:rsidRPr="00036F3C">
        <w:t>7.</w:t>
      </w:r>
    </w:p>
  </w:footnote>
  <w:footnote w:id="27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Bar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 </w:t>
      </w:r>
      <w:r w:rsidRPr="00036F3C">
        <w:t>Committee</w:t>
      </w:r>
      <w:r>
        <w:t xml:space="preserve"> </w:t>
      </w:r>
      <w:r w:rsidRPr="00036F3C">
        <w:t>of</w:t>
      </w:r>
      <w:r>
        <w:t xml:space="preserve"> </w:t>
      </w:r>
      <w:r w:rsidRPr="00036F3C">
        <w:t>England</w:t>
      </w:r>
      <w:r>
        <w:t xml:space="preserve"> </w:t>
      </w:r>
      <w:r w:rsidRPr="00036F3C">
        <w:t>and</w:t>
      </w:r>
      <w:r>
        <w:t xml:space="preserve"> </w:t>
      </w:r>
      <w:r w:rsidRPr="00036F3C">
        <w:t>Wales,</w:t>
      </w:r>
      <w:r>
        <w:t xml:space="preserve"> “</w:t>
      </w:r>
      <w:r w:rsidRPr="00036F3C">
        <w:t>Trial</w:t>
      </w:r>
      <w:r>
        <w:t xml:space="preserve"> </w:t>
      </w:r>
      <w:r w:rsidRPr="00036F3C">
        <w:t>observation</w:t>
      </w:r>
      <w:r>
        <w:t xml:space="preserve"> </w:t>
      </w:r>
      <w:r w:rsidRPr="00036F3C">
        <w:t>report</w:t>
      </w:r>
      <w:r>
        <w:t>”</w:t>
      </w:r>
      <w:r w:rsidRPr="00036F3C">
        <w:t>,</w:t>
      </w:r>
      <w:r>
        <w:t xml:space="preserve"> </w:t>
      </w:r>
      <w:r w:rsidRPr="00036F3C">
        <w:t>p.</w:t>
      </w:r>
      <w:r>
        <w:t xml:space="preserve"> </w:t>
      </w:r>
      <w:r w:rsidRPr="00036F3C">
        <w:t>53.</w:t>
      </w:r>
    </w:p>
  </w:footnote>
  <w:footnote w:id="28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Ibid.,</w:t>
      </w:r>
      <w:r>
        <w:t xml:space="preserve"> </w:t>
      </w:r>
      <w:r w:rsidRPr="00036F3C">
        <w:t>p.</w:t>
      </w:r>
      <w:r>
        <w:t xml:space="preserve"> </w:t>
      </w:r>
      <w:r w:rsidRPr="00036F3C">
        <w:t>38.</w:t>
      </w:r>
    </w:p>
  </w:footnote>
  <w:footnote w:id="29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Detention,</w:t>
      </w:r>
      <w:r>
        <w:t xml:space="preserve"> </w:t>
      </w:r>
      <w:r w:rsidRPr="00036F3C">
        <w:t>opinion</w:t>
      </w:r>
      <w:r>
        <w:rPr>
          <w:spacing w:val="-1"/>
        </w:rPr>
        <w:t xml:space="preserve"> </w:t>
      </w:r>
      <w:r w:rsidRPr="00036F3C">
        <w:rPr>
          <w:spacing w:val="-1"/>
        </w:rPr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para.</w:t>
      </w:r>
      <w:r>
        <w:t xml:space="preserve"> </w:t>
      </w:r>
      <w:r w:rsidRPr="00036F3C">
        <w:t>103</w:t>
      </w:r>
      <w:r>
        <w:t xml:space="preserve"> </w:t>
      </w:r>
      <w:r w:rsidRPr="00036F3C">
        <w:t>(ii);</w:t>
      </w:r>
      <w:r>
        <w:t xml:space="preserve"> </w:t>
      </w:r>
      <w:r w:rsidRPr="00036F3C">
        <w:t>and</w:t>
      </w:r>
      <w:r>
        <w:t xml:space="preserve"> </w:t>
      </w:r>
      <w:r w:rsidRPr="00036F3C">
        <w:t>the</w:t>
      </w:r>
      <w:r>
        <w:t xml:space="preserve"> </w:t>
      </w:r>
      <w:r w:rsidRPr="00036F3C">
        <w:t>press</w:t>
      </w:r>
      <w:r>
        <w:t xml:space="preserve"> </w:t>
      </w:r>
      <w:r w:rsidRPr="00036F3C">
        <w:t>release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Special</w:t>
      </w:r>
      <w:r>
        <w:t xml:space="preserve"> </w:t>
      </w:r>
      <w:r w:rsidRPr="00036F3C">
        <w:t>Rapporteur</w:t>
      </w:r>
      <w:r>
        <w:t xml:space="preserve"> </w:t>
      </w:r>
      <w:r w:rsidRPr="00036F3C">
        <w:t>on</w:t>
      </w:r>
      <w:r>
        <w:t xml:space="preserve"> </w:t>
      </w:r>
      <w:r w:rsidRPr="00036F3C">
        <w:t>the</w:t>
      </w:r>
      <w:r>
        <w:t xml:space="preserve"> </w:t>
      </w:r>
      <w:r w:rsidRPr="00036F3C">
        <w:t>independence</w:t>
      </w:r>
      <w:r>
        <w:t xml:space="preserve"> </w:t>
      </w:r>
      <w:r w:rsidRPr="00036F3C">
        <w:t>of</w:t>
      </w:r>
      <w:r>
        <w:t xml:space="preserve"> </w:t>
      </w:r>
      <w:r w:rsidRPr="00036F3C">
        <w:t>judges</w:t>
      </w:r>
      <w:r>
        <w:t xml:space="preserve"> </w:t>
      </w:r>
      <w:r w:rsidRPr="00036F3C">
        <w:t>and</w:t>
      </w:r>
      <w:r>
        <w:t xml:space="preserve"> </w:t>
      </w:r>
      <w:r w:rsidRPr="00036F3C">
        <w:t>lawyers</w:t>
      </w:r>
      <w:r>
        <w:t xml:space="preserve"> </w:t>
      </w:r>
      <w:r w:rsidRPr="00036F3C">
        <w:t>(as</w:t>
      </w:r>
      <w:r>
        <w:t xml:space="preserve"> </w:t>
      </w:r>
      <w:r w:rsidRPr="00036F3C">
        <w:t>per</w:t>
      </w:r>
      <w:r>
        <w:t xml:space="preserve"> </w:t>
      </w:r>
      <w:r w:rsidRPr="00036F3C">
        <w:t>footnote</w:t>
      </w:r>
      <w:r>
        <w:t xml:space="preserve"> </w:t>
      </w:r>
      <w:r w:rsidRPr="00036F3C">
        <w:t>7</w:t>
      </w:r>
      <w:r>
        <w:t xml:space="preserve"> </w:t>
      </w:r>
      <w:r w:rsidRPr="00036F3C">
        <w:t>above).</w:t>
      </w:r>
    </w:p>
  </w:footnote>
  <w:footnote w:id="30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Detention,</w:t>
      </w:r>
      <w:r>
        <w:t xml:space="preserve"> </w:t>
      </w:r>
      <w:r w:rsidRPr="00036F3C">
        <w:t>opinion</w:t>
      </w:r>
      <w:r>
        <w:rPr>
          <w:spacing w:val="-1"/>
        </w:rPr>
        <w:t xml:space="preserve"> </w:t>
      </w:r>
      <w:r w:rsidRPr="00036F3C">
        <w:rPr>
          <w:spacing w:val="-1"/>
        </w:rPr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paras.</w:t>
      </w:r>
      <w:r>
        <w:t xml:space="preserve"> </w:t>
      </w:r>
      <w:r w:rsidRPr="00036F3C">
        <w:t>103</w:t>
      </w:r>
      <w:r>
        <w:t xml:space="preserve"> </w:t>
      </w:r>
      <w:r w:rsidRPr="00036F3C">
        <w:t>(iv),</w:t>
      </w:r>
      <w:r>
        <w:t xml:space="preserve"> </w:t>
      </w:r>
      <w:r w:rsidRPr="00036F3C">
        <w:t>(v)</w:t>
      </w:r>
      <w:r>
        <w:t xml:space="preserve"> </w:t>
      </w:r>
      <w:r w:rsidRPr="00036F3C">
        <w:t>and</w:t>
      </w:r>
      <w:r>
        <w:t xml:space="preserve"> </w:t>
      </w:r>
      <w:r w:rsidRPr="00036F3C">
        <w:t>(vi)</w:t>
      </w:r>
      <w:r>
        <w:t xml:space="preserve"> </w:t>
      </w:r>
      <w:r w:rsidRPr="00036F3C">
        <w:t>and</w:t>
      </w:r>
      <w:r w:rsidRPr="00036F3C">
        <w:br/>
        <w:t>104</w:t>
      </w:r>
      <w:r>
        <w:t xml:space="preserve"> </w:t>
      </w:r>
      <w:r w:rsidRPr="00036F3C">
        <w:t>(iv);</w:t>
      </w:r>
      <w:r>
        <w:t xml:space="preserve"> </w:t>
      </w:r>
      <w:r w:rsidRPr="00036F3C">
        <w:t>the</w:t>
      </w:r>
      <w:r>
        <w:t xml:space="preserve"> </w:t>
      </w:r>
      <w:r w:rsidRPr="00036F3C">
        <w:t>OHCHR</w:t>
      </w:r>
      <w:r>
        <w:t xml:space="preserve"> </w:t>
      </w:r>
      <w:r w:rsidRPr="00036F3C">
        <w:t>press</w:t>
      </w:r>
      <w:r>
        <w:t xml:space="preserve"> </w:t>
      </w:r>
      <w:r w:rsidRPr="00036F3C">
        <w:t>release</w:t>
      </w:r>
      <w:r>
        <w:t xml:space="preserve"> </w:t>
      </w:r>
      <w:r w:rsidRPr="00036F3C">
        <w:t>(as</w:t>
      </w:r>
      <w:r>
        <w:t xml:space="preserve"> </w:t>
      </w:r>
      <w:r w:rsidRPr="00036F3C">
        <w:t>per</w:t>
      </w:r>
      <w:r>
        <w:t xml:space="preserve"> </w:t>
      </w:r>
      <w:r w:rsidRPr="00036F3C">
        <w:t>footnote</w:t>
      </w:r>
      <w:r>
        <w:t xml:space="preserve"> </w:t>
      </w:r>
      <w:r w:rsidRPr="00036F3C">
        <w:t>7</w:t>
      </w:r>
      <w:r>
        <w:t xml:space="preserve"> </w:t>
      </w:r>
      <w:r w:rsidRPr="00036F3C">
        <w:t>above);</w:t>
      </w:r>
      <w:r>
        <w:t xml:space="preserve"> </w:t>
      </w:r>
      <w:r w:rsidRPr="00036F3C">
        <w:t>and</w:t>
      </w:r>
      <w:r>
        <w:t xml:space="preserve"> </w:t>
      </w:r>
      <w:r w:rsidRPr="00036F3C">
        <w:t>the</w:t>
      </w:r>
      <w:r>
        <w:t xml:space="preserve"> </w:t>
      </w:r>
      <w:r w:rsidRPr="00036F3C">
        <w:t>Bar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 </w:t>
      </w:r>
      <w:r w:rsidRPr="00036F3C">
        <w:t>Committee</w:t>
      </w:r>
      <w:r>
        <w:t xml:space="preserve"> </w:t>
      </w:r>
      <w:r w:rsidRPr="00036F3C">
        <w:t>of</w:t>
      </w:r>
      <w:r>
        <w:t xml:space="preserve"> </w:t>
      </w:r>
      <w:r w:rsidRPr="00036F3C">
        <w:t>England</w:t>
      </w:r>
      <w:r>
        <w:t xml:space="preserve"> </w:t>
      </w:r>
      <w:r w:rsidRPr="00036F3C">
        <w:t>and</w:t>
      </w:r>
      <w:r>
        <w:t xml:space="preserve"> </w:t>
      </w:r>
      <w:r w:rsidRPr="00036F3C">
        <w:t>Wales,</w:t>
      </w:r>
      <w:r>
        <w:t xml:space="preserve"> “</w:t>
      </w:r>
      <w:r w:rsidRPr="00036F3C">
        <w:t>Trial</w:t>
      </w:r>
      <w:r>
        <w:t xml:space="preserve"> </w:t>
      </w:r>
      <w:r w:rsidRPr="00036F3C">
        <w:t>observation</w:t>
      </w:r>
      <w:r>
        <w:t xml:space="preserve"> </w:t>
      </w:r>
      <w:r w:rsidRPr="00036F3C">
        <w:t>report</w:t>
      </w:r>
      <w:r>
        <w:t xml:space="preserve">” </w:t>
      </w:r>
      <w:r w:rsidRPr="00036F3C">
        <w:t>(as</w:t>
      </w:r>
      <w:r>
        <w:t xml:space="preserve"> </w:t>
      </w:r>
      <w:r w:rsidRPr="00036F3C">
        <w:t>per</w:t>
      </w:r>
      <w:r>
        <w:t xml:space="preserve"> </w:t>
      </w:r>
      <w:r w:rsidRPr="00036F3C">
        <w:t>footnote</w:t>
      </w:r>
      <w:r>
        <w:t xml:space="preserve"> </w:t>
      </w:r>
      <w:r w:rsidRPr="00036F3C">
        <w:t>24</w:t>
      </w:r>
      <w:r>
        <w:t xml:space="preserve"> </w:t>
      </w:r>
      <w:r w:rsidRPr="00036F3C">
        <w:t>above),</w:t>
      </w:r>
      <w:r>
        <w:t xml:space="preserve"> </w:t>
      </w:r>
      <w:r w:rsidRPr="00036F3C">
        <w:t>pp.</w:t>
      </w:r>
      <w:r>
        <w:t xml:space="preserve"> </w:t>
      </w:r>
      <w:r w:rsidRPr="00036F3C">
        <w:t>5</w:t>
      </w:r>
      <w:r>
        <w:t xml:space="preserve"> </w:t>
      </w:r>
      <w:r w:rsidRPr="00036F3C">
        <w:t>and</w:t>
      </w:r>
      <w:r>
        <w:t xml:space="preserve"> </w:t>
      </w:r>
      <w:r w:rsidRPr="00036F3C">
        <w:t>46.</w:t>
      </w:r>
    </w:p>
  </w:footnote>
  <w:footnote w:id="31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>
        <w:t xml:space="preserve"> </w:t>
      </w:r>
      <w:r w:rsidRPr="00036F3C">
        <w:tab/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Detention,</w:t>
      </w:r>
      <w:r>
        <w:t xml:space="preserve"> </w:t>
      </w:r>
      <w:r w:rsidRPr="00036F3C">
        <w:t>opinion</w:t>
      </w:r>
      <w:r>
        <w:rPr>
          <w:spacing w:val="-1"/>
        </w:rPr>
        <w:t xml:space="preserve"> </w:t>
      </w:r>
      <w:r w:rsidRPr="00036F3C">
        <w:rPr>
          <w:spacing w:val="-1"/>
        </w:rPr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para.</w:t>
      </w:r>
      <w:r>
        <w:t xml:space="preserve"> </w:t>
      </w:r>
      <w:r w:rsidRPr="00036F3C">
        <w:t>103</w:t>
      </w:r>
      <w:r>
        <w:t xml:space="preserve"> </w:t>
      </w:r>
      <w:r w:rsidRPr="00036F3C">
        <w:t>(iii);</w:t>
      </w:r>
      <w:r>
        <w:t xml:space="preserve"> </w:t>
      </w:r>
      <w:r w:rsidRPr="00036F3C">
        <w:t>the</w:t>
      </w:r>
      <w:r>
        <w:t xml:space="preserve"> </w:t>
      </w:r>
      <w:r w:rsidRPr="00036F3C">
        <w:t>OHCHR</w:t>
      </w:r>
      <w:r>
        <w:t xml:space="preserve"> </w:t>
      </w:r>
      <w:r w:rsidRPr="00036F3C">
        <w:t>press</w:t>
      </w:r>
      <w:r>
        <w:t xml:space="preserve"> </w:t>
      </w:r>
      <w:r w:rsidRPr="00036F3C">
        <w:t>release</w:t>
      </w:r>
      <w:r>
        <w:t xml:space="preserve"> </w:t>
      </w:r>
      <w:r w:rsidRPr="00036F3C">
        <w:t>(as</w:t>
      </w:r>
      <w:r>
        <w:t xml:space="preserve"> </w:t>
      </w:r>
      <w:r w:rsidRPr="00036F3C">
        <w:t>per</w:t>
      </w:r>
      <w:r>
        <w:t xml:space="preserve"> </w:t>
      </w:r>
      <w:r w:rsidRPr="00036F3C">
        <w:t>footnote</w:t>
      </w:r>
      <w:r>
        <w:t xml:space="preserve"> </w:t>
      </w:r>
      <w:r w:rsidRPr="00036F3C">
        <w:t>7</w:t>
      </w:r>
      <w:r>
        <w:t xml:space="preserve"> </w:t>
      </w:r>
      <w:r w:rsidRPr="00036F3C">
        <w:t>above);</w:t>
      </w:r>
      <w:r>
        <w:t xml:space="preserve"> </w:t>
      </w:r>
      <w:r w:rsidRPr="00036F3C">
        <w:t>the</w:t>
      </w:r>
      <w:r>
        <w:t xml:space="preserve"> </w:t>
      </w:r>
      <w:r w:rsidRPr="00036F3C">
        <w:t>press</w:t>
      </w:r>
      <w:r>
        <w:t xml:space="preserve"> </w:t>
      </w:r>
      <w:r w:rsidRPr="00036F3C">
        <w:t>release</w:t>
      </w:r>
      <w:r>
        <w:t xml:space="preserve"> </w:t>
      </w:r>
      <w:r w:rsidRPr="00036F3C">
        <w:t>of</w:t>
      </w:r>
      <w:r>
        <w:t xml:space="preserve"> </w:t>
      </w:r>
      <w:r w:rsidRPr="00036F3C">
        <w:t>the</w:t>
      </w:r>
      <w:r>
        <w:t xml:space="preserve"> </w:t>
      </w:r>
      <w:r w:rsidRPr="00036F3C">
        <w:t>Special</w:t>
      </w:r>
      <w:r>
        <w:t xml:space="preserve"> </w:t>
      </w:r>
      <w:r w:rsidRPr="00036F3C">
        <w:t>Rapporteur</w:t>
      </w:r>
      <w:r>
        <w:t xml:space="preserve"> </w:t>
      </w:r>
      <w:r w:rsidRPr="00036F3C">
        <w:t>on</w:t>
      </w:r>
      <w:r>
        <w:t xml:space="preserve"> </w:t>
      </w:r>
      <w:r w:rsidRPr="00036F3C">
        <w:t>the</w:t>
      </w:r>
      <w:r>
        <w:t xml:space="preserve"> </w:t>
      </w:r>
      <w:r w:rsidRPr="00036F3C">
        <w:t>independence</w:t>
      </w:r>
      <w:r>
        <w:t xml:space="preserve"> </w:t>
      </w:r>
      <w:r w:rsidRPr="00036F3C">
        <w:t>of</w:t>
      </w:r>
      <w:r>
        <w:t xml:space="preserve"> </w:t>
      </w:r>
      <w:r w:rsidRPr="00036F3C">
        <w:t>judges</w:t>
      </w:r>
      <w:r>
        <w:t xml:space="preserve"> </w:t>
      </w:r>
      <w:r w:rsidRPr="00036F3C">
        <w:t>and</w:t>
      </w:r>
      <w:r>
        <w:t xml:space="preserve"> </w:t>
      </w:r>
      <w:r w:rsidRPr="00036F3C">
        <w:t>lawyers,</w:t>
      </w:r>
      <w:r>
        <w:t xml:space="preserve"> </w:t>
      </w:r>
      <w:r w:rsidRPr="00036F3C">
        <w:t>of</w:t>
      </w:r>
      <w:r>
        <w:t xml:space="preserve"> </w:t>
      </w:r>
      <w:r w:rsidRPr="00036F3C">
        <w:t>19</w:t>
      </w:r>
      <w:r>
        <w:t xml:space="preserve"> </w:t>
      </w:r>
      <w:r w:rsidRPr="00036F3C">
        <w:t>March</w:t>
      </w:r>
      <w:r>
        <w:t xml:space="preserve"> </w:t>
      </w:r>
      <w:r w:rsidRPr="00036F3C">
        <w:t>2015;</w:t>
      </w:r>
      <w:r>
        <w:t xml:space="preserve"> </w:t>
      </w:r>
      <w:r w:rsidRPr="00036F3C">
        <w:t>the</w:t>
      </w:r>
      <w:r>
        <w:t xml:space="preserve"> </w:t>
      </w:r>
      <w:r w:rsidRPr="00036F3C">
        <w:t>Bar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 </w:t>
      </w:r>
      <w:r w:rsidRPr="00036F3C">
        <w:t>Committee</w:t>
      </w:r>
      <w:r>
        <w:t xml:space="preserve"> </w:t>
      </w:r>
      <w:r w:rsidRPr="00036F3C">
        <w:t>of</w:t>
      </w:r>
      <w:r>
        <w:t xml:space="preserve"> </w:t>
      </w:r>
      <w:r w:rsidRPr="00036F3C">
        <w:t>England</w:t>
      </w:r>
      <w:r>
        <w:t xml:space="preserve"> </w:t>
      </w:r>
      <w:r w:rsidRPr="00036F3C">
        <w:t>and</w:t>
      </w:r>
      <w:r>
        <w:t xml:space="preserve"> </w:t>
      </w:r>
      <w:r w:rsidRPr="00036F3C">
        <w:t>Wales,</w:t>
      </w:r>
      <w:r>
        <w:t xml:space="preserve"> “</w:t>
      </w:r>
      <w:r w:rsidRPr="00036F3C">
        <w:t>Trial</w:t>
      </w:r>
      <w:r>
        <w:t xml:space="preserve"> </w:t>
      </w:r>
      <w:r w:rsidRPr="00036F3C">
        <w:t>observation</w:t>
      </w:r>
      <w:r>
        <w:t xml:space="preserve"> </w:t>
      </w:r>
      <w:r w:rsidRPr="00036F3C">
        <w:t>report</w:t>
      </w:r>
      <w:r>
        <w:t xml:space="preserve">” </w:t>
      </w:r>
      <w:r w:rsidRPr="00036F3C">
        <w:t>(as</w:t>
      </w:r>
      <w:r>
        <w:t xml:space="preserve"> </w:t>
      </w:r>
      <w:r w:rsidRPr="00036F3C">
        <w:t>per</w:t>
      </w:r>
      <w:r>
        <w:t xml:space="preserve"> </w:t>
      </w:r>
      <w:r w:rsidRPr="00036F3C">
        <w:t>footnote</w:t>
      </w:r>
      <w:r>
        <w:t xml:space="preserve"> </w:t>
      </w:r>
      <w:r w:rsidRPr="00036F3C">
        <w:t>24</w:t>
      </w:r>
      <w:r>
        <w:t xml:space="preserve"> </w:t>
      </w:r>
      <w:r w:rsidRPr="00036F3C">
        <w:t>above),</w:t>
      </w:r>
      <w:r>
        <w:t xml:space="preserve"> </w:t>
      </w:r>
      <w:r w:rsidRPr="00036F3C">
        <w:t>p.</w:t>
      </w:r>
      <w:r>
        <w:t xml:space="preserve"> </w:t>
      </w:r>
      <w:r w:rsidRPr="00036F3C">
        <w:t>53;</w:t>
      </w:r>
      <w:r>
        <w:t xml:space="preserve"> </w:t>
      </w:r>
      <w:r w:rsidRPr="00036F3C">
        <w:t>Amnesty</w:t>
      </w:r>
      <w:r>
        <w:t xml:space="preserve"> </w:t>
      </w:r>
      <w:r w:rsidRPr="00036F3C">
        <w:t>International,</w:t>
      </w:r>
      <w:r>
        <w:t xml:space="preserve"> “</w:t>
      </w:r>
      <w:r w:rsidRPr="00036F3C">
        <w:t>Maldives</w:t>
      </w:r>
      <w:r>
        <w:t xml:space="preserve"> </w:t>
      </w:r>
      <w:r w:rsidRPr="00036F3C">
        <w:t>should</w:t>
      </w:r>
      <w:r>
        <w:t xml:space="preserve"> </w:t>
      </w:r>
      <w:r w:rsidRPr="00036F3C">
        <w:t>end</w:t>
      </w:r>
      <w:r>
        <w:t xml:space="preserve"> </w:t>
      </w:r>
      <w:r w:rsidRPr="00036F3C">
        <w:t>the</w:t>
      </w:r>
      <w:r>
        <w:t xml:space="preserve"> </w:t>
      </w:r>
      <w:r w:rsidRPr="00036F3C">
        <w:t>assault</w:t>
      </w:r>
      <w:r>
        <w:t xml:space="preserve"> </w:t>
      </w:r>
      <w:r w:rsidRPr="00036F3C">
        <w:t>on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” </w:t>
      </w:r>
      <w:r w:rsidRPr="00036F3C">
        <w:t>(as</w:t>
      </w:r>
      <w:r>
        <w:t xml:space="preserve"> </w:t>
      </w:r>
      <w:r w:rsidRPr="00036F3C">
        <w:t>per</w:t>
      </w:r>
      <w:r>
        <w:t xml:space="preserve"> </w:t>
      </w:r>
      <w:r w:rsidRPr="00036F3C">
        <w:t>footnote</w:t>
      </w:r>
      <w:r>
        <w:t xml:space="preserve"> </w:t>
      </w:r>
      <w:r w:rsidRPr="00036F3C">
        <w:t>23</w:t>
      </w:r>
      <w:r>
        <w:t xml:space="preserve"> </w:t>
      </w:r>
      <w:r w:rsidRPr="00036F3C">
        <w:t>above).</w:t>
      </w:r>
    </w:p>
  </w:footnote>
  <w:footnote w:id="32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Detention,</w:t>
      </w:r>
      <w:r>
        <w:t xml:space="preserve"> </w:t>
      </w:r>
      <w:r w:rsidRPr="00036F3C">
        <w:t>opinion</w:t>
      </w:r>
      <w:r>
        <w:rPr>
          <w:spacing w:val="-1"/>
        </w:rPr>
        <w:t xml:space="preserve"> </w:t>
      </w:r>
      <w:r w:rsidRPr="00036F3C">
        <w:rPr>
          <w:spacing w:val="-1"/>
        </w:rPr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paras.</w:t>
      </w:r>
      <w:r>
        <w:t xml:space="preserve"> </w:t>
      </w:r>
      <w:r w:rsidRPr="00036F3C">
        <w:t>103</w:t>
      </w:r>
      <w:r>
        <w:t xml:space="preserve"> </w:t>
      </w:r>
      <w:r w:rsidRPr="00036F3C">
        <w:t>(viii)</w:t>
      </w:r>
      <w:r>
        <w:t xml:space="preserve"> </w:t>
      </w:r>
      <w:r w:rsidRPr="00036F3C">
        <w:t>and</w:t>
      </w:r>
      <w:r>
        <w:t xml:space="preserve"> </w:t>
      </w:r>
      <w:r w:rsidRPr="00036F3C">
        <w:t>104</w:t>
      </w:r>
      <w:r>
        <w:t xml:space="preserve"> </w:t>
      </w:r>
      <w:r w:rsidRPr="00036F3C">
        <w:t>(viii).</w:t>
      </w:r>
    </w:p>
  </w:footnote>
  <w:footnote w:id="33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Working</w:t>
      </w:r>
      <w:r>
        <w:t xml:space="preserve"> </w:t>
      </w:r>
      <w:r w:rsidRPr="00036F3C">
        <w:t>Group</w:t>
      </w:r>
      <w:r>
        <w:t xml:space="preserve"> </w:t>
      </w:r>
      <w:r w:rsidRPr="00036F3C">
        <w:t>on</w:t>
      </w:r>
      <w:r>
        <w:t xml:space="preserve"> </w:t>
      </w:r>
      <w:r w:rsidRPr="00036F3C">
        <w:t>Arbitrary</w:t>
      </w:r>
      <w:r>
        <w:t xml:space="preserve"> </w:t>
      </w:r>
      <w:r w:rsidRPr="00036F3C">
        <w:t>Detention,</w:t>
      </w:r>
      <w:r>
        <w:t xml:space="preserve"> </w:t>
      </w:r>
      <w:r w:rsidRPr="00036F3C">
        <w:t>opinion</w:t>
      </w:r>
      <w:r>
        <w:rPr>
          <w:spacing w:val="-1"/>
        </w:rPr>
        <w:t xml:space="preserve"> </w:t>
      </w:r>
      <w:r w:rsidRPr="00036F3C">
        <w:t>No.</w:t>
      </w:r>
      <w:r>
        <w:t xml:space="preserve"> </w:t>
      </w:r>
      <w:r w:rsidRPr="00036F3C">
        <w:t>33/2015,</w:t>
      </w:r>
      <w:r>
        <w:t xml:space="preserve"> </w:t>
      </w:r>
      <w:r w:rsidRPr="00036F3C">
        <w:t>para.</w:t>
      </w:r>
      <w:r>
        <w:t xml:space="preserve"> </w:t>
      </w:r>
      <w:r w:rsidRPr="00036F3C">
        <w:t>97.</w:t>
      </w:r>
    </w:p>
  </w:footnote>
  <w:footnote w:id="34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Bar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 </w:t>
      </w:r>
      <w:r w:rsidRPr="00036F3C">
        <w:t>Committee</w:t>
      </w:r>
      <w:r>
        <w:t xml:space="preserve"> </w:t>
      </w:r>
      <w:r w:rsidRPr="00036F3C">
        <w:t>of</w:t>
      </w:r>
      <w:r>
        <w:t xml:space="preserve"> </w:t>
      </w:r>
      <w:r w:rsidRPr="00036F3C">
        <w:t>England</w:t>
      </w:r>
      <w:r>
        <w:t xml:space="preserve"> </w:t>
      </w:r>
      <w:r w:rsidRPr="00036F3C">
        <w:t>and</w:t>
      </w:r>
      <w:r>
        <w:t xml:space="preserve"> </w:t>
      </w:r>
      <w:r w:rsidRPr="00036F3C">
        <w:t>Wales,</w:t>
      </w:r>
      <w:r>
        <w:t xml:space="preserve"> “</w:t>
      </w:r>
      <w:r w:rsidRPr="00036F3C">
        <w:t>Trial</w:t>
      </w:r>
      <w:r>
        <w:t xml:space="preserve"> </w:t>
      </w:r>
      <w:r w:rsidRPr="00036F3C">
        <w:t>observation</w:t>
      </w:r>
      <w:r>
        <w:t xml:space="preserve"> </w:t>
      </w:r>
      <w:r w:rsidRPr="00036F3C">
        <w:t>report</w:t>
      </w:r>
      <w:r>
        <w:t xml:space="preserve">” </w:t>
      </w:r>
      <w:r w:rsidRPr="00036F3C">
        <w:t>(as</w:t>
      </w:r>
      <w:r>
        <w:t xml:space="preserve"> </w:t>
      </w:r>
      <w:r w:rsidRPr="00036F3C">
        <w:t>per</w:t>
      </w:r>
      <w:r>
        <w:t xml:space="preserve"> </w:t>
      </w:r>
      <w:r w:rsidRPr="00036F3C">
        <w:t>footnote</w:t>
      </w:r>
      <w:r>
        <w:t xml:space="preserve"> </w:t>
      </w:r>
      <w:r w:rsidRPr="00036F3C">
        <w:t>24</w:t>
      </w:r>
      <w:r>
        <w:t xml:space="preserve"> </w:t>
      </w:r>
      <w:r w:rsidRPr="00036F3C">
        <w:t>above),</w:t>
      </w:r>
      <w:r>
        <w:t xml:space="preserve"> </w:t>
      </w:r>
      <w:r w:rsidRPr="00036F3C">
        <w:t>p.</w:t>
      </w:r>
      <w:r>
        <w:t xml:space="preserve"> </w:t>
      </w:r>
      <w:r w:rsidRPr="00036F3C">
        <w:t>22.</w:t>
      </w:r>
      <w:r>
        <w:t xml:space="preserve"> </w:t>
      </w:r>
      <w:r w:rsidRPr="00036F3C">
        <w:t>The</w:t>
      </w:r>
      <w:r>
        <w:t xml:space="preserve"> </w:t>
      </w:r>
      <w:r w:rsidRPr="00036F3C">
        <w:t>author</w:t>
      </w:r>
      <w:r>
        <w:t xml:space="preserve"> </w:t>
      </w:r>
      <w:r w:rsidRPr="00036F3C">
        <w:t>also</w:t>
      </w:r>
      <w:r>
        <w:t xml:space="preserve"> </w:t>
      </w:r>
      <w:r w:rsidRPr="00036F3C">
        <w:t>refers</w:t>
      </w:r>
      <w:r>
        <w:t xml:space="preserve"> </w:t>
      </w:r>
      <w:r w:rsidRPr="00036F3C">
        <w:t>to</w:t>
      </w:r>
      <w:r>
        <w:t xml:space="preserve"> </w:t>
      </w:r>
      <w:r w:rsidRPr="00036F3C">
        <w:t>the</w:t>
      </w:r>
      <w:r>
        <w:t xml:space="preserve"> </w:t>
      </w:r>
      <w:r w:rsidRPr="00036F3C">
        <w:t>Committee</w:t>
      </w:r>
      <w:r>
        <w:t>’</w:t>
      </w:r>
      <w:r w:rsidRPr="00036F3C">
        <w:t>s</w:t>
      </w:r>
      <w:r>
        <w:t xml:space="preserve"> </w:t>
      </w:r>
      <w:r w:rsidRPr="00036F3C">
        <w:t>general</w:t>
      </w:r>
      <w:r>
        <w:t xml:space="preserve"> </w:t>
      </w:r>
      <w:r w:rsidRPr="00036F3C">
        <w:t>comment</w:t>
      </w:r>
      <w:r>
        <w:t xml:space="preserve"> </w:t>
      </w:r>
      <w:r w:rsidRPr="00036F3C">
        <w:t>No.</w:t>
      </w:r>
      <w:r>
        <w:t xml:space="preserve"> </w:t>
      </w:r>
      <w:r w:rsidRPr="00036F3C">
        <w:t>25,</w:t>
      </w:r>
      <w:r>
        <w:t xml:space="preserve"> </w:t>
      </w:r>
      <w:r w:rsidRPr="00036F3C">
        <w:t>para.</w:t>
      </w:r>
      <w:r>
        <w:t xml:space="preserve"> </w:t>
      </w:r>
      <w:r w:rsidRPr="00036F3C">
        <w:t>26.</w:t>
      </w:r>
    </w:p>
  </w:footnote>
  <w:footnote w:id="35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See</w:t>
      </w:r>
      <w:r>
        <w:t xml:space="preserve"> </w:t>
      </w:r>
      <w:r w:rsidRPr="00036F3C">
        <w:rPr>
          <w:i/>
          <w:iCs/>
        </w:rPr>
        <w:t>Samathanam</w:t>
      </w:r>
      <w:r>
        <w:rPr>
          <w:i/>
          <w:iCs/>
        </w:rPr>
        <w:t xml:space="preserve"> </w:t>
      </w:r>
      <w:r w:rsidRPr="00036F3C">
        <w:rPr>
          <w:i/>
          <w:iCs/>
        </w:rPr>
        <w:t>v.</w:t>
      </w:r>
      <w:r>
        <w:rPr>
          <w:i/>
          <w:iCs/>
        </w:rPr>
        <w:t xml:space="preserve"> </w:t>
      </w:r>
      <w:r w:rsidRPr="00036F3C">
        <w:rPr>
          <w:i/>
          <w:iCs/>
        </w:rPr>
        <w:t>Sri</w:t>
      </w:r>
      <w:r>
        <w:rPr>
          <w:i/>
          <w:iCs/>
        </w:rPr>
        <w:t xml:space="preserve"> </w:t>
      </w:r>
      <w:r w:rsidRPr="00036F3C">
        <w:rPr>
          <w:i/>
          <w:iCs/>
        </w:rPr>
        <w:t>Lanka</w:t>
      </w:r>
      <w:r>
        <w:t xml:space="preserve"> </w:t>
      </w:r>
      <w:r w:rsidRPr="00036F3C">
        <w:t>(CCPR/C/118/D/2412/2014),</w:t>
      </w:r>
      <w:r>
        <w:t xml:space="preserve"> </w:t>
      </w:r>
      <w:r w:rsidRPr="00036F3C">
        <w:t>para.</w:t>
      </w:r>
      <w:r>
        <w:t xml:space="preserve"> </w:t>
      </w:r>
      <w:r w:rsidRPr="00036F3C">
        <w:t>4.2.</w:t>
      </w:r>
    </w:p>
  </w:footnote>
  <w:footnote w:id="36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See</w:t>
      </w:r>
      <w:r>
        <w:t xml:space="preserve"> </w:t>
      </w:r>
      <w:r w:rsidRPr="00036F3C">
        <w:t>footnotes</w:t>
      </w:r>
      <w:r>
        <w:t xml:space="preserve"> </w:t>
      </w:r>
      <w:r w:rsidRPr="00036F3C">
        <w:t>1</w:t>
      </w:r>
      <w:r>
        <w:t xml:space="preserve"> </w:t>
      </w:r>
      <w:r w:rsidRPr="00036F3C">
        <w:t>and</w:t>
      </w:r>
      <w:r>
        <w:t xml:space="preserve"> </w:t>
      </w:r>
      <w:r w:rsidRPr="00036F3C">
        <w:t>8–10.</w:t>
      </w:r>
    </w:p>
  </w:footnote>
  <w:footnote w:id="37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See</w:t>
      </w:r>
      <w:r>
        <w:t xml:space="preserve"> </w:t>
      </w:r>
      <w:r w:rsidRPr="00036F3C">
        <w:t>the</w:t>
      </w:r>
      <w:r>
        <w:t xml:space="preserve"> </w:t>
      </w:r>
      <w:r w:rsidRPr="00036F3C">
        <w:t>Committee</w:t>
      </w:r>
      <w:r>
        <w:t>’</w:t>
      </w:r>
      <w:r w:rsidRPr="00036F3C">
        <w:t>s</w:t>
      </w:r>
      <w:r>
        <w:t xml:space="preserve"> </w:t>
      </w:r>
      <w:r w:rsidRPr="00036F3C">
        <w:t>general</w:t>
      </w:r>
      <w:r>
        <w:t xml:space="preserve"> </w:t>
      </w:r>
      <w:r w:rsidRPr="00036F3C">
        <w:t>comment</w:t>
      </w:r>
      <w:r>
        <w:t xml:space="preserve"> </w:t>
      </w:r>
      <w:r w:rsidRPr="00036F3C">
        <w:t>No.</w:t>
      </w:r>
      <w:r>
        <w:t xml:space="preserve"> </w:t>
      </w:r>
      <w:r w:rsidRPr="00036F3C">
        <w:t>25,</w:t>
      </w:r>
      <w:r>
        <w:t xml:space="preserve"> </w:t>
      </w:r>
      <w:r w:rsidRPr="00036F3C">
        <w:t>paras.</w:t>
      </w:r>
      <w:r>
        <w:t xml:space="preserve"> </w:t>
      </w:r>
      <w:r w:rsidRPr="00036F3C">
        <w:t>3</w:t>
      </w:r>
      <w:r>
        <w:t xml:space="preserve"> </w:t>
      </w:r>
      <w:r w:rsidRPr="00036F3C">
        <w:t>and</w:t>
      </w:r>
      <w:r>
        <w:t xml:space="preserve"> </w:t>
      </w:r>
      <w:r w:rsidRPr="00036F3C">
        <w:t>4.</w:t>
      </w:r>
    </w:p>
  </w:footnote>
  <w:footnote w:id="38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Ibid.,</w:t>
      </w:r>
      <w:r>
        <w:t xml:space="preserve"> </w:t>
      </w:r>
      <w:r w:rsidRPr="00036F3C">
        <w:t>para.</w:t>
      </w:r>
      <w:r>
        <w:t xml:space="preserve"> </w:t>
      </w:r>
      <w:r w:rsidRPr="00036F3C">
        <w:t>15.</w:t>
      </w:r>
    </w:p>
  </w:footnote>
  <w:footnote w:id="39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See</w:t>
      </w:r>
      <w:r>
        <w:t xml:space="preserve"> </w:t>
      </w:r>
      <w:r w:rsidRPr="00036F3C">
        <w:t>the</w:t>
      </w:r>
      <w:r>
        <w:t xml:space="preserve"> </w:t>
      </w:r>
      <w:r w:rsidRPr="00036F3C">
        <w:t>Committee</w:t>
      </w:r>
      <w:r>
        <w:t>’</w:t>
      </w:r>
      <w:r w:rsidRPr="00036F3C">
        <w:t>s</w:t>
      </w:r>
      <w:r>
        <w:t xml:space="preserve"> </w:t>
      </w:r>
      <w:r w:rsidRPr="00036F3C">
        <w:t>general</w:t>
      </w:r>
      <w:r>
        <w:t xml:space="preserve"> </w:t>
      </w:r>
      <w:r w:rsidRPr="00036F3C">
        <w:t>comment</w:t>
      </w:r>
      <w:r>
        <w:t xml:space="preserve"> </w:t>
      </w:r>
      <w:r w:rsidRPr="00036F3C">
        <w:t>No.</w:t>
      </w:r>
      <w:r>
        <w:t xml:space="preserve"> </w:t>
      </w:r>
      <w:r w:rsidRPr="00036F3C">
        <w:t>25,</w:t>
      </w:r>
      <w:r>
        <w:t xml:space="preserve"> </w:t>
      </w:r>
      <w:r w:rsidRPr="00036F3C">
        <w:t>para.</w:t>
      </w:r>
      <w:r>
        <w:t xml:space="preserve"> </w:t>
      </w:r>
      <w:r w:rsidRPr="00036F3C">
        <w:t>14;</w:t>
      </w:r>
      <w:r>
        <w:t xml:space="preserve"> </w:t>
      </w:r>
      <w:r w:rsidRPr="00036F3C">
        <w:t>and</w:t>
      </w:r>
      <w:r>
        <w:t xml:space="preserve"> </w:t>
      </w:r>
      <w:r w:rsidRPr="00036F3C">
        <w:rPr>
          <w:i/>
          <w:iCs/>
        </w:rPr>
        <w:t>Dissanayake</w:t>
      </w:r>
      <w:r>
        <w:rPr>
          <w:i/>
          <w:iCs/>
        </w:rPr>
        <w:t xml:space="preserve"> </w:t>
      </w:r>
      <w:r w:rsidRPr="00036F3C">
        <w:rPr>
          <w:i/>
          <w:iCs/>
        </w:rPr>
        <w:t>v.</w:t>
      </w:r>
      <w:r>
        <w:rPr>
          <w:i/>
          <w:iCs/>
        </w:rPr>
        <w:t xml:space="preserve"> </w:t>
      </w:r>
      <w:r w:rsidRPr="00036F3C">
        <w:rPr>
          <w:i/>
          <w:iCs/>
        </w:rPr>
        <w:t>Sri</w:t>
      </w:r>
      <w:r>
        <w:rPr>
          <w:i/>
          <w:iCs/>
        </w:rPr>
        <w:t xml:space="preserve"> </w:t>
      </w:r>
      <w:r w:rsidRPr="00036F3C">
        <w:rPr>
          <w:i/>
          <w:iCs/>
        </w:rPr>
        <w:t>Lanka</w:t>
      </w:r>
      <w:r w:rsidRPr="00036F3C">
        <w:t>,</w:t>
      </w:r>
      <w:r>
        <w:t xml:space="preserve"> </w:t>
      </w:r>
      <w:r w:rsidRPr="00036F3C">
        <w:t>para.</w:t>
      </w:r>
      <w:r>
        <w:t xml:space="preserve"> </w:t>
      </w:r>
      <w:r w:rsidRPr="00036F3C">
        <w:t>8.5.</w:t>
      </w:r>
    </w:p>
  </w:footnote>
  <w:footnote w:id="40">
    <w:p w:rsidR="00B97A81" w:rsidRPr="00036F3C" w:rsidRDefault="00B97A81" w:rsidP="000D3068">
      <w:pPr>
        <w:pStyle w:val="FootnoteText"/>
      </w:pPr>
      <w:r w:rsidRPr="00036F3C">
        <w:tab/>
      </w:r>
      <w:r w:rsidRPr="00744EE1">
        <w:rPr>
          <w:rStyle w:val="FootnoteReference"/>
        </w:rPr>
        <w:footnoteRef/>
      </w:r>
      <w:r w:rsidRPr="00036F3C">
        <w:tab/>
        <w:t>See</w:t>
      </w:r>
      <w:r>
        <w:t xml:space="preserve"> </w:t>
      </w:r>
      <w:r w:rsidRPr="00036F3C">
        <w:t>A/HRC/23/43/Add.3;</w:t>
      </w:r>
      <w:r>
        <w:t xml:space="preserve"> </w:t>
      </w:r>
      <w:r w:rsidRPr="00036F3C">
        <w:t>and</w:t>
      </w:r>
      <w:r>
        <w:t xml:space="preserve"> </w:t>
      </w:r>
      <w:r w:rsidRPr="00036F3C">
        <w:t>the</w:t>
      </w:r>
      <w:r>
        <w:t xml:space="preserve"> </w:t>
      </w:r>
      <w:r w:rsidRPr="00036F3C">
        <w:t>Bar</w:t>
      </w:r>
      <w:r>
        <w:t xml:space="preserve"> </w:t>
      </w:r>
      <w:r w:rsidRPr="00036F3C">
        <w:t>Human</w:t>
      </w:r>
      <w:r>
        <w:t xml:space="preserve"> </w:t>
      </w:r>
      <w:r w:rsidRPr="00036F3C">
        <w:t>Rights</w:t>
      </w:r>
      <w:r>
        <w:t xml:space="preserve"> </w:t>
      </w:r>
      <w:r w:rsidRPr="00036F3C">
        <w:t>Committee</w:t>
      </w:r>
      <w:r>
        <w:t xml:space="preserve"> </w:t>
      </w:r>
      <w:r w:rsidRPr="00036F3C">
        <w:t>of</w:t>
      </w:r>
      <w:r>
        <w:t xml:space="preserve"> </w:t>
      </w:r>
      <w:r w:rsidRPr="00036F3C">
        <w:t>England</w:t>
      </w:r>
      <w:r>
        <w:t xml:space="preserve"> </w:t>
      </w:r>
      <w:r w:rsidRPr="00036F3C">
        <w:t>and</w:t>
      </w:r>
      <w:r>
        <w:t xml:space="preserve"> </w:t>
      </w:r>
      <w:r w:rsidRPr="00036F3C">
        <w:t>Wales,</w:t>
      </w:r>
      <w:r>
        <w:t xml:space="preserve"> “</w:t>
      </w:r>
      <w:r w:rsidRPr="00036F3C">
        <w:t>The</w:t>
      </w:r>
      <w:r>
        <w:t xml:space="preserve"> </w:t>
      </w:r>
      <w:r w:rsidRPr="00036F3C">
        <w:t>prosecution</w:t>
      </w:r>
      <w:r>
        <w:t xml:space="preserve"> </w:t>
      </w:r>
      <w:r w:rsidRPr="00036F3C">
        <w:t>of</w:t>
      </w:r>
      <w:r>
        <w:t xml:space="preserve"> </w:t>
      </w:r>
      <w:r w:rsidRPr="00036F3C">
        <w:t>former</w:t>
      </w:r>
      <w:r>
        <w:t xml:space="preserve"> </w:t>
      </w:r>
      <w:r w:rsidRPr="00036F3C">
        <w:t>Maldivian</w:t>
      </w:r>
      <w:r>
        <w:t xml:space="preserve"> </w:t>
      </w:r>
      <w:r w:rsidRPr="00036F3C">
        <w:t>president</w:t>
      </w:r>
      <w:r>
        <w:t xml:space="preserve"> </w:t>
      </w:r>
      <w:r w:rsidRPr="00036F3C">
        <w:t>Mohamed</w:t>
      </w:r>
      <w:r>
        <w:t xml:space="preserve"> </w:t>
      </w:r>
      <w:r w:rsidRPr="00036F3C">
        <w:t>Nasheed:</w:t>
      </w:r>
      <w:r>
        <w:t xml:space="preserve"> </w:t>
      </w:r>
      <w:r w:rsidRPr="00036F3C">
        <w:t>report</w:t>
      </w:r>
      <w:r>
        <w:t xml:space="preserve"> </w:t>
      </w:r>
      <w:r w:rsidRPr="00036F3C">
        <w:t>of</w:t>
      </w:r>
      <w:r>
        <w:t xml:space="preserve"> </w:t>
      </w:r>
      <w:r w:rsidRPr="00036F3C">
        <w:t>BHRC</w:t>
      </w:r>
      <w:r>
        <w:t>’</w:t>
      </w:r>
      <w:r w:rsidRPr="00036F3C">
        <w:t>s</w:t>
      </w:r>
      <w:r>
        <w:t xml:space="preserve"> </w:t>
      </w:r>
      <w:r w:rsidRPr="00036F3C">
        <w:t>second</w:t>
      </w:r>
      <w:r>
        <w:t xml:space="preserve"> </w:t>
      </w:r>
      <w:r w:rsidRPr="00036F3C">
        <w:t>independent</w:t>
      </w:r>
      <w:r>
        <w:t xml:space="preserve"> </w:t>
      </w:r>
      <w:r w:rsidRPr="00036F3C">
        <w:t>legal</w:t>
      </w:r>
      <w:r>
        <w:t xml:space="preserve"> </w:t>
      </w:r>
      <w:r w:rsidRPr="00036F3C">
        <w:t>observation</w:t>
      </w:r>
      <w:r>
        <w:t xml:space="preserve"> </w:t>
      </w:r>
      <w:r w:rsidRPr="00036F3C">
        <w:t>mission</w:t>
      </w:r>
      <w:r>
        <w:t>”</w:t>
      </w:r>
      <w:r w:rsidRPr="00036F3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7A" w:rsidRDefault="00B97A81" w:rsidP="0086637A">
    <w:pPr>
      <w:pStyle w:val="Header"/>
      <w:rPr>
        <w:lang w:val="fr-CH"/>
      </w:rPr>
    </w:pPr>
    <w:r w:rsidRPr="0086637A">
      <w:rPr>
        <w:lang w:val="fr-CH"/>
      </w:rPr>
      <w:t>CCPR/C/122/D/2270/2013</w:t>
    </w:r>
  </w:p>
  <w:p w:rsidR="00B97A81" w:rsidRPr="0086637A" w:rsidRDefault="00B97A81" w:rsidP="0086637A">
    <w:pPr>
      <w:pStyle w:val="Header"/>
      <w:rPr>
        <w:lang w:val="fr-CH"/>
      </w:rPr>
    </w:pPr>
    <w:r w:rsidRPr="0086637A">
      <w:rPr>
        <w:lang w:val="fr-CH"/>
      </w:rPr>
      <w:t>CCPR/C/122/D/2851/2016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7A" w:rsidRDefault="00B97A81" w:rsidP="0086637A">
    <w:pPr>
      <w:pStyle w:val="Header"/>
      <w:jc w:val="right"/>
      <w:rPr>
        <w:lang w:val="fr-CH"/>
      </w:rPr>
    </w:pPr>
    <w:r w:rsidRPr="0086637A">
      <w:rPr>
        <w:lang w:val="fr-CH"/>
      </w:rPr>
      <w:t>CCPR/C/122/D/2270/2013</w:t>
    </w:r>
  </w:p>
  <w:p w:rsidR="00B97A81" w:rsidRPr="0086637A" w:rsidRDefault="00B97A81" w:rsidP="0086637A">
    <w:pPr>
      <w:pStyle w:val="Header"/>
      <w:jc w:val="right"/>
      <w:rPr>
        <w:lang w:val="fr-CH"/>
      </w:rPr>
    </w:pPr>
    <w:r w:rsidRPr="0086637A">
      <w:rPr>
        <w:lang w:val="fr-CH"/>
      </w:rPr>
      <w:t>CCPR/C/122/D/2851/2016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10"/>
    <w:rsid w:val="00025E29"/>
    <w:rsid w:val="00040CB3"/>
    <w:rsid w:val="000421E8"/>
    <w:rsid w:val="00046E92"/>
    <w:rsid w:val="0006523D"/>
    <w:rsid w:val="000D3068"/>
    <w:rsid w:val="000E076D"/>
    <w:rsid w:val="00131D7A"/>
    <w:rsid w:val="00165C15"/>
    <w:rsid w:val="001C6EF3"/>
    <w:rsid w:val="00247E2C"/>
    <w:rsid w:val="0025481D"/>
    <w:rsid w:val="00271486"/>
    <w:rsid w:val="00276210"/>
    <w:rsid w:val="002844CE"/>
    <w:rsid w:val="002865F2"/>
    <w:rsid w:val="002D6C53"/>
    <w:rsid w:val="002F5595"/>
    <w:rsid w:val="003001EB"/>
    <w:rsid w:val="00334F6A"/>
    <w:rsid w:val="00336483"/>
    <w:rsid w:val="00342AC8"/>
    <w:rsid w:val="0037440B"/>
    <w:rsid w:val="00391C68"/>
    <w:rsid w:val="003B4550"/>
    <w:rsid w:val="00461253"/>
    <w:rsid w:val="004616B2"/>
    <w:rsid w:val="00472FED"/>
    <w:rsid w:val="004E2247"/>
    <w:rsid w:val="004F772C"/>
    <w:rsid w:val="005042C2"/>
    <w:rsid w:val="00533F65"/>
    <w:rsid w:val="005E2AEE"/>
    <w:rsid w:val="005F3677"/>
    <w:rsid w:val="00671529"/>
    <w:rsid w:val="007268F9"/>
    <w:rsid w:val="00744EE1"/>
    <w:rsid w:val="00755DF1"/>
    <w:rsid w:val="007A076C"/>
    <w:rsid w:val="007C52B0"/>
    <w:rsid w:val="007F438A"/>
    <w:rsid w:val="00817E57"/>
    <w:rsid w:val="0086637A"/>
    <w:rsid w:val="008D3450"/>
    <w:rsid w:val="008F32C4"/>
    <w:rsid w:val="00916D2E"/>
    <w:rsid w:val="009211B6"/>
    <w:rsid w:val="009411B4"/>
    <w:rsid w:val="00995FAE"/>
    <w:rsid w:val="009C4BA5"/>
    <w:rsid w:val="009D0139"/>
    <w:rsid w:val="009F5CDC"/>
    <w:rsid w:val="00A035EA"/>
    <w:rsid w:val="00A23459"/>
    <w:rsid w:val="00A60785"/>
    <w:rsid w:val="00A775CF"/>
    <w:rsid w:val="00A9117B"/>
    <w:rsid w:val="00AB6867"/>
    <w:rsid w:val="00B06045"/>
    <w:rsid w:val="00B47607"/>
    <w:rsid w:val="00B52519"/>
    <w:rsid w:val="00B903E5"/>
    <w:rsid w:val="00B97A81"/>
    <w:rsid w:val="00C35A27"/>
    <w:rsid w:val="00CA1AEA"/>
    <w:rsid w:val="00E02C2B"/>
    <w:rsid w:val="00E67817"/>
    <w:rsid w:val="00E80456"/>
    <w:rsid w:val="00E930B9"/>
    <w:rsid w:val="00EC14AE"/>
    <w:rsid w:val="00ED6C48"/>
    <w:rsid w:val="00EE1201"/>
    <w:rsid w:val="00F41F0F"/>
    <w:rsid w:val="00F65F5D"/>
    <w:rsid w:val="00F86A3A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319FD-5021-4CF8-9805-D8B12F2F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6370-38D7-43B7-8348-D778717A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</Template>
  <TotalTime>0</TotalTime>
  <Pages>15</Pages>
  <Words>8419</Words>
  <Characters>47992</Characters>
  <Application>Microsoft Office Word</Application>
  <DocSecurity>0</DocSecurity>
  <Lines>399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1807151</vt:lpstr>
      <vt:lpstr>1806172</vt:lpstr>
    </vt:vector>
  </TitlesOfParts>
  <Company>DCM</Company>
  <LinksUpToDate>false</LinksUpToDate>
  <CharactersWithSpaces>56299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1807151</dc:title>
  <dc:subject>CCPR/C/122/D/2270/2013</dc:subject>
  <dc:creator>Cristina BRIGOLI</dc:creator>
  <cp:keywords/>
  <dc:description/>
  <cp:lastModifiedBy>Sarah Willig</cp:lastModifiedBy>
  <cp:revision>2</cp:revision>
  <cp:lastPrinted>2018-05-03T13:13:00Z</cp:lastPrinted>
  <dcterms:created xsi:type="dcterms:W3CDTF">2019-04-24T21:57:00Z</dcterms:created>
  <dcterms:modified xsi:type="dcterms:W3CDTF">2019-04-24T21:57:00Z</dcterms:modified>
</cp:coreProperties>
</file>