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97B00" w:rsidRPr="0010350D" w:rsidTr="008B0E59">
        <w:trPr>
          <w:trHeight w:hRule="exact" w:val="851"/>
        </w:trPr>
        <w:tc>
          <w:tcPr>
            <w:tcW w:w="1276" w:type="dxa"/>
            <w:tcBorders>
              <w:bottom w:val="single" w:sz="4" w:space="0" w:color="auto"/>
            </w:tcBorders>
          </w:tcPr>
          <w:p w:rsidR="00297B00" w:rsidRPr="00DB58B5" w:rsidRDefault="00297B00" w:rsidP="00042A63">
            <w:pPr>
              <w:pStyle w:val="Heading2"/>
            </w:pPr>
            <w:bookmarkStart w:id="0" w:name="_GoBack"/>
            <w:bookmarkEnd w:id="0"/>
          </w:p>
        </w:tc>
        <w:tc>
          <w:tcPr>
            <w:tcW w:w="2268" w:type="dxa"/>
            <w:tcBorders>
              <w:bottom w:val="single" w:sz="4" w:space="0" w:color="auto"/>
            </w:tcBorders>
            <w:vAlign w:val="bottom"/>
          </w:tcPr>
          <w:p w:rsidR="00297B00" w:rsidRPr="00DB58B5" w:rsidRDefault="00297B00" w:rsidP="00A56EA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297B00" w:rsidRPr="0010350D" w:rsidRDefault="00C93F13" w:rsidP="00A5425B">
            <w:pPr>
              <w:jc w:val="right"/>
            </w:pPr>
            <w:r w:rsidRPr="0010350D">
              <w:rPr>
                <w:sz w:val="40"/>
              </w:rPr>
              <w:t>CAT</w:t>
            </w:r>
            <w:r w:rsidR="0010350D" w:rsidRPr="0010350D">
              <w:t>/C/5</w:t>
            </w:r>
            <w:r w:rsidR="00A5425B">
              <w:t>9</w:t>
            </w:r>
            <w:r w:rsidRPr="0010350D">
              <w:t>/D/</w:t>
            </w:r>
            <w:r w:rsidR="002C07C1">
              <w:t>606</w:t>
            </w:r>
            <w:r w:rsidRPr="0010350D">
              <w:t>/</w:t>
            </w:r>
            <w:r w:rsidR="0010350D" w:rsidRPr="0010350D">
              <w:t>201</w:t>
            </w:r>
            <w:r w:rsidR="002C07C1">
              <w:t>4</w:t>
            </w:r>
          </w:p>
        </w:tc>
      </w:tr>
      <w:tr w:rsidR="00297B00" w:rsidRPr="00DB58B5" w:rsidTr="00A56EA8">
        <w:trPr>
          <w:trHeight w:hRule="exact" w:val="2835"/>
        </w:trPr>
        <w:tc>
          <w:tcPr>
            <w:tcW w:w="1276" w:type="dxa"/>
            <w:tcBorders>
              <w:top w:val="single" w:sz="4" w:space="0" w:color="auto"/>
              <w:bottom w:val="single" w:sz="12" w:space="0" w:color="auto"/>
            </w:tcBorders>
          </w:tcPr>
          <w:p w:rsidR="00297B00" w:rsidRPr="00DB58B5" w:rsidRDefault="00293314" w:rsidP="00A56EA8">
            <w:pPr>
              <w:spacing w:before="120"/>
              <w:jc w:val="center"/>
            </w:pPr>
            <w:r>
              <w:rPr>
                <w:noProof/>
                <w:lang w:val="en-US"/>
              </w:rPr>
              <w:drawing>
                <wp:inline distT="0" distB="0" distL="0" distR="0" wp14:anchorId="4A496C74" wp14:editId="7DD27BB9">
                  <wp:extent cx="716280" cy="594360"/>
                  <wp:effectExtent l="0" t="0" r="762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D71B3" w:rsidRPr="00740562" w:rsidRDefault="00297B00" w:rsidP="00F16973">
            <w:pPr>
              <w:spacing w:before="120" w:line="380" w:lineRule="exact"/>
              <w:rPr>
                <w:b/>
                <w:sz w:val="40"/>
                <w:szCs w:val="40"/>
              </w:rPr>
            </w:pPr>
            <w:r w:rsidRPr="0027083C">
              <w:rPr>
                <w:b/>
                <w:sz w:val="34"/>
                <w:szCs w:val="34"/>
              </w:rPr>
              <w:t>Convention contre</w:t>
            </w:r>
            <w:r w:rsidRPr="0027083C">
              <w:rPr>
                <w:b/>
                <w:sz w:val="34"/>
                <w:szCs w:val="34"/>
              </w:rPr>
              <w:br/>
              <w:t>la torture et autres peines</w:t>
            </w:r>
            <w:r w:rsidRPr="0027083C">
              <w:rPr>
                <w:b/>
                <w:sz w:val="34"/>
                <w:szCs w:val="34"/>
              </w:rPr>
              <w:br/>
              <w:t>ou traitements cruels,</w:t>
            </w:r>
            <w:r w:rsidRPr="0027083C">
              <w:rPr>
                <w:b/>
                <w:sz w:val="34"/>
                <w:szCs w:val="34"/>
              </w:rPr>
              <w:br/>
              <w:t>inhumains ou dégradant</w:t>
            </w:r>
          </w:p>
        </w:tc>
        <w:tc>
          <w:tcPr>
            <w:tcW w:w="2835" w:type="dxa"/>
            <w:tcBorders>
              <w:top w:val="single" w:sz="4" w:space="0" w:color="auto"/>
              <w:bottom w:val="single" w:sz="12" w:space="0" w:color="auto"/>
            </w:tcBorders>
          </w:tcPr>
          <w:p w:rsidR="00BC0960" w:rsidRDefault="00BC0960" w:rsidP="008B0E59">
            <w:pPr>
              <w:spacing w:line="240" w:lineRule="exact"/>
            </w:pPr>
          </w:p>
          <w:p w:rsidR="00765948" w:rsidRDefault="008B0E59" w:rsidP="008B0E59">
            <w:pPr>
              <w:spacing w:line="240" w:lineRule="exact"/>
            </w:pPr>
            <w:r>
              <w:t>Distr.</w:t>
            </w:r>
            <w:r w:rsidR="00FF46FE">
              <w:t xml:space="preserve"> </w:t>
            </w:r>
            <w:r w:rsidR="00131EA9" w:rsidRPr="00131EA9">
              <w:t>général</w:t>
            </w:r>
            <w:r w:rsidR="002F0E22">
              <w:t>e</w:t>
            </w:r>
            <w:r w:rsidR="00131EA9" w:rsidRPr="00131EA9" w:rsidDel="00131EA9">
              <w:t xml:space="preserve"> </w:t>
            </w:r>
          </w:p>
          <w:p w:rsidR="00FF46FE" w:rsidRDefault="001172B4" w:rsidP="00CA2F11">
            <w:pPr>
              <w:spacing w:line="240" w:lineRule="exact"/>
            </w:pPr>
            <w:r>
              <w:t>1</w:t>
            </w:r>
            <w:r w:rsidR="003F1463">
              <w:t>8</w:t>
            </w:r>
            <w:r w:rsidR="00E23759">
              <w:t xml:space="preserve"> avril</w:t>
            </w:r>
            <w:r w:rsidR="003E6CFC">
              <w:t xml:space="preserve"> </w:t>
            </w:r>
            <w:r w:rsidR="00E43CE0">
              <w:t>2017</w:t>
            </w:r>
          </w:p>
          <w:p w:rsidR="004A0F0A" w:rsidRDefault="004A0F0A" w:rsidP="008B0E59">
            <w:pPr>
              <w:spacing w:line="240" w:lineRule="exact"/>
            </w:pPr>
          </w:p>
          <w:p w:rsidR="008B0E59" w:rsidRDefault="008B0E59" w:rsidP="008B0E59">
            <w:pPr>
              <w:spacing w:line="240" w:lineRule="exact"/>
            </w:pPr>
            <w:r>
              <w:t>Original</w:t>
            </w:r>
            <w:r w:rsidR="00E43CE0">
              <w:t> </w:t>
            </w:r>
            <w:r>
              <w:t xml:space="preserve">: français </w:t>
            </w:r>
          </w:p>
          <w:p w:rsidR="000A1DC9" w:rsidRPr="00DB58B5" w:rsidRDefault="000A1DC9" w:rsidP="00BE7274">
            <w:pPr>
              <w:spacing w:line="240" w:lineRule="exact"/>
            </w:pPr>
          </w:p>
        </w:tc>
      </w:tr>
    </w:tbl>
    <w:p w:rsidR="001C63E0" w:rsidRPr="00C00981" w:rsidRDefault="001C63E0" w:rsidP="004D4BB3">
      <w:pPr>
        <w:keepNext/>
        <w:keepLines/>
        <w:spacing w:before="120" w:line="270" w:lineRule="exact"/>
        <w:ind w:right="1134"/>
        <w:outlineLvl w:val="0"/>
        <w:rPr>
          <w:rFonts w:eastAsia="Calibri"/>
          <w:b/>
          <w:spacing w:val="4"/>
          <w:w w:val="103"/>
          <w:kern w:val="14"/>
          <w:sz w:val="24"/>
          <w:szCs w:val="22"/>
          <w:lang w:val="fr-FR"/>
        </w:rPr>
      </w:pPr>
      <w:r w:rsidRPr="00C00981">
        <w:rPr>
          <w:rFonts w:eastAsia="Calibri"/>
          <w:b/>
          <w:spacing w:val="4"/>
          <w:w w:val="103"/>
          <w:kern w:val="14"/>
          <w:sz w:val="24"/>
          <w:szCs w:val="22"/>
          <w:lang w:val="fr-FR"/>
        </w:rPr>
        <w:t>Comité contre la torture</w:t>
      </w:r>
    </w:p>
    <w:p w:rsidR="001E3D14" w:rsidRPr="007E0950" w:rsidRDefault="00765948" w:rsidP="00E93E9F">
      <w:pPr>
        <w:pStyle w:val="HChG"/>
      </w:pPr>
      <w:r>
        <w:tab/>
      </w:r>
      <w:r>
        <w:tab/>
      </w:r>
      <w:r w:rsidR="00131EA9" w:rsidRPr="00131EA9">
        <w:t xml:space="preserve">Décision adoptée par le Comité </w:t>
      </w:r>
      <w:r w:rsidR="009A5915">
        <w:t>au titre</w:t>
      </w:r>
      <w:r w:rsidR="00131EA9" w:rsidRPr="00131EA9">
        <w:t xml:space="preserve"> de l</w:t>
      </w:r>
      <w:r w:rsidR="008610E3" w:rsidRPr="008610E3">
        <w:t>’</w:t>
      </w:r>
      <w:r w:rsidR="00131EA9" w:rsidRPr="00131EA9">
        <w:t xml:space="preserve">article 22 de la Convention, concernant la </w:t>
      </w:r>
      <w:r w:rsidR="00131EA9">
        <w:t>c</w:t>
      </w:r>
      <w:r w:rsidRPr="00765948">
        <w:t>ommunication n</w:t>
      </w:r>
      <w:r w:rsidRPr="00765948">
        <w:rPr>
          <w:vertAlign w:val="superscript"/>
        </w:rPr>
        <w:t>o</w:t>
      </w:r>
      <w:r w:rsidR="003B0863">
        <w:t> </w:t>
      </w:r>
      <w:r w:rsidR="002C07C1">
        <w:t>606</w:t>
      </w:r>
      <w:r w:rsidR="00EC5590">
        <w:t>/201</w:t>
      </w:r>
      <w:r w:rsidR="002C07C1">
        <w:t>4</w:t>
      </w:r>
      <w:r w:rsidR="00131EA9" w:rsidRPr="00E93E9F">
        <w:rPr>
          <w:b w:val="0"/>
          <w:bCs/>
          <w:sz w:val="20"/>
        </w:rPr>
        <w:footnoteReference w:customMarkFollows="1" w:id="2"/>
        <w:t>*</w:t>
      </w:r>
      <w:r w:rsidR="00131EA9" w:rsidRPr="00E93E9F">
        <w:rPr>
          <w:b w:val="0"/>
          <w:position w:val="4"/>
          <w:sz w:val="20"/>
        </w:rPr>
        <w:t>,</w:t>
      </w:r>
      <w:r w:rsidR="003B0863" w:rsidRPr="00E93E9F">
        <w:rPr>
          <w:b w:val="0"/>
          <w:position w:val="4"/>
          <w:sz w:val="20"/>
        </w:rPr>
        <w:t xml:space="preserve"> </w:t>
      </w:r>
      <w:r w:rsidR="00131EA9" w:rsidRPr="00E93E9F">
        <w:rPr>
          <w:b w:val="0"/>
          <w:sz w:val="20"/>
        </w:rPr>
        <w:footnoteReference w:customMarkFollows="1" w:id="3"/>
        <w:t>**</w:t>
      </w:r>
    </w:p>
    <w:p w:rsidR="00765948" w:rsidRPr="00765948" w:rsidRDefault="003B0863" w:rsidP="00BC778C">
      <w:pPr>
        <w:pStyle w:val="SingleTxtG"/>
        <w:ind w:left="4536" w:hanging="3402"/>
        <w:jc w:val="left"/>
        <w:rPr>
          <w:rFonts w:eastAsia="SimSun"/>
          <w:lang w:eastAsia="zh-CN"/>
        </w:rPr>
      </w:pPr>
      <w:r>
        <w:rPr>
          <w:rFonts w:eastAsia="SimSun"/>
          <w:i/>
          <w:lang w:eastAsia="zh-CN"/>
        </w:rPr>
        <w:t>Communication p</w:t>
      </w:r>
      <w:r w:rsidR="00765948" w:rsidRPr="00765948">
        <w:rPr>
          <w:rFonts w:eastAsia="SimSun"/>
          <w:i/>
          <w:lang w:eastAsia="zh-CN"/>
        </w:rPr>
        <w:t>résentée par</w:t>
      </w:r>
      <w:r w:rsidR="00395418">
        <w:rPr>
          <w:rFonts w:eastAsia="SimSun"/>
          <w:i/>
          <w:lang w:eastAsia="zh-CN"/>
        </w:rPr>
        <w:t> </w:t>
      </w:r>
      <w:r w:rsidR="00765948" w:rsidRPr="00765948">
        <w:rPr>
          <w:rFonts w:eastAsia="SimSun"/>
          <w:i/>
          <w:lang w:eastAsia="zh-CN"/>
        </w:rPr>
        <w:t>:</w:t>
      </w:r>
      <w:r w:rsidR="00765948" w:rsidRPr="00765948">
        <w:rPr>
          <w:rFonts w:eastAsia="SimSun"/>
          <w:i/>
          <w:lang w:eastAsia="zh-CN"/>
        </w:rPr>
        <w:tab/>
      </w:r>
      <w:r w:rsidR="00765948" w:rsidRPr="00765948">
        <w:rPr>
          <w:rFonts w:eastAsia="SimSun"/>
          <w:i/>
          <w:lang w:eastAsia="zh-CN"/>
        </w:rPr>
        <w:tab/>
      </w:r>
      <w:r w:rsidR="002C07C1">
        <w:rPr>
          <w:rFonts w:eastAsia="SimSun"/>
          <w:lang w:eastAsia="zh-CN"/>
        </w:rPr>
        <w:t>Ennaâma Asfari</w:t>
      </w:r>
      <w:r w:rsidR="001A360A">
        <w:rPr>
          <w:rFonts w:eastAsia="SimSun"/>
          <w:lang w:eastAsia="zh-CN"/>
        </w:rPr>
        <w:t xml:space="preserve"> (représenté par </w:t>
      </w:r>
      <w:r w:rsidR="001A360A" w:rsidRPr="009E40E8">
        <w:rPr>
          <w:rFonts w:eastAsia="MS Mincho"/>
          <w:lang w:val="fr-FR"/>
        </w:rPr>
        <w:t>ACAT-France et</w:t>
      </w:r>
      <w:r w:rsidR="00BC778C">
        <w:rPr>
          <w:rFonts w:eastAsia="MS Mincho"/>
          <w:lang w:val="fr-FR"/>
        </w:rPr>
        <w:t> </w:t>
      </w:r>
      <w:r w:rsidR="001A360A" w:rsidRPr="009E40E8">
        <w:rPr>
          <w:rFonts w:eastAsia="MS Mincho"/>
          <w:lang w:val="fr-FR"/>
        </w:rPr>
        <w:t>Joseph Breham</w:t>
      </w:r>
    </w:p>
    <w:p w:rsidR="00765948" w:rsidRPr="00765948" w:rsidRDefault="00765948" w:rsidP="00EE607C">
      <w:pPr>
        <w:pStyle w:val="SingleTxtG"/>
        <w:ind w:left="4536" w:hanging="3402"/>
        <w:jc w:val="left"/>
        <w:rPr>
          <w:rFonts w:eastAsia="SimSun"/>
          <w:lang w:eastAsia="zh-CN"/>
        </w:rPr>
      </w:pPr>
      <w:r w:rsidRPr="00765948">
        <w:rPr>
          <w:rFonts w:eastAsia="SimSun"/>
          <w:i/>
          <w:lang w:eastAsia="zh-CN"/>
        </w:rPr>
        <w:t>Au nom de</w:t>
      </w:r>
      <w:r w:rsidR="00395418">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616C72">
        <w:rPr>
          <w:rFonts w:eastAsia="SimSun"/>
          <w:lang w:eastAsia="zh-CN"/>
        </w:rPr>
        <w:t>Le requérant</w:t>
      </w:r>
    </w:p>
    <w:p w:rsidR="00765948" w:rsidRPr="00765948" w:rsidRDefault="00765948" w:rsidP="00EE607C">
      <w:pPr>
        <w:pStyle w:val="SingleTxtG"/>
        <w:ind w:left="4536" w:hanging="3402"/>
        <w:jc w:val="left"/>
        <w:rPr>
          <w:rFonts w:eastAsia="SimSun"/>
          <w:lang w:eastAsia="zh-CN"/>
        </w:rPr>
      </w:pPr>
      <w:r w:rsidRPr="00765948">
        <w:rPr>
          <w:rFonts w:eastAsia="SimSun"/>
          <w:i/>
          <w:lang w:eastAsia="zh-CN"/>
        </w:rPr>
        <w:t>État partie</w:t>
      </w:r>
      <w:r w:rsidR="00395418">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2C07C1">
        <w:rPr>
          <w:rFonts w:eastAsia="SimSun"/>
          <w:lang w:eastAsia="zh-CN"/>
        </w:rPr>
        <w:t>Maroc</w:t>
      </w:r>
    </w:p>
    <w:p w:rsidR="00765948" w:rsidRPr="00765948" w:rsidRDefault="00765948" w:rsidP="00EE607C">
      <w:pPr>
        <w:pStyle w:val="SingleTxtG"/>
        <w:ind w:left="4536" w:hanging="3402"/>
        <w:jc w:val="left"/>
        <w:rPr>
          <w:rFonts w:eastAsia="SimSun"/>
          <w:lang w:eastAsia="zh-CN"/>
        </w:rPr>
      </w:pPr>
      <w:r w:rsidRPr="00765948">
        <w:rPr>
          <w:rFonts w:eastAsia="SimSun"/>
          <w:i/>
          <w:lang w:eastAsia="zh-CN"/>
        </w:rPr>
        <w:t>Date de la requête</w:t>
      </w:r>
      <w:r w:rsidR="00395418">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2C07C1">
        <w:rPr>
          <w:rFonts w:eastAsia="SimSun"/>
          <w:lang w:eastAsia="zh-CN"/>
        </w:rPr>
        <w:t>4</w:t>
      </w:r>
      <w:r w:rsidR="001C4760">
        <w:t xml:space="preserve"> </w:t>
      </w:r>
      <w:r w:rsidR="002C07C1">
        <w:t>mars</w:t>
      </w:r>
      <w:r w:rsidR="002E2AE4" w:rsidRPr="00A2111E">
        <w:t xml:space="preserve"> 201</w:t>
      </w:r>
      <w:r w:rsidR="002C07C1">
        <w:t>4</w:t>
      </w:r>
      <w:r w:rsidR="002E2AE4" w:rsidRPr="00A2111E">
        <w:t xml:space="preserve"> </w:t>
      </w:r>
      <w:r w:rsidRPr="00765948">
        <w:rPr>
          <w:rFonts w:eastAsia="SimSun"/>
          <w:lang w:eastAsia="zh-CN"/>
        </w:rPr>
        <w:t>(lettre initiale)</w:t>
      </w:r>
    </w:p>
    <w:p w:rsidR="00765948" w:rsidRPr="00765948" w:rsidRDefault="00765948" w:rsidP="00EE607C">
      <w:pPr>
        <w:pStyle w:val="SingleTxtG"/>
        <w:ind w:left="4536" w:hanging="3402"/>
        <w:jc w:val="left"/>
        <w:rPr>
          <w:rFonts w:eastAsia="SimSun"/>
          <w:lang w:eastAsia="zh-CN"/>
        </w:rPr>
      </w:pPr>
      <w:r w:rsidRPr="00765948">
        <w:rPr>
          <w:rFonts w:eastAsia="SimSun"/>
          <w:i/>
          <w:lang w:eastAsia="zh-CN"/>
        </w:rPr>
        <w:t>Date de la présente décision</w:t>
      </w:r>
      <w:r w:rsidR="00395418">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215AC0">
        <w:rPr>
          <w:rFonts w:eastAsia="SimSun"/>
          <w:lang w:eastAsia="zh-CN"/>
        </w:rPr>
        <w:t>15</w:t>
      </w:r>
      <w:r w:rsidR="00BA251E">
        <w:rPr>
          <w:rFonts w:eastAsia="SimSun"/>
          <w:lang w:eastAsia="zh-CN"/>
        </w:rPr>
        <w:t xml:space="preserve"> novembre</w:t>
      </w:r>
      <w:r w:rsidR="007E0950">
        <w:rPr>
          <w:rFonts w:eastAsia="SimSun"/>
          <w:lang w:eastAsia="zh-CN"/>
        </w:rPr>
        <w:t xml:space="preserve"> </w:t>
      </w:r>
      <w:r w:rsidRPr="00765948">
        <w:rPr>
          <w:rFonts w:eastAsia="SimSun"/>
          <w:lang w:eastAsia="zh-CN"/>
        </w:rPr>
        <w:t>201</w:t>
      </w:r>
      <w:r w:rsidR="007E0950">
        <w:rPr>
          <w:rFonts w:eastAsia="SimSun"/>
          <w:lang w:eastAsia="zh-CN"/>
        </w:rPr>
        <w:t>6</w:t>
      </w:r>
    </w:p>
    <w:p w:rsidR="001C4760" w:rsidRDefault="00765948" w:rsidP="00E93E9F">
      <w:pPr>
        <w:pStyle w:val="SingleTxtG"/>
        <w:ind w:left="4524" w:hanging="3390"/>
        <w:jc w:val="left"/>
        <w:rPr>
          <w:rFonts w:eastAsia="SimSun"/>
          <w:lang w:eastAsia="zh-CN"/>
        </w:rPr>
      </w:pPr>
      <w:r w:rsidRPr="00765948">
        <w:rPr>
          <w:rFonts w:eastAsia="SimSun"/>
          <w:i/>
          <w:iCs/>
          <w:lang w:eastAsia="zh-CN"/>
        </w:rPr>
        <w:t>Objet</w:t>
      </w:r>
      <w:r w:rsidR="00395418">
        <w:rPr>
          <w:rFonts w:eastAsia="SimSun"/>
          <w:i/>
          <w:iCs/>
          <w:lang w:eastAsia="zh-CN"/>
        </w:rPr>
        <w:t> </w:t>
      </w:r>
      <w:r w:rsidRPr="00765948">
        <w:rPr>
          <w:rFonts w:eastAsia="SimSun"/>
          <w:i/>
          <w:iCs/>
          <w:lang w:eastAsia="zh-CN"/>
        </w:rPr>
        <w:t>:</w:t>
      </w:r>
      <w:r w:rsidRPr="00765948">
        <w:rPr>
          <w:rFonts w:eastAsia="SimSun"/>
          <w:lang w:eastAsia="zh-CN"/>
        </w:rPr>
        <w:tab/>
      </w:r>
      <w:r w:rsidR="002C07C1">
        <w:rPr>
          <w:rFonts w:eastAsia="SimSun"/>
          <w:lang w:eastAsia="zh-CN"/>
        </w:rPr>
        <w:t>Torture en détention</w:t>
      </w:r>
    </w:p>
    <w:p w:rsidR="002C07C1" w:rsidRPr="00B22444" w:rsidRDefault="002C07C1" w:rsidP="00E93E9F">
      <w:pPr>
        <w:suppressAutoHyphens w:val="0"/>
        <w:spacing w:after="120"/>
        <w:ind w:left="4536" w:right="1134" w:hanging="3402"/>
        <w:rPr>
          <w:rFonts w:eastAsia="SimSun"/>
          <w:lang w:eastAsia="zh-CN"/>
        </w:rPr>
      </w:pPr>
      <w:r w:rsidRPr="00B22444">
        <w:rPr>
          <w:rFonts w:eastAsia="SimSun"/>
          <w:i/>
          <w:iCs/>
          <w:lang w:eastAsia="zh-CN"/>
        </w:rPr>
        <w:t>Question</w:t>
      </w:r>
      <w:r w:rsidR="00304508">
        <w:rPr>
          <w:rFonts w:eastAsia="SimSun"/>
          <w:i/>
          <w:iCs/>
          <w:lang w:eastAsia="zh-CN"/>
        </w:rPr>
        <w:t>(</w:t>
      </w:r>
      <w:r>
        <w:rPr>
          <w:rFonts w:eastAsia="SimSun"/>
          <w:i/>
          <w:iCs/>
          <w:lang w:eastAsia="zh-CN"/>
        </w:rPr>
        <w:t>s</w:t>
      </w:r>
      <w:r w:rsidR="00304508">
        <w:rPr>
          <w:rFonts w:eastAsia="SimSun"/>
          <w:i/>
          <w:iCs/>
          <w:lang w:eastAsia="zh-CN"/>
        </w:rPr>
        <w:t>)</w:t>
      </w:r>
      <w:r w:rsidRPr="00B22444">
        <w:rPr>
          <w:rFonts w:eastAsia="SimSun"/>
          <w:i/>
          <w:iCs/>
          <w:lang w:eastAsia="zh-CN"/>
        </w:rPr>
        <w:t xml:space="preserve"> de procédure</w:t>
      </w:r>
      <w:r w:rsidR="00395418">
        <w:rPr>
          <w:rFonts w:eastAsia="SimSun"/>
          <w:i/>
          <w:iCs/>
          <w:lang w:eastAsia="zh-CN"/>
        </w:rPr>
        <w:t> </w:t>
      </w:r>
      <w:r>
        <w:rPr>
          <w:rFonts w:eastAsia="SimSun"/>
          <w:lang w:eastAsia="zh-CN"/>
        </w:rPr>
        <w:t>:</w:t>
      </w:r>
      <w:r>
        <w:rPr>
          <w:rFonts w:eastAsia="SimSun"/>
          <w:lang w:eastAsia="zh-CN"/>
        </w:rPr>
        <w:tab/>
        <w:t>Épuisement des recours internes</w:t>
      </w:r>
      <w:r w:rsidR="0044642B">
        <w:rPr>
          <w:rFonts w:eastAsia="SimSun"/>
          <w:lang w:eastAsia="zh-CN"/>
        </w:rPr>
        <w:t> ;</w:t>
      </w:r>
      <w:r w:rsidR="008A3678">
        <w:rPr>
          <w:rFonts w:eastAsia="SimSun"/>
          <w:lang w:eastAsia="zh-CN"/>
        </w:rPr>
        <w:t xml:space="preserve"> abus du droit de soumettre une plainte</w:t>
      </w:r>
    </w:p>
    <w:p w:rsidR="00765948" w:rsidRPr="00765948" w:rsidRDefault="00765948" w:rsidP="00E6267C">
      <w:pPr>
        <w:pStyle w:val="SingleTxtG"/>
        <w:ind w:left="4536" w:hanging="3402"/>
        <w:jc w:val="left"/>
        <w:rPr>
          <w:rFonts w:eastAsia="SimSun"/>
          <w:lang w:val="fr-FR" w:eastAsia="zh-CN"/>
        </w:rPr>
      </w:pPr>
      <w:r w:rsidRPr="00765948">
        <w:rPr>
          <w:rFonts w:eastAsia="SimSun"/>
          <w:i/>
          <w:iCs/>
          <w:lang w:eastAsia="zh-CN"/>
        </w:rPr>
        <w:t>Question</w:t>
      </w:r>
      <w:r w:rsidR="00304508">
        <w:rPr>
          <w:rFonts w:eastAsia="SimSun"/>
          <w:i/>
          <w:iCs/>
          <w:lang w:eastAsia="zh-CN"/>
        </w:rPr>
        <w:t>(</w:t>
      </w:r>
      <w:r w:rsidR="00B07E78">
        <w:rPr>
          <w:rFonts w:eastAsia="SimSun"/>
          <w:i/>
          <w:iCs/>
          <w:lang w:eastAsia="zh-CN"/>
        </w:rPr>
        <w:t>s</w:t>
      </w:r>
      <w:r w:rsidR="00304508">
        <w:rPr>
          <w:rFonts w:eastAsia="SimSun"/>
          <w:i/>
          <w:iCs/>
          <w:lang w:eastAsia="zh-CN"/>
        </w:rPr>
        <w:t>)</w:t>
      </w:r>
      <w:r w:rsidRPr="00765948">
        <w:rPr>
          <w:rFonts w:eastAsia="SimSun"/>
          <w:i/>
          <w:iCs/>
          <w:lang w:eastAsia="zh-CN"/>
        </w:rPr>
        <w:t xml:space="preserve"> de fond</w:t>
      </w:r>
      <w:r w:rsidR="00395418">
        <w:rPr>
          <w:rFonts w:eastAsia="SimSun"/>
          <w:i/>
          <w:iCs/>
          <w:lang w:eastAsia="zh-CN"/>
        </w:rPr>
        <w:t> </w:t>
      </w:r>
      <w:r w:rsidRPr="00765948">
        <w:rPr>
          <w:rFonts w:eastAsia="SimSun"/>
          <w:lang w:eastAsia="zh-CN"/>
        </w:rPr>
        <w:t>:</w:t>
      </w:r>
      <w:r w:rsidRPr="00765948">
        <w:rPr>
          <w:rFonts w:eastAsia="SimSun"/>
          <w:lang w:eastAsia="zh-CN"/>
        </w:rPr>
        <w:tab/>
      </w:r>
      <w:r w:rsidR="002C07C1" w:rsidRPr="002C07C1">
        <w:rPr>
          <w:rFonts w:eastAsia="SimSun"/>
          <w:lang w:eastAsia="zh-CN"/>
        </w:rPr>
        <w:t>Torture ou traitements cruels, inhumains ou dégradants</w:t>
      </w:r>
      <w:r w:rsidR="006A6582">
        <w:rPr>
          <w:rFonts w:eastAsia="SimSun"/>
          <w:lang w:eastAsia="zh-CN"/>
        </w:rPr>
        <w:t> </w:t>
      </w:r>
      <w:r w:rsidR="002C07C1" w:rsidRPr="002C07C1">
        <w:rPr>
          <w:rFonts w:eastAsia="SimSun"/>
          <w:lang w:eastAsia="zh-CN"/>
        </w:rPr>
        <w:t>; obligation de l</w:t>
      </w:r>
      <w:r w:rsidR="00FF46FE">
        <w:rPr>
          <w:rFonts w:eastAsia="SimSun"/>
          <w:lang w:eastAsia="zh-CN"/>
        </w:rPr>
        <w:t>’</w:t>
      </w:r>
      <w:r w:rsidR="002C07C1" w:rsidRPr="002C07C1">
        <w:rPr>
          <w:rFonts w:eastAsia="SimSun"/>
          <w:lang w:eastAsia="zh-CN"/>
        </w:rPr>
        <w:t>État partie de procéder à une enquête impartiale</w:t>
      </w:r>
      <w:r w:rsidR="006A6582">
        <w:rPr>
          <w:rFonts w:eastAsia="SimSun"/>
          <w:lang w:eastAsia="zh-CN"/>
        </w:rPr>
        <w:t> </w:t>
      </w:r>
      <w:r w:rsidR="002C07C1" w:rsidRPr="002C07C1">
        <w:rPr>
          <w:rFonts w:eastAsia="SimSun"/>
          <w:lang w:eastAsia="zh-CN"/>
        </w:rPr>
        <w:t>; interdiction d</w:t>
      </w:r>
      <w:r w:rsidR="00FF46FE">
        <w:rPr>
          <w:rFonts w:eastAsia="SimSun"/>
          <w:lang w:eastAsia="zh-CN"/>
        </w:rPr>
        <w:t>’</w:t>
      </w:r>
      <w:r w:rsidR="002C07C1" w:rsidRPr="002C07C1">
        <w:rPr>
          <w:rFonts w:eastAsia="SimSun"/>
          <w:lang w:eastAsia="zh-CN"/>
        </w:rPr>
        <w:t xml:space="preserve">invoquer comme preuve des déclarations obtenues </w:t>
      </w:r>
      <w:r w:rsidR="00D418B1">
        <w:rPr>
          <w:rFonts w:eastAsia="SimSun"/>
          <w:lang w:eastAsia="zh-CN"/>
        </w:rPr>
        <w:t>sous</w:t>
      </w:r>
      <w:r w:rsidR="00D418B1" w:rsidRPr="002C07C1">
        <w:rPr>
          <w:rFonts w:eastAsia="SimSun"/>
          <w:lang w:eastAsia="zh-CN"/>
        </w:rPr>
        <w:t xml:space="preserve"> </w:t>
      </w:r>
      <w:r w:rsidR="002C07C1" w:rsidRPr="002C07C1">
        <w:rPr>
          <w:rFonts w:eastAsia="SimSun"/>
          <w:lang w:eastAsia="zh-CN"/>
        </w:rPr>
        <w:t>la torture</w:t>
      </w:r>
      <w:r w:rsidR="006A6582">
        <w:rPr>
          <w:rFonts w:eastAsia="SimSun"/>
          <w:lang w:eastAsia="zh-CN"/>
        </w:rPr>
        <w:t> </w:t>
      </w:r>
      <w:r w:rsidR="00FF46FE">
        <w:rPr>
          <w:rFonts w:eastAsia="SimSun"/>
          <w:lang w:eastAsia="zh-CN"/>
        </w:rPr>
        <w:t>;</w:t>
      </w:r>
      <w:r w:rsidR="0069744E">
        <w:rPr>
          <w:rFonts w:eastAsia="SimSun"/>
          <w:lang w:eastAsia="zh-CN"/>
        </w:rPr>
        <w:t xml:space="preserve"> protection contre toute intimidation </w:t>
      </w:r>
      <w:r w:rsidR="00B222BF">
        <w:rPr>
          <w:rFonts w:eastAsia="SimSun"/>
          <w:lang w:eastAsia="zh-CN"/>
        </w:rPr>
        <w:t>pour avoir dénoncé des actes de </w:t>
      </w:r>
      <w:r w:rsidR="0069744E">
        <w:rPr>
          <w:rFonts w:eastAsia="SimSun"/>
          <w:lang w:eastAsia="zh-CN"/>
        </w:rPr>
        <w:t>torture</w:t>
      </w:r>
    </w:p>
    <w:p w:rsidR="00FF46FE" w:rsidRDefault="00765948" w:rsidP="00E93E9F">
      <w:pPr>
        <w:pStyle w:val="SingleTxtG"/>
        <w:jc w:val="left"/>
        <w:rPr>
          <w:rFonts w:eastAsia="MS Mincho"/>
          <w:lang w:val="fr-FR" w:eastAsia="zh-CN"/>
        </w:rPr>
      </w:pPr>
      <w:r w:rsidRPr="00765948">
        <w:rPr>
          <w:rFonts w:eastAsia="SimSun"/>
          <w:i/>
          <w:iCs/>
          <w:lang w:eastAsia="zh-CN"/>
        </w:rPr>
        <w:t>Article</w:t>
      </w:r>
      <w:r w:rsidR="00304508">
        <w:rPr>
          <w:rFonts w:eastAsia="SimSun"/>
          <w:i/>
          <w:iCs/>
          <w:lang w:eastAsia="zh-CN"/>
        </w:rPr>
        <w:t>(</w:t>
      </w:r>
      <w:r w:rsidR="00B07E78">
        <w:rPr>
          <w:rFonts w:eastAsia="SimSun"/>
          <w:i/>
          <w:iCs/>
          <w:lang w:eastAsia="zh-CN"/>
        </w:rPr>
        <w:t>s</w:t>
      </w:r>
      <w:r w:rsidR="00304508">
        <w:rPr>
          <w:rFonts w:eastAsia="SimSun"/>
          <w:i/>
          <w:iCs/>
          <w:lang w:eastAsia="zh-CN"/>
        </w:rPr>
        <w:t>)</w:t>
      </w:r>
      <w:r w:rsidRPr="00765948">
        <w:rPr>
          <w:rFonts w:eastAsia="SimSun"/>
          <w:i/>
          <w:iCs/>
          <w:lang w:eastAsia="zh-CN"/>
        </w:rPr>
        <w:t xml:space="preserve"> de la Convention</w:t>
      </w:r>
      <w:r w:rsidR="00395418">
        <w:rPr>
          <w:rFonts w:eastAsia="SimSun"/>
          <w:i/>
          <w:iCs/>
          <w:lang w:eastAsia="zh-CN"/>
        </w:rPr>
        <w:t> </w:t>
      </w:r>
      <w:r w:rsidRPr="00765948">
        <w:rPr>
          <w:rFonts w:eastAsia="SimSun"/>
          <w:lang w:eastAsia="zh-CN"/>
        </w:rPr>
        <w:t>:</w:t>
      </w:r>
      <w:r w:rsidRPr="00765948">
        <w:rPr>
          <w:rFonts w:eastAsia="SimSun"/>
          <w:lang w:eastAsia="zh-CN"/>
        </w:rPr>
        <w:tab/>
      </w:r>
      <w:r w:rsidRPr="00765948">
        <w:rPr>
          <w:rFonts w:eastAsia="SimSun"/>
          <w:lang w:eastAsia="zh-CN"/>
        </w:rPr>
        <w:tab/>
      </w:r>
      <w:r w:rsidR="002C07C1">
        <w:rPr>
          <w:rFonts w:eastAsia="MS Mincho"/>
          <w:lang w:val="fr-FR" w:eastAsia="zh-CN"/>
        </w:rPr>
        <w:t>1</w:t>
      </w:r>
      <w:r w:rsidR="00126505">
        <w:rPr>
          <w:rFonts w:eastAsia="MS Mincho"/>
          <w:lang w:val="fr-FR" w:eastAsia="zh-CN"/>
        </w:rPr>
        <w:t xml:space="preserve">, </w:t>
      </w:r>
      <w:r w:rsidR="002C07C1">
        <w:rPr>
          <w:rFonts w:eastAsia="MS Mincho"/>
          <w:lang w:val="fr-FR" w:eastAsia="zh-CN"/>
        </w:rPr>
        <w:t>12</w:t>
      </w:r>
      <w:r w:rsidR="00126505">
        <w:rPr>
          <w:rFonts w:eastAsia="MS Mincho"/>
          <w:lang w:val="fr-FR" w:eastAsia="zh-CN"/>
        </w:rPr>
        <w:t xml:space="preserve"> à</w:t>
      </w:r>
      <w:r w:rsidR="002C07C1">
        <w:rPr>
          <w:rFonts w:eastAsia="MS Mincho"/>
          <w:lang w:val="fr-FR" w:eastAsia="zh-CN"/>
        </w:rPr>
        <w:t xml:space="preserve"> 16</w:t>
      </w:r>
    </w:p>
    <w:p w:rsidR="00141CF5" w:rsidRDefault="00141CF5" w:rsidP="008B44C4"/>
    <w:p w:rsidR="00C670FA" w:rsidRDefault="00C670FA" w:rsidP="00E93E9F">
      <w:pPr>
        <w:pStyle w:val="SingleTxtG"/>
        <w:rPr>
          <w:rFonts w:eastAsia="MS Mincho"/>
          <w:lang w:val="fr-FR"/>
        </w:rPr>
      </w:pPr>
      <w:r w:rsidRPr="00783E53">
        <w:rPr>
          <w:rFonts w:eastAsia="MS Mincho"/>
        </w:rPr>
        <w:t>1.1</w:t>
      </w:r>
      <w:r w:rsidRPr="00783E53">
        <w:rPr>
          <w:rFonts w:eastAsia="MS Mincho"/>
        </w:rPr>
        <w:tab/>
      </w:r>
      <w:r w:rsidR="009E40E8" w:rsidRPr="009E40E8">
        <w:rPr>
          <w:rFonts w:eastAsia="MS Mincho"/>
          <w:lang w:val="fr-FR"/>
        </w:rPr>
        <w:t>L</w:t>
      </w:r>
      <w:r w:rsidR="00FF46FE">
        <w:rPr>
          <w:rFonts w:eastAsia="MS Mincho"/>
          <w:lang w:val="fr-FR"/>
        </w:rPr>
        <w:t>’</w:t>
      </w:r>
      <w:r w:rsidR="009E40E8" w:rsidRPr="009E40E8">
        <w:rPr>
          <w:rFonts w:eastAsia="MS Mincho"/>
          <w:lang w:val="fr-FR"/>
        </w:rPr>
        <w:t xml:space="preserve">auteur de la </w:t>
      </w:r>
      <w:r w:rsidR="009E40E8">
        <w:rPr>
          <w:rFonts w:eastAsia="MS Mincho"/>
          <w:lang w:val="fr-FR"/>
        </w:rPr>
        <w:t>communication</w:t>
      </w:r>
      <w:r w:rsidR="009E40E8" w:rsidRPr="009E40E8">
        <w:rPr>
          <w:rFonts w:eastAsia="MS Mincho"/>
          <w:lang w:val="fr-FR"/>
        </w:rPr>
        <w:t xml:space="preserve"> est En</w:t>
      </w:r>
      <w:r w:rsidR="00F5411A">
        <w:rPr>
          <w:rFonts w:eastAsia="MS Mincho"/>
          <w:lang w:val="fr-FR"/>
        </w:rPr>
        <w:t>n</w:t>
      </w:r>
      <w:r w:rsidR="009E40E8" w:rsidRPr="009E40E8">
        <w:rPr>
          <w:rFonts w:eastAsia="MS Mincho"/>
          <w:lang w:val="fr-FR"/>
        </w:rPr>
        <w:t xml:space="preserve">aâma Asfari, né en 1970 au Sahara occidental où il réside </w:t>
      </w:r>
      <w:r w:rsidR="00D418B1">
        <w:rPr>
          <w:rFonts w:eastAsia="MS Mincho"/>
          <w:lang w:val="fr-FR"/>
        </w:rPr>
        <w:t>lorsqu’il n’est pas en</w:t>
      </w:r>
      <w:r w:rsidR="009E40E8" w:rsidRPr="009E40E8">
        <w:rPr>
          <w:rFonts w:eastAsia="MS Mincho"/>
          <w:lang w:val="fr-FR"/>
        </w:rPr>
        <w:t xml:space="preserve"> France. Il invoque la violation par le Maroc des articles</w:t>
      </w:r>
      <w:r w:rsidR="00F727CD">
        <w:rPr>
          <w:rFonts w:eastAsia="MS Mincho"/>
          <w:lang w:val="fr-FR"/>
        </w:rPr>
        <w:t> </w:t>
      </w:r>
      <w:r w:rsidR="009E40E8" w:rsidRPr="009E40E8">
        <w:rPr>
          <w:rFonts w:eastAsia="MS Mincho"/>
          <w:lang w:val="fr-FR"/>
        </w:rPr>
        <w:t>1</w:t>
      </w:r>
      <w:r w:rsidR="006A6582">
        <w:rPr>
          <w:rFonts w:eastAsia="MS Mincho"/>
          <w:lang w:val="fr-FR"/>
        </w:rPr>
        <w:t xml:space="preserve"> et</w:t>
      </w:r>
      <w:r w:rsidR="009E40E8" w:rsidRPr="009E40E8">
        <w:rPr>
          <w:rFonts w:eastAsia="MS Mincho"/>
          <w:lang w:val="fr-FR"/>
        </w:rPr>
        <w:t xml:space="preserve"> 12</w:t>
      </w:r>
      <w:r w:rsidR="006A6582">
        <w:rPr>
          <w:rFonts w:eastAsia="MS Mincho"/>
          <w:lang w:val="fr-FR"/>
        </w:rPr>
        <w:t xml:space="preserve"> à</w:t>
      </w:r>
      <w:r w:rsidR="009E40E8" w:rsidRPr="009E40E8">
        <w:rPr>
          <w:rFonts w:eastAsia="MS Mincho"/>
          <w:lang w:val="fr-FR"/>
        </w:rPr>
        <w:t xml:space="preserve"> 16 de la Convention</w:t>
      </w:r>
      <w:r w:rsidR="00785D0F">
        <w:rPr>
          <w:rStyle w:val="FootnoteReference"/>
          <w:rFonts w:eastAsia="MS Mincho"/>
        </w:rPr>
        <w:footnoteReference w:id="4"/>
      </w:r>
      <w:r w:rsidR="00C92F56">
        <w:rPr>
          <w:rFonts w:eastAsia="MS Mincho"/>
          <w:lang w:val="fr-FR"/>
        </w:rPr>
        <w:t>.</w:t>
      </w:r>
      <w:r w:rsidR="009E40E8" w:rsidRPr="009E40E8">
        <w:rPr>
          <w:rFonts w:eastAsia="MS Mincho"/>
          <w:lang w:val="fr-FR"/>
        </w:rPr>
        <w:t xml:space="preserve"> Le requérant est représenté par ACAT-France et </w:t>
      </w:r>
      <w:r w:rsidR="00EC7C24" w:rsidRPr="009E40E8">
        <w:rPr>
          <w:rFonts w:eastAsia="MS Mincho"/>
          <w:lang w:val="fr-FR"/>
        </w:rPr>
        <w:t>M</w:t>
      </w:r>
      <w:r w:rsidR="00EC7C24" w:rsidRPr="00E93E9F">
        <w:rPr>
          <w:rFonts w:eastAsia="MS Mincho"/>
          <w:vertAlign w:val="superscript"/>
          <w:lang w:val="fr-FR"/>
        </w:rPr>
        <w:t>e</w:t>
      </w:r>
      <w:r w:rsidR="00F727CD">
        <w:rPr>
          <w:rFonts w:eastAsia="MS Mincho"/>
          <w:lang w:val="fr-FR"/>
        </w:rPr>
        <w:t> </w:t>
      </w:r>
      <w:r w:rsidR="009E40E8" w:rsidRPr="009E40E8">
        <w:rPr>
          <w:rFonts w:eastAsia="MS Mincho"/>
          <w:lang w:val="fr-FR"/>
        </w:rPr>
        <w:t>Breham, avocat</w:t>
      </w:r>
      <w:r w:rsidR="00785D0F">
        <w:rPr>
          <w:rStyle w:val="FootnoteReference"/>
          <w:rFonts w:eastAsia="MS Mincho"/>
        </w:rPr>
        <w:footnoteReference w:id="5"/>
      </w:r>
      <w:r w:rsidR="00C92F56">
        <w:rPr>
          <w:rFonts w:eastAsia="MS Mincho"/>
          <w:lang w:val="fr-FR"/>
        </w:rPr>
        <w:t>.</w:t>
      </w:r>
      <w:r w:rsidR="009E40E8" w:rsidRPr="009E40E8">
        <w:rPr>
          <w:rFonts w:eastAsia="MS Mincho"/>
          <w:lang w:val="fr-FR"/>
        </w:rPr>
        <w:t xml:space="preserve"> </w:t>
      </w:r>
    </w:p>
    <w:p w:rsidR="00675DAD" w:rsidRDefault="00EB3DB1" w:rsidP="00E93E9F">
      <w:pPr>
        <w:pStyle w:val="SingleTxtG"/>
        <w:keepLines/>
      </w:pPr>
      <w:r>
        <w:lastRenderedPageBreak/>
        <w:t>1.2</w:t>
      </w:r>
      <w:r>
        <w:tab/>
      </w:r>
      <w:r w:rsidR="008825A4">
        <w:t>Le 27 janvier 2015, à la demande de l</w:t>
      </w:r>
      <w:r w:rsidR="00FF46FE">
        <w:t>’État</w:t>
      </w:r>
      <w:r w:rsidR="008825A4">
        <w:t xml:space="preserve"> partie, le Comité, agissant par l</w:t>
      </w:r>
      <w:r w:rsidR="00FF46FE">
        <w:t>’</w:t>
      </w:r>
      <w:r w:rsidR="008825A4">
        <w:t xml:space="preserve">intermédiaire de son Rapporteur </w:t>
      </w:r>
      <w:r w:rsidR="00036C3E">
        <w:t>chargé d</w:t>
      </w:r>
      <w:r w:rsidR="008825A4">
        <w:t xml:space="preserve">es nouvelles requêtes et </w:t>
      </w:r>
      <w:r w:rsidR="00036C3E">
        <w:t xml:space="preserve">des </w:t>
      </w:r>
      <w:r w:rsidR="008825A4">
        <w:t xml:space="preserve">mesures </w:t>
      </w:r>
      <w:r w:rsidR="00194E42">
        <w:t>provisoires</w:t>
      </w:r>
      <w:r w:rsidR="00036C3E">
        <w:t xml:space="preserve"> de protection</w:t>
      </w:r>
      <w:r w:rsidR="008825A4">
        <w:t>, a décidé d</w:t>
      </w:r>
      <w:r w:rsidR="00FF46FE">
        <w:t>’</w:t>
      </w:r>
      <w:r w:rsidR="008825A4">
        <w:t>examiner la recevabilité de la requête séparément du fond.</w:t>
      </w:r>
      <w:r w:rsidR="00194E42" w:rsidRPr="00194E42">
        <w:t xml:space="preserve"> </w:t>
      </w:r>
      <w:r w:rsidR="00194E42">
        <w:t>Le 20</w:t>
      </w:r>
      <w:r w:rsidR="00FC5EA5">
        <w:t> </w:t>
      </w:r>
      <w:r w:rsidR="00194E42">
        <w:t>avril 2015, le Comité a déclaré la plainte recevable</w:t>
      </w:r>
      <w:r w:rsidR="00D2039A">
        <w:t>.</w:t>
      </w:r>
    </w:p>
    <w:p w:rsidR="00FF46FE" w:rsidRDefault="00022923" w:rsidP="00E93E9F">
      <w:pPr>
        <w:pStyle w:val="H23G"/>
        <w:rPr>
          <w:rFonts w:eastAsia="MS Mincho"/>
          <w:lang w:val="fr-FR" w:eastAsia="zh-CN"/>
        </w:rPr>
      </w:pPr>
      <w:r>
        <w:rPr>
          <w:rFonts w:eastAsia="MS Mincho"/>
          <w:lang w:val="fr-FR" w:eastAsia="zh-CN"/>
        </w:rPr>
        <w:tab/>
      </w:r>
      <w:r w:rsidRPr="00A8642D">
        <w:rPr>
          <w:rFonts w:eastAsia="MS Mincho"/>
          <w:lang w:val="fr-FR" w:eastAsia="zh-CN"/>
        </w:rPr>
        <w:tab/>
      </w:r>
      <w:r w:rsidR="009069B0">
        <w:rPr>
          <w:rFonts w:eastAsia="MS Mincho"/>
          <w:lang w:val="fr-FR" w:eastAsia="zh-CN"/>
        </w:rPr>
        <w:t>Les faits tels que présentés par le requérant</w:t>
      </w:r>
    </w:p>
    <w:p w:rsidR="009069B0" w:rsidRPr="009069B0" w:rsidRDefault="00870B79">
      <w:pPr>
        <w:pStyle w:val="SingleTxtG"/>
        <w:rPr>
          <w:rFonts w:eastAsia="MS Mincho"/>
        </w:rPr>
      </w:pPr>
      <w:r>
        <w:rPr>
          <w:rFonts w:eastAsia="MS Mincho"/>
        </w:rPr>
        <w:t>2.1</w:t>
      </w:r>
      <w:r>
        <w:rPr>
          <w:rFonts w:eastAsia="MS Mincho"/>
        </w:rPr>
        <w:tab/>
      </w:r>
      <w:r w:rsidR="009069B0" w:rsidRPr="009069B0">
        <w:rPr>
          <w:rFonts w:eastAsia="MS Mincho"/>
        </w:rPr>
        <w:t>Le requérant se présente comme un défenseur des droits de l</w:t>
      </w:r>
      <w:r w:rsidR="00FF46FE">
        <w:rPr>
          <w:rFonts w:eastAsia="MS Mincho"/>
        </w:rPr>
        <w:t>’</w:t>
      </w:r>
      <w:r w:rsidR="009069B0" w:rsidRPr="009069B0">
        <w:rPr>
          <w:rFonts w:eastAsia="MS Mincho"/>
        </w:rPr>
        <w:t>h</w:t>
      </w:r>
      <w:r w:rsidR="006A3D28">
        <w:rPr>
          <w:rFonts w:eastAsia="MS Mincho"/>
        </w:rPr>
        <w:t xml:space="preserve">omme et </w:t>
      </w:r>
      <w:r w:rsidR="00534EED" w:rsidRPr="00534EED">
        <w:rPr>
          <w:rFonts w:eastAsia="MS Mincho"/>
        </w:rPr>
        <w:t>activiste</w:t>
      </w:r>
      <w:r w:rsidR="006A3D28">
        <w:rPr>
          <w:rFonts w:eastAsia="MS Mincho"/>
        </w:rPr>
        <w:t xml:space="preserve"> pacifique pour </w:t>
      </w:r>
      <w:r w:rsidR="009069B0" w:rsidRPr="009069B0">
        <w:rPr>
          <w:rFonts w:eastAsia="MS Mincho"/>
        </w:rPr>
        <w:t>l</w:t>
      </w:r>
      <w:r w:rsidR="00FF46FE">
        <w:rPr>
          <w:rFonts w:eastAsia="MS Mincho"/>
        </w:rPr>
        <w:t>’</w:t>
      </w:r>
      <w:r w:rsidR="009069B0" w:rsidRPr="009069B0">
        <w:rPr>
          <w:rFonts w:eastAsia="MS Mincho"/>
        </w:rPr>
        <w:t>indépendance du Sahara occidental. Il est marié depuis 2003 à une citoyenne française.</w:t>
      </w:r>
      <w:r w:rsidR="00FF46FE">
        <w:rPr>
          <w:rFonts w:eastAsia="MS Mincho"/>
        </w:rPr>
        <w:t xml:space="preserve"> </w:t>
      </w:r>
      <w:r w:rsidR="009069B0" w:rsidRPr="009069B0">
        <w:rPr>
          <w:rFonts w:eastAsia="MS Mincho"/>
        </w:rPr>
        <w:t>En raison de ses activités de dénonciation des violations des droits de l</w:t>
      </w:r>
      <w:r w:rsidR="00FF46FE">
        <w:rPr>
          <w:rFonts w:eastAsia="MS Mincho"/>
        </w:rPr>
        <w:t>’</w:t>
      </w:r>
      <w:r w:rsidR="009069B0" w:rsidRPr="009069B0">
        <w:rPr>
          <w:rFonts w:eastAsia="MS Mincho"/>
        </w:rPr>
        <w:t>homme au Sahara occidental sous administration marocaine, il soutient qu</w:t>
      </w:r>
      <w:r w:rsidR="00FF46FE">
        <w:rPr>
          <w:rFonts w:eastAsia="MS Mincho"/>
        </w:rPr>
        <w:t>’</w:t>
      </w:r>
      <w:r w:rsidR="009069B0" w:rsidRPr="009069B0">
        <w:rPr>
          <w:rFonts w:eastAsia="MS Mincho"/>
        </w:rPr>
        <w:t xml:space="preserve">il a été victime de harcèlement policier et judiciaire par les autorités </w:t>
      </w:r>
      <w:r w:rsidR="002B6D54">
        <w:rPr>
          <w:rFonts w:eastAsia="MS Mincho"/>
        </w:rPr>
        <w:t>de l’État partie</w:t>
      </w:r>
      <w:r w:rsidR="009069B0" w:rsidRPr="009069B0">
        <w:rPr>
          <w:rFonts w:eastAsia="MS Mincho"/>
        </w:rPr>
        <w:t xml:space="preserve">. Il </w:t>
      </w:r>
      <w:r w:rsidR="00E6746E">
        <w:rPr>
          <w:rFonts w:eastAsia="MS Mincho"/>
        </w:rPr>
        <w:t>déclare</w:t>
      </w:r>
      <w:r w:rsidR="00392900" w:rsidRPr="009069B0">
        <w:rPr>
          <w:rFonts w:eastAsia="MS Mincho"/>
        </w:rPr>
        <w:t xml:space="preserve"> </w:t>
      </w:r>
      <w:r w:rsidR="009069B0" w:rsidRPr="009069B0">
        <w:rPr>
          <w:rFonts w:eastAsia="MS Mincho"/>
        </w:rPr>
        <w:t xml:space="preserve">avoir été arrêté, maltraité et condamné à plusieurs reprises en 2006, 2008, 2009 et début 2010. </w:t>
      </w:r>
    </w:p>
    <w:p w:rsidR="009069B0" w:rsidRPr="009069B0" w:rsidRDefault="009069B0">
      <w:pPr>
        <w:pStyle w:val="SingleTxtG"/>
        <w:rPr>
          <w:rFonts w:eastAsia="MS Mincho"/>
        </w:rPr>
      </w:pPr>
      <w:r w:rsidRPr="009069B0">
        <w:rPr>
          <w:rFonts w:eastAsia="MS Mincho"/>
        </w:rPr>
        <w:t>2.2</w:t>
      </w:r>
      <w:r w:rsidRPr="009069B0">
        <w:rPr>
          <w:rFonts w:eastAsia="MS Mincho"/>
        </w:rPr>
        <w:tab/>
      </w:r>
      <w:r w:rsidR="00350CBE">
        <w:rPr>
          <w:rFonts w:eastAsia="MS Mincho"/>
        </w:rPr>
        <w:t>Depuis l</w:t>
      </w:r>
      <w:r w:rsidR="00350CBE" w:rsidRPr="009069B0">
        <w:rPr>
          <w:rFonts w:eastAsia="MS Mincho"/>
        </w:rPr>
        <w:t xml:space="preserve">e </w:t>
      </w:r>
      <w:r w:rsidRPr="009069B0">
        <w:rPr>
          <w:rFonts w:eastAsia="MS Mincho"/>
        </w:rPr>
        <w:t xml:space="preserve">9 octobre 2010, des milliers de Sahraouis résidant </w:t>
      </w:r>
      <w:r w:rsidR="006C1594">
        <w:rPr>
          <w:rFonts w:eastAsia="MS Mincho"/>
        </w:rPr>
        <w:t>a</w:t>
      </w:r>
      <w:r w:rsidRPr="009069B0">
        <w:rPr>
          <w:rFonts w:eastAsia="MS Mincho"/>
        </w:rPr>
        <w:t>u Sahara occidental ont quitté leurs maisons pour s</w:t>
      </w:r>
      <w:r w:rsidR="00FF46FE">
        <w:rPr>
          <w:rFonts w:eastAsia="MS Mincho"/>
        </w:rPr>
        <w:t>’</w:t>
      </w:r>
      <w:r w:rsidRPr="009069B0">
        <w:rPr>
          <w:rFonts w:eastAsia="MS Mincho"/>
        </w:rPr>
        <w:t>installer dans des campements temporaires à la périphérie des villes, dont le camp de Gde</w:t>
      </w:r>
      <w:r w:rsidR="00383B31">
        <w:rPr>
          <w:rFonts w:eastAsia="MS Mincho"/>
        </w:rPr>
        <w:t>i</w:t>
      </w:r>
      <w:r w:rsidRPr="009069B0">
        <w:rPr>
          <w:rFonts w:eastAsia="MS Mincho"/>
        </w:rPr>
        <w:t xml:space="preserve">m Izik </w:t>
      </w:r>
      <w:r w:rsidR="00392900">
        <w:rPr>
          <w:rFonts w:eastAsia="MS Mincho"/>
        </w:rPr>
        <w:t>près</w:t>
      </w:r>
      <w:r w:rsidRPr="009069B0">
        <w:rPr>
          <w:rFonts w:eastAsia="MS Mincho"/>
        </w:rPr>
        <w:t xml:space="preserve"> de Laayoune. Cette démarche visait à dénoncer les discriminations économiques et sociales dont les Sahraouis s</w:t>
      </w:r>
      <w:r w:rsidR="00FF46FE">
        <w:rPr>
          <w:rFonts w:eastAsia="MS Mincho"/>
        </w:rPr>
        <w:t>’</w:t>
      </w:r>
      <w:r w:rsidRPr="009069B0">
        <w:rPr>
          <w:rFonts w:eastAsia="MS Mincho"/>
        </w:rPr>
        <w:t xml:space="preserve">estiment victimes de la part </w:t>
      </w:r>
      <w:r w:rsidR="00C6412F" w:rsidRPr="00C6412F">
        <w:rPr>
          <w:rFonts w:eastAsia="MS Mincho"/>
        </w:rPr>
        <w:t>de l’État partie</w:t>
      </w:r>
      <w:r w:rsidRPr="009069B0">
        <w:rPr>
          <w:rFonts w:eastAsia="MS Mincho"/>
        </w:rPr>
        <w:t>. Le requérant était chargé de présenter le camp de Gde</w:t>
      </w:r>
      <w:r w:rsidR="00383B31">
        <w:rPr>
          <w:rFonts w:eastAsia="MS Mincho"/>
        </w:rPr>
        <w:t>i</w:t>
      </w:r>
      <w:r w:rsidRPr="009069B0">
        <w:rPr>
          <w:rFonts w:eastAsia="MS Mincho"/>
        </w:rPr>
        <w:t>m Izik et ses enjeux aux visiteurs étrangers et aux journalistes.</w:t>
      </w:r>
    </w:p>
    <w:p w:rsidR="009069B0" w:rsidRPr="009069B0" w:rsidRDefault="009069B0">
      <w:pPr>
        <w:pStyle w:val="SingleTxtG"/>
        <w:rPr>
          <w:rFonts w:eastAsia="MS Mincho"/>
        </w:rPr>
      </w:pPr>
      <w:r w:rsidRPr="009069B0">
        <w:rPr>
          <w:rFonts w:eastAsia="MS Mincho"/>
        </w:rPr>
        <w:t>2.3</w:t>
      </w:r>
      <w:r w:rsidRPr="009069B0">
        <w:rPr>
          <w:rFonts w:eastAsia="MS Mincho"/>
        </w:rPr>
        <w:tab/>
        <w:t xml:space="preserve">Le 7 novembre 2010 dans la journée, le requérant a été approché deux fois par des émissaires en civil du </w:t>
      </w:r>
      <w:r w:rsidR="009564E2">
        <w:rPr>
          <w:rFonts w:eastAsia="MS Mincho"/>
        </w:rPr>
        <w:t>G</w:t>
      </w:r>
      <w:r w:rsidR="009564E2" w:rsidRPr="009069B0">
        <w:rPr>
          <w:rFonts w:eastAsia="MS Mincho"/>
        </w:rPr>
        <w:t xml:space="preserve">ouvernement </w:t>
      </w:r>
      <w:r w:rsidRPr="009069B0">
        <w:rPr>
          <w:rFonts w:eastAsia="MS Mincho"/>
        </w:rPr>
        <w:t xml:space="preserve">qui lui ont demandé de faire </w:t>
      </w:r>
      <w:r w:rsidR="00392900" w:rsidRPr="009069B0">
        <w:rPr>
          <w:rFonts w:eastAsia="MS Mincho"/>
        </w:rPr>
        <w:t>évacu</w:t>
      </w:r>
      <w:r w:rsidR="00392900">
        <w:rPr>
          <w:rFonts w:eastAsia="MS Mincho"/>
        </w:rPr>
        <w:t>er le camp</w:t>
      </w:r>
      <w:r w:rsidRPr="009069B0">
        <w:rPr>
          <w:rFonts w:eastAsia="MS Mincho"/>
        </w:rPr>
        <w:t>. Le requérant leur a répondu que cela n</w:t>
      </w:r>
      <w:r w:rsidR="00FF46FE">
        <w:rPr>
          <w:rFonts w:eastAsia="MS Mincho"/>
        </w:rPr>
        <w:t>’</w:t>
      </w:r>
      <w:r w:rsidRPr="009069B0">
        <w:rPr>
          <w:rFonts w:eastAsia="MS Mincho"/>
        </w:rPr>
        <w:t xml:space="preserve">était pas en son pouvoir. Dans la soirée, le requérant a constaté que des policiers se trouvaient à proximité de la maison où il résidait et a fait part de ses craintes à son épouse restée en France. </w:t>
      </w:r>
      <w:r w:rsidR="006A3D28">
        <w:rPr>
          <w:rFonts w:eastAsia="MS Mincho"/>
        </w:rPr>
        <w:t xml:space="preserve">Lors de cette même </w:t>
      </w:r>
      <w:r w:rsidRPr="009069B0">
        <w:rPr>
          <w:rFonts w:eastAsia="MS Mincho"/>
        </w:rPr>
        <w:t xml:space="preserve">soirée, alors que le requérant était en train de </w:t>
      </w:r>
      <w:r w:rsidR="006A3D28">
        <w:rPr>
          <w:rFonts w:eastAsia="MS Mincho"/>
        </w:rPr>
        <w:t xml:space="preserve">rendre </w:t>
      </w:r>
      <w:r w:rsidRPr="009069B0">
        <w:rPr>
          <w:rFonts w:eastAsia="MS Mincho"/>
        </w:rPr>
        <w:t>visite</w:t>
      </w:r>
      <w:r w:rsidR="006A3D28">
        <w:rPr>
          <w:rFonts w:eastAsia="MS Mincho"/>
        </w:rPr>
        <w:t xml:space="preserve"> à</w:t>
      </w:r>
      <w:r w:rsidRPr="009069B0">
        <w:rPr>
          <w:rFonts w:eastAsia="MS Mincho"/>
        </w:rPr>
        <w:t xml:space="preserve"> une famille d</w:t>
      </w:r>
      <w:r w:rsidR="00FF46FE">
        <w:rPr>
          <w:rFonts w:eastAsia="MS Mincho"/>
        </w:rPr>
        <w:t>’</w:t>
      </w:r>
      <w:r w:rsidRPr="009069B0">
        <w:rPr>
          <w:rFonts w:eastAsia="MS Mincho"/>
        </w:rPr>
        <w:t>amis, les forces de l</w:t>
      </w:r>
      <w:r w:rsidR="00FF46FE">
        <w:rPr>
          <w:rFonts w:eastAsia="MS Mincho"/>
        </w:rPr>
        <w:t>’</w:t>
      </w:r>
      <w:r w:rsidRPr="009069B0">
        <w:rPr>
          <w:rFonts w:eastAsia="MS Mincho"/>
        </w:rPr>
        <w:t xml:space="preserve">ordre ont fait irruption dans la maison et ont frappé plusieurs membres de cette famille. </w:t>
      </w:r>
      <w:r w:rsidR="006A3D28">
        <w:rPr>
          <w:rFonts w:eastAsia="MS Mincho"/>
        </w:rPr>
        <w:t>E</w:t>
      </w:r>
      <w:r w:rsidRPr="009069B0">
        <w:rPr>
          <w:rFonts w:eastAsia="MS Mincho"/>
        </w:rPr>
        <w:t xml:space="preserve">lles ont </w:t>
      </w:r>
      <w:r w:rsidR="006A3D28">
        <w:rPr>
          <w:rFonts w:eastAsia="MS Mincho"/>
        </w:rPr>
        <w:t xml:space="preserve">ensuite </w:t>
      </w:r>
      <w:r w:rsidRPr="009069B0">
        <w:rPr>
          <w:rFonts w:eastAsia="MS Mincho"/>
        </w:rPr>
        <w:t>procédé à l</w:t>
      </w:r>
      <w:r w:rsidR="00FF46FE">
        <w:rPr>
          <w:rFonts w:eastAsia="MS Mincho"/>
        </w:rPr>
        <w:t>’</w:t>
      </w:r>
      <w:r w:rsidRPr="009069B0">
        <w:rPr>
          <w:rFonts w:eastAsia="MS Mincho"/>
        </w:rPr>
        <w:t>arrestation du requérant de manière violente</w:t>
      </w:r>
      <w:r w:rsidR="00C072A9">
        <w:rPr>
          <w:rFonts w:eastAsia="MS Mincho"/>
        </w:rPr>
        <w:t> :</w:t>
      </w:r>
      <w:r w:rsidR="006A3D28">
        <w:rPr>
          <w:rFonts w:eastAsia="MS Mincho"/>
        </w:rPr>
        <w:t xml:space="preserve"> a</w:t>
      </w:r>
      <w:r w:rsidRPr="009069B0">
        <w:rPr>
          <w:rFonts w:eastAsia="MS Mincho"/>
        </w:rPr>
        <w:t>lors qu</w:t>
      </w:r>
      <w:r w:rsidR="00FF46FE">
        <w:rPr>
          <w:rFonts w:eastAsia="MS Mincho"/>
        </w:rPr>
        <w:t>’</w:t>
      </w:r>
      <w:r w:rsidRPr="009069B0">
        <w:rPr>
          <w:rFonts w:eastAsia="MS Mincho"/>
        </w:rPr>
        <w:t>il n</w:t>
      </w:r>
      <w:r w:rsidR="00FF46FE">
        <w:rPr>
          <w:rFonts w:eastAsia="MS Mincho"/>
        </w:rPr>
        <w:t>’</w:t>
      </w:r>
      <w:r w:rsidRPr="009069B0">
        <w:rPr>
          <w:rFonts w:eastAsia="MS Mincho"/>
        </w:rPr>
        <w:t>opposait aucune résistance, il a été violemment poussé au sol, menotté, a eu les yeux bandés et a été battu jusqu</w:t>
      </w:r>
      <w:r w:rsidR="00FF46FE">
        <w:rPr>
          <w:rFonts w:eastAsia="MS Mincho"/>
        </w:rPr>
        <w:t>’</w:t>
      </w:r>
      <w:r w:rsidRPr="009069B0">
        <w:rPr>
          <w:rFonts w:eastAsia="MS Mincho"/>
        </w:rPr>
        <w:t xml:space="preserve">à perdre connaissance. Selon le requérant, des agents en civil de la Direction générale de la surveillance du territoire et des Renseignements généraux étaient </w:t>
      </w:r>
      <w:r w:rsidR="00392900">
        <w:rPr>
          <w:rFonts w:eastAsia="MS Mincho"/>
        </w:rPr>
        <w:t>présents</w:t>
      </w:r>
      <w:r w:rsidRPr="009069B0">
        <w:rPr>
          <w:rFonts w:eastAsia="MS Mincho"/>
        </w:rPr>
        <w:t xml:space="preserve">. </w:t>
      </w:r>
      <w:r w:rsidR="0066361F">
        <w:rPr>
          <w:rFonts w:eastAsia="MS Mincho"/>
        </w:rPr>
        <w:t xml:space="preserve">Pendant les </w:t>
      </w:r>
      <w:r w:rsidR="001F5A4F">
        <w:rPr>
          <w:rFonts w:eastAsia="MS Mincho"/>
        </w:rPr>
        <w:t xml:space="preserve">trente </w:t>
      </w:r>
      <w:r w:rsidR="0066361F">
        <w:rPr>
          <w:rFonts w:eastAsia="MS Mincho"/>
        </w:rPr>
        <w:t xml:space="preserve">minutes de trajet, il a été contraint de rester la tête entre </w:t>
      </w:r>
      <w:r w:rsidR="00B469C5">
        <w:rPr>
          <w:rFonts w:eastAsia="MS Mincho"/>
        </w:rPr>
        <w:t>l</w:t>
      </w:r>
      <w:r w:rsidR="0066361F">
        <w:rPr>
          <w:rFonts w:eastAsia="MS Mincho"/>
        </w:rPr>
        <w:t xml:space="preserve">es jambes et a reçu des </w:t>
      </w:r>
      <w:r w:rsidRPr="009069B0">
        <w:rPr>
          <w:rFonts w:eastAsia="MS Mincho"/>
        </w:rPr>
        <w:t>coup</w:t>
      </w:r>
      <w:r w:rsidR="0066361F">
        <w:rPr>
          <w:rFonts w:eastAsia="MS Mincho"/>
        </w:rPr>
        <w:t>s</w:t>
      </w:r>
      <w:r w:rsidRPr="009069B0">
        <w:rPr>
          <w:rFonts w:eastAsia="MS Mincho"/>
        </w:rPr>
        <w:t xml:space="preserve"> de poing et de talkie-walkie</w:t>
      </w:r>
      <w:r w:rsidR="0066361F">
        <w:rPr>
          <w:rFonts w:eastAsia="MS Mincho"/>
        </w:rPr>
        <w:t xml:space="preserve"> sur le dos et la tête. Il a été emmené au</w:t>
      </w:r>
      <w:r w:rsidR="00FF46FE">
        <w:rPr>
          <w:rFonts w:eastAsia="MS Mincho"/>
        </w:rPr>
        <w:t xml:space="preserve"> </w:t>
      </w:r>
      <w:r w:rsidRPr="009069B0">
        <w:rPr>
          <w:rFonts w:eastAsia="MS Mincho"/>
        </w:rPr>
        <w:t xml:space="preserve">commissariat de Laayoune où il est resté détenu </w:t>
      </w:r>
      <w:r w:rsidR="006A3D28">
        <w:rPr>
          <w:rFonts w:eastAsia="MS Mincho"/>
        </w:rPr>
        <w:t>de</w:t>
      </w:r>
      <w:r w:rsidRPr="009069B0">
        <w:rPr>
          <w:rFonts w:eastAsia="MS Mincho"/>
        </w:rPr>
        <w:t xml:space="preserve"> 20</w:t>
      </w:r>
      <w:r w:rsidR="00383B31">
        <w:rPr>
          <w:rFonts w:eastAsia="MS Mincho"/>
        </w:rPr>
        <w:t> </w:t>
      </w:r>
      <w:r w:rsidRPr="009069B0">
        <w:rPr>
          <w:rFonts w:eastAsia="MS Mincho"/>
        </w:rPr>
        <w:t>h</w:t>
      </w:r>
      <w:r w:rsidR="00383B31">
        <w:rPr>
          <w:rFonts w:eastAsia="MS Mincho"/>
        </w:rPr>
        <w:t> </w:t>
      </w:r>
      <w:r w:rsidRPr="009069B0">
        <w:rPr>
          <w:rFonts w:eastAsia="MS Mincho"/>
        </w:rPr>
        <w:t xml:space="preserve">00 </w:t>
      </w:r>
      <w:r w:rsidR="006A3D28">
        <w:rPr>
          <w:rFonts w:eastAsia="MS Mincho"/>
        </w:rPr>
        <w:t>à</w:t>
      </w:r>
      <w:r w:rsidRPr="009069B0">
        <w:rPr>
          <w:rFonts w:eastAsia="MS Mincho"/>
        </w:rPr>
        <w:t xml:space="preserve"> 5</w:t>
      </w:r>
      <w:r w:rsidR="00383B31">
        <w:rPr>
          <w:rFonts w:eastAsia="MS Mincho"/>
        </w:rPr>
        <w:t> </w:t>
      </w:r>
      <w:r w:rsidRPr="009069B0">
        <w:rPr>
          <w:rFonts w:eastAsia="MS Mincho"/>
        </w:rPr>
        <w:t>h</w:t>
      </w:r>
      <w:r w:rsidR="00383B31">
        <w:rPr>
          <w:rFonts w:eastAsia="MS Mincho"/>
        </w:rPr>
        <w:t> </w:t>
      </w:r>
      <w:r w:rsidRPr="009069B0">
        <w:rPr>
          <w:rFonts w:eastAsia="MS Mincho"/>
        </w:rPr>
        <w:t>00 du matin.</w:t>
      </w:r>
    </w:p>
    <w:p w:rsidR="009069B0" w:rsidRPr="009069B0" w:rsidRDefault="009069B0">
      <w:pPr>
        <w:pStyle w:val="SingleTxtG"/>
        <w:rPr>
          <w:rFonts w:eastAsia="MS Mincho"/>
        </w:rPr>
      </w:pPr>
      <w:r w:rsidRPr="00475382">
        <w:rPr>
          <w:rFonts w:eastAsia="MS Mincho"/>
        </w:rPr>
        <w:t>2.4</w:t>
      </w:r>
      <w:r w:rsidRPr="00475382">
        <w:rPr>
          <w:rFonts w:eastAsia="MS Mincho"/>
        </w:rPr>
        <w:tab/>
      </w:r>
      <w:r w:rsidR="006A3D28" w:rsidRPr="00475382">
        <w:rPr>
          <w:rFonts w:eastAsia="MS Mincho"/>
        </w:rPr>
        <w:t>Durant ces quelques heures de détention au commissariat de Laayoune, l</w:t>
      </w:r>
      <w:r w:rsidRPr="00475382">
        <w:rPr>
          <w:rFonts w:eastAsia="MS Mincho"/>
        </w:rPr>
        <w:t xml:space="preserve">e requérant </w:t>
      </w:r>
      <w:r w:rsidR="006A3D28" w:rsidRPr="00475382">
        <w:rPr>
          <w:rFonts w:eastAsia="MS Mincho"/>
        </w:rPr>
        <w:t xml:space="preserve">a été forcé de maintenir une position </w:t>
      </w:r>
      <w:r w:rsidRPr="00475382">
        <w:rPr>
          <w:rFonts w:eastAsia="MS Mincho"/>
        </w:rPr>
        <w:t>immobile</w:t>
      </w:r>
      <w:r w:rsidR="006A3D28" w:rsidRPr="00475382">
        <w:rPr>
          <w:rFonts w:eastAsia="MS Mincho"/>
        </w:rPr>
        <w:t xml:space="preserve"> alors qu</w:t>
      </w:r>
      <w:r w:rsidR="00FF46FE" w:rsidRPr="00475382">
        <w:rPr>
          <w:rFonts w:eastAsia="MS Mincho"/>
        </w:rPr>
        <w:t>’</w:t>
      </w:r>
      <w:r w:rsidR="006A3D28" w:rsidRPr="00475382">
        <w:rPr>
          <w:rFonts w:eastAsia="MS Mincho"/>
        </w:rPr>
        <w:t>il était</w:t>
      </w:r>
      <w:r w:rsidRPr="00475382">
        <w:rPr>
          <w:rFonts w:eastAsia="MS Mincho"/>
        </w:rPr>
        <w:t xml:space="preserve"> menotté et</w:t>
      </w:r>
      <w:r w:rsidR="006A3D28" w:rsidRPr="00475382">
        <w:rPr>
          <w:rFonts w:eastAsia="MS Mincho"/>
        </w:rPr>
        <w:t xml:space="preserve"> avait</w:t>
      </w:r>
      <w:r w:rsidRPr="00475382">
        <w:rPr>
          <w:rFonts w:eastAsia="MS Mincho"/>
        </w:rPr>
        <w:t xml:space="preserve"> les yeux bandés. Il était frappé à chaque mouvement ou changement de position. Il a été insulté</w:t>
      </w:r>
      <w:r w:rsidR="000A0126">
        <w:rPr>
          <w:rFonts w:eastAsia="MS Mincho"/>
        </w:rPr>
        <w:t xml:space="preserve"> et</w:t>
      </w:r>
      <w:r w:rsidRPr="009069B0">
        <w:rPr>
          <w:rFonts w:eastAsia="MS Mincho"/>
        </w:rPr>
        <w:t xml:space="preserve"> </w:t>
      </w:r>
      <w:r w:rsidR="006A3D28">
        <w:rPr>
          <w:rFonts w:eastAsia="MS Mincho"/>
        </w:rPr>
        <w:t>accusé</w:t>
      </w:r>
      <w:r w:rsidRPr="009069B0">
        <w:rPr>
          <w:rFonts w:eastAsia="MS Mincho"/>
        </w:rPr>
        <w:t xml:space="preserve"> </w:t>
      </w:r>
      <w:r w:rsidR="000A0126">
        <w:rPr>
          <w:rFonts w:eastAsia="MS Mincho"/>
        </w:rPr>
        <w:t>d</w:t>
      </w:r>
      <w:r w:rsidR="000A0126" w:rsidRPr="000A0126">
        <w:rPr>
          <w:rFonts w:eastAsia="MS Mincho"/>
        </w:rPr>
        <w:t>’</w:t>
      </w:r>
      <w:r w:rsidR="000A0126">
        <w:rPr>
          <w:rFonts w:eastAsia="MS Mincho"/>
        </w:rPr>
        <w:t>être un</w:t>
      </w:r>
      <w:r w:rsidRPr="009069B0">
        <w:rPr>
          <w:rFonts w:eastAsia="MS Mincho"/>
        </w:rPr>
        <w:t xml:space="preserve"> </w:t>
      </w:r>
      <w:r w:rsidR="000B0BE4" w:rsidRPr="009069B0">
        <w:rPr>
          <w:rFonts w:eastAsia="MS Mincho"/>
        </w:rPr>
        <w:t>tra</w:t>
      </w:r>
      <w:r w:rsidR="000B0BE4">
        <w:rPr>
          <w:rFonts w:eastAsia="MS Mincho"/>
        </w:rPr>
        <w:t>î</w:t>
      </w:r>
      <w:r w:rsidR="000B0BE4" w:rsidRPr="009069B0">
        <w:rPr>
          <w:rFonts w:eastAsia="MS Mincho"/>
        </w:rPr>
        <w:t xml:space="preserve">tre </w:t>
      </w:r>
      <w:r w:rsidRPr="009069B0">
        <w:rPr>
          <w:rFonts w:eastAsia="MS Mincho"/>
        </w:rPr>
        <w:t xml:space="preserve">et </w:t>
      </w:r>
      <w:r w:rsidR="000A0126">
        <w:rPr>
          <w:rFonts w:eastAsia="MS Mincho"/>
        </w:rPr>
        <w:t>un</w:t>
      </w:r>
      <w:r w:rsidR="000A0126" w:rsidRPr="009069B0">
        <w:rPr>
          <w:rFonts w:eastAsia="MS Mincho"/>
        </w:rPr>
        <w:t xml:space="preserve"> </w:t>
      </w:r>
      <w:r w:rsidRPr="009069B0">
        <w:rPr>
          <w:rFonts w:eastAsia="MS Mincho"/>
        </w:rPr>
        <w:t xml:space="preserve">mercenaire. </w:t>
      </w:r>
      <w:r w:rsidR="000A0126">
        <w:rPr>
          <w:rFonts w:eastAsia="MS Mincho"/>
        </w:rPr>
        <w:t>Le requérant</w:t>
      </w:r>
      <w:r w:rsidR="000A0126" w:rsidRPr="009069B0">
        <w:rPr>
          <w:rFonts w:eastAsia="MS Mincho"/>
        </w:rPr>
        <w:t xml:space="preserve"> </w:t>
      </w:r>
      <w:r w:rsidRPr="009069B0">
        <w:rPr>
          <w:rFonts w:eastAsia="MS Mincho"/>
        </w:rPr>
        <w:t>a ensuite été interrogé par de haut</w:t>
      </w:r>
      <w:r w:rsidR="00186762">
        <w:rPr>
          <w:rFonts w:eastAsia="MS Mincho"/>
        </w:rPr>
        <w:t xml:space="preserve">s </w:t>
      </w:r>
      <w:r w:rsidRPr="009069B0">
        <w:rPr>
          <w:rFonts w:eastAsia="MS Mincho"/>
        </w:rPr>
        <w:t>responsables de la police</w:t>
      </w:r>
      <w:r w:rsidR="00FF46FE">
        <w:rPr>
          <w:rFonts w:eastAsia="MS Mincho"/>
        </w:rPr>
        <w:t xml:space="preserve"> </w:t>
      </w:r>
      <w:r w:rsidRPr="009069B0">
        <w:rPr>
          <w:rFonts w:eastAsia="MS Mincho"/>
        </w:rPr>
        <w:t xml:space="preserve">sur son implication dans le camp de Gdeim Izik dont </w:t>
      </w:r>
      <w:r w:rsidR="000A0126">
        <w:rPr>
          <w:rFonts w:eastAsia="MS Mincho"/>
        </w:rPr>
        <w:t>il</w:t>
      </w:r>
      <w:r w:rsidRPr="009069B0">
        <w:rPr>
          <w:rFonts w:eastAsia="MS Mincho"/>
        </w:rPr>
        <w:t xml:space="preserve"> était présumé être l</w:t>
      </w:r>
      <w:r w:rsidR="00FF46FE">
        <w:rPr>
          <w:rFonts w:eastAsia="MS Mincho"/>
        </w:rPr>
        <w:t>’</w:t>
      </w:r>
      <w:r w:rsidRPr="009069B0">
        <w:rPr>
          <w:rFonts w:eastAsia="MS Mincho"/>
        </w:rPr>
        <w:t>organisateur. Pendant cet interrogatoire, il a reçu des gifles, des coups de poing sur le visage, il a subi le supplice de la falaqa avec un bâton</w:t>
      </w:r>
      <w:r w:rsidR="00FF46FE">
        <w:rPr>
          <w:rFonts w:eastAsia="MS Mincho"/>
        </w:rPr>
        <w:t xml:space="preserve"> </w:t>
      </w:r>
      <w:r w:rsidR="00FF4F8B">
        <w:rPr>
          <w:rFonts w:eastAsia="MS Mincho"/>
        </w:rPr>
        <w:t xml:space="preserve">(frappé sous les pieds) </w:t>
      </w:r>
      <w:r w:rsidRPr="009069B0">
        <w:rPr>
          <w:rFonts w:eastAsia="MS Mincho"/>
        </w:rPr>
        <w:t xml:space="preserve">et a été frappé avec le bâton sur les fesses. Après quarante minutes environ, on lui a enlevé son pantalon et son t-shirt et </w:t>
      </w:r>
      <w:r w:rsidR="00732B22">
        <w:rPr>
          <w:rFonts w:eastAsia="MS Mincho"/>
        </w:rPr>
        <w:t>il a été</w:t>
      </w:r>
      <w:r w:rsidRPr="009069B0">
        <w:rPr>
          <w:rFonts w:eastAsia="MS Mincho"/>
        </w:rPr>
        <w:t xml:space="preserve"> forcé à rester à genoux sans bouger, sous peine d</w:t>
      </w:r>
      <w:r w:rsidR="00FF46FE">
        <w:rPr>
          <w:rFonts w:eastAsia="MS Mincho"/>
        </w:rPr>
        <w:t>’</w:t>
      </w:r>
      <w:r w:rsidRPr="009069B0">
        <w:rPr>
          <w:rFonts w:eastAsia="MS Mincho"/>
        </w:rPr>
        <w:t xml:space="preserve">être frappé. </w:t>
      </w:r>
      <w:r w:rsidR="00FF46FE" w:rsidRPr="009069B0">
        <w:rPr>
          <w:rFonts w:eastAsia="MS Mincho"/>
        </w:rPr>
        <w:t>À</w:t>
      </w:r>
      <w:r w:rsidRPr="009069B0">
        <w:rPr>
          <w:rFonts w:eastAsia="MS Mincho"/>
        </w:rPr>
        <w:t xml:space="preserve"> l</w:t>
      </w:r>
      <w:r w:rsidR="00FF46FE">
        <w:rPr>
          <w:rFonts w:eastAsia="MS Mincho"/>
        </w:rPr>
        <w:t>’</w:t>
      </w:r>
      <w:r w:rsidRPr="009069B0">
        <w:rPr>
          <w:rFonts w:eastAsia="MS Mincho"/>
        </w:rPr>
        <w:t xml:space="preserve">aube du 8 novembre 2010, le requérant </w:t>
      </w:r>
      <w:r w:rsidR="006A3D28">
        <w:rPr>
          <w:rFonts w:eastAsia="MS Mincho"/>
        </w:rPr>
        <w:t xml:space="preserve">a </w:t>
      </w:r>
      <w:r w:rsidRPr="009069B0">
        <w:rPr>
          <w:rFonts w:eastAsia="MS Mincho"/>
        </w:rPr>
        <w:t>ét</w:t>
      </w:r>
      <w:r w:rsidR="006A3D28">
        <w:rPr>
          <w:rFonts w:eastAsia="MS Mincho"/>
        </w:rPr>
        <w:t>é</w:t>
      </w:r>
      <w:r w:rsidRPr="009069B0">
        <w:rPr>
          <w:rFonts w:eastAsia="MS Mincho"/>
        </w:rPr>
        <w:t xml:space="preserve"> transféré à la gendarmerie de Laayoune, toujours avec les menottes et les yeux bandés. </w:t>
      </w:r>
    </w:p>
    <w:p w:rsidR="009069B0" w:rsidRPr="009069B0" w:rsidRDefault="009069B0">
      <w:pPr>
        <w:pStyle w:val="SingleTxtG"/>
        <w:rPr>
          <w:rFonts w:eastAsia="MS Mincho"/>
        </w:rPr>
      </w:pPr>
      <w:r w:rsidRPr="009069B0">
        <w:rPr>
          <w:rFonts w:eastAsia="MS Mincho"/>
        </w:rPr>
        <w:t>2.5</w:t>
      </w:r>
      <w:r w:rsidRPr="009069B0">
        <w:rPr>
          <w:rFonts w:eastAsia="MS Mincho"/>
        </w:rPr>
        <w:tab/>
        <w:t>Le requérant est resté détenu à la gendarmerie de Laayoune jusqu</w:t>
      </w:r>
      <w:r w:rsidR="00FF46FE">
        <w:rPr>
          <w:rFonts w:eastAsia="MS Mincho"/>
        </w:rPr>
        <w:t>’</w:t>
      </w:r>
      <w:r w:rsidRPr="009069B0">
        <w:rPr>
          <w:rFonts w:eastAsia="MS Mincho"/>
        </w:rPr>
        <w:t>au 12 novembre 2010</w:t>
      </w:r>
      <w:r w:rsidR="00475382">
        <w:rPr>
          <w:rFonts w:eastAsia="MS Mincho"/>
        </w:rPr>
        <w:t xml:space="preserve">, </w:t>
      </w:r>
      <w:r w:rsidR="00732B22">
        <w:rPr>
          <w:rFonts w:eastAsia="MS Mincho"/>
        </w:rPr>
        <w:t>sans savoir où il était</w:t>
      </w:r>
      <w:r w:rsidRPr="009069B0">
        <w:rPr>
          <w:rFonts w:eastAsia="MS Mincho"/>
        </w:rPr>
        <w:t xml:space="preserve">. Durant ces </w:t>
      </w:r>
      <w:r w:rsidR="001D5955">
        <w:rPr>
          <w:rFonts w:eastAsia="MS Mincho"/>
        </w:rPr>
        <w:t xml:space="preserve">quelques </w:t>
      </w:r>
      <w:r w:rsidRPr="009069B0">
        <w:rPr>
          <w:rFonts w:eastAsia="MS Mincho"/>
        </w:rPr>
        <w:t>jours, il est resté en permanence les yeux bandés, les poignets menottés derrière le dos et assis sur un matelas sans pouvoir bouger. Il</w:t>
      </w:r>
      <w:r w:rsidR="00FC5EA5">
        <w:rPr>
          <w:rFonts w:eastAsia="MS Mincho"/>
        </w:rPr>
        <w:t> </w:t>
      </w:r>
      <w:r w:rsidRPr="009069B0">
        <w:rPr>
          <w:rFonts w:eastAsia="MS Mincho"/>
        </w:rPr>
        <w:t>n</w:t>
      </w:r>
      <w:r w:rsidR="00FF46FE">
        <w:rPr>
          <w:rFonts w:eastAsia="MS Mincho"/>
        </w:rPr>
        <w:t>’</w:t>
      </w:r>
      <w:r w:rsidRPr="009069B0">
        <w:rPr>
          <w:rFonts w:eastAsia="MS Mincho"/>
        </w:rPr>
        <w:t>avait le droit de s</w:t>
      </w:r>
      <w:r w:rsidR="00FF46FE">
        <w:rPr>
          <w:rFonts w:eastAsia="MS Mincho"/>
        </w:rPr>
        <w:t>’</w:t>
      </w:r>
      <w:r w:rsidRPr="009069B0">
        <w:rPr>
          <w:rFonts w:eastAsia="MS Mincho"/>
        </w:rPr>
        <w:t>allonger qu</w:t>
      </w:r>
      <w:r w:rsidR="00FF46FE">
        <w:rPr>
          <w:rFonts w:eastAsia="MS Mincho"/>
        </w:rPr>
        <w:t>’</w:t>
      </w:r>
      <w:r w:rsidRPr="009069B0">
        <w:rPr>
          <w:rFonts w:eastAsia="MS Mincho"/>
        </w:rPr>
        <w:t>après le dernier appel à la prière de la journée. Il n</w:t>
      </w:r>
      <w:r w:rsidR="00FF46FE">
        <w:rPr>
          <w:rFonts w:eastAsia="MS Mincho"/>
        </w:rPr>
        <w:t>’</w:t>
      </w:r>
      <w:r w:rsidRPr="009069B0">
        <w:rPr>
          <w:rFonts w:eastAsia="MS Mincho"/>
        </w:rPr>
        <w:t>avait presque rien à manger et ne pouvait boire que deux fois par jour. Il ne pouvait aller aux toilettes qu</w:t>
      </w:r>
      <w:r w:rsidR="00FF46FE">
        <w:rPr>
          <w:rFonts w:eastAsia="MS Mincho"/>
        </w:rPr>
        <w:t>’</w:t>
      </w:r>
      <w:r w:rsidRPr="009069B0">
        <w:rPr>
          <w:rFonts w:eastAsia="MS Mincho"/>
        </w:rPr>
        <w:t>en compagnie de deux agents et</w:t>
      </w:r>
      <w:r w:rsidR="00A51D42">
        <w:rPr>
          <w:rFonts w:eastAsia="MS Mincho"/>
        </w:rPr>
        <w:t>,</w:t>
      </w:r>
      <w:r w:rsidRPr="009069B0">
        <w:rPr>
          <w:rFonts w:eastAsia="MS Mincho"/>
        </w:rPr>
        <w:t xml:space="preserve"> même là, il restait menotté. Il était interrogé quotidiennement sur ses relations avec le </w:t>
      </w:r>
      <w:r w:rsidR="00740553">
        <w:rPr>
          <w:rFonts w:eastAsia="MS Mincho"/>
        </w:rPr>
        <w:t>F</w:t>
      </w:r>
      <w:r w:rsidR="00740553" w:rsidRPr="009069B0">
        <w:rPr>
          <w:rFonts w:eastAsia="MS Mincho"/>
        </w:rPr>
        <w:t xml:space="preserve">ront </w:t>
      </w:r>
      <w:r w:rsidRPr="009069B0">
        <w:rPr>
          <w:rFonts w:eastAsia="MS Mincho"/>
        </w:rPr>
        <w:t xml:space="preserve">Polisario, </w:t>
      </w:r>
      <w:r w:rsidR="001C0859">
        <w:rPr>
          <w:rFonts w:eastAsia="MS Mincho"/>
        </w:rPr>
        <w:t xml:space="preserve">sur </w:t>
      </w:r>
      <w:r w:rsidRPr="009069B0">
        <w:rPr>
          <w:rFonts w:eastAsia="MS Mincho"/>
        </w:rPr>
        <w:t xml:space="preserve">ses contacts au sein de ce mouvement, sur les partis politiques au Maroc, sur son enfance, sur le camp de Gdeim Izik et sur ses activités en France. </w:t>
      </w:r>
    </w:p>
    <w:p w:rsidR="009069B0" w:rsidRPr="009069B0" w:rsidRDefault="009069B0">
      <w:pPr>
        <w:pStyle w:val="SingleTxtG"/>
        <w:rPr>
          <w:rFonts w:eastAsia="MS Mincho"/>
        </w:rPr>
      </w:pPr>
      <w:r w:rsidRPr="009069B0">
        <w:rPr>
          <w:rFonts w:eastAsia="MS Mincho"/>
        </w:rPr>
        <w:t>2.6</w:t>
      </w:r>
      <w:r w:rsidRPr="009069B0">
        <w:rPr>
          <w:rFonts w:eastAsia="MS Mincho"/>
        </w:rPr>
        <w:tab/>
      </w:r>
      <w:r w:rsidR="001D5955">
        <w:rPr>
          <w:rFonts w:eastAsia="MS Mincho"/>
        </w:rPr>
        <w:t>Dans</w:t>
      </w:r>
      <w:r w:rsidRPr="009069B0">
        <w:rPr>
          <w:rFonts w:eastAsia="MS Mincho"/>
        </w:rPr>
        <w:t xml:space="preserve"> la nuit du 11 au 12 novembre 2010, le requérant a été transféré avec d</w:t>
      </w:r>
      <w:r w:rsidR="00FF46FE">
        <w:rPr>
          <w:rFonts w:eastAsia="MS Mincho"/>
        </w:rPr>
        <w:t>’</w:t>
      </w:r>
      <w:r w:rsidRPr="009069B0">
        <w:rPr>
          <w:rFonts w:eastAsia="MS Mincho"/>
        </w:rPr>
        <w:t xml:space="preserve">autres détenus, toujours les yeux bandés, à la </w:t>
      </w:r>
      <w:r w:rsidR="009B16D3">
        <w:rPr>
          <w:rFonts w:eastAsia="MS Mincho"/>
        </w:rPr>
        <w:t>c</w:t>
      </w:r>
      <w:r w:rsidR="009B16D3" w:rsidRPr="009069B0">
        <w:rPr>
          <w:rFonts w:eastAsia="MS Mincho"/>
        </w:rPr>
        <w:t xml:space="preserve">our </w:t>
      </w:r>
      <w:r w:rsidRPr="009069B0">
        <w:rPr>
          <w:rFonts w:eastAsia="MS Mincho"/>
        </w:rPr>
        <w:t>d</w:t>
      </w:r>
      <w:r w:rsidR="00FF46FE">
        <w:rPr>
          <w:rFonts w:eastAsia="MS Mincho"/>
        </w:rPr>
        <w:t>’</w:t>
      </w:r>
      <w:r w:rsidRPr="009069B0">
        <w:rPr>
          <w:rFonts w:eastAsia="MS Mincho"/>
        </w:rPr>
        <w:t>appel de Laayoune pour être présenté au juge d</w:t>
      </w:r>
      <w:r w:rsidR="00FF46FE">
        <w:rPr>
          <w:rFonts w:eastAsia="MS Mincho"/>
        </w:rPr>
        <w:t>’</w:t>
      </w:r>
      <w:r w:rsidRPr="009069B0">
        <w:rPr>
          <w:rFonts w:eastAsia="MS Mincho"/>
        </w:rPr>
        <w:t xml:space="preserve">instruction. En attendant dans les couloirs de la </w:t>
      </w:r>
      <w:r w:rsidR="009B16D3">
        <w:rPr>
          <w:rFonts w:eastAsia="MS Mincho"/>
        </w:rPr>
        <w:t>c</w:t>
      </w:r>
      <w:r w:rsidR="009B16D3" w:rsidRPr="009069B0">
        <w:rPr>
          <w:rFonts w:eastAsia="MS Mincho"/>
        </w:rPr>
        <w:t>our</w:t>
      </w:r>
      <w:r w:rsidRPr="009069B0">
        <w:rPr>
          <w:rFonts w:eastAsia="MS Mincho"/>
        </w:rPr>
        <w:t>, un officier de la gendarmerie l</w:t>
      </w:r>
      <w:r w:rsidR="00FF46FE">
        <w:rPr>
          <w:rFonts w:eastAsia="MS Mincho"/>
        </w:rPr>
        <w:t>’</w:t>
      </w:r>
      <w:r w:rsidRPr="009069B0">
        <w:rPr>
          <w:rFonts w:eastAsia="MS Mincho"/>
        </w:rPr>
        <w:t xml:space="preserve">a </w:t>
      </w:r>
      <w:r w:rsidRPr="009069B0">
        <w:rPr>
          <w:rFonts w:eastAsia="MS Mincho"/>
        </w:rPr>
        <w:lastRenderedPageBreak/>
        <w:t>f</w:t>
      </w:r>
      <w:r w:rsidR="001D5955">
        <w:rPr>
          <w:rFonts w:eastAsia="MS Mincho"/>
        </w:rPr>
        <w:t>rappé et menacé afin qu</w:t>
      </w:r>
      <w:r w:rsidR="00FF46FE">
        <w:rPr>
          <w:rFonts w:eastAsia="MS Mincho"/>
        </w:rPr>
        <w:t>’</w:t>
      </w:r>
      <w:r w:rsidR="001D5955">
        <w:rPr>
          <w:rFonts w:eastAsia="MS Mincho"/>
        </w:rPr>
        <w:t>il appose sa signature</w:t>
      </w:r>
      <w:r w:rsidRPr="009069B0">
        <w:rPr>
          <w:rFonts w:eastAsia="MS Mincho"/>
        </w:rPr>
        <w:t xml:space="preserve"> dans un cahier, sans voir de quoi il s</w:t>
      </w:r>
      <w:r w:rsidR="00FF46FE">
        <w:rPr>
          <w:rFonts w:eastAsia="MS Mincho"/>
        </w:rPr>
        <w:t>’</w:t>
      </w:r>
      <w:r w:rsidRPr="009069B0">
        <w:rPr>
          <w:rFonts w:eastAsia="MS Mincho"/>
        </w:rPr>
        <w:t>agissait</w:t>
      </w:r>
      <w:r w:rsidR="00785D0F">
        <w:rPr>
          <w:rStyle w:val="FootnoteReference"/>
          <w:rFonts w:eastAsia="MS Mincho"/>
        </w:rPr>
        <w:footnoteReference w:id="6"/>
      </w:r>
      <w:r w:rsidR="00C92F56">
        <w:rPr>
          <w:rFonts w:eastAsia="MS Mincho"/>
        </w:rPr>
        <w:t>.</w:t>
      </w:r>
      <w:r w:rsidRPr="009069B0">
        <w:rPr>
          <w:rFonts w:eastAsia="MS Mincho"/>
        </w:rPr>
        <w:t xml:space="preserve"> Après cela, il a été reconduit à la gendarmerie sans même avoir vu le magistrat.</w:t>
      </w:r>
    </w:p>
    <w:p w:rsidR="009069B0" w:rsidRPr="009069B0" w:rsidRDefault="009069B0" w:rsidP="005C7B49">
      <w:pPr>
        <w:pStyle w:val="SingleTxtG"/>
        <w:rPr>
          <w:rFonts w:eastAsia="MS Mincho"/>
        </w:rPr>
      </w:pPr>
      <w:r w:rsidRPr="009069B0">
        <w:rPr>
          <w:rFonts w:eastAsia="MS Mincho"/>
        </w:rPr>
        <w:t>2.7</w:t>
      </w:r>
      <w:r w:rsidRPr="009069B0">
        <w:rPr>
          <w:rFonts w:eastAsia="MS Mincho"/>
        </w:rPr>
        <w:tab/>
        <w:t xml:space="preserve">Le 12 novembre 2010 au soir, le requérant </w:t>
      </w:r>
      <w:r w:rsidR="001D5955">
        <w:rPr>
          <w:rFonts w:eastAsia="MS Mincho"/>
        </w:rPr>
        <w:t xml:space="preserve">a </w:t>
      </w:r>
      <w:r w:rsidRPr="009069B0">
        <w:rPr>
          <w:rFonts w:eastAsia="MS Mincho"/>
        </w:rPr>
        <w:t>ét</w:t>
      </w:r>
      <w:r w:rsidR="001D5955">
        <w:rPr>
          <w:rFonts w:eastAsia="MS Mincho"/>
        </w:rPr>
        <w:t>é</w:t>
      </w:r>
      <w:r w:rsidRPr="009069B0">
        <w:rPr>
          <w:rFonts w:eastAsia="MS Mincho"/>
        </w:rPr>
        <w:t xml:space="preserve"> emmené avec plusieurs détenus à l</w:t>
      </w:r>
      <w:r w:rsidR="00FF46FE">
        <w:rPr>
          <w:rFonts w:eastAsia="MS Mincho"/>
        </w:rPr>
        <w:t>’</w:t>
      </w:r>
      <w:r w:rsidRPr="009069B0">
        <w:rPr>
          <w:rFonts w:eastAsia="MS Mincho"/>
        </w:rPr>
        <w:t xml:space="preserve">aéroport de Laayoune </w:t>
      </w:r>
      <w:r w:rsidR="00A51D42">
        <w:rPr>
          <w:rFonts w:eastAsia="MS Mincho"/>
        </w:rPr>
        <w:t>puis</w:t>
      </w:r>
      <w:r w:rsidR="0052330B">
        <w:rPr>
          <w:rFonts w:eastAsia="MS Mincho"/>
        </w:rPr>
        <w:t xml:space="preserve"> a</w:t>
      </w:r>
      <w:r w:rsidRPr="009069B0">
        <w:rPr>
          <w:rFonts w:eastAsia="MS Mincho"/>
        </w:rPr>
        <w:t xml:space="preserve"> </w:t>
      </w:r>
      <w:r w:rsidR="0052330B" w:rsidRPr="009069B0">
        <w:rPr>
          <w:rFonts w:eastAsia="MS Mincho"/>
        </w:rPr>
        <w:t>ét</w:t>
      </w:r>
      <w:r w:rsidR="0052330B">
        <w:rPr>
          <w:rFonts w:eastAsia="MS Mincho"/>
        </w:rPr>
        <w:t>é</w:t>
      </w:r>
      <w:r w:rsidR="0052330B" w:rsidRPr="009069B0">
        <w:rPr>
          <w:rFonts w:eastAsia="MS Mincho"/>
        </w:rPr>
        <w:t xml:space="preserve"> </w:t>
      </w:r>
      <w:r w:rsidRPr="009069B0">
        <w:rPr>
          <w:rFonts w:eastAsia="MS Mincho"/>
        </w:rPr>
        <w:t>transféré en avion militaire jusqu</w:t>
      </w:r>
      <w:r w:rsidR="00FF46FE">
        <w:rPr>
          <w:rFonts w:eastAsia="MS Mincho"/>
        </w:rPr>
        <w:t>’</w:t>
      </w:r>
      <w:r w:rsidRPr="009069B0">
        <w:rPr>
          <w:rFonts w:eastAsia="MS Mincho"/>
        </w:rPr>
        <w:t>à Rabat, allongé sur le ventre sous la menace d</w:t>
      </w:r>
      <w:r w:rsidR="00FF46FE">
        <w:rPr>
          <w:rFonts w:eastAsia="MS Mincho"/>
        </w:rPr>
        <w:t>’</w:t>
      </w:r>
      <w:r w:rsidRPr="009069B0">
        <w:rPr>
          <w:rFonts w:eastAsia="MS Mincho"/>
        </w:rPr>
        <w:t>un couteau et avec des menottes en plastique qui lui lacéraient les poignets. Arrivé à Rabat, il a été conduit au tribunal militaire pour être entendu par un juge qui ne l</w:t>
      </w:r>
      <w:r w:rsidR="00FF46FE">
        <w:rPr>
          <w:rFonts w:eastAsia="MS Mincho"/>
        </w:rPr>
        <w:t>’</w:t>
      </w:r>
      <w:r w:rsidRPr="009069B0">
        <w:rPr>
          <w:rFonts w:eastAsia="MS Mincho"/>
        </w:rPr>
        <w:t>a pas laissé s</w:t>
      </w:r>
      <w:r w:rsidR="00FF46FE">
        <w:rPr>
          <w:rFonts w:eastAsia="MS Mincho"/>
        </w:rPr>
        <w:t>’</w:t>
      </w:r>
      <w:r w:rsidRPr="009069B0">
        <w:rPr>
          <w:rFonts w:eastAsia="MS Mincho"/>
        </w:rPr>
        <w:t>exprimer, alors même qu</w:t>
      </w:r>
      <w:r w:rsidR="00FF46FE">
        <w:rPr>
          <w:rFonts w:eastAsia="MS Mincho"/>
        </w:rPr>
        <w:t>’</w:t>
      </w:r>
      <w:r w:rsidRPr="009069B0">
        <w:rPr>
          <w:rFonts w:eastAsia="MS Mincho"/>
        </w:rPr>
        <w:t>il présentait des traces de coup</w:t>
      </w:r>
      <w:r w:rsidR="00475382">
        <w:rPr>
          <w:rFonts w:eastAsia="MS Mincho"/>
        </w:rPr>
        <w:t>s</w:t>
      </w:r>
      <w:r w:rsidRPr="009069B0">
        <w:rPr>
          <w:rFonts w:eastAsia="MS Mincho"/>
        </w:rPr>
        <w:t xml:space="preserve"> et du sang sur le visage. </w:t>
      </w:r>
      <w:r w:rsidR="00460A5D">
        <w:rPr>
          <w:rFonts w:eastAsia="MS Mincho"/>
        </w:rPr>
        <w:t>À</w:t>
      </w:r>
      <w:r w:rsidR="00460A5D" w:rsidRPr="009069B0">
        <w:rPr>
          <w:rFonts w:eastAsia="MS Mincho"/>
        </w:rPr>
        <w:t xml:space="preserve"> </w:t>
      </w:r>
      <w:r w:rsidRPr="009069B0">
        <w:rPr>
          <w:rFonts w:eastAsia="MS Mincho"/>
        </w:rPr>
        <w:t xml:space="preserve">partir </w:t>
      </w:r>
      <w:r w:rsidR="00A01CBC">
        <w:rPr>
          <w:rFonts w:eastAsia="MS Mincho"/>
        </w:rPr>
        <w:t>de</w:t>
      </w:r>
      <w:r w:rsidR="00475382">
        <w:rPr>
          <w:rFonts w:eastAsia="MS Mincho"/>
        </w:rPr>
        <w:t xml:space="preserve"> cette date</w:t>
      </w:r>
      <w:r w:rsidRPr="009069B0">
        <w:rPr>
          <w:rFonts w:eastAsia="MS Mincho"/>
        </w:rPr>
        <w:t xml:space="preserve">, le requérant </w:t>
      </w:r>
      <w:r w:rsidR="00C4049E">
        <w:rPr>
          <w:rFonts w:eastAsia="MS Mincho"/>
        </w:rPr>
        <w:t xml:space="preserve">a </w:t>
      </w:r>
      <w:r w:rsidRPr="009069B0">
        <w:rPr>
          <w:rFonts w:eastAsia="MS Mincho"/>
        </w:rPr>
        <w:t>ét</w:t>
      </w:r>
      <w:r w:rsidR="00C4049E">
        <w:rPr>
          <w:rFonts w:eastAsia="MS Mincho"/>
        </w:rPr>
        <w:t>é</w:t>
      </w:r>
      <w:r w:rsidRPr="009069B0">
        <w:rPr>
          <w:rFonts w:eastAsia="MS Mincho"/>
        </w:rPr>
        <w:t xml:space="preserve"> placé en détention provisoire à </w:t>
      </w:r>
      <w:r w:rsidR="000C7014">
        <w:rPr>
          <w:rFonts w:eastAsia="MS Mincho"/>
        </w:rPr>
        <w:t xml:space="preserve">la prison de </w:t>
      </w:r>
      <w:r w:rsidRPr="009069B0">
        <w:rPr>
          <w:rFonts w:eastAsia="MS Mincho"/>
        </w:rPr>
        <w:t xml:space="preserve">Salé 2 où il a passé la première nuit attaché par </w:t>
      </w:r>
      <w:r w:rsidR="00A51D42">
        <w:rPr>
          <w:rFonts w:eastAsia="MS Mincho"/>
        </w:rPr>
        <w:t>d</w:t>
      </w:r>
      <w:r w:rsidRPr="009069B0">
        <w:rPr>
          <w:rFonts w:eastAsia="MS Mincho"/>
        </w:rPr>
        <w:t>es menottes à une grande porte ornée de barres de fer, d</w:t>
      </w:r>
      <w:r w:rsidR="00FF46FE">
        <w:rPr>
          <w:rFonts w:eastAsia="MS Mincho"/>
        </w:rPr>
        <w:t>’</w:t>
      </w:r>
      <w:r w:rsidRPr="009069B0">
        <w:rPr>
          <w:rFonts w:eastAsia="MS Mincho"/>
        </w:rPr>
        <w:t>abord debout, puis allongé par terre. Il avait toujours les yeux bandés et était frappé chaque fois qu</w:t>
      </w:r>
      <w:r w:rsidR="00FF46FE">
        <w:rPr>
          <w:rFonts w:eastAsia="MS Mincho"/>
        </w:rPr>
        <w:t>’</w:t>
      </w:r>
      <w:r w:rsidRPr="009069B0">
        <w:rPr>
          <w:rFonts w:eastAsia="MS Mincho"/>
        </w:rPr>
        <w:t xml:space="preserve">il bougeait. Le 18 novembre 2010, il </w:t>
      </w:r>
      <w:r w:rsidR="0052330B">
        <w:rPr>
          <w:rFonts w:eastAsia="MS Mincho"/>
        </w:rPr>
        <w:t xml:space="preserve">a </w:t>
      </w:r>
      <w:r w:rsidR="0052330B" w:rsidRPr="009069B0">
        <w:rPr>
          <w:rFonts w:eastAsia="MS Mincho"/>
        </w:rPr>
        <w:t>ét</w:t>
      </w:r>
      <w:r w:rsidR="0052330B">
        <w:rPr>
          <w:rFonts w:eastAsia="MS Mincho"/>
        </w:rPr>
        <w:t>é</w:t>
      </w:r>
      <w:r w:rsidR="0052330B" w:rsidRPr="009069B0">
        <w:rPr>
          <w:rFonts w:eastAsia="MS Mincho"/>
        </w:rPr>
        <w:t xml:space="preserve"> </w:t>
      </w:r>
      <w:r w:rsidRPr="009069B0">
        <w:rPr>
          <w:rFonts w:eastAsia="MS Mincho"/>
        </w:rPr>
        <w:t xml:space="preserve">placé en isolement pour </w:t>
      </w:r>
      <w:r w:rsidR="00A55DB8">
        <w:rPr>
          <w:rFonts w:eastAsia="MS Mincho"/>
        </w:rPr>
        <w:t>quatre</w:t>
      </w:r>
      <w:r w:rsidR="00A55DB8" w:rsidRPr="009069B0">
        <w:rPr>
          <w:rFonts w:eastAsia="MS Mincho"/>
        </w:rPr>
        <w:t xml:space="preserve"> </w:t>
      </w:r>
      <w:r w:rsidRPr="009069B0">
        <w:rPr>
          <w:rFonts w:eastAsia="MS Mincho"/>
        </w:rPr>
        <w:t>mois sans autorisation de promenade.</w:t>
      </w:r>
      <w:r w:rsidR="00FF46FE">
        <w:rPr>
          <w:rFonts w:eastAsia="MS Mincho"/>
        </w:rPr>
        <w:t xml:space="preserve"> </w:t>
      </w:r>
      <w:r w:rsidRPr="009069B0">
        <w:rPr>
          <w:rFonts w:eastAsia="MS Mincho"/>
        </w:rPr>
        <w:t xml:space="preserve">Le requérant a entamé une grève de la faim et </w:t>
      </w:r>
      <w:r w:rsidR="000C7014">
        <w:rPr>
          <w:rFonts w:eastAsia="MS Mincho"/>
        </w:rPr>
        <w:t xml:space="preserve">a </w:t>
      </w:r>
      <w:r w:rsidR="0052330B">
        <w:rPr>
          <w:rFonts w:eastAsia="MS Mincho"/>
        </w:rPr>
        <w:t xml:space="preserve">alors </w:t>
      </w:r>
      <w:r w:rsidR="000C7014">
        <w:rPr>
          <w:rFonts w:eastAsia="MS Mincho"/>
        </w:rPr>
        <w:t xml:space="preserve">pu bénéficier de </w:t>
      </w:r>
      <w:r w:rsidR="0052330B">
        <w:rPr>
          <w:rFonts w:eastAsia="MS Mincho"/>
        </w:rPr>
        <w:t>sa</w:t>
      </w:r>
      <w:r w:rsidR="0052330B" w:rsidRPr="009069B0">
        <w:rPr>
          <w:rFonts w:eastAsia="MS Mincho"/>
        </w:rPr>
        <w:t xml:space="preserve"> </w:t>
      </w:r>
      <w:r w:rsidRPr="009069B0">
        <w:rPr>
          <w:rFonts w:eastAsia="MS Mincho"/>
        </w:rPr>
        <w:t>première visite médicale depuis son arrestation.</w:t>
      </w:r>
      <w:r w:rsidR="00FF46FE">
        <w:rPr>
          <w:rFonts w:eastAsia="MS Mincho"/>
        </w:rPr>
        <w:t xml:space="preserve"> </w:t>
      </w:r>
      <w:r w:rsidRPr="009069B0">
        <w:rPr>
          <w:rFonts w:eastAsia="MS Mincho"/>
        </w:rPr>
        <w:t xml:space="preserve">Le 9 décembre 2010, le requérant a vu pour la première fois </w:t>
      </w:r>
      <w:r w:rsidR="0052330B">
        <w:rPr>
          <w:rFonts w:eastAsia="MS Mincho"/>
        </w:rPr>
        <w:t>l’</w:t>
      </w:r>
      <w:r w:rsidRPr="009069B0">
        <w:rPr>
          <w:rFonts w:eastAsia="MS Mincho"/>
        </w:rPr>
        <w:t xml:space="preserve">un de ses avocats et a ensuite eu </w:t>
      </w:r>
      <w:r w:rsidR="00DB4653">
        <w:rPr>
          <w:rFonts w:eastAsia="MS Mincho"/>
        </w:rPr>
        <w:t>la</w:t>
      </w:r>
      <w:r w:rsidR="00DB4653" w:rsidRPr="009069B0">
        <w:rPr>
          <w:rFonts w:eastAsia="MS Mincho"/>
        </w:rPr>
        <w:t xml:space="preserve"> </w:t>
      </w:r>
      <w:r w:rsidRPr="009069B0">
        <w:rPr>
          <w:rFonts w:eastAsia="MS Mincho"/>
        </w:rPr>
        <w:t xml:space="preserve">visite de son épouse, informée de son arrestation par </w:t>
      </w:r>
      <w:r w:rsidR="0052330B">
        <w:rPr>
          <w:rFonts w:eastAsia="MS Mincho"/>
        </w:rPr>
        <w:t>l</w:t>
      </w:r>
      <w:r w:rsidR="0052330B" w:rsidRPr="009069B0">
        <w:rPr>
          <w:rFonts w:eastAsia="MS Mincho"/>
        </w:rPr>
        <w:t xml:space="preserve">es </w:t>
      </w:r>
      <w:r w:rsidRPr="009069B0">
        <w:rPr>
          <w:rFonts w:eastAsia="MS Mincho"/>
        </w:rPr>
        <w:t>parents d</w:t>
      </w:r>
      <w:r w:rsidR="00FF46FE">
        <w:rPr>
          <w:rFonts w:eastAsia="MS Mincho"/>
        </w:rPr>
        <w:t>’</w:t>
      </w:r>
      <w:r w:rsidRPr="009069B0">
        <w:rPr>
          <w:rFonts w:eastAsia="MS Mincho"/>
        </w:rPr>
        <w:t xml:space="preserve">autres détenus sahraouis. En avril 2011, le requérant a </w:t>
      </w:r>
      <w:r w:rsidR="008547A4">
        <w:rPr>
          <w:rFonts w:eastAsia="MS Mincho"/>
        </w:rPr>
        <w:t>reçu</w:t>
      </w:r>
      <w:r w:rsidR="008547A4" w:rsidRPr="009069B0">
        <w:rPr>
          <w:rFonts w:eastAsia="MS Mincho"/>
        </w:rPr>
        <w:t xml:space="preserve"> </w:t>
      </w:r>
      <w:r w:rsidRPr="009069B0">
        <w:rPr>
          <w:rFonts w:eastAsia="MS Mincho"/>
        </w:rPr>
        <w:t>l</w:t>
      </w:r>
      <w:r w:rsidR="00FF46FE">
        <w:rPr>
          <w:rFonts w:eastAsia="MS Mincho"/>
        </w:rPr>
        <w:t>’</w:t>
      </w:r>
      <w:r w:rsidRPr="009069B0">
        <w:rPr>
          <w:rFonts w:eastAsia="MS Mincho"/>
        </w:rPr>
        <w:t>autorisation d</w:t>
      </w:r>
      <w:r w:rsidR="00FF46FE">
        <w:rPr>
          <w:rFonts w:eastAsia="MS Mincho"/>
        </w:rPr>
        <w:t>’</w:t>
      </w:r>
      <w:r w:rsidRPr="009069B0">
        <w:rPr>
          <w:rFonts w:eastAsia="MS Mincho"/>
        </w:rPr>
        <w:t>avoir de la lecture</w:t>
      </w:r>
      <w:r w:rsidR="0052330B">
        <w:rPr>
          <w:rFonts w:eastAsia="MS Mincho"/>
        </w:rPr>
        <w:t>,</w:t>
      </w:r>
      <w:r w:rsidRPr="009069B0">
        <w:rPr>
          <w:rFonts w:eastAsia="MS Mincho"/>
        </w:rPr>
        <w:t xml:space="preserve"> mais il n</w:t>
      </w:r>
      <w:r w:rsidR="00FF46FE">
        <w:rPr>
          <w:rFonts w:eastAsia="MS Mincho"/>
        </w:rPr>
        <w:t>’</w:t>
      </w:r>
      <w:r w:rsidRPr="009069B0">
        <w:rPr>
          <w:rFonts w:eastAsia="MS Mincho"/>
        </w:rPr>
        <w:t xml:space="preserve">était pas autorisé à recevoir ou envoyer du courrier. </w:t>
      </w:r>
    </w:p>
    <w:p w:rsidR="007619D2" w:rsidRDefault="009069B0">
      <w:pPr>
        <w:pStyle w:val="SingleTxtG"/>
        <w:rPr>
          <w:rFonts w:eastAsia="MS Mincho"/>
          <w:b/>
          <w:bCs/>
          <w:lang w:val="fr-FR" w:eastAsia="zh-CN"/>
        </w:rPr>
      </w:pPr>
      <w:r w:rsidRPr="009069B0">
        <w:rPr>
          <w:rFonts w:eastAsia="MS Mincho"/>
        </w:rPr>
        <w:t>2.</w:t>
      </w:r>
      <w:r w:rsidR="009A7FEA">
        <w:rPr>
          <w:rFonts w:eastAsia="MS Mincho"/>
        </w:rPr>
        <w:t>8</w:t>
      </w:r>
      <w:r w:rsidRPr="009069B0">
        <w:rPr>
          <w:rFonts w:eastAsia="MS Mincho"/>
        </w:rPr>
        <w:tab/>
      </w:r>
      <w:r w:rsidR="00475382">
        <w:rPr>
          <w:rFonts w:eastAsia="MS Mincho"/>
        </w:rPr>
        <w:t>Lors des deux auditions des 12 janvier et 12 août 2011, le requérant a dit au juge qu’il avait été torturé. L</w:t>
      </w:r>
      <w:r w:rsidR="00475382" w:rsidRPr="00C4049E">
        <w:rPr>
          <w:rFonts w:eastAsia="MS Mincho"/>
        </w:rPr>
        <w:t xml:space="preserve">e requérant a toujours nié les faits dont il était accusé en relation avec les violences ayant eu lieu </w:t>
      </w:r>
      <w:r w:rsidR="00C567BC">
        <w:rPr>
          <w:rFonts w:eastAsia="MS Mincho"/>
        </w:rPr>
        <w:t>lors</w:t>
      </w:r>
      <w:r w:rsidR="00475382" w:rsidRPr="00C4049E">
        <w:rPr>
          <w:rFonts w:eastAsia="MS Mincho"/>
        </w:rPr>
        <w:t xml:space="preserve"> du démantèlement du camp </w:t>
      </w:r>
      <w:r w:rsidR="00740553">
        <w:rPr>
          <w:rFonts w:eastAsia="MS Mincho"/>
        </w:rPr>
        <w:t xml:space="preserve">de </w:t>
      </w:r>
      <w:r w:rsidR="00475382" w:rsidRPr="00C4049E">
        <w:rPr>
          <w:rFonts w:eastAsia="MS Mincho"/>
        </w:rPr>
        <w:t>Gdeim Izik et il a expliqué qu</w:t>
      </w:r>
      <w:r w:rsidR="00475382">
        <w:rPr>
          <w:rFonts w:eastAsia="MS Mincho"/>
        </w:rPr>
        <w:t>’</w:t>
      </w:r>
      <w:r w:rsidR="00C567BC">
        <w:rPr>
          <w:rFonts w:eastAsia="MS Mincho"/>
        </w:rPr>
        <w:t>il avait été</w:t>
      </w:r>
      <w:r w:rsidR="00475382" w:rsidRPr="00C4049E">
        <w:rPr>
          <w:rFonts w:eastAsia="MS Mincho"/>
        </w:rPr>
        <w:t xml:space="preserve"> forcé à signer un document dont il ignorait le contenu. </w:t>
      </w:r>
      <w:r w:rsidR="00E743C4">
        <w:rPr>
          <w:rFonts w:eastAsia="MS Mincho"/>
        </w:rPr>
        <w:t>Dans sa décision du 22 décembre 2011, le juge d</w:t>
      </w:r>
      <w:r w:rsidR="00FF46FE">
        <w:rPr>
          <w:rFonts w:eastAsia="MS Mincho"/>
        </w:rPr>
        <w:t>’</w:t>
      </w:r>
      <w:r w:rsidR="00E743C4">
        <w:rPr>
          <w:rFonts w:eastAsia="MS Mincho"/>
        </w:rPr>
        <w:t xml:space="preserve">instruction militaire a </w:t>
      </w:r>
      <w:r w:rsidR="009471EA">
        <w:rPr>
          <w:rFonts w:eastAsia="MS Mincho"/>
        </w:rPr>
        <w:t xml:space="preserve">clos </w:t>
      </w:r>
      <w:r w:rsidR="00E743C4">
        <w:rPr>
          <w:rFonts w:eastAsia="MS Mincho"/>
        </w:rPr>
        <w:t>l</w:t>
      </w:r>
      <w:r w:rsidR="00FF46FE">
        <w:rPr>
          <w:rFonts w:eastAsia="MS Mincho"/>
        </w:rPr>
        <w:t>’</w:t>
      </w:r>
      <w:r w:rsidR="00E743C4">
        <w:rPr>
          <w:rFonts w:eastAsia="MS Mincho"/>
        </w:rPr>
        <w:t>instruction et renvoyé l</w:t>
      </w:r>
      <w:r w:rsidR="00FF46FE">
        <w:rPr>
          <w:rFonts w:eastAsia="MS Mincho"/>
        </w:rPr>
        <w:t>’</w:t>
      </w:r>
      <w:r w:rsidR="00E743C4">
        <w:rPr>
          <w:rFonts w:eastAsia="MS Mincho"/>
        </w:rPr>
        <w:t xml:space="preserve">affaire pour jugement devant le tribunal militaire. </w:t>
      </w:r>
      <w:r w:rsidRPr="009069B0">
        <w:rPr>
          <w:rFonts w:eastAsia="MS Mincho"/>
        </w:rPr>
        <w:t xml:space="preserve">Le requérant </w:t>
      </w:r>
      <w:r w:rsidR="00B330BB">
        <w:rPr>
          <w:rFonts w:eastAsia="MS Mincho"/>
        </w:rPr>
        <w:t xml:space="preserve">a </w:t>
      </w:r>
      <w:r w:rsidRPr="009069B0">
        <w:rPr>
          <w:rFonts w:eastAsia="MS Mincho"/>
        </w:rPr>
        <w:t>ét</w:t>
      </w:r>
      <w:r w:rsidR="00B330BB">
        <w:rPr>
          <w:rFonts w:eastAsia="MS Mincho"/>
        </w:rPr>
        <w:t>é</w:t>
      </w:r>
      <w:r w:rsidRPr="009069B0">
        <w:rPr>
          <w:rFonts w:eastAsia="MS Mincho"/>
        </w:rPr>
        <w:t xml:space="preserve"> condamné le 1</w:t>
      </w:r>
      <w:r w:rsidR="00C44C03">
        <w:rPr>
          <w:rFonts w:eastAsia="MS Mincho"/>
        </w:rPr>
        <w:t>6</w:t>
      </w:r>
      <w:r w:rsidR="00FC5EA5">
        <w:rPr>
          <w:rFonts w:eastAsia="MS Mincho"/>
        </w:rPr>
        <w:t> </w:t>
      </w:r>
      <w:r w:rsidRPr="009069B0">
        <w:rPr>
          <w:rFonts w:eastAsia="MS Mincho"/>
        </w:rPr>
        <w:t xml:space="preserve">février 2013 par le </w:t>
      </w:r>
      <w:r w:rsidR="002812EF">
        <w:rPr>
          <w:rFonts w:eastAsia="MS Mincho"/>
        </w:rPr>
        <w:t>t</w:t>
      </w:r>
      <w:r w:rsidR="002812EF" w:rsidRPr="009069B0">
        <w:rPr>
          <w:rFonts w:eastAsia="MS Mincho"/>
        </w:rPr>
        <w:t xml:space="preserve">ribunal </w:t>
      </w:r>
      <w:r w:rsidRPr="009069B0">
        <w:rPr>
          <w:rFonts w:eastAsia="MS Mincho"/>
        </w:rPr>
        <w:t>militaire permanent des forces armées royales de Rabat à trente années de prison pour constitution d</w:t>
      </w:r>
      <w:r w:rsidR="00FF46FE">
        <w:rPr>
          <w:rFonts w:eastAsia="MS Mincho"/>
        </w:rPr>
        <w:t>’</w:t>
      </w:r>
      <w:r w:rsidRPr="009069B0">
        <w:rPr>
          <w:rFonts w:eastAsia="MS Mincho"/>
        </w:rPr>
        <w:t xml:space="preserve">une bande criminelle et participation à la violence </w:t>
      </w:r>
      <w:r w:rsidR="00FF46FE" w:rsidRPr="009069B0">
        <w:rPr>
          <w:rFonts w:eastAsia="MS Mincho"/>
        </w:rPr>
        <w:t>entraînant</w:t>
      </w:r>
      <w:r w:rsidRPr="009069B0">
        <w:rPr>
          <w:rFonts w:eastAsia="MS Mincho"/>
        </w:rPr>
        <w:t xml:space="preserve"> la mort avec préméditation contre </w:t>
      </w:r>
      <w:r w:rsidR="000D3C40">
        <w:rPr>
          <w:rFonts w:eastAsia="MS Mincho"/>
        </w:rPr>
        <w:t>d</w:t>
      </w:r>
      <w:r w:rsidRPr="009069B0">
        <w:rPr>
          <w:rFonts w:eastAsia="MS Mincho"/>
        </w:rPr>
        <w:t>es éléments des forces publiques dans l</w:t>
      </w:r>
      <w:r w:rsidR="00FF46FE">
        <w:rPr>
          <w:rFonts w:eastAsia="MS Mincho"/>
        </w:rPr>
        <w:t>’</w:t>
      </w:r>
      <w:r w:rsidRPr="009069B0">
        <w:rPr>
          <w:rFonts w:eastAsia="MS Mincho"/>
        </w:rPr>
        <w:t>exercice de leur</w:t>
      </w:r>
      <w:r w:rsidR="000D3C40">
        <w:rPr>
          <w:rFonts w:eastAsia="MS Mincho"/>
        </w:rPr>
        <w:t>s</w:t>
      </w:r>
      <w:r w:rsidRPr="009069B0">
        <w:rPr>
          <w:rFonts w:eastAsia="MS Mincho"/>
        </w:rPr>
        <w:t xml:space="preserve"> fonction</w:t>
      </w:r>
      <w:r w:rsidR="000D3C40">
        <w:rPr>
          <w:rFonts w:eastAsia="MS Mincho"/>
        </w:rPr>
        <w:t>s</w:t>
      </w:r>
      <w:r w:rsidRPr="009069B0">
        <w:rPr>
          <w:rFonts w:eastAsia="MS Mincho"/>
        </w:rPr>
        <w:t xml:space="preserve"> dans le contexte du démantèlement d</w:t>
      </w:r>
      <w:r w:rsidR="00A51D42">
        <w:rPr>
          <w:rFonts w:eastAsia="MS Mincho"/>
        </w:rPr>
        <w:t>u</w:t>
      </w:r>
      <w:r w:rsidRPr="009069B0">
        <w:rPr>
          <w:rFonts w:eastAsia="MS Mincho"/>
        </w:rPr>
        <w:t xml:space="preserve"> camp de Gdeim Izik. Vingt-quatre autres </w:t>
      </w:r>
      <w:r w:rsidR="00D630A1">
        <w:rPr>
          <w:rFonts w:eastAsia="MS Mincho"/>
        </w:rPr>
        <w:t>S</w:t>
      </w:r>
      <w:r w:rsidR="00D630A1" w:rsidRPr="009069B0">
        <w:rPr>
          <w:rFonts w:eastAsia="MS Mincho"/>
        </w:rPr>
        <w:t xml:space="preserve">ahraouis </w:t>
      </w:r>
      <w:r w:rsidRPr="009069B0">
        <w:rPr>
          <w:rFonts w:eastAsia="MS Mincho"/>
        </w:rPr>
        <w:t>étaient poursuivis pour les mêmes faits et ont été condamnés à l</w:t>
      </w:r>
      <w:r w:rsidR="00FF46FE">
        <w:rPr>
          <w:rFonts w:eastAsia="MS Mincho"/>
        </w:rPr>
        <w:t>’</w:t>
      </w:r>
      <w:r w:rsidRPr="009069B0">
        <w:rPr>
          <w:rFonts w:eastAsia="MS Mincho"/>
        </w:rPr>
        <w:t>issue du procès, que le requérant a dénoncé comme globalement inéquitable et entaché d</w:t>
      </w:r>
      <w:r w:rsidR="00FF46FE">
        <w:rPr>
          <w:rFonts w:eastAsia="MS Mincho"/>
        </w:rPr>
        <w:t>’</w:t>
      </w:r>
      <w:r w:rsidRPr="009069B0">
        <w:rPr>
          <w:rFonts w:eastAsia="MS Mincho"/>
        </w:rPr>
        <w:t xml:space="preserve">irrégularités flagrantes </w:t>
      </w:r>
      <w:r w:rsidR="00475382">
        <w:rPr>
          <w:rFonts w:eastAsia="MS Mincho"/>
        </w:rPr>
        <w:t>comme la</w:t>
      </w:r>
      <w:r w:rsidR="00475382" w:rsidRPr="009069B0">
        <w:rPr>
          <w:rFonts w:eastAsia="MS Mincho"/>
        </w:rPr>
        <w:t xml:space="preserve"> </w:t>
      </w:r>
      <w:r w:rsidRPr="009069B0">
        <w:rPr>
          <w:rFonts w:eastAsia="MS Mincho"/>
        </w:rPr>
        <w:t xml:space="preserve">falsification de documents, </w:t>
      </w:r>
      <w:r w:rsidR="00475382">
        <w:rPr>
          <w:rFonts w:eastAsia="MS Mincho"/>
        </w:rPr>
        <w:t>notamment en ce qui concerne</w:t>
      </w:r>
      <w:r w:rsidR="00475382" w:rsidRPr="009069B0">
        <w:rPr>
          <w:rFonts w:eastAsia="MS Mincho"/>
        </w:rPr>
        <w:t xml:space="preserve"> </w:t>
      </w:r>
      <w:r w:rsidRPr="009069B0">
        <w:rPr>
          <w:rFonts w:eastAsia="MS Mincho"/>
        </w:rPr>
        <w:t>la date de son arrestation</w:t>
      </w:r>
      <w:r w:rsidR="00475382">
        <w:rPr>
          <w:rFonts w:eastAsia="MS Mincho"/>
        </w:rPr>
        <w:t> :</w:t>
      </w:r>
      <w:r w:rsidR="00475382" w:rsidRPr="009069B0">
        <w:rPr>
          <w:rFonts w:eastAsia="MS Mincho"/>
        </w:rPr>
        <w:t xml:space="preserve"> </w:t>
      </w:r>
      <w:r w:rsidR="00475382">
        <w:rPr>
          <w:rFonts w:eastAsia="MS Mincho"/>
        </w:rPr>
        <w:t>l</w:t>
      </w:r>
      <w:r w:rsidR="00B330BB">
        <w:rPr>
          <w:rFonts w:eastAsia="MS Mincho"/>
        </w:rPr>
        <w:t>es autorités ont déclaré que</w:t>
      </w:r>
      <w:r w:rsidRPr="009069B0">
        <w:rPr>
          <w:rFonts w:eastAsia="MS Mincho"/>
        </w:rPr>
        <w:t xml:space="preserve"> </w:t>
      </w:r>
      <w:r w:rsidR="00C44C03">
        <w:rPr>
          <w:rFonts w:eastAsia="MS Mincho"/>
        </w:rPr>
        <w:t>le requérant</w:t>
      </w:r>
      <w:r w:rsidRPr="009069B0">
        <w:rPr>
          <w:rFonts w:eastAsia="MS Mincho"/>
        </w:rPr>
        <w:t xml:space="preserve"> avait été arrêté le 8 novembre à</w:t>
      </w:r>
      <w:r w:rsidR="00FF46FE">
        <w:rPr>
          <w:rFonts w:eastAsia="MS Mincho"/>
        </w:rPr>
        <w:t xml:space="preserve"> </w:t>
      </w:r>
      <w:r w:rsidRPr="009069B0">
        <w:rPr>
          <w:rFonts w:eastAsia="MS Mincho"/>
        </w:rPr>
        <w:t>l</w:t>
      </w:r>
      <w:r w:rsidR="00FF46FE">
        <w:rPr>
          <w:rFonts w:eastAsia="MS Mincho"/>
        </w:rPr>
        <w:t>’</w:t>
      </w:r>
      <w:r w:rsidRPr="009069B0">
        <w:rPr>
          <w:rFonts w:eastAsia="MS Mincho"/>
        </w:rPr>
        <w:t>issue du déma</w:t>
      </w:r>
      <w:r w:rsidR="00B330BB">
        <w:rPr>
          <w:rFonts w:eastAsia="MS Mincho"/>
        </w:rPr>
        <w:t>ntèlement du camp de Gdeim Izik alors qu</w:t>
      </w:r>
      <w:r w:rsidR="00FF46FE">
        <w:rPr>
          <w:rFonts w:eastAsia="MS Mincho"/>
        </w:rPr>
        <w:t>’</w:t>
      </w:r>
      <w:r w:rsidR="00B330BB">
        <w:rPr>
          <w:rFonts w:eastAsia="MS Mincho"/>
        </w:rPr>
        <w:t xml:space="preserve">il avait été arrêté la veille de ces </w:t>
      </w:r>
      <w:r w:rsidR="00FF46FE">
        <w:rPr>
          <w:rFonts w:eastAsia="MS Mincho"/>
        </w:rPr>
        <w:t>événements</w:t>
      </w:r>
      <w:r w:rsidR="00B330BB">
        <w:rPr>
          <w:rFonts w:eastAsia="MS Mincho"/>
        </w:rPr>
        <w:t xml:space="preserve"> auxquels il n</w:t>
      </w:r>
      <w:r w:rsidR="00FF46FE">
        <w:rPr>
          <w:rFonts w:eastAsia="MS Mincho"/>
        </w:rPr>
        <w:t>’</w:t>
      </w:r>
      <w:r w:rsidR="00B330BB">
        <w:rPr>
          <w:rFonts w:eastAsia="MS Mincho"/>
        </w:rPr>
        <w:t>a</w:t>
      </w:r>
      <w:r w:rsidR="00475382">
        <w:rPr>
          <w:rFonts w:eastAsia="MS Mincho"/>
        </w:rPr>
        <w:t>vait</w:t>
      </w:r>
      <w:r w:rsidR="00B330BB">
        <w:rPr>
          <w:rFonts w:eastAsia="MS Mincho"/>
        </w:rPr>
        <w:t xml:space="preserve"> donc pas pu prendre part</w:t>
      </w:r>
      <w:r w:rsidRPr="009069B0">
        <w:rPr>
          <w:rFonts w:eastAsia="MS Mincho"/>
        </w:rPr>
        <w:t>. La</w:t>
      </w:r>
      <w:r w:rsidR="00FC5EA5">
        <w:rPr>
          <w:rFonts w:eastAsia="MS Mincho"/>
        </w:rPr>
        <w:t> </w:t>
      </w:r>
      <w:r w:rsidRPr="009069B0">
        <w:rPr>
          <w:rFonts w:eastAsia="MS Mincho"/>
        </w:rPr>
        <w:t>condamnation n</w:t>
      </w:r>
      <w:r w:rsidR="00FF46FE">
        <w:rPr>
          <w:rFonts w:eastAsia="MS Mincho"/>
        </w:rPr>
        <w:t>’</w:t>
      </w:r>
      <w:r w:rsidRPr="009069B0">
        <w:rPr>
          <w:rFonts w:eastAsia="MS Mincho"/>
        </w:rPr>
        <w:t>était pas susceptible d</w:t>
      </w:r>
      <w:r w:rsidR="00FF46FE">
        <w:rPr>
          <w:rFonts w:eastAsia="MS Mincho"/>
        </w:rPr>
        <w:t>’</w:t>
      </w:r>
      <w:r w:rsidRPr="009069B0">
        <w:rPr>
          <w:rFonts w:eastAsia="MS Mincho"/>
        </w:rPr>
        <w:t>appel.</w:t>
      </w:r>
    </w:p>
    <w:p w:rsidR="0084412F" w:rsidRPr="00C670FA" w:rsidRDefault="00F727CD" w:rsidP="00E93E9F">
      <w:pPr>
        <w:pStyle w:val="H23G"/>
      </w:pPr>
      <w:r>
        <w:tab/>
      </w:r>
      <w:r>
        <w:tab/>
      </w:r>
      <w:r w:rsidR="0084412F" w:rsidRPr="00C670FA">
        <w:t>Teneur de la plainte</w:t>
      </w:r>
    </w:p>
    <w:p w:rsidR="009069B0" w:rsidRDefault="0084412F">
      <w:pPr>
        <w:pStyle w:val="SingleTxtG"/>
      </w:pPr>
      <w:r w:rsidRPr="003E4A58">
        <w:rPr>
          <w:rFonts w:eastAsia="MS Mincho"/>
        </w:rPr>
        <w:t>3.1</w:t>
      </w:r>
      <w:r w:rsidRPr="003E4A58">
        <w:rPr>
          <w:rFonts w:eastAsia="MS Mincho"/>
        </w:rPr>
        <w:tab/>
      </w:r>
      <w:r w:rsidR="009069B0">
        <w:t xml:space="preserve">Le requérant allègue </w:t>
      </w:r>
      <w:r w:rsidR="00285B6B">
        <w:t>qu</w:t>
      </w:r>
      <w:r w:rsidR="00285B6B" w:rsidRPr="00926DC8">
        <w:t>’</w:t>
      </w:r>
      <w:r w:rsidR="00285B6B">
        <w:t xml:space="preserve">il y a </w:t>
      </w:r>
      <w:r w:rsidR="009069B0">
        <w:t>violation des articles 1</w:t>
      </w:r>
      <w:r w:rsidR="00B7301F">
        <w:t xml:space="preserve"> et</w:t>
      </w:r>
      <w:r w:rsidR="009069B0">
        <w:t xml:space="preserve"> 12</w:t>
      </w:r>
      <w:r w:rsidR="00B7301F">
        <w:t xml:space="preserve"> à</w:t>
      </w:r>
      <w:r w:rsidR="00B330BB">
        <w:t xml:space="preserve"> 16</w:t>
      </w:r>
      <w:r w:rsidR="00FF46FE">
        <w:t xml:space="preserve"> </w:t>
      </w:r>
      <w:r w:rsidR="00B330BB">
        <w:t>de la Convention par l</w:t>
      </w:r>
      <w:r w:rsidR="00FF46FE">
        <w:t>’</w:t>
      </w:r>
      <w:r w:rsidR="008041B5">
        <w:t>É</w:t>
      </w:r>
      <w:r w:rsidR="00FF46FE">
        <w:t>tat</w:t>
      </w:r>
      <w:r w:rsidR="00B330BB">
        <w:t xml:space="preserve"> partie.</w:t>
      </w:r>
    </w:p>
    <w:p w:rsidR="00444836" w:rsidRDefault="009069B0">
      <w:pPr>
        <w:pStyle w:val="SingleTxtG"/>
      </w:pPr>
      <w:r>
        <w:t>3.2</w:t>
      </w:r>
      <w:r>
        <w:tab/>
      </w:r>
      <w:r w:rsidR="005C6AB9">
        <w:t>Le requérant</w:t>
      </w:r>
      <w:r w:rsidR="00BA19E6">
        <w:t xml:space="preserve"> soutient que les </w:t>
      </w:r>
      <w:r>
        <w:t>sévices physiques qu</w:t>
      </w:r>
      <w:r w:rsidR="00FF46FE">
        <w:t>’</w:t>
      </w:r>
      <w:r>
        <w:t xml:space="preserve">il a subis lors de son arrestation, </w:t>
      </w:r>
      <w:r w:rsidR="00B330BB">
        <w:t xml:space="preserve">lors de </w:t>
      </w:r>
      <w:r>
        <w:t>son interrogat</w:t>
      </w:r>
      <w:r w:rsidR="00B330BB">
        <w:t>oire au commissariat puis à la gendarmerie de Laayoune</w:t>
      </w:r>
      <w:r w:rsidR="00E43D43">
        <w:t xml:space="preserve"> entre le 7 et le 12 novembre 2010</w:t>
      </w:r>
      <w:r w:rsidR="00B330BB">
        <w:t xml:space="preserve">, ainsi que </w:t>
      </w:r>
      <w:r w:rsidR="00BA19E6">
        <w:t>lors de</w:t>
      </w:r>
      <w:r w:rsidR="00B330BB">
        <w:t xml:space="preserve"> </w:t>
      </w:r>
      <w:r>
        <w:t>son transfert en avion</w:t>
      </w:r>
      <w:r w:rsidR="000910B8">
        <w:t>,</w:t>
      </w:r>
      <w:r>
        <w:t xml:space="preserve"> constituent des </w:t>
      </w:r>
      <w:r w:rsidR="0007221C">
        <w:t>actes</w:t>
      </w:r>
      <w:r>
        <w:t xml:space="preserve"> de torture</w:t>
      </w:r>
      <w:r w:rsidR="0007221C">
        <w:t xml:space="preserve">, </w:t>
      </w:r>
      <w:r>
        <w:t>en raison de la gravité des violences qui lui ont été infligées</w:t>
      </w:r>
      <w:r w:rsidR="00C567BC">
        <w:t>. Il se réfère</w:t>
      </w:r>
      <w:r>
        <w:t xml:space="preserve"> notamment </w:t>
      </w:r>
      <w:r w:rsidR="00C567BC">
        <w:t xml:space="preserve">aux violences </w:t>
      </w:r>
      <w:r w:rsidR="000910B8">
        <w:t>qu</w:t>
      </w:r>
      <w:r w:rsidR="000910B8" w:rsidRPr="00926DC8">
        <w:t>’</w:t>
      </w:r>
      <w:r w:rsidR="000910B8">
        <w:t xml:space="preserve">on lui a fait </w:t>
      </w:r>
      <w:r w:rsidR="00C567BC">
        <w:t>subi</w:t>
      </w:r>
      <w:r w:rsidR="000910B8">
        <w:t>r</w:t>
      </w:r>
      <w:r w:rsidR="00C567BC">
        <w:t xml:space="preserve"> </w:t>
      </w:r>
      <w:r>
        <w:t xml:space="preserve">dans la nuit </w:t>
      </w:r>
      <w:r w:rsidR="00475382">
        <w:t xml:space="preserve">du </w:t>
      </w:r>
      <w:r>
        <w:t xml:space="preserve">7 au 8 </w:t>
      </w:r>
      <w:r w:rsidR="0042228B">
        <w:t>novembre 2010</w:t>
      </w:r>
      <w:r>
        <w:t xml:space="preserve"> afin d</w:t>
      </w:r>
      <w:r w:rsidR="00FF46FE">
        <w:t>’</w:t>
      </w:r>
      <w:r>
        <w:t xml:space="preserve">obtenir des renseignements sur son implication dans le camp </w:t>
      </w:r>
      <w:r w:rsidR="00740553">
        <w:t xml:space="preserve">de </w:t>
      </w:r>
      <w:r>
        <w:t xml:space="preserve">Gdeim Izik et </w:t>
      </w:r>
      <w:r w:rsidR="00475382">
        <w:t xml:space="preserve">sur </w:t>
      </w:r>
      <w:r>
        <w:t xml:space="preserve">ses relations avec le mouvement du Front Polisario. </w:t>
      </w:r>
      <w:r w:rsidR="005C6AB9">
        <w:t>Il</w:t>
      </w:r>
      <w:r>
        <w:t xml:space="preserve"> soutient que ces violences lui ont provoqué des souffrances aiguës pendant des mois, notamment en raison du manque de traitement médical, </w:t>
      </w:r>
      <w:r w:rsidR="00C567BC">
        <w:t xml:space="preserve">et </w:t>
      </w:r>
      <w:r>
        <w:t>constituent une violation de l</w:t>
      </w:r>
      <w:r w:rsidR="00FF46FE">
        <w:t>’</w:t>
      </w:r>
      <w:r>
        <w:t>article 1 de la Convention.</w:t>
      </w:r>
      <w:r w:rsidR="00FF46FE">
        <w:t xml:space="preserve"> </w:t>
      </w:r>
    </w:p>
    <w:p w:rsidR="009069B0" w:rsidRDefault="009069B0">
      <w:pPr>
        <w:pStyle w:val="SingleTxtG"/>
      </w:pPr>
      <w:r>
        <w:t>3.3</w:t>
      </w:r>
      <w:r>
        <w:tab/>
        <w:t xml:space="preserve">Le </w:t>
      </w:r>
      <w:r w:rsidR="008044C7">
        <w:t xml:space="preserve">requérant </w:t>
      </w:r>
      <w:r w:rsidR="00BA19E6">
        <w:t>allègue avoir été torturé</w:t>
      </w:r>
      <w:r w:rsidR="008044C7">
        <w:t xml:space="preserve"> lors de ses auditions </w:t>
      </w:r>
      <w:r w:rsidR="008E6375">
        <w:t>devant</w:t>
      </w:r>
      <w:r w:rsidR="00C63675">
        <w:t xml:space="preserve"> </w:t>
      </w:r>
      <w:r w:rsidR="008044C7">
        <w:t xml:space="preserve">le juge d’instruction </w:t>
      </w:r>
      <w:r w:rsidR="00E43D43">
        <w:t xml:space="preserve">militaire puis </w:t>
      </w:r>
      <w:r w:rsidR="008E6375">
        <w:t>au</w:t>
      </w:r>
      <w:r w:rsidR="00E43D43">
        <w:t xml:space="preserve"> tribunal militaire. Il </w:t>
      </w:r>
      <w:r>
        <w:t>note qu</w:t>
      </w:r>
      <w:r w:rsidR="00FF46FE">
        <w:t>’</w:t>
      </w:r>
      <w:r>
        <w:t>aucune enquête n</w:t>
      </w:r>
      <w:r w:rsidR="00FF46FE">
        <w:t>’</w:t>
      </w:r>
      <w:r>
        <w:t xml:space="preserve">a été ouverte </w:t>
      </w:r>
      <w:r w:rsidR="00BA19E6">
        <w:t>sur ce point</w:t>
      </w:r>
      <w:r w:rsidR="00E43D43">
        <w:t>.</w:t>
      </w:r>
      <w:r>
        <w:t xml:space="preserve"> </w:t>
      </w:r>
      <w:r w:rsidR="0042228B">
        <w:t>Lors de l</w:t>
      </w:r>
      <w:r w:rsidR="00FF46FE">
        <w:t>’</w:t>
      </w:r>
      <w:r w:rsidR="0042228B">
        <w:t>audition du 12 novembre 2010, le juge d</w:t>
      </w:r>
      <w:r w:rsidR="00FF46FE">
        <w:t>’</w:t>
      </w:r>
      <w:r w:rsidR="0042228B">
        <w:t>instruction n</w:t>
      </w:r>
      <w:r w:rsidR="00FF46FE">
        <w:t>’</w:t>
      </w:r>
      <w:r w:rsidR="0042228B">
        <w:t>a pris aucune mesure alors que le requérant</w:t>
      </w:r>
      <w:r w:rsidR="002D40BB">
        <w:t>,</w:t>
      </w:r>
      <w:r w:rsidR="0042228B">
        <w:t xml:space="preserve"> qui </w:t>
      </w:r>
      <w:r w:rsidR="002D40BB">
        <w:t>comparaissait</w:t>
      </w:r>
      <w:r w:rsidR="0042228B">
        <w:t xml:space="preserve"> sans son avocat,</w:t>
      </w:r>
      <w:r>
        <w:t xml:space="preserve"> présentait des traces de coups et </w:t>
      </w:r>
      <w:r w:rsidR="00C567BC">
        <w:t xml:space="preserve">de </w:t>
      </w:r>
      <w:r>
        <w:t>sang sur le visage, et qu</w:t>
      </w:r>
      <w:r w:rsidR="00FF46FE">
        <w:t>’</w:t>
      </w:r>
      <w:r>
        <w:t>il</w:t>
      </w:r>
      <w:r w:rsidR="00C567BC">
        <w:t xml:space="preserve"> lui</w:t>
      </w:r>
      <w:r>
        <w:t xml:space="preserve"> a montré ses plantes de pieds meurtries. </w:t>
      </w:r>
      <w:r w:rsidR="00C567BC">
        <w:t>Le juge</w:t>
      </w:r>
      <w:r>
        <w:t xml:space="preserve"> </w:t>
      </w:r>
      <w:r>
        <w:lastRenderedPageBreak/>
        <w:t>n</w:t>
      </w:r>
      <w:r w:rsidR="00FF46FE">
        <w:t>’</w:t>
      </w:r>
      <w:r>
        <w:t xml:space="preserve">a pas consigné ces faits dans le procès-verbal. </w:t>
      </w:r>
      <w:r w:rsidR="0042228B">
        <w:t>Le requérant a</w:t>
      </w:r>
      <w:r w:rsidR="00C567BC">
        <w:t xml:space="preserve"> par ailleurs</w:t>
      </w:r>
      <w:r w:rsidR="0042228B">
        <w:t xml:space="preserve"> dénoncé les actes de torture </w:t>
      </w:r>
      <w:r w:rsidR="00C567BC">
        <w:t>subis</w:t>
      </w:r>
      <w:r w:rsidR="0042228B">
        <w:t xml:space="preserve"> lors des audiences devant le juge d</w:t>
      </w:r>
      <w:r w:rsidR="00FF46FE">
        <w:t>’</w:t>
      </w:r>
      <w:r w:rsidR="0042228B">
        <w:t xml:space="preserve">instruction militaire les 12 janvier et 12 août 2011 et a </w:t>
      </w:r>
      <w:r w:rsidR="002D40BB">
        <w:t xml:space="preserve">réitéré sa plainte </w:t>
      </w:r>
      <w:r w:rsidR="0042228B">
        <w:t>a</w:t>
      </w:r>
      <w:r>
        <w:t>u cours du procès devant le tribunal militaire</w:t>
      </w:r>
      <w:r w:rsidR="0042228B">
        <w:t>.</w:t>
      </w:r>
      <w:r>
        <w:t xml:space="preserve"> Il</w:t>
      </w:r>
      <w:r w:rsidR="00FC5EA5">
        <w:t> </w:t>
      </w:r>
      <w:r>
        <w:t>relève qu</w:t>
      </w:r>
      <w:r w:rsidR="00FF46FE">
        <w:t>’</w:t>
      </w:r>
      <w:r>
        <w:t>aucune expertise médicale n</w:t>
      </w:r>
      <w:r w:rsidR="00FF46FE">
        <w:t>’</w:t>
      </w:r>
      <w:r>
        <w:t>a été ordonnée par le juge d</w:t>
      </w:r>
      <w:r w:rsidR="00FF46FE">
        <w:t>’</w:t>
      </w:r>
      <w:r>
        <w:t>instruction militaire, ce qui fut également dénoncé par son avocat lors du procès. Ce faisant, les autorités judiciaires ont dénié au requérant le droit d</w:t>
      </w:r>
      <w:r w:rsidR="00FF46FE">
        <w:t>’</w:t>
      </w:r>
      <w:r>
        <w:t>obtenir justice, une indemnisation, une prise en charge</w:t>
      </w:r>
      <w:r w:rsidR="00C914DD">
        <w:t>,</w:t>
      </w:r>
      <w:r>
        <w:t xml:space="preserve"> y</w:t>
      </w:r>
      <w:r w:rsidR="00FC5EA5">
        <w:t> </w:t>
      </w:r>
      <w:r>
        <w:t>compris psychologique</w:t>
      </w:r>
      <w:r w:rsidR="00C914DD">
        <w:t>,</w:t>
      </w:r>
      <w:r>
        <w:t xml:space="preserve"> et des garanties de non</w:t>
      </w:r>
      <w:r w:rsidR="00C914DD">
        <w:t>-</w:t>
      </w:r>
      <w:r>
        <w:t xml:space="preserve">répétition du crime. </w:t>
      </w:r>
      <w:r w:rsidR="00C567BC">
        <w:t>L</w:t>
      </w:r>
      <w:r>
        <w:t>e requérant</w:t>
      </w:r>
      <w:r w:rsidR="00C567BC">
        <w:t xml:space="preserve"> considère que </w:t>
      </w:r>
      <w:r>
        <w:t xml:space="preserve">ces faits constituent </w:t>
      </w:r>
      <w:r w:rsidR="002D40BB">
        <w:t xml:space="preserve">une </w:t>
      </w:r>
      <w:r>
        <w:t>violation des articles 12, 13 et 14</w:t>
      </w:r>
      <w:r w:rsidR="001C2A53">
        <w:t xml:space="preserve"> de la Convention.</w:t>
      </w:r>
    </w:p>
    <w:p w:rsidR="009069B0" w:rsidRDefault="00C44C03" w:rsidP="009069B0">
      <w:pPr>
        <w:pStyle w:val="SingleTxtG"/>
      </w:pPr>
      <w:r>
        <w:t>3.4</w:t>
      </w:r>
      <w:r w:rsidR="009069B0">
        <w:tab/>
      </w:r>
      <w:r w:rsidR="00C567BC">
        <w:t>L</w:t>
      </w:r>
      <w:r w:rsidR="009069B0">
        <w:t xml:space="preserve">e requérant </w:t>
      </w:r>
      <w:r w:rsidR="00C567BC">
        <w:t xml:space="preserve">considère aussi </w:t>
      </w:r>
      <w:r w:rsidR="009069B0">
        <w:t>que sa condamnation par le tribunal militaire est basée sur ses soi-disant aveux, qu</w:t>
      </w:r>
      <w:r w:rsidR="00FF46FE">
        <w:t>’</w:t>
      </w:r>
      <w:r w:rsidR="009069B0">
        <w:t>il nie avoir faits, et sur les aveux de ses coaccusés qui ont été recueillis sous la torture. Il rappelle qu</w:t>
      </w:r>
      <w:r w:rsidR="00FF46FE">
        <w:t>’</w:t>
      </w:r>
      <w:r w:rsidR="009069B0">
        <w:t>il n</w:t>
      </w:r>
      <w:r w:rsidR="00FF46FE">
        <w:t>’</w:t>
      </w:r>
      <w:r w:rsidR="009069B0">
        <w:t>a rien avoué</w:t>
      </w:r>
      <w:r w:rsidR="001F6E65">
        <w:t>,</w:t>
      </w:r>
      <w:r w:rsidR="009069B0">
        <w:t xml:space="preserve"> mais qu</w:t>
      </w:r>
      <w:r w:rsidR="00FF46FE">
        <w:t>’</w:t>
      </w:r>
      <w:r w:rsidR="009069B0">
        <w:t xml:space="preserve">il a été contraint </w:t>
      </w:r>
      <w:r w:rsidR="002D40BB">
        <w:t xml:space="preserve">de signer un document </w:t>
      </w:r>
      <w:r w:rsidR="009069B0">
        <w:t xml:space="preserve">sans </w:t>
      </w:r>
      <w:r w:rsidR="001F6E65">
        <w:t xml:space="preserve">pouvoir </w:t>
      </w:r>
      <w:r w:rsidR="009069B0">
        <w:t>prendre connaissance</w:t>
      </w:r>
      <w:r w:rsidR="001F6E65">
        <w:t xml:space="preserve"> de son contenu</w:t>
      </w:r>
      <w:r w:rsidR="009069B0">
        <w:t xml:space="preserve">. </w:t>
      </w:r>
      <w:r w:rsidR="000700DA" w:rsidRPr="000700DA">
        <w:t xml:space="preserve">Le requérant estime que l’État </w:t>
      </w:r>
      <w:r w:rsidR="000700DA">
        <w:t xml:space="preserve">partie </w:t>
      </w:r>
      <w:r w:rsidR="000700DA" w:rsidRPr="000700DA">
        <w:t>a violé l’article 15 de la Convention, car il n’a pas veillé à ce que toute déclaration obtenue par la torture ne puisse être invoquée comme élément de preuve dans la procédure engagée à son encontre.</w:t>
      </w:r>
    </w:p>
    <w:p w:rsidR="00F807BD" w:rsidRDefault="00F807BD">
      <w:pPr>
        <w:pStyle w:val="SingleTxtG"/>
      </w:pPr>
      <w:r>
        <w:t>3.5</w:t>
      </w:r>
      <w:r>
        <w:tab/>
        <w:t>Le requérant</w:t>
      </w:r>
      <w:r w:rsidR="006C447D">
        <w:t xml:space="preserve"> </w:t>
      </w:r>
      <w:r>
        <w:t xml:space="preserve">dénonce </w:t>
      </w:r>
      <w:r w:rsidR="006C447D">
        <w:t xml:space="preserve">aussi </w:t>
      </w:r>
      <w:r>
        <w:t>l’ensemble des traitements qui lui ont été infligés au long de la procédure judiciaire qui, s’ils ne constituent pas des actes de torture, sont néanmoins assimilables à des traitements inhumains et dégradants en vertu de l’article 16 de la Convention, y compris les conditions de sa détention pendant les premiers mois à la prison de Salé, à Rabat</w:t>
      </w:r>
      <w:r w:rsidR="00EE501A">
        <w:t>. En particulier</w:t>
      </w:r>
      <w:r w:rsidR="000B7966">
        <w:t xml:space="preserve">, </w:t>
      </w:r>
      <w:r w:rsidR="00EE501A">
        <w:t xml:space="preserve">il dénonce </w:t>
      </w:r>
      <w:r w:rsidR="000B7966">
        <w:t xml:space="preserve">son maintien en détention arbitraire sur </w:t>
      </w:r>
      <w:r w:rsidR="00F927A1">
        <w:t xml:space="preserve">la base d’aveux obtenus par la torture. </w:t>
      </w:r>
      <w:r w:rsidR="000B7966">
        <w:t>Le requérant allègue qu</w:t>
      </w:r>
      <w:r w:rsidR="00526C5D" w:rsidRPr="00926DC8">
        <w:t>’</w:t>
      </w:r>
      <w:r w:rsidR="00BA19E6">
        <w:t>à son</w:t>
      </w:r>
      <w:r w:rsidR="000B7966">
        <w:t xml:space="preserve"> a</w:t>
      </w:r>
      <w:r w:rsidR="006C447D">
        <w:t>rrivé</w:t>
      </w:r>
      <w:r w:rsidR="00BA19E6">
        <w:t>e</w:t>
      </w:r>
      <w:r w:rsidR="006C447D">
        <w:t xml:space="preserve"> </w:t>
      </w:r>
      <w:r w:rsidR="005C3B5B">
        <w:t>en détention provisoire</w:t>
      </w:r>
      <w:r w:rsidR="00526C5D">
        <w:t>,</w:t>
      </w:r>
      <w:r w:rsidR="005C3B5B">
        <w:t xml:space="preserve"> le 12 novembre 2011</w:t>
      </w:r>
      <w:r w:rsidR="006C447D">
        <w:t xml:space="preserve">, </w:t>
      </w:r>
      <w:r w:rsidR="000B7966">
        <w:t xml:space="preserve">il </w:t>
      </w:r>
      <w:r w:rsidR="0035110B">
        <w:t xml:space="preserve">a passé la nuit attaché par </w:t>
      </w:r>
      <w:r w:rsidR="001F6E65">
        <w:t xml:space="preserve">des </w:t>
      </w:r>
      <w:r w:rsidR="0035110B">
        <w:t>menottes à une grande porte ornée de barres de fer</w:t>
      </w:r>
      <w:r w:rsidR="005C3B5B">
        <w:t>, d’abord debout, puis allongé par terre</w:t>
      </w:r>
      <w:r w:rsidR="0035110B">
        <w:t>.</w:t>
      </w:r>
      <w:r w:rsidR="005C3B5B">
        <w:t xml:space="preserve"> Il avait les yeux bandés</w:t>
      </w:r>
      <w:r w:rsidR="001F6E65">
        <w:t xml:space="preserve"> et</w:t>
      </w:r>
      <w:r w:rsidR="005C3B5B">
        <w:t xml:space="preserve"> </w:t>
      </w:r>
      <w:r w:rsidR="0035110B">
        <w:t xml:space="preserve">recevait des coups de pieds et des insultes </w:t>
      </w:r>
      <w:r w:rsidR="00BA19E6">
        <w:t>par</w:t>
      </w:r>
      <w:r w:rsidR="0035110B">
        <w:t xml:space="preserve"> des gardiens chaque fois qu’il </w:t>
      </w:r>
      <w:r w:rsidR="005C3B5B">
        <w:t xml:space="preserve">bougeait. </w:t>
      </w:r>
      <w:r w:rsidR="00812E4C">
        <w:t>À</w:t>
      </w:r>
      <w:r w:rsidR="00FC5EA5">
        <w:t> </w:t>
      </w:r>
      <w:r w:rsidR="00281F3F">
        <w:t>partir</w:t>
      </w:r>
      <w:r w:rsidR="0035110B">
        <w:t xml:space="preserve"> </w:t>
      </w:r>
      <w:r w:rsidR="00281F3F">
        <w:t>du</w:t>
      </w:r>
      <w:r w:rsidR="0035110B">
        <w:t xml:space="preserve"> 18 novembre 2010, il a été placé en isolement cellulaire. Il </w:t>
      </w:r>
      <w:r w:rsidR="00281F3F">
        <w:t>est</w:t>
      </w:r>
      <w:r w:rsidR="0035110B">
        <w:t xml:space="preserve"> resté pendant trois mois dans une cellule, sans autorisation de promenade et sans possibilité de communiquer avec les autres détenus autrement qu’à travers la fenêtre. Il </w:t>
      </w:r>
      <w:r w:rsidR="00281F3F">
        <w:t>n’</w:t>
      </w:r>
      <w:r w:rsidR="0035110B">
        <w:t xml:space="preserve">a pu bénéficier d’une visite médicale </w:t>
      </w:r>
      <w:r w:rsidR="000A16F6">
        <w:t xml:space="preserve">qu’après </w:t>
      </w:r>
      <w:r w:rsidR="00281F3F">
        <w:t>sa</w:t>
      </w:r>
      <w:r w:rsidR="000A16F6">
        <w:t xml:space="preserve"> grève de la faim, et il </w:t>
      </w:r>
      <w:r w:rsidR="00281F3F">
        <w:t>n’</w:t>
      </w:r>
      <w:r w:rsidR="000A16F6">
        <w:t>a pu recevoir la première visite d</w:t>
      </w:r>
      <w:r w:rsidR="00281F3F">
        <w:t>e l</w:t>
      </w:r>
      <w:r w:rsidR="000A16F6">
        <w:t xml:space="preserve">’un de ses avocats </w:t>
      </w:r>
      <w:r w:rsidR="00281F3F">
        <w:t>que</w:t>
      </w:r>
      <w:r w:rsidR="000A16F6">
        <w:t xml:space="preserve"> le 9 décembre 2010. </w:t>
      </w:r>
      <w:r w:rsidR="001F6E65">
        <w:t>I</w:t>
      </w:r>
      <w:r w:rsidR="000A16F6">
        <w:t xml:space="preserve">l n’a pu voir son épouse qu’après un mois de détention. Pendant les quatre premières visites, </w:t>
      </w:r>
      <w:r w:rsidR="001F6E65">
        <w:t xml:space="preserve">il </w:t>
      </w:r>
      <w:r w:rsidR="000A16F6">
        <w:t>n’a pas été a</w:t>
      </w:r>
      <w:r w:rsidR="000B7966">
        <w:t xml:space="preserve">utorisé à </w:t>
      </w:r>
      <w:r w:rsidR="001F6E65">
        <w:t xml:space="preserve">la </w:t>
      </w:r>
      <w:r w:rsidR="000B7966">
        <w:t>voir seul</w:t>
      </w:r>
      <w:r w:rsidR="001F6E65">
        <w:t>e</w:t>
      </w:r>
      <w:r w:rsidR="000B7966">
        <w:t xml:space="preserve"> </w:t>
      </w:r>
      <w:r w:rsidR="00281F3F">
        <w:t>et n’a donc pas pu</w:t>
      </w:r>
      <w:r w:rsidR="000A16F6">
        <w:t xml:space="preserve"> lui raconter ce qu’il avait subi. </w:t>
      </w:r>
    </w:p>
    <w:p w:rsidR="003226B0" w:rsidRDefault="00C44C03">
      <w:pPr>
        <w:pStyle w:val="SingleTxtG"/>
      </w:pPr>
      <w:r>
        <w:t>3.</w:t>
      </w:r>
      <w:r w:rsidR="00F807BD">
        <w:t>6</w:t>
      </w:r>
      <w:r w:rsidR="009069B0">
        <w:tab/>
        <w:t xml:space="preserve">Le requérant soutient </w:t>
      </w:r>
      <w:r w:rsidR="00281F3F">
        <w:t xml:space="preserve">avoir épuisé </w:t>
      </w:r>
      <w:r w:rsidR="009069B0">
        <w:t>les voies de recours internes</w:t>
      </w:r>
      <w:r w:rsidR="00281F3F">
        <w:t xml:space="preserve">. </w:t>
      </w:r>
      <w:r w:rsidR="001F6E65">
        <w:t xml:space="preserve">Il </w:t>
      </w:r>
      <w:r w:rsidR="00DF3F4F">
        <w:t>a</w:t>
      </w:r>
      <w:r w:rsidR="003226B0">
        <w:t xml:space="preserve"> dénoncé</w:t>
      </w:r>
      <w:r w:rsidR="00281F3F" w:rsidRPr="00281F3F">
        <w:t xml:space="preserve"> </w:t>
      </w:r>
      <w:r w:rsidR="00281F3F">
        <w:t>les tortures subies</w:t>
      </w:r>
      <w:r w:rsidR="003226B0">
        <w:t xml:space="preserve"> </w:t>
      </w:r>
      <w:r w:rsidR="00732B22">
        <w:t>à maintes reprises</w:t>
      </w:r>
      <w:r w:rsidR="001F6E65">
        <w:t xml:space="preserve"> et devant témoin aux autorités judiciaires, et ses plaintes ont été consignées dans les procès</w:t>
      </w:r>
      <w:r w:rsidR="003955CD">
        <w:t>-</w:t>
      </w:r>
      <w:r w:rsidR="001F6E65">
        <w:t>verbaux</w:t>
      </w:r>
      <w:r w:rsidR="003955CD">
        <w:t>. Toutefois</w:t>
      </w:r>
      <w:r w:rsidR="001C2A53">
        <w:t>,</w:t>
      </w:r>
      <w:r w:rsidR="00D90BDD">
        <w:t xml:space="preserve"> </w:t>
      </w:r>
      <w:r w:rsidR="001F6E65">
        <w:t>aucune enquête n’a été</w:t>
      </w:r>
      <w:r w:rsidR="009069B0">
        <w:t xml:space="preserve"> ouv</w:t>
      </w:r>
      <w:r w:rsidR="003226B0">
        <w:t>ert</w:t>
      </w:r>
      <w:r w:rsidR="001F6E65">
        <w:t>e</w:t>
      </w:r>
      <w:r w:rsidR="009069B0">
        <w:t xml:space="preserve"> à ce sujet</w:t>
      </w:r>
      <w:r w:rsidR="003226B0">
        <w:t xml:space="preserve">. </w:t>
      </w:r>
      <w:r w:rsidR="00870B79">
        <w:t>Le refus des autorités marocaines d</w:t>
      </w:r>
      <w:r w:rsidR="00FF46FE">
        <w:t>’</w:t>
      </w:r>
      <w:r w:rsidR="00870B79">
        <w:t xml:space="preserve">enquêter sur les allégations de torture </w:t>
      </w:r>
      <w:r w:rsidR="003955CD">
        <w:t>du</w:t>
      </w:r>
      <w:r w:rsidR="00870B79">
        <w:t xml:space="preserve"> requérant n</w:t>
      </w:r>
      <w:r w:rsidR="00FF46FE">
        <w:t>’</w:t>
      </w:r>
      <w:r w:rsidR="00870B79">
        <w:t xml:space="preserve">a jamais été </w:t>
      </w:r>
      <w:r w:rsidR="003955CD">
        <w:t>officiellement notifié</w:t>
      </w:r>
      <w:r w:rsidR="00870B79">
        <w:t xml:space="preserve">, les autorités judiciaires se contentant de ne pas </w:t>
      </w:r>
      <w:r w:rsidR="003955CD">
        <w:t>agir</w:t>
      </w:r>
      <w:r w:rsidR="00870B79">
        <w:t xml:space="preserve">. </w:t>
      </w:r>
      <w:r w:rsidR="003955CD">
        <w:t>Et c</w:t>
      </w:r>
      <w:r w:rsidR="00C82016">
        <w:t>e refus</w:t>
      </w:r>
      <w:r w:rsidR="00870B79">
        <w:t xml:space="preserve"> n</w:t>
      </w:r>
      <w:r w:rsidR="00FF46FE">
        <w:t>’</w:t>
      </w:r>
      <w:r w:rsidR="00870B79">
        <w:t>est pas susceptible de recours.</w:t>
      </w:r>
      <w:r w:rsidR="00F5411A">
        <w:t xml:space="preserve"> </w:t>
      </w:r>
      <w:r w:rsidR="003955CD">
        <w:t xml:space="preserve">Au cours de l’audience du 8 février 2013, </w:t>
      </w:r>
      <w:r w:rsidR="00F5411A">
        <w:t>l</w:t>
      </w:r>
      <w:r w:rsidR="00FF46FE">
        <w:t>’</w:t>
      </w:r>
      <w:r w:rsidR="00F5411A">
        <w:t xml:space="preserve">avocat du requérant </w:t>
      </w:r>
      <w:r w:rsidR="003955CD">
        <w:t xml:space="preserve">a demandé au juge d’instruction militaire </w:t>
      </w:r>
      <w:r w:rsidR="009875C3">
        <w:t>s</w:t>
      </w:r>
      <w:r w:rsidR="009875C3" w:rsidRPr="00926DC8">
        <w:t>’</w:t>
      </w:r>
      <w:r w:rsidR="009875C3">
        <w:t>il pouvait</w:t>
      </w:r>
      <w:r w:rsidR="00F5411A">
        <w:t xml:space="preserve"> interroger les rédacteurs des procès-verbaux des </w:t>
      </w:r>
      <w:r w:rsidR="00F130D5">
        <w:t>interrogatoires</w:t>
      </w:r>
      <w:r w:rsidR="00F5411A">
        <w:t xml:space="preserve"> pour conn</w:t>
      </w:r>
      <w:r w:rsidR="00F130D5">
        <w:t>aî</w:t>
      </w:r>
      <w:r w:rsidR="00F5411A">
        <w:t xml:space="preserve">tre les conditions dans lesquelles les aveux </w:t>
      </w:r>
      <w:r w:rsidR="003955CD">
        <w:t xml:space="preserve">avaient </w:t>
      </w:r>
      <w:r w:rsidR="00F130D5">
        <w:t>été obtenus</w:t>
      </w:r>
      <w:r w:rsidR="003955CD">
        <w:t>. Sa demande</w:t>
      </w:r>
      <w:r w:rsidR="00F130D5">
        <w:t xml:space="preserve"> </w:t>
      </w:r>
      <w:r w:rsidR="009E189E">
        <w:t xml:space="preserve">a </w:t>
      </w:r>
      <w:r w:rsidR="00F130D5">
        <w:t xml:space="preserve">été rejetée. </w:t>
      </w:r>
      <w:r w:rsidR="003955CD">
        <w:t>D</w:t>
      </w:r>
      <w:r w:rsidR="00F130D5">
        <w:t xml:space="preserve">ans son ordonnance provisoire du 8 février 2013, le tribunal militaire, bien que </w:t>
      </w:r>
      <w:r w:rsidR="009E189E">
        <w:t>constatant</w:t>
      </w:r>
      <w:r w:rsidR="00F130D5">
        <w:t xml:space="preserve"> des accusations de torture</w:t>
      </w:r>
      <w:r w:rsidR="009E189E">
        <w:t>,</w:t>
      </w:r>
      <w:r w:rsidR="00F130D5">
        <w:t xml:space="preserve"> n</w:t>
      </w:r>
      <w:r w:rsidR="00FF46FE">
        <w:t>’</w:t>
      </w:r>
      <w:r w:rsidR="00F130D5">
        <w:t>a donné aucune suite à ces allégations.</w:t>
      </w:r>
      <w:r w:rsidR="000700DA" w:rsidRPr="000700DA">
        <w:t xml:space="preserve"> </w:t>
      </w:r>
      <w:r w:rsidR="000700DA">
        <w:t xml:space="preserve">L’impunité en matière d’actes de torture a été dénoncée par le Comité </w:t>
      </w:r>
      <w:r w:rsidR="00281F3F">
        <w:t>dans</w:t>
      </w:r>
      <w:r w:rsidR="000700DA">
        <w:t xml:space="preserve"> ses observations finales sur le Maroc</w:t>
      </w:r>
      <w:r w:rsidR="009875C3">
        <w:t xml:space="preserve"> (</w:t>
      </w:r>
      <w:r w:rsidR="00950024">
        <w:t xml:space="preserve">voir </w:t>
      </w:r>
      <w:r w:rsidR="009875C3">
        <w:t>CAT/C/MAR/CO/4, par. 16)</w:t>
      </w:r>
      <w:r w:rsidR="000700DA">
        <w:rPr>
          <w:rStyle w:val="FootnoteReference"/>
        </w:rPr>
        <w:footnoteReference w:id="7"/>
      </w:r>
      <w:r w:rsidR="000700DA">
        <w:t>.</w:t>
      </w:r>
    </w:p>
    <w:p w:rsidR="00237839" w:rsidRDefault="00C44C03">
      <w:pPr>
        <w:pStyle w:val="SingleTxtG"/>
      </w:pPr>
      <w:r>
        <w:t>3.</w:t>
      </w:r>
      <w:r w:rsidR="00F807BD">
        <w:t>7</w:t>
      </w:r>
      <w:r w:rsidR="003226B0">
        <w:tab/>
      </w:r>
      <w:r w:rsidR="001C2A53">
        <w:t>L</w:t>
      </w:r>
      <w:r w:rsidR="009069B0">
        <w:t>a justice militaire ne comporte pas de double degré de juridiction et la sentence du tribunal militaire n</w:t>
      </w:r>
      <w:r w:rsidR="00FF46FE">
        <w:t>’</w:t>
      </w:r>
      <w:r w:rsidR="009069B0">
        <w:t>est</w:t>
      </w:r>
      <w:r w:rsidR="001C2A53">
        <w:t xml:space="preserve"> donc</w:t>
      </w:r>
      <w:r w:rsidR="009069B0">
        <w:t xml:space="preserve"> pas susceptible d</w:t>
      </w:r>
      <w:r w:rsidR="00FF46FE">
        <w:t>’</w:t>
      </w:r>
      <w:r w:rsidR="009069B0">
        <w:t>appel. Le requérant s</w:t>
      </w:r>
      <w:r w:rsidR="00FF46FE">
        <w:t>’</w:t>
      </w:r>
      <w:r w:rsidR="009069B0">
        <w:t>est pourvu en cassation en février 2013</w:t>
      </w:r>
      <w:r w:rsidR="003955CD">
        <w:t>,</w:t>
      </w:r>
      <w:r w:rsidR="009069B0">
        <w:t xml:space="preserve"> mais</w:t>
      </w:r>
      <w:r w:rsidR="005A1322">
        <w:t>,</w:t>
      </w:r>
      <w:r w:rsidR="009069B0">
        <w:t xml:space="preserve"> plus d</w:t>
      </w:r>
      <w:r w:rsidR="00FF46FE">
        <w:t>’</w:t>
      </w:r>
      <w:r w:rsidR="009069B0">
        <w:t>un an après son pourvoi, il n</w:t>
      </w:r>
      <w:r w:rsidR="00FF46FE">
        <w:t>’</w:t>
      </w:r>
      <w:r w:rsidR="009069B0">
        <w:t xml:space="preserve">a toujours pas obtenu de réponse. </w:t>
      </w:r>
      <w:r w:rsidR="00C83D46">
        <w:t>M</w:t>
      </w:r>
      <w:r w:rsidR="009069B0">
        <w:t xml:space="preserve">ême si la cassation était accordée, </w:t>
      </w:r>
      <w:r w:rsidR="00A70772">
        <w:t>le juge ne rejuge</w:t>
      </w:r>
      <w:r w:rsidR="0092064E">
        <w:t>rait</w:t>
      </w:r>
      <w:r w:rsidR="00A70772">
        <w:t xml:space="preserve"> pas l</w:t>
      </w:r>
      <w:r w:rsidR="00FF46FE">
        <w:t>’</w:t>
      </w:r>
      <w:r w:rsidR="00A70772">
        <w:t>affaire au fond</w:t>
      </w:r>
      <w:r w:rsidR="00C83D46">
        <w:t xml:space="preserve"> car</w:t>
      </w:r>
      <w:r w:rsidR="005A1322">
        <w:t>,</w:t>
      </w:r>
      <w:r w:rsidR="00C83D46">
        <w:t xml:space="preserve"> e</w:t>
      </w:r>
      <w:r w:rsidR="00A70772">
        <w:t xml:space="preserve">n vertu des articles 568 et 586 du Code de procédure pénale marocain, la Cour de </w:t>
      </w:r>
      <w:r w:rsidR="00B4773F">
        <w:t xml:space="preserve">cassation </w:t>
      </w:r>
      <w:r w:rsidR="00A70772">
        <w:t xml:space="preserve">peut seulement </w:t>
      </w:r>
      <w:r w:rsidR="00FF46FE">
        <w:t>«</w:t>
      </w:r>
      <w:r w:rsidR="009818FD">
        <w:t> </w:t>
      </w:r>
      <w:r w:rsidR="00A70772">
        <w:t>dire le droit</w:t>
      </w:r>
      <w:r w:rsidR="009818FD">
        <w:t> </w:t>
      </w:r>
      <w:r w:rsidR="00FF46FE">
        <w:t>»</w:t>
      </w:r>
      <w:r w:rsidR="00A70772">
        <w:t xml:space="preserve"> et non </w:t>
      </w:r>
      <w:r w:rsidR="00FF46FE">
        <w:t>«</w:t>
      </w:r>
      <w:r w:rsidR="009818FD">
        <w:t> </w:t>
      </w:r>
      <w:r w:rsidR="00A70772">
        <w:t>dire le fait</w:t>
      </w:r>
      <w:r w:rsidR="009818FD">
        <w:t> </w:t>
      </w:r>
      <w:r w:rsidR="00FF46FE">
        <w:t>»</w:t>
      </w:r>
      <w:r w:rsidR="00A70772">
        <w:t xml:space="preserve">. Dans </w:t>
      </w:r>
      <w:r w:rsidR="00C83D46">
        <w:t xml:space="preserve">son </w:t>
      </w:r>
      <w:r w:rsidR="00A70772">
        <w:t xml:space="preserve">cas, les pouvoirs de la Cour de </w:t>
      </w:r>
      <w:r w:rsidR="00B4773F">
        <w:t xml:space="preserve">cassation </w:t>
      </w:r>
      <w:r w:rsidR="00A70772">
        <w:t>sont d</w:t>
      </w:r>
      <w:r w:rsidR="00FF46FE">
        <w:t>’</w:t>
      </w:r>
      <w:r w:rsidR="00A70772">
        <w:t>autant plus limités que la torture</w:t>
      </w:r>
      <w:r w:rsidR="009E189E">
        <w:t xml:space="preserve"> n’a pas été soumise</w:t>
      </w:r>
      <w:r w:rsidR="00A70772">
        <w:t xml:space="preserve"> à l</w:t>
      </w:r>
      <w:r w:rsidR="00FF46FE">
        <w:t>’</w:t>
      </w:r>
      <w:r w:rsidR="00A70772">
        <w:t>examen du tribunal militaire par l</w:t>
      </w:r>
      <w:r w:rsidR="00FF46FE">
        <w:t>’</w:t>
      </w:r>
      <w:r w:rsidR="00A70772">
        <w:t xml:space="preserve">acte de saisine du </w:t>
      </w:r>
      <w:r w:rsidR="00297409">
        <w:t>P</w:t>
      </w:r>
      <w:r w:rsidR="00A70772">
        <w:t>rocureur</w:t>
      </w:r>
      <w:r w:rsidR="00C83D46">
        <w:t xml:space="preserve"> qui</w:t>
      </w:r>
      <w:r w:rsidR="002C2003">
        <w:t xml:space="preserve"> détient le monopole des poursuites</w:t>
      </w:r>
      <w:r w:rsidR="00C83D46">
        <w:t>. L</w:t>
      </w:r>
      <w:r w:rsidR="002C2003">
        <w:t xml:space="preserve">es magistrats du siège ne pouvaient </w:t>
      </w:r>
      <w:r w:rsidR="00C83D46">
        <w:t xml:space="preserve">donc pas </w:t>
      </w:r>
      <w:r w:rsidR="002C2003">
        <w:t>s</w:t>
      </w:r>
      <w:r w:rsidR="00FF46FE">
        <w:t>’</w:t>
      </w:r>
      <w:r w:rsidR="002C2003">
        <w:t>autosaisir de la question de la torture.</w:t>
      </w:r>
      <w:r w:rsidR="00B37CEF">
        <w:t xml:space="preserve"> </w:t>
      </w:r>
      <w:r w:rsidR="009E189E">
        <w:lastRenderedPageBreak/>
        <w:t>Le</w:t>
      </w:r>
      <w:r w:rsidR="00F727CD">
        <w:t> </w:t>
      </w:r>
      <w:r w:rsidR="009E189E">
        <w:t>requérant considère qu’</w:t>
      </w:r>
      <w:r w:rsidR="00B37CEF">
        <w:t xml:space="preserve">à défaut de pouvoir statuer sur les allégations de torture, les juges militaires auraient dû dénoncer ces faits auprès du </w:t>
      </w:r>
      <w:r w:rsidR="00297409">
        <w:t xml:space="preserve">Procureur </w:t>
      </w:r>
      <w:r w:rsidR="00B37CEF">
        <w:t xml:space="preserve">pour que celui-ci diligente une enquête. </w:t>
      </w:r>
    </w:p>
    <w:p w:rsidR="009E3813" w:rsidRPr="007619D2" w:rsidRDefault="009E3813">
      <w:pPr>
        <w:pStyle w:val="SingleTxtG"/>
        <w:rPr>
          <w:rFonts w:eastAsia="MS Mincho"/>
          <w:b/>
          <w:bCs/>
          <w:lang w:eastAsia="zh-CN"/>
        </w:rPr>
      </w:pPr>
      <w:r>
        <w:t>3.</w:t>
      </w:r>
      <w:r w:rsidR="00F807BD">
        <w:t>8</w:t>
      </w:r>
      <w:r>
        <w:tab/>
      </w:r>
      <w:r w:rsidR="00C83D46">
        <w:t>L</w:t>
      </w:r>
      <w:r>
        <w:t xml:space="preserve">a Cour de </w:t>
      </w:r>
      <w:r w:rsidR="00B4773F">
        <w:t xml:space="preserve">cassation </w:t>
      </w:r>
      <w:r>
        <w:t xml:space="preserve">ne peut </w:t>
      </w:r>
      <w:r w:rsidR="00C83D46">
        <w:t xml:space="preserve">donc </w:t>
      </w:r>
      <w:r>
        <w:t xml:space="preserve">pas revenir sur </w:t>
      </w:r>
      <w:r w:rsidR="00C83D46">
        <w:t>l’</w:t>
      </w:r>
      <w:r>
        <w:t>appréciation souveraine des juges du fond</w:t>
      </w:r>
      <w:r w:rsidR="004F77FF">
        <w:t xml:space="preserve"> et n’est</w:t>
      </w:r>
      <w:r>
        <w:t xml:space="preserve"> pas </w:t>
      </w:r>
      <w:r w:rsidR="004F77FF">
        <w:t>compétente</w:t>
      </w:r>
      <w:r w:rsidR="00C83D46">
        <w:t xml:space="preserve"> pour</w:t>
      </w:r>
      <w:r w:rsidR="004F77FF">
        <w:t xml:space="preserve"> </w:t>
      </w:r>
      <w:r w:rsidR="00C83D46">
        <w:t>déterminer</w:t>
      </w:r>
      <w:r>
        <w:t xml:space="preserve"> si les aveux </w:t>
      </w:r>
      <w:r w:rsidR="00C83D46">
        <w:t xml:space="preserve">du requérant </w:t>
      </w:r>
      <w:r>
        <w:t>ont été obtenus sous la torture</w:t>
      </w:r>
      <w:r w:rsidR="00C83D46">
        <w:t>,</w:t>
      </w:r>
      <w:r>
        <w:t xml:space="preserve"> </w:t>
      </w:r>
      <w:r w:rsidR="004F77FF">
        <w:t>ou</w:t>
      </w:r>
      <w:r>
        <w:t xml:space="preserve"> pour ordonner l</w:t>
      </w:r>
      <w:r w:rsidR="00FF46FE">
        <w:t>’</w:t>
      </w:r>
      <w:r>
        <w:t>ouverture d</w:t>
      </w:r>
      <w:r w:rsidR="00FF46FE">
        <w:t>’</w:t>
      </w:r>
      <w:r>
        <w:t>une enquête pour torture.</w:t>
      </w:r>
    </w:p>
    <w:p w:rsidR="007A681A" w:rsidRPr="00757BE2" w:rsidRDefault="007A681A" w:rsidP="00E93E9F">
      <w:pPr>
        <w:pStyle w:val="H23G"/>
        <w:rPr>
          <w:rFonts w:eastAsia="MS Mincho"/>
          <w:lang w:val="fr-FR" w:eastAsia="zh-CN"/>
        </w:rPr>
      </w:pPr>
      <w:r>
        <w:rPr>
          <w:rFonts w:eastAsia="MS Mincho"/>
          <w:lang w:val="fr-FR" w:eastAsia="zh-CN"/>
        </w:rPr>
        <w:tab/>
      </w:r>
      <w:r>
        <w:rPr>
          <w:rFonts w:eastAsia="MS Mincho"/>
          <w:lang w:val="fr-FR" w:eastAsia="zh-CN"/>
        </w:rPr>
        <w:tab/>
      </w:r>
      <w:r w:rsidRPr="009D0F95">
        <w:rPr>
          <w:rFonts w:eastAsia="MS Mincho"/>
          <w:lang w:val="fr-FR" w:eastAsia="zh-CN"/>
        </w:rPr>
        <w:t>Obse</w:t>
      </w:r>
      <w:r w:rsidR="009069B0">
        <w:rPr>
          <w:rFonts w:eastAsia="MS Mincho"/>
          <w:lang w:val="fr-FR" w:eastAsia="zh-CN"/>
        </w:rPr>
        <w:t>rvations de l</w:t>
      </w:r>
      <w:r w:rsidR="00FF46FE">
        <w:rPr>
          <w:rFonts w:eastAsia="MS Mincho"/>
          <w:lang w:val="fr-FR" w:eastAsia="zh-CN"/>
        </w:rPr>
        <w:t>’</w:t>
      </w:r>
      <w:r w:rsidR="008D3C65" w:rsidRPr="008D3C65">
        <w:t>É</w:t>
      </w:r>
      <w:r w:rsidR="009069B0">
        <w:rPr>
          <w:rFonts w:eastAsia="MS Mincho"/>
          <w:lang w:val="fr-FR" w:eastAsia="zh-CN"/>
        </w:rPr>
        <w:t>tat partie sur la recevabilité</w:t>
      </w:r>
    </w:p>
    <w:p w:rsidR="00B07857" w:rsidRDefault="007A681A">
      <w:pPr>
        <w:pStyle w:val="SingleTxtG"/>
        <w:rPr>
          <w:rFonts w:eastAsia="MS Mincho"/>
        </w:rPr>
      </w:pPr>
      <w:r w:rsidRPr="00FE68BE">
        <w:rPr>
          <w:rFonts w:eastAsia="MS Mincho"/>
        </w:rPr>
        <w:t>4.1</w:t>
      </w:r>
      <w:r w:rsidRPr="00FE68BE">
        <w:rPr>
          <w:rFonts w:eastAsia="MS Mincho"/>
        </w:rPr>
        <w:tab/>
      </w:r>
      <w:r w:rsidR="00815B5B">
        <w:rPr>
          <w:rFonts w:eastAsia="MS Mincho"/>
        </w:rPr>
        <w:t xml:space="preserve">Le </w:t>
      </w:r>
      <w:r w:rsidR="009069B0">
        <w:rPr>
          <w:rFonts w:eastAsia="MS Mincho"/>
        </w:rPr>
        <w:t xml:space="preserve">4 août 2014, </w:t>
      </w:r>
      <w:r w:rsidR="00815B5B">
        <w:rPr>
          <w:rFonts w:eastAsia="MS Mincho"/>
        </w:rPr>
        <w:t>l</w:t>
      </w:r>
      <w:r w:rsidR="00FF46FE">
        <w:rPr>
          <w:rFonts w:eastAsia="MS Mincho"/>
        </w:rPr>
        <w:t>’</w:t>
      </w:r>
      <w:r w:rsidR="008D3C65" w:rsidRPr="00B07857">
        <w:rPr>
          <w:rFonts w:eastAsia="MS Mincho"/>
        </w:rPr>
        <w:t>É</w:t>
      </w:r>
      <w:r w:rsidR="00FF46FE">
        <w:rPr>
          <w:rFonts w:eastAsia="MS Mincho"/>
        </w:rPr>
        <w:t>tat</w:t>
      </w:r>
      <w:r w:rsidR="00815B5B">
        <w:rPr>
          <w:rFonts w:eastAsia="MS Mincho"/>
        </w:rPr>
        <w:t xml:space="preserve"> partie </w:t>
      </w:r>
      <w:r w:rsidR="005F28F3">
        <w:rPr>
          <w:rFonts w:eastAsia="MS Mincho"/>
        </w:rPr>
        <w:t xml:space="preserve">a contesté </w:t>
      </w:r>
      <w:r w:rsidR="00B07857">
        <w:rPr>
          <w:rFonts w:eastAsia="MS Mincho"/>
        </w:rPr>
        <w:t xml:space="preserve">la recevabilité de la requête pour </w:t>
      </w:r>
      <w:r w:rsidR="00B07857" w:rsidRPr="00B07857">
        <w:rPr>
          <w:rFonts w:eastAsia="MS Mincho"/>
        </w:rPr>
        <w:t>non</w:t>
      </w:r>
      <w:r w:rsidR="0062295E">
        <w:rPr>
          <w:rFonts w:eastAsia="MS Mincho"/>
        </w:rPr>
        <w:t>-</w:t>
      </w:r>
      <w:r w:rsidR="00B07857" w:rsidRPr="00B07857">
        <w:rPr>
          <w:rFonts w:eastAsia="MS Mincho"/>
        </w:rPr>
        <w:t xml:space="preserve">épuisement des </w:t>
      </w:r>
      <w:r w:rsidR="00B07857">
        <w:rPr>
          <w:rFonts w:eastAsia="MS Mincho"/>
        </w:rPr>
        <w:t xml:space="preserve">voies de recours internes et </w:t>
      </w:r>
      <w:r w:rsidR="00B07857" w:rsidRPr="00B07857">
        <w:rPr>
          <w:rFonts w:eastAsia="MS Mincho"/>
        </w:rPr>
        <w:t>abus du droit de présenter une plainte</w:t>
      </w:r>
      <w:r w:rsidR="00B07857">
        <w:rPr>
          <w:rFonts w:eastAsia="MS Mincho"/>
        </w:rPr>
        <w:t xml:space="preserve">. </w:t>
      </w:r>
    </w:p>
    <w:p w:rsidR="00B07857" w:rsidRPr="00B07857" w:rsidRDefault="00B07857" w:rsidP="00B07857">
      <w:pPr>
        <w:pStyle w:val="SingleTxtG"/>
        <w:rPr>
          <w:rFonts w:eastAsia="MS Mincho"/>
        </w:rPr>
      </w:pPr>
      <w:r>
        <w:rPr>
          <w:rFonts w:eastAsia="MS Mincho"/>
        </w:rPr>
        <w:t>4.2</w:t>
      </w:r>
      <w:r>
        <w:rPr>
          <w:rFonts w:eastAsia="MS Mincho"/>
        </w:rPr>
        <w:tab/>
      </w:r>
      <w:r w:rsidRPr="00B07857">
        <w:rPr>
          <w:rFonts w:eastAsia="MS Mincho"/>
        </w:rPr>
        <w:t>L</w:t>
      </w:r>
      <w:r w:rsidR="00FF46FE">
        <w:rPr>
          <w:rFonts w:eastAsia="MS Mincho"/>
        </w:rPr>
        <w:t>’</w:t>
      </w:r>
      <w:r w:rsidR="00FF46FE" w:rsidRPr="00B07857">
        <w:rPr>
          <w:rFonts w:eastAsia="MS Mincho"/>
        </w:rPr>
        <w:t>État</w:t>
      </w:r>
      <w:r w:rsidRPr="00B07857">
        <w:rPr>
          <w:rFonts w:eastAsia="MS Mincho"/>
        </w:rPr>
        <w:t xml:space="preserve"> partie </w:t>
      </w:r>
      <w:r>
        <w:rPr>
          <w:rFonts w:eastAsia="MS Mincho"/>
        </w:rPr>
        <w:t xml:space="preserve">commence par </w:t>
      </w:r>
      <w:r w:rsidR="00185AEB">
        <w:rPr>
          <w:rFonts w:eastAsia="MS Mincho"/>
        </w:rPr>
        <w:t>mentionner</w:t>
      </w:r>
      <w:r>
        <w:rPr>
          <w:rFonts w:eastAsia="MS Mincho"/>
        </w:rPr>
        <w:t xml:space="preserve"> </w:t>
      </w:r>
      <w:r w:rsidRPr="00B07857">
        <w:rPr>
          <w:rFonts w:eastAsia="MS Mincho"/>
        </w:rPr>
        <w:t>que le requérant a été arrêté le 8 novembre 2010 dans le cadre du démantèlement du campement de Gdeim Izik, installé quelques semaines auparavant par des personnes</w:t>
      </w:r>
      <w:r w:rsidR="00185AEB">
        <w:rPr>
          <w:rFonts w:eastAsia="MS Mincho"/>
        </w:rPr>
        <w:t>, y compris le requérant, qui étaient</w:t>
      </w:r>
      <w:r w:rsidRPr="00B07857">
        <w:rPr>
          <w:rFonts w:eastAsia="MS Mincho"/>
        </w:rPr>
        <w:t xml:space="preserve"> affiliées aux milieux séparatistes </w:t>
      </w:r>
      <w:r>
        <w:rPr>
          <w:rFonts w:eastAsia="MS Mincho"/>
        </w:rPr>
        <w:t>sahraoui</w:t>
      </w:r>
      <w:r w:rsidR="00C81EE2">
        <w:rPr>
          <w:rFonts w:eastAsia="MS Mincho"/>
        </w:rPr>
        <w:t>s</w:t>
      </w:r>
      <w:r>
        <w:rPr>
          <w:rFonts w:eastAsia="MS Mincho"/>
        </w:rPr>
        <w:t xml:space="preserve"> </w:t>
      </w:r>
      <w:r w:rsidRPr="00B07857">
        <w:rPr>
          <w:rFonts w:eastAsia="MS Mincho"/>
        </w:rPr>
        <w:t>à proximité de Laayoune</w:t>
      </w:r>
      <w:r w:rsidR="00185AEB">
        <w:rPr>
          <w:rFonts w:eastAsia="MS Mincho"/>
        </w:rPr>
        <w:t xml:space="preserve">. </w:t>
      </w:r>
      <w:r w:rsidR="005F28F3">
        <w:rPr>
          <w:rFonts w:eastAsia="MS Mincho"/>
        </w:rPr>
        <w:t>Il</w:t>
      </w:r>
      <w:r w:rsidR="00185AEB">
        <w:rPr>
          <w:rFonts w:eastAsia="MS Mincho"/>
        </w:rPr>
        <w:t xml:space="preserve"> allègue qu</w:t>
      </w:r>
      <w:r w:rsidR="00FF46FE">
        <w:rPr>
          <w:rFonts w:eastAsia="MS Mincho"/>
        </w:rPr>
        <w:t>’</w:t>
      </w:r>
      <w:r w:rsidR="00185AEB">
        <w:rPr>
          <w:rFonts w:eastAsia="MS Mincho"/>
        </w:rPr>
        <w:t>une campagne visant à inciter la population locale à se déplacer et investir le campement a ainsi été lancée pour faire pressi</w:t>
      </w:r>
      <w:r w:rsidR="005650A9">
        <w:rPr>
          <w:rFonts w:eastAsia="MS Mincho"/>
        </w:rPr>
        <w:t>o</w:t>
      </w:r>
      <w:r w:rsidR="00185AEB">
        <w:rPr>
          <w:rFonts w:eastAsia="MS Mincho"/>
        </w:rPr>
        <w:t>n</w:t>
      </w:r>
      <w:r w:rsidR="005650A9">
        <w:rPr>
          <w:rFonts w:eastAsia="MS Mincho"/>
        </w:rPr>
        <w:t xml:space="preserve"> sur les autorités </w:t>
      </w:r>
      <w:r w:rsidR="005F28F3">
        <w:rPr>
          <w:rFonts w:eastAsia="MS Mincho"/>
        </w:rPr>
        <w:t>afin de</w:t>
      </w:r>
      <w:r w:rsidR="005650A9">
        <w:rPr>
          <w:rFonts w:eastAsia="MS Mincho"/>
        </w:rPr>
        <w:t xml:space="preserve"> faire </w:t>
      </w:r>
      <w:r w:rsidRPr="00B07857">
        <w:rPr>
          <w:rFonts w:eastAsia="MS Mincho"/>
        </w:rPr>
        <w:t>bénéficie</w:t>
      </w:r>
      <w:r w:rsidR="005650A9">
        <w:rPr>
          <w:rFonts w:eastAsia="MS Mincho"/>
        </w:rPr>
        <w:t xml:space="preserve">r les personnes mobilisées </w:t>
      </w:r>
      <w:r w:rsidRPr="00B07857">
        <w:rPr>
          <w:rFonts w:eastAsia="MS Mincho"/>
        </w:rPr>
        <w:t>d</w:t>
      </w:r>
      <w:r w:rsidR="00FF46FE">
        <w:rPr>
          <w:rFonts w:eastAsia="MS Mincho"/>
        </w:rPr>
        <w:t>’</w:t>
      </w:r>
      <w:r w:rsidRPr="00B07857">
        <w:rPr>
          <w:rFonts w:eastAsia="MS Mincho"/>
        </w:rPr>
        <w:t xml:space="preserve">avantages sociaux. </w:t>
      </w:r>
    </w:p>
    <w:p w:rsidR="00B07857" w:rsidRPr="00B07857" w:rsidRDefault="00B07857">
      <w:pPr>
        <w:pStyle w:val="SingleTxtG"/>
        <w:rPr>
          <w:rFonts w:eastAsia="MS Mincho"/>
        </w:rPr>
      </w:pPr>
      <w:r>
        <w:rPr>
          <w:rFonts w:eastAsia="MS Mincho"/>
        </w:rPr>
        <w:t>4</w:t>
      </w:r>
      <w:r w:rsidRPr="00B07857">
        <w:rPr>
          <w:rFonts w:eastAsia="MS Mincho"/>
        </w:rPr>
        <w:t>.3</w:t>
      </w:r>
      <w:r w:rsidRPr="00B07857">
        <w:rPr>
          <w:rFonts w:eastAsia="MS Mincho"/>
        </w:rPr>
        <w:tab/>
        <w:t>L</w:t>
      </w:r>
      <w:r w:rsidR="00FF46FE">
        <w:rPr>
          <w:rFonts w:eastAsia="MS Mincho"/>
        </w:rPr>
        <w:t>’</w:t>
      </w:r>
      <w:r w:rsidR="00FF46FE" w:rsidRPr="00B07857">
        <w:rPr>
          <w:rFonts w:eastAsia="MS Mincho"/>
        </w:rPr>
        <w:t>État</w:t>
      </w:r>
      <w:r w:rsidRPr="00B07857">
        <w:rPr>
          <w:rFonts w:eastAsia="MS Mincho"/>
        </w:rPr>
        <w:t xml:space="preserve"> partie indique que le requérant a créé une milice dotée d</w:t>
      </w:r>
      <w:r w:rsidR="00FF46FE">
        <w:rPr>
          <w:rFonts w:eastAsia="MS Mincho"/>
        </w:rPr>
        <w:t>’</w:t>
      </w:r>
      <w:r w:rsidRPr="00B07857">
        <w:rPr>
          <w:rFonts w:eastAsia="MS Mincho"/>
        </w:rPr>
        <w:t xml:space="preserve">armes blanches chargée de ne pas laisser les occupants quitter le camp. </w:t>
      </w:r>
      <w:r w:rsidR="0062295E">
        <w:rPr>
          <w:rFonts w:eastAsia="MS Mincho"/>
        </w:rPr>
        <w:t>À</w:t>
      </w:r>
      <w:r w:rsidR="0062295E" w:rsidRPr="00B07857">
        <w:rPr>
          <w:rFonts w:eastAsia="MS Mincho"/>
        </w:rPr>
        <w:t xml:space="preserve"> </w:t>
      </w:r>
      <w:r w:rsidRPr="00B07857">
        <w:rPr>
          <w:rFonts w:eastAsia="MS Mincho"/>
        </w:rPr>
        <w:t>l</w:t>
      </w:r>
      <w:r w:rsidR="00FF46FE">
        <w:rPr>
          <w:rFonts w:eastAsia="MS Mincho"/>
        </w:rPr>
        <w:t>’</w:t>
      </w:r>
      <w:r w:rsidRPr="00B07857">
        <w:rPr>
          <w:rFonts w:eastAsia="MS Mincho"/>
        </w:rPr>
        <w:t>approche des forces de l</w:t>
      </w:r>
      <w:r w:rsidR="00FF46FE">
        <w:rPr>
          <w:rFonts w:eastAsia="MS Mincho"/>
        </w:rPr>
        <w:t>’</w:t>
      </w:r>
      <w:r w:rsidRPr="00B07857">
        <w:rPr>
          <w:rFonts w:eastAsia="MS Mincho"/>
        </w:rPr>
        <w:t>ordre qui venaient démanteler le camp et rétablir l</w:t>
      </w:r>
      <w:r w:rsidR="00FF46FE">
        <w:rPr>
          <w:rFonts w:eastAsia="MS Mincho"/>
        </w:rPr>
        <w:t>’</w:t>
      </w:r>
      <w:r w:rsidRPr="00B07857">
        <w:rPr>
          <w:rFonts w:eastAsia="MS Mincho"/>
        </w:rPr>
        <w:t xml:space="preserve">ordre public, le requérant a planifié et supervisé des attaques à </w:t>
      </w:r>
      <w:r w:rsidR="001B365F">
        <w:rPr>
          <w:rFonts w:eastAsia="MS Mincho"/>
        </w:rPr>
        <w:t>l</w:t>
      </w:r>
      <w:r w:rsidR="001B365F" w:rsidRPr="001B365F">
        <w:rPr>
          <w:rFonts w:eastAsia="MS Mincho"/>
        </w:rPr>
        <w:t>’</w:t>
      </w:r>
      <w:r w:rsidR="001B365F">
        <w:rPr>
          <w:rFonts w:eastAsia="MS Mincho"/>
        </w:rPr>
        <w:t>aide d</w:t>
      </w:r>
      <w:r w:rsidR="00FF46FE">
        <w:rPr>
          <w:rFonts w:eastAsia="MS Mincho"/>
        </w:rPr>
        <w:t>’</w:t>
      </w:r>
      <w:r w:rsidRPr="00B07857">
        <w:rPr>
          <w:rFonts w:eastAsia="MS Mincho"/>
        </w:rPr>
        <w:t>arme</w:t>
      </w:r>
      <w:r w:rsidR="001B365F">
        <w:rPr>
          <w:rFonts w:eastAsia="MS Mincho"/>
        </w:rPr>
        <w:t>s</w:t>
      </w:r>
      <w:r w:rsidRPr="00B07857">
        <w:rPr>
          <w:rFonts w:eastAsia="MS Mincho"/>
        </w:rPr>
        <w:t xml:space="preserve"> blanche</w:t>
      </w:r>
      <w:r w:rsidR="001B365F">
        <w:rPr>
          <w:rFonts w:eastAsia="MS Mincho"/>
        </w:rPr>
        <w:t>s</w:t>
      </w:r>
      <w:r w:rsidRPr="00B07857">
        <w:rPr>
          <w:rFonts w:eastAsia="MS Mincho"/>
        </w:rPr>
        <w:t xml:space="preserve">, </w:t>
      </w:r>
      <w:r w:rsidR="001B365F">
        <w:rPr>
          <w:rFonts w:eastAsia="MS Mincho"/>
        </w:rPr>
        <w:t xml:space="preserve">de </w:t>
      </w:r>
      <w:r w:rsidRPr="00B07857">
        <w:rPr>
          <w:rFonts w:eastAsia="MS Mincho"/>
        </w:rPr>
        <w:t xml:space="preserve">cocktails </w:t>
      </w:r>
      <w:r w:rsidR="001B365F">
        <w:rPr>
          <w:rFonts w:eastAsia="MS Mincho"/>
        </w:rPr>
        <w:t>M</w:t>
      </w:r>
      <w:r w:rsidR="001B365F" w:rsidRPr="00B07857">
        <w:rPr>
          <w:rFonts w:eastAsia="MS Mincho"/>
        </w:rPr>
        <w:t>olotov</w:t>
      </w:r>
      <w:r w:rsidR="001B365F">
        <w:rPr>
          <w:rFonts w:eastAsia="MS Mincho"/>
        </w:rPr>
        <w:t xml:space="preserve"> </w:t>
      </w:r>
      <w:r w:rsidR="00213AD9">
        <w:rPr>
          <w:rFonts w:eastAsia="MS Mincho"/>
        </w:rPr>
        <w:t xml:space="preserve">et </w:t>
      </w:r>
      <w:r w:rsidR="001B365F">
        <w:rPr>
          <w:rFonts w:eastAsia="MS Mincho"/>
        </w:rPr>
        <w:t xml:space="preserve">de </w:t>
      </w:r>
      <w:r w:rsidR="00213AD9">
        <w:rPr>
          <w:rFonts w:eastAsia="MS Mincho"/>
        </w:rPr>
        <w:t xml:space="preserve">bonbonnes de gaz enflammé. </w:t>
      </w:r>
      <w:r w:rsidR="001B365F">
        <w:rPr>
          <w:rFonts w:eastAsia="MS Mincho"/>
        </w:rPr>
        <w:t>Onze</w:t>
      </w:r>
      <w:r w:rsidR="001B365F" w:rsidRPr="00B07857">
        <w:rPr>
          <w:rFonts w:eastAsia="MS Mincho"/>
        </w:rPr>
        <w:t xml:space="preserve"> </w:t>
      </w:r>
      <w:r w:rsidRPr="00B07857">
        <w:rPr>
          <w:rFonts w:eastAsia="MS Mincho"/>
        </w:rPr>
        <w:t>membres des forces de l</w:t>
      </w:r>
      <w:r w:rsidR="00FF46FE">
        <w:rPr>
          <w:rFonts w:eastAsia="MS Mincho"/>
        </w:rPr>
        <w:t>’</w:t>
      </w:r>
      <w:r w:rsidRPr="00B07857">
        <w:rPr>
          <w:rFonts w:eastAsia="MS Mincho"/>
        </w:rPr>
        <w:t xml:space="preserve">ordre sont décédés suite aux affrontements, ce qui a </w:t>
      </w:r>
      <w:r w:rsidR="005F28F3">
        <w:rPr>
          <w:rFonts w:eastAsia="MS Mincho"/>
        </w:rPr>
        <w:t>donné lieu aux</w:t>
      </w:r>
      <w:r w:rsidR="00213AD9">
        <w:rPr>
          <w:rFonts w:eastAsia="MS Mincho"/>
        </w:rPr>
        <w:t xml:space="preserve"> poursuites </w:t>
      </w:r>
      <w:r w:rsidR="005F28F3">
        <w:rPr>
          <w:rFonts w:eastAsia="MS Mincho"/>
        </w:rPr>
        <w:t>et</w:t>
      </w:r>
      <w:r w:rsidR="00213AD9">
        <w:rPr>
          <w:rFonts w:eastAsia="MS Mincho"/>
        </w:rPr>
        <w:t xml:space="preserve"> condamnations des instigateurs et responsables. </w:t>
      </w:r>
    </w:p>
    <w:p w:rsidR="00213AD9" w:rsidRDefault="00B07857">
      <w:pPr>
        <w:pStyle w:val="SingleTxtG"/>
        <w:rPr>
          <w:rFonts w:eastAsia="MS Mincho"/>
        </w:rPr>
      </w:pPr>
      <w:r>
        <w:rPr>
          <w:rFonts w:eastAsia="MS Mincho"/>
        </w:rPr>
        <w:t>4</w:t>
      </w:r>
      <w:r w:rsidRPr="00B07857">
        <w:rPr>
          <w:rFonts w:eastAsia="MS Mincho"/>
        </w:rPr>
        <w:t>.4</w:t>
      </w:r>
      <w:r w:rsidRPr="00B07857">
        <w:rPr>
          <w:rFonts w:eastAsia="MS Mincho"/>
        </w:rPr>
        <w:tab/>
      </w:r>
      <w:r w:rsidR="00213AD9">
        <w:rPr>
          <w:rFonts w:eastAsia="MS Mincho"/>
        </w:rPr>
        <w:t>L</w:t>
      </w:r>
      <w:r w:rsidR="00FF46FE">
        <w:rPr>
          <w:rFonts w:eastAsia="MS Mincho"/>
        </w:rPr>
        <w:t>’État</w:t>
      </w:r>
      <w:r w:rsidR="00213AD9">
        <w:rPr>
          <w:rFonts w:eastAsia="MS Mincho"/>
        </w:rPr>
        <w:t xml:space="preserve"> partie précise que l</w:t>
      </w:r>
      <w:r w:rsidR="00FF46FE">
        <w:rPr>
          <w:rFonts w:eastAsia="MS Mincho"/>
        </w:rPr>
        <w:t>’</w:t>
      </w:r>
      <w:r w:rsidR="00213AD9">
        <w:rPr>
          <w:rFonts w:eastAsia="MS Mincho"/>
        </w:rPr>
        <w:t>intervention des services de sécurité était basée sur les instructions précises du parquet</w:t>
      </w:r>
      <w:r w:rsidR="006A6582">
        <w:rPr>
          <w:rFonts w:eastAsia="MS Mincho"/>
        </w:rPr>
        <w:t> </w:t>
      </w:r>
      <w:r w:rsidR="00FF46FE">
        <w:rPr>
          <w:rFonts w:eastAsia="MS Mincho"/>
        </w:rPr>
        <w:t>;</w:t>
      </w:r>
      <w:r w:rsidR="00213AD9">
        <w:rPr>
          <w:rFonts w:eastAsia="MS Mincho"/>
        </w:rPr>
        <w:t xml:space="preserve"> les sommations d</w:t>
      </w:r>
      <w:r w:rsidR="00FF46FE">
        <w:rPr>
          <w:rFonts w:eastAsia="MS Mincho"/>
        </w:rPr>
        <w:t>’</w:t>
      </w:r>
      <w:r w:rsidR="00213AD9">
        <w:rPr>
          <w:rFonts w:eastAsia="MS Mincho"/>
        </w:rPr>
        <w:t xml:space="preserve">usage ont été scrupuleusement respectées. </w:t>
      </w:r>
      <w:r w:rsidRPr="00B07857">
        <w:rPr>
          <w:rFonts w:eastAsia="MS Mincho"/>
        </w:rPr>
        <w:t>Le requérant a été arrêté</w:t>
      </w:r>
      <w:r w:rsidR="005F28F3">
        <w:rPr>
          <w:rFonts w:eastAsia="MS Mincho"/>
        </w:rPr>
        <w:t xml:space="preserve"> avec 69 autres personnes</w:t>
      </w:r>
      <w:r w:rsidRPr="00B07857">
        <w:rPr>
          <w:rFonts w:eastAsia="MS Mincho"/>
        </w:rPr>
        <w:t xml:space="preserve"> </w:t>
      </w:r>
      <w:r w:rsidR="00213AD9">
        <w:rPr>
          <w:rFonts w:eastAsia="MS Mincho"/>
        </w:rPr>
        <w:t>le 8 novembre 2010 durant l</w:t>
      </w:r>
      <w:r w:rsidR="00FF46FE">
        <w:rPr>
          <w:rFonts w:eastAsia="MS Mincho"/>
        </w:rPr>
        <w:t>’</w:t>
      </w:r>
      <w:r w:rsidR="00213AD9">
        <w:rPr>
          <w:rFonts w:eastAsia="MS Mincho"/>
        </w:rPr>
        <w:t>opération de démantèlement</w:t>
      </w:r>
      <w:r w:rsidR="00CB488C">
        <w:rPr>
          <w:rFonts w:eastAsia="MS Mincho"/>
        </w:rPr>
        <w:t>.</w:t>
      </w:r>
      <w:r w:rsidR="00213AD9">
        <w:rPr>
          <w:rFonts w:eastAsia="MS Mincho"/>
        </w:rPr>
        <w:t xml:space="preserve"> </w:t>
      </w:r>
      <w:r w:rsidR="00CB488C">
        <w:rPr>
          <w:rFonts w:eastAsia="MS Mincho"/>
        </w:rPr>
        <w:t>Il</w:t>
      </w:r>
      <w:r w:rsidR="00CB488C" w:rsidRPr="00B07857">
        <w:rPr>
          <w:rFonts w:eastAsia="MS Mincho"/>
        </w:rPr>
        <w:t xml:space="preserve"> </w:t>
      </w:r>
      <w:r w:rsidR="00213AD9">
        <w:rPr>
          <w:rFonts w:eastAsia="MS Mincho"/>
        </w:rPr>
        <w:t xml:space="preserve">a été </w:t>
      </w:r>
      <w:r w:rsidRPr="00B07857">
        <w:rPr>
          <w:rFonts w:eastAsia="MS Mincho"/>
        </w:rPr>
        <w:t xml:space="preserve">emmené dans les locaux de la brigade judiciaire de la </w:t>
      </w:r>
      <w:r w:rsidR="00E10573">
        <w:rPr>
          <w:rFonts w:eastAsia="MS Mincho"/>
        </w:rPr>
        <w:t>g</w:t>
      </w:r>
      <w:r w:rsidR="00E10573" w:rsidRPr="00B07857">
        <w:rPr>
          <w:rFonts w:eastAsia="MS Mincho"/>
        </w:rPr>
        <w:t xml:space="preserve">endarmerie </w:t>
      </w:r>
      <w:r w:rsidR="002861B4">
        <w:rPr>
          <w:rFonts w:eastAsia="MS Mincho"/>
        </w:rPr>
        <w:t>r</w:t>
      </w:r>
      <w:r w:rsidR="002861B4" w:rsidRPr="00B07857">
        <w:rPr>
          <w:rFonts w:eastAsia="MS Mincho"/>
        </w:rPr>
        <w:t xml:space="preserve">oyale </w:t>
      </w:r>
      <w:r w:rsidRPr="00B07857">
        <w:rPr>
          <w:rFonts w:eastAsia="MS Mincho"/>
        </w:rPr>
        <w:t xml:space="preserve">de Laayoune </w:t>
      </w:r>
      <w:r w:rsidR="00CB488C" w:rsidRPr="00B07857">
        <w:rPr>
          <w:rFonts w:eastAsia="MS Mincho"/>
        </w:rPr>
        <w:t>o</w:t>
      </w:r>
      <w:r w:rsidR="00CB488C">
        <w:rPr>
          <w:rFonts w:eastAsia="MS Mincho"/>
        </w:rPr>
        <w:t>ù</w:t>
      </w:r>
      <w:r w:rsidR="00CB488C" w:rsidRPr="00B07857">
        <w:rPr>
          <w:rFonts w:eastAsia="MS Mincho"/>
        </w:rPr>
        <w:t xml:space="preserve"> </w:t>
      </w:r>
      <w:r w:rsidRPr="00B07857">
        <w:rPr>
          <w:rFonts w:eastAsia="MS Mincho"/>
        </w:rPr>
        <w:t>il a été placé en garde à vue</w:t>
      </w:r>
      <w:r w:rsidR="00213AD9">
        <w:rPr>
          <w:rFonts w:eastAsia="MS Mincho"/>
        </w:rPr>
        <w:t>, conformément à la loi et s</w:t>
      </w:r>
      <w:r w:rsidR="001C2A53">
        <w:rPr>
          <w:rFonts w:eastAsia="MS Mincho"/>
        </w:rPr>
        <w:t>o</w:t>
      </w:r>
      <w:r w:rsidR="00213AD9">
        <w:rPr>
          <w:rFonts w:eastAsia="MS Mincho"/>
        </w:rPr>
        <w:t>us le contrôle effect</w:t>
      </w:r>
      <w:r w:rsidR="00515EEB">
        <w:rPr>
          <w:rFonts w:eastAsia="MS Mincho"/>
        </w:rPr>
        <w:t xml:space="preserve">if du Procureur </w:t>
      </w:r>
      <w:r w:rsidR="00297409">
        <w:rPr>
          <w:rFonts w:eastAsia="MS Mincho"/>
        </w:rPr>
        <w:t xml:space="preserve">général </w:t>
      </w:r>
      <w:r w:rsidR="00515EEB">
        <w:rPr>
          <w:rFonts w:eastAsia="MS Mincho"/>
        </w:rPr>
        <w:t>du Roi p</w:t>
      </w:r>
      <w:r w:rsidR="00213AD9">
        <w:rPr>
          <w:rFonts w:eastAsia="MS Mincho"/>
        </w:rPr>
        <w:t xml:space="preserve">rès la </w:t>
      </w:r>
      <w:r w:rsidR="000B6C34">
        <w:rPr>
          <w:rFonts w:eastAsia="MS Mincho"/>
        </w:rPr>
        <w:t xml:space="preserve">cour </w:t>
      </w:r>
      <w:r w:rsidR="00213AD9">
        <w:rPr>
          <w:rFonts w:eastAsia="MS Mincho"/>
        </w:rPr>
        <w:t>d</w:t>
      </w:r>
      <w:r w:rsidR="00FF46FE">
        <w:rPr>
          <w:rFonts w:eastAsia="MS Mincho"/>
        </w:rPr>
        <w:t>’</w:t>
      </w:r>
      <w:r w:rsidR="00213AD9">
        <w:rPr>
          <w:rFonts w:eastAsia="MS Mincho"/>
        </w:rPr>
        <w:t>appel de Laayoune. Il a été déféré devant le juge d</w:t>
      </w:r>
      <w:r w:rsidR="00FF46FE">
        <w:rPr>
          <w:rFonts w:eastAsia="MS Mincho"/>
        </w:rPr>
        <w:t>’</w:t>
      </w:r>
      <w:r w:rsidR="00213AD9">
        <w:rPr>
          <w:rFonts w:eastAsia="MS Mincho"/>
        </w:rPr>
        <w:t xml:space="preserve">instruction militaire le 12 novembre 2010. </w:t>
      </w:r>
    </w:p>
    <w:p w:rsidR="00B07857" w:rsidRPr="00B07857" w:rsidRDefault="00A35F92" w:rsidP="00213AD9">
      <w:pPr>
        <w:pStyle w:val="SingleTxtG"/>
        <w:rPr>
          <w:rFonts w:eastAsia="MS Mincho"/>
        </w:rPr>
      </w:pPr>
      <w:r>
        <w:rPr>
          <w:rFonts w:eastAsia="MS Mincho"/>
        </w:rPr>
        <w:t>4.5</w:t>
      </w:r>
      <w:r>
        <w:rPr>
          <w:rFonts w:eastAsia="MS Mincho"/>
        </w:rPr>
        <w:tab/>
      </w:r>
      <w:r w:rsidR="00B07857" w:rsidRPr="00B07857">
        <w:rPr>
          <w:rFonts w:eastAsia="MS Mincho"/>
        </w:rPr>
        <w:t xml:space="preserve">Le requérant a été formellement inculpé pour les crimes commis dans le contexte du démantèlement du camp </w:t>
      </w:r>
      <w:r w:rsidR="00D95FCB">
        <w:rPr>
          <w:rFonts w:eastAsia="MS Mincho"/>
        </w:rPr>
        <w:t>et condamné le</w:t>
      </w:r>
      <w:r w:rsidR="00B07857" w:rsidRPr="00B07857">
        <w:rPr>
          <w:rFonts w:eastAsia="MS Mincho"/>
        </w:rPr>
        <w:t xml:space="preserve"> 17 février 2013 par le tribunal militaire permanent des forces armées</w:t>
      </w:r>
      <w:r w:rsidR="00D95FCB">
        <w:rPr>
          <w:rFonts w:eastAsia="MS Mincho"/>
        </w:rPr>
        <w:t xml:space="preserve"> royales</w:t>
      </w:r>
      <w:r w:rsidR="00B07857" w:rsidRPr="00B07857">
        <w:rPr>
          <w:rFonts w:eastAsia="MS Mincho"/>
        </w:rPr>
        <w:t xml:space="preserve">. </w:t>
      </w:r>
    </w:p>
    <w:p w:rsidR="00A35F92" w:rsidRDefault="00B07857">
      <w:pPr>
        <w:pStyle w:val="SingleTxtG"/>
        <w:rPr>
          <w:rFonts w:eastAsia="MS Mincho"/>
        </w:rPr>
      </w:pPr>
      <w:r>
        <w:rPr>
          <w:rFonts w:eastAsia="MS Mincho"/>
        </w:rPr>
        <w:t>4.</w:t>
      </w:r>
      <w:r w:rsidR="00A35F92">
        <w:rPr>
          <w:rFonts w:eastAsia="MS Mincho"/>
        </w:rPr>
        <w:t>6</w:t>
      </w:r>
      <w:r w:rsidRPr="00B07857">
        <w:rPr>
          <w:rFonts w:eastAsia="MS Mincho"/>
        </w:rPr>
        <w:tab/>
      </w:r>
      <w:r w:rsidR="00A35F92">
        <w:rPr>
          <w:rFonts w:eastAsia="MS Mincho"/>
        </w:rPr>
        <w:t>L</w:t>
      </w:r>
      <w:r w:rsidR="00FF46FE">
        <w:rPr>
          <w:rFonts w:eastAsia="MS Mincho"/>
        </w:rPr>
        <w:t>’État</w:t>
      </w:r>
      <w:r w:rsidR="00A35F92">
        <w:rPr>
          <w:rFonts w:eastAsia="MS Mincho"/>
        </w:rPr>
        <w:t xml:space="preserve"> partie note qu</w:t>
      </w:r>
      <w:r w:rsidR="00FF46FE">
        <w:rPr>
          <w:rFonts w:eastAsia="MS Mincho"/>
        </w:rPr>
        <w:t>’</w:t>
      </w:r>
      <w:r w:rsidR="00A35F92">
        <w:rPr>
          <w:rFonts w:eastAsia="MS Mincho"/>
        </w:rPr>
        <w:t xml:space="preserve">un délai de près de </w:t>
      </w:r>
      <w:r w:rsidR="009C3B9D">
        <w:rPr>
          <w:rFonts w:eastAsia="MS Mincho"/>
        </w:rPr>
        <w:t xml:space="preserve">quatre </w:t>
      </w:r>
      <w:r w:rsidR="00A35F92">
        <w:rPr>
          <w:rFonts w:eastAsia="MS Mincho"/>
        </w:rPr>
        <w:t>ans</w:t>
      </w:r>
      <w:r w:rsidR="00CB488C">
        <w:rPr>
          <w:rFonts w:eastAsia="MS Mincho"/>
        </w:rPr>
        <w:t xml:space="preserve"> s’est écoulé</w:t>
      </w:r>
      <w:r w:rsidR="00A35F92">
        <w:rPr>
          <w:rFonts w:eastAsia="MS Mincho"/>
        </w:rPr>
        <w:t xml:space="preserve"> entre les faits allégués et la date du dépôt de la requête auprès du Comité, en mars 2014</w:t>
      </w:r>
      <w:r w:rsidR="00CB488C">
        <w:rPr>
          <w:rFonts w:eastAsia="MS Mincho"/>
        </w:rPr>
        <w:t>, ce qu’il considère excessif</w:t>
      </w:r>
      <w:r w:rsidR="00A35F92">
        <w:rPr>
          <w:rFonts w:eastAsia="MS Mincho"/>
        </w:rPr>
        <w:t>. L</w:t>
      </w:r>
      <w:r w:rsidR="00FF46FE">
        <w:rPr>
          <w:rFonts w:eastAsia="MS Mincho"/>
        </w:rPr>
        <w:t>’État</w:t>
      </w:r>
      <w:r w:rsidR="00A35F92">
        <w:rPr>
          <w:rFonts w:eastAsia="MS Mincho"/>
        </w:rPr>
        <w:t xml:space="preserve"> partie considère</w:t>
      </w:r>
      <w:r w:rsidR="00CB488C">
        <w:rPr>
          <w:rFonts w:eastAsia="MS Mincho"/>
        </w:rPr>
        <w:t xml:space="preserve"> par ailleurs</w:t>
      </w:r>
      <w:r w:rsidR="00A35F92">
        <w:rPr>
          <w:rFonts w:eastAsia="MS Mincho"/>
        </w:rPr>
        <w:t xml:space="preserve"> qu</w:t>
      </w:r>
      <w:r w:rsidR="00CB488C">
        <w:rPr>
          <w:rFonts w:eastAsia="MS Mincho"/>
        </w:rPr>
        <w:t>e</w:t>
      </w:r>
      <w:r w:rsidR="00A35F92">
        <w:rPr>
          <w:rFonts w:eastAsia="MS Mincho"/>
        </w:rPr>
        <w:t xml:space="preserve"> la </w:t>
      </w:r>
      <w:r w:rsidR="00CB488C">
        <w:rPr>
          <w:rFonts w:eastAsia="MS Mincho"/>
        </w:rPr>
        <w:t xml:space="preserve">plainte contient </w:t>
      </w:r>
      <w:r w:rsidR="00A35F92">
        <w:rPr>
          <w:rFonts w:eastAsia="MS Mincho"/>
        </w:rPr>
        <w:t xml:space="preserve">un certain nombre de contradictions. </w:t>
      </w:r>
    </w:p>
    <w:p w:rsidR="004F0093" w:rsidRDefault="00E1689F">
      <w:pPr>
        <w:pStyle w:val="SingleTxtG"/>
        <w:rPr>
          <w:rFonts w:eastAsia="MS Mincho"/>
        </w:rPr>
      </w:pPr>
      <w:r>
        <w:rPr>
          <w:rFonts w:eastAsia="MS Mincho"/>
        </w:rPr>
        <w:t>4.7</w:t>
      </w:r>
      <w:r>
        <w:rPr>
          <w:rFonts w:eastAsia="MS Mincho"/>
        </w:rPr>
        <w:tab/>
      </w:r>
      <w:r w:rsidR="004F0093">
        <w:rPr>
          <w:rFonts w:eastAsia="MS Mincho"/>
        </w:rPr>
        <w:t>S</w:t>
      </w:r>
      <w:r w:rsidR="00FF46FE">
        <w:rPr>
          <w:rFonts w:eastAsia="MS Mincho"/>
        </w:rPr>
        <w:t>’</w:t>
      </w:r>
      <w:r w:rsidR="004F0093">
        <w:rPr>
          <w:rFonts w:eastAsia="MS Mincho"/>
        </w:rPr>
        <w:t xml:space="preserve">agissant de </w:t>
      </w:r>
      <w:r w:rsidR="00B07857" w:rsidRPr="00B07857">
        <w:rPr>
          <w:rFonts w:eastAsia="MS Mincho"/>
        </w:rPr>
        <w:t>l</w:t>
      </w:r>
      <w:r w:rsidR="00FF46FE">
        <w:rPr>
          <w:rFonts w:eastAsia="MS Mincho"/>
        </w:rPr>
        <w:t>’</w:t>
      </w:r>
      <w:r w:rsidR="00B07857" w:rsidRPr="00B07857">
        <w:rPr>
          <w:rFonts w:eastAsia="MS Mincho"/>
        </w:rPr>
        <w:t>épuisement des voies de recours internes, l</w:t>
      </w:r>
      <w:r w:rsidR="00FF46FE">
        <w:rPr>
          <w:rFonts w:eastAsia="MS Mincho"/>
        </w:rPr>
        <w:t>’</w:t>
      </w:r>
      <w:r w:rsidR="00FF46FE" w:rsidRPr="00B07857">
        <w:rPr>
          <w:rFonts w:eastAsia="MS Mincho"/>
        </w:rPr>
        <w:t>État</w:t>
      </w:r>
      <w:r w:rsidR="00B07857" w:rsidRPr="00B07857">
        <w:rPr>
          <w:rFonts w:eastAsia="MS Mincho"/>
        </w:rPr>
        <w:t xml:space="preserve"> partie</w:t>
      </w:r>
      <w:r w:rsidR="00B07857">
        <w:rPr>
          <w:rFonts w:eastAsia="MS Mincho"/>
        </w:rPr>
        <w:t xml:space="preserve"> </w:t>
      </w:r>
      <w:r w:rsidR="004F0093">
        <w:rPr>
          <w:rFonts w:eastAsia="MS Mincho"/>
        </w:rPr>
        <w:t>note qu</w:t>
      </w:r>
      <w:r w:rsidR="0004413A" w:rsidRPr="0004413A">
        <w:rPr>
          <w:rFonts w:eastAsia="MS Mincho"/>
        </w:rPr>
        <w:t>’</w:t>
      </w:r>
      <w:r w:rsidR="0004413A">
        <w:rPr>
          <w:rFonts w:eastAsia="MS Mincho"/>
        </w:rPr>
        <w:t>à la</w:t>
      </w:r>
      <w:r w:rsidR="004F0093">
        <w:rPr>
          <w:rFonts w:eastAsia="MS Mincho"/>
        </w:rPr>
        <w:t xml:space="preserve"> suite </w:t>
      </w:r>
      <w:r w:rsidR="0004413A">
        <w:rPr>
          <w:rFonts w:eastAsia="MS Mincho"/>
        </w:rPr>
        <w:t xml:space="preserve">de </w:t>
      </w:r>
      <w:r w:rsidR="004F0093">
        <w:rPr>
          <w:rFonts w:eastAsia="MS Mincho"/>
        </w:rPr>
        <w:t>sa condamnation par le tribunal militaire, le requérant s</w:t>
      </w:r>
      <w:r w:rsidR="00FF46FE">
        <w:rPr>
          <w:rFonts w:eastAsia="MS Mincho"/>
        </w:rPr>
        <w:t>’</w:t>
      </w:r>
      <w:r w:rsidR="004F0093">
        <w:rPr>
          <w:rFonts w:eastAsia="MS Mincho"/>
        </w:rPr>
        <w:t xml:space="preserve">est pourvu en cassation. </w:t>
      </w:r>
      <w:r w:rsidR="00FF46FE">
        <w:rPr>
          <w:rFonts w:eastAsia="MS Mincho"/>
        </w:rPr>
        <w:t>À</w:t>
      </w:r>
      <w:r w:rsidR="00FC5EA5">
        <w:rPr>
          <w:rFonts w:eastAsia="MS Mincho"/>
        </w:rPr>
        <w:t> </w:t>
      </w:r>
      <w:r w:rsidR="004F0093">
        <w:rPr>
          <w:rFonts w:eastAsia="MS Mincho"/>
        </w:rPr>
        <w:t xml:space="preserve">ce jour, la Cour de </w:t>
      </w:r>
      <w:r w:rsidR="00B4773F">
        <w:rPr>
          <w:rFonts w:eastAsia="MS Mincho"/>
        </w:rPr>
        <w:t xml:space="preserve">cassation </w:t>
      </w:r>
      <w:r w:rsidR="004F0093">
        <w:rPr>
          <w:rFonts w:eastAsia="MS Mincho"/>
        </w:rPr>
        <w:t>ne s</w:t>
      </w:r>
      <w:r w:rsidR="00FF46FE">
        <w:rPr>
          <w:rFonts w:eastAsia="MS Mincho"/>
        </w:rPr>
        <w:t>’</w:t>
      </w:r>
      <w:r w:rsidR="004F0093">
        <w:rPr>
          <w:rFonts w:eastAsia="MS Mincho"/>
        </w:rPr>
        <w:t>est pas encore prononcée sur l</w:t>
      </w:r>
      <w:r w:rsidR="00FF46FE">
        <w:rPr>
          <w:rFonts w:eastAsia="MS Mincho"/>
        </w:rPr>
        <w:t>’</w:t>
      </w:r>
      <w:r w:rsidR="004F0093">
        <w:rPr>
          <w:rFonts w:eastAsia="MS Mincho"/>
        </w:rPr>
        <w:t xml:space="preserve">affaire. En outre, </w:t>
      </w:r>
      <w:r w:rsidR="00CB488C">
        <w:rPr>
          <w:rFonts w:eastAsia="MS Mincho"/>
        </w:rPr>
        <w:t xml:space="preserve">le requérant n’a porté plainte devant aucune juridiction ou autorité nationale pour </w:t>
      </w:r>
      <w:r w:rsidR="004F0093">
        <w:rPr>
          <w:rFonts w:eastAsia="MS Mincho"/>
        </w:rPr>
        <w:t>les allégations de torture et/ou mauvais traitements prétendument subis lors de sa garde à vue ou après</w:t>
      </w:r>
      <w:r w:rsidR="00CB488C">
        <w:rPr>
          <w:rFonts w:eastAsia="MS Mincho"/>
        </w:rPr>
        <w:t> : q</w:t>
      </w:r>
      <w:r w:rsidR="004F0093">
        <w:rPr>
          <w:rFonts w:eastAsia="MS Mincho"/>
        </w:rPr>
        <w:t xml:space="preserve">ue </w:t>
      </w:r>
      <w:r w:rsidR="00070F76">
        <w:rPr>
          <w:rFonts w:eastAsia="MS Mincho"/>
        </w:rPr>
        <w:t xml:space="preserve">ce </w:t>
      </w:r>
      <w:r w:rsidR="004F0093">
        <w:rPr>
          <w:rFonts w:eastAsia="MS Mincho"/>
        </w:rPr>
        <w:t>soit lor</w:t>
      </w:r>
      <w:r w:rsidR="00070F76">
        <w:rPr>
          <w:rFonts w:eastAsia="MS Mincho"/>
        </w:rPr>
        <w:t>s de l</w:t>
      </w:r>
      <w:r w:rsidR="00FF46FE">
        <w:rPr>
          <w:rFonts w:eastAsia="MS Mincho"/>
        </w:rPr>
        <w:t>’</w:t>
      </w:r>
      <w:r w:rsidR="00070F76">
        <w:rPr>
          <w:rFonts w:eastAsia="MS Mincho"/>
        </w:rPr>
        <w:t xml:space="preserve">audition préliminaire du </w:t>
      </w:r>
      <w:r w:rsidR="004F0093">
        <w:rPr>
          <w:rFonts w:eastAsia="MS Mincho"/>
        </w:rPr>
        <w:t>12 novembre 2010, ou</w:t>
      </w:r>
      <w:r w:rsidR="00070F76">
        <w:rPr>
          <w:rFonts w:eastAsia="MS Mincho"/>
        </w:rPr>
        <w:t xml:space="preserve"> lors de l</w:t>
      </w:r>
      <w:r w:rsidR="00FF46FE">
        <w:rPr>
          <w:rFonts w:eastAsia="MS Mincho"/>
        </w:rPr>
        <w:t>’</w:t>
      </w:r>
      <w:r w:rsidR="00070F76">
        <w:rPr>
          <w:rFonts w:eastAsia="MS Mincho"/>
        </w:rPr>
        <w:t>audition du</w:t>
      </w:r>
      <w:r w:rsidR="004F0093">
        <w:rPr>
          <w:rFonts w:eastAsia="MS Mincho"/>
        </w:rPr>
        <w:t xml:space="preserve"> 12 janvier 2011, </w:t>
      </w:r>
      <w:r w:rsidR="00CB488C">
        <w:rPr>
          <w:rFonts w:eastAsia="MS Mincho"/>
        </w:rPr>
        <w:t>le requérant, assisté d’un avocat,</w:t>
      </w:r>
      <w:r w:rsidR="004F0093">
        <w:rPr>
          <w:rFonts w:eastAsia="MS Mincho"/>
        </w:rPr>
        <w:t xml:space="preserve"> n</w:t>
      </w:r>
      <w:r w:rsidR="00FF46FE">
        <w:rPr>
          <w:rFonts w:eastAsia="MS Mincho"/>
        </w:rPr>
        <w:t>’</w:t>
      </w:r>
      <w:r w:rsidR="004F0093">
        <w:rPr>
          <w:rFonts w:eastAsia="MS Mincho"/>
        </w:rPr>
        <w:t>a pas soulevé le fait qu</w:t>
      </w:r>
      <w:r w:rsidR="00FF46FE">
        <w:rPr>
          <w:rFonts w:eastAsia="MS Mincho"/>
        </w:rPr>
        <w:t>’</w:t>
      </w:r>
      <w:r w:rsidR="004F0093">
        <w:rPr>
          <w:rFonts w:eastAsia="MS Mincho"/>
        </w:rPr>
        <w:t>il aurait été exposé à des actes de torture et/ou mauvais traitements.</w:t>
      </w:r>
    </w:p>
    <w:p w:rsidR="00B07857" w:rsidRPr="00B07857" w:rsidRDefault="00E1689F">
      <w:pPr>
        <w:pStyle w:val="SingleTxtG"/>
        <w:rPr>
          <w:rFonts w:eastAsia="MS Mincho"/>
        </w:rPr>
      </w:pPr>
      <w:r>
        <w:rPr>
          <w:rFonts w:eastAsia="MS Mincho"/>
        </w:rPr>
        <w:t>4.8</w:t>
      </w:r>
      <w:r>
        <w:rPr>
          <w:rFonts w:eastAsia="MS Mincho"/>
        </w:rPr>
        <w:tab/>
      </w:r>
      <w:r w:rsidR="003F2794">
        <w:rPr>
          <w:rFonts w:eastAsia="MS Mincho"/>
        </w:rPr>
        <w:t>En outre, l</w:t>
      </w:r>
      <w:r w:rsidR="00B07857" w:rsidRPr="00B07857">
        <w:rPr>
          <w:rFonts w:eastAsia="MS Mincho"/>
        </w:rPr>
        <w:t xml:space="preserve">ors du procès </w:t>
      </w:r>
      <w:r w:rsidR="00CB488C">
        <w:rPr>
          <w:rFonts w:eastAsia="MS Mincho"/>
        </w:rPr>
        <w:t>de</w:t>
      </w:r>
      <w:r w:rsidR="00CB488C" w:rsidRPr="00B07857">
        <w:rPr>
          <w:rFonts w:eastAsia="MS Mincho"/>
        </w:rPr>
        <w:t xml:space="preserve"> </w:t>
      </w:r>
      <w:r w:rsidR="00B07857" w:rsidRPr="00B07857">
        <w:rPr>
          <w:rFonts w:eastAsia="MS Mincho"/>
        </w:rPr>
        <w:t>février 2013</w:t>
      </w:r>
      <w:r w:rsidR="009E03EF">
        <w:rPr>
          <w:rFonts w:eastAsia="MS Mincho"/>
        </w:rPr>
        <w:t>,</w:t>
      </w:r>
      <w:r w:rsidR="00B07857" w:rsidRPr="00B07857">
        <w:rPr>
          <w:rFonts w:eastAsia="MS Mincho"/>
        </w:rPr>
        <w:t xml:space="preserve"> </w:t>
      </w:r>
      <w:r w:rsidR="003F2794">
        <w:rPr>
          <w:rFonts w:eastAsia="MS Mincho"/>
        </w:rPr>
        <w:t xml:space="preserve">qui était </w:t>
      </w:r>
      <w:r w:rsidR="003F2794" w:rsidRPr="003F2794">
        <w:rPr>
          <w:rFonts w:eastAsia="MS Mincho"/>
        </w:rPr>
        <w:t>ouvert aux observateurs nationaux et internationaux</w:t>
      </w:r>
      <w:r w:rsidR="003F2794">
        <w:rPr>
          <w:rFonts w:eastAsia="MS Mincho"/>
        </w:rPr>
        <w:t>, la défense constit</w:t>
      </w:r>
      <w:r w:rsidR="00070F76">
        <w:rPr>
          <w:rFonts w:eastAsia="MS Mincho"/>
        </w:rPr>
        <w:t>uée par l</w:t>
      </w:r>
      <w:r w:rsidR="00FF46FE">
        <w:rPr>
          <w:rFonts w:eastAsia="MS Mincho"/>
        </w:rPr>
        <w:t>’</w:t>
      </w:r>
      <w:r w:rsidR="00070F76">
        <w:rPr>
          <w:rFonts w:eastAsia="MS Mincho"/>
        </w:rPr>
        <w:t xml:space="preserve">ensemble des accusés </w:t>
      </w:r>
      <w:r w:rsidR="003F2794">
        <w:rPr>
          <w:rFonts w:eastAsia="MS Mincho"/>
        </w:rPr>
        <w:t xml:space="preserve">a soulevé que quatre </w:t>
      </w:r>
      <w:r w:rsidR="00CB488C">
        <w:rPr>
          <w:rFonts w:eastAsia="MS Mincho"/>
        </w:rPr>
        <w:t>d’entre eux</w:t>
      </w:r>
      <w:r w:rsidR="003F2794">
        <w:rPr>
          <w:rFonts w:eastAsia="MS Mincho"/>
        </w:rPr>
        <w:t xml:space="preserve"> auraient été torturés ou maltraités, </w:t>
      </w:r>
      <w:r w:rsidR="00CB488C">
        <w:rPr>
          <w:rFonts w:eastAsia="MS Mincho"/>
        </w:rPr>
        <w:t>sans faire référence au</w:t>
      </w:r>
      <w:r w:rsidR="003F2794">
        <w:rPr>
          <w:rFonts w:eastAsia="MS Mincho"/>
        </w:rPr>
        <w:t xml:space="preserve"> requérant. Une expertise médicale a été demandée au juge concernant les </w:t>
      </w:r>
      <w:r w:rsidR="00A14A8B">
        <w:rPr>
          <w:rFonts w:eastAsia="MS Mincho"/>
        </w:rPr>
        <w:t xml:space="preserve">quatre </w:t>
      </w:r>
      <w:r w:rsidR="003F2794">
        <w:rPr>
          <w:rFonts w:eastAsia="MS Mincho"/>
        </w:rPr>
        <w:t xml:space="preserve">accusés en question. </w:t>
      </w:r>
      <w:r w:rsidR="00CB488C">
        <w:rPr>
          <w:rFonts w:eastAsia="MS Mincho"/>
        </w:rPr>
        <w:t>L</w:t>
      </w:r>
      <w:r w:rsidR="00B07857" w:rsidRPr="00B07857">
        <w:rPr>
          <w:rFonts w:eastAsia="MS Mincho"/>
        </w:rPr>
        <w:t xml:space="preserve">e requérant </w:t>
      </w:r>
      <w:r w:rsidR="003F2794">
        <w:rPr>
          <w:rFonts w:eastAsia="MS Mincho"/>
        </w:rPr>
        <w:t>se contente d</w:t>
      </w:r>
      <w:r w:rsidR="00FF46FE">
        <w:rPr>
          <w:rFonts w:eastAsia="MS Mincho"/>
        </w:rPr>
        <w:t>’</w:t>
      </w:r>
      <w:r w:rsidR="003F2794">
        <w:rPr>
          <w:rFonts w:eastAsia="MS Mincho"/>
        </w:rPr>
        <w:t>affirmer que les autorités n</w:t>
      </w:r>
      <w:r w:rsidR="00FF46FE">
        <w:rPr>
          <w:rFonts w:eastAsia="MS Mincho"/>
        </w:rPr>
        <w:t>’</w:t>
      </w:r>
      <w:r w:rsidR="003F2794">
        <w:rPr>
          <w:rFonts w:eastAsia="MS Mincho"/>
        </w:rPr>
        <w:t>ont jamais consenti à ouvrir une enquête</w:t>
      </w:r>
      <w:r w:rsidR="00CB488C">
        <w:rPr>
          <w:rFonts w:eastAsia="MS Mincho"/>
        </w:rPr>
        <w:t xml:space="preserve"> alors même qu’il n’a</w:t>
      </w:r>
      <w:r w:rsidR="003F2794">
        <w:rPr>
          <w:rFonts w:eastAsia="MS Mincho"/>
        </w:rPr>
        <w:t xml:space="preserve"> entrepris </w:t>
      </w:r>
      <w:r w:rsidR="00CB488C">
        <w:rPr>
          <w:rFonts w:eastAsia="MS Mincho"/>
        </w:rPr>
        <w:t xml:space="preserve">aucune </w:t>
      </w:r>
      <w:r w:rsidR="003F2794">
        <w:rPr>
          <w:rFonts w:eastAsia="MS Mincho"/>
        </w:rPr>
        <w:t xml:space="preserve">démarche en ce sens. </w:t>
      </w:r>
      <w:r>
        <w:rPr>
          <w:rFonts w:eastAsia="MS Mincho"/>
        </w:rPr>
        <w:t>L</w:t>
      </w:r>
      <w:r w:rsidR="00B07857" w:rsidRPr="00B07857">
        <w:rPr>
          <w:rFonts w:eastAsia="MS Mincho"/>
        </w:rPr>
        <w:t>e requérant n</w:t>
      </w:r>
      <w:r w:rsidR="00FF46FE">
        <w:rPr>
          <w:rFonts w:eastAsia="MS Mincho"/>
        </w:rPr>
        <w:t>’</w:t>
      </w:r>
      <w:r w:rsidR="00B07857" w:rsidRPr="00B07857">
        <w:rPr>
          <w:rFonts w:eastAsia="MS Mincho"/>
        </w:rPr>
        <w:t xml:space="preserve">a pas </w:t>
      </w:r>
      <w:r>
        <w:rPr>
          <w:rFonts w:eastAsia="MS Mincho"/>
        </w:rPr>
        <w:t xml:space="preserve">non plus </w:t>
      </w:r>
      <w:r w:rsidR="00B07857" w:rsidRPr="00B07857">
        <w:rPr>
          <w:rFonts w:eastAsia="MS Mincho"/>
        </w:rPr>
        <w:t xml:space="preserve">démontré </w:t>
      </w:r>
      <w:r>
        <w:rPr>
          <w:rFonts w:eastAsia="MS Mincho"/>
        </w:rPr>
        <w:t>que</w:t>
      </w:r>
      <w:r w:rsidR="00B07857" w:rsidRPr="00B07857">
        <w:rPr>
          <w:rFonts w:eastAsia="MS Mincho"/>
        </w:rPr>
        <w:t xml:space="preserve"> la procédure interne </w:t>
      </w:r>
      <w:r w:rsidR="00986D43">
        <w:rPr>
          <w:rFonts w:eastAsia="MS Mincho"/>
        </w:rPr>
        <w:t>était</w:t>
      </w:r>
      <w:r w:rsidR="00B07857" w:rsidRPr="00B07857">
        <w:rPr>
          <w:rFonts w:eastAsia="MS Mincho"/>
        </w:rPr>
        <w:t xml:space="preserve"> excessi</w:t>
      </w:r>
      <w:r>
        <w:rPr>
          <w:rFonts w:eastAsia="MS Mincho"/>
        </w:rPr>
        <w:t xml:space="preserve">vement longue ou inefficace. Conformément </w:t>
      </w:r>
      <w:r>
        <w:rPr>
          <w:rFonts w:eastAsia="MS Mincho"/>
        </w:rPr>
        <w:lastRenderedPageBreak/>
        <w:t>à la jurisprudence du Comité, de simples</w:t>
      </w:r>
      <w:r w:rsidR="00B07857" w:rsidRPr="00B07857">
        <w:rPr>
          <w:rFonts w:eastAsia="MS Mincho"/>
        </w:rPr>
        <w:t xml:space="preserve"> doutes quant à ces éléments ne dispensent pas le requérant d</w:t>
      </w:r>
      <w:r w:rsidR="00FF46FE">
        <w:rPr>
          <w:rFonts w:eastAsia="MS Mincho"/>
        </w:rPr>
        <w:t>’</w:t>
      </w:r>
      <w:r w:rsidR="00B07857" w:rsidRPr="00B07857">
        <w:rPr>
          <w:rFonts w:eastAsia="MS Mincho"/>
        </w:rPr>
        <w:t>épuiser les voies de recours internes</w:t>
      </w:r>
      <w:r w:rsidR="00407E37">
        <w:rPr>
          <w:rStyle w:val="FootnoteReference"/>
          <w:rFonts w:eastAsia="MS Mincho"/>
        </w:rPr>
        <w:footnoteReference w:id="8"/>
      </w:r>
      <w:r w:rsidR="00B07857" w:rsidRPr="00B07857">
        <w:rPr>
          <w:rFonts w:eastAsia="MS Mincho"/>
        </w:rPr>
        <w:t xml:space="preserve">. </w:t>
      </w:r>
    </w:p>
    <w:p w:rsidR="00B07857" w:rsidRPr="00B07857" w:rsidRDefault="00B07857">
      <w:pPr>
        <w:pStyle w:val="SingleTxtG"/>
        <w:rPr>
          <w:rFonts w:eastAsia="MS Mincho"/>
        </w:rPr>
      </w:pPr>
      <w:r>
        <w:rPr>
          <w:rFonts w:eastAsia="MS Mincho"/>
        </w:rPr>
        <w:t>4</w:t>
      </w:r>
      <w:r w:rsidR="00E1689F">
        <w:rPr>
          <w:rFonts w:eastAsia="MS Mincho"/>
        </w:rPr>
        <w:t>.9</w:t>
      </w:r>
      <w:r w:rsidRPr="00B07857">
        <w:rPr>
          <w:rFonts w:eastAsia="MS Mincho"/>
        </w:rPr>
        <w:tab/>
      </w:r>
      <w:r w:rsidR="008B2389">
        <w:rPr>
          <w:rFonts w:eastAsia="MS Mincho"/>
        </w:rPr>
        <w:t>L</w:t>
      </w:r>
      <w:r w:rsidR="00FF46FE">
        <w:rPr>
          <w:rFonts w:eastAsia="MS Mincho"/>
        </w:rPr>
        <w:t>’</w:t>
      </w:r>
      <w:r w:rsidR="00FF46FE" w:rsidRPr="00B07857">
        <w:rPr>
          <w:rFonts w:eastAsia="MS Mincho"/>
        </w:rPr>
        <w:t>État</w:t>
      </w:r>
      <w:r w:rsidRPr="00B07857">
        <w:rPr>
          <w:rFonts w:eastAsia="MS Mincho"/>
        </w:rPr>
        <w:t xml:space="preserve"> partie considère que la communication </w:t>
      </w:r>
      <w:r w:rsidR="008B2389">
        <w:rPr>
          <w:rFonts w:eastAsia="MS Mincho"/>
        </w:rPr>
        <w:t xml:space="preserve">du requérant </w:t>
      </w:r>
      <w:r w:rsidRPr="00B07857">
        <w:rPr>
          <w:rFonts w:eastAsia="MS Mincho"/>
        </w:rPr>
        <w:t>s</w:t>
      </w:r>
      <w:r w:rsidR="00FF46FE">
        <w:rPr>
          <w:rFonts w:eastAsia="MS Mincho"/>
        </w:rPr>
        <w:t>’</w:t>
      </w:r>
      <w:r w:rsidRPr="00B07857">
        <w:rPr>
          <w:rFonts w:eastAsia="MS Mincho"/>
        </w:rPr>
        <w:t xml:space="preserve">inscrit dans un agenda politique en marge du vote de la résolution au Conseil de </w:t>
      </w:r>
      <w:r w:rsidR="000C497C">
        <w:rPr>
          <w:rFonts w:eastAsia="MS Mincho"/>
        </w:rPr>
        <w:t>s</w:t>
      </w:r>
      <w:r w:rsidR="000C497C" w:rsidRPr="00B07857">
        <w:rPr>
          <w:rFonts w:eastAsia="MS Mincho"/>
        </w:rPr>
        <w:t xml:space="preserve">écurité </w:t>
      </w:r>
      <w:r w:rsidRPr="00B07857">
        <w:rPr>
          <w:rFonts w:eastAsia="MS Mincho"/>
        </w:rPr>
        <w:t>quant au mandat de la M</w:t>
      </w:r>
      <w:r w:rsidR="000C497C">
        <w:rPr>
          <w:rFonts w:eastAsia="MS Mincho"/>
        </w:rPr>
        <w:t>ission des Nations Unies pour l</w:t>
      </w:r>
      <w:r w:rsidR="000C497C" w:rsidRPr="000C497C">
        <w:rPr>
          <w:rFonts w:eastAsia="MS Mincho"/>
        </w:rPr>
        <w:t>’</w:t>
      </w:r>
      <w:r w:rsidR="000C497C">
        <w:rPr>
          <w:rFonts w:eastAsia="MS Mincho"/>
        </w:rPr>
        <w:t>organisation d</w:t>
      </w:r>
      <w:r w:rsidR="000C497C" w:rsidRPr="000C497C">
        <w:rPr>
          <w:rFonts w:eastAsia="MS Mincho"/>
        </w:rPr>
        <w:t>’</w:t>
      </w:r>
      <w:r w:rsidR="000C497C">
        <w:rPr>
          <w:rFonts w:eastAsia="MS Mincho"/>
        </w:rPr>
        <w:t>un référendum au Sahara occidental</w:t>
      </w:r>
      <w:r w:rsidRPr="00B07857">
        <w:rPr>
          <w:rFonts w:eastAsia="MS Mincho"/>
        </w:rPr>
        <w:t>.</w:t>
      </w:r>
      <w:r w:rsidR="00FF46FE">
        <w:rPr>
          <w:rFonts w:eastAsia="MS Mincho"/>
        </w:rPr>
        <w:t xml:space="preserve"> </w:t>
      </w:r>
      <w:r w:rsidR="008B2389">
        <w:rPr>
          <w:rFonts w:eastAsia="MS Mincho"/>
        </w:rPr>
        <w:t>Il</w:t>
      </w:r>
      <w:r w:rsidR="00FC5EA5">
        <w:rPr>
          <w:rFonts w:eastAsia="MS Mincho"/>
        </w:rPr>
        <w:t> </w:t>
      </w:r>
      <w:r w:rsidR="008B2389">
        <w:rPr>
          <w:rFonts w:eastAsia="MS Mincho"/>
        </w:rPr>
        <w:t xml:space="preserve">considère que ses </w:t>
      </w:r>
      <w:r w:rsidRPr="00B07857">
        <w:rPr>
          <w:rFonts w:eastAsia="MS Mincho"/>
        </w:rPr>
        <w:t>allégations sont floues, générales</w:t>
      </w:r>
      <w:r w:rsidR="00070F76">
        <w:rPr>
          <w:rFonts w:eastAsia="MS Mincho"/>
        </w:rPr>
        <w:t xml:space="preserve"> et</w:t>
      </w:r>
      <w:r w:rsidRPr="00B07857">
        <w:rPr>
          <w:rFonts w:eastAsia="MS Mincho"/>
        </w:rPr>
        <w:t xml:space="preserve"> infondées</w:t>
      </w:r>
      <w:r w:rsidR="008B2389">
        <w:rPr>
          <w:rFonts w:eastAsia="MS Mincho"/>
        </w:rPr>
        <w:t xml:space="preserve"> et</w:t>
      </w:r>
      <w:r w:rsidR="00E1689F">
        <w:rPr>
          <w:rFonts w:eastAsia="MS Mincho"/>
        </w:rPr>
        <w:t xml:space="preserve"> que les documents </w:t>
      </w:r>
      <w:r w:rsidR="008B2389">
        <w:rPr>
          <w:rFonts w:eastAsia="MS Mincho"/>
        </w:rPr>
        <w:t>présentés</w:t>
      </w:r>
      <w:r w:rsidR="00E1689F">
        <w:rPr>
          <w:rFonts w:eastAsia="MS Mincho"/>
        </w:rPr>
        <w:t xml:space="preserve"> sont plutôt de nature à faire </w:t>
      </w:r>
      <w:r w:rsidR="00817603">
        <w:rPr>
          <w:rFonts w:eastAsia="MS Mincho"/>
        </w:rPr>
        <w:t>rapport</w:t>
      </w:r>
      <w:r w:rsidR="00E1689F">
        <w:rPr>
          <w:rFonts w:eastAsia="MS Mincho"/>
        </w:rPr>
        <w:t xml:space="preserve"> sur une situation générale, dévoilant les motifs purement politiques de la plainte.</w:t>
      </w:r>
    </w:p>
    <w:p w:rsidR="009069B0" w:rsidRDefault="00B07857">
      <w:pPr>
        <w:pStyle w:val="SingleTxtG"/>
        <w:rPr>
          <w:rFonts w:eastAsia="MS Mincho"/>
        </w:rPr>
      </w:pPr>
      <w:r>
        <w:rPr>
          <w:rFonts w:eastAsia="MS Mincho"/>
        </w:rPr>
        <w:t>4</w:t>
      </w:r>
      <w:r w:rsidR="00E1689F">
        <w:rPr>
          <w:rFonts w:eastAsia="MS Mincho"/>
        </w:rPr>
        <w:t>.10</w:t>
      </w:r>
      <w:r w:rsidRPr="00B07857">
        <w:rPr>
          <w:rFonts w:eastAsia="MS Mincho"/>
        </w:rPr>
        <w:tab/>
      </w:r>
      <w:r w:rsidR="00E1689F">
        <w:rPr>
          <w:rFonts w:eastAsia="MS Mincho"/>
        </w:rPr>
        <w:t>Enfin,</w:t>
      </w:r>
      <w:r w:rsidRPr="00B07857">
        <w:rPr>
          <w:rFonts w:eastAsia="MS Mincho"/>
        </w:rPr>
        <w:t xml:space="preserve"> l</w:t>
      </w:r>
      <w:r w:rsidR="00FF46FE">
        <w:rPr>
          <w:rFonts w:eastAsia="MS Mincho"/>
        </w:rPr>
        <w:t>’</w:t>
      </w:r>
      <w:r w:rsidR="00FF46FE" w:rsidRPr="00B07857">
        <w:rPr>
          <w:rFonts w:eastAsia="MS Mincho"/>
        </w:rPr>
        <w:t>État</w:t>
      </w:r>
      <w:r w:rsidRPr="00B07857">
        <w:rPr>
          <w:rFonts w:eastAsia="MS Mincho"/>
        </w:rPr>
        <w:t xml:space="preserve"> partie invoque un abus du droit de plainte de la part du requérant qui, sans attendre la décision de la Cour de </w:t>
      </w:r>
      <w:r w:rsidR="00B4773F">
        <w:rPr>
          <w:rFonts w:eastAsia="MS Mincho"/>
        </w:rPr>
        <w:t>c</w:t>
      </w:r>
      <w:r w:rsidR="00B4773F" w:rsidRPr="00B07857">
        <w:rPr>
          <w:rFonts w:eastAsia="MS Mincho"/>
        </w:rPr>
        <w:t>assation</w:t>
      </w:r>
      <w:r w:rsidRPr="00B07857">
        <w:rPr>
          <w:rFonts w:eastAsia="MS Mincho"/>
        </w:rPr>
        <w:t xml:space="preserve">, a saisi le Comité ainsi que les juridictions pénales </w:t>
      </w:r>
      <w:r w:rsidR="00BD00DA" w:rsidRPr="00B07857">
        <w:rPr>
          <w:rFonts w:eastAsia="MS Mincho"/>
        </w:rPr>
        <w:t xml:space="preserve">françaises </w:t>
      </w:r>
      <w:r w:rsidRPr="00B07857">
        <w:rPr>
          <w:rFonts w:eastAsia="MS Mincho"/>
        </w:rPr>
        <w:t>en vertu de la compétence universelle.</w:t>
      </w:r>
      <w:r w:rsidR="00E1689F">
        <w:rPr>
          <w:rFonts w:eastAsia="MS Mincho"/>
        </w:rPr>
        <w:t xml:space="preserve"> </w:t>
      </w:r>
    </w:p>
    <w:p w:rsidR="007A681A" w:rsidRPr="009D0F95" w:rsidRDefault="00F727CD" w:rsidP="00E93E9F">
      <w:pPr>
        <w:pStyle w:val="H23G"/>
        <w:rPr>
          <w:rFonts w:eastAsia="SimSun"/>
          <w:lang w:eastAsia="zh-CN"/>
        </w:rPr>
      </w:pPr>
      <w:r>
        <w:tab/>
      </w:r>
      <w:r>
        <w:tab/>
      </w:r>
      <w:r w:rsidR="007A681A" w:rsidRPr="00960F91">
        <w:t>Commentaires du requérant sur les observations de l</w:t>
      </w:r>
      <w:r w:rsidR="00FF46FE" w:rsidRPr="00960F91">
        <w:t>’</w:t>
      </w:r>
      <w:r w:rsidR="007A681A" w:rsidRPr="00960F91">
        <w:t>État partie</w:t>
      </w:r>
    </w:p>
    <w:p w:rsidR="00B07857" w:rsidRPr="00B07857" w:rsidRDefault="000A19A3">
      <w:pPr>
        <w:pStyle w:val="SingleTxtG"/>
        <w:rPr>
          <w:rFonts w:eastAsia="MS Mincho"/>
        </w:rPr>
      </w:pPr>
      <w:r w:rsidRPr="000A19A3">
        <w:rPr>
          <w:rFonts w:eastAsia="MS Mincho"/>
        </w:rPr>
        <w:t>5.1</w:t>
      </w:r>
      <w:r w:rsidRPr="000A19A3">
        <w:rPr>
          <w:rFonts w:eastAsia="MS Mincho"/>
        </w:rPr>
        <w:tab/>
        <w:t xml:space="preserve">Le </w:t>
      </w:r>
      <w:r w:rsidR="009069B0">
        <w:rPr>
          <w:rFonts w:eastAsia="MS Mincho"/>
        </w:rPr>
        <w:t>20 septembre 2014</w:t>
      </w:r>
      <w:r w:rsidR="00815B5B">
        <w:rPr>
          <w:rFonts w:eastAsia="MS Mincho"/>
        </w:rPr>
        <w:t xml:space="preserve">, </w:t>
      </w:r>
      <w:r w:rsidR="002B08EC">
        <w:rPr>
          <w:rFonts w:eastAsia="MS Mincho"/>
        </w:rPr>
        <w:t>e</w:t>
      </w:r>
      <w:r w:rsidR="00B07857" w:rsidRPr="00B07857">
        <w:rPr>
          <w:rFonts w:eastAsia="MS Mincho"/>
        </w:rPr>
        <w:t>n réponse aux observations de l</w:t>
      </w:r>
      <w:r w:rsidR="00FF46FE">
        <w:rPr>
          <w:rFonts w:eastAsia="MS Mincho"/>
        </w:rPr>
        <w:t>’</w:t>
      </w:r>
      <w:r w:rsidR="00FF46FE" w:rsidRPr="00B07857">
        <w:rPr>
          <w:rFonts w:eastAsia="MS Mincho"/>
        </w:rPr>
        <w:t>État</w:t>
      </w:r>
      <w:r w:rsidR="002B08EC">
        <w:rPr>
          <w:rFonts w:eastAsia="MS Mincho"/>
        </w:rPr>
        <w:t xml:space="preserve"> partie</w:t>
      </w:r>
      <w:r w:rsidR="00B07857" w:rsidRPr="00B07857">
        <w:rPr>
          <w:rFonts w:eastAsia="MS Mincho"/>
        </w:rPr>
        <w:t>, l</w:t>
      </w:r>
      <w:r w:rsidR="002B08EC">
        <w:rPr>
          <w:rFonts w:eastAsia="MS Mincho"/>
        </w:rPr>
        <w:t>e requérant</w:t>
      </w:r>
      <w:r w:rsidR="00B07857" w:rsidRPr="00B07857">
        <w:rPr>
          <w:rFonts w:eastAsia="MS Mincho"/>
        </w:rPr>
        <w:t xml:space="preserve"> </w:t>
      </w:r>
      <w:r w:rsidR="001415E6">
        <w:rPr>
          <w:rFonts w:eastAsia="MS Mincho"/>
        </w:rPr>
        <w:t xml:space="preserve">a </w:t>
      </w:r>
      <w:r w:rsidR="001415E6" w:rsidRPr="00B07857">
        <w:rPr>
          <w:rFonts w:eastAsia="MS Mincho"/>
        </w:rPr>
        <w:t>rappel</w:t>
      </w:r>
      <w:r w:rsidR="001415E6">
        <w:rPr>
          <w:rFonts w:eastAsia="MS Mincho"/>
        </w:rPr>
        <w:t>é</w:t>
      </w:r>
      <w:r w:rsidR="001415E6" w:rsidRPr="00B07857">
        <w:rPr>
          <w:rFonts w:eastAsia="MS Mincho"/>
        </w:rPr>
        <w:t xml:space="preserve"> </w:t>
      </w:r>
      <w:r w:rsidR="00B07857" w:rsidRPr="00B07857">
        <w:rPr>
          <w:rFonts w:eastAsia="MS Mincho"/>
        </w:rPr>
        <w:t>que l</w:t>
      </w:r>
      <w:r w:rsidR="00FF46FE">
        <w:rPr>
          <w:rFonts w:eastAsia="MS Mincho"/>
        </w:rPr>
        <w:t>’</w:t>
      </w:r>
      <w:r w:rsidR="00B07857" w:rsidRPr="00B07857">
        <w:rPr>
          <w:rFonts w:eastAsia="MS Mincho"/>
        </w:rPr>
        <w:t xml:space="preserve">objet de </w:t>
      </w:r>
      <w:r w:rsidR="008B2389">
        <w:rPr>
          <w:rFonts w:eastAsia="MS Mincho"/>
        </w:rPr>
        <w:t>sa requête</w:t>
      </w:r>
      <w:r w:rsidR="00B07857" w:rsidRPr="00B07857">
        <w:rPr>
          <w:rFonts w:eastAsia="MS Mincho"/>
        </w:rPr>
        <w:t xml:space="preserve"> </w:t>
      </w:r>
      <w:r w:rsidR="001415E6">
        <w:rPr>
          <w:rFonts w:eastAsia="MS Mincho"/>
        </w:rPr>
        <w:t xml:space="preserve">concernait </w:t>
      </w:r>
      <w:r w:rsidR="00515EEB">
        <w:rPr>
          <w:rFonts w:eastAsia="MS Mincho"/>
        </w:rPr>
        <w:t xml:space="preserve">les circonstances de son </w:t>
      </w:r>
      <w:r w:rsidR="00B07857" w:rsidRPr="00B07857">
        <w:rPr>
          <w:rFonts w:eastAsia="MS Mincho"/>
        </w:rPr>
        <w:t xml:space="preserve">arrestation et de </w:t>
      </w:r>
      <w:r w:rsidR="00515EEB">
        <w:rPr>
          <w:rFonts w:eastAsia="MS Mincho"/>
        </w:rPr>
        <w:t>s</w:t>
      </w:r>
      <w:r w:rsidR="00B07857" w:rsidRPr="00B07857">
        <w:rPr>
          <w:rFonts w:eastAsia="MS Mincho"/>
        </w:rPr>
        <w:t>a garde à vue ainsi que le respect de la Conve</w:t>
      </w:r>
      <w:r w:rsidR="00515EEB">
        <w:rPr>
          <w:rFonts w:eastAsia="MS Mincho"/>
        </w:rPr>
        <w:t xml:space="preserve">ntion par le Maroc, </w:t>
      </w:r>
      <w:r w:rsidR="001415E6">
        <w:rPr>
          <w:rFonts w:eastAsia="MS Mincho"/>
        </w:rPr>
        <w:t>et non</w:t>
      </w:r>
      <w:r w:rsidR="00515EEB">
        <w:rPr>
          <w:rFonts w:eastAsia="MS Mincho"/>
        </w:rPr>
        <w:t xml:space="preserve"> les raisons de </w:t>
      </w:r>
      <w:r w:rsidR="008B2389">
        <w:rPr>
          <w:rFonts w:eastAsia="MS Mincho"/>
        </w:rPr>
        <w:t>s</w:t>
      </w:r>
      <w:r w:rsidR="008B2389" w:rsidRPr="00B07857">
        <w:rPr>
          <w:rFonts w:eastAsia="MS Mincho"/>
        </w:rPr>
        <w:t xml:space="preserve">a </w:t>
      </w:r>
      <w:r w:rsidR="00B07857" w:rsidRPr="00B07857">
        <w:rPr>
          <w:rFonts w:eastAsia="MS Mincho"/>
        </w:rPr>
        <w:t>condamnation</w:t>
      </w:r>
      <w:r w:rsidR="008B2389">
        <w:rPr>
          <w:rFonts w:eastAsia="MS Mincho"/>
        </w:rPr>
        <w:t>,</w:t>
      </w:r>
      <w:r w:rsidR="00256F54">
        <w:rPr>
          <w:rFonts w:eastAsia="MS Mincho"/>
        </w:rPr>
        <w:t xml:space="preserve"> cette question </w:t>
      </w:r>
      <w:r w:rsidR="008B2389">
        <w:rPr>
          <w:rFonts w:eastAsia="MS Mincho"/>
        </w:rPr>
        <w:t>n’étant</w:t>
      </w:r>
      <w:r w:rsidR="00256F54">
        <w:rPr>
          <w:rFonts w:eastAsia="MS Mincho"/>
        </w:rPr>
        <w:t xml:space="preserve"> pas du ressort du Comité.</w:t>
      </w:r>
    </w:p>
    <w:p w:rsidR="00B07857" w:rsidRPr="00B07857" w:rsidRDefault="002B08EC" w:rsidP="00B07857">
      <w:pPr>
        <w:pStyle w:val="SingleTxtG"/>
        <w:rPr>
          <w:rFonts w:eastAsia="MS Mincho"/>
        </w:rPr>
      </w:pPr>
      <w:r>
        <w:rPr>
          <w:rFonts w:eastAsia="MS Mincho"/>
        </w:rPr>
        <w:t>5</w:t>
      </w:r>
      <w:r w:rsidR="00B07857" w:rsidRPr="00B07857">
        <w:rPr>
          <w:rFonts w:eastAsia="MS Mincho"/>
        </w:rPr>
        <w:t>.2</w:t>
      </w:r>
      <w:r w:rsidR="00B07857" w:rsidRPr="00B07857">
        <w:rPr>
          <w:rFonts w:eastAsia="MS Mincho"/>
        </w:rPr>
        <w:tab/>
        <w:t>L</w:t>
      </w:r>
      <w:r>
        <w:rPr>
          <w:rFonts w:eastAsia="MS Mincho"/>
        </w:rPr>
        <w:t>e requérant</w:t>
      </w:r>
      <w:r w:rsidR="00515EEB">
        <w:rPr>
          <w:rFonts w:eastAsia="MS Mincho"/>
        </w:rPr>
        <w:t xml:space="preserve"> soutient </w:t>
      </w:r>
      <w:r w:rsidR="000F1AF3">
        <w:rPr>
          <w:rFonts w:eastAsia="MS Mincho"/>
        </w:rPr>
        <w:t xml:space="preserve">avoir </w:t>
      </w:r>
      <w:r w:rsidR="00B07857" w:rsidRPr="00B07857">
        <w:rPr>
          <w:rFonts w:eastAsia="MS Mincho"/>
        </w:rPr>
        <w:t xml:space="preserve">été arrêté le 7 novembre </w:t>
      </w:r>
      <w:r w:rsidR="00070F76">
        <w:rPr>
          <w:rFonts w:eastAsia="MS Mincho"/>
        </w:rPr>
        <w:t xml:space="preserve">2010 </w:t>
      </w:r>
      <w:r w:rsidR="00CB1D70">
        <w:rPr>
          <w:rFonts w:eastAsia="MS Mincho"/>
        </w:rPr>
        <w:t xml:space="preserve">chez des </w:t>
      </w:r>
      <w:r w:rsidR="00070F76">
        <w:rPr>
          <w:rFonts w:eastAsia="MS Mincho"/>
        </w:rPr>
        <w:t>amis</w:t>
      </w:r>
      <w:r w:rsidR="00CB1D70">
        <w:rPr>
          <w:rFonts w:eastAsia="MS Mincho"/>
        </w:rPr>
        <w:t>,</w:t>
      </w:r>
      <w:r w:rsidR="00B07857" w:rsidRPr="00B07857">
        <w:rPr>
          <w:rFonts w:eastAsia="MS Mincho"/>
        </w:rPr>
        <w:t xml:space="preserve"> sans mandat et avec violence. </w:t>
      </w:r>
      <w:r w:rsidR="00CB1D70">
        <w:rPr>
          <w:rFonts w:eastAsia="MS Mincho"/>
        </w:rPr>
        <w:t>Il considère que l</w:t>
      </w:r>
      <w:r w:rsidR="00CB1D70" w:rsidRPr="00B07857">
        <w:rPr>
          <w:rFonts w:eastAsia="MS Mincho"/>
        </w:rPr>
        <w:t xml:space="preserve">es </w:t>
      </w:r>
      <w:r w:rsidR="00B07857" w:rsidRPr="00B07857">
        <w:rPr>
          <w:rFonts w:eastAsia="MS Mincho"/>
        </w:rPr>
        <w:t xml:space="preserve">actes de procédure qui indiquent </w:t>
      </w:r>
      <w:r w:rsidR="00CB1D70">
        <w:rPr>
          <w:rFonts w:eastAsia="MS Mincho"/>
        </w:rPr>
        <w:t>que l’arrestation a eu lieu le</w:t>
      </w:r>
      <w:r w:rsidR="00B07857" w:rsidRPr="00B07857">
        <w:rPr>
          <w:rFonts w:eastAsia="MS Mincho"/>
        </w:rPr>
        <w:t xml:space="preserve"> 8 novembre</w:t>
      </w:r>
      <w:r w:rsidR="00CB1D70">
        <w:rPr>
          <w:rFonts w:eastAsia="MS Mincho"/>
        </w:rPr>
        <w:t xml:space="preserve"> 2010</w:t>
      </w:r>
      <w:r w:rsidR="00B07857" w:rsidRPr="00B07857">
        <w:rPr>
          <w:rFonts w:eastAsia="MS Mincho"/>
        </w:rPr>
        <w:t xml:space="preserve"> </w:t>
      </w:r>
      <w:r w:rsidR="00CB1D70">
        <w:rPr>
          <w:rFonts w:eastAsia="MS Mincho"/>
        </w:rPr>
        <w:t>démontrent</w:t>
      </w:r>
      <w:r w:rsidR="00B07857" w:rsidRPr="00B07857">
        <w:rPr>
          <w:rFonts w:eastAsia="MS Mincho"/>
        </w:rPr>
        <w:t xml:space="preserve"> </w:t>
      </w:r>
      <w:r w:rsidR="008B2389">
        <w:rPr>
          <w:rFonts w:eastAsia="MS Mincho"/>
        </w:rPr>
        <w:t>que</w:t>
      </w:r>
      <w:r w:rsidR="00B07857" w:rsidRPr="00B07857">
        <w:rPr>
          <w:rFonts w:eastAsia="MS Mincho"/>
        </w:rPr>
        <w:t xml:space="preserve"> la date d</w:t>
      </w:r>
      <w:r w:rsidR="00FF46FE">
        <w:rPr>
          <w:rFonts w:eastAsia="MS Mincho"/>
        </w:rPr>
        <w:t>’</w:t>
      </w:r>
      <w:r w:rsidR="00B07857" w:rsidRPr="00B07857">
        <w:rPr>
          <w:rFonts w:eastAsia="MS Mincho"/>
        </w:rPr>
        <w:t xml:space="preserve">arrestation </w:t>
      </w:r>
      <w:r w:rsidR="008B2389">
        <w:rPr>
          <w:rFonts w:eastAsia="MS Mincho"/>
        </w:rPr>
        <w:t>a été falsifiée par les autorités marocaines</w:t>
      </w:r>
      <w:r w:rsidR="00B07857" w:rsidRPr="00B07857">
        <w:rPr>
          <w:rFonts w:eastAsia="MS Mincho"/>
        </w:rPr>
        <w:t xml:space="preserve">. </w:t>
      </w:r>
      <w:r w:rsidR="00CB1D70">
        <w:rPr>
          <w:rFonts w:eastAsia="MS Mincho"/>
        </w:rPr>
        <w:t>Il souligne que</w:t>
      </w:r>
      <w:r w:rsidR="00D90BDD">
        <w:rPr>
          <w:rFonts w:eastAsia="MS Mincho"/>
        </w:rPr>
        <w:t xml:space="preserve"> </w:t>
      </w:r>
      <w:r w:rsidR="008B2389">
        <w:rPr>
          <w:rFonts w:eastAsia="MS Mincho"/>
        </w:rPr>
        <w:t>sa requête</w:t>
      </w:r>
      <w:r w:rsidR="00B07857" w:rsidRPr="00B07857">
        <w:rPr>
          <w:rFonts w:eastAsia="MS Mincho"/>
        </w:rPr>
        <w:t xml:space="preserve"> ne</w:t>
      </w:r>
      <w:r w:rsidR="00BB5BA3">
        <w:rPr>
          <w:rFonts w:eastAsia="MS Mincho"/>
        </w:rPr>
        <w:t xml:space="preserve"> porte pas sur les actions menées par les forces de l</w:t>
      </w:r>
      <w:r w:rsidR="00FF46FE">
        <w:rPr>
          <w:rFonts w:eastAsia="MS Mincho"/>
        </w:rPr>
        <w:t>’</w:t>
      </w:r>
      <w:r w:rsidR="00BB5BA3">
        <w:rPr>
          <w:rFonts w:eastAsia="MS Mincho"/>
        </w:rPr>
        <w:t xml:space="preserve">ordre lors du </w:t>
      </w:r>
      <w:r w:rsidR="00B07857" w:rsidRPr="00B07857">
        <w:rPr>
          <w:rFonts w:eastAsia="MS Mincho"/>
        </w:rPr>
        <w:t>démantèlement du camp de Gdei</w:t>
      </w:r>
      <w:r w:rsidR="00BB5BA3">
        <w:rPr>
          <w:rFonts w:eastAsia="MS Mincho"/>
        </w:rPr>
        <w:t xml:space="preserve">m Izik, </w:t>
      </w:r>
      <w:r w:rsidR="000F1AF3">
        <w:rPr>
          <w:rFonts w:eastAsia="MS Mincho"/>
        </w:rPr>
        <w:t>puisqu’il</w:t>
      </w:r>
      <w:r w:rsidR="00BB5BA3">
        <w:rPr>
          <w:rFonts w:eastAsia="MS Mincho"/>
        </w:rPr>
        <w:t xml:space="preserve"> avait été arrêté la veille et n</w:t>
      </w:r>
      <w:r w:rsidR="00FF46FE">
        <w:rPr>
          <w:rFonts w:eastAsia="MS Mincho"/>
        </w:rPr>
        <w:t>’</w:t>
      </w:r>
      <w:r w:rsidR="00BB5BA3">
        <w:rPr>
          <w:rFonts w:eastAsia="MS Mincho"/>
        </w:rPr>
        <w:t>y était donc pas</w:t>
      </w:r>
      <w:r w:rsidR="00B07857" w:rsidRPr="00B07857">
        <w:rPr>
          <w:rFonts w:eastAsia="MS Mincho"/>
        </w:rPr>
        <w:t>.</w:t>
      </w:r>
      <w:r w:rsidR="00BB5BA3">
        <w:rPr>
          <w:rFonts w:eastAsia="MS Mincho"/>
        </w:rPr>
        <w:t xml:space="preserve"> Le requérant conteste les affirmations de l</w:t>
      </w:r>
      <w:r w:rsidR="00FF46FE">
        <w:rPr>
          <w:rFonts w:eastAsia="MS Mincho"/>
        </w:rPr>
        <w:t>’État</w:t>
      </w:r>
      <w:r w:rsidR="00BB5BA3">
        <w:rPr>
          <w:rFonts w:eastAsia="MS Mincho"/>
        </w:rPr>
        <w:t xml:space="preserve"> partie selon lesquelles il aurait été conduit à la gendarmerie royale de Laayoune juste après son arre</w:t>
      </w:r>
      <w:r w:rsidR="00070F76">
        <w:rPr>
          <w:rFonts w:eastAsia="MS Mincho"/>
        </w:rPr>
        <w:t>station</w:t>
      </w:r>
      <w:r w:rsidR="000F1AF3">
        <w:rPr>
          <w:rFonts w:eastAsia="MS Mincho"/>
        </w:rPr>
        <w:t xml:space="preserve"> et note que</w:t>
      </w:r>
      <w:r w:rsidR="00070F76">
        <w:rPr>
          <w:rFonts w:eastAsia="MS Mincho"/>
        </w:rPr>
        <w:t xml:space="preserve"> </w:t>
      </w:r>
      <w:r w:rsidR="00BB5BA3">
        <w:rPr>
          <w:rFonts w:eastAsia="MS Mincho"/>
        </w:rPr>
        <w:t>l</w:t>
      </w:r>
      <w:r w:rsidR="00FF46FE">
        <w:rPr>
          <w:rFonts w:eastAsia="MS Mincho"/>
        </w:rPr>
        <w:t>’État</w:t>
      </w:r>
      <w:r w:rsidR="00BB5BA3">
        <w:rPr>
          <w:rFonts w:eastAsia="MS Mincho"/>
        </w:rPr>
        <w:t xml:space="preserve"> partie </w:t>
      </w:r>
      <w:r w:rsidR="000F1AF3">
        <w:rPr>
          <w:rFonts w:eastAsia="MS Mincho"/>
        </w:rPr>
        <w:t>ne remet pas</w:t>
      </w:r>
      <w:r w:rsidR="00D90BDD">
        <w:rPr>
          <w:rFonts w:eastAsia="MS Mincho"/>
        </w:rPr>
        <w:t xml:space="preserve"> </w:t>
      </w:r>
      <w:r w:rsidR="000F1AF3">
        <w:rPr>
          <w:rFonts w:eastAsia="MS Mincho"/>
        </w:rPr>
        <w:t xml:space="preserve">en question qu’il a subi des </w:t>
      </w:r>
      <w:r w:rsidR="00BB5BA3">
        <w:rPr>
          <w:rFonts w:eastAsia="MS Mincho"/>
        </w:rPr>
        <w:t>actes de torture.</w:t>
      </w:r>
    </w:p>
    <w:p w:rsidR="00D042F4" w:rsidRDefault="002B08EC" w:rsidP="00B07857">
      <w:pPr>
        <w:pStyle w:val="SingleTxtG"/>
        <w:rPr>
          <w:rFonts w:eastAsia="MS Mincho"/>
        </w:rPr>
      </w:pPr>
      <w:r>
        <w:rPr>
          <w:rFonts w:eastAsia="MS Mincho"/>
        </w:rPr>
        <w:t>5</w:t>
      </w:r>
      <w:r w:rsidR="00B07857" w:rsidRPr="00B07857">
        <w:rPr>
          <w:rFonts w:eastAsia="MS Mincho"/>
        </w:rPr>
        <w:t>.3</w:t>
      </w:r>
      <w:r w:rsidR="00B07857" w:rsidRPr="00B07857">
        <w:rPr>
          <w:rFonts w:eastAsia="MS Mincho"/>
        </w:rPr>
        <w:tab/>
        <w:t>L</w:t>
      </w:r>
      <w:r w:rsidR="00515EEB">
        <w:rPr>
          <w:rFonts w:eastAsia="MS Mincho"/>
        </w:rPr>
        <w:t>e requérant</w:t>
      </w:r>
      <w:r w:rsidR="00B07857" w:rsidRPr="00B07857">
        <w:rPr>
          <w:rFonts w:eastAsia="MS Mincho"/>
        </w:rPr>
        <w:t xml:space="preserve"> réfute le non</w:t>
      </w:r>
      <w:r w:rsidR="00986214">
        <w:rPr>
          <w:rFonts w:eastAsia="MS Mincho"/>
        </w:rPr>
        <w:t>-</w:t>
      </w:r>
      <w:r w:rsidR="00B07857" w:rsidRPr="00B07857">
        <w:rPr>
          <w:rFonts w:eastAsia="MS Mincho"/>
        </w:rPr>
        <w:t xml:space="preserve">épuisement des </w:t>
      </w:r>
      <w:r w:rsidR="00A200B8">
        <w:rPr>
          <w:rFonts w:eastAsia="MS Mincho"/>
        </w:rPr>
        <w:t xml:space="preserve">voies de </w:t>
      </w:r>
      <w:r w:rsidR="00B07857" w:rsidRPr="00B07857">
        <w:rPr>
          <w:rFonts w:eastAsia="MS Mincho"/>
        </w:rPr>
        <w:t>recours internes puisque la cassation, dernier recours</w:t>
      </w:r>
      <w:r w:rsidR="00A200B8">
        <w:rPr>
          <w:rFonts w:eastAsia="MS Mincho"/>
        </w:rPr>
        <w:t xml:space="preserve"> qu’il a</w:t>
      </w:r>
      <w:r w:rsidR="00B07857" w:rsidRPr="00B07857">
        <w:rPr>
          <w:rFonts w:eastAsia="MS Mincho"/>
        </w:rPr>
        <w:t xml:space="preserve"> exercé et dont il attend la décision, n</w:t>
      </w:r>
      <w:r w:rsidR="00FF46FE">
        <w:rPr>
          <w:rFonts w:eastAsia="MS Mincho"/>
        </w:rPr>
        <w:t>’</w:t>
      </w:r>
      <w:r w:rsidR="00B07857" w:rsidRPr="00B07857">
        <w:rPr>
          <w:rFonts w:eastAsia="MS Mincho"/>
        </w:rPr>
        <w:t xml:space="preserve">est pas un troisième </w:t>
      </w:r>
      <w:r w:rsidR="00D042F4">
        <w:rPr>
          <w:rFonts w:eastAsia="MS Mincho"/>
        </w:rPr>
        <w:t>degré de juridiction et ne rejuge pas l</w:t>
      </w:r>
      <w:r w:rsidR="00FF46FE">
        <w:rPr>
          <w:rFonts w:eastAsia="MS Mincho"/>
        </w:rPr>
        <w:t>’</w:t>
      </w:r>
      <w:r w:rsidR="00D042F4">
        <w:rPr>
          <w:rFonts w:eastAsia="MS Mincho"/>
        </w:rPr>
        <w:t>affaire au fond</w:t>
      </w:r>
      <w:r w:rsidR="00B07857" w:rsidRPr="00B07857">
        <w:rPr>
          <w:rFonts w:eastAsia="MS Mincho"/>
        </w:rPr>
        <w:t xml:space="preserve">. </w:t>
      </w:r>
      <w:r w:rsidR="000F1AF3">
        <w:rPr>
          <w:rFonts w:eastAsia="MS Mincho"/>
        </w:rPr>
        <w:t>Conformément aux articles 568 et 586 du Code de procédure pénale, l</w:t>
      </w:r>
      <w:r w:rsidR="000F1AF3" w:rsidRPr="00B07857">
        <w:rPr>
          <w:rFonts w:eastAsia="MS Mincho"/>
        </w:rPr>
        <w:t xml:space="preserve">a </w:t>
      </w:r>
      <w:r w:rsidR="00B07857" w:rsidRPr="00B07857">
        <w:rPr>
          <w:rFonts w:eastAsia="MS Mincho"/>
        </w:rPr>
        <w:t xml:space="preserve">Cour se prononcera sur le respect du droit par le tribunal militaire mais </w:t>
      </w:r>
      <w:r w:rsidR="000F1AF3">
        <w:rPr>
          <w:rFonts w:eastAsia="MS Mincho"/>
        </w:rPr>
        <w:t>pas sur</w:t>
      </w:r>
      <w:r w:rsidR="00B07857" w:rsidRPr="00B07857">
        <w:rPr>
          <w:rFonts w:eastAsia="MS Mincho"/>
        </w:rPr>
        <w:t xml:space="preserve"> </w:t>
      </w:r>
      <w:r w:rsidR="000F1AF3">
        <w:rPr>
          <w:rFonts w:eastAsia="MS Mincho"/>
        </w:rPr>
        <w:t>l</w:t>
      </w:r>
      <w:r w:rsidR="000F1AF3" w:rsidRPr="00B07857">
        <w:rPr>
          <w:rFonts w:eastAsia="MS Mincho"/>
        </w:rPr>
        <w:t xml:space="preserve">es </w:t>
      </w:r>
      <w:r w:rsidR="00B07857" w:rsidRPr="00B07857">
        <w:rPr>
          <w:rFonts w:eastAsia="MS Mincho"/>
        </w:rPr>
        <w:t>allégations de torture qui n</w:t>
      </w:r>
      <w:r w:rsidR="00FF46FE">
        <w:rPr>
          <w:rFonts w:eastAsia="MS Mincho"/>
        </w:rPr>
        <w:t>’</w:t>
      </w:r>
      <w:r w:rsidR="00B07857" w:rsidRPr="00B07857">
        <w:rPr>
          <w:rFonts w:eastAsia="MS Mincho"/>
        </w:rPr>
        <w:t xml:space="preserve">ont pas été examinées par le tribunal militaire. </w:t>
      </w:r>
    </w:p>
    <w:p w:rsidR="004417F2" w:rsidRDefault="003454FD">
      <w:pPr>
        <w:pStyle w:val="SingleTxtG"/>
        <w:rPr>
          <w:rFonts w:eastAsia="MS Mincho"/>
        </w:rPr>
      </w:pPr>
      <w:r>
        <w:rPr>
          <w:rFonts w:eastAsia="MS Mincho"/>
        </w:rPr>
        <w:t>5.4</w:t>
      </w:r>
      <w:r>
        <w:rPr>
          <w:rFonts w:eastAsia="MS Mincho"/>
        </w:rPr>
        <w:tab/>
      </w:r>
      <w:r w:rsidR="004417F2">
        <w:rPr>
          <w:rFonts w:eastAsia="MS Mincho"/>
        </w:rPr>
        <w:t>En droit marocain, le parquet détient le monopole des poursuites</w:t>
      </w:r>
      <w:r w:rsidR="00340CEF">
        <w:rPr>
          <w:rFonts w:eastAsia="MS Mincho"/>
        </w:rPr>
        <w:t>. L</w:t>
      </w:r>
      <w:r w:rsidR="004417F2">
        <w:rPr>
          <w:rFonts w:eastAsia="MS Mincho"/>
        </w:rPr>
        <w:t>es magistrats du siège ne pouvaient</w:t>
      </w:r>
      <w:r w:rsidR="00340CEF">
        <w:rPr>
          <w:rFonts w:eastAsia="MS Mincho"/>
        </w:rPr>
        <w:t xml:space="preserve"> donc</w:t>
      </w:r>
      <w:r w:rsidR="004417F2">
        <w:rPr>
          <w:rFonts w:eastAsia="MS Mincho"/>
        </w:rPr>
        <w:t xml:space="preserve"> s</w:t>
      </w:r>
      <w:r w:rsidR="00FF46FE">
        <w:rPr>
          <w:rFonts w:eastAsia="MS Mincho"/>
        </w:rPr>
        <w:t>’</w:t>
      </w:r>
      <w:r w:rsidR="004417F2">
        <w:rPr>
          <w:rFonts w:eastAsia="MS Mincho"/>
        </w:rPr>
        <w:t>autosaisir de la question de la torture</w:t>
      </w:r>
      <w:r w:rsidR="00340CEF">
        <w:rPr>
          <w:rFonts w:eastAsia="MS Mincho"/>
        </w:rPr>
        <w:t> : l</w:t>
      </w:r>
      <w:r w:rsidR="004417F2">
        <w:rPr>
          <w:rFonts w:eastAsia="MS Mincho"/>
        </w:rPr>
        <w:t xml:space="preserve">e tribunal aurait dû dénoncer ces faits auprès du </w:t>
      </w:r>
      <w:r w:rsidR="00297409">
        <w:rPr>
          <w:rFonts w:eastAsia="MS Mincho"/>
        </w:rPr>
        <w:t xml:space="preserve">Procureur </w:t>
      </w:r>
      <w:r w:rsidR="004417F2">
        <w:rPr>
          <w:rFonts w:eastAsia="MS Mincho"/>
        </w:rPr>
        <w:t>afin que celui-ci diligente une enquête</w:t>
      </w:r>
      <w:r w:rsidR="00A200B8">
        <w:rPr>
          <w:rFonts w:eastAsia="MS Mincho"/>
        </w:rPr>
        <w:t>, ce qu’il</w:t>
      </w:r>
      <w:r w:rsidR="004417F2">
        <w:rPr>
          <w:rFonts w:eastAsia="MS Mincho"/>
        </w:rPr>
        <w:t xml:space="preserve"> a clairement </w:t>
      </w:r>
      <w:r w:rsidR="00A200B8">
        <w:rPr>
          <w:rFonts w:eastAsia="MS Mincho"/>
        </w:rPr>
        <w:t xml:space="preserve">rejeté en refusant </w:t>
      </w:r>
      <w:r w:rsidR="004417F2">
        <w:rPr>
          <w:rFonts w:eastAsia="MS Mincho"/>
        </w:rPr>
        <w:t xml:space="preserve">de donner suite aux allégations des victimes et </w:t>
      </w:r>
      <w:r w:rsidR="00A200B8">
        <w:rPr>
          <w:rFonts w:eastAsia="MS Mincho"/>
        </w:rPr>
        <w:t>en considérant</w:t>
      </w:r>
      <w:r w:rsidR="004417F2">
        <w:rPr>
          <w:rFonts w:eastAsia="MS Mincho"/>
        </w:rPr>
        <w:t xml:space="preserve"> que le requérant n</w:t>
      </w:r>
      <w:r w:rsidR="00FF46FE">
        <w:rPr>
          <w:rFonts w:eastAsia="MS Mincho"/>
        </w:rPr>
        <w:t>’</w:t>
      </w:r>
      <w:r w:rsidR="004417F2">
        <w:rPr>
          <w:rFonts w:eastAsia="MS Mincho"/>
        </w:rPr>
        <w:t>avait pas subi d</w:t>
      </w:r>
      <w:r w:rsidR="00FF46FE">
        <w:rPr>
          <w:rFonts w:eastAsia="MS Mincho"/>
        </w:rPr>
        <w:t>’</w:t>
      </w:r>
      <w:r w:rsidR="004417F2">
        <w:rPr>
          <w:rFonts w:eastAsia="MS Mincho"/>
        </w:rPr>
        <w:t>actes de torture ou de traitements inhumains ou dégradants</w:t>
      </w:r>
      <w:r w:rsidR="004417F2">
        <w:rPr>
          <w:rStyle w:val="FootnoteReference"/>
          <w:rFonts w:eastAsia="MS Mincho"/>
        </w:rPr>
        <w:footnoteReference w:id="9"/>
      </w:r>
      <w:r w:rsidR="004417F2">
        <w:rPr>
          <w:rFonts w:eastAsia="MS Mincho"/>
        </w:rPr>
        <w:t>.</w:t>
      </w:r>
    </w:p>
    <w:p w:rsidR="00B07857" w:rsidRPr="00B07857" w:rsidRDefault="00D042F4">
      <w:pPr>
        <w:pStyle w:val="SingleTxtG"/>
        <w:rPr>
          <w:rFonts w:eastAsia="MS Mincho"/>
        </w:rPr>
      </w:pPr>
      <w:r>
        <w:rPr>
          <w:rFonts w:eastAsia="MS Mincho"/>
        </w:rPr>
        <w:t>5.</w:t>
      </w:r>
      <w:r w:rsidR="003454FD">
        <w:rPr>
          <w:rFonts w:eastAsia="MS Mincho"/>
        </w:rPr>
        <w:t>5</w:t>
      </w:r>
      <w:r>
        <w:rPr>
          <w:rFonts w:eastAsia="MS Mincho"/>
        </w:rPr>
        <w:tab/>
      </w:r>
      <w:r w:rsidR="00450EAB">
        <w:rPr>
          <w:rFonts w:eastAsia="MS Mincho"/>
        </w:rPr>
        <w:t>Le requérant ajoute que</w:t>
      </w:r>
      <w:r w:rsidR="00B07857" w:rsidRPr="00B07857">
        <w:rPr>
          <w:rFonts w:eastAsia="MS Mincho"/>
        </w:rPr>
        <w:t xml:space="preserve"> l</w:t>
      </w:r>
      <w:r w:rsidR="00FF46FE">
        <w:rPr>
          <w:rFonts w:eastAsia="MS Mincho"/>
        </w:rPr>
        <w:t>’</w:t>
      </w:r>
      <w:r w:rsidR="00B07857" w:rsidRPr="00B07857">
        <w:rPr>
          <w:rFonts w:eastAsia="MS Mincho"/>
        </w:rPr>
        <w:t>examen du recours en cassation n</w:t>
      </w:r>
      <w:r w:rsidR="00FF46FE">
        <w:rPr>
          <w:rFonts w:eastAsia="MS Mincho"/>
        </w:rPr>
        <w:t>’</w:t>
      </w:r>
      <w:r w:rsidR="00B07857" w:rsidRPr="00B07857">
        <w:rPr>
          <w:rFonts w:eastAsia="MS Mincho"/>
        </w:rPr>
        <w:t>est pas limité dans le temps</w:t>
      </w:r>
      <w:r w:rsidR="00EF381A">
        <w:rPr>
          <w:rFonts w:eastAsia="MS Mincho"/>
        </w:rPr>
        <w:t> </w:t>
      </w:r>
      <w:r w:rsidR="00450EAB">
        <w:rPr>
          <w:rFonts w:eastAsia="MS Mincho"/>
        </w:rPr>
        <w:t>:</w:t>
      </w:r>
      <w:r w:rsidR="00450EAB" w:rsidRPr="00B07857">
        <w:rPr>
          <w:rFonts w:eastAsia="MS Mincho"/>
        </w:rPr>
        <w:t xml:space="preserve"> </w:t>
      </w:r>
      <w:r w:rsidR="00B07857" w:rsidRPr="00B07857">
        <w:rPr>
          <w:rFonts w:eastAsia="MS Mincho"/>
        </w:rPr>
        <w:t xml:space="preserve">la Cour peut </w:t>
      </w:r>
      <w:r w:rsidR="00450EAB">
        <w:rPr>
          <w:rFonts w:eastAsia="MS Mincho"/>
        </w:rPr>
        <w:t xml:space="preserve">ainsi </w:t>
      </w:r>
      <w:r w:rsidR="00B07857" w:rsidRPr="00B07857">
        <w:rPr>
          <w:rFonts w:eastAsia="MS Mincho"/>
        </w:rPr>
        <w:t>rendre sa décision dans une dizaine d</w:t>
      </w:r>
      <w:r w:rsidR="00FF46FE">
        <w:rPr>
          <w:rFonts w:eastAsia="MS Mincho"/>
        </w:rPr>
        <w:t>’</w:t>
      </w:r>
      <w:r w:rsidR="00B07857" w:rsidRPr="00B07857">
        <w:rPr>
          <w:rFonts w:eastAsia="MS Mincho"/>
        </w:rPr>
        <w:t xml:space="preserve">années. </w:t>
      </w:r>
      <w:r w:rsidR="00450EAB">
        <w:rPr>
          <w:rFonts w:eastAsia="MS Mincho"/>
        </w:rPr>
        <w:t>Il considère</w:t>
      </w:r>
      <w:r w:rsidR="00B07857" w:rsidRPr="00B07857">
        <w:rPr>
          <w:rFonts w:eastAsia="MS Mincho"/>
        </w:rPr>
        <w:t xml:space="preserve"> que l</w:t>
      </w:r>
      <w:r w:rsidR="00FF46FE">
        <w:rPr>
          <w:rFonts w:eastAsia="MS Mincho"/>
        </w:rPr>
        <w:t>’</w:t>
      </w:r>
      <w:r w:rsidR="00B07857" w:rsidRPr="00B07857">
        <w:rPr>
          <w:rFonts w:eastAsia="MS Mincho"/>
        </w:rPr>
        <w:t xml:space="preserve">inefficacité des recours internes </w:t>
      </w:r>
      <w:r w:rsidR="00450EAB">
        <w:rPr>
          <w:rFonts w:eastAsia="MS Mincho"/>
        </w:rPr>
        <w:t>dans son cas</w:t>
      </w:r>
      <w:r w:rsidR="00B07857" w:rsidRPr="00B07857">
        <w:rPr>
          <w:rFonts w:eastAsia="MS Mincho"/>
        </w:rPr>
        <w:t xml:space="preserve"> est manifeste et </w:t>
      </w:r>
      <w:r w:rsidR="00450EAB">
        <w:rPr>
          <w:rFonts w:eastAsia="MS Mincho"/>
        </w:rPr>
        <w:t xml:space="preserve">a été </w:t>
      </w:r>
      <w:r w:rsidR="00B07857" w:rsidRPr="00B07857">
        <w:rPr>
          <w:rFonts w:eastAsia="MS Mincho"/>
        </w:rPr>
        <w:t xml:space="preserve">reconnue dans des rapports </w:t>
      </w:r>
      <w:r w:rsidR="00FE26E8">
        <w:rPr>
          <w:rFonts w:eastAsia="MS Mincho"/>
        </w:rPr>
        <w:t>de</w:t>
      </w:r>
      <w:r w:rsidR="00FE26E8" w:rsidRPr="00B07857">
        <w:rPr>
          <w:rFonts w:eastAsia="MS Mincho"/>
        </w:rPr>
        <w:t xml:space="preserve"> Human Rights Watch</w:t>
      </w:r>
      <w:r w:rsidR="00351CC9">
        <w:rPr>
          <w:rFonts w:eastAsia="MS Mincho"/>
        </w:rPr>
        <w:t xml:space="preserve"> et </w:t>
      </w:r>
      <w:r w:rsidR="00351CC9" w:rsidRPr="00B07857">
        <w:rPr>
          <w:rFonts w:eastAsia="MS Mincho"/>
        </w:rPr>
        <w:t xml:space="preserve">du </w:t>
      </w:r>
      <w:r w:rsidR="00351CC9">
        <w:rPr>
          <w:rFonts w:eastAsia="MS Mincho"/>
        </w:rPr>
        <w:t>G</w:t>
      </w:r>
      <w:r w:rsidR="00351CC9" w:rsidRPr="00B07857">
        <w:rPr>
          <w:rFonts w:eastAsia="MS Mincho"/>
        </w:rPr>
        <w:t>roupe de travail sur la détention arbitraire</w:t>
      </w:r>
      <w:r w:rsidR="00FE26E8">
        <w:rPr>
          <w:rStyle w:val="FootnoteReference"/>
          <w:rFonts w:eastAsia="MS Mincho"/>
        </w:rPr>
        <w:footnoteReference w:id="10"/>
      </w:r>
      <w:r w:rsidR="00B07857" w:rsidRPr="00B07857">
        <w:rPr>
          <w:rFonts w:eastAsia="MS Mincho"/>
        </w:rPr>
        <w:t>.</w:t>
      </w:r>
    </w:p>
    <w:p w:rsidR="00B07857" w:rsidRPr="00B07857" w:rsidRDefault="002B08EC" w:rsidP="00B07857">
      <w:pPr>
        <w:pStyle w:val="SingleTxtG"/>
        <w:rPr>
          <w:rFonts w:eastAsia="MS Mincho"/>
        </w:rPr>
      </w:pPr>
      <w:r>
        <w:rPr>
          <w:rFonts w:eastAsia="MS Mincho"/>
        </w:rPr>
        <w:t>5</w:t>
      </w:r>
      <w:r w:rsidR="004417F2">
        <w:rPr>
          <w:rFonts w:eastAsia="MS Mincho"/>
        </w:rPr>
        <w:t>.</w:t>
      </w:r>
      <w:r w:rsidR="003454FD">
        <w:rPr>
          <w:rFonts w:eastAsia="MS Mincho"/>
        </w:rPr>
        <w:t>6</w:t>
      </w:r>
      <w:r w:rsidR="00B07857" w:rsidRPr="00B07857">
        <w:rPr>
          <w:rFonts w:eastAsia="MS Mincho"/>
        </w:rPr>
        <w:tab/>
        <w:t>L</w:t>
      </w:r>
      <w:r w:rsidR="00515EEB">
        <w:rPr>
          <w:rFonts w:eastAsia="MS Mincho"/>
        </w:rPr>
        <w:t>e requérant</w:t>
      </w:r>
      <w:r w:rsidR="00B07857" w:rsidRPr="00B07857">
        <w:rPr>
          <w:rFonts w:eastAsia="MS Mincho"/>
        </w:rPr>
        <w:t xml:space="preserve"> conteste aussi </w:t>
      </w:r>
      <w:r w:rsidR="008878D1">
        <w:rPr>
          <w:rFonts w:eastAsia="MS Mincho"/>
        </w:rPr>
        <w:t>l’argument de l’État partie selon lequel il n’aurait pas présenté de plainte,</w:t>
      </w:r>
      <w:r w:rsidR="00B07857" w:rsidRPr="00B07857">
        <w:rPr>
          <w:rFonts w:eastAsia="MS Mincho"/>
        </w:rPr>
        <w:t xml:space="preserve"> </w:t>
      </w:r>
      <w:r w:rsidR="008878D1">
        <w:rPr>
          <w:rFonts w:eastAsia="MS Mincho"/>
        </w:rPr>
        <w:t>alors qu’il a</w:t>
      </w:r>
      <w:r w:rsidR="00B07857" w:rsidRPr="00B07857">
        <w:rPr>
          <w:rFonts w:eastAsia="MS Mincho"/>
        </w:rPr>
        <w:t xml:space="preserve"> dénoncé la torture subie aux autorités judiciaires</w:t>
      </w:r>
      <w:r w:rsidR="008878D1">
        <w:rPr>
          <w:rFonts w:eastAsia="MS Mincho"/>
        </w:rPr>
        <w:t xml:space="preserve"> à plusieurs reprises.</w:t>
      </w:r>
      <w:r w:rsidR="00C362B2">
        <w:rPr>
          <w:rFonts w:eastAsia="MS Mincho"/>
        </w:rPr>
        <w:t xml:space="preserve"> </w:t>
      </w:r>
      <w:r w:rsidR="008878D1">
        <w:rPr>
          <w:rFonts w:eastAsia="MS Mincho"/>
        </w:rPr>
        <w:t>Le requérant reconnaît n’avoir pas requis un examen médical</w:t>
      </w:r>
      <w:r w:rsidR="008878D1">
        <w:rPr>
          <w:rStyle w:val="FootnoteReference"/>
          <w:rFonts w:eastAsia="MS Mincho"/>
        </w:rPr>
        <w:footnoteReference w:id="11"/>
      </w:r>
      <w:r w:rsidR="008878D1">
        <w:rPr>
          <w:rFonts w:eastAsia="MS Mincho"/>
        </w:rPr>
        <w:t xml:space="preserve">. Toutefois, </w:t>
      </w:r>
      <w:r w:rsidR="00340CEF">
        <w:rPr>
          <w:rFonts w:eastAsia="MS Mincho"/>
        </w:rPr>
        <w:lastRenderedPageBreak/>
        <w:t>il rappelle que</w:t>
      </w:r>
      <w:r w:rsidR="00A32156">
        <w:rPr>
          <w:rFonts w:eastAsia="MS Mincho"/>
        </w:rPr>
        <w:t>,</w:t>
      </w:r>
      <w:r w:rsidR="00340CEF">
        <w:rPr>
          <w:rFonts w:eastAsia="MS Mincho"/>
        </w:rPr>
        <w:t xml:space="preserve"> </w:t>
      </w:r>
      <w:r w:rsidR="00B07857" w:rsidRPr="00B07857">
        <w:rPr>
          <w:rFonts w:eastAsia="MS Mincho"/>
        </w:rPr>
        <w:t>lors de son premier passage devant le juge d</w:t>
      </w:r>
      <w:r w:rsidR="00FF46FE">
        <w:rPr>
          <w:rFonts w:eastAsia="MS Mincho"/>
        </w:rPr>
        <w:t>’</w:t>
      </w:r>
      <w:r w:rsidR="00B07857" w:rsidRPr="00B07857">
        <w:rPr>
          <w:rFonts w:eastAsia="MS Mincho"/>
        </w:rPr>
        <w:t>instruction militaire</w:t>
      </w:r>
      <w:r w:rsidR="00340CEF" w:rsidRPr="00340CEF">
        <w:rPr>
          <w:rFonts w:eastAsia="MS Mincho"/>
        </w:rPr>
        <w:t xml:space="preserve"> </w:t>
      </w:r>
      <w:r w:rsidR="00340CEF">
        <w:rPr>
          <w:rFonts w:eastAsia="MS Mincho"/>
        </w:rPr>
        <w:t>l</w:t>
      </w:r>
      <w:r w:rsidR="00261ED9">
        <w:rPr>
          <w:rFonts w:eastAsia="MS Mincho"/>
        </w:rPr>
        <w:t>e 12 </w:t>
      </w:r>
      <w:r w:rsidR="00340CEF" w:rsidRPr="00B07857">
        <w:rPr>
          <w:rFonts w:eastAsia="MS Mincho"/>
        </w:rPr>
        <w:t>novembre 2010</w:t>
      </w:r>
      <w:r w:rsidR="00B07857" w:rsidRPr="00B07857">
        <w:rPr>
          <w:rFonts w:eastAsia="MS Mincho"/>
        </w:rPr>
        <w:t xml:space="preserve">, </w:t>
      </w:r>
      <w:r w:rsidR="00340CEF">
        <w:rPr>
          <w:rFonts w:eastAsia="MS Mincho"/>
        </w:rPr>
        <w:t>il</w:t>
      </w:r>
      <w:r w:rsidR="00B07857" w:rsidRPr="00B07857">
        <w:rPr>
          <w:rFonts w:eastAsia="MS Mincho"/>
        </w:rPr>
        <w:t xml:space="preserve"> avait des bleus sur le visage, du sang au niveau de l</w:t>
      </w:r>
      <w:r w:rsidR="00FF46FE">
        <w:rPr>
          <w:rFonts w:eastAsia="MS Mincho"/>
        </w:rPr>
        <w:t>’</w:t>
      </w:r>
      <w:r w:rsidR="00B07857" w:rsidRPr="00B07857">
        <w:rPr>
          <w:rFonts w:eastAsia="MS Mincho"/>
        </w:rPr>
        <w:t xml:space="preserve">arcade sourcilière droite et </w:t>
      </w:r>
      <w:r w:rsidR="00163E9F">
        <w:rPr>
          <w:rFonts w:eastAsia="MS Mincho"/>
        </w:rPr>
        <w:t xml:space="preserve">a montré au juge </w:t>
      </w:r>
      <w:r w:rsidR="008878D1">
        <w:rPr>
          <w:rFonts w:eastAsia="MS Mincho"/>
        </w:rPr>
        <w:t>ses</w:t>
      </w:r>
      <w:r w:rsidR="008878D1" w:rsidRPr="00B07857">
        <w:rPr>
          <w:rFonts w:eastAsia="MS Mincho"/>
        </w:rPr>
        <w:t xml:space="preserve"> </w:t>
      </w:r>
      <w:r w:rsidR="00B07857" w:rsidRPr="00B07857">
        <w:rPr>
          <w:rFonts w:eastAsia="MS Mincho"/>
        </w:rPr>
        <w:t>plante</w:t>
      </w:r>
      <w:r w:rsidR="008878D1">
        <w:rPr>
          <w:rFonts w:eastAsia="MS Mincho"/>
        </w:rPr>
        <w:t>s</w:t>
      </w:r>
      <w:r w:rsidR="00B07857" w:rsidRPr="00B07857">
        <w:rPr>
          <w:rFonts w:eastAsia="MS Mincho"/>
        </w:rPr>
        <w:t xml:space="preserve"> de pieds </w:t>
      </w:r>
      <w:r w:rsidR="008878D1" w:rsidRPr="00B07857">
        <w:rPr>
          <w:rFonts w:eastAsia="MS Mincho"/>
        </w:rPr>
        <w:t>meurtri</w:t>
      </w:r>
      <w:r w:rsidR="008878D1">
        <w:rPr>
          <w:rFonts w:eastAsia="MS Mincho"/>
        </w:rPr>
        <w:t>es</w:t>
      </w:r>
      <w:r w:rsidR="00B07857" w:rsidRPr="00B07857">
        <w:rPr>
          <w:rFonts w:eastAsia="MS Mincho"/>
        </w:rPr>
        <w:t xml:space="preserve">. </w:t>
      </w:r>
      <w:r w:rsidR="008878D1">
        <w:rPr>
          <w:rFonts w:eastAsia="MS Mincho"/>
        </w:rPr>
        <w:t>L</w:t>
      </w:r>
      <w:r w:rsidR="00B07857" w:rsidRPr="00B07857">
        <w:rPr>
          <w:rFonts w:eastAsia="MS Mincho"/>
        </w:rPr>
        <w:t>e juge n</w:t>
      </w:r>
      <w:r w:rsidR="00FF46FE">
        <w:rPr>
          <w:rFonts w:eastAsia="MS Mincho"/>
        </w:rPr>
        <w:t>’</w:t>
      </w:r>
      <w:r w:rsidR="00B07857" w:rsidRPr="00B07857">
        <w:rPr>
          <w:rFonts w:eastAsia="MS Mincho"/>
        </w:rPr>
        <w:t xml:space="preserve">a </w:t>
      </w:r>
      <w:r w:rsidR="008878D1">
        <w:rPr>
          <w:rFonts w:eastAsia="MS Mincho"/>
        </w:rPr>
        <w:t xml:space="preserve">alors </w:t>
      </w:r>
      <w:r w:rsidR="00B07857" w:rsidRPr="00B07857">
        <w:rPr>
          <w:rFonts w:eastAsia="MS Mincho"/>
        </w:rPr>
        <w:t>pas consigné ces traces de sévices dans le procès-verbal. Le 12 janvier 2011, assisté de son avocat, le requérant a informé le juge de la torture subie</w:t>
      </w:r>
      <w:r w:rsidR="008878D1">
        <w:rPr>
          <w:rFonts w:eastAsia="MS Mincho"/>
        </w:rPr>
        <w:t>, qu’il a explicitement dénoncée a</w:t>
      </w:r>
      <w:r w:rsidR="00B07857" w:rsidRPr="00B07857">
        <w:rPr>
          <w:rFonts w:eastAsia="MS Mincho"/>
        </w:rPr>
        <w:t xml:space="preserve">u cours du procès, </w:t>
      </w:r>
      <w:r w:rsidR="00163E9F">
        <w:rPr>
          <w:rFonts w:eastAsia="MS Mincho"/>
        </w:rPr>
        <w:t>comme l</w:t>
      </w:r>
      <w:r w:rsidR="00FF46FE">
        <w:rPr>
          <w:rFonts w:eastAsia="MS Mincho"/>
        </w:rPr>
        <w:t>’</w:t>
      </w:r>
      <w:r w:rsidR="00163E9F">
        <w:rPr>
          <w:rFonts w:eastAsia="MS Mincho"/>
        </w:rPr>
        <w:t>attestent le procès-verba</w:t>
      </w:r>
      <w:r w:rsidR="00B81656">
        <w:rPr>
          <w:rFonts w:eastAsia="MS Mincho"/>
        </w:rPr>
        <w:t>l de l</w:t>
      </w:r>
      <w:r w:rsidR="00FF46FE">
        <w:rPr>
          <w:rFonts w:eastAsia="MS Mincho"/>
        </w:rPr>
        <w:t>’</w:t>
      </w:r>
      <w:r w:rsidR="00B81656">
        <w:rPr>
          <w:rFonts w:eastAsia="MS Mincho"/>
        </w:rPr>
        <w:t>audience du 8 février 2013 et l</w:t>
      </w:r>
      <w:r w:rsidR="00FF46FE">
        <w:rPr>
          <w:rFonts w:eastAsia="MS Mincho"/>
        </w:rPr>
        <w:t>’</w:t>
      </w:r>
      <w:r w:rsidR="00B81656">
        <w:rPr>
          <w:rFonts w:eastAsia="MS Mincho"/>
        </w:rPr>
        <w:t xml:space="preserve">ordonnance provisoire du tribunal militaire de la même date. </w:t>
      </w:r>
      <w:r w:rsidR="00EC0222">
        <w:rPr>
          <w:rFonts w:eastAsia="MS Mincho"/>
        </w:rPr>
        <w:t>Le jugement du tribunal militaire daté du 17 février 2013 ne reprend aucune de ces allégations et se prononce sur la culpabilité des accusés, y compris le requérant, les condamnant à l</w:t>
      </w:r>
      <w:r w:rsidR="00FF46FE">
        <w:rPr>
          <w:rFonts w:eastAsia="MS Mincho"/>
        </w:rPr>
        <w:t>’</w:t>
      </w:r>
      <w:r w:rsidR="00EC0222">
        <w:rPr>
          <w:rFonts w:eastAsia="MS Mincho"/>
        </w:rPr>
        <w:t>emprisonnement</w:t>
      </w:r>
      <w:r w:rsidR="00EC0222">
        <w:rPr>
          <w:rStyle w:val="FootnoteReference"/>
          <w:rFonts w:eastAsia="MS Mincho"/>
        </w:rPr>
        <w:footnoteReference w:id="12"/>
      </w:r>
      <w:r w:rsidR="00EC0222">
        <w:rPr>
          <w:rFonts w:eastAsia="MS Mincho"/>
        </w:rPr>
        <w:t>.</w:t>
      </w:r>
    </w:p>
    <w:p w:rsidR="00B07857" w:rsidRPr="00B07857" w:rsidRDefault="002B08EC">
      <w:pPr>
        <w:pStyle w:val="SingleTxtG"/>
        <w:rPr>
          <w:rFonts w:eastAsia="MS Mincho"/>
        </w:rPr>
      </w:pPr>
      <w:r>
        <w:rPr>
          <w:rFonts w:eastAsia="MS Mincho"/>
        </w:rPr>
        <w:t>5</w:t>
      </w:r>
      <w:r w:rsidR="00515EEB">
        <w:rPr>
          <w:rFonts w:eastAsia="MS Mincho"/>
        </w:rPr>
        <w:t>.</w:t>
      </w:r>
      <w:r w:rsidR="003454FD">
        <w:rPr>
          <w:rFonts w:eastAsia="MS Mincho"/>
        </w:rPr>
        <w:t>7</w:t>
      </w:r>
      <w:r w:rsidR="00515EEB">
        <w:rPr>
          <w:rFonts w:eastAsia="MS Mincho"/>
        </w:rPr>
        <w:tab/>
      </w:r>
      <w:r w:rsidR="007A0BB2">
        <w:rPr>
          <w:rFonts w:eastAsia="MS Mincho"/>
        </w:rPr>
        <w:t>Le requérant ajoute</w:t>
      </w:r>
      <w:r w:rsidR="00C7262E">
        <w:rPr>
          <w:rFonts w:eastAsia="MS Mincho"/>
        </w:rPr>
        <w:t>,</w:t>
      </w:r>
      <w:r w:rsidR="007A0BB2">
        <w:rPr>
          <w:rFonts w:eastAsia="MS Mincho"/>
        </w:rPr>
        <w:t xml:space="preserve"> que se</w:t>
      </w:r>
      <w:r w:rsidR="007A0BB2" w:rsidRPr="00B07857">
        <w:rPr>
          <w:rFonts w:eastAsia="MS Mincho"/>
        </w:rPr>
        <w:t xml:space="preserve">lon </w:t>
      </w:r>
      <w:r w:rsidR="00B07857" w:rsidRPr="00B07857">
        <w:rPr>
          <w:rFonts w:eastAsia="MS Mincho"/>
        </w:rPr>
        <w:t>la jurisprudence du Comité relative à l</w:t>
      </w:r>
      <w:r w:rsidR="00FF46FE">
        <w:rPr>
          <w:rFonts w:eastAsia="MS Mincho"/>
        </w:rPr>
        <w:t>’</w:t>
      </w:r>
      <w:r w:rsidR="00B07857" w:rsidRPr="00B07857">
        <w:rPr>
          <w:rFonts w:eastAsia="MS Mincho"/>
        </w:rPr>
        <w:t>article 13, il</w:t>
      </w:r>
      <w:r w:rsidR="00FC5EA5">
        <w:rPr>
          <w:rFonts w:eastAsia="MS Mincho"/>
        </w:rPr>
        <w:t> </w:t>
      </w:r>
      <w:r w:rsidR="00B07857" w:rsidRPr="00B07857">
        <w:rPr>
          <w:rFonts w:eastAsia="MS Mincho"/>
        </w:rPr>
        <w:t>suffit que la victime porte les faits à la connaissance de l</w:t>
      </w:r>
      <w:r w:rsidR="00FF46FE">
        <w:rPr>
          <w:rFonts w:eastAsia="MS Mincho"/>
        </w:rPr>
        <w:t>’</w:t>
      </w:r>
      <w:r w:rsidR="00B07857" w:rsidRPr="00B07857">
        <w:rPr>
          <w:rFonts w:eastAsia="MS Mincho"/>
        </w:rPr>
        <w:t>autorité de l</w:t>
      </w:r>
      <w:r w:rsidR="00FF46FE">
        <w:rPr>
          <w:rFonts w:eastAsia="MS Mincho"/>
        </w:rPr>
        <w:t>’</w:t>
      </w:r>
      <w:r w:rsidR="00FF46FE" w:rsidRPr="00B07857">
        <w:rPr>
          <w:rFonts w:eastAsia="MS Mincho"/>
        </w:rPr>
        <w:t>État</w:t>
      </w:r>
      <w:r w:rsidR="00B07857" w:rsidRPr="00B07857">
        <w:rPr>
          <w:rFonts w:eastAsia="MS Mincho"/>
        </w:rPr>
        <w:t xml:space="preserve"> pour que celui-ci </w:t>
      </w:r>
      <w:r w:rsidR="007A0BB2">
        <w:rPr>
          <w:rFonts w:eastAsia="MS Mincho"/>
        </w:rPr>
        <w:t xml:space="preserve">ait l’obligation d’initier </w:t>
      </w:r>
      <w:r w:rsidR="00B07857" w:rsidRPr="00B07857">
        <w:rPr>
          <w:rFonts w:eastAsia="MS Mincho"/>
        </w:rPr>
        <w:t>une enquête immédiate et i</w:t>
      </w:r>
      <w:r w:rsidR="00515EEB">
        <w:rPr>
          <w:rFonts w:eastAsia="MS Mincho"/>
        </w:rPr>
        <w:t>mpartiale</w:t>
      </w:r>
      <w:r w:rsidR="00FC41F5">
        <w:rPr>
          <w:rStyle w:val="FootnoteReference"/>
          <w:rFonts w:eastAsia="MS Mincho"/>
        </w:rPr>
        <w:footnoteReference w:id="13"/>
      </w:r>
      <w:r w:rsidR="00B07857" w:rsidRPr="00B07857">
        <w:rPr>
          <w:rFonts w:eastAsia="MS Mincho"/>
        </w:rPr>
        <w:t xml:space="preserve">. </w:t>
      </w:r>
    </w:p>
    <w:p w:rsidR="00B07857" w:rsidRPr="00B07857" w:rsidRDefault="002B08EC">
      <w:pPr>
        <w:pStyle w:val="SingleTxtG"/>
        <w:rPr>
          <w:rFonts w:eastAsia="MS Mincho"/>
        </w:rPr>
      </w:pPr>
      <w:r w:rsidRPr="00A803B0">
        <w:rPr>
          <w:rFonts w:eastAsia="MS Mincho"/>
        </w:rPr>
        <w:t>5</w:t>
      </w:r>
      <w:r w:rsidR="003454FD" w:rsidRPr="00A803B0">
        <w:rPr>
          <w:rFonts w:eastAsia="MS Mincho"/>
        </w:rPr>
        <w:t>.8</w:t>
      </w:r>
      <w:r w:rsidR="00B07857" w:rsidRPr="00A803B0">
        <w:rPr>
          <w:rFonts w:eastAsia="MS Mincho"/>
        </w:rPr>
        <w:tab/>
      </w:r>
      <w:r w:rsidR="00A803B0">
        <w:rPr>
          <w:rFonts w:eastAsia="MS Mincho"/>
        </w:rPr>
        <w:t xml:space="preserve">Le requérant considère que </w:t>
      </w:r>
      <w:r w:rsidR="00515EEB" w:rsidRPr="00A803B0">
        <w:rPr>
          <w:rFonts w:eastAsia="MS Mincho"/>
        </w:rPr>
        <w:t>les arguments de l</w:t>
      </w:r>
      <w:r w:rsidR="00FF46FE" w:rsidRPr="00A803B0">
        <w:rPr>
          <w:rFonts w:eastAsia="MS Mincho"/>
        </w:rPr>
        <w:t>’État</w:t>
      </w:r>
      <w:r w:rsidR="00515EEB" w:rsidRPr="00A803B0">
        <w:rPr>
          <w:rFonts w:eastAsia="MS Mincho"/>
        </w:rPr>
        <w:t xml:space="preserve"> partie</w:t>
      </w:r>
      <w:r w:rsidR="00B07857" w:rsidRPr="00A803B0">
        <w:rPr>
          <w:rFonts w:eastAsia="MS Mincho"/>
        </w:rPr>
        <w:t xml:space="preserve"> relatifs au</w:t>
      </w:r>
      <w:r w:rsidR="0025766D">
        <w:rPr>
          <w:rFonts w:eastAsia="MS Mincho"/>
        </w:rPr>
        <w:t>x</w:t>
      </w:r>
      <w:r w:rsidR="00B07857" w:rsidRPr="00A803B0">
        <w:rPr>
          <w:rFonts w:eastAsia="MS Mincho"/>
        </w:rPr>
        <w:t xml:space="preserve"> motif</w:t>
      </w:r>
      <w:r w:rsidR="0025766D">
        <w:rPr>
          <w:rFonts w:eastAsia="MS Mincho"/>
        </w:rPr>
        <w:t>s</w:t>
      </w:r>
      <w:r w:rsidR="00B07857" w:rsidRPr="00A803B0">
        <w:rPr>
          <w:rFonts w:eastAsia="MS Mincho"/>
        </w:rPr>
        <w:t xml:space="preserve"> politique</w:t>
      </w:r>
      <w:r w:rsidR="0025766D">
        <w:rPr>
          <w:rFonts w:eastAsia="MS Mincho"/>
        </w:rPr>
        <w:t>s</w:t>
      </w:r>
      <w:r w:rsidR="00B07857" w:rsidRPr="00A803B0">
        <w:rPr>
          <w:rFonts w:eastAsia="MS Mincho"/>
        </w:rPr>
        <w:t xml:space="preserve"> de </w:t>
      </w:r>
      <w:r w:rsidR="009D276D" w:rsidRPr="00A803B0">
        <w:rPr>
          <w:rFonts w:eastAsia="MS Mincho"/>
        </w:rPr>
        <w:t>s</w:t>
      </w:r>
      <w:r w:rsidR="00B07857" w:rsidRPr="00A803B0">
        <w:rPr>
          <w:rFonts w:eastAsia="MS Mincho"/>
        </w:rPr>
        <w:t xml:space="preserve">a </w:t>
      </w:r>
      <w:r w:rsidR="009D276D" w:rsidRPr="00A803B0">
        <w:rPr>
          <w:rFonts w:eastAsia="MS Mincho"/>
        </w:rPr>
        <w:t xml:space="preserve">requête </w:t>
      </w:r>
      <w:r w:rsidR="00B07857" w:rsidRPr="00A803B0">
        <w:rPr>
          <w:rFonts w:eastAsia="MS Mincho"/>
        </w:rPr>
        <w:t>et à l</w:t>
      </w:r>
      <w:r w:rsidR="00FF46FE" w:rsidRPr="00A803B0">
        <w:rPr>
          <w:rFonts w:eastAsia="MS Mincho"/>
        </w:rPr>
        <w:t>’</w:t>
      </w:r>
      <w:r w:rsidR="00B07857" w:rsidRPr="00A803B0">
        <w:rPr>
          <w:rFonts w:eastAsia="MS Mincho"/>
        </w:rPr>
        <w:t>abus du droit de plainte</w:t>
      </w:r>
      <w:r w:rsidR="00BB4462">
        <w:rPr>
          <w:rFonts w:eastAsia="MS Mincho"/>
        </w:rPr>
        <w:t xml:space="preserve"> sont</w:t>
      </w:r>
      <w:r w:rsidR="00B07857" w:rsidRPr="00A803B0">
        <w:rPr>
          <w:rFonts w:eastAsia="MS Mincho"/>
        </w:rPr>
        <w:t xml:space="preserve"> des accusations récurrentes à l</w:t>
      </w:r>
      <w:r w:rsidR="00FF46FE" w:rsidRPr="00A803B0">
        <w:rPr>
          <w:rFonts w:eastAsia="MS Mincho"/>
        </w:rPr>
        <w:t>’</w:t>
      </w:r>
      <w:r w:rsidR="00B07857" w:rsidRPr="00A803B0">
        <w:rPr>
          <w:rFonts w:eastAsia="MS Mincho"/>
        </w:rPr>
        <w:t>encontre des défenseurs des droits de l</w:t>
      </w:r>
      <w:r w:rsidR="00FF46FE" w:rsidRPr="00A803B0">
        <w:rPr>
          <w:rFonts w:eastAsia="MS Mincho"/>
        </w:rPr>
        <w:t>’</w:t>
      </w:r>
      <w:r w:rsidR="00B07857" w:rsidRPr="00A803B0">
        <w:rPr>
          <w:rFonts w:eastAsia="MS Mincho"/>
        </w:rPr>
        <w:t>homme</w:t>
      </w:r>
      <w:r w:rsidR="00BB4462">
        <w:rPr>
          <w:rFonts w:eastAsia="MS Mincho"/>
        </w:rPr>
        <w:t xml:space="preserve"> et démontrent</w:t>
      </w:r>
      <w:r w:rsidR="009D276D" w:rsidRPr="00A803B0">
        <w:rPr>
          <w:rFonts w:eastAsia="MS Mincho"/>
        </w:rPr>
        <w:t xml:space="preserve"> </w:t>
      </w:r>
      <w:r w:rsidR="00B07857" w:rsidRPr="00A803B0">
        <w:rPr>
          <w:rFonts w:eastAsia="MS Mincho"/>
        </w:rPr>
        <w:t>que l</w:t>
      </w:r>
      <w:r w:rsidR="00FF46FE" w:rsidRPr="00A803B0">
        <w:rPr>
          <w:rFonts w:eastAsia="MS Mincho"/>
        </w:rPr>
        <w:t>’État</w:t>
      </w:r>
      <w:r w:rsidR="00B07857" w:rsidRPr="00A803B0">
        <w:rPr>
          <w:rFonts w:eastAsia="MS Mincho"/>
        </w:rPr>
        <w:t xml:space="preserve"> partie n</w:t>
      </w:r>
      <w:r w:rsidR="00FF46FE" w:rsidRPr="00A803B0">
        <w:rPr>
          <w:rFonts w:eastAsia="MS Mincho"/>
        </w:rPr>
        <w:t>’</w:t>
      </w:r>
      <w:r w:rsidR="00B07857" w:rsidRPr="00A803B0">
        <w:rPr>
          <w:rFonts w:eastAsia="MS Mincho"/>
        </w:rPr>
        <w:t>a pas l</w:t>
      </w:r>
      <w:r w:rsidR="00FF46FE" w:rsidRPr="00A803B0">
        <w:rPr>
          <w:rFonts w:eastAsia="MS Mincho"/>
        </w:rPr>
        <w:t>’</w:t>
      </w:r>
      <w:r w:rsidR="00B07857" w:rsidRPr="00A803B0">
        <w:rPr>
          <w:rFonts w:eastAsia="MS Mincho"/>
        </w:rPr>
        <w:t>intention de mener une enquête</w:t>
      </w:r>
      <w:r w:rsidR="00B07857" w:rsidRPr="00B07857">
        <w:rPr>
          <w:rFonts w:eastAsia="MS Mincho"/>
        </w:rPr>
        <w:t xml:space="preserve"> sérieuse, prompte, indépendante et impartiale. En réponse à l</w:t>
      </w:r>
      <w:r w:rsidR="00FF46FE">
        <w:rPr>
          <w:rFonts w:eastAsia="MS Mincho"/>
        </w:rPr>
        <w:t>’</w:t>
      </w:r>
      <w:r w:rsidR="00B07857" w:rsidRPr="00B07857">
        <w:rPr>
          <w:rFonts w:eastAsia="MS Mincho"/>
        </w:rPr>
        <w:t>argument de l</w:t>
      </w:r>
      <w:r w:rsidR="00FF46FE">
        <w:rPr>
          <w:rFonts w:eastAsia="MS Mincho"/>
        </w:rPr>
        <w:t>’</w:t>
      </w:r>
      <w:r w:rsidR="00FF46FE" w:rsidRPr="00B07857">
        <w:rPr>
          <w:rFonts w:eastAsia="MS Mincho"/>
        </w:rPr>
        <w:t>État</w:t>
      </w:r>
      <w:r w:rsidR="00B07857" w:rsidRPr="00B07857">
        <w:rPr>
          <w:rFonts w:eastAsia="MS Mincho"/>
        </w:rPr>
        <w:t xml:space="preserve"> partie relatif au défaut de fondement de </w:t>
      </w:r>
      <w:r w:rsidR="003C1564">
        <w:rPr>
          <w:rFonts w:eastAsia="MS Mincho"/>
        </w:rPr>
        <w:t>sa</w:t>
      </w:r>
      <w:r w:rsidR="003C1564" w:rsidRPr="00B07857">
        <w:rPr>
          <w:rFonts w:eastAsia="MS Mincho"/>
        </w:rPr>
        <w:t xml:space="preserve"> </w:t>
      </w:r>
      <w:r w:rsidR="00B07857" w:rsidRPr="00B07857">
        <w:rPr>
          <w:rFonts w:eastAsia="MS Mincho"/>
        </w:rPr>
        <w:t>plainte</w:t>
      </w:r>
      <w:r w:rsidR="003C1564">
        <w:rPr>
          <w:rFonts w:eastAsia="MS Mincho"/>
        </w:rPr>
        <w:t>, le</w:t>
      </w:r>
      <w:r w:rsidR="00B07857" w:rsidRPr="00B07857">
        <w:rPr>
          <w:rFonts w:eastAsia="MS Mincho"/>
        </w:rPr>
        <w:t xml:space="preserve"> requérant rappelle que le Groupe de travail sur la détention arbitraire a considéré </w:t>
      </w:r>
      <w:r w:rsidR="003C1564">
        <w:rPr>
          <w:rFonts w:eastAsia="MS Mincho"/>
        </w:rPr>
        <w:t>son</w:t>
      </w:r>
      <w:r w:rsidR="003C1564" w:rsidRPr="00B07857">
        <w:rPr>
          <w:rFonts w:eastAsia="MS Mincho"/>
        </w:rPr>
        <w:t xml:space="preserve"> </w:t>
      </w:r>
      <w:r w:rsidR="00B07857" w:rsidRPr="00B07857">
        <w:rPr>
          <w:rFonts w:eastAsia="MS Mincho"/>
        </w:rPr>
        <w:t xml:space="preserve">cas comme sérieux et étayé et </w:t>
      </w:r>
      <w:r w:rsidR="003C1564">
        <w:rPr>
          <w:rFonts w:eastAsia="MS Mincho"/>
        </w:rPr>
        <w:t>y a fait référence</w:t>
      </w:r>
      <w:r w:rsidR="00B07857" w:rsidRPr="00B07857">
        <w:rPr>
          <w:rFonts w:eastAsia="MS Mincho"/>
        </w:rPr>
        <w:t xml:space="preserve"> dans son rapport sur </w:t>
      </w:r>
      <w:r w:rsidR="00123340">
        <w:rPr>
          <w:rFonts w:eastAsia="MS Mincho"/>
        </w:rPr>
        <w:t xml:space="preserve">sa </w:t>
      </w:r>
      <w:r w:rsidR="007A5FAB">
        <w:rPr>
          <w:rFonts w:eastAsia="MS Mincho"/>
        </w:rPr>
        <w:t>mission</w:t>
      </w:r>
      <w:r w:rsidR="00123340">
        <w:rPr>
          <w:rFonts w:eastAsia="MS Mincho"/>
        </w:rPr>
        <w:t xml:space="preserve"> au</w:t>
      </w:r>
      <w:r w:rsidR="00B07857" w:rsidRPr="00B07857">
        <w:rPr>
          <w:rFonts w:eastAsia="MS Mincho"/>
        </w:rPr>
        <w:t xml:space="preserve"> Maroc en 2013</w:t>
      </w:r>
      <w:r w:rsidR="006D7185">
        <w:rPr>
          <w:rFonts w:eastAsia="MS Mincho"/>
        </w:rPr>
        <w:t xml:space="preserve"> (</w:t>
      </w:r>
      <w:r w:rsidR="006D7185">
        <w:t xml:space="preserve">voir </w:t>
      </w:r>
      <w:r w:rsidR="006D7185" w:rsidRPr="000751AF">
        <w:t>A/HRC/27/48/Add.5</w:t>
      </w:r>
      <w:r w:rsidR="006D7185">
        <w:t>, par. 68)</w:t>
      </w:r>
      <w:r w:rsidR="00B07857" w:rsidRPr="00B07857">
        <w:rPr>
          <w:rFonts w:eastAsia="MS Mincho"/>
        </w:rPr>
        <w:t xml:space="preserve">, </w:t>
      </w:r>
      <w:r w:rsidR="003C1564">
        <w:rPr>
          <w:rFonts w:eastAsia="MS Mincho"/>
        </w:rPr>
        <w:t>recommandant</w:t>
      </w:r>
      <w:r w:rsidR="00B07857" w:rsidRPr="00B07857">
        <w:rPr>
          <w:rFonts w:eastAsia="MS Mincho"/>
        </w:rPr>
        <w:t xml:space="preserve"> à l</w:t>
      </w:r>
      <w:r w:rsidR="00FF46FE">
        <w:rPr>
          <w:rFonts w:eastAsia="MS Mincho"/>
        </w:rPr>
        <w:t>’</w:t>
      </w:r>
      <w:r w:rsidR="00FF46FE" w:rsidRPr="00B07857">
        <w:rPr>
          <w:rFonts w:eastAsia="MS Mincho"/>
        </w:rPr>
        <w:t>État</w:t>
      </w:r>
      <w:r w:rsidR="00B07857" w:rsidRPr="00B07857">
        <w:rPr>
          <w:rFonts w:eastAsia="MS Mincho"/>
        </w:rPr>
        <w:t xml:space="preserve"> </w:t>
      </w:r>
      <w:r w:rsidR="00515EEB">
        <w:rPr>
          <w:rFonts w:eastAsia="MS Mincho"/>
        </w:rPr>
        <w:t xml:space="preserve">partie </w:t>
      </w:r>
      <w:r w:rsidR="00B07857" w:rsidRPr="00B07857">
        <w:rPr>
          <w:rFonts w:eastAsia="MS Mincho"/>
        </w:rPr>
        <w:t>d</w:t>
      </w:r>
      <w:r w:rsidR="00FF46FE">
        <w:rPr>
          <w:rFonts w:eastAsia="MS Mincho"/>
        </w:rPr>
        <w:t>’</w:t>
      </w:r>
      <w:r w:rsidR="00B07857" w:rsidRPr="00B07857">
        <w:rPr>
          <w:rFonts w:eastAsia="MS Mincho"/>
        </w:rPr>
        <w:t xml:space="preserve">enquêter rapidement sur toutes les allégations de mauvais traitements </w:t>
      </w:r>
      <w:r w:rsidR="003C1564">
        <w:rPr>
          <w:rFonts w:eastAsia="MS Mincho"/>
        </w:rPr>
        <w:t xml:space="preserve">ayant eu lieu à l’occasion des </w:t>
      </w:r>
      <w:r w:rsidR="00B07857" w:rsidRPr="00B07857">
        <w:rPr>
          <w:rFonts w:eastAsia="MS Mincho"/>
        </w:rPr>
        <w:t xml:space="preserve">arrestations </w:t>
      </w:r>
      <w:r w:rsidR="003C1564">
        <w:rPr>
          <w:rFonts w:eastAsia="MS Mincho"/>
        </w:rPr>
        <w:t>réalisées pendant et après</w:t>
      </w:r>
      <w:r w:rsidR="00B07857" w:rsidRPr="00B07857">
        <w:rPr>
          <w:rFonts w:eastAsia="MS Mincho"/>
        </w:rPr>
        <w:t xml:space="preserve"> les manifestations</w:t>
      </w:r>
      <w:r w:rsidR="003C1564">
        <w:rPr>
          <w:rFonts w:eastAsia="MS Mincho"/>
        </w:rPr>
        <w:t>,</w:t>
      </w:r>
      <w:r w:rsidR="00B07857" w:rsidRPr="00B07857">
        <w:rPr>
          <w:rFonts w:eastAsia="MS Mincho"/>
        </w:rPr>
        <w:t xml:space="preserve"> ainsi qu</w:t>
      </w:r>
      <w:r w:rsidR="00FF46FE">
        <w:rPr>
          <w:rFonts w:eastAsia="MS Mincho"/>
        </w:rPr>
        <w:t>’</w:t>
      </w:r>
      <w:r w:rsidR="00B07857" w:rsidRPr="00B07857">
        <w:rPr>
          <w:rFonts w:eastAsia="MS Mincho"/>
        </w:rPr>
        <w:t>à la prison de Laayoune</w:t>
      </w:r>
      <w:r w:rsidR="00A51885">
        <w:rPr>
          <w:rFonts w:eastAsia="MS Mincho"/>
        </w:rPr>
        <w:t>,</w:t>
      </w:r>
      <w:r w:rsidR="003C1564">
        <w:rPr>
          <w:rFonts w:eastAsia="MS Mincho"/>
        </w:rPr>
        <w:t xml:space="preserve"> </w:t>
      </w:r>
      <w:r w:rsidR="00B07857" w:rsidRPr="00B07857">
        <w:rPr>
          <w:rFonts w:eastAsia="MS Mincho"/>
        </w:rPr>
        <w:t>d</w:t>
      </w:r>
      <w:r w:rsidR="00FF46FE">
        <w:rPr>
          <w:rFonts w:eastAsia="MS Mincho"/>
        </w:rPr>
        <w:t>’</w:t>
      </w:r>
      <w:r w:rsidR="00B07857" w:rsidRPr="00B07857">
        <w:rPr>
          <w:rFonts w:eastAsia="MS Mincho"/>
        </w:rPr>
        <w:t>éviter les détention</w:t>
      </w:r>
      <w:r w:rsidR="00515EEB">
        <w:rPr>
          <w:rFonts w:eastAsia="MS Mincho"/>
        </w:rPr>
        <w:t>s</w:t>
      </w:r>
      <w:r w:rsidR="00B07857" w:rsidRPr="00B07857">
        <w:rPr>
          <w:rFonts w:eastAsia="MS Mincho"/>
        </w:rPr>
        <w:t xml:space="preserve"> arbitraires</w:t>
      </w:r>
      <w:r w:rsidR="00A51885">
        <w:rPr>
          <w:rFonts w:eastAsia="MS Mincho"/>
        </w:rPr>
        <w:t>,</w:t>
      </w:r>
      <w:r w:rsidR="003C1564" w:rsidRPr="00B07857">
        <w:rPr>
          <w:rFonts w:eastAsia="MS Mincho"/>
        </w:rPr>
        <w:t xml:space="preserve"> </w:t>
      </w:r>
      <w:r w:rsidR="00B07857" w:rsidRPr="00B07857">
        <w:rPr>
          <w:rFonts w:eastAsia="MS Mincho"/>
        </w:rPr>
        <w:t xml:space="preserve">de </w:t>
      </w:r>
      <w:r w:rsidR="00515EEB">
        <w:rPr>
          <w:rFonts w:eastAsia="MS Mincho"/>
        </w:rPr>
        <w:t>poursuivre</w:t>
      </w:r>
      <w:r w:rsidR="00B07857" w:rsidRPr="00B07857">
        <w:rPr>
          <w:rFonts w:eastAsia="MS Mincho"/>
        </w:rPr>
        <w:t xml:space="preserve"> les responsables et </w:t>
      </w:r>
      <w:r w:rsidR="003C1564">
        <w:rPr>
          <w:rFonts w:eastAsia="MS Mincho"/>
        </w:rPr>
        <w:t>d’</w:t>
      </w:r>
      <w:r w:rsidR="00B07857" w:rsidRPr="00B07857">
        <w:rPr>
          <w:rFonts w:eastAsia="MS Mincho"/>
        </w:rPr>
        <w:t>indemniser les victimes.</w:t>
      </w:r>
      <w:r w:rsidR="00FF46FE">
        <w:rPr>
          <w:rFonts w:eastAsia="MS Mincho"/>
        </w:rPr>
        <w:t xml:space="preserve"> </w:t>
      </w:r>
    </w:p>
    <w:p w:rsidR="009069B0" w:rsidRDefault="002B08EC">
      <w:pPr>
        <w:pStyle w:val="SingleTxtG"/>
        <w:rPr>
          <w:rFonts w:eastAsia="MS Mincho"/>
        </w:rPr>
      </w:pPr>
      <w:r>
        <w:rPr>
          <w:rFonts w:eastAsia="MS Mincho"/>
        </w:rPr>
        <w:t>5</w:t>
      </w:r>
      <w:r w:rsidR="003454FD">
        <w:rPr>
          <w:rFonts w:eastAsia="MS Mincho"/>
        </w:rPr>
        <w:t>.9</w:t>
      </w:r>
      <w:r w:rsidR="00B07857" w:rsidRPr="00B07857">
        <w:rPr>
          <w:rFonts w:eastAsia="MS Mincho"/>
        </w:rPr>
        <w:tab/>
      </w:r>
      <w:r w:rsidR="00B93834">
        <w:rPr>
          <w:rFonts w:eastAsia="MS Mincho"/>
        </w:rPr>
        <w:t>Le</w:t>
      </w:r>
      <w:r w:rsidR="00256F54">
        <w:rPr>
          <w:rFonts w:eastAsia="MS Mincho"/>
        </w:rPr>
        <w:t xml:space="preserve"> </w:t>
      </w:r>
      <w:r w:rsidR="00515EEB">
        <w:rPr>
          <w:rFonts w:eastAsia="MS Mincho"/>
        </w:rPr>
        <w:t>requérant</w:t>
      </w:r>
      <w:r w:rsidR="00256F54">
        <w:rPr>
          <w:rFonts w:eastAsia="MS Mincho"/>
        </w:rPr>
        <w:t xml:space="preserve"> </w:t>
      </w:r>
      <w:r w:rsidR="00515EEB">
        <w:rPr>
          <w:rFonts w:eastAsia="MS Mincho"/>
        </w:rPr>
        <w:t xml:space="preserve">demande au Comité </w:t>
      </w:r>
      <w:r w:rsidR="00BB4462">
        <w:rPr>
          <w:rFonts w:eastAsia="MS Mincho"/>
        </w:rPr>
        <w:t>d’exiger</w:t>
      </w:r>
      <w:r w:rsidR="003C1564">
        <w:rPr>
          <w:rFonts w:eastAsia="MS Mincho"/>
        </w:rPr>
        <w:t xml:space="preserve"> </w:t>
      </w:r>
      <w:r w:rsidR="003F183C">
        <w:rPr>
          <w:rFonts w:eastAsia="MS Mincho"/>
        </w:rPr>
        <w:t>de</w:t>
      </w:r>
      <w:r w:rsidR="00B93834">
        <w:rPr>
          <w:rFonts w:eastAsia="MS Mincho"/>
        </w:rPr>
        <w:t xml:space="preserve"> </w:t>
      </w:r>
      <w:r w:rsidR="00070F76">
        <w:rPr>
          <w:rFonts w:eastAsia="MS Mincho"/>
        </w:rPr>
        <w:t>l</w:t>
      </w:r>
      <w:r w:rsidR="00FF46FE">
        <w:rPr>
          <w:rFonts w:eastAsia="MS Mincho"/>
        </w:rPr>
        <w:t>’État</w:t>
      </w:r>
      <w:r w:rsidR="00B93834">
        <w:rPr>
          <w:rFonts w:eastAsia="MS Mincho"/>
        </w:rPr>
        <w:t xml:space="preserve"> partie</w:t>
      </w:r>
      <w:r w:rsidR="003C1564">
        <w:rPr>
          <w:rFonts w:eastAsia="MS Mincho"/>
        </w:rPr>
        <w:t xml:space="preserve"> </w:t>
      </w:r>
      <w:r w:rsidR="00BB4462">
        <w:rPr>
          <w:rFonts w:eastAsia="MS Mincho"/>
        </w:rPr>
        <w:t xml:space="preserve">une réparation </w:t>
      </w:r>
      <w:r w:rsidR="003C1564">
        <w:rPr>
          <w:rFonts w:eastAsia="MS Mincho"/>
        </w:rPr>
        <w:t>consistant</w:t>
      </w:r>
      <w:r w:rsidR="00B93834">
        <w:rPr>
          <w:rFonts w:eastAsia="MS Mincho"/>
        </w:rPr>
        <w:t xml:space="preserve"> </w:t>
      </w:r>
      <w:r w:rsidR="003C1564">
        <w:rPr>
          <w:rFonts w:eastAsia="MS Mincho"/>
        </w:rPr>
        <w:t>en</w:t>
      </w:r>
      <w:r w:rsidR="00515EEB">
        <w:rPr>
          <w:rFonts w:eastAsia="MS Mincho"/>
        </w:rPr>
        <w:t xml:space="preserve"> sa libéra</w:t>
      </w:r>
      <w:r w:rsidR="00B07857" w:rsidRPr="00B07857">
        <w:rPr>
          <w:rFonts w:eastAsia="MS Mincho"/>
        </w:rPr>
        <w:t>tion</w:t>
      </w:r>
      <w:r w:rsidR="003C1564">
        <w:rPr>
          <w:rFonts w:eastAsia="MS Mincho"/>
        </w:rPr>
        <w:t xml:space="preserve"> et en l’arrêt immédiat de toutes les formes de</w:t>
      </w:r>
      <w:r w:rsidR="00B07857" w:rsidRPr="00B07857">
        <w:rPr>
          <w:rFonts w:eastAsia="MS Mincho"/>
        </w:rPr>
        <w:t xml:space="preserve"> violation de l</w:t>
      </w:r>
      <w:r w:rsidR="00FF46FE">
        <w:rPr>
          <w:rFonts w:eastAsia="MS Mincho"/>
        </w:rPr>
        <w:t>’</w:t>
      </w:r>
      <w:r w:rsidR="00B07857" w:rsidRPr="00B07857">
        <w:rPr>
          <w:rFonts w:eastAsia="MS Mincho"/>
        </w:rPr>
        <w:t xml:space="preserve">article 15. </w:t>
      </w:r>
      <w:r w:rsidR="00BB4462">
        <w:rPr>
          <w:rFonts w:eastAsia="MS Mincho"/>
        </w:rPr>
        <w:t>Il</w:t>
      </w:r>
      <w:r w:rsidR="00FC5EA5">
        <w:rPr>
          <w:rFonts w:eastAsia="MS Mincho"/>
        </w:rPr>
        <w:t> </w:t>
      </w:r>
      <w:r w:rsidR="00F3151F">
        <w:rPr>
          <w:rFonts w:eastAsia="MS Mincho"/>
        </w:rPr>
        <w:t>revendique</w:t>
      </w:r>
      <w:r w:rsidR="00BB4462">
        <w:rPr>
          <w:rFonts w:eastAsia="MS Mincho"/>
        </w:rPr>
        <w:t xml:space="preserve"> </w:t>
      </w:r>
      <w:r w:rsidR="00F3151F">
        <w:rPr>
          <w:rFonts w:eastAsia="MS Mincho"/>
        </w:rPr>
        <w:t>le</w:t>
      </w:r>
      <w:r w:rsidR="00B07857" w:rsidRPr="00B07857">
        <w:rPr>
          <w:rFonts w:eastAsia="MS Mincho"/>
        </w:rPr>
        <w:t xml:space="preserve"> droit à être rejugé en excluant les informations obtenues sous la contrainte</w:t>
      </w:r>
      <w:r w:rsidR="00BB4462">
        <w:rPr>
          <w:rFonts w:eastAsia="MS Mincho"/>
        </w:rPr>
        <w:t xml:space="preserve"> et</w:t>
      </w:r>
      <w:r w:rsidR="00B07857" w:rsidRPr="00B07857">
        <w:rPr>
          <w:rFonts w:eastAsia="MS Mincho"/>
        </w:rPr>
        <w:t xml:space="preserve"> demande </w:t>
      </w:r>
      <w:r w:rsidR="00F3151F">
        <w:rPr>
          <w:rFonts w:eastAsia="MS Mincho"/>
        </w:rPr>
        <w:t xml:space="preserve">une </w:t>
      </w:r>
      <w:r w:rsidR="00F3151F" w:rsidRPr="00B07857">
        <w:rPr>
          <w:rFonts w:eastAsia="MS Mincho"/>
        </w:rPr>
        <w:t xml:space="preserve">indemnisation </w:t>
      </w:r>
      <w:r w:rsidR="00B07857" w:rsidRPr="00B07857">
        <w:rPr>
          <w:rFonts w:eastAsia="MS Mincho"/>
        </w:rPr>
        <w:t xml:space="preserve">pour </w:t>
      </w:r>
      <w:r w:rsidR="00F3151F">
        <w:rPr>
          <w:rFonts w:eastAsia="MS Mincho"/>
        </w:rPr>
        <w:t xml:space="preserve">les </w:t>
      </w:r>
      <w:r w:rsidR="00B07857" w:rsidRPr="00B07857">
        <w:rPr>
          <w:rFonts w:eastAsia="MS Mincho"/>
        </w:rPr>
        <w:t>préjudices physique</w:t>
      </w:r>
      <w:r w:rsidR="00BB4462">
        <w:rPr>
          <w:rFonts w:eastAsia="MS Mincho"/>
        </w:rPr>
        <w:t>s</w:t>
      </w:r>
      <w:r w:rsidR="00B07857" w:rsidRPr="00B07857">
        <w:rPr>
          <w:rFonts w:eastAsia="MS Mincho"/>
        </w:rPr>
        <w:t>, psychologique</w:t>
      </w:r>
      <w:r w:rsidR="00BB4462">
        <w:rPr>
          <w:rFonts w:eastAsia="MS Mincho"/>
        </w:rPr>
        <w:t>s</w:t>
      </w:r>
      <w:r w:rsidR="00B07857" w:rsidRPr="00B07857">
        <w:rPr>
          <w:rFonts w:eastAsia="MS Mincho"/>
        </w:rPr>
        <w:t xml:space="preserve"> et </w:t>
      </w:r>
      <w:r w:rsidR="00BB4462" w:rsidRPr="00B07857">
        <w:rPr>
          <w:rFonts w:eastAsia="MS Mincho"/>
        </w:rPr>
        <w:t>mora</w:t>
      </w:r>
      <w:r w:rsidR="00BB4462">
        <w:rPr>
          <w:rFonts w:eastAsia="MS Mincho"/>
        </w:rPr>
        <w:t>ux</w:t>
      </w:r>
      <w:r w:rsidR="00B07857" w:rsidRPr="00B07857">
        <w:rPr>
          <w:rFonts w:eastAsia="MS Mincho"/>
        </w:rPr>
        <w:t xml:space="preserve">, </w:t>
      </w:r>
      <w:r w:rsidR="00BB4462">
        <w:rPr>
          <w:rFonts w:eastAsia="MS Mincho"/>
        </w:rPr>
        <w:t xml:space="preserve">ainsi que </w:t>
      </w:r>
      <w:r w:rsidR="00B07857" w:rsidRPr="00B07857">
        <w:rPr>
          <w:rFonts w:eastAsia="MS Mincho"/>
        </w:rPr>
        <w:t>pour</w:t>
      </w:r>
      <w:r w:rsidR="00F3151F">
        <w:rPr>
          <w:rFonts w:eastAsia="MS Mincho"/>
        </w:rPr>
        <w:t xml:space="preserve"> les</w:t>
      </w:r>
      <w:r w:rsidR="00B07857" w:rsidRPr="00B07857">
        <w:rPr>
          <w:rFonts w:eastAsia="MS Mincho"/>
        </w:rPr>
        <w:t xml:space="preserve"> dommages matériels</w:t>
      </w:r>
      <w:r w:rsidR="004A72E7">
        <w:rPr>
          <w:rFonts w:eastAsia="MS Mincho"/>
        </w:rPr>
        <w:t>,</w:t>
      </w:r>
      <w:r w:rsidR="00B07857" w:rsidRPr="00B07857">
        <w:rPr>
          <w:rFonts w:eastAsia="MS Mincho"/>
        </w:rPr>
        <w:t xml:space="preserve"> </w:t>
      </w:r>
      <w:r w:rsidR="00F3151F">
        <w:rPr>
          <w:rFonts w:eastAsia="MS Mincho"/>
        </w:rPr>
        <w:t xml:space="preserve">la </w:t>
      </w:r>
      <w:r w:rsidR="00B07857" w:rsidRPr="00B07857">
        <w:rPr>
          <w:rFonts w:eastAsia="MS Mincho"/>
        </w:rPr>
        <w:t>perte de revenus</w:t>
      </w:r>
      <w:r w:rsidR="00BB4462">
        <w:rPr>
          <w:rFonts w:eastAsia="MS Mincho"/>
        </w:rPr>
        <w:t xml:space="preserve"> et</w:t>
      </w:r>
      <w:r w:rsidR="00F3151F">
        <w:rPr>
          <w:rFonts w:eastAsia="MS Mincho"/>
        </w:rPr>
        <w:t xml:space="preserve"> </w:t>
      </w:r>
      <w:r w:rsidR="00B07857" w:rsidRPr="00B07857">
        <w:rPr>
          <w:rFonts w:eastAsia="MS Mincho"/>
        </w:rPr>
        <w:t>la perte du potentiel de gains</w:t>
      </w:r>
      <w:r w:rsidR="004A72E7">
        <w:rPr>
          <w:rFonts w:eastAsia="MS Mincho"/>
        </w:rPr>
        <w:t xml:space="preserve"> qu</w:t>
      </w:r>
      <w:r w:rsidR="004A72E7" w:rsidRPr="004A72E7">
        <w:rPr>
          <w:rFonts w:eastAsia="MS Mincho"/>
        </w:rPr>
        <w:t>’</w:t>
      </w:r>
      <w:r w:rsidR="004A72E7">
        <w:rPr>
          <w:rFonts w:eastAsia="MS Mincho"/>
        </w:rPr>
        <w:t>il a subis</w:t>
      </w:r>
      <w:r w:rsidR="00F3151F">
        <w:rPr>
          <w:rFonts w:eastAsia="MS Mincho"/>
        </w:rPr>
        <w:t xml:space="preserve">. Il </w:t>
      </w:r>
      <w:r w:rsidR="002D5D10">
        <w:rPr>
          <w:rFonts w:eastAsia="MS Mincho"/>
        </w:rPr>
        <w:t xml:space="preserve">requiert </w:t>
      </w:r>
      <w:r w:rsidR="00F3151F">
        <w:rPr>
          <w:rFonts w:eastAsia="MS Mincho"/>
        </w:rPr>
        <w:t xml:space="preserve">également le paiement d’une indemnisation pour </w:t>
      </w:r>
      <w:r w:rsidR="00B93834">
        <w:rPr>
          <w:rFonts w:eastAsia="MS Mincho"/>
        </w:rPr>
        <w:t>les</w:t>
      </w:r>
      <w:r w:rsidR="00B07857" w:rsidRPr="00B07857">
        <w:rPr>
          <w:rFonts w:eastAsia="MS Mincho"/>
        </w:rPr>
        <w:t xml:space="preserve"> frais encourus</w:t>
      </w:r>
      <w:r w:rsidR="00F3151F">
        <w:rPr>
          <w:rFonts w:eastAsia="MS Mincho"/>
        </w:rPr>
        <w:t xml:space="preserve"> dans le cadre des procédures judiciaires,</w:t>
      </w:r>
      <w:r w:rsidR="00B07857" w:rsidRPr="00B07857">
        <w:rPr>
          <w:rFonts w:eastAsia="MS Mincho"/>
        </w:rPr>
        <w:t xml:space="preserve"> </w:t>
      </w:r>
      <w:r w:rsidR="00F3151F">
        <w:rPr>
          <w:rFonts w:eastAsia="MS Mincho"/>
        </w:rPr>
        <w:t>d</w:t>
      </w:r>
      <w:r w:rsidR="00F3151F" w:rsidRPr="00B07857">
        <w:rPr>
          <w:rFonts w:eastAsia="MS Mincho"/>
        </w:rPr>
        <w:t xml:space="preserve">es </w:t>
      </w:r>
      <w:r w:rsidR="00B07857" w:rsidRPr="00B07857">
        <w:rPr>
          <w:rFonts w:eastAsia="MS Mincho"/>
        </w:rPr>
        <w:t xml:space="preserve">expertises </w:t>
      </w:r>
      <w:r w:rsidR="00F3151F">
        <w:rPr>
          <w:rFonts w:eastAsia="MS Mincho"/>
        </w:rPr>
        <w:t>et d</w:t>
      </w:r>
      <w:r w:rsidR="00F3151F" w:rsidRPr="00B07857">
        <w:rPr>
          <w:rFonts w:eastAsia="MS Mincho"/>
        </w:rPr>
        <w:t xml:space="preserve">es </w:t>
      </w:r>
      <w:r w:rsidR="00F3151F">
        <w:rPr>
          <w:rFonts w:eastAsia="MS Mincho"/>
        </w:rPr>
        <w:t>consultations</w:t>
      </w:r>
      <w:r w:rsidR="00F3151F" w:rsidRPr="00B07857">
        <w:rPr>
          <w:rFonts w:eastAsia="MS Mincho"/>
        </w:rPr>
        <w:t xml:space="preserve"> </w:t>
      </w:r>
      <w:r w:rsidR="00F3151F">
        <w:rPr>
          <w:rFonts w:eastAsia="MS Mincho"/>
        </w:rPr>
        <w:t xml:space="preserve">des services </w:t>
      </w:r>
      <w:r w:rsidR="00B07857" w:rsidRPr="00B07857">
        <w:rPr>
          <w:rFonts w:eastAsia="MS Mincho"/>
        </w:rPr>
        <w:t>médicaux</w:t>
      </w:r>
      <w:r w:rsidR="00F3151F">
        <w:rPr>
          <w:rFonts w:eastAsia="MS Mincho"/>
        </w:rPr>
        <w:t>,</w:t>
      </w:r>
      <w:r w:rsidR="00B93834">
        <w:rPr>
          <w:rFonts w:eastAsia="MS Mincho"/>
        </w:rPr>
        <w:t xml:space="preserve"> psychologiques et sociaux</w:t>
      </w:r>
      <w:r w:rsidR="00BB4462">
        <w:rPr>
          <w:rFonts w:eastAsia="MS Mincho"/>
        </w:rPr>
        <w:t xml:space="preserve">, ainsi que l’accès à </w:t>
      </w:r>
      <w:r w:rsidR="00B93834">
        <w:rPr>
          <w:rFonts w:eastAsia="MS Mincho"/>
        </w:rPr>
        <w:t>une réhabilitation</w:t>
      </w:r>
      <w:r w:rsidR="00B07857" w:rsidRPr="00B07857">
        <w:rPr>
          <w:rFonts w:eastAsia="MS Mincho"/>
        </w:rPr>
        <w:t xml:space="preserve"> adaptée et gratuite dans les plus brefs délais</w:t>
      </w:r>
      <w:r w:rsidR="00BB4462">
        <w:rPr>
          <w:rFonts w:eastAsia="MS Mincho"/>
        </w:rPr>
        <w:t>.</w:t>
      </w:r>
      <w:r w:rsidR="00B07857" w:rsidRPr="00B07857">
        <w:rPr>
          <w:rFonts w:eastAsia="MS Mincho"/>
        </w:rPr>
        <w:t xml:space="preserve"> </w:t>
      </w:r>
      <w:r w:rsidR="00BB4462">
        <w:rPr>
          <w:rFonts w:eastAsia="MS Mincho"/>
        </w:rPr>
        <w:t xml:space="preserve">Le requérant demande </w:t>
      </w:r>
      <w:r w:rsidR="00D55354">
        <w:rPr>
          <w:rFonts w:eastAsia="MS Mincho"/>
        </w:rPr>
        <w:t>enfin</w:t>
      </w:r>
      <w:r w:rsidR="00BB4462">
        <w:rPr>
          <w:rFonts w:eastAsia="MS Mincho"/>
        </w:rPr>
        <w:t xml:space="preserve"> </w:t>
      </w:r>
      <w:r w:rsidR="00B07857" w:rsidRPr="00B07857">
        <w:rPr>
          <w:rFonts w:eastAsia="MS Mincho"/>
        </w:rPr>
        <w:t>des mesures de satisfaction</w:t>
      </w:r>
      <w:r w:rsidR="00F3151F">
        <w:rPr>
          <w:rFonts w:eastAsia="MS Mincho"/>
        </w:rPr>
        <w:t xml:space="preserve"> consistant en</w:t>
      </w:r>
      <w:r w:rsidR="00B07857" w:rsidRPr="00B07857">
        <w:rPr>
          <w:rFonts w:eastAsia="MS Mincho"/>
        </w:rPr>
        <w:t xml:space="preserve"> une enquête prompte, indépendante, sérieuse et impartiale sur les allégations de torture</w:t>
      </w:r>
      <w:r w:rsidR="00F3151F">
        <w:rPr>
          <w:rFonts w:eastAsia="MS Mincho"/>
        </w:rPr>
        <w:t>,</w:t>
      </w:r>
      <w:r w:rsidR="00B07857" w:rsidRPr="00B07857">
        <w:rPr>
          <w:rFonts w:eastAsia="MS Mincho"/>
        </w:rPr>
        <w:t xml:space="preserve"> </w:t>
      </w:r>
      <w:r w:rsidR="00F3151F">
        <w:rPr>
          <w:rFonts w:eastAsia="MS Mincho"/>
        </w:rPr>
        <w:t>et</w:t>
      </w:r>
      <w:r w:rsidR="00B07857" w:rsidRPr="00B07857">
        <w:rPr>
          <w:rFonts w:eastAsia="MS Mincho"/>
        </w:rPr>
        <w:t xml:space="preserve"> des garanties de non</w:t>
      </w:r>
      <w:r w:rsidR="00D55354">
        <w:rPr>
          <w:rFonts w:eastAsia="MS Mincho"/>
        </w:rPr>
        <w:t>-</w:t>
      </w:r>
      <w:r w:rsidR="00B07857" w:rsidRPr="00B07857">
        <w:rPr>
          <w:rFonts w:eastAsia="MS Mincho"/>
        </w:rPr>
        <w:t>répétition.</w:t>
      </w:r>
    </w:p>
    <w:p w:rsidR="006B3FBC" w:rsidRPr="006B3FBC" w:rsidRDefault="00F727CD" w:rsidP="00E93E9F">
      <w:pPr>
        <w:pStyle w:val="H23G"/>
        <w:rPr>
          <w:rFonts w:eastAsia="MS Mincho"/>
        </w:rPr>
      </w:pPr>
      <w:r>
        <w:rPr>
          <w:rFonts w:eastAsia="MS Mincho"/>
        </w:rPr>
        <w:tab/>
      </w:r>
      <w:r>
        <w:rPr>
          <w:rFonts w:eastAsia="MS Mincho"/>
        </w:rPr>
        <w:tab/>
      </w:r>
      <w:r w:rsidR="006B3FBC" w:rsidRPr="006B3FBC">
        <w:rPr>
          <w:rFonts w:eastAsia="MS Mincho"/>
        </w:rPr>
        <w:t>Information</w:t>
      </w:r>
      <w:r w:rsidR="00EB3DB1">
        <w:rPr>
          <w:rFonts w:eastAsia="MS Mincho"/>
        </w:rPr>
        <w:t>s</w:t>
      </w:r>
      <w:r w:rsidR="006B3FBC" w:rsidRPr="006B3FBC">
        <w:rPr>
          <w:rFonts w:eastAsia="MS Mincho"/>
        </w:rPr>
        <w:t xml:space="preserve"> supplémentaire</w:t>
      </w:r>
      <w:r w:rsidR="00EB3DB1">
        <w:rPr>
          <w:rFonts w:eastAsia="MS Mincho"/>
        </w:rPr>
        <w:t>s</w:t>
      </w:r>
      <w:r w:rsidR="006B3FBC" w:rsidRPr="006B3FBC">
        <w:rPr>
          <w:rFonts w:eastAsia="MS Mincho"/>
        </w:rPr>
        <w:t xml:space="preserve"> fournie</w:t>
      </w:r>
      <w:r w:rsidR="00B96348">
        <w:rPr>
          <w:rFonts w:eastAsia="MS Mincho"/>
        </w:rPr>
        <w:t>s</w:t>
      </w:r>
      <w:r w:rsidR="006B3FBC" w:rsidRPr="006B3FBC">
        <w:rPr>
          <w:rFonts w:eastAsia="MS Mincho"/>
        </w:rPr>
        <w:t xml:space="preserve"> par </w:t>
      </w:r>
      <w:r w:rsidR="008A17B6">
        <w:rPr>
          <w:rFonts w:eastAsia="MS Mincho"/>
        </w:rPr>
        <w:t>le requérant</w:t>
      </w:r>
    </w:p>
    <w:p w:rsidR="006B3FBC" w:rsidRDefault="00666333">
      <w:pPr>
        <w:pStyle w:val="SingleTxtG"/>
        <w:rPr>
          <w:rFonts w:eastAsia="MS Mincho"/>
        </w:rPr>
      </w:pPr>
      <w:r>
        <w:rPr>
          <w:rFonts w:eastAsia="MS Mincho"/>
        </w:rPr>
        <w:t>6</w:t>
      </w:r>
      <w:r w:rsidR="00675DAD">
        <w:rPr>
          <w:rFonts w:eastAsia="MS Mincho"/>
        </w:rPr>
        <w:t>.1</w:t>
      </w:r>
      <w:r w:rsidR="00675DAD">
        <w:rPr>
          <w:rFonts w:eastAsia="MS Mincho"/>
        </w:rPr>
        <w:tab/>
      </w:r>
      <w:r w:rsidR="006B3FBC">
        <w:rPr>
          <w:rFonts w:eastAsia="MS Mincho"/>
        </w:rPr>
        <w:t xml:space="preserve">Le 4 février 2015, </w:t>
      </w:r>
      <w:r w:rsidR="00901189">
        <w:rPr>
          <w:rFonts w:eastAsia="MS Mincho"/>
        </w:rPr>
        <w:t xml:space="preserve">le </w:t>
      </w:r>
      <w:r w:rsidR="006B3FBC">
        <w:rPr>
          <w:rFonts w:eastAsia="MS Mincho"/>
        </w:rPr>
        <w:t xml:space="preserve">requérant </w:t>
      </w:r>
      <w:r w:rsidR="00BB4462">
        <w:rPr>
          <w:rFonts w:eastAsia="MS Mincho"/>
        </w:rPr>
        <w:t xml:space="preserve">et son conseil </w:t>
      </w:r>
      <w:r w:rsidR="00302B94">
        <w:rPr>
          <w:rFonts w:eastAsia="MS Mincho"/>
        </w:rPr>
        <w:t xml:space="preserve">ont </w:t>
      </w:r>
      <w:r w:rsidR="006B3FBC">
        <w:rPr>
          <w:rFonts w:eastAsia="MS Mincho"/>
        </w:rPr>
        <w:t>inform</w:t>
      </w:r>
      <w:r w:rsidR="00302B94">
        <w:rPr>
          <w:rFonts w:eastAsia="MS Mincho"/>
        </w:rPr>
        <w:t>é</w:t>
      </w:r>
      <w:r w:rsidR="006B3FBC">
        <w:rPr>
          <w:rFonts w:eastAsia="MS Mincho"/>
        </w:rPr>
        <w:t xml:space="preserve"> le Comité de ce </w:t>
      </w:r>
      <w:r w:rsidR="00901189">
        <w:rPr>
          <w:rFonts w:eastAsia="MS Mincho"/>
        </w:rPr>
        <w:t>qu’ils</w:t>
      </w:r>
      <w:r w:rsidR="006B3FBC">
        <w:rPr>
          <w:rFonts w:eastAsia="MS Mincho"/>
        </w:rPr>
        <w:t xml:space="preserve"> </w:t>
      </w:r>
      <w:r w:rsidR="00302B94">
        <w:rPr>
          <w:rFonts w:eastAsia="MS Mincho"/>
        </w:rPr>
        <w:t xml:space="preserve">faisaient </w:t>
      </w:r>
      <w:r w:rsidR="006B3FBC">
        <w:rPr>
          <w:rFonts w:eastAsia="MS Mincho"/>
        </w:rPr>
        <w:t>l</w:t>
      </w:r>
      <w:r w:rsidR="00FF46FE">
        <w:rPr>
          <w:rFonts w:eastAsia="MS Mincho"/>
        </w:rPr>
        <w:t>’</w:t>
      </w:r>
      <w:r w:rsidR="006B3FBC">
        <w:rPr>
          <w:rFonts w:eastAsia="MS Mincho"/>
        </w:rPr>
        <w:t>objet de mesures d</w:t>
      </w:r>
      <w:r w:rsidR="00FF46FE">
        <w:rPr>
          <w:rFonts w:eastAsia="MS Mincho"/>
        </w:rPr>
        <w:t>’</w:t>
      </w:r>
      <w:r w:rsidR="006B3FBC">
        <w:rPr>
          <w:rFonts w:eastAsia="MS Mincho"/>
        </w:rPr>
        <w:t xml:space="preserve">intimidation de la part des autorités marocaines. </w:t>
      </w:r>
      <w:r w:rsidR="00901189">
        <w:rPr>
          <w:rFonts w:eastAsia="MS Mincho"/>
        </w:rPr>
        <w:t xml:space="preserve">Ils </w:t>
      </w:r>
      <w:r w:rsidR="00302B94">
        <w:rPr>
          <w:rFonts w:eastAsia="MS Mincho"/>
        </w:rPr>
        <w:t xml:space="preserve">ont </w:t>
      </w:r>
      <w:r w:rsidR="001350BB">
        <w:rPr>
          <w:rFonts w:eastAsia="MS Mincho"/>
        </w:rPr>
        <w:t>indiqu</w:t>
      </w:r>
      <w:r w:rsidR="00302B94">
        <w:rPr>
          <w:rFonts w:eastAsia="MS Mincho"/>
        </w:rPr>
        <w:t>é</w:t>
      </w:r>
      <w:r w:rsidR="001350BB">
        <w:rPr>
          <w:rFonts w:eastAsia="MS Mincho"/>
        </w:rPr>
        <w:t xml:space="preserve"> </w:t>
      </w:r>
      <w:r w:rsidR="00901189">
        <w:rPr>
          <w:rFonts w:eastAsia="MS Mincho"/>
        </w:rPr>
        <w:t xml:space="preserve">qu’en </w:t>
      </w:r>
      <w:r w:rsidR="006B3FBC">
        <w:rPr>
          <w:rFonts w:eastAsia="MS Mincho"/>
        </w:rPr>
        <w:t xml:space="preserve">mars 2014, peu après le dépôt de </w:t>
      </w:r>
      <w:r w:rsidR="00BB4462">
        <w:rPr>
          <w:rFonts w:eastAsia="MS Mincho"/>
        </w:rPr>
        <w:t xml:space="preserve">la requête </w:t>
      </w:r>
      <w:r w:rsidR="006B3FBC">
        <w:rPr>
          <w:rFonts w:eastAsia="MS Mincho"/>
        </w:rPr>
        <w:t xml:space="preserve">devant le Comité, les médias marocains et français </w:t>
      </w:r>
      <w:r w:rsidR="009F2F9D">
        <w:rPr>
          <w:rFonts w:eastAsia="MS Mincho"/>
        </w:rPr>
        <w:t xml:space="preserve">avaient </w:t>
      </w:r>
      <w:r w:rsidR="006B3FBC">
        <w:rPr>
          <w:rFonts w:eastAsia="MS Mincho"/>
        </w:rPr>
        <w:t xml:space="preserve">annoncé la décision du </w:t>
      </w:r>
      <w:r w:rsidR="00CC243A">
        <w:rPr>
          <w:rFonts w:eastAsia="MS Mincho"/>
        </w:rPr>
        <w:t xml:space="preserve">Ministère </w:t>
      </w:r>
      <w:r w:rsidR="006B3FBC">
        <w:rPr>
          <w:rFonts w:eastAsia="MS Mincho"/>
        </w:rPr>
        <w:t>de la justice marocain de porter plainte</w:t>
      </w:r>
      <w:r w:rsidR="00901189">
        <w:rPr>
          <w:rFonts w:eastAsia="MS Mincho"/>
        </w:rPr>
        <w:t xml:space="preserve"> contre le requérant, son conseil et deux autres victimes torturées au Maroc</w:t>
      </w:r>
      <w:r w:rsidR="006B3FBC">
        <w:rPr>
          <w:rFonts w:eastAsia="MS Mincho"/>
        </w:rPr>
        <w:t>, notamment pour diffamation et dénonciation calomnieuse. En juin 2014, les médias ont annoncé qu</w:t>
      </w:r>
      <w:r w:rsidR="00901189">
        <w:rPr>
          <w:rFonts w:eastAsia="MS Mincho"/>
        </w:rPr>
        <w:t>’une</w:t>
      </w:r>
      <w:r w:rsidR="006B3FBC">
        <w:rPr>
          <w:rFonts w:eastAsia="MS Mincho"/>
        </w:rPr>
        <w:t xml:space="preserve"> plainte avait été déposée</w:t>
      </w:r>
      <w:r w:rsidR="0050265E">
        <w:rPr>
          <w:rFonts w:eastAsia="MS Mincho"/>
        </w:rPr>
        <w:t xml:space="preserve"> notamment con</w:t>
      </w:r>
      <w:r w:rsidR="00EC2F0B">
        <w:rPr>
          <w:rFonts w:eastAsia="MS Mincho"/>
        </w:rPr>
        <w:t>tre le requérant et son conseil</w:t>
      </w:r>
      <w:r w:rsidR="00901189">
        <w:rPr>
          <w:rFonts w:eastAsia="MS Mincho"/>
        </w:rPr>
        <w:t xml:space="preserve"> par le Ministère de l’intérieur</w:t>
      </w:r>
      <w:r w:rsidR="00427184">
        <w:rPr>
          <w:rFonts w:eastAsia="MS Mincho"/>
        </w:rPr>
        <w:t xml:space="preserve"> </w:t>
      </w:r>
      <w:r w:rsidR="00427184" w:rsidRPr="00427184">
        <w:rPr>
          <w:rFonts w:eastAsia="MS Mincho"/>
        </w:rPr>
        <w:t>marocain</w:t>
      </w:r>
      <w:r w:rsidR="00EC2F0B">
        <w:rPr>
          <w:rStyle w:val="FootnoteReference"/>
          <w:rFonts w:eastAsia="MS Mincho"/>
        </w:rPr>
        <w:footnoteReference w:id="14"/>
      </w:r>
      <w:r w:rsidR="006D7185">
        <w:rPr>
          <w:rFonts w:eastAsia="MS Mincho"/>
        </w:rPr>
        <w:t>.</w:t>
      </w:r>
      <w:r w:rsidR="00C92AE7">
        <w:rPr>
          <w:rFonts w:eastAsia="MS Mincho"/>
        </w:rPr>
        <w:t xml:space="preserve"> Le requérant, son conseil et les autres personnes visées par les accusations sont restés sans nouvelle de cette procédure jusqu</w:t>
      </w:r>
      <w:r w:rsidR="003B41FA" w:rsidRPr="003B41FA">
        <w:rPr>
          <w:rFonts w:eastAsia="MS Mincho"/>
        </w:rPr>
        <w:t>’</w:t>
      </w:r>
      <w:r w:rsidR="003B41FA">
        <w:rPr>
          <w:rFonts w:eastAsia="MS Mincho"/>
        </w:rPr>
        <w:t xml:space="preserve">à </w:t>
      </w:r>
      <w:r w:rsidR="00C92AE7">
        <w:rPr>
          <w:rFonts w:eastAsia="MS Mincho"/>
        </w:rPr>
        <w:t>fin janvier 2015,</w:t>
      </w:r>
      <w:r w:rsidR="00901189">
        <w:rPr>
          <w:rFonts w:eastAsia="MS Mincho"/>
        </w:rPr>
        <w:t xml:space="preserve"> lorsque</w:t>
      </w:r>
      <w:r w:rsidR="00C92AE7">
        <w:rPr>
          <w:rFonts w:eastAsia="MS Mincho"/>
        </w:rPr>
        <w:t xml:space="preserve"> le conseil </w:t>
      </w:r>
      <w:r w:rsidR="00901189">
        <w:rPr>
          <w:rFonts w:eastAsia="MS Mincho"/>
        </w:rPr>
        <w:t>et l’</w:t>
      </w:r>
      <w:r w:rsidR="00C92AE7">
        <w:rPr>
          <w:rFonts w:eastAsia="MS Mincho"/>
        </w:rPr>
        <w:t>une des victimes représentée</w:t>
      </w:r>
      <w:r w:rsidR="00616C43">
        <w:rPr>
          <w:rFonts w:eastAsia="MS Mincho"/>
        </w:rPr>
        <w:t>s</w:t>
      </w:r>
      <w:r w:rsidR="00C92AE7">
        <w:rPr>
          <w:rFonts w:eastAsia="MS Mincho"/>
        </w:rPr>
        <w:t xml:space="preserve"> par </w:t>
      </w:r>
      <w:r w:rsidR="004826E9">
        <w:rPr>
          <w:rFonts w:eastAsia="MS Mincho"/>
        </w:rPr>
        <w:t>ACAT</w:t>
      </w:r>
      <w:r w:rsidR="00EC7C24">
        <w:rPr>
          <w:rFonts w:eastAsia="MS Mincho"/>
        </w:rPr>
        <w:t>-</w:t>
      </w:r>
      <w:r w:rsidR="004826E9">
        <w:rPr>
          <w:rFonts w:eastAsia="MS Mincho"/>
        </w:rPr>
        <w:t xml:space="preserve">France </w:t>
      </w:r>
      <w:r w:rsidR="00901189">
        <w:rPr>
          <w:rFonts w:eastAsia="MS Mincho"/>
        </w:rPr>
        <w:t>ont reçu</w:t>
      </w:r>
      <w:r w:rsidR="00C92AE7">
        <w:rPr>
          <w:rFonts w:eastAsia="MS Mincho"/>
        </w:rPr>
        <w:t xml:space="preserve"> une </w:t>
      </w:r>
      <w:r w:rsidR="003B41FA">
        <w:rPr>
          <w:rFonts w:eastAsia="MS Mincho"/>
        </w:rPr>
        <w:lastRenderedPageBreak/>
        <w:t xml:space="preserve">citation </w:t>
      </w:r>
      <w:r w:rsidR="00C92AE7">
        <w:rPr>
          <w:rFonts w:eastAsia="MS Mincho"/>
        </w:rPr>
        <w:t>à comparaître devant un juge d</w:t>
      </w:r>
      <w:r w:rsidR="00FF46FE">
        <w:rPr>
          <w:rFonts w:eastAsia="MS Mincho"/>
        </w:rPr>
        <w:t>’</w:t>
      </w:r>
      <w:r w:rsidR="00C92AE7">
        <w:rPr>
          <w:rFonts w:eastAsia="MS Mincho"/>
        </w:rPr>
        <w:t xml:space="preserve">instruction du tribunal de Rabat pour diffamation, dénonciation calomnieuse, outrage envers les corps constitués, utilisation de manœuvre et de fraude pour inciter à faire de faux témoignages, complicité et injure publique. </w:t>
      </w:r>
    </w:p>
    <w:p w:rsidR="00C92AE7" w:rsidRDefault="00C92AE7" w:rsidP="00B07857">
      <w:pPr>
        <w:pStyle w:val="SingleTxtG"/>
        <w:rPr>
          <w:rFonts w:eastAsia="MS Mincho"/>
        </w:rPr>
      </w:pPr>
      <w:r>
        <w:rPr>
          <w:rFonts w:eastAsia="MS Mincho"/>
        </w:rPr>
        <w:t>6.</w:t>
      </w:r>
      <w:r w:rsidR="00901189">
        <w:rPr>
          <w:rFonts w:eastAsia="MS Mincho"/>
        </w:rPr>
        <w:t>2</w:t>
      </w:r>
      <w:r>
        <w:rPr>
          <w:rFonts w:eastAsia="MS Mincho"/>
        </w:rPr>
        <w:tab/>
        <w:t>Ces infractions sont passibles de peines d</w:t>
      </w:r>
      <w:r w:rsidR="00FF46FE">
        <w:rPr>
          <w:rFonts w:eastAsia="MS Mincho"/>
        </w:rPr>
        <w:t>’</w:t>
      </w:r>
      <w:r>
        <w:rPr>
          <w:rFonts w:eastAsia="MS Mincho"/>
        </w:rPr>
        <w:t>emprisonnement ferme et les accusés risquent aussi d</w:t>
      </w:r>
      <w:r w:rsidR="00FF46FE">
        <w:rPr>
          <w:rFonts w:eastAsia="MS Mincho"/>
        </w:rPr>
        <w:t>’</w:t>
      </w:r>
      <w:r>
        <w:rPr>
          <w:rFonts w:eastAsia="MS Mincho"/>
        </w:rPr>
        <w:t>être condamnés à une amende et au paiement de dommages et intérêts. Le</w:t>
      </w:r>
      <w:r w:rsidR="00FC5EA5">
        <w:rPr>
          <w:rFonts w:eastAsia="MS Mincho"/>
        </w:rPr>
        <w:t> </w:t>
      </w:r>
      <w:r>
        <w:rPr>
          <w:rFonts w:eastAsia="MS Mincho"/>
        </w:rPr>
        <w:t>conseil considère que cette plainte constitue une violation de la Convention</w:t>
      </w:r>
      <w:r w:rsidR="001350BB">
        <w:rPr>
          <w:rFonts w:eastAsia="MS Mincho"/>
        </w:rPr>
        <w:t>,</w:t>
      </w:r>
      <w:r>
        <w:rPr>
          <w:rFonts w:eastAsia="MS Mincho"/>
        </w:rPr>
        <w:t xml:space="preserve"> notamment de l</w:t>
      </w:r>
      <w:r w:rsidR="00FF46FE">
        <w:rPr>
          <w:rFonts w:eastAsia="MS Mincho"/>
        </w:rPr>
        <w:t>’</w:t>
      </w:r>
      <w:r>
        <w:rPr>
          <w:rFonts w:eastAsia="MS Mincho"/>
        </w:rPr>
        <w:t>article 13</w:t>
      </w:r>
      <w:r w:rsidR="00780370">
        <w:rPr>
          <w:rFonts w:eastAsia="MS Mincho"/>
        </w:rPr>
        <w:t xml:space="preserve">. </w:t>
      </w:r>
    </w:p>
    <w:p w:rsidR="00A51F9F" w:rsidRDefault="00780370">
      <w:pPr>
        <w:pStyle w:val="SingleTxtG"/>
        <w:rPr>
          <w:rFonts w:eastAsia="MS Mincho"/>
        </w:rPr>
      </w:pPr>
      <w:r>
        <w:rPr>
          <w:rFonts w:eastAsia="MS Mincho"/>
        </w:rPr>
        <w:t>6.</w:t>
      </w:r>
      <w:r w:rsidR="00507E88">
        <w:rPr>
          <w:rFonts w:eastAsia="MS Mincho"/>
        </w:rPr>
        <w:t>3</w:t>
      </w:r>
      <w:r>
        <w:rPr>
          <w:rFonts w:eastAsia="MS Mincho"/>
        </w:rPr>
        <w:tab/>
        <w:t xml:space="preserve">Le conseil craint que les autorités marocaines </w:t>
      </w:r>
      <w:r w:rsidR="00134114">
        <w:rPr>
          <w:rFonts w:eastAsia="MS Mincho"/>
        </w:rPr>
        <w:t xml:space="preserve">ne </w:t>
      </w:r>
      <w:r>
        <w:rPr>
          <w:rFonts w:eastAsia="MS Mincho"/>
        </w:rPr>
        <w:t>mettent leurs menaces de condamnation à exécution</w:t>
      </w:r>
      <w:r w:rsidR="007C52FF">
        <w:rPr>
          <w:rFonts w:eastAsia="MS Mincho"/>
        </w:rPr>
        <w:t>,</w:t>
      </w:r>
      <w:r>
        <w:rPr>
          <w:rFonts w:eastAsia="MS Mincho"/>
        </w:rPr>
        <w:t xml:space="preserve"> </w:t>
      </w:r>
      <w:r w:rsidR="00134114">
        <w:rPr>
          <w:rFonts w:eastAsia="MS Mincho"/>
        </w:rPr>
        <w:t xml:space="preserve">à la </w:t>
      </w:r>
      <w:r w:rsidR="000857A3">
        <w:rPr>
          <w:rFonts w:eastAsia="MS Mincho"/>
        </w:rPr>
        <w:t xml:space="preserve">suite </w:t>
      </w:r>
      <w:r w:rsidR="00134114">
        <w:rPr>
          <w:rFonts w:eastAsia="MS Mincho"/>
        </w:rPr>
        <w:t xml:space="preserve">de </w:t>
      </w:r>
      <w:r w:rsidR="000857A3">
        <w:rPr>
          <w:rFonts w:eastAsia="MS Mincho"/>
        </w:rPr>
        <w:t xml:space="preserve">la </w:t>
      </w:r>
      <w:r w:rsidR="000857A3" w:rsidRPr="000857A3">
        <w:rPr>
          <w:rFonts w:eastAsia="MS Mincho"/>
        </w:rPr>
        <w:t xml:space="preserve">plainte </w:t>
      </w:r>
      <w:r w:rsidR="00134114">
        <w:rPr>
          <w:rFonts w:eastAsia="MS Mincho"/>
        </w:rPr>
        <w:t>du</w:t>
      </w:r>
      <w:r w:rsidR="000857A3">
        <w:rPr>
          <w:rFonts w:eastAsia="MS Mincho"/>
        </w:rPr>
        <w:t xml:space="preserve"> </w:t>
      </w:r>
      <w:r w:rsidR="000857A3" w:rsidRPr="000857A3">
        <w:rPr>
          <w:rFonts w:eastAsia="MS Mincho"/>
        </w:rPr>
        <w:t>Ministère de l’intérieur</w:t>
      </w:r>
      <w:r w:rsidR="00427184" w:rsidRPr="00427184">
        <w:t xml:space="preserve"> </w:t>
      </w:r>
      <w:r w:rsidR="00427184" w:rsidRPr="00427184">
        <w:rPr>
          <w:rFonts w:eastAsia="MS Mincho"/>
        </w:rPr>
        <w:t>marocain</w:t>
      </w:r>
      <w:r w:rsidR="000857A3">
        <w:rPr>
          <w:rFonts w:eastAsia="MS Mincho"/>
        </w:rPr>
        <w:t xml:space="preserve">, </w:t>
      </w:r>
      <w:r>
        <w:rPr>
          <w:rFonts w:eastAsia="MS Mincho"/>
        </w:rPr>
        <w:t>comme elles l</w:t>
      </w:r>
      <w:r w:rsidR="00FF46FE">
        <w:rPr>
          <w:rFonts w:eastAsia="MS Mincho"/>
        </w:rPr>
        <w:t>’</w:t>
      </w:r>
      <w:r>
        <w:rPr>
          <w:rFonts w:eastAsia="MS Mincho"/>
        </w:rPr>
        <w:t>ont fait à l</w:t>
      </w:r>
      <w:r w:rsidR="00FF46FE">
        <w:rPr>
          <w:rFonts w:eastAsia="MS Mincho"/>
        </w:rPr>
        <w:t>’</w:t>
      </w:r>
      <w:r>
        <w:rPr>
          <w:rFonts w:eastAsia="MS Mincho"/>
        </w:rPr>
        <w:t>encontre d</w:t>
      </w:r>
      <w:r w:rsidR="00FF46FE">
        <w:rPr>
          <w:rFonts w:eastAsia="MS Mincho"/>
        </w:rPr>
        <w:t>’</w:t>
      </w:r>
      <w:r>
        <w:rPr>
          <w:rFonts w:eastAsia="MS Mincho"/>
        </w:rPr>
        <w:t>une autre personne, W.</w:t>
      </w:r>
      <w:r w:rsidR="00134114">
        <w:rPr>
          <w:rFonts w:eastAsia="MS Mincho"/>
        </w:rPr>
        <w:t> </w:t>
      </w:r>
      <w:r>
        <w:rPr>
          <w:rFonts w:eastAsia="MS Mincho"/>
        </w:rPr>
        <w:t>C</w:t>
      </w:r>
      <w:r w:rsidR="00427184">
        <w:rPr>
          <w:rFonts w:eastAsia="MS Mincho"/>
        </w:rPr>
        <w:t>.</w:t>
      </w:r>
      <w:r>
        <w:rPr>
          <w:rFonts w:eastAsia="MS Mincho"/>
        </w:rPr>
        <w:t>, membre du mouvement du 20 février et de l</w:t>
      </w:r>
      <w:r w:rsidR="00FF46FE">
        <w:rPr>
          <w:rFonts w:eastAsia="MS Mincho"/>
        </w:rPr>
        <w:t>’</w:t>
      </w:r>
      <w:r>
        <w:rPr>
          <w:rFonts w:eastAsia="MS Mincho"/>
        </w:rPr>
        <w:t>Association marocaine des droits de l</w:t>
      </w:r>
      <w:r w:rsidR="00FF46FE">
        <w:rPr>
          <w:rFonts w:eastAsia="MS Mincho"/>
        </w:rPr>
        <w:t>’</w:t>
      </w:r>
      <w:r>
        <w:rPr>
          <w:rFonts w:eastAsia="MS Mincho"/>
        </w:rPr>
        <w:t>homme</w:t>
      </w:r>
      <w:r w:rsidR="00B44473">
        <w:rPr>
          <w:rFonts w:eastAsia="MS Mincho"/>
        </w:rPr>
        <w:t>. W.</w:t>
      </w:r>
      <w:r w:rsidR="00134114">
        <w:rPr>
          <w:rFonts w:eastAsia="MS Mincho"/>
        </w:rPr>
        <w:t> </w:t>
      </w:r>
      <w:r w:rsidR="00B44473">
        <w:rPr>
          <w:rFonts w:eastAsia="MS Mincho"/>
        </w:rPr>
        <w:t>C.</w:t>
      </w:r>
      <w:r w:rsidR="007C52FF">
        <w:rPr>
          <w:rFonts w:eastAsia="MS Mincho"/>
        </w:rPr>
        <w:t xml:space="preserve"> </w:t>
      </w:r>
      <w:r>
        <w:rPr>
          <w:rFonts w:eastAsia="MS Mincho"/>
        </w:rPr>
        <w:t>a été condamnée</w:t>
      </w:r>
      <w:r w:rsidR="007C52FF">
        <w:rPr>
          <w:rFonts w:eastAsia="MS Mincho"/>
        </w:rPr>
        <w:t xml:space="preserve"> le 20 octobre 2014</w:t>
      </w:r>
      <w:r>
        <w:rPr>
          <w:rFonts w:eastAsia="MS Mincho"/>
        </w:rPr>
        <w:t xml:space="preserve"> à deux ans d</w:t>
      </w:r>
      <w:r w:rsidR="00FF46FE">
        <w:rPr>
          <w:rFonts w:eastAsia="MS Mincho"/>
        </w:rPr>
        <w:t>’</w:t>
      </w:r>
      <w:r>
        <w:rPr>
          <w:rFonts w:eastAsia="MS Mincho"/>
        </w:rPr>
        <w:t xml:space="preserve">emprisonnement pour dénonciation calomnieuse </w:t>
      </w:r>
      <w:r w:rsidR="00370F1A">
        <w:rPr>
          <w:rFonts w:eastAsia="MS Mincho"/>
        </w:rPr>
        <w:t xml:space="preserve">à la </w:t>
      </w:r>
      <w:r w:rsidR="007C52FF">
        <w:rPr>
          <w:rFonts w:eastAsia="MS Mincho"/>
        </w:rPr>
        <w:t>suite</w:t>
      </w:r>
      <w:r>
        <w:rPr>
          <w:rFonts w:eastAsia="MS Mincho"/>
        </w:rPr>
        <w:t xml:space="preserve"> </w:t>
      </w:r>
      <w:r w:rsidR="00370F1A">
        <w:rPr>
          <w:rFonts w:eastAsia="MS Mincho"/>
        </w:rPr>
        <w:t>d</w:t>
      </w:r>
      <w:r w:rsidR="00370F1A" w:rsidRPr="00370F1A">
        <w:rPr>
          <w:rFonts w:eastAsia="MS Mincho"/>
        </w:rPr>
        <w:t>’</w:t>
      </w:r>
      <w:r>
        <w:rPr>
          <w:rFonts w:eastAsia="MS Mincho"/>
        </w:rPr>
        <w:t xml:space="preserve">une plainte pour torture et enlèvement </w:t>
      </w:r>
      <w:r w:rsidR="007C52FF">
        <w:rPr>
          <w:rFonts w:eastAsia="MS Mincho"/>
        </w:rPr>
        <w:t xml:space="preserve">qu’elle a </w:t>
      </w:r>
      <w:r>
        <w:rPr>
          <w:rFonts w:eastAsia="MS Mincho"/>
        </w:rPr>
        <w:t xml:space="preserve">déposée auprès du </w:t>
      </w:r>
      <w:r w:rsidR="00297409">
        <w:rPr>
          <w:rFonts w:eastAsia="MS Mincho"/>
        </w:rPr>
        <w:t xml:space="preserve">Procureur </w:t>
      </w:r>
      <w:r>
        <w:rPr>
          <w:rFonts w:eastAsia="MS Mincho"/>
        </w:rPr>
        <w:t>de Tanger le 30 avril 2014. Trois jours plus tôt, à l</w:t>
      </w:r>
      <w:r w:rsidR="00FF46FE">
        <w:rPr>
          <w:rFonts w:eastAsia="MS Mincho"/>
        </w:rPr>
        <w:t>’</w:t>
      </w:r>
      <w:r>
        <w:rPr>
          <w:rFonts w:eastAsia="MS Mincho"/>
        </w:rPr>
        <w:t>issue d</w:t>
      </w:r>
      <w:r w:rsidR="00FF46FE">
        <w:rPr>
          <w:rFonts w:eastAsia="MS Mincho"/>
        </w:rPr>
        <w:t>’</w:t>
      </w:r>
      <w:r>
        <w:rPr>
          <w:rFonts w:eastAsia="MS Mincho"/>
        </w:rPr>
        <w:t>une manifestation à laquelle elle avait participé</w:t>
      </w:r>
      <w:r w:rsidR="00A51F9F">
        <w:rPr>
          <w:rFonts w:eastAsia="MS Mincho"/>
        </w:rPr>
        <w:t>, la jeune femme avait été enlevée puis frappée, insultée et menacée avant d</w:t>
      </w:r>
      <w:r w:rsidR="00FF46FE">
        <w:rPr>
          <w:rFonts w:eastAsia="MS Mincho"/>
        </w:rPr>
        <w:t>’</w:t>
      </w:r>
      <w:r w:rsidR="00A51F9F">
        <w:rPr>
          <w:rFonts w:eastAsia="MS Mincho"/>
        </w:rPr>
        <w:t>être abandonnée à l</w:t>
      </w:r>
      <w:r w:rsidR="00FF46FE">
        <w:rPr>
          <w:rFonts w:eastAsia="MS Mincho"/>
        </w:rPr>
        <w:t>’</w:t>
      </w:r>
      <w:r w:rsidR="00A51F9F">
        <w:rPr>
          <w:rFonts w:eastAsia="MS Mincho"/>
        </w:rPr>
        <w:t>extérieur de la ville. Le 23 juillet 2014, un autre militant de l</w:t>
      </w:r>
      <w:r w:rsidR="00FF46FE">
        <w:rPr>
          <w:rFonts w:eastAsia="MS Mincho"/>
        </w:rPr>
        <w:t>’</w:t>
      </w:r>
      <w:r w:rsidR="00762C08">
        <w:rPr>
          <w:rFonts w:eastAsia="MS Mincho"/>
        </w:rPr>
        <w:t>Association marocaine des droits de l’homme</w:t>
      </w:r>
      <w:r w:rsidR="00B44473">
        <w:rPr>
          <w:rFonts w:eastAsia="MS Mincho"/>
        </w:rPr>
        <w:t xml:space="preserve"> ayant dénoncé des tortures</w:t>
      </w:r>
      <w:r w:rsidR="00A51F9F">
        <w:rPr>
          <w:rFonts w:eastAsia="MS Mincho"/>
        </w:rPr>
        <w:t xml:space="preserve"> a été condamné </w:t>
      </w:r>
      <w:r w:rsidR="00B44473">
        <w:rPr>
          <w:rFonts w:eastAsia="MS Mincho"/>
        </w:rPr>
        <w:t xml:space="preserve">pour dénonciation calomnieuse </w:t>
      </w:r>
      <w:r w:rsidR="00A51F9F">
        <w:rPr>
          <w:rFonts w:eastAsia="MS Mincho"/>
        </w:rPr>
        <w:t xml:space="preserve">à trois ans de prison et à une amende. </w:t>
      </w:r>
    </w:p>
    <w:p w:rsidR="003E6CFC" w:rsidRDefault="00A51F9F">
      <w:pPr>
        <w:pStyle w:val="SingleTxtG"/>
        <w:rPr>
          <w:rFonts w:eastAsia="MS Mincho"/>
        </w:rPr>
      </w:pPr>
      <w:r>
        <w:rPr>
          <w:rFonts w:eastAsia="MS Mincho"/>
        </w:rPr>
        <w:t>6.</w:t>
      </w:r>
      <w:r w:rsidR="000857A3">
        <w:rPr>
          <w:rFonts w:eastAsia="MS Mincho"/>
        </w:rPr>
        <w:t>4</w:t>
      </w:r>
      <w:r>
        <w:rPr>
          <w:rFonts w:eastAsia="MS Mincho"/>
        </w:rPr>
        <w:tab/>
      </w:r>
      <w:r w:rsidR="002D5D10">
        <w:rPr>
          <w:rFonts w:eastAsia="MS Mincho"/>
        </w:rPr>
        <w:t xml:space="preserve">Le requérant considère que </w:t>
      </w:r>
      <w:r w:rsidR="00480732">
        <w:rPr>
          <w:rFonts w:eastAsia="MS Mincho"/>
        </w:rPr>
        <w:t xml:space="preserve">les </w:t>
      </w:r>
      <w:r>
        <w:rPr>
          <w:rFonts w:eastAsia="MS Mincho"/>
        </w:rPr>
        <w:t xml:space="preserve">condamnations de ces militants et les poursuites menées </w:t>
      </w:r>
      <w:r w:rsidR="002D5D10">
        <w:rPr>
          <w:rFonts w:eastAsia="MS Mincho"/>
        </w:rPr>
        <w:t>à son encontre</w:t>
      </w:r>
      <w:r w:rsidR="00463AC1">
        <w:rPr>
          <w:rFonts w:eastAsia="MS Mincho"/>
        </w:rPr>
        <w:t xml:space="preserve"> et à l</w:t>
      </w:r>
      <w:r w:rsidR="00463AC1" w:rsidRPr="00463AC1">
        <w:rPr>
          <w:rFonts w:eastAsia="MS Mincho"/>
        </w:rPr>
        <w:t>’</w:t>
      </w:r>
      <w:r w:rsidR="00463AC1">
        <w:rPr>
          <w:rFonts w:eastAsia="MS Mincho"/>
        </w:rPr>
        <w:t>encontre de</w:t>
      </w:r>
      <w:r>
        <w:rPr>
          <w:rFonts w:eastAsia="MS Mincho"/>
        </w:rPr>
        <w:t xml:space="preserve"> son conseil et </w:t>
      </w:r>
      <w:r w:rsidR="00463AC1">
        <w:rPr>
          <w:rFonts w:eastAsia="MS Mincho"/>
        </w:rPr>
        <w:t>d</w:t>
      </w:r>
      <w:r>
        <w:rPr>
          <w:rFonts w:eastAsia="MS Mincho"/>
        </w:rPr>
        <w:t>es deux autres personnes précédemment mentionnées sont</w:t>
      </w:r>
      <w:r w:rsidR="00D90BDD">
        <w:rPr>
          <w:rFonts w:eastAsia="MS Mincho"/>
        </w:rPr>
        <w:t xml:space="preserve"> </w:t>
      </w:r>
      <w:r>
        <w:rPr>
          <w:rFonts w:eastAsia="MS Mincho"/>
        </w:rPr>
        <w:t>les premières étapes d</w:t>
      </w:r>
      <w:r w:rsidR="00FF46FE">
        <w:rPr>
          <w:rFonts w:eastAsia="MS Mincho"/>
        </w:rPr>
        <w:t>’</w:t>
      </w:r>
      <w:r>
        <w:rPr>
          <w:rFonts w:eastAsia="MS Mincho"/>
        </w:rPr>
        <w:t>une politique générale d</w:t>
      </w:r>
      <w:r w:rsidR="00FF46FE">
        <w:rPr>
          <w:rFonts w:eastAsia="MS Mincho"/>
        </w:rPr>
        <w:t>’</w:t>
      </w:r>
      <w:r>
        <w:rPr>
          <w:rFonts w:eastAsia="MS Mincho"/>
        </w:rPr>
        <w:t xml:space="preserve">intimidation des victimes de torture annoncée par le </w:t>
      </w:r>
      <w:r w:rsidR="00CC243A">
        <w:rPr>
          <w:rFonts w:eastAsia="MS Mincho"/>
        </w:rPr>
        <w:t xml:space="preserve">Ministre </w:t>
      </w:r>
      <w:r>
        <w:rPr>
          <w:rFonts w:eastAsia="MS Mincho"/>
        </w:rPr>
        <w:t xml:space="preserve">de la </w:t>
      </w:r>
      <w:r w:rsidR="00CC243A">
        <w:rPr>
          <w:rFonts w:eastAsia="MS Mincho"/>
        </w:rPr>
        <w:t xml:space="preserve">justice </w:t>
      </w:r>
      <w:r>
        <w:rPr>
          <w:rFonts w:eastAsia="MS Mincho"/>
        </w:rPr>
        <w:t xml:space="preserve">dans un communiqué </w:t>
      </w:r>
      <w:r w:rsidR="00B44473">
        <w:rPr>
          <w:rFonts w:eastAsia="MS Mincho"/>
        </w:rPr>
        <w:t>du</w:t>
      </w:r>
      <w:r>
        <w:rPr>
          <w:rFonts w:eastAsia="MS Mincho"/>
        </w:rPr>
        <w:t xml:space="preserve"> 10 juin 2014</w:t>
      </w:r>
      <w:r w:rsidR="00B44473">
        <w:rPr>
          <w:rFonts w:eastAsia="MS Mincho"/>
        </w:rPr>
        <w:t> : l</w:t>
      </w:r>
      <w:r>
        <w:rPr>
          <w:rFonts w:eastAsia="MS Mincho"/>
        </w:rPr>
        <w:t xml:space="preserve">e </w:t>
      </w:r>
      <w:r w:rsidR="00905D0E">
        <w:rPr>
          <w:rFonts w:eastAsia="MS Mincho"/>
        </w:rPr>
        <w:t>M</w:t>
      </w:r>
      <w:r>
        <w:rPr>
          <w:rFonts w:eastAsia="MS Mincho"/>
        </w:rPr>
        <w:t xml:space="preserve">inistre a promis </w:t>
      </w:r>
      <w:r w:rsidR="00480732">
        <w:rPr>
          <w:rFonts w:eastAsia="MS Mincho"/>
        </w:rPr>
        <w:t>d’enquêter</w:t>
      </w:r>
      <w:r>
        <w:rPr>
          <w:rFonts w:eastAsia="MS Mincho"/>
        </w:rPr>
        <w:t xml:space="preserve"> </w:t>
      </w:r>
      <w:r w:rsidR="00BB6B49">
        <w:rPr>
          <w:rFonts w:eastAsia="MS Mincho"/>
        </w:rPr>
        <w:t xml:space="preserve">sur </w:t>
      </w:r>
      <w:r>
        <w:rPr>
          <w:rFonts w:eastAsia="MS Mincho"/>
        </w:rPr>
        <w:t>les allégations de torture</w:t>
      </w:r>
      <w:r w:rsidR="00480732">
        <w:rPr>
          <w:rFonts w:eastAsia="MS Mincho"/>
        </w:rPr>
        <w:t>, mais aussi de poursuivre</w:t>
      </w:r>
      <w:r>
        <w:rPr>
          <w:rFonts w:eastAsia="MS Mincho"/>
        </w:rPr>
        <w:t xml:space="preserve"> les auteurs de dénonciation</w:t>
      </w:r>
      <w:r w:rsidR="00480732">
        <w:rPr>
          <w:rFonts w:eastAsia="MS Mincho"/>
        </w:rPr>
        <w:t>s</w:t>
      </w:r>
      <w:r w:rsidR="00D90BDD">
        <w:rPr>
          <w:rFonts w:eastAsia="MS Mincho"/>
        </w:rPr>
        <w:t xml:space="preserve"> </w:t>
      </w:r>
      <w:r w:rsidR="00B44473">
        <w:rPr>
          <w:rFonts w:eastAsia="MS Mincho"/>
        </w:rPr>
        <w:t>« </w:t>
      </w:r>
      <w:r>
        <w:rPr>
          <w:rFonts w:eastAsia="MS Mincho"/>
        </w:rPr>
        <w:t>calomnieuse</w:t>
      </w:r>
      <w:r w:rsidR="00480732">
        <w:rPr>
          <w:rFonts w:eastAsia="MS Mincho"/>
        </w:rPr>
        <w:t>s</w:t>
      </w:r>
      <w:r w:rsidR="00B44473">
        <w:rPr>
          <w:rFonts w:eastAsia="MS Mincho"/>
        </w:rPr>
        <w:t> »</w:t>
      </w:r>
      <w:r>
        <w:rPr>
          <w:rFonts w:eastAsia="MS Mincho"/>
        </w:rPr>
        <w:t>. En</w:t>
      </w:r>
      <w:r w:rsidR="00FC5EA5">
        <w:rPr>
          <w:rFonts w:eastAsia="MS Mincho"/>
        </w:rPr>
        <w:t> </w:t>
      </w:r>
      <w:r>
        <w:rPr>
          <w:rFonts w:eastAsia="MS Mincho"/>
        </w:rPr>
        <w:t>pratique, à ce jour, seule la seconde partie de l</w:t>
      </w:r>
      <w:r w:rsidR="00FF46FE">
        <w:rPr>
          <w:rFonts w:eastAsia="MS Mincho"/>
        </w:rPr>
        <w:t>’</w:t>
      </w:r>
      <w:r>
        <w:rPr>
          <w:rFonts w:eastAsia="MS Mincho"/>
        </w:rPr>
        <w:t xml:space="preserve">annonce a été </w:t>
      </w:r>
      <w:r w:rsidR="003E6CFC">
        <w:rPr>
          <w:rFonts w:eastAsia="MS Mincho"/>
        </w:rPr>
        <w:t>s</w:t>
      </w:r>
      <w:r w:rsidR="003E6CFC" w:rsidRPr="003E6CFC">
        <w:rPr>
          <w:rFonts w:eastAsia="MS Mincho"/>
        </w:rPr>
        <w:t>uivie d’effets concrets.</w:t>
      </w:r>
      <w:r w:rsidR="003E6CFC">
        <w:rPr>
          <w:rFonts w:eastAsia="MS Mincho"/>
        </w:rPr>
        <w:t xml:space="preserve"> </w:t>
      </w:r>
    </w:p>
    <w:p w:rsidR="00A51F9F" w:rsidRDefault="00A51F9F" w:rsidP="00B07857">
      <w:pPr>
        <w:pStyle w:val="SingleTxtG"/>
        <w:rPr>
          <w:rFonts w:eastAsia="MS Mincho"/>
        </w:rPr>
      </w:pPr>
      <w:r>
        <w:rPr>
          <w:rFonts w:eastAsia="MS Mincho"/>
        </w:rPr>
        <w:t>6.</w:t>
      </w:r>
      <w:r w:rsidR="00F52F6F">
        <w:rPr>
          <w:rFonts w:eastAsia="MS Mincho"/>
        </w:rPr>
        <w:t>5</w:t>
      </w:r>
      <w:r>
        <w:rPr>
          <w:rFonts w:eastAsia="MS Mincho"/>
        </w:rPr>
        <w:tab/>
        <w:t xml:space="preserve">Dans ces circonstances, </w:t>
      </w:r>
      <w:r w:rsidR="001E5DAB">
        <w:rPr>
          <w:rFonts w:eastAsia="MS Mincho"/>
        </w:rPr>
        <w:t>le requérant</w:t>
      </w:r>
      <w:r>
        <w:rPr>
          <w:rFonts w:eastAsia="MS Mincho"/>
        </w:rPr>
        <w:t xml:space="preserve"> demande </w:t>
      </w:r>
      <w:r w:rsidR="002D5D10">
        <w:rPr>
          <w:rFonts w:eastAsia="MS Mincho"/>
        </w:rPr>
        <w:t>au</w:t>
      </w:r>
      <w:r>
        <w:rPr>
          <w:rFonts w:eastAsia="MS Mincho"/>
        </w:rPr>
        <w:t xml:space="preserve"> Comité </w:t>
      </w:r>
      <w:r w:rsidR="002D5D10">
        <w:rPr>
          <w:rFonts w:eastAsia="MS Mincho"/>
        </w:rPr>
        <w:t xml:space="preserve">de </w:t>
      </w:r>
      <w:r>
        <w:rPr>
          <w:rFonts w:eastAsia="MS Mincho"/>
        </w:rPr>
        <w:t>constate</w:t>
      </w:r>
      <w:r w:rsidR="002D5D10">
        <w:rPr>
          <w:rFonts w:eastAsia="MS Mincho"/>
        </w:rPr>
        <w:t>r</w:t>
      </w:r>
      <w:r>
        <w:rPr>
          <w:rFonts w:eastAsia="MS Mincho"/>
        </w:rPr>
        <w:t xml:space="preserve"> une violation de l</w:t>
      </w:r>
      <w:r w:rsidR="00FF46FE">
        <w:rPr>
          <w:rFonts w:eastAsia="MS Mincho"/>
        </w:rPr>
        <w:t>’</w:t>
      </w:r>
      <w:r>
        <w:rPr>
          <w:rFonts w:eastAsia="MS Mincho"/>
        </w:rPr>
        <w:t>article 13 de la Convention</w:t>
      </w:r>
      <w:r w:rsidR="001E5DAB">
        <w:rPr>
          <w:rFonts w:eastAsia="MS Mincho"/>
        </w:rPr>
        <w:t xml:space="preserve"> et</w:t>
      </w:r>
      <w:r>
        <w:rPr>
          <w:rFonts w:eastAsia="MS Mincho"/>
        </w:rPr>
        <w:t xml:space="preserve"> </w:t>
      </w:r>
      <w:r w:rsidR="002D5D10">
        <w:rPr>
          <w:rFonts w:eastAsia="MS Mincho"/>
        </w:rPr>
        <w:t>de se prononcer</w:t>
      </w:r>
      <w:r>
        <w:rPr>
          <w:rFonts w:eastAsia="MS Mincho"/>
        </w:rPr>
        <w:t xml:space="preserve"> au plus vite sur </w:t>
      </w:r>
      <w:r w:rsidR="002D5D10">
        <w:rPr>
          <w:rFonts w:eastAsia="MS Mincho"/>
        </w:rPr>
        <w:t>son cas</w:t>
      </w:r>
      <w:r>
        <w:rPr>
          <w:rFonts w:eastAsia="MS Mincho"/>
        </w:rPr>
        <w:t xml:space="preserve">. </w:t>
      </w:r>
      <w:r w:rsidR="001E5DAB">
        <w:rPr>
          <w:rFonts w:eastAsia="MS Mincho"/>
        </w:rPr>
        <w:t>Il</w:t>
      </w:r>
      <w:r>
        <w:rPr>
          <w:rFonts w:eastAsia="MS Mincho"/>
        </w:rPr>
        <w:t xml:space="preserve"> demande </w:t>
      </w:r>
      <w:r w:rsidR="001E5DAB">
        <w:rPr>
          <w:rFonts w:eastAsia="MS Mincho"/>
        </w:rPr>
        <w:t xml:space="preserve">également </w:t>
      </w:r>
      <w:r>
        <w:rPr>
          <w:rFonts w:eastAsia="MS Mincho"/>
        </w:rPr>
        <w:t>au Comité d</w:t>
      </w:r>
      <w:r w:rsidR="00FF46FE">
        <w:rPr>
          <w:rFonts w:eastAsia="MS Mincho"/>
        </w:rPr>
        <w:t>’</w:t>
      </w:r>
      <w:r>
        <w:rPr>
          <w:rFonts w:eastAsia="MS Mincho"/>
        </w:rPr>
        <w:t>enjoindre l</w:t>
      </w:r>
      <w:r w:rsidR="00FF46FE">
        <w:rPr>
          <w:rFonts w:eastAsia="MS Mincho"/>
        </w:rPr>
        <w:t>’État</w:t>
      </w:r>
      <w:r>
        <w:rPr>
          <w:rFonts w:eastAsia="MS Mincho"/>
        </w:rPr>
        <w:t xml:space="preserve"> partie de faire cesser immédiatement ces intimidations.</w:t>
      </w:r>
    </w:p>
    <w:p w:rsidR="00666333" w:rsidRPr="00666333" w:rsidRDefault="008B76F4">
      <w:pPr>
        <w:pStyle w:val="SingleTxtG"/>
        <w:rPr>
          <w:rFonts w:eastAsia="MS Mincho"/>
        </w:rPr>
      </w:pPr>
      <w:r>
        <w:rPr>
          <w:rFonts w:eastAsia="MS Mincho"/>
        </w:rPr>
        <w:t>6.</w:t>
      </w:r>
      <w:r w:rsidR="00F52F6F">
        <w:rPr>
          <w:rFonts w:eastAsia="MS Mincho"/>
        </w:rPr>
        <w:t>6</w:t>
      </w:r>
      <w:r w:rsidR="00666333">
        <w:rPr>
          <w:rFonts w:eastAsia="MS Mincho"/>
        </w:rPr>
        <w:tab/>
      </w:r>
      <w:r w:rsidR="00666333" w:rsidRPr="00666333">
        <w:rPr>
          <w:rFonts w:eastAsia="MS Mincho"/>
        </w:rPr>
        <w:t xml:space="preserve">Le 18 février 2015, </w:t>
      </w:r>
      <w:r w:rsidR="00666333">
        <w:rPr>
          <w:rFonts w:eastAsia="MS Mincho"/>
        </w:rPr>
        <w:t xml:space="preserve">le conseil </w:t>
      </w:r>
      <w:r w:rsidR="00636ECD">
        <w:rPr>
          <w:rFonts w:eastAsia="MS Mincho"/>
        </w:rPr>
        <w:t xml:space="preserve">a demandé </w:t>
      </w:r>
      <w:r w:rsidR="00666333" w:rsidRPr="00666333">
        <w:rPr>
          <w:rFonts w:eastAsia="MS Mincho"/>
        </w:rPr>
        <w:t xml:space="preserve">au Comité </w:t>
      </w:r>
      <w:r w:rsidR="001E5DAB">
        <w:rPr>
          <w:rFonts w:eastAsia="MS Mincho"/>
        </w:rPr>
        <w:t>d’</w:t>
      </w:r>
      <w:r w:rsidR="00666333" w:rsidRPr="00666333">
        <w:rPr>
          <w:rFonts w:eastAsia="MS Mincho"/>
        </w:rPr>
        <w:t xml:space="preserve">organiser une audition des parties, comme cela a été fait le 8 mai 2012 </w:t>
      </w:r>
      <w:r w:rsidR="001E5DAB" w:rsidRPr="00666333">
        <w:rPr>
          <w:rFonts w:eastAsia="MS Mincho"/>
        </w:rPr>
        <w:t>dans l</w:t>
      </w:r>
      <w:r w:rsidR="001E5DAB">
        <w:rPr>
          <w:rFonts w:eastAsia="MS Mincho"/>
        </w:rPr>
        <w:t>’</w:t>
      </w:r>
      <w:r w:rsidR="001E5DAB" w:rsidRPr="00666333">
        <w:rPr>
          <w:rFonts w:eastAsia="MS Mincho"/>
        </w:rPr>
        <w:t xml:space="preserve">affaire </w:t>
      </w:r>
      <w:r w:rsidR="001E5DAB" w:rsidRPr="00E93E9F">
        <w:rPr>
          <w:rFonts w:eastAsia="MS Mincho"/>
          <w:i/>
          <w:iCs/>
        </w:rPr>
        <w:t xml:space="preserve">Abdussamatov et </w:t>
      </w:r>
      <w:r w:rsidR="00403835">
        <w:rPr>
          <w:rFonts w:eastAsia="MS Mincho"/>
          <w:i/>
          <w:iCs/>
        </w:rPr>
        <w:t>consorts</w:t>
      </w:r>
      <w:r w:rsidR="00403835" w:rsidRPr="00E93E9F">
        <w:rPr>
          <w:rFonts w:eastAsia="MS Mincho"/>
          <w:i/>
          <w:iCs/>
        </w:rPr>
        <w:t xml:space="preserve"> </w:t>
      </w:r>
      <w:r w:rsidR="001E5DAB" w:rsidRPr="00E93E9F">
        <w:rPr>
          <w:rFonts w:eastAsia="MS Mincho"/>
          <w:i/>
          <w:iCs/>
        </w:rPr>
        <w:t>c</w:t>
      </w:r>
      <w:r w:rsidR="00711F8D" w:rsidRPr="00E93E9F">
        <w:rPr>
          <w:rFonts w:eastAsia="MS Mincho"/>
          <w:i/>
          <w:iCs/>
        </w:rPr>
        <w:t>.</w:t>
      </w:r>
      <w:r w:rsidR="001E5DAB" w:rsidRPr="00E93E9F">
        <w:rPr>
          <w:rFonts w:eastAsia="MS Mincho"/>
          <w:i/>
          <w:iCs/>
        </w:rPr>
        <w:t xml:space="preserve"> Kazakhstan</w:t>
      </w:r>
      <w:r w:rsidR="001E5DAB">
        <w:rPr>
          <w:rStyle w:val="FootnoteReference"/>
          <w:rFonts w:eastAsia="MS Mincho"/>
        </w:rPr>
        <w:footnoteReference w:id="15"/>
      </w:r>
      <w:r w:rsidR="001E5DAB">
        <w:rPr>
          <w:rFonts w:eastAsia="MS Mincho"/>
        </w:rPr>
        <w:t xml:space="preserve"> </w:t>
      </w:r>
      <w:r w:rsidR="00666333" w:rsidRPr="00666333">
        <w:rPr>
          <w:rFonts w:eastAsia="MS Mincho"/>
        </w:rPr>
        <w:t xml:space="preserve">à la demande </w:t>
      </w:r>
      <w:r w:rsidR="001E5DAB">
        <w:rPr>
          <w:rFonts w:eastAsia="MS Mincho"/>
        </w:rPr>
        <w:t>de l’État partie</w:t>
      </w:r>
      <w:r w:rsidR="00666333" w:rsidRPr="00666333">
        <w:rPr>
          <w:rFonts w:eastAsia="MS Mincho"/>
        </w:rPr>
        <w:t>.</w:t>
      </w:r>
    </w:p>
    <w:p w:rsidR="00666333" w:rsidRPr="00666333" w:rsidRDefault="008B76F4" w:rsidP="002D5D10">
      <w:pPr>
        <w:pStyle w:val="SingleTxtG"/>
        <w:rPr>
          <w:rFonts w:eastAsia="MS Mincho"/>
        </w:rPr>
      </w:pPr>
      <w:r>
        <w:rPr>
          <w:rFonts w:eastAsia="MS Mincho"/>
        </w:rPr>
        <w:t>6.</w:t>
      </w:r>
      <w:r w:rsidR="00F52F6F">
        <w:rPr>
          <w:rFonts w:eastAsia="MS Mincho"/>
        </w:rPr>
        <w:t>7</w:t>
      </w:r>
      <w:r w:rsidR="00666333">
        <w:rPr>
          <w:rFonts w:eastAsia="MS Mincho"/>
        </w:rPr>
        <w:tab/>
      </w:r>
      <w:r w:rsidR="001E5DAB">
        <w:rPr>
          <w:rFonts w:eastAsia="MS Mincho"/>
        </w:rPr>
        <w:t xml:space="preserve">Le requérant </w:t>
      </w:r>
      <w:r w:rsidR="001B1695">
        <w:rPr>
          <w:rFonts w:eastAsia="MS Mincho"/>
        </w:rPr>
        <w:t>considère que, c</w:t>
      </w:r>
      <w:r w:rsidR="001B1695" w:rsidRPr="00666333">
        <w:rPr>
          <w:rFonts w:eastAsia="MS Mincho"/>
        </w:rPr>
        <w:t xml:space="preserve">omme </w:t>
      </w:r>
      <w:r w:rsidR="00666333" w:rsidRPr="00666333">
        <w:rPr>
          <w:rFonts w:eastAsia="MS Mincho"/>
        </w:rPr>
        <w:t>l</w:t>
      </w:r>
      <w:r w:rsidR="00FF46FE">
        <w:rPr>
          <w:rFonts w:eastAsia="MS Mincho"/>
        </w:rPr>
        <w:t>’</w:t>
      </w:r>
      <w:r w:rsidR="00666333" w:rsidRPr="00666333">
        <w:rPr>
          <w:rFonts w:eastAsia="MS Mincho"/>
        </w:rPr>
        <w:t>illustrent les observations d</w:t>
      </w:r>
      <w:r w:rsidR="007828CC">
        <w:rPr>
          <w:rFonts w:eastAsia="MS Mincho"/>
        </w:rPr>
        <w:t>e l’</w:t>
      </w:r>
      <w:r w:rsidR="007828CC" w:rsidRPr="007828CC">
        <w:rPr>
          <w:rFonts w:eastAsia="MS Mincho"/>
        </w:rPr>
        <w:t>É</w:t>
      </w:r>
      <w:r w:rsidR="007828CC">
        <w:rPr>
          <w:rFonts w:eastAsia="MS Mincho"/>
        </w:rPr>
        <w:t xml:space="preserve">tat partie </w:t>
      </w:r>
      <w:r w:rsidR="00666333" w:rsidRPr="00666333">
        <w:rPr>
          <w:rFonts w:eastAsia="MS Mincho"/>
        </w:rPr>
        <w:t xml:space="preserve">accusant </w:t>
      </w:r>
      <w:r w:rsidR="00666333">
        <w:rPr>
          <w:rFonts w:eastAsia="MS Mincho"/>
        </w:rPr>
        <w:t>le requérant</w:t>
      </w:r>
      <w:r w:rsidR="00666333" w:rsidRPr="00666333">
        <w:rPr>
          <w:rFonts w:eastAsia="MS Mincho"/>
        </w:rPr>
        <w:t xml:space="preserve"> et s</w:t>
      </w:r>
      <w:r w:rsidR="00666333">
        <w:rPr>
          <w:rFonts w:eastAsia="MS Mincho"/>
        </w:rPr>
        <w:t>on</w:t>
      </w:r>
      <w:r w:rsidR="00666333" w:rsidRPr="00666333">
        <w:rPr>
          <w:rFonts w:eastAsia="MS Mincho"/>
        </w:rPr>
        <w:t xml:space="preserve"> conseil d</w:t>
      </w:r>
      <w:r w:rsidR="00FF46FE">
        <w:rPr>
          <w:rFonts w:eastAsia="MS Mincho"/>
        </w:rPr>
        <w:t>’</w:t>
      </w:r>
      <w:r w:rsidR="00666333" w:rsidRPr="00666333">
        <w:rPr>
          <w:rFonts w:eastAsia="MS Mincho"/>
        </w:rPr>
        <w:t xml:space="preserve">instrumentaliser le mécanisme de plainte au Comité à des fins politiques, le procès </w:t>
      </w:r>
      <w:r w:rsidR="001B1695">
        <w:rPr>
          <w:rFonts w:eastAsia="MS Mincho"/>
        </w:rPr>
        <w:t>dont il fait l’objet avec</w:t>
      </w:r>
      <w:r w:rsidR="00666333" w:rsidRPr="00666333">
        <w:rPr>
          <w:rFonts w:eastAsia="MS Mincho"/>
        </w:rPr>
        <w:t xml:space="preserve"> 23 coaccusés </w:t>
      </w:r>
      <w:r w:rsidR="001B1695">
        <w:rPr>
          <w:rFonts w:eastAsia="MS Mincho"/>
        </w:rPr>
        <w:t>est</w:t>
      </w:r>
      <w:r w:rsidR="00666333" w:rsidRPr="00666333">
        <w:rPr>
          <w:rFonts w:eastAsia="MS Mincho"/>
        </w:rPr>
        <w:t xml:space="preserve"> hautement politisé. </w:t>
      </w:r>
      <w:r w:rsidR="001B1695">
        <w:rPr>
          <w:rFonts w:eastAsia="MS Mincho"/>
        </w:rPr>
        <w:t>Il</w:t>
      </w:r>
      <w:r w:rsidR="00FC5EA5">
        <w:rPr>
          <w:rFonts w:eastAsia="MS Mincho"/>
        </w:rPr>
        <w:t> </w:t>
      </w:r>
      <w:r w:rsidR="001B1695">
        <w:rPr>
          <w:rFonts w:eastAsia="MS Mincho"/>
        </w:rPr>
        <w:t>requiert</w:t>
      </w:r>
      <w:r w:rsidR="00666333" w:rsidRPr="00666333">
        <w:rPr>
          <w:rFonts w:eastAsia="MS Mincho"/>
        </w:rPr>
        <w:t xml:space="preserve"> </w:t>
      </w:r>
      <w:r w:rsidR="001B1695">
        <w:rPr>
          <w:rFonts w:eastAsia="MS Mincho"/>
        </w:rPr>
        <w:t>que</w:t>
      </w:r>
      <w:r w:rsidR="00666333" w:rsidRPr="00666333">
        <w:rPr>
          <w:rFonts w:eastAsia="MS Mincho"/>
        </w:rPr>
        <w:t xml:space="preserve"> le débat </w:t>
      </w:r>
      <w:r w:rsidR="001B1695">
        <w:rPr>
          <w:rFonts w:eastAsia="MS Mincho"/>
        </w:rPr>
        <w:t>soit recentré par</w:t>
      </w:r>
      <w:r w:rsidR="001B1695" w:rsidRPr="00666333">
        <w:rPr>
          <w:rFonts w:eastAsia="MS Mincho"/>
        </w:rPr>
        <w:t xml:space="preserve"> </w:t>
      </w:r>
      <w:r w:rsidR="00666333" w:rsidRPr="00666333">
        <w:rPr>
          <w:rFonts w:eastAsia="MS Mincho"/>
        </w:rPr>
        <w:t>une approche strictem</w:t>
      </w:r>
      <w:r w:rsidR="00666333">
        <w:rPr>
          <w:rFonts w:eastAsia="MS Mincho"/>
        </w:rPr>
        <w:t>ent juridique de la situation</w:t>
      </w:r>
      <w:r w:rsidR="001B1695">
        <w:rPr>
          <w:rFonts w:eastAsia="MS Mincho"/>
        </w:rPr>
        <w:t>.</w:t>
      </w:r>
    </w:p>
    <w:p w:rsidR="00666333" w:rsidRDefault="008B76F4">
      <w:pPr>
        <w:pStyle w:val="SingleTxtG"/>
        <w:rPr>
          <w:rFonts w:eastAsia="MS Mincho"/>
        </w:rPr>
      </w:pPr>
      <w:r>
        <w:rPr>
          <w:rFonts w:eastAsia="MS Mincho"/>
        </w:rPr>
        <w:t>6.</w:t>
      </w:r>
      <w:r w:rsidR="00F52F6F">
        <w:rPr>
          <w:rFonts w:eastAsia="MS Mincho"/>
        </w:rPr>
        <w:t>8</w:t>
      </w:r>
      <w:r w:rsidR="00666333">
        <w:rPr>
          <w:rFonts w:eastAsia="MS Mincho"/>
        </w:rPr>
        <w:tab/>
      </w:r>
      <w:r w:rsidR="004634F4">
        <w:rPr>
          <w:rFonts w:eastAsia="MS Mincho"/>
        </w:rPr>
        <w:t>Le requérant</w:t>
      </w:r>
      <w:r w:rsidR="00174DDA">
        <w:rPr>
          <w:rFonts w:eastAsia="MS Mincho"/>
        </w:rPr>
        <w:t xml:space="preserve"> in</w:t>
      </w:r>
      <w:r w:rsidR="007B3841">
        <w:rPr>
          <w:rFonts w:eastAsia="MS Mincho"/>
        </w:rPr>
        <w:t>dique</w:t>
      </w:r>
      <w:r w:rsidR="00174DDA">
        <w:rPr>
          <w:rFonts w:eastAsia="MS Mincho"/>
        </w:rPr>
        <w:t xml:space="preserve"> également que</w:t>
      </w:r>
      <w:r w:rsidR="007B3841">
        <w:rPr>
          <w:rFonts w:eastAsia="MS Mincho"/>
        </w:rPr>
        <w:t>,</w:t>
      </w:r>
      <w:r w:rsidR="00174DDA">
        <w:rPr>
          <w:rFonts w:eastAsia="MS Mincho"/>
        </w:rPr>
        <w:t xml:space="preserve"> </w:t>
      </w:r>
      <w:r w:rsidR="00666333" w:rsidRPr="00666333">
        <w:rPr>
          <w:rFonts w:eastAsia="MS Mincho"/>
        </w:rPr>
        <w:t>depuis qu</w:t>
      </w:r>
      <w:r w:rsidR="00174DDA">
        <w:rPr>
          <w:rFonts w:eastAsia="MS Mincho"/>
        </w:rPr>
        <w:t>’il a adressé sa</w:t>
      </w:r>
      <w:r w:rsidR="00666333" w:rsidRPr="00666333">
        <w:rPr>
          <w:rFonts w:eastAsia="MS Mincho"/>
        </w:rPr>
        <w:t xml:space="preserve"> plainte au Comité, de nombreux articles sont parus dans la presse marocaine délégitimant les démarches entamées par </w:t>
      </w:r>
      <w:r w:rsidR="004634F4">
        <w:rPr>
          <w:rFonts w:eastAsia="MS Mincho"/>
        </w:rPr>
        <w:t>lui</w:t>
      </w:r>
      <w:r w:rsidR="00666333" w:rsidRPr="00666333">
        <w:rPr>
          <w:rFonts w:eastAsia="MS Mincho"/>
        </w:rPr>
        <w:t xml:space="preserve"> et s</w:t>
      </w:r>
      <w:r w:rsidR="00666333">
        <w:rPr>
          <w:rFonts w:eastAsia="MS Mincho"/>
        </w:rPr>
        <w:t>on</w:t>
      </w:r>
      <w:r w:rsidR="00666333" w:rsidRPr="00666333">
        <w:rPr>
          <w:rFonts w:eastAsia="MS Mincho"/>
        </w:rPr>
        <w:t xml:space="preserve"> conseil. </w:t>
      </w:r>
      <w:r w:rsidR="004634F4">
        <w:rPr>
          <w:rFonts w:eastAsia="MS Mincho"/>
        </w:rPr>
        <w:t>Il</w:t>
      </w:r>
      <w:r w:rsidR="00666333" w:rsidRPr="00666333">
        <w:rPr>
          <w:rFonts w:eastAsia="MS Mincho"/>
        </w:rPr>
        <w:t xml:space="preserve"> y est souvent présenté comme une menace pour l</w:t>
      </w:r>
      <w:r w:rsidR="00FF46FE">
        <w:rPr>
          <w:rFonts w:eastAsia="MS Mincho"/>
        </w:rPr>
        <w:t>’</w:t>
      </w:r>
      <w:r w:rsidR="00666333" w:rsidRPr="00666333">
        <w:rPr>
          <w:rFonts w:eastAsia="MS Mincho"/>
        </w:rPr>
        <w:t>État, comme un agent algérien ou comme un meurtrier qui cherche</w:t>
      </w:r>
      <w:r w:rsidR="000007C9">
        <w:rPr>
          <w:rFonts w:eastAsia="MS Mincho"/>
        </w:rPr>
        <w:t xml:space="preserve"> à</w:t>
      </w:r>
      <w:r w:rsidR="00666333" w:rsidRPr="00666333">
        <w:rPr>
          <w:rFonts w:eastAsia="MS Mincho"/>
        </w:rPr>
        <w:t xml:space="preserve"> se soustraire </w:t>
      </w:r>
      <w:r w:rsidR="00E64813">
        <w:rPr>
          <w:rFonts w:eastAsia="MS Mincho"/>
        </w:rPr>
        <w:t>à</w:t>
      </w:r>
      <w:r w:rsidR="00E64813" w:rsidRPr="00666333">
        <w:rPr>
          <w:rFonts w:eastAsia="MS Mincho"/>
        </w:rPr>
        <w:t xml:space="preserve"> </w:t>
      </w:r>
      <w:r w:rsidR="00666333" w:rsidRPr="00666333">
        <w:rPr>
          <w:rFonts w:eastAsia="MS Mincho"/>
        </w:rPr>
        <w:t>ses responsabilités.</w:t>
      </w:r>
    </w:p>
    <w:p w:rsidR="00056653" w:rsidRDefault="00056653">
      <w:pPr>
        <w:pStyle w:val="SingleTxtG"/>
        <w:rPr>
          <w:rFonts w:eastAsia="MS Mincho"/>
        </w:rPr>
      </w:pPr>
      <w:r>
        <w:rPr>
          <w:rFonts w:eastAsia="MS Mincho"/>
        </w:rPr>
        <w:t>6.</w:t>
      </w:r>
      <w:r w:rsidR="00F52F6F">
        <w:rPr>
          <w:rFonts w:eastAsia="MS Mincho"/>
        </w:rPr>
        <w:t>9</w:t>
      </w:r>
      <w:r w:rsidR="008C3BF2">
        <w:rPr>
          <w:rFonts w:eastAsia="MS Mincho"/>
        </w:rPr>
        <w:tab/>
      </w:r>
      <w:r>
        <w:rPr>
          <w:rFonts w:eastAsia="MS Mincho"/>
        </w:rPr>
        <w:t xml:space="preserve">Le 6 mars 2015, le conseil a ajouté que l’avocat marocain d’ACAT-France </w:t>
      </w:r>
      <w:r w:rsidR="00C17D9F">
        <w:rPr>
          <w:rFonts w:eastAsia="MS Mincho"/>
        </w:rPr>
        <w:t xml:space="preserve">s’était </w:t>
      </w:r>
      <w:r>
        <w:rPr>
          <w:rFonts w:eastAsia="MS Mincho"/>
        </w:rPr>
        <w:t>rendu au tribunal de grande instance de Rabat et a</w:t>
      </w:r>
      <w:r w:rsidR="00C17D9F">
        <w:rPr>
          <w:rFonts w:eastAsia="MS Mincho"/>
        </w:rPr>
        <w:t>vait</w:t>
      </w:r>
      <w:r>
        <w:rPr>
          <w:rFonts w:eastAsia="MS Mincho"/>
        </w:rPr>
        <w:t xml:space="preserve"> tenté d’obtenir</w:t>
      </w:r>
      <w:r w:rsidR="00174DDA">
        <w:rPr>
          <w:rFonts w:eastAsia="MS Mincho"/>
        </w:rPr>
        <w:t xml:space="preserve"> une</w:t>
      </w:r>
      <w:r>
        <w:rPr>
          <w:rFonts w:eastAsia="MS Mincho"/>
        </w:rPr>
        <w:t xml:space="preserve"> copie de la plainte</w:t>
      </w:r>
      <w:r w:rsidR="00274343">
        <w:rPr>
          <w:rFonts w:eastAsia="MS Mincho"/>
        </w:rPr>
        <w:t xml:space="preserve"> du Ministère de l’intérieur</w:t>
      </w:r>
      <w:r w:rsidR="00AE0E81">
        <w:rPr>
          <w:rFonts w:eastAsia="MS Mincho"/>
        </w:rPr>
        <w:t xml:space="preserve"> marocain</w:t>
      </w:r>
      <w:r>
        <w:rPr>
          <w:rFonts w:eastAsia="MS Mincho"/>
        </w:rPr>
        <w:t>. Le juge a refusé de</w:t>
      </w:r>
      <w:r w:rsidR="00274343">
        <w:rPr>
          <w:rFonts w:eastAsia="MS Mincho"/>
        </w:rPr>
        <w:t xml:space="preserve"> lui </w:t>
      </w:r>
      <w:r>
        <w:rPr>
          <w:rFonts w:eastAsia="MS Mincho"/>
        </w:rPr>
        <w:t xml:space="preserve">remettre </w:t>
      </w:r>
      <w:r w:rsidR="00174DDA">
        <w:rPr>
          <w:rFonts w:eastAsia="MS Mincho"/>
        </w:rPr>
        <w:t xml:space="preserve">la </w:t>
      </w:r>
      <w:r>
        <w:rPr>
          <w:rFonts w:eastAsia="MS Mincho"/>
        </w:rPr>
        <w:t xml:space="preserve">copie </w:t>
      </w:r>
      <w:r w:rsidR="00174DDA">
        <w:rPr>
          <w:rFonts w:eastAsia="MS Mincho"/>
        </w:rPr>
        <w:t xml:space="preserve">demandée </w:t>
      </w:r>
      <w:r>
        <w:rPr>
          <w:rFonts w:eastAsia="MS Mincho"/>
        </w:rPr>
        <w:t xml:space="preserve">mais a confirmé </w:t>
      </w:r>
      <w:r w:rsidR="00174DDA">
        <w:rPr>
          <w:rFonts w:eastAsia="MS Mincho"/>
        </w:rPr>
        <w:t xml:space="preserve">que la plainte </w:t>
      </w:r>
      <w:r>
        <w:rPr>
          <w:rFonts w:eastAsia="MS Mincho"/>
        </w:rPr>
        <w:t xml:space="preserve">visait également le requérant. </w:t>
      </w:r>
    </w:p>
    <w:p w:rsidR="008A17B6" w:rsidRPr="008A17B6" w:rsidRDefault="00F727CD" w:rsidP="00E93E9F">
      <w:pPr>
        <w:pStyle w:val="H23G"/>
        <w:rPr>
          <w:rFonts w:eastAsia="MS Mincho"/>
        </w:rPr>
      </w:pPr>
      <w:r>
        <w:rPr>
          <w:rFonts w:eastAsia="MS Mincho"/>
        </w:rPr>
        <w:tab/>
      </w:r>
      <w:r>
        <w:rPr>
          <w:rFonts w:eastAsia="MS Mincho"/>
        </w:rPr>
        <w:tab/>
      </w:r>
      <w:r w:rsidR="008A17B6" w:rsidRPr="006B3FBC">
        <w:rPr>
          <w:rFonts w:eastAsia="MS Mincho"/>
        </w:rPr>
        <w:t>Information</w:t>
      </w:r>
      <w:r w:rsidR="008A17B6">
        <w:rPr>
          <w:rFonts w:eastAsia="MS Mincho"/>
        </w:rPr>
        <w:t>s</w:t>
      </w:r>
      <w:r w:rsidR="008A17B6" w:rsidRPr="006B3FBC">
        <w:rPr>
          <w:rFonts w:eastAsia="MS Mincho"/>
        </w:rPr>
        <w:t xml:space="preserve"> supplémentaire</w:t>
      </w:r>
      <w:r w:rsidR="008A17B6">
        <w:rPr>
          <w:rFonts w:eastAsia="MS Mincho"/>
        </w:rPr>
        <w:t>s</w:t>
      </w:r>
      <w:r w:rsidR="008A17B6" w:rsidRPr="006B3FBC">
        <w:rPr>
          <w:rFonts w:eastAsia="MS Mincho"/>
        </w:rPr>
        <w:t xml:space="preserve"> fournie</w:t>
      </w:r>
      <w:r w:rsidR="008A17B6">
        <w:rPr>
          <w:rFonts w:eastAsia="MS Mincho"/>
        </w:rPr>
        <w:t>s</w:t>
      </w:r>
      <w:r w:rsidR="008A17B6" w:rsidRPr="006B3FBC">
        <w:rPr>
          <w:rFonts w:eastAsia="MS Mincho"/>
        </w:rPr>
        <w:t xml:space="preserve"> par </w:t>
      </w:r>
      <w:r w:rsidR="008A17B6">
        <w:rPr>
          <w:rFonts w:eastAsia="MS Mincho"/>
        </w:rPr>
        <w:t>l’État partie</w:t>
      </w:r>
    </w:p>
    <w:p w:rsidR="008B76F4" w:rsidRDefault="008B76F4">
      <w:pPr>
        <w:pStyle w:val="SingleTxtG"/>
        <w:rPr>
          <w:rFonts w:eastAsia="MS Mincho"/>
        </w:rPr>
      </w:pPr>
      <w:r>
        <w:rPr>
          <w:rFonts w:eastAsia="MS Mincho"/>
        </w:rPr>
        <w:t>7.1</w:t>
      </w:r>
      <w:r>
        <w:rPr>
          <w:rFonts w:eastAsia="MS Mincho"/>
        </w:rPr>
        <w:tab/>
        <w:t>Le 12 mars 2015, l’</w:t>
      </w:r>
      <w:r w:rsidR="009A0C7B" w:rsidRPr="009A0C7B">
        <w:rPr>
          <w:rFonts w:eastAsia="MS Mincho"/>
        </w:rPr>
        <w:t>É</w:t>
      </w:r>
      <w:r>
        <w:rPr>
          <w:rFonts w:eastAsia="MS Mincho"/>
        </w:rPr>
        <w:t xml:space="preserve">tat partie </w:t>
      </w:r>
      <w:r w:rsidR="006A6A01">
        <w:rPr>
          <w:rFonts w:eastAsia="MS Mincho"/>
        </w:rPr>
        <w:t xml:space="preserve">a </w:t>
      </w:r>
      <w:r>
        <w:rPr>
          <w:rFonts w:eastAsia="MS Mincho"/>
        </w:rPr>
        <w:t>répond</w:t>
      </w:r>
      <w:r w:rsidR="006A6A01">
        <w:rPr>
          <w:rFonts w:eastAsia="MS Mincho"/>
        </w:rPr>
        <w:t>u</w:t>
      </w:r>
      <w:r>
        <w:rPr>
          <w:rFonts w:eastAsia="MS Mincho"/>
        </w:rPr>
        <w:t xml:space="preserve"> que</w:t>
      </w:r>
      <w:r w:rsidR="006A6A01">
        <w:rPr>
          <w:rFonts w:eastAsia="MS Mincho"/>
        </w:rPr>
        <w:t>,</w:t>
      </w:r>
      <w:r>
        <w:rPr>
          <w:rFonts w:eastAsia="MS Mincho"/>
        </w:rPr>
        <w:t xml:space="preserve"> </w:t>
      </w:r>
      <w:r w:rsidR="00901C2B">
        <w:rPr>
          <w:rFonts w:eastAsia="MS Mincho"/>
        </w:rPr>
        <w:t xml:space="preserve">puisque </w:t>
      </w:r>
      <w:r>
        <w:rPr>
          <w:rFonts w:eastAsia="MS Mincho"/>
        </w:rPr>
        <w:t>le Comité a</w:t>
      </w:r>
      <w:r w:rsidR="00901C2B">
        <w:rPr>
          <w:rFonts w:eastAsia="MS Mincho"/>
        </w:rPr>
        <w:t>vait</w:t>
      </w:r>
      <w:r>
        <w:rPr>
          <w:rFonts w:eastAsia="MS Mincho"/>
        </w:rPr>
        <w:t xml:space="preserve"> décidé de n’examiner à ce stade que la recevabilité de la communication, </w:t>
      </w:r>
      <w:r w:rsidR="00BE1BEF">
        <w:rPr>
          <w:rFonts w:eastAsia="MS Mincho"/>
        </w:rPr>
        <w:t>il consid</w:t>
      </w:r>
      <w:r w:rsidR="00A216CC">
        <w:rPr>
          <w:rFonts w:eastAsia="MS Mincho"/>
        </w:rPr>
        <w:t>érait</w:t>
      </w:r>
      <w:r w:rsidR="00BE1BEF">
        <w:rPr>
          <w:rFonts w:eastAsia="MS Mincho"/>
        </w:rPr>
        <w:t xml:space="preserve"> inopportun de se prononcer</w:t>
      </w:r>
      <w:r>
        <w:rPr>
          <w:rFonts w:eastAsia="MS Mincho"/>
        </w:rPr>
        <w:t xml:space="preserve"> sur une éventuelle violation de l’article 13 de la Convention. L’</w:t>
      </w:r>
      <w:r w:rsidR="009A0C7B" w:rsidRPr="009A0C7B">
        <w:rPr>
          <w:rFonts w:eastAsia="MS Mincho"/>
        </w:rPr>
        <w:t>É</w:t>
      </w:r>
      <w:r>
        <w:rPr>
          <w:rFonts w:eastAsia="MS Mincho"/>
        </w:rPr>
        <w:t xml:space="preserve">tat partie souhaite </w:t>
      </w:r>
      <w:r w:rsidR="005B733D">
        <w:rPr>
          <w:rFonts w:eastAsia="MS Mincho"/>
        </w:rPr>
        <w:t>r</w:t>
      </w:r>
      <w:r>
        <w:rPr>
          <w:rFonts w:eastAsia="MS Mincho"/>
        </w:rPr>
        <w:t xml:space="preserve">assurer le Comité de ce que la plainte </w:t>
      </w:r>
      <w:r w:rsidR="00BE1BEF">
        <w:rPr>
          <w:rFonts w:eastAsia="MS Mincho"/>
        </w:rPr>
        <w:t xml:space="preserve">présentée contre le requérant et son conseil </w:t>
      </w:r>
      <w:r>
        <w:rPr>
          <w:rFonts w:eastAsia="MS Mincho"/>
        </w:rPr>
        <w:lastRenderedPageBreak/>
        <w:t xml:space="preserve">ne saurait être </w:t>
      </w:r>
      <w:r w:rsidR="00257A5A">
        <w:rPr>
          <w:rFonts w:eastAsia="MS Mincho"/>
        </w:rPr>
        <w:t>interprétée</w:t>
      </w:r>
      <w:r>
        <w:rPr>
          <w:rFonts w:eastAsia="MS Mincho"/>
        </w:rPr>
        <w:t xml:space="preserve"> comme une mesure de représaille</w:t>
      </w:r>
      <w:r w:rsidR="00BE1BEF">
        <w:rPr>
          <w:rFonts w:eastAsia="MS Mincho"/>
        </w:rPr>
        <w:t>s</w:t>
      </w:r>
      <w:r>
        <w:rPr>
          <w:rFonts w:eastAsia="MS Mincho"/>
        </w:rPr>
        <w:t xml:space="preserve">. </w:t>
      </w:r>
      <w:r w:rsidR="00BE1BEF">
        <w:rPr>
          <w:rFonts w:eastAsia="MS Mincho"/>
        </w:rPr>
        <w:t>Il</w:t>
      </w:r>
      <w:r w:rsidR="005B733D">
        <w:rPr>
          <w:rFonts w:eastAsia="MS Mincho"/>
        </w:rPr>
        <w:t xml:space="preserve"> dénonce une série d’actes pénalement répréhensibles imputables à l’</w:t>
      </w:r>
      <w:r w:rsidR="006E3FED">
        <w:rPr>
          <w:rFonts w:eastAsia="MS Mincho"/>
        </w:rPr>
        <w:t>organisation non gouvernementale</w:t>
      </w:r>
      <w:r w:rsidR="005B733D">
        <w:rPr>
          <w:rFonts w:eastAsia="MS Mincho"/>
        </w:rPr>
        <w:t xml:space="preserve"> ACAT-France, matérialisés par une campagne « calomnieuse »</w:t>
      </w:r>
      <w:r w:rsidR="00901C2B">
        <w:rPr>
          <w:rFonts w:eastAsia="MS Mincho"/>
        </w:rPr>
        <w:t>,</w:t>
      </w:r>
      <w:r w:rsidR="005B733D">
        <w:rPr>
          <w:rFonts w:eastAsia="MS Mincho"/>
        </w:rPr>
        <w:t xml:space="preserve"> et </w:t>
      </w:r>
      <w:r w:rsidR="00BE1BEF">
        <w:rPr>
          <w:rFonts w:eastAsia="MS Mincho"/>
        </w:rPr>
        <w:t xml:space="preserve">affirme que </w:t>
      </w:r>
      <w:r w:rsidR="005B733D">
        <w:rPr>
          <w:rFonts w:eastAsia="MS Mincho"/>
        </w:rPr>
        <w:t xml:space="preserve">c’est à ce titre que les autorités marocaines ont considéré devoir </w:t>
      </w:r>
      <w:r w:rsidR="00BE1BEF">
        <w:rPr>
          <w:rFonts w:eastAsia="MS Mincho"/>
        </w:rPr>
        <w:t>porter</w:t>
      </w:r>
      <w:r w:rsidR="00A41119">
        <w:rPr>
          <w:rFonts w:eastAsia="MS Mincho"/>
        </w:rPr>
        <w:t xml:space="preserve"> plainte pour diffamation, dénonciation calomnieuse et outrage envers les corps constitués. L’</w:t>
      </w:r>
      <w:r w:rsidR="009A0C7B" w:rsidRPr="009A0C7B">
        <w:rPr>
          <w:rFonts w:eastAsia="MS Mincho"/>
        </w:rPr>
        <w:t>É</w:t>
      </w:r>
      <w:r w:rsidR="00A41119">
        <w:rPr>
          <w:rFonts w:eastAsia="MS Mincho"/>
        </w:rPr>
        <w:t>tat partie assure que cela n</w:t>
      </w:r>
      <w:r>
        <w:rPr>
          <w:rFonts w:eastAsia="MS Mincho"/>
        </w:rPr>
        <w:t xml:space="preserve">e remet pas en question la possibilité pour le requérant </w:t>
      </w:r>
      <w:r w:rsidR="00BE1BEF">
        <w:rPr>
          <w:rFonts w:eastAsia="MS Mincho"/>
        </w:rPr>
        <w:t>de présenter sa requête devant</w:t>
      </w:r>
      <w:r w:rsidR="00A41119">
        <w:rPr>
          <w:rFonts w:eastAsia="MS Mincho"/>
        </w:rPr>
        <w:t xml:space="preserve"> le Comité.</w:t>
      </w:r>
    </w:p>
    <w:p w:rsidR="008B76F4" w:rsidRDefault="008B76F4">
      <w:pPr>
        <w:pStyle w:val="SingleTxtG"/>
        <w:rPr>
          <w:rFonts w:eastAsia="MS Mincho"/>
        </w:rPr>
      </w:pPr>
      <w:r>
        <w:rPr>
          <w:rFonts w:eastAsia="MS Mincho"/>
        </w:rPr>
        <w:t>7.2</w:t>
      </w:r>
      <w:r>
        <w:rPr>
          <w:rFonts w:eastAsia="MS Mincho"/>
        </w:rPr>
        <w:tab/>
        <w:t>S’agissant de la demande d’audition des parties, l’</w:t>
      </w:r>
      <w:r w:rsidR="009A0C7B" w:rsidRPr="009A0C7B">
        <w:rPr>
          <w:rFonts w:eastAsia="MS Mincho"/>
        </w:rPr>
        <w:t>É</w:t>
      </w:r>
      <w:r>
        <w:rPr>
          <w:rFonts w:eastAsia="MS Mincho"/>
        </w:rPr>
        <w:t>tat partie s’étonne d’une telle démarche qui n</w:t>
      </w:r>
      <w:r w:rsidR="00F90247">
        <w:rPr>
          <w:rFonts w:eastAsia="MS Mincho"/>
        </w:rPr>
        <w:t xml:space="preserve">e peut </w:t>
      </w:r>
      <w:r w:rsidR="00BE1BEF">
        <w:rPr>
          <w:rFonts w:eastAsia="MS Mincho"/>
        </w:rPr>
        <w:t>en principe provenir que</w:t>
      </w:r>
      <w:r w:rsidR="00D90BDD">
        <w:rPr>
          <w:rFonts w:eastAsia="MS Mincho"/>
        </w:rPr>
        <w:t xml:space="preserve"> </w:t>
      </w:r>
      <w:r>
        <w:rPr>
          <w:rFonts w:eastAsia="MS Mincho"/>
        </w:rPr>
        <w:t>de l’</w:t>
      </w:r>
      <w:r w:rsidR="009A0C7B" w:rsidRPr="009A0C7B">
        <w:rPr>
          <w:rFonts w:eastAsia="MS Mincho"/>
        </w:rPr>
        <w:t>É</w:t>
      </w:r>
      <w:r>
        <w:rPr>
          <w:rFonts w:eastAsia="MS Mincho"/>
        </w:rPr>
        <w:t>tat partie et non du conseil</w:t>
      </w:r>
      <w:r w:rsidR="00BE1BEF">
        <w:rPr>
          <w:rFonts w:eastAsia="MS Mincho"/>
        </w:rPr>
        <w:t xml:space="preserve">, comme cela avait été fait dans le cas auquel le requérant </w:t>
      </w:r>
      <w:r w:rsidR="009006BC">
        <w:rPr>
          <w:rFonts w:eastAsia="MS Mincho"/>
        </w:rPr>
        <w:t xml:space="preserve">se </w:t>
      </w:r>
      <w:r w:rsidR="00BE1BEF">
        <w:rPr>
          <w:rFonts w:eastAsia="MS Mincho"/>
        </w:rPr>
        <w:t>réf</w:t>
      </w:r>
      <w:r w:rsidR="009006BC">
        <w:rPr>
          <w:rFonts w:eastAsia="MS Mincho"/>
        </w:rPr>
        <w:t>ère</w:t>
      </w:r>
      <w:r w:rsidR="00F60461">
        <w:rPr>
          <w:rFonts w:eastAsia="MS Mincho"/>
        </w:rPr>
        <w:t xml:space="preserve">. </w:t>
      </w:r>
      <w:r w:rsidR="00960F91">
        <w:rPr>
          <w:rFonts w:eastAsia="MS Mincho"/>
        </w:rPr>
        <w:t>Il</w:t>
      </w:r>
      <w:r w:rsidR="00BE1BEF">
        <w:rPr>
          <w:rFonts w:eastAsia="MS Mincho"/>
        </w:rPr>
        <w:t xml:space="preserve"> ajoute qu’une </w:t>
      </w:r>
      <w:r w:rsidR="00F60461">
        <w:rPr>
          <w:rFonts w:eastAsia="MS Mincho"/>
        </w:rPr>
        <w:t xml:space="preserve">telle procédure n’est pas prévue par le </w:t>
      </w:r>
      <w:r w:rsidR="004315BB">
        <w:rPr>
          <w:rFonts w:eastAsia="MS Mincho"/>
        </w:rPr>
        <w:t xml:space="preserve">règlement </w:t>
      </w:r>
      <w:r w:rsidR="00F60461">
        <w:rPr>
          <w:rFonts w:eastAsia="MS Mincho"/>
        </w:rPr>
        <w:t>intérieur du Comité s’agissant des plaintes au titre de l’article 22 de la Convention.</w:t>
      </w:r>
    </w:p>
    <w:p w:rsidR="00F60461" w:rsidRDefault="00F60461">
      <w:pPr>
        <w:pStyle w:val="SingleTxtG"/>
        <w:rPr>
          <w:rFonts w:eastAsia="MS Mincho"/>
        </w:rPr>
      </w:pPr>
      <w:r>
        <w:rPr>
          <w:rFonts w:eastAsia="MS Mincho"/>
        </w:rPr>
        <w:t>7.3</w:t>
      </w:r>
      <w:r>
        <w:rPr>
          <w:rFonts w:eastAsia="MS Mincho"/>
        </w:rPr>
        <w:tab/>
        <w:t xml:space="preserve">Le 16 avril 2015, en réponse à la lettre </w:t>
      </w:r>
      <w:r w:rsidR="00A41119">
        <w:rPr>
          <w:rFonts w:eastAsia="MS Mincho"/>
        </w:rPr>
        <w:t>du conseil du 6 mars</w:t>
      </w:r>
      <w:r>
        <w:rPr>
          <w:rFonts w:eastAsia="MS Mincho"/>
        </w:rPr>
        <w:t xml:space="preserve"> 2015, l’</w:t>
      </w:r>
      <w:r w:rsidR="009A0C7B" w:rsidRPr="009A0C7B">
        <w:rPr>
          <w:rFonts w:eastAsia="MS Mincho"/>
        </w:rPr>
        <w:t>É</w:t>
      </w:r>
      <w:r>
        <w:rPr>
          <w:rFonts w:eastAsia="MS Mincho"/>
        </w:rPr>
        <w:t xml:space="preserve">tat partie </w:t>
      </w:r>
      <w:r w:rsidR="00975DCD">
        <w:rPr>
          <w:rFonts w:eastAsia="MS Mincho"/>
        </w:rPr>
        <w:t xml:space="preserve">a </w:t>
      </w:r>
      <w:r>
        <w:rPr>
          <w:rFonts w:eastAsia="MS Mincho"/>
        </w:rPr>
        <w:t>not</w:t>
      </w:r>
      <w:r w:rsidR="00975DCD">
        <w:rPr>
          <w:rFonts w:eastAsia="MS Mincho"/>
        </w:rPr>
        <w:t>é</w:t>
      </w:r>
      <w:r>
        <w:rPr>
          <w:rFonts w:eastAsia="MS Mincho"/>
        </w:rPr>
        <w:t xml:space="preserve"> que </w:t>
      </w:r>
      <w:r w:rsidR="00943649">
        <w:rPr>
          <w:rFonts w:eastAsia="MS Mincho"/>
        </w:rPr>
        <w:t xml:space="preserve">l’accès au dossier pénal </w:t>
      </w:r>
      <w:r w:rsidR="00975DCD">
        <w:rPr>
          <w:rFonts w:eastAsia="MS Mincho"/>
        </w:rPr>
        <w:t>était</w:t>
      </w:r>
      <w:r w:rsidR="00943649" w:rsidRPr="00943649">
        <w:rPr>
          <w:rFonts w:eastAsia="MS Mincho"/>
        </w:rPr>
        <w:t xml:space="preserve"> organisé </w:t>
      </w:r>
      <w:r w:rsidR="00A41119">
        <w:rPr>
          <w:rFonts w:eastAsia="MS Mincho"/>
        </w:rPr>
        <w:t xml:space="preserve">en </w:t>
      </w:r>
      <w:r>
        <w:rPr>
          <w:rFonts w:eastAsia="MS Mincho"/>
        </w:rPr>
        <w:t>deux étapes. La première est une phase préliminaire dans laquelle il n’est pas possible d’accéder au dossier pénal</w:t>
      </w:r>
      <w:r w:rsidR="00BE1BEF">
        <w:rPr>
          <w:rStyle w:val="FootnoteReference"/>
          <w:rFonts w:eastAsia="MS Mincho"/>
        </w:rPr>
        <w:footnoteReference w:id="16"/>
      </w:r>
      <w:r w:rsidR="00772EB8">
        <w:rPr>
          <w:rFonts w:eastAsia="MS Mincho"/>
        </w:rPr>
        <w:t>.</w:t>
      </w:r>
      <w:r>
        <w:rPr>
          <w:rFonts w:eastAsia="MS Mincho"/>
        </w:rPr>
        <w:t xml:space="preserve"> La deuxième est celle de l’audition détaillée durant laquelle l’accès au dossier pénal est possible</w:t>
      </w:r>
      <w:r w:rsidR="00BE1BEF">
        <w:rPr>
          <w:rStyle w:val="FootnoteReference"/>
          <w:rFonts w:eastAsia="MS Mincho"/>
        </w:rPr>
        <w:footnoteReference w:id="17"/>
      </w:r>
      <w:r w:rsidR="00772EB8">
        <w:rPr>
          <w:rFonts w:eastAsia="MS Mincho"/>
        </w:rPr>
        <w:t>.</w:t>
      </w:r>
      <w:r w:rsidR="00A41119">
        <w:rPr>
          <w:rFonts w:eastAsia="MS Mincho"/>
        </w:rPr>
        <w:t xml:space="preserve"> </w:t>
      </w:r>
      <w:r w:rsidR="00BE1BEF">
        <w:rPr>
          <w:rFonts w:eastAsia="MS Mincho"/>
        </w:rPr>
        <w:t>Au cours</w:t>
      </w:r>
      <w:r w:rsidR="00A41119">
        <w:rPr>
          <w:rFonts w:eastAsia="MS Mincho"/>
        </w:rPr>
        <w:t xml:space="preserve"> de cette phase</w:t>
      </w:r>
      <w:r w:rsidR="00BE1BEF">
        <w:rPr>
          <w:rFonts w:eastAsia="MS Mincho"/>
        </w:rPr>
        <w:t>,</w:t>
      </w:r>
      <w:r w:rsidR="00A41119">
        <w:rPr>
          <w:rFonts w:eastAsia="MS Mincho"/>
        </w:rPr>
        <w:t xml:space="preserve"> les parties peuvent être entendues en présence des conseils. </w:t>
      </w:r>
      <w:r w:rsidR="000E260C">
        <w:rPr>
          <w:rFonts w:eastAsia="MS Mincho"/>
        </w:rPr>
        <w:t xml:space="preserve">Dans le cas présent, le juge a refusé de fournir une copie du dossier pénal </w:t>
      </w:r>
      <w:r w:rsidR="00960F91">
        <w:rPr>
          <w:rFonts w:eastAsia="MS Mincho"/>
        </w:rPr>
        <w:t>au conseil marocain d’ACAT</w:t>
      </w:r>
      <w:r w:rsidR="00EC7C24">
        <w:rPr>
          <w:rFonts w:eastAsia="MS Mincho"/>
        </w:rPr>
        <w:t>-</w:t>
      </w:r>
      <w:r w:rsidR="00960F91">
        <w:rPr>
          <w:rFonts w:eastAsia="MS Mincho"/>
        </w:rPr>
        <w:t>France car il</w:t>
      </w:r>
      <w:r w:rsidR="000E260C">
        <w:rPr>
          <w:rFonts w:eastAsia="MS Mincho"/>
        </w:rPr>
        <w:t xml:space="preserve"> en avait fait la demande de façon prématurée. </w:t>
      </w:r>
      <w:r w:rsidR="00A41119">
        <w:rPr>
          <w:rFonts w:eastAsia="MS Mincho"/>
        </w:rPr>
        <w:t>L’</w:t>
      </w:r>
      <w:r w:rsidR="009A0C7B" w:rsidRPr="009A0C7B">
        <w:rPr>
          <w:rFonts w:eastAsia="MS Mincho"/>
        </w:rPr>
        <w:t>É</w:t>
      </w:r>
      <w:r>
        <w:rPr>
          <w:rFonts w:eastAsia="MS Mincho"/>
        </w:rPr>
        <w:t xml:space="preserve">tat partie </w:t>
      </w:r>
      <w:r w:rsidR="00A41119">
        <w:rPr>
          <w:rFonts w:eastAsia="MS Mincho"/>
        </w:rPr>
        <w:t>ajoute qu’entre</w:t>
      </w:r>
      <w:r w:rsidR="003642ED">
        <w:rPr>
          <w:rFonts w:eastAsia="MS Mincho"/>
        </w:rPr>
        <w:t>-</w:t>
      </w:r>
      <w:r w:rsidR="00A41119">
        <w:rPr>
          <w:rFonts w:eastAsia="MS Mincho"/>
        </w:rPr>
        <w:t xml:space="preserve">temps </w:t>
      </w:r>
      <w:r w:rsidR="000E260C">
        <w:rPr>
          <w:rFonts w:eastAsia="MS Mincho"/>
        </w:rPr>
        <w:t xml:space="preserve">le conseil </w:t>
      </w:r>
      <w:r>
        <w:rPr>
          <w:rFonts w:eastAsia="MS Mincho"/>
        </w:rPr>
        <w:t>a été notifié de cette décision</w:t>
      </w:r>
      <w:r w:rsidR="00960F91">
        <w:rPr>
          <w:rFonts w:eastAsia="MS Mincho"/>
        </w:rPr>
        <w:t>, dont</w:t>
      </w:r>
      <w:r>
        <w:rPr>
          <w:rFonts w:eastAsia="MS Mincho"/>
        </w:rPr>
        <w:t xml:space="preserve"> </w:t>
      </w:r>
      <w:r w:rsidR="00960F91">
        <w:rPr>
          <w:rFonts w:eastAsia="MS Mincho"/>
        </w:rPr>
        <w:t xml:space="preserve">il </w:t>
      </w:r>
      <w:r>
        <w:rPr>
          <w:rFonts w:eastAsia="MS Mincho"/>
        </w:rPr>
        <w:t>a fait appel le 16 mars 2015</w:t>
      </w:r>
      <w:r w:rsidR="006635C5">
        <w:rPr>
          <w:rFonts w:eastAsia="MS Mincho"/>
        </w:rPr>
        <w:t>.</w:t>
      </w:r>
      <w:r>
        <w:rPr>
          <w:rFonts w:eastAsia="MS Mincho"/>
        </w:rPr>
        <w:t xml:space="preserve"> </w:t>
      </w:r>
    </w:p>
    <w:p w:rsidR="003E453F" w:rsidRDefault="003E453F" w:rsidP="008C3BF2">
      <w:pPr>
        <w:pStyle w:val="SingleTxtG"/>
        <w:spacing w:after="240"/>
        <w:rPr>
          <w:rFonts w:eastAsia="MS Mincho"/>
        </w:rPr>
      </w:pPr>
      <w:r>
        <w:rPr>
          <w:rFonts w:eastAsia="MS Mincho"/>
        </w:rPr>
        <w:t>7.</w:t>
      </w:r>
      <w:r w:rsidR="00F90247">
        <w:rPr>
          <w:rFonts w:eastAsia="MS Mincho"/>
        </w:rPr>
        <w:t>4</w:t>
      </w:r>
      <w:r>
        <w:rPr>
          <w:rFonts w:eastAsia="MS Mincho"/>
        </w:rPr>
        <w:tab/>
      </w:r>
      <w:r w:rsidR="000E260C">
        <w:rPr>
          <w:rFonts w:eastAsia="MS Mincho"/>
        </w:rPr>
        <w:t>L</w:t>
      </w:r>
      <w:r>
        <w:rPr>
          <w:rFonts w:eastAsia="MS Mincho"/>
        </w:rPr>
        <w:t>’</w:t>
      </w:r>
      <w:r w:rsidR="005669C3" w:rsidRPr="005669C3">
        <w:rPr>
          <w:rFonts w:eastAsia="MS Mincho"/>
        </w:rPr>
        <w:t>É</w:t>
      </w:r>
      <w:r>
        <w:rPr>
          <w:rFonts w:eastAsia="MS Mincho"/>
        </w:rPr>
        <w:t>tat partie</w:t>
      </w:r>
      <w:r w:rsidR="000E260C">
        <w:rPr>
          <w:rFonts w:eastAsia="MS Mincho"/>
        </w:rPr>
        <w:t xml:space="preserve"> réitère que </w:t>
      </w:r>
      <w:r>
        <w:rPr>
          <w:rFonts w:eastAsia="MS Mincho"/>
        </w:rPr>
        <w:t xml:space="preserve">le requérant n’a pas épuisé les recours internes </w:t>
      </w:r>
      <w:r w:rsidR="000E260C">
        <w:rPr>
          <w:rFonts w:eastAsia="MS Mincho"/>
        </w:rPr>
        <w:t>car</w:t>
      </w:r>
      <w:r w:rsidR="00A41119">
        <w:rPr>
          <w:rFonts w:eastAsia="MS Mincho"/>
        </w:rPr>
        <w:t xml:space="preserve"> </w:t>
      </w:r>
      <w:r>
        <w:rPr>
          <w:rFonts w:eastAsia="MS Mincho"/>
        </w:rPr>
        <w:t>il ne s</w:t>
      </w:r>
      <w:r w:rsidR="00A41119">
        <w:rPr>
          <w:rFonts w:eastAsia="MS Mincho"/>
        </w:rPr>
        <w:t xml:space="preserve">e serait </w:t>
      </w:r>
      <w:r>
        <w:rPr>
          <w:rFonts w:eastAsia="MS Mincho"/>
        </w:rPr>
        <w:t xml:space="preserve">pas plaint des tortures subies devant les juridictions internes. </w:t>
      </w:r>
    </w:p>
    <w:p w:rsidR="00FF5AB7" w:rsidRPr="00BC1ADC" w:rsidRDefault="00F727CD" w:rsidP="00E93E9F">
      <w:pPr>
        <w:pStyle w:val="H23G"/>
        <w:rPr>
          <w:rFonts w:eastAsia="MS Mincho"/>
        </w:rPr>
      </w:pPr>
      <w:r>
        <w:rPr>
          <w:rFonts w:eastAsia="MS Mincho"/>
        </w:rPr>
        <w:tab/>
      </w:r>
      <w:r>
        <w:rPr>
          <w:rFonts w:eastAsia="MS Mincho"/>
        </w:rPr>
        <w:tab/>
      </w:r>
      <w:r w:rsidR="00BC1ADC" w:rsidRPr="00BC1ADC">
        <w:rPr>
          <w:rFonts w:eastAsia="MS Mincho"/>
        </w:rPr>
        <w:t>Décision du Comité sur la recevabilité</w:t>
      </w:r>
    </w:p>
    <w:p w:rsidR="00690B98" w:rsidRDefault="00BC1ADC">
      <w:pPr>
        <w:pStyle w:val="SingleTxtG"/>
      </w:pPr>
      <w:r>
        <w:rPr>
          <w:rFonts w:eastAsia="MS Mincho"/>
        </w:rPr>
        <w:t>8.1</w:t>
      </w:r>
      <w:r w:rsidR="002C41DE">
        <w:rPr>
          <w:rFonts w:eastAsia="MS Mincho"/>
        </w:rPr>
        <w:tab/>
      </w:r>
      <w:r w:rsidR="002C41DE">
        <w:t xml:space="preserve">Le 20 avril 2015, </w:t>
      </w:r>
      <w:r w:rsidR="00077BED">
        <w:t>à</w:t>
      </w:r>
      <w:r w:rsidR="002C41DE">
        <w:t xml:space="preserve"> sa </w:t>
      </w:r>
      <w:r w:rsidR="002C41DE" w:rsidRPr="00FD2CCE">
        <w:t>cinquante-quatrième session</w:t>
      </w:r>
      <w:r w:rsidR="002C41DE">
        <w:t xml:space="preserve">, le Comité a </w:t>
      </w:r>
      <w:r>
        <w:t>examiné la recevabilité de</w:t>
      </w:r>
      <w:r w:rsidR="002C41DE">
        <w:t xml:space="preserve"> la requête </w:t>
      </w:r>
      <w:r>
        <w:t xml:space="preserve">et l’a considérée </w:t>
      </w:r>
      <w:r w:rsidR="002C41DE">
        <w:t>recevable dans la mesure où elle soulevait des questions concernant les articles 1</w:t>
      </w:r>
      <w:r w:rsidR="006A6582">
        <w:t xml:space="preserve"> et</w:t>
      </w:r>
      <w:r w:rsidR="002C41DE">
        <w:t xml:space="preserve"> 12</w:t>
      </w:r>
      <w:r w:rsidR="006A6582">
        <w:t xml:space="preserve"> à</w:t>
      </w:r>
      <w:r w:rsidR="002C41DE">
        <w:t xml:space="preserve"> 16 de la Convention. Le Comité a conclu que </w:t>
      </w:r>
      <w:r w:rsidR="002C41DE" w:rsidRPr="0039065E">
        <w:t>l’État partie</w:t>
      </w:r>
      <w:r w:rsidR="002C41DE">
        <w:t xml:space="preserve"> n’avait pas démontré que les recours </w:t>
      </w:r>
      <w:r w:rsidR="00C32DA6">
        <w:t xml:space="preserve">qui </w:t>
      </w:r>
      <w:r w:rsidR="002C41DE">
        <w:t>exist</w:t>
      </w:r>
      <w:r w:rsidR="00C32DA6">
        <w:t>ent</w:t>
      </w:r>
      <w:r w:rsidR="002C41DE">
        <w:t xml:space="preserve"> pour dénoncer les actes de torture avaient été, en pratique, mis à la disposition du requérant pour faire valoir ses droits au titre de la Convention. </w:t>
      </w:r>
    </w:p>
    <w:p w:rsidR="002C41DE" w:rsidRPr="002C41DE" w:rsidRDefault="00690B98">
      <w:pPr>
        <w:pStyle w:val="SingleTxtG"/>
        <w:spacing w:after="240"/>
      </w:pPr>
      <w:r>
        <w:rPr>
          <w:rFonts w:eastAsia="MS Mincho"/>
        </w:rPr>
        <w:t>8.2</w:t>
      </w:r>
      <w:r>
        <w:rPr>
          <w:rFonts w:eastAsia="MS Mincho"/>
        </w:rPr>
        <w:tab/>
      </w:r>
      <w:r w:rsidR="002C41DE">
        <w:t xml:space="preserve">Le Comité a conclu que le délai d’un an qui s’était écoulé entre le jugement du tribunal militaire et la présentation de la </w:t>
      </w:r>
      <w:r>
        <w:t>requête au</w:t>
      </w:r>
      <w:r w:rsidR="002C41DE">
        <w:t xml:space="preserve"> Comité ne pouvait être considéré comme constitutif d’un abus du droit de soumettre une plainte</w:t>
      </w:r>
      <w:r w:rsidR="002C41DE">
        <w:rPr>
          <w:rStyle w:val="FootnoteReference"/>
        </w:rPr>
        <w:footnoteReference w:id="18"/>
      </w:r>
      <w:r w:rsidR="001B1EA5">
        <w:t>.</w:t>
      </w:r>
      <w:r w:rsidR="00D90BDD">
        <w:t xml:space="preserve"> </w:t>
      </w:r>
    </w:p>
    <w:p w:rsidR="00C57AEF" w:rsidRPr="0017481B" w:rsidRDefault="00F727CD" w:rsidP="00E93E9F">
      <w:pPr>
        <w:pStyle w:val="H23G"/>
        <w:rPr>
          <w:rFonts w:eastAsia="MS Mincho"/>
        </w:rPr>
      </w:pPr>
      <w:r>
        <w:rPr>
          <w:rFonts w:eastAsia="MS Mincho"/>
        </w:rPr>
        <w:tab/>
      </w:r>
      <w:r>
        <w:rPr>
          <w:rFonts w:eastAsia="MS Mincho"/>
        </w:rPr>
        <w:tab/>
      </w:r>
      <w:r w:rsidR="00943649" w:rsidRPr="0017481B">
        <w:rPr>
          <w:rFonts w:eastAsia="MS Mincho"/>
        </w:rPr>
        <w:t xml:space="preserve">Observations </w:t>
      </w:r>
      <w:r w:rsidR="001E3344">
        <w:rPr>
          <w:rFonts w:eastAsia="MS Mincho"/>
        </w:rPr>
        <w:t>de</w:t>
      </w:r>
      <w:r w:rsidR="00943649" w:rsidRPr="0017481B">
        <w:rPr>
          <w:rFonts w:eastAsia="MS Mincho"/>
        </w:rPr>
        <w:t xml:space="preserve"> l’État partie sur le fond</w:t>
      </w:r>
      <w:r w:rsidR="00C57AEF" w:rsidRPr="0017481B">
        <w:rPr>
          <w:rFonts w:eastAsia="MS Mincho"/>
        </w:rPr>
        <w:t xml:space="preserve"> </w:t>
      </w:r>
    </w:p>
    <w:p w:rsidR="00C93592" w:rsidRDefault="00B26D3F">
      <w:pPr>
        <w:pStyle w:val="SingleTxtG"/>
        <w:rPr>
          <w:rFonts w:eastAsia="MS Mincho"/>
        </w:rPr>
      </w:pPr>
      <w:r>
        <w:rPr>
          <w:rFonts w:eastAsia="MS Mincho"/>
        </w:rPr>
        <w:t>9</w:t>
      </w:r>
      <w:r w:rsidR="005F7C0C">
        <w:rPr>
          <w:rFonts w:eastAsia="MS Mincho"/>
        </w:rPr>
        <w:t>.</w:t>
      </w:r>
      <w:r w:rsidR="00C20FA6">
        <w:rPr>
          <w:rFonts w:eastAsia="MS Mincho"/>
        </w:rPr>
        <w:t>1</w:t>
      </w:r>
      <w:r w:rsidR="005F7C0C">
        <w:rPr>
          <w:rFonts w:eastAsia="MS Mincho"/>
        </w:rPr>
        <w:tab/>
        <w:t>Le 18 septembre 2015, l’</w:t>
      </w:r>
      <w:r w:rsidR="005669C3" w:rsidRPr="005669C3">
        <w:rPr>
          <w:rFonts w:eastAsia="MS Mincho"/>
        </w:rPr>
        <w:t>É</w:t>
      </w:r>
      <w:r w:rsidR="005F7C0C">
        <w:rPr>
          <w:rFonts w:eastAsia="MS Mincho"/>
        </w:rPr>
        <w:t xml:space="preserve">tat partie </w:t>
      </w:r>
      <w:r w:rsidR="006B272F">
        <w:rPr>
          <w:rFonts w:eastAsia="MS Mincho"/>
        </w:rPr>
        <w:t xml:space="preserve">a réitéré </w:t>
      </w:r>
      <w:r w:rsidR="005F7C0C">
        <w:rPr>
          <w:rFonts w:eastAsia="MS Mincho"/>
        </w:rPr>
        <w:t>l’exception d’irrecevabilité</w:t>
      </w:r>
      <w:r w:rsidR="00C57AEF">
        <w:rPr>
          <w:rFonts w:eastAsia="MS Mincho"/>
        </w:rPr>
        <w:t xml:space="preserve"> de la communication</w:t>
      </w:r>
      <w:r w:rsidR="005F7C0C">
        <w:rPr>
          <w:rFonts w:eastAsia="MS Mincho"/>
        </w:rPr>
        <w:t xml:space="preserve"> car le requérant n’a</w:t>
      </w:r>
      <w:r w:rsidR="006B272F">
        <w:rPr>
          <w:rFonts w:eastAsia="MS Mincho"/>
        </w:rPr>
        <w:t>vait</w:t>
      </w:r>
      <w:r w:rsidR="005F7C0C">
        <w:rPr>
          <w:rFonts w:eastAsia="MS Mincho"/>
        </w:rPr>
        <w:t xml:space="preserve"> pas été définitivement jugé</w:t>
      </w:r>
      <w:r w:rsidR="004808BF">
        <w:rPr>
          <w:rFonts w:eastAsia="MS Mincho"/>
        </w:rPr>
        <w:t> :</w:t>
      </w:r>
      <w:r w:rsidR="000B1037">
        <w:rPr>
          <w:rFonts w:eastAsia="MS Mincho"/>
        </w:rPr>
        <w:t xml:space="preserve"> </w:t>
      </w:r>
      <w:r w:rsidR="005F7C0C">
        <w:rPr>
          <w:rFonts w:eastAsia="MS Mincho"/>
        </w:rPr>
        <w:t xml:space="preserve">la Cour de </w:t>
      </w:r>
      <w:r w:rsidR="00B4773F">
        <w:rPr>
          <w:rFonts w:eastAsia="MS Mincho"/>
        </w:rPr>
        <w:t xml:space="preserve">cassation </w:t>
      </w:r>
      <w:r w:rsidR="005F7C0C">
        <w:rPr>
          <w:rFonts w:eastAsia="MS Mincho"/>
        </w:rPr>
        <w:t xml:space="preserve">ne </w:t>
      </w:r>
      <w:r w:rsidR="000F123A">
        <w:rPr>
          <w:rFonts w:eastAsia="MS Mincho"/>
        </w:rPr>
        <w:t xml:space="preserve">s’était </w:t>
      </w:r>
      <w:r w:rsidR="005F7C0C">
        <w:rPr>
          <w:rFonts w:eastAsia="MS Mincho"/>
        </w:rPr>
        <w:t>toujours pas prononcé</w:t>
      </w:r>
      <w:r w:rsidR="00C57AEF">
        <w:rPr>
          <w:rFonts w:eastAsia="MS Mincho"/>
        </w:rPr>
        <w:t>e</w:t>
      </w:r>
      <w:r w:rsidR="005F7C0C">
        <w:rPr>
          <w:rFonts w:eastAsia="MS Mincho"/>
        </w:rPr>
        <w:t xml:space="preserve"> sur </w:t>
      </w:r>
      <w:r w:rsidR="00F927A1">
        <w:rPr>
          <w:rFonts w:eastAsia="MS Mincho"/>
        </w:rPr>
        <w:t xml:space="preserve">son </w:t>
      </w:r>
      <w:r w:rsidR="005F7C0C">
        <w:rPr>
          <w:rFonts w:eastAsia="MS Mincho"/>
        </w:rPr>
        <w:t>cas</w:t>
      </w:r>
      <w:r w:rsidR="003B24BF">
        <w:rPr>
          <w:rFonts w:eastAsia="MS Mincho"/>
        </w:rPr>
        <w:t xml:space="preserve"> et </w:t>
      </w:r>
      <w:r w:rsidR="005F7C0C">
        <w:rPr>
          <w:rFonts w:eastAsia="MS Mincho"/>
        </w:rPr>
        <w:t xml:space="preserve">il </w:t>
      </w:r>
      <w:r w:rsidR="000F123A">
        <w:rPr>
          <w:rFonts w:eastAsia="MS Mincho"/>
        </w:rPr>
        <w:t xml:space="preserve">était </w:t>
      </w:r>
      <w:r w:rsidR="005F7C0C">
        <w:rPr>
          <w:rFonts w:eastAsia="MS Mincho"/>
        </w:rPr>
        <w:t xml:space="preserve">possible qu’elle décide de renvoyer </w:t>
      </w:r>
      <w:r w:rsidR="00C57AEF">
        <w:rPr>
          <w:rFonts w:eastAsia="MS Mincho"/>
        </w:rPr>
        <w:t>l’</w:t>
      </w:r>
      <w:r w:rsidR="005F7C0C">
        <w:rPr>
          <w:rFonts w:eastAsia="MS Mincho"/>
        </w:rPr>
        <w:t>affaire</w:t>
      </w:r>
      <w:r w:rsidR="009A0C7B">
        <w:rPr>
          <w:rFonts w:eastAsia="MS Mincho"/>
        </w:rPr>
        <w:t xml:space="preserve"> </w:t>
      </w:r>
      <w:r w:rsidR="005F7C0C">
        <w:rPr>
          <w:rFonts w:eastAsia="MS Mincho"/>
        </w:rPr>
        <w:t xml:space="preserve">devant la juridiction de fond compétente. </w:t>
      </w:r>
      <w:r w:rsidR="003962EB">
        <w:rPr>
          <w:rFonts w:eastAsia="MS Mincho"/>
        </w:rPr>
        <w:t>D</w:t>
      </w:r>
      <w:r w:rsidR="00A7123B">
        <w:rPr>
          <w:rFonts w:eastAsia="MS Mincho"/>
        </w:rPr>
        <w:t>ans l’hypothèse d’un tel renvoi, toutes les questions de fond</w:t>
      </w:r>
      <w:r w:rsidR="000F123A">
        <w:rPr>
          <w:rFonts w:eastAsia="MS Mincho"/>
        </w:rPr>
        <w:t xml:space="preserve"> et </w:t>
      </w:r>
      <w:r w:rsidR="00A7123B">
        <w:rPr>
          <w:rFonts w:eastAsia="MS Mincho"/>
        </w:rPr>
        <w:t xml:space="preserve">de procédure et la question de l’application de la loi </w:t>
      </w:r>
      <w:r w:rsidR="000F123A">
        <w:rPr>
          <w:rFonts w:eastAsia="MS Mincho"/>
        </w:rPr>
        <w:t xml:space="preserve">pouvaient </w:t>
      </w:r>
      <w:r w:rsidR="00A7123B">
        <w:rPr>
          <w:rFonts w:eastAsia="MS Mincho"/>
        </w:rPr>
        <w:t>être soulevées.</w:t>
      </w:r>
      <w:r w:rsidR="009420BC">
        <w:rPr>
          <w:rFonts w:eastAsia="MS Mincho"/>
        </w:rPr>
        <w:t xml:space="preserve"> </w:t>
      </w:r>
      <w:r w:rsidR="00C57AEF">
        <w:rPr>
          <w:rFonts w:eastAsia="MS Mincho"/>
        </w:rPr>
        <w:t>L</w:t>
      </w:r>
      <w:r w:rsidR="009420BC">
        <w:rPr>
          <w:rFonts w:eastAsia="MS Mincho"/>
        </w:rPr>
        <w:t>’</w:t>
      </w:r>
      <w:r w:rsidR="009A0C7B" w:rsidRPr="009A0C7B">
        <w:rPr>
          <w:rFonts w:eastAsia="MS Mincho"/>
        </w:rPr>
        <w:t>É</w:t>
      </w:r>
      <w:r w:rsidR="009420BC">
        <w:rPr>
          <w:rFonts w:eastAsia="MS Mincho"/>
        </w:rPr>
        <w:t xml:space="preserve">tat partie </w:t>
      </w:r>
      <w:r w:rsidR="00A51E89">
        <w:rPr>
          <w:rFonts w:eastAsia="MS Mincho"/>
        </w:rPr>
        <w:t xml:space="preserve">a donc demandé </w:t>
      </w:r>
      <w:r w:rsidR="009420BC">
        <w:rPr>
          <w:rFonts w:eastAsia="MS Mincho"/>
        </w:rPr>
        <w:t xml:space="preserve">au Comité de </w:t>
      </w:r>
      <w:r w:rsidR="00C57AEF">
        <w:rPr>
          <w:rFonts w:eastAsia="MS Mincho"/>
        </w:rPr>
        <w:t>ré</w:t>
      </w:r>
      <w:r w:rsidR="009420BC">
        <w:rPr>
          <w:rFonts w:eastAsia="MS Mincho"/>
        </w:rPr>
        <w:t>examiner la décision de recevabilité</w:t>
      </w:r>
      <w:r w:rsidR="00C57AEF">
        <w:rPr>
          <w:rFonts w:eastAsia="MS Mincho"/>
        </w:rPr>
        <w:t xml:space="preserve"> de la plainte</w:t>
      </w:r>
      <w:r w:rsidR="009420BC">
        <w:rPr>
          <w:rFonts w:eastAsia="MS Mincho"/>
        </w:rPr>
        <w:t xml:space="preserve">. </w:t>
      </w:r>
    </w:p>
    <w:p w:rsidR="0034627D" w:rsidRDefault="00B26D3F">
      <w:pPr>
        <w:pStyle w:val="SingleTxtG"/>
        <w:rPr>
          <w:rFonts w:eastAsia="MS Mincho"/>
        </w:rPr>
      </w:pPr>
      <w:r>
        <w:rPr>
          <w:rFonts w:eastAsia="MS Mincho"/>
        </w:rPr>
        <w:t>9</w:t>
      </w:r>
      <w:r w:rsidR="0034627D">
        <w:rPr>
          <w:rFonts w:eastAsia="MS Mincho"/>
        </w:rPr>
        <w:t>.2</w:t>
      </w:r>
      <w:r w:rsidR="00C93592">
        <w:rPr>
          <w:rFonts w:eastAsia="MS Mincho"/>
        </w:rPr>
        <w:tab/>
        <w:t>Le 24 septembre 2015, l’</w:t>
      </w:r>
      <w:r w:rsidR="009A0C7B" w:rsidRPr="009A0C7B">
        <w:rPr>
          <w:rFonts w:eastAsia="MS Mincho"/>
        </w:rPr>
        <w:t>É</w:t>
      </w:r>
      <w:r w:rsidR="00C93592">
        <w:rPr>
          <w:rFonts w:eastAsia="MS Mincho"/>
        </w:rPr>
        <w:t xml:space="preserve">tat partie </w:t>
      </w:r>
      <w:r w:rsidR="00204245">
        <w:rPr>
          <w:rFonts w:eastAsia="MS Mincho"/>
        </w:rPr>
        <w:t xml:space="preserve">a </w:t>
      </w:r>
      <w:r w:rsidR="000D2912">
        <w:rPr>
          <w:rFonts w:eastAsia="MS Mincho"/>
        </w:rPr>
        <w:t>réit</w:t>
      </w:r>
      <w:r w:rsidR="00204245">
        <w:rPr>
          <w:rFonts w:eastAsia="MS Mincho"/>
        </w:rPr>
        <w:t>éré</w:t>
      </w:r>
      <w:r w:rsidR="004808BF">
        <w:rPr>
          <w:rFonts w:eastAsia="MS Mincho"/>
        </w:rPr>
        <w:t xml:space="preserve"> sa</w:t>
      </w:r>
      <w:r w:rsidR="00952A52">
        <w:rPr>
          <w:rFonts w:eastAsia="MS Mincho"/>
        </w:rPr>
        <w:t xml:space="preserve"> </w:t>
      </w:r>
      <w:r w:rsidR="00C23369">
        <w:rPr>
          <w:rFonts w:eastAsia="MS Mincho"/>
        </w:rPr>
        <w:t xml:space="preserve">demande de révocation de la décision du Comité sur la recevabilité. </w:t>
      </w:r>
      <w:r w:rsidR="00524CDB">
        <w:rPr>
          <w:rFonts w:eastAsia="MS Mincho"/>
        </w:rPr>
        <w:t>L</w:t>
      </w:r>
      <w:r w:rsidR="00C23369">
        <w:rPr>
          <w:rFonts w:eastAsia="MS Mincho"/>
        </w:rPr>
        <w:t>e requérant a été interpellé</w:t>
      </w:r>
      <w:r w:rsidR="00D27206">
        <w:rPr>
          <w:rFonts w:eastAsia="MS Mincho"/>
        </w:rPr>
        <w:t xml:space="preserve"> en flagrant délit</w:t>
      </w:r>
      <w:r w:rsidR="00C23369">
        <w:rPr>
          <w:rFonts w:eastAsia="MS Mincho"/>
        </w:rPr>
        <w:t xml:space="preserve"> par la gendarmerie royale, et non par la police, le 8 novembre 2010</w:t>
      </w:r>
      <w:r w:rsidR="006075EB">
        <w:rPr>
          <w:rFonts w:eastAsia="MS Mincho"/>
        </w:rPr>
        <w:t>,</w:t>
      </w:r>
      <w:r w:rsidR="00C23369">
        <w:rPr>
          <w:rFonts w:eastAsia="MS Mincho"/>
        </w:rPr>
        <w:t xml:space="preserve"> lors du démantèlement du camp, en raison d’indices graves et concordants établissant son implication dans la commission des infractions criminelles </w:t>
      </w:r>
      <w:r w:rsidR="00524CDB">
        <w:rPr>
          <w:rFonts w:eastAsia="MS Mincho"/>
        </w:rPr>
        <w:t xml:space="preserve">perpétrées </w:t>
      </w:r>
      <w:r w:rsidR="00D27206">
        <w:rPr>
          <w:rFonts w:eastAsia="MS Mincho"/>
        </w:rPr>
        <w:t>à cette occasion</w:t>
      </w:r>
      <w:r w:rsidR="00C23369">
        <w:rPr>
          <w:rFonts w:eastAsia="MS Mincho"/>
        </w:rPr>
        <w:t>. En prétendant avoir été arrêté par la police le 7 novembre</w:t>
      </w:r>
      <w:r w:rsidR="0034627D">
        <w:rPr>
          <w:rFonts w:eastAsia="MS Mincho"/>
        </w:rPr>
        <w:t xml:space="preserve"> 2010</w:t>
      </w:r>
      <w:r w:rsidR="00D27206">
        <w:rPr>
          <w:rFonts w:eastAsia="MS Mincho"/>
        </w:rPr>
        <w:t xml:space="preserve"> et </w:t>
      </w:r>
      <w:r w:rsidR="00C23369">
        <w:rPr>
          <w:rFonts w:eastAsia="MS Mincho"/>
        </w:rPr>
        <w:t>torturé, le requérant ne cherche qu’à se disculper des faits très graves pour lesquels il a été interpelé le 8 novembre</w:t>
      </w:r>
      <w:r w:rsidR="00E1160E">
        <w:rPr>
          <w:rFonts w:eastAsia="MS Mincho"/>
        </w:rPr>
        <w:t xml:space="preserve"> 2010</w:t>
      </w:r>
      <w:r w:rsidR="00C23369">
        <w:rPr>
          <w:rFonts w:eastAsia="MS Mincho"/>
        </w:rPr>
        <w:t xml:space="preserve">. </w:t>
      </w:r>
      <w:r w:rsidR="004808BF">
        <w:rPr>
          <w:rFonts w:eastAsia="MS Mincho"/>
        </w:rPr>
        <w:t>A</w:t>
      </w:r>
      <w:r w:rsidR="007C0AE6">
        <w:rPr>
          <w:rFonts w:eastAsia="MS Mincho"/>
        </w:rPr>
        <w:t xml:space="preserve">ucune demande </w:t>
      </w:r>
      <w:r w:rsidR="004808BF">
        <w:rPr>
          <w:rFonts w:eastAsia="MS Mincho"/>
        </w:rPr>
        <w:t>d’enquête</w:t>
      </w:r>
      <w:r w:rsidR="005A461E">
        <w:rPr>
          <w:rFonts w:eastAsia="MS Mincho"/>
        </w:rPr>
        <w:t xml:space="preserve"> sur</w:t>
      </w:r>
      <w:r w:rsidR="004808BF">
        <w:rPr>
          <w:rFonts w:eastAsia="MS Mincho"/>
        </w:rPr>
        <w:t xml:space="preserve"> </w:t>
      </w:r>
      <w:r w:rsidR="007C0AE6">
        <w:rPr>
          <w:rFonts w:eastAsia="MS Mincho"/>
        </w:rPr>
        <w:t xml:space="preserve">les </w:t>
      </w:r>
      <w:r w:rsidR="005E09E1">
        <w:rPr>
          <w:rFonts w:eastAsia="MS Mincho"/>
        </w:rPr>
        <w:t>tortures</w:t>
      </w:r>
      <w:r w:rsidR="00D27206">
        <w:rPr>
          <w:rFonts w:eastAsia="MS Mincho"/>
        </w:rPr>
        <w:t xml:space="preserve"> qu’il aurait subies n’a été présentée</w:t>
      </w:r>
      <w:r w:rsidR="007C0AE6">
        <w:rPr>
          <w:rFonts w:eastAsia="MS Mincho"/>
        </w:rPr>
        <w:t xml:space="preserve"> auprès des autorités judiciaires</w:t>
      </w:r>
      <w:r w:rsidR="00D90BDD">
        <w:rPr>
          <w:rFonts w:eastAsia="MS Mincho"/>
        </w:rPr>
        <w:t xml:space="preserve"> </w:t>
      </w:r>
      <w:r w:rsidR="00D27206">
        <w:rPr>
          <w:rFonts w:eastAsia="MS Mincho"/>
        </w:rPr>
        <w:t xml:space="preserve">ou </w:t>
      </w:r>
      <w:r w:rsidR="007C0AE6">
        <w:rPr>
          <w:rFonts w:eastAsia="MS Mincho"/>
        </w:rPr>
        <w:t xml:space="preserve">autres mécanismes nationaux </w:t>
      </w:r>
      <w:r w:rsidR="00D27206">
        <w:rPr>
          <w:rFonts w:eastAsia="MS Mincho"/>
        </w:rPr>
        <w:t xml:space="preserve">de protection des </w:t>
      </w:r>
      <w:r w:rsidR="007C0AE6">
        <w:rPr>
          <w:rFonts w:eastAsia="MS Mincho"/>
        </w:rPr>
        <w:t>droits de l’homme</w:t>
      </w:r>
      <w:r w:rsidR="005E09E1">
        <w:rPr>
          <w:rFonts w:eastAsia="MS Mincho"/>
        </w:rPr>
        <w:t xml:space="preserve">. </w:t>
      </w:r>
      <w:r w:rsidR="00D27206">
        <w:rPr>
          <w:rFonts w:eastAsia="MS Mincho"/>
        </w:rPr>
        <w:t xml:space="preserve">De plus, </w:t>
      </w:r>
      <w:r w:rsidR="00D27206">
        <w:rPr>
          <w:rFonts w:eastAsia="MS Mincho"/>
        </w:rPr>
        <w:lastRenderedPageBreak/>
        <w:t xml:space="preserve">les </w:t>
      </w:r>
      <w:r w:rsidR="00615CBA">
        <w:rPr>
          <w:rFonts w:eastAsia="MS Mincho"/>
        </w:rPr>
        <w:t xml:space="preserve">personnes </w:t>
      </w:r>
      <w:r w:rsidR="00D27206">
        <w:rPr>
          <w:rFonts w:eastAsia="MS Mincho"/>
        </w:rPr>
        <w:t>mis</w:t>
      </w:r>
      <w:r w:rsidR="00615CBA">
        <w:rPr>
          <w:rFonts w:eastAsia="MS Mincho"/>
        </w:rPr>
        <w:t>es</w:t>
      </w:r>
      <w:r w:rsidR="00D27206">
        <w:rPr>
          <w:rFonts w:eastAsia="MS Mincho"/>
        </w:rPr>
        <w:t xml:space="preserve"> en cause n’ont jamais déclaré avoir fait l’objet de sévices, tortures ou maltraitances au cours des différentes étapes devant les autorités judiciaires compétentes. </w:t>
      </w:r>
      <w:r w:rsidR="007249DC">
        <w:rPr>
          <w:rFonts w:eastAsia="MS Mincho"/>
        </w:rPr>
        <w:t>Par ailleurs, n</w:t>
      </w:r>
      <w:r w:rsidR="00D27206">
        <w:rPr>
          <w:rFonts w:eastAsia="MS Mincho"/>
        </w:rPr>
        <w:t xml:space="preserve">i le Procureur </w:t>
      </w:r>
      <w:r w:rsidR="00297409">
        <w:rPr>
          <w:rFonts w:eastAsia="MS Mincho"/>
        </w:rPr>
        <w:t xml:space="preserve">général </w:t>
      </w:r>
      <w:r w:rsidR="00D27206">
        <w:rPr>
          <w:rFonts w:eastAsia="MS Mincho"/>
        </w:rPr>
        <w:t xml:space="preserve">du Roi, </w:t>
      </w:r>
      <w:r w:rsidR="00524CDB">
        <w:rPr>
          <w:rFonts w:eastAsia="MS Mincho"/>
        </w:rPr>
        <w:t xml:space="preserve">ni </w:t>
      </w:r>
      <w:r w:rsidR="00D27206">
        <w:rPr>
          <w:rFonts w:eastAsia="MS Mincho"/>
        </w:rPr>
        <w:t xml:space="preserve">le juge d’instruction près la </w:t>
      </w:r>
      <w:r w:rsidR="000B6C34">
        <w:rPr>
          <w:rFonts w:eastAsia="MS Mincho"/>
        </w:rPr>
        <w:t xml:space="preserve">cour </w:t>
      </w:r>
      <w:r w:rsidR="00D27206">
        <w:rPr>
          <w:rFonts w:eastAsia="MS Mincho"/>
        </w:rPr>
        <w:t xml:space="preserve">d’appel de Laayoune, </w:t>
      </w:r>
      <w:r w:rsidR="00524CDB">
        <w:rPr>
          <w:rFonts w:eastAsia="MS Mincho"/>
        </w:rPr>
        <w:t xml:space="preserve">ni </w:t>
      </w:r>
      <w:r w:rsidR="00D27206">
        <w:rPr>
          <w:rFonts w:eastAsia="MS Mincho"/>
        </w:rPr>
        <w:t xml:space="preserve">le Procureur militaire, </w:t>
      </w:r>
      <w:r w:rsidR="00524CDB">
        <w:rPr>
          <w:rFonts w:eastAsia="MS Mincho"/>
        </w:rPr>
        <w:t xml:space="preserve">ni </w:t>
      </w:r>
      <w:r w:rsidR="00D27206">
        <w:rPr>
          <w:rFonts w:eastAsia="MS Mincho"/>
        </w:rPr>
        <w:t xml:space="preserve">le juge d’instruction militaire n’ont constaté </w:t>
      </w:r>
      <w:r w:rsidR="004808BF">
        <w:rPr>
          <w:rFonts w:eastAsia="MS Mincho"/>
        </w:rPr>
        <w:t xml:space="preserve">de </w:t>
      </w:r>
      <w:r w:rsidR="00D27206">
        <w:rPr>
          <w:rFonts w:eastAsia="MS Mincho"/>
        </w:rPr>
        <w:t>traces de brutalité qui les auraient amenés à ouvrir une enquête</w:t>
      </w:r>
      <w:r w:rsidR="007249DC" w:rsidRPr="007249DC">
        <w:rPr>
          <w:rFonts w:eastAsia="MS Mincho"/>
        </w:rPr>
        <w:t xml:space="preserve"> </w:t>
      </w:r>
      <w:r w:rsidR="007249DC">
        <w:rPr>
          <w:rFonts w:eastAsia="MS Mincho"/>
        </w:rPr>
        <w:t>d’office</w:t>
      </w:r>
      <w:r w:rsidR="00D27206">
        <w:rPr>
          <w:rFonts w:eastAsia="MS Mincho"/>
        </w:rPr>
        <w:t>.</w:t>
      </w:r>
    </w:p>
    <w:p w:rsidR="00DF023F" w:rsidRDefault="00B26D3F">
      <w:pPr>
        <w:pStyle w:val="SingleTxtG"/>
        <w:rPr>
          <w:rFonts w:eastAsia="MS Mincho"/>
        </w:rPr>
      </w:pPr>
      <w:r>
        <w:rPr>
          <w:rFonts w:eastAsia="MS Mincho"/>
        </w:rPr>
        <w:t>9</w:t>
      </w:r>
      <w:r w:rsidR="0034627D">
        <w:rPr>
          <w:rFonts w:eastAsia="MS Mincho"/>
        </w:rPr>
        <w:t>.3</w:t>
      </w:r>
      <w:r w:rsidR="0034627D">
        <w:rPr>
          <w:rFonts w:eastAsia="MS Mincho"/>
        </w:rPr>
        <w:tab/>
      </w:r>
      <w:r w:rsidR="00F234EA">
        <w:rPr>
          <w:rFonts w:eastAsia="MS Mincho"/>
        </w:rPr>
        <w:t>L’</w:t>
      </w:r>
      <w:r w:rsidR="0034627D" w:rsidRPr="0034627D">
        <w:rPr>
          <w:rFonts w:eastAsia="MS Mincho"/>
        </w:rPr>
        <w:t>État</w:t>
      </w:r>
      <w:r w:rsidR="00F234EA">
        <w:rPr>
          <w:rFonts w:eastAsia="MS Mincho"/>
        </w:rPr>
        <w:t xml:space="preserve"> parti</w:t>
      </w:r>
      <w:r w:rsidR="0034627D">
        <w:rPr>
          <w:rFonts w:eastAsia="MS Mincho"/>
        </w:rPr>
        <w:t>e</w:t>
      </w:r>
      <w:r w:rsidR="00F234EA">
        <w:rPr>
          <w:rFonts w:eastAsia="MS Mincho"/>
        </w:rPr>
        <w:t xml:space="preserve"> ajoute que</w:t>
      </w:r>
      <w:r w:rsidR="00D27206">
        <w:rPr>
          <w:rFonts w:eastAsia="MS Mincho"/>
        </w:rPr>
        <w:t xml:space="preserve"> d’importantes sommes d’argent ont été saisies</w:t>
      </w:r>
      <w:r w:rsidR="00F234EA">
        <w:rPr>
          <w:rFonts w:eastAsia="MS Mincho"/>
        </w:rPr>
        <w:t xml:space="preserve"> dans la tente </w:t>
      </w:r>
      <w:r w:rsidR="00D27206">
        <w:rPr>
          <w:rFonts w:eastAsia="MS Mincho"/>
        </w:rPr>
        <w:t>d</w:t>
      </w:r>
      <w:r w:rsidR="00F234EA">
        <w:rPr>
          <w:rFonts w:eastAsia="MS Mincho"/>
        </w:rPr>
        <w:t xml:space="preserve">u requérant </w:t>
      </w:r>
      <w:r w:rsidR="00D27206">
        <w:rPr>
          <w:rFonts w:eastAsia="MS Mincho"/>
        </w:rPr>
        <w:t>à l’occasion de son arrestation</w:t>
      </w:r>
      <w:r w:rsidR="00F234EA">
        <w:rPr>
          <w:rFonts w:eastAsia="MS Mincho"/>
        </w:rPr>
        <w:t xml:space="preserve">. </w:t>
      </w:r>
      <w:r w:rsidR="000D2912">
        <w:rPr>
          <w:rFonts w:eastAsia="MS Mincho"/>
        </w:rPr>
        <w:t>Il</w:t>
      </w:r>
      <w:r w:rsidR="001A3525">
        <w:rPr>
          <w:rFonts w:eastAsia="MS Mincho"/>
        </w:rPr>
        <w:t xml:space="preserve"> </w:t>
      </w:r>
      <w:r w:rsidR="00615CBA">
        <w:rPr>
          <w:rFonts w:eastAsia="MS Mincho"/>
        </w:rPr>
        <w:t xml:space="preserve">conteste </w:t>
      </w:r>
      <w:r w:rsidR="000D2912">
        <w:rPr>
          <w:rFonts w:eastAsia="MS Mincho"/>
        </w:rPr>
        <w:t xml:space="preserve">par ailleurs </w:t>
      </w:r>
      <w:r w:rsidR="001A3525">
        <w:rPr>
          <w:rFonts w:eastAsia="MS Mincho"/>
        </w:rPr>
        <w:t>l’allégation du requérant selon laquelle il aurait été arrêté le 7 novembre au domicile de l’un de ses amis</w:t>
      </w:r>
      <w:r w:rsidR="00335D06">
        <w:rPr>
          <w:rFonts w:eastAsia="MS Mincho"/>
        </w:rPr>
        <w:t xml:space="preserve">, </w:t>
      </w:r>
      <w:r w:rsidR="001A3525">
        <w:rPr>
          <w:rFonts w:eastAsia="MS Mincho"/>
        </w:rPr>
        <w:t>Mehdi</w:t>
      </w:r>
      <w:r w:rsidR="00FC5EA5">
        <w:rPr>
          <w:rFonts w:eastAsia="MS Mincho"/>
        </w:rPr>
        <w:t> </w:t>
      </w:r>
      <w:r w:rsidR="001A3525">
        <w:rPr>
          <w:rFonts w:eastAsia="MS Mincho"/>
        </w:rPr>
        <w:t xml:space="preserve">Toubali. </w:t>
      </w:r>
      <w:r w:rsidR="000D2912">
        <w:rPr>
          <w:rFonts w:eastAsia="MS Mincho"/>
        </w:rPr>
        <w:t xml:space="preserve">L’État partie </w:t>
      </w:r>
      <w:r w:rsidR="00D72411">
        <w:rPr>
          <w:rFonts w:eastAsia="MS Mincho"/>
        </w:rPr>
        <w:t xml:space="preserve">ajoute </w:t>
      </w:r>
      <w:r w:rsidR="00335D06">
        <w:rPr>
          <w:rFonts w:eastAsia="MS Mincho"/>
        </w:rPr>
        <w:t>que</w:t>
      </w:r>
      <w:r w:rsidR="00615CBA">
        <w:rPr>
          <w:rFonts w:eastAsia="MS Mincho"/>
        </w:rPr>
        <w:t>,</w:t>
      </w:r>
      <w:r w:rsidR="00335D06">
        <w:rPr>
          <w:rFonts w:eastAsia="MS Mincho"/>
        </w:rPr>
        <w:t xml:space="preserve"> lors de l’audience du 8 février 2013</w:t>
      </w:r>
      <w:r w:rsidR="00E17E6D">
        <w:rPr>
          <w:rFonts w:eastAsia="MS Mincho"/>
        </w:rPr>
        <w:t xml:space="preserve">, </w:t>
      </w:r>
      <w:r w:rsidR="00335D06">
        <w:rPr>
          <w:rFonts w:eastAsia="MS Mincho"/>
        </w:rPr>
        <w:t xml:space="preserve">la défense a formellement demandé au juge d’ordonner des expertises médicales pour </w:t>
      </w:r>
      <w:r w:rsidR="00D72411">
        <w:rPr>
          <w:rFonts w:eastAsia="MS Mincho"/>
        </w:rPr>
        <w:t>quatre des</w:t>
      </w:r>
      <w:r w:rsidR="00335D06">
        <w:rPr>
          <w:rFonts w:eastAsia="MS Mincho"/>
        </w:rPr>
        <w:t xml:space="preserve"> accus</w:t>
      </w:r>
      <w:r w:rsidR="00E17E6D" w:rsidRPr="00E17E6D">
        <w:rPr>
          <w:rFonts w:eastAsia="MS Mincho"/>
        </w:rPr>
        <w:t>és</w:t>
      </w:r>
      <w:r w:rsidR="00335D06">
        <w:rPr>
          <w:rFonts w:eastAsia="MS Mincho"/>
        </w:rPr>
        <w:t xml:space="preserve">, mais </w:t>
      </w:r>
      <w:r w:rsidR="00615CBA">
        <w:rPr>
          <w:rFonts w:eastAsia="MS Mincho"/>
        </w:rPr>
        <w:t xml:space="preserve">pas </w:t>
      </w:r>
      <w:r w:rsidR="00335D06">
        <w:rPr>
          <w:rFonts w:eastAsia="MS Mincho"/>
        </w:rPr>
        <w:t>pour le requérant</w:t>
      </w:r>
      <w:r w:rsidR="00D72411">
        <w:rPr>
          <w:rFonts w:eastAsia="MS Mincho"/>
        </w:rPr>
        <w:t>, lequel</w:t>
      </w:r>
      <w:r w:rsidR="00335D06">
        <w:rPr>
          <w:rFonts w:eastAsia="MS Mincho"/>
        </w:rPr>
        <w:t xml:space="preserve"> se contente d’affirmer que les autorités n’ont jamais consenti à ouvrir une enquête</w:t>
      </w:r>
      <w:r w:rsidR="00D72411">
        <w:rPr>
          <w:rFonts w:eastAsia="MS Mincho"/>
        </w:rPr>
        <w:t xml:space="preserve"> au sujet des actes de torture qu’il aurait subis</w:t>
      </w:r>
      <w:r w:rsidR="00335D06">
        <w:rPr>
          <w:rFonts w:eastAsia="MS Mincho"/>
        </w:rPr>
        <w:t xml:space="preserve">. Les autorités </w:t>
      </w:r>
      <w:r w:rsidR="00D72411">
        <w:rPr>
          <w:rFonts w:eastAsia="MS Mincho"/>
        </w:rPr>
        <w:t>réitère</w:t>
      </w:r>
      <w:r w:rsidR="004808BF">
        <w:rPr>
          <w:rFonts w:eastAsia="MS Mincho"/>
        </w:rPr>
        <w:t>nt</w:t>
      </w:r>
      <w:r w:rsidR="00D72411">
        <w:rPr>
          <w:rFonts w:eastAsia="MS Mincho"/>
        </w:rPr>
        <w:t xml:space="preserve"> </w:t>
      </w:r>
      <w:r w:rsidR="00335D06">
        <w:rPr>
          <w:rFonts w:eastAsia="MS Mincho"/>
        </w:rPr>
        <w:t>que les motifs du requérant sont purement politiques</w:t>
      </w:r>
      <w:r w:rsidR="004808BF">
        <w:rPr>
          <w:rFonts w:eastAsia="MS Mincho"/>
        </w:rPr>
        <w:t>, que</w:t>
      </w:r>
      <w:r w:rsidR="00335D06">
        <w:rPr>
          <w:rFonts w:eastAsia="MS Mincho"/>
        </w:rPr>
        <w:t xml:space="preserve"> </w:t>
      </w:r>
      <w:r w:rsidR="004808BF">
        <w:rPr>
          <w:rFonts w:eastAsia="MS Mincho"/>
        </w:rPr>
        <w:t xml:space="preserve">les </w:t>
      </w:r>
      <w:r w:rsidR="00176E09">
        <w:rPr>
          <w:rFonts w:eastAsia="MS Mincho"/>
        </w:rPr>
        <w:t xml:space="preserve">allégations d’arrestation arbitraire et de torture ne reposent sur aucun fait tangible </w:t>
      </w:r>
      <w:r w:rsidR="00E17E6D">
        <w:rPr>
          <w:rFonts w:eastAsia="MS Mincho"/>
        </w:rPr>
        <w:t xml:space="preserve">et </w:t>
      </w:r>
      <w:r w:rsidR="00176E09">
        <w:rPr>
          <w:rFonts w:eastAsia="MS Mincho"/>
        </w:rPr>
        <w:t xml:space="preserve">n’ont d’autre objectif que </w:t>
      </w:r>
      <w:r w:rsidR="00615CBA">
        <w:rPr>
          <w:rFonts w:eastAsia="MS Mincho"/>
        </w:rPr>
        <w:t>de permettre au</w:t>
      </w:r>
      <w:r w:rsidR="00D72411">
        <w:rPr>
          <w:rFonts w:eastAsia="MS Mincho"/>
        </w:rPr>
        <w:t xml:space="preserve"> </w:t>
      </w:r>
      <w:r w:rsidR="004808BF">
        <w:rPr>
          <w:rFonts w:eastAsia="MS Mincho"/>
        </w:rPr>
        <w:t>requérant</w:t>
      </w:r>
      <w:r w:rsidR="00D72411">
        <w:rPr>
          <w:rFonts w:eastAsia="MS Mincho"/>
        </w:rPr>
        <w:t xml:space="preserve"> </w:t>
      </w:r>
      <w:r w:rsidR="00615CBA">
        <w:rPr>
          <w:rFonts w:eastAsia="MS Mincho"/>
        </w:rPr>
        <w:t>d</w:t>
      </w:r>
      <w:r w:rsidR="00615CBA" w:rsidRPr="00615CBA">
        <w:rPr>
          <w:rFonts w:eastAsia="MS Mincho"/>
        </w:rPr>
        <w:t>’</w:t>
      </w:r>
      <w:r w:rsidR="00615CBA">
        <w:rPr>
          <w:rFonts w:eastAsia="MS Mincho"/>
        </w:rPr>
        <w:t xml:space="preserve">échapper </w:t>
      </w:r>
      <w:r w:rsidR="00176E09">
        <w:rPr>
          <w:rFonts w:eastAsia="MS Mincho"/>
        </w:rPr>
        <w:t xml:space="preserve">à la peine à laquelle il a été condamné. </w:t>
      </w:r>
      <w:r w:rsidR="00D72411">
        <w:rPr>
          <w:rFonts w:eastAsia="MS Mincho"/>
        </w:rPr>
        <w:t>L</w:t>
      </w:r>
      <w:r w:rsidR="00176E09">
        <w:rPr>
          <w:rFonts w:eastAsia="MS Mincho"/>
        </w:rPr>
        <w:t>’</w:t>
      </w:r>
      <w:r w:rsidR="00E17E6D" w:rsidRPr="00E17E6D">
        <w:rPr>
          <w:rFonts w:eastAsia="MS Mincho"/>
        </w:rPr>
        <w:t>État</w:t>
      </w:r>
      <w:r w:rsidR="00E17E6D">
        <w:rPr>
          <w:rFonts w:eastAsia="MS Mincho"/>
        </w:rPr>
        <w:t xml:space="preserve"> partie considère </w:t>
      </w:r>
      <w:r w:rsidR="00D72411">
        <w:rPr>
          <w:rFonts w:eastAsia="MS Mincho"/>
        </w:rPr>
        <w:t>donc que les allégations d</w:t>
      </w:r>
      <w:r w:rsidR="00DF01F1">
        <w:rPr>
          <w:rFonts w:eastAsia="MS Mincho"/>
        </w:rPr>
        <w:t>u requérant</w:t>
      </w:r>
      <w:r w:rsidR="00D72411">
        <w:rPr>
          <w:rFonts w:eastAsia="MS Mincho"/>
        </w:rPr>
        <w:t xml:space="preserve"> quant </w:t>
      </w:r>
      <w:r w:rsidR="00DF01F1">
        <w:rPr>
          <w:rFonts w:eastAsia="MS Mincho"/>
        </w:rPr>
        <w:t xml:space="preserve">à </w:t>
      </w:r>
      <w:r w:rsidR="004808BF">
        <w:rPr>
          <w:rFonts w:eastAsia="MS Mincho"/>
        </w:rPr>
        <w:t>la</w:t>
      </w:r>
      <w:r w:rsidR="00E17E6D">
        <w:rPr>
          <w:rFonts w:eastAsia="MS Mincho"/>
        </w:rPr>
        <w:t xml:space="preserve"> violation des </w:t>
      </w:r>
      <w:r w:rsidR="00176E09">
        <w:rPr>
          <w:rFonts w:eastAsia="MS Mincho"/>
        </w:rPr>
        <w:t>articles 1 et 12</w:t>
      </w:r>
      <w:r w:rsidR="009071C6">
        <w:rPr>
          <w:rFonts w:eastAsia="MS Mincho"/>
        </w:rPr>
        <w:t xml:space="preserve"> à 16</w:t>
      </w:r>
      <w:r w:rsidR="00176E09">
        <w:rPr>
          <w:rFonts w:eastAsia="MS Mincho"/>
        </w:rPr>
        <w:t xml:space="preserve"> de la Convention sont infondé</w:t>
      </w:r>
      <w:r w:rsidR="008A477A">
        <w:rPr>
          <w:rFonts w:eastAsia="MS Mincho"/>
        </w:rPr>
        <w:t>e</w:t>
      </w:r>
      <w:r w:rsidR="00176E09">
        <w:rPr>
          <w:rFonts w:eastAsia="MS Mincho"/>
        </w:rPr>
        <w:t xml:space="preserve">s. </w:t>
      </w:r>
    </w:p>
    <w:p w:rsidR="003239FB" w:rsidRDefault="003239FB">
      <w:pPr>
        <w:pStyle w:val="SingleTxtG"/>
        <w:rPr>
          <w:rFonts w:eastAsia="MS Mincho"/>
        </w:rPr>
      </w:pPr>
      <w:r>
        <w:rPr>
          <w:rFonts w:eastAsia="MS Mincho"/>
        </w:rPr>
        <w:t>9.</w:t>
      </w:r>
      <w:r w:rsidR="000D2912">
        <w:rPr>
          <w:rFonts w:eastAsia="MS Mincho"/>
        </w:rPr>
        <w:t>4</w:t>
      </w:r>
      <w:r>
        <w:rPr>
          <w:rFonts w:eastAsia="MS Mincho"/>
        </w:rPr>
        <w:tab/>
        <w:t xml:space="preserve">Le 4 décembre 2015, </w:t>
      </w:r>
      <w:r w:rsidRPr="00220CA7">
        <w:rPr>
          <w:rFonts w:eastAsia="MS Mincho"/>
        </w:rPr>
        <w:t>l’État partie</w:t>
      </w:r>
      <w:r>
        <w:rPr>
          <w:rFonts w:eastAsia="MS Mincho"/>
        </w:rPr>
        <w:t xml:space="preserve"> </w:t>
      </w:r>
      <w:r w:rsidR="008F09B4">
        <w:rPr>
          <w:rFonts w:eastAsia="MS Mincho"/>
        </w:rPr>
        <w:t xml:space="preserve">a </w:t>
      </w:r>
      <w:r>
        <w:rPr>
          <w:rFonts w:eastAsia="MS Mincho"/>
        </w:rPr>
        <w:t>fourni des observations complémentaires dans lesquelles il maint</w:t>
      </w:r>
      <w:r w:rsidR="008F09B4">
        <w:rPr>
          <w:rFonts w:eastAsia="MS Mincho"/>
        </w:rPr>
        <w:t>enait</w:t>
      </w:r>
      <w:r>
        <w:rPr>
          <w:rFonts w:eastAsia="MS Mincho"/>
        </w:rPr>
        <w:t xml:space="preserve"> que la communication </w:t>
      </w:r>
      <w:r w:rsidR="008F09B4">
        <w:rPr>
          <w:rFonts w:eastAsia="MS Mincho"/>
        </w:rPr>
        <w:t xml:space="preserve">était </w:t>
      </w:r>
      <w:r>
        <w:rPr>
          <w:rFonts w:eastAsia="MS Mincho"/>
        </w:rPr>
        <w:t>irrecevable car le Comité n’a</w:t>
      </w:r>
      <w:r w:rsidR="008F09B4">
        <w:rPr>
          <w:rFonts w:eastAsia="MS Mincho"/>
        </w:rPr>
        <w:t>vait</w:t>
      </w:r>
      <w:r>
        <w:rPr>
          <w:rFonts w:eastAsia="MS Mincho"/>
        </w:rPr>
        <w:t xml:space="preserve"> pas été en mesure de s’assurer que toutes les voies de recours internes </w:t>
      </w:r>
      <w:r w:rsidR="008F09B4">
        <w:rPr>
          <w:rFonts w:eastAsia="MS Mincho"/>
        </w:rPr>
        <w:t>avaient</w:t>
      </w:r>
      <w:r w:rsidR="000D2912">
        <w:rPr>
          <w:rFonts w:eastAsia="MS Mincho"/>
        </w:rPr>
        <w:t xml:space="preserve"> </w:t>
      </w:r>
      <w:r>
        <w:rPr>
          <w:rFonts w:eastAsia="MS Mincho"/>
        </w:rPr>
        <w:t>été épuisées. En l’absence de plainte déposée par le requérant</w:t>
      </w:r>
      <w:r w:rsidR="000D2912">
        <w:rPr>
          <w:rFonts w:eastAsia="MS Mincho"/>
        </w:rPr>
        <w:t xml:space="preserve"> sur les allégations de torture</w:t>
      </w:r>
      <w:r>
        <w:rPr>
          <w:rFonts w:eastAsia="MS Mincho"/>
        </w:rPr>
        <w:t xml:space="preserve">, </w:t>
      </w:r>
      <w:r w:rsidR="005B4E77">
        <w:rPr>
          <w:rFonts w:eastAsia="MS Mincho"/>
        </w:rPr>
        <w:t>le Comité a, dans s</w:t>
      </w:r>
      <w:r>
        <w:rPr>
          <w:rFonts w:eastAsia="MS Mincho"/>
        </w:rPr>
        <w:t>a décision du 21 mai 2015</w:t>
      </w:r>
      <w:r w:rsidR="005B4E77">
        <w:rPr>
          <w:rFonts w:eastAsia="MS Mincho"/>
        </w:rPr>
        <w:t>,</w:t>
      </w:r>
      <w:r>
        <w:rPr>
          <w:rFonts w:eastAsia="MS Mincho"/>
        </w:rPr>
        <w:t xml:space="preserve"> contourné cette condition pour se placer sur le terrain de la mise à disposition des moyens effectifs de recours pour le requérant. </w:t>
      </w:r>
    </w:p>
    <w:p w:rsidR="003239FB" w:rsidRPr="00F069E0" w:rsidRDefault="003239FB">
      <w:pPr>
        <w:pStyle w:val="SingleTxtG"/>
        <w:rPr>
          <w:rFonts w:eastAsia="MS Mincho"/>
        </w:rPr>
      </w:pPr>
      <w:r>
        <w:rPr>
          <w:rFonts w:eastAsia="MS Mincho"/>
        </w:rPr>
        <w:t>9.</w:t>
      </w:r>
      <w:r w:rsidR="000D2912">
        <w:rPr>
          <w:rFonts w:eastAsia="MS Mincho"/>
        </w:rPr>
        <w:t>5</w:t>
      </w:r>
      <w:r>
        <w:rPr>
          <w:rFonts w:eastAsia="MS Mincho"/>
        </w:rPr>
        <w:tab/>
        <w:t xml:space="preserve">L’État partie attire l’attention sur les caractéristiques et conséquences du recours en cassation pendant et </w:t>
      </w:r>
      <w:r w:rsidR="00E42896">
        <w:rPr>
          <w:rFonts w:eastAsia="MS Mincho"/>
        </w:rPr>
        <w:t xml:space="preserve">indique </w:t>
      </w:r>
      <w:r>
        <w:rPr>
          <w:rFonts w:eastAsia="MS Mincho"/>
        </w:rPr>
        <w:t>qu’un nouveau Code de justice militaire est entré</w:t>
      </w:r>
      <w:r w:rsidR="00D90BDD">
        <w:rPr>
          <w:rFonts w:eastAsia="MS Mincho"/>
        </w:rPr>
        <w:t xml:space="preserve"> </w:t>
      </w:r>
      <w:r>
        <w:rPr>
          <w:rFonts w:eastAsia="MS Mincho"/>
        </w:rPr>
        <w:t>en vigueur le 1</w:t>
      </w:r>
      <w:r w:rsidR="00592513" w:rsidRPr="003538DB">
        <w:rPr>
          <w:rFonts w:eastAsia="MS Mincho"/>
          <w:vertAlign w:val="superscript"/>
        </w:rPr>
        <w:t>er</w:t>
      </w:r>
      <w:r w:rsidR="00592513">
        <w:rPr>
          <w:rFonts w:eastAsia="MS Mincho"/>
        </w:rPr>
        <w:t xml:space="preserve"> </w:t>
      </w:r>
      <w:r>
        <w:rPr>
          <w:rFonts w:eastAsia="MS Mincho"/>
        </w:rPr>
        <w:t>juin 2015</w:t>
      </w:r>
      <w:r w:rsidR="00254920">
        <w:rPr>
          <w:rFonts w:eastAsia="MS Mincho"/>
        </w:rPr>
        <w:t>. Il</w:t>
      </w:r>
      <w:r>
        <w:rPr>
          <w:rFonts w:eastAsia="MS Mincho"/>
        </w:rPr>
        <w:t xml:space="preserve"> prévoit la possibilité pour la Cour de cassation de renvoyer une affaire devant une juridiction civile (la </w:t>
      </w:r>
      <w:r w:rsidR="000B6C34">
        <w:rPr>
          <w:rFonts w:eastAsia="MS Mincho"/>
        </w:rPr>
        <w:t>cour d’appel</w:t>
      </w:r>
      <w:r>
        <w:rPr>
          <w:rFonts w:eastAsia="MS Mincho"/>
        </w:rPr>
        <w:t xml:space="preserve">) au cas où elle déciderait de casser le jugement du </w:t>
      </w:r>
      <w:r w:rsidR="002812EF">
        <w:rPr>
          <w:rFonts w:eastAsia="MS Mincho"/>
        </w:rPr>
        <w:t xml:space="preserve">tribunal </w:t>
      </w:r>
      <w:r>
        <w:rPr>
          <w:rFonts w:eastAsia="MS Mincho"/>
        </w:rPr>
        <w:t xml:space="preserve">militaire. Dans ce cas, la Cour serait également appelée à statuer sur le fond de l’affaire. L’un des moyens soulevés par la défense au titre du recours en cassation porte précisément sur les allégations de torture. Comme le requérant a saisi la Cour de cassation qui présente une voie de recours effective, </w:t>
      </w:r>
      <w:r w:rsidRPr="00557ED5">
        <w:rPr>
          <w:rFonts w:eastAsia="MS Mincho"/>
        </w:rPr>
        <w:t>l</w:t>
      </w:r>
      <w:r w:rsidRPr="00557ED5">
        <w:rPr>
          <w:rStyle w:val="CommentReference"/>
          <w:sz w:val="20"/>
          <w:szCs w:val="20"/>
        </w:rPr>
        <w:t xml:space="preserve">a communication du requérant </w:t>
      </w:r>
      <w:r>
        <w:rPr>
          <w:rStyle w:val="CommentReference"/>
          <w:sz w:val="20"/>
          <w:szCs w:val="20"/>
        </w:rPr>
        <w:t>n’est donc pas</w:t>
      </w:r>
      <w:r w:rsidRPr="00557ED5">
        <w:rPr>
          <w:rStyle w:val="CommentReference"/>
          <w:sz w:val="20"/>
          <w:szCs w:val="20"/>
        </w:rPr>
        <w:t xml:space="preserve"> recevable</w:t>
      </w:r>
      <w:r w:rsidRPr="00F069E0">
        <w:rPr>
          <w:rFonts w:eastAsia="MS Mincho"/>
        </w:rPr>
        <w:t xml:space="preserve">. </w:t>
      </w:r>
    </w:p>
    <w:p w:rsidR="003239FB" w:rsidRDefault="003239FB">
      <w:pPr>
        <w:pStyle w:val="SingleTxtG"/>
        <w:rPr>
          <w:rFonts w:eastAsia="MS Mincho"/>
        </w:rPr>
      </w:pPr>
      <w:r>
        <w:rPr>
          <w:rFonts w:eastAsia="MS Mincho"/>
        </w:rPr>
        <w:t>9.</w:t>
      </w:r>
      <w:r w:rsidR="000D2912">
        <w:rPr>
          <w:rFonts w:eastAsia="MS Mincho"/>
        </w:rPr>
        <w:t>6</w:t>
      </w:r>
      <w:r>
        <w:rPr>
          <w:rFonts w:eastAsia="MS Mincho"/>
        </w:rPr>
        <w:tab/>
        <w:t>Le</w:t>
      </w:r>
      <w:r w:rsidRPr="00F927A1">
        <w:rPr>
          <w:rFonts w:eastAsia="MS Mincho"/>
        </w:rPr>
        <w:t xml:space="preserve"> </w:t>
      </w:r>
      <w:r>
        <w:rPr>
          <w:rFonts w:eastAsia="MS Mincho"/>
        </w:rPr>
        <w:t>20 février 2014,</w:t>
      </w:r>
      <w:r w:rsidDel="00F927A1">
        <w:rPr>
          <w:rFonts w:eastAsia="MS Mincho"/>
        </w:rPr>
        <w:t xml:space="preserve"> </w:t>
      </w:r>
      <w:r>
        <w:rPr>
          <w:rFonts w:eastAsia="MS Mincho"/>
        </w:rPr>
        <w:t xml:space="preserve">le requérant a déposé une plainte pénale en France. Il a saisi le </w:t>
      </w:r>
      <w:r w:rsidR="00FC31A4">
        <w:rPr>
          <w:rFonts w:eastAsia="MS Mincho"/>
        </w:rPr>
        <w:t xml:space="preserve">doyen </w:t>
      </w:r>
      <w:r>
        <w:rPr>
          <w:rFonts w:eastAsia="MS Mincho"/>
        </w:rPr>
        <w:t xml:space="preserve">des juges d’instruction près le </w:t>
      </w:r>
      <w:r w:rsidR="00254920">
        <w:rPr>
          <w:rFonts w:eastAsia="MS Mincho"/>
        </w:rPr>
        <w:t>tribunal de grande instance</w:t>
      </w:r>
      <w:r>
        <w:rPr>
          <w:rFonts w:eastAsia="MS Mincho"/>
        </w:rPr>
        <w:t xml:space="preserve"> de Paris d’une plainte avec constitution de partie civile pour torture. L</w:t>
      </w:r>
      <w:r w:rsidRPr="003164F1">
        <w:rPr>
          <w:rFonts w:eastAsia="MS Mincho"/>
        </w:rPr>
        <w:t>’État partie</w:t>
      </w:r>
      <w:r>
        <w:rPr>
          <w:rFonts w:eastAsia="MS Mincho"/>
        </w:rPr>
        <w:t xml:space="preserve"> ajoute que le Comité ne peut pas valablement intervenir sur la question de la disponibilité des recours internes alors que le plaignant a porté plainte pour torture dans un autre pays que </w:t>
      </w:r>
      <w:r w:rsidRPr="003164F1">
        <w:rPr>
          <w:rFonts w:eastAsia="MS Mincho"/>
        </w:rPr>
        <w:t>l’État partie</w:t>
      </w:r>
      <w:r>
        <w:rPr>
          <w:rFonts w:eastAsia="MS Mincho"/>
        </w:rPr>
        <w:t xml:space="preserve">. </w:t>
      </w:r>
      <w:r w:rsidR="00254920">
        <w:rPr>
          <w:rFonts w:eastAsia="MS Mincho"/>
        </w:rPr>
        <w:t xml:space="preserve">À </w:t>
      </w:r>
      <w:r>
        <w:rPr>
          <w:rFonts w:eastAsia="MS Mincho"/>
        </w:rPr>
        <w:t xml:space="preserve">cet égard, l’argument </w:t>
      </w:r>
      <w:r w:rsidR="00BF6F10">
        <w:rPr>
          <w:rFonts w:eastAsia="MS Mincho"/>
        </w:rPr>
        <w:t xml:space="preserve">relatif à l’obligation de </w:t>
      </w:r>
      <w:r w:rsidRPr="003164F1">
        <w:rPr>
          <w:rFonts w:eastAsia="MS Mincho"/>
        </w:rPr>
        <w:t>l’État partie</w:t>
      </w:r>
      <w:r>
        <w:rPr>
          <w:rFonts w:eastAsia="MS Mincho"/>
        </w:rPr>
        <w:t xml:space="preserve"> d’enquêter sur de simples allégations du requérant sans dépôt formel d</w:t>
      </w:r>
      <w:r w:rsidR="00FC31A4">
        <w:rPr>
          <w:rFonts w:eastAsia="MS Mincho"/>
        </w:rPr>
        <w:t>e</w:t>
      </w:r>
      <w:r>
        <w:rPr>
          <w:rFonts w:eastAsia="MS Mincho"/>
        </w:rPr>
        <w:t xml:space="preserve"> plainte doit être expressément rejeté. S’il avait saisi la juridiction marocaine, comme certains des coprévenus, les journalistes présents à son procès n</w:t>
      </w:r>
      <w:r w:rsidR="00BF6F10">
        <w:rPr>
          <w:rFonts w:eastAsia="MS Mincho"/>
        </w:rPr>
        <w:t>’</w:t>
      </w:r>
      <w:r>
        <w:rPr>
          <w:rFonts w:eastAsia="MS Mincho"/>
        </w:rPr>
        <w:t>auraient pas manqué d’en informer le publi</w:t>
      </w:r>
      <w:r w:rsidR="00254920">
        <w:rPr>
          <w:rFonts w:eastAsia="MS Mincho"/>
        </w:rPr>
        <w:t>c</w:t>
      </w:r>
      <w:r>
        <w:rPr>
          <w:rFonts w:eastAsia="MS Mincho"/>
        </w:rPr>
        <w:t>. Ses allégations d’inaction des autorités de l’</w:t>
      </w:r>
      <w:r w:rsidR="00127133" w:rsidRPr="00127133">
        <w:rPr>
          <w:rFonts w:eastAsia="MS Mincho"/>
        </w:rPr>
        <w:t>É</w:t>
      </w:r>
      <w:r>
        <w:rPr>
          <w:rFonts w:eastAsia="MS Mincho"/>
        </w:rPr>
        <w:t>tat partie sont donc infondées.</w:t>
      </w:r>
      <w:r w:rsidR="00D90BDD">
        <w:rPr>
          <w:rFonts w:eastAsia="MS Mincho"/>
        </w:rPr>
        <w:t xml:space="preserve"> </w:t>
      </w:r>
    </w:p>
    <w:p w:rsidR="003239FB" w:rsidRDefault="000B1037">
      <w:pPr>
        <w:pStyle w:val="SingleTxtG"/>
        <w:spacing w:after="240"/>
        <w:rPr>
          <w:rFonts w:eastAsia="MS Mincho"/>
        </w:rPr>
      </w:pPr>
      <w:r>
        <w:rPr>
          <w:rFonts w:eastAsia="MS Mincho"/>
        </w:rPr>
        <w:t>9</w:t>
      </w:r>
      <w:r w:rsidR="003239FB">
        <w:rPr>
          <w:rFonts w:eastAsia="MS Mincho"/>
        </w:rPr>
        <w:t>.</w:t>
      </w:r>
      <w:r w:rsidR="000D2912">
        <w:rPr>
          <w:rFonts w:eastAsia="MS Mincho"/>
        </w:rPr>
        <w:t>7</w:t>
      </w:r>
      <w:r w:rsidR="003239FB">
        <w:rPr>
          <w:rFonts w:eastAsia="MS Mincho"/>
        </w:rPr>
        <w:tab/>
      </w:r>
      <w:r w:rsidR="00291AFE">
        <w:rPr>
          <w:rFonts w:eastAsia="MS Mincho"/>
        </w:rPr>
        <w:t>Eu égard à</w:t>
      </w:r>
      <w:r w:rsidR="003239FB">
        <w:rPr>
          <w:rFonts w:eastAsia="MS Mincho"/>
        </w:rPr>
        <w:t xml:space="preserve"> l’entrée en vigueur du Protocole additionnel à la </w:t>
      </w:r>
      <w:r w:rsidR="00855C4A">
        <w:rPr>
          <w:rFonts w:eastAsia="MS Mincho"/>
        </w:rPr>
        <w:t xml:space="preserve">Convention </w:t>
      </w:r>
      <w:r w:rsidR="003239FB">
        <w:rPr>
          <w:rFonts w:eastAsia="MS Mincho"/>
        </w:rPr>
        <w:t xml:space="preserve">d’entraide judiciaire en matière pénale entre la France et le Maroc signé le 6 février 2015, </w:t>
      </w:r>
      <w:r w:rsidR="003239FB" w:rsidRPr="00ED0BAB">
        <w:rPr>
          <w:rFonts w:eastAsia="MS Mincho"/>
        </w:rPr>
        <w:t xml:space="preserve">l’État partie </w:t>
      </w:r>
      <w:r w:rsidR="003239FB">
        <w:rPr>
          <w:rFonts w:eastAsia="MS Mincho"/>
        </w:rPr>
        <w:t xml:space="preserve">souligne que la plainte déposée par le requérant à Paris devrait faire l’objet d’une transmission à l’autorité judiciaire marocaine compétente afin qu’elle décide des suites à donner. </w:t>
      </w:r>
      <w:r w:rsidR="00BF6F10">
        <w:rPr>
          <w:rFonts w:eastAsia="MS Mincho"/>
        </w:rPr>
        <w:t>U</w:t>
      </w:r>
      <w:r w:rsidR="003239FB">
        <w:rPr>
          <w:rFonts w:eastAsia="MS Mincho"/>
        </w:rPr>
        <w:t xml:space="preserve">ne juridiction marocaine serait </w:t>
      </w:r>
      <w:r w:rsidR="00BF6F10">
        <w:rPr>
          <w:rFonts w:eastAsia="MS Mincho"/>
        </w:rPr>
        <w:t xml:space="preserve">ainsi </w:t>
      </w:r>
      <w:r w:rsidR="003239FB">
        <w:rPr>
          <w:rFonts w:eastAsia="MS Mincho"/>
        </w:rPr>
        <w:t>appelée à enquêter sur les allégations de torture. L’</w:t>
      </w:r>
      <w:r w:rsidR="003239FB" w:rsidRPr="00945931">
        <w:rPr>
          <w:rFonts w:eastAsia="MS Mincho"/>
        </w:rPr>
        <w:t>É</w:t>
      </w:r>
      <w:r w:rsidR="003239FB">
        <w:rPr>
          <w:rFonts w:eastAsia="MS Mincho"/>
        </w:rPr>
        <w:t xml:space="preserve">tat partie réitère donc que les voies de recours internes n’ont pas été épuisées. </w:t>
      </w:r>
    </w:p>
    <w:p w:rsidR="008A2B52" w:rsidRDefault="00F727CD" w:rsidP="00E93E9F">
      <w:pPr>
        <w:pStyle w:val="H23G"/>
        <w:rPr>
          <w:rFonts w:eastAsia="MS Mincho"/>
        </w:rPr>
      </w:pPr>
      <w:r>
        <w:rPr>
          <w:rFonts w:eastAsia="MS Mincho"/>
        </w:rPr>
        <w:tab/>
      </w:r>
      <w:r>
        <w:rPr>
          <w:rFonts w:eastAsia="MS Mincho"/>
        </w:rPr>
        <w:tab/>
      </w:r>
      <w:r w:rsidR="00F32422">
        <w:rPr>
          <w:rFonts w:eastAsia="MS Mincho"/>
        </w:rPr>
        <w:t>Commentaires de l’auteur</w:t>
      </w:r>
      <w:r w:rsidR="008A2B52" w:rsidRPr="0017481B">
        <w:rPr>
          <w:rFonts w:eastAsia="MS Mincho"/>
        </w:rPr>
        <w:t xml:space="preserve"> sur le fond</w:t>
      </w:r>
    </w:p>
    <w:p w:rsidR="003670E9" w:rsidRDefault="00B26D3F">
      <w:pPr>
        <w:pStyle w:val="SingleTxtG"/>
        <w:rPr>
          <w:rFonts w:eastAsia="MS Mincho"/>
        </w:rPr>
      </w:pPr>
      <w:r>
        <w:rPr>
          <w:rFonts w:eastAsia="MS Mincho"/>
        </w:rPr>
        <w:t>10</w:t>
      </w:r>
      <w:r w:rsidR="00E17E6D">
        <w:rPr>
          <w:rFonts w:eastAsia="MS Mincho"/>
        </w:rPr>
        <w:t>.1</w:t>
      </w:r>
      <w:r w:rsidR="00DF023F">
        <w:rPr>
          <w:rFonts w:eastAsia="MS Mincho"/>
        </w:rPr>
        <w:tab/>
        <w:t xml:space="preserve">Le 12 novembre 2015, le requérant </w:t>
      </w:r>
      <w:r w:rsidR="005B25F6">
        <w:rPr>
          <w:rFonts w:eastAsia="MS Mincho"/>
        </w:rPr>
        <w:t xml:space="preserve">a </w:t>
      </w:r>
      <w:r w:rsidR="00DF023F">
        <w:rPr>
          <w:rFonts w:eastAsia="MS Mincho"/>
        </w:rPr>
        <w:t>soum</w:t>
      </w:r>
      <w:r w:rsidR="005B25F6">
        <w:rPr>
          <w:rFonts w:eastAsia="MS Mincho"/>
        </w:rPr>
        <w:t>is</w:t>
      </w:r>
      <w:r w:rsidR="00DF023F">
        <w:rPr>
          <w:rFonts w:eastAsia="MS Mincho"/>
        </w:rPr>
        <w:t xml:space="preserve"> ses </w:t>
      </w:r>
      <w:r w:rsidR="00F32422">
        <w:rPr>
          <w:rFonts w:eastAsia="MS Mincho"/>
        </w:rPr>
        <w:t xml:space="preserve">commentaires </w:t>
      </w:r>
      <w:r w:rsidR="005B25F6">
        <w:rPr>
          <w:rFonts w:eastAsia="MS Mincho"/>
        </w:rPr>
        <w:t xml:space="preserve">sur les </w:t>
      </w:r>
      <w:r w:rsidR="00F32422">
        <w:rPr>
          <w:rFonts w:eastAsia="MS Mincho"/>
        </w:rPr>
        <w:t>observations de l’État partie</w:t>
      </w:r>
      <w:r w:rsidR="00DF023F">
        <w:rPr>
          <w:rFonts w:eastAsia="MS Mincho"/>
        </w:rPr>
        <w:t>.</w:t>
      </w:r>
      <w:r w:rsidR="00E7652D">
        <w:rPr>
          <w:rFonts w:eastAsia="MS Mincho"/>
        </w:rPr>
        <w:t xml:space="preserve"> </w:t>
      </w:r>
      <w:r w:rsidR="005B25F6">
        <w:rPr>
          <w:rFonts w:eastAsia="MS Mincho"/>
        </w:rPr>
        <w:t>S</w:t>
      </w:r>
      <w:r w:rsidR="00E7652D">
        <w:rPr>
          <w:rFonts w:eastAsia="MS Mincho"/>
        </w:rPr>
        <w:t>a famille</w:t>
      </w:r>
      <w:r w:rsidR="004F4DE0">
        <w:rPr>
          <w:rFonts w:eastAsia="MS Mincho"/>
        </w:rPr>
        <w:t xml:space="preserve"> et lui</w:t>
      </w:r>
      <w:r w:rsidR="00E7652D">
        <w:rPr>
          <w:rFonts w:eastAsia="MS Mincho"/>
        </w:rPr>
        <w:t xml:space="preserve"> subissent </w:t>
      </w:r>
      <w:r w:rsidR="002A6A3F">
        <w:rPr>
          <w:rFonts w:eastAsia="MS Mincho"/>
        </w:rPr>
        <w:t xml:space="preserve">toujours </w:t>
      </w:r>
      <w:r w:rsidR="00E7652D">
        <w:rPr>
          <w:rFonts w:eastAsia="MS Mincho"/>
        </w:rPr>
        <w:t>les conséquences de la torture.</w:t>
      </w:r>
      <w:r w:rsidR="00F574CF">
        <w:rPr>
          <w:rFonts w:eastAsia="MS Mincho"/>
        </w:rPr>
        <w:t xml:space="preserve"> En ce qui concerne la contestation de la décision </w:t>
      </w:r>
      <w:r w:rsidR="004F4DE0">
        <w:rPr>
          <w:rFonts w:eastAsia="MS Mincho"/>
        </w:rPr>
        <w:t>du Comité déclarant sa requête recevable</w:t>
      </w:r>
      <w:r w:rsidR="00F574CF">
        <w:rPr>
          <w:rFonts w:eastAsia="MS Mincho"/>
        </w:rPr>
        <w:t xml:space="preserve">, </w:t>
      </w:r>
      <w:r w:rsidR="004C0623">
        <w:rPr>
          <w:rFonts w:eastAsia="MS Mincho"/>
        </w:rPr>
        <w:t xml:space="preserve">il </w:t>
      </w:r>
      <w:r w:rsidR="00F574CF">
        <w:rPr>
          <w:rFonts w:eastAsia="MS Mincho"/>
        </w:rPr>
        <w:t xml:space="preserve">rappelle </w:t>
      </w:r>
      <w:r w:rsidR="004F4DE0">
        <w:rPr>
          <w:rFonts w:eastAsia="MS Mincho"/>
        </w:rPr>
        <w:t>que</w:t>
      </w:r>
      <w:r w:rsidR="005A461E">
        <w:rPr>
          <w:rFonts w:eastAsia="MS Mincho"/>
        </w:rPr>
        <w:t>,</w:t>
      </w:r>
      <w:r w:rsidR="004F4DE0">
        <w:rPr>
          <w:rFonts w:eastAsia="MS Mincho"/>
        </w:rPr>
        <w:t xml:space="preserve"> selon le Comité,</w:t>
      </w:r>
      <w:r w:rsidR="00F574CF">
        <w:rPr>
          <w:rFonts w:eastAsia="MS Mincho"/>
        </w:rPr>
        <w:t xml:space="preserve"> l’</w:t>
      </w:r>
      <w:r w:rsidR="003670E9" w:rsidRPr="0034627D">
        <w:rPr>
          <w:rFonts w:eastAsia="MS Mincho"/>
        </w:rPr>
        <w:t>État</w:t>
      </w:r>
      <w:r w:rsidR="00F574CF">
        <w:rPr>
          <w:rFonts w:eastAsia="MS Mincho"/>
        </w:rPr>
        <w:t xml:space="preserve"> partie n’a </w:t>
      </w:r>
      <w:r w:rsidR="00DE551C">
        <w:rPr>
          <w:rFonts w:eastAsia="MS Mincho"/>
        </w:rPr>
        <w:t>pas produit d’éléments suffisants pour prouver le non-épuisement des voies de recours internes. Sur le pourvoi en cassation, il indique que</w:t>
      </w:r>
      <w:r w:rsidR="00DD5DC5">
        <w:rPr>
          <w:rFonts w:eastAsia="MS Mincho"/>
        </w:rPr>
        <w:t>,</w:t>
      </w:r>
      <w:r w:rsidR="00D067BB">
        <w:rPr>
          <w:rFonts w:eastAsia="MS Mincho"/>
        </w:rPr>
        <w:t xml:space="preserve"> dans son affaire,</w:t>
      </w:r>
      <w:r w:rsidR="00DE551C">
        <w:rPr>
          <w:rFonts w:eastAsia="MS Mincho"/>
        </w:rPr>
        <w:t xml:space="preserve"> la Cour </w:t>
      </w:r>
      <w:r w:rsidR="00F069E0">
        <w:rPr>
          <w:rFonts w:eastAsia="MS Mincho"/>
        </w:rPr>
        <w:t xml:space="preserve">de cassation </w:t>
      </w:r>
      <w:r w:rsidR="00D067BB">
        <w:rPr>
          <w:rFonts w:eastAsia="MS Mincho"/>
        </w:rPr>
        <w:t>n’a pas été</w:t>
      </w:r>
      <w:r w:rsidR="00F069E0">
        <w:rPr>
          <w:rFonts w:eastAsia="MS Mincho"/>
        </w:rPr>
        <w:t xml:space="preserve"> </w:t>
      </w:r>
      <w:r w:rsidR="00DE551C">
        <w:rPr>
          <w:rFonts w:eastAsia="MS Mincho"/>
        </w:rPr>
        <w:t>saisi</w:t>
      </w:r>
      <w:r w:rsidR="004F4DE0">
        <w:rPr>
          <w:rFonts w:eastAsia="MS Mincho"/>
        </w:rPr>
        <w:t>e</w:t>
      </w:r>
      <w:r w:rsidR="00DE551C">
        <w:rPr>
          <w:rFonts w:eastAsia="MS Mincho"/>
        </w:rPr>
        <w:t xml:space="preserve"> </w:t>
      </w:r>
      <w:r w:rsidR="00F069E0">
        <w:rPr>
          <w:rFonts w:eastAsia="MS Mincho"/>
        </w:rPr>
        <w:t>des faits de torture</w:t>
      </w:r>
      <w:r w:rsidR="00D067BB">
        <w:rPr>
          <w:rFonts w:eastAsia="MS Mincho"/>
        </w:rPr>
        <w:t xml:space="preserve"> que</w:t>
      </w:r>
      <w:r w:rsidR="00F7320B">
        <w:rPr>
          <w:rFonts w:eastAsia="MS Mincho"/>
        </w:rPr>
        <w:t xml:space="preserve"> le juge </w:t>
      </w:r>
      <w:r w:rsidR="00F7320B">
        <w:rPr>
          <w:rFonts w:eastAsia="MS Mincho"/>
        </w:rPr>
        <w:lastRenderedPageBreak/>
        <w:t>d’instruction</w:t>
      </w:r>
      <w:r w:rsidR="00D067BB">
        <w:rPr>
          <w:rFonts w:eastAsia="MS Mincho"/>
        </w:rPr>
        <w:t xml:space="preserve"> </w:t>
      </w:r>
      <w:r w:rsidR="00F7320B">
        <w:rPr>
          <w:rFonts w:eastAsia="MS Mincho"/>
        </w:rPr>
        <w:t>n’a pas souhaité renvoyer</w:t>
      </w:r>
      <w:r w:rsidR="008F4239">
        <w:rPr>
          <w:rFonts w:eastAsia="MS Mincho"/>
        </w:rPr>
        <w:t xml:space="preserve"> </w:t>
      </w:r>
      <w:r w:rsidR="00F7320B">
        <w:rPr>
          <w:rFonts w:eastAsia="MS Mincho"/>
        </w:rPr>
        <w:t>à l’examen du tribunal</w:t>
      </w:r>
      <w:r w:rsidR="00691DA9">
        <w:rPr>
          <w:rFonts w:eastAsia="MS Mincho"/>
        </w:rPr>
        <w:t xml:space="preserve"> militaire. </w:t>
      </w:r>
      <w:r w:rsidR="00383AEC">
        <w:rPr>
          <w:rFonts w:eastAsia="MS Mincho"/>
        </w:rPr>
        <w:t xml:space="preserve">Le requérant rappelle </w:t>
      </w:r>
      <w:r w:rsidR="001F687A">
        <w:rPr>
          <w:rFonts w:eastAsia="MS Mincho"/>
        </w:rPr>
        <w:t>qu’il a été poursuivi et condamné pour meurtre</w:t>
      </w:r>
      <w:r w:rsidR="00F7320B">
        <w:rPr>
          <w:rFonts w:eastAsia="MS Mincho"/>
        </w:rPr>
        <w:t xml:space="preserve">. </w:t>
      </w:r>
      <w:r w:rsidR="00F9662F">
        <w:rPr>
          <w:rFonts w:eastAsia="MS Mincho"/>
        </w:rPr>
        <w:t>Il</w:t>
      </w:r>
      <w:r w:rsidR="001F687A">
        <w:rPr>
          <w:rFonts w:eastAsia="MS Mincho"/>
        </w:rPr>
        <w:t xml:space="preserve"> </w:t>
      </w:r>
      <w:r w:rsidR="00691DA9">
        <w:rPr>
          <w:rFonts w:eastAsia="MS Mincho"/>
        </w:rPr>
        <w:t>ajoute qu</w:t>
      </w:r>
      <w:r w:rsidR="00383AEC">
        <w:rPr>
          <w:rFonts w:eastAsia="MS Mincho"/>
        </w:rPr>
        <w:t>’</w:t>
      </w:r>
      <w:r w:rsidR="00691DA9">
        <w:rPr>
          <w:rFonts w:eastAsia="MS Mincho"/>
        </w:rPr>
        <w:t xml:space="preserve">il </w:t>
      </w:r>
      <w:r w:rsidR="001F687A">
        <w:rPr>
          <w:rFonts w:eastAsia="MS Mincho"/>
        </w:rPr>
        <w:t>n’a eu de cesse, avec ses coaccusés, de dénoncer les actes de torture et les traitements inhumains et dégradants</w:t>
      </w:r>
      <w:r w:rsidR="003E26F6">
        <w:rPr>
          <w:rFonts w:eastAsia="MS Mincho"/>
        </w:rPr>
        <w:t xml:space="preserve"> subis</w:t>
      </w:r>
      <w:r w:rsidR="00383AEC">
        <w:rPr>
          <w:rFonts w:eastAsia="MS Mincho"/>
        </w:rPr>
        <w:t>,</w:t>
      </w:r>
      <w:r w:rsidR="00FD3811">
        <w:rPr>
          <w:rFonts w:eastAsia="MS Mincho"/>
        </w:rPr>
        <w:t xml:space="preserve"> et de c</w:t>
      </w:r>
      <w:r w:rsidR="00FD3811" w:rsidRPr="00FD3811">
        <w:rPr>
          <w:rFonts w:eastAsia="MS Mincho"/>
        </w:rPr>
        <w:t xml:space="preserve">ontester la véracité des aveux </w:t>
      </w:r>
      <w:r w:rsidR="00FD3811">
        <w:rPr>
          <w:rFonts w:eastAsia="MS Mincho"/>
        </w:rPr>
        <w:t xml:space="preserve">obtenus par </w:t>
      </w:r>
      <w:r w:rsidR="00AC4A95">
        <w:rPr>
          <w:rFonts w:eastAsia="MS Mincho"/>
        </w:rPr>
        <w:t xml:space="preserve">la </w:t>
      </w:r>
      <w:r w:rsidR="00FD3811">
        <w:rPr>
          <w:rFonts w:eastAsia="MS Mincho"/>
        </w:rPr>
        <w:t>torture</w:t>
      </w:r>
      <w:r w:rsidR="00D90BDD">
        <w:rPr>
          <w:rFonts w:eastAsia="MS Mincho"/>
        </w:rPr>
        <w:t xml:space="preserve"> </w:t>
      </w:r>
      <w:r w:rsidR="001F687A">
        <w:rPr>
          <w:rFonts w:eastAsia="MS Mincho"/>
        </w:rPr>
        <w:t xml:space="preserve">devant le juge d’instruction </w:t>
      </w:r>
      <w:r w:rsidR="00383AEC">
        <w:rPr>
          <w:rFonts w:eastAsia="MS Mincho"/>
        </w:rPr>
        <w:t xml:space="preserve">ainsi </w:t>
      </w:r>
      <w:r w:rsidR="001F687A">
        <w:rPr>
          <w:rFonts w:eastAsia="MS Mincho"/>
        </w:rPr>
        <w:t>que lors de l’audience devant le tribunal militaire</w:t>
      </w:r>
      <w:r w:rsidR="00FD3811">
        <w:rPr>
          <w:rFonts w:eastAsia="MS Mincho"/>
        </w:rPr>
        <w:t xml:space="preserve">. Comme </w:t>
      </w:r>
      <w:r w:rsidR="00FC76CF">
        <w:rPr>
          <w:rFonts w:eastAsia="MS Mincho"/>
        </w:rPr>
        <w:t xml:space="preserve">jamais aucun juge marocain n’a souhaité examiner ses accusations, la Cour de cassation </w:t>
      </w:r>
      <w:r w:rsidR="00383AEC">
        <w:rPr>
          <w:rFonts w:eastAsia="MS Mincho"/>
        </w:rPr>
        <w:t>n’</w:t>
      </w:r>
      <w:r w:rsidR="00F9662F">
        <w:rPr>
          <w:rFonts w:eastAsia="MS Mincho"/>
        </w:rPr>
        <w:t>est</w:t>
      </w:r>
      <w:r w:rsidR="00383AEC">
        <w:rPr>
          <w:rFonts w:eastAsia="MS Mincho"/>
        </w:rPr>
        <w:t xml:space="preserve"> </w:t>
      </w:r>
      <w:r w:rsidR="00FC76CF">
        <w:rPr>
          <w:rFonts w:eastAsia="MS Mincho"/>
        </w:rPr>
        <w:t>pas compéten</w:t>
      </w:r>
      <w:r w:rsidR="00F9662F">
        <w:rPr>
          <w:rFonts w:eastAsia="MS Mincho"/>
        </w:rPr>
        <w:t>t</w:t>
      </w:r>
      <w:r w:rsidR="00FC76CF">
        <w:rPr>
          <w:rFonts w:eastAsia="MS Mincho"/>
        </w:rPr>
        <w:t>e</w:t>
      </w:r>
      <w:r w:rsidR="00F9662F">
        <w:rPr>
          <w:rFonts w:eastAsia="MS Mincho"/>
        </w:rPr>
        <w:t xml:space="preserve"> pour</w:t>
      </w:r>
      <w:r w:rsidR="00FC76CF">
        <w:rPr>
          <w:rFonts w:eastAsia="MS Mincho"/>
        </w:rPr>
        <w:t xml:space="preserve"> se prononcer sur le bien</w:t>
      </w:r>
      <w:r w:rsidR="00C80605">
        <w:rPr>
          <w:rFonts w:eastAsia="MS Mincho"/>
        </w:rPr>
        <w:t>-</w:t>
      </w:r>
      <w:r w:rsidR="00FC76CF">
        <w:rPr>
          <w:rFonts w:eastAsia="MS Mincho"/>
        </w:rPr>
        <w:t>fondé des allégations de torture</w:t>
      </w:r>
      <w:r w:rsidR="00AC4A95">
        <w:rPr>
          <w:rFonts w:eastAsia="MS Mincho"/>
        </w:rPr>
        <w:t xml:space="preserve"> qu’il a présentées</w:t>
      </w:r>
      <w:r w:rsidR="00FC76CF">
        <w:rPr>
          <w:rFonts w:eastAsia="MS Mincho"/>
        </w:rPr>
        <w:t xml:space="preserve">. </w:t>
      </w:r>
    </w:p>
    <w:p w:rsidR="009507F5" w:rsidRDefault="00B26D3F">
      <w:pPr>
        <w:pStyle w:val="SingleTxtG"/>
        <w:rPr>
          <w:rFonts w:eastAsia="MS Mincho"/>
        </w:rPr>
      </w:pPr>
      <w:r>
        <w:rPr>
          <w:rFonts w:eastAsia="MS Mincho"/>
        </w:rPr>
        <w:t>10</w:t>
      </w:r>
      <w:r w:rsidR="003670E9">
        <w:rPr>
          <w:rFonts w:eastAsia="MS Mincho"/>
        </w:rPr>
        <w:t>.2</w:t>
      </w:r>
      <w:r w:rsidR="003670E9">
        <w:rPr>
          <w:rFonts w:eastAsia="MS Mincho"/>
        </w:rPr>
        <w:tab/>
      </w:r>
      <w:r w:rsidR="004F4DE0">
        <w:rPr>
          <w:rFonts w:eastAsia="MS Mincho"/>
        </w:rPr>
        <w:t xml:space="preserve">Le requérant </w:t>
      </w:r>
      <w:r w:rsidR="001642CA">
        <w:rPr>
          <w:rFonts w:eastAsia="MS Mincho"/>
        </w:rPr>
        <w:t xml:space="preserve">rappelle que le pourvoi en cassation est </w:t>
      </w:r>
      <w:r w:rsidR="004F4DE0">
        <w:rPr>
          <w:rFonts w:eastAsia="MS Mincho"/>
        </w:rPr>
        <w:t xml:space="preserve">en </w:t>
      </w:r>
      <w:r w:rsidR="00360AC7">
        <w:rPr>
          <w:rFonts w:eastAsia="MS Mincho"/>
        </w:rPr>
        <w:t>cours</w:t>
      </w:r>
      <w:r w:rsidR="004F4DE0">
        <w:rPr>
          <w:rFonts w:eastAsia="MS Mincho"/>
        </w:rPr>
        <w:t xml:space="preserve"> </w:t>
      </w:r>
      <w:r w:rsidR="001642CA">
        <w:rPr>
          <w:rFonts w:eastAsia="MS Mincho"/>
        </w:rPr>
        <w:t xml:space="preserve">depuis février 2015. </w:t>
      </w:r>
      <w:r w:rsidR="004F4DE0">
        <w:rPr>
          <w:rFonts w:eastAsia="MS Mincho"/>
        </w:rPr>
        <w:t>Il</w:t>
      </w:r>
      <w:r w:rsidR="00FC5EA5">
        <w:rPr>
          <w:rFonts w:eastAsia="MS Mincho"/>
        </w:rPr>
        <w:t> </w:t>
      </w:r>
      <w:r w:rsidR="001642CA">
        <w:rPr>
          <w:rFonts w:eastAsia="MS Mincho"/>
        </w:rPr>
        <w:t>est</w:t>
      </w:r>
      <w:r w:rsidR="004F4DE0">
        <w:rPr>
          <w:rFonts w:eastAsia="MS Mincho"/>
        </w:rPr>
        <w:t xml:space="preserve"> </w:t>
      </w:r>
      <w:r w:rsidR="00F72879">
        <w:rPr>
          <w:rFonts w:eastAsia="MS Mincho"/>
        </w:rPr>
        <w:t xml:space="preserve">non seulement </w:t>
      </w:r>
      <w:r w:rsidR="001642CA">
        <w:rPr>
          <w:rFonts w:eastAsia="MS Mincho"/>
        </w:rPr>
        <w:t>inutile concernant les allégations de torture</w:t>
      </w:r>
      <w:r w:rsidR="004F4DE0">
        <w:rPr>
          <w:rFonts w:eastAsia="MS Mincho"/>
        </w:rPr>
        <w:t>,</w:t>
      </w:r>
      <w:r w:rsidR="001642CA">
        <w:rPr>
          <w:rFonts w:eastAsia="MS Mincho"/>
        </w:rPr>
        <w:t xml:space="preserve"> </w:t>
      </w:r>
      <w:r w:rsidR="00F72879">
        <w:rPr>
          <w:rFonts w:eastAsia="MS Mincho"/>
        </w:rPr>
        <w:t xml:space="preserve">mais </w:t>
      </w:r>
      <w:r w:rsidR="001642CA">
        <w:rPr>
          <w:rFonts w:eastAsia="MS Mincho"/>
        </w:rPr>
        <w:t xml:space="preserve">il dépasse </w:t>
      </w:r>
      <w:r w:rsidR="00F72879">
        <w:rPr>
          <w:rFonts w:eastAsia="MS Mincho"/>
        </w:rPr>
        <w:t xml:space="preserve">aussi </w:t>
      </w:r>
      <w:r w:rsidR="001642CA">
        <w:rPr>
          <w:rFonts w:eastAsia="MS Mincho"/>
        </w:rPr>
        <w:t xml:space="preserve">les délais raisonnables. </w:t>
      </w:r>
      <w:r w:rsidR="00AC4A95">
        <w:rPr>
          <w:rFonts w:eastAsia="MS Mincho"/>
        </w:rPr>
        <w:t>Quant aux</w:t>
      </w:r>
      <w:r w:rsidR="007C36A9">
        <w:rPr>
          <w:rFonts w:eastAsia="MS Mincho"/>
        </w:rPr>
        <w:t xml:space="preserve"> poursuites </w:t>
      </w:r>
      <w:r w:rsidR="00556F6F">
        <w:rPr>
          <w:rFonts w:eastAsia="MS Mincho"/>
        </w:rPr>
        <w:t xml:space="preserve">initiées </w:t>
      </w:r>
      <w:r w:rsidR="007C36A9">
        <w:rPr>
          <w:rFonts w:eastAsia="MS Mincho"/>
        </w:rPr>
        <w:t xml:space="preserve">à l’encontre de la victime et de son représentant, le </w:t>
      </w:r>
      <w:r w:rsidR="00AC4A95">
        <w:rPr>
          <w:rFonts w:eastAsia="MS Mincho"/>
        </w:rPr>
        <w:t xml:space="preserve">requérant </w:t>
      </w:r>
      <w:r w:rsidR="007C36A9">
        <w:rPr>
          <w:rFonts w:eastAsia="MS Mincho"/>
        </w:rPr>
        <w:t>regrette que l</w:t>
      </w:r>
      <w:r w:rsidR="009507F5">
        <w:rPr>
          <w:rFonts w:eastAsia="MS Mincho"/>
        </w:rPr>
        <w:t>’</w:t>
      </w:r>
      <w:r w:rsidR="009507F5" w:rsidRPr="009507F5">
        <w:rPr>
          <w:rFonts w:eastAsia="MS Mincho"/>
        </w:rPr>
        <w:t>État partie</w:t>
      </w:r>
      <w:r w:rsidR="0091034C">
        <w:rPr>
          <w:rFonts w:eastAsia="MS Mincho"/>
        </w:rPr>
        <w:t xml:space="preserve"> </w:t>
      </w:r>
      <w:r w:rsidR="007C36A9">
        <w:rPr>
          <w:rFonts w:eastAsia="MS Mincho"/>
        </w:rPr>
        <w:t xml:space="preserve">se targue du harcèlement judiciaire exercé </w:t>
      </w:r>
      <w:r w:rsidR="007C36A9" w:rsidRPr="00F72879">
        <w:rPr>
          <w:rFonts w:eastAsia="MS Mincho"/>
        </w:rPr>
        <w:t>à l’encontre</w:t>
      </w:r>
      <w:r w:rsidR="007C36A9">
        <w:rPr>
          <w:rFonts w:eastAsia="MS Mincho"/>
        </w:rPr>
        <w:t xml:space="preserve"> de la victime et de l’</w:t>
      </w:r>
      <w:r w:rsidR="00102E8A">
        <w:rPr>
          <w:rFonts w:eastAsia="MS Mincho"/>
        </w:rPr>
        <w:t>organisation non gouvernementale</w:t>
      </w:r>
      <w:r w:rsidR="007C36A9">
        <w:rPr>
          <w:rFonts w:eastAsia="MS Mincho"/>
        </w:rPr>
        <w:t xml:space="preserve"> qui l’assiste</w:t>
      </w:r>
      <w:r w:rsidR="009507F5">
        <w:rPr>
          <w:rFonts w:eastAsia="MS Mincho"/>
        </w:rPr>
        <w:t xml:space="preserve"> </w:t>
      </w:r>
      <w:r w:rsidR="007C36A9">
        <w:rPr>
          <w:rFonts w:eastAsia="MS Mincho"/>
        </w:rPr>
        <w:t>pour déclarer irrecevable la plainte déposée devant le Comité.</w:t>
      </w:r>
      <w:r w:rsidR="002C4061">
        <w:rPr>
          <w:rFonts w:eastAsia="MS Mincho"/>
        </w:rPr>
        <w:t xml:space="preserve"> </w:t>
      </w:r>
      <w:r w:rsidR="00FD3586">
        <w:rPr>
          <w:rFonts w:eastAsia="MS Mincho"/>
        </w:rPr>
        <w:t xml:space="preserve">Il relève par ailleurs que l’instruction pour dénonciation calomnieuse et autres infractions </w:t>
      </w:r>
      <w:r w:rsidR="002C4061">
        <w:rPr>
          <w:rFonts w:eastAsia="MS Mincho"/>
        </w:rPr>
        <w:t xml:space="preserve">initiée </w:t>
      </w:r>
      <w:r w:rsidR="00FD3586">
        <w:rPr>
          <w:rFonts w:eastAsia="MS Mincho"/>
        </w:rPr>
        <w:t xml:space="preserve">contre </w:t>
      </w:r>
      <w:r w:rsidR="00353D78">
        <w:rPr>
          <w:rFonts w:eastAsia="MS Mincho"/>
        </w:rPr>
        <w:t>lui</w:t>
      </w:r>
      <w:r w:rsidR="00FD3586">
        <w:rPr>
          <w:rFonts w:eastAsia="MS Mincho"/>
        </w:rPr>
        <w:t xml:space="preserve"> et ACAT semble au point mort </w:t>
      </w:r>
      <w:r w:rsidR="002C4061">
        <w:rPr>
          <w:rFonts w:eastAsia="MS Mincho"/>
        </w:rPr>
        <w:t xml:space="preserve">dans la mesure où </w:t>
      </w:r>
      <w:r w:rsidR="00FD3586">
        <w:rPr>
          <w:rFonts w:eastAsia="MS Mincho"/>
        </w:rPr>
        <w:t xml:space="preserve">il n’a jamais été entendu par le juge d’instruction. </w:t>
      </w:r>
      <w:r w:rsidR="002C4061">
        <w:rPr>
          <w:rFonts w:eastAsia="MS Mincho"/>
        </w:rPr>
        <w:t>Il ajoute que</w:t>
      </w:r>
      <w:r w:rsidR="00FD3586">
        <w:rPr>
          <w:rFonts w:eastAsia="MS Mincho"/>
        </w:rPr>
        <w:t xml:space="preserve"> l</w:t>
      </w:r>
      <w:r w:rsidR="009507F5">
        <w:rPr>
          <w:rFonts w:eastAsia="MS Mincho"/>
        </w:rPr>
        <w:t>a</w:t>
      </w:r>
      <w:r w:rsidR="00FD3586">
        <w:rPr>
          <w:rFonts w:eastAsia="MS Mincho"/>
        </w:rPr>
        <w:t xml:space="preserve"> grande majorité des </w:t>
      </w:r>
      <w:r w:rsidR="00D630A1">
        <w:rPr>
          <w:rFonts w:eastAsia="MS Mincho"/>
        </w:rPr>
        <w:t xml:space="preserve">Sahraouis </w:t>
      </w:r>
      <w:r w:rsidR="00FD3586">
        <w:rPr>
          <w:rFonts w:eastAsia="MS Mincho"/>
        </w:rPr>
        <w:t>arrêtés dans le cadre du déman</w:t>
      </w:r>
      <w:r w:rsidR="00F0402F">
        <w:rPr>
          <w:rFonts w:eastAsia="MS Mincho"/>
        </w:rPr>
        <w:t xml:space="preserve">tèlement du camp de Gdeim Izik font l’objet de poursuites depuis 2010 et sont en liberté provisoire, mais n’ont jamais été jugés. </w:t>
      </w:r>
    </w:p>
    <w:p w:rsidR="00C35F6E" w:rsidRDefault="00B26D3F">
      <w:pPr>
        <w:pStyle w:val="SingleTxtG"/>
        <w:rPr>
          <w:rFonts w:eastAsia="MS Mincho"/>
        </w:rPr>
      </w:pPr>
      <w:r>
        <w:rPr>
          <w:rFonts w:eastAsia="MS Mincho"/>
        </w:rPr>
        <w:t>10</w:t>
      </w:r>
      <w:r w:rsidR="009507F5">
        <w:rPr>
          <w:rFonts w:eastAsia="MS Mincho"/>
        </w:rPr>
        <w:t>.3</w:t>
      </w:r>
      <w:r w:rsidR="009507F5">
        <w:rPr>
          <w:rFonts w:eastAsia="MS Mincho"/>
        </w:rPr>
        <w:tab/>
      </w:r>
      <w:r w:rsidR="004153DE">
        <w:rPr>
          <w:rFonts w:eastAsia="MS Mincho"/>
        </w:rPr>
        <w:t>Enfin</w:t>
      </w:r>
      <w:r w:rsidR="00791F3D">
        <w:rPr>
          <w:rFonts w:eastAsia="MS Mincho"/>
        </w:rPr>
        <w:t xml:space="preserve">, le requérant </w:t>
      </w:r>
      <w:r w:rsidR="002C4061">
        <w:rPr>
          <w:rFonts w:eastAsia="MS Mincho"/>
        </w:rPr>
        <w:t xml:space="preserve">réitère </w:t>
      </w:r>
      <w:r w:rsidR="00791F3D">
        <w:rPr>
          <w:rFonts w:eastAsia="MS Mincho"/>
        </w:rPr>
        <w:t>que son arrestation a bien eu lieu le 7 novembre 2010</w:t>
      </w:r>
      <w:r w:rsidR="00E86CE1">
        <w:rPr>
          <w:rFonts w:eastAsia="MS Mincho"/>
        </w:rPr>
        <w:t>. Il</w:t>
      </w:r>
      <w:r w:rsidR="00FC5EA5">
        <w:rPr>
          <w:rFonts w:eastAsia="MS Mincho"/>
        </w:rPr>
        <w:t> </w:t>
      </w:r>
      <w:r w:rsidR="00E86CE1">
        <w:rPr>
          <w:rFonts w:eastAsia="MS Mincho"/>
        </w:rPr>
        <w:t>renvoie aussi</w:t>
      </w:r>
      <w:r w:rsidR="007617E0">
        <w:rPr>
          <w:rFonts w:eastAsia="MS Mincho"/>
        </w:rPr>
        <w:t xml:space="preserve"> </w:t>
      </w:r>
      <w:r w:rsidR="00E86CE1">
        <w:rPr>
          <w:rFonts w:eastAsia="MS Mincho"/>
        </w:rPr>
        <w:t xml:space="preserve">à la communication du 20 février 2014 pour le détail des nombreuses allégations de torture </w:t>
      </w:r>
      <w:r w:rsidR="002C4061">
        <w:rPr>
          <w:rFonts w:eastAsia="MS Mincho"/>
        </w:rPr>
        <w:t>qu’il a présentées</w:t>
      </w:r>
      <w:r w:rsidR="00E86CE1">
        <w:rPr>
          <w:rFonts w:eastAsia="MS Mincho"/>
        </w:rPr>
        <w:t xml:space="preserve"> </w:t>
      </w:r>
      <w:r w:rsidR="00AC4A95">
        <w:rPr>
          <w:rFonts w:eastAsia="MS Mincho"/>
        </w:rPr>
        <w:t>aux</w:t>
      </w:r>
      <w:r w:rsidR="00E86CE1">
        <w:rPr>
          <w:rFonts w:eastAsia="MS Mincho"/>
        </w:rPr>
        <w:t xml:space="preserve"> autorités judiciaires</w:t>
      </w:r>
      <w:r w:rsidR="00AC4A95">
        <w:rPr>
          <w:rFonts w:eastAsia="MS Mincho"/>
        </w:rPr>
        <w:t xml:space="preserve"> marocaines</w:t>
      </w:r>
      <w:r w:rsidR="00E86CE1">
        <w:rPr>
          <w:rFonts w:eastAsia="MS Mincho"/>
        </w:rPr>
        <w:t xml:space="preserve">, sans que cela ne soit suivi d’effet. </w:t>
      </w:r>
      <w:r w:rsidR="00AC4A95">
        <w:rPr>
          <w:rFonts w:eastAsia="MS Mincho"/>
        </w:rPr>
        <w:t>L</w:t>
      </w:r>
      <w:r w:rsidR="00E86CE1">
        <w:rPr>
          <w:rFonts w:eastAsia="MS Mincho"/>
        </w:rPr>
        <w:t xml:space="preserve">e requérant </w:t>
      </w:r>
      <w:r w:rsidR="00AC4A95">
        <w:rPr>
          <w:rFonts w:eastAsia="MS Mincho"/>
        </w:rPr>
        <w:t xml:space="preserve">réitère </w:t>
      </w:r>
      <w:r w:rsidR="00E86CE1">
        <w:rPr>
          <w:rFonts w:eastAsia="MS Mincho"/>
        </w:rPr>
        <w:t>avoir été torturé</w:t>
      </w:r>
      <w:r w:rsidR="002C4061">
        <w:rPr>
          <w:rFonts w:eastAsia="MS Mincho"/>
        </w:rPr>
        <w:t xml:space="preserve"> lors de l’audition devant le juge d’instruction militaire le 30 septembre 2011</w:t>
      </w:r>
      <w:r w:rsidR="00E86CE1">
        <w:rPr>
          <w:rFonts w:eastAsia="MS Mincho"/>
        </w:rPr>
        <w:t xml:space="preserve">, comme </w:t>
      </w:r>
      <w:r w:rsidR="002C4061">
        <w:rPr>
          <w:rFonts w:eastAsia="MS Mincho"/>
        </w:rPr>
        <w:t>le démontre</w:t>
      </w:r>
      <w:r w:rsidR="00E86CE1">
        <w:rPr>
          <w:rFonts w:eastAsia="MS Mincho"/>
        </w:rPr>
        <w:t xml:space="preserve"> le procès</w:t>
      </w:r>
      <w:r w:rsidR="00220CA7">
        <w:rPr>
          <w:rFonts w:eastAsia="MS Mincho"/>
        </w:rPr>
        <w:t>-</w:t>
      </w:r>
      <w:r w:rsidR="00E86CE1">
        <w:rPr>
          <w:rFonts w:eastAsia="MS Mincho"/>
        </w:rPr>
        <w:t xml:space="preserve">verbal d’audition. </w:t>
      </w:r>
      <w:r w:rsidR="00BD2938">
        <w:rPr>
          <w:rFonts w:eastAsia="MS Mincho"/>
        </w:rPr>
        <w:t>Concernant le lieu d</w:t>
      </w:r>
      <w:r w:rsidR="004153DE">
        <w:rPr>
          <w:rFonts w:eastAsia="MS Mincho"/>
        </w:rPr>
        <w:t>e l</w:t>
      </w:r>
      <w:r w:rsidR="00BD2938">
        <w:rPr>
          <w:rFonts w:eastAsia="MS Mincho"/>
        </w:rPr>
        <w:t xml:space="preserve">’arrestation, </w:t>
      </w:r>
      <w:r w:rsidR="002C4061">
        <w:rPr>
          <w:rFonts w:eastAsia="MS Mincho"/>
        </w:rPr>
        <w:t>le requérant</w:t>
      </w:r>
      <w:r w:rsidR="00BD2938">
        <w:rPr>
          <w:rFonts w:eastAsia="MS Mincho"/>
        </w:rPr>
        <w:t xml:space="preserve"> </w:t>
      </w:r>
      <w:r w:rsidR="002C4061">
        <w:rPr>
          <w:rFonts w:eastAsia="MS Mincho"/>
        </w:rPr>
        <w:t xml:space="preserve">maintient </w:t>
      </w:r>
      <w:r w:rsidR="00BD2938">
        <w:rPr>
          <w:rFonts w:eastAsia="MS Mincho"/>
        </w:rPr>
        <w:t>avoir été arrêté</w:t>
      </w:r>
      <w:r w:rsidR="00AC4A95">
        <w:rPr>
          <w:rFonts w:eastAsia="MS Mincho"/>
        </w:rPr>
        <w:t xml:space="preserve"> alors qu’il était</w:t>
      </w:r>
      <w:r w:rsidR="00BD2938">
        <w:rPr>
          <w:rFonts w:eastAsia="MS Mincho"/>
        </w:rPr>
        <w:t xml:space="preserve"> </w:t>
      </w:r>
      <w:r w:rsidR="00AC4A95">
        <w:rPr>
          <w:rFonts w:eastAsia="MS Mincho"/>
        </w:rPr>
        <w:t>chez un</w:t>
      </w:r>
      <w:r w:rsidR="00220CA7">
        <w:rPr>
          <w:rFonts w:eastAsia="MS Mincho"/>
        </w:rPr>
        <w:t xml:space="preserve"> ami</w:t>
      </w:r>
      <w:r w:rsidR="00353D78">
        <w:rPr>
          <w:rFonts w:eastAsia="MS Mincho"/>
        </w:rPr>
        <w:t xml:space="preserve">, lequel </w:t>
      </w:r>
      <w:r w:rsidR="00AC4A95">
        <w:rPr>
          <w:rFonts w:eastAsia="MS Mincho"/>
        </w:rPr>
        <w:t xml:space="preserve">a confirmé la version du requérant lorsqu’il </w:t>
      </w:r>
      <w:r w:rsidR="00353D78">
        <w:rPr>
          <w:rFonts w:eastAsia="MS Mincho"/>
        </w:rPr>
        <w:t>a été convoqué comme témoin par</w:t>
      </w:r>
      <w:r w:rsidR="00BD2938">
        <w:rPr>
          <w:rFonts w:eastAsia="MS Mincho"/>
        </w:rPr>
        <w:t xml:space="preserve"> le tribunal militaire. </w:t>
      </w:r>
    </w:p>
    <w:p w:rsidR="00321A18" w:rsidRDefault="00B26D3F">
      <w:pPr>
        <w:pStyle w:val="SingleTxtG"/>
        <w:rPr>
          <w:rFonts w:eastAsia="MS Mincho"/>
        </w:rPr>
      </w:pPr>
      <w:r>
        <w:rPr>
          <w:rFonts w:eastAsia="MS Mincho"/>
        </w:rPr>
        <w:t>10.</w:t>
      </w:r>
      <w:r w:rsidR="000B1037">
        <w:rPr>
          <w:rFonts w:eastAsia="MS Mincho"/>
        </w:rPr>
        <w:t>4</w:t>
      </w:r>
      <w:r w:rsidR="003E5702">
        <w:rPr>
          <w:rFonts w:eastAsia="MS Mincho"/>
        </w:rPr>
        <w:tab/>
        <w:t>Le 1</w:t>
      </w:r>
      <w:r w:rsidR="00AC4A95" w:rsidRPr="00E93E9F">
        <w:rPr>
          <w:rFonts w:eastAsia="MS Mincho"/>
          <w:vertAlign w:val="superscript"/>
        </w:rPr>
        <w:t>er</w:t>
      </w:r>
      <w:r w:rsidR="003E5702">
        <w:rPr>
          <w:rFonts w:eastAsia="MS Mincho"/>
        </w:rPr>
        <w:t xml:space="preserve"> février 2016, le requérant </w:t>
      </w:r>
      <w:r w:rsidR="007E27EA">
        <w:rPr>
          <w:rFonts w:eastAsia="MS Mincho"/>
        </w:rPr>
        <w:t xml:space="preserve">a </w:t>
      </w:r>
      <w:r w:rsidR="003E5702">
        <w:rPr>
          <w:rFonts w:eastAsia="MS Mincho"/>
        </w:rPr>
        <w:t>réit</w:t>
      </w:r>
      <w:r w:rsidR="007E27EA">
        <w:rPr>
          <w:rFonts w:eastAsia="MS Mincho"/>
        </w:rPr>
        <w:t>éré</w:t>
      </w:r>
      <w:r w:rsidR="003E5702">
        <w:rPr>
          <w:rFonts w:eastAsia="MS Mincho"/>
        </w:rPr>
        <w:t xml:space="preserve"> qu’il </w:t>
      </w:r>
      <w:r w:rsidR="007E27EA">
        <w:rPr>
          <w:rFonts w:eastAsia="MS Mincho"/>
        </w:rPr>
        <w:t xml:space="preserve">était </w:t>
      </w:r>
      <w:r w:rsidR="003E5702">
        <w:rPr>
          <w:rFonts w:eastAsia="MS Mincho"/>
        </w:rPr>
        <w:t xml:space="preserve">arbitrairement détenu </w:t>
      </w:r>
      <w:r w:rsidR="00B53301" w:rsidRPr="00B53301">
        <w:rPr>
          <w:rFonts w:eastAsia="MS Mincho"/>
        </w:rPr>
        <w:t xml:space="preserve">depuis cinq ans et trois mois </w:t>
      </w:r>
      <w:r w:rsidR="003E5702">
        <w:rPr>
          <w:rFonts w:eastAsia="MS Mincho"/>
        </w:rPr>
        <w:t xml:space="preserve">sur la base d’aveux </w:t>
      </w:r>
      <w:r w:rsidR="00BC1ADC">
        <w:rPr>
          <w:rFonts w:eastAsia="MS Mincho"/>
        </w:rPr>
        <w:t xml:space="preserve">obtenus </w:t>
      </w:r>
      <w:r w:rsidR="003E5702">
        <w:rPr>
          <w:rFonts w:eastAsia="MS Mincho"/>
        </w:rPr>
        <w:t>sous la torture. Il consid</w:t>
      </w:r>
      <w:r w:rsidR="00CD652A">
        <w:rPr>
          <w:rFonts w:eastAsia="MS Mincho"/>
        </w:rPr>
        <w:t>è</w:t>
      </w:r>
      <w:r w:rsidR="003E5702">
        <w:rPr>
          <w:rFonts w:eastAsia="MS Mincho"/>
        </w:rPr>
        <w:t>re que les dernières observations de l’</w:t>
      </w:r>
      <w:r w:rsidR="00E1160E" w:rsidRPr="00E1160E">
        <w:rPr>
          <w:rFonts w:eastAsia="MS Mincho"/>
        </w:rPr>
        <w:t>É</w:t>
      </w:r>
      <w:r w:rsidR="003E5702">
        <w:rPr>
          <w:rFonts w:eastAsia="MS Mincho"/>
        </w:rPr>
        <w:t>t</w:t>
      </w:r>
      <w:r w:rsidR="00427399">
        <w:rPr>
          <w:rFonts w:eastAsia="MS Mincho"/>
        </w:rPr>
        <w:t>at partie sont dilatoires et n’</w:t>
      </w:r>
      <w:r w:rsidR="003E5702">
        <w:rPr>
          <w:rFonts w:eastAsia="MS Mincho"/>
        </w:rPr>
        <w:t xml:space="preserve">apportent pas de nouvelles informations substantielles. </w:t>
      </w:r>
    </w:p>
    <w:p w:rsidR="00427399" w:rsidRDefault="00B26D3F">
      <w:pPr>
        <w:pStyle w:val="SingleTxtG"/>
        <w:rPr>
          <w:rFonts w:eastAsia="MS Mincho"/>
        </w:rPr>
      </w:pPr>
      <w:r>
        <w:rPr>
          <w:rFonts w:eastAsia="MS Mincho"/>
        </w:rPr>
        <w:t>10.</w:t>
      </w:r>
      <w:r w:rsidR="000B1037">
        <w:rPr>
          <w:rFonts w:eastAsia="MS Mincho"/>
        </w:rPr>
        <w:t>5</w:t>
      </w:r>
      <w:r w:rsidR="00321A18">
        <w:rPr>
          <w:rFonts w:eastAsia="MS Mincho"/>
        </w:rPr>
        <w:tab/>
      </w:r>
      <w:r w:rsidR="00F32422">
        <w:rPr>
          <w:rFonts w:eastAsia="MS Mincho"/>
        </w:rPr>
        <w:t>L</w:t>
      </w:r>
      <w:r w:rsidR="00DF01F1">
        <w:rPr>
          <w:rFonts w:eastAsia="MS Mincho"/>
        </w:rPr>
        <w:t>e requérant</w:t>
      </w:r>
      <w:r w:rsidR="00F32422">
        <w:rPr>
          <w:rFonts w:eastAsia="MS Mincho"/>
        </w:rPr>
        <w:t xml:space="preserve"> considère que</w:t>
      </w:r>
      <w:r w:rsidR="004E2837">
        <w:rPr>
          <w:rFonts w:eastAsia="MS Mincho"/>
        </w:rPr>
        <w:t xml:space="preserve"> la plainte</w:t>
      </w:r>
      <w:r w:rsidR="00F32422">
        <w:rPr>
          <w:rFonts w:eastAsia="MS Mincho"/>
        </w:rPr>
        <w:t xml:space="preserve"> qu’il a présentée en France avec son</w:t>
      </w:r>
      <w:r w:rsidR="00945931">
        <w:rPr>
          <w:rFonts w:eastAsia="MS Mincho"/>
        </w:rPr>
        <w:t xml:space="preserve"> épouse</w:t>
      </w:r>
      <w:r w:rsidR="00F32422">
        <w:rPr>
          <w:rFonts w:eastAsia="MS Mincho"/>
        </w:rPr>
        <w:t xml:space="preserve"> </w:t>
      </w:r>
      <w:r w:rsidR="00013B49">
        <w:rPr>
          <w:rFonts w:eastAsia="MS Mincho"/>
        </w:rPr>
        <w:t>ne modifie pas le fait que</w:t>
      </w:r>
      <w:r w:rsidR="004E2837">
        <w:rPr>
          <w:rFonts w:eastAsia="MS Mincho"/>
        </w:rPr>
        <w:t xml:space="preserve"> </w:t>
      </w:r>
      <w:r w:rsidR="00321A18" w:rsidRPr="00321A18">
        <w:rPr>
          <w:rFonts w:eastAsia="MS Mincho"/>
        </w:rPr>
        <w:t xml:space="preserve">l’État partie </w:t>
      </w:r>
      <w:r w:rsidR="004E2837">
        <w:rPr>
          <w:rFonts w:eastAsia="MS Mincho"/>
        </w:rPr>
        <w:t xml:space="preserve">a violé </w:t>
      </w:r>
      <w:r w:rsidR="00321A18">
        <w:rPr>
          <w:rFonts w:eastAsia="MS Mincho"/>
        </w:rPr>
        <w:t xml:space="preserve">la Convention </w:t>
      </w:r>
      <w:r w:rsidR="00013B49">
        <w:rPr>
          <w:rFonts w:eastAsia="MS Mincho"/>
        </w:rPr>
        <w:t>à plusieurs égards</w:t>
      </w:r>
      <w:r w:rsidR="00945931">
        <w:rPr>
          <w:rFonts w:eastAsia="MS Mincho"/>
        </w:rPr>
        <w:t xml:space="preserve">. </w:t>
      </w:r>
      <w:r w:rsidR="00F32422">
        <w:rPr>
          <w:rFonts w:eastAsia="MS Mincho"/>
        </w:rPr>
        <w:t xml:space="preserve">Il affirme avoir présenté cette plainte en raison de l’impossibilité pour lui </w:t>
      </w:r>
      <w:r w:rsidR="001F5A31">
        <w:rPr>
          <w:rFonts w:eastAsia="MS Mincho"/>
        </w:rPr>
        <w:t xml:space="preserve">d’obtenir justice </w:t>
      </w:r>
      <w:r w:rsidR="00BC1ADC">
        <w:rPr>
          <w:rFonts w:eastAsia="MS Mincho"/>
        </w:rPr>
        <w:t>au Maroc</w:t>
      </w:r>
      <w:r w:rsidR="001F5A31">
        <w:rPr>
          <w:rFonts w:eastAsia="MS Mincho"/>
        </w:rPr>
        <w:t xml:space="preserve">. </w:t>
      </w:r>
      <w:r w:rsidR="00BC1ADC">
        <w:rPr>
          <w:rFonts w:eastAsia="MS Mincho"/>
        </w:rPr>
        <w:t>I</w:t>
      </w:r>
      <w:r w:rsidR="001F5A31">
        <w:rPr>
          <w:rFonts w:eastAsia="MS Mincho"/>
        </w:rPr>
        <w:t>l</w:t>
      </w:r>
      <w:r w:rsidR="00FC5EA5">
        <w:rPr>
          <w:rFonts w:eastAsia="MS Mincho"/>
        </w:rPr>
        <w:t> </w:t>
      </w:r>
      <w:r w:rsidR="001F5A31">
        <w:rPr>
          <w:rFonts w:eastAsia="MS Mincho"/>
        </w:rPr>
        <w:t xml:space="preserve">précise que le Protocole additionnel à la Convention d’entraide judiciaire en matière pénale entre la France et le Maroc </w:t>
      </w:r>
      <w:r w:rsidR="00BC1ADC">
        <w:rPr>
          <w:rFonts w:eastAsia="MS Mincho"/>
        </w:rPr>
        <w:t xml:space="preserve">n’oblige pas le </w:t>
      </w:r>
      <w:r w:rsidR="001F5A31">
        <w:rPr>
          <w:rFonts w:eastAsia="MS Mincho"/>
        </w:rPr>
        <w:t xml:space="preserve">juge français </w:t>
      </w:r>
      <w:r w:rsidR="00BC1ADC">
        <w:rPr>
          <w:rFonts w:eastAsia="MS Mincho"/>
        </w:rPr>
        <w:t xml:space="preserve">à </w:t>
      </w:r>
      <w:r w:rsidR="001F5A31">
        <w:rPr>
          <w:rFonts w:eastAsia="MS Mincho"/>
        </w:rPr>
        <w:t xml:space="preserve">transmettre la plainte du requérant à la justice marocaine. </w:t>
      </w:r>
    </w:p>
    <w:p w:rsidR="001C1E6D" w:rsidRDefault="00F727CD" w:rsidP="00E93E9F">
      <w:pPr>
        <w:pStyle w:val="H23G"/>
        <w:rPr>
          <w:rFonts w:eastAsia="SimSun"/>
          <w:lang w:eastAsia="zh-CN"/>
        </w:rPr>
      </w:pPr>
      <w:r>
        <w:rPr>
          <w:rFonts w:eastAsia="MS Mincho"/>
        </w:rPr>
        <w:tab/>
      </w:r>
      <w:r>
        <w:rPr>
          <w:rFonts w:eastAsia="MS Mincho"/>
        </w:rPr>
        <w:tab/>
      </w:r>
      <w:r w:rsidR="001C1E6D" w:rsidRPr="00C10D50">
        <w:rPr>
          <w:rFonts w:eastAsia="SimSun"/>
          <w:lang w:eastAsia="zh-CN"/>
        </w:rPr>
        <w:t>Observations supplémentaires</w:t>
      </w:r>
      <w:r w:rsidR="001C1E6D">
        <w:rPr>
          <w:rFonts w:eastAsia="SimSun"/>
          <w:lang w:eastAsia="zh-CN"/>
        </w:rPr>
        <w:t xml:space="preserve"> de l’État partie</w:t>
      </w:r>
    </w:p>
    <w:p w:rsidR="001C1E6D" w:rsidRDefault="001C1E6D">
      <w:pPr>
        <w:pStyle w:val="SingleTxtG"/>
        <w:tabs>
          <w:tab w:val="left" w:pos="1701"/>
        </w:tabs>
        <w:rPr>
          <w:rFonts w:eastAsia="SimSun"/>
          <w:lang w:eastAsia="zh-CN"/>
        </w:rPr>
      </w:pPr>
      <w:r>
        <w:rPr>
          <w:rFonts w:eastAsia="SimSun"/>
          <w:lang w:eastAsia="zh-CN"/>
        </w:rPr>
        <w:t>11.1</w:t>
      </w:r>
      <w:r>
        <w:rPr>
          <w:rFonts w:eastAsia="SimSun"/>
          <w:lang w:eastAsia="zh-CN"/>
        </w:rPr>
        <w:tab/>
        <w:t xml:space="preserve">Le 27 juillet 2016, </w:t>
      </w:r>
      <w:r w:rsidRPr="00970A19">
        <w:rPr>
          <w:rFonts w:eastAsia="SimSun"/>
          <w:lang w:eastAsia="zh-CN"/>
        </w:rPr>
        <w:t>l’État partie</w:t>
      </w:r>
      <w:r>
        <w:rPr>
          <w:rFonts w:eastAsia="SimSun"/>
          <w:lang w:eastAsia="zh-CN"/>
        </w:rPr>
        <w:t xml:space="preserve"> a soumis des observations supplémentaires, informant </w:t>
      </w:r>
      <w:r w:rsidRPr="00970A19">
        <w:rPr>
          <w:rFonts w:eastAsia="SimSun"/>
          <w:lang w:eastAsia="zh-CN"/>
        </w:rPr>
        <w:t>le Comité</w:t>
      </w:r>
      <w:r>
        <w:rPr>
          <w:rFonts w:eastAsia="SimSun"/>
          <w:lang w:eastAsia="zh-CN"/>
        </w:rPr>
        <w:t xml:space="preserve"> que</w:t>
      </w:r>
      <w:r w:rsidRPr="00970A19">
        <w:rPr>
          <w:rFonts w:eastAsia="SimSun"/>
          <w:lang w:eastAsia="zh-CN"/>
        </w:rPr>
        <w:t xml:space="preserve"> la Cour de </w:t>
      </w:r>
      <w:r w:rsidR="00B4773F">
        <w:rPr>
          <w:rFonts w:eastAsia="SimSun"/>
          <w:lang w:eastAsia="zh-CN"/>
        </w:rPr>
        <w:t>c</w:t>
      </w:r>
      <w:r w:rsidRPr="00970A19">
        <w:rPr>
          <w:rFonts w:eastAsia="SimSun"/>
          <w:lang w:eastAsia="zh-CN"/>
        </w:rPr>
        <w:t>assation a</w:t>
      </w:r>
      <w:r w:rsidR="00AD1424">
        <w:rPr>
          <w:rFonts w:eastAsia="SimSun"/>
          <w:lang w:eastAsia="zh-CN"/>
        </w:rPr>
        <w:t>vait</w:t>
      </w:r>
      <w:r w:rsidRPr="00970A19">
        <w:rPr>
          <w:rFonts w:eastAsia="SimSun"/>
          <w:lang w:eastAsia="zh-CN"/>
        </w:rPr>
        <w:t xml:space="preserve"> jugé</w:t>
      </w:r>
      <w:r w:rsidR="00AD1424">
        <w:rPr>
          <w:rFonts w:eastAsia="SimSun"/>
          <w:lang w:eastAsia="zh-CN"/>
        </w:rPr>
        <w:t xml:space="preserve"> recevable,</w:t>
      </w:r>
      <w:r w:rsidRPr="00970A19">
        <w:rPr>
          <w:rFonts w:eastAsia="SimSun"/>
          <w:lang w:eastAsia="zh-CN"/>
        </w:rPr>
        <w:t xml:space="preserve"> </w:t>
      </w:r>
      <w:r w:rsidR="00AD1424">
        <w:rPr>
          <w:rFonts w:eastAsia="SimSun"/>
          <w:lang w:eastAsia="zh-CN"/>
        </w:rPr>
        <w:t>le</w:t>
      </w:r>
      <w:r>
        <w:rPr>
          <w:rFonts w:eastAsia="SimSun"/>
          <w:lang w:eastAsia="zh-CN"/>
        </w:rPr>
        <w:t xml:space="preserve"> </w:t>
      </w:r>
      <w:r w:rsidRPr="00F806F9">
        <w:rPr>
          <w:rFonts w:eastAsia="SimSun"/>
          <w:lang w:eastAsia="zh-CN"/>
        </w:rPr>
        <w:t>27 juillet 2016</w:t>
      </w:r>
      <w:r w:rsidR="00AD1424">
        <w:rPr>
          <w:rFonts w:eastAsia="SimSun"/>
          <w:lang w:eastAsia="zh-CN"/>
        </w:rPr>
        <w:t>,</w:t>
      </w:r>
      <w:r>
        <w:rPr>
          <w:rFonts w:eastAsia="SimSun"/>
          <w:lang w:eastAsia="zh-CN"/>
        </w:rPr>
        <w:t xml:space="preserve"> </w:t>
      </w:r>
      <w:r w:rsidRPr="00970A19">
        <w:rPr>
          <w:rFonts w:eastAsia="SimSun"/>
          <w:lang w:eastAsia="zh-CN"/>
        </w:rPr>
        <w:t>le pourvoi en cassation formé par la défense de M.</w:t>
      </w:r>
      <w:r w:rsidR="00AD1424">
        <w:rPr>
          <w:rFonts w:eastAsia="SimSun"/>
          <w:lang w:eastAsia="zh-CN"/>
        </w:rPr>
        <w:t> </w:t>
      </w:r>
      <w:r w:rsidRPr="00970A19">
        <w:rPr>
          <w:rFonts w:eastAsia="SimSun"/>
          <w:lang w:eastAsia="zh-CN"/>
        </w:rPr>
        <w:t>Asfari et a</w:t>
      </w:r>
      <w:r w:rsidR="00AD1424">
        <w:rPr>
          <w:rFonts w:eastAsia="SimSun"/>
          <w:lang w:eastAsia="zh-CN"/>
        </w:rPr>
        <w:t>vait</w:t>
      </w:r>
      <w:r w:rsidRPr="00970A19">
        <w:rPr>
          <w:rFonts w:eastAsia="SimSun"/>
          <w:lang w:eastAsia="zh-CN"/>
        </w:rPr>
        <w:t xml:space="preserve"> décidé de renvoyer l’affaire devant la </w:t>
      </w:r>
      <w:r w:rsidR="000B6C34">
        <w:rPr>
          <w:rFonts w:eastAsia="SimSun"/>
          <w:lang w:eastAsia="zh-CN"/>
        </w:rPr>
        <w:t>c</w:t>
      </w:r>
      <w:r w:rsidRPr="00970A19">
        <w:rPr>
          <w:rFonts w:eastAsia="SimSun"/>
          <w:lang w:eastAsia="zh-CN"/>
        </w:rPr>
        <w:t>our d’appel de Rabat (Chambre criminelle).</w:t>
      </w:r>
      <w:r>
        <w:rPr>
          <w:rFonts w:eastAsia="SimSun"/>
          <w:lang w:eastAsia="zh-CN"/>
        </w:rPr>
        <w:t xml:space="preserve"> Les autorités réitèrent donc que le plaignant n’a pas épuisé les voies de recours internes. </w:t>
      </w:r>
    </w:p>
    <w:p w:rsidR="001C1E6D" w:rsidRDefault="001C1E6D">
      <w:pPr>
        <w:pStyle w:val="SingleTxtG"/>
        <w:tabs>
          <w:tab w:val="left" w:pos="1701"/>
        </w:tabs>
        <w:rPr>
          <w:rFonts w:eastAsia="SimSun"/>
          <w:lang w:eastAsia="zh-CN"/>
        </w:rPr>
      </w:pPr>
      <w:r>
        <w:rPr>
          <w:rFonts w:eastAsia="SimSun"/>
          <w:lang w:eastAsia="zh-CN"/>
        </w:rPr>
        <w:t>11.2</w:t>
      </w:r>
      <w:r>
        <w:rPr>
          <w:rFonts w:eastAsia="SimSun"/>
          <w:lang w:eastAsia="zh-CN"/>
        </w:rPr>
        <w:tab/>
      </w:r>
      <w:r w:rsidR="0038279C">
        <w:rPr>
          <w:rFonts w:eastAsia="SimSun"/>
          <w:lang w:eastAsia="zh-CN"/>
        </w:rPr>
        <w:t>Conformément</w:t>
      </w:r>
      <w:r w:rsidR="00C71456">
        <w:rPr>
          <w:rFonts w:eastAsia="SimSun"/>
          <w:lang w:eastAsia="zh-CN"/>
        </w:rPr>
        <w:t xml:space="preserve"> à</w:t>
      </w:r>
      <w:r>
        <w:rPr>
          <w:rFonts w:eastAsia="SimSun"/>
          <w:lang w:eastAsia="zh-CN"/>
        </w:rPr>
        <w:t xml:space="preserve"> la demande du Comité de fournir des détails sur la décision de la Cour de cassation du 27 juillet 2016</w:t>
      </w:r>
      <w:r>
        <w:rPr>
          <w:rStyle w:val="FootnoteReference"/>
          <w:rFonts w:eastAsia="SimSun"/>
          <w:lang w:eastAsia="zh-CN"/>
        </w:rPr>
        <w:footnoteReference w:id="19"/>
      </w:r>
      <w:r>
        <w:rPr>
          <w:rFonts w:eastAsia="SimSun"/>
          <w:lang w:eastAsia="zh-CN"/>
        </w:rPr>
        <w:t>, l’</w:t>
      </w:r>
      <w:r w:rsidRPr="00B44CDA">
        <w:rPr>
          <w:rFonts w:eastAsia="SimSun"/>
          <w:lang w:eastAsia="zh-CN"/>
        </w:rPr>
        <w:t>État</w:t>
      </w:r>
      <w:r>
        <w:rPr>
          <w:rFonts w:eastAsia="SimSun"/>
          <w:lang w:eastAsia="zh-CN"/>
        </w:rPr>
        <w:t xml:space="preserve"> </w:t>
      </w:r>
      <w:r w:rsidRPr="00B44CDA">
        <w:rPr>
          <w:rFonts w:eastAsia="SimSun"/>
          <w:lang w:eastAsia="zh-CN"/>
        </w:rPr>
        <w:t>partie</w:t>
      </w:r>
      <w:r>
        <w:rPr>
          <w:rFonts w:eastAsia="SimSun"/>
          <w:lang w:eastAsia="zh-CN"/>
        </w:rPr>
        <w:t xml:space="preserve"> a fait parvenir</w:t>
      </w:r>
      <w:r w:rsidR="00626A74">
        <w:rPr>
          <w:rFonts w:eastAsia="SimSun"/>
          <w:lang w:eastAsia="zh-CN"/>
        </w:rPr>
        <w:t>,</w:t>
      </w:r>
      <w:r>
        <w:rPr>
          <w:rFonts w:eastAsia="SimSun"/>
          <w:lang w:eastAsia="zh-CN"/>
        </w:rPr>
        <w:t xml:space="preserve"> le 20 septembre 2016</w:t>
      </w:r>
      <w:r w:rsidR="00626A74">
        <w:rPr>
          <w:rFonts w:eastAsia="SimSun"/>
          <w:lang w:eastAsia="zh-CN"/>
        </w:rPr>
        <w:t>,</w:t>
      </w:r>
      <w:r>
        <w:rPr>
          <w:rFonts w:eastAsia="SimSun"/>
          <w:lang w:eastAsia="zh-CN"/>
        </w:rPr>
        <w:t xml:space="preserve"> une copie de la décision indiquant que, conformément à l’article 554 du Code de </w:t>
      </w:r>
      <w:r w:rsidR="00D04F11">
        <w:rPr>
          <w:rFonts w:eastAsia="SimSun"/>
          <w:lang w:eastAsia="zh-CN"/>
        </w:rPr>
        <w:t>p</w:t>
      </w:r>
      <w:r>
        <w:rPr>
          <w:rFonts w:eastAsia="SimSun"/>
          <w:lang w:eastAsia="zh-CN"/>
        </w:rPr>
        <w:t xml:space="preserve">rocédure </w:t>
      </w:r>
      <w:r w:rsidR="00D04F11">
        <w:rPr>
          <w:rFonts w:eastAsia="SimSun"/>
          <w:lang w:eastAsia="zh-CN"/>
        </w:rPr>
        <w:lastRenderedPageBreak/>
        <w:t>p</w:t>
      </w:r>
      <w:r>
        <w:rPr>
          <w:rFonts w:eastAsia="SimSun"/>
          <w:lang w:eastAsia="zh-CN"/>
        </w:rPr>
        <w:t xml:space="preserve">énale, la </w:t>
      </w:r>
      <w:r w:rsidR="000B6C34">
        <w:rPr>
          <w:rFonts w:eastAsia="SimSun"/>
          <w:lang w:eastAsia="zh-CN"/>
        </w:rPr>
        <w:t>c</w:t>
      </w:r>
      <w:r>
        <w:rPr>
          <w:rFonts w:eastAsia="SimSun"/>
          <w:lang w:eastAsia="zh-CN"/>
        </w:rPr>
        <w:t>our d’appel devra</w:t>
      </w:r>
      <w:r w:rsidR="00486D8F">
        <w:rPr>
          <w:rFonts w:eastAsia="SimSun"/>
          <w:lang w:eastAsia="zh-CN"/>
        </w:rPr>
        <w:t>it</w:t>
      </w:r>
      <w:r>
        <w:rPr>
          <w:rFonts w:eastAsia="SimSun"/>
          <w:lang w:eastAsia="zh-CN"/>
        </w:rPr>
        <w:t xml:space="preserve"> se conformer à l’arrêt de la Cour de cassation sur le point de droit tranché par cette dernière. L’État partie affirme qu’en vertu du principe de l’effet dévolutif de l’appel, la Cour réexaminera l’affaire dans sa globalité et en garantissant les droits de la défense, à travers l’examen de tous les arguments des parties, y compris les allégations de torture et de mauvais traitements.</w:t>
      </w:r>
      <w:r w:rsidR="005D4AE1">
        <w:rPr>
          <w:rFonts w:eastAsia="SimSun"/>
          <w:lang w:eastAsia="zh-CN"/>
        </w:rPr>
        <w:t xml:space="preserve"> </w:t>
      </w:r>
      <w:r w:rsidR="00FC0826" w:rsidRPr="00FC0826">
        <w:rPr>
          <w:rFonts w:eastAsia="SimSun"/>
          <w:lang w:eastAsia="zh-CN"/>
        </w:rPr>
        <w:t xml:space="preserve">Le </w:t>
      </w:r>
      <w:r w:rsidR="00FC0826">
        <w:rPr>
          <w:rFonts w:eastAsia="SimSun"/>
          <w:lang w:eastAsia="zh-CN"/>
        </w:rPr>
        <w:t xml:space="preserve">4 novembre 2016, </w:t>
      </w:r>
      <w:r w:rsidR="00FC0826" w:rsidRPr="00FC0826">
        <w:rPr>
          <w:rFonts w:eastAsia="SimSun"/>
          <w:lang w:eastAsia="zh-CN"/>
        </w:rPr>
        <w:t>l’État partie</w:t>
      </w:r>
      <w:r w:rsidR="00FC0826">
        <w:rPr>
          <w:rFonts w:eastAsia="SimSun"/>
          <w:lang w:eastAsia="zh-CN"/>
        </w:rPr>
        <w:t xml:space="preserve"> a in</w:t>
      </w:r>
      <w:r w:rsidR="00956856">
        <w:rPr>
          <w:rFonts w:eastAsia="SimSun"/>
          <w:lang w:eastAsia="zh-CN"/>
        </w:rPr>
        <w:t>diqué</w:t>
      </w:r>
      <w:r w:rsidR="00FC0826">
        <w:rPr>
          <w:rFonts w:eastAsia="SimSun"/>
          <w:lang w:eastAsia="zh-CN"/>
        </w:rPr>
        <w:t xml:space="preserve"> </w:t>
      </w:r>
      <w:r w:rsidR="00FC0826" w:rsidRPr="00FC0826">
        <w:rPr>
          <w:rFonts w:eastAsia="SimSun"/>
          <w:lang w:eastAsia="zh-CN"/>
        </w:rPr>
        <w:t>que l’affaire du requérant a</w:t>
      </w:r>
      <w:r w:rsidR="00956856">
        <w:rPr>
          <w:rFonts w:eastAsia="SimSun"/>
          <w:lang w:eastAsia="zh-CN"/>
        </w:rPr>
        <w:t>vait</w:t>
      </w:r>
      <w:r w:rsidR="00FC0826" w:rsidRPr="00FC0826">
        <w:rPr>
          <w:rFonts w:eastAsia="SimSun"/>
          <w:lang w:eastAsia="zh-CN"/>
        </w:rPr>
        <w:t xml:space="preserve"> été enrôlée par la </w:t>
      </w:r>
      <w:r w:rsidR="000B6C34">
        <w:rPr>
          <w:rFonts w:eastAsia="SimSun"/>
          <w:lang w:eastAsia="zh-CN"/>
        </w:rPr>
        <w:t>c</w:t>
      </w:r>
      <w:r w:rsidR="00FC0826" w:rsidRPr="00FC0826">
        <w:rPr>
          <w:rFonts w:eastAsia="SimSun"/>
          <w:lang w:eastAsia="zh-CN"/>
        </w:rPr>
        <w:t>our d’appel pour une audition le 26 décembre 2016</w:t>
      </w:r>
      <w:r>
        <w:rPr>
          <w:rFonts w:eastAsia="SimSun"/>
          <w:lang w:eastAsia="zh-CN"/>
        </w:rPr>
        <w:t xml:space="preserve">. </w:t>
      </w:r>
    </w:p>
    <w:p w:rsidR="001C1E6D" w:rsidRDefault="001C1E6D">
      <w:pPr>
        <w:pStyle w:val="SingleTxtG"/>
        <w:tabs>
          <w:tab w:val="left" w:pos="1701"/>
        </w:tabs>
        <w:spacing w:after="240"/>
        <w:rPr>
          <w:rFonts w:eastAsia="SimSun"/>
          <w:lang w:eastAsia="zh-CN"/>
        </w:rPr>
      </w:pPr>
      <w:r>
        <w:rPr>
          <w:rFonts w:eastAsia="SimSun"/>
          <w:lang w:eastAsia="zh-CN"/>
        </w:rPr>
        <w:t>11.3</w:t>
      </w:r>
      <w:r>
        <w:rPr>
          <w:rFonts w:eastAsia="SimSun"/>
          <w:lang w:eastAsia="zh-CN"/>
        </w:rPr>
        <w:tab/>
        <w:t>Concernant les dispositions du nouveau Code de justice militaire, l’</w:t>
      </w:r>
      <w:r w:rsidRPr="00B44CDA">
        <w:rPr>
          <w:rFonts w:eastAsia="SimSun"/>
          <w:lang w:eastAsia="zh-CN"/>
        </w:rPr>
        <w:t>État</w:t>
      </w:r>
      <w:r>
        <w:rPr>
          <w:rFonts w:eastAsia="SimSun"/>
          <w:lang w:eastAsia="zh-CN"/>
        </w:rPr>
        <w:t xml:space="preserve"> </w:t>
      </w:r>
      <w:r w:rsidRPr="00B44CDA">
        <w:rPr>
          <w:rFonts w:eastAsia="SimSun"/>
          <w:lang w:eastAsia="zh-CN"/>
        </w:rPr>
        <w:t>partie</w:t>
      </w:r>
      <w:r>
        <w:rPr>
          <w:rFonts w:eastAsia="SimSun"/>
          <w:lang w:eastAsia="zh-CN"/>
        </w:rPr>
        <w:t xml:space="preserve"> </w:t>
      </w:r>
      <w:r w:rsidR="00F34B59">
        <w:rPr>
          <w:rFonts w:eastAsia="SimSun"/>
          <w:lang w:eastAsia="zh-CN"/>
        </w:rPr>
        <w:t>déclare</w:t>
      </w:r>
      <w:r>
        <w:rPr>
          <w:rFonts w:eastAsia="SimSun"/>
          <w:lang w:eastAsia="zh-CN"/>
        </w:rPr>
        <w:t xml:space="preserve"> que, depuis son entrée en vigueur le 1</w:t>
      </w:r>
      <w:r w:rsidRPr="00626F3B">
        <w:rPr>
          <w:rFonts w:eastAsia="SimSun"/>
          <w:vertAlign w:val="superscript"/>
          <w:lang w:eastAsia="zh-CN"/>
        </w:rPr>
        <w:t>er</w:t>
      </w:r>
      <w:r>
        <w:rPr>
          <w:rFonts w:eastAsia="SimSun"/>
          <w:lang w:eastAsia="zh-CN"/>
        </w:rPr>
        <w:t xml:space="preserve"> juillet 2015, le tribunal militaire n’est plus compétent pour juger les civils poursuivis pour des infractions de droit commun. Les jugements rendus avant le 1</w:t>
      </w:r>
      <w:r w:rsidRPr="00411301">
        <w:rPr>
          <w:rFonts w:eastAsia="SimSun"/>
          <w:vertAlign w:val="superscript"/>
          <w:lang w:eastAsia="zh-CN"/>
        </w:rPr>
        <w:t>er</w:t>
      </w:r>
      <w:r>
        <w:rPr>
          <w:rFonts w:eastAsia="SimSun"/>
          <w:lang w:eastAsia="zh-CN"/>
        </w:rPr>
        <w:t xml:space="preserve"> juillet 2015 par ces tribunaux sont renvoyés devant les juridictions civiles. Concernant les décisions qui ont été cassées par la Cour de cassation, cette dernière peut, conformément aux dispositions de l’article 550 du C</w:t>
      </w:r>
      <w:r w:rsidR="00F34B59">
        <w:rPr>
          <w:rFonts w:eastAsia="SimSun"/>
          <w:lang w:eastAsia="zh-CN"/>
        </w:rPr>
        <w:t>ode de procédure pénale</w:t>
      </w:r>
      <w:r>
        <w:rPr>
          <w:rFonts w:eastAsia="SimSun"/>
          <w:lang w:eastAsia="zh-CN"/>
        </w:rPr>
        <w:t xml:space="preserve">, déterminer la juridiction devant laquelle l’affaire est renvoyée. </w:t>
      </w:r>
    </w:p>
    <w:p w:rsidR="001C1E6D" w:rsidRDefault="00F727CD" w:rsidP="00E93E9F">
      <w:pPr>
        <w:pStyle w:val="H23G"/>
        <w:rPr>
          <w:rFonts w:eastAsia="SimSun"/>
          <w:lang w:eastAsia="zh-CN"/>
        </w:rPr>
      </w:pPr>
      <w:r>
        <w:rPr>
          <w:rFonts w:eastAsia="SimSun"/>
          <w:lang w:eastAsia="zh-CN"/>
        </w:rPr>
        <w:tab/>
      </w:r>
      <w:r>
        <w:rPr>
          <w:rFonts w:eastAsia="SimSun"/>
          <w:lang w:eastAsia="zh-CN"/>
        </w:rPr>
        <w:tab/>
      </w:r>
      <w:r w:rsidR="001C1E6D">
        <w:rPr>
          <w:rFonts w:eastAsia="SimSun"/>
          <w:lang w:eastAsia="zh-CN"/>
        </w:rPr>
        <w:t>Informations</w:t>
      </w:r>
      <w:r w:rsidR="001C1E6D" w:rsidRPr="00C10D50">
        <w:rPr>
          <w:rFonts w:eastAsia="SimSun"/>
          <w:lang w:eastAsia="zh-CN"/>
        </w:rPr>
        <w:t xml:space="preserve"> supplémentaires d</w:t>
      </w:r>
      <w:r w:rsidR="001C1E6D">
        <w:rPr>
          <w:rFonts w:eastAsia="SimSun"/>
          <w:lang w:eastAsia="zh-CN"/>
        </w:rPr>
        <w:t>u requérant</w:t>
      </w:r>
    </w:p>
    <w:p w:rsidR="001C1E6D" w:rsidRDefault="001C1E6D">
      <w:pPr>
        <w:pStyle w:val="SingleTxtG"/>
        <w:tabs>
          <w:tab w:val="left" w:pos="1701"/>
        </w:tabs>
        <w:rPr>
          <w:rFonts w:eastAsia="SimSun"/>
          <w:lang w:eastAsia="zh-CN"/>
        </w:rPr>
      </w:pPr>
      <w:r>
        <w:rPr>
          <w:rFonts w:eastAsia="SimSun"/>
          <w:lang w:eastAsia="zh-CN"/>
        </w:rPr>
        <w:t>12.1</w:t>
      </w:r>
      <w:r>
        <w:rPr>
          <w:rFonts w:eastAsia="SimSun"/>
          <w:lang w:eastAsia="zh-CN"/>
        </w:rPr>
        <w:tab/>
        <w:t xml:space="preserve">Le 13 septembre 2016, </w:t>
      </w:r>
      <w:r w:rsidR="0038279C">
        <w:rPr>
          <w:rFonts w:eastAsia="SimSun"/>
          <w:lang w:eastAsia="zh-CN"/>
        </w:rPr>
        <w:t xml:space="preserve">à la </w:t>
      </w:r>
      <w:r w:rsidR="00913CA9">
        <w:rPr>
          <w:rFonts w:eastAsia="SimSun"/>
          <w:lang w:eastAsia="zh-CN"/>
        </w:rPr>
        <w:t xml:space="preserve">suite </w:t>
      </w:r>
      <w:r w:rsidR="0038279C">
        <w:rPr>
          <w:rFonts w:eastAsia="SimSun"/>
          <w:lang w:eastAsia="zh-CN"/>
        </w:rPr>
        <w:t>de</w:t>
      </w:r>
      <w:r w:rsidRPr="00C10D50">
        <w:rPr>
          <w:rFonts w:eastAsia="SimSun"/>
          <w:lang w:eastAsia="zh-CN"/>
        </w:rPr>
        <w:t xml:space="preserve"> la demande du Comité de fournir </w:t>
      </w:r>
      <w:r>
        <w:rPr>
          <w:rFonts w:eastAsia="SimSun"/>
          <w:lang w:eastAsia="zh-CN"/>
        </w:rPr>
        <w:t>d</w:t>
      </w:r>
      <w:r w:rsidRPr="00C10D50">
        <w:rPr>
          <w:rFonts w:eastAsia="SimSun"/>
          <w:lang w:eastAsia="zh-CN"/>
        </w:rPr>
        <w:t xml:space="preserve">es </w:t>
      </w:r>
      <w:r>
        <w:rPr>
          <w:rFonts w:eastAsia="SimSun"/>
          <w:lang w:eastAsia="zh-CN"/>
        </w:rPr>
        <w:t xml:space="preserve">commentaires </w:t>
      </w:r>
      <w:r w:rsidRPr="00C10D50">
        <w:rPr>
          <w:rFonts w:eastAsia="SimSun"/>
          <w:lang w:eastAsia="zh-CN"/>
        </w:rPr>
        <w:t>sur l</w:t>
      </w:r>
      <w:r>
        <w:rPr>
          <w:rFonts w:eastAsia="SimSun"/>
          <w:lang w:eastAsia="zh-CN"/>
        </w:rPr>
        <w:t xml:space="preserve">a cassation de la condamnation du requérant et son renvoi devant une cour d’appel civile, le requérant </w:t>
      </w:r>
      <w:r w:rsidR="0038279C">
        <w:rPr>
          <w:rFonts w:eastAsia="SimSun"/>
          <w:lang w:eastAsia="zh-CN"/>
        </w:rPr>
        <w:t xml:space="preserve">a </w:t>
      </w:r>
      <w:r>
        <w:rPr>
          <w:rFonts w:eastAsia="SimSun"/>
          <w:lang w:eastAsia="zh-CN"/>
        </w:rPr>
        <w:t>soum</w:t>
      </w:r>
      <w:r w:rsidR="0038279C">
        <w:rPr>
          <w:rFonts w:eastAsia="SimSun"/>
          <w:lang w:eastAsia="zh-CN"/>
        </w:rPr>
        <w:t>is</w:t>
      </w:r>
      <w:r>
        <w:rPr>
          <w:rFonts w:eastAsia="SimSun"/>
          <w:lang w:eastAsia="zh-CN"/>
        </w:rPr>
        <w:t xml:space="preserve"> que les observations de l’</w:t>
      </w:r>
      <w:r w:rsidRPr="00B44CDA">
        <w:rPr>
          <w:rFonts w:eastAsia="SimSun"/>
          <w:lang w:eastAsia="zh-CN"/>
        </w:rPr>
        <w:t>État partie</w:t>
      </w:r>
      <w:r>
        <w:rPr>
          <w:rFonts w:eastAsia="SimSun"/>
          <w:lang w:eastAsia="zh-CN"/>
        </w:rPr>
        <w:t xml:space="preserve"> n’apport</w:t>
      </w:r>
      <w:r w:rsidR="0038279C">
        <w:rPr>
          <w:rFonts w:eastAsia="SimSun"/>
          <w:lang w:eastAsia="zh-CN"/>
        </w:rPr>
        <w:t>ai</w:t>
      </w:r>
      <w:r>
        <w:rPr>
          <w:rFonts w:eastAsia="SimSun"/>
          <w:lang w:eastAsia="zh-CN"/>
        </w:rPr>
        <w:t xml:space="preserve">ent aucune information sur le fond de l’affaire. Il rappelle que le Comité a déjà statué sur la recevabilité de la plainte le 21 mai 2015, et s’inquiète de ce que le courrier de </w:t>
      </w:r>
      <w:r w:rsidRPr="00C54FE7">
        <w:rPr>
          <w:rFonts w:eastAsia="SimSun"/>
          <w:lang w:eastAsia="zh-CN"/>
        </w:rPr>
        <w:t xml:space="preserve">l’État partie </w:t>
      </w:r>
      <w:r>
        <w:rPr>
          <w:rFonts w:eastAsia="SimSun"/>
          <w:lang w:eastAsia="zh-CN"/>
        </w:rPr>
        <w:t xml:space="preserve">a été envoyé précisément au moment où le Comité allait statuer sur le fond. </w:t>
      </w:r>
    </w:p>
    <w:p w:rsidR="000540E9" w:rsidRDefault="001C1E6D">
      <w:pPr>
        <w:pStyle w:val="SingleTxtG"/>
        <w:tabs>
          <w:tab w:val="left" w:pos="1701"/>
        </w:tabs>
        <w:rPr>
          <w:rFonts w:eastAsia="MS Mincho"/>
        </w:rPr>
      </w:pPr>
      <w:r>
        <w:rPr>
          <w:rFonts w:eastAsia="SimSun"/>
          <w:lang w:eastAsia="zh-CN"/>
        </w:rPr>
        <w:t>12.2</w:t>
      </w:r>
      <w:r>
        <w:rPr>
          <w:rFonts w:eastAsia="SimSun"/>
          <w:lang w:eastAsia="zh-CN"/>
        </w:rPr>
        <w:tab/>
        <w:t xml:space="preserve">Le requérant rappelle par ailleurs que </w:t>
      </w:r>
      <w:r w:rsidRPr="00A6654E">
        <w:rPr>
          <w:rFonts w:eastAsia="SimSun"/>
          <w:lang w:eastAsia="zh-CN"/>
        </w:rPr>
        <w:t xml:space="preserve">l’État partie </w:t>
      </w:r>
      <w:r>
        <w:rPr>
          <w:rFonts w:eastAsia="SimSun"/>
          <w:lang w:eastAsia="zh-CN"/>
        </w:rPr>
        <w:t xml:space="preserve">a très largement dépassé les délais raisonnables pour rendre justice dans son cas : près de </w:t>
      </w:r>
      <w:r w:rsidR="00082C5C">
        <w:rPr>
          <w:rFonts w:eastAsia="SimSun"/>
          <w:lang w:eastAsia="zh-CN"/>
        </w:rPr>
        <w:t>six</w:t>
      </w:r>
      <w:r>
        <w:rPr>
          <w:rFonts w:eastAsia="SimSun"/>
          <w:lang w:eastAsia="zh-CN"/>
        </w:rPr>
        <w:t xml:space="preserve"> ans se sont écoulés depuis les faits et la présentation des premières allégations de torture, réitérées à plusieurs reprises, et aucune enquête n’a été ouverte. La cassation n’a rien changé à cet état de fait et le requérant est toujours détenu sur le seul fondement de ses aveux </w:t>
      </w:r>
      <w:r w:rsidRPr="00063A84">
        <w:rPr>
          <w:rFonts w:eastAsia="SimSun"/>
          <w:lang w:eastAsia="zh-CN"/>
        </w:rPr>
        <w:t>signés sous la contrainte</w:t>
      </w:r>
      <w:r>
        <w:rPr>
          <w:rFonts w:eastAsia="SimSun"/>
          <w:lang w:eastAsia="zh-CN"/>
        </w:rPr>
        <w:t>. Dans des commentaires supplémentaires en date du</w:t>
      </w:r>
      <w:r w:rsidRPr="00063A84">
        <w:rPr>
          <w:rFonts w:eastAsia="SimSun"/>
          <w:lang w:eastAsia="zh-CN"/>
        </w:rPr>
        <w:t xml:space="preserve"> 13 octobre 2016</w:t>
      </w:r>
      <w:r>
        <w:rPr>
          <w:rFonts w:eastAsia="SimSun"/>
          <w:lang w:eastAsia="zh-CN"/>
        </w:rPr>
        <w:t>, le requérant réitère l’ensemble de ses arguments.</w:t>
      </w:r>
      <w:r w:rsidR="00D90BDD">
        <w:rPr>
          <w:rFonts w:eastAsia="MS Mincho"/>
        </w:rPr>
        <w:t xml:space="preserve"> </w:t>
      </w:r>
    </w:p>
    <w:p w:rsidR="002F00FC" w:rsidRDefault="000540E9" w:rsidP="00E93E9F">
      <w:pPr>
        <w:pStyle w:val="SingleTxtG"/>
        <w:rPr>
          <w:rFonts w:eastAsia="MS Mincho"/>
        </w:rPr>
      </w:pPr>
      <w:r>
        <w:rPr>
          <w:rFonts w:eastAsia="MS Mincho"/>
        </w:rPr>
        <w:t>12.3</w:t>
      </w:r>
      <w:r w:rsidR="00626A74">
        <w:rPr>
          <w:rFonts w:eastAsia="MS Mincho"/>
        </w:rPr>
        <w:tab/>
      </w:r>
      <w:r w:rsidRPr="000540E9">
        <w:rPr>
          <w:rFonts w:eastAsia="MS Mincho"/>
        </w:rPr>
        <w:t xml:space="preserve">Le 26 octobre 2016, le requérant a informé le Comité que son épouse </w:t>
      </w:r>
      <w:r w:rsidR="00CC33A5">
        <w:rPr>
          <w:rFonts w:eastAsia="MS Mincho"/>
        </w:rPr>
        <w:t>– </w:t>
      </w:r>
      <w:r w:rsidRPr="000540E9">
        <w:rPr>
          <w:rFonts w:eastAsia="MS Mincho"/>
        </w:rPr>
        <w:t>Claude</w:t>
      </w:r>
      <w:r w:rsidR="00CC33A5">
        <w:rPr>
          <w:rFonts w:eastAsia="MS Mincho"/>
        </w:rPr>
        <w:t xml:space="preserve"> </w:t>
      </w:r>
      <w:r w:rsidRPr="000540E9">
        <w:rPr>
          <w:rFonts w:eastAsia="MS Mincho"/>
        </w:rPr>
        <w:t>Mangin</w:t>
      </w:r>
      <w:r w:rsidR="00CC33A5">
        <w:rPr>
          <w:rFonts w:eastAsia="MS Mincho"/>
        </w:rPr>
        <w:t> –</w:t>
      </w:r>
      <w:r w:rsidRPr="000540E9">
        <w:rPr>
          <w:rFonts w:eastAsia="MS Mincho"/>
        </w:rPr>
        <w:t xml:space="preserve"> n</w:t>
      </w:r>
      <w:r w:rsidR="00CC33A5" w:rsidRPr="00CC33A5">
        <w:rPr>
          <w:rFonts w:eastAsia="MS Mincho"/>
        </w:rPr>
        <w:t>’</w:t>
      </w:r>
      <w:r w:rsidRPr="000540E9">
        <w:rPr>
          <w:rFonts w:eastAsia="MS Mincho"/>
        </w:rPr>
        <w:t xml:space="preserve">avait pas été autorisée à entrer au Maroc le 19 octobre 2016 </w:t>
      </w:r>
      <w:r w:rsidR="00052C3A">
        <w:rPr>
          <w:rFonts w:eastAsia="MS Mincho"/>
        </w:rPr>
        <w:t xml:space="preserve">et </w:t>
      </w:r>
      <w:r w:rsidR="00CC33A5">
        <w:rPr>
          <w:rFonts w:eastAsia="MS Mincho"/>
        </w:rPr>
        <w:t>qu</w:t>
      </w:r>
      <w:r w:rsidR="00CC33A5" w:rsidRPr="00CC33A5">
        <w:rPr>
          <w:rFonts w:eastAsia="MS Mincho"/>
        </w:rPr>
        <w:t>’</w:t>
      </w:r>
      <w:r w:rsidR="00052C3A">
        <w:rPr>
          <w:rFonts w:eastAsia="MS Mincho"/>
        </w:rPr>
        <w:t>el</w:t>
      </w:r>
      <w:r w:rsidR="00052C3A" w:rsidRPr="00052C3A">
        <w:rPr>
          <w:rFonts w:eastAsia="MS Mincho"/>
        </w:rPr>
        <w:t>le n</w:t>
      </w:r>
      <w:r w:rsidR="00CC33A5" w:rsidRPr="00CC33A5">
        <w:rPr>
          <w:rFonts w:eastAsia="MS Mincho"/>
        </w:rPr>
        <w:t>’</w:t>
      </w:r>
      <w:r w:rsidR="00052C3A" w:rsidRPr="00052C3A">
        <w:rPr>
          <w:rFonts w:eastAsia="MS Mincho"/>
        </w:rPr>
        <w:t>a</w:t>
      </w:r>
      <w:r w:rsidR="00CC33A5">
        <w:rPr>
          <w:rFonts w:eastAsia="MS Mincho"/>
        </w:rPr>
        <w:t>vait</w:t>
      </w:r>
      <w:r w:rsidR="00052C3A" w:rsidRPr="00052C3A">
        <w:rPr>
          <w:rFonts w:eastAsia="MS Mincho"/>
        </w:rPr>
        <w:t xml:space="preserve"> </w:t>
      </w:r>
      <w:r w:rsidR="00052C3A">
        <w:rPr>
          <w:rFonts w:eastAsia="MS Mincho"/>
        </w:rPr>
        <w:t xml:space="preserve">donc </w:t>
      </w:r>
      <w:r w:rsidR="006E2860">
        <w:rPr>
          <w:rFonts w:eastAsia="MS Mincho"/>
        </w:rPr>
        <w:t xml:space="preserve">pas </w:t>
      </w:r>
      <w:r w:rsidR="00052C3A" w:rsidRPr="00052C3A">
        <w:rPr>
          <w:rFonts w:eastAsia="MS Mincho"/>
        </w:rPr>
        <w:t>été autorisée à lui rendre visite en prison.</w:t>
      </w:r>
    </w:p>
    <w:p w:rsidR="007A681A" w:rsidRPr="00757BE2" w:rsidRDefault="00F727CD" w:rsidP="00E93E9F">
      <w:pPr>
        <w:pStyle w:val="H23G"/>
        <w:rPr>
          <w:rFonts w:eastAsia="MS Mincho"/>
          <w:lang w:val="fr-FR" w:eastAsia="zh-CN"/>
        </w:rPr>
      </w:pPr>
      <w:r>
        <w:rPr>
          <w:rFonts w:eastAsia="MS Mincho"/>
        </w:rPr>
        <w:tab/>
      </w:r>
      <w:r>
        <w:rPr>
          <w:rFonts w:eastAsia="MS Mincho"/>
        </w:rPr>
        <w:tab/>
      </w:r>
      <w:r w:rsidR="007A681A" w:rsidRPr="00757BE2">
        <w:rPr>
          <w:rFonts w:eastAsia="MS Mincho"/>
          <w:lang w:val="fr-FR" w:eastAsia="zh-CN"/>
        </w:rPr>
        <w:t xml:space="preserve">Délibérations du Comité </w:t>
      </w:r>
    </w:p>
    <w:p w:rsidR="007A681A" w:rsidRPr="00757BE2" w:rsidRDefault="007A681A" w:rsidP="00E93E9F">
      <w:pPr>
        <w:pStyle w:val="H4G"/>
      </w:pPr>
      <w:r>
        <w:tab/>
      </w:r>
      <w:r>
        <w:tab/>
      </w:r>
      <w:r w:rsidRPr="00757BE2">
        <w:t xml:space="preserve">Examen </w:t>
      </w:r>
      <w:r w:rsidR="00E531E4">
        <w:t>au fond</w:t>
      </w:r>
    </w:p>
    <w:p w:rsidR="006E36F5" w:rsidRPr="00DC7B83" w:rsidRDefault="00E531E4" w:rsidP="006E36F5">
      <w:pPr>
        <w:pStyle w:val="SingleTxtG"/>
      </w:pPr>
      <w:r>
        <w:rPr>
          <w:rFonts w:eastAsia="MS Mincho"/>
        </w:rPr>
        <w:t>1</w:t>
      </w:r>
      <w:r w:rsidR="00706582">
        <w:rPr>
          <w:rFonts w:eastAsia="MS Mincho"/>
        </w:rPr>
        <w:t>3</w:t>
      </w:r>
      <w:r w:rsidR="007A681A" w:rsidRPr="00D4501B">
        <w:rPr>
          <w:rFonts w:eastAsia="MS Mincho"/>
        </w:rPr>
        <w:t>.1</w:t>
      </w:r>
      <w:r w:rsidR="007A681A" w:rsidRPr="00D4501B">
        <w:rPr>
          <w:rFonts w:eastAsia="MS Mincho"/>
        </w:rPr>
        <w:tab/>
      </w:r>
      <w:r w:rsidR="006E36F5" w:rsidRPr="00DC7B83">
        <w:t>Conformément au paragraphe 4 de l’article 22 de la Convention, le Comité a examiné la présente requête en tenant compte de toutes les informations communiquées par les parties.</w:t>
      </w:r>
    </w:p>
    <w:p w:rsidR="0003086B" w:rsidRDefault="006E36F5">
      <w:pPr>
        <w:pStyle w:val="SingleTxtG"/>
        <w:rPr>
          <w:rFonts w:eastAsia="SimSun"/>
          <w:lang w:val="fr-FR" w:eastAsia="zh-CN"/>
        </w:rPr>
      </w:pPr>
      <w:r w:rsidRPr="006E36F5">
        <w:rPr>
          <w:rFonts w:eastAsia="MS Mincho"/>
        </w:rPr>
        <w:t>1</w:t>
      </w:r>
      <w:r w:rsidR="00706582">
        <w:rPr>
          <w:rFonts w:eastAsia="MS Mincho"/>
        </w:rPr>
        <w:t>3</w:t>
      </w:r>
      <w:r w:rsidRPr="006E36F5">
        <w:rPr>
          <w:rFonts w:eastAsia="MS Mincho"/>
        </w:rPr>
        <w:t>.2</w:t>
      </w:r>
      <w:r w:rsidRPr="006E36F5">
        <w:rPr>
          <w:rFonts w:eastAsia="MS Mincho"/>
        </w:rPr>
        <w:tab/>
      </w:r>
      <w:r w:rsidR="00380370" w:rsidRPr="00433DBE">
        <w:rPr>
          <w:rFonts w:eastAsia="SimSun"/>
          <w:lang w:val="fr-FR" w:eastAsia="zh-CN"/>
        </w:rPr>
        <w:t>Le Comité note l’allégation du requérant selon laquelle</w:t>
      </w:r>
      <w:r w:rsidR="0003086B" w:rsidRPr="00433DBE">
        <w:rPr>
          <w:rFonts w:eastAsia="SimSun"/>
          <w:lang w:val="fr-FR" w:eastAsia="zh-CN"/>
        </w:rPr>
        <w:t xml:space="preserve"> les </w:t>
      </w:r>
      <w:r w:rsidR="0003086B" w:rsidRPr="0003086B">
        <w:rPr>
          <w:rFonts w:eastAsia="SimSun"/>
          <w:lang w:val="fr-FR" w:eastAsia="zh-CN"/>
        </w:rPr>
        <w:t xml:space="preserve">sévices physiques qu’il a subis lors de son arrestation, </w:t>
      </w:r>
      <w:r w:rsidR="00343B18">
        <w:rPr>
          <w:rFonts w:eastAsia="SimSun"/>
          <w:lang w:val="fr-FR" w:eastAsia="zh-CN"/>
        </w:rPr>
        <w:t xml:space="preserve">lors </w:t>
      </w:r>
      <w:r w:rsidR="0003086B" w:rsidRPr="0003086B">
        <w:rPr>
          <w:rFonts w:eastAsia="SimSun"/>
          <w:lang w:val="fr-FR" w:eastAsia="zh-CN"/>
        </w:rPr>
        <w:t>de son interrogatoire au commissariat</w:t>
      </w:r>
      <w:r w:rsidR="001B24C8">
        <w:rPr>
          <w:rFonts w:eastAsia="SimSun"/>
          <w:lang w:val="fr-FR" w:eastAsia="zh-CN"/>
        </w:rPr>
        <w:t>,</w:t>
      </w:r>
      <w:r w:rsidR="0003086B" w:rsidRPr="0003086B">
        <w:rPr>
          <w:rFonts w:eastAsia="SimSun"/>
          <w:lang w:val="fr-FR" w:eastAsia="zh-CN"/>
        </w:rPr>
        <w:t xml:space="preserve"> puis à la gendarmerie de Laayoune, ainsi que le traitement subi pendant son transfert en avion</w:t>
      </w:r>
      <w:r w:rsidR="001B24C8">
        <w:rPr>
          <w:rFonts w:eastAsia="SimSun"/>
          <w:lang w:val="fr-FR" w:eastAsia="zh-CN"/>
        </w:rPr>
        <w:t xml:space="preserve"> afin</w:t>
      </w:r>
      <w:r w:rsidR="001B24C8" w:rsidRPr="0003086B">
        <w:rPr>
          <w:rFonts w:eastAsia="SimSun"/>
          <w:lang w:val="fr-FR" w:eastAsia="zh-CN"/>
        </w:rPr>
        <w:t xml:space="preserve"> de lui extorquer des aveux</w:t>
      </w:r>
      <w:r w:rsidR="0003086B" w:rsidRPr="0003086B">
        <w:rPr>
          <w:rFonts w:eastAsia="SimSun"/>
          <w:lang w:val="fr-FR" w:eastAsia="zh-CN"/>
        </w:rPr>
        <w:t xml:space="preserve">, constituent des faits de torture en raison de </w:t>
      </w:r>
      <w:r w:rsidR="001B24C8" w:rsidRPr="0003086B">
        <w:rPr>
          <w:rFonts w:eastAsia="SimSun"/>
          <w:lang w:val="fr-FR" w:eastAsia="zh-CN"/>
        </w:rPr>
        <w:t>l</w:t>
      </w:r>
      <w:r w:rsidR="001B24C8">
        <w:rPr>
          <w:rFonts w:eastAsia="SimSun"/>
          <w:lang w:val="fr-FR" w:eastAsia="zh-CN"/>
        </w:rPr>
        <w:t>eur</w:t>
      </w:r>
      <w:r w:rsidR="001B24C8" w:rsidRPr="0003086B">
        <w:rPr>
          <w:rFonts w:eastAsia="SimSun"/>
          <w:lang w:val="fr-FR" w:eastAsia="zh-CN"/>
        </w:rPr>
        <w:t xml:space="preserve"> </w:t>
      </w:r>
      <w:r w:rsidR="0003086B" w:rsidRPr="0003086B">
        <w:rPr>
          <w:rFonts w:eastAsia="SimSun"/>
          <w:lang w:val="fr-FR" w:eastAsia="zh-CN"/>
        </w:rPr>
        <w:t xml:space="preserve">gravité. </w:t>
      </w:r>
      <w:r w:rsidR="00433DBE">
        <w:rPr>
          <w:rFonts w:eastAsia="SimSun"/>
          <w:lang w:val="fr-FR" w:eastAsia="zh-CN"/>
        </w:rPr>
        <w:t>Le Comité</w:t>
      </w:r>
      <w:r w:rsidR="001B24C8">
        <w:rPr>
          <w:rFonts w:eastAsia="SimSun"/>
          <w:lang w:val="fr-FR" w:eastAsia="zh-CN"/>
        </w:rPr>
        <w:t xml:space="preserve"> note </w:t>
      </w:r>
      <w:r w:rsidR="00433DBE">
        <w:rPr>
          <w:rFonts w:eastAsia="SimSun"/>
          <w:lang w:val="fr-FR" w:eastAsia="zh-CN"/>
        </w:rPr>
        <w:t>que</w:t>
      </w:r>
      <w:r w:rsidR="009A38B1">
        <w:rPr>
          <w:rFonts w:eastAsia="SimSun"/>
          <w:lang w:val="fr-FR" w:eastAsia="zh-CN"/>
        </w:rPr>
        <w:t>,</w:t>
      </w:r>
      <w:r w:rsidR="00433DBE">
        <w:rPr>
          <w:rFonts w:eastAsia="SimSun"/>
          <w:lang w:val="fr-FR" w:eastAsia="zh-CN"/>
        </w:rPr>
        <w:t xml:space="preserve"> </w:t>
      </w:r>
      <w:r w:rsidR="00433DBE" w:rsidRPr="00433DBE">
        <w:rPr>
          <w:rFonts w:eastAsia="SimSun"/>
          <w:lang w:val="fr-FR" w:eastAsia="zh-CN"/>
        </w:rPr>
        <w:t>lors de s</w:t>
      </w:r>
      <w:r w:rsidR="000759BA">
        <w:rPr>
          <w:rFonts w:eastAsia="SimSun"/>
          <w:lang w:val="fr-FR" w:eastAsia="zh-CN"/>
        </w:rPr>
        <w:t>es</w:t>
      </w:r>
      <w:r w:rsidR="00433DBE" w:rsidRPr="00433DBE">
        <w:rPr>
          <w:rFonts w:eastAsia="SimSun"/>
          <w:lang w:val="fr-FR" w:eastAsia="zh-CN"/>
        </w:rPr>
        <w:t xml:space="preserve"> audience</w:t>
      </w:r>
      <w:r w:rsidR="000759BA">
        <w:rPr>
          <w:rFonts w:eastAsia="SimSun"/>
          <w:lang w:val="fr-FR" w:eastAsia="zh-CN"/>
        </w:rPr>
        <w:t>s</w:t>
      </w:r>
      <w:r w:rsidR="00961AD3">
        <w:rPr>
          <w:rFonts w:eastAsia="SimSun"/>
          <w:lang w:val="fr-FR" w:eastAsia="zh-CN"/>
        </w:rPr>
        <w:t xml:space="preserve"> d</w:t>
      </w:r>
      <w:r w:rsidR="009A38B1">
        <w:rPr>
          <w:rFonts w:eastAsia="SimSun"/>
          <w:lang w:val="fr-FR" w:eastAsia="zh-CN"/>
        </w:rPr>
        <w:t>es</w:t>
      </w:r>
      <w:r w:rsidR="00961AD3">
        <w:rPr>
          <w:rFonts w:eastAsia="SimSun"/>
          <w:lang w:val="fr-FR" w:eastAsia="zh-CN"/>
        </w:rPr>
        <w:t xml:space="preserve"> 12 novembre 2010</w:t>
      </w:r>
      <w:r w:rsidR="00433DBE" w:rsidRPr="00433DBE">
        <w:rPr>
          <w:rFonts w:eastAsia="SimSun"/>
          <w:lang w:val="fr-FR" w:eastAsia="zh-CN"/>
        </w:rPr>
        <w:t xml:space="preserve">, </w:t>
      </w:r>
      <w:r w:rsidR="000759BA">
        <w:rPr>
          <w:rFonts w:eastAsia="SimSun"/>
          <w:lang w:val="fr-FR" w:eastAsia="zh-CN"/>
        </w:rPr>
        <w:t xml:space="preserve">12 janvier </w:t>
      </w:r>
      <w:r w:rsidR="009A38B1">
        <w:rPr>
          <w:rFonts w:eastAsia="SimSun"/>
          <w:lang w:val="fr-FR" w:eastAsia="zh-CN"/>
        </w:rPr>
        <w:t xml:space="preserve">2011 </w:t>
      </w:r>
      <w:r w:rsidR="000759BA">
        <w:rPr>
          <w:rFonts w:eastAsia="SimSun"/>
          <w:lang w:val="fr-FR" w:eastAsia="zh-CN"/>
        </w:rPr>
        <w:t xml:space="preserve">et 12 août 2011, </w:t>
      </w:r>
      <w:r w:rsidR="001B24C8">
        <w:rPr>
          <w:rFonts w:eastAsia="SimSun"/>
          <w:lang w:val="fr-FR" w:eastAsia="zh-CN"/>
        </w:rPr>
        <w:t>le requérant</w:t>
      </w:r>
      <w:r w:rsidR="001B24C8" w:rsidRPr="00433DBE">
        <w:rPr>
          <w:rFonts w:eastAsia="SimSun"/>
          <w:lang w:val="fr-FR" w:eastAsia="zh-CN"/>
        </w:rPr>
        <w:t xml:space="preserve"> </w:t>
      </w:r>
      <w:r w:rsidR="00433DBE" w:rsidRPr="00433DBE">
        <w:rPr>
          <w:rFonts w:eastAsia="SimSun"/>
          <w:lang w:val="fr-FR" w:eastAsia="zh-CN"/>
        </w:rPr>
        <w:t xml:space="preserve">s’est plaint du traitement subi, mais </w:t>
      </w:r>
      <w:r w:rsidR="001B24C8">
        <w:rPr>
          <w:rFonts w:eastAsia="SimSun"/>
          <w:lang w:val="fr-FR" w:eastAsia="zh-CN"/>
        </w:rPr>
        <w:t xml:space="preserve">que le juge d’instruction n’a pas </w:t>
      </w:r>
      <w:r w:rsidR="00B5494E">
        <w:rPr>
          <w:rFonts w:eastAsia="SimSun"/>
          <w:lang w:val="fr-FR" w:eastAsia="zh-CN"/>
        </w:rPr>
        <w:t>tenu compte</w:t>
      </w:r>
      <w:r w:rsidR="001B24C8">
        <w:rPr>
          <w:rFonts w:eastAsia="SimSun"/>
          <w:lang w:val="fr-FR" w:eastAsia="zh-CN"/>
        </w:rPr>
        <w:t xml:space="preserve"> de </w:t>
      </w:r>
      <w:r w:rsidR="00433DBE" w:rsidRPr="00433DBE">
        <w:rPr>
          <w:rFonts w:eastAsia="SimSun"/>
          <w:lang w:val="fr-FR" w:eastAsia="zh-CN"/>
        </w:rPr>
        <w:t xml:space="preserve">ses allégations </w:t>
      </w:r>
      <w:r w:rsidR="001B24C8">
        <w:rPr>
          <w:rFonts w:eastAsia="SimSun"/>
          <w:lang w:val="fr-FR" w:eastAsia="zh-CN"/>
        </w:rPr>
        <w:t>et de</w:t>
      </w:r>
      <w:r w:rsidR="00E12301" w:rsidRPr="00E12301">
        <w:rPr>
          <w:rFonts w:eastAsia="SimSun"/>
          <w:lang w:val="fr-FR" w:eastAsia="zh-CN"/>
        </w:rPr>
        <w:t xml:space="preserve"> ses blessures</w:t>
      </w:r>
      <w:r w:rsidR="001B24C8">
        <w:rPr>
          <w:rFonts w:eastAsia="SimSun"/>
          <w:lang w:val="fr-FR" w:eastAsia="zh-CN"/>
        </w:rPr>
        <w:t xml:space="preserve"> et</w:t>
      </w:r>
      <w:r w:rsidR="00E12301">
        <w:rPr>
          <w:rFonts w:eastAsia="SimSun"/>
          <w:lang w:val="fr-FR" w:eastAsia="zh-CN"/>
        </w:rPr>
        <w:t xml:space="preserve"> n’</w:t>
      </w:r>
      <w:r w:rsidR="00433DBE" w:rsidRPr="00433DBE">
        <w:rPr>
          <w:rFonts w:eastAsia="SimSun"/>
          <w:lang w:val="fr-FR" w:eastAsia="zh-CN"/>
        </w:rPr>
        <w:t xml:space="preserve">a pas </w:t>
      </w:r>
      <w:r w:rsidR="00E12301" w:rsidRPr="00E12301">
        <w:rPr>
          <w:rFonts w:eastAsia="SimSun"/>
          <w:lang w:val="fr-FR" w:eastAsia="zh-CN"/>
        </w:rPr>
        <w:t>sollicité la réalisation d’une expertise médicale</w:t>
      </w:r>
      <w:r w:rsidR="00433DBE" w:rsidRPr="00433DBE">
        <w:rPr>
          <w:rFonts w:eastAsia="SimSun"/>
          <w:lang w:val="fr-FR" w:eastAsia="zh-CN"/>
        </w:rPr>
        <w:t xml:space="preserve">. </w:t>
      </w:r>
      <w:r w:rsidR="0003086B" w:rsidRPr="0003086B">
        <w:rPr>
          <w:rFonts w:eastAsia="SimSun"/>
          <w:lang w:val="fr-FR" w:eastAsia="zh-CN"/>
        </w:rPr>
        <w:t xml:space="preserve">Le Comité </w:t>
      </w:r>
      <w:r w:rsidR="001B24C8">
        <w:rPr>
          <w:rFonts w:eastAsia="SimSun"/>
          <w:lang w:val="fr-FR" w:eastAsia="zh-CN"/>
        </w:rPr>
        <w:t>note également</w:t>
      </w:r>
      <w:r w:rsidR="0003086B" w:rsidRPr="0003086B">
        <w:rPr>
          <w:rFonts w:eastAsia="SimSun"/>
          <w:lang w:val="fr-FR" w:eastAsia="zh-CN"/>
        </w:rPr>
        <w:t xml:space="preserve"> les allégations du requérant </w:t>
      </w:r>
      <w:r w:rsidR="00BE46A4">
        <w:rPr>
          <w:rFonts w:eastAsia="SimSun"/>
          <w:lang w:val="fr-FR" w:eastAsia="zh-CN"/>
        </w:rPr>
        <w:t>selon lesquelles</w:t>
      </w:r>
      <w:r w:rsidR="00BE46A4" w:rsidRPr="0003086B">
        <w:rPr>
          <w:rFonts w:eastAsia="SimSun"/>
          <w:lang w:val="fr-FR" w:eastAsia="zh-CN"/>
        </w:rPr>
        <w:t xml:space="preserve"> </w:t>
      </w:r>
      <w:r w:rsidR="0003086B" w:rsidRPr="0003086B">
        <w:rPr>
          <w:rFonts w:eastAsia="SimSun"/>
          <w:lang w:val="fr-FR" w:eastAsia="zh-CN"/>
        </w:rPr>
        <w:t xml:space="preserve">ces violences, qui lui ont provoqué des souffrances aiguës pendant </w:t>
      </w:r>
      <w:r w:rsidR="00BE46A4">
        <w:rPr>
          <w:rFonts w:eastAsia="SimSun"/>
          <w:lang w:val="fr-FR" w:eastAsia="zh-CN"/>
        </w:rPr>
        <w:t>plusieurs</w:t>
      </w:r>
      <w:r w:rsidR="00BE46A4" w:rsidRPr="0003086B">
        <w:rPr>
          <w:rFonts w:eastAsia="SimSun"/>
          <w:lang w:val="fr-FR" w:eastAsia="zh-CN"/>
        </w:rPr>
        <w:t xml:space="preserve"> </w:t>
      </w:r>
      <w:r w:rsidR="0003086B" w:rsidRPr="0003086B">
        <w:rPr>
          <w:rFonts w:eastAsia="SimSun"/>
          <w:lang w:val="fr-FR" w:eastAsia="zh-CN"/>
        </w:rPr>
        <w:t xml:space="preserve">mois, constituent une violation de l’article 1 de la Convention. </w:t>
      </w:r>
      <w:r w:rsidR="001B24C8">
        <w:rPr>
          <w:rFonts w:eastAsia="SimSun"/>
          <w:lang w:val="fr-FR" w:eastAsia="zh-CN"/>
        </w:rPr>
        <w:t>L</w:t>
      </w:r>
      <w:r w:rsidR="00433DBE" w:rsidRPr="00433DBE">
        <w:rPr>
          <w:rFonts w:eastAsia="SimSun"/>
          <w:lang w:val="fr-FR" w:eastAsia="zh-CN"/>
        </w:rPr>
        <w:t xml:space="preserve">e Comité </w:t>
      </w:r>
      <w:r w:rsidR="001B24C8">
        <w:rPr>
          <w:rFonts w:eastAsia="SimSun"/>
          <w:lang w:val="fr-FR" w:eastAsia="zh-CN"/>
        </w:rPr>
        <w:t>note par ailleurs les</w:t>
      </w:r>
      <w:r w:rsidR="00433DBE" w:rsidRPr="00433DBE">
        <w:rPr>
          <w:rFonts w:eastAsia="SimSun"/>
          <w:lang w:val="fr-FR" w:eastAsia="zh-CN"/>
        </w:rPr>
        <w:t xml:space="preserve"> observations de l’État partie selon lesquelles</w:t>
      </w:r>
      <w:r w:rsidR="004149AC">
        <w:rPr>
          <w:rFonts w:eastAsia="SimSun"/>
          <w:lang w:val="fr-FR" w:eastAsia="zh-CN"/>
        </w:rPr>
        <w:t>,</w:t>
      </w:r>
      <w:r w:rsidR="00433DBE" w:rsidRPr="00433DBE">
        <w:rPr>
          <w:rFonts w:eastAsia="SimSun"/>
          <w:lang w:val="fr-FR" w:eastAsia="zh-CN"/>
        </w:rPr>
        <w:t xml:space="preserve"> lors de</w:t>
      </w:r>
      <w:r w:rsidR="000759BA">
        <w:rPr>
          <w:rFonts w:eastAsia="SimSun"/>
          <w:lang w:val="fr-FR" w:eastAsia="zh-CN"/>
        </w:rPr>
        <w:t>s</w:t>
      </w:r>
      <w:r w:rsidR="00433DBE" w:rsidRPr="00433DBE">
        <w:rPr>
          <w:rFonts w:eastAsia="SimSun"/>
          <w:lang w:val="fr-FR" w:eastAsia="zh-CN"/>
        </w:rPr>
        <w:t xml:space="preserve"> audience</w:t>
      </w:r>
      <w:r w:rsidR="000759BA">
        <w:rPr>
          <w:rFonts w:eastAsia="SimSun"/>
          <w:lang w:val="fr-FR" w:eastAsia="zh-CN"/>
        </w:rPr>
        <w:t>s</w:t>
      </w:r>
      <w:r w:rsidR="00961AD3">
        <w:rPr>
          <w:rFonts w:eastAsia="SimSun"/>
          <w:lang w:eastAsia="zh-CN"/>
        </w:rPr>
        <w:t xml:space="preserve"> </w:t>
      </w:r>
      <w:r w:rsidR="004149AC">
        <w:rPr>
          <w:rFonts w:eastAsia="SimSun"/>
          <w:lang w:eastAsia="zh-CN"/>
        </w:rPr>
        <w:t>mentionnées</w:t>
      </w:r>
      <w:r w:rsidR="002C7CF1">
        <w:rPr>
          <w:rFonts w:eastAsia="SimSun"/>
          <w:lang w:eastAsia="zh-CN"/>
        </w:rPr>
        <w:t>,</w:t>
      </w:r>
      <w:r w:rsidR="000759BA">
        <w:rPr>
          <w:rFonts w:eastAsia="SimSun"/>
          <w:lang w:eastAsia="zh-CN"/>
        </w:rPr>
        <w:t xml:space="preserve"> </w:t>
      </w:r>
      <w:r w:rsidR="00433DBE" w:rsidRPr="00433DBE">
        <w:rPr>
          <w:rFonts w:eastAsia="SimSun"/>
          <w:lang w:val="fr-FR" w:eastAsia="zh-CN"/>
        </w:rPr>
        <w:t>ni le requérant</w:t>
      </w:r>
      <w:r w:rsidR="004149AC">
        <w:rPr>
          <w:rFonts w:eastAsia="SimSun"/>
          <w:lang w:val="fr-FR" w:eastAsia="zh-CN"/>
        </w:rPr>
        <w:t>,</w:t>
      </w:r>
      <w:r w:rsidR="00433DBE" w:rsidRPr="00433DBE">
        <w:rPr>
          <w:rFonts w:eastAsia="SimSun"/>
          <w:lang w:val="fr-FR" w:eastAsia="zh-CN"/>
        </w:rPr>
        <w:t xml:space="preserve"> ni son avocat ne se sont plaints de torture.</w:t>
      </w:r>
      <w:r w:rsidR="00433DBE">
        <w:rPr>
          <w:rFonts w:eastAsia="SimSun"/>
          <w:lang w:val="fr-FR" w:eastAsia="zh-CN"/>
        </w:rPr>
        <w:t xml:space="preserve"> </w:t>
      </w:r>
      <w:r w:rsidR="00433DBE" w:rsidRPr="00433DBE">
        <w:rPr>
          <w:rFonts w:eastAsia="SimSun"/>
          <w:lang w:val="fr-FR" w:eastAsia="zh-CN"/>
        </w:rPr>
        <w:t xml:space="preserve">Le Comité rappelle sa jurisprudence </w:t>
      </w:r>
      <w:r w:rsidR="004E2675">
        <w:rPr>
          <w:rFonts w:eastAsia="SimSun"/>
          <w:lang w:val="fr-FR" w:eastAsia="zh-CN"/>
        </w:rPr>
        <w:t xml:space="preserve">selon laquelle toute personne </w:t>
      </w:r>
      <w:r w:rsidR="00433DBE" w:rsidRPr="00433DBE">
        <w:rPr>
          <w:rFonts w:eastAsia="SimSun"/>
          <w:lang w:val="fr-FR" w:eastAsia="zh-CN"/>
        </w:rPr>
        <w:t>privée de liberté</w:t>
      </w:r>
      <w:r w:rsidR="004E2675">
        <w:rPr>
          <w:rFonts w:eastAsia="SimSun"/>
          <w:lang w:val="fr-FR" w:eastAsia="zh-CN"/>
        </w:rPr>
        <w:t xml:space="preserve"> doit bénéficier d’une assistance juridique et médicale </w:t>
      </w:r>
      <w:r w:rsidR="00BE46A4">
        <w:rPr>
          <w:rFonts w:eastAsia="SimSun"/>
          <w:lang w:val="fr-FR" w:eastAsia="zh-CN"/>
        </w:rPr>
        <w:t xml:space="preserve">prompte et </w:t>
      </w:r>
      <w:r w:rsidR="004E2675">
        <w:rPr>
          <w:rFonts w:eastAsia="SimSun"/>
          <w:lang w:val="fr-FR" w:eastAsia="zh-CN"/>
        </w:rPr>
        <w:t>indépendante</w:t>
      </w:r>
      <w:r w:rsidR="00BE46A4">
        <w:rPr>
          <w:rFonts w:eastAsia="SimSun"/>
          <w:lang w:val="fr-FR" w:eastAsia="zh-CN"/>
        </w:rPr>
        <w:t>,</w:t>
      </w:r>
      <w:r w:rsidR="004E2675">
        <w:rPr>
          <w:rFonts w:eastAsia="SimSun"/>
          <w:lang w:val="fr-FR" w:eastAsia="zh-CN"/>
        </w:rPr>
        <w:t xml:space="preserve"> et doit pouvoir prendre contact avec sa famille afin</w:t>
      </w:r>
      <w:r w:rsidR="00433DBE" w:rsidRPr="00433DBE">
        <w:rPr>
          <w:rFonts w:eastAsia="SimSun"/>
          <w:lang w:val="fr-FR" w:eastAsia="zh-CN"/>
        </w:rPr>
        <w:t xml:space="preserve"> de </w:t>
      </w:r>
      <w:r w:rsidR="00433DBE" w:rsidRPr="00433DBE">
        <w:rPr>
          <w:rFonts w:eastAsia="SimSun"/>
          <w:lang w:val="fr-FR" w:eastAsia="zh-CN"/>
        </w:rPr>
        <w:lastRenderedPageBreak/>
        <w:t>prévenir la torture</w:t>
      </w:r>
      <w:r w:rsidR="00433DBE" w:rsidRPr="00433DBE">
        <w:rPr>
          <w:rFonts w:eastAsia="SimSun"/>
          <w:sz w:val="18"/>
          <w:vertAlign w:val="superscript"/>
          <w:lang w:eastAsia="zh-CN"/>
        </w:rPr>
        <w:footnoteReference w:id="20"/>
      </w:r>
      <w:r w:rsidR="00433DBE" w:rsidRPr="00433DBE">
        <w:rPr>
          <w:rFonts w:eastAsia="SimSun"/>
          <w:lang w:val="fr-FR" w:eastAsia="zh-CN"/>
        </w:rPr>
        <w:t>.</w:t>
      </w:r>
      <w:r w:rsidR="00433DBE" w:rsidRPr="00433DBE">
        <w:t xml:space="preserve"> </w:t>
      </w:r>
      <w:r w:rsidR="004E2675">
        <w:t xml:space="preserve">Prenant en compte </w:t>
      </w:r>
      <w:r w:rsidR="00737BC7">
        <w:t xml:space="preserve">le fait </w:t>
      </w:r>
      <w:r w:rsidR="00BE46A4">
        <w:t>que, selon</w:t>
      </w:r>
      <w:r w:rsidR="004E2675">
        <w:t xml:space="preserve"> le requérant</w:t>
      </w:r>
      <w:r w:rsidR="00BE46A4">
        <w:t>,</w:t>
      </w:r>
      <w:r w:rsidR="004E2675">
        <w:t xml:space="preserve"> il n’a eu accès à aucune de ces garanties</w:t>
      </w:r>
      <w:r w:rsidR="00F51CAB">
        <w:rPr>
          <w:rFonts w:eastAsia="SimSun"/>
          <w:lang w:val="fr-FR" w:eastAsia="zh-CN"/>
        </w:rPr>
        <w:t xml:space="preserve"> </w:t>
      </w:r>
      <w:r w:rsidR="00433DBE" w:rsidRPr="00433DBE">
        <w:rPr>
          <w:rFonts w:eastAsia="SimSun"/>
          <w:lang w:val="fr-FR" w:eastAsia="zh-CN"/>
        </w:rPr>
        <w:t xml:space="preserve">et en l’absence d’informations </w:t>
      </w:r>
      <w:r w:rsidR="004E2675">
        <w:rPr>
          <w:rFonts w:eastAsia="SimSun"/>
          <w:lang w:val="fr-FR" w:eastAsia="zh-CN"/>
        </w:rPr>
        <w:t>convaincante</w:t>
      </w:r>
      <w:r w:rsidR="00840416">
        <w:rPr>
          <w:rFonts w:eastAsia="SimSun"/>
          <w:lang w:val="fr-FR" w:eastAsia="zh-CN"/>
        </w:rPr>
        <w:t>s</w:t>
      </w:r>
      <w:r w:rsidR="004E2675">
        <w:rPr>
          <w:rFonts w:eastAsia="SimSun"/>
          <w:lang w:val="fr-FR" w:eastAsia="zh-CN"/>
        </w:rPr>
        <w:t xml:space="preserve"> </w:t>
      </w:r>
      <w:r w:rsidR="00433DBE" w:rsidRPr="00433DBE">
        <w:rPr>
          <w:rFonts w:eastAsia="SimSun"/>
          <w:lang w:val="fr-FR" w:eastAsia="zh-CN"/>
        </w:rPr>
        <w:t>de l’État partie remettant en question ces allégations, le Comité considère que</w:t>
      </w:r>
      <w:r w:rsidR="00F51CAB">
        <w:rPr>
          <w:rFonts w:eastAsia="SimSun"/>
          <w:lang w:val="fr-FR" w:eastAsia="zh-CN"/>
        </w:rPr>
        <w:t xml:space="preserve"> les </w:t>
      </w:r>
      <w:r w:rsidR="00840416" w:rsidRPr="00840416">
        <w:rPr>
          <w:rFonts w:eastAsia="SimSun"/>
          <w:lang w:val="fr-FR" w:eastAsia="zh-CN"/>
        </w:rPr>
        <w:t xml:space="preserve">sévices physiques </w:t>
      </w:r>
      <w:r w:rsidR="00840416">
        <w:rPr>
          <w:rFonts w:eastAsia="SimSun"/>
          <w:lang w:val="fr-FR" w:eastAsia="zh-CN"/>
        </w:rPr>
        <w:t>et blessures subis</w:t>
      </w:r>
      <w:r w:rsidR="009E3E8D">
        <w:rPr>
          <w:rFonts w:eastAsia="SimSun"/>
          <w:lang w:val="fr-FR" w:eastAsia="zh-CN"/>
        </w:rPr>
        <w:t xml:space="preserve"> par le requérant</w:t>
      </w:r>
      <w:r w:rsidR="00840416">
        <w:rPr>
          <w:rFonts w:eastAsia="SimSun"/>
          <w:lang w:val="fr-FR" w:eastAsia="zh-CN"/>
        </w:rPr>
        <w:t xml:space="preserve"> </w:t>
      </w:r>
      <w:r w:rsidR="009E3E8D">
        <w:rPr>
          <w:rFonts w:eastAsia="SimSun"/>
          <w:lang w:val="fr-FR" w:eastAsia="zh-CN"/>
        </w:rPr>
        <w:t xml:space="preserve">pendant son arrestation, </w:t>
      </w:r>
      <w:r w:rsidR="00776F5F">
        <w:rPr>
          <w:rFonts w:eastAsia="SimSun"/>
          <w:lang w:val="fr-FR" w:eastAsia="zh-CN"/>
        </w:rPr>
        <w:t xml:space="preserve">son </w:t>
      </w:r>
      <w:r w:rsidR="009E3E8D">
        <w:rPr>
          <w:rFonts w:eastAsia="SimSun"/>
          <w:lang w:val="fr-FR" w:eastAsia="zh-CN"/>
        </w:rPr>
        <w:t xml:space="preserve">interrogation et </w:t>
      </w:r>
      <w:r w:rsidR="00776F5F">
        <w:rPr>
          <w:rFonts w:eastAsia="SimSun"/>
          <w:lang w:val="fr-FR" w:eastAsia="zh-CN"/>
        </w:rPr>
        <w:t xml:space="preserve">sa </w:t>
      </w:r>
      <w:r w:rsidR="009E3E8D">
        <w:rPr>
          <w:rFonts w:eastAsia="SimSun"/>
          <w:lang w:val="fr-FR" w:eastAsia="zh-CN"/>
        </w:rPr>
        <w:t>détention</w:t>
      </w:r>
      <w:r w:rsidR="0003086B" w:rsidRPr="0003086B">
        <w:rPr>
          <w:rFonts w:eastAsia="SimSun"/>
          <w:lang w:val="fr-FR" w:eastAsia="zh-CN"/>
        </w:rPr>
        <w:t xml:space="preserve"> sont, tels que présentés, constitutifs de torture au sens de l’article </w:t>
      </w:r>
      <w:r w:rsidR="00F51CAB">
        <w:rPr>
          <w:rFonts w:eastAsia="SimSun"/>
          <w:lang w:val="fr-FR" w:eastAsia="zh-CN"/>
        </w:rPr>
        <w:t xml:space="preserve">1 </w:t>
      </w:r>
      <w:r w:rsidR="0003086B" w:rsidRPr="0003086B">
        <w:rPr>
          <w:rFonts w:eastAsia="SimSun"/>
          <w:lang w:val="fr-FR" w:eastAsia="zh-CN"/>
        </w:rPr>
        <w:t>de la Convention.</w:t>
      </w:r>
    </w:p>
    <w:p w:rsidR="00CC070F" w:rsidRDefault="00380370">
      <w:pPr>
        <w:pStyle w:val="SingleTxtG"/>
        <w:rPr>
          <w:rFonts w:eastAsia="MS Mincho"/>
        </w:rPr>
      </w:pPr>
      <w:r>
        <w:rPr>
          <w:rFonts w:eastAsia="MS Mincho"/>
        </w:rPr>
        <w:t>1</w:t>
      </w:r>
      <w:r w:rsidR="00706582">
        <w:rPr>
          <w:rFonts w:eastAsia="MS Mincho"/>
        </w:rPr>
        <w:t>3</w:t>
      </w:r>
      <w:r>
        <w:rPr>
          <w:rFonts w:eastAsia="MS Mincho"/>
        </w:rPr>
        <w:t>.3</w:t>
      </w:r>
      <w:r>
        <w:rPr>
          <w:rFonts w:eastAsia="MS Mincho"/>
        </w:rPr>
        <w:tab/>
      </w:r>
      <w:r w:rsidR="00BE4D27" w:rsidRPr="00BE4D27">
        <w:rPr>
          <w:rFonts w:eastAsia="MS Mincho"/>
        </w:rPr>
        <w:t xml:space="preserve">Le Comité doit </w:t>
      </w:r>
      <w:r>
        <w:rPr>
          <w:rFonts w:eastAsia="MS Mincho"/>
        </w:rPr>
        <w:t xml:space="preserve">aussi </w:t>
      </w:r>
      <w:r w:rsidR="00BE4D27" w:rsidRPr="00BE4D27">
        <w:rPr>
          <w:rFonts w:eastAsia="MS Mincho"/>
        </w:rPr>
        <w:t xml:space="preserve">déterminer si le fait qu’aucune enquête n’a été ouverte sur les allégations de torture que le requérant a </w:t>
      </w:r>
      <w:r w:rsidR="002C7CF1">
        <w:rPr>
          <w:rFonts w:eastAsia="MS Mincho"/>
        </w:rPr>
        <w:t>présentées</w:t>
      </w:r>
      <w:r w:rsidR="00BE4D27" w:rsidRPr="00BE4D27">
        <w:rPr>
          <w:rFonts w:eastAsia="MS Mincho"/>
        </w:rPr>
        <w:t xml:space="preserve"> aux autorités judiciaires </w:t>
      </w:r>
      <w:r w:rsidR="002C7CF1">
        <w:rPr>
          <w:rFonts w:eastAsia="MS Mincho"/>
        </w:rPr>
        <w:t>constitue une violation par</w:t>
      </w:r>
      <w:r w:rsidR="002C7CF1" w:rsidRPr="00BE4D27">
        <w:rPr>
          <w:rFonts w:eastAsia="MS Mincho"/>
        </w:rPr>
        <w:t xml:space="preserve"> </w:t>
      </w:r>
      <w:r w:rsidR="00BE4D27" w:rsidRPr="00BE4D27">
        <w:rPr>
          <w:rFonts w:eastAsia="MS Mincho"/>
        </w:rPr>
        <w:t xml:space="preserve">l’État partie </w:t>
      </w:r>
      <w:r w:rsidR="002C7CF1">
        <w:rPr>
          <w:rFonts w:eastAsia="MS Mincho"/>
        </w:rPr>
        <w:t>de ses obligations</w:t>
      </w:r>
      <w:r w:rsidR="00BE4D27" w:rsidRPr="00BE4D27">
        <w:rPr>
          <w:rFonts w:eastAsia="MS Mincho"/>
        </w:rPr>
        <w:t xml:space="preserve"> en vertu de l’article 12 de la Convention</w:t>
      </w:r>
      <w:r w:rsidR="00E12301">
        <w:rPr>
          <w:rFonts w:eastAsia="MS Mincho"/>
        </w:rPr>
        <w:t xml:space="preserve">. </w:t>
      </w:r>
      <w:r w:rsidR="00BE46A4">
        <w:rPr>
          <w:rFonts w:eastAsia="MS Mincho"/>
        </w:rPr>
        <w:t>L</w:t>
      </w:r>
      <w:r w:rsidR="00CC070F" w:rsidRPr="00CC070F">
        <w:rPr>
          <w:rFonts w:eastAsia="MS Mincho"/>
        </w:rPr>
        <w:t xml:space="preserve">e Comité </w:t>
      </w:r>
      <w:r w:rsidR="00F32422">
        <w:rPr>
          <w:rFonts w:eastAsia="MS Mincho"/>
        </w:rPr>
        <w:t>prend</w:t>
      </w:r>
      <w:r w:rsidR="00CC070F" w:rsidRPr="00CC070F">
        <w:rPr>
          <w:rFonts w:eastAsia="MS Mincho"/>
        </w:rPr>
        <w:t xml:space="preserve"> note des allégations du requérant selon lesquel</w:t>
      </w:r>
      <w:r w:rsidR="004E2675">
        <w:rPr>
          <w:rFonts w:eastAsia="MS Mincho"/>
        </w:rPr>
        <w:t>le</w:t>
      </w:r>
      <w:r w:rsidR="00CC070F" w:rsidRPr="00CC070F">
        <w:rPr>
          <w:rFonts w:eastAsia="MS Mincho"/>
        </w:rPr>
        <w:t>s il s’est présenté avec des signes visibles de torture</w:t>
      </w:r>
      <w:r w:rsidR="00E31CBC" w:rsidRPr="00E31CBC">
        <w:t xml:space="preserve"> </w:t>
      </w:r>
      <w:r w:rsidR="00E31CBC">
        <w:t xml:space="preserve">comme </w:t>
      </w:r>
      <w:r w:rsidR="00E31CBC" w:rsidRPr="00E31CBC">
        <w:rPr>
          <w:rFonts w:eastAsia="MS Mincho"/>
        </w:rPr>
        <w:t>des traces de coups et de sang sur le visage</w:t>
      </w:r>
      <w:r w:rsidR="00CC070F" w:rsidRPr="00CC070F">
        <w:rPr>
          <w:rFonts w:eastAsia="MS Mincho"/>
        </w:rPr>
        <w:t xml:space="preserve"> devant le juge d’instruction militaire le 12 novembre 2010</w:t>
      </w:r>
      <w:r w:rsidR="00E31CBC">
        <w:rPr>
          <w:rFonts w:eastAsia="MS Mincho"/>
        </w:rPr>
        <w:t xml:space="preserve"> </w:t>
      </w:r>
      <w:r w:rsidR="00E31CBC" w:rsidRPr="00E31CBC">
        <w:rPr>
          <w:rFonts w:eastAsia="MS Mincho"/>
        </w:rPr>
        <w:t>(</w:t>
      </w:r>
      <w:r w:rsidR="00B11BDA">
        <w:rPr>
          <w:rFonts w:eastAsia="MS Mincho"/>
        </w:rPr>
        <w:t xml:space="preserve">voir le </w:t>
      </w:r>
      <w:r w:rsidR="00E31CBC" w:rsidRPr="00E31CBC">
        <w:rPr>
          <w:rFonts w:eastAsia="MS Mincho"/>
        </w:rPr>
        <w:t>par</w:t>
      </w:r>
      <w:r w:rsidR="00B11BDA">
        <w:rPr>
          <w:rFonts w:eastAsia="MS Mincho"/>
        </w:rPr>
        <w:t>agraphe</w:t>
      </w:r>
      <w:r w:rsidR="00E31CBC" w:rsidRPr="00E31CBC">
        <w:rPr>
          <w:rFonts w:eastAsia="MS Mincho"/>
        </w:rPr>
        <w:t xml:space="preserve"> 3.3)</w:t>
      </w:r>
      <w:r w:rsidR="00E12301">
        <w:rPr>
          <w:rFonts w:eastAsia="MS Mincho"/>
        </w:rPr>
        <w:t xml:space="preserve">, </w:t>
      </w:r>
      <w:r w:rsidR="00E01547">
        <w:rPr>
          <w:rFonts w:eastAsia="MS Mincho"/>
        </w:rPr>
        <w:t xml:space="preserve">qui </w:t>
      </w:r>
      <w:r w:rsidR="00E01547" w:rsidRPr="00E01547">
        <w:rPr>
          <w:rFonts w:eastAsia="MS Mincho"/>
        </w:rPr>
        <w:t>n’a pas consigné ces faits dans le procès-verbal</w:t>
      </w:r>
      <w:r w:rsidR="006A6582">
        <w:rPr>
          <w:rFonts w:eastAsia="MS Mincho"/>
        </w:rPr>
        <w:t> </w:t>
      </w:r>
      <w:r w:rsidR="00E12301">
        <w:rPr>
          <w:rFonts w:eastAsia="MS Mincho"/>
        </w:rPr>
        <w:t xml:space="preserve">; </w:t>
      </w:r>
      <w:r w:rsidR="002C7CF1">
        <w:rPr>
          <w:rFonts w:eastAsia="MS Mincho"/>
        </w:rPr>
        <w:t>l</w:t>
      </w:r>
      <w:r w:rsidR="00563371">
        <w:rPr>
          <w:rFonts w:eastAsia="MS Mincho"/>
        </w:rPr>
        <w:t>e requérant</w:t>
      </w:r>
      <w:r w:rsidR="002C7CF1" w:rsidRPr="00CC070F">
        <w:rPr>
          <w:rFonts w:eastAsia="MS Mincho"/>
        </w:rPr>
        <w:t xml:space="preserve"> </w:t>
      </w:r>
      <w:r w:rsidR="00CC070F" w:rsidRPr="00CC070F">
        <w:rPr>
          <w:rFonts w:eastAsia="MS Mincho"/>
        </w:rPr>
        <w:t xml:space="preserve">a ensuite expressément dénoncé les tortures subies devant le juge d’instruction le 12 janvier </w:t>
      </w:r>
      <w:r w:rsidR="00E01547">
        <w:rPr>
          <w:rFonts w:eastAsia="MS Mincho"/>
        </w:rPr>
        <w:t xml:space="preserve">et le </w:t>
      </w:r>
      <w:r w:rsidR="00E01547" w:rsidRPr="00E01547">
        <w:rPr>
          <w:rFonts w:eastAsia="MS Mincho"/>
        </w:rPr>
        <w:t>12 août 2011</w:t>
      </w:r>
      <w:r w:rsidR="006A6582">
        <w:rPr>
          <w:rFonts w:eastAsia="MS Mincho"/>
        </w:rPr>
        <w:t> </w:t>
      </w:r>
      <w:r w:rsidR="00E12301">
        <w:rPr>
          <w:rFonts w:eastAsia="MS Mincho"/>
        </w:rPr>
        <w:t>;</w:t>
      </w:r>
      <w:r w:rsidR="00E01547" w:rsidRPr="00E01547">
        <w:rPr>
          <w:rFonts w:eastAsia="MS Mincho"/>
        </w:rPr>
        <w:t xml:space="preserve"> </w:t>
      </w:r>
      <w:r w:rsidR="00CC070F" w:rsidRPr="00CC070F">
        <w:rPr>
          <w:rFonts w:eastAsia="MS Mincho"/>
        </w:rPr>
        <w:t xml:space="preserve">ces mêmes allégations ont été soulevées devant le tribunal militaire en présence du </w:t>
      </w:r>
      <w:r w:rsidR="00297409">
        <w:rPr>
          <w:rFonts w:eastAsia="MS Mincho"/>
        </w:rPr>
        <w:t>P</w:t>
      </w:r>
      <w:r w:rsidR="00297409" w:rsidRPr="00CC070F">
        <w:rPr>
          <w:rFonts w:eastAsia="MS Mincho"/>
        </w:rPr>
        <w:t>rocureur</w:t>
      </w:r>
      <w:r w:rsidR="00297409">
        <w:rPr>
          <w:rFonts w:eastAsia="MS Mincho"/>
        </w:rPr>
        <w:t> </w:t>
      </w:r>
      <w:r w:rsidR="00CC070F" w:rsidRPr="00CC070F">
        <w:rPr>
          <w:rFonts w:eastAsia="MS Mincho"/>
        </w:rPr>
        <w:t xml:space="preserve">; et à aucun moment le </w:t>
      </w:r>
      <w:r w:rsidR="00297409">
        <w:rPr>
          <w:rFonts w:eastAsia="MS Mincho"/>
        </w:rPr>
        <w:t>P</w:t>
      </w:r>
      <w:r w:rsidR="00297409" w:rsidRPr="00CC070F">
        <w:rPr>
          <w:rFonts w:eastAsia="MS Mincho"/>
        </w:rPr>
        <w:t xml:space="preserve">rocureur </w:t>
      </w:r>
      <w:r w:rsidR="00CC070F" w:rsidRPr="00CC070F">
        <w:rPr>
          <w:rFonts w:eastAsia="MS Mincho"/>
        </w:rPr>
        <w:t xml:space="preserve">n’a diligenté une enquête. Le Comité note l’argument du requérant selon lequel le recours devant la Cour de </w:t>
      </w:r>
      <w:r w:rsidR="009E3E8D">
        <w:rPr>
          <w:rFonts w:eastAsia="MS Mincho"/>
        </w:rPr>
        <w:t>c</w:t>
      </w:r>
      <w:r w:rsidR="00CC070F" w:rsidRPr="00CC070F">
        <w:rPr>
          <w:rFonts w:eastAsia="MS Mincho"/>
        </w:rPr>
        <w:t>assation ne peut être considéré comme un recours utile et efficace puisque celle-ci ne se prononce qu’en droit et sur la base de l’affaire portée devant elle</w:t>
      </w:r>
      <w:r w:rsidR="002C7CF1">
        <w:rPr>
          <w:rFonts w:eastAsia="MS Mincho"/>
        </w:rPr>
        <w:t>,</w:t>
      </w:r>
      <w:r w:rsidR="00CC070F" w:rsidRPr="00CC070F">
        <w:rPr>
          <w:rFonts w:eastAsia="MS Mincho"/>
        </w:rPr>
        <w:t xml:space="preserve"> à savoir les faits dont le requérant est accusé. Le Comité note </w:t>
      </w:r>
      <w:r w:rsidR="004E2675" w:rsidRPr="00CC070F">
        <w:rPr>
          <w:rFonts w:eastAsia="MS Mincho"/>
        </w:rPr>
        <w:t xml:space="preserve">également </w:t>
      </w:r>
      <w:r w:rsidR="00CC070F" w:rsidRPr="00CC070F">
        <w:rPr>
          <w:rFonts w:eastAsia="MS Mincho"/>
        </w:rPr>
        <w:t>les arguments de l’État partie selon lesquels le requérant n’aurait pas soulevé les allégations de torture devant les autorités compétentes</w:t>
      </w:r>
      <w:r w:rsidR="00586D83">
        <w:rPr>
          <w:rFonts w:eastAsia="MS Mincho"/>
        </w:rPr>
        <w:t xml:space="preserve">. Il note </w:t>
      </w:r>
      <w:r w:rsidR="00491716">
        <w:rPr>
          <w:rFonts w:eastAsia="MS Mincho"/>
        </w:rPr>
        <w:t>que</w:t>
      </w:r>
      <w:r w:rsidR="005D724A">
        <w:rPr>
          <w:rFonts w:eastAsia="MS Mincho"/>
        </w:rPr>
        <w:t>,</w:t>
      </w:r>
      <w:r w:rsidR="00491716">
        <w:rPr>
          <w:rFonts w:eastAsia="MS Mincho"/>
        </w:rPr>
        <w:t xml:space="preserve"> le 27 juillet 2016, </w:t>
      </w:r>
      <w:r w:rsidR="00CC070F" w:rsidRPr="00586D83">
        <w:rPr>
          <w:rFonts w:eastAsia="MS Mincho"/>
        </w:rPr>
        <w:t xml:space="preserve">la Cour de </w:t>
      </w:r>
      <w:r w:rsidR="009E3E8D" w:rsidRPr="00586D83">
        <w:rPr>
          <w:rFonts w:eastAsia="MS Mincho"/>
        </w:rPr>
        <w:t>c</w:t>
      </w:r>
      <w:r w:rsidR="00CC070F" w:rsidRPr="00586D83">
        <w:rPr>
          <w:rFonts w:eastAsia="MS Mincho"/>
        </w:rPr>
        <w:t xml:space="preserve">assation </w:t>
      </w:r>
      <w:r w:rsidR="00491716">
        <w:rPr>
          <w:rFonts w:eastAsia="MS Mincho"/>
        </w:rPr>
        <w:t xml:space="preserve">a adopté une décision sur le recours </w:t>
      </w:r>
      <w:r w:rsidR="009E3E8D" w:rsidRPr="00586D83">
        <w:rPr>
          <w:rFonts w:eastAsia="MS Mincho"/>
        </w:rPr>
        <w:t xml:space="preserve">introduit par le requérant et ses coaccusés en février 2013 </w:t>
      </w:r>
      <w:r w:rsidR="00491716">
        <w:rPr>
          <w:rFonts w:eastAsia="MS Mincho"/>
        </w:rPr>
        <w:t>renvoyant</w:t>
      </w:r>
      <w:r w:rsidR="00DE41F4">
        <w:rPr>
          <w:rFonts w:eastAsia="MS Mincho"/>
        </w:rPr>
        <w:t xml:space="preserve"> l’affaire devant la </w:t>
      </w:r>
      <w:r w:rsidR="000B6C34">
        <w:rPr>
          <w:rFonts w:eastAsia="MS Mincho"/>
        </w:rPr>
        <w:t>c</w:t>
      </w:r>
      <w:r w:rsidR="00DE41F4">
        <w:rPr>
          <w:rFonts w:eastAsia="MS Mincho"/>
        </w:rPr>
        <w:t>our d’appel de Rabat</w:t>
      </w:r>
      <w:r w:rsidR="008C5424" w:rsidRPr="008C5424">
        <w:t xml:space="preserve"> </w:t>
      </w:r>
      <w:r w:rsidR="008C5424">
        <w:t>q</w:t>
      </w:r>
      <w:r w:rsidR="008C5424">
        <w:rPr>
          <w:rFonts w:eastAsia="MS Mincho"/>
        </w:rPr>
        <w:t xml:space="preserve">ui exerce la </w:t>
      </w:r>
      <w:r w:rsidR="008C5424" w:rsidRPr="008C5424">
        <w:rPr>
          <w:rFonts w:eastAsia="MS Mincho"/>
        </w:rPr>
        <w:t>juridiction civile</w:t>
      </w:r>
      <w:r w:rsidR="00491716">
        <w:rPr>
          <w:rFonts w:eastAsia="MS Mincho"/>
        </w:rPr>
        <w:t xml:space="preserve">. Le Comité note également </w:t>
      </w:r>
      <w:r w:rsidR="00DB7C62">
        <w:rPr>
          <w:rFonts w:eastAsia="MS Mincho"/>
        </w:rPr>
        <w:t>l’information</w:t>
      </w:r>
      <w:r w:rsidR="00120F2F">
        <w:rPr>
          <w:rFonts w:eastAsia="MS Mincho"/>
        </w:rPr>
        <w:t xml:space="preserve"> donnée</w:t>
      </w:r>
      <w:r w:rsidR="00DB7C62">
        <w:rPr>
          <w:rFonts w:eastAsia="MS Mincho"/>
        </w:rPr>
        <w:t xml:space="preserve"> par </w:t>
      </w:r>
      <w:r w:rsidR="00DB7C62" w:rsidRPr="00DB7C62">
        <w:rPr>
          <w:rFonts w:eastAsia="MS Mincho"/>
        </w:rPr>
        <w:t>l’État partie</w:t>
      </w:r>
      <w:r w:rsidR="00DB7C62">
        <w:rPr>
          <w:rFonts w:eastAsia="MS Mincho"/>
        </w:rPr>
        <w:t xml:space="preserve">, </w:t>
      </w:r>
      <w:r w:rsidR="00120F2F">
        <w:rPr>
          <w:rFonts w:eastAsia="MS Mincho"/>
        </w:rPr>
        <w:t>le</w:t>
      </w:r>
      <w:r w:rsidR="00DB7C62">
        <w:rPr>
          <w:rFonts w:eastAsia="MS Mincho"/>
        </w:rPr>
        <w:t xml:space="preserve"> 4 novembre 2016, </w:t>
      </w:r>
      <w:r w:rsidR="00626A74">
        <w:rPr>
          <w:rFonts w:eastAsia="MS Mincho"/>
        </w:rPr>
        <w:t>selon laquelle</w:t>
      </w:r>
      <w:r w:rsidR="00DB7C62">
        <w:rPr>
          <w:rFonts w:eastAsia="MS Mincho"/>
        </w:rPr>
        <w:t xml:space="preserve"> l’affaire du requérant a été enrôlée </w:t>
      </w:r>
      <w:r w:rsidR="001D19EE" w:rsidRPr="001D19EE">
        <w:rPr>
          <w:rFonts w:eastAsia="MS Mincho"/>
        </w:rPr>
        <w:t xml:space="preserve">par la </w:t>
      </w:r>
      <w:r w:rsidR="000B6C34">
        <w:rPr>
          <w:rFonts w:eastAsia="MS Mincho"/>
        </w:rPr>
        <w:t>c</w:t>
      </w:r>
      <w:r w:rsidR="001D19EE" w:rsidRPr="001D19EE">
        <w:rPr>
          <w:rFonts w:eastAsia="MS Mincho"/>
        </w:rPr>
        <w:t>our d’appe</w:t>
      </w:r>
      <w:r w:rsidR="001D19EE">
        <w:rPr>
          <w:rFonts w:eastAsia="MS Mincho"/>
        </w:rPr>
        <w:t xml:space="preserve">l </w:t>
      </w:r>
      <w:r w:rsidR="00DB7C62">
        <w:rPr>
          <w:rFonts w:eastAsia="MS Mincho"/>
        </w:rPr>
        <w:t>pour une audition le 26</w:t>
      </w:r>
      <w:r w:rsidR="00FC5EA5">
        <w:rPr>
          <w:rFonts w:eastAsia="MS Mincho"/>
        </w:rPr>
        <w:t> </w:t>
      </w:r>
      <w:r w:rsidR="00DB7C62">
        <w:rPr>
          <w:rFonts w:eastAsia="MS Mincho"/>
        </w:rPr>
        <w:t>décembre 2016</w:t>
      </w:r>
      <w:r w:rsidR="00CC070F" w:rsidRPr="00CC070F">
        <w:rPr>
          <w:rFonts w:eastAsia="MS Mincho"/>
        </w:rPr>
        <w:t>. L</w:t>
      </w:r>
      <w:r w:rsidR="00491716">
        <w:rPr>
          <w:rFonts w:eastAsia="MS Mincho"/>
        </w:rPr>
        <w:t xml:space="preserve">e Comité note </w:t>
      </w:r>
      <w:r w:rsidR="00120F2F">
        <w:rPr>
          <w:rFonts w:eastAsia="MS Mincho"/>
        </w:rPr>
        <w:t>en outre</w:t>
      </w:r>
      <w:r w:rsidR="00491716">
        <w:rPr>
          <w:rFonts w:eastAsia="MS Mincho"/>
        </w:rPr>
        <w:t xml:space="preserve"> que, selon les informations qui lui ont été fournies, le </w:t>
      </w:r>
      <w:r w:rsidR="003F0254">
        <w:rPr>
          <w:rFonts w:eastAsia="MS Mincho"/>
        </w:rPr>
        <w:t>pourvoi</w:t>
      </w:r>
      <w:r w:rsidR="00491716">
        <w:rPr>
          <w:rFonts w:eastAsia="MS Mincho"/>
        </w:rPr>
        <w:t xml:space="preserve"> en cassation qui a été en cours pendant plus de trois ans a eu pour objet </w:t>
      </w:r>
      <w:r w:rsidR="00491716" w:rsidRPr="00CC070F">
        <w:rPr>
          <w:rFonts w:eastAsia="MS Mincho"/>
        </w:rPr>
        <w:t>d’évaluer l’application correcte des règles d</w:t>
      </w:r>
      <w:r w:rsidR="003538DB">
        <w:rPr>
          <w:rFonts w:eastAsia="MS Mincho"/>
        </w:rPr>
        <w:t>e</w:t>
      </w:r>
      <w:r w:rsidR="00491716" w:rsidRPr="00CC070F">
        <w:rPr>
          <w:rFonts w:eastAsia="MS Mincho"/>
        </w:rPr>
        <w:t xml:space="preserve"> droit marocain au cas d’espèce</w:t>
      </w:r>
      <w:r w:rsidR="00491716">
        <w:rPr>
          <w:rFonts w:eastAsia="MS Mincho"/>
        </w:rPr>
        <w:t xml:space="preserve">, et ne porte pas </w:t>
      </w:r>
      <w:r w:rsidR="00491716" w:rsidRPr="00CC070F">
        <w:rPr>
          <w:rFonts w:eastAsia="MS Mincho"/>
        </w:rPr>
        <w:t xml:space="preserve">sur les allégations de torture </w:t>
      </w:r>
      <w:r w:rsidR="00491716">
        <w:rPr>
          <w:rFonts w:eastAsia="MS Mincho"/>
        </w:rPr>
        <w:t>objet de la présente requête</w:t>
      </w:r>
      <w:r w:rsidR="00E3776F">
        <w:rPr>
          <w:rFonts w:eastAsia="MS Mincho"/>
        </w:rPr>
        <w:t>,</w:t>
      </w:r>
      <w:r w:rsidR="00DE2964" w:rsidRPr="00DE2964">
        <w:t xml:space="preserve"> </w:t>
      </w:r>
      <w:r w:rsidR="00DE2964" w:rsidRPr="00DE2964">
        <w:rPr>
          <w:rFonts w:eastAsia="MS Mincho"/>
        </w:rPr>
        <w:t xml:space="preserve">qui </w:t>
      </w:r>
      <w:r w:rsidR="00120F2F">
        <w:rPr>
          <w:rFonts w:eastAsia="MS Mincho"/>
        </w:rPr>
        <w:t>n</w:t>
      </w:r>
      <w:r w:rsidR="00120F2F" w:rsidRPr="00120F2F">
        <w:rPr>
          <w:rFonts w:eastAsia="MS Mincho"/>
        </w:rPr>
        <w:t>’</w:t>
      </w:r>
      <w:r w:rsidR="00120F2F">
        <w:rPr>
          <w:rFonts w:eastAsia="MS Mincho"/>
        </w:rPr>
        <w:t xml:space="preserve">ont </w:t>
      </w:r>
      <w:r w:rsidR="00130511">
        <w:rPr>
          <w:rFonts w:eastAsia="MS Mincho"/>
        </w:rPr>
        <w:t xml:space="preserve">donné lieu à </w:t>
      </w:r>
      <w:r w:rsidR="00DE2964" w:rsidRPr="00DE2964">
        <w:rPr>
          <w:rFonts w:eastAsia="MS Mincho"/>
        </w:rPr>
        <w:t xml:space="preserve">aucune enquête depuis près de </w:t>
      </w:r>
      <w:r w:rsidR="00311B23">
        <w:rPr>
          <w:rFonts w:eastAsia="MS Mincho"/>
        </w:rPr>
        <w:t>six</w:t>
      </w:r>
      <w:r w:rsidR="00DE2964" w:rsidRPr="00DE2964">
        <w:rPr>
          <w:rFonts w:eastAsia="MS Mincho"/>
        </w:rPr>
        <w:t xml:space="preserve"> ans</w:t>
      </w:r>
      <w:r w:rsidR="00491716">
        <w:rPr>
          <w:rFonts w:eastAsia="MS Mincho"/>
        </w:rPr>
        <w:t>. En outre, les informations disponibles ne permettent pas de conclure</w:t>
      </w:r>
      <w:r w:rsidR="00145220">
        <w:rPr>
          <w:rFonts w:eastAsia="MS Mincho"/>
        </w:rPr>
        <w:t xml:space="preserve"> que</w:t>
      </w:r>
      <w:r w:rsidR="00CC070F" w:rsidRPr="00CC070F">
        <w:rPr>
          <w:rFonts w:eastAsia="MS Mincho"/>
        </w:rPr>
        <w:t xml:space="preserve"> </w:t>
      </w:r>
      <w:r w:rsidR="00491716">
        <w:rPr>
          <w:rFonts w:eastAsia="MS Mincho"/>
        </w:rPr>
        <w:t xml:space="preserve">la </w:t>
      </w:r>
      <w:r w:rsidR="000B6C34">
        <w:rPr>
          <w:rFonts w:eastAsia="MS Mincho"/>
        </w:rPr>
        <w:t>c</w:t>
      </w:r>
      <w:r w:rsidR="00491716">
        <w:rPr>
          <w:rFonts w:eastAsia="MS Mincho"/>
        </w:rPr>
        <w:t>our d’appel de Rabat aura compétence pour se prononcer sur les allégations de torture présentées par le requérant</w:t>
      </w:r>
      <w:r w:rsidR="00E3776F">
        <w:rPr>
          <w:rFonts w:eastAsia="MS Mincho"/>
        </w:rPr>
        <w:t xml:space="preserve">, </w:t>
      </w:r>
      <w:r w:rsidR="00E3776F" w:rsidRPr="00E3776F">
        <w:rPr>
          <w:rFonts w:eastAsia="MS Mincho"/>
        </w:rPr>
        <w:t xml:space="preserve">notamment </w:t>
      </w:r>
      <w:r w:rsidR="0049446B">
        <w:rPr>
          <w:rFonts w:eastAsia="MS Mincho"/>
        </w:rPr>
        <w:t>parce qu’</w:t>
      </w:r>
      <w:r w:rsidR="00E3776F" w:rsidRPr="00E3776F">
        <w:rPr>
          <w:rFonts w:eastAsia="MS Mincho"/>
        </w:rPr>
        <w:t>aucune instruction n</w:t>
      </w:r>
      <w:r w:rsidR="000B6C34" w:rsidRPr="000B6C34">
        <w:rPr>
          <w:rFonts w:eastAsia="MS Mincho"/>
        </w:rPr>
        <w:t>’</w:t>
      </w:r>
      <w:r w:rsidR="00E3776F" w:rsidRPr="00E3776F">
        <w:rPr>
          <w:rFonts w:eastAsia="MS Mincho"/>
        </w:rPr>
        <w:t xml:space="preserve">a été donnée à la </w:t>
      </w:r>
      <w:r w:rsidR="000B6C34">
        <w:rPr>
          <w:rFonts w:eastAsia="MS Mincho"/>
        </w:rPr>
        <w:t>c</w:t>
      </w:r>
      <w:r w:rsidR="00E3776F" w:rsidRPr="00E3776F">
        <w:rPr>
          <w:rFonts w:eastAsia="MS Mincho"/>
        </w:rPr>
        <w:t>our d</w:t>
      </w:r>
      <w:r w:rsidR="000B6C34" w:rsidRPr="000B6C34">
        <w:rPr>
          <w:rFonts w:eastAsia="MS Mincho"/>
        </w:rPr>
        <w:t>’</w:t>
      </w:r>
      <w:r w:rsidR="00E3776F" w:rsidRPr="00E3776F">
        <w:rPr>
          <w:rFonts w:eastAsia="MS Mincho"/>
        </w:rPr>
        <w:t>appel pour enquêter sur les allégations de torture</w:t>
      </w:r>
      <w:r w:rsidR="00CC070F" w:rsidRPr="00CC070F">
        <w:rPr>
          <w:rFonts w:eastAsia="MS Mincho"/>
        </w:rPr>
        <w:t>.</w:t>
      </w:r>
      <w:r w:rsidR="00F45FA1">
        <w:rPr>
          <w:rFonts w:eastAsia="MS Mincho"/>
        </w:rPr>
        <w:t xml:space="preserve"> </w:t>
      </w:r>
      <w:r w:rsidR="00FB1902">
        <w:rPr>
          <w:rFonts w:eastAsia="MS Mincho"/>
        </w:rPr>
        <w:t>Les informations soumises au Comité démontrent que l</w:t>
      </w:r>
      <w:r w:rsidR="00FB1902" w:rsidRPr="00FB1902">
        <w:rPr>
          <w:rFonts w:eastAsia="MS Mincho"/>
        </w:rPr>
        <w:t xml:space="preserve">a Cour de cassation a renvoyé l’affaire à la </w:t>
      </w:r>
      <w:r w:rsidR="000B6C34">
        <w:rPr>
          <w:rFonts w:eastAsia="MS Mincho"/>
        </w:rPr>
        <w:t>c</w:t>
      </w:r>
      <w:r w:rsidR="00FB1902" w:rsidRPr="00FB1902">
        <w:rPr>
          <w:rFonts w:eastAsia="MS Mincho"/>
        </w:rPr>
        <w:t xml:space="preserve">our d’appel afin qu’il y soit statué de nouveau, car le tribunal militaire n’a pas </w:t>
      </w:r>
      <w:r w:rsidR="00626A74">
        <w:rPr>
          <w:rFonts w:eastAsia="MS Mincho"/>
        </w:rPr>
        <w:t>démontré</w:t>
      </w:r>
      <w:r w:rsidR="00FB1902" w:rsidRPr="00FB1902">
        <w:rPr>
          <w:rFonts w:eastAsia="MS Mincho"/>
        </w:rPr>
        <w:t xml:space="preserve"> de manière claire </w:t>
      </w:r>
      <w:r w:rsidR="00120F2F">
        <w:rPr>
          <w:rFonts w:eastAsia="MS Mincho"/>
        </w:rPr>
        <w:t>que</w:t>
      </w:r>
      <w:r w:rsidR="00090FCE">
        <w:rPr>
          <w:rFonts w:eastAsia="MS Mincho"/>
        </w:rPr>
        <w:t xml:space="preserve"> le requérant avait ordonné ou avait incité </w:t>
      </w:r>
      <w:r w:rsidR="00120F2F">
        <w:rPr>
          <w:rFonts w:eastAsia="MS Mincho"/>
        </w:rPr>
        <w:t xml:space="preserve">à </w:t>
      </w:r>
      <w:r w:rsidR="00090FCE">
        <w:rPr>
          <w:rFonts w:eastAsia="MS Mincho"/>
        </w:rPr>
        <w:t xml:space="preserve">la commission </w:t>
      </w:r>
      <w:r w:rsidR="00FB1902" w:rsidRPr="00FB1902">
        <w:rPr>
          <w:rFonts w:eastAsia="MS Mincho"/>
        </w:rPr>
        <w:t xml:space="preserve">des actes criminels la partie ou les personnes ciblées, ainsi que </w:t>
      </w:r>
      <w:r w:rsidR="00090FCE">
        <w:rPr>
          <w:rFonts w:eastAsia="MS Mincho"/>
        </w:rPr>
        <w:t>son intention criminelle</w:t>
      </w:r>
      <w:r w:rsidR="00120F2F">
        <w:rPr>
          <w:rFonts w:eastAsia="MS Mincho"/>
        </w:rPr>
        <w:t>,</w:t>
      </w:r>
      <w:r w:rsidR="00FB1902" w:rsidRPr="00FB1902">
        <w:rPr>
          <w:rFonts w:eastAsia="MS Mincho"/>
        </w:rPr>
        <w:t xml:space="preserve"> </w:t>
      </w:r>
      <w:r w:rsidR="0094521E">
        <w:rPr>
          <w:rFonts w:eastAsia="MS Mincho"/>
        </w:rPr>
        <w:t xml:space="preserve">éléments </w:t>
      </w:r>
      <w:r w:rsidR="00FB1902" w:rsidRPr="00FB1902">
        <w:rPr>
          <w:rFonts w:eastAsia="MS Mincho"/>
        </w:rPr>
        <w:t>qui ont rendu le jugement passible de nullité.</w:t>
      </w:r>
      <w:r w:rsidR="00BD350C">
        <w:rPr>
          <w:rFonts w:eastAsia="MS Mincho"/>
        </w:rPr>
        <w:t xml:space="preserve"> </w:t>
      </w:r>
      <w:r w:rsidR="00BD350C" w:rsidRPr="00BD350C">
        <w:rPr>
          <w:rFonts w:eastAsia="MS Mincho"/>
        </w:rPr>
        <w:t xml:space="preserve">Dans ces conditions, le Comité considère que la probabilité de </w:t>
      </w:r>
      <w:r w:rsidR="0094521E">
        <w:rPr>
          <w:rFonts w:eastAsia="MS Mincho"/>
        </w:rPr>
        <w:t xml:space="preserve">ce que la </w:t>
      </w:r>
      <w:r w:rsidR="000B6C34">
        <w:rPr>
          <w:rFonts w:eastAsia="MS Mincho"/>
        </w:rPr>
        <w:t>c</w:t>
      </w:r>
      <w:r w:rsidR="0094521E">
        <w:rPr>
          <w:rFonts w:eastAsia="MS Mincho"/>
        </w:rPr>
        <w:t>our d’appel puisse examiner les</w:t>
      </w:r>
      <w:r w:rsidR="00BD350C" w:rsidRPr="00BD350C">
        <w:rPr>
          <w:rFonts w:eastAsia="MS Mincho"/>
        </w:rPr>
        <w:t xml:space="preserve"> allégations de torture est faible.</w:t>
      </w:r>
    </w:p>
    <w:p w:rsidR="00F32422" w:rsidRDefault="00373569">
      <w:pPr>
        <w:pStyle w:val="SingleTxtG"/>
      </w:pPr>
      <w:r>
        <w:t>1</w:t>
      </w:r>
      <w:r w:rsidR="00DE41F4">
        <w:t>3</w:t>
      </w:r>
      <w:r>
        <w:t>.</w:t>
      </w:r>
      <w:r w:rsidR="00F32422">
        <w:t>4</w:t>
      </w:r>
      <w:r>
        <w:tab/>
        <w:t>Le Comité relève</w:t>
      </w:r>
      <w:r w:rsidR="002C7CF1">
        <w:t xml:space="preserve"> par ailleurs</w:t>
      </w:r>
      <w:r>
        <w:t xml:space="preserve"> </w:t>
      </w:r>
      <w:r w:rsidR="0072567A">
        <w:t>qu’</w:t>
      </w:r>
      <w:r>
        <w:t xml:space="preserve">aucun examen médical n’a été </w:t>
      </w:r>
      <w:r w:rsidR="002C7CF1">
        <w:t xml:space="preserve">requis </w:t>
      </w:r>
      <w:r w:rsidR="00993CDC" w:rsidRPr="00993CDC">
        <w:t xml:space="preserve">par le juge d’instruction militaire alors que le requérant présentait </w:t>
      </w:r>
      <w:r w:rsidR="00B5494E">
        <w:t>manifestement</w:t>
      </w:r>
      <w:r w:rsidR="00B5494E" w:rsidRPr="00993CDC">
        <w:t xml:space="preserve"> </w:t>
      </w:r>
      <w:r w:rsidR="00993CDC" w:rsidRPr="00993CDC">
        <w:t>des traces de violence physique</w:t>
      </w:r>
      <w:r w:rsidR="002C7CF1">
        <w:t>, et</w:t>
      </w:r>
      <w:r w:rsidR="00954F62">
        <w:t xml:space="preserve"> qu’</w:t>
      </w:r>
      <w:r w:rsidR="00286F76">
        <w:t>aucune enquête n’a été menée</w:t>
      </w:r>
      <w:r w:rsidR="002C7CF1">
        <w:t xml:space="preserve"> à ce sujet. En outre, </w:t>
      </w:r>
      <w:r w:rsidR="00040227">
        <w:t>le tribunal militaire</w:t>
      </w:r>
      <w:r>
        <w:t xml:space="preserve"> n’a pas tenu compte des allégations du requérant concernant les faits de torture</w:t>
      </w:r>
      <w:r w:rsidR="00BA59F0">
        <w:t xml:space="preserve"> au moment de décider de sa condamnation et l’État partie nie que de telles allégations aient</w:t>
      </w:r>
      <w:r>
        <w:t xml:space="preserve"> été </w:t>
      </w:r>
      <w:r w:rsidR="00F32422">
        <w:t>présentées</w:t>
      </w:r>
      <w:r>
        <w:t xml:space="preserve"> au cours de la procédure. </w:t>
      </w:r>
      <w:r w:rsidR="008C5424" w:rsidRPr="008C5424">
        <w:t xml:space="preserve">Le </w:t>
      </w:r>
      <w:r w:rsidR="008C5424">
        <w:t xml:space="preserve">Comité relève aussi </w:t>
      </w:r>
      <w:r w:rsidR="008C5424" w:rsidRPr="008C5424">
        <w:t xml:space="preserve">que l’État partie a très largement dépassé les délais raisonnables pour rendre justice dans </w:t>
      </w:r>
      <w:r w:rsidR="00FE0FEC">
        <w:t>le</w:t>
      </w:r>
      <w:r w:rsidR="008C5424">
        <w:t xml:space="preserve"> </w:t>
      </w:r>
      <w:r w:rsidR="008C5424" w:rsidRPr="008C5424">
        <w:t>cas</w:t>
      </w:r>
      <w:r w:rsidR="00FE0FEC">
        <w:t xml:space="preserve"> du requérant</w:t>
      </w:r>
      <w:r w:rsidR="00392F9A">
        <w:t> :</w:t>
      </w:r>
      <w:r w:rsidR="00EF381A">
        <w:t xml:space="preserve"> </w:t>
      </w:r>
      <w:r w:rsidR="008C5424" w:rsidRPr="008C5424">
        <w:t xml:space="preserve">près de </w:t>
      </w:r>
      <w:r w:rsidR="00543B86">
        <w:t>six</w:t>
      </w:r>
      <w:r w:rsidR="008C5424" w:rsidRPr="008C5424">
        <w:t xml:space="preserve"> ans se sont écoulés depuis les faits et la présentation des premières allégations de torture et aucune enquête n’a été ouverte</w:t>
      </w:r>
      <w:r w:rsidR="00392F9A">
        <w:t>. L</w:t>
      </w:r>
      <w:r w:rsidR="008C5424">
        <w:t xml:space="preserve">a </w:t>
      </w:r>
      <w:r w:rsidR="008C5424" w:rsidRPr="008C5424">
        <w:t>cassation n’a rien changé à cet</w:t>
      </w:r>
      <w:r w:rsidR="00392F9A">
        <w:t>te situation</w:t>
      </w:r>
      <w:r w:rsidR="008C5424" w:rsidRPr="008C5424">
        <w:t xml:space="preserve"> et le requérant est toujours détenu sur le seul fondement de ses aveux signés sous la contrainte. </w:t>
      </w:r>
      <w:r w:rsidR="007C4A8B">
        <w:t xml:space="preserve">Au vu de ce qui précède, le Comité </w:t>
      </w:r>
      <w:r w:rsidR="00B5494E">
        <w:t xml:space="preserve">considère </w:t>
      </w:r>
      <w:r w:rsidR="00AE60DE">
        <w:t xml:space="preserve">que l’absence de toute enquête </w:t>
      </w:r>
      <w:r w:rsidR="00543B86">
        <w:t xml:space="preserve">sur les </w:t>
      </w:r>
      <w:r w:rsidR="00AE60DE">
        <w:t>allégations de torture dans le cas d</w:t>
      </w:r>
      <w:r w:rsidR="00563371">
        <w:t>u requérant</w:t>
      </w:r>
      <w:r w:rsidR="00AE60DE">
        <w:t xml:space="preserve"> est </w:t>
      </w:r>
      <w:r w:rsidR="007C4A8B">
        <w:t>incompatible avec l’obligation qui incombe à l’État</w:t>
      </w:r>
      <w:r w:rsidR="00E1706B">
        <w:t xml:space="preserve"> partie</w:t>
      </w:r>
      <w:r w:rsidR="007C4A8B">
        <w:t>, au titre de l’</w:t>
      </w:r>
      <w:r w:rsidR="007C4A8B" w:rsidRPr="0002332F">
        <w:t>article 12</w:t>
      </w:r>
      <w:r w:rsidR="007C4A8B">
        <w:t xml:space="preserve"> de la Convention, de veiller à ce que les autorités compétentes procèdent immédiatement à une enquête impartiale chaque fois qu’il y a des motifs raisonnables de croire qu’un acte de torture a été commis. </w:t>
      </w:r>
    </w:p>
    <w:p w:rsidR="007C4A8B" w:rsidRDefault="00F32422">
      <w:pPr>
        <w:pStyle w:val="SingleTxtG"/>
      </w:pPr>
      <w:r>
        <w:lastRenderedPageBreak/>
        <w:t>1</w:t>
      </w:r>
      <w:r w:rsidR="00DE41F4">
        <w:t>3</w:t>
      </w:r>
      <w:r>
        <w:t>.5</w:t>
      </w:r>
      <w:r>
        <w:tab/>
      </w:r>
      <w:r w:rsidR="00040227">
        <w:t>Dans ces circonstances</w:t>
      </w:r>
      <w:r w:rsidR="007C4A8B">
        <w:t xml:space="preserve">, l’État partie a également </w:t>
      </w:r>
      <w:r w:rsidR="007C4A8B" w:rsidRPr="007807BA">
        <w:t>manqué à</w:t>
      </w:r>
      <w:r w:rsidR="007C4A8B">
        <w:t xml:space="preserve"> </w:t>
      </w:r>
      <w:r w:rsidR="00B5494E">
        <w:t xml:space="preserve">son obligation </w:t>
      </w:r>
      <w:r w:rsidR="007C4A8B">
        <w:t>au titre de l’article 13 de la Convention de garantir au requérant le droit de porter plainte, qui présuppose que les autorités apportent une réponse adéquate à une telle plainte par le déclenchement d’une enquête prompte et impartiale</w:t>
      </w:r>
      <w:r w:rsidR="007C4A8B">
        <w:rPr>
          <w:rStyle w:val="FootnoteReference"/>
        </w:rPr>
        <w:footnoteReference w:id="21"/>
      </w:r>
      <w:r w:rsidR="007C4A8B">
        <w:t xml:space="preserve">. </w:t>
      </w:r>
      <w:r w:rsidR="00D654AC">
        <w:t xml:space="preserve">Le Comité rappelle que l’article 13 dispose </w:t>
      </w:r>
      <w:r w:rsidR="001F53EF">
        <w:t xml:space="preserve">aussi </w:t>
      </w:r>
      <w:r w:rsidR="00D654AC" w:rsidRPr="00D654AC">
        <w:t xml:space="preserve">que </w:t>
      </w:r>
      <w:r w:rsidR="00D654AC">
        <w:t xml:space="preserve">des </w:t>
      </w:r>
      <w:r w:rsidR="00D654AC" w:rsidRPr="00D654AC">
        <w:t xml:space="preserve">mesures </w:t>
      </w:r>
      <w:r w:rsidR="00B5494E">
        <w:t>doivent être</w:t>
      </w:r>
      <w:r w:rsidR="00B5494E" w:rsidRPr="00D654AC">
        <w:t xml:space="preserve"> </w:t>
      </w:r>
      <w:r w:rsidR="00D654AC" w:rsidRPr="00D654AC">
        <w:t xml:space="preserve">prises </w:t>
      </w:r>
      <w:r w:rsidR="00D654AC">
        <w:t>par l’</w:t>
      </w:r>
      <w:r w:rsidR="00D654AC" w:rsidRPr="00D654AC">
        <w:t xml:space="preserve">État partie </w:t>
      </w:r>
      <w:r w:rsidR="0037681D">
        <w:t>pour protéger le</w:t>
      </w:r>
      <w:r w:rsidR="00D654AC" w:rsidRPr="00D654AC">
        <w:t xml:space="preserve"> plaignant et </w:t>
      </w:r>
      <w:r w:rsidR="0037681D">
        <w:t>l</w:t>
      </w:r>
      <w:r w:rsidR="00D654AC" w:rsidRPr="00D654AC">
        <w:t>es témoins contre tout mauvais traitement ou toute intimidation en raison de la plainte déposée ou de toute déposition faite</w:t>
      </w:r>
      <w:r w:rsidR="00D654AC">
        <w:t>. L</w:t>
      </w:r>
      <w:r w:rsidR="00E44207" w:rsidRPr="00E44207">
        <w:t xml:space="preserve">e Comité relève que le requérant </w:t>
      </w:r>
      <w:r w:rsidR="00E44207">
        <w:t xml:space="preserve">a </w:t>
      </w:r>
      <w:r w:rsidR="00E44207" w:rsidRPr="00E44207">
        <w:t xml:space="preserve">fait l’objet de menaces, </w:t>
      </w:r>
      <w:r w:rsidR="00134114">
        <w:t xml:space="preserve">à la </w:t>
      </w:r>
      <w:r w:rsidR="00D654AC">
        <w:t xml:space="preserve">suite </w:t>
      </w:r>
      <w:r w:rsidR="00134114">
        <w:t xml:space="preserve">de </w:t>
      </w:r>
      <w:r w:rsidR="00D654AC">
        <w:t xml:space="preserve">la plainte </w:t>
      </w:r>
      <w:r w:rsidR="00134114">
        <w:t>du</w:t>
      </w:r>
      <w:r w:rsidR="00D654AC">
        <w:t xml:space="preserve"> Ministère de l’intérieur marocain, </w:t>
      </w:r>
      <w:r w:rsidR="00E44207" w:rsidRPr="00E44207">
        <w:t xml:space="preserve">et que son avocat a été arrêté et </w:t>
      </w:r>
      <w:r w:rsidR="00134114">
        <w:t xml:space="preserve">expulsé </w:t>
      </w:r>
      <w:r w:rsidR="00E44207">
        <w:t>du Maroc en mars 2016</w:t>
      </w:r>
      <w:r w:rsidR="0072567A">
        <w:t>, alors qu’</w:t>
      </w:r>
      <w:r w:rsidR="00B5494E">
        <w:t>il</w:t>
      </w:r>
      <w:r w:rsidR="0072567A">
        <w:t xml:space="preserve"> venait représenter son client dans le cadre des procédure</w:t>
      </w:r>
      <w:r w:rsidR="003C3C47">
        <w:t>s</w:t>
      </w:r>
      <w:r w:rsidR="0072567A">
        <w:t xml:space="preserve"> en lien avec la dénonciation des actes de torture qu’il aurait subis</w:t>
      </w:r>
      <w:r w:rsidR="00E44207" w:rsidRPr="00E44207">
        <w:t xml:space="preserve">. L’État partie n’a apporté </w:t>
      </w:r>
      <w:r w:rsidR="00D90BDD">
        <w:t xml:space="preserve">aucune </w:t>
      </w:r>
      <w:r w:rsidR="00E44207" w:rsidRPr="00E44207">
        <w:t xml:space="preserve">information susceptible de réfuter cette partie de la communication. Le Comité </w:t>
      </w:r>
      <w:r w:rsidR="00AE60DE" w:rsidRPr="00E44207">
        <w:t>conclu</w:t>
      </w:r>
      <w:r w:rsidR="00B5494E">
        <w:t>t</w:t>
      </w:r>
      <w:r>
        <w:t xml:space="preserve"> que les faits</w:t>
      </w:r>
      <w:r w:rsidR="00AE60DE">
        <w:t xml:space="preserve"> </w:t>
      </w:r>
      <w:r>
        <w:t xml:space="preserve">de l’espèce </w:t>
      </w:r>
      <w:r w:rsidR="00AE60DE">
        <w:t>constituent</w:t>
      </w:r>
      <w:r>
        <w:t xml:space="preserve"> également</w:t>
      </w:r>
      <w:r w:rsidR="00AE60DE">
        <w:t xml:space="preserve"> une violation </w:t>
      </w:r>
      <w:r>
        <w:t>de l’article</w:t>
      </w:r>
      <w:r w:rsidR="00AE60DE">
        <w:t xml:space="preserve"> 13 de la Convention.</w:t>
      </w:r>
    </w:p>
    <w:p w:rsidR="00380370" w:rsidRPr="009B32A0" w:rsidRDefault="00380370">
      <w:pPr>
        <w:pStyle w:val="SingleTxtG"/>
      </w:pPr>
      <w:r>
        <w:t>1</w:t>
      </w:r>
      <w:r w:rsidR="00A74CEA">
        <w:t>3</w:t>
      </w:r>
      <w:r>
        <w:t>.</w:t>
      </w:r>
      <w:r w:rsidR="009B32A0">
        <w:t>6</w:t>
      </w:r>
      <w:r>
        <w:tab/>
      </w:r>
      <w:r w:rsidR="002A3045" w:rsidRPr="005C6F76">
        <w:rPr>
          <w:rFonts w:eastAsia="SimSun"/>
        </w:rPr>
        <w:t>S’agissant des allégations du requérant au titre de l’</w:t>
      </w:r>
      <w:r w:rsidR="002A3045">
        <w:rPr>
          <w:rFonts w:eastAsia="SimSun"/>
        </w:rPr>
        <w:t>article </w:t>
      </w:r>
      <w:r w:rsidR="002A3045" w:rsidRPr="005C6F76">
        <w:rPr>
          <w:rFonts w:eastAsia="SimSun"/>
        </w:rPr>
        <w:t>14 de la Convention, le Comité rappelle que cette disposition reconnaît le droit</w:t>
      </w:r>
      <w:r w:rsidR="004D713D">
        <w:rPr>
          <w:rFonts w:eastAsia="SimSun"/>
        </w:rPr>
        <w:t xml:space="preserve"> pour la victime d’un acte de torture </w:t>
      </w:r>
      <w:r w:rsidR="00B44A47">
        <w:rPr>
          <w:rFonts w:eastAsia="SimSun"/>
        </w:rPr>
        <w:t>d</w:t>
      </w:r>
      <w:r w:rsidR="00B44A47" w:rsidRPr="00B44A47">
        <w:rPr>
          <w:rFonts w:eastAsia="SimSun"/>
        </w:rPr>
        <w:t>’</w:t>
      </w:r>
      <w:r w:rsidR="002A3045" w:rsidRPr="005C6F76">
        <w:rPr>
          <w:rFonts w:eastAsia="SimSun"/>
        </w:rPr>
        <w:t>être indemnisé</w:t>
      </w:r>
      <w:r w:rsidR="004D713D">
        <w:rPr>
          <w:rFonts w:eastAsia="SimSun"/>
        </w:rPr>
        <w:t>e</w:t>
      </w:r>
      <w:r w:rsidR="002A3045" w:rsidRPr="005C6F76">
        <w:rPr>
          <w:rFonts w:eastAsia="SimSun"/>
        </w:rPr>
        <w:t xml:space="preserve"> équitablement et de manière adéquate, </w:t>
      </w:r>
      <w:r w:rsidR="004D713D">
        <w:rPr>
          <w:rFonts w:eastAsia="SimSun"/>
        </w:rPr>
        <w:t>et</w:t>
      </w:r>
      <w:r w:rsidR="004D713D" w:rsidRPr="005C6F76">
        <w:rPr>
          <w:rFonts w:eastAsia="SimSun"/>
        </w:rPr>
        <w:t xml:space="preserve"> </w:t>
      </w:r>
      <w:r w:rsidR="002A3045" w:rsidRPr="005C6F76">
        <w:rPr>
          <w:rFonts w:eastAsia="SimSun"/>
        </w:rPr>
        <w:t>impose aux États parties l</w:t>
      </w:r>
      <w:r w:rsidR="002A3045">
        <w:rPr>
          <w:rFonts w:eastAsia="SimSun"/>
        </w:rPr>
        <w:t>’</w:t>
      </w:r>
      <w:r w:rsidR="002A3045" w:rsidRPr="005C6F76">
        <w:rPr>
          <w:rFonts w:eastAsia="SimSun"/>
        </w:rPr>
        <w:t xml:space="preserve">obligation de veiller à ce </w:t>
      </w:r>
      <w:r w:rsidR="004D713D">
        <w:rPr>
          <w:rFonts w:eastAsia="SimSun"/>
        </w:rPr>
        <w:t>qu’elle</w:t>
      </w:r>
      <w:r w:rsidR="002A3045" w:rsidRPr="005C6F76">
        <w:rPr>
          <w:rFonts w:eastAsia="SimSun"/>
        </w:rPr>
        <w:t xml:space="preserve"> obtienne réparation</w:t>
      </w:r>
      <w:r w:rsidR="00D90BDD">
        <w:rPr>
          <w:rFonts w:eastAsia="SimSun"/>
        </w:rPr>
        <w:t xml:space="preserve"> pour l’ensemble des préjudices subis</w:t>
      </w:r>
      <w:r w:rsidR="002A3045" w:rsidRPr="005C6F76">
        <w:rPr>
          <w:rFonts w:eastAsia="SimSun"/>
        </w:rPr>
        <w:t xml:space="preserve">. Le Comité rappelle que la réparation doit </w:t>
      </w:r>
      <w:r w:rsidR="00D90BDD">
        <w:rPr>
          <w:rFonts w:eastAsia="SimSun"/>
        </w:rPr>
        <w:t xml:space="preserve">impérativement </w:t>
      </w:r>
      <w:r w:rsidR="002A3045" w:rsidRPr="005C6F76">
        <w:rPr>
          <w:rFonts w:eastAsia="SimSun"/>
        </w:rPr>
        <w:t>couvrir l</w:t>
      </w:r>
      <w:r w:rsidR="002A3045">
        <w:rPr>
          <w:rFonts w:eastAsia="SimSun"/>
        </w:rPr>
        <w:t>’</w:t>
      </w:r>
      <w:r w:rsidR="002A3045" w:rsidRPr="005C6F76">
        <w:rPr>
          <w:rFonts w:eastAsia="SimSun"/>
        </w:rPr>
        <w:t xml:space="preserve">ensemble des dommages subis et englobe </w:t>
      </w:r>
      <w:r w:rsidR="005A461E">
        <w:rPr>
          <w:rFonts w:eastAsia="SimSun"/>
        </w:rPr>
        <w:t xml:space="preserve">la </w:t>
      </w:r>
      <w:r w:rsidR="009E5E8E">
        <w:rPr>
          <w:rFonts w:eastAsia="SimSun"/>
        </w:rPr>
        <w:t>restitution</w:t>
      </w:r>
      <w:r w:rsidR="005A461E">
        <w:rPr>
          <w:rFonts w:eastAsia="SimSun"/>
        </w:rPr>
        <w:t xml:space="preserve">, </w:t>
      </w:r>
      <w:r w:rsidR="002A3045" w:rsidRPr="005C6F76">
        <w:rPr>
          <w:rFonts w:eastAsia="SimSun"/>
        </w:rPr>
        <w:t>l</w:t>
      </w:r>
      <w:r w:rsidR="002A3045">
        <w:rPr>
          <w:rFonts w:eastAsia="SimSun"/>
        </w:rPr>
        <w:t>’</w:t>
      </w:r>
      <w:r w:rsidR="002A3045" w:rsidRPr="005C6F76">
        <w:rPr>
          <w:rFonts w:eastAsia="SimSun"/>
        </w:rPr>
        <w:t>indemnisation</w:t>
      </w:r>
      <w:r w:rsidR="004D713D">
        <w:rPr>
          <w:rFonts w:eastAsia="SimSun"/>
        </w:rPr>
        <w:t>,</w:t>
      </w:r>
      <w:r w:rsidR="002A3045" w:rsidRPr="005C6F76">
        <w:rPr>
          <w:rFonts w:eastAsia="SimSun"/>
        </w:rPr>
        <w:t xml:space="preserve"> ainsi que des mesures propres à garantir la non-répétition des violations, en tenant toujours compte des circonstances de chaque affaire</w:t>
      </w:r>
      <w:r w:rsidR="002A3045" w:rsidRPr="005C6F76">
        <w:rPr>
          <w:rStyle w:val="FootnoteReference"/>
          <w:rFonts w:eastAsia="SimSun"/>
        </w:rPr>
        <w:footnoteReference w:id="22"/>
      </w:r>
      <w:r w:rsidR="002A3045">
        <w:rPr>
          <w:rFonts w:eastAsia="SimSun"/>
        </w:rPr>
        <w:t>.</w:t>
      </w:r>
      <w:r w:rsidR="002A3045" w:rsidRPr="005C6F76">
        <w:rPr>
          <w:rStyle w:val="FootnoteReference"/>
          <w:rFonts w:eastAsia="SimSun"/>
        </w:rPr>
        <w:t xml:space="preserve"> </w:t>
      </w:r>
      <w:r w:rsidR="002A3045" w:rsidRPr="005C6F76">
        <w:rPr>
          <w:rFonts w:eastAsia="SimSun"/>
        </w:rPr>
        <w:t xml:space="preserve">En l’espèce, le Comité </w:t>
      </w:r>
      <w:r w:rsidR="00FB367F">
        <w:rPr>
          <w:rFonts w:eastAsia="SimSun"/>
        </w:rPr>
        <w:t>note</w:t>
      </w:r>
      <w:r w:rsidR="002A3045" w:rsidRPr="005C6F76">
        <w:rPr>
          <w:rFonts w:eastAsia="SimSun"/>
        </w:rPr>
        <w:t xml:space="preserve"> l’allégation du requérant qui affirme souffrir de </w:t>
      </w:r>
      <w:r w:rsidR="00FE0663">
        <w:rPr>
          <w:rFonts w:eastAsia="SimSun"/>
        </w:rPr>
        <w:t>séquelles</w:t>
      </w:r>
      <w:r w:rsidR="00FB367F">
        <w:rPr>
          <w:rFonts w:eastAsia="SimSun"/>
        </w:rPr>
        <w:t xml:space="preserve"> physiques et psychiques</w:t>
      </w:r>
      <w:r w:rsidR="00FE0663">
        <w:rPr>
          <w:rFonts w:eastAsia="SimSun"/>
        </w:rPr>
        <w:t xml:space="preserve"> </w:t>
      </w:r>
      <w:r w:rsidR="00E07A59">
        <w:rPr>
          <w:rFonts w:eastAsia="SimSun"/>
        </w:rPr>
        <w:t>des</w:t>
      </w:r>
      <w:r w:rsidR="002A3045" w:rsidRPr="005C6F76">
        <w:rPr>
          <w:rFonts w:eastAsia="SimSun"/>
        </w:rPr>
        <w:t xml:space="preserve"> sévices endurés</w:t>
      </w:r>
      <w:r w:rsidR="00036349">
        <w:rPr>
          <w:rFonts w:eastAsia="SimSun"/>
        </w:rPr>
        <w:t>. L</w:t>
      </w:r>
      <w:r w:rsidR="002A3045" w:rsidRPr="002A3045">
        <w:t xml:space="preserve">e Comité note </w:t>
      </w:r>
      <w:r w:rsidR="00FB367F">
        <w:t>également</w:t>
      </w:r>
      <w:r w:rsidR="002A3045" w:rsidRPr="002A3045">
        <w:t xml:space="preserve"> que le fait que le juge d’instruction militaire n’a pas ordonné d’expertise médicale a </w:t>
      </w:r>
      <w:r w:rsidR="00FB367F">
        <w:t>empêché</w:t>
      </w:r>
      <w:r w:rsidR="002A3045">
        <w:t xml:space="preserve"> le requérant </w:t>
      </w:r>
      <w:r w:rsidR="00FB367F">
        <w:rPr>
          <w:rFonts w:eastAsia="SimSun"/>
        </w:rPr>
        <w:t>de bénéficier de</w:t>
      </w:r>
      <w:r w:rsidR="002A3045" w:rsidRPr="002A3045">
        <w:rPr>
          <w:rFonts w:eastAsia="SimSun"/>
        </w:rPr>
        <w:t xml:space="preserve"> mesure</w:t>
      </w:r>
      <w:r w:rsidR="00FB367F">
        <w:rPr>
          <w:rFonts w:eastAsia="SimSun"/>
        </w:rPr>
        <w:t>s</w:t>
      </w:r>
      <w:r w:rsidR="002A3045" w:rsidRPr="002A3045">
        <w:rPr>
          <w:rFonts w:eastAsia="SimSun"/>
        </w:rPr>
        <w:t xml:space="preserve"> de réhabilitation</w:t>
      </w:r>
      <w:r w:rsidR="00036349">
        <w:rPr>
          <w:rFonts w:eastAsia="SimSun"/>
        </w:rPr>
        <w:t xml:space="preserve">, </w:t>
      </w:r>
      <w:r w:rsidR="00E07A59">
        <w:rPr>
          <w:rFonts w:eastAsia="SimSun"/>
        </w:rPr>
        <w:t>d</w:t>
      </w:r>
      <w:r w:rsidR="00E07A59" w:rsidRPr="00E07A59">
        <w:rPr>
          <w:rFonts w:eastAsia="SimSun"/>
        </w:rPr>
        <w:t>’</w:t>
      </w:r>
      <w:r w:rsidR="00036349" w:rsidRPr="00036349">
        <w:rPr>
          <w:rFonts w:eastAsia="SimSun"/>
        </w:rPr>
        <w:t xml:space="preserve">indemnisation, </w:t>
      </w:r>
      <w:r w:rsidR="00E07A59">
        <w:rPr>
          <w:rFonts w:eastAsia="SimSun"/>
        </w:rPr>
        <w:t xml:space="preserve">de </w:t>
      </w:r>
      <w:r w:rsidR="00036349" w:rsidRPr="00036349">
        <w:rPr>
          <w:rFonts w:eastAsia="SimSun"/>
        </w:rPr>
        <w:t xml:space="preserve">prise en charge et </w:t>
      </w:r>
      <w:r w:rsidR="00E07A59">
        <w:rPr>
          <w:rFonts w:eastAsia="SimSun"/>
        </w:rPr>
        <w:t xml:space="preserve">de </w:t>
      </w:r>
      <w:r w:rsidR="00036349" w:rsidRPr="00036349">
        <w:rPr>
          <w:rFonts w:eastAsia="SimSun"/>
        </w:rPr>
        <w:t>garanties de non</w:t>
      </w:r>
      <w:r w:rsidR="00E07A59">
        <w:rPr>
          <w:rFonts w:eastAsia="SimSun"/>
        </w:rPr>
        <w:t>-</w:t>
      </w:r>
      <w:r w:rsidR="00036349" w:rsidRPr="00036349">
        <w:rPr>
          <w:rFonts w:eastAsia="SimSun"/>
        </w:rPr>
        <w:t>répétition du crime</w:t>
      </w:r>
      <w:r w:rsidR="002A3045" w:rsidRPr="002A3045">
        <w:rPr>
          <w:rFonts w:eastAsia="SimSun"/>
        </w:rPr>
        <w:t xml:space="preserve">. </w:t>
      </w:r>
      <w:r w:rsidR="002A3045">
        <w:rPr>
          <w:rFonts w:eastAsia="SimSun"/>
        </w:rPr>
        <w:t>L</w:t>
      </w:r>
      <w:r w:rsidR="002A3045" w:rsidRPr="002A3045">
        <w:rPr>
          <w:rFonts w:eastAsia="SimSun"/>
        </w:rPr>
        <w:t xml:space="preserve">e Comité </w:t>
      </w:r>
      <w:r w:rsidR="00FB367F">
        <w:rPr>
          <w:rFonts w:eastAsia="SimSun"/>
        </w:rPr>
        <w:t>considère donc</w:t>
      </w:r>
      <w:r w:rsidR="002A3045" w:rsidRPr="002A3045">
        <w:rPr>
          <w:rFonts w:eastAsia="SimSun"/>
        </w:rPr>
        <w:t xml:space="preserve"> que l’absence d’enquête diligentée de manière prompte et impartiale a privé le requérant de la possibilité de se prévaloir de son droit à la réparation, </w:t>
      </w:r>
      <w:r w:rsidR="00FB367F">
        <w:rPr>
          <w:rFonts w:eastAsia="SimSun"/>
        </w:rPr>
        <w:t>en violation de</w:t>
      </w:r>
      <w:r w:rsidR="00D7346F">
        <w:rPr>
          <w:rFonts w:eastAsia="SimSun"/>
        </w:rPr>
        <w:t xml:space="preserve"> l’article 14 de la Convention</w:t>
      </w:r>
      <w:r w:rsidR="00843C5E">
        <w:rPr>
          <w:rStyle w:val="FootnoteReference"/>
          <w:rFonts w:eastAsia="SimSun"/>
        </w:rPr>
        <w:footnoteReference w:id="23"/>
      </w:r>
      <w:r w:rsidR="00D7346F">
        <w:rPr>
          <w:rFonts w:eastAsia="SimSun"/>
        </w:rPr>
        <w:t>.</w:t>
      </w:r>
    </w:p>
    <w:p w:rsidR="00BF2E24" w:rsidRDefault="00BF2E24" w:rsidP="00F47611">
      <w:pPr>
        <w:pStyle w:val="SingleTxtG"/>
        <w:rPr>
          <w:rFonts w:eastAsia="SimSun"/>
          <w:lang w:val="fr-FR" w:eastAsia="zh-CN"/>
        </w:rPr>
      </w:pPr>
      <w:r>
        <w:t>1</w:t>
      </w:r>
      <w:r w:rsidR="00A74CEA">
        <w:t>3</w:t>
      </w:r>
      <w:r>
        <w:t>.</w:t>
      </w:r>
      <w:r w:rsidR="009B32A0">
        <w:t>7</w:t>
      </w:r>
      <w:r>
        <w:tab/>
        <w:t>Le requérant affirme</w:t>
      </w:r>
      <w:r w:rsidR="0074016E">
        <w:t xml:space="preserve"> </w:t>
      </w:r>
      <w:r w:rsidR="0030205D">
        <w:t>par ailleurs</w:t>
      </w:r>
      <w:r>
        <w:t xml:space="preserve"> être victime d’une violation de l’</w:t>
      </w:r>
      <w:r w:rsidRPr="0002332F">
        <w:t>article</w:t>
      </w:r>
      <w:r w:rsidR="00B5494E">
        <w:t xml:space="preserve"> </w:t>
      </w:r>
      <w:r w:rsidRPr="0002332F">
        <w:t>15</w:t>
      </w:r>
      <w:r>
        <w:t xml:space="preserve"> de la Convention</w:t>
      </w:r>
      <w:r w:rsidR="001A5E18">
        <w:t xml:space="preserve"> en raison de sa condamnation sur la base d’aveux obtenus </w:t>
      </w:r>
      <w:r w:rsidR="0074016E">
        <w:t xml:space="preserve">sous </w:t>
      </w:r>
      <w:r w:rsidR="001A5E18">
        <w:t>la torture</w:t>
      </w:r>
      <w:r>
        <w:rPr>
          <w:rFonts w:eastAsia="SimSun"/>
          <w:lang w:val="fr-FR" w:eastAsia="zh-CN"/>
        </w:rPr>
        <w:t xml:space="preserve">. </w:t>
      </w:r>
      <w:r w:rsidR="00F47611">
        <w:rPr>
          <w:rFonts w:eastAsia="SimSun"/>
          <w:lang w:val="fr-FR" w:eastAsia="zh-CN"/>
        </w:rPr>
        <w:t xml:space="preserve">Le Comité note </w:t>
      </w:r>
      <w:r w:rsidR="00567850">
        <w:rPr>
          <w:rFonts w:eastAsia="SimSun"/>
          <w:lang w:val="fr-FR" w:eastAsia="zh-CN"/>
        </w:rPr>
        <w:t>que le</w:t>
      </w:r>
      <w:r w:rsidR="00F47611">
        <w:rPr>
          <w:rFonts w:eastAsia="SimSun"/>
          <w:lang w:val="fr-FR" w:eastAsia="zh-CN"/>
        </w:rPr>
        <w:t xml:space="preserve"> requérant </w:t>
      </w:r>
      <w:r w:rsidR="00567850">
        <w:rPr>
          <w:rFonts w:eastAsia="SimSun"/>
          <w:lang w:val="fr-FR" w:eastAsia="zh-CN"/>
        </w:rPr>
        <w:t>affirme n’avoir</w:t>
      </w:r>
      <w:r w:rsidR="004A7B8D" w:rsidRPr="004A7B8D">
        <w:rPr>
          <w:rFonts w:eastAsia="SimSun"/>
          <w:lang w:val="fr-FR" w:eastAsia="zh-CN"/>
        </w:rPr>
        <w:t xml:space="preserve"> rien avoué</w:t>
      </w:r>
      <w:r w:rsidR="0030205D">
        <w:rPr>
          <w:rFonts w:eastAsia="SimSun"/>
          <w:lang w:val="fr-FR" w:eastAsia="zh-CN"/>
        </w:rPr>
        <w:t>,</w:t>
      </w:r>
      <w:r w:rsidR="004A7B8D" w:rsidRPr="004A7B8D">
        <w:rPr>
          <w:rFonts w:eastAsia="SimSun"/>
          <w:lang w:val="fr-FR" w:eastAsia="zh-CN"/>
        </w:rPr>
        <w:t xml:space="preserve"> mais </w:t>
      </w:r>
      <w:r w:rsidR="00567850">
        <w:rPr>
          <w:rFonts w:eastAsia="SimSun"/>
          <w:lang w:val="fr-FR" w:eastAsia="zh-CN"/>
        </w:rPr>
        <w:t>avoir</w:t>
      </w:r>
      <w:r w:rsidR="004A7B8D" w:rsidRPr="004A7B8D">
        <w:rPr>
          <w:rFonts w:eastAsia="SimSun"/>
          <w:lang w:val="fr-FR" w:eastAsia="zh-CN"/>
        </w:rPr>
        <w:t xml:space="preserve"> été contraint de signer un document </w:t>
      </w:r>
      <w:r w:rsidR="00567850">
        <w:rPr>
          <w:rFonts w:eastAsia="SimSun"/>
          <w:lang w:val="fr-FR" w:eastAsia="zh-CN"/>
        </w:rPr>
        <w:t>dont il ne connaissait pas le</w:t>
      </w:r>
      <w:r w:rsidR="004A7B8D" w:rsidRPr="004A7B8D">
        <w:rPr>
          <w:rFonts w:eastAsia="SimSun"/>
          <w:lang w:val="fr-FR" w:eastAsia="zh-CN"/>
        </w:rPr>
        <w:t xml:space="preserve"> contenu.</w:t>
      </w:r>
    </w:p>
    <w:p w:rsidR="00BF2E24" w:rsidRPr="00385202" w:rsidRDefault="00BF2E24">
      <w:pPr>
        <w:pStyle w:val="SingleTxtG"/>
        <w:rPr>
          <w:rFonts w:eastAsia="SimSun"/>
          <w:lang w:eastAsia="zh-CN"/>
        </w:rPr>
      </w:pPr>
      <w:r>
        <w:t>1</w:t>
      </w:r>
      <w:r w:rsidR="00A74CEA">
        <w:t>3</w:t>
      </w:r>
      <w:r>
        <w:t>.</w:t>
      </w:r>
      <w:r w:rsidR="009B32A0">
        <w:t>8</w:t>
      </w:r>
      <w:r>
        <w:tab/>
      </w:r>
      <w:r w:rsidR="005A1982" w:rsidRPr="005A1982">
        <w:rPr>
          <w:rFonts w:eastAsia="MS Mincho"/>
        </w:rPr>
        <w:t>Le Comité rappelle que la généralité des termes de l’article</w:t>
      </w:r>
      <w:r w:rsidR="00D90BDD">
        <w:rPr>
          <w:rFonts w:eastAsia="MS Mincho"/>
        </w:rPr>
        <w:t xml:space="preserve"> </w:t>
      </w:r>
      <w:r w:rsidR="005A1982" w:rsidRPr="005A1982">
        <w:rPr>
          <w:rFonts w:eastAsia="MS Mincho"/>
        </w:rPr>
        <w:t xml:space="preserve">15 de la Convention découle du caractère absolu de la prohibition de la torture et implique, par conséquent, une obligation pour tout État partie de vérifier si des déclarations faisant partie d’une procédure </w:t>
      </w:r>
      <w:r w:rsidR="005A1982" w:rsidRPr="005A1982">
        <w:t xml:space="preserve">pour laquelle il est compétent n’ont pas été </w:t>
      </w:r>
      <w:r w:rsidR="00D90BDD">
        <w:t>obtenues</w:t>
      </w:r>
      <w:r w:rsidR="00D90BDD" w:rsidRPr="005A1982">
        <w:t xml:space="preserve"> </w:t>
      </w:r>
      <w:r w:rsidR="005A1982" w:rsidRPr="005A1982">
        <w:t>sous la torture</w:t>
      </w:r>
      <w:r w:rsidR="005A1982" w:rsidRPr="005A1982">
        <w:rPr>
          <w:sz w:val="18"/>
          <w:vertAlign w:val="superscript"/>
        </w:rPr>
        <w:footnoteReference w:id="24"/>
      </w:r>
      <w:r w:rsidR="005A1982" w:rsidRPr="005A1982">
        <w:rPr>
          <w:rFonts w:eastAsia="MS Mincho"/>
        </w:rPr>
        <w:t>.</w:t>
      </w:r>
      <w:r>
        <w:t xml:space="preserve"> </w:t>
      </w:r>
      <w:r w:rsidR="005A1982" w:rsidRPr="005A1982">
        <w:t xml:space="preserve">En l’espèce, le Comité note que, selon le requérant, les déclarations qu’il a signées sous la torture ont servi de fondement à son accusation et de justification pour son maintien en détention durant plus de </w:t>
      </w:r>
      <w:r w:rsidR="0074016E">
        <w:t>six</w:t>
      </w:r>
      <w:r w:rsidR="0074016E" w:rsidRPr="005A1982">
        <w:t xml:space="preserve"> </w:t>
      </w:r>
      <w:r w:rsidR="005A1982">
        <w:t>ans</w:t>
      </w:r>
      <w:r w:rsidR="006A6582">
        <w:t> </w:t>
      </w:r>
      <w:r w:rsidR="005A1982" w:rsidRPr="005A1982">
        <w:rPr>
          <w:rFonts w:eastAsia="MS Mincho"/>
        </w:rPr>
        <w:t xml:space="preserve">; et qu’il a, par l’entremise de son conseil, contesté la force probante des aveux signés sous la torture à </w:t>
      </w:r>
      <w:r w:rsidR="005A1982">
        <w:rPr>
          <w:rFonts w:eastAsia="MS Mincho"/>
        </w:rPr>
        <w:t xml:space="preserve">différentes </w:t>
      </w:r>
      <w:r w:rsidR="005A1982" w:rsidRPr="005A1982">
        <w:rPr>
          <w:rFonts w:eastAsia="MS Mincho"/>
        </w:rPr>
        <w:t>étape</w:t>
      </w:r>
      <w:r w:rsidR="005A1982">
        <w:rPr>
          <w:rFonts w:eastAsia="MS Mincho"/>
        </w:rPr>
        <w:t>s</w:t>
      </w:r>
      <w:r w:rsidR="005A1982" w:rsidRPr="005A1982">
        <w:rPr>
          <w:rFonts w:eastAsia="MS Mincho"/>
        </w:rPr>
        <w:t xml:space="preserve"> de la procédure à son encontre, sans succès.</w:t>
      </w:r>
      <w:r w:rsidR="005A1982">
        <w:t xml:space="preserve"> </w:t>
      </w:r>
      <w:r>
        <w:t xml:space="preserve">Le Comité note </w:t>
      </w:r>
      <w:r w:rsidR="001C399A">
        <w:t xml:space="preserve">également </w:t>
      </w:r>
      <w:r>
        <w:t xml:space="preserve">que la </w:t>
      </w:r>
      <w:r w:rsidR="0003350A">
        <w:t xml:space="preserve">cour </w:t>
      </w:r>
      <w:r>
        <w:t xml:space="preserve">n’a pas pris en considération les allégations de torture au moment de condamner le requérant sur la base de ses aveux, niant que ces allégations avaient été </w:t>
      </w:r>
      <w:r w:rsidR="00134070">
        <w:t xml:space="preserve">présentées </w:t>
      </w:r>
      <w:r>
        <w:t>au cours de la procédure</w:t>
      </w:r>
      <w:r w:rsidR="00937597">
        <w:rPr>
          <w:rStyle w:val="FootnoteReference"/>
        </w:rPr>
        <w:footnoteReference w:id="25"/>
      </w:r>
      <w:r w:rsidR="00CC2B3F">
        <w:t>.</w:t>
      </w:r>
      <w:r>
        <w:t xml:space="preserve"> </w:t>
      </w:r>
      <w:r w:rsidR="00385202" w:rsidRPr="00385202">
        <w:t>Le Comité considère que l’État partie était dans l’obligation de vérifier le contenu des allégations d</w:t>
      </w:r>
      <w:r w:rsidR="00563371">
        <w:t>u requérant</w:t>
      </w:r>
      <w:r w:rsidR="00134070">
        <w:t>. E</w:t>
      </w:r>
      <w:r w:rsidR="00385202" w:rsidRPr="00385202">
        <w:t xml:space="preserve">n ne procédant </w:t>
      </w:r>
      <w:r w:rsidR="00134070">
        <w:t>à aucune</w:t>
      </w:r>
      <w:r w:rsidR="00385202" w:rsidRPr="00385202">
        <w:t xml:space="preserve"> vérification et en utilisant de telles déclarations dans la procédure judiciaire contre </w:t>
      </w:r>
      <w:r w:rsidR="00134070">
        <w:lastRenderedPageBreak/>
        <w:t>le requérant</w:t>
      </w:r>
      <w:r w:rsidR="00385202" w:rsidRPr="00385202">
        <w:t xml:space="preserve">, l’État partie a </w:t>
      </w:r>
      <w:r w:rsidR="00D90BDD">
        <w:t xml:space="preserve">manifestement </w:t>
      </w:r>
      <w:r w:rsidR="00385202" w:rsidRPr="00385202">
        <w:t xml:space="preserve">violé ses obligations au regard de l’article 15 de la Convention. </w:t>
      </w:r>
      <w:r w:rsidR="00563371">
        <w:t>À</w:t>
      </w:r>
      <w:r w:rsidR="0074016E">
        <w:t xml:space="preserve"> ce propos, le </w:t>
      </w:r>
      <w:r>
        <w:t>Comité rappelle que, dans ses observations finales concernant le quatrième rapport périodique du Maroc</w:t>
      </w:r>
      <w:r w:rsidR="00C24405">
        <w:t xml:space="preserve"> (voir CAT/C/MAR/CO/4, par.</w:t>
      </w:r>
      <w:r w:rsidR="00FC5EA5">
        <w:t> </w:t>
      </w:r>
      <w:r w:rsidR="00C24405">
        <w:t>17)</w:t>
      </w:r>
      <w:r w:rsidR="002E6779">
        <w:t>,</w:t>
      </w:r>
      <w:r>
        <w:t xml:space="preserve"> </w:t>
      </w:r>
      <w:r w:rsidR="001A5E18">
        <w:t>il</w:t>
      </w:r>
      <w:r w:rsidR="00FC5EA5">
        <w:t> </w:t>
      </w:r>
      <w:r>
        <w:t>a exprimé sa préoccupation</w:t>
      </w:r>
      <w:r w:rsidRPr="00BB5048">
        <w:t xml:space="preserve"> </w:t>
      </w:r>
      <w:r>
        <w:t>quant au</w:t>
      </w:r>
      <w:r w:rsidRPr="00BB5048">
        <w:t xml:space="preserve"> fait que dans le système d’investigation en vigueur dans l’État partie</w:t>
      </w:r>
      <w:r w:rsidR="001A5E18">
        <w:t>,</w:t>
      </w:r>
      <w:r w:rsidRPr="00BB5048">
        <w:t xml:space="preserve"> l’aveu constitue</w:t>
      </w:r>
      <w:r w:rsidR="00567850">
        <w:t xml:space="preserve"> souvent</w:t>
      </w:r>
      <w:r w:rsidRPr="00BB5048">
        <w:t xml:space="preserve"> une preuve </w:t>
      </w:r>
      <w:r w:rsidR="00567850">
        <w:t>sur la base de laquelle</w:t>
      </w:r>
      <w:r>
        <w:t xml:space="preserve"> une personne</w:t>
      </w:r>
      <w:r w:rsidR="00567850">
        <w:t xml:space="preserve"> peut être poursuivie et condamnée</w:t>
      </w:r>
      <w:r w:rsidRPr="007D728E">
        <w:t>, cré</w:t>
      </w:r>
      <w:r>
        <w:t xml:space="preserve">ant ainsi </w:t>
      </w:r>
      <w:r w:rsidRPr="007D728E">
        <w:t xml:space="preserve">des conditions </w:t>
      </w:r>
      <w:r>
        <w:t>susceptibles de</w:t>
      </w:r>
      <w:r w:rsidRPr="007D728E">
        <w:t xml:space="preserve"> favoriser l’</w:t>
      </w:r>
      <w:r>
        <w:t xml:space="preserve">emploi </w:t>
      </w:r>
      <w:r w:rsidRPr="007D728E">
        <w:t xml:space="preserve">de la torture et des mauvais traitements </w:t>
      </w:r>
      <w:r>
        <w:t>à l’encontre de la personne suspect</w:t>
      </w:r>
      <w:r w:rsidR="00567A16">
        <w:t>ée</w:t>
      </w:r>
      <w:r w:rsidR="00C5723D">
        <w:rPr>
          <w:rStyle w:val="FootnoteReference"/>
        </w:rPr>
        <w:footnoteReference w:id="26"/>
      </w:r>
      <w:r>
        <w:t>.</w:t>
      </w:r>
    </w:p>
    <w:p w:rsidR="00373569" w:rsidRPr="00307745" w:rsidRDefault="00F3349E">
      <w:pPr>
        <w:pStyle w:val="SingleTxtG"/>
        <w:rPr>
          <w:rFonts w:eastAsia="MS Mincho"/>
          <w:lang w:eastAsia="zh-CN"/>
        </w:rPr>
      </w:pPr>
      <w:r>
        <w:rPr>
          <w:rFonts w:eastAsia="MS Mincho"/>
          <w:lang w:eastAsia="zh-CN"/>
        </w:rPr>
        <w:t>1</w:t>
      </w:r>
      <w:r w:rsidR="00A74CEA">
        <w:rPr>
          <w:rFonts w:eastAsia="MS Mincho"/>
          <w:lang w:eastAsia="zh-CN"/>
        </w:rPr>
        <w:t>3</w:t>
      </w:r>
      <w:r>
        <w:rPr>
          <w:rFonts w:eastAsia="MS Mincho"/>
          <w:lang w:eastAsia="zh-CN"/>
        </w:rPr>
        <w:t>.9</w:t>
      </w:r>
      <w:r w:rsidR="00307745">
        <w:rPr>
          <w:rFonts w:eastAsia="MS Mincho"/>
          <w:lang w:eastAsia="zh-CN"/>
        </w:rPr>
        <w:tab/>
      </w:r>
      <w:r w:rsidR="00307745" w:rsidRPr="002B142A">
        <w:rPr>
          <w:rFonts w:eastAsia="MS Mincho"/>
          <w:lang w:eastAsia="zh-CN"/>
        </w:rPr>
        <w:t>Pour ce qui est du grief tiré de l’article</w:t>
      </w:r>
      <w:r w:rsidR="00D90BDD">
        <w:rPr>
          <w:rFonts w:eastAsia="MS Mincho"/>
          <w:lang w:eastAsia="zh-CN"/>
        </w:rPr>
        <w:t xml:space="preserve"> </w:t>
      </w:r>
      <w:r w:rsidR="00307745" w:rsidRPr="002B142A">
        <w:rPr>
          <w:rFonts w:eastAsia="MS Mincho"/>
          <w:lang w:eastAsia="zh-CN"/>
        </w:rPr>
        <w:t>16</w:t>
      </w:r>
      <w:r w:rsidR="00E25699">
        <w:rPr>
          <w:rFonts w:eastAsia="MS Mincho"/>
          <w:lang w:eastAsia="zh-CN"/>
        </w:rPr>
        <w:t xml:space="preserve"> de la Convention</w:t>
      </w:r>
      <w:r w:rsidR="00307745" w:rsidRPr="002B142A">
        <w:rPr>
          <w:rFonts w:eastAsia="MS Mincho"/>
          <w:lang w:eastAsia="zh-CN"/>
        </w:rPr>
        <w:t xml:space="preserve">, le Comité </w:t>
      </w:r>
      <w:r w:rsidR="00E25699">
        <w:rPr>
          <w:rFonts w:eastAsia="MS Mincho"/>
          <w:lang w:eastAsia="zh-CN"/>
        </w:rPr>
        <w:t>prend</w:t>
      </w:r>
      <w:r w:rsidR="00307745" w:rsidRPr="002B142A">
        <w:rPr>
          <w:rFonts w:eastAsia="MS Mincho"/>
          <w:lang w:eastAsia="zh-CN"/>
        </w:rPr>
        <w:t xml:space="preserve"> note des allégations du requérant</w:t>
      </w:r>
      <w:r w:rsidR="00E25699">
        <w:rPr>
          <w:rFonts w:eastAsia="MS Mincho"/>
          <w:lang w:eastAsia="zh-CN"/>
        </w:rPr>
        <w:t xml:space="preserve"> </w:t>
      </w:r>
      <w:r w:rsidR="00CF7F09">
        <w:rPr>
          <w:rFonts w:eastAsia="MS Mincho"/>
          <w:lang w:eastAsia="zh-CN"/>
        </w:rPr>
        <w:t>selon lesquelles</w:t>
      </w:r>
      <w:r w:rsidR="00307745" w:rsidRPr="002B142A">
        <w:rPr>
          <w:rFonts w:eastAsia="MS Mincho"/>
          <w:lang w:eastAsia="zh-CN"/>
        </w:rPr>
        <w:t xml:space="preserve"> </w:t>
      </w:r>
      <w:r w:rsidR="004732E9" w:rsidRPr="002B142A">
        <w:rPr>
          <w:rFonts w:eastAsia="MS Mincho"/>
          <w:lang w:eastAsia="zh-CN"/>
        </w:rPr>
        <w:t xml:space="preserve">l’ensemble des traitements qui lui ont été infligés au </w:t>
      </w:r>
      <w:r w:rsidR="00212BF5">
        <w:rPr>
          <w:rFonts w:eastAsia="MS Mincho"/>
          <w:lang w:eastAsia="zh-CN"/>
        </w:rPr>
        <w:t>cours</w:t>
      </w:r>
      <w:r w:rsidR="00212BF5" w:rsidRPr="002B142A">
        <w:rPr>
          <w:rFonts w:eastAsia="MS Mincho"/>
          <w:lang w:eastAsia="zh-CN"/>
        </w:rPr>
        <w:t xml:space="preserve"> </w:t>
      </w:r>
      <w:r w:rsidR="004732E9" w:rsidRPr="002B142A">
        <w:rPr>
          <w:rFonts w:eastAsia="MS Mincho"/>
          <w:lang w:eastAsia="zh-CN"/>
        </w:rPr>
        <w:t xml:space="preserve">de la procédure judiciaire, y compris les conditions </w:t>
      </w:r>
      <w:r w:rsidR="00C35DF2" w:rsidRPr="00C35DF2">
        <w:rPr>
          <w:rFonts w:eastAsia="MS Mincho"/>
          <w:lang w:eastAsia="zh-CN"/>
        </w:rPr>
        <w:t xml:space="preserve">sanitaires déplorables </w:t>
      </w:r>
      <w:r w:rsidR="004732E9" w:rsidRPr="002B142A">
        <w:rPr>
          <w:rFonts w:eastAsia="MS Mincho"/>
          <w:lang w:eastAsia="zh-CN"/>
        </w:rPr>
        <w:t xml:space="preserve">de sa détention pendant les premiers mois à la prison de Salé, à Rabat, </w:t>
      </w:r>
      <w:r w:rsidR="00C35DF2">
        <w:rPr>
          <w:rFonts w:eastAsia="MS Mincho"/>
          <w:lang w:eastAsia="zh-CN"/>
        </w:rPr>
        <w:t xml:space="preserve">sont assimilables à des traitements inhumains et dégradants. </w:t>
      </w:r>
      <w:r w:rsidR="00103197">
        <w:rPr>
          <w:rFonts w:eastAsia="MS Mincho"/>
          <w:lang w:eastAsia="zh-CN"/>
        </w:rPr>
        <w:t xml:space="preserve">Le Comité </w:t>
      </w:r>
      <w:r w:rsidR="00E25699">
        <w:rPr>
          <w:rFonts w:eastAsia="MS Mincho"/>
          <w:lang w:eastAsia="zh-CN"/>
        </w:rPr>
        <w:t xml:space="preserve">prend </w:t>
      </w:r>
      <w:r w:rsidR="00212BF5">
        <w:rPr>
          <w:rFonts w:eastAsia="MS Mincho"/>
          <w:lang w:eastAsia="zh-CN"/>
        </w:rPr>
        <w:t>également</w:t>
      </w:r>
      <w:r w:rsidR="00103197">
        <w:rPr>
          <w:rFonts w:eastAsia="MS Mincho"/>
          <w:lang w:eastAsia="zh-CN"/>
        </w:rPr>
        <w:t xml:space="preserve"> note des allégations selon lesquelles </w:t>
      </w:r>
      <w:r w:rsidR="00212BF5">
        <w:rPr>
          <w:rFonts w:eastAsia="MS Mincho"/>
          <w:lang w:eastAsia="zh-CN"/>
        </w:rPr>
        <w:t>le requérant</w:t>
      </w:r>
      <w:r w:rsidR="00103197">
        <w:rPr>
          <w:rFonts w:eastAsia="MS Mincho"/>
          <w:lang w:eastAsia="zh-CN"/>
        </w:rPr>
        <w:t xml:space="preserve"> a </w:t>
      </w:r>
      <w:r w:rsidR="00103197" w:rsidRPr="00103197">
        <w:rPr>
          <w:rFonts w:eastAsia="MS Mincho"/>
          <w:lang w:eastAsia="zh-CN"/>
        </w:rPr>
        <w:t xml:space="preserve">passé la nuit attaché par </w:t>
      </w:r>
      <w:r w:rsidR="005C7B49">
        <w:rPr>
          <w:rFonts w:eastAsia="MS Mincho"/>
          <w:lang w:eastAsia="zh-CN"/>
        </w:rPr>
        <w:t>d</w:t>
      </w:r>
      <w:r w:rsidR="005C7B49" w:rsidRPr="00103197">
        <w:rPr>
          <w:rFonts w:eastAsia="MS Mincho"/>
          <w:lang w:eastAsia="zh-CN"/>
        </w:rPr>
        <w:t xml:space="preserve">es </w:t>
      </w:r>
      <w:r w:rsidR="00103197" w:rsidRPr="00103197">
        <w:rPr>
          <w:rFonts w:eastAsia="MS Mincho"/>
          <w:lang w:eastAsia="zh-CN"/>
        </w:rPr>
        <w:t>menottes à une grande porte ornée de barres de fer</w:t>
      </w:r>
      <w:r w:rsidR="00103197">
        <w:rPr>
          <w:rFonts w:eastAsia="MS Mincho"/>
          <w:lang w:eastAsia="zh-CN"/>
        </w:rPr>
        <w:t xml:space="preserve">, il </w:t>
      </w:r>
      <w:r w:rsidR="00103197" w:rsidRPr="00103197">
        <w:rPr>
          <w:rFonts w:eastAsia="MS Mincho"/>
          <w:lang w:eastAsia="zh-CN"/>
        </w:rPr>
        <w:t>recevait des coups de pieds et des insultes de la part des gardiens chaque fois qu’il voulait changer de position</w:t>
      </w:r>
      <w:r w:rsidR="00103197">
        <w:rPr>
          <w:rFonts w:eastAsia="MS Mincho"/>
          <w:lang w:eastAsia="zh-CN"/>
        </w:rPr>
        <w:t xml:space="preserve">, et l’accès à un médecin, son avocat et son épouse a été restreint </w:t>
      </w:r>
      <w:r w:rsidR="006751A6">
        <w:rPr>
          <w:rFonts w:eastAsia="MS Mincho"/>
          <w:lang w:eastAsia="zh-CN"/>
        </w:rPr>
        <w:t>pendant plusieurs</w:t>
      </w:r>
      <w:r w:rsidR="00103197">
        <w:rPr>
          <w:rFonts w:eastAsia="MS Mincho"/>
          <w:lang w:eastAsia="zh-CN"/>
        </w:rPr>
        <w:t xml:space="preserve"> semaines. </w:t>
      </w:r>
      <w:r w:rsidR="006751A6">
        <w:rPr>
          <w:rFonts w:eastAsia="MS Mincho"/>
          <w:lang w:eastAsia="zh-CN"/>
        </w:rPr>
        <w:t>Le requérant</w:t>
      </w:r>
      <w:r w:rsidR="00103197">
        <w:rPr>
          <w:rFonts w:eastAsia="MS Mincho"/>
          <w:lang w:eastAsia="zh-CN"/>
        </w:rPr>
        <w:t xml:space="preserve"> </w:t>
      </w:r>
      <w:r w:rsidR="006751A6">
        <w:rPr>
          <w:rFonts w:eastAsia="MS Mincho"/>
          <w:lang w:eastAsia="zh-CN"/>
        </w:rPr>
        <w:t>allègue en outre</w:t>
      </w:r>
      <w:r w:rsidR="00103197">
        <w:rPr>
          <w:rFonts w:eastAsia="MS Mincho"/>
          <w:lang w:eastAsia="zh-CN"/>
        </w:rPr>
        <w:t xml:space="preserve"> avoir été </w:t>
      </w:r>
      <w:r w:rsidR="00103197" w:rsidRPr="00103197">
        <w:rPr>
          <w:rFonts w:eastAsia="MS Mincho"/>
          <w:lang w:eastAsia="zh-CN"/>
        </w:rPr>
        <w:t>placé en isolement cellulaire pour quatre mois</w:t>
      </w:r>
      <w:r w:rsidR="006751A6">
        <w:rPr>
          <w:rFonts w:eastAsia="MS Mincho"/>
          <w:lang w:eastAsia="zh-CN"/>
        </w:rPr>
        <w:t xml:space="preserve"> dès </w:t>
      </w:r>
      <w:r w:rsidR="006751A6" w:rsidRPr="00103197">
        <w:rPr>
          <w:rFonts w:eastAsia="MS Mincho"/>
          <w:lang w:eastAsia="zh-CN"/>
        </w:rPr>
        <w:t>le 18 novembre 2010</w:t>
      </w:r>
      <w:r w:rsidR="00103197">
        <w:rPr>
          <w:rFonts w:eastAsia="MS Mincho"/>
          <w:lang w:eastAsia="zh-CN"/>
        </w:rPr>
        <w:t xml:space="preserve"> et </w:t>
      </w:r>
      <w:r w:rsidR="006751A6">
        <w:rPr>
          <w:rFonts w:eastAsia="MS Mincho"/>
          <w:lang w:eastAsia="zh-CN"/>
        </w:rPr>
        <w:t>être</w:t>
      </w:r>
      <w:r w:rsidR="00103197">
        <w:rPr>
          <w:rFonts w:eastAsia="MS Mincho"/>
          <w:lang w:eastAsia="zh-CN"/>
        </w:rPr>
        <w:t xml:space="preserve"> </w:t>
      </w:r>
      <w:r w:rsidR="00103197" w:rsidRPr="00103197">
        <w:rPr>
          <w:rFonts w:eastAsia="MS Mincho"/>
          <w:lang w:eastAsia="zh-CN"/>
        </w:rPr>
        <w:t xml:space="preserve">resté pendant trois mois dans une cellule, sans autorisation de promenade et sans possibilité de communiquer avec les autres détenus autrement qu’à travers la fenêtre. </w:t>
      </w:r>
      <w:r w:rsidR="00307745" w:rsidRPr="00655C29">
        <w:rPr>
          <w:rFonts w:eastAsia="SimSun"/>
          <w:lang w:val="fr-FR" w:eastAsia="zh-CN"/>
        </w:rPr>
        <w:t xml:space="preserve">En l’absence </w:t>
      </w:r>
      <w:r w:rsidR="006751A6">
        <w:rPr>
          <w:rFonts w:eastAsia="SimSun"/>
          <w:lang w:val="fr-FR" w:eastAsia="zh-CN"/>
        </w:rPr>
        <w:t>d’</w:t>
      </w:r>
      <w:r w:rsidR="00307745" w:rsidRPr="00655C29">
        <w:rPr>
          <w:rFonts w:eastAsia="SimSun"/>
          <w:lang w:val="fr-FR" w:eastAsia="zh-CN"/>
        </w:rPr>
        <w:t>information pertinente de la part de l’</w:t>
      </w:r>
      <w:r w:rsidR="00307745">
        <w:rPr>
          <w:rFonts w:eastAsia="SimSun"/>
          <w:lang w:val="fr-FR" w:eastAsia="zh-CN"/>
        </w:rPr>
        <w:t>É</w:t>
      </w:r>
      <w:r w:rsidR="00307745" w:rsidRPr="00655C29">
        <w:rPr>
          <w:rFonts w:eastAsia="SimSun"/>
          <w:lang w:val="fr-FR" w:eastAsia="zh-CN"/>
        </w:rPr>
        <w:t>tat partie à ce sujet, le Comité en conclut que les faits révèlent une violation</w:t>
      </w:r>
      <w:r w:rsidR="00307745">
        <w:rPr>
          <w:rFonts w:eastAsia="SimSun"/>
          <w:lang w:val="fr-FR" w:eastAsia="zh-CN"/>
        </w:rPr>
        <w:t xml:space="preserve"> </w:t>
      </w:r>
      <w:r w:rsidR="00307745" w:rsidRPr="00655C29">
        <w:rPr>
          <w:rFonts w:eastAsia="SimSun"/>
          <w:lang w:val="fr-FR" w:eastAsia="zh-CN"/>
        </w:rPr>
        <w:t>par l’</w:t>
      </w:r>
      <w:r w:rsidR="00307745">
        <w:rPr>
          <w:rFonts w:eastAsia="SimSun"/>
          <w:lang w:val="fr-FR" w:eastAsia="zh-CN"/>
        </w:rPr>
        <w:t>É</w:t>
      </w:r>
      <w:r w:rsidR="00307745" w:rsidRPr="00655C29">
        <w:rPr>
          <w:rFonts w:eastAsia="SimSun"/>
          <w:lang w:val="fr-FR" w:eastAsia="zh-CN"/>
        </w:rPr>
        <w:t xml:space="preserve">tat partie de ses obligations au titre de </w:t>
      </w:r>
      <w:r w:rsidR="00307745" w:rsidRPr="00655C29">
        <w:rPr>
          <w:rFonts w:eastAsia="MS Mincho"/>
          <w:lang w:eastAsia="zh-CN"/>
        </w:rPr>
        <w:t>l’</w:t>
      </w:r>
      <w:r w:rsidR="00307745">
        <w:rPr>
          <w:rFonts w:eastAsia="MS Mincho"/>
          <w:lang w:eastAsia="zh-CN"/>
        </w:rPr>
        <w:t>article </w:t>
      </w:r>
      <w:r w:rsidR="002B142A">
        <w:rPr>
          <w:rFonts w:eastAsia="MS Mincho"/>
          <w:lang w:eastAsia="zh-CN"/>
        </w:rPr>
        <w:t>16</w:t>
      </w:r>
      <w:r w:rsidR="00C5723D">
        <w:rPr>
          <w:rStyle w:val="FootnoteReference"/>
          <w:rFonts w:eastAsia="MS Mincho"/>
          <w:lang w:eastAsia="zh-CN"/>
        </w:rPr>
        <w:footnoteReference w:id="27"/>
      </w:r>
      <w:r w:rsidR="00307745">
        <w:rPr>
          <w:rFonts w:eastAsia="MS Mincho"/>
          <w:lang w:eastAsia="zh-CN"/>
        </w:rPr>
        <w:t xml:space="preserve">. </w:t>
      </w:r>
    </w:p>
    <w:p w:rsidR="003E42A3" w:rsidRDefault="00234D13">
      <w:pPr>
        <w:pStyle w:val="SingleTxtG"/>
      </w:pPr>
      <w:r w:rsidRPr="00DC7B83">
        <w:t>1</w:t>
      </w:r>
      <w:r w:rsidR="00A74CEA">
        <w:t>4</w:t>
      </w:r>
      <w:r w:rsidRPr="00DC7B83">
        <w:t>.</w:t>
      </w:r>
      <w:r w:rsidRPr="00DC7B83">
        <w:tab/>
        <w:t xml:space="preserve">Le Comité, agissant en vertu du paragraphe 7 de </w:t>
      </w:r>
      <w:r w:rsidRPr="00DC7B83">
        <w:rPr>
          <w:rFonts w:eastAsia="MS Mincho"/>
          <w:lang w:val="de-CH"/>
        </w:rPr>
        <w:t>l’article</w:t>
      </w:r>
      <w:r w:rsidRPr="00DC7B83">
        <w:t> 22 de la Convention, décide que les faits dont il est saisi font apparaître une violation par l’État partie</w:t>
      </w:r>
      <w:r w:rsidR="00D90BDD">
        <w:t xml:space="preserve"> </w:t>
      </w:r>
      <w:r w:rsidR="008426A2">
        <w:t xml:space="preserve">des articles </w:t>
      </w:r>
      <w:r w:rsidR="00B13027">
        <w:t>1</w:t>
      </w:r>
      <w:r w:rsidR="006A6582">
        <w:t xml:space="preserve"> et</w:t>
      </w:r>
      <w:r w:rsidR="00B13027">
        <w:t xml:space="preserve"> </w:t>
      </w:r>
      <w:r>
        <w:t>12</w:t>
      </w:r>
      <w:r w:rsidR="006A6582">
        <w:t xml:space="preserve"> à</w:t>
      </w:r>
      <w:r w:rsidR="00410989">
        <w:t xml:space="preserve"> 16 </w:t>
      </w:r>
      <w:r w:rsidRPr="00DC7B83">
        <w:t>de la Convention.</w:t>
      </w:r>
    </w:p>
    <w:p w:rsidR="003E42A3" w:rsidRPr="003E42A3" w:rsidRDefault="003E42A3">
      <w:pPr>
        <w:pStyle w:val="SingleTxtG"/>
        <w:rPr>
          <w:rFonts w:eastAsia="SimSun"/>
        </w:rPr>
      </w:pPr>
      <w:r w:rsidRPr="003E42A3">
        <w:rPr>
          <w:rFonts w:eastAsia="SimSun"/>
        </w:rPr>
        <w:t>1</w:t>
      </w:r>
      <w:r w:rsidR="00A74CEA">
        <w:rPr>
          <w:rFonts w:eastAsia="SimSun"/>
        </w:rPr>
        <w:t>5</w:t>
      </w:r>
      <w:r w:rsidRPr="003E42A3">
        <w:rPr>
          <w:rFonts w:eastAsia="SimSun"/>
        </w:rPr>
        <w:t>.</w:t>
      </w:r>
      <w:r w:rsidRPr="003E42A3">
        <w:rPr>
          <w:rFonts w:eastAsia="SimSun"/>
        </w:rPr>
        <w:tab/>
        <w:t>Conformément au paragraphe 5 de l’article 118 de son règlement intérieur, le Comité invite instamment l’État partie</w:t>
      </w:r>
      <w:r w:rsidR="00014EB4">
        <w:rPr>
          <w:rFonts w:eastAsia="SimSun"/>
        </w:rPr>
        <w:t xml:space="preserve"> à</w:t>
      </w:r>
      <w:r w:rsidR="004C521E">
        <w:rPr>
          <w:rFonts w:eastAsia="SimSun"/>
        </w:rPr>
        <w:t> :</w:t>
      </w:r>
      <w:r w:rsidRPr="003E42A3">
        <w:rPr>
          <w:rFonts w:eastAsia="SimSun"/>
        </w:rPr>
        <w:t xml:space="preserve"> </w:t>
      </w:r>
      <w:r w:rsidR="00C35435">
        <w:rPr>
          <w:rFonts w:eastAsia="SimSun"/>
        </w:rPr>
        <w:t>a</w:t>
      </w:r>
      <w:r w:rsidR="00E25699">
        <w:rPr>
          <w:rFonts w:eastAsia="SimSun"/>
        </w:rPr>
        <w:t xml:space="preserve">) </w:t>
      </w:r>
      <w:r w:rsidR="00F55480" w:rsidRPr="00F55480">
        <w:rPr>
          <w:rFonts w:eastAsia="SimSun"/>
        </w:rPr>
        <w:t xml:space="preserve">indemniser le requérant de façon adéquate et équitable, </w:t>
      </w:r>
      <w:r w:rsidR="00986969">
        <w:rPr>
          <w:rFonts w:eastAsia="SimSun"/>
        </w:rPr>
        <w:t>y compris avec</w:t>
      </w:r>
      <w:r w:rsidR="00F55480" w:rsidRPr="00F55480">
        <w:rPr>
          <w:rFonts w:eastAsia="SimSun"/>
        </w:rPr>
        <w:t xml:space="preserve"> les moyens nécessaires à </w:t>
      </w:r>
      <w:r w:rsidR="004F6387">
        <w:rPr>
          <w:rFonts w:eastAsia="SimSun"/>
        </w:rPr>
        <w:t>une</w:t>
      </w:r>
      <w:r w:rsidR="00F55480" w:rsidRPr="00F55480">
        <w:rPr>
          <w:rFonts w:eastAsia="SimSun"/>
        </w:rPr>
        <w:t xml:space="preserve"> réadaptation la plus complète possible</w:t>
      </w:r>
      <w:r w:rsidR="00BF4E59">
        <w:rPr>
          <w:rFonts w:eastAsia="SimSun"/>
        </w:rPr>
        <w:t> </w:t>
      </w:r>
      <w:r w:rsidR="00F55480">
        <w:rPr>
          <w:rFonts w:eastAsia="SimSun"/>
        </w:rPr>
        <w:t xml:space="preserve">; </w:t>
      </w:r>
      <w:r w:rsidR="00C35435">
        <w:rPr>
          <w:rFonts w:eastAsia="SimSun"/>
        </w:rPr>
        <w:t>b</w:t>
      </w:r>
      <w:r w:rsidR="00F55480">
        <w:rPr>
          <w:rFonts w:eastAsia="SimSun"/>
        </w:rPr>
        <w:t>)</w:t>
      </w:r>
      <w:r w:rsidR="00F55480" w:rsidRPr="00F55480">
        <w:rPr>
          <w:rFonts w:eastAsia="SimSun"/>
        </w:rPr>
        <w:t xml:space="preserve"> </w:t>
      </w:r>
      <w:r w:rsidR="00B32C83">
        <w:rPr>
          <w:rFonts w:eastAsia="SimSun"/>
        </w:rPr>
        <w:t xml:space="preserve">initier une enquête impartiale et approfondie sur les </w:t>
      </w:r>
      <w:r w:rsidR="00596716">
        <w:rPr>
          <w:rFonts w:eastAsia="SimSun"/>
        </w:rPr>
        <w:t xml:space="preserve">événements </w:t>
      </w:r>
      <w:r w:rsidR="00B32C83">
        <w:rPr>
          <w:rFonts w:eastAsia="SimSun"/>
        </w:rPr>
        <w:t xml:space="preserve">en question, </w:t>
      </w:r>
      <w:r w:rsidR="00B32C83" w:rsidRPr="00B32C83">
        <w:rPr>
          <w:rFonts w:eastAsia="SimSun"/>
        </w:rPr>
        <w:t xml:space="preserve">en pleine conformité avec les directives du </w:t>
      </w:r>
      <w:r w:rsidR="00AA248E" w:rsidRPr="00E93E9F">
        <w:rPr>
          <w:rFonts w:eastAsia="SimSun"/>
        </w:rPr>
        <w:t xml:space="preserve">Manuel pour enquêter efficacement sur la torture et autres peines ou traitements cruels, inhumains ou dégradants </w:t>
      </w:r>
      <w:r w:rsidR="00AA248E">
        <w:rPr>
          <w:rFonts w:eastAsia="SimSun"/>
        </w:rPr>
        <w:t>(</w:t>
      </w:r>
      <w:r w:rsidR="00B32C83" w:rsidRPr="00B32C83">
        <w:rPr>
          <w:rFonts w:eastAsia="SimSun"/>
        </w:rPr>
        <w:t>Protocole d’Istanbul</w:t>
      </w:r>
      <w:r w:rsidR="00AA248E">
        <w:rPr>
          <w:rFonts w:eastAsia="SimSun"/>
        </w:rPr>
        <w:t>)</w:t>
      </w:r>
      <w:r w:rsidR="00B32C83">
        <w:rPr>
          <w:rFonts w:eastAsia="SimSun"/>
        </w:rPr>
        <w:t xml:space="preserve">, </w:t>
      </w:r>
      <w:r w:rsidR="00B32C83" w:rsidRPr="00B32C83">
        <w:rPr>
          <w:rFonts w:eastAsia="SimSun"/>
        </w:rPr>
        <w:t>dans le but de poursuivre en justice les personnes qui pourraient être responsables du traitement infligé à la victim</w:t>
      </w:r>
      <w:r w:rsidR="00B32C83">
        <w:rPr>
          <w:rFonts w:eastAsia="SimSun"/>
        </w:rPr>
        <w:t>e</w:t>
      </w:r>
      <w:r w:rsidR="00BF4E59">
        <w:rPr>
          <w:rFonts w:eastAsia="SimSun"/>
        </w:rPr>
        <w:t> </w:t>
      </w:r>
      <w:r w:rsidR="00E25699">
        <w:rPr>
          <w:rFonts w:eastAsia="SimSun"/>
        </w:rPr>
        <w:t xml:space="preserve">; </w:t>
      </w:r>
      <w:r w:rsidR="00C35435">
        <w:rPr>
          <w:rFonts w:eastAsia="SimSun"/>
        </w:rPr>
        <w:t>c</w:t>
      </w:r>
      <w:r w:rsidR="00E25699">
        <w:rPr>
          <w:rFonts w:eastAsia="SimSun"/>
        </w:rPr>
        <w:t xml:space="preserve">) </w:t>
      </w:r>
      <w:r w:rsidR="00DE3816" w:rsidRPr="00DE3816">
        <w:rPr>
          <w:rFonts w:eastAsia="SimSun"/>
        </w:rPr>
        <w:t>s</w:t>
      </w:r>
      <w:r w:rsidR="00986969" w:rsidRPr="00986969">
        <w:rPr>
          <w:rFonts w:eastAsia="SimSun"/>
        </w:rPr>
        <w:t>’</w:t>
      </w:r>
      <w:r w:rsidR="00DE3816" w:rsidRPr="00DE3816">
        <w:rPr>
          <w:rFonts w:eastAsia="SimSun"/>
        </w:rPr>
        <w:t xml:space="preserve">abstenir de </w:t>
      </w:r>
      <w:r w:rsidR="00003E75">
        <w:rPr>
          <w:rFonts w:eastAsia="SimSun"/>
        </w:rPr>
        <w:t>t</w:t>
      </w:r>
      <w:r w:rsidR="00003E75" w:rsidRPr="00003E75">
        <w:rPr>
          <w:rFonts w:eastAsia="SimSun"/>
        </w:rPr>
        <w:t>out acte de pression, d</w:t>
      </w:r>
      <w:r w:rsidR="00986969" w:rsidRPr="00986969">
        <w:rPr>
          <w:rFonts w:eastAsia="SimSun"/>
        </w:rPr>
        <w:t>’</w:t>
      </w:r>
      <w:r w:rsidR="00003E75" w:rsidRPr="00003E75">
        <w:rPr>
          <w:rFonts w:eastAsia="SimSun"/>
        </w:rPr>
        <w:t>intimidation ou de représailles</w:t>
      </w:r>
      <w:r w:rsidR="00003E75" w:rsidRPr="00003E75">
        <w:t xml:space="preserve"> </w:t>
      </w:r>
      <w:r w:rsidR="00003E75" w:rsidRPr="00003E75">
        <w:rPr>
          <w:rFonts w:eastAsia="SimSun"/>
        </w:rPr>
        <w:t>susceptible de nuire à l</w:t>
      </w:r>
      <w:r w:rsidR="00986969" w:rsidRPr="00986969">
        <w:rPr>
          <w:rFonts w:eastAsia="SimSun"/>
        </w:rPr>
        <w:t>’</w:t>
      </w:r>
      <w:r w:rsidR="00003E75" w:rsidRPr="00003E75">
        <w:rPr>
          <w:rFonts w:eastAsia="SimSun"/>
        </w:rPr>
        <w:t xml:space="preserve">intégrité physique et morale du plaignant </w:t>
      </w:r>
      <w:r w:rsidR="0094521E">
        <w:rPr>
          <w:rFonts w:eastAsia="SimSun"/>
        </w:rPr>
        <w:t>et de</w:t>
      </w:r>
      <w:r w:rsidR="00003E75" w:rsidRPr="00003E75">
        <w:rPr>
          <w:rFonts w:eastAsia="SimSun"/>
        </w:rPr>
        <w:t xml:space="preserve"> sa fa</w:t>
      </w:r>
      <w:r w:rsidR="000B4D54">
        <w:rPr>
          <w:rFonts w:eastAsia="SimSun"/>
        </w:rPr>
        <w:t>mille</w:t>
      </w:r>
      <w:r w:rsidR="00C73285">
        <w:rPr>
          <w:rFonts w:eastAsia="SimSun"/>
        </w:rPr>
        <w:t xml:space="preserve"> </w:t>
      </w:r>
      <w:r w:rsidR="000B4D54">
        <w:rPr>
          <w:rFonts w:eastAsia="SimSun"/>
        </w:rPr>
        <w:t xml:space="preserve">qui </w:t>
      </w:r>
      <w:r w:rsidR="000B4D54" w:rsidRPr="000B4D54">
        <w:rPr>
          <w:rFonts w:eastAsia="SimSun"/>
        </w:rPr>
        <w:t>constituerait autrement une violation des obligations de l</w:t>
      </w:r>
      <w:r w:rsidR="00986969" w:rsidRPr="00986969">
        <w:rPr>
          <w:rFonts w:eastAsia="SimSun"/>
        </w:rPr>
        <w:t>’</w:t>
      </w:r>
      <w:r w:rsidR="000B4D54" w:rsidRPr="000B4D54">
        <w:rPr>
          <w:rFonts w:eastAsia="SimSun"/>
        </w:rPr>
        <w:t>État partie en vertu d</w:t>
      </w:r>
      <w:r w:rsidR="000B4D54">
        <w:rPr>
          <w:rFonts w:eastAsia="SimSun"/>
        </w:rPr>
        <w:t xml:space="preserve">e la Convention </w:t>
      </w:r>
      <w:r w:rsidR="000B4D54" w:rsidRPr="000B4D54">
        <w:rPr>
          <w:rFonts w:eastAsia="SimSun"/>
        </w:rPr>
        <w:t>de coopérer de bonne foi avec le Comité pour l</w:t>
      </w:r>
      <w:r w:rsidR="00986969" w:rsidRPr="00986969">
        <w:rPr>
          <w:rFonts w:eastAsia="SimSun"/>
        </w:rPr>
        <w:t>’</w:t>
      </w:r>
      <w:r w:rsidR="000B4D54" w:rsidRPr="000B4D54">
        <w:rPr>
          <w:rFonts w:eastAsia="SimSun"/>
        </w:rPr>
        <w:t>application des dispositions d</w:t>
      </w:r>
      <w:r w:rsidR="000B4D54">
        <w:rPr>
          <w:rFonts w:eastAsia="SimSun"/>
        </w:rPr>
        <w:t xml:space="preserve">e la Convention, </w:t>
      </w:r>
      <w:r w:rsidR="00003E75" w:rsidRPr="00003E75">
        <w:rPr>
          <w:rFonts w:eastAsia="SimSun"/>
        </w:rPr>
        <w:t xml:space="preserve">et de permettre </w:t>
      </w:r>
      <w:r w:rsidR="00003E75">
        <w:rPr>
          <w:rFonts w:eastAsia="SimSun"/>
        </w:rPr>
        <w:t xml:space="preserve">au </w:t>
      </w:r>
      <w:r w:rsidR="00003E75" w:rsidRPr="00003E75">
        <w:rPr>
          <w:rFonts w:eastAsia="SimSun"/>
        </w:rPr>
        <w:t xml:space="preserve">plaignant de recevoir des </w:t>
      </w:r>
      <w:r w:rsidR="00003E75">
        <w:rPr>
          <w:rFonts w:eastAsia="SimSun"/>
        </w:rPr>
        <w:t xml:space="preserve">visites de </w:t>
      </w:r>
      <w:r w:rsidR="00FB0FB7">
        <w:rPr>
          <w:rFonts w:eastAsia="SimSun"/>
        </w:rPr>
        <w:t>s</w:t>
      </w:r>
      <w:r w:rsidR="00003E75">
        <w:rPr>
          <w:rFonts w:eastAsia="SimSun"/>
        </w:rPr>
        <w:t>a famille en prison</w:t>
      </w:r>
      <w:r w:rsidR="00BF4E59">
        <w:rPr>
          <w:rFonts w:eastAsia="SimSun"/>
        </w:rPr>
        <w:t> </w:t>
      </w:r>
      <w:r w:rsidR="00003E75">
        <w:rPr>
          <w:rFonts w:eastAsia="SimSun"/>
        </w:rPr>
        <w:t xml:space="preserve">; </w:t>
      </w:r>
      <w:r w:rsidR="00DE3816">
        <w:rPr>
          <w:rFonts w:eastAsia="SimSun"/>
        </w:rPr>
        <w:t xml:space="preserve">et </w:t>
      </w:r>
      <w:r w:rsidR="00C35435">
        <w:rPr>
          <w:rFonts w:eastAsia="SimSun"/>
        </w:rPr>
        <w:t>d</w:t>
      </w:r>
      <w:r w:rsidR="00DE3816">
        <w:rPr>
          <w:rFonts w:eastAsia="SimSun"/>
        </w:rPr>
        <w:t xml:space="preserve">) </w:t>
      </w:r>
      <w:r w:rsidRPr="003E42A3">
        <w:rPr>
          <w:rFonts w:eastAsia="SimSun"/>
        </w:rPr>
        <w:t xml:space="preserve">l’informer, dans un délai de </w:t>
      </w:r>
      <w:r w:rsidR="00A55DB8">
        <w:rPr>
          <w:rFonts w:eastAsia="SimSun"/>
        </w:rPr>
        <w:t>cent quatre-vingts</w:t>
      </w:r>
      <w:r w:rsidRPr="003E42A3">
        <w:rPr>
          <w:rFonts w:eastAsia="SimSun"/>
        </w:rPr>
        <w:t xml:space="preserve"> jours à compter de la date de transmission de la présente décision des mesures qu’il aura prises conformément aux constatations ci-dessus</w:t>
      </w:r>
      <w:r w:rsidR="002444F3">
        <w:rPr>
          <w:rFonts w:eastAsia="SimSun"/>
        </w:rPr>
        <w:t>.</w:t>
      </w:r>
    </w:p>
    <w:p w:rsidR="00F727CD" w:rsidRPr="00E93E9F" w:rsidRDefault="00F727CD" w:rsidP="00E93E9F">
      <w:pPr>
        <w:pStyle w:val="SingleTxtG"/>
        <w:spacing w:before="240" w:after="0"/>
        <w:jc w:val="center"/>
        <w:rPr>
          <w:rFonts w:eastAsia="SimSun"/>
          <w:u w:val="single"/>
        </w:rPr>
      </w:pPr>
      <w:r>
        <w:rPr>
          <w:rFonts w:eastAsia="SimSun"/>
          <w:u w:val="single"/>
        </w:rPr>
        <w:tab/>
      </w:r>
      <w:r>
        <w:rPr>
          <w:rFonts w:eastAsia="SimSun"/>
          <w:u w:val="single"/>
        </w:rPr>
        <w:tab/>
      </w:r>
      <w:r>
        <w:rPr>
          <w:rFonts w:eastAsia="SimSun"/>
          <w:u w:val="single"/>
        </w:rPr>
        <w:tab/>
      </w:r>
    </w:p>
    <w:p w:rsidR="00FF46FE" w:rsidRPr="00E93E9F" w:rsidRDefault="00FF46FE" w:rsidP="00E93E9F">
      <w:pPr>
        <w:pStyle w:val="SingleTxtG"/>
        <w:spacing w:before="240" w:after="0"/>
        <w:jc w:val="center"/>
        <w:rPr>
          <w:rFonts w:eastAsia="SimSun"/>
        </w:rPr>
      </w:pPr>
    </w:p>
    <w:sectPr w:rsidR="00FF46FE" w:rsidRPr="00E93E9F" w:rsidSect="00261ED9">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8B" w:rsidRDefault="00E7408B"/>
  </w:endnote>
  <w:endnote w:type="continuationSeparator" w:id="0">
    <w:p w:rsidR="00E7408B" w:rsidRDefault="00E7408B"/>
  </w:endnote>
  <w:endnote w:type="continuationNotice" w:id="1">
    <w:p w:rsidR="00E7408B" w:rsidRDefault="00E7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DD" w:rsidRPr="008B0E59" w:rsidRDefault="00D90BDD" w:rsidP="008B0E59">
    <w:pPr>
      <w:pStyle w:val="Footer"/>
      <w:tabs>
        <w:tab w:val="right" w:pos="9638"/>
      </w:tabs>
    </w:pPr>
    <w:r w:rsidRPr="008B0E59">
      <w:rPr>
        <w:b/>
        <w:sz w:val="18"/>
      </w:rPr>
      <w:fldChar w:fldCharType="begin"/>
    </w:r>
    <w:r w:rsidRPr="008B0E59">
      <w:rPr>
        <w:b/>
        <w:sz w:val="18"/>
      </w:rPr>
      <w:instrText xml:space="preserve"> </w:instrText>
    </w:r>
    <w:r w:rsidR="000D7853">
      <w:rPr>
        <w:b/>
        <w:sz w:val="18"/>
      </w:rPr>
      <w:instrText>PAGE</w:instrText>
    </w:r>
    <w:r w:rsidRPr="008B0E59">
      <w:rPr>
        <w:b/>
        <w:sz w:val="18"/>
      </w:rPr>
      <w:instrText xml:space="preserve">  \* MERGEFORMAT </w:instrText>
    </w:r>
    <w:r w:rsidRPr="008B0E59">
      <w:rPr>
        <w:b/>
        <w:sz w:val="18"/>
      </w:rPr>
      <w:fldChar w:fldCharType="separate"/>
    </w:r>
    <w:r w:rsidR="009C76E5">
      <w:rPr>
        <w:b/>
        <w:noProof/>
        <w:sz w:val="18"/>
      </w:rPr>
      <w:t>2</w:t>
    </w:r>
    <w:r w:rsidRPr="008B0E5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DD" w:rsidRPr="008B0E59" w:rsidRDefault="00D90BDD" w:rsidP="008B0E59">
    <w:pPr>
      <w:pStyle w:val="Footer"/>
      <w:tabs>
        <w:tab w:val="right" w:pos="9638"/>
      </w:tabs>
      <w:rPr>
        <w:b/>
        <w:sz w:val="18"/>
      </w:rPr>
    </w:pPr>
    <w:r>
      <w:tab/>
    </w:r>
    <w:r w:rsidRPr="008B0E59">
      <w:rPr>
        <w:b/>
        <w:sz w:val="18"/>
      </w:rPr>
      <w:fldChar w:fldCharType="begin"/>
    </w:r>
    <w:r w:rsidRPr="008B0E59">
      <w:rPr>
        <w:b/>
        <w:sz w:val="18"/>
      </w:rPr>
      <w:instrText xml:space="preserve"> </w:instrText>
    </w:r>
    <w:r w:rsidR="000D7853">
      <w:rPr>
        <w:b/>
        <w:sz w:val="18"/>
      </w:rPr>
      <w:instrText>PAGE</w:instrText>
    </w:r>
    <w:r w:rsidRPr="008B0E59">
      <w:rPr>
        <w:b/>
        <w:sz w:val="18"/>
      </w:rPr>
      <w:instrText xml:space="preserve">  \* MERGEFORMAT </w:instrText>
    </w:r>
    <w:r w:rsidRPr="008B0E59">
      <w:rPr>
        <w:b/>
        <w:sz w:val="18"/>
      </w:rPr>
      <w:fldChar w:fldCharType="separate"/>
    </w:r>
    <w:r w:rsidR="009C76E5">
      <w:rPr>
        <w:b/>
        <w:noProof/>
        <w:sz w:val="18"/>
      </w:rPr>
      <w:t>3</w:t>
    </w:r>
    <w:r w:rsidRPr="008B0E5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9E" w:rsidRPr="00F8739E" w:rsidRDefault="00F8739E">
    <w:pPr>
      <w:pStyle w:val="Footer"/>
      <w:rPr>
        <w:rFonts w:ascii="C39T30Lfz" w:hAnsi="C39T30Lfz"/>
        <w:sz w:val="56"/>
      </w:rPr>
    </w:pPr>
    <w:r>
      <w:rPr>
        <w:noProof/>
        <w:lang w:val="en-US"/>
      </w:rPr>
      <w:drawing>
        <wp:anchor distT="0" distB="0" distL="114300" distR="114300" simplePos="0" relativeHeight="251660288" behindDoc="0" locked="0" layoutInCell="1" allowOverlap="1" wp14:anchorId="112857E9" wp14:editId="53C152E5">
          <wp:simplePos x="0" y="0"/>
          <wp:positionH relativeFrom="margin">
            <wp:posOffset>5490845</wp:posOffset>
          </wp:positionH>
          <wp:positionV relativeFrom="margin">
            <wp:posOffset>8893175</wp:posOffset>
          </wp:positionV>
          <wp:extent cx="637200" cy="637200"/>
          <wp:effectExtent l="0" t="0" r="0" b="0"/>
          <wp:wrapNone/>
          <wp:docPr id="1" name="Image 1" descr="http://undocs.org/m2/QRCode.ashx?DS=CAT/C/59/D/606/2014&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06/2014&amp;Size=2&amp;Lang=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lang w:val="en-US"/>
      </w:rPr>
      <w:drawing>
        <wp:anchor distT="0" distB="0" distL="114300" distR="114300" simplePos="0" relativeHeight="251659264" behindDoc="0" locked="0" layoutInCell="1" allowOverlap="0" wp14:anchorId="2AA31440" wp14:editId="4D4CAA2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17-06158  (F)</w:t>
    </w:r>
    <w:r>
      <w:br/>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8B" w:rsidRPr="00D27D5E" w:rsidRDefault="00E7408B" w:rsidP="00D27D5E">
      <w:pPr>
        <w:tabs>
          <w:tab w:val="right" w:pos="2155"/>
        </w:tabs>
        <w:spacing w:after="80"/>
        <w:ind w:left="680"/>
        <w:rPr>
          <w:u w:val="single"/>
        </w:rPr>
      </w:pPr>
      <w:r>
        <w:rPr>
          <w:u w:val="single"/>
        </w:rPr>
        <w:tab/>
      </w:r>
    </w:p>
  </w:footnote>
  <w:footnote w:type="continuationSeparator" w:id="0">
    <w:p w:rsidR="00E7408B" w:rsidRPr="00A103C4" w:rsidRDefault="00E7408B" w:rsidP="00A103C4">
      <w:pPr>
        <w:tabs>
          <w:tab w:val="right" w:pos="2155"/>
        </w:tabs>
        <w:spacing w:after="80"/>
        <w:ind w:left="680"/>
        <w:rPr>
          <w:u w:val="single"/>
        </w:rPr>
      </w:pPr>
      <w:r w:rsidRPr="00A103C4">
        <w:rPr>
          <w:u w:val="single"/>
        </w:rPr>
        <w:tab/>
      </w:r>
    </w:p>
  </w:footnote>
  <w:footnote w:type="continuationNotice" w:id="1">
    <w:p w:rsidR="00E7408B" w:rsidRDefault="00E7408B"/>
  </w:footnote>
  <w:footnote w:id="2">
    <w:p w:rsidR="00131EA9" w:rsidRPr="00131EA9" w:rsidRDefault="00131EA9" w:rsidP="001A2A4E">
      <w:pPr>
        <w:pStyle w:val="FootnoteText"/>
      </w:pPr>
      <w:r w:rsidRPr="00131EA9">
        <w:rPr>
          <w:rStyle w:val="FootnoteReference"/>
          <w:sz w:val="20"/>
        </w:rPr>
        <w:tab/>
      </w:r>
      <w:r w:rsidRPr="00F16973">
        <w:rPr>
          <w:rStyle w:val="FootnoteReference"/>
          <w:sz w:val="20"/>
          <w:vertAlign w:val="baseline"/>
        </w:rPr>
        <w:t>*</w:t>
      </w:r>
      <w:r w:rsidRPr="00131EA9">
        <w:rPr>
          <w:rStyle w:val="FootnoteReference"/>
        </w:rPr>
        <w:tab/>
      </w:r>
      <w:r w:rsidRPr="00131EA9">
        <w:t>Adoptée par le Comité à sa cinquante-neuvième session (7 novembre-7 décembre 2016).</w:t>
      </w:r>
    </w:p>
  </w:footnote>
  <w:footnote w:id="3">
    <w:p w:rsidR="00131EA9" w:rsidRPr="00131EA9" w:rsidRDefault="00131EA9" w:rsidP="00CA2F11">
      <w:pPr>
        <w:pStyle w:val="FootnoteText"/>
      </w:pPr>
      <w:r w:rsidRPr="00131EA9">
        <w:rPr>
          <w:rStyle w:val="FootnoteReference"/>
          <w:sz w:val="20"/>
        </w:rPr>
        <w:tab/>
      </w:r>
      <w:r w:rsidRPr="00F16973">
        <w:rPr>
          <w:rStyle w:val="FootnoteReference"/>
          <w:sz w:val="20"/>
          <w:vertAlign w:val="baseline"/>
        </w:rPr>
        <w:t>**</w:t>
      </w:r>
      <w:r w:rsidRPr="00131EA9">
        <w:rPr>
          <w:rStyle w:val="FootnoteReference"/>
          <w:sz w:val="20"/>
        </w:rPr>
        <w:tab/>
      </w:r>
      <w:r w:rsidRPr="00131EA9">
        <w:t xml:space="preserve">Les membres du Comité </w:t>
      </w:r>
      <w:r w:rsidR="00086394">
        <w:t xml:space="preserve">dont le nom suit </w:t>
      </w:r>
      <w:r w:rsidRPr="00131EA9">
        <w:t>ont part</w:t>
      </w:r>
      <w:r w:rsidR="00086394">
        <w:t>icipé</w:t>
      </w:r>
      <w:r w:rsidRPr="00131EA9">
        <w:t xml:space="preserve"> à l</w:t>
      </w:r>
      <w:r w:rsidR="00086394" w:rsidRPr="00926DC8">
        <w:t>’</w:t>
      </w:r>
      <w:r w:rsidRPr="00131EA9">
        <w:t>examen de la communication</w:t>
      </w:r>
      <w:r w:rsidR="00EF381A">
        <w:t> </w:t>
      </w:r>
      <w:r w:rsidRPr="00131EA9">
        <w:t>: Alessio</w:t>
      </w:r>
      <w:r w:rsidR="001A2A4E">
        <w:t> </w:t>
      </w:r>
      <w:r w:rsidRPr="00131EA9">
        <w:t>Bruni, Felice Gaer, Abdelwahab Hani, Claude Heller</w:t>
      </w:r>
      <w:r w:rsidR="0058376D">
        <w:t xml:space="preserve"> </w:t>
      </w:r>
      <w:r w:rsidRPr="00131EA9">
        <w:t>Rouassant, Jens Modvig, Sapana Pradhan-Malla, Ana Racu, Sébastien Touzé et Kening Zhang.</w:t>
      </w:r>
      <w:r w:rsidR="008E2A40">
        <w:t xml:space="preserve"> Conformément à l’article </w:t>
      </w:r>
      <w:r w:rsidR="0075342F">
        <w:t>109</w:t>
      </w:r>
      <w:r w:rsidR="008E2A40">
        <w:t xml:space="preserve"> du </w:t>
      </w:r>
      <w:r w:rsidR="00817AAB">
        <w:t>r</w:t>
      </w:r>
      <w:r w:rsidR="008E2A40">
        <w:t xml:space="preserve">èglement intérieur du Comité, </w:t>
      </w:r>
      <w:r w:rsidR="0079324C">
        <w:t xml:space="preserve">Essadia </w:t>
      </w:r>
      <w:r w:rsidR="008E2A40">
        <w:t>Belmir n’a pas pris part à l’adoption de la présente décision.</w:t>
      </w:r>
    </w:p>
  </w:footnote>
  <w:footnote w:id="4">
    <w:p w:rsidR="00D90BDD" w:rsidRDefault="00D90BDD" w:rsidP="00E93E9F">
      <w:pPr>
        <w:pStyle w:val="FootnoteText"/>
        <w:widowControl w:val="0"/>
        <w:tabs>
          <w:tab w:val="clear" w:pos="1021"/>
          <w:tab w:val="right" w:pos="1020"/>
        </w:tabs>
      </w:pPr>
      <w:r w:rsidRPr="00131EA9">
        <w:tab/>
      </w:r>
      <w:r>
        <w:rPr>
          <w:rStyle w:val="FootnoteReference"/>
        </w:rPr>
        <w:footnoteRef/>
      </w:r>
      <w:r>
        <w:tab/>
      </w:r>
      <w:r w:rsidR="008D5A37" w:rsidRPr="008D5A37">
        <w:t xml:space="preserve">Le Maroc a déclaré reconnaître la compétence du Comité pour recevoir et examiner les communications individuelles conformément à l’article 22 de la Convention le 19 octobre 2006. </w:t>
      </w:r>
    </w:p>
  </w:footnote>
  <w:footnote w:id="5">
    <w:p w:rsidR="008D5A37" w:rsidRDefault="00D90BDD" w:rsidP="00E93E9F">
      <w:pPr>
        <w:pStyle w:val="FootnoteText"/>
        <w:widowControl w:val="0"/>
        <w:tabs>
          <w:tab w:val="clear" w:pos="1021"/>
          <w:tab w:val="right" w:pos="1020"/>
        </w:tabs>
      </w:pPr>
      <w:r>
        <w:tab/>
      </w:r>
      <w:r>
        <w:rPr>
          <w:rStyle w:val="FootnoteReference"/>
        </w:rPr>
        <w:footnoteRef/>
      </w:r>
      <w:r>
        <w:tab/>
      </w:r>
      <w:r w:rsidR="008D5A37" w:rsidRPr="008D5A37">
        <w:t xml:space="preserve">Le mandat auprès d’ACAT-France et </w:t>
      </w:r>
      <w:r w:rsidR="00FA7BE2">
        <w:t xml:space="preserve">de </w:t>
      </w:r>
      <w:r w:rsidR="008D5A37" w:rsidRPr="008D5A37">
        <w:t>M</w:t>
      </w:r>
      <w:r w:rsidR="00207A1A" w:rsidRPr="00E93E9F">
        <w:rPr>
          <w:vertAlign w:val="superscript"/>
        </w:rPr>
        <w:t>e</w:t>
      </w:r>
      <w:r w:rsidR="008D5A37" w:rsidRPr="008D5A37">
        <w:t xml:space="preserve"> Breham pour représenter le requérant devant le Comité a été établi par son épouse. Le requérant étant actuellement en détention à la prison de Salé 2 </w:t>
      </w:r>
      <w:r w:rsidR="00C17BAA">
        <w:t>(</w:t>
      </w:r>
      <w:r w:rsidR="008D5A37" w:rsidRPr="008D5A37">
        <w:t>Maroc</w:t>
      </w:r>
      <w:r w:rsidR="00C17BAA">
        <w:t>)</w:t>
      </w:r>
      <w:r w:rsidR="008D5A37" w:rsidRPr="008D5A37">
        <w:t>, il est allégué qu’il n’</w:t>
      </w:r>
      <w:r w:rsidR="00540A30">
        <w:t>a</w:t>
      </w:r>
      <w:r w:rsidR="008D5A37" w:rsidRPr="008D5A37">
        <w:t xml:space="preserve"> pas </w:t>
      </w:r>
      <w:r w:rsidR="00540A30">
        <w:t xml:space="preserve">été </w:t>
      </w:r>
      <w:r w:rsidR="008D5A37" w:rsidRPr="008D5A37">
        <w:t>en mesure de signer directement le mandat de représentation.</w:t>
      </w:r>
    </w:p>
  </w:footnote>
  <w:footnote w:id="6">
    <w:p w:rsidR="00D90BDD" w:rsidRDefault="00D90BDD" w:rsidP="00E93E9F">
      <w:pPr>
        <w:pStyle w:val="FootnoteText"/>
        <w:widowControl w:val="0"/>
        <w:tabs>
          <w:tab w:val="clear" w:pos="1021"/>
          <w:tab w:val="right" w:pos="1020"/>
        </w:tabs>
      </w:pPr>
      <w:r>
        <w:tab/>
      </w:r>
      <w:r>
        <w:rPr>
          <w:rStyle w:val="FootnoteReference"/>
        </w:rPr>
        <w:footnoteRef/>
      </w:r>
      <w:r>
        <w:tab/>
        <w:t xml:space="preserve">Le requérant </w:t>
      </w:r>
      <w:r w:rsidR="00EC7072">
        <w:t xml:space="preserve">suppose </w:t>
      </w:r>
      <w:r>
        <w:t>qu</w:t>
      </w:r>
      <w:r w:rsidR="00EC7072">
        <w:t>’il s’agit d’aveux</w:t>
      </w:r>
      <w:r>
        <w:t xml:space="preserve"> qui </w:t>
      </w:r>
      <w:r w:rsidR="00EC7072">
        <w:t xml:space="preserve">ont </w:t>
      </w:r>
      <w:r>
        <w:t>ensuite été présenté</w:t>
      </w:r>
      <w:r w:rsidR="00EC7072">
        <w:t>s</w:t>
      </w:r>
      <w:r>
        <w:t xml:space="preserve"> au juge comme </w:t>
      </w:r>
      <w:r w:rsidR="00EC7072">
        <w:t xml:space="preserve">ayant été </w:t>
      </w:r>
      <w:r>
        <w:t xml:space="preserve">signés par le requérant lors de son interrogatoire. </w:t>
      </w:r>
    </w:p>
  </w:footnote>
  <w:footnote w:id="7">
    <w:p w:rsidR="00D90BDD" w:rsidRDefault="00D90BDD" w:rsidP="00E93E9F">
      <w:pPr>
        <w:pStyle w:val="FootnoteText"/>
        <w:widowControl w:val="0"/>
        <w:tabs>
          <w:tab w:val="clear" w:pos="1021"/>
          <w:tab w:val="right" w:pos="1020"/>
        </w:tabs>
      </w:pPr>
      <w:r>
        <w:tab/>
      </w:r>
      <w:r>
        <w:rPr>
          <w:rStyle w:val="FootnoteReference"/>
        </w:rPr>
        <w:footnoteRef/>
      </w:r>
      <w:r>
        <w:tab/>
        <w:t xml:space="preserve">Le requérant cite également le rapport du </w:t>
      </w:r>
      <w:r w:rsidRPr="00870B79">
        <w:t>Rapporteur spécial sur la torture et autres peines ou traitements cruels, inhumains ou dégradants</w:t>
      </w:r>
      <w:r>
        <w:t xml:space="preserve"> </w:t>
      </w:r>
      <w:r w:rsidR="00663D78">
        <w:t>(</w:t>
      </w:r>
      <w:r w:rsidR="00D32B4B">
        <w:t xml:space="preserve">voir </w:t>
      </w:r>
      <w:r>
        <w:t>A/HRC/22/53/Add.2, par. 28</w:t>
      </w:r>
      <w:r w:rsidR="00171355">
        <w:t xml:space="preserve"> et </w:t>
      </w:r>
      <w:r>
        <w:t>29</w:t>
      </w:r>
      <w:r w:rsidR="00663D78">
        <w:t>)</w:t>
      </w:r>
      <w:r>
        <w:t xml:space="preserve">. </w:t>
      </w:r>
    </w:p>
  </w:footnote>
  <w:footnote w:id="8">
    <w:p w:rsidR="00D90BDD" w:rsidRDefault="00D90BDD" w:rsidP="00CA2F11">
      <w:pPr>
        <w:pStyle w:val="FootnoteText"/>
        <w:widowControl w:val="0"/>
        <w:tabs>
          <w:tab w:val="clear" w:pos="1021"/>
          <w:tab w:val="right" w:pos="1020"/>
        </w:tabs>
      </w:pPr>
      <w:r>
        <w:tab/>
      </w:r>
      <w:r>
        <w:rPr>
          <w:rStyle w:val="FootnoteReference"/>
        </w:rPr>
        <w:footnoteRef/>
      </w:r>
      <w:r>
        <w:tab/>
        <w:t>L’</w:t>
      </w:r>
      <w:r w:rsidR="00F22B22" w:rsidRPr="00F22B22">
        <w:t>É</w:t>
      </w:r>
      <w:r>
        <w:t xml:space="preserve">tat partie ne cite pas de jurisprudence spécifique. </w:t>
      </w:r>
    </w:p>
  </w:footnote>
  <w:footnote w:id="9">
    <w:p w:rsidR="00D90BDD" w:rsidRDefault="00D90BDD" w:rsidP="00E93E9F">
      <w:pPr>
        <w:pStyle w:val="FootnoteText"/>
      </w:pPr>
      <w:r>
        <w:tab/>
      </w:r>
      <w:r>
        <w:rPr>
          <w:rStyle w:val="FootnoteReference"/>
        </w:rPr>
        <w:footnoteRef/>
      </w:r>
      <w:r>
        <w:tab/>
        <w:t>Le requérant se réfère à l’ordonnance et au jugement du tribunal militaire des 8 février et 17 février 2013.</w:t>
      </w:r>
    </w:p>
  </w:footnote>
  <w:footnote w:id="10">
    <w:p w:rsidR="00D90BDD" w:rsidRDefault="00D90BDD" w:rsidP="00E93E9F">
      <w:pPr>
        <w:pStyle w:val="FootnoteText"/>
      </w:pPr>
      <w:r>
        <w:tab/>
      </w:r>
      <w:r>
        <w:rPr>
          <w:rStyle w:val="FootnoteReference"/>
        </w:rPr>
        <w:footnoteRef/>
      </w:r>
      <w:r>
        <w:tab/>
        <w:t xml:space="preserve">Rapport du Groupe de travail sur </w:t>
      </w:r>
      <w:r w:rsidR="0034633A">
        <w:t xml:space="preserve">la </w:t>
      </w:r>
      <w:r>
        <w:t>détention arbitraire</w:t>
      </w:r>
      <w:r w:rsidR="00A45DD9">
        <w:t xml:space="preserve"> sur sa</w:t>
      </w:r>
      <w:r>
        <w:t xml:space="preserve"> </w:t>
      </w:r>
      <w:r w:rsidR="00A45DD9">
        <w:t xml:space="preserve">mission </w:t>
      </w:r>
      <w:r>
        <w:t xml:space="preserve">au Maroc </w:t>
      </w:r>
      <w:r w:rsidR="0061046E">
        <w:t>(</w:t>
      </w:r>
      <w:r>
        <w:t>A/HRC/27/48/Add.5</w:t>
      </w:r>
      <w:r w:rsidR="0061046E">
        <w:t>)</w:t>
      </w:r>
      <w:r>
        <w:t xml:space="preserve"> ; et Human Rights Watch, Résumé pays, </w:t>
      </w:r>
      <w:r w:rsidR="0061046E">
        <w:t xml:space="preserve">janvier </w:t>
      </w:r>
      <w:r>
        <w:t>2014 (rapports joints à la requête).</w:t>
      </w:r>
    </w:p>
  </w:footnote>
  <w:footnote w:id="11">
    <w:p w:rsidR="00D90BDD" w:rsidRDefault="00D90BDD" w:rsidP="00E93E9F">
      <w:pPr>
        <w:pStyle w:val="FootnoteText"/>
      </w:pPr>
      <w:r>
        <w:tab/>
      </w:r>
      <w:r>
        <w:rPr>
          <w:rStyle w:val="FootnoteReference"/>
        </w:rPr>
        <w:footnoteRef/>
      </w:r>
      <w:r>
        <w:tab/>
        <w:t xml:space="preserve">Le procès-verbal de l’audience du 8 février 2013 et l’ordonnance provisoire du tribunal militaire de Rabat mentionnent les allégations </w:t>
      </w:r>
      <w:r w:rsidRPr="00B81656">
        <w:t xml:space="preserve">soumises par le requérant </w:t>
      </w:r>
      <w:r>
        <w:t>selon lesquelles il aurait été torturé. Les</w:t>
      </w:r>
      <w:r w:rsidR="00F727CD">
        <w:t> </w:t>
      </w:r>
      <w:r>
        <w:t>allégations de torture</w:t>
      </w:r>
      <w:r w:rsidR="00F96E2C">
        <w:t>s</w:t>
      </w:r>
      <w:r>
        <w:t xml:space="preserve"> subies au poste de police figurent également dans la décision </w:t>
      </w:r>
      <w:r w:rsidR="007A0BB2">
        <w:t>de</w:t>
      </w:r>
      <w:r>
        <w:t xml:space="preserve"> la </w:t>
      </w:r>
      <w:r w:rsidR="00F0234B">
        <w:t xml:space="preserve">première Chambre </w:t>
      </w:r>
      <w:r>
        <w:t xml:space="preserve">d’instruction, </w:t>
      </w:r>
      <w:r w:rsidR="007A0BB2">
        <w:t>qui renvoie</w:t>
      </w:r>
      <w:r>
        <w:t xml:space="preserve"> l’affaire devant le </w:t>
      </w:r>
      <w:r w:rsidR="00A33472">
        <w:t xml:space="preserve">tribunal militaire </w:t>
      </w:r>
      <w:r>
        <w:t>de Rabat.</w:t>
      </w:r>
    </w:p>
  </w:footnote>
  <w:footnote w:id="12">
    <w:p w:rsidR="00D90BDD" w:rsidRDefault="00D90BDD" w:rsidP="00E93E9F">
      <w:pPr>
        <w:pStyle w:val="FootnoteText"/>
      </w:pPr>
      <w:r>
        <w:tab/>
      </w:r>
      <w:r>
        <w:rPr>
          <w:rStyle w:val="FootnoteReference"/>
        </w:rPr>
        <w:footnoteRef/>
      </w:r>
      <w:r>
        <w:tab/>
        <w:t xml:space="preserve">Voir </w:t>
      </w:r>
      <w:r w:rsidR="00A33472">
        <w:t xml:space="preserve">le </w:t>
      </w:r>
      <w:r>
        <w:t>jugement du tribunal militaire du 17 février 2013.</w:t>
      </w:r>
    </w:p>
  </w:footnote>
  <w:footnote w:id="13">
    <w:p w:rsidR="00D90BDD" w:rsidRDefault="00D90BDD" w:rsidP="00E93E9F">
      <w:pPr>
        <w:pStyle w:val="FootnoteText"/>
        <w:widowControl w:val="0"/>
        <w:tabs>
          <w:tab w:val="clear" w:pos="1021"/>
          <w:tab w:val="right" w:pos="1020"/>
        </w:tabs>
      </w:pPr>
      <w:r>
        <w:tab/>
      </w:r>
      <w:r>
        <w:rPr>
          <w:rStyle w:val="FootnoteReference"/>
        </w:rPr>
        <w:footnoteRef/>
      </w:r>
      <w:r>
        <w:tab/>
      </w:r>
      <w:r w:rsidR="007A0BB2">
        <w:t>Voir</w:t>
      </w:r>
      <w:r w:rsidR="003530A8">
        <w:t>,</w:t>
      </w:r>
      <w:r w:rsidR="007A0BB2">
        <w:t xml:space="preserve"> par exemple</w:t>
      </w:r>
      <w:r w:rsidR="003530A8">
        <w:t>,</w:t>
      </w:r>
      <w:r w:rsidR="007A0BB2">
        <w:t xml:space="preserve"> </w:t>
      </w:r>
      <w:r w:rsidR="00FD55FA">
        <w:t>les communications n</w:t>
      </w:r>
      <w:r w:rsidR="00FD55FA" w:rsidRPr="00E93E9F">
        <w:rPr>
          <w:vertAlign w:val="superscript"/>
        </w:rPr>
        <w:t>o</w:t>
      </w:r>
      <w:r w:rsidR="00FD55FA">
        <w:t> </w:t>
      </w:r>
      <w:r>
        <w:t xml:space="preserve">6/1990, </w:t>
      </w:r>
      <w:r w:rsidRPr="003538DB">
        <w:rPr>
          <w:i/>
        </w:rPr>
        <w:t>Parot c. Espagne</w:t>
      </w:r>
      <w:r>
        <w:t xml:space="preserve">, </w:t>
      </w:r>
      <w:r w:rsidR="0085400B">
        <w:t>constatations adoptées le</w:t>
      </w:r>
      <w:r>
        <w:t xml:space="preserve"> </w:t>
      </w:r>
      <w:r w:rsidR="00261ED9">
        <w:t>2 </w:t>
      </w:r>
      <w:r w:rsidR="00C47FE5">
        <w:t>mai</w:t>
      </w:r>
      <w:r w:rsidR="00261ED9">
        <w:t> </w:t>
      </w:r>
      <w:r>
        <w:t>199</w:t>
      </w:r>
      <w:r w:rsidR="00C47FE5">
        <w:t>5</w:t>
      </w:r>
      <w:r>
        <w:t>, par. 10.4</w:t>
      </w:r>
      <w:r w:rsidR="00BF4E59">
        <w:t> </w:t>
      </w:r>
      <w:r>
        <w:t xml:space="preserve">; </w:t>
      </w:r>
      <w:r w:rsidR="00FD55FA">
        <w:t>n</w:t>
      </w:r>
      <w:r w:rsidR="00FD55FA" w:rsidRPr="00E93E9F">
        <w:rPr>
          <w:vertAlign w:val="superscript"/>
        </w:rPr>
        <w:t>o</w:t>
      </w:r>
      <w:r w:rsidR="00FD55FA">
        <w:t> </w:t>
      </w:r>
      <w:r>
        <w:t xml:space="preserve">59/1996, </w:t>
      </w:r>
      <w:r w:rsidR="007169E6">
        <w:rPr>
          <w:i/>
        </w:rPr>
        <w:t>Blanco</w:t>
      </w:r>
      <w:r w:rsidR="007169E6" w:rsidRPr="003538DB">
        <w:rPr>
          <w:i/>
        </w:rPr>
        <w:t xml:space="preserve"> </w:t>
      </w:r>
      <w:r w:rsidRPr="003538DB">
        <w:rPr>
          <w:i/>
        </w:rPr>
        <w:t>Abad c. Espagne</w:t>
      </w:r>
      <w:r>
        <w:t xml:space="preserve">, </w:t>
      </w:r>
      <w:r w:rsidR="009E05A9">
        <w:t>constatations adoptées le</w:t>
      </w:r>
      <w:r>
        <w:t xml:space="preserve"> 14 mai 1998, par.</w:t>
      </w:r>
      <w:r w:rsidR="00FC5EA5">
        <w:t> </w:t>
      </w:r>
      <w:r>
        <w:t>8.6</w:t>
      </w:r>
      <w:r w:rsidR="00BF4E59">
        <w:t> </w:t>
      </w:r>
      <w:r>
        <w:t xml:space="preserve">; et </w:t>
      </w:r>
      <w:r w:rsidR="00EE7291">
        <w:t>n</w:t>
      </w:r>
      <w:r w:rsidR="00EE7291" w:rsidRPr="00E93E9F">
        <w:rPr>
          <w:vertAlign w:val="superscript"/>
        </w:rPr>
        <w:t>o</w:t>
      </w:r>
      <w:r w:rsidR="00EE7291">
        <w:t> </w:t>
      </w:r>
      <w:r>
        <w:t xml:space="preserve">189/2001, </w:t>
      </w:r>
      <w:r w:rsidRPr="003538DB">
        <w:rPr>
          <w:i/>
        </w:rPr>
        <w:t>Bouabdallah Ltaief c. Tunisie</w:t>
      </w:r>
      <w:r>
        <w:t xml:space="preserve">, décision </w:t>
      </w:r>
      <w:r w:rsidR="007D5B70">
        <w:t>adoptée le 14</w:t>
      </w:r>
      <w:r>
        <w:t xml:space="preserve"> novembre 2003, par.</w:t>
      </w:r>
      <w:r w:rsidR="00FC5EA5">
        <w:t> </w:t>
      </w:r>
      <w:r>
        <w:t xml:space="preserve">10.6. </w:t>
      </w:r>
    </w:p>
  </w:footnote>
  <w:footnote w:id="14">
    <w:p w:rsidR="00D90BDD" w:rsidRDefault="00D90BDD" w:rsidP="00CA2F11">
      <w:pPr>
        <w:pStyle w:val="FootnoteText"/>
        <w:widowControl w:val="0"/>
        <w:tabs>
          <w:tab w:val="clear" w:pos="1021"/>
          <w:tab w:val="right" w:pos="1020"/>
        </w:tabs>
      </w:pPr>
      <w:r>
        <w:tab/>
      </w:r>
      <w:r>
        <w:rPr>
          <w:rStyle w:val="FootnoteReference"/>
        </w:rPr>
        <w:footnoteRef/>
      </w:r>
      <w:r>
        <w:tab/>
      </w:r>
      <w:r w:rsidR="00A842A2">
        <w:t xml:space="preserve">Voir </w:t>
      </w:r>
      <w:hyperlink r:id="rId1" w:history="1">
        <w:r w:rsidR="00FC5EA5" w:rsidRPr="00E93E9F">
          <w:rPr>
            <w:rStyle w:val="Hyperlink"/>
          </w:rPr>
          <w:t>www.afrik.com/affaire-hammouchi-le-maroc-depose-plainte-et-fustige-la-justice-francaise</w:t>
        </w:r>
        <w:r w:rsidR="00FC5EA5" w:rsidRPr="00155AF5">
          <w:rPr>
            <w:rStyle w:val="Hyperlink"/>
          </w:rPr>
          <w:t xml:space="preserve"> (11</w:t>
        </w:r>
      </w:hyperlink>
      <w:r w:rsidR="00FC5EA5">
        <w:t> </w:t>
      </w:r>
      <w:r>
        <w:t>juin 2014</w:t>
      </w:r>
      <w:r w:rsidR="00A842A2">
        <w:t>)</w:t>
      </w:r>
      <w:r>
        <w:t xml:space="preserve">. </w:t>
      </w:r>
    </w:p>
  </w:footnote>
  <w:footnote w:id="15">
    <w:p w:rsidR="00D90BDD" w:rsidRDefault="00D90BDD" w:rsidP="00E93E9F">
      <w:pPr>
        <w:pStyle w:val="FootnoteText"/>
        <w:widowControl w:val="0"/>
        <w:tabs>
          <w:tab w:val="clear" w:pos="1021"/>
          <w:tab w:val="right" w:pos="1020"/>
        </w:tabs>
      </w:pPr>
      <w:r>
        <w:tab/>
      </w:r>
      <w:r>
        <w:rPr>
          <w:rStyle w:val="FootnoteReference"/>
        </w:rPr>
        <w:footnoteRef/>
      </w:r>
      <w:r>
        <w:tab/>
      </w:r>
      <w:r w:rsidRPr="00666333">
        <w:t xml:space="preserve">Communication </w:t>
      </w:r>
      <w:r w:rsidR="00636ECD">
        <w:t>n</w:t>
      </w:r>
      <w:r w:rsidR="00636ECD" w:rsidRPr="00E93E9F">
        <w:rPr>
          <w:vertAlign w:val="superscript"/>
        </w:rPr>
        <w:t>o</w:t>
      </w:r>
      <w:r w:rsidR="00636ECD">
        <w:t> </w:t>
      </w:r>
      <w:r w:rsidRPr="00666333">
        <w:t>444/2010</w:t>
      </w:r>
      <w:r>
        <w:t xml:space="preserve">, </w:t>
      </w:r>
      <w:r w:rsidRPr="00E93E9F">
        <w:rPr>
          <w:i/>
          <w:iCs/>
        </w:rPr>
        <w:t xml:space="preserve">Abdussamatov et </w:t>
      </w:r>
      <w:r w:rsidR="00403835">
        <w:rPr>
          <w:i/>
          <w:iCs/>
        </w:rPr>
        <w:t>consorts</w:t>
      </w:r>
      <w:r w:rsidR="00403835" w:rsidRPr="00E93E9F">
        <w:rPr>
          <w:i/>
          <w:iCs/>
        </w:rPr>
        <w:t xml:space="preserve"> </w:t>
      </w:r>
      <w:r w:rsidRPr="00E93E9F">
        <w:rPr>
          <w:i/>
          <w:iCs/>
        </w:rPr>
        <w:t>c. Kazakhstan</w:t>
      </w:r>
      <w:r w:rsidRPr="00666333">
        <w:t xml:space="preserve">, </w:t>
      </w:r>
      <w:r>
        <w:t xml:space="preserve">décision </w:t>
      </w:r>
      <w:r w:rsidR="00636ECD">
        <w:t>adoptée le</w:t>
      </w:r>
      <w:r>
        <w:t xml:space="preserve"> </w:t>
      </w:r>
      <w:r w:rsidRPr="00666333">
        <w:t>1</w:t>
      </w:r>
      <w:r w:rsidRPr="00E93E9F">
        <w:rPr>
          <w:vertAlign w:val="superscript"/>
        </w:rPr>
        <w:t>er</w:t>
      </w:r>
      <w:r w:rsidRPr="00666333">
        <w:t xml:space="preserve"> juin 2012, par. 9.1.</w:t>
      </w:r>
      <w:r>
        <w:t xml:space="preserve"> </w:t>
      </w:r>
    </w:p>
  </w:footnote>
  <w:footnote w:id="16">
    <w:p w:rsidR="00D90BDD" w:rsidRDefault="00EC0BD3" w:rsidP="00E93E9F">
      <w:pPr>
        <w:pStyle w:val="FootnoteText"/>
      </w:pPr>
      <w:r>
        <w:tab/>
      </w:r>
      <w:r w:rsidR="00D90BDD">
        <w:rPr>
          <w:rStyle w:val="FootnoteReference"/>
        </w:rPr>
        <w:footnoteRef/>
      </w:r>
      <w:r>
        <w:tab/>
      </w:r>
      <w:r w:rsidR="00D90BDD">
        <w:t xml:space="preserve">Voir </w:t>
      </w:r>
      <w:r w:rsidR="00C21D0C">
        <w:t>l</w:t>
      </w:r>
      <w:r w:rsidR="00C21D0C" w:rsidRPr="00926DC8">
        <w:t>’</w:t>
      </w:r>
      <w:r w:rsidR="00D90BDD">
        <w:rPr>
          <w:rFonts w:eastAsia="MS Mincho"/>
        </w:rPr>
        <w:t xml:space="preserve">article 134 du </w:t>
      </w:r>
      <w:r w:rsidR="00D04F11">
        <w:rPr>
          <w:rFonts w:eastAsia="MS Mincho"/>
        </w:rPr>
        <w:t xml:space="preserve">Code </w:t>
      </w:r>
      <w:r w:rsidR="00D90BDD">
        <w:rPr>
          <w:rFonts w:eastAsia="MS Mincho"/>
        </w:rPr>
        <w:t>de procédure pénale.</w:t>
      </w:r>
    </w:p>
  </w:footnote>
  <w:footnote w:id="17">
    <w:p w:rsidR="00D90BDD" w:rsidRDefault="00EC0BD3" w:rsidP="00E93E9F">
      <w:pPr>
        <w:pStyle w:val="FootnoteText"/>
      </w:pPr>
      <w:r>
        <w:tab/>
      </w:r>
      <w:r w:rsidR="00D90BDD">
        <w:rPr>
          <w:rStyle w:val="FootnoteReference"/>
        </w:rPr>
        <w:footnoteRef/>
      </w:r>
      <w:r>
        <w:tab/>
      </w:r>
      <w:r w:rsidR="00D90BDD">
        <w:t xml:space="preserve">Voir </w:t>
      </w:r>
      <w:r w:rsidR="00C21D0C">
        <w:t>l</w:t>
      </w:r>
      <w:r w:rsidR="00C21D0C" w:rsidRPr="00926DC8">
        <w:t>’</w:t>
      </w:r>
      <w:r w:rsidR="00D90BDD">
        <w:rPr>
          <w:rFonts w:eastAsia="MS Mincho"/>
        </w:rPr>
        <w:t>article 139 du Code de procédure pénale.</w:t>
      </w:r>
    </w:p>
  </w:footnote>
  <w:footnote w:id="18">
    <w:p w:rsidR="00D90BDD" w:rsidRDefault="00EC0BD3" w:rsidP="00E93E9F">
      <w:pPr>
        <w:pStyle w:val="FootnoteText"/>
      </w:pPr>
      <w:r>
        <w:tab/>
      </w:r>
      <w:r w:rsidR="00D90BDD">
        <w:rPr>
          <w:rStyle w:val="FootnoteReference"/>
        </w:rPr>
        <w:footnoteRef/>
      </w:r>
      <w:r>
        <w:tab/>
      </w:r>
      <w:r w:rsidR="00D90BDD">
        <w:t>Le Comité a rappelé que ni la Convention</w:t>
      </w:r>
      <w:r w:rsidR="00C21D0C">
        <w:t>,</w:t>
      </w:r>
      <w:r w:rsidR="00D90BDD">
        <w:t xml:space="preserve"> ni le règlement intérieur du Comité n’établi</w:t>
      </w:r>
      <w:r w:rsidR="00C21D0C">
        <w:t>ssai</w:t>
      </w:r>
      <w:r w:rsidR="00D90BDD">
        <w:t xml:space="preserve">t de </w:t>
      </w:r>
      <w:r w:rsidR="000D2912">
        <w:t xml:space="preserve">délai </w:t>
      </w:r>
      <w:r w:rsidR="00D90BDD">
        <w:t xml:space="preserve">limite pour soumettre une plainte. </w:t>
      </w:r>
    </w:p>
  </w:footnote>
  <w:footnote w:id="19">
    <w:p w:rsidR="001C1E6D" w:rsidRPr="00F4555E" w:rsidRDefault="001C1E6D" w:rsidP="00261ED9">
      <w:pPr>
        <w:pStyle w:val="FootnoteText"/>
        <w:tabs>
          <w:tab w:val="left" w:pos="7938"/>
        </w:tabs>
        <w:ind w:right="1088" w:hanging="283"/>
        <w:rPr>
          <w:szCs w:val="18"/>
        </w:rPr>
      </w:pPr>
      <w:r w:rsidRPr="00F4555E">
        <w:rPr>
          <w:rStyle w:val="FootnoteReference"/>
          <w:szCs w:val="18"/>
        </w:rPr>
        <w:footnoteRef/>
      </w:r>
      <w:r w:rsidR="00261ED9">
        <w:rPr>
          <w:szCs w:val="18"/>
        </w:rPr>
        <w:tab/>
      </w:r>
      <w:r w:rsidR="00261ED9">
        <w:rPr>
          <w:szCs w:val="18"/>
        </w:rPr>
        <w:tab/>
      </w:r>
      <w:r w:rsidRPr="00F4555E">
        <w:rPr>
          <w:szCs w:val="18"/>
        </w:rPr>
        <w:t xml:space="preserve">Le Comité a invité l’État partie </w:t>
      </w:r>
      <w:r>
        <w:rPr>
          <w:szCs w:val="18"/>
        </w:rPr>
        <w:t>à</w:t>
      </w:r>
      <w:r w:rsidR="00EF381A">
        <w:rPr>
          <w:szCs w:val="18"/>
        </w:rPr>
        <w:t> </w:t>
      </w:r>
      <w:r w:rsidRPr="00F4555E">
        <w:rPr>
          <w:szCs w:val="18"/>
        </w:rPr>
        <w:t xml:space="preserve">: a) </w:t>
      </w:r>
      <w:r>
        <w:rPr>
          <w:szCs w:val="18"/>
        </w:rPr>
        <w:t>f</w:t>
      </w:r>
      <w:r w:rsidRPr="00F4555E">
        <w:rPr>
          <w:szCs w:val="18"/>
        </w:rPr>
        <w:t xml:space="preserve">ournir une copie intégrale et les références complètes de la décision de la Cour de </w:t>
      </w:r>
      <w:r w:rsidR="00ED0B47">
        <w:rPr>
          <w:szCs w:val="18"/>
        </w:rPr>
        <w:t>c</w:t>
      </w:r>
      <w:r w:rsidRPr="00F4555E">
        <w:rPr>
          <w:szCs w:val="18"/>
        </w:rPr>
        <w:t>assa</w:t>
      </w:r>
      <w:r w:rsidRPr="0060597B">
        <w:rPr>
          <w:szCs w:val="18"/>
        </w:rPr>
        <w:t>tion en date du 27 juillet 2016</w:t>
      </w:r>
      <w:r w:rsidR="00BF4E59">
        <w:rPr>
          <w:szCs w:val="18"/>
        </w:rPr>
        <w:t> </w:t>
      </w:r>
      <w:r w:rsidRPr="00F4555E">
        <w:rPr>
          <w:szCs w:val="18"/>
        </w:rPr>
        <w:t xml:space="preserve">; b) </w:t>
      </w:r>
      <w:r>
        <w:rPr>
          <w:szCs w:val="18"/>
        </w:rPr>
        <w:t>p</w:t>
      </w:r>
      <w:r w:rsidRPr="00F4555E">
        <w:rPr>
          <w:szCs w:val="18"/>
        </w:rPr>
        <w:t xml:space="preserve">réciser les points de droit et de faits sur lesquels la </w:t>
      </w:r>
      <w:r w:rsidR="00ED0B47">
        <w:rPr>
          <w:szCs w:val="18"/>
        </w:rPr>
        <w:t>c</w:t>
      </w:r>
      <w:r w:rsidRPr="00F4555E">
        <w:rPr>
          <w:szCs w:val="18"/>
        </w:rPr>
        <w:t>our d’appel de Rabat devra se prononcer dans le cadre du renvoi, ainsi que le délai approximatif dans lequel l’examen du renvoi devrait avoir lieu</w:t>
      </w:r>
      <w:r w:rsidR="00BF4E59">
        <w:rPr>
          <w:szCs w:val="18"/>
        </w:rPr>
        <w:t> </w:t>
      </w:r>
      <w:r w:rsidRPr="0060597B">
        <w:rPr>
          <w:szCs w:val="18"/>
        </w:rPr>
        <w:t>;</w:t>
      </w:r>
      <w:r>
        <w:rPr>
          <w:szCs w:val="18"/>
        </w:rPr>
        <w:t xml:space="preserve"> et c) p</w:t>
      </w:r>
      <w:r w:rsidRPr="00F4555E">
        <w:rPr>
          <w:szCs w:val="18"/>
        </w:rPr>
        <w:t>réciser les dispositions du nouveau Code de justice militaire, entré en vigueur le 1</w:t>
      </w:r>
      <w:r w:rsidR="00917643" w:rsidRPr="00E93E9F">
        <w:rPr>
          <w:szCs w:val="18"/>
          <w:vertAlign w:val="superscript"/>
        </w:rPr>
        <w:t>er</w:t>
      </w:r>
      <w:r w:rsidRPr="00F4555E">
        <w:rPr>
          <w:szCs w:val="18"/>
        </w:rPr>
        <w:t xml:space="preserve"> juin 2015, en vertu desquelles la Cour de cassation peut renvoyer une affaire devant une juridiction civile (la </w:t>
      </w:r>
      <w:r w:rsidR="00ED0B47">
        <w:rPr>
          <w:szCs w:val="18"/>
        </w:rPr>
        <w:t>c</w:t>
      </w:r>
      <w:r w:rsidRPr="00F4555E">
        <w:rPr>
          <w:szCs w:val="18"/>
        </w:rPr>
        <w:t xml:space="preserve">our d’appel) lorsqu’elle décide de casser le jugement du </w:t>
      </w:r>
      <w:r w:rsidR="00ED0B47">
        <w:rPr>
          <w:szCs w:val="18"/>
        </w:rPr>
        <w:t>t</w:t>
      </w:r>
      <w:r w:rsidRPr="00F4555E">
        <w:rPr>
          <w:szCs w:val="18"/>
        </w:rPr>
        <w:t>ribunal militaire.</w:t>
      </w:r>
    </w:p>
  </w:footnote>
  <w:footnote w:id="20">
    <w:p w:rsidR="00D90BDD" w:rsidRDefault="00D90BDD" w:rsidP="00E93E9F">
      <w:pPr>
        <w:pStyle w:val="FootnoteText"/>
        <w:widowControl w:val="0"/>
        <w:tabs>
          <w:tab w:val="clear" w:pos="1021"/>
          <w:tab w:val="right" w:pos="1020"/>
        </w:tabs>
      </w:pPr>
      <w:r>
        <w:tab/>
      </w:r>
      <w:r>
        <w:rPr>
          <w:rStyle w:val="FootnoteReference"/>
        </w:rPr>
        <w:footnoteRef/>
      </w:r>
      <w:r>
        <w:tab/>
      </w:r>
      <w:r w:rsidRPr="0002332F">
        <w:t>Observation générale n</w:t>
      </w:r>
      <w:r w:rsidRPr="0002332F">
        <w:rPr>
          <w:vertAlign w:val="superscript"/>
        </w:rPr>
        <w:t>o</w:t>
      </w:r>
      <w:r w:rsidRPr="0002332F">
        <w:t> 2</w:t>
      </w:r>
      <w:r>
        <w:t xml:space="preserve"> (2007) sur l’application de l’article 2 par les États parties. </w:t>
      </w:r>
    </w:p>
  </w:footnote>
  <w:footnote w:id="21">
    <w:p w:rsidR="00D90BDD" w:rsidRDefault="00D90BDD" w:rsidP="00E93E9F">
      <w:pPr>
        <w:pStyle w:val="FootnoteText"/>
        <w:widowControl w:val="0"/>
        <w:tabs>
          <w:tab w:val="clear" w:pos="1021"/>
          <w:tab w:val="right" w:pos="1020"/>
        </w:tabs>
      </w:pPr>
      <w:r>
        <w:tab/>
      </w:r>
      <w:r>
        <w:rPr>
          <w:rStyle w:val="FootnoteReference"/>
        </w:rPr>
        <w:footnoteRef/>
      </w:r>
      <w:r>
        <w:tab/>
      </w:r>
      <w:r w:rsidR="005C7EBB">
        <w:t>Voir la c</w:t>
      </w:r>
      <w:r w:rsidRPr="00021937">
        <w:t>ommunication n</w:t>
      </w:r>
      <w:r w:rsidRPr="00021937">
        <w:rPr>
          <w:vertAlign w:val="superscript"/>
        </w:rPr>
        <w:t>o</w:t>
      </w:r>
      <w:r w:rsidRPr="00021937">
        <w:t> 376/2009</w:t>
      </w:r>
      <w:r>
        <w:t xml:space="preserve">, </w:t>
      </w:r>
      <w:r w:rsidRPr="00FE246A">
        <w:rPr>
          <w:i/>
        </w:rPr>
        <w:t>Bendib c. Algérie</w:t>
      </w:r>
      <w:r>
        <w:t xml:space="preserve">, </w:t>
      </w:r>
      <w:r w:rsidR="00FE246A">
        <w:t>décision adoptée le</w:t>
      </w:r>
      <w:r>
        <w:t xml:space="preserve"> 8 novembre 2013, par. 6.6. Voir aussi </w:t>
      </w:r>
      <w:r w:rsidRPr="00EA4CCB">
        <w:rPr>
          <w:i/>
        </w:rPr>
        <w:t>Parot c. Espagne</w:t>
      </w:r>
      <w:r>
        <w:t xml:space="preserve">, </w:t>
      </w:r>
      <w:r w:rsidR="00FE246A">
        <w:rPr>
          <w:i/>
        </w:rPr>
        <w:t>Blanco</w:t>
      </w:r>
      <w:r w:rsidR="00FE246A" w:rsidRPr="00EA4CCB">
        <w:rPr>
          <w:i/>
        </w:rPr>
        <w:t xml:space="preserve"> </w:t>
      </w:r>
      <w:r w:rsidRPr="00EA4CCB">
        <w:rPr>
          <w:i/>
        </w:rPr>
        <w:t>Abad c. Espagne</w:t>
      </w:r>
      <w:r>
        <w:t xml:space="preserve"> et </w:t>
      </w:r>
      <w:r w:rsidRPr="00EA4CCB">
        <w:rPr>
          <w:i/>
        </w:rPr>
        <w:t>Bouabdallah Ltaief c. Tunisie</w:t>
      </w:r>
      <w:r>
        <w:t xml:space="preserve">. </w:t>
      </w:r>
    </w:p>
  </w:footnote>
  <w:footnote w:id="22">
    <w:p w:rsidR="00D90BDD" w:rsidRDefault="00D90BDD" w:rsidP="00CA2F11">
      <w:pPr>
        <w:pStyle w:val="FootnoteText"/>
        <w:widowControl w:val="0"/>
        <w:tabs>
          <w:tab w:val="clear" w:pos="1021"/>
          <w:tab w:val="right" w:pos="1020"/>
        </w:tabs>
      </w:pPr>
      <w:r w:rsidRPr="009B32A0">
        <w:tab/>
      </w:r>
      <w:r>
        <w:rPr>
          <w:rStyle w:val="FootnoteReference"/>
        </w:rPr>
        <w:footnoteRef/>
      </w:r>
      <w:r>
        <w:tab/>
      </w:r>
      <w:r w:rsidRPr="00E26B84">
        <w:rPr>
          <w:szCs w:val="18"/>
        </w:rPr>
        <w:t>Voir</w:t>
      </w:r>
      <w:r>
        <w:rPr>
          <w:szCs w:val="18"/>
        </w:rPr>
        <w:t xml:space="preserve"> </w:t>
      </w:r>
      <w:r w:rsidRPr="0096070F">
        <w:rPr>
          <w:i/>
          <w:szCs w:val="18"/>
        </w:rPr>
        <w:t>Bendib c. Algérie</w:t>
      </w:r>
      <w:r w:rsidR="00B21FCA">
        <w:rPr>
          <w:szCs w:val="18"/>
        </w:rPr>
        <w:t>, par. 6.7.</w:t>
      </w:r>
    </w:p>
  </w:footnote>
  <w:footnote w:id="23">
    <w:p w:rsidR="00D90BDD" w:rsidRDefault="00D90BDD" w:rsidP="00E93E9F">
      <w:pPr>
        <w:pStyle w:val="FootnoteText"/>
      </w:pPr>
      <w:r>
        <w:tab/>
      </w:r>
      <w:r>
        <w:rPr>
          <w:rStyle w:val="FootnoteReference"/>
        </w:rPr>
        <w:footnoteRef/>
      </w:r>
      <w:r w:rsidR="00917643">
        <w:tab/>
      </w:r>
      <w:r>
        <w:t xml:space="preserve">Voir </w:t>
      </w:r>
      <w:r w:rsidR="000F3239">
        <w:t xml:space="preserve">la </w:t>
      </w:r>
      <w:r>
        <w:t xml:space="preserve">communication </w:t>
      </w:r>
      <w:r w:rsidRPr="00021937">
        <w:t>n</w:t>
      </w:r>
      <w:r w:rsidRPr="00021937">
        <w:rPr>
          <w:vertAlign w:val="superscript"/>
        </w:rPr>
        <w:t>o</w:t>
      </w:r>
      <w:r w:rsidRPr="00021937">
        <w:t> </w:t>
      </w:r>
      <w:r>
        <w:t>514</w:t>
      </w:r>
      <w:r w:rsidRPr="00021937">
        <w:t>/20</w:t>
      </w:r>
      <w:r>
        <w:t xml:space="preserve">12, </w:t>
      </w:r>
      <w:r w:rsidRPr="000F3239">
        <w:rPr>
          <w:i/>
        </w:rPr>
        <w:t>Niyonzima</w:t>
      </w:r>
      <w:r w:rsidRPr="00E93E9F">
        <w:rPr>
          <w:i/>
        </w:rPr>
        <w:t xml:space="preserve"> c. Burundi</w:t>
      </w:r>
      <w:r>
        <w:t xml:space="preserve">, </w:t>
      </w:r>
      <w:r w:rsidR="000F3239">
        <w:t>décision adoptée le</w:t>
      </w:r>
      <w:r>
        <w:t xml:space="preserve"> 21 novembre 2014, par. 8.6.</w:t>
      </w:r>
    </w:p>
  </w:footnote>
  <w:footnote w:id="24">
    <w:p w:rsidR="00D90BDD" w:rsidRDefault="00D90BDD" w:rsidP="00E93E9F">
      <w:pPr>
        <w:pStyle w:val="FootnoteText"/>
        <w:widowControl w:val="0"/>
        <w:tabs>
          <w:tab w:val="clear" w:pos="1021"/>
          <w:tab w:val="right" w:pos="1020"/>
        </w:tabs>
      </w:pPr>
      <w:r>
        <w:tab/>
      </w:r>
      <w:r>
        <w:rPr>
          <w:rStyle w:val="FootnoteReference"/>
        </w:rPr>
        <w:footnoteRef/>
      </w:r>
      <w:r>
        <w:tab/>
      </w:r>
      <w:r w:rsidRPr="00FF6320">
        <w:rPr>
          <w:lang w:val="fr-FR"/>
        </w:rPr>
        <w:t>Voir</w:t>
      </w:r>
      <w:r w:rsidRPr="000B72AB">
        <w:rPr>
          <w:lang w:val="fr-FR"/>
        </w:rPr>
        <w:t xml:space="preserve"> </w:t>
      </w:r>
      <w:r w:rsidR="000F3239">
        <w:rPr>
          <w:lang w:val="fr-FR"/>
        </w:rPr>
        <w:t xml:space="preserve">les </w:t>
      </w:r>
      <w:r>
        <w:rPr>
          <w:lang w:val="fr-FR"/>
        </w:rPr>
        <w:t>c</w:t>
      </w:r>
      <w:r w:rsidRPr="000B72AB">
        <w:rPr>
          <w:lang w:val="fr-FR"/>
        </w:rPr>
        <w:t>ommunication</w:t>
      </w:r>
      <w:r>
        <w:rPr>
          <w:lang w:val="fr-FR"/>
        </w:rPr>
        <w:t>s</w:t>
      </w:r>
      <w:r w:rsidRPr="000B72AB">
        <w:rPr>
          <w:lang w:val="fr-FR"/>
        </w:rPr>
        <w:t xml:space="preserve"> </w:t>
      </w:r>
      <w:r>
        <w:rPr>
          <w:szCs w:val="18"/>
        </w:rPr>
        <w:t>n</w:t>
      </w:r>
      <w:r w:rsidRPr="00DC749A">
        <w:rPr>
          <w:szCs w:val="18"/>
          <w:vertAlign w:val="superscript"/>
        </w:rPr>
        <w:t>o</w:t>
      </w:r>
      <w:r>
        <w:rPr>
          <w:szCs w:val="18"/>
        </w:rPr>
        <w:t> </w:t>
      </w:r>
      <w:r>
        <w:rPr>
          <w:lang w:val="fr-FR"/>
        </w:rPr>
        <w:t xml:space="preserve">419/2010, </w:t>
      </w:r>
      <w:r w:rsidRPr="000F3239">
        <w:rPr>
          <w:i/>
          <w:lang w:val="fr-FR"/>
        </w:rPr>
        <w:t>Ktiti</w:t>
      </w:r>
      <w:r w:rsidRPr="00E93E9F">
        <w:rPr>
          <w:i/>
          <w:lang w:val="fr-FR"/>
        </w:rPr>
        <w:t xml:space="preserve"> c. Maroc</w:t>
      </w:r>
      <w:r>
        <w:rPr>
          <w:i/>
          <w:lang w:val="fr-FR"/>
        </w:rPr>
        <w:t xml:space="preserve">, </w:t>
      </w:r>
      <w:r>
        <w:rPr>
          <w:lang w:val="fr-FR"/>
        </w:rPr>
        <w:t xml:space="preserve">décision adoptée le </w:t>
      </w:r>
      <w:r>
        <w:rPr>
          <w:szCs w:val="24"/>
          <w:lang w:val="fr-FR"/>
        </w:rPr>
        <w:t>26 mai 2011, par. 8.8</w:t>
      </w:r>
      <w:r w:rsidR="00BF4E59">
        <w:t> </w:t>
      </w:r>
      <w:r>
        <w:rPr>
          <w:szCs w:val="24"/>
          <w:lang w:val="fr-FR"/>
        </w:rPr>
        <w:t>; et</w:t>
      </w:r>
      <w:r w:rsidR="00FC5EA5">
        <w:rPr>
          <w:szCs w:val="24"/>
          <w:lang w:val="fr-FR"/>
        </w:rPr>
        <w:t> </w:t>
      </w:r>
      <w:r>
        <w:rPr>
          <w:szCs w:val="18"/>
        </w:rPr>
        <w:t>n</w:t>
      </w:r>
      <w:r w:rsidRPr="00DC749A">
        <w:rPr>
          <w:szCs w:val="18"/>
          <w:vertAlign w:val="superscript"/>
        </w:rPr>
        <w:t>o</w:t>
      </w:r>
      <w:r>
        <w:rPr>
          <w:szCs w:val="18"/>
        </w:rPr>
        <w:t> </w:t>
      </w:r>
      <w:r w:rsidRPr="000B72AB">
        <w:rPr>
          <w:lang w:val="fr-FR"/>
        </w:rPr>
        <w:t xml:space="preserve">193/2001, </w:t>
      </w:r>
      <w:r w:rsidRPr="000F3239">
        <w:rPr>
          <w:i/>
          <w:iCs/>
          <w:lang w:val="fr-FR"/>
        </w:rPr>
        <w:t>P. E. c. France</w:t>
      </w:r>
      <w:r>
        <w:rPr>
          <w:lang w:val="fr-FR"/>
        </w:rPr>
        <w:t>, décision adoptée le 21 novembre 2002, par. 6.3.</w:t>
      </w:r>
      <w:r>
        <w:t xml:space="preserve"> </w:t>
      </w:r>
    </w:p>
  </w:footnote>
  <w:footnote w:id="25">
    <w:p w:rsidR="0073734D" w:rsidRDefault="00917643" w:rsidP="00E93E9F">
      <w:pPr>
        <w:pStyle w:val="FootnoteText"/>
        <w:widowControl w:val="0"/>
        <w:tabs>
          <w:tab w:val="clear" w:pos="1021"/>
          <w:tab w:val="right" w:pos="1020"/>
        </w:tabs>
      </w:pPr>
      <w:r>
        <w:tab/>
      </w:r>
      <w:r w:rsidR="00D90BDD">
        <w:rPr>
          <w:rStyle w:val="FootnoteReference"/>
        </w:rPr>
        <w:footnoteRef/>
      </w:r>
      <w:r>
        <w:tab/>
      </w:r>
      <w:r w:rsidR="00D90BDD" w:rsidRPr="00937597">
        <w:t>Ces dénonciations ont été faites devant témoins et ont été consignées dans les procès-verbaux que le requérant a joint</w:t>
      </w:r>
      <w:r w:rsidR="004D57B9">
        <w:t>s</w:t>
      </w:r>
      <w:r w:rsidR="00D90BDD" w:rsidRPr="00937597">
        <w:t xml:space="preserve"> à sa communication devant le Comité</w:t>
      </w:r>
      <w:r w:rsidR="00D90BDD">
        <w:t>. Néanmoins, la</w:t>
      </w:r>
      <w:r w:rsidR="00D90BDD" w:rsidRPr="00CC2B3F">
        <w:t xml:space="preserve"> demande de l’avocat du requérant </w:t>
      </w:r>
      <w:r w:rsidR="00B8498F">
        <w:t xml:space="preserve">faite </w:t>
      </w:r>
      <w:r w:rsidR="00D90BDD" w:rsidRPr="00CC2B3F">
        <w:t xml:space="preserve">lors de l’audience du 8 février 2013 devant le juge d’instruction militaire de pouvoir </w:t>
      </w:r>
      <w:r>
        <w:t>i</w:t>
      </w:r>
      <w:r w:rsidR="00D90BDD" w:rsidRPr="00CC2B3F">
        <w:t xml:space="preserve">nterroger les rédacteurs des procès-verbaux des interrogatoires pour connaître les conditions dans lesquelles les aveux </w:t>
      </w:r>
      <w:r w:rsidR="004D57B9">
        <w:t>avaient</w:t>
      </w:r>
      <w:r w:rsidR="004D57B9" w:rsidRPr="00CC2B3F">
        <w:t xml:space="preserve"> </w:t>
      </w:r>
      <w:r w:rsidR="00D90BDD" w:rsidRPr="00CC2B3F">
        <w:t xml:space="preserve">été obtenus </w:t>
      </w:r>
      <w:r w:rsidR="00B8498F">
        <w:t>a</w:t>
      </w:r>
      <w:r w:rsidR="00B8498F" w:rsidRPr="00CC2B3F">
        <w:t xml:space="preserve"> </w:t>
      </w:r>
      <w:r w:rsidR="00D90BDD" w:rsidRPr="00CC2B3F">
        <w:t>été rejetée</w:t>
      </w:r>
      <w:r w:rsidR="00D90BDD">
        <w:t>.</w:t>
      </w:r>
      <w:r w:rsidR="0073734D" w:rsidRPr="0073734D">
        <w:t xml:space="preserve"> </w:t>
      </w:r>
    </w:p>
  </w:footnote>
  <w:footnote w:id="26">
    <w:p w:rsidR="00C5723D" w:rsidRPr="00C5723D" w:rsidRDefault="00410AA1" w:rsidP="00E93E9F">
      <w:pPr>
        <w:pStyle w:val="FootnoteText"/>
      </w:pPr>
      <w:r>
        <w:tab/>
      </w:r>
      <w:r w:rsidR="00C5723D">
        <w:rPr>
          <w:rStyle w:val="FootnoteReference"/>
        </w:rPr>
        <w:footnoteRef/>
      </w:r>
      <w:r>
        <w:tab/>
      </w:r>
      <w:r w:rsidR="00C5723D" w:rsidRPr="00C5723D">
        <w:t xml:space="preserve">Voir </w:t>
      </w:r>
      <w:r w:rsidR="00DE342A">
        <w:t xml:space="preserve">la </w:t>
      </w:r>
      <w:r w:rsidR="00C5723D" w:rsidRPr="00C5723D">
        <w:t xml:space="preserve">communication </w:t>
      </w:r>
      <w:r w:rsidR="00DE342A" w:rsidRPr="00C5723D">
        <w:t>n</w:t>
      </w:r>
      <w:r w:rsidR="00DE342A" w:rsidRPr="00E93E9F">
        <w:rPr>
          <w:vertAlign w:val="superscript"/>
        </w:rPr>
        <w:t>o</w:t>
      </w:r>
      <w:r w:rsidR="00DE342A">
        <w:t> </w:t>
      </w:r>
      <w:r w:rsidR="00C5723D" w:rsidRPr="00C5723D">
        <w:t xml:space="preserve">503/2012, </w:t>
      </w:r>
      <w:r w:rsidR="00C5723D" w:rsidRPr="00C5723D">
        <w:rPr>
          <w:i/>
        </w:rPr>
        <w:t>Ntikarahera c. Burundi</w:t>
      </w:r>
      <w:r w:rsidR="00C5723D" w:rsidRPr="00C5723D">
        <w:t>, décision adopté le 12 mai 2014, par.</w:t>
      </w:r>
      <w:r w:rsidR="00FC5EA5">
        <w:t> </w:t>
      </w:r>
      <w:r w:rsidR="00C5723D" w:rsidRPr="00C5723D">
        <w:t xml:space="preserve">6.6. Voir aussi </w:t>
      </w:r>
      <w:r w:rsidR="00C5723D" w:rsidRPr="00205A0A">
        <w:rPr>
          <w:i/>
        </w:rPr>
        <w:t>Niyonzima c. Burundi</w:t>
      </w:r>
      <w:r w:rsidR="00C5723D" w:rsidRPr="00C5723D">
        <w:t>, par. 8.8.</w:t>
      </w:r>
    </w:p>
  </w:footnote>
  <w:footnote w:id="27">
    <w:p w:rsidR="00C5723D" w:rsidRPr="00205A0A" w:rsidRDefault="00981AFB" w:rsidP="00E93E9F">
      <w:pPr>
        <w:pStyle w:val="FootnoteText"/>
      </w:pPr>
      <w:r>
        <w:tab/>
      </w:r>
      <w:r w:rsidR="00C5723D">
        <w:rPr>
          <w:rStyle w:val="FootnoteReference"/>
        </w:rPr>
        <w:footnoteRef/>
      </w:r>
      <w:r>
        <w:tab/>
      </w:r>
      <w:r w:rsidR="00205A0A" w:rsidRPr="00C5723D">
        <w:t xml:space="preserve">Voir </w:t>
      </w:r>
      <w:r w:rsidR="00205A0A" w:rsidRPr="00205A0A">
        <w:rPr>
          <w:i/>
        </w:rPr>
        <w:t>Niyonzima c. Burundi</w:t>
      </w:r>
      <w:r w:rsidR="00205A0A" w:rsidRPr="00C5723D">
        <w:t>, par.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DD" w:rsidRPr="008B0E59" w:rsidRDefault="00D90BDD">
    <w:pPr>
      <w:pStyle w:val="Header"/>
    </w:pPr>
    <w:r>
      <w:t>CAT/C/5</w:t>
    </w:r>
    <w:r w:rsidR="00A5425B">
      <w:t>9</w:t>
    </w:r>
    <w:r>
      <w:t>/D/606/2014</w:t>
    </w:r>
    <w:r w:rsidR="00BD71B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DD" w:rsidRPr="008B0E59" w:rsidRDefault="00D90BDD" w:rsidP="008B0E59">
    <w:pPr>
      <w:pStyle w:val="Header"/>
      <w:jc w:val="right"/>
    </w:pPr>
    <w:r>
      <w:t>CAT/C/5</w:t>
    </w:r>
    <w:r w:rsidR="00A5425B">
      <w:t>9</w:t>
    </w:r>
    <w:r>
      <w:t>/D/606/2014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4AAB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 w15:restartNumberingAfterBreak="0">
    <w:nsid w:val="783C74A5"/>
    <w:multiLevelType w:val="multilevel"/>
    <w:tmpl w:val="949A4AA8"/>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1"/>
  </w:num>
  <w:num w:numId="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59"/>
    <w:rsid w:val="00000261"/>
    <w:rsid w:val="000007C9"/>
    <w:rsid w:val="00000EDF"/>
    <w:rsid w:val="000015ED"/>
    <w:rsid w:val="0000229B"/>
    <w:rsid w:val="00003733"/>
    <w:rsid w:val="00003E75"/>
    <w:rsid w:val="00003E89"/>
    <w:rsid w:val="000066EF"/>
    <w:rsid w:val="000071E4"/>
    <w:rsid w:val="00007788"/>
    <w:rsid w:val="00007930"/>
    <w:rsid w:val="00010F8F"/>
    <w:rsid w:val="00011633"/>
    <w:rsid w:val="000126C7"/>
    <w:rsid w:val="000130C9"/>
    <w:rsid w:val="00013517"/>
    <w:rsid w:val="000135ED"/>
    <w:rsid w:val="00013B49"/>
    <w:rsid w:val="00014EB4"/>
    <w:rsid w:val="00015F1C"/>
    <w:rsid w:val="000165E4"/>
    <w:rsid w:val="00016AC5"/>
    <w:rsid w:val="0002123C"/>
    <w:rsid w:val="000213AA"/>
    <w:rsid w:val="000225B5"/>
    <w:rsid w:val="00022923"/>
    <w:rsid w:val="00025066"/>
    <w:rsid w:val="00025E41"/>
    <w:rsid w:val="00025E6A"/>
    <w:rsid w:val="0002714C"/>
    <w:rsid w:val="0002739D"/>
    <w:rsid w:val="00027A77"/>
    <w:rsid w:val="0003086B"/>
    <w:rsid w:val="00031DD9"/>
    <w:rsid w:val="00031F2B"/>
    <w:rsid w:val="0003350A"/>
    <w:rsid w:val="00034649"/>
    <w:rsid w:val="00034C17"/>
    <w:rsid w:val="00036349"/>
    <w:rsid w:val="0003643A"/>
    <w:rsid w:val="0003647A"/>
    <w:rsid w:val="000364C0"/>
    <w:rsid w:val="00036C3E"/>
    <w:rsid w:val="00040227"/>
    <w:rsid w:val="000418AF"/>
    <w:rsid w:val="00042A63"/>
    <w:rsid w:val="00042D06"/>
    <w:rsid w:val="0004413A"/>
    <w:rsid w:val="0004503E"/>
    <w:rsid w:val="00050033"/>
    <w:rsid w:val="00052C3A"/>
    <w:rsid w:val="00052F1F"/>
    <w:rsid w:val="000534FF"/>
    <w:rsid w:val="000540E9"/>
    <w:rsid w:val="00054323"/>
    <w:rsid w:val="00056653"/>
    <w:rsid w:val="000569AB"/>
    <w:rsid w:val="000578FF"/>
    <w:rsid w:val="00060637"/>
    <w:rsid w:val="00060E96"/>
    <w:rsid w:val="0006211A"/>
    <w:rsid w:val="00062FB5"/>
    <w:rsid w:val="00063776"/>
    <w:rsid w:val="00064120"/>
    <w:rsid w:val="00064402"/>
    <w:rsid w:val="000648C7"/>
    <w:rsid w:val="00065611"/>
    <w:rsid w:val="000700DA"/>
    <w:rsid w:val="00070F76"/>
    <w:rsid w:val="0007159A"/>
    <w:rsid w:val="00071DBB"/>
    <w:rsid w:val="0007218C"/>
    <w:rsid w:val="0007221C"/>
    <w:rsid w:val="00073FFB"/>
    <w:rsid w:val="000751AF"/>
    <w:rsid w:val="000751DE"/>
    <w:rsid w:val="000759BA"/>
    <w:rsid w:val="00077BED"/>
    <w:rsid w:val="00080FCE"/>
    <w:rsid w:val="00081B66"/>
    <w:rsid w:val="00082C5C"/>
    <w:rsid w:val="000857A3"/>
    <w:rsid w:val="00086394"/>
    <w:rsid w:val="0008657D"/>
    <w:rsid w:val="00086BFA"/>
    <w:rsid w:val="00086D0D"/>
    <w:rsid w:val="00087789"/>
    <w:rsid w:val="00090595"/>
    <w:rsid w:val="00090FCE"/>
    <w:rsid w:val="000910B8"/>
    <w:rsid w:val="00091339"/>
    <w:rsid w:val="00092FB4"/>
    <w:rsid w:val="00094543"/>
    <w:rsid w:val="000951CE"/>
    <w:rsid w:val="0009560D"/>
    <w:rsid w:val="00096269"/>
    <w:rsid w:val="00096E17"/>
    <w:rsid w:val="00097F4B"/>
    <w:rsid w:val="000A0126"/>
    <w:rsid w:val="000A16F6"/>
    <w:rsid w:val="000A19A3"/>
    <w:rsid w:val="000A1DC9"/>
    <w:rsid w:val="000A1E61"/>
    <w:rsid w:val="000A2271"/>
    <w:rsid w:val="000A2535"/>
    <w:rsid w:val="000A6119"/>
    <w:rsid w:val="000A7AD6"/>
    <w:rsid w:val="000A7FC8"/>
    <w:rsid w:val="000B0BE4"/>
    <w:rsid w:val="000B1037"/>
    <w:rsid w:val="000B241B"/>
    <w:rsid w:val="000B2D9F"/>
    <w:rsid w:val="000B32CD"/>
    <w:rsid w:val="000B45FE"/>
    <w:rsid w:val="000B4D54"/>
    <w:rsid w:val="000B4D95"/>
    <w:rsid w:val="000B5B68"/>
    <w:rsid w:val="000B615C"/>
    <w:rsid w:val="000B6C34"/>
    <w:rsid w:val="000B7966"/>
    <w:rsid w:val="000C10D8"/>
    <w:rsid w:val="000C184D"/>
    <w:rsid w:val="000C497C"/>
    <w:rsid w:val="000C51A4"/>
    <w:rsid w:val="000C56B1"/>
    <w:rsid w:val="000C7014"/>
    <w:rsid w:val="000C7EE7"/>
    <w:rsid w:val="000D2912"/>
    <w:rsid w:val="000D3C40"/>
    <w:rsid w:val="000D6056"/>
    <w:rsid w:val="000D6D06"/>
    <w:rsid w:val="000D76F5"/>
    <w:rsid w:val="000D7853"/>
    <w:rsid w:val="000E053A"/>
    <w:rsid w:val="000E259F"/>
    <w:rsid w:val="000E260C"/>
    <w:rsid w:val="000E3A8E"/>
    <w:rsid w:val="000E4723"/>
    <w:rsid w:val="000E76A8"/>
    <w:rsid w:val="000E7AE5"/>
    <w:rsid w:val="000F123A"/>
    <w:rsid w:val="000F127E"/>
    <w:rsid w:val="000F1AF3"/>
    <w:rsid w:val="000F2015"/>
    <w:rsid w:val="000F3239"/>
    <w:rsid w:val="000F3B8C"/>
    <w:rsid w:val="000F41F2"/>
    <w:rsid w:val="000F51B4"/>
    <w:rsid w:val="000F6810"/>
    <w:rsid w:val="000F710E"/>
    <w:rsid w:val="00100CCD"/>
    <w:rsid w:val="00101445"/>
    <w:rsid w:val="00102E8A"/>
    <w:rsid w:val="00103197"/>
    <w:rsid w:val="0010350D"/>
    <w:rsid w:val="00103920"/>
    <w:rsid w:val="0010492C"/>
    <w:rsid w:val="001068D5"/>
    <w:rsid w:val="00111616"/>
    <w:rsid w:val="001154CF"/>
    <w:rsid w:val="001161BD"/>
    <w:rsid w:val="001161D1"/>
    <w:rsid w:val="00116550"/>
    <w:rsid w:val="00116860"/>
    <w:rsid w:val="001172B4"/>
    <w:rsid w:val="001172D4"/>
    <w:rsid w:val="00120255"/>
    <w:rsid w:val="00120F2F"/>
    <w:rsid w:val="001217B1"/>
    <w:rsid w:val="00121B7D"/>
    <w:rsid w:val="00123118"/>
    <w:rsid w:val="00123340"/>
    <w:rsid w:val="00123423"/>
    <w:rsid w:val="00124F74"/>
    <w:rsid w:val="00126505"/>
    <w:rsid w:val="00127133"/>
    <w:rsid w:val="00130511"/>
    <w:rsid w:val="00131EA9"/>
    <w:rsid w:val="00132332"/>
    <w:rsid w:val="00134070"/>
    <w:rsid w:val="00134114"/>
    <w:rsid w:val="0013481E"/>
    <w:rsid w:val="00134BD5"/>
    <w:rsid w:val="001350BB"/>
    <w:rsid w:val="001415E6"/>
    <w:rsid w:val="00141C39"/>
    <w:rsid w:val="00141CF5"/>
    <w:rsid w:val="00145220"/>
    <w:rsid w:val="001458C5"/>
    <w:rsid w:val="001506A2"/>
    <w:rsid w:val="00151933"/>
    <w:rsid w:val="00152E7E"/>
    <w:rsid w:val="00153D6C"/>
    <w:rsid w:val="00154AC6"/>
    <w:rsid w:val="00155BF1"/>
    <w:rsid w:val="0015678C"/>
    <w:rsid w:val="00156A6A"/>
    <w:rsid w:val="0015768C"/>
    <w:rsid w:val="00160540"/>
    <w:rsid w:val="00163E98"/>
    <w:rsid w:val="00163E9F"/>
    <w:rsid w:val="001642CA"/>
    <w:rsid w:val="001643A5"/>
    <w:rsid w:val="001652D1"/>
    <w:rsid w:val="00167BA2"/>
    <w:rsid w:val="00171355"/>
    <w:rsid w:val="00171E40"/>
    <w:rsid w:val="00172336"/>
    <w:rsid w:val="0017481B"/>
    <w:rsid w:val="00174DDA"/>
    <w:rsid w:val="00176E09"/>
    <w:rsid w:val="00177467"/>
    <w:rsid w:val="00183362"/>
    <w:rsid w:val="0018362F"/>
    <w:rsid w:val="001847D7"/>
    <w:rsid w:val="001850C1"/>
    <w:rsid w:val="0018511C"/>
    <w:rsid w:val="0018535C"/>
    <w:rsid w:val="00185AEB"/>
    <w:rsid w:val="00186762"/>
    <w:rsid w:val="00190BD0"/>
    <w:rsid w:val="00190BFD"/>
    <w:rsid w:val="00192EEB"/>
    <w:rsid w:val="00194466"/>
    <w:rsid w:val="00194E42"/>
    <w:rsid w:val="00195976"/>
    <w:rsid w:val="001A0A18"/>
    <w:rsid w:val="001A20FB"/>
    <w:rsid w:val="001A2A4E"/>
    <w:rsid w:val="001A3525"/>
    <w:rsid w:val="001A360A"/>
    <w:rsid w:val="001A53A4"/>
    <w:rsid w:val="001A5E18"/>
    <w:rsid w:val="001A6FE8"/>
    <w:rsid w:val="001A7D6F"/>
    <w:rsid w:val="001B0163"/>
    <w:rsid w:val="001B1320"/>
    <w:rsid w:val="001B1695"/>
    <w:rsid w:val="001B1EA5"/>
    <w:rsid w:val="001B24C8"/>
    <w:rsid w:val="001B365F"/>
    <w:rsid w:val="001B58CE"/>
    <w:rsid w:val="001C0859"/>
    <w:rsid w:val="001C15F0"/>
    <w:rsid w:val="001C1E6D"/>
    <w:rsid w:val="001C297E"/>
    <w:rsid w:val="001C2A53"/>
    <w:rsid w:val="001C3018"/>
    <w:rsid w:val="001C376E"/>
    <w:rsid w:val="001C399A"/>
    <w:rsid w:val="001C4361"/>
    <w:rsid w:val="001C452D"/>
    <w:rsid w:val="001C4760"/>
    <w:rsid w:val="001C481B"/>
    <w:rsid w:val="001C627D"/>
    <w:rsid w:val="001C63E0"/>
    <w:rsid w:val="001C7C2B"/>
    <w:rsid w:val="001C7CCC"/>
    <w:rsid w:val="001D1134"/>
    <w:rsid w:val="001D186E"/>
    <w:rsid w:val="001D190D"/>
    <w:rsid w:val="001D19EE"/>
    <w:rsid w:val="001D368B"/>
    <w:rsid w:val="001D5955"/>
    <w:rsid w:val="001D5CFE"/>
    <w:rsid w:val="001D7A2E"/>
    <w:rsid w:val="001D7F8A"/>
    <w:rsid w:val="001E3344"/>
    <w:rsid w:val="001E3D14"/>
    <w:rsid w:val="001E3FEB"/>
    <w:rsid w:val="001E4A02"/>
    <w:rsid w:val="001E5414"/>
    <w:rsid w:val="001E5DAB"/>
    <w:rsid w:val="001E5FA1"/>
    <w:rsid w:val="001E7F89"/>
    <w:rsid w:val="001F0F40"/>
    <w:rsid w:val="001F12C6"/>
    <w:rsid w:val="001F1D33"/>
    <w:rsid w:val="001F2602"/>
    <w:rsid w:val="001F3C1E"/>
    <w:rsid w:val="001F44F6"/>
    <w:rsid w:val="001F53EF"/>
    <w:rsid w:val="001F5A31"/>
    <w:rsid w:val="001F5A4F"/>
    <w:rsid w:val="001F6517"/>
    <w:rsid w:val="001F687A"/>
    <w:rsid w:val="001F6E65"/>
    <w:rsid w:val="00202F14"/>
    <w:rsid w:val="00203BCB"/>
    <w:rsid w:val="00204245"/>
    <w:rsid w:val="00205A0A"/>
    <w:rsid w:val="002061B0"/>
    <w:rsid w:val="002069FA"/>
    <w:rsid w:val="00207A1A"/>
    <w:rsid w:val="00210080"/>
    <w:rsid w:val="00210995"/>
    <w:rsid w:val="0021223B"/>
    <w:rsid w:val="00212BF5"/>
    <w:rsid w:val="00213885"/>
    <w:rsid w:val="00213AD9"/>
    <w:rsid w:val="00213D2D"/>
    <w:rsid w:val="00213DDA"/>
    <w:rsid w:val="00215AC0"/>
    <w:rsid w:val="00215ADE"/>
    <w:rsid w:val="00216311"/>
    <w:rsid w:val="00216FC1"/>
    <w:rsid w:val="00220CA7"/>
    <w:rsid w:val="00220F74"/>
    <w:rsid w:val="002222CD"/>
    <w:rsid w:val="002222D4"/>
    <w:rsid w:val="002239A3"/>
    <w:rsid w:val="00225A8C"/>
    <w:rsid w:val="002341FA"/>
    <w:rsid w:val="00234D13"/>
    <w:rsid w:val="002354CA"/>
    <w:rsid w:val="00237839"/>
    <w:rsid w:val="00244330"/>
    <w:rsid w:val="002444F3"/>
    <w:rsid w:val="00244BB3"/>
    <w:rsid w:val="00245681"/>
    <w:rsid w:val="00250544"/>
    <w:rsid w:val="002511A5"/>
    <w:rsid w:val="00253C74"/>
    <w:rsid w:val="00254920"/>
    <w:rsid w:val="00256721"/>
    <w:rsid w:val="002569FF"/>
    <w:rsid w:val="00256F54"/>
    <w:rsid w:val="0025766D"/>
    <w:rsid w:val="00257A5A"/>
    <w:rsid w:val="00260735"/>
    <w:rsid w:val="0026149B"/>
    <w:rsid w:val="00261ED9"/>
    <w:rsid w:val="00261F7C"/>
    <w:rsid w:val="00261FA5"/>
    <w:rsid w:val="00262547"/>
    <w:rsid w:val="00262D03"/>
    <w:rsid w:val="00263C3A"/>
    <w:rsid w:val="00264ACC"/>
    <w:rsid w:val="002659F1"/>
    <w:rsid w:val="00266D00"/>
    <w:rsid w:val="00267BC2"/>
    <w:rsid w:val="00267E0F"/>
    <w:rsid w:val="00270D8B"/>
    <w:rsid w:val="00271A9C"/>
    <w:rsid w:val="0027345C"/>
    <w:rsid w:val="00274343"/>
    <w:rsid w:val="00274541"/>
    <w:rsid w:val="0027658C"/>
    <w:rsid w:val="0027690B"/>
    <w:rsid w:val="00276D9F"/>
    <w:rsid w:val="00277DAF"/>
    <w:rsid w:val="00280D06"/>
    <w:rsid w:val="002812EF"/>
    <w:rsid w:val="00281F3F"/>
    <w:rsid w:val="0028357F"/>
    <w:rsid w:val="00283B21"/>
    <w:rsid w:val="00283B5F"/>
    <w:rsid w:val="00285B6B"/>
    <w:rsid w:val="00286197"/>
    <w:rsid w:val="002861B4"/>
    <w:rsid w:val="00286F76"/>
    <w:rsid w:val="00287E79"/>
    <w:rsid w:val="00290E04"/>
    <w:rsid w:val="00291AFE"/>
    <w:rsid w:val="00291E80"/>
    <w:rsid w:val="002928F9"/>
    <w:rsid w:val="00292FB4"/>
    <w:rsid w:val="00293314"/>
    <w:rsid w:val="002946F2"/>
    <w:rsid w:val="00294CB0"/>
    <w:rsid w:val="00297409"/>
    <w:rsid w:val="00297B00"/>
    <w:rsid w:val="002A0ACA"/>
    <w:rsid w:val="002A1703"/>
    <w:rsid w:val="002A3045"/>
    <w:rsid w:val="002A4E94"/>
    <w:rsid w:val="002A5A7E"/>
    <w:rsid w:val="002A5D07"/>
    <w:rsid w:val="002A6A3F"/>
    <w:rsid w:val="002B05F9"/>
    <w:rsid w:val="002B08EC"/>
    <w:rsid w:val="002B142A"/>
    <w:rsid w:val="002B177B"/>
    <w:rsid w:val="002B1F1C"/>
    <w:rsid w:val="002B24DB"/>
    <w:rsid w:val="002B422A"/>
    <w:rsid w:val="002B444F"/>
    <w:rsid w:val="002B5363"/>
    <w:rsid w:val="002B5D1A"/>
    <w:rsid w:val="002B6A29"/>
    <w:rsid w:val="002B6D54"/>
    <w:rsid w:val="002B7F02"/>
    <w:rsid w:val="002C07C1"/>
    <w:rsid w:val="002C2003"/>
    <w:rsid w:val="002C4061"/>
    <w:rsid w:val="002C41DE"/>
    <w:rsid w:val="002C5528"/>
    <w:rsid w:val="002C55BA"/>
    <w:rsid w:val="002C564E"/>
    <w:rsid w:val="002C6066"/>
    <w:rsid w:val="002C7CF1"/>
    <w:rsid w:val="002D1E0B"/>
    <w:rsid w:val="002D40BB"/>
    <w:rsid w:val="002D5D10"/>
    <w:rsid w:val="002E0C1D"/>
    <w:rsid w:val="002E2300"/>
    <w:rsid w:val="002E2AE4"/>
    <w:rsid w:val="002E49F5"/>
    <w:rsid w:val="002E6779"/>
    <w:rsid w:val="002F00FC"/>
    <w:rsid w:val="002F0E22"/>
    <w:rsid w:val="002F1478"/>
    <w:rsid w:val="002F30BB"/>
    <w:rsid w:val="002F31CA"/>
    <w:rsid w:val="002F356C"/>
    <w:rsid w:val="002F4B16"/>
    <w:rsid w:val="002F6C2F"/>
    <w:rsid w:val="002F7E67"/>
    <w:rsid w:val="003016B7"/>
    <w:rsid w:val="0030205D"/>
    <w:rsid w:val="0030256A"/>
    <w:rsid w:val="00302B94"/>
    <w:rsid w:val="00304508"/>
    <w:rsid w:val="00304DA6"/>
    <w:rsid w:val="00307745"/>
    <w:rsid w:val="00311ADA"/>
    <w:rsid w:val="00311B23"/>
    <w:rsid w:val="00312AB0"/>
    <w:rsid w:val="00312E21"/>
    <w:rsid w:val="0031336E"/>
    <w:rsid w:val="003138D7"/>
    <w:rsid w:val="00315D43"/>
    <w:rsid w:val="003164F1"/>
    <w:rsid w:val="00317DE5"/>
    <w:rsid w:val="00320DFA"/>
    <w:rsid w:val="00321A18"/>
    <w:rsid w:val="003225A6"/>
    <w:rsid w:val="003226B0"/>
    <w:rsid w:val="003239FB"/>
    <w:rsid w:val="00323F4D"/>
    <w:rsid w:val="00324478"/>
    <w:rsid w:val="00330FD5"/>
    <w:rsid w:val="003323C2"/>
    <w:rsid w:val="00334193"/>
    <w:rsid w:val="00335D06"/>
    <w:rsid w:val="00340CEF"/>
    <w:rsid w:val="00343B18"/>
    <w:rsid w:val="003454FD"/>
    <w:rsid w:val="0034627D"/>
    <w:rsid w:val="0034633A"/>
    <w:rsid w:val="00350CBE"/>
    <w:rsid w:val="00350D4D"/>
    <w:rsid w:val="0035100C"/>
    <w:rsid w:val="0035110B"/>
    <w:rsid w:val="003515AA"/>
    <w:rsid w:val="00351CC9"/>
    <w:rsid w:val="00352C18"/>
    <w:rsid w:val="003530A8"/>
    <w:rsid w:val="003538DB"/>
    <w:rsid w:val="00353D78"/>
    <w:rsid w:val="003548CD"/>
    <w:rsid w:val="00355A69"/>
    <w:rsid w:val="00355BD4"/>
    <w:rsid w:val="00356409"/>
    <w:rsid w:val="00357788"/>
    <w:rsid w:val="00360AC7"/>
    <w:rsid w:val="003612B7"/>
    <w:rsid w:val="00362FED"/>
    <w:rsid w:val="003637D8"/>
    <w:rsid w:val="003642ED"/>
    <w:rsid w:val="0036521D"/>
    <w:rsid w:val="0036672B"/>
    <w:rsid w:val="003670E9"/>
    <w:rsid w:val="00367B4B"/>
    <w:rsid w:val="00370AAE"/>
    <w:rsid w:val="00370E6C"/>
    <w:rsid w:val="00370F1A"/>
    <w:rsid w:val="00372BE8"/>
    <w:rsid w:val="0037300D"/>
    <w:rsid w:val="00373253"/>
    <w:rsid w:val="00373569"/>
    <w:rsid w:val="00374106"/>
    <w:rsid w:val="00375EA2"/>
    <w:rsid w:val="003764A3"/>
    <w:rsid w:val="0037681D"/>
    <w:rsid w:val="003770E9"/>
    <w:rsid w:val="00377642"/>
    <w:rsid w:val="0038005C"/>
    <w:rsid w:val="00380370"/>
    <w:rsid w:val="0038112E"/>
    <w:rsid w:val="0038279C"/>
    <w:rsid w:val="00382ED8"/>
    <w:rsid w:val="00383AEC"/>
    <w:rsid w:val="00383B31"/>
    <w:rsid w:val="00385202"/>
    <w:rsid w:val="00385E4C"/>
    <w:rsid w:val="00386BA9"/>
    <w:rsid w:val="003875E0"/>
    <w:rsid w:val="00387F2E"/>
    <w:rsid w:val="0039065E"/>
    <w:rsid w:val="0039078E"/>
    <w:rsid w:val="00391AFC"/>
    <w:rsid w:val="00391C7B"/>
    <w:rsid w:val="00392900"/>
    <w:rsid w:val="00392F9A"/>
    <w:rsid w:val="00394702"/>
    <w:rsid w:val="00395418"/>
    <w:rsid w:val="00395469"/>
    <w:rsid w:val="003955CD"/>
    <w:rsid w:val="003962EB"/>
    <w:rsid w:val="0039693B"/>
    <w:rsid w:val="003976D5"/>
    <w:rsid w:val="00397AD0"/>
    <w:rsid w:val="003A1580"/>
    <w:rsid w:val="003A3930"/>
    <w:rsid w:val="003A5BE3"/>
    <w:rsid w:val="003A630B"/>
    <w:rsid w:val="003A7031"/>
    <w:rsid w:val="003A7BED"/>
    <w:rsid w:val="003B0863"/>
    <w:rsid w:val="003B24BF"/>
    <w:rsid w:val="003B26C2"/>
    <w:rsid w:val="003B2946"/>
    <w:rsid w:val="003B3781"/>
    <w:rsid w:val="003B37E4"/>
    <w:rsid w:val="003B41FA"/>
    <w:rsid w:val="003B4601"/>
    <w:rsid w:val="003B533D"/>
    <w:rsid w:val="003B5414"/>
    <w:rsid w:val="003B5F99"/>
    <w:rsid w:val="003C0FD0"/>
    <w:rsid w:val="003C1564"/>
    <w:rsid w:val="003C1E5A"/>
    <w:rsid w:val="003C33C6"/>
    <w:rsid w:val="003C3C47"/>
    <w:rsid w:val="003C76A1"/>
    <w:rsid w:val="003D1DBD"/>
    <w:rsid w:val="003D2697"/>
    <w:rsid w:val="003D44C8"/>
    <w:rsid w:val="003D4E3D"/>
    <w:rsid w:val="003D61F6"/>
    <w:rsid w:val="003D6C68"/>
    <w:rsid w:val="003D776F"/>
    <w:rsid w:val="003E26F6"/>
    <w:rsid w:val="003E42A3"/>
    <w:rsid w:val="003E453F"/>
    <w:rsid w:val="003E4A58"/>
    <w:rsid w:val="003E5702"/>
    <w:rsid w:val="003E6CFC"/>
    <w:rsid w:val="003E785F"/>
    <w:rsid w:val="003E7D59"/>
    <w:rsid w:val="003F0254"/>
    <w:rsid w:val="003F1463"/>
    <w:rsid w:val="003F183C"/>
    <w:rsid w:val="003F2794"/>
    <w:rsid w:val="003F44AD"/>
    <w:rsid w:val="003F66BF"/>
    <w:rsid w:val="00401370"/>
    <w:rsid w:val="004019C1"/>
    <w:rsid w:val="0040343B"/>
    <w:rsid w:val="00403835"/>
    <w:rsid w:val="00405785"/>
    <w:rsid w:val="0040634F"/>
    <w:rsid w:val="004065E0"/>
    <w:rsid w:val="00407BAB"/>
    <w:rsid w:val="00407E37"/>
    <w:rsid w:val="00410989"/>
    <w:rsid w:val="00410AA1"/>
    <w:rsid w:val="0041105D"/>
    <w:rsid w:val="00411301"/>
    <w:rsid w:val="00413475"/>
    <w:rsid w:val="004149AC"/>
    <w:rsid w:val="004153DE"/>
    <w:rsid w:val="004159D0"/>
    <w:rsid w:val="00415E30"/>
    <w:rsid w:val="004166DE"/>
    <w:rsid w:val="004204D4"/>
    <w:rsid w:val="0042101E"/>
    <w:rsid w:val="0042160C"/>
    <w:rsid w:val="00421D44"/>
    <w:rsid w:val="0042228B"/>
    <w:rsid w:val="00422367"/>
    <w:rsid w:val="00423476"/>
    <w:rsid w:val="004253FF"/>
    <w:rsid w:val="00427184"/>
    <w:rsid w:val="00427399"/>
    <w:rsid w:val="0043030F"/>
    <w:rsid w:val="004315BB"/>
    <w:rsid w:val="004320D0"/>
    <w:rsid w:val="00433DBE"/>
    <w:rsid w:val="00440AE2"/>
    <w:rsid w:val="004411B0"/>
    <w:rsid w:val="004417F2"/>
    <w:rsid w:val="0044345A"/>
    <w:rsid w:val="00444836"/>
    <w:rsid w:val="0044642B"/>
    <w:rsid w:val="0044651B"/>
    <w:rsid w:val="00446BA8"/>
    <w:rsid w:val="00446E6E"/>
    <w:rsid w:val="00450349"/>
    <w:rsid w:val="004503F4"/>
    <w:rsid w:val="00450EAB"/>
    <w:rsid w:val="00454A22"/>
    <w:rsid w:val="00455D94"/>
    <w:rsid w:val="00456078"/>
    <w:rsid w:val="00456E1F"/>
    <w:rsid w:val="004574C2"/>
    <w:rsid w:val="0046025F"/>
    <w:rsid w:val="00460A5D"/>
    <w:rsid w:val="0046150C"/>
    <w:rsid w:val="00461F0A"/>
    <w:rsid w:val="00461F88"/>
    <w:rsid w:val="00462545"/>
    <w:rsid w:val="004634F4"/>
    <w:rsid w:val="00463AC1"/>
    <w:rsid w:val="00466466"/>
    <w:rsid w:val="004673F6"/>
    <w:rsid w:val="00470B61"/>
    <w:rsid w:val="00471A91"/>
    <w:rsid w:val="0047229F"/>
    <w:rsid w:val="00473288"/>
    <w:rsid w:val="004732E9"/>
    <w:rsid w:val="0047337E"/>
    <w:rsid w:val="00473860"/>
    <w:rsid w:val="004747CE"/>
    <w:rsid w:val="00475382"/>
    <w:rsid w:val="00475847"/>
    <w:rsid w:val="00480732"/>
    <w:rsid w:val="004808BF"/>
    <w:rsid w:val="00481D1D"/>
    <w:rsid w:val="00482485"/>
    <w:rsid w:val="004826E9"/>
    <w:rsid w:val="00486BD4"/>
    <w:rsid w:val="00486D8F"/>
    <w:rsid w:val="004871EA"/>
    <w:rsid w:val="00490194"/>
    <w:rsid w:val="0049031C"/>
    <w:rsid w:val="00491525"/>
    <w:rsid w:val="00491716"/>
    <w:rsid w:val="004920C7"/>
    <w:rsid w:val="0049234F"/>
    <w:rsid w:val="0049372A"/>
    <w:rsid w:val="0049446B"/>
    <w:rsid w:val="0049459A"/>
    <w:rsid w:val="00494E46"/>
    <w:rsid w:val="00495BDA"/>
    <w:rsid w:val="00495C18"/>
    <w:rsid w:val="004968A7"/>
    <w:rsid w:val="004A0EF9"/>
    <w:rsid w:val="004A0F0A"/>
    <w:rsid w:val="004A2318"/>
    <w:rsid w:val="004A38F4"/>
    <w:rsid w:val="004A51A8"/>
    <w:rsid w:val="004A72E7"/>
    <w:rsid w:val="004A7B8D"/>
    <w:rsid w:val="004B2E2B"/>
    <w:rsid w:val="004B4AED"/>
    <w:rsid w:val="004B4C4D"/>
    <w:rsid w:val="004B4FC0"/>
    <w:rsid w:val="004B6B0B"/>
    <w:rsid w:val="004C0623"/>
    <w:rsid w:val="004C07E4"/>
    <w:rsid w:val="004C2A5A"/>
    <w:rsid w:val="004C3BBE"/>
    <w:rsid w:val="004C521E"/>
    <w:rsid w:val="004C5C54"/>
    <w:rsid w:val="004C5DF9"/>
    <w:rsid w:val="004C6E70"/>
    <w:rsid w:val="004C7C34"/>
    <w:rsid w:val="004D0AD8"/>
    <w:rsid w:val="004D1851"/>
    <w:rsid w:val="004D3C01"/>
    <w:rsid w:val="004D3DC5"/>
    <w:rsid w:val="004D4BB3"/>
    <w:rsid w:val="004D57B9"/>
    <w:rsid w:val="004D5978"/>
    <w:rsid w:val="004D713D"/>
    <w:rsid w:val="004D761E"/>
    <w:rsid w:val="004D7B19"/>
    <w:rsid w:val="004E15BA"/>
    <w:rsid w:val="004E2675"/>
    <w:rsid w:val="004E2837"/>
    <w:rsid w:val="004E2A12"/>
    <w:rsid w:val="004E2F2D"/>
    <w:rsid w:val="004E37FF"/>
    <w:rsid w:val="004E4141"/>
    <w:rsid w:val="004E4773"/>
    <w:rsid w:val="004E679F"/>
    <w:rsid w:val="004E78DD"/>
    <w:rsid w:val="004F0093"/>
    <w:rsid w:val="004F06A4"/>
    <w:rsid w:val="004F082B"/>
    <w:rsid w:val="004F18F8"/>
    <w:rsid w:val="004F4DE0"/>
    <w:rsid w:val="004F6387"/>
    <w:rsid w:val="004F6CAF"/>
    <w:rsid w:val="004F77FF"/>
    <w:rsid w:val="004F7836"/>
    <w:rsid w:val="005003DF"/>
    <w:rsid w:val="005021EB"/>
    <w:rsid w:val="0050265E"/>
    <w:rsid w:val="005028EF"/>
    <w:rsid w:val="00502A30"/>
    <w:rsid w:val="00504D72"/>
    <w:rsid w:val="00504D8D"/>
    <w:rsid w:val="005066FE"/>
    <w:rsid w:val="00506CD1"/>
    <w:rsid w:val="00507E88"/>
    <w:rsid w:val="00507EA1"/>
    <w:rsid w:val="00510471"/>
    <w:rsid w:val="00510AA0"/>
    <w:rsid w:val="005135AB"/>
    <w:rsid w:val="0051547E"/>
    <w:rsid w:val="00515DCC"/>
    <w:rsid w:val="00515EEB"/>
    <w:rsid w:val="0052330B"/>
    <w:rsid w:val="0052412D"/>
    <w:rsid w:val="00524C7F"/>
    <w:rsid w:val="00524CDB"/>
    <w:rsid w:val="005255C2"/>
    <w:rsid w:val="00525CE6"/>
    <w:rsid w:val="00525DBB"/>
    <w:rsid w:val="00526C5D"/>
    <w:rsid w:val="00527CF1"/>
    <w:rsid w:val="00530BB6"/>
    <w:rsid w:val="00530DC9"/>
    <w:rsid w:val="00532427"/>
    <w:rsid w:val="00532C39"/>
    <w:rsid w:val="00532E57"/>
    <w:rsid w:val="00534EED"/>
    <w:rsid w:val="00540A30"/>
    <w:rsid w:val="005438A4"/>
    <w:rsid w:val="00543B86"/>
    <w:rsid w:val="00543D5E"/>
    <w:rsid w:val="00546C5E"/>
    <w:rsid w:val="00552332"/>
    <w:rsid w:val="00556F6F"/>
    <w:rsid w:val="00557ED5"/>
    <w:rsid w:val="005610B3"/>
    <w:rsid w:val="00561DF8"/>
    <w:rsid w:val="00563371"/>
    <w:rsid w:val="0056425B"/>
    <w:rsid w:val="005650A9"/>
    <w:rsid w:val="005653DD"/>
    <w:rsid w:val="005656BB"/>
    <w:rsid w:val="005669C3"/>
    <w:rsid w:val="005676C5"/>
    <w:rsid w:val="00567850"/>
    <w:rsid w:val="00567939"/>
    <w:rsid w:val="00567A16"/>
    <w:rsid w:val="00567A88"/>
    <w:rsid w:val="00567EC1"/>
    <w:rsid w:val="00570229"/>
    <w:rsid w:val="00571F41"/>
    <w:rsid w:val="0057377C"/>
    <w:rsid w:val="00575EA4"/>
    <w:rsid w:val="00576448"/>
    <w:rsid w:val="00577EC8"/>
    <w:rsid w:val="00580B23"/>
    <w:rsid w:val="0058376D"/>
    <w:rsid w:val="00584920"/>
    <w:rsid w:val="00584E03"/>
    <w:rsid w:val="00585492"/>
    <w:rsid w:val="00586123"/>
    <w:rsid w:val="00586D83"/>
    <w:rsid w:val="00587929"/>
    <w:rsid w:val="00590626"/>
    <w:rsid w:val="00590634"/>
    <w:rsid w:val="00591BE5"/>
    <w:rsid w:val="00592513"/>
    <w:rsid w:val="00592667"/>
    <w:rsid w:val="00592C59"/>
    <w:rsid w:val="00595020"/>
    <w:rsid w:val="005965ED"/>
    <w:rsid w:val="00596716"/>
    <w:rsid w:val="00597303"/>
    <w:rsid w:val="005973EA"/>
    <w:rsid w:val="005A1322"/>
    <w:rsid w:val="005A1982"/>
    <w:rsid w:val="005A1BF3"/>
    <w:rsid w:val="005A461E"/>
    <w:rsid w:val="005B25F6"/>
    <w:rsid w:val="005B2E59"/>
    <w:rsid w:val="005B4193"/>
    <w:rsid w:val="005B4E77"/>
    <w:rsid w:val="005B5A23"/>
    <w:rsid w:val="005B60DC"/>
    <w:rsid w:val="005B6592"/>
    <w:rsid w:val="005B733D"/>
    <w:rsid w:val="005C0C76"/>
    <w:rsid w:val="005C2978"/>
    <w:rsid w:val="005C3B5B"/>
    <w:rsid w:val="005C433B"/>
    <w:rsid w:val="005C6AB9"/>
    <w:rsid w:val="005C6E8F"/>
    <w:rsid w:val="005C7901"/>
    <w:rsid w:val="005C7B49"/>
    <w:rsid w:val="005C7EBB"/>
    <w:rsid w:val="005D0661"/>
    <w:rsid w:val="005D0FD1"/>
    <w:rsid w:val="005D10C7"/>
    <w:rsid w:val="005D2873"/>
    <w:rsid w:val="005D3938"/>
    <w:rsid w:val="005D4AE1"/>
    <w:rsid w:val="005D724A"/>
    <w:rsid w:val="005E0932"/>
    <w:rsid w:val="005E09E1"/>
    <w:rsid w:val="005E0A9A"/>
    <w:rsid w:val="005E2DA7"/>
    <w:rsid w:val="005E4A5B"/>
    <w:rsid w:val="005E5B1A"/>
    <w:rsid w:val="005E5C92"/>
    <w:rsid w:val="005E5D1F"/>
    <w:rsid w:val="005E6275"/>
    <w:rsid w:val="005F0A90"/>
    <w:rsid w:val="005F0E63"/>
    <w:rsid w:val="005F22C5"/>
    <w:rsid w:val="005F28F3"/>
    <w:rsid w:val="005F3C76"/>
    <w:rsid w:val="005F739E"/>
    <w:rsid w:val="005F77F0"/>
    <w:rsid w:val="005F7C0C"/>
    <w:rsid w:val="005F7DEF"/>
    <w:rsid w:val="006000E5"/>
    <w:rsid w:val="00601EFF"/>
    <w:rsid w:val="00601F77"/>
    <w:rsid w:val="006029AB"/>
    <w:rsid w:val="00602C34"/>
    <w:rsid w:val="00606979"/>
    <w:rsid w:val="00606E13"/>
    <w:rsid w:val="006075EB"/>
    <w:rsid w:val="00610216"/>
    <w:rsid w:val="0061046E"/>
    <w:rsid w:val="00610C1F"/>
    <w:rsid w:val="00611D43"/>
    <w:rsid w:val="00612D48"/>
    <w:rsid w:val="006132A9"/>
    <w:rsid w:val="00615394"/>
    <w:rsid w:val="006157FA"/>
    <w:rsid w:val="00615CBA"/>
    <w:rsid w:val="00616B45"/>
    <w:rsid w:val="00616C43"/>
    <w:rsid w:val="00616C72"/>
    <w:rsid w:val="006170E8"/>
    <w:rsid w:val="00617CF2"/>
    <w:rsid w:val="006219E8"/>
    <w:rsid w:val="0062295E"/>
    <w:rsid w:val="00624DB5"/>
    <w:rsid w:val="006253DE"/>
    <w:rsid w:val="00626283"/>
    <w:rsid w:val="00626A74"/>
    <w:rsid w:val="00626F3B"/>
    <w:rsid w:val="00630D9B"/>
    <w:rsid w:val="00630F70"/>
    <w:rsid w:val="00631953"/>
    <w:rsid w:val="00632D1A"/>
    <w:rsid w:val="006332B5"/>
    <w:rsid w:val="0063367B"/>
    <w:rsid w:val="00633BD2"/>
    <w:rsid w:val="00636525"/>
    <w:rsid w:val="00636ECD"/>
    <w:rsid w:val="00640F13"/>
    <w:rsid w:val="006419FE"/>
    <w:rsid w:val="006439EC"/>
    <w:rsid w:val="00646E45"/>
    <w:rsid w:val="00650BDF"/>
    <w:rsid w:val="006510A3"/>
    <w:rsid w:val="006510FF"/>
    <w:rsid w:val="00651C35"/>
    <w:rsid w:val="006528C6"/>
    <w:rsid w:val="00653271"/>
    <w:rsid w:val="00653411"/>
    <w:rsid w:val="00653CB0"/>
    <w:rsid w:val="00654120"/>
    <w:rsid w:val="006557C1"/>
    <w:rsid w:val="00655A02"/>
    <w:rsid w:val="006616D5"/>
    <w:rsid w:val="00661FEA"/>
    <w:rsid w:val="006621AF"/>
    <w:rsid w:val="006635C5"/>
    <w:rsid w:val="0066361F"/>
    <w:rsid w:val="00663D78"/>
    <w:rsid w:val="00663F8A"/>
    <w:rsid w:val="006647E0"/>
    <w:rsid w:val="00665880"/>
    <w:rsid w:val="00666333"/>
    <w:rsid w:val="00667023"/>
    <w:rsid w:val="00667670"/>
    <w:rsid w:val="00670E5C"/>
    <w:rsid w:val="00673327"/>
    <w:rsid w:val="00674C31"/>
    <w:rsid w:val="0067503F"/>
    <w:rsid w:val="006751A6"/>
    <w:rsid w:val="00675D86"/>
    <w:rsid w:val="00675DAD"/>
    <w:rsid w:val="006809CE"/>
    <w:rsid w:val="00683D42"/>
    <w:rsid w:val="006873D7"/>
    <w:rsid w:val="00690B98"/>
    <w:rsid w:val="00691DA9"/>
    <w:rsid w:val="006929BF"/>
    <w:rsid w:val="006937B7"/>
    <w:rsid w:val="00693C3C"/>
    <w:rsid w:val="006969F8"/>
    <w:rsid w:val="0069744E"/>
    <w:rsid w:val="00697807"/>
    <w:rsid w:val="006978E8"/>
    <w:rsid w:val="006A0C63"/>
    <w:rsid w:val="006A0CF1"/>
    <w:rsid w:val="006A22CF"/>
    <w:rsid w:val="006A28C2"/>
    <w:rsid w:val="006A3153"/>
    <w:rsid w:val="006A3D12"/>
    <w:rsid w:val="006A3D28"/>
    <w:rsid w:val="006A3F62"/>
    <w:rsid w:val="006A6582"/>
    <w:rsid w:val="006A6A01"/>
    <w:rsid w:val="006A746C"/>
    <w:rsid w:val="006A7658"/>
    <w:rsid w:val="006B0146"/>
    <w:rsid w:val="006B05C0"/>
    <w:rsid w:val="006B10F9"/>
    <w:rsid w:val="006B11DB"/>
    <w:rsid w:val="006B132B"/>
    <w:rsid w:val="006B1FB4"/>
    <w:rsid w:val="006B272F"/>
    <w:rsid w:val="006B3FBC"/>
    <w:rsid w:val="006B4590"/>
    <w:rsid w:val="006B48D9"/>
    <w:rsid w:val="006B7C0B"/>
    <w:rsid w:val="006C0054"/>
    <w:rsid w:val="006C1594"/>
    <w:rsid w:val="006C340C"/>
    <w:rsid w:val="006C447D"/>
    <w:rsid w:val="006D7185"/>
    <w:rsid w:val="006D797A"/>
    <w:rsid w:val="006E0668"/>
    <w:rsid w:val="006E1512"/>
    <w:rsid w:val="006E2639"/>
    <w:rsid w:val="006E2860"/>
    <w:rsid w:val="006E36F5"/>
    <w:rsid w:val="006E3FED"/>
    <w:rsid w:val="006E6898"/>
    <w:rsid w:val="006F14D7"/>
    <w:rsid w:val="006F1BC5"/>
    <w:rsid w:val="006F2C54"/>
    <w:rsid w:val="006F3A5A"/>
    <w:rsid w:val="006F3ABE"/>
    <w:rsid w:val="006F4044"/>
    <w:rsid w:val="006F44A3"/>
    <w:rsid w:val="006F4C96"/>
    <w:rsid w:val="006F6D8A"/>
    <w:rsid w:val="00700E71"/>
    <w:rsid w:val="007023BB"/>
    <w:rsid w:val="00702774"/>
    <w:rsid w:val="0070347C"/>
    <w:rsid w:val="007052B7"/>
    <w:rsid w:val="00706582"/>
    <w:rsid w:val="00706AB9"/>
    <w:rsid w:val="00710F80"/>
    <w:rsid w:val="00711C79"/>
    <w:rsid w:val="00711F8D"/>
    <w:rsid w:val="00712FB7"/>
    <w:rsid w:val="00713F34"/>
    <w:rsid w:val="007169E6"/>
    <w:rsid w:val="00716E73"/>
    <w:rsid w:val="007170DC"/>
    <w:rsid w:val="007176C1"/>
    <w:rsid w:val="007179BB"/>
    <w:rsid w:val="00717CE1"/>
    <w:rsid w:val="0072021E"/>
    <w:rsid w:val="00722607"/>
    <w:rsid w:val="007249DC"/>
    <w:rsid w:val="0072567A"/>
    <w:rsid w:val="00726E78"/>
    <w:rsid w:val="0073223E"/>
    <w:rsid w:val="007322EA"/>
    <w:rsid w:val="00732B22"/>
    <w:rsid w:val="0073692F"/>
    <w:rsid w:val="00736B11"/>
    <w:rsid w:val="0073734D"/>
    <w:rsid w:val="0073783A"/>
    <w:rsid w:val="00737BC7"/>
    <w:rsid w:val="0074016E"/>
    <w:rsid w:val="00740553"/>
    <w:rsid w:val="007408B6"/>
    <w:rsid w:val="0074176A"/>
    <w:rsid w:val="00742539"/>
    <w:rsid w:val="00744044"/>
    <w:rsid w:val="007443D4"/>
    <w:rsid w:val="007448A8"/>
    <w:rsid w:val="00746360"/>
    <w:rsid w:val="00747DA5"/>
    <w:rsid w:val="0075144B"/>
    <w:rsid w:val="00752C17"/>
    <w:rsid w:val="00752E21"/>
    <w:rsid w:val="0075342F"/>
    <w:rsid w:val="00754915"/>
    <w:rsid w:val="00757469"/>
    <w:rsid w:val="007617E0"/>
    <w:rsid w:val="007619D2"/>
    <w:rsid w:val="00762C08"/>
    <w:rsid w:val="00764196"/>
    <w:rsid w:val="0076448E"/>
    <w:rsid w:val="00764757"/>
    <w:rsid w:val="00765083"/>
    <w:rsid w:val="00765547"/>
    <w:rsid w:val="00765948"/>
    <w:rsid w:val="007659E0"/>
    <w:rsid w:val="00765BD3"/>
    <w:rsid w:val="00772EB8"/>
    <w:rsid w:val="00772EE0"/>
    <w:rsid w:val="00774476"/>
    <w:rsid w:val="0077674C"/>
    <w:rsid w:val="00776F5F"/>
    <w:rsid w:val="00780370"/>
    <w:rsid w:val="00780A73"/>
    <w:rsid w:val="00780C80"/>
    <w:rsid w:val="007810D1"/>
    <w:rsid w:val="00781823"/>
    <w:rsid w:val="00781EEA"/>
    <w:rsid w:val="007828CC"/>
    <w:rsid w:val="0078381E"/>
    <w:rsid w:val="00783A42"/>
    <w:rsid w:val="00783E53"/>
    <w:rsid w:val="00785D0F"/>
    <w:rsid w:val="00786E75"/>
    <w:rsid w:val="00786F39"/>
    <w:rsid w:val="00787A04"/>
    <w:rsid w:val="00790044"/>
    <w:rsid w:val="007916E3"/>
    <w:rsid w:val="007919CE"/>
    <w:rsid w:val="00791BD6"/>
    <w:rsid w:val="00791F3D"/>
    <w:rsid w:val="0079324C"/>
    <w:rsid w:val="00795954"/>
    <w:rsid w:val="00796D39"/>
    <w:rsid w:val="00796E4F"/>
    <w:rsid w:val="0079767D"/>
    <w:rsid w:val="007A00DE"/>
    <w:rsid w:val="007A0BB2"/>
    <w:rsid w:val="007A0E7E"/>
    <w:rsid w:val="007A173E"/>
    <w:rsid w:val="007A250F"/>
    <w:rsid w:val="007A292F"/>
    <w:rsid w:val="007A3123"/>
    <w:rsid w:val="007A3489"/>
    <w:rsid w:val="007A3B53"/>
    <w:rsid w:val="007A435D"/>
    <w:rsid w:val="007A4C09"/>
    <w:rsid w:val="007A5EEB"/>
    <w:rsid w:val="007A5FAB"/>
    <w:rsid w:val="007A681A"/>
    <w:rsid w:val="007A70E2"/>
    <w:rsid w:val="007A7275"/>
    <w:rsid w:val="007A7E79"/>
    <w:rsid w:val="007B0499"/>
    <w:rsid w:val="007B13C0"/>
    <w:rsid w:val="007B3841"/>
    <w:rsid w:val="007B50E1"/>
    <w:rsid w:val="007B7DA6"/>
    <w:rsid w:val="007C070F"/>
    <w:rsid w:val="007C0AE6"/>
    <w:rsid w:val="007C23D6"/>
    <w:rsid w:val="007C27BD"/>
    <w:rsid w:val="007C2FAD"/>
    <w:rsid w:val="007C3327"/>
    <w:rsid w:val="007C36A9"/>
    <w:rsid w:val="007C4A8B"/>
    <w:rsid w:val="007C5270"/>
    <w:rsid w:val="007C52FF"/>
    <w:rsid w:val="007C7DAD"/>
    <w:rsid w:val="007D1BDA"/>
    <w:rsid w:val="007D5B70"/>
    <w:rsid w:val="007D7D3E"/>
    <w:rsid w:val="007E0950"/>
    <w:rsid w:val="007E11EE"/>
    <w:rsid w:val="007E1271"/>
    <w:rsid w:val="007E27EA"/>
    <w:rsid w:val="007E2898"/>
    <w:rsid w:val="007E6B29"/>
    <w:rsid w:val="007F01BC"/>
    <w:rsid w:val="007F0931"/>
    <w:rsid w:val="007F0DF1"/>
    <w:rsid w:val="007F3835"/>
    <w:rsid w:val="007F3E45"/>
    <w:rsid w:val="007F3FA0"/>
    <w:rsid w:val="007F4047"/>
    <w:rsid w:val="007F42BA"/>
    <w:rsid w:val="007F55CB"/>
    <w:rsid w:val="007F729A"/>
    <w:rsid w:val="007F7E31"/>
    <w:rsid w:val="0080006D"/>
    <w:rsid w:val="008041B5"/>
    <w:rsid w:val="0080430D"/>
    <w:rsid w:val="008044C7"/>
    <w:rsid w:val="008100B2"/>
    <w:rsid w:val="00812E4C"/>
    <w:rsid w:val="00815195"/>
    <w:rsid w:val="00815B5B"/>
    <w:rsid w:val="0081609F"/>
    <w:rsid w:val="00817603"/>
    <w:rsid w:val="00817AAB"/>
    <w:rsid w:val="00821083"/>
    <w:rsid w:val="008220AD"/>
    <w:rsid w:val="00822397"/>
    <w:rsid w:val="00823259"/>
    <w:rsid w:val="0082488D"/>
    <w:rsid w:val="00825EEA"/>
    <w:rsid w:val="008276EC"/>
    <w:rsid w:val="00831A90"/>
    <w:rsid w:val="00832F61"/>
    <w:rsid w:val="008330F6"/>
    <w:rsid w:val="00834283"/>
    <w:rsid w:val="00835085"/>
    <w:rsid w:val="00840416"/>
    <w:rsid w:val="008407EB"/>
    <w:rsid w:val="0084100D"/>
    <w:rsid w:val="0084119B"/>
    <w:rsid w:val="00841DC3"/>
    <w:rsid w:val="008426A2"/>
    <w:rsid w:val="00842A39"/>
    <w:rsid w:val="00843C5E"/>
    <w:rsid w:val="0084412F"/>
    <w:rsid w:val="00844750"/>
    <w:rsid w:val="008450BB"/>
    <w:rsid w:val="00845866"/>
    <w:rsid w:val="008464C8"/>
    <w:rsid w:val="00847C74"/>
    <w:rsid w:val="008539C1"/>
    <w:rsid w:val="00853E09"/>
    <w:rsid w:val="0085400B"/>
    <w:rsid w:val="008547A4"/>
    <w:rsid w:val="00855673"/>
    <w:rsid w:val="00855C4A"/>
    <w:rsid w:val="00857987"/>
    <w:rsid w:val="00857C1F"/>
    <w:rsid w:val="00860309"/>
    <w:rsid w:val="00860EF1"/>
    <w:rsid w:val="008610E3"/>
    <w:rsid w:val="008626F8"/>
    <w:rsid w:val="0086493D"/>
    <w:rsid w:val="00864FAD"/>
    <w:rsid w:val="00865B3D"/>
    <w:rsid w:val="00866628"/>
    <w:rsid w:val="008700E5"/>
    <w:rsid w:val="00870B79"/>
    <w:rsid w:val="0087167C"/>
    <w:rsid w:val="008743D2"/>
    <w:rsid w:val="0087733C"/>
    <w:rsid w:val="00877FC5"/>
    <w:rsid w:val="00880C6A"/>
    <w:rsid w:val="00880FAA"/>
    <w:rsid w:val="00881F21"/>
    <w:rsid w:val="008825A4"/>
    <w:rsid w:val="00882A0C"/>
    <w:rsid w:val="00885581"/>
    <w:rsid w:val="00886273"/>
    <w:rsid w:val="00886621"/>
    <w:rsid w:val="008878D1"/>
    <w:rsid w:val="00891251"/>
    <w:rsid w:val="008932A8"/>
    <w:rsid w:val="008952A3"/>
    <w:rsid w:val="008960AD"/>
    <w:rsid w:val="008A02E0"/>
    <w:rsid w:val="008A05FC"/>
    <w:rsid w:val="008A0BC6"/>
    <w:rsid w:val="008A17B6"/>
    <w:rsid w:val="008A2B52"/>
    <w:rsid w:val="008A3678"/>
    <w:rsid w:val="008A477A"/>
    <w:rsid w:val="008A638B"/>
    <w:rsid w:val="008A694A"/>
    <w:rsid w:val="008B00BE"/>
    <w:rsid w:val="008B055E"/>
    <w:rsid w:val="008B0E59"/>
    <w:rsid w:val="008B1C9A"/>
    <w:rsid w:val="008B1D3F"/>
    <w:rsid w:val="008B1E5E"/>
    <w:rsid w:val="008B2389"/>
    <w:rsid w:val="008B28FA"/>
    <w:rsid w:val="008B2BFB"/>
    <w:rsid w:val="008B44C4"/>
    <w:rsid w:val="008B46DF"/>
    <w:rsid w:val="008B666E"/>
    <w:rsid w:val="008B6F8E"/>
    <w:rsid w:val="008B76F4"/>
    <w:rsid w:val="008B7816"/>
    <w:rsid w:val="008B7B09"/>
    <w:rsid w:val="008C0012"/>
    <w:rsid w:val="008C0AF2"/>
    <w:rsid w:val="008C376F"/>
    <w:rsid w:val="008C3BF2"/>
    <w:rsid w:val="008C5424"/>
    <w:rsid w:val="008D1B50"/>
    <w:rsid w:val="008D2413"/>
    <w:rsid w:val="008D3C65"/>
    <w:rsid w:val="008D5073"/>
    <w:rsid w:val="008D5910"/>
    <w:rsid w:val="008D5A37"/>
    <w:rsid w:val="008D63BE"/>
    <w:rsid w:val="008D654F"/>
    <w:rsid w:val="008D674A"/>
    <w:rsid w:val="008D72EA"/>
    <w:rsid w:val="008D74E9"/>
    <w:rsid w:val="008D7C5D"/>
    <w:rsid w:val="008E294A"/>
    <w:rsid w:val="008E2A40"/>
    <w:rsid w:val="008E3005"/>
    <w:rsid w:val="008E6375"/>
    <w:rsid w:val="008E675E"/>
    <w:rsid w:val="008E6A1F"/>
    <w:rsid w:val="008E7FA1"/>
    <w:rsid w:val="008E7FAE"/>
    <w:rsid w:val="008F0916"/>
    <w:rsid w:val="008F09B4"/>
    <w:rsid w:val="008F1F6F"/>
    <w:rsid w:val="008F282E"/>
    <w:rsid w:val="008F295A"/>
    <w:rsid w:val="008F2E39"/>
    <w:rsid w:val="008F4239"/>
    <w:rsid w:val="008F45E4"/>
    <w:rsid w:val="008F5D66"/>
    <w:rsid w:val="009006BC"/>
    <w:rsid w:val="00901189"/>
    <w:rsid w:val="00901C2B"/>
    <w:rsid w:val="00901D4B"/>
    <w:rsid w:val="00902253"/>
    <w:rsid w:val="009023AA"/>
    <w:rsid w:val="00903117"/>
    <w:rsid w:val="00905BFF"/>
    <w:rsid w:val="00905D0E"/>
    <w:rsid w:val="00905E8E"/>
    <w:rsid w:val="0090604D"/>
    <w:rsid w:val="009069B0"/>
    <w:rsid w:val="009071C6"/>
    <w:rsid w:val="00907D4A"/>
    <w:rsid w:val="0091034C"/>
    <w:rsid w:val="009103C0"/>
    <w:rsid w:val="0091060C"/>
    <w:rsid w:val="00911BF7"/>
    <w:rsid w:val="00912AB7"/>
    <w:rsid w:val="00913587"/>
    <w:rsid w:val="00913CA9"/>
    <w:rsid w:val="009162D8"/>
    <w:rsid w:val="00916D6C"/>
    <w:rsid w:val="00917643"/>
    <w:rsid w:val="00917CED"/>
    <w:rsid w:val="0092064E"/>
    <w:rsid w:val="00921A71"/>
    <w:rsid w:val="0092540F"/>
    <w:rsid w:val="00925E6A"/>
    <w:rsid w:val="00927C50"/>
    <w:rsid w:val="00930D65"/>
    <w:rsid w:val="00931DE6"/>
    <w:rsid w:val="0093327C"/>
    <w:rsid w:val="00933A1B"/>
    <w:rsid w:val="009341D9"/>
    <w:rsid w:val="00935500"/>
    <w:rsid w:val="00936A49"/>
    <w:rsid w:val="00937597"/>
    <w:rsid w:val="009420BC"/>
    <w:rsid w:val="0094251A"/>
    <w:rsid w:val="009427F1"/>
    <w:rsid w:val="00942BDF"/>
    <w:rsid w:val="009430E4"/>
    <w:rsid w:val="00943649"/>
    <w:rsid w:val="00944684"/>
    <w:rsid w:val="009448CF"/>
    <w:rsid w:val="0094521E"/>
    <w:rsid w:val="00945931"/>
    <w:rsid w:val="009471EA"/>
    <w:rsid w:val="00950024"/>
    <w:rsid w:val="009507F5"/>
    <w:rsid w:val="00952A52"/>
    <w:rsid w:val="00953942"/>
    <w:rsid w:val="00953F0E"/>
    <w:rsid w:val="00954F62"/>
    <w:rsid w:val="009564E2"/>
    <w:rsid w:val="00956856"/>
    <w:rsid w:val="0096070F"/>
    <w:rsid w:val="00960D11"/>
    <w:rsid w:val="00960F91"/>
    <w:rsid w:val="009618E3"/>
    <w:rsid w:val="00961AD3"/>
    <w:rsid w:val="00962956"/>
    <w:rsid w:val="009635FF"/>
    <w:rsid w:val="0096397A"/>
    <w:rsid w:val="00964AB7"/>
    <w:rsid w:val="00964E8C"/>
    <w:rsid w:val="00964F7B"/>
    <w:rsid w:val="00965E2F"/>
    <w:rsid w:val="00967DFD"/>
    <w:rsid w:val="00970217"/>
    <w:rsid w:val="0097081E"/>
    <w:rsid w:val="00970A19"/>
    <w:rsid w:val="009716DC"/>
    <w:rsid w:val="00972B77"/>
    <w:rsid w:val="00973B38"/>
    <w:rsid w:val="00973DB3"/>
    <w:rsid w:val="009744C8"/>
    <w:rsid w:val="00974BDB"/>
    <w:rsid w:val="00975DCD"/>
    <w:rsid w:val="00977EC8"/>
    <w:rsid w:val="00980E5B"/>
    <w:rsid w:val="009818FD"/>
    <w:rsid w:val="00981AFB"/>
    <w:rsid w:val="009836E0"/>
    <w:rsid w:val="00983CF7"/>
    <w:rsid w:val="00986214"/>
    <w:rsid w:val="009868BB"/>
    <w:rsid w:val="00986969"/>
    <w:rsid w:val="00986AB3"/>
    <w:rsid w:val="00986D43"/>
    <w:rsid w:val="009875C3"/>
    <w:rsid w:val="0099049F"/>
    <w:rsid w:val="009933A7"/>
    <w:rsid w:val="00993CDC"/>
    <w:rsid w:val="009970B0"/>
    <w:rsid w:val="009A0343"/>
    <w:rsid w:val="009A093A"/>
    <w:rsid w:val="009A0C7B"/>
    <w:rsid w:val="009A2433"/>
    <w:rsid w:val="009A316A"/>
    <w:rsid w:val="009A38B1"/>
    <w:rsid w:val="009A4D7A"/>
    <w:rsid w:val="009A5915"/>
    <w:rsid w:val="009A669E"/>
    <w:rsid w:val="009A7FEA"/>
    <w:rsid w:val="009A7FF0"/>
    <w:rsid w:val="009B0E7C"/>
    <w:rsid w:val="009B107B"/>
    <w:rsid w:val="009B16D3"/>
    <w:rsid w:val="009B2FC9"/>
    <w:rsid w:val="009B32A0"/>
    <w:rsid w:val="009B45DC"/>
    <w:rsid w:val="009B543F"/>
    <w:rsid w:val="009B66EB"/>
    <w:rsid w:val="009B67E2"/>
    <w:rsid w:val="009C3B9D"/>
    <w:rsid w:val="009C74E5"/>
    <w:rsid w:val="009C76E5"/>
    <w:rsid w:val="009D1A0E"/>
    <w:rsid w:val="009D1D97"/>
    <w:rsid w:val="009D276D"/>
    <w:rsid w:val="009D36C5"/>
    <w:rsid w:val="009D3A8C"/>
    <w:rsid w:val="009D3B0E"/>
    <w:rsid w:val="009D58C9"/>
    <w:rsid w:val="009D6737"/>
    <w:rsid w:val="009D6BE2"/>
    <w:rsid w:val="009E0243"/>
    <w:rsid w:val="009E03EF"/>
    <w:rsid w:val="009E05A9"/>
    <w:rsid w:val="009E189E"/>
    <w:rsid w:val="009E1BD4"/>
    <w:rsid w:val="009E2551"/>
    <w:rsid w:val="009E3813"/>
    <w:rsid w:val="009E3E8D"/>
    <w:rsid w:val="009E40E8"/>
    <w:rsid w:val="009E4527"/>
    <w:rsid w:val="009E45B3"/>
    <w:rsid w:val="009E5E8E"/>
    <w:rsid w:val="009E637D"/>
    <w:rsid w:val="009E6B6E"/>
    <w:rsid w:val="009E7956"/>
    <w:rsid w:val="009F08A3"/>
    <w:rsid w:val="009F11DA"/>
    <w:rsid w:val="009F2F9D"/>
    <w:rsid w:val="009F3D73"/>
    <w:rsid w:val="00A00187"/>
    <w:rsid w:val="00A008AF"/>
    <w:rsid w:val="00A00C13"/>
    <w:rsid w:val="00A01CBC"/>
    <w:rsid w:val="00A022A5"/>
    <w:rsid w:val="00A039CF"/>
    <w:rsid w:val="00A03A20"/>
    <w:rsid w:val="00A04743"/>
    <w:rsid w:val="00A066AB"/>
    <w:rsid w:val="00A06BC1"/>
    <w:rsid w:val="00A10023"/>
    <w:rsid w:val="00A103C4"/>
    <w:rsid w:val="00A11A6A"/>
    <w:rsid w:val="00A139D9"/>
    <w:rsid w:val="00A13A11"/>
    <w:rsid w:val="00A148AD"/>
    <w:rsid w:val="00A14A8B"/>
    <w:rsid w:val="00A1655A"/>
    <w:rsid w:val="00A200B8"/>
    <w:rsid w:val="00A216CC"/>
    <w:rsid w:val="00A224C8"/>
    <w:rsid w:val="00A2492E"/>
    <w:rsid w:val="00A269EE"/>
    <w:rsid w:val="00A27D0A"/>
    <w:rsid w:val="00A30718"/>
    <w:rsid w:val="00A30974"/>
    <w:rsid w:val="00A31204"/>
    <w:rsid w:val="00A3196B"/>
    <w:rsid w:val="00A32156"/>
    <w:rsid w:val="00A33472"/>
    <w:rsid w:val="00A348F4"/>
    <w:rsid w:val="00A35318"/>
    <w:rsid w:val="00A35F92"/>
    <w:rsid w:val="00A37133"/>
    <w:rsid w:val="00A41119"/>
    <w:rsid w:val="00A41354"/>
    <w:rsid w:val="00A41528"/>
    <w:rsid w:val="00A415B7"/>
    <w:rsid w:val="00A41B1D"/>
    <w:rsid w:val="00A43166"/>
    <w:rsid w:val="00A45DD9"/>
    <w:rsid w:val="00A50390"/>
    <w:rsid w:val="00A5074E"/>
    <w:rsid w:val="00A51149"/>
    <w:rsid w:val="00A51885"/>
    <w:rsid w:val="00A51C7D"/>
    <w:rsid w:val="00A51D42"/>
    <w:rsid w:val="00A51E89"/>
    <w:rsid w:val="00A51F9F"/>
    <w:rsid w:val="00A532C9"/>
    <w:rsid w:val="00A53BB3"/>
    <w:rsid w:val="00A5425B"/>
    <w:rsid w:val="00A55DB8"/>
    <w:rsid w:val="00A56EA8"/>
    <w:rsid w:val="00A624F1"/>
    <w:rsid w:val="00A63445"/>
    <w:rsid w:val="00A67A5A"/>
    <w:rsid w:val="00A70772"/>
    <w:rsid w:val="00A70FCF"/>
    <w:rsid w:val="00A7123B"/>
    <w:rsid w:val="00A7284E"/>
    <w:rsid w:val="00A73214"/>
    <w:rsid w:val="00A74CEA"/>
    <w:rsid w:val="00A75042"/>
    <w:rsid w:val="00A76F78"/>
    <w:rsid w:val="00A803B0"/>
    <w:rsid w:val="00A80B1B"/>
    <w:rsid w:val="00A8156C"/>
    <w:rsid w:val="00A826BF"/>
    <w:rsid w:val="00A83440"/>
    <w:rsid w:val="00A842A2"/>
    <w:rsid w:val="00A846B1"/>
    <w:rsid w:val="00A84B7C"/>
    <w:rsid w:val="00A86064"/>
    <w:rsid w:val="00A8642D"/>
    <w:rsid w:val="00A868A6"/>
    <w:rsid w:val="00A90C26"/>
    <w:rsid w:val="00A9175F"/>
    <w:rsid w:val="00A9247A"/>
    <w:rsid w:val="00A93C1E"/>
    <w:rsid w:val="00A960BE"/>
    <w:rsid w:val="00A96A4F"/>
    <w:rsid w:val="00AA1399"/>
    <w:rsid w:val="00AA17A7"/>
    <w:rsid w:val="00AA248E"/>
    <w:rsid w:val="00AA330A"/>
    <w:rsid w:val="00AA633C"/>
    <w:rsid w:val="00AA67F0"/>
    <w:rsid w:val="00AA79E9"/>
    <w:rsid w:val="00AB3FCB"/>
    <w:rsid w:val="00AB6EE5"/>
    <w:rsid w:val="00AB6F0A"/>
    <w:rsid w:val="00AC380C"/>
    <w:rsid w:val="00AC3CE0"/>
    <w:rsid w:val="00AC49EA"/>
    <w:rsid w:val="00AC4A95"/>
    <w:rsid w:val="00AC67A1"/>
    <w:rsid w:val="00AC6EFD"/>
    <w:rsid w:val="00AC7977"/>
    <w:rsid w:val="00AD0CBD"/>
    <w:rsid w:val="00AD1424"/>
    <w:rsid w:val="00AD17AF"/>
    <w:rsid w:val="00AD3583"/>
    <w:rsid w:val="00AD4381"/>
    <w:rsid w:val="00AD4454"/>
    <w:rsid w:val="00AD4BDF"/>
    <w:rsid w:val="00AD514C"/>
    <w:rsid w:val="00AD51DB"/>
    <w:rsid w:val="00AD70FA"/>
    <w:rsid w:val="00AE0762"/>
    <w:rsid w:val="00AE0941"/>
    <w:rsid w:val="00AE0E81"/>
    <w:rsid w:val="00AE1519"/>
    <w:rsid w:val="00AE1566"/>
    <w:rsid w:val="00AE1C7D"/>
    <w:rsid w:val="00AE297E"/>
    <w:rsid w:val="00AE352C"/>
    <w:rsid w:val="00AE3C71"/>
    <w:rsid w:val="00AE4D27"/>
    <w:rsid w:val="00AE5B11"/>
    <w:rsid w:val="00AE60DE"/>
    <w:rsid w:val="00AE7FD8"/>
    <w:rsid w:val="00AE7FEA"/>
    <w:rsid w:val="00AF0668"/>
    <w:rsid w:val="00AF1DD2"/>
    <w:rsid w:val="00AF368E"/>
    <w:rsid w:val="00AF5443"/>
    <w:rsid w:val="00AF6C8B"/>
    <w:rsid w:val="00AF7782"/>
    <w:rsid w:val="00B02302"/>
    <w:rsid w:val="00B032D0"/>
    <w:rsid w:val="00B0540E"/>
    <w:rsid w:val="00B0573E"/>
    <w:rsid w:val="00B06A43"/>
    <w:rsid w:val="00B071F2"/>
    <w:rsid w:val="00B077DA"/>
    <w:rsid w:val="00B07857"/>
    <w:rsid w:val="00B07E78"/>
    <w:rsid w:val="00B11BDA"/>
    <w:rsid w:val="00B11F6D"/>
    <w:rsid w:val="00B1224B"/>
    <w:rsid w:val="00B13027"/>
    <w:rsid w:val="00B13531"/>
    <w:rsid w:val="00B15997"/>
    <w:rsid w:val="00B15E37"/>
    <w:rsid w:val="00B17C40"/>
    <w:rsid w:val="00B21646"/>
    <w:rsid w:val="00B21FCA"/>
    <w:rsid w:val="00B222BF"/>
    <w:rsid w:val="00B23A4A"/>
    <w:rsid w:val="00B26D3F"/>
    <w:rsid w:val="00B26DC8"/>
    <w:rsid w:val="00B27D65"/>
    <w:rsid w:val="00B30027"/>
    <w:rsid w:val="00B32C83"/>
    <w:rsid w:val="00B32E2D"/>
    <w:rsid w:val="00B330BB"/>
    <w:rsid w:val="00B34D7A"/>
    <w:rsid w:val="00B37CEF"/>
    <w:rsid w:val="00B40AC6"/>
    <w:rsid w:val="00B41457"/>
    <w:rsid w:val="00B41991"/>
    <w:rsid w:val="00B43957"/>
    <w:rsid w:val="00B43AE1"/>
    <w:rsid w:val="00B44473"/>
    <w:rsid w:val="00B44A47"/>
    <w:rsid w:val="00B44CDA"/>
    <w:rsid w:val="00B469C5"/>
    <w:rsid w:val="00B46E16"/>
    <w:rsid w:val="00B4773F"/>
    <w:rsid w:val="00B510E3"/>
    <w:rsid w:val="00B512E4"/>
    <w:rsid w:val="00B5203A"/>
    <w:rsid w:val="00B53301"/>
    <w:rsid w:val="00B53AF6"/>
    <w:rsid w:val="00B54772"/>
    <w:rsid w:val="00B5494E"/>
    <w:rsid w:val="00B55E60"/>
    <w:rsid w:val="00B60A95"/>
    <w:rsid w:val="00B61990"/>
    <w:rsid w:val="00B61D3A"/>
    <w:rsid w:val="00B621A2"/>
    <w:rsid w:val="00B6229F"/>
    <w:rsid w:val="00B623FC"/>
    <w:rsid w:val="00B63A35"/>
    <w:rsid w:val="00B63A55"/>
    <w:rsid w:val="00B63B9B"/>
    <w:rsid w:val="00B65D8D"/>
    <w:rsid w:val="00B675DA"/>
    <w:rsid w:val="00B700E0"/>
    <w:rsid w:val="00B7301F"/>
    <w:rsid w:val="00B73994"/>
    <w:rsid w:val="00B73ABF"/>
    <w:rsid w:val="00B74994"/>
    <w:rsid w:val="00B75582"/>
    <w:rsid w:val="00B77C99"/>
    <w:rsid w:val="00B80085"/>
    <w:rsid w:val="00B80D95"/>
    <w:rsid w:val="00B81656"/>
    <w:rsid w:val="00B82698"/>
    <w:rsid w:val="00B83466"/>
    <w:rsid w:val="00B8498F"/>
    <w:rsid w:val="00B84F5D"/>
    <w:rsid w:val="00B852C0"/>
    <w:rsid w:val="00B87297"/>
    <w:rsid w:val="00B9364A"/>
    <w:rsid w:val="00B93834"/>
    <w:rsid w:val="00B93F08"/>
    <w:rsid w:val="00B94959"/>
    <w:rsid w:val="00B94E15"/>
    <w:rsid w:val="00B9531A"/>
    <w:rsid w:val="00B95B48"/>
    <w:rsid w:val="00B95C8E"/>
    <w:rsid w:val="00B95FC4"/>
    <w:rsid w:val="00B96348"/>
    <w:rsid w:val="00B97170"/>
    <w:rsid w:val="00B97A89"/>
    <w:rsid w:val="00B97C1A"/>
    <w:rsid w:val="00BA029E"/>
    <w:rsid w:val="00BA19E6"/>
    <w:rsid w:val="00BA251E"/>
    <w:rsid w:val="00BA31B5"/>
    <w:rsid w:val="00BA4728"/>
    <w:rsid w:val="00BA4A8B"/>
    <w:rsid w:val="00BA59F0"/>
    <w:rsid w:val="00BA65C0"/>
    <w:rsid w:val="00BA7363"/>
    <w:rsid w:val="00BB0C30"/>
    <w:rsid w:val="00BB2F42"/>
    <w:rsid w:val="00BB4462"/>
    <w:rsid w:val="00BB45AC"/>
    <w:rsid w:val="00BB5BA3"/>
    <w:rsid w:val="00BB6B46"/>
    <w:rsid w:val="00BB6B49"/>
    <w:rsid w:val="00BB7FD2"/>
    <w:rsid w:val="00BC0960"/>
    <w:rsid w:val="00BC10F7"/>
    <w:rsid w:val="00BC1ADC"/>
    <w:rsid w:val="00BC2500"/>
    <w:rsid w:val="00BC25E3"/>
    <w:rsid w:val="00BC3A6E"/>
    <w:rsid w:val="00BC3C4A"/>
    <w:rsid w:val="00BC4129"/>
    <w:rsid w:val="00BC554A"/>
    <w:rsid w:val="00BC5BC0"/>
    <w:rsid w:val="00BC5EA6"/>
    <w:rsid w:val="00BC6E6D"/>
    <w:rsid w:val="00BC778C"/>
    <w:rsid w:val="00BD00DA"/>
    <w:rsid w:val="00BD0786"/>
    <w:rsid w:val="00BD2640"/>
    <w:rsid w:val="00BD2938"/>
    <w:rsid w:val="00BD350C"/>
    <w:rsid w:val="00BD6ADA"/>
    <w:rsid w:val="00BD71B3"/>
    <w:rsid w:val="00BE1BEF"/>
    <w:rsid w:val="00BE3B91"/>
    <w:rsid w:val="00BE46A4"/>
    <w:rsid w:val="00BE4D27"/>
    <w:rsid w:val="00BE4D96"/>
    <w:rsid w:val="00BE7274"/>
    <w:rsid w:val="00BF0556"/>
    <w:rsid w:val="00BF2467"/>
    <w:rsid w:val="00BF2E24"/>
    <w:rsid w:val="00BF358D"/>
    <w:rsid w:val="00BF4584"/>
    <w:rsid w:val="00BF4E59"/>
    <w:rsid w:val="00BF52EA"/>
    <w:rsid w:val="00BF5EAD"/>
    <w:rsid w:val="00BF6F10"/>
    <w:rsid w:val="00BF746F"/>
    <w:rsid w:val="00BF750E"/>
    <w:rsid w:val="00C005D4"/>
    <w:rsid w:val="00C005F9"/>
    <w:rsid w:val="00C011CB"/>
    <w:rsid w:val="00C02610"/>
    <w:rsid w:val="00C02A15"/>
    <w:rsid w:val="00C02A45"/>
    <w:rsid w:val="00C04606"/>
    <w:rsid w:val="00C04840"/>
    <w:rsid w:val="00C0615D"/>
    <w:rsid w:val="00C06585"/>
    <w:rsid w:val="00C072A9"/>
    <w:rsid w:val="00C10D50"/>
    <w:rsid w:val="00C11430"/>
    <w:rsid w:val="00C11FB6"/>
    <w:rsid w:val="00C1265F"/>
    <w:rsid w:val="00C12DF3"/>
    <w:rsid w:val="00C1309F"/>
    <w:rsid w:val="00C1509A"/>
    <w:rsid w:val="00C1562D"/>
    <w:rsid w:val="00C17BAA"/>
    <w:rsid w:val="00C17BDE"/>
    <w:rsid w:val="00C17D9F"/>
    <w:rsid w:val="00C20A25"/>
    <w:rsid w:val="00C20FA6"/>
    <w:rsid w:val="00C21D0C"/>
    <w:rsid w:val="00C23369"/>
    <w:rsid w:val="00C24405"/>
    <w:rsid w:val="00C246CA"/>
    <w:rsid w:val="00C261F8"/>
    <w:rsid w:val="00C266BA"/>
    <w:rsid w:val="00C2715F"/>
    <w:rsid w:val="00C31190"/>
    <w:rsid w:val="00C3157B"/>
    <w:rsid w:val="00C32063"/>
    <w:rsid w:val="00C32DA6"/>
    <w:rsid w:val="00C33100"/>
    <w:rsid w:val="00C339BC"/>
    <w:rsid w:val="00C35435"/>
    <w:rsid w:val="00C35AB9"/>
    <w:rsid w:val="00C35DF2"/>
    <w:rsid w:val="00C35F6E"/>
    <w:rsid w:val="00C362B2"/>
    <w:rsid w:val="00C36390"/>
    <w:rsid w:val="00C4049E"/>
    <w:rsid w:val="00C41944"/>
    <w:rsid w:val="00C42566"/>
    <w:rsid w:val="00C43FAA"/>
    <w:rsid w:val="00C44C03"/>
    <w:rsid w:val="00C47B72"/>
    <w:rsid w:val="00C47FE5"/>
    <w:rsid w:val="00C518FB"/>
    <w:rsid w:val="00C51D14"/>
    <w:rsid w:val="00C52E62"/>
    <w:rsid w:val="00C5394B"/>
    <w:rsid w:val="00C55B43"/>
    <w:rsid w:val="00C567BC"/>
    <w:rsid w:val="00C5723D"/>
    <w:rsid w:val="00C573E0"/>
    <w:rsid w:val="00C57AEF"/>
    <w:rsid w:val="00C617E8"/>
    <w:rsid w:val="00C63675"/>
    <w:rsid w:val="00C6412F"/>
    <w:rsid w:val="00C670FA"/>
    <w:rsid w:val="00C7117A"/>
    <w:rsid w:val="00C71456"/>
    <w:rsid w:val="00C7262E"/>
    <w:rsid w:val="00C72A35"/>
    <w:rsid w:val="00C73285"/>
    <w:rsid w:val="00C74034"/>
    <w:rsid w:val="00C746C0"/>
    <w:rsid w:val="00C747F2"/>
    <w:rsid w:val="00C76F16"/>
    <w:rsid w:val="00C803D6"/>
    <w:rsid w:val="00C80605"/>
    <w:rsid w:val="00C81C9B"/>
    <w:rsid w:val="00C81EE2"/>
    <w:rsid w:val="00C82016"/>
    <w:rsid w:val="00C8241B"/>
    <w:rsid w:val="00C8273D"/>
    <w:rsid w:val="00C83D46"/>
    <w:rsid w:val="00C84B46"/>
    <w:rsid w:val="00C8568A"/>
    <w:rsid w:val="00C876B0"/>
    <w:rsid w:val="00C87A5C"/>
    <w:rsid w:val="00C914DD"/>
    <w:rsid w:val="00C91A51"/>
    <w:rsid w:val="00C92AE7"/>
    <w:rsid w:val="00C92F56"/>
    <w:rsid w:val="00C93592"/>
    <w:rsid w:val="00C93D9A"/>
    <w:rsid w:val="00C93F13"/>
    <w:rsid w:val="00C941E8"/>
    <w:rsid w:val="00C94E7C"/>
    <w:rsid w:val="00C94EFF"/>
    <w:rsid w:val="00C97B1C"/>
    <w:rsid w:val="00CA2F11"/>
    <w:rsid w:val="00CA3557"/>
    <w:rsid w:val="00CA5686"/>
    <w:rsid w:val="00CA6F7E"/>
    <w:rsid w:val="00CA7CAA"/>
    <w:rsid w:val="00CB0ED2"/>
    <w:rsid w:val="00CB1D70"/>
    <w:rsid w:val="00CB23E0"/>
    <w:rsid w:val="00CB488C"/>
    <w:rsid w:val="00CB7012"/>
    <w:rsid w:val="00CB76FD"/>
    <w:rsid w:val="00CC070F"/>
    <w:rsid w:val="00CC1A84"/>
    <w:rsid w:val="00CC1C5B"/>
    <w:rsid w:val="00CC243A"/>
    <w:rsid w:val="00CC2B3F"/>
    <w:rsid w:val="00CC33A5"/>
    <w:rsid w:val="00CC4873"/>
    <w:rsid w:val="00CC779C"/>
    <w:rsid w:val="00CD1A71"/>
    <w:rsid w:val="00CD1FBB"/>
    <w:rsid w:val="00CD212F"/>
    <w:rsid w:val="00CD55AF"/>
    <w:rsid w:val="00CD652A"/>
    <w:rsid w:val="00CE2E54"/>
    <w:rsid w:val="00CE5B90"/>
    <w:rsid w:val="00CE5ED3"/>
    <w:rsid w:val="00CE7425"/>
    <w:rsid w:val="00CE7879"/>
    <w:rsid w:val="00CE7EDE"/>
    <w:rsid w:val="00CF0EEB"/>
    <w:rsid w:val="00CF507F"/>
    <w:rsid w:val="00CF6937"/>
    <w:rsid w:val="00CF697E"/>
    <w:rsid w:val="00CF6BB8"/>
    <w:rsid w:val="00CF7F09"/>
    <w:rsid w:val="00D002E1"/>
    <w:rsid w:val="00D016B5"/>
    <w:rsid w:val="00D01C02"/>
    <w:rsid w:val="00D034F1"/>
    <w:rsid w:val="00D042F4"/>
    <w:rsid w:val="00D046AA"/>
    <w:rsid w:val="00D04F11"/>
    <w:rsid w:val="00D067BB"/>
    <w:rsid w:val="00D109E2"/>
    <w:rsid w:val="00D10F4C"/>
    <w:rsid w:val="00D10FE7"/>
    <w:rsid w:val="00D11D75"/>
    <w:rsid w:val="00D16EEF"/>
    <w:rsid w:val="00D20187"/>
    <w:rsid w:val="00D2039A"/>
    <w:rsid w:val="00D2084E"/>
    <w:rsid w:val="00D22614"/>
    <w:rsid w:val="00D2294D"/>
    <w:rsid w:val="00D24053"/>
    <w:rsid w:val="00D26D92"/>
    <w:rsid w:val="00D26FD7"/>
    <w:rsid w:val="00D27206"/>
    <w:rsid w:val="00D27D5E"/>
    <w:rsid w:val="00D302BE"/>
    <w:rsid w:val="00D309D0"/>
    <w:rsid w:val="00D3285E"/>
    <w:rsid w:val="00D32B4B"/>
    <w:rsid w:val="00D330D6"/>
    <w:rsid w:val="00D348A9"/>
    <w:rsid w:val="00D35EB4"/>
    <w:rsid w:val="00D35FC9"/>
    <w:rsid w:val="00D37DBD"/>
    <w:rsid w:val="00D418B1"/>
    <w:rsid w:val="00D4501B"/>
    <w:rsid w:val="00D46979"/>
    <w:rsid w:val="00D47BCA"/>
    <w:rsid w:val="00D47FA6"/>
    <w:rsid w:val="00D50948"/>
    <w:rsid w:val="00D517F4"/>
    <w:rsid w:val="00D53A02"/>
    <w:rsid w:val="00D55354"/>
    <w:rsid w:val="00D5538B"/>
    <w:rsid w:val="00D56ABE"/>
    <w:rsid w:val="00D57B05"/>
    <w:rsid w:val="00D60DB7"/>
    <w:rsid w:val="00D618F7"/>
    <w:rsid w:val="00D6260E"/>
    <w:rsid w:val="00D630A1"/>
    <w:rsid w:val="00D649D2"/>
    <w:rsid w:val="00D650AF"/>
    <w:rsid w:val="00D650D1"/>
    <w:rsid w:val="00D65395"/>
    <w:rsid w:val="00D654AC"/>
    <w:rsid w:val="00D665BD"/>
    <w:rsid w:val="00D66950"/>
    <w:rsid w:val="00D70909"/>
    <w:rsid w:val="00D7177E"/>
    <w:rsid w:val="00D72325"/>
    <w:rsid w:val="00D72411"/>
    <w:rsid w:val="00D7346E"/>
    <w:rsid w:val="00D7346F"/>
    <w:rsid w:val="00D75840"/>
    <w:rsid w:val="00D760E1"/>
    <w:rsid w:val="00D766F2"/>
    <w:rsid w:val="00D776E4"/>
    <w:rsid w:val="00D77AA5"/>
    <w:rsid w:val="00D801B8"/>
    <w:rsid w:val="00D80449"/>
    <w:rsid w:val="00D80C7A"/>
    <w:rsid w:val="00D8118C"/>
    <w:rsid w:val="00D81F83"/>
    <w:rsid w:val="00D83524"/>
    <w:rsid w:val="00D84F61"/>
    <w:rsid w:val="00D85497"/>
    <w:rsid w:val="00D854C6"/>
    <w:rsid w:val="00D85D10"/>
    <w:rsid w:val="00D8787B"/>
    <w:rsid w:val="00D90BDD"/>
    <w:rsid w:val="00D90FFC"/>
    <w:rsid w:val="00D93E30"/>
    <w:rsid w:val="00D940AF"/>
    <w:rsid w:val="00D95A44"/>
    <w:rsid w:val="00D95FCB"/>
    <w:rsid w:val="00DA2440"/>
    <w:rsid w:val="00DA40EF"/>
    <w:rsid w:val="00DA4137"/>
    <w:rsid w:val="00DA70D0"/>
    <w:rsid w:val="00DA7241"/>
    <w:rsid w:val="00DB028C"/>
    <w:rsid w:val="00DB08EF"/>
    <w:rsid w:val="00DB0CE6"/>
    <w:rsid w:val="00DB24F1"/>
    <w:rsid w:val="00DB352D"/>
    <w:rsid w:val="00DB4653"/>
    <w:rsid w:val="00DB4FBC"/>
    <w:rsid w:val="00DB691F"/>
    <w:rsid w:val="00DB6B8A"/>
    <w:rsid w:val="00DB7C62"/>
    <w:rsid w:val="00DC14D8"/>
    <w:rsid w:val="00DC37F3"/>
    <w:rsid w:val="00DC3D83"/>
    <w:rsid w:val="00DC6F70"/>
    <w:rsid w:val="00DC7DF9"/>
    <w:rsid w:val="00DD0FA6"/>
    <w:rsid w:val="00DD1D58"/>
    <w:rsid w:val="00DD244C"/>
    <w:rsid w:val="00DD2509"/>
    <w:rsid w:val="00DD38C6"/>
    <w:rsid w:val="00DD415F"/>
    <w:rsid w:val="00DD437B"/>
    <w:rsid w:val="00DD4EAA"/>
    <w:rsid w:val="00DD5CF9"/>
    <w:rsid w:val="00DD5DC5"/>
    <w:rsid w:val="00DD6568"/>
    <w:rsid w:val="00DD738A"/>
    <w:rsid w:val="00DE14AE"/>
    <w:rsid w:val="00DE2635"/>
    <w:rsid w:val="00DE2964"/>
    <w:rsid w:val="00DE342A"/>
    <w:rsid w:val="00DE3816"/>
    <w:rsid w:val="00DE41F4"/>
    <w:rsid w:val="00DE53BC"/>
    <w:rsid w:val="00DE551C"/>
    <w:rsid w:val="00DE622C"/>
    <w:rsid w:val="00DE6D90"/>
    <w:rsid w:val="00DF002F"/>
    <w:rsid w:val="00DF01F1"/>
    <w:rsid w:val="00DF023F"/>
    <w:rsid w:val="00DF06DB"/>
    <w:rsid w:val="00DF0E11"/>
    <w:rsid w:val="00DF242A"/>
    <w:rsid w:val="00DF3F4F"/>
    <w:rsid w:val="00DF73C4"/>
    <w:rsid w:val="00DF7B0E"/>
    <w:rsid w:val="00DF7B1C"/>
    <w:rsid w:val="00E0097E"/>
    <w:rsid w:val="00E01236"/>
    <w:rsid w:val="00E01507"/>
    <w:rsid w:val="00E01547"/>
    <w:rsid w:val="00E0244D"/>
    <w:rsid w:val="00E03645"/>
    <w:rsid w:val="00E03821"/>
    <w:rsid w:val="00E06207"/>
    <w:rsid w:val="00E06920"/>
    <w:rsid w:val="00E07A59"/>
    <w:rsid w:val="00E10573"/>
    <w:rsid w:val="00E1160E"/>
    <w:rsid w:val="00E11DB5"/>
    <w:rsid w:val="00E12301"/>
    <w:rsid w:val="00E148DD"/>
    <w:rsid w:val="00E167FB"/>
    <w:rsid w:val="00E1689F"/>
    <w:rsid w:val="00E1706B"/>
    <w:rsid w:val="00E176AB"/>
    <w:rsid w:val="00E17E6D"/>
    <w:rsid w:val="00E23682"/>
    <w:rsid w:val="00E23759"/>
    <w:rsid w:val="00E23817"/>
    <w:rsid w:val="00E23D94"/>
    <w:rsid w:val="00E24EB7"/>
    <w:rsid w:val="00E252E4"/>
    <w:rsid w:val="00E25667"/>
    <w:rsid w:val="00E25699"/>
    <w:rsid w:val="00E25C12"/>
    <w:rsid w:val="00E31CBC"/>
    <w:rsid w:val="00E330D3"/>
    <w:rsid w:val="00E3776F"/>
    <w:rsid w:val="00E37F69"/>
    <w:rsid w:val="00E40802"/>
    <w:rsid w:val="00E41456"/>
    <w:rsid w:val="00E42896"/>
    <w:rsid w:val="00E4362F"/>
    <w:rsid w:val="00E43CE0"/>
    <w:rsid w:val="00E43D43"/>
    <w:rsid w:val="00E44207"/>
    <w:rsid w:val="00E4575A"/>
    <w:rsid w:val="00E471C5"/>
    <w:rsid w:val="00E47D27"/>
    <w:rsid w:val="00E47D80"/>
    <w:rsid w:val="00E5068C"/>
    <w:rsid w:val="00E51BC2"/>
    <w:rsid w:val="00E527CF"/>
    <w:rsid w:val="00E531E4"/>
    <w:rsid w:val="00E53EB8"/>
    <w:rsid w:val="00E54B70"/>
    <w:rsid w:val="00E569F5"/>
    <w:rsid w:val="00E6087D"/>
    <w:rsid w:val="00E60DF3"/>
    <w:rsid w:val="00E60E4B"/>
    <w:rsid w:val="00E6267C"/>
    <w:rsid w:val="00E64813"/>
    <w:rsid w:val="00E6713E"/>
    <w:rsid w:val="00E6746E"/>
    <w:rsid w:val="00E703A7"/>
    <w:rsid w:val="00E705D7"/>
    <w:rsid w:val="00E71B95"/>
    <w:rsid w:val="00E728BE"/>
    <w:rsid w:val="00E72C4D"/>
    <w:rsid w:val="00E7408B"/>
    <w:rsid w:val="00E743C4"/>
    <w:rsid w:val="00E76169"/>
    <w:rsid w:val="00E761B7"/>
    <w:rsid w:val="00E7652D"/>
    <w:rsid w:val="00E76EE0"/>
    <w:rsid w:val="00E80975"/>
    <w:rsid w:val="00E81E94"/>
    <w:rsid w:val="00E81FD7"/>
    <w:rsid w:val="00E82607"/>
    <w:rsid w:val="00E828BD"/>
    <w:rsid w:val="00E84BC4"/>
    <w:rsid w:val="00E86CE1"/>
    <w:rsid w:val="00E90C64"/>
    <w:rsid w:val="00E91099"/>
    <w:rsid w:val="00E920DA"/>
    <w:rsid w:val="00E93E9F"/>
    <w:rsid w:val="00E94030"/>
    <w:rsid w:val="00E9577C"/>
    <w:rsid w:val="00E96258"/>
    <w:rsid w:val="00E964D5"/>
    <w:rsid w:val="00E97917"/>
    <w:rsid w:val="00EA1C6C"/>
    <w:rsid w:val="00EA3327"/>
    <w:rsid w:val="00EA35F9"/>
    <w:rsid w:val="00EA45F2"/>
    <w:rsid w:val="00EA4733"/>
    <w:rsid w:val="00EA4CCB"/>
    <w:rsid w:val="00EA5DD1"/>
    <w:rsid w:val="00EA6EED"/>
    <w:rsid w:val="00EA7CBD"/>
    <w:rsid w:val="00EB01C5"/>
    <w:rsid w:val="00EB3C2A"/>
    <w:rsid w:val="00EB3DB1"/>
    <w:rsid w:val="00EB52A5"/>
    <w:rsid w:val="00EC0222"/>
    <w:rsid w:val="00EC0930"/>
    <w:rsid w:val="00EC0BD3"/>
    <w:rsid w:val="00EC26E6"/>
    <w:rsid w:val="00EC28C0"/>
    <w:rsid w:val="00EC2F0B"/>
    <w:rsid w:val="00EC4894"/>
    <w:rsid w:val="00EC4D39"/>
    <w:rsid w:val="00EC5590"/>
    <w:rsid w:val="00EC5D6E"/>
    <w:rsid w:val="00EC7072"/>
    <w:rsid w:val="00EC7C24"/>
    <w:rsid w:val="00ED0B47"/>
    <w:rsid w:val="00ED0BAB"/>
    <w:rsid w:val="00ED1BC4"/>
    <w:rsid w:val="00ED36AC"/>
    <w:rsid w:val="00ED4035"/>
    <w:rsid w:val="00ED5244"/>
    <w:rsid w:val="00ED5B60"/>
    <w:rsid w:val="00ED7776"/>
    <w:rsid w:val="00EE1A0D"/>
    <w:rsid w:val="00EE3F26"/>
    <w:rsid w:val="00EE41CF"/>
    <w:rsid w:val="00EE48F6"/>
    <w:rsid w:val="00EE4B5C"/>
    <w:rsid w:val="00EE501A"/>
    <w:rsid w:val="00EE52B5"/>
    <w:rsid w:val="00EE607C"/>
    <w:rsid w:val="00EE6113"/>
    <w:rsid w:val="00EE7291"/>
    <w:rsid w:val="00EE74A1"/>
    <w:rsid w:val="00EF0808"/>
    <w:rsid w:val="00EF14EE"/>
    <w:rsid w:val="00EF2844"/>
    <w:rsid w:val="00EF339B"/>
    <w:rsid w:val="00EF381A"/>
    <w:rsid w:val="00EF4046"/>
    <w:rsid w:val="00EF4E07"/>
    <w:rsid w:val="00EF5E3F"/>
    <w:rsid w:val="00F0220C"/>
    <w:rsid w:val="00F0234B"/>
    <w:rsid w:val="00F0264D"/>
    <w:rsid w:val="00F0308B"/>
    <w:rsid w:val="00F034FD"/>
    <w:rsid w:val="00F038EC"/>
    <w:rsid w:val="00F0402F"/>
    <w:rsid w:val="00F069E0"/>
    <w:rsid w:val="00F06A40"/>
    <w:rsid w:val="00F079E3"/>
    <w:rsid w:val="00F10BA7"/>
    <w:rsid w:val="00F130D5"/>
    <w:rsid w:val="00F13287"/>
    <w:rsid w:val="00F1397B"/>
    <w:rsid w:val="00F14133"/>
    <w:rsid w:val="00F1500C"/>
    <w:rsid w:val="00F1543E"/>
    <w:rsid w:val="00F15542"/>
    <w:rsid w:val="00F16973"/>
    <w:rsid w:val="00F1729D"/>
    <w:rsid w:val="00F20878"/>
    <w:rsid w:val="00F22B22"/>
    <w:rsid w:val="00F234EA"/>
    <w:rsid w:val="00F240A9"/>
    <w:rsid w:val="00F279D2"/>
    <w:rsid w:val="00F3151F"/>
    <w:rsid w:val="00F32422"/>
    <w:rsid w:val="00F32AA6"/>
    <w:rsid w:val="00F3349E"/>
    <w:rsid w:val="00F34B59"/>
    <w:rsid w:val="00F34F26"/>
    <w:rsid w:val="00F352B2"/>
    <w:rsid w:val="00F35426"/>
    <w:rsid w:val="00F3788B"/>
    <w:rsid w:val="00F3796A"/>
    <w:rsid w:val="00F37BAE"/>
    <w:rsid w:val="00F422BD"/>
    <w:rsid w:val="00F42F66"/>
    <w:rsid w:val="00F43A2B"/>
    <w:rsid w:val="00F44147"/>
    <w:rsid w:val="00F45FA1"/>
    <w:rsid w:val="00F467DB"/>
    <w:rsid w:val="00F47611"/>
    <w:rsid w:val="00F4793B"/>
    <w:rsid w:val="00F47DC1"/>
    <w:rsid w:val="00F51CAB"/>
    <w:rsid w:val="00F51E3D"/>
    <w:rsid w:val="00F52F6F"/>
    <w:rsid w:val="00F5411A"/>
    <w:rsid w:val="00F55480"/>
    <w:rsid w:val="00F561CE"/>
    <w:rsid w:val="00F574CF"/>
    <w:rsid w:val="00F5752C"/>
    <w:rsid w:val="00F60461"/>
    <w:rsid w:val="00F6048B"/>
    <w:rsid w:val="00F60D83"/>
    <w:rsid w:val="00F61962"/>
    <w:rsid w:val="00F62804"/>
    <w:rsid w:val="00F63E1C"/>
    <w:rsid w:val="00F64195"/>
    <w:rsid w:val="00F67507"/>
    <w:rsid w:val="00F727CD"/>
    <w:rsid w:val="00F72879"/>
    <w:rsid w:val="00F7320B"/>
    <w:rsid w:val="00F752E8"/>
    <w:rsid w:val="00F75644"/>
    <w:rsid w:val="00F76270"/>
    <w:rsid w:val="00F77799"/>
    <w:rsid w:val="00F77FD5"/>
    <w:rsid w:val="00F806F9"/>
    <w:rsid w:val="00F807BD"/>
    <w:rsid w:val="00F824AE"/>
    <w:rsid w:val="00F83E9C"/>
    <w:rsid w:val="00F84949"/>
    <w:rsid w:val="00F85F35"/>
    <w:rsid w:val="00F86407"/>
    <w:rsid w:val="00F8739E"/>
    <w:rsid w:val="00F87CD9"/>
    <w:rsid w:val="00F90247"/>
    <w:rsid w:val="00F927A1"/>
    <w:rsid w:val="00F9281B"/>
    <w:rsid w:val="00F95A12"/>
    <w:rsid w:val="00F9662F"/>
    <w:rsid w:val="00F96E21"/>
    <w:rsid w:val="00F96E2C"/>
    <w:rsid w:val="00F97405"/>
    <w:rsid w:val="00FA0A7B"/>
    <w:rsid w:val="00FA3BC8"/>
    <w:rsid w:val="00FA42E4"/>
    <w:rsid w:val="00FA5A79"/>
    <w:rsid w:val="00FA5E2D"/>
    <w:rsid w:val="00FA7BE2"/>
    <w:rsid w:val="00FA7C5C"/>
    <w:rsid w:val="00FB0BFE"/>
    <w:rsid w:val="00FB0FB7"/>
    <w:rsid w:val="00FB1902"/>
    <w:rsid w:val="00FB2EDB"/>
    <w:rsid w:val="00FB367F"/>
    <w:rsid w:val="00FB387F"/>
    <w:rsid w:val="00FB4C51"/>
    <w:rsid w:val="00FB6B08"/>
    <w:rsid w:val="00FC0826"/>
    <w:rsid w:val="00FC31A4"/>
    <w:rsid w:val="00FC41F5"/>
    <w:rsid w:val="00FC57E3"/>
    <w:rsid w:val="00FC5EA5"/>
    <w:rsid w:val="00FC6631"/>
    <w:rsid w:val="00FC76CF"/>
    <w:rsid w:val="00FC77A8"/>
    <w:rsid w:val="00FD1A4E"/>
    <w:rsid w:val="00FD2CCE"/>
    <w:rsid w:val="00FD3586"/>
    <w:rsid w:val="00FD3811"/>
    <w:rsid w:val="00FD3FBC"/>
    <w:rsid w:val="00FD5031"/>
    <w:rsid w:val="00FD55FA"/>
    <w:rsid w:val="00FD5BC2"/>
    <w:rsid w:val="00FE00E6"/>
    <w:rsid w:val="00FE0663"/>
    <w:rsid w:val="00FE0895"/>
    <w:rsid w:val="00FE0FEC"/>
    <w:rsid w:val="00FE246A"/>
    <w:rsid w:val="00FE26E8"/>
    <w:rsid w:val="00FE2D96"/>
    <w:rsid w:val="00FE2E4F"/>
    <w:rsid w:val="00FE2F2C"/>
    <w:rsid w:val="00FE3F08"/>
    <w:rsid w:val="00FE68BE"/>
    <w:rsid w:val="00FE792A"/>
    <w:rsid w:val="00FF1DBD"/>
    <w:rsid w:val="00FF1F95"/>
    <w:rsid w:val="00FF2E2B"/>
    <w:rsid w:val="00FF30EF"/>
    <w:rsid w:val="00FF4474"/>
    <w:rsid w:val="00FF46FE"/>
    <w:rsid w:val="00FF4F8B"/>
    <w:rsid w:val="00FF5036"/>
    <w:rsid w:val="00FF5AB7"/>
    <w:rsid w:val="00FF6D61"/>
    <w:rsid w:val="00FF7A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D791B2-4D25-41C9-806E-5D783D6A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AA"/>
    <w:pPr>
      <w:suppressAutoHyphens/>
      <w:spacing w:line="240" w:lineRule="atLeast"/>
    </w:pPr>
    <w:rPr>
      <w:lang w:val="fr-CH" w:eastAsia="en-US"/>
    </w:rPr>
  </w:style>
  <w:style w:type="paragraph" w:styleId="Heading1">
    <w:name w:val="heading 1"/>
    <w:aliases w:val="Table_G"/>
    <w:basedOn w:val="SingleTxtG"/>
    <w:next w:val="SingleTxtG"/>
    <w:qFormat/>
    <w:rsid w:val="00B77C99"/>
    <w:pPr>
      <w:keepNext/>
      <w:keepLines/>
      <w:spacing w:after="0" w:line="240" w:lineRule="auto"/>
      <w:ind w:right="0"/>
      <w:jc w:val="left"/>
      <w:outlineLvl w:val="0"/>
    </w:pPr>
  </w:style>
  <w:style w:type="paragraph" w:styleId="Heading2">
    <w:name w:val="heading 2"/>
    <w:basedOn w:val="Normal"/>
    <w:next w:val="Normal"/>
    <w:qFormat/>
    <w:rsid w:val="00287E79"/>
    <w:pPr>
      <w:outlineLvl w:val="1"/>
    </w:pPr>
  </w:style>
  <w:style w:type="paragraph" w:styleId="Heading3">
    <w:name w:val="heading 3"/>
    <w:basedOn w:val="Normal"/>
    <w:next w:val="Normal"/>
    <w:qFormat/>
    <w:rsid w:val="00287E79"/>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A7CAA"/>
    <w:pPr>
      <w:spacing w:after="120"/>
      <w:ind w:left="1134" w:right="1134"/>
      <w:jc w:val="both"/>
    </w:pPr>
  </w:style>
  <w:style w:type="character" w:styleId="FootnoteReference">
    <w:name w:val="footnote reference"/>
    <w:aliases w:val="4_G"/>
    <w:rsid w:val="00CA7CAA"/>
    <w:rPr>
      <w:rFonts w:ascii="Times New Roman" w:hAnsi="Times New Roman"/>
      <w:sz w:val="18"/>
      <w:vertAlign w:val="superscript"/>
      <w:lang w:val="fr-CH"/>
    </w:rPr>
  </w:style>
  <w:style w:type="character" w:styleId="EndnoteReference">
    <w:name w:val="endnote reference"/>
    <w:aliases w:val="1_G"/>
    <w:rsid w:val="00CA7CAA"/>
    <w:rPr>
      <w:rFonts w:ascii="Times New Roman" w:hAnsi="Times New Roman"/>
      <w:sz w:val="18"/>
      <w:vertAlign w:val="superscript"/>
      <w:lang w:val="fr-CH"/>
    </w:rPr>
  </w:style>
  <w:style w:type="paragraph" w:styleId="Header">
    <w:name w:val="header"/>
    <w:aliases w:val="6_G"/>
    <w:basedOn w:val="Normal"/>
    <w:next w:val="Normal"/>
    <w:rsid w:val="00CA7CAA"/>
    <w:pPr>
      <w:pBdr>
        <w:bottom w:val="single" w:sz="4" w:space="4" w:color="auto"/>
      </w:pBdr>
      <w:spacing w:line="240" w:lineRule="auto"/>
    </w:pPr>
    <w:rPr>
      <w:b/>
      <w:sz w:val="18"/>
    </w:rPr>
  </w:style>
  <w:style w:type="paragraph" w:styleId="FootnoteText">
    <w:name w:val="footnote text"/>
    <w:aliases w:val="5_G"/>
    <w:basedOn w:val="Normal"/>
    <w:link w:val="FootnoteTextChar"/>
    <w:rsid w:val="00C1562D"/>
    <w:pPr>
      <w:tabs>
        <w:tab w:val="right" w:pos="1021"/>
      </w:tabs>
      <w:spacing w:line="220" w:lineRule="exact"/>
      <w:ind w:left="1134" w:right="1134" w:hanging="1134"/>
    </w:pPr>
    <w:rPr>
      <w:sz w:val="18"/>
    </w:rPr>
  </w:style>
  <w:style w:type="paragraph" w:styleId="EndnoteText">
    <w:name w:val="endnote text"/>
    <w:aliases w:val="2_G"/>
    <w:basedOn w:val="FootnoteText"/>
    <w:rsid w:val="00C1562D"/>
  </w:style>
  <w:style w:type="character" w:styleId="PageNumber">
    <w:name w:val="page number"/>
    <w:aliases w:val="7_G"/>
    <w:rsid w:val="00CA7CAA"/>
    <w:rPr>
      <w:rFonts w:ascii="Times New Roman" w:hAnsi="Times New Roman"/>
      <w:b/>
      <w:sz w:val="18"/>
      <w:lang w:val="fr-CH"/>
    </w:rPr>
  </w:style>
  <w:style w:type="paragraph" w:styleId="Footer">
    <w:name w:val="footer"/>
    <w:aliases w:val="3_G"/>
    <w:basedOn w:val="Normal"/>
    <w:next w:val="Normal"/>
    <w:rsid w:val="00CA7CAA"/>
    <w:pPr>
      <w:spacing w:line="240" w:lineRule="auto"/>
    </w:pPr>
    <w:rPr>
      <w:sz w:val="16"/>
    </w:rPr>
  </w:style>
  <w:style w:type="paragraph" w:customStyle="1" w:styleId="H1G">
    <w:name w:val="_ H_1_G"/>
    <w:basedOn w:val="Normal"/>
    <w:next w:val="Normal"/>
    <w:link w:val="H1GChar"/>
    <w:qFormat/>
    <w:rsid w:val="00CA7CAA"/>
    <w:pPr>
      <w:keepNext/>
      <w:keepLines/>
      <w:tabs>
        <w:tab w:val="right" w:pos="851"/>
      </w:tabs>
      <w:spacing w:before="360" w:after="240" w:line="270" w:lineRule="exact"/>
      <w:ind w:left="1134" w:right="1134" w:hanging="1134"/>
    </w:pPr>
    <w:rPr>
      <w:b/>
      <w:sz w:val="24"/>
    </w:rPr>
  </w:style>
  <w:style w:type="paragraph" w:customStyle="1" w:styleId="HChG">
    <w:name w:val="_ H _Ch_G"/>
    <w:basedOn w:val="Normal"/>
    <w:next w:val="Normal"/>
    <w:rsid w:val="00CA7CAA"/>
    <w:pPr>
      <w:keepNext/>
      <w:keepLines/>
      <w:tabs>
        <w:tab w:val="right" w:pos="851"/>
      </w:tabs>
      <w:spacing w:before="360" w:after="240" w:line="300" w:lineRule="exact"/>
      <w:ind w:left="1134" w:right="1134" w:hanging="1134"/>
    </w:pPr>
    <w:rPr>
      <w:b/>
      <w:sz w:val="28"/>
    </w:rPr>
  </w:style>
  <w:style w:type="paragraph" w:customStyle="1" w:styleId="HMG">
    <w:name w:val="_ H __M_G"/>
    <w:basedOn w:val="Normal"/>
    <w:next w:val="Normal"/>
    <w:rsid w:val="00CA7CAA"/>
    <w:pPr>
      <w:keepNext/>
      <w:keepLines/>
      <w:tabs>
        <w:tab w:val="right" w:pos="851"/>
      </w:tabs>
      <w:spacing w:before="240" w:after="240" w:line="360" w:lineRule="exact"/>
      <w:ind w:left="1134" w:right="1134" w:hanging="1134"/>
    </w:pPr>
    <w:rPr>
      <w:b/>
      <w:sz w:val="34"/>
    </w:rPr>
  </w:style>
  <w:style w:type="paragraph" w:customStyle="1" w:styleId="H23G">
    <w:name w:val="_ H_2/3_G"/>
    <w:basedOn w:val="Normal"/>
    <w:next w:val="Normal"/>
    <w:rsid w:val="00CA7CA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A7CA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A7CAA"/>
    <w:pPr>
      <w:keepNext/>
      <w:keepLines/>
      <w:tabs>
        <w:tab w:val="right" w:pos="851"/>
      </w:tabs>
      <w:spacing w:before="240" w:after="120" w:line="240" w:lineRule="exact"/>
      <w:ind w:left="1134" w:right="1134" w:hanging="1134"/>
    </w:pPr>
  </w:style>
  <w:style w:type="paragraph" w:customStyle="1" w:styleId="SMG">
    <w:name w:val="__S_M_G"/>
    <w:basedOn w:val="Normal"/>
    <w:next w:val="Normal"/>
    <w:rsid w:val="00CA7CAA"/>
    <w:pPr>
      <w:keepNext/>
      <w:keepLines/>
      <w:spacing w:before="240" w:after="240" w:line="420" w:lineRule="exact"/>
      <w:ind w:left="1134" w:right="1134"/>
    </w:pPr>
    <w:rPr>
      <w:b/>
      <w:sz w:val="40"/>
    </w:rPr>
  </w:style>
  <w:style w:type="paragraph" w:customStyle="1" w:styleId="SLG">
    <w:name w:val="__S_L_G"/>
    <w:basedOn w:val="Normal"/>
    <w:next w:val="Normal"/>
    <w:rsid w:val="00CA7CAA"/>
    <w:pPr>
      <w:keepNext/>
      <w:keepLines/>
      <w:spacing w:before="240" w:after="240" w:line="580" w:lineRule="exact"/>
      <w:ind w:left="1134" w:right="1134"/>
    </w:pPr>
    <w:rPr>
      <w:b/>
      <w:sz w:val="56"/>
    </w:rPr>
  </w:style>
  <w:style w:type="paragraph" w:customStyle="1" w:styleId="SSG">
    <w:name w:val="__S_S_G"/>
    <w:basedOn w:val="Normal"/>
    <w:next w:val="Normal"/>
    <w:rsid w:val="00CA7CAA"/>
    <w:pPr>
      <w:keepNext/>
      <w:keepLines/>
      <w:spacing w:before="240" w:after="240" w:line="300" w:lineRule="exact"/>
      <w:ind w:left="1134" w:right="1134"/>
    </w:pPr>
    <w:rPr>
      <w:b/>
      <w:sz w:val="28"/>
    </w:rPr>
  </w:style>
  <w:style w:type="paragraph" w:customStyle="1" w:styleId="XLargeG">
    <w:name w:val="__XLarge_G"/>
    <w:basedOn w:val="Normal"/>
    <w:next w:val="Normal"/>
    <w:rsid w:val="00CA7CAA"/>
    <w:pPr>
      <w:keepNext/>
      <w:keepLines/>
      <w:spacing w:before="240" w:after="240" w:line="420" w:lineRule="exact"/>
      <w:ind w:left="1134" w:right="1134"/>
    </w:pPr>
    <w:rPr>
      <w:b/>
      <w:sz w:val="40"/>
    </w:rPr>
  </w:style>
  <w:style w:type="paragraph" w:customStyle="1" w:styleId="Bullet1G">
    <w:name w:val="_Bullet 1_G"/>
    <w:basedOn w:val="Normal"/>
    <w:rsid w:val="00CA7CAA"/>
    <w:pPr>
      <w:numPr>
        <w:numId w:val="1"/>
      </w:numPr>
      <w:spacing w:after="120"/>
      <w:ind w:right="1134"/>
      <w:jc w:val="both"/>
    </w:pPr>
  </w:style>
  <w:style w:type="paragraph" w:customStyle="1" w:styleId="Bullet2G">
    <w:name w:val="_Bullet 2_G"/>
    <w:basedOn w:val="Normal"/>
    <w:rsid w:val="00CA7CAA"/>
    <w:pPr>
      <w:numPr>
        <w:numId w:val="2"/>
      </w:numPr>
      <w:spacing w:after="120"/>
      <w:ind w:right="1134"/>
      <w:jc w:val="both"/>
    </w:pPr>
  </w:style>
  <w:style w:type="character" w:styleId="Hyperlink">
    <w:name w:val="Hyperlink"/>
    <w:semiHidden/>
    <w:rsid w:val="006B132B"/>
    <w:rPr>
      <w:color w:val="auto"/>
      <w:u w:val="none"/>
    </w:rPr>
  </w:style>
  <w:style w:type="character" w:styleId="FollowedHyperlink">
    <w:name w:val="FollowedHyperlink"/>
    <w:semiHidden/>
    <w:rsid w:val="006B132B"/>
    <w:rPr>
      <w:color w:val="auto"/>
      <w:u w:val="none"/>
    </w:rPr>
  </w:style>
  <w:style w:type="table" w:styleId="TableGrid">
    <w:name w:val="Table Grid"/>
    <w:basedOn w:val="TableNormal"/>
    <w:semiHidden/>
    <w:rsid w:val="00E728B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link w:val="FootnoteText"/>
    <w:rsid w:val="00765948"/>
    <w:rPr>
      <w:sz w:val="18"/>
      <w:lang w:val="fr-CH" w:eastAsia="en-US"/>
    </w:rPr>
  </w:style>
  <w:style w:type="character" w:customStyle="1" w:styleId="HChGChar">
    <w:name w:val="_ H _Ch_G Char"/>
    <w:rsid w:val="00141CF5"/>
    <w:rPr>
      <w:b/>
      <w:sz w:val="28"/>
      <w:lang w:val="fr-CH" w:bidi="ar-SA"/>
    </w:rPr>
  </w:style>
  <w:style w:type="character" w:customStyle="1" w:styleId="SingleTxtGChar">
    <w:name w:val="_ Single Txt_G Char"/>
    <w:link w:val="SingleTxtG"/>
    <w:locked/>
    <w:rsid w:val="00141CF5"/>
    <w:rPr>
      <w:lang w:val="fr-CH" w:eastAsia="en-US"/>
    </w:rPr>
  </w:style>
  <w:style w:type="paragraph" w:styleId="BalloonText">
    <w:name w:val="Balloon Text"/>
    <w:basedOn w:val="Normal"/>
    <w:link w:val="BalloonTextChar"/>
    <w:rsid w:val="00DD738A"/>
    <w:pPr>
      <w:spacing w:line="240" w:lineRule="auto"/>
    </w:pPr>
    <w:rPr>
      <w:rFonts w:ascii="Tahoma" w:hAnsi="Tahoma" w:cs="Tahoma"/>
      <w:sz w:val="16"/>
      <w:szCs w:val="16"/>
    </w:rPr>
  </w:style>
  <w:style w:type="character" w:customStyle="1" w:styleId="BalloonTextChar">
    <w:name w:val="Balloon Text Char"/>
    <w:link w:val="BalloonText"/>
    <w:rsid w:val="00DD738A"/>
    <w:rPr>
      <w:rFonts w:ascii="Tahoma" w:hAnsi="Tahoma" w:cs="Tahoma"/>
      <w:sz w:val="16"/>
      <w:szCs w:val="16"/>
      <w:lang w:val="fr-CH" w:eastAsia="en-US"/>
    </w:rPr>
  </w:style>
  <w:style w:type="character" w:styleId="CommentReference">
    <w:name w:val="annotation reference"/>
    <w:rsid w:val="00CB0ED2"/>
    <w:rPr>
      <w:sz w:val="16"/>
      <w:szCs w:val="16"/>
    </w:rPr>
  </w:style>
  <w:style w:type="paragraph" w:styleId="CommentText">
    <w:name w:val="annotation text"/>
    <w:basedOn w:val="Normal"/>
    <w:link w:val="CommentTextChar"/>
    <w:rsid w:val="00CB0ED2"/>
  </w:style>
  <w:style w:type="character" w:customStyle="1" w:styleId="CommentTextChar">
    <w:name w:val="Comment Text Char"/>
    <w:link w:val="CommentText"/>
    <w:rsid w:val="00CB0ED2"/>
    <w:rPr>
      <w:lang w:val="fr-CH" w:eastAsia="en-US"/>
    </w:rPr>
  </w:style>
  <w:style w:type="paragraph" w:styleId="CommentSubject">
    <w:name w:val="annotation subject"/>
    <w:basedOn w:val="CommentText"/>
    <w:next w:val="CommentText"/>
    <w:link w:val="CommentSubjectChar"/>
    <w:rsid w:val="00CB0ED2"/>
    <w:rPr>
      <w:b/>
      <w:bCs/>
    </w:rPr>
  </w:style>
  <w:style w:type="character" w:customStyle="1" w:styleId="CommentSubjectChar">
    <w:name w:val="Comment Subject Char"/>
    <w:link w:val="CommentSubject"/>
    <w:rsid w:val="00CB0ED2"/>
    <w:rPr>
      <w:b/>
      <w:bCs/>
      <w:lang w:val="fr-CH" w:eastAsia="en-US"/>
    </w:rPr>
  </w:style>
  <w:style w:type="character" w:styleId="Emphasis">
    <w:name w:val="Emphasis"/>
    <w:uiPriority w:val="20"/>
    <w:qFormat/>
    <w:rsid w:val="007A3123"/>
    <w:rPr>
      <w:i/>
      <w:iCs/>
    </w:rPr>
  </w:style>
  <w:style w:type="paragraph" w:customStyle="1" w:styleId="Tramecouleur-Accent11">
    <w:name w:val="Trame couleur - Accent 11"/>
    <w:hidden/>
    <w:uiPriority w:val="99"/>
    <w:semiHidden/>
    <w:rsid w:val="00F3796A"/>
    <w:rPr>
      <w:lang w:val="fr-CH" w:eastAsia="en-US"/>
    </w:rPr>
  </w:style>
  <w:style w:type="character" w:customStyle="1" w:styleId="H1GChar">
    <w:name w:val="_ H_1_G Char"/>
    <w:link w:val="H1G"/>
    <w:locked/>
    <w:rsid w:val="001E3D14"/>
    <w:rPr>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5263">
      <w:bodyDiv w:val="1"/>
      <w:marLeft w:val="0"/>
      <w:marRight w:val="0"/>
      <w:marTop w:val="0"/>
      <w:marBottom w:val="0"/>
      <w:divBdr>
        <w:top w:val="none" w:sz="0" w:space="0" w:color="auto"/>
        <w:left w:val="none" w:sz="0" w:space="0" w:color="auto"/>
        <w:bottom w:val="none" w:sz="0" w:space="0" w:color="auto"/>
        <w:right w:val="none" w:sz="0" w:space="0" w:color="auto"/>
      </w:divBdr>
    </w:div>
    <w:div w:id="269164032">
      <w:bodyDiv w:val="1"/>
      <w:marLeft w:val="0"/>
      <w:marRight w:val="0"/>
      <w:marTop w:val="0"/>
      <w:marBottom w:val="0"/>
      <w:divBdr>
        <w:top w:val="none" w:sz="0" w:space="0" w:color="auto"/>
        <w:left w:val="none" w:sz="0" w:space="0" w:color="auto"/>
        <w:bottom w:val="none" w:sz="0" w:space="0" w:color="auto"/>
        <w:right w:val="none" w:sz="0" w:space="0" w:color="auto"/>
      </w:divBdr>
    </w:div>
    <w:div w:id="641546954">
      <w:bodyDiv w:val="1"/>
      <w:marLeft w:val="0"/>
      <w:marRight w:val="0"/>
      <w:marTop w:val="0"/>
      <w:marBottom w:val="0"/>
      <w:divBdr>
        <w:top w:val="none" w:sz="0" w:space="0" w:color="auto"/>
        <w:left w:val="none" w:sz="0" w:space="0" w:color="auto"/>
        <w:bottom w:val="none" w:sz="0" w:space="0" w:color="auto"/>
        <w:right w:val="none" w:sz="0" w:space="0" w:color="auto"/>
      </w:divBdr>
    </w:div>
    <w:div w:id="19097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afrik.com/affaire-hammouchi-le-maroc-depose-plainte-et-fustige-la-justice-francaise%2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1E2A-001E-4C6F-AEC5-D656CF2E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CAT_F</Template>
  <TotalTime>0</TotalTime>
  <Pages>15</Pages>
  <Words>8842</Words>
  <Characters>50402</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CAT/C/59/D/606/2014</vt:lpstr>
      <vt:lpstr>CAT/C/59/D/606/2014</vt:lpstr>
    </vt:vector>
  </TitlesOfParts>
  <Company>CSD</Company>
  <LinksUpToDate>false</LinksUpToDate>
  <CharactersWithSpaces>59126</CharactersWithSpaces>
  <SharedDoc>false</SharedDoc>
  <HLinks>
    <vt:vector size="6" baseType="variant">
      <vt:variant>
        <vt:i4>4063287</vt:i4>
      </vt:variant>
      <vt:variant>
        <vt:i4>0</vt:i4>
      </vt:variant>
      <vt:variant>
        <vt:i4>0</vt:i4>
      </vt:variant>
      <vt:variant>
        <vt:i4>5</vt:i4>
      </vt:variant>
      <vt:variant>
        <vt:lpwstr>http://www.afrik.com/affaire-hammouchi-le-maroc-depose-plainte-et-fustige-la-justice-francaise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CAT/C/59/D/606/2014</dc:title>
  <dc:subject>qrcodes</dc:subject>
  <dc:creator>dvx</dc:creator>
  <cp:keywords/>
  <dc:description/>
  <cp:lastModifiedBy>Sarah Willig</cp:lastModifiedBy>
  <cp:revision>2</cp:revision>
  <cp:lastPrinted>2016-10-07T10:03:00Z</cp:lastPrinted>
  <dcterms:created xsi:type="dcterms:W3CDTF">2017-05-09T16:06:00Z</dcterms:created>
  <dcterms:modified xsi:type="dcterms:W3CDTF">2017-05-09T16:06:00Z</dcterms:modified>
</cp:coreProperties>
</file>