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8F761B" w:rsidRPr="008F761B" w:rsidTr="00AC234C">
        <w:trPr>
          <w:cantSplit/>
          <w:trHeight w:hRule="exact" w:val="851"/>
        </w:trPr>
        <w:tc>
          <w:tcPr>
            <w:tcW w:w="1276" w:type="dxa"/>
            <w:tcBorders>
              <w:bottom w:val="single" w:sz="4" w:space="0" w:color="auto"/>
            </w:tcBorders>
            <w:shd w:val="clear" w:color="auto" w:fill="auto"/>
            <w:vAlign w:val="bottom"/>
          </w:tcPr>
          <w:p w:rsidR="008F761B" w:rsidRPr="008F761B" w:rsidRDefault="008F761B" w:rsidP="008F761B">
            <w:pPr>
              <w:spacing w:after="80"/>
              <w:rPr>
                <w:rFonts w:eastAsia="Times New Roman"/>
              </w:rPr>
            </w:pPr>
            <w:bookmarkStart w:id="0" w:name="_GoBack"/>
            <w:bookmarkEnd w:id="0"/>
          </w:p>
        </w:tc>
        <w:tc>
          <w:tcPr>
            <w:tcW w:w="2268" w:type="dxa"/>
            <w:tcBorders>
              <w:bottom w:val="single" w:sz="4" w:space="0" w:color="auto"/>
            </w:tcBorders>
            <w:shd w:val="clear" w:color="auto" w:fill="auto"/>
            <w:vAlign w:val="bottom"/>
          </w:tcPr>
          <w:p w:rsidR="008F761B" w:rsidRPr="008F761B" w:rsidRDefault="008F761B" w:rsidP="008F761B">
            <w:pPr>
              <w:spacing w:after="80" w:line="300" w:lineRule="exact"/>
              <w:rPr>
                <w:rFonts w:eastAsia="Times New Roman"/>
                <w:b/>
                <w:sz w:val="24"/>
                <w:szCs w:val="24"/>
              </w:rPr>
            </w:pPr>
            <w:r w:rsidRPr="008F761B">
              <w:rPr>
                <w:rFonts w:eastAsia="Times New Roman"/>
                <w:sz w:val="28"/>
                <w:szCs w:val="28"/>
              </w:rPr>
              <w:t>United Nations</w:t>
            </w:r>
          </w:p>
        </w:tc>
        <w:tc>
          <w:tcPr>
            <w:tcW w:w="6095" w:type="dxa"/>
            <w:gridSpan w:val="2"/>
            <w:tcBorders>
              <w:bottom w:val="single" w:sz="4" w:space="0" w:color="auto"/>
            </w:tcBorders>
            <w:shd w:val="clear" w:color="auto" w:fill="auto"/>
            <w:vAlign w:val="bottom"/>
          </w:tcPr>
          <w:p w:rsidR="008F761B" w:rsidRPr="008F761B" w:rsidRDefault="008F761B" w:rsidP="0020444D">
            <w:pPr>
              <w:suppressAutoHyphens w:val="0"/>
              <w:spacing w:after="20"/>
              <w:jc w:val="right"/>
              <w:rPr>
                <w:rFonts w:eastAsia="Times New Roman"/>
              </w:rPr>
            </w:pPr>
            <w:r w:rsidRPr="008F761B">
              <w:rPr>
                <w:rFonts w:eastAsia="Times New Roman"/>
                <w:sz w:val="40"/>
              </w:rPr>
              <w:t>CCPR</w:t>
            </w:r>
            <w:r w:rsidRPr="008F761B">
              <w:rPr>
                <w:rFonts w:eastAsia="Times New Roman"/>
              </w:rPr>
              <w:t>/C/</w:t>
            </w:r>
            <w:r>
              <w:rPr>
                <w:rFonts w:eastAsia="Times New Roman"/>
              </w:rPr>
              <w:t>112</w:t>
            </w:r>
            <w:r w:rsidRPr="008F761B">
              <w:rPr>
                <w:rFonts w:eastAsia="Times New Roman"/>
              </w:rPr>
              <w:t>/D/</w:t>
            </w:r>
            <w:r w:rsidR="001B0C11">
              <w:rPr>
                <w:rFonts w:eastAsia="Times New Roman"/>
              </w:rPr>
              <w:t>2031</w:t>
            </w:r>
            <w:r w:rsidRPr="008F761B">
              <w:rPr>
                <w:rFonts w:eastAsia="Times New Roman"/>
              </w:rPr>
              <w:t>/201</w:t>
            </w:r>
            <w:r w:rsidR="00514505">
              <w:rPr>
                <w:rFonts w:eastAsia="Times New Roman"/>
              </w:rPr>
              <w:t>1</w:t>
            </w:r>
          </w:p>
        </w:tc>
      </w:tr>
      <w:tr w:rsidR="008F761B" w:rsidRPr="008F761B" w:rsidTr="00AC234C">
        <w:trPr>
          <w:cantSplit/>
          <w:trHeight w:hRule="exact" w:val="2835"/>
        </w:trPr>
        <w:tc>
          <w:tcPr>
            <w:tcW w:w="1276" w:type="dxa"/>
            <w:tcBorders>
              <w:top w:val="single" w:sz="4" w:space="0" w:color="auto"/>
              <w:bottom w:val="single" w:sz="12" w:space="0" w:color="auto"/>
            </w:tcBorders>
            <w:shd w:val="clear" w:color="auto" w:fill="auto"/>
          </w:tcPr>
          <w:p w:rsidR="008F761B" w:rsidRPr="008F761B" w:rsidRDefault="00E941B1" w:rsidP="008F761B">
            <w:pPr>
              <w:spacing w:before="120"/>
              <w:rPr>
                <w:rFonts w:eastAsia="Times New Roman"/>
              </w:rPr>
            </w:pPr>
            <w:r>
              <w:rPr>
                <w:rFonts w:eastAsia="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8F761B" w:rsidRDefault="008F761B" w:rsidP="008F761B">
            <w:pPr>
              <w:spacing w:before="120" w:line="380" w:lineRule="exact"/>
              <w:rPr>
                <w:rFonts w:eastAsia="Times New Roman"/>
                <w:b/>
                <w:sz w:val="34"/>
                <w:szCs w:val="40"/>
              </w:rPr>
            </w:pPr>
            <w:r w:rsidRPr="008F761B">
              <w:rPr>
                <w:rFonts w:eastAsia="Times New Roman"/>
                <w:b/>
                <w:sz w:val="34"/>
                <w:szCs w:val="40"/>
              </w:rPr>
              <w:t>International Covenant on</w:t>
            </w:r>
            <w:r w:rsidRPr="008F761B">
              <w:rPr>
                <w:rFonts w:eastAsia="Times New Roman"/>
                <w:b/>
                <w:sz w:val="34"/>
                <w:szCs w:val="40"/>
              </w:rPr>
              <w:br/>
              <w:t>Civil and Political Rights</w:t>
            </w:r>
          </w:p>
          <w:p w:rsidR="00C73169" w:rsidRPr="00C73169" w:rsidRDefault="00C73169" w:rsidP="008F761B">
            <w:pPr>
              <w:spacing w:before="120" w:line="380" w:lineRule="exact"/>
              <w:rPr>
                <w:rFonts w:eastAsia="Times New Roman"/>
                <w:sz w:val="34"/>
              </w:rPr>
            </w:pPr>
          </w:p>
        </w:tc>
        <w:tc>
          <w:tcPr>
            <w:tcW w:w="2835" w:type="dxa"/>
            <w:tcBorders>
              <w:top w:val="single" w:sz="4" w:space="0" w:color="auto"/>
              <w:bottom w:val="single" w:sz="12" w:space="0" w:color="auto"/>
            </w:tcBorders>
            <w:shd w:val="clear" w:color="auto" w:fill="auto"/>
          </w:tcPr>
          <w:p w:rsidR="008F761B" w:rsidRPr="008F761B" w:rsidRDefault="008F761B" w:rsidP="008F761B">
            <w:pPr>
              <w:suppressAutoHyphens w:val="0"/>
              <w:spacing w:before="240" w:line="240" w:lineRule="exact"/>
              <w:rPr>
                <w:rFonts w:eastAsia="Times New Roman"/>
              </w:rPr>
            </w:pPr>
            <w:r w:rsidRPr="008F761B">
              <w:rPr>
                <w:rFonts w:eastAsia="Times New Roman"/>
              </w:rPr>
              <w:t xml:space="preserve">Distr.: </w:t>
            </w:r>
            <w:r w:rsidR="0020444D">
              <w:rPr>
                <w:rFonts w:eastAsia="Times New Roman"/>
              </w:rPr>
              <w:t>General</w:t>
            </w:r>
          </w:p>
          <w:p w:rsidR="008F761B" w:rsidRDefault="004933A0" w:rsidP="008F761B">
            <w:pPr>
              <w:suppressAutoHyphens w:val="0"/>
              <w:rPr>
                <w:rFonts w:eastAsia="Times New Roman"/>
              </w:rPr>
            </w:pPr>
            <w:r w:rsidRPr="00B439F8">
              <w:rPr>
                <w:rFonts w:eastAsia="Times New Roman"/>
              </w:rPr>
              <w:t>2</w:t>
            </w:r>
            <w:r w:rsidR="00DB4E54">
              <w:rPr>
                <w:rFonts w:eastAsia="Times New Roman"/>
              </w:rPr>
              <w:t>5</w:t>
            </w:r>
            <w:r w:rsidRPr="00B439F8">
              <w:rPr>
                <w:rFonts w:eastAsia="Times New Roman"/>
              </w:rPr>
              <w:t xml:space="preserve"> </w:t>
            </w:r>
            <w:r w:rsidR="00C73169" w:rsidRPr="004933A0">
              <w:rPr>
                <w:rFonts w:eastAsia="Times New Roman"/>
              </w:rPr>
              <w:t>November</w:t>
            </w:r>
            <w:r w:rsidR="008F761B" w:rsidRPr="004933A0">
              <w:rPr>
                <w:rFonts w:eastAsia="Times New Roman"/>
              </w:rPr>
              <w:t xml:space="preserve"> 2014</w:t>
            </w:r>
          </w:p>
          <w:p w:rsidR="00514505" w:rsidRPr="008F761B" w:rsidRDefault="00514505" w:rsidP="008F761B">
            <w:pPr>
              <w:suppressAutoHyphens w:val="0"/>
              <w:rPr>
                <w:rFonts w:eastAsia="Times New Roman"/>
              </w:rPr>
            </w:pPr>
          </w:p>
          <w:p w:rsidR="008F761B" w:rsidRPr="008F761B" w:rsidRDefault="008F761B" w:rsidP="008F761B">
            <w:pPr>
              <w:suppressAutoHyphens w:val="0"/>
              <w:rPr>
                <w:rFonts w:eastAsia="Times New Roman"/>
              </w:rPr>
            </w:pPr>
            <w:r w:rsidRPr="008F761B">
              <w:rPr>
                <w:rFonts w:eastAsia="Times New Roman"/>
              </w:rPr>
              <w:t>Original: English</w:t>
            </w:r>
          </w:p>
        </w:tc>
      </w:tr>
    </w:tbl>
    <w:p w:rsidR="008F761B" w:rsidRPr="008F761B" w:rsidRDefault="008F761B" w:rsidP="008F761B">
      <w:pPr>
        <w:spacing w:before="120"/>
        <w:rPr>
          <w:rFonts w:eastAsia="Times New Roman"/>
          <w:b/>
          <w:sz w:val="24"/>
          <w:szCs w:val="24"/>
        </w:rPr>
      </w:pPr>
      <w:r w:rsidRPr="008F761B">
        <w:rPr>
          <w:rFonts w:eastAsia="Times New Roman"/>
          <w:b/>
          <w:sz w:val="24"/>
          <w:szCs w:val="24"/>
        </w:rPr>
        <w:t>Human Rights Committee</w:t>
      </w:r>
      <w:r w:rsidR="00E941B1">
        <w:rPr>
          <w:rFonts w:eastAsia="Times New Roman"/>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8" o:title="2011&amp;Size=2 &amp;Lang=E"/>
            <w10:wrap anchorx="margin" anchory="margin"/>
          </v:shape>
        </w:pict>
      </w:r>
    </w:p>
    <w:p w:rsidR="001B0C11" w:rsidRPr="001B0C11" w:rsidRDefault="00647B7B" w:rsidP="001B0C11">
      <w:pPr>
        <w:keepNext/>
        <w:keepLines/>
        <w:tabs>
          <w:tab w:val="right" w:pos="851"/>
        </w:tabs>
        <w:spacing w:before="360" w:after="240" w:line="300" w:lineRule="exact"/>
        <w:ind w:left="1134" w:right="1134" w:hanging="1134"/>
        <w:rPr>
          <w:rFonts w:eastAsia="Times New Roman"/>
          <w:b/>
          <w:sz w:val="28"/>
        </w:rPr>
      </w:pPr>
      <w:r>
        <w:rPr>
          <w:rFonts w:eastAsia="Times New Roman"/>
          <w:b/>
          <w:sz w:val="28"/>
        </w:rPr>
        <w:tab/>
      </w:r>
      <w:r>
        <w:rPr>
          <w:rFonts w:eastAsia="Times New Roman"/>
          <w:b/>
          <w:sz w:val="28"/>
        </w:rPr>
        <w:tab/>
        <w:t>Communication No. </w:t>
      </w:r>
      <w:r w:rsidR="001B0C11" w:rsidRPr="001B0C11">
        <w:rPr>
          <w:rFonts w:eastAsia="Times New Roman"/>
          <w:b/>
          <w:sz w:val="28"/>
        </w:rPr>
        <w:t>2031/2011</w:t>
      </w:r>
    </w:p>
    <w:p w:rsidR="0020444D" w:rsidRPr="00E8097C" w:rsidRDefault="00C73169" w:rsidP="0020444D">
      <w:pPr>
        <w:pStyle w:val="H1G"/>
        <w:spacing w:after="600"/>
      </w:pPr>
      <w:r>
        <w:rPr>
          <w:rFonts w:eastAsia="MS Mincho"/>
        </w:rPr>
        <w:tab/>
      </w:r>
      <w:r>
        <w:rPr>
          <w:rFonts w:eastAsia="MS Mincho"/>
        </w:rPr>
        <w:tab/>
      </w:r>
      <w:r w:rsidR="0020444D">
        <w:rPr>
          <w:rFonts w:eastAsia="MS Mincho"/>
        </w:rPr>
        <w:t>Views adopted by the Committee at its 112</w:t>
      </w:r>
      <w:r w:rsidR="0020444D" w:rsidRPr="00B439F8">
        <w:rPr>
          <w:rFonts w:eastAsia="MS Mincho"/>
        </w:rPr>
        <w:t>th</w:t>
      </w:r>
      <w:r w:rsidR="0020444D">
        <w:rPr>
          <w:rFonts w:eastAsia="MS Mincho"/>
        </w:rPr>
        <w:t xml:space="preserve"> session</w:t>
      </w:r>
      <w:r>
        <w:rPr>
          <w:rFonts w:eastAsia="MS Mincho"/>
        </w:rPr>
        <w:br/>
      </w:r>
      <w:r w:rsidR="0020444D">
        <w:rPr>
          <w:rFonts w:eastAsia="MS Mincho"/>
        </w:rPr>
        <w:t>(7</w:t>
      </w:r>
      <w:r w:rsidR="00B96DD5">
        <w:rPr>
          <w:rFonts w:eastAsia="MS Mincho"/>
        </w:rPr>
        <w:t>–</w:t>
      </w:r>
      <w:r w:rsidR="0020444D">
        <w:rPr>
          <w:rFonts w:eastAsia="MS Mincho"/>
        </w:rPr>
        <w:t>31 October 2014)</w:t>
      </w:r>
    </w:p>
    <w:p w:rsidR="001B0C11" w:rsidRPr="001B0C11" w:rsidRDefault="001B0C11" w:rsidP="00C55773">
      <w:pPr>
        <w:pStyle w:val="SingleTxtG"/>
        <w:ind w:left="4536" w:hanging="3402"/>
        <w:jc w:val="left"/>
        <w:rPr>
          <w:rFonts w:eastAsia="Times New Roman"/>
        </w:rPr>
      </w:pPr>
      <w:r w:rsidRPr="001B0C11">
        <w:rPr>
          <w:i/>
        </w:rPr>
        <w:t>Submitted by:</w:t>
      </w:r>
      <w:r w:rsidRPr="001B0C11">
        <w:rPr>
          <w:sz w:val="24"/>
          <w:szCs w:val="24"/>
        </w:rPr>
        <w:tab/>
      </w:r>
      <w:r w:rsidRPr="001B0C11">
        <w:t>Ram Kumar Bhandari</w:t>
      </w:r>
      <w:r w:rsidRPr="001B0C11">
        <w:rPr>
          <w:rFonts w:eastAsia="Times New Roman"/>
        </w:rPr>
        <w:t xml:space="preserve"> (represented by counsel, Track Impunity Always-TRIAL)</w:t>
      </w:r>
    </w:p>
    <w:p w:rsidR="001B0C11" w:rsidRPr="001B0C11" w:rsidRDefault="001B0C11" w:rsidP="00C55773">
      <w:pPr>
        <w:pStyle w:val="SingleTxtG"/>
        <w:ind w:left="4536" w:hanging="3402"/>
        <w:jc w:val="left"/>
        <w:rPr>
          <w:rFonts w:eastAsia="Times New Roman"/>
        </w:rPr>
      </w:pPr>
      <w:r w:rsidRPr="001B0C11">
        <w:rPr>
          <w:i/>
        </w:rPr>
        <w:t>Alleged victim:</w:t>
      </w:r>
      <w:r w:rsidRPr="001B0C11">
        <w:rPr>
          <w:sz w:val="24"/>
          <w:szCs w:val="24"/>
        </w:rPr>
        <w:tab/>
      </w:r>
      <w:r w:rsidRPr="001B0C11">
        <w:t>The author and Tej Bahadur Bhandari (his</w:t>
      </w:r>
      <w:r w:rsidR="00C55773">
        <w:t> </w:t>
      </w:r>
      <w:r w:rsidRPr="001B0C11">
        <w:t>father)</w:t>
      </w:r>
    </w:p>
    <w:p w:rsidR="001B0C11" w:rsidRPr="001B0C11" w:rsidRDefault="001B0C11" w:rsidP="00C55773">
      <w:pPr>
        <w:spacing w:after="120"/>
        <w:ind w:left="4536" w:hanging="3402"/>
        <w:rPr>
          <w:rFonts w:eastAsia="Times New Roman"/>
        </w:rPr>
      </w:pPr>
      <w:r w:rsidRPr="001B0C11">
        <w:rPr>
          <w:i/>
        </w:rPr>
        <w:t>State party:</w:t>
      </w:r>
      <w:r w:rsidRPr="001B0C11">
        <w:rPr>
          <w:sz w:val="24"/>
          <w:szCs w:val="24"/>
        </w:rPr>
        <w:tab/>
      </w:r>
      <w:r w:rsidRPr="001B0C11">
        <w:t>Nepal</w:t>
      </w:r>
    </w:p>
    <w:p w:rsidR="001B0C11" w:rsidRPr="001B0C11" w:rsidRDefault="001B0C11" w:rsidP="00C55773">
      <w:pPr>
        <w:spacing w:after="120"/>
        <w:ind w:left="4536" w:hanging="3402"/>
        <w:rPr>
          <w:rFonts w:eastAsia="Times New Roman"/>
        </w:rPr>
      </w:pPr>
      <w:r w:rsidRPr="001B0C11">
        <w:rPr>
          <w:i/>
        </w:rPr>
        <w:t>Date of communication:</w:t>
      </w:r>
      <w:r w:rsidRPr="001B0C11">
        <w:rPr>
          <w:sz w:val="24"/>
          <w:szCs w:val="24"/>
        </w:rPr>
        <w:tab/>
      </w:r>
      <w:r w:rsidRPr="001B0C11">
        <w:t>14 December 2010</w:t>
      </w:r>
      <w:r w:rsidRPr="001B0C11">
        <w:rPr>
          <w:rFonts w:eastAsia="Times New Roman"/>
        </w:rPr>
        <w:t xml:space="preserve"> (initial submission)</w:t>
      </w:r>
    </w:p>
    <w:p w:rsidR="001B0C11" w:rsidRPr="001B0C11" w:rsidRDefault="001B0C11" w:rsidP="00C55773">
      <w:pPr>
        <w:pStyle w:val="SingleTxtG"/>
        <w:ind w:left="4536" w:hanging="3402"/>
        <w:jc w:val="left"/>
        <w:rPr>
          <w:rFonts w:eastAsia="Times New Roman"/>
        </w:rPr>
      </w:pPr>
      <w:r w:rsidRPr="001B0C11">
        <w:rPr>
          <w:i/>
        </w:rPr>
        <w:t>Document references:</w:t>
      </w:r>
      <w:r w:rsidRPr="001B0C11">
        <w:rPr>
          <w:sz w:val="24"/>
          <w:szCs w:val="24"/>
        </w:rPr>
        <w:tab/>
      </w:r>
      <w:r w:rsidRPr="001B0C11">
        <w:rPr>
          <w:rFonts w:eastAsia="Times New Roman"/>
        </w:rPr>
        <w:t>Special Rapporteur’s rule 97 decision, transmitted to the State party on 17 February 2011 (not issued in document form)</w:t>
      </w:r>
    </w:p>
    <w:p w:rsidR="001B0C11" w:rsidRDefault="001B0C11" w:rsidP="00C55773">
      <w:pPr>
        <w:spacing w:after="120"/>
        <w:ind w:left="4536" w:hanging="3402"/>
        <w:rPr>
          <w:rFonts w:eastAsia="Times New Roman"/>
        </w:rPr>
      </w:pPr>
      <w:r w:rsidRPr="001B0C11">
        <w:rPr>
          <w:i/>
        </w:rPr>
        <w:t xml:space="preserve">Date of adoption of </w:t>
      </w:r>
      <w:r w:rsidR="00B96DD5" w:rsidRPr="001B0C11">
        <w:rPr>
          <w:i/>
        </w:rPr>
        <w:t>views</w:t>
      </w:r>
      <w:r w:rsidRPr="001B0C11">
        <w:rPr>
          <w:i/>
        </w:rPr>
        <w:t>:</w:t>
      </w:r>
      <w:r w:rsidR="00EF2CD3">
        <w:rPr>
          <w:sz w:val="24"/>
          <w:szCs w:val="24"/>
        </w:rPr>
        <w:tab/>
      </w:r>
      <w:r w:rsidR="0020444D" w:rsidRPr="0020444D">
        <w:t>29</w:t>
      </w:r>
      <w:r w:rsidR="00EF2CD3" w:rsidRPr="00EF2CD3">
        <w:t xml:space="preserve"> O</w:t>
      </w:r>
      <w:r w:rsidRPr="00EF2CD3">
        <w:t xml:space="preserve">ctober </w:t>
      </w:r>
      <w:r w:rsidRPr="00EF2CD3">
        <w:rPr>
          <w:rFonts w:eastAsia="Times New Roman"/>
        </w:rPr>
        <w:t>2014</w:t>
      </w:r>
    </w:p>
    <w:p w:rsidR="001B0C11" w:rsidRPr="001B0C11" w:rsidRDefault="00C55773" w:rsidP="00C55773">
      <w:pPr>
        <w:spacing w:after="120"/>
        <w:ind w:left="4536" w:hanging="3402"/>
        <w:rPr>
          <w:rFonts w:eastAsia="Times New Roman"/>
        </w:rPr>
      </w:pPr>
      <w:r w:rsidRPr="00B439F8">
        <w:rPr>
          <w:i/>
        </w:rPr>
        <w:t>Subject</w:t>
      </w:r>
      <w:r w:rsidRPr="001B0C11">
        <w:rPr>
          <w:rFonts w:eastAsia="Times New Roman"/>
          <w:i/>
          <w:iCs/>
        </w:rPr>
        <w:t xml:space="preserve"> matter:</w:t>
      </w:r>
      <w:r>
        <w:rPr>
          <w:rFonts w:eastAsia="Times New Roman"/>
          <w:i/>
          <w:iCs/>
        </w:rPr>
        <w:tab/>
      </w:r>
      <w:r w:rsidRPr="001B0C11">
        <w:rPr>
          <w:rFonts w:eastAsia="Times New Roman"/>
        </w:rPr>
        <w:t>Enforced disappearance</w:t>
      </w:r>
    </w:p>
    <w:p w:rsidR="001B0C11" w:rsidRPr="001B0C11" w:rsidRDefault="001B0C11" w:rsidP="00C55773">
      <w:pPr>
        <w:pStyle w:val="SingleTxtG"/>
        <w:ind w:left="4536" w:hanging="3402"/>
        <w:jc w:val="left"/>
        <w:rPr>
          <w:rFonts w:eastAsia="Times New Roman"/>
        </w:rPr>
      </w:pPr>
      <w:r w:rsidRPr="001B0C11">
        <w:rPr>
          <w:rFonts w:eastAsia="Times New Roman"/>
          <w:i/>
          <w:iCs/>
        </w:rPr>
        <w:t>Substantive issues:</w:t>
      </w:r>
      <w:r w:rsidRPr="001B0C11">
        <w:rPr>
          <w:rFonts w:eastAsia="Times New Roman"/>
          <w:i/>
          <w:iCs/>
        </w:rPr>
        <w:tab/>
      </w:r>
      <w:r w:rsidRPr="001B0C11">
        <w:rPr>
          <w:rFonts w:eastAsia="Times New Roman"/>
        </w:rPr>
        <w:t>Right to life</w:t>
      </w:r>
      <w:r w:rsidR="00B96DD5">
        <w:rPr>
          <w:rFonts w:eastAsia="Times New Roman"/>
        </w:rPr>
        <w:t>;</w:t>
      </w:r>
      <w:r w:rsidRPr="001B0C11">
        <w:rPr>
          <w:rFonts w:eastAsia="Times New Roman"/>
        </w:rPr>
        <w:t xml:space="preserve"> prohibition of torture and cruel and inhuman treatment</w:t>
      </w:r>
      <w:r w:rsidR="00B96DD5">
        <w:rPr>
          <w:rFonts w:eastAsia="Times New Roman"/>
        </w:rPr>
        <w:t>;</w:t>
      </w:r>
      <w:r w:rsidRPr="001B0C11">
        <w:rPr>
          <w:rFonts w:eastAsia="Times New Roman"/>
        </w:rPr>
        <w:t xml:space="preserve"> right to liberty and security of person</w:t>
      </w:r>
      <w:r w:rsidR="00B96DD5">
        <w:rPr>
          <w:rFonts w:eastAsia="Times New Roman"/>
        </w:rPr>
        <w:t>;</w:t>
      </w:r>
      <w:r w:rsidRPr="001B0C11">
        <w:rPr>
          <w:rFonts w:eastAsia="Times New Roman"/>
        </w:rPr>
        <w:t xml:space="preserve"> respect for the inherent dignity of the human person</w:t>
      </w:r>
      <w:r w:rsidR="00B96DD5">
        <w:rPr>
          <w:rFonts w:eastAsia="Times New Roman"/>
        </w:rPr>
        <w:t>;</w:t>
      </w:r>
      <w:r w:rsidRPr="001B0C11">
        <w:rPr>
          <w:rFonts w:eastAsia="Times New Roman"/>
        </w:rPr>
        <w:t xml:space="preserve"> recognition as a person before the law</w:t>
      </w:r>
      <w:r w:rsidR="00B96DD5">
        <w:rPr>
          <w:rFonts w:eastAsia="Times New Roman"/>
        </w:rPr>
        <w:t>;</w:t>
      </w:r>
      <w:r w:rsidRPr="001B0C11">
        <w:rPr>
          <w:rFonts w:eastAsia="Times New Roman"/>
        </w:rPr>
        <w:t xml:space="preserve"> and right to an effective remedy</w:t>
      </w:r>
    </w:p>
    <w:p w:rsidR="001B0C11" w:rsidRPr="001B0C11" w:rsidRDefault="001B0C11" w:rsidP="00C55773">
      <w:pPr>
        <w:spacing w:after="120"/>
        <w:ind w:left="4536" w:hanging="3402"/>
        <w:rPr>
          <w:rFonts w:eastAsia="Times New Roman"/>
        </w:rPr>
      </w:pPr>
      <w:r w:rsidRPr="001B0C11">
        <w:rPr>
          <w:rFonts w:eastAsia="Times New Roman"/>
          <w:i/>
          <w:iCs/>
        </w:rPr>
        <w:t>Procedural issue</w:t>
      </w:r>
      <w:r w:rsidR="00B96DD5">
        <w:rPr>
          <w:rFonts w:eastAsia="Times New Roman"/>
          <w:i/>
          <w:iCs/>
        </w:rPr>
        <w:t>s</w:t>
      </w:r>
      <w:r w:rsidRPr="001B0C11">
        <w:rPr>
          <w:rFonts w:eastAsia="Times New Roman"/>
          <w:i/>
        </w:rPr>
        <w:t>:</w:t>
      </w:r>
      <w:r w:rsidRPr="001B0C11">
        <w:rPr>
          <w:rFonts w:eastAsia="Times New Roman"/>
          <w:i/>
          <w:iCs/>
        </w:rPr>
        <w:tab/>
      </w:r>
      <w:r w:rsidRPr="001B0C11">
        <w:rPr>
          <w:rFonts w:eastAsia="Times New Roman"/>
        </w:rPr>
        <w:t>Exhaustion of domestic remedies</w:t>
      </w:r>
    </w:p>
    <w:p w:rsidR="001B0C11" w:rsidRPr="001B0C11" w:rsidRDefault="001B0C11" w:rsidP="00C55773">
      <w:pPr>
        <w:pStyle w:val="SingleTxtG"/>
        <w:ind w:left="4536" w:hanging="3402"/>
        <w:jc w:val="left"/>
        <w:rPr>
          <w:rFonts w:eastAsia="Times New Roman"/>
        </w:rPr>
      </w:pPr>
      <w:r w:rsidRPr="001B0C11">
        <w:rPr>
          <w:rFonts w:eastAsia="Times New Roman"/>
          <w:i/>
          <w:iCs/>
        </w:rPr>
        <w:t>Articles of the Covenant</w:t>
      </w:r>
      <w:r w:rsidRPr="001B0C11">
        <w:rPr>
          <w:rFonts w:eastAsia="Times New Roman"/>
          <w:i/>
        </w:rPr>
        <w:t>:</w:t>
      </w:r>
      <w:r w:rsidRPr="001B0C11">
        <w:rPr>
          <w:rFonts w:eastAsia="Times New Roman"/>
          <w:i/>
          <w:iCs/>
        </w:rPr>
        <w:tab/>
      </w:r>
      <w:r w:rsidRPr="001B0C11">
        <w:rPr>
          <w:rFonts w:eastAsia="Times New Roman"/>
        </w:rPr>
        <w:t>6; 7; 9; 10 and 16</w:t>
      </w:r>
      <w:r w:rsidR="002E163D">
        <w:rPr>
          <w:rFonts w:eastAsia="Times New Roman"/>
        </w:rPr>
        <w:t>,</w:t>
      </w:r>
      <w:r w:rsidRPr="001B0C11">
        <w:rPr>
          <w:rFonts w:eastAsia="Times New Roman"/>
        </w:rPr>
        <w:t xml:space="preserve"> alone and </w:t>
      </w:r>
      <w:r w:rsidR="00B96DD5">
        <w:rPr>
          <w:rFonts w:eastAsia="Times New Roman"/>
        </w:rPr>
        <w:t>read</w:t>
      </w:r>
      <w:r w:rsidR="00B96DD5" w:rsidRPr="001B0C11">
        <w:rPr>
          <w:rFonts w:eastAsia="Times New Roman"/>
        </w:rPr>
        <w:t xml:space="preserve"> </w:t>
      </w:r>
      <w:r w:rsidRPr="001B0C11">
        <w:rPr>
          <w:rFonts w:eastAsia="Times New Roman"/>
        </w:rPr>
        <w:t xml:space="preserve">in conjunction with </w:t>
      </w:r>
      <w:r w:rsidR="00DB7E8D">
        <w:rPr>
          <w:rFonts w:eastAsia="Times New Roman"/>
        </w:rPr>
        <w:t>article </w:t>
      </w:r>
      <w:r w:rsidRPr="001B0C11">
        <w:rPr>
          <w:rFonts w:eastAsia="Times New Roman"/>
        </w:rPr>
        <w:t>2</w:t>
      </w:r>
      <w:r w:rsidR="00B96DD5">
        <w:rPr>
          <w:rFonts w:eastAsia="Times New Roman"/>
        </w:rPr>
        <w:t xml:space="preserve">, para. </w:t>
      </w:r>
      <w:r w:rsidRPr="001B0C11">
        <w:rPr>
          <w:rFonts w:eastAsia="Times New Roman"/>
        </w:rPr>
        <w:t>3</w:t>
      </w:r>
      <w:r w:rsidR="00C55773">
        <w:rPr>
          <w:rFonts w:eastAsia="Times New Roman"/>
        </w:rPr>
        <w:t xml:space="preserve"> </w:t>
      </w:r>
    </w:p>
    <w:p w:rsidR="001B0C11" w:rsidRPr="001B0C11" w:rsidRDefault="0094087B" w:rsidP="00C55773">
      <w:pPr>
        <w:spacing w:after="120"/>
        <w:ind w:left="4536" w:hanging="3402"/>
        <w:rPr>
          <w:rFonts w:eastAsia="Times New Roman"/>
        </w:rPr>
      </w:pPr>
      <w:r>
        <w:rPr>
          <w:rFonts w:eastAsia="Times New Roman"/>
          <w:i/>
          <w:iCs/>
        </w:rPr>
        <w:t>Article</w:t>
      </w:r>
      <w:r w:rsidR="00B96DD5">
        <w:rPr>
          <w:rFonts w:eastAsia="Times New Roman"/>
          <w:i/>
          <w:iCs/>
        </w:rPr>
        <w:t>s</w:t>
      </w:r>
      <w:r>
        <w:rPr>
          <w:rFonts w:eastAsia="Times New Roman"/>
          <w:i/>
          <w:iCs/>
        </w:rPr>
        <w:t xml:space="preserve"> </w:t>
      </w:r>
      <w:r w:rsidR="001B0C11" w:rsidRPr="001B0C11">
        <w:rPr>
          <w:rFonts w:eastAsia="Times New Roman"/>
          <w:i/>
          <w:iCs/>
        </w:rPr>
        <w:t>of the Optional Protocol:</w:t>
      </w:r>
      <w:r w:rsidR="001B0C11" w:rsidRPr="001B0C11">
        <w:rPr>
          <w:rFonts w:eastAsia="Times New Roman"/>
          <w:i/>
          <w:iCs/>
        </w:rPr>
        <w:tab/>
      </w:r>
      <w:r w:rsidR="001B0C11" w:rsidRPr="001B0C11">
        <w:rPr>
          <w:rFonts w:eastAsia="Times New Roman"/>
        </w:rPr>
        <w:t xml:space="preserve">5, </w:t>
      </w:r>
      <w:r w:rsidR="00DB7E8D">
        <w:rPr>
          <w:rFonts w:eastAsia="Times New Roman"/>
        </w:rPr>
        <w:t>para</w:t>
      </w:r>
      <w:r w:rsidR="00B96DD5">
        <w:rPr>
          <w:rFonts w:eastAsia="Times New Roman"/>
        </w:rPr>
        <w:t>.</w:t>
      </w:r>
      <w:r w:rsidR="00DB7E8D">
        <w:rPr>
          <w:rFonts w:eastAsia="Times New Roman"/>
        </w:rPr>
        <w:t> </w:t>
      </w:r>
      <w:r w:rsidR="001B0C11" w:rsidRPr="001B0C11">
        <w:rPr>
          <w:rFonts w:eastAsia="Times New Roman"/>
        </w:rPr>
        <w:t>2 (b)</w:t>
      </w:r>
    </w:p>
    <w:p w:rsidR="001B0C11" w:rsidRPr="001B0C11" w:rsidRDefault="001B0C11" w:rsidP="00B439F8">
      <w:pPr>
        <w:pStyle w:val="SingleTxtG"/>
        <w:ind w:firstLine="567"/>
        <w:rPr>
          <w:rFonts w:eastAsia="Times New Roman"/>
        </w:rPr>
      </w:pPr>
      <w:r w:rsidRPr="001B0C11">
        <w:rPr>
          <w:rFonts w:eastAsia="Times New Roman"/>
        </w:rPr>
        <w:tab/>
      </w:r>
    </w:p>
    <w:p w:rsidR="001B0C11" w:rsidRPr="001B0C11" w:rsidRDefault="001B0C11" w:rsidP="001B0C11">
      <w:pPr>
        <w:keepNext/>
        <w:keepLines/>
        <w:tabs>
          <w:tab w:val="right" w:pos="851"/>
        </w:tabs>
        <w:spacing w:before="360" w:after="240" w:line="300" w:lineRule="exact"/>
        <w:ind w:left="1134" w:right="1134" w:hanging="1134"/>
        <w:rPr>
          <w:rFonts w:eastAsia="Times New Roman"/>
          <w:b/>
          <w:sz w:val="28"/>
        </w:rPr>
      </w:pPr>
      <w:r w:rsidRPr="001B0C11">
        <w:rPr>
          <w:b/>
          <w:sz w:val="24"/>
          <w:szCs w:val="24"/>
        </w:rPr>
        <w:br w:type="page"/>
      </w:r>
      <w:r w:rsidRPr="001B0C11">
        <w:rPr>
          <w:rFonts w:eastAsia="Times New Roman"/>
          <w:b/>
          <w:sz w:val="28"/>
        </w:rPr>
        <w:lastRenderedPageBreak/>
        <w:t>Annex</w:t>
      </w:r>
    </w:p>
    <w:p w:rsidR="001B0C11" w:rsidRPr="001B0C11" w:rsidRDefault="001B0C11" w:rsidP="00DD6853">
      <w:pPr>
        <w:pStyle w:val="HChG"/>
      </w:pPr>
      <w:r w:rsidRPr="001B0C11">
        <w:tab/>
      </w:r>
      <w:r w:rsidRPr="001B0C11">
        <w:tab/>
        <w:t xml:space="preserve">Views of the Human Rights Committee under </w:t>
      </w:r>
      <w:r w:rsidR="00DB7E8D">
        <w:t>article </w:t>
      </w:r>
      <w:r w:rsidRPr="001B0C11">
        <w:t xml:space="preserve">5, </w:t>
      </w:r>
      <w:r w:rsidR="00DB7E8D">
        <w:t>paragraph </w:t>
      </w:r>
      <w:r w:rsidRPr="001B0C11">
        <w:t xml:space="preserve">4, of the Optional Protocol to the International Covenant on Civil and Political rights (112th </w:t>
      </w:r>
      <w:r w:rsidRPr="001B0C11">
        <w:rPr>
          <w:bCs/>
        </w:rPr>
        <w:t>session)</w:t>
      </w:r>
    </w:p>
    <w:p w:rsidR="001B0C11" w:rsidRPr="001B0C11" w:rsidRDefault="001B0C11" w:rsidP="001B0C11">
      <w:pPr>
        <w:spacing w:after="120"/>
        <w:ind w:left="1134"/>
        <w:jc w:val="both"/>
      </w:pPr>
      <w:r w:rsidRPr="001B0C11">
        <w:t>concerning</w:t>
      </w:r>
    </w:p>
    <w:p w:rsidR="001B0C11" w:rsidRPr="001B0C11" w:rsidRDefault="001B0C11" w:rsidP="00C55773">
      <w:pPr>
        <w:keepNext/>
        <w:keepLines/>
        <w:tabs>
          <w:tab w:val="right" w:pos="851"/>
        </w:tabs>
        <w:spacing w:before="360" w:after="240" w:line="270" w:lineRule="exact"/>
        <w:ind w:left="1134" w:hanging="1134"/>
        <w:rPr>
          <w:b/>
          <w:sz w:val="24"/>
          <w:szCs w:val="24"/>
        </w:rPr>
      </w:pPr>
      <w:r w:rsidRPr="001B0C11">
        <w:rPr>
          <w:b/>
          <w:sz w:val="24"/>
          <w:szCs w:val="24"/>
        </w:rPr>
        <w:tab/>
      </w:r>
      <w:r w:rsidRPr="001B0C11">
        <w:rPr>
          <w:b/>
          <w:sz w:val="24"/>
          <w:szCs w:val="24"/>
        </w:rPr>
        <w:tab/>
        <w:t>Communication No. 2031/2011</w:t>
      </w:r>
      <w:r w:rsidR="00C55773" w:rsidRPr="00C55773">
        <w:rPr>
          <w:rStyle w:val="FootnoteReference"/>
          <w:bCs/>
          <w:sz w:val="20"/>
          <w:szCs w:val="24"/>
          <w:vertAlign w:val="baseline"/>
        </w:rPr>
        <w:footnoteReference w:customMarkFollows="1" w:id="2"/>
        <w:t>*</w:t>
      </w:r>
    </w:p>
    <w:p w:rsidR="001B0C11" w:rsidRPr="001B0C11" w:rsidRDefault="001B0C11" w:rsidP="00C55773">
      <w:pPr>
        <w:pStyle w:val="SingleTxtG"/>
        <w:ind w:left="4536" w:hanging="3402"/>
        <w:jc w:val="left"/>
        <w:rPr>
          <w:rFonts w:eastAsia="Times New Roman"/>
        </w:rPr>
      </w:pPr>
      <w:r w:rsidRPr="001B0C11">
        <w:rPr>
          <w:i/>
        </w:rPr>
        <w:t>Submitted by:</w:t>
      </w:r>
      <w:r w:rsidRPr="001B0C11">
        <w:rPr>
          <w:sz w:val="24"/>
          <w:szCs w:val="24"/>
        </w:rPr>
        <w:tab/>
      </w:r>
      <w:r w:rsidRPr="001B0C11">
        <w:t>Ram Kumar Bhandari</w:t>
      </w:r>
      <w:r w:rsidRPr="001B0C11">
        <w:rPr>
          <w:rFonts w:eastAsia="Times New Roman"/>
        </w:rPr>
        <w:t xml:space="preserve"> (represented by counsel, Track Impunity Always-TRIAL)</w:t>
      </w:r>
    </w:p>
    <w:p w:rsidR="001B0C11" w:rsidRPr="001B0C11" w:rsidRDefault="001B0C11" w:rsidP="00DB7E8D">
      <w:pPr>
        <w:pStyle w:val="SingleTxtG"/>
        <w:ind w:left="4536" w:hanging="3402"/>
        <w:jc w:val="left"/>
        <w:rPr>
          <w:rFonts w:eastAsia="Times New Roman"/>
        </w:rPr>
      </w:pPr>
      <w:r w:rsidRPr="001B0C11">
        <w:rPr>
          <w:i/>
        </w:rPr>
        <w:t>Alleged victim:</w:t>
      </w:r>
      <w:r w:rsidRPr="001B0C11">
        <w:rPr>
          <w:sz w:val="24"/>
          <w:szCs w:val="24"/>
        </w:rPr>
        <w:tab/>
      </w:r>
      <w:r w:rsidRPr="001B0C11">
        <w:t>The author and Tej Bahadur Bhandari (his</w:t>
      </w:r>
      <w:r w:rsidR="00DB7E8D">
        <w:t> </w:t>
      </w:r>
      <w:r w:rsidRPr="001B0C11">
        <w:t>father)</w:t>
      </w:r>
    </w:p>
    <w:p w:rsidR="001B0C11" w:rsidRPr="001B0C11" w:rsidRDefault="001B0C11" w:rsidP="00C55773">
      <w:pPr>
        <w:spacing w:after="120"/>
        <w:ind w:left="4536" w:hanging="3402"/>
        <w:rPr>
          <w:rFonts w:eastAsia="Times New Roman"/>
        </w:rPr>
      </w:pPr>
      <w:r w:rsidRPr="001B0C11">
        <w:rPr>
          <w:i/>
        </w:rPr>
        <w:t>State party:</w:t>
      </w:r>
      <w:r w:rsidRPr="001B0C11">
        <w:rPr>
          <w:sz w:val="24"/>
          <w:szCs w:val="24"/>
        </w:rPr>
        <w:tab/>
      </w:r>
      <w:r w:rsidRPr="001B0C11">
        <w:t>Nepal</w:t>
      </w:r>
    </w:p>
    <w:p w:rsidR="001B0C11" w:rsidRPr="001B0C11" w:rsidRDefault="001B0C11" w:rsidP="00C55773">
      <w:pPr>
        <w:pStyle w:val="SingleTxtG"/>
        <w:ind w:left="4536" w:hanging="3402"/>
        <w:jc w:val="left"/>
        <w:rPr>
          <w:rFonts w:eastAsia="Times New Roman"/>
        </w:rPr>
      </w:pPr>
      <w:r w:rsidRPr="001B0C11">
        <w:rPr>
          <w:i/>
        </w:rPr>
        <w:t>Date of communication:</w:t>
      </w:r>
      <w:r w:rsidRPr="001B0C11">
        <w:rPr>
          <w:sz w:val="24"/>
          <w:szCs w:val="24"/>
        </w:rPr>
        <w:tab/>
      </w:r>
      <w:r w:rsidRPr="001B0C11">
        <w:t>14 December 2010</w:t>
      </w:r>
      <w:r w:rsidRPr="001B0C11">
        <w:rPr>
          <w:rFonts w:eastAsia="Times New Roman"/>
        </w:rPr>
        <w:t xml:space="preserve"> (initial submission)</w:t>
      </w:r>
    </w:p>
    <w:p w:rsidR="001B0C11" w:rsidRPr="001B0C11" w:rsidRDefault="001B0C11" w:rsidP="00DD6853">
      <w:pPr>
        <w:pStyle w:val="SingleTxtG"/>
        <w:rPr>
          <w:rFonts w:eastAsia="Times New Roman"/>
        </w:rPr>
      </w:pPr>
      <w:r w:rsidRPr="001B0C11">
        <w:rPr>
          <w:i/>
          <w:sz w:val="24"/>
          <w:szCs w:val="24"/>
        </w:rPr>
        <w:tab/>
      </w:r>
      <w:r w:rsidRPr="001B0C11">
        <w:rPr>
          <w:i/>
        </w:rPr>
        <w:t>The Human Rights Committee</w:t>
      </w:r>
      <w:r w:rsidRPr="001B0C11">
        <w:rPr>
          <w:sz w:val="24"/>
          <w:szCs w:val="24"/>
        </w:rPr>
        <w:t xml:space="preserve">, </w:t>
      </w:r>
      <w:r w:rsidRPr="001B0C11">
        <w:rPr>
          <w:rFonts w:eastAsia="Times New Roman"/>
        </w:rPr>
        <w:t xml:space="preserve">established under </w:t>
      </w:r>
      <w:r w:rsidR="00DB7E8D">
        <w:rPr>
          <w:rFonts w:eastAsia="Times New Roman"/>
        </w:rPr>
        <w:t>article </w:t>
      </w:r>
      <w:r w:rsidRPr="001B0C11">
        <w:rPr>
          <w:rFonts w:eastAsia="Times New Roman"/>
        </w:rPr>
        <w:t>28 of the International Covenant on Civil and Political Rights,</w:t>
      </w:r>
    </w:p>
    <w:p w:rsidR="001B0C11" w:rsidRPr="001B0C11" w:rsidRDefault="001B0C11" w:rsidP="001B0C11">
      <w:pPr>
        <w:spacing w:after="120"/>
        <w:ind w:left="1134"/>
        <w:jc w:val="both"/>
        <w:rPr>
          <w:rFonts w:eastAsia="Times New Roman"/>
        </w:rPr>
      </w:pPr>
      <w:r w:rsidRPr="001B0C11">
        <w:rPr>
          <w:sz w:val="24"/>
          <w:szCs w:val="24"/>
        </w:rPr>
        <w:tab/>
      </w:r>
      <w:r w:rsidRPr="001B0C11">
        <w:rPr>
          <w:i/>
        </w:rPr>
        <w:t>Meeting on</w:t>
      </w:r>
      <w:r w:rsidRPr="001B0C11">
        <w:rPr>
          <w:sz w:val="24"/>
          <w:szCs w:val="24"/>
        </w:rPr>
        <w:t xml:space="preserve"> </w:t>
      </w:r>
      <w:r w:rsidR="0020444D">
        <w:t>29</w:t>
      </w:r>
      <w:r w:rsidRPr="00EF2CD3">
        <w:t xml:space="preserve"> O</w:t>
      </w:r>
      <w:r w:rsidRPr="001B0C11">
        <w:t>ctober</w:t>
      </w:r>
      <w:r w:rsidRPr="001B0C11">
        <w:rPr>
          <w:sz w:val="24"/>
          <w:szCs w:val="24"/>
        </w:rPr>
        <w:t xml:space="preserve"> </w:t>
      </w:r>
      <w:r w:rsidRPr="001B0C11">
        <w:rPr>
          <w:rFonts w:eastAsia="Times New Roman"/>
        </w:rPr>
        <w:t>2014,</w:t>
      </w:r>
    </w:p>
    <w:p w:rsidR="001B0C11" w:rsidRPr="001B0C11" w:rsidRDefault="001B0C11" w:rsidP="00DD6853">
      <w:pPr>
        <w:pStyle w:val="SingleTxtG"/>
        <w:rPr>
          <w:rFonts w:eastAsia="Times New Roman"/>
        </w:rPr>
      </w:pPr>
      <w:r w:rsidRPr="001B0C11">
        <w:rPr>
          <w:sz w:val="24"/>
          <w:szCs w:val="24"/>
        </w:rPr>
        <w:tab/>
      </w:r>
      <w:r w:rsidRPr="001B0C11">
        <w:rPr>
          <w:i/>
        </w:rPr>
        <w:t>Having concluded</w:t>
      </w:r>
      <w:r w:rsidRPr="001B0C11">
        <w:rPr>
          <w:sz w:val="24"/>
          <w:szCs w:val="24"/>
        </w:rPr>
        <w:t xml:space="preserve"> </w:t>
      </w:r>
      <w:r w:rsidRPr="001B0C11">
        <w:rPr>
          <w:rFonts w:eastAsia="Times New Roman"/>
        </w:rPr>
        <w:t>its con</w:t>
      </w:r>
      <w:r w:rsidR="00C55773">
        <w:rPr>
          <w:rFonts w:eastAsia="Times New Roman"/>
        </w:rPr>
        <w:t>sideration of communication No. </w:t>
      </w:r>
      <w:r w:rsidRPr="001B0C11">
        <w:rPr>
          <w:rFonts w:eastAsia="Times New Roman"/>
        </w:rPr>
        <w:t xml:space="preserve">2031/2011, submitted to the Human Rights Committee by </w:t>
      </w:r>
      <w:r w:rsidRPr="001B0C11">
        <w:t>Ram Kumar Bhandari</w:t>
      </w:r>
      <w:r w:rsidRPr="001B0C11">
        <w:rPr>
          <w:rFonts w:eastAsia="Times New Roman"/>
        </w:rPr>
        <w:t xml:space="preserve"> under the Optional Protocol to the International Covenant on Civil and Political Rights,</w:t>
      </w:r>
    </w:p>
    <w:p w:rsidR="001B0C11" w:rsidRPr="001B0C11" w:rsidRDefault="001B0C11" w:rsidP="00DD6853">
      <w:pPr>
        <w:pStyle w:val="SingleTxtG"/>
        <w:rPr>
          <w:rFonts w:eastAsia="Times New Roman"/>
        </w:rPr>
      </w:pPr>
      <w:r w:rsidRPr="001B0C11">
        <w:rPr>
          <w:sz w:val="24"/>
          <w:szCs w:val="24"/>
        </w:rPr>
        <w:tab/>
      </w:r>
      <w:r w:rsidRPr="001B0C11">
        <w:rPr>
          <w:i/>
        </w:rPr>
        <w:t>Having taken into account</w:t>
      </w:r>
      <w:r w:rsidRPr="001B0C11">
        <w:rPr>
          <w:sz w:val="24"/>
          <w:szCs w:val="24"/>
        </w:rPr>
        <w:t xml:space="preserve"> </w:t>
      </w:r>
      <w:r w:rsidRPr="001B0C11">
        <w:rPr>
          <w:rFonts w:eastAsia="Times New Roman"/>
        </w:rPr>
        <w:t>all written information made available to it by the author of the communication and the State party,</w:t>
      </w:r>
    </w:p>
    <w:p w:rsidR="001B0C11" w:rsidRPr="001B0C11" w:rsidRDefault="001B0C11" w:rsidP="001B0C11">
      <w:pPr>
        <w:spacing w:after="120"/>
        <w:ind w:left="1134"/>
        <w:jc w:val="both"/>
        <w:rPr>
          <w:rFonts w:eastAsia="Times New Roman"/>
        </w:rPr>
      </w:pPr>
      <w:r w:rsidRPr="001B0C11">
        <w:rPr>
          <w:sz w:val="24"/>
          <w:szCs w:val="24"/>
        </w:rPr>
        <w:tab/>
      </w:r>
      <w:r w:rsidRPr="001B0C11">
        <w:rPr>
          <w:i/>
        </w:rPr>
        <w:t>Adopts</w:t>
      </w:r>
      <w:r w:rsidRPr="001B0C11">
        <w:t xml:space="preserve"> </w:t>
      </w:r>
      <w:r w:rsidRPr="001B0C11">
        <w:rPr>
          <w:rFonts w:eastAsia="Times New Roman"/>
        </w:rPr>
        <w:t>the following:</w:t>
      </w:r>
    </w:p>
    <w:p w:rsidR="001B0C11" w:rsidRPr="001B0C11" w:rsidRDefault="001B0C11" w:rsidP="00521999">
      <w:pPr>
        <w:pStyle w:val="H23G"/>
      </w:pPr>
      <w:r w:rsidRPr="001B0C11">
        <w:tab/>
      </w:r>
      <w:r w:rsidRPr="001B0C11">
        <w:tab/>
        <w:t xml:space="preserve">Views under </w:t>
      </w:r>
      <w:r w:rsidR="00DB7E8D">
        <w:t>article </w:t>
      </w:r>
      <w:r w:rsidRPr="001B0C11">
        <w:t xml:space="preserve">5, </w:t>
      </w:r>
      <w:r w:rsidR="00DB7E8D">
        <w:t>paragraph </w:t>
      </w:r>
      <w:r w:rsidRPr="001B0C11">
        <w:t>4, of the Optional Protocol</w:t>
      </w:r>
    </w:p>
    <w:p w:rsidR="001B0C11" w:rsidRPr="001B0C11" w:rsidRDefault="001B0C11" w:rsidP="00DB7E8D">
      <w:pPr>
        <w:pStyle w:val="SingleTxtG"/>
      </w:pPr>
      <w:r w:rsidRPr="001B0C11">
        <w:t>1.</w:t>
      </w:r>
      <w:r w:rsidRPr="001B0C11">
        <w:tab/>
        <w:t>The author of the communication is Ran Kumar Bhandari, born on 13 December 1977. He claims that the State party has violated the rights of his missing father, Tej Bahadur Bhandari, a Nepalese national, born on 2</w:t>
      </w:r>
      <w:r w:rsidR="00DB7E8D">
        <w:t>3 February 1946, under articles </w:t>
      </w:r>
      <w:r w:rsidRPr="001B0C11">
        <w:t>6</w:t>
      </w:r>
      <w:r w:rsidR="00B96DD5">
        <w:t>;</w:t>
      </w:r>
      <w:r w:rsidRPr="001B0C11">
        <w:t xml:space="preserve"> 7</w:t>
      </w:r>
      <w:r w:rsidR="00B96DD5">
        <w:t>;</w:t>
      </w:r>
      <w:r w:rsidRPr="001B0C11">
        <w:t xml:space="preserve"> 9</w:t>
      </w:r>
      <w:r w:rsidR="00B96DD5">
        <w:t>;</w:t>
      </w:r>
      <w:r w:rsidRPr="001B0C11">
        <w:t xml:space="preserve"> 10 and 16, alone and </w:t>
      </w:r>
      <w:r w:rsidR="00FD53FC">
        <w:t xml:space="preserve">read </w:t>
      </w:r>
      <w:r w:rsidRPr="001B0C11">
        <w:t xml:space="preserve">in conjunction with </w:t>
      </w:r>
      <w:r w:rsidR="00DB7E8D">
        <w:t>article </w:t>
      </w:r>
      <w:r w:rsidRPr="001B0C11">
        <w:t xml:space="preserve">2, </w:t>
      </w:r>
      <w:r w:rsidR="00DB7E8D">
        <w:t>paragraph </w:t>
      </w:r>
      <w:r w:rsidRPr="001B0C11">
        <w:t>3</w:t>
      </w:r>
      <w:r w:rsidR="00B96DD5">
        <w:t>, of the Covenant</w:t>
      </w:r>
      <w:r w:rsidRPr="002E163D">
        <w:t xml:space="preserve">; as well as his </w:t>
      </w:r>
      <w:r w:rsidR="002E163D">
        <w:t xml:space="preserve">own </w:t>
      </w:r>
      <w:r w:rsidRPr="002E163D">
        <w:t xml:space="preserve">rights under </w:t>
      </w:r>
      <w:r w:rsidR="00DB7E8D" w:rsidRPr="002E163D">
        <w:t>article </w:t>
      </w:r>
      <w:r w:rsidRPr="002E163D">
        <w:t xml:space="preserve">7, </w:t>
      </w:r>
      <w:r w:rsidR="00B6796E" w:rsidRPr="00B439F8">
        <w:t xml:space="preserve">read </w:t>
      </w:r>
      <w:r w:rsidRPr="002E163D">
        <w:t xml:space="preserve">in conjunction with </w:t>
      </w:r>
      <w:r w:rsidR="00DB7E8D" w:rsidRPr="002E163D">
        <w:t>article </w:t>
      </w:r>
      <w:r w:rsidRPr="002E163D">
        <w:t xml:space="preserve">2, </w:t>
      </w:r>
      <w:r w:rsidR="00DB7E8D" w:rsidRPr="002E163D">
        <w:t>paragraph </w:t>
      </w:r>
      <w:r w:rsidRPr="002E163D">
        <w:t>3, of the Covenant</w:t>
      </w:r>
      <w:r w:rsidRPr="001B0C11">
        <w:t xml:space="preserve">. The author is represented by counsel. </w:t>
      </w:r>
    </w:p>
    <w:p w:rsidR="001B0C11" w:rsidRPr="001B0C11" w:rsidRDefault="001B0C11" w:rsidP="00521999">
      <w:pPr>
        <w:pStyle w:val="H23G"/>
      </w:pPr>
      <w:r w:rsidRPr="001B0C11">
        <w:tab/>
      </w:r>
      <w:r w:rsidRPr="001B0C11">
        <w:tab/>
        <w:t>The facts as submitted by the author</w:t>
      </w:r>
    </w:p>
    <w:p w:rsidR="001B0C11" w:rsidRPr="001B0C11" w:rsidRDefault="00EF2CD3" w:rsidP="00521999">
      <w:pPr>
        <w:pStyle w:val="SingleTxtG"/>
        <w:rPr>
          <w:u w:val="single"/>
          <w:lang w:eastAsia="en-GB"/>
        </w:rPr>
      </w:pPr>
      <w:r>
        <w:rPr>
          <w:lang w:eastAsia="en-GB"/>
        </w:rPr>
        <w:t>2.1</w:t>
      </w:r>
      <w:r w:rsidR="001B0C11" w:rsidRPr="001B0C11">
        <w:rPr>
          <w:lang w:eastAsia="en-GB"/>
        </w:rPr>
        <w:tab/>
        <w:t>As a result of the armed conflict prevailing in the country, the authorities declared a state of emergency in November 2001. T</w:t>
      </w:r>
      <w:r w:rsidR="001B0C11" w:rsidRPr="001B0C11">
        <w:rPr>
          <w:spacing w:val="-2"/>
          <w:lang w:eastAsia="en-GB"/>
        </w:rPr>
        <w:t xml:space="preserve">he Terrorist and Disruptive Activities Ordinance </w:t>
      </w:r>
      <w:r w:rsidR="001744C6">
        <w:rPr>
          <w:spacing w:val="-2"/>
          <w:lang w:eastAsia="en-GB"/>
        </w:rPr>
        <w:lastRenderedPageBreak/>
        <w:t xml:space="preserve">(2001) </w:t>
      </w:r>
      <w:r w:rsidR="001B0C11" w:rsidRPr="001B0C11">
        <w:rPr>
          <w:spacing w:val="-2"/>
          <w:lang w:eastAsia="en-GB"/>
        </w:rPr>
        <w:t xml:space="preserve">allowed State agents, such as enforcement personnel, to arrest individuals on the basis of mere suspicion of involvement in terrorist activities, and various constitutionally granted human rights and freedoms were suspended. </w:t>
      </w:r>
      <w:r w:rsidR="001B0C11" w:rsidRPr="001B0C11">
        <w:rPr>
          <w:lang w:eastAsia="en-GB"/>
        </w:rPr>
        <w:t xml:space="preserve">Against this background, </w:t>
      </w:r>
      <w:r w:rsidR="00451628">
        <w:rPr>
          <w:lang w:eastAsia="en-GB"/>
        </w:rPr>
        <w:t>all</w:t>
      </w:r>
      <w:r w:rsidR="00451628" w:rsidRPr="001B0C11">
        <w:rPr>
          <w:lang w:eastAsia="en-GB"/>
        </w:rPr>
        <w:t xml:space="preserve"> </w:t>
      </w:r>
      <w:r w:rsidR="001B0C11" w:rsidRPr="001B0C11">
        <w:rPr>
          <w:lang w:eastAsia="en-GB"/>
        </w:rPr>
        <w:t xml:space="preserve">parties to the conflict, including the police and the </w:t>
      </w:r>
      <w:r w:rsidR="00451628">
        <w:rPr>
          <w:lang w:eastAsia="en-GB"/>
        </w:rPr>
        <w:t>Royal Nepalese Army</w:t>
      </w:r>
      <w:r w:rsidR="001B0C11" w:rsidRPr="001B0C11">
        <w:rPr>
          <w:lang w:eastAsia="en-GB"/>
        </w:rPr>
        <w:t>, committed atrocities</w:t>
      </w:r>
      <w:r w:rsidR="00451628">
        <w:rPr>
          <w:lang w:eastAsia="en-GB"/>
        </w:rPr>
        <w:t>,</w:t>
      </w:r>
      <w:r w:rsidR="001B0C11" w:rsidRPr="001B0C11">
        <w:rPr>
          <w:lang w:eastAsia="en-GB"/>
        </w:rPr>
        <w:t xml:space="preserve"> and enforced disappearances became a widespread phenomenon.</w:t>
      </w:r>
      <w:bookmarkStart w:id="1" w:name="Ref279579808"/>
      <w:bookmarkEnd w:id="1"/>
      <w:r w:rsidR="001B0C11" w:rsidRPr="00DB7E8D">
        <w:rPr>
          <w:rStyle w:val="FootnoteReference"/>
        </w:rPr>
        <w:footnoteReference w:id="3"/>
      </w:r>
    </w:p>
    <w:p w:rsidR="001B0C11" w:rsidRPr="001B0C11" w:rsidRDefault="00EF2CD3" w:rsidP="00521999">
      <w:pPr>
        <w:pStyle w:val="SingleTxtG"/>
        <w:rPr>
          <w:lang w:eastAsia="en-GB"/>
        </w:rPr>
      </w:pPr>
      <w:r>
        <w:rPr>
          <w:lang w:eastAsia="en-GB"/>
        </w:rPr>
        <w:t>2.2</w:t>
      </w:r>
      <w:r w:rsidR="001B0C11" w:rsidRPr="001B0C11">
        <w:rPr>
          <w:lang w:eastAsia="en-GB"/>
        </w:rPr>
        <w:tab/>
        <w:t xml:space="preserve">On 27 December 2001 at noon, a group of approximately 60 army and police </w:t>
      </w:r>
      <w:r w:rsidR="00451628">
        <w:rPr>
          <w:lang w:eastAsia="en-GB"/>
        </w:rPr>
        <w:t xml:space="preserve">personnel </w:t>
      </w:r>
      <w:r w:rsidR="001B0C11" w:rsidRPr="001B0C11">
        <w:rPr>
          <w:lang w:eastAsia="en-GB"/>
        </w:rPr>
        <w:t>visited the house of the author’s parents</w:t>
      </w:r>
      <w:r w:rsidR="00451628">
        <w:rPr>
          <w:lang w:eastAsia="en-GB"/>
        </w:rPr>
        <w:t>,</w:t>
      </w:r>
      <w:r w:rsidR="001B0C11" w:rsidRPr="001B0C11">
        <w:rPr>
          <w:lang w:eastAsia="en-GB"/>
        </w:rPr>
        <w:t xml:space="preserve"> located next to the road in Simpani, Lamjung district. The author’s mother was interrogated about the whereabouts of her children and threatened </w:t>
      </w:r>
      <w:r w:rsidR="004A4B6D">
        <w:rPr>
          <w:lang w:eastAsia="en-GB"/>
        </w:rPr>
        <w:t>with</w:t>
      </w:r>
      <w:r w:rsidR="001B0C11" w:rsidRPr="001B0C11">
        <w:rPr>
          <w:lang w:eastAsia="en-GB"/>
        </w:rPr>
        <w:t xml:space="preserve"> death if her husband, who was a retired teacher actively involved in social activities, did not go to see the Chief District Officer of Lamjung on the next day.</w:t>
      </w:r>
    </w:p>
    <w:p w:rsidR="001B0C11" w:rsidRPr="001B0C11" w:rsidRDefault="00EF2CD3" w:rsidP="001645CD">
      <w:pPr>
        <w:pStyle w:val="SingleTxtG"/>
        <w:rPr>
          <w:lang w:eastAsia="en-GB"/>
        </w:rPr>
      </w:pPr>
      <w:r>
        <w:rPr>
          <w:lang w:eastAsia="en-GB"/>
        </w:rPr>
        <w:t>2.3</w:t>
      </w:r>
      <w:r w:rsidR="001B0C11" w:rsidRPr="001B0C11">
        <w:rPr>
          <w:lang w:eastAsia="en-GB"/>
        </w:rPr>
        <w:tab/>
        <w:t>On 28</w:t>
      </w:r>
      <w:r w:rsidR="001B0C11" w:rsidRPr="001B0C11">
        <w:rPr>
          <w:vertAlign w:val="superscript"/>
          <w:lang w:eastAsia="en-GB"/>
        </w:rPr>
        <w:t xml:space="preserve"> </w:t>
      </w:r>
      <w:r w:rsidR="001B0C11" w:rsidRPr="001B0C11">
        <w:rPr>
          <w:lang w:eastAsia="en-GB"/>
        </w:rPr>
        <w:t>December 2001, the author’s father</w:t>
      </w:r>
      <w:r w:rsidR="00E97614">
        <w:rPr>
          <w:lang w:eastAsia="en-GB"/>
        </w:rPr>
        <w:t xml:space="preserve"> </w:t>
      </w:r>
      <w:r w:rsidR="001B0C11" w:rsidRPr="001B0C11">
        <w:rPr>
          <w:lang w:eastAsia="en-GB"/>
        </w:rPr>
        <w:t>went to the  office</w:t>
      </w:r>
      <w:r w:rsidR="00451628">
        <w:rPr>
          <w:lang w:eastAsia="en-GB"/>
        </w:rPr>
        <w:t xml:space="preserve"> of the Chief</w:t>
      </w:r>
      <w:r w:rsidR="009112DC">
        <w:rPr>
          <w:lang w:eastAsia="en-GB"/>
        </w:rPr>
        <w:t xml:space="preserve"> District Officer</w:t>
      </w:r>
      <w:r w:rsidR="001B0C11" w:rsidRPr="001B0C11">
        <w:rPr>
          <w:lang w:eastAsia="en-GB"/>
        </w:rPr>
        <w:t>, who accused him of being a Maoist. Mr</w:t>
      </w:r>
      <w:r w:rsidR="001645CD">
        <w:rPr>
          <w:lang w:eastAsia="en-GB"/>
        </w:rPr>
        <w:t>. </w:t>
      </w:r>
      <w:r w:rsidR="001B0C11" w:rsidRPr="001B0C11">
        <w:rPr>
          <w:lang w:eastAsia="en-GB"/>
        </w:rPr>
        <w:t>Bhandari refu</w:t>
      </w:r>
      <w:r w:rsidR="00451628">
        <w:rPr>
          <w:lang w:eastAsia="en-GB"/>
        </w:rPr>
        <w:t>ted</w:t>
      </w:r>
      <w:r w:rsidR="001B0C11" w:rsidRPr="001B0C11">
        <w:rPr>
          <w:lang w:eastAsia="en-GB"/>
        </w:rPr>
        <w:t xml:space="preserve"> the accusation and stated that he was not a member of any committee of the Communist Party of Nepal</w:t>
      </w:r>
      <w:r w:rsidR="00451628">
        <w:rPr>
          <w:lang w:eastAsia="en-GB"/>
        </w:rPr>
        <w:t>.</w:t>
      </w:r>
      <w:r w:rsidR="001B0C11" w:rsidRPr="001B0C11">
        <w:rPr>
          <w:lang w:eastAsia="en-GB"/>
        </w:rPr>
        <w:t xml:space="preserve"> Mr</w:t>
      </w:r>
      <w:r w:rsidR="001645CD">
        <w:rPr>
          <w:lang w:eastAsia="en-GB"/>
        </w:rPr>
        <w:t>. </w:t>
      </w:r>
      <w:r w:rsidR="001B0C11" w:rsidRPr="001B0C11">
        <w:rPr>
          <w:lang w:eastAsia="en-GB"/>
        </w:rPr>
        <w:t xml:space="preserve">Bhandari was allowed to leave but had to report back </w:t>
      </w:r>
      <w:r w:rsidR="00451628">
        <w:rPr>
          <w:lang w:eastAsia="en-GB"/>
        </w:rPr>
        <w:t>the following</w:t>
      </w:r>
      <w:r w:rsidR="001B0C11" w:rsidRPr="001B0C11">
        <w:rPr>
          <w:lang w:eastAsia="en-GB"/>
        </w:rPr>
        <w:t xml:space="preserve"> Monday. He took the opportunity to complain about the incident and threats toward his wife </w:t>
      </w:r>
      <w:r w:rsidR="004A4B6D">
        <w:rPr>
          <w:lang w:eastAsia="en-GB"/>
        </w:rPr>
        <w:t xml:space="preserve">that </w:t>
      </w:r>
      <w:r w:rsidR="00451628">
        <w:rPr>
          <w:lang w:eastAsia="en-GB"/>
        </w:rPr>
        <w:t xml:space="preserve">had </w:t>
      </w:r>
      <w:r w:rsidR="001B0C11" w:rsidRPr="001B0C11">
        <w:rPr>
          <w:lang w:eastAsia="en-GB"/>
        </w:rPr>
        <w:t xml:space="preserve">occurred the day before. The </w:t>
      </w:r>
      <w:r w:rsidR="00451628">
        <w:rPr>
          <w:lang w:eastAsia="en-GB"/>
        </w:rPr>
        <w:t>Chief</w:t>
      </w:r>
      <w:r w:rsidR="00451628" w:rsidRPr="001B0C11">
        <w:rPr>
          <w:lang w:eastAsia="en-GB"/>
        </w:rPr>
        <w:t xml:space="preserve"> </w:t>
      </w:r>
      <w:r w:rsidR="0029574C">
        <w:rPr>
          <w:lang w:eastAsia="en-GB"/>
        </w:rPr>
        <w:t>District Officer</w:t>
      </w:r>
      <w:r w:rsidR="0029574C" w:rsidRPr="001B0C11">
        <w:rPr>
          <w:lang w:eastAsia="en-GB"/>
        </w:rPr>
        <w:t xml:space="preserve"> </w:t>
      </w:r>
      <w:r w:rsidR="001B0C11" w:rsidRPr="001B0C11">
        <w:rPr>
          <w:lang w:eastAsia="en-GB"/>
        </w:rPr>
        <w:t>and the Deputy Superintendent of Police said that junior staff had acted without orders on the basis of information they had received</w:t>
      </w:r>
      <w:r w:rsidR="00451628">
        <w:rPr>
          <w:lang w:eastAsia="en-GB"/>
        </w:rPr>
        <w:t>,</w:t>
      </w:r>
      <w:r w:rsidR="001B0C11" w:rsidRPr="001B0C11">
        <w:rPr>
          <w:lang w:eastAsia="en-GB"/>
        </w:rPr>
        <w:t xml:space="preserve"> but </w:t>
      </w:r>
      <w:r w:rsidR="00451628">
        <w:rPr>
          <w:lang w:eastAsia="en-GB"/>
        </w:rPr>
        <w:t xml:space="preserve">that </w:t>
      </w:r>
      <w:r w:rsidR="001B0C11" w:rsidRPr="001B0C11">
        <w:rPr>
          <w:lang w:eastAsia="en-GB"/>
        </w:rPr>
        <w:t xml:space="preserve">they would be ordered not to do </w:t>
      </w:r>
      <w:r w:rsidR="00451628">
        <w:rPr>
          <w:lang w:eastAsia="en-GB"/>
        </w:rPr>
        <w:t>so</w:t>
      </w:r>
      <w:r w:rsidR="00451628" w:rsidRPr="001B0C11">
        <w:rPr>
          <w:lang w:eastAsia="en-GB"/>
        </w:rPr>
        <w:t xml:space="preserve"> </w:t>
      </w:r>
      <w:r w:rsidR="001B0C11" w:rsidRPr="001B0C11">
        <w:rPr>
          <w:lang w:eastAsia="en-GB"/>
        </w:rPr>
        <w:t xml:space="preserve">again. </w:t>
      </w:r>
    </w:p>
    <w:p w:rsidR="001B0C11" w:rsidRPr="001B0C11" w:rsidRDefault="00EF2CD3" w:rsidP="00521999">
      <w:pPr>
        <w:pStyle w:val="SingleTxtG"/>
        <w:rPr>
          <w:lang w:eastAsia="en-GB"/>
        </w:rPr>
      </w:pPr>
      <w:r>
        <w:rPr>
          <w:lang w:eastAsia="en-GB"/>
        </w:rPr>
        <w:t>2.4</w:t>
      </w:r>
      <w:r w:rsidR="001645CD">
        <w:rPr>
          <w:lang w:eastAsia="en-GB"/>
        </w:rPr>
        <w:tab/>
        <w:t>On 31 December 2001, Mr. </w:t>
      </w:r>
      <w:r w:rsidR="001B0C11" w:rsidRPr="001B0C11">
        <w:rPr>
          <w:lang w:eastAsia="en-GB"/>
        </w:rPr>
        <w:t xml:space="preserve"> Bhandari took a bus to the office</w:t>
      </w:r>
      <w:r w:rsidR="00451628">
        <w:rPr>
          <w:lang w:eastAsia="en-GB"/>
        </w:rPr>
        <w:t xml:space="preserve"> of the Chief District</w:t>
      </w:r>
      <w:r w:rsidR="009112DC">
        <w:rPr>
          <w:lang w:eastAsia="en-GB"/>
        </w:rPr>
        <w:t xml:space="preserve"> Officer</w:t>
      </w:r>
      <w:r w:rsidR="001B0C11" w:rsidRPr="001B0C11">
        <w:rPr>
          <w:lang w:eastAsia="en-GB"/>
        </w:rPr>
        <w:t xml:space="preserve">. Upon </w:t>
      </w:r>
      <w:r w:rsidR="00451628">
        <w:rPr>
          <w:lang w:eastAsia="en-GB"/>
        </w:rPr>
        <w:t xml:space="preserve">his </w:t>
      </w:r>
      <w:r w:rsidR="001B0C11" w:rsidRPr="001B0C11">
        <w:rPr>
          <w:lang w:eastAsia="en-GB"/>
        </w:rPr>
        <w:t xml:space="preserve">arrival at the bus station at </w:t>
      </w:r>
      <w:r w:rsidR="001B0C11" w:rsidRPr="002E163D">
        <w:rPr>
          <w:lang w:eastAsia="en-GB"/>
        </w:rPr>
        <w:t>Manangay Chautara</w:t>
      </w:r>
      <w:r w:rsidR="001B0C11" w:rsidRPr="001B0C11">
        <w:rPr>
          <w:lang w:eastAsia="en-GB"/>
        </w:rPr>
        <w:t xml:space="preserve">, several policemen in uniform </w:t>
      </w:r>
      <w:r w:rsidR="00451628">
        <w:rPr>
          <w:lang w:eastAsia="en-GB"/>
        </w:rPr>
        <w:t>and</w:t>
      </w:r>
      <w:r w:rsidR="001B0C11" w:rsidRPr="001B0C11">
        <w:rPr>
          <w:lang w:eastAsia="en-GB"/>
        </w:rPr>
        <w:t xml:space="preserve"> soldiers in civilian clothes were waiting for him. They arrested him in the presence of many people, as the bus station is located in the centre of the town </w:t>
      </w:r>
      <w:r w:rsidR="001B0C11" w:rsidRPr="002E163D">
        <w:rPr>
          <w:lang w:eastAsia="en-GB"/>
        </w:rPr>
        <w:t>Bal Krishna Baral</w:t>
      </w:r>
      <w:r w:rsidR="001B0C11" w:rsidRPr="001B0C11">
        <w:rPr>
          <w:lang w:eastAsia="en-GB"/>
        </w:rPr>
        <w:t>. According to witnesses, he was beaten</w:t>
      </w:r>
      <w:r w:rsidR="00451628">
        <w:rPr>
          <w:lang w:eastAsia="en-GB"/>
        </w:rPr>
        <w:t xml:space="preserve"> and</w:t>
      </w:r>
      <w:r w:rsidR="001B0C11" w:rsidRPr="001B0C11">
        <w:rPr>
          <w:lang w:eastAsia="en-GB"/>
        </w:rPr>
        <w:t xml:space="preserve"> tied</w:t>
      </w:r>
      <w:r w:rsidR="00451628">
        <w:rPr>
          <w:lang w:eastAsia="en-GB"/>
        </w:rPr>
        <w:t xml:space="preserve"> up</w:t>
      </w:r>
      <w:r w:rsidR="001B0C11" w:rsidRPr="001B0C11">
        <w:rPr>
          <w:lang w:eastAsia="en-GB"/>
        </w:rPr>
        <w:t xml:space="preserve">, blindfolded and pushed into a police van. </w:t>
      </w:r>
    </w:p>
    <w:p w:rsidR="001B0C11" w:rsidRPr="001B0C11" w:rsidRDefault="00EF2CD3" w:rsidP="001645CD">
      <w:pPr>
        <w:pStyle w:val="SingleTxtG"/>
        <w:rPr>
          <w:lang w:eastAsia="en-GB"/>
        </w:rPr>
      </w:pPr>
      <w:r>
        <w:rPr>
          <w:lang w:eastAsia="en-GB"/>
        </w:rPr>
        <w:t>2.5</w:t>
      </w:r>
      <w:r w:rsidR="001B0C11" w:rsidRPr="001B0C11">
        <w:rPr>
          <w:lang w:eastAsia="en-GB"/>
        </w:rPr>
        <w:tab/>
        <w:t>On the same day, 15 members of the army and the police broke into the Bhandari</w:t>
      </w:r>
      <w:r w:rsidR="00451628">
        <w:rPr>
          <w:lang w:eastAsia="en-GB"/>
        </w:rPr>
        <w:t>s’</w:t>
      </w:r>
      <w:r w:rsidR="001B0C11" w:rsidRPr="001B0C11">
        <w:rPr>
          <w:lang w:eastAsia="en-GB"/>
        </w:rPr>
        <w:t xml:space="preserve"> house, threatened the author’s mother, destroyed many household items, threw food away and stole </w:t>
      </w:r>
      <w:r w:rsidR="001744C6">
        <w:rPr>
          <w:lang w:eastAsia="en-GB"/>
        </w:rPr>
        <w:t xml:space="preserve">Nr. </w:t>
      </w:r>
      <w:r w:rsidR="001B0C11" w:rsidRPr="001B0C11">
        <w:rPr>
          <w:lang w:eastAsia="en-GB"/>
        </w:rPr>
        <w:t>15</w:t>
      </w:r>
      <w:r w:rsidR="00451628">
        <w:rPr>
          <w:lang w:eastAsia="en-GB"/>
        </w:rPr>
        <w:t>,</w:t>
      </w:r>
      <w:r w:rsidR="001B0C11" w:rsidRPr="001B0C11">
        <w:rPr>
          <w:lang w:eastAsia="en-GB"/>
        </w:rPr>
        <w:t xml:space="preserve">000 </w:t>
      </w:r>
      <w:r w:rsidR="00451628" w:rsidRPr="001B0C11">
        <w:rPr>
          <w:lang w:eastAsia="en-GB"/>
        </w:rPr>
        <w:t>rupees</w:t>
      </w:r>
      <w:r w:rsidR="001B0C11" w:rsidRPr="001B0C11">
        <w:rPr>
          <w:lang w:eastAsia="en-GB"/>
        </w:rPr>
        <w:t>. They regularly repeated th</w:t>
      </w:r>
      <w:r w:rsidR="00451628">
        <w:rPr>
          <w:lang w:eastAsia="en-GB"/>
        </w:rPr>
        <w:t>ose actions over</w:t>
      </w:r>
      <w:r w:rsidR="001B0C11" w:rsidRPr="001B0C11">
        <w:rPr>
          <w:lang w:eastAsia="en-GB"/>
        </w:rPr>
        <w:t xml:space="preserve"> the next two weeks. Later </w:t>
      </w:r>
      <w:r w:rsidR="00451628">
        <w:rPr>
          <w:lang w:eastAsia="en-GB"/>
        </w:rPr>
        <w:t xml:space="preserve">on the </w:t>
      </w:r>
      <w:r w:rsidR="001B0C11" w:rsidRPr="001B0C11">
        <w:rPr>
          <w:lang w:eastAsia="en-GB"/>
        </w:rPr>
        <w:t>night</w:t>
      </w:r>
      <w:r w:rsidR="00451628">
        <w:rPr>
          <w:lang w:eastAsia="en-GB"/>
        </w:rPr>
        <w:t xml:space="preserve"> of 31 December 2001</w:t>
      </w:r>
      <w:r w:rsidR="001B0C11" w:rsidRPr="001B0C11">
        <w:rPr>
          <w:lang w:eastAsia="en-GB"/>
        </w:rPr>
        <w:t>, Mr</w:t>
      </w:r>
      <w:r w:rsidR="001645CD">
        <w:rPr>
          <w:lang w:eastAsia="en-GB"/>
        </w:rPr>
        <w:t>. </w:t>
      </w:r>
      <w:r w:rsidR="001B0C11" w:rsidRPr="001B0C11">
        <w:rPr>
          <w:lang w:eastAsia="en-GB"/>
        </w:rPr>
        <w:t xml:space="preserve">C.B.B., an acquaintance from Lamjung district and </w:t>
      </w:r>
      <w:r w:rsidR="00451628">
        <w:rPr>
          <w:lang w:eastAsia="en-GB"/>
        </w:rPr>
        <w:t xml:space="preserve">a </w:t>
      </w:r>
      <w:r w:rsidR="001B0C11" w:rsidRPr="001B0C11">
        <w:rPr>
          <w:lang w:eastAsia="en-GB"/>
        </w:rPr>
        <w:t xml:space="preserve">former member of the </w:t>
      </w:r>
      <w:r w:rsidR="00E97614">
        <w:rPr>
          <w:lang w:eastAsia="en-GB"/>
        </w:rPr>
        <w:t>armed forces</w:t>
      </w:r>
      <w:r w:rsidR="001B0C11" w:rsidRPr="001B0C11">
        <w:rPr>
          <w:lang w:eastAsia="en-GB"/>
        </w:rPr>
        <w:t xml:space="preserve">, told the author’s mother that her husband had been arrested and that he would not be coming home that day. </w:t>
      </w:r>
    </w:p>
    <w:p w:rsidR="001B0C11" w:rsidRPr="001B0C11" w:rsidRDefault="00EF2CD3" w:rsidP="001645CD">
      <w:pPr>
        <w:pStyle w:val="SingleTxtG"/>
        <w:rPr>
          <w:lang w:eastAsia="en-GB"/>
        </w:rPr>
      </w:pPr>
      <w:r>
        <w:rPr>
          <w:lang w:eastAsia="en-GB"/>
        </w:rPr>
        <w:t>2.6</w:t>
      </w:r>
      <w:r w:rsidR="001B0C11" w:rsidRPr="001B0C11">
        <w:rPr>
          <w:lang w:eastAsia="en-GB"/>
        </w:rPr>
        <w:tab/>
        <w:t>On 1 January 2002, the author’s mother, her brother and neighbours inquired about Mr</w:t>
      </w:r>
      <w:r w:rsidR="001645CD">
        <w:rPr>
          <w:lang w:eastAsia="en-GB"/>
        </w:rPr>
        <w:t>. </w:t>
      </w:r>
      <w:r w:rsidR="001B0C11" w:rsidRPr="001B0C11">
        <w:rPr>
          <w:lang w:eastAsia="en-GB"/>
        </w:rPr>
        <w:t xml:space="preserve">Bhandari’s whereabouts with the </w:t>
      </w:r>
      <w:r w:rsidR="00E97614">
        <w:rPr>
          <w:lang w:eastAsia="en-GB"/>
        </w:rPr>
        <w:t>Chief District</w:t>
      </w:r>
      <w:r w:rsidR="00E97614" w:rsidRPr="001B0C11">
        <w:rPr>
          <w:lang w:eastAsia="en-GB"/>
        </w:rPr>
        <w:t xml:space="preserve"> </w:t>
      </w:r>
      <w:r w:rsidR="009112DC">
        <w:rPr>
          <w:lang w:eastAsia="en-GB"/>
        </w:rPr>
        <w:t xml:space="preserve">Officer </w:t>
      </w:r>
      <w:r w:rsidR="001B0C11" w:rsidRPr="001B0C11">
        <w:rPr>
          <w:lang w:eastAsia="en-GB"/>
        </w:rPr>
        <w:t xml:space="preserve">of the Lamjung District, who denied the arrest. On the same day, she went to the </w:t>
      </w:r>
      <w:r w:rsidR="00E97614" w:rsidRPr="001B0C11">
        <w:rPr>
          <w:lang w:eastAsia="en-GB"/>
        </w:rPr>
        <w:t xml:space="preserve">police </w:t>
      </w:r>
      <w:r w:rsidR="001B0C11" w:rsidRPr="001B0C11">
        <w:rPr>
          <w:lang w:eastAsia="en-GB"/>
        </w:rPr>
        <w:t xml:space="preserve">in Besishahar, who informed her that her husband had been arrested for investigation, but would be released in two or three days. </w:t>
      </w:r>
    </w:p>
    <w:p w:rsidR="001B0C11" w:rsidRPr="001B0C11" w:rsidRDefault="00EF2CD3" w:rsidP="00521999">
      <w:pPr>
        <w:pStyle w:val="SingleTxtG"/>
        <w:rPr>
          <w:lang w:eastAsia="en-GB"/>
        </w:rPr>
      </w:pPr>
      <w:r>
        <w:rPr>
          <w:lang w:eastAsia="en-GB"/>
        </w:rPr>
        <w:t>2.7</w:t>
      </w:r>
      <w:r w:rsidR="001B0C11" w:rsidRPr="001B0C11">
        <w:rPr>
          <w:lang w:eastAsia="en-GB"/>
        </w:rPr>
        <w:tab/>
        <w:t xml:space="preserve">After </w:t>
      </w:r>
      <w:r w:rsidR="00E97614">
        <w:rPr>
          <w:lang w:eastAsia="en-GB"/>
        </w:rPr>
        <w:t>learning</w:t>
      </w:r>
      <w:r w:rsidR="001B0C11" w:rsidRPr="001B0C11">
        <w:rPr>
          <w:lang w:eastAsia="en-GB"/>
        </w:rPr>
        <w:t xml:space="preserve"> about his father’s arrest, the author came back from Kathmandu to look for him. </w:t>
      </w:r>
      <w:r w:rsidR="00E97614">
        <w:rPr>
          <w:lang w:eastAsia="en-GB"/>
        </w:rPr>
        <w:t>Over the</w:t>
      </w:r>
      <w:r w:rsidR="00E97614" w:rsidRPr="001B0C11">
        <w:rPr>
          <w:lang w:eastAsia="en-GB"/>
        </w:rPr>
        <w:t xml:space="preserve"> </w:t>
      </w:r>
      <w:r w:rsidR="001B0C11" w:rsidRPr="001B0C11">
        <w:rPr>
          <w:lang w:eastAsia="en-GB"/>
        </w:rPr>
        <w:t xml:space="preserve">following days, he and his mother </w:t>
      </w:r>
      <w:r w:rsidR="00E97614">
        <w:rPr>
          <w:lang w:eastAsia="en-GB"/>
        </w:rPr>
        <w:t>searched</w:t>
      </w:r>
      <w:r w:rsidR="00E97614" w:rsidRPr="001B0C11">
        <w:rPr>
          <w:lang w:eastAsia="en-GB"/>
        </w:rPr>
        <w:t xml:space="preserve"> </w:t>
      </w:r>
      <w:r w:rsidR="001B0C11" w:rsidRPr="001B0C11">
        <w:rPr>
          <w:lang w:eastAsia="en-GB"/>
        </w:rPr>
        <w:t>for h</w:t>
      </w:r>
      <w:r w:rsidR="004A4B6D">
        <w:rPr>
          <w:lang w:eastAsia="en-GB"/>
        </w:rPr>
        <w:t>is</w:t>
      </w:r>
      <w:r w:rsidR="001B0C11" w:rsidRPr="001B0C11">
        <w:rPr>
          <w:lang w:eastAsia="en-GB"/>
        </w:rPr>
        <w:t xml:space="preserve"> father </w:t>
      </w:r>
      <w:r w:rsidR="001645CD">
        <w:rPr>
          <w:lang w:eastAsia="en-GB"/>
        </w:rPr>
        <w:t xml:space="preserve">and met the </w:t>
      </w:r>
      <w:r w:rsidR="00E97614">
        <w:rPr>
          <w:lang w:eastAsia="en-GB"/>
        </w:rPr>
        <w:t xml:space="preserve">Chief District </w:t>
      </w:r>
      <w:r w:rsidR="009112DC">
        <w:rPr>
          <w:lang w:eastAsia="en-GB"/>
        </w:rPr>
        <w:t xml:space="preserve">Officer </w:t>
      </w:r>
      <w:r w:rsidR="001645CD">
        <w:rPr>
          <w:lang w:eastAsia="en-GB"/>
        </w:rPr>
        <w:t>of Lamjung, Mr. </w:t>
      </w:r>
      <w:r w:rsidR="001B0C11" w:rsidRPr="001B0C11">
        <w:rPr>
          <w:lang w:eastAsia="en-GB"/>
        </w:rPr>
        <w:t>S.P.N. Th</w:t>
      </w:r>
      <w:r w:rsidR="00E97614">
        <w:rPr>
          <w:lang w:eastAsia="en-GB"/>
        </w:rPr>
        <w:t>at</w:t>
      </w:r>
      <w:r w:rsidR="001B0C11" w:rsidRPr="001B0C11">
        <w:rPr>
          <w:lang w:eastAsia="en-GB"/>
        </w:rPr>
        <w:t xml:space="preserve"> officer </w:t>
      </w:r>
      <w:r w:rsidR="00E97614">
        <w:rPr>
          <w:lang w:eastAsia="en-GB"/>
        </w:rPr>
        <w:t xml:space="preserve">first </w:t>
      </w:r>
      <w:r w:rsidR="001B0C11" w:rsidRPr="001B0C11">
        <w:rPr>
          <w:lang w:eastAsia="en-GB"/>
        </w:rPr>
        <w:t xml:space="preserve">denied any knowledge </w:t>
      </w:r>
      <w:r w:rsidR="0020444D">
        <w:rPr>
          <w:lang w:eastAsia="en-GB"/>
        </w:rPr>
        <w:t xml:space="preserve">of </w:t>
      </w:r>
      <w:r w:rsidR="001B0C11" w:rsidRPr="001B0C11">
        <w:rPr>
          <w:lang w:eastAsia="en-GB"/>
        </w:rPr>
        <w:t xml:space="preserve">the arrest </w:t>
      </w:r>
      <w:r w:rsidR="004A4B6D">
        <w:rPr>
          <w:lang w:eastAsia="en-GB"/>
        </w:rPr>
        <w:t>and then told</w:t>
      </w:r>
      <w:r w:rsidR="001B0C11" w:rsidRPr="001B0C11">
        <w:rPr>
          <w:lang w:eastAsia="en-GB"/>
        </w:rPr>
        <w:t xml:space="preserve"> them that </w:t>
      </w:r>
      <w:r w:rsidR="00E97614">
        <w:rPr>
          <w:lang w:eastAsia="en-GB"/>
        </w:rPr>
        <w:t>Mr. Bhandari</w:t>
      </w:r>
      <w:r w:rsidR="00E97614" w:rsidRPr="001B0C11">
        <w:rPr>
          <w:lang w:eastAsia="en-GB"/>
        </w:rPr>
        <w:t xml:space="preserve"> </w:t>
      </w:r>
      <w:r w:rsidR="001B0C11" w:rsidRPr="001B0C11">
        <w:rPr>
          <w:lang w:eastAsia="en-GB"/>
        </w:rPr>
        <w:t xml:space="preserve">was under investigation. Two weeks later they went back to the office </w:t>
      </w:r>
      <w:r w:rsidR="00E97614">
        <w:rPr>
          <w:lang w:eastAsia="en-GB"/>
        </w:rPr>
        <w:t xml:space="preserve">of the Chief District </w:t>
      </w:r>
      <w:r w:rsidR="0029574C">
        <w:rPr>
          <w:lang w:eastAsia="en-GB"/>
        </w:rPr>
        <w:t xml:space="preserve">Officer </w:t>
      </w:r>
      <w:r w:rsidR="001B0C11" w:rsidRPr="001B0C11">
        <w:rPr>
          <w:lang w:eastAsia="en-GB"/>
        </w:rPr>
        <w:t xml:space="preserve">and Mrs Bhandari asked to see her husband. The </w:t>
      </w:r>
      <w:r w:rsidR="00E97614">
        <w:rPr>
          <w:lang w:eastAsia="en-GB"/>
        </w:rPr>
        <w:t xml:space="preserve">Chief </w:t>
      </w:r>
      <w:r w:rsidR="001B0C11" w:rsidRPr="001B0C11">
        <w:rPr>
          <w:lang w:eastAsia="en-GB"/>
        </w:rPr>
        <w:t>reacted by threatening her. The author and his mother also met the Deputy Superintend</w:t>
      </w:r>
      <w:r w:rsidR="00E97614">
        <w:rPr>
          <w:lang w:eastAsia="en-GB"/>
        </w:rPr>
        <w:t>ent</w:t>
      </w:r>
      <w:r w:rsidR="00352B25">
        <w:rPr>
          <w:lang w:eastAsia="en-GB"/>
        </w:rPr>
        <w:t xml:space="preserve"> </w:t>
      </w:r>
      <w:r w:rsidR="00E97614">
        <w:rPr>
          <w:lang w:eastAsia="en-GB"/>
        </w:rPr>
        <w:t xml:space="preserve">of </w:t>
      </w:r>
      <w:r w:rsidR="00352B25">
        <w:rPr>
          <w:lang w:eastAsia="en-GB"/>
        </w:rPr>
        <w:t>Police of Lamjung</w:t>
      </w:r>
      <w:r w:rsidR="00E97614">
        <w:rPr>
          <w:lang w:eastAsia="en-GB"/>
        </w:rPr>
        <w:t>,</w:t>
      </w:r>
      <w:r w:rsidR="00352B25">
        <w:rPr>
          <w:lang w:eastAsia="en-GB"/>
        </w:rPr>
        <w:t xml:space="preserve"> Mr. </w:t>
      </w:r>
      <w:r w:rsidR="001B0C11" w:rsidRPr="001B0C11">
        <w:rPr>
          <w:lang w:eastAsia="en-GB"/>
        </w:rPr>
        <w:t xml:space="preserve">P.A, who threatened to arrest them and told them that the investigation process was ongoing. </w:t>
      </w:r>
    </w:p>
    <w:p w:rsidR="001B0C11" w:rsidRPr="001B0C11" w:rsidRDefault="00EF2CD3" w:rsidP="001645CD">
      <w:pPr>
        <w:pStyle w:val="SingleTxtG"/>
        <w:rPr>
          <w:lang w:eastAsia="en-GB"/>
        </w:rPr>
      </w:pPr>
      <w:r>
        <w:rPr>
          <w:lang w:eastAsia="en-GB"/>
        </w:rPr>
        <w:lastRenderedPageBreak/>
        <w:t>2.8</w:t>
      </w:r>
      <w:r w:rsidR="001B0C11" w:rsidRPr="001B0C11">
        <w:rPr>
          <w:lang w:eastAsia="en-GB"/>
        </w:rPr>
        <w:tab/>
        <w:t xml:space="preserve">On 14 January 2002, a multiparty meeting was held in public in Besishahar in the presence of the </w:t>
      </w:r>
      <w:r w:rsidR="00E97614">
        <w:rPr>
          <w:lang w:eastAsia="en-GB"/>
        </w:rPr>
        <w:t>Chief District</w:t>
      </w:r>
      <w:r w:rsidR="009112DC">
        <w:rPr>
          <w:lang w:eastAsia="en-GB"/>
        </w:rPr>
        <w:t xml:space="preserve"> Officer</w:t>
      </w:r>
      <w:r w:rsidR="001B0C11" w:rsidRPr="001B0C11">
        <w:rPr>
          <w:lang w:eastAsia="en-GB"/>
        </w:rPr>
        <w:t xml:space="preserve">, the </w:t>
      </w:r>
      <w:r w:rsidR="00E97614" w:rsidRPr="001B0C11">
        <w:rPr>
          <w:lang w:eastAsia="en-GB"/>
        </w:rPr>
        <w:t>Deputy Superintend</w:t>
      </w:r>
      <w:r w:rsidR="00E97614">
        <w:rPr>
          <w:lang w:eastAsia="en-GB"/>
        </w:rPr>
        <w:t xml:space="preserve">ent </w:t>
      </w:r>
      <w:r w:rsidR="001B0C11" w:rsidRPr="001B0C11">
        <w:rPr>
          <w:lang w:eastAsia="en-GB"/>
        </w:rPr>
        <w:t xml:space="preserve">and </w:t>
      </w:r>
      <w:r w:rsidR="00E97614">
        <w:rPr>
          <w:lang w:eastAsia="en-GB"/>
        </w:rPr>
        <w:t xml:space="preserve">other </w:t>
      </w:r>
      <w:r w:rsidR="0029574C">
        <w:rPr>
          <w:lang w:eastAsia="en-GB"/>
        </w:rPr>
        <w:t xml:space="preserve">members of the </w:t>
      </w:r>
      <w:r w:rsidR="001B0C11" w:rsidRPr="001B0C11">
        <w:rPr>
          <w:lang w:eastAsia="en-GB"/>
        </w:rPr>
        <w:t>police</w:t>
      </w:r>
      <w:r w:rsidR="0029574C">
        <w:rPr>
          <w:lang w:eastAsia="en-GB"/>
        </w:rPr>
        <w:t>,</w:t>
      </w:r>
      <w:r w:rsidR="001B0C11" w:rsidRPr="001B0C11">
        <w:rPr>
          <w:lang w:eastAsia="en-GB"/>
        </w:rPr>
        <w:t xml:space="preserve"> in the course of which political leaders requested Mr</w:t>
      </w:r>
      <w:r w:rsidR="001645CD">
        <w:rPr>
          <w:lang w:eastAsia="en-GB"/>
        </w:rPr>
        <w:t>. </w:t>
      </w:r>
      <w:r w:rsidR="001B0C11" w:rsidRPr="001B0C11">
        <w:rPr>
          <w:lang w:eastAsia="en-GB"/>
        </w:rPr>
        <w:t xml:space="preserve">Bhandari’s immediate release. The police acknowledged the arrest </w:t>
      </w:r>
      <w:r w:rsidR="00E97614">
        <w:rPr>
          <w:lang w:eastAsia="en-GB"/>
        </w:rPr>
        <w:t>and</w:t>
      </w:r>
      <w:r w:rsidR="00E97614" w:rsidRPr="001B0C11">
        <w:rPr>
          <w:lang w:eastAsia="en-GB"/>
        </w:rPr>
        <w:t xml:space="preserve"> </w:t>
      </w:r>
      <w:r w:rsidR="001B0C11" w:rsidRPr="001B0C11">
        <w:rPr>
          <w:lang w:eastAsia="en-GB"/>
        </w:rPr>
        <w:t>said that he would be released. A week after this meeting</w:t>
      </w:r>
      <w:r w:rsidR="00E97614">
        <w:rPr>
          <w:lang w:eastAsia="en-GB"/>
        </w:rPr>
        <w:t>,</w:t>
      </w:r>
      <w:r w:rsidR="001B0C11" w:rsidRPr="001B0C11">
        <w:rPr>
          <w:lang w:eastAsia="en-GB"/>
        </w:rPr>
        <w:t xml:space="preserve"> the author and h</w:t>
      </w:r>
      <w:r w:rsidR="00E97614">
        <w:rPr>
          <w:lang w:eastAsia="en-GB"/>
        </w:rPr>
        <w:t>is</w:t>
      </w:r>
      <w:r w:rsidR="001B0C11" w:rsidRPr="001B0C11">
        <w:rPr>
          <w:lang w:eastAsia="en-GB"/>
        </w:rPr>
        <w:t xml:space="preserve"> mother received contradictory information from low</w:t>
      </w:r>
      <w:r w:rsidR="00E97614">
        <w:rPr>
          <w:lang w:eastAsia="en-GB"/>
        </w:rPr>
        <w:t>-</w:t>
      </w:r>
      <w:r w:rsidR="001B0C11" w:rsidRPr="001B0C11">
        <w:rPr>
          <w:lang w:eastAsia="en-GB"/>
        </w:rPr>
        <w:t>rank</w:t>
      </w:r>
      <w:r w:rsidR="00E97614">
        <w:rPr>
          <w:lang w:eastAsia="en-GB"/>
        </w:rPr>
        <w:t>ing</w:t>
      </w:r>
      <w:r w:rsidR="001B0C11" w:rsidRPr="001B0C11">
        <w:rPr>
          <w:lang w:eastAsia="en-GB"/>
        </w:rPr>
        <w:t xml:space="preserve"> </w:t>
      </w:r>
      <w:r w:rsidR="00E97614" w:rsidRPr="001B0C11">
        <w:rPr>
          <w:lang w:eastAsia="en-GB"/>
        </w:rPr>
        <w:t xml:space="preserve">army </w:t>
      </w:r>
      <w:r w:rsidR="001B0C11" w:rsidRPr="001B0C11">
        <w:rPr>
          <w:lang w:eastAsia="en-GB"/>
        </w:rPr>
        <w:t xml:space="preserve">personnel </w:t>
      </w:r>
      <w:r w:rsidR="00365C03">
        <w:rPr>
          <w:lang w:eastAsia="en-GB"/>
        </w:rPr>
        <w:t>as to</w:t>
      </w:r>
      <w:r w:rsidR="00365C03" w:rsidRPr="001B0C11">
        <w:rPr>
          <w:lang w:eastAsia="en-GB"/>
        </w:rPr>
        <w:t xml:space="preserve"> </w:t>
      </w:r>
      <w:r w:rsidR="001B0C11" w:rsidRPr="001B0C11">
        <w:rPr>
          <w:lang w:eastAsia="en-GB"/>
        </w:rPr>
        <w:t xml:space="preserve">his whereabouts, </w:t>
      </w:r>
      <w:r w:rsidR="00365C03">
        <w:rPr>
          <w:lang w:eastAsia="en-GB"/>
        </w:rPr>
        <w:t xml:space="preserve">which </w:t>
      </w:r>
      <w:r w:rsidR="001B0C11" w:rsidRPr="001B0C11">
        <w:rPr>
          <w:lang w:eastAsia="en-GB"/>
        </w:rPr>
        <w:t>mention</w:t>
      </w:r>
      <w:r w:rsidR="00365C03">
        <w:rPr>
          <w:lang w:eastAsia="en-GB"/>
        </w:rPr>
        <w:t>ed</w:t>
      </w:r>
      <w:r w:rsidR="001B0C11" w:rsidRPr="001B0C11">
        <w:rPr>
          <w:lang w:eastAsia="en-GB"/>
        </w:rPr>
        <w:t xml:space="preserve"> different barracks and the military hospital. The author inquired at the hospital, but he was told that his father had never been there.</w:t>
      </w:r>
    </w:p>
    <w:p w:rsidR="001B0C11" w:rsidRPr="001B0C11" w:rsidRDefault="00EF2CD3" w:rsidP="00521999">
      <w:pPr>
        <w:pStyle w:val="SingleTxtG"/>
        <w:rPr>
          <w:lang w:eastAsia="en-GB"/>
        </w:rPr>
      </w:pPr>
      <w:r>
        <w:rPr>
          <w:lang w:eastAsia="en-GB"/>
        </w:rPr>
        <w:t>2.9</w:t>
      </w:r>
      <w:r w:rsidR="001B0C11" w:rsidRPr="001B0C11">
        <w:rPr>
          <w:lang w:eastAsia="en-GB"/>
        </w:rPr>
        <w:tab/>
        <w:t>On 31 January 2002, the author reported his father’s disappearance to the National Human Rights Commission</w:t>
      </w:r>
      <w:r w:rsidR="00365C03">
        <w:rPr>
          <w:lang w:eastAsia="en-GB"/>
        </w:rPr>
        <w:t>.</w:t>
      </w:r>
      <w:r w:rsidR="001B0C11" w:rsidRPr="001B0C11">
        <w:rPr>
          <w:lang w:eastAsia="en-GB"/>
        </w:rPr>
        <w:t xml:space="preserve"> On 1 February 2002, the </w:t>
      </w:r>
      <w:r w:rsidR="00365C03">
        <w:rPr>
          <w:lang w:eastAsia="en-GB"/>
        </w:rPr>
        <w:t>Commission</w:t>
      </w:r>
      <w:r w:rsidR="00365C03" w:rsidRPr="001B0C11">
        <w:rPr>
          <w:lang w:eastAsia="en-GB"/>
        </w:rPr>
        <w:t xml:space="preserve"> </w:t>
      </w:r>
      <w:r w:rsidR="001B0C11" w:rsidRPr="001B0C11">
        <w:rPr>
          <w:lang w:eastAsia="en-GB"/>
        </w:rPr>
        <w:t xml:space="preserve">wrote to the </w:t>
      </w:r>
      <w:r w:rsidR="00365C03">
        <w:rPr>
          <w:lang w:eastAsia="en-GB"/>
        </w:rPr>
        <w:t>Chief District</w:t>
      </w:r>
      <w:r w:rsidR="00365C03" w:rsidRPr="001B0C11">
        <w:rPr>
          <w:lang w:eastAsia="en-GB"/>
        </w:rPr>
        <w:t xml:space="preserve"> </w:t>
      </w:r>
      <w:r w:rsidR="009112DC">
        <w:rPr>
          <w:lang w:eastAsia="en-GB"/>
        </w:rPr>
        <w:t xml:space="preserve">Officer </w:t>
      </w:r>
      <w:r w:rsidR="001B0C11" w:rsidRPr="001B0C11">
        <w:rPr>
          <w:lang w:eastAsia="en-GB"/>
        </w:rPr>
        <w:t xml:space="preserve">and the </w:t>
      </w:r>
      <w:r w:rsidR="00365C03" w:rsidRPr="001B0C11">
        <w:rPr>
          <w:lang w:eastAsia="en-GB"/>
        </w:rPr>
        <w:t>Deputy Superintend</w:t>
      </w:r>
      <w:r w:rsidR="00365C03">
        <w:rPr>
          <w:lang w:eastAsia="en-GB"/>
        </w:rPr>
        <w:t>ent of Police</w:t>
      </w:r>
      <w:r w:rsidR="001B0C11" w:rsidRPr="001B0C11">
        <w:rPr>
          <w:lang w:eastAsia="en-GB"/>
        </w:rPr>
        <w:t xml:space="preserve"> of Lamjung and </w:t>
      </w:r>
      <w:r w:rsidR="00365C03">
        <w:rPr>
          <w:lang w:eastAsia="en-GB"/>
        </w:rPr>
        <w:t xml:space="preserve">to </w:t>
      </w:r>
      <w:r w:rsidR="001B0C11" w:rsidRPr="001B0C11">
        <w:rPr>
          <w:lang w:eastAsia="en-GB"/>
        </w:rPr>
        <w:t xml:space="preserve">the Army to inquire about </w:t>
      </w:r>
      <w:r w:rsidR="00365C03">
        <w:rPr>
          <w:lang w:eastAsia="en-GB"/>
        </w:rPr>
        <w:t>Mr. Bhandari’s</w:t>
      </w:r>
      <w:r w:rsidR="00365C03" w:rsidRPr="001B0C11">
        <w:rPr>
          <w:lang w:eastAsia="en-GB"/>
        </w:rPr>
        <w:t xml:space="preserve"> </w:t>
      </w:r>
      <w:r w:rsidR="001B0C11" w:rsidRPr="001B0C11">
        <w:rPr>
          <w:lang w:eastAsia="en-GB"/>
        </w:rPr>
        <w:t xml:space="preserve">whereabouts. On 15 February 2002, the </w:t>
      </w:r>
      <w:r w:rsidR="00365C03">
        <w:rPr>
          <w:lang w:eastAsia="en-GB"/>
        </w:rPr>
        <w:t xml:space="preserve">Chief District </w:t>
      </w:r>
      <w:r w:rsidR="009112DC">
        <w:rPr>
          <w:lang w:eastAsia="en-GB"/>
        </w:rPr>
        <w:t xml:space="preserve">Officer </w:t>
      </w:r>
      <w:r w:rsidR="001645CD">
        <w:rPr>
          <w:lang w:eastAsia="en-GB"/>
        </w:rPr>
        <w:t xml:space="preserve">responded to the </w:t>
      </w:r>
      <w:r w:rsidR="00365C03">
        <w:rPr>
          <w:lang w:eastAsia="en-GB"/>
        </w:rPr>
        <w:t>Commission</w:t>
      </w:r>
      <w:r w:rsidR="009112DC">
        <w:rPr>
          <w:lang w:eastAsia="en-GB"/>
        </w:rPr>
        <w:t>, stating</w:t>
      </w:r>
      <w:r w:rsidR="00365C03">
        <w:rPr>
          <w:lang w:eastAsia="en-GB"/>
        </w:rPr>
        <w:t xml:space="preserve"> </w:t>
      </w:r>
      <w:r w:rsidR="001645CD">
        <w:rPr>
          <w:lang w:eastAsia="en-GB"/>
        </w:rPr>
        <w:t>that Mr. </w:t>
      </w:r>
      <w:r w:rsidR="001B0C11" w:rsidRPr="001B0C11">
        <w:rPr>
          <w:lang w:eastAsia="en-GB"/>
        </w:rPr>
        <w:t xml:space="preserve"> Bhandari </w:t>
      </w:r>
      <w:r w:rsidR="00365C03">
        <w:rPr>
          <w:lang w:eastAsia="en-GB"/>
        </w:rPr>
        <w:t xml:space="preserve">had </w:t>
      </w:r>
      <w:r w:rsidR="001B0C11" w:rsidRPr="001B0C11">
        <w:rPr>
          <w:lang w:eastAsia="en-GB"/>
        </w:rPr>
        <w:t>told the authorities that he could lead them to artillery which was hidden in the Simpani jungle. However, during the search there, he tried to escape and was killed in cross</w:t>
      </w:r>
      <w:r w:rsidR="00365C03">
        <w:rPr>
          <w:lang w:eastAsia="en-GB"/>
        </w:rPr>
        <w:t>fire.</w:t>
      </w:r>
      <w:r w:rsidR="001B0C11" w:rsidRPr="001B0C11">
        <w:rPr>
          <w:lang w:eastAsia="en-GB"/>
        </w:rPr>
        <w:t xml:space="preserve"> </w:t>
      </w:r>
    </w:p>
    <w:p w:rsidR="001B0C11" w:rsidRPr="001B0C11" w:rsidRDefault="001B0C11" w:rsidP="00521999">
      <w:pPr>
        <w:pStyle w:val="SingleTxtG"/>
        <w:rPr>
          <w:lang w:eastAsia="en-GB"/>
        </w:rPr>
      </w:pPr>
      <w:r w:rsidRPr="001B0C11">
        <w:rPr>
          <w:lang w:eastAsia="en-GB"/>
        </w:rPr>
        <w:t>2.10</w:t>
      </w:r>
      <w:r w:rsidRPr="001B0C11">
        <w:rPr>
          <w:lang w:eastAsia="en-GB"/>
        </w:rPr>
        <w:tab/>
        <w:t xml:space="preserve">On 4 March 2002, the author submitted a writ of habeas corpus to the Supreme Court. As a result, he received threats from </w:t>
      </w:r>
      <w:r w:rsidR="00365C03">
        <w:rPr>
          <w:lang w:eastAsia="en-GB"/>
        </w:rPr>
        <w:t xml:space="preserve">army </w:t>
      </w:r>
      <w:r w:rsidRPr="001B0C11">
        <w:rPr>
          <w:lang w:eastAsia="en-GB"/>
        </w:rPr>
        <w:t>officers</w:t>
      </w:r>
      <w:r w:rsidR="00365C03">
        <w:rPr>
          <w:lang w:eastAsia="en-GB"/>
        </w:rPr>
        <w:t>,</w:t>
      </w:r>
      <w:r w:rsidRPr="001B0C11">
        <w:rPr>
          <w:lang w:eastAsia="en-GB"/>
        </w:rPr>
        <w:t xml:space="preserve"> urging him to stop looking for his father.</w:t>
      </w:r>
    </w:p>
    <w:p w:rsidR="001B0C11" w:rsidRPr="001B0C11" w:rsidRDefault="001B0C11" w:rsidP="001645CD">
      <w:pPr>
        <w:pStyle w:val="SingleTxtG"/>
        <w:rPr>
          <w:lang w:eastAsia="en-GB"/>
        </w:rPr>
      </w:pPr>
      <w:r w:rsidRPr="001B0C11">
        <w:rPr>
          <w:lang w:eastAsia="en-GB"/>
        </w:rPr>
        <w:t>2.11</w:t>
      </w:r>
      <w:r w:rsidRPr="001B0C11">
        <w:rPr>
          <w:lang w:eastAsia="en-GB"/>
        </w:rPr>
        <w:tab/>
        <w:t xml:space="preserve">On 6 March 2002, an </w:t>
      </w:r>
      <w:r w:rsidR="00365C03">
        <w:rPr>
          <w:lang w:eastAsia="en-GB"/>
        </w:rPr>
        <w:t xml:space="preserve">army </w:t>
      </w:r>
      <w:r w:rsidRPr="001B0C11">
        <w:rPr>
          <w:lang w:eastAsia="en-GB"/>
        </w:rPr>
        <w:t xml:space="preserve">officer replied to the </w:t>
      </w:r>
      <w:r w:rsidR="00365C03">
        <w:rPr>
          <w:lang w:eastAsia="en-GB"/>
        </w:rPr>
        <w:t>Commission</w:t>
      </w:r>
      <w:r w:rsidR="00365C03" w:rsidRPr="001B0C11">
        <w:rPr>
          <w:lang w:eastAsia="en-GB"/>
        </w:rPr>
        <w:t xml:space="preserve"> </w:t>
      </w:r>
      <w:r w:rsidRPr="001B0C11">
        <w:rPr>
          <w:lang w:eastAsia="en-GB"/>
        </w:rPr>
        <w:t>that Mr</w:t>
      </w:r>
      <w:r w:rsidR="001645CD">
        <w:rPr>
          <w:lang w:eastAsia="en-GB"/>
        </w:rPr>
        <w:t>. </w:t>
      </w:r>
      <w:r w:rsidRPr="001B0C11">
        <w:rPr>
          <w:lang w:eastAsia="en-GB"/>
        </w:rPr>
        <w:t xml:space="preserve">Bhandari had been detained </w:t>
      </w:r>
      <w:r w:rsidR="00365C03">
        <w:rPr>
          <w:lang w:eastAsia="en-GB"/>
        </w:rPr>
        <w:t>on the</w:t>
      </w:r>
      <w:r w:rsidR="00365C03" w:rsidRPr="001B0C11">
        <w:rPr>
          <w:lang w:eastAsia="en-GB"/>
        </w:rPr>
        <w:t xml:space="preserve"> </w:t>
      </w:r>
      <w:r w:rsidRPr="001B0C11">
        <w:rPr>
          <w:lang w:eastAsia="en-GB"/>
        </w:rPr>
        <w:t>accusation of being an active member of a Maoist organi</w:t>
      </w:r>
      <w:r w:rsidR="00365C03">
        <w:rPr>
          <w:lang w:eastAsia="en-GB"/>
        </w:rPr>
        <w:t>zation</w:t>
      </w:r>
      <w:r w:rsidRPr="001B0C11">
        <w:rPr>
          <w:lang w:eastAsia="en-GB"/>
        </w:rPr>
        <w:t xml:space="preserve"> involved in carrying out violent actions. He further </w:t>
      </w:r>
      <w:r w:rsidR="00365C03">
        <w:rPr>
          <w:lang w:eastAsia="en-GB"/>
        </w:rPr>
        <w:t>reported on</w:t>
      </w:r>
      <w:r w:rsidRPr="001B0C11">
        <w:rPr>
          <w:lang w:eastAsia="en-GB"/>
        </w:rPr>
        <w:t xml:space="preserve"> the circumstances of </w:t>
      </w:r>
      <w:r w:rsidR="00365C03">
        <w:rPr>
          <w:lang w:eastAsia="en-GB"/>
        </w:rPr>
        <w:t>Mr. Bhandari’s</w:t>
      </w:r>
      <w:r w:rsidR="00365C03" w:rsidRPr="001B0C11">
        <w:rPr>
          <w:lang w:eastAsia="en-GB"/>
        </w:rPr>
        <w:t xml:space="preserve"> </w:t>
      </w:r>
      <w:r w:rsidRPr="001B0C11">
        <w:rPr>
          <w:lang w:eastAsia="en-GB"/>
        </w:rPr>
        <w:t xml:space="preserve">death in the forest area of Simpani Village, Lamjung District, and indicated that </w:t>
      </w:r>
      <w:r w:rsidR="001645CD">
        <w:rPr>
          <w:lang w:eastAsia="en-GB"/>
        </w:rPr>
        <w:t>“</w:t>
      </w:r>
      <w:r w:rsidR="00365C03">
        <w:rPr>
          <w:lang w:eastAsia="en-GB"/>
        </w:rPr>
        <w:t>t</w:t>
      </w:r>
      <w:r w:rsidRPr="001B0C11">
        <w:rPr>
          <w:lang w:eastAsia="en-GB"/>
        </w:rPr>
        <w:t>he security force, which was headed for military action, was compelled to leave the dead body at the scene due to the security point of view, geographical remoten</w:t>
      </w:r>
      <w:r w:rsidR="001645CD">
        <w:rPr>
          <w:lang w:eastAsia="en-GB"/>
        </w:rPr>
        <w:t>ess and transportation problems”</w:t>
      </w:r>
      <w:r w:rsidRPr="001B0C11">
        <w:rPr>
          <w:lang w:eastAsia="en-GB"/>
        </w:rPr>
        <w:t>.</w:t>
      </w:r>
    </w:p>
    <w:p w:rsidR="001B0C11" w:rsidRPr="001B0C11" w:rsidRDefault="001B0C11" w:rsidP="00DB7E8D">
      <w:pPr>
        <w:pStyle w:val="SingleTxtG"/>
        <w:rPr>
          <w:lang w:eastAsia="en-GB"/>
        </w:rPr>
      </w:pPr>
      <w:r w:rsidRPr="001B0C11">
        <w:rPr>
          <w:lang w:eastAsia="en-GB"/>
        </w:rPr>
        <w:t>2.12</w:t>
      </w:r>
      <w:r w:rsidRPr="001B0C11">
        <w:rPr>
          <w:lang w:eastAsia="en-GB"/>
        </w:rPr>
        <w:tab/>
        <w:t xml:space="preserve">On 11 March 2002, the author was arrested in Kathmandu, in front of the Supreme Court by </w:t>
      </w:r>
      <w:r w:rsidR="006733A2" w:rsidRPr="001B0C11">
        <w:rPr>
          <w:lang w:eastAsia="en-GB"/>
        </w:rPr>
        <w:t xml:space="preserve">army </w:t>
      </w:r>
      <w:r w:rsidRPr="001B0C11">
        <w:rPr>
          <w:lang w:eastAsia="en-GB"/>
        </w:rPr>
        <w:t xml:space="preserve">personnel in civilian clothes and </w:t>
      </w:r>
      <w:r w:rsidR="006733A2">
        <w:rPr>
          <w:lang w:eastAsia="en-GB"/>
        </w:rPr>
        <w:t>placed</w:t>
      </w:r>
      <w:r w:rsidR="006733A2" w:rsidRPr="001B0C11">
        <w:rPr>
          <w:lang w:eastAsia="en-GB"/>
        </w:rPr>
        <w:t xml:space="preserve"> </w:t>
      </w:r>
      <w:r w:rsidRPr="001B0C11">
        <w:rPr>
          <w:lang w:eastAsia="en-GB"/>
        </w:rPr>
        <w:t xml:space="preserve">in detention in the </w:t>
      </w:r>
      <w:r w:rsidR="006733A2" w:rsidRPr="001B0C11">
        <w:rPr>
          <w:lang w:eastAsia="en-GB"/>
        </w:rPr>
        <w:t xml:space="preserve">army </w:t>
      </w:r>
      <w:r w:rsidRPr="001B0C11">
        <w:rPr>
          <w:lang w:eastAsia="en-GB"/>
        </w:rPr>
        <w:t xml:space="preserve">barracks. He was questioned, beaten and threatened </w:t>
      </w:r>
      <w:r w:rsidR="006733A2">
        <w:rPr>
          <w:lang w:eastAsia="en-GB"/>
        </w:rPr>
        <w:t>with death</w:t>
      </w:r>
      <w:r w:rsidRPr="001B0C11">
        <w:rPr>
          <w:lang w:eastAsia="en-GB"/>
        </w:rPr>
        <w:t xml:space="preserve"> if he did not withdraw his writ of habeas corpus. On 5 April 2002</w:t>
      </w:r>
      <w:r w:rsidR="009112DC">
        <w:rPr>
          <w:lang w:eastAsia="en-GB"/>
        </w:rPr>
        <w:t>,</w:t>
      </w:r>
      <w:r w:rsidRPr="001B0C11">
        <w:rPr>
          <w:lang w:eastAsia="en-GB"/>
        </w:rPr>
        <w:t xml:space="preserve"> the Supreme Court found that the author’s father was no</w:t>
      </w:r>
      <w:r w:rsidR="009112DC">
        <w:rPr>
          <w:lang w:eastAsia="en-GB"/>
        </w:rPr>
        <w:t xml:space="preserve"> longer</w:t>
      </w:r>
      <w:r w:rsidRPr="001B0C11">
        <w:rPr>
          <w:lang w:eastAsia="en-GB"/>
        </w:rPr>
        <w:t xml:space="preserve"> alive and</w:t>
      </w:r>
      <w:r w:rsidR="009112DC">
        <w:rPr>
          <w:lang w:eastAsia="en-GB"/>
        </w:rPr>
        <w:t xml:space="preserve"> that,</w:t>
      </w:r>
      <w:r w:rsidRPr="001B0C11">
        <w:rPr>
          <w:lang w:eastAsia="en-GB"/>
        </w:rPr>
        <w:t xml:space="preserve"> therefore</w:t>
      </w:r>
      <w:r w:rsidR="009112DC">
        <w:rPr>
          <w:lang w:eastAsia="en-GB"/>
        </w:rPr>
        <w:t>,</w:t>
      </w:r>
      <w:r w:rsidRPr="001B0C11">
        <w:rPr>
          <w:lang w:eastAsia="en-GB"/>
        </w:rPr>
        <w:t xml:space="preserve"> the habeas corpus order could not be made as requested. Accordingly, it dismissed the author’s habeas corpus writ.  </w:t>
      </w:r>
      <w:r w:rsidR="009112DC">
        <w:rPr>
          <w:lang w:eastAsia="en-GB"/>
        </w:rPr>
        <w:t xml:space="preserve">In its </w:t>
      </w:r>
      <w:r w:rsidRPr="001B0C11">
        <w:rPr>
          <w:lang w:eastAsia="en-GB"/>
        </w:rPr>
        <w:t>ruling</w:t>
      </w:r>
      <w:r w:rsidR="009112DC">
        <w:rPr>
          <w:lang w:eastAsia="en-GB"/>
        </w:rPr>
        <w:t>,</w:t>
      </w:r>
      <w:r w:rsidRPr="001B0C11">
        <w:rPr>
          <w:lang w:eastAsia="en-GB"/>
        </w:rPr>
        <w:t xml:space="preserve"> </w:t>
      </w:r>
      <w:r w:rsidR="009112DC">
        <w:rPr>
          <w:lang w:eastAsia="en-GB"/>
        </w:rPr>
        <w:t>the Supreme Court</w:t>
      </w:r>
      <w:r w:rsidR="009112DC" w:rsidRPr="001B0C11">
        <w:rPr>
          <w:lang w:eastAsia="en-GB"/>
        </w:rPr>
        <w:t xml:space="preserve"> </w:t>
      </w:r>
      <w:r w:rsidRPr="001B0C11">
        <w:rPr>
          <w:lang w:eastAsia="en-GB"/>
        </w:rPr>
        <w:t xml:space="preserve">pointed out that according to the </w:t>
      </w:r>
      <w:r w:rsidR="009112DC">
        <w:rPr>
          <w:lang w:eastAsia="en-GB"/>
        </w:rPr>
        <w:t>Chief District Officer</w:t>
      </w:r>
      <w:r w:rsidRPr="001B0C11">
        <w:rPr>
          <w:lang w:eastAsia="en-GB"/>
        </w:rPr>
        <w:t xml:space="preserve">, the </w:t>
      </w:r>
      <w:r w:rsidR="009112DC">
        <w:rPr>
          <w:lang w:eastAsia="en-GB"/>
        </w:rPr>
        <w:t>Deputy Superintendent of Police</w:t>
      </w:r>
      <w:r w:rsidR="009112DC" w:rsidRPr="001B0C11">
        <w:rPr>
          <w:lang w:eastAsia="en-GB"/>
        </w:rPr>
        <w:t xml:space="preserve"> </w:t>
      </w:r>
      <w:r w:rsidRPr="001B0C11">
        <w:rPr>
          <w:lang w:eastAsia="en-GB"/>
        </w:rPr>
        <w:t>and the Army</w:t>
      </w:r>
      <w:r w:rsidR="0020444D">
        <w:rPr>
          <w:lang w:eastAsia="en-GB"/>
        </w:rPr>
        <w:t>,</w:t>
      </w:r>
      <w:r w:rsidRPr="001B0C11">
        <w:rPr>
          <w:lang w:eastAsia="en-GB"/>
        </w:rPr>
        <w:t xml:space="preserve"> Mr</w:t>
      </w:r>
      <w:r w:rsidR="00DB7E8D">
        <w:rPr>
          <w:lang w:eastAsia="en-GB"/>
        </w:rPr>
        <w:t>. </w:t>
      </w:r>
      <w:r w:rsidRPr="001B0C11">
        <w:rPr>
          <w:lang w:eastAsia="en-GB"/>
        </w:rPr>
        <w:t>Bhandari was killed in cross</w:t>
      </w:r>
      <w:r w:rsidR="009112DC">
        <w:rPr>
          <w:lang w:eastAsia="en-GB"/>
        </w:rPr>
        <w:t>fire</w:t>
      </w:r>
      <w:r w:rsidRPr="001B0C11">
        <w:rPr>
          <w:lang w:eastAsia="en-GB"/>
        </w:rPr>
        <w:t xml:space="preserve"> on 1 January 2002</w:t>
      </w:r>
      <w:r w:rsidR="009112DC">
        <w:rPr>
          <w:lang w:eastAsia="en-GB"/>
        </w:rPr>
        <w:t>,</w:t>
      </w:r>
      <w:r w:rsidRPr="001B0C11">
        <w:rPr>
          <w:lang w:eastAsia="en-GB"/>
        </w:rPr>
        <w:t xml:space="preserve"> while trying to escape the security perimeter during an operation to locate ammunition hidden by Maoists in the jungle.</w:t>
      </w:r>
      <w:r w:rsidR="00C55773">
        <w:rPr>
          <w:lang w:eastAsia="en-GB"/>
        </w:rPr>
        <w:t xml:space="preserve"> </w:t>
      </w:r>
    </w:p>
    <w:p w:rsidR="001B0C11" w:rsidRPr="001B0C11" w:rsidRDefault="001B0C11" w:rsidP="00DB7E8D">
      <w:pPr>
        <w:pStyle w:val="SingleTxtG"/>
        <w:rPr>
          <w:lang w:eastAsia="en-GB"/>
        </w:rPr>
      </w:pPr>
      <w:r w:rsidRPr="001B0C11">
        <w:rPr>
          <w:lang w:eastAsia="en-GB"/>
        </w:rPr>
        <w:t>2.13</w:t>
      </w:r>
      <w:r w:rsidRPr="001B0C11">
        <w:rPr>
          <w:lang w:eastAsia="en-GB"/>
        </w:rPr>
        <w:tab/>
      </w:r>
      <w:r w:rsidR="004A4B6D">
        <w:rPr>
          <w:lang w:eastAsia="en-GB"/>
        </w:rPr>
        <w:t>The author claims that he had to flee to India</w:t>
      </w:r>
      <w:r w:rsidR="004A4B6D" w:rsidRPr="004A4B6D">
        <w:rPr>
          <w:lang w:eastAsia="en-GB"/>
        </w:rPr>
        <w:t xml:space="preserve"> </w:t>
      </w:r>
      <w:r w:rsidR="004A4B6D">
        <w:rPr>
          <w:lang w:eastAsia="en-GB"/>
        </w:rPr>
        <w:t>for reasons of personal security for a short period and that he</w:t>
      </w:r>
      <w:r w:rsidRPr="001B0C11">
        <w:rPr>
          <w:lang w:eastAsia="en-GB"/>
        </w:rPr>
        <w:t xml:space="preserve"> returned to Lamjung in 2006. At that time he was able to gather testimonies from former detainees</w:t>
      </w:r>
      <w:r w:rsidR="009112DC">
        <w:rPr>
          <w:lang w:eastAsia="en-GB"/>
        </w:rPr>
        <w:t>,</w:t>
      </w:r>
      <w:r w:rsidRPr="001B0C11">
        <w:rPr>
          <w:lang w:eastAsia="en-GB"/>
        </w:rPr>
        <w:t xml:space="preserve"> who saw or heard his father while in detention. The first one, Mr</w:t>
      </w:r>
      <w:r w:rsidR="00DB7E8D">
        <w:rPr>
          <w:lang w:eastAsia="en-GB"/>
        </w:rPr>
        <w:t>. </w:t>
      </w:r>
      <w:r w:rsidRPr="001B0C11">
        <w:rPr>
          <w:lang w:eastAsia="en-GB"/>
        </w:rPr>
        <w:t xml:space="preserve">R.P.S., also detained in the District Police Office on 31 December 2001, stated that on that night he </w:t>
      </w:r>
      <w:r w:rsidR="004A4B6D">
        <w:rPr>
          <w:lang w:eastAsia="en-GB"/>
        </w:rPr>
        <w:t>had seen</w:t>
      </w:r>
      <w:r w:rsidRPr="001B0C11">
        <w:rPr>
          <w:lang w:eastAsia="en-GB"/>
        </w:rPr>
        <w:t xml:space="preserve"> and could hear the author’s father being beaten for one and a half hours; that his father was </w:t>
      </w:r>
      <w:r w:rsidR="009112DC">
        <w:rPr>
          <w:lang w:eastAsia="en-GB"/>
        </w:rPr>
        <w:t xml:space="preserve">then </w:t>
      </w:r>
      <w:r w:rsidRPr="001B0C11">
        <w:rPr>
          <w:lang w:eastAsia="en-GB"/>
        </w:rPr>
        <w:t>moaning; that after a while he</w:t>
      </w:r>
      <w:r w:rsidR="00DB7E8D">
        <w:rPr>
          <w:lang w:eastAsia="en-GB"/>
        </w:rPr>
        <w:t xml:space="preserve"> heard a police officer saying “</w:t>
      </w:r>
      <w:r w:rsidRPr="001B0C11">
        <w:rPr>
          <w:lang w:eastAsia="en-GB"/>
        </w:rPr>
        <w:t>I think he is gone</w:t>
      </w:r>
      <w:r w:rsidR="00DB7E8D">
        <w:rPr>
          <w:lang w:eastAsia="en-GB"/>
        </w:rPr>
        <w:t>”</w:t>
      </w:r>
      <w:r w:rsidRPr="001B0C11">
        <w:rPr>
          <w:lang w:eastAsia="en-GB"/>
        </w:rPr>
        <w:t xml:space="preserve"> and the lights in the next room went dark. After that, he knew </w:t>
      </w:r>
      <w:r w:rsidR="009112DC">
        <w:rPr>
          <w:lang w:eastAsia="en-GB"/>
        </w:rPr>
        <w:t>nothing more.</w:t>
      </w:r>
      <w:r w:rsidRPr="001B0C11">
        <w:rPr>
          <w:lang w:eastAsia="en-GB"/>
        </w:rPr>
        <w:t xml:space="preserve"> Th</w:t>
      </w:r>
      <w:r w:rsidR="009112DC">
        <w:rPr>
          <w:lang w:eastAsia="en-GB"/>
        </w:rPr>
        <w:t>at</w:t>
      </w:r>
      <w:r w:rsidRPr="001B0C11">
        <w:rPr>
          <w:lang w:eastAsia="en-GB"/>
        </w:rPr>
        <w:t xml:space="preserve"> testimony was corroborated by another detainee, Mr.</w:t>
      </w:r>
      <w:r w:rsidR="00DB7E8D">
        <w:rPr>
          <w:lang w:eastAsia="en-GB"/>
        </w:rPr>
        <w:t> </w:t>
      </w:r>
      <w:r w:rsidRPr="001B0C11">
        <w:rPr>
          <w:lang w:eastAsia="en-GB"/>
        </w:rPr>
        <w:t>D.S.G., who heard Mr</w:t>
      </w:r>
      <w:r w:rsidR="00DB7E8D">
        <w:rPr>
          <w:lang w:eastAsia="en-GB"/>
        </w:rPr>
        <w:t>. </w:t>
      </w:r>
      <w:r w:rsidRPr="001B0C11">
        <w:rPr>
          <w:lang w:eastAsia="en-GB"/>
        </w:rPr>
        <w:t>Bhandari screaming and assumed that he was beaten to death.</w:t>
      </w:r>
    </w:p>
    <w:p w:rsidR="001B0C11" w:rsidRPr="001B0C11" w:rsidRDefault="001B0C11" w:rsidP="00521999">
      <w:pPr>
        <w:pStyle w:val="SingleTxtG"/>
        <w:rPr>
          <w:lang w:eastAsia="en-GB"/>
        </w:rPr>
      </w:pPr>
      <w:r w:rsidRPr="001B0C11">
        <w:rPr>
          <w:lang w:eastAsia="en-GB"/>
        </w:rPr>
        <w:t>2.14</w:t>
      </w:r>
      <w:r w:rsidRPr="001B0C11">
        <w:rPr>
          <w:lang w:eastAsia="en-GB"/>
        </w:rPr>
        <w:tab/>
        <w:t xml:space="preserve">On 27 April 2007, the author wrote to the </w:t>
      </w:r>
      <w:r w:rsidR="009112DC">
        <w:rPr>
          <w:lang w:eastAsia="en-GB"/>
        </w:rPr>
        <w:t>Chief District Officer</w:t>
      </w:r>
      <w:r w:rsidR="009112DC" w:rsidRPr="001B0C11">
        <w:rPr>
          <w:lang w:eastAsia="en-GB"/>
        </w:rPr>
        <w:t xml:space="preserve"> </w:t>
      </w:r>
      <w:r w:rsidRPr="001B0C11">
        <w:rPr>
          <w:lang w:eastAsia="en-GB"/>
        </w:rPr>
        <w:t xml:space="preserve">and </w:t>
      </w:r>
      <w:r w:rsidR="009112DC">
        <w:rPr>
          <w:lang w:eastAsia="en-GB"/>
        </w:rPr>
        <w:t>the Deputy Superintendent of Polic</w:t>
      </w:r>
      <w:r w:rsidR="0029574C">
        <w:rPr>
          <w:lang w:eastAsia="en-GB"/>
        </w:rPr>
        <w:t>e</w:t>
      </w:r>
      <w:r w:rsidR="009112DC" w:rsidRPr="001B0C11">
        <w:rPr>
          <w:lang w:eastAsia="en-GB"/>
        </w:rPr>
        <w:t xml:space="preserve"> </w:t>
      </w:r>
      <w:r w:rsidRPr="001B0C11">
        <w:rPr>
          <w:lang w:eastAsia="en-GB"/>
        </w:rPr>
        <w:t xml:space="preserve">requesting information about his father’s enforced disappearance. As he did not receive any answer from them, on 14 June 2007, he tried to file a </w:t>
      </w:r>
      <w:r w:rsidR="009112DC">
        <w:rPr>
          <w:lang w:eastAsia="en-GB"/>
        </w:rPr>
        <w:t>“</w:t>
      </w:r>
      <w:r w:rsidR="009112DC" w:rsidRPr="001B0C11">
        <w:rPr>
          <w:lang w:eastAsia="en-GB"/>
        </w:rPr>
        <w:t>first information report</w:t>
      </w:r>
      <w:r w:rsidR="009112DC">
        <w:rPr>
          <w:lang w:eastAsia="en-GB"/>
        </w:rPr>
        <w:t>”,</w:t>
      </w:r>
      <w:r w:rsidRPr="001B0C11">
        <w:rPr>
          <w:lang w:eastAsia="en-GB"/>
        </w:rPr>
        <w:t xml:space="preserve"> but the police orally refused to register it, without issuing a formal written refusal. The police told the author that they could not arrest a colleague; that they had no record of the events </w:t>
      </w:r>
      <w:r w:rsidR="0029574C">
        <w:rPr>
          <w:lang w:eastAsia="en-GB"/>
        </w:rPr>
        <w:t xml:space="preserve">in question; </w:t>
      </w:r>
      <w:r w:rsidRPr="001B0C11">
        <w:rPr>
          <w:lang w:eastAsia="en-GB"/>
        </w:rPr>
        <w:t xml:space="preserve">and that this was a political issue </w:t>
      </w:r>
      <w:r w:rsidR="009112DC">
        <w:rPr>
          <w:lang w:eastAsia="en-GB"/>
        </w:rPr>
        <w:t>in which</w:t>
      </w:r>
      <w:r w:rsidR="009112DC" w:rsidRPr="001B0C11">
        <w:rPr>
          <w:lang w:eastAsia="en-GB"/>
        </w:rPr>
        <w:t xml:space="preserve"> </w:t>
      </w:r>
      <w:r w:rsidRPr="001B0C11">
        <w:rPr>
          <w:lang w:eastAsia="en-GB"/>
        </w:rPr>
        <w:t xml:space="preserve">they </w:t>
      </w:r>
      <w:r w:rsidRPr="001B0C11">
        <w:rPr>
          <w:lang w:eastAsia="en-GB"/>
        </w:rPr>
        <w:lastRenderedPageBreak/>
        <w:t>could not get involved</w:t>
      </w:r>
      <w:r w:rsidR="009112DC">
        <w:rPr>
          <w:lang w:eastAsia="en-GB"/>
        </w:rPr>
        <w:t>.</w:t>
      </w:r>
      <w:r w:rsidRPr="001B0C11">
        <w:rPr>
          <w:lang w:eastAsia="en-GB"/>
        </w:rPr>
        <w:t xml:space="preserve"> On 15 June 2007, the author sent the </w:t>
      </w:r>
      <w:r w:rsidR="0029574C">
        <w:rPr>
          <w:lang w:eastAsia="en-GB"/>
        </w:rPr>
        <w:t>first information report</w:t>
      </w:r>
      <w:r w:rsidR="0029574C" w:rsidRPr="001B0C11">
        <w:rPr>
          <w:lang w:eastAsia="en-GB"/>
        </w:rPr>
        <w:t xml:space="preserve"> </w:t>
      </w:r>
      <w:r w:rsidRPr="001B0C11">
        <w:rPr>
          <w:lang w:eastAsia="en-GB"/>
        </w:rPr>
        <w:t xml:space="preserve">through </w:t>
      </w:r>
      <w:r w:rsidR="0029574C">
        <w:rPr>
          <w:lang w:eastAsia="en-GB"/>
        </w:rPr>
        <w:t xml:space="preserve">the </w:t>
      </w:r>
      <w:r w:rsidRPr="001B0C11">
        <w:rPr>
          <w:lang w:eastAsia="en-GB"/>
        </w:rPr>
        <w:t>post</w:t>
      </w:r>
      <w:r w:rsidR="0029574C">
        <w:rPr>
          <w:lang w:eastAsia="en-GB"/>
        </w:rPr>
        <w:t xml:space="preserve"> to the police</w:t>
      </w:r>
      <w:r w:rsidRPr="001B0C11">
        <w:rPr>
          <w:lang w:eastAsia="en-GB"/>
        </w:rPr>
        <w:t xml:space="preserve">. One week later, a </w:t>
      </w:r>
      <w:r w:rsidR="0029574C">
        <w:rPr>
          <w:lang w:eastAsia="en-GB"/>
        </w:rPr>
        <w:t>more senior</w:t>
      </w:r>
      <w:r w:rsidR="0029574C" w:rsidRPr="001B0C11">
        <w:rPr>
          <w:lang w:eastAsia="en-GB"/>
        </w:rPr>
        <w:t xml:space="preserve"> </w:t>
      </w:r>
      <w:r w:rsidR="0029574C">
        <w:rPr>
          <w:lang w:eastAsia="en-GB"/>
        </w:rPr>
        <w:t>police</w:t>
      </w:r>
      <w:r w:rsidR="0029574C" w:rsidRPr="001B0C11">
        <w:rPr>
          <w:lang w:eastAsia="en-GB"/>
        </w:rPr>
        <w:t xml:space="preserve"> </w:t>
      </w:r>
      <w:r w:rsidRPr="001B0C11">
        <w:rPr>
          <w:lang w:eastAsia="en-GB"/>
        </w:rPr>
        <w:t xml:space="preserve">officer </w:t>
      </w:r>
      <w:r w:rsidR="0029574C">
        <w:rPr>
          <w:lang w:eastAsia="en-GB"/>
        </w:rPr>
        <w:t>replied to</w:t>
      </w:r>
      <w:r w:rsidR="0029574C" w:rsidRPr="001B0C11">
        <w:rPr>
          <w:lang w:eastAsia="en-GB"/>
        </w:rPr>
        <w:t xml:space="preserve"> </w:t>
      </w:r>
      <w:r w:rsidRPr="001B0C11">
        <w:rPr>
          <w:lang w:eastAsia="en-GB"/>
        </w:rPr>
        <w:t>the author</w:t>
      </w:r>
      <w:r w:rsidR="0029574C">
        <w:rPr>
          <w:lang w:eastAsia="en-GB"/>
        </w:rPr>
        <w:t>, stating</w:t>
      </w:r>
      <w:r w:rsidRPr="001B0C11">
        <w:rPr>
          <w:lang w:eastAsia="en-GB"/>
        </w:rPr>
        <w:t xml:space="preserve"> that the police did not accept </w:t>
      </w:r>
      <w:r w:rsidR="0029574C">
        <w:rPr>
          <w:lang w:eastAsia="en-GB"/>
        </w:rPr>
        <w:t>such</w:t>
      </w:r>
      <w:r w:rsidR="0029574C" w:rsidRPr="001B0C11">
        <w:rPr>
          <w:lang w:eastAsia="en-GB"/>
        </w:rPr>
        <w:t xml:space="preserve"> </w:t>
      </w:r>
      <w:r w:rsidRPr="001B0C11">
        <w:rPr>
          <w:lang w:eastAsia="en-GB"/>
        </w:rPr>
        <w:t xml:space="preserve">cases and that they would be considered by the </w:t>
      </w:r>
      <w:r w:rsidR="0029574C">
        <w:rPr>
          <w:lang w:eastAsia="en-GB"/>
        </w:rPr>
        <w:t>National Human Rights Commission</w:t>
      </w:r>
      <w:r w:rsidR="00EF2CD3">
        <w:rPr>
          <w:lang w:eastAsia="en-GB"/>
        </w:rPr>
        <w:t>.</w:t>
      </w:r>
      <w:r w:rsidRPr="001B0C11">
        <w:rPr>
          <w:lang w:eastAsia="en-GB"/>
        </w:rPr>
        <w:t xml:space="preserve"> On 22 June 2007, the author wrote a letter to the </w:t>
      </w:r>
      <w:r w:rsidR="0029574C">
        <w:rPr>
          <w:lang w:eastAsia="en-GB"/>
        </w:rPr>
        <w:t>Chief District Officer</w:t>
      </w:r>
      <w:r w:rsidR="0029574C" w:rsidRPr="001B0C11">
        <w:rPr>
          <w:lang w:eastAsia="en-GB"/>
        </w:rPr>
        <w:t xml:space="preserve"> </w:t>
      </w:r>
      <w:r w:rsidRPr="001B0C11">
        <w:rPr>
          <w:lang w:eastAsia="en-GB"/>
        </w:rPr>
        <w:t xml:space="preserve">and asked him to register his </w:t>
      </w:r>
      <w:r w:rsidR="0029574C">
        <w:rPr>
          <w:lang w:eastAsia="en-GB"/>
        </w:rPr>
        <w:t>first information report,</w:t>
      </w:r>
      <w:r w:rsidR="0029574C" w:rsidRPr="001B0C11">
        <w:rPr>
          <w:lang w:eastAsia="en-GB"/>
        </w:rPr>
        <w:t xml:space="preserve"> </w:t>
      </w:r>
      <w:r w:rsidRPr="001B0C11">
        <w:rPr>
          <w:lang w:eastAsia="en-GB"/>
        </w:rPr>
        <w:t xml:space="preserve">but the </w:t>
      </w:r>
      <w:r w:rsidR="0029574C" w:rsidRPr="0029574C">
        <w:rPr>
          <w:lang w:eastAsia="en-GB"/>
        </w:rPr>
        <w:t xml:space="preserve"> </w:t>
      </w:r>
      <w:r w:rsidR="0029574C">
        <w:rPr>
          <w:lang w:eastAsia="en-GB"/>
        </w:rPr>
        <w:t>Chief District Officer</w:t>
      </w:r>
      <w:r w:rsidRPr="001B0C11">
        <w:rPr>
          <w:lang w:eastAsia="en-GB"/>
        </w:rPr>
        <w:t xml:space="preserve"> refused to do so. </w:t>
      </w:r>
    </w:p>
    <w:p w:rsidR="001B0C11" w:rsidRPr="001B0C11" w:rsidRDefault="00EF2CD3" w:rsidP="00DB7E8D">
      <w:pPr>
        <w:pStyle w:val="SingleTxtG"/>
        <w:rPr>
          <w:lang w:eastAsia="en-GB"/>
        </w:rPr>
      </w:pPr>
      <w:r>
        <w:rPr>
          <w:lang w:eastAsia="en-GB"/>
        </w:rPr>
        <w:t>2.15</w:t>
      </w:r>
      <w:r w:rsidR="001B0C11" w:rsidRPr="001B0C11">
        <w:rPr>
          <w:lang w:eastAsia="en-GB"/>
        </w:rPr>
        <w:tab/>
        <w:t xml:space="preserve">On 30 October 2007, representatives of </w:t>
      </w:r>
      <w:r w:rsidR="0029574C">
        <w:rPr>
          <w:lang w:eastAsia="en-GB"/>
        </w:rPr>
        <w:t>the Office of the United Nations High Commissioner for Human Rights</w:t>
      </w:r>
      <w:r w:rsidR="001B0C11" w:rsidRPr="001B0C11">
        <w:rPr>
          <w:lang w:eastAsia="en-GB"/>
        </w:rPr>
        <w:t xml:space="preserve"> and the International Commission of Jurists visited the </w:t>
      </w:r>
      <w:r w:rsidR="001B0C11" w:rsidRPr="005676F5">
        <w:rPr>
          <w:lang w:eastAsia="en-GB"/>
        </w:rPr>
        <w:t>D</w:t>
      </w:r>
      <w:r w:rsidR="005676F5">
        <w:rPr>
          <w:lang w:eastAsia="en-GB"/>
        </w:rPr>
        <w:t xml:space="preserve">istrict </w:t>
      </w:r>
      <w:r w:rsidR="001B0C11" w:rsidRPr="005676F5">
        <w:rPr>
          <w:lang w:eastAsia="en-GB"/>
        </w:rPr>
        <w:t>P</w:t>
      </w:r>
      <w:r w:rsidR="005676F5">
        <w:rPr>
          <w:lang w:eastAsia="en-GB"/>
        </w:rPr>
        <w:t xml:space="preserve">olice </w:t>
      </w:r>
      <w:r w:rsidR="001B0C11" w:rsidRPr="005676F5">
        <w:rPr>
          <w:lang w:eastAsia="en-GB"/>
        </w:rPr>
        <w:t>O</w:t>
      </w:r>
      <w:r w:rsidR="005676F5">
        <w:rPr>
          <w:lang w:eastAsia="en-GB"/>
        </w:rPr>
        <w:t>ffice</w:t>
      </w:r>
      <w:r w:rsidR="001B0C11" w:rsidRPr="001B0C11">
        <w:rPr>
          <w:lang w:eastAsia="en-GB"/>
        </w:rPr>
        <w:t xml:space="preserve"> and enquired about the status of </w:t>
      </w:r>
      <w:r w:rsidR="0029574C">
        <w:rPr>
          <w:lang w:eastAsia="en-GB"/>
        </w:rPr>
        <w:t>report</w:t>
      </w:r>
      <w:r w:rsidR="001B0C11" w:rsidRPr="001B0C11">
        <w:rPr>
          <w:lang w:eastAsia="en-GB"/>
        </w:rPr>
        <w:t xml:space="preserve">. They were informed that the </w:t>
      </w:r>
      <w:r w:rsidR="0029574C">
        <w:rPr>
          <w:lang w:eastAsia="en-GB"/>
        </w:rPr>
        <w:t>report</w:t>
      </w:r>
      <w:r w:rsidR="0029574C" w:rsidRPr="001B0C11">
        <w:rPr>
          <w:lang w:eastAsia="en-GB"/>
        </w:rPr>
        <w:t xml:space="preserve"> </w:t>
      </w:r>
      <w:r w:rsidR="001B0C11" w:rsidRPr="001B0C11">
        <w:rPr>
          <w:lang w:eastAsia="en-GB"/>
        </w:rPr>
        <w:t xml:space="preserve">had not been registered </w:t>
      </w:r>
      <w:r w:rsidR="0029574C">
        <w:rPr>
          <w:lang w:eastAsia="en-GB"/>
        </w:rPr>
        <w:t>following an</w:t>
      </w:r>
      <w:r w:rsidR="001B0C11" w:rsidRPr="001B0C11">
        <w:rPr>
          <w:lang w:eastAsia="en-GB"/>
        </w:rPr>
        <w:t xml:space="preserve"> order</w:t>
      </w:r>
      <w:r w:rsidR="0029574C">
        <w:rPr>
          <w:lang w:eastAsia="en-GB"/>
        </w:rPr>
        <w:t xml:space="preserve"> by a more senior officer</w:t>
      </w:r>
      <w:r w:rsidR="001B0C11" w:rsidRPr="001B0C11">
        <w:rPr>
          <w:lang w:eastAsia="en-GB"/>
        </w:rPr>
        <w:t>. Th</w:t>
      </w:r>
      <w:r w:rsidR="0029574C">
        <w:rPr>
          <w:lang w:eastAsia="en-GB"/>
        </w:rPr>
        <w:t>at</w:t>
      </w:r>
      <w:r w:rsidR="001B0C11" w:rsidRPr="001B0C11">
        <w:rPr>
          <w:lang w:eastAsia="en-GB"/>
        </w:rPr>
        <w:t xml:space="preserve"> was also confirmed by the </w:t>
      </w:r>
      <w:r w:rsidR="0029574C" w:rsidRPr="0029574C">
        <w:t xml:space="preserve"> </w:t>
      </w:r>
      <w:r w:rsidR="0029574C" w:rsidRPr="0029574C">
        <w:rPr>
          <w:lang w:eastAsia="en-GB"/>
        </w:rPr>
        <w:t>the Deputy Superintendent of Police</w:t>
      </w:r>
      <w:r w:rsidR="001B0C11" w:rsidRPr="001B0C11">
        <w:rPr>
          <w:lang w:eastAsia="en-GB"/>
        </w:rPr>
        <w:t xml:space="preserve">. On 23 November 2007, </w:t>
      </w:r>
      <w:r w:rsidR="00FE34D3">
        <w:rPr>
          <w:lang w:eastAsia="en-GB"/>
        </w:rPr>
        <w:t>the International Commission of Jurists</w:t>
      </w:r>
      <w:r w:rsidR="001B0C11" w:rsidRPr="001B0C11">
        <w:rPr>
          <w:lang w:eastAsia="en-GB"/>
        </w:rPr>
        <w:t xml:space="preserve"> wrote to the Inspector</w:t>
      </w:r>
      <w:r w:rsidR="0029574C">
        <w:rPr>
          <w:lang w:eastAsia="en-GB"/>
        </w:rPr>
        <w:t>-</w:t>
      </w:r>
      <w:r w:rsidR="001B0C11" w:rsidRPr="001B0C11">
        <w:rPr>
          <w:lang w:eastAsia="en-GB"/>
        </w:rPr>
        <w:t xml:space="preserve">General of Police to inquire about the refusal to register the </w:t>
      </w:r>
      <w:r w:rsidR="0029574C">
        <w:rPr>
          <w:lang w:eastAsia="en-GB"/>
        </w:rPr>
        <w:t>first information report</w:t>
      </w:r>
      <w:r w:rsidR="001B0C11" w:rsidRPr="001B0C11">
        <w:rPr>
          <w:lang w:eastAsia="en-GB"/>
        </w:rPr>
        <w:t xml:space="preserve">. No answer was ever </w:t>
      </w:r>
      <w:r w:rsidR="0029574C">
        <w:rPr>
          <w:lang w:eastAsia="en-GB"/>
        </w:rPr>
        <w:t>forthcoming</w:t>
      </w:r>
      <w:r w:rsidR="001B0C11" w:rsidRPr="001B0C11">
        <w:rPr>
          <w:lang w:eastAsia="en-GB"/>
        </w:rPr>
        <w:t>.</w:t>
      </w:r>
    </w:p>
    <w:p w:rsidR="001B0C11" w:rsidRPr="001B0C11" w:rsidRDefault="001B0C11" w:rsidP="00521999">
      <w:pPr>
        <w:pStyle w:val="SingleTxtG"/>
        <w:rPr>
          <w:lang w:eastAsia="en-GB"/>
        </w:rPr>
      </w:pPr>
      <w:r w:rsidRPr="001B0C11">
        <w:rPr>
          <w:lang w:eastAsia="en-GB"/>
        </w:rPr>
        <w:t>2.16</w:t>
      </w:r>
      <w:r w:rsidRPr="001B0C11">
        <w:rPr>
          <w:lang w:eastAsia="en-GB"/>
        </w:rPr>
        <w:tab/>
        <w:t xml:space="preserve">On 12 May 2008, the author filed a writ of mandamus before the Supreme Court and requested the registration of the </w:t>
      </w:r>
      <w:r w:rsidR="00AF365F">
        <w:rPr>
          <w:lang w:eastAsia="en-GB"/>
        </w:rPr>
        <w:t>first information report</w:t>
      </w:r>
      <w:r w:rsidRPr="001B0C11">
        <w:rPr>
          <w:lang w:eastAsia="en-GB"/>
        </w:rPr>
        <w:t xml:space="preserve">. On 24 June 2008, the </w:t>
      </w:r>
      <w:r w:rsidR="00AF365F">
        <w:rPr>
          <w:lang w:eastAsia="en-GB"/>
        </w:rPr>
        <w:t>Chief District Officer</w:t>
      </w:r>
      <w:r w:rsidR="00AF365F" w:rsidRPr="001B0C11">
        <w:rPr>
          <w:lang w:eastAsia="en-GB"/>
        </w:rPr>
        <w:t xml:space="preserve"> </w:t>
      </w:r>
      <w:r w:rsidRPr="001B0C11">
        <w:rPr>
          <w:lang w:eastAsia="en-GB"/>
        </w:rPr>
        <w:t xml:space="preserve">and the </w:t>
      </w:r>
      <w:r w:rsidR="00AF365F">
        <w:t>the Deputy Superintendent of Police</w:t>
      </w:r>
      <w:r w:rsidRPr="001B0C11">
        <w:rPr>
          <w:lang w:eastAsia="en-GB"/>
        </w:rPr>
        <w:t xml:space="preserve"> informed the Supreme Court that the author’s father had tried to break the cordon of security forces </w:t>
      </w:r>
      <w:r w:rsidR="00AF365F">
        <w:rPr>
          <w:lang w:eastAsia="en-GB"/>
        </w:rPr>
        <w:t>as</w:t>
      </w:r>
      <w:r w:rsidR="00AF365F" w:rsidRPr="001B0C11">
        <w:rPr>
          <w:lang w:eastAsia="en-GB"/>
        </w:rPr>
        <w:t xml:space="preserve"> </w:t>
      </w:r>
      <w:r w:rsidRPr="001B0C11">
        <w:rPr>
          <w:lang w:eastAsia="en-GB"/>
        </w:rPr>
        <w:t xml:space="preserve">they </w:t>
      </w:r>
      <w:r w:rsidR="00AF365F">
        <w:rPr>
          <w:lang w:eastAsia="en-GB"/>
        </w:rPr>
        <w:t xml:space="preserve">were </w:t>
      </w:r>
      <w:r w:rsidRPr="001B0C11">
        <w:rPr>
          <w:lang w:eastAsia="en-GB"/>
        </w:rPr>
        <w:t>patroll</w:t>
      </w:r>
      <w:r w:rsidR="00AF365F">
        <w:rPr>
          <w:lang w:eastAsia="en-GB"/>
        </w:rPr>
        <w:t>ing</w:t>
      </w:r>
      <w:r w:rsidRPr="001B0C11">
        <w:rPr>
          <w:lang w:eastAsia="en-GB"/>
        </w:rPr>
        <w:t xml:space="preserve"> the Simpani </w:t>
      </w:r>
      <w:r w:rsidR="00AF365F" w:rsidRPr="001B0C11">
        <w:rPr>
          <w:lang w:eastAsia="en-GB"/>
        </w:rPr>
        <w:t>village development committee</w:t>
      </w:r>
      <w:r w:rsidRPr="001B0C11">
        <w:rPr>
          <w:lang w:eastAsia="en-GB"/>
        </w:rPr>
        <w:t xml:space="preserve">; that terrorists opened fire </w:t>
      </w:r>
      <w:r w:rsidR="00AF365F">
        <w:rPr>
          <w:lang w:eastAsia="en-GB"/>
        </w:rPr>
        <w:t>to which</w:t>
      </w:r>
      <w:r w:rsidRPr="001B0C11">
        <w:rPr>
          <w:lang w:eastAsia="en-GB"/>
        </w:rPr>
        <w:t xml:space="preserve"> the security forces</w:t>
      </w:r>
      <w:r w:rsidR="00AF365F">
        <w:rPr>
          <w:lang w:eastAsia="en-GB"/>
        </w:rPr>
        <w:t xml:space="preserve"> replied</w:t>
      </w:r>
      <w:r w:rsidRPr="001B0C11">
        <w:rPr>
          <w:lang w:eastAsia="en-GB"/>
        </w:rPr>
        <w:t xml:space="preserve">; and that </w:t>
      </w:r>
      <w:r w:rsidR="00AF365F">
        <w:rPr>
          <w:lang w:eastAsia="en-GB"/>
        </w:rPr>
        <w:t>Mr Bhandari</w:t>
      </w:r>
      <w:r w:rsidR="00AF365F" w:rsidRPr="001B0C11">
        <w:rPr>
          <w:lang w:eastAsia="en-GB"/>
        </w:rPr>
        <w:t xml:space="preserve"> </w:t>
      </w:r>
      <w:r w:rsidRPr="001B0C11">
        <w:rPr>
          <w:lang w:eastAsia="en-GB"/>
        </w:rPr>
        <w:t>had died in the cross</w:t>
      </w:r>
      <w:r w:rsidR="00AF365F">
        <w:rPr>
          <w:lang w:eastAsia="en-GB"/>
        </w:rPr>
        <w:t>fire.</w:t>
      </w:r>
      <w:r w:rsidRPr="001B0C11">
        <w:rPr>
          <w:lang w:eastAsia="en-GB"/>
        </w:rPr>
        <w:t xml:space="preserve"> They also held that</w:t>
      </w:r>
      <w:r w:rsidR="00AF365F">
        <w:rPr>
          <w:lang w:eastAsia="en-GB"/>
        </w:rPr>
        <w:t>,</w:t>
      </w:r>
      <w:r w:rsidRPr="001B0C11">
        <w:rPr>
          <w:lang w:eastAsia="en-GB"/>
        </w:rPr>
        <w:t xml:space="preserve"> as the </w:t>
      </w:r>
      <w:r w:rsidR="00AF365F">
        <w:rPr>
          <w:lang w:eastAsia="en-GB"/>
        </w:rPr>
        <w:t>shooting had</w:t>
      </w:r>
      <w:r w:rsidR="00AF365F" w:rsidRPr="001B0C11">
        <w:rPr>
          <w:lang w:eastAsia="en-GB"/>
        </w:rPr>
        <w:t xml:space="preserve"> </w:t>
      </w:r>
      <w:r w:rsidRPr="001B0C11">
        <w:rPr>
          <w:lang w:eastAsia="en-GB"/>
        </w:rPr>
        <w:t xml:space="preserve">occurred during the night, it was unclear whether the bullet that killed him was from the terrorist group or the security forces. The </w:t>
      </w:r>
      <w:r w:rsidR="00AF365F">
        <w:t>the Deputy Superintendent of Police</w:t>
      </w:r>
      <w:r w:rsidRPr="001B0C11">
        <w:rPr>
          <w:lang w:eastAsia="en-GB"/>
        </w:rPr>
        <w:t xml:space="preserve"> further held that the uncertainty concerning the provenance of the bullet should make it impossible for the author to submit such a petition to the Supreme Court. At the time the communication was submitted, hearings regarding the writ of mandamus had been postponed five times and the case had been pending for three years. </w:t>
      </w:r>
    </w:p>
    <w:p w:rsidR="001B0C11" w:rsidRPr="001B0C11" w:rsidRDefault="001B0C11" w:rsidP="00521999">
      <w:pPr>
        <w:pStyle w:val="SingleTxtG"/>
        <w:rPr>
          <w:lang w:eastAsia="en-GB"/>
        </w:rPr>
      </w:pPr>
      <w:r w:rsidRPr="001B0C11">
        <w:rPr>
          <w:lang w:eastAsia="en-GB"/>
        </w:rPr>
        <w:t>2.17</w:t>
      </w:r>
      <w:r w:rsidRPr="001B0C11">
        <w:rPr>
          <w:lang w:eastAsia="en-GB"/>
        </w:rPr>
        <w:tab/>
        <w:t xml:space="preserve">In June 2009, the author received </w:t>
      </w:r>
      <w:r w:rsidR="001744C6">
        <w:rPr>
          <w:lang w:eastAsia="en-GB"/>
        </w:rPr>
        <w:t xml:space="preserve">Nr. </w:t>
      </w:r>
      <w:r w:rsidRPr="001B0C11">
        <w:rPr>
          <w:lang w:eastAsia="en-GB"/>
        </w:rPr>
        <w:t>100</w:t>
      </w:r>
      <w:r w:rsidR="00AF365F">
        <w:rPr>
          <w:lang w:eastAsia="en-GB"/>
        </w:rPr>
        <w:t>,</w:t>
      </w:r>
      <w:r w:rsidRPr="001B0C11">
        <w:rPr>
          <w:lang w:eastAsia="en-GB"/>
        </w:rPr>
        <w:t xml:space="preserve">000 as interim relief granted to </w:t>
      </w:r>
      <w:r w:rsidR="00AF365F">
        <w:rPr>
          <w:lang w:eastAsia="en-GB"/>
        </w:rPr>
        <w:t xml:space="preserve">the </w:t>
      </w:r>
      <w:r w:rsidRPr="001B0C11">
        <w:rPr>
          <w:lang w:eastAsia="en-GB"/>
        </w:rPr>
        <w:t xml:space="preserve">families of victims of enforced disappearance. At some point, the author asked the </w:t>
      </w:r>
      <w:r w:rsidR="00AF365F">
        <w:rPr>
          <w:lang w:eastAsia="en-GB"/>
        </w:rPr>
        <w:t>Chie</w:t>
      </w:r>
      <w:r w:rsidR="002E163D">
        <w:rPr>
          <w:lang w:eastAsia="en-GB"/>
        </w:rPr>
        <w:t>f</w:t>
      </w:r>
      <w:r w:rsidR="00AF365F">
        <w:rPr>
          <w:lang w:eastAsia="en-GB"/>
        </w:rPr>
        <w:t xml:space="preserve"> District Officer</w:t>
      </w:r>
      <w:r w:rsidR="00AF365F" w:rsidRPr="001B0C11">
        <w:rPr>
          <w:lang w:eastAsia="en-GB"/>
        </w:rPr>
        <w:t xml:space="preserve"> </w:t>
      </w:r>
      <w:r w:rsidRPr="001B0C11">
        <w:rPr>
          <w:lang w:eastAsia="en-GB"/>
        </w:rPr>
        <w:t xml:space="preserve">and </w:t>
      </w:r>
      <w:r w:rsidR="00AF365F">
        <w:t>the Deputy Superintendent of Police</w:t>
      </w:r>
      <w:r w:rsidRPr="001B0C11">
        <w:rPr>
          <w:lang w:eastAsia="en-GB"/>
        </w:rPr>
        <w:t xml:space="preserve"> </w:t>
      </w:r>
      <w:r w:rsidR="00AF365F">
        <w:rPr>
          <w:lang w:eastAsia="en-GB"/>
        </w:rPr>
        <w:t>for</w:t>
      </w:r>
      <w:r w:rsidR="00AF365F" w:rsidRPr="001B0C11">
        <w:rPr>
          <w:lang w:eastAsia="en-GB"/>
        </w:rPr>
        <w:t xml:space="preserve"> </w:t>
      </w:r>
      <w:r w:rsidRPr="001B0C11">
        <w:rPr>
          <w:lang w:eastAsia="en-GB"/>
        </w:rPr>
        <w:t xml:space="preserve">his father’s personal belongings </w:t>
      </w:r>
      <w:r w:rsidR="00AF365F">
        <w:rPr>
          <w:lang w:eastAsia="en-GB"/>
        </w:rPr>
        <w:t xml:space="preserve">to </w:t>
      </w:r>
      <w:r w:rsidRPr="001B0C11">
        <w:rPr>
          <w:lang w:eastAsia="en-GB"/>
        </w:rPr>
        <w:t xml:space="preserve">be returned. </w:t>
      </w:r>
      <w:r w:rsidR="00AF365F">
        <w:rPr>
          <w:lang w:eastAsia="en-GB"/>
        </w:rPr>
        <w:t>However,</w:t>
      </w:r>
      <w:r w:rsidRPr="001B0C11">
        <w:rPr>
          <w:lang w:eastAsia="en-GB"/>
        </w:rPr>
        <w:t xml:space="preserve"> new </w:t>
      </w:r>
      <w:r w:rsidR="002E163D">
        <w:rPr>
          <w:lang w:eastAsia="en-GB"/>
        </w:rPr>
        <w:t xml:space="preserve">police </w:t>
      </w:r>
      <w:r w:rsidRPr="002E163D">
        <w:rPr>
          <w:lang w:eastAsia="en-GB"/>
        </w:rPr>
        <w:t>agents</w:t>
      </w:r>
      <w:r w:rsidRPr="001B0C11">
        <w:rPr>
          <w:lang w:eastAsia="en-GB"/>
        </w:rPr>
        <w:t xml:space="preserve">, appointed after the peace agreement, told him that they were not aware of his father’s case and that they could not do anything about the return of his belongings. The author claims that his father’s disappearance caused him a high degree of suffering and </w:t>
      </w:r>
      <w:r w:rsidR="00AF365F">
        <w:rPr>
          <w:lang w:eastAsia="en-GB"/>
        </w:rPr>
        <w:t xml:space="preserve">that he </w:t>
      </w:r>
      <w:r w:rsidRPr="001B0C11">
        <w:rPr>
          <w:lang w:eastAsia="en-GB"/>
        </w:rPr>
        <w:t>has been subjected to harassment from the authorities. His mother suffers from social stigma</w:t>
      </w:r>
      <w:r w:rsidR="00AF365F">
        <w:rPr>
          <w:lang w:eastAsia="en-GB"/>
        </w:rPr>
        <w:t>,</w:t>
      </w:r>
      <w:r w:rsidRPr="001B0C11">
        <w:rPr>
          <w:lang w:eastAsia="en-GB"/>
        </w:rPr>
        <w:t xml:space="preserve"> as it is difficult to live without a husband in </w:t>
      </w:r>
      <w:r w:rsidR="00AF365F">
        <w:rPr>
          <w:lang w:eastAsia="en-GB"/>
        </w:rPr>
        <w:t>Nepalese</w:t>
      </w:r>
      <w:r w:rsidRPr="001B0C11">
        <w:rPr>
          <w:lang w:eastAsia="en-GB"/>
        </w:rPr>
        <w:t xml:space="preserve"> society. The disappearance also caused an important economic loss to his family, since his father was the family’s main source of income. </w:t>
      </w:r>
    </w:p>
    <w:p w:rsidR="001B0C11" w:rsidRPr="001B0C11" w:rsidRDefault="001B0C11" w:rsidP="00521999">
      <w:pPr>
        <w:pStyle w:val="SingleTxtG"/>
        <w:rPr>
          <w:highlight w:val="green"/>
          <w:lang w:eastAsia="en-GB"/>
        </w:rPr>
      </w:pPr>
      <w:r w:rsidRPr="001B0C11">
        <w:rPr>
          <w:lang w:eastAsia="en-GB"/>
        </w:rPr>
        <w:t>2.18</w:t>
      </w:r>
      <w:r w:rsidRPr="001B0C11">
        <w:rPr>
          <w:lang w:eastAsia="en-GB"/>
        </w:rPr>
        <w:tab/>
        <w:t xml:space="preserve">The author claims that the </w:t>
      </w:r>
      <w:r w:rsidR="00AF365F">
        <w:rPr>
          <w:lang w:eastAsia="en-GB"/>
        </w:rPr>
        <w:t>National Human Rights Commission</w:t>
      </w:r>
      <w:r w:rsidR="00AF365F" w:rsidRPr="001B0C11">
        <w:rPr>
          <w:lang w:eastAsia="en-GB"/>
        </w:rPr>
        <w:t xml:space="preserve"> </w:t>
      </w:r>
      <w:r w:rsidRPr="001B0C11">
        <w:rPr>
          <w:lang w:eastAsia="en-GB"/>
        </w:rPr>
        <w:t xml:space="preserve">cannot be considered an effective remedy. As regards the </w:t>
      </w:r>
      <w:r w:rsidR="00AF365F">
        <w:rPr>
          <w:lang w:eastAsia="en-GB"/>
        </w:rPr>
        <w:t>first information report</w:t>
      </w:r>
      <w:r w:rsidRPr="001B0C11">
        <w:rPr>
          <w:lang w:eastAsia="en-GB"/>
        </w:rPr>
        <w:t xml:space="preserve">, it is limited to the crimes listed in </w:t>
      </w:r>
      <w:r w:rsidR="00AF365F" w:rsidRPr="001B0C11">
        <w:rPr>
          <w:lang w:eastAsia="en-GB"/>
        </w:rPr>
        <w:t xml:space="preserve">schedule </w:t>
      </w:r>
      <w:r w:rsidRPr="001B0C11">
        <w:rPr>
          <w:lang w:eastAsia="en-GB"/>
        </w:rPr>
        <w:t>1 of the State Cases Act of 1992</w:t>
      </w:r>
      <w:r w:rsidR="00AF365F">
        <w:rPr>
          <w:lang w:eastAsia="en-GB"/>
        </w:rPr>
        <w:t>,</w:t>
      </w:r>
      <w:r w:rsidRPr="001B0C11">
        <w:rPr>
          <w:lang w:eastAsia="en-GB"/>
        </w:rPr>
        <w:t xml:space="preserve"> which does not include enforced disappearance and torture. </w:t>
      </w:r>
      <w:r w:rsidR="00AF365F">
        <w:rPr>
          <w:lang w:eastAsia="en-GB"/>
        </w:rPr>
        <w:t>In 2007, t</w:t>
      </w:r>
      <w:r w:rsidRPr="001B0C11">
        <w:rPr>
          <w:lang w:eastAsia="en-GB"/>
        </w:rPr>
        <w:t>he Supreme Court ordered</w:t>
      </w:r>
      <w:r w:rsidR="004A4B6D">
        <w:rPr>
          <w:lang w:eastAsia="en-GB"/>
        </w:rPr>
        <w:t xml:space="preserve"> the </w:t>
      </w:r>
      <w:r w:rsidR="00AF365F">
        <w:rPr>
          <w:lang w:eastAsia="en-GB"/>
        </w:rPr>
        <w:t>Government</w:t>
      </w:r>
      <w:r w:rsidR="00AF365F" w:rsidRPr="001B0C11">
        <w:rPr>
          <w:lang w:eastAsia="en-GB"/>
        </w:rPr>
        <w:t xml:space="preserve"> </w:t>
      </w:r>
      <w:r w:rsidRPr="001B0C11">
        <w:rPr>
          <w:lang w:eastAsia="en-GB"/>
        </w:rPr>
        <w:t>to criminalize enforced disappearance</w:t>
      </w:r>
      <w:r w:rsidR="00EF2CD3">
        <w:rPr>
          <w:lang w:eastAsia="en-GB"/>
        </w:rPr>
        <w:t>,</w:t>
      </w:r>
      <w:r w:rsidRPr="001B0C11">
        <w:rPr>
          <w:lang w:eastAsia="en-GB"/>
        </w:rPr>
        <w:t xml:space="preserve"> but no action has been taken in this respect. The filing of </w:t>
      </w:r>
      <w:r w:rsidR="00AF365F">
        <w:rPr>
          <w:lang w:eastAsia="en-GB"/>
        </w:rPr>
        <w:t>first information reports</w:t>
      </w:r>
      <w:r w:rsidR="00AF365F" w:rsidRPr="001B0C11">
        <w:rPr>
          <w:lang w:eastAsia="en-GB"/>
        </w:rPr>
        <w:t xml:space="preserve"> </w:t>
      </w:r>
      <w:r w:rsidRPr="001B0C11">
        <w:rPr>
          <w:lang w:eastAsia="en-GB"/>
        </w:rPr>
        <w:t xml:space="preserve">in </w:t>
      </w:r>
      <w:r w:rsidR="00AF365F">
        <w:rPr>
          <w:lang w:eastAsia="en-GB"/>
        </w:rPr>
        <w:t xml:space="preserve">cases of </w:t>
      </w:r>
      <w:r w:rsidRPr="001B0C11">
        <w:rPr>
          <w:lang w:eastAsia="en-GB"/>
        </w:rPr>
        <w:t>disappearance does not constitute an appropriate remedy</w:t>
      </w:r>
      <w:r w:rsidR="00AF365F">
        <w:rPr>
          <w:lang w:eastAsia="en-GB"/>
        </w:rPr>
        <w:t>,</w:t>
      </w:r>
      <w:r w:rsidRPr="001B0C11">
        <w:rPr>
          <w:lang w:eastAsia="en-GB"/>
        </w:rPr>
        <w:t xml:space="preserve"> as the authorities usually argue that the person’s death cannot be proved in the absence of </w:t>
      </w:r>
      <w:r w:rsidR="00AF365F">
        <w:rPr>
          <w:lang w:eastAsia="en-GB"/>
        </w:rPr>
        <w:t>a</w:t>
      </w:r>
      <w:r w:rsidR="00AF365F" w:rsidRPr="001B0C11">
        <w:rPr>
          <w:lang w:eastAsia="en-GB"/>
        </w:rPr>
        <w:t xml:space="preserve"> </w:t>
      </w:r>
      <w:r w:rsidRPr="001B0C11">
        <w:rPr>
          <w:lang w:eastAsia="en-GB"/>
        </w:rPr>
        <w:t>body. The author submits that domestic remedies have been unreasonabl</w:t>
      </w:r>
      <w:r w:rsidR="004A4B6D">
        <w:rPr>
          <w:lang w:eastAsia="en-GB"/>
        </w:rPr>
        <w:t>y</w:t>
      </w:r>
      <w:r w:rsidRPr="001B0C11">
        <w:rPr>
          <w:lang w:eastAsia="en-GB"/>
        </w:rPr>
        <w:t xml:space="preserve"> prolonged and that there is no other domestic remedy to exhaust.</w:t>
      </w:r>
      <w:r w:rsidRPr="001B0C11">
        <w:rPr>
          <w:rFonts w:ascii="Arial Narrow" w:hAnsi="Arial Narrow"/>
          <w:spacing w:val="2"/>
          <w:vertAlign w:val="superscript"/>
          <w:lang w:eastAsia="en-GB"/>
        </w:rPr>
        <w:footnoteReference w:id="4"/>
      </w:r>
      <w:r w:rsidRPr="001B0C11">
        <w:rPr>
          <w:lang w:eastAsia="en-GB"/>
        </w:rPr>
        <w:t xml:space="preserve"> </w:t>
      </w:r>
    </w:p>
    <w:p w:rsidR="001B0C11" w:rsidRPr="001B0C11" w:rsidRDefault="001B0C11" w:rsidP="00521999">
      <w:pPr>
        <w:pStyle w:val="H23G"/>
      </w:pPr>
      <w:r w:rsidRPr="001B0C11">
        <w:lastRenderedPageBreak/>
        <w:tab/>
      </w:r>
      <w:r w:rsidRPr="001B0C11">
        <w:tab/>
        <w:t>The complaint</w:t>
      </w:r>
    </w:p>
    <w:p w:rsidR="001B0C11" w:rsidRPr="001B0C11" w:rsidRDefault="00EF2CD3" w:rsidP="00521999">
      <w:pPr>
        <w:pStyle w:val="SingleTxtG"/>
        <w:rPr>
          <w:lang w:eastAsia="en-GB"/>
        </w:rPr>
      </w:pPr>
      <w:r>
        <w:rPr>
          <w:lang w:eastAsia="en-GB"/>
        </w:rPr>
        <w:t>3.1</w:t>
      </w:r>
      <w:r w:rsidR="001B0C11" w:rsidRPr="001B0C11">
        <w:rPr>
          <w:lang w:eastAsia="en-GB"/>
        </w:rPr>
        <w:tab/>
        <w:t xml:space="preserve">The author argues that his father was </w:t>
      </w:r>
      <w:r w:rsidR="00AF365F">
        <w:rPr>
          <w:lang w:eastAsia="en-GB"/>
        </w:rPr>
        <w:t xml:space="preserve">the </w:t>
      </w:r>
      <w:r w:rsidR="001B0C11" w:rsidRPr="001B0C11">
        <w:rPr>
          <w:lang w:eastAsia="en-GB"/>
        </w:rPr>
        <w:t xml:space="preserve">victim of </w:t>
      </w:r>
      <w:r w:rsidR="004A4B6D">
        <w:rPr>
          <w:lang w:eastAsia="en-GB"/>
        </w:rPr>
        <w:t>e</w:t>
      </w:r>
      <w:r w:rsidR="001B0C11" w:rsidRPr="001B0C11">
        <w:rPr>
          <w:lang w:eastAsia="en-GB"/>
        </w:rPr>
        <w:t>nforced disappearance and, therefore, of a violation of his rights under articles 6</w:t>
      </w:r>
      <w:r w:rsidR="00AF365F">
        <w:rPr>
          <w:lang w:eastAsia="en-GB"/>
        </w:rPr>
        <w:t>;</w:t>
      </w:r>
      <w:r w:rsidR="001B0C11" w:rsidRPr="001B0C11">
        <w:rPr>
          <w:lang w:eastAsia="en-GB"/>
        </w:rPr>
        <w:t xml:space="preserve"> 7</w:t>
      </w:r>
      <w:r w:rsidR="00AF365F">
        <w:rPr>
          <w:lang w:eastAsia="en-GB"/>
        </w:rPr>
        <w:t>;</w:t>
      </w:r>
      <w:r w:rsidR="001B0C11" w:rsidRPr="001B0C11">
        <w:rPr>
          <w:lang w:eastAsia="en-GB"/>
        </w:rPr>
        <w:t xml:space="preserve"> 9</w:t>
      </w:r>
      <w:r w:rsidR="00AF365F">
        <w:rPr>
          <w:lang w:eastAsia="en-GB"/>
        </w:rPr>
        <w:t>;</w:t>
      </w:r>
      <w:r w:rsidR="001B0C11" w:rsidRPr="001B0C11">
        <w:rPr>
          <w:lang w:eastAsia="en-GB"/>
        </w:rPr>
        <w:t xml:space="preserve"> 10 and 16, alone and </w:t>
      </w:r>
      <w:r w:rsidR="00FD4802">
        <w:rPr>
          <w:lang w:eastAsia="en-GB"/>
        </w:rPr>
        <w:t xml:space="preserve">read </w:t>
      </w:r>
      <w:r w:rsidR="001B0C11" w:rsidRPr="001B0C11">
        <w:rPr>
          <w:lang w:eastAsia="en-GB"/>
        </w:rPr>
        <w:t>in conjunctio</w:t>
      </w:r>
      <w:r>
        <w:rPr>
          <w:lang w:eastAsia="en-GB"/>
        </w:rPr>
        <w:t xml:space="preserve">n with </w:t>
      </w:r>
      <w:r w:rsidR="00DB7E8D">
        <w:rPr>
          <w:lang w:eastAsia="en-GB"/>
        </w:rPr>
        <w:t>article </w:t>
      </w:r>
      <w:r>
        <w:rPr>
          <w:lang w:eastAsia="en-GB"/>
        </w:rPr>
        <w:t xml:space="preserve">2, </w:t>
      </w:r>
      <w:r w:rsidR="00DB7E8D">
        <w:rPr>
          <w:lang w:eastAsia="en-GB"/>
        </w:rPr>
        <w:t>paragraph </w:t>
      </w:r>
      <w:r>
        <w:rPr>
          <w:lang w:eastAsia="en-GB"/>
        </w:rPr>
        <w:t xml:space="preserve">3, </w:t>
      </w:r>
      <w:r w:rsidR="001B0C11" w:rsidRPr="001B0C11">
        <w:rPr>
          <w:lang w:eastAsia="en-GB"/>
        </w:rPr>
        <w:t>of the Covenant.</w:t>
      </w:r>
    </w:p>
    <w:p w:rsidR="001B0C11" w:rsidRPr="00DB7E8D" w:rsidRDefault="00EF2CD3" w:rsidP="00521999">
      <w:pPr>
        <w:pStyle w:val="SingleTxtG"/>
        <w:rPr>
          <w:lang w:eastAsia="en-GB"/>
        </w:rPr>
      </w:pPr>
      <w:r>
        <w:rPr>
          <w:lang w:eastAsia="en-GB"/>
        </w:rPr>
        <w:t>3.2</w:t>
      </w:r>
      <w:r w:rsidR="001B0C11" w:rsidRPr="001B0C11">
        <w:rPr>
          <w:lang w:eastAsia="en-GB"/>
        </w:rPr>
        <w:tab/>
        <w:t>The author’s</w:t>
      </w:r>
      <w:r w:rsidR="001B0C11" w:rsidRPr="001B0C11">
        <w:rPr>
          <w:spacing w:val="-2"/>
          <w:lang w:eastAsia="en-GB"/>
        </w:rPr>
        <w:t xml:space="preserve"> father was arbitrarily deprived of his liberty by </w:t>
      </w:r>
      <w:r w:rsidR="00AF365F">
        <w:rPr>
          <w:spacing w:val="-2"/>
          <w:lang w:eastAsia="en-GB"/>
        </w:rPr>
        <w:t xml:space="preserve">the </w:t>
      </w:r>
      <w:r w:rsidR="001B0C11" w:rsidRPr="001B0C11">
        <w:rPr>
          <w:spacing w:val="-2"/>
          <w:lang w:eastAsia="en-GB"/>
        </w:rPr>
        <w:t xml:space="preserve">police and members of the army in civilian clothes in the presence of numerous eye-witnesses. Despite the fact that he was last seen alive in life-threatening circumstances in the hands of </w:t>
      </w:r>
      <w:r w:rsidR="00AF365F">
        <w:rPr>
          <w:spacing w:val="-2"/>
          <w:lang w:eastAsia="en-GB"/>
        </w:rPr>
        <w:t xml:space="preserve">agents of the </w:t>
      </w:r>
      <w:r w:rsidR="001B0C11" w:rsidRPr="001B0C11">
        <w:rPr>
          <w:spacing w:val="-2"/>
          <w:lang w:eastAsia="en-GB"/>
        </w:rPr>
        <w:t>State party and that his deprivation of liberty was promptly denounced by his wife, the authorities initially denied that his deprivation of liberty had occurred</w:t>
      </w:r>
      <w:r w:rsidR="00AF365F">
        <w:rPr>
          <w:spacing w:val="-2"/>
          <w:lang w:eastAsia="en-GB"/>
        </w:rPr>
        <w:t>,</w:t>
      </w:r>
      <w:r w:rsidR="001B0C11" w:rsidRPr="001B0C11">
        <w:rPr>
          <w:spacing w:val="-2"/>
          <w:lang w:eastAsia="en-GB"/>
        </w:rPr>
        <w:t xml:space="preserve"> and later alleged that he was killed by crossfire in Simpani.</w:t>
      </w:r>
      <w:r w:rsidR="001B0C11" w:rsidRPr="001B0C11">
        <w:rPr>
          <w:lang w:eastAsia="en-GB"/>
        </w:rPr>
        <w:t xml:space="preserve"> The arbitrary arrest, ill-treatment and subsequent enforced disappearance of </w:t>
      </w:r>
      <w:r w:rsidR="00AF365F">
        <w:rPr>
          <w:lang w:eastAsia="en-GB"/>
        </w:rPr>
        <w:t>the author’s</w:t>
      </w:r>
      <w:r w:rsidR="00AF365F" w:rsidRPr="001B0C11">
        <w:rPr>
          <w:lang w:eastAsia="en-GB"/>
        </w:rPr>
        <w:t xml:space="preserve"> </w:t>
      </w:r>
      <w:r w:rsidR="001B0C11" w:rsidRPr="001B0C11">
        <w:rPr>
          <w:lang w:eastAsia="en-GB"/>
        </w:rPr>
        <w:t>father was perpetrated in a context of widespread and systematic practice. In th</w:t>
      </w:r>
      <w:r w:rsidR="00AF365F">
        <w:rPr>
          <w:lang w:eastAsia="en-GB"/>
        </w:rPr>
        <w:t>at</w:t>
      </w:r>
      <w:r w:rsidR="001B0C11" w:rsidRPr="001B0C11">
        <w:rPr>
          <w:lang w:eastAsia="en-GB"/>
        </w:rPr>
        <w:t xml:space="preserve"> respect, the author argues that the placement of persons deprived of their liberty under the control of State agents or of persons acting with the authorization, support or acquiescence of the State</w:t>
      </w:r>
      <w:r w:rsidR="005676F5">
        <w:rPr>
          <w:lang w:eastAsia="en-GB"/>
        </w:rPr>
        <w:t>,</w:t>
      </w:r>
      <w:r w:rsidR="001B0C11" w:rsidRPr="001B0C11">
        <w:rPr>
          <w:lang w:eastAsia="en-GB"/>
        </w:rPr>
        <w:t xml:space="preserve"> who commit acts of torture or arbitrary killing</w:t>
      </w:r>
      <w:r w:rsidR="005676F5">
        <w:rPr>
          <w:lang w:eastAsia="en-GB"/>
        </w:rPr>
        <w:t>,</w:t>
      </w:r>
      <w:r w:rsidR="001B0C11" w:rsidRPr="001B0C11">
        <w:rPr>
          <w:lang w:eastAsia="en-GB"/>
        </w:rPr>
        <w:t xml:space="preserve"> amounts, by itself, to a breach of the obligation to prevent violations of the right to life and to personal integrity, even when it is not possible to demonstrate that acts of torture or deprivation of life actually took place in the specific case. </w:t>
      </w:r>
    </w:p>
    <w:p w:rsidR="001B0C11" w:rsidRPr="001B0C11" w:rsidRDefault="00EF2CD3" w:rsidP="00521999">
      <w:pPr>
        <w:pStyle w:val="SingleTxtG"/>
        <w:rPr>
          <w:lang w:eastAsia="en-GB"/>
        </w:rPr>
      </w:pPr>
      <w:r>
        <w:rPr>
          <w:lang w:eastAsia="en-GB"/>
        </w:rPr>
        <w:t>3.3</w:t>
      </w:r>
      <w:r w:rsidR="001B0C11" w:rsidRPr="001B0C11">
        <w:rPr>
          <w:lang w:eastAsia="en-GB"/>
        </w:rPr>
        <w:tab/>
        <w:t xml:space="preserve">Numerous eye-witnesses saw the author’s father </w:t>
      </w:r>
      <w:r w:rsidR="005676F5">
        <w:rPr>
          <w:lang w:eastAsia="en-GB"/>
        </w:rPr>
        <w:t>being</w:t>
      </w:r>
      <w:r w:rsidR="005676F5" w:rsidRPr="001B0C11">
        <w:rPr>
          <w:lang w:eastAsia="en-GB"/>
        </w:rPr>
        <w:t xml:space="preserve"> </w:t>
      </w:r>
      <w:r w:rsidR="001B0C11" w:rsidRPr="001B0C11">
        <w:rPr>
          <w:lang w:eastAsia="en-GB"/>
        </w:rPr>
        <w:t xml:space="preserve">severely beaten by </w:t>
      </w:r>
      <w:r w:rsidR="005676F5">
        <w:rPr>
          <w:lang w:eastAsia="en-GB"/>
        </w:rPr>
        <w:t xml:space="preserve">the </w:t>
      </w:r>
      <w:r w:rsidR="001B0C11" w:rsidRPr="001B0C11">
        <w:rPr>
          <w:lang w:eastAsia="en-GB"/>
        </w:rPr>
        <w:t xml:space="preserve">police and members of the </w:t>
      </w:r>
      <w:r w:rsidR="005676F5">
        <w:rPr>
          <w:lang w:eastAsia="en-GB"/>
        </w:rPr>
        <w:t>armed forces</w:t>
      </w:r>
      <w:r w:rsidR="005676F5" w:rsidRPr="001B0C11">
        <w:rPr>
          <w:lang w:eastAsia="en-GB"/>
        </w:rPr>
        <w:t xml:space="preserve"> </w:t>
      </w:r>
      <w:r w:rsidR="001B0C11" w:rsidRPr="001B0C11">
        <w:rPr>
          <w:lang w:eastAsia="en-GB"/>
        </w:rPr>
        <w:t>on 31 December 2001</w:t>
      </w:r>
      <w:r w:rsidR="005676F5">
        <w:rPr>
          <w:lang w:eastAsia="en-GB"/>
        </w:rPr>
        <w:t>,</w:t>
      </w:r>
      <w:r w:rsidR="001B0C11" w:rsidRPr="001B0C11">
        <w:rPr>
          <w:lang w:eastAsia="en-GB"/>
        </w:rPr>
        <w:t xml:space="preserve"> upon his arrival at the bus station of </w:t>
      </w:r>
      <w:r w:rsidR="001B0C11" w:rsidRPr="002E163D">
        <w:rPr>
          <w:lang w:eastAsia="en-GB"/>
        </w:rPr>
        <w:t>Manange Chautara in Besis</w:t>
      </w:r>
      <w:r w:rsidR="00B6796E" w:rsidRPr="00B439F8">
        <w:rPr>
          <w:lang w:eastAsia="en-GB"/>
        </w:rPr>
        <w:t>h</w:t>
      </w:r>
      <w:r w:rsidR="001B0C11" w:rsidRPr="002E163D">
        <w:rPr>
          <w:lang w:eastAsia="en-GB"/>
        </w:rPr>
        <w:t>ahar</w:t>
      </w:r>
      <w:r w:rsidR="001B0C11" w:rsidRPr="001B0C11">
        <w:rPr>
          <w:lang w:eastAsia="en-GB"/>
        </w:rPr>
        <w:t xml:space="preserve">. Likewise, people who were held at the </w:t>
      </w:r>
      <w:r w:rsidR="001B0C11" w:rsidRPr="005676F5">
        <w:rPr>
          <w:lang w:eastAsia="en-GB"/>
        </w:rPr>
        <w:t>D</w:t>
      </w:r>
      <w:r w:rsidR="005676F5">
        <w:rPr>
          <w:lang w:eastAsia="en-GB"/>
        </w:rPr>
        <w:t xml:space="preserve">istrict </w:t>
      </w:r>
      <w:r w:rsidR="001B0C11" w:rsidRPr="005676F5">
        <w:rPr>
          <w:lang w:eastAsia="en-GB"/>
        </w:rPr>
        <w:t>P</w:t>
      </w:r>
      <w:r w:rsidR="005676F5">
        <w:rPr>
          <w:lang w:eastAsia="en-GB"/>
        </w:rPr>
        <w:t xml:space="preserve">olice </w:t>
      </w:r>
      <w:r w:rsidR="001B0C11" w:rsidRPr="005676F5">
        <w:rPr>
          <w:lang w:eastAsia="en-GB"/>
        </w:rPr>
        <w:t>O</w:t>
      </w:r>
      <w:r w:rsidR="005676F5">
        <w:rPr>
          <w:lang w:eastAsia="en-GB"/>
        </w:rPr>
        <w:t>ffice</w:t>
      </w:r>
      <w:r w:rsidR="001B0C11" w:rsidRPr="001B0C11">
        <w:rPr>
          <w:lang w:eastAsia="en-GB"/>
        </w:rPr>
        <w:t xml:space="preserve"> at the end of December 2001</w:t>
      </w:r>
      <w:r w:rsidR="005676F5">
        <w:rPr>
          <w:lang w:eastAsia="en-GB"/>
        </w:rPr>
        <w:t xml:space="preserve"> testified </w:t>
      </w:r>
      <w:r w:rsidR="001B0C11" w:rsidRPr="001B0C11">
        <w:rPr>
          <w:lang w:eastAsia="en-GB"/>
        </w:rPr>
        <w:t xml:space="preserve">that he was tortured and severely ill-treated by the guards </w:t>
      </w:r>
      <w:r w:rsidR="005676F5">
        <w:rPr>
          <w:lang w:eastAsia="en-GB"/>
        </w:rPr>
        <w:t>at</w:t>
      </w:r>
      <w:r w:rsidR="005676F5" w:rsidRPr="001B0C11">
        <w:rPr>
          <w:lang w:eastAsia="en-GB"/>
        </w:rPr>
        <w:t xml:space="preserve"> </w:t>
      </w:r>
      <w:r w:rsidR="001B0C11" w:rsidRPr="001B0C11">
        <w:rPr>
          <w:lang w:eastAsia="en-GB"/>
        </w:rPr>
        <w:t>the detention facility. Th</w:t>
      </w:r>
      <w:r w:rsidR="005676F5">
        <w:rPr>
          <w:lang w:eastAsia="en-GB"/>
        </w:rPr>
        <w:t>at</w:t>
      </w:r>
      <w:r w:rsidR="001B0C11" w:rsidRPr="001B0C11">
        <w:rPr>
          <w:lang w:eastAsia="en-GB"/>
        </w:rPr>
        <w:t xml:space="preserve"> conduct constitute</w:t>
      </w:r>
      <w:r w:rsidR="005676F5">
        <w:rPr>
          <w:lang w:eastAsia="en-GB"/>
        </w:rPr>
        <w:t>s</w:t>
      </w:r>
      <w:r w:rsidR="001B0C11" w:rsidRPr="001B0C11">
        <w:rPr>
          <w:lang w:eastAsia="en-GB"/>
        </w:rPr>
        <w:t xml:space="preserve"> a violation of </w:t>
      </w:r>
      <w:r w:rsidR="00DB7E8D">
        <w:rPr>
          <w:lang w:eastAsia="en-GB"/>
        </w:rPr>
        <w:t>article </w:t>
      </w:r>
      <w:r w:rsidR="001B0C11" w:rsidRPr="001B0C11">
        <w:rPr>
          <w:lang w:eastAsia="en-GB"/>
        </w:rPr>
        <w:t xml:space="preserve">7 of the Covenant. </w:t>
      </w:r>
      <w:r w:rsidR="005676F5" w:rsidRPr="00FD53FC">
        <w:rPr>
          <w:lang w:eastAsia="en-GB"/>
        </w:rPr>
        <w:t>H</w:t>
      </w:r>
      <w:r w:rsidR="001B0C11" w:rsidRPr="00FD53FC">
        <w:rPr>
          <w:lang w:eastAsia="en-GB"/>
        </w:rPr>
        <w:t xml:space="preserve">is enforced disappearance and the degree of suffering involved in being held without contact </w:t>
      </w:r>
      <w:r w:rsidRPr="00FE34D3">
        <w:rPr>
          <w:lang w:eastAsia="en-GB"/>
        </w:rPr>
        <w:t xml:space="preserve">with the outside world </w:t>
      </w:r>
      <w:r w:rsidR="005676F5" w:rsidRPr="00FE34D3">
        <w:rPr>
          <w:lang w:eastAsia="en-GB"/>
        </w:rPr>
        <w:t xml:space="preserve">also </w:t>
      </w:r>
      <w:r w:rsidRPr="00FE34D3">
        <w:rPr>
          <w:lang w:eastAsia="en-GB"/>
        </w:rPr>
        <w:t xml:space="preserve">amounts </w:t>
      </w:r>
      <w:r w:rsidR="001B0C11" w:rsidRPr="004933A0">
        <w:rPr>
          <w:lang w:eastAsia="en-GB"/>
        </w:rPr>
        <w:t xml:space="preserve">to a violation of </w:t>
      </w:r>
      <w:r w:rsidR="00DB7E8D" w:rsidRPr="00467D19">
        <w:rPr>
          <w:lang w:eastAsia="en-GB"/>
        </w:rPr>
        <w:t>article </w:t>
      </w:r>
      <w:r w:rsidR="001B0C11" w:rsidRPr="00B439F8">
        <w:rPr>
          <w:lang w:eastAsia="en-GB"/>
        </w:rPr>
        <w:t>7. In th</w:t>
      </w:r>
      <w:r w:rsidR="001B0C11" w:rsidRPr="001B0C11">
        <w:rPr>
          <w:lang w:eastAsia="en-GB"/>
        </w:rPr>
        <w:t>is regard, the author submits that the violations suffered by his father have to be considered within the general context of human rights violations existing in the State party</w:t>
      </w:r>
      <w:r>
        <w:rPr>
          <w:lang w:eastAsia="en-GB"/>
        </w:rPr>
        <w:t>,</w:t>
      </w:r>
      <w:r w:rsidR="001B0C11" w:rsidRPr="00DB7E8D">
        <w:rPr>
          <w:rStyle w:val="FootnoteReference"/>
        </w:rPr>
        <w:footnoteReference w:id="5"/>
      </w:r>
      <w:r w:rsidR="001B0C11" w:rsidRPr="001B0C11">
        <w:rPr>
          <w:lang w:eastAsia="en-GB"/>
        </w:rPr>
        <w:t xml:space="preserve"> </w:t>
      </w:r>
      <w:r w:rsidR="00FC6C57">
        <w:rPr>
          <w:lang w:eastAsia="en-GB"/>
        </w:rPr>
        <w:t xml:space="preserve">taking </w:t>
      </w:r>
      <w:r w:rsidR="001B0C11" w:rsidRPr="001B0C11">
        <w:rPr>
          <w:lang w:eastAsia="en-GB"/>
        </w:rPr>
        <w:t xml:space="preserve">into account that the most serious violations of physical and psychological integrity were systematically committed against those suspected of being Maoists. </w:t>
      </w:r>
    </w:p>
    <w:p w:rsidR="001B0C11" w:rsidRPr="001B0C11" w:rsidRDefault="00EF2CD3" w:rsidP="00521999">
      <w:pPr>
        <w:pStyle w:val="SingleTxtG"/>
        <w:rPr>
          <w:lang w:eastAsia="en-GB"/>
        </w:rPr>
      </w:pPr>
      <w:r>
        <w:rPr>
          <w:spacing w:val="-2"/>
          <w:lang w:eastAsia="en-GB"/>
        </w:rPr>
        <w:t>3.4</w:t>
      </w:r>
      <w:r w:rsidR="001B0C11" w:rsidRPr="001B0C11">
        <w:rPr>
          <w:spacing w:val="-2"/>
          <w:lang w:eastAsia="en-GB"/>
        </w:rPr>
        <w:tab/>
        <w:t>A</w:t>
      </w:r>
      <w:r w:rsidR="001B0C11" w:rsidRPr="001B0C11">
        <w:rPr>
          <w:lang w:eastAsia="en-GB"/>
        </w:rPr>
        <w:t xml:space="preserve">fter his arbitrary arrest, the author’s father was taken to the </w:t>
      </w:r>
      <w:r w:rsidR="00FC6C57">
        <w:rPr>
          <w:lang w:eastAsia="en-GB"/>
        </w:rPr>
        <w:t>District Police Office</w:t>
      </w:r>
      <w:r w:rsidR="00FC6C57" w:rsidRPr="001B0C11">
        <w:rPr>
          <w:lang w:eastAsia="en-GB"/>
        </w:rPr>
        <w:t xml:space="preserve"> </w:t>
      </w:r>
      <w:r w:rsidR="001B0C11" w:rsidRPr="001B0C11">
        <w:rPr>
          <w:lang w:eastAsia="en-GB"/>
        </w:rPr>
        <w:t xml:space="preserve">and there detained without </w:t>
      </w:r>
      <w:r w:rsidR="00FC6C57">
        <w:rPr>
          <w:lang w:eastAsia="en-GB"/>
        </w:rPr>
        <w:t>any</w:t>
      </w:r>
      <w:r w:rsidR="00FC6C57" w:rsidRPr="001B0C11">
        <w:rPr>
          <w:lang w:eastAsia="en-GB"/>
        </w:rPr>
        <w:t xml:space="preserve"> </w:t>
      </w:r>
      <w:r w:rsidR="001B0C11" w:rsidRPr="001B0C11">
        <w:rPr>
          <w:lang w:eastAsia="en-GB"/>
        </w:rPr>
        <w:t>legal grounds</w:t>
      </w:r>
      <w:r w:rsidR="00FC6C57">
        <w:rPr>
          <w:lang w:eastAsia="en-GB"/>
        </w:rPr>
        <w:t xml:space="preserve"> being put forward</w:t>
      </w:r>
      <w:r w:rsidR="001B0C11" w:rsidRPr="001B0C11">
        <w:rPr>
          <w:lang w:eastAsia="en-GB"/>
        </w:rPr>
        <w:t xml:space="preserve">, in violation of his rights under </w:t>
      </w:r>
      <w:r w:rsidR="00DB7E8D">
        <w:rPr>
          <w:lang w:eastAsia="en-GB"/>
        </w:rPr>
        <w:t>article </w:t>
      </w:r>
      <w:r w:rsidR="001B0C11" w:rsidRPr="001B0C11">
        <w:rPr>
          <w:lang w:eastAsia="en-GB"/>
        </w:rPr>
        <w:t>9</w:t>
      </w:r>
      <w:r w:rsidR="00FC6C57">
        <w:rPr>
          <w:lang w:eastAsia="en-GB"/>
        </w:rPr>
        <w:t xml:space="preserve"> of the Covenant</w:t>
      </w:r>
      <w:r w:rsidR="001B0C11" w:rsidRPr="001B0C11">
        <w:rPr>
          <w:lang w:eastAsia="en-GB"/>
        </w:rPr>
        <w:t>. His detention was not entered in any official register or record and his relatives have not seen him since. He was never brought before a judge</w:t>
      </w:r>
      <w:r w:rsidR="00FC6C57">
        <w:rPr>
          <w:lang w:eastAsia="en-GB"/>
        </w:rPr>
        <w:t>,</w:t>
      </w:r>
      <w:r w:rsidR="001B0C11" w:rsidRPr="001B0C11">
        <w:rPr>
          <w:lang w:eastAsia="en-GB"/>
        </w:rPr>
        <w:t xml:space="preserve"> or any other official authorized by law to exercise judicial power, nor could he take proceedings before a court to challenge the lawfulness of his detention. The unacknowledged incommunicado detention of any individual constitutes a violation of </w:t>
      </w:r>
      <w:r w:rsidR="00DB7E8D">
        <w:rPr>
          <w:lang w:eastAsia="en-GB"/>
        </w:rPr>
        <w:t>article </w:t>
      </w:r>
      <w:r w:rsidR="001B0C11" w:rsidRPr="001B0C11">
        <w:rPr>
          <w:lang w:eastAsia="en-GB"/>
        </w:rPr>
        <w:t xml:space="preserve">9 of the Covenant. </w:t>
      </w:r>
    </w:p>
    <w:p w:rsidR="001B0C11" w:rsidRPr="001B0C11" w:rsidRDefault="00EF2CD3" w:rsidP="00521999">
      <w:pPr>
        <w:pStyle w:val="SingleTxtG"/>
        <w:rPr>
          <w:lang w:eastAsia="en-GB"/>
        </w:rPr>
      </w:pPr>
      <w:r>
        <w:rPr>
          <w:lang w:eastAsia="en-GB"/>
        </w:rPr>
        <w:t>3.5</w:t>
      </w:r>
      <w:r w:rsidR="001B0C11" w:rsidRPr="001B0C11">
        <w:rPr>
          <w:lang w:eastAsia="en-GB"/>
        </w:rPr>
        <w:tab/>
        <w:t xml:space="preserve">The author’s father did not have the possibility </w:t>
      </w:r>
      <w:r w:rsidR="00FC6C57">
        <w:rPr>
          <w:lang w:eastAsia="en-GB"/>
        </w:rPr>
        <w:t>of</w:t>
      </w:r>
      <w:r w:rsidR="00FC6C57" w:rsidRPr="001B0C11">
        <w:rPr>
          <w:lang w:eastAsia="en-GB"/>
        </w:rPr>
        <w:t xml:space="preserve"> </w:t>
      </w:r>
      <w:r w:rsidR="001B0C11" w:rsidRPr="001B0C11">
        <w:rPr>
          <w:lang w:eastAsia="en-GB"/>
        </w:rPr>
        <w:t>communicat</w:t>
      </w:r>
      <w:r w:rsidR="00FC6C57">
        <w:rPr>
          <w:lang w:eastAsia="en-GB"/>
        </w:rPr>
        <w:t>ing</w:t>
      </w:r>
      <w:r w:rsidR="001B0C11" w:rsidRPr="001B0C11">
        <w:rPr>
          <w:lang w:eastAsia="en-GB"/>
        </w:rPr>
        <w:t xml:space="preserve"> with the outside world and, according to the </w:t>
      </w:r>
      <w:r w:rsidR="00FC6C57">
        <w:rPr>
          <w:lang w:eastAsia="en-GB"/>
        </w:rPr>
        <w:t>above-</w:t>
      </w:r>
      <w:r w:rsidR="001B0C11" w:rsidRPr="001B0C11">
        <w:rPr>
          <w:lang w:eastAsia="en-GB"/>
        </w:rPr>
        <w:t>mentioned credible eye-witnesses, he was subjected to torture. Furthermore, it is a matter of fact that the conditions endured by those held in pretrial detention during the armed conflict were inhumane and degrading.</w:t>
      </w:r>
      <w:r w:rsidR="001B0C11" w:rsidRPr="002E163D">
        <w:rPr>
          <w:vertAlign w:val="superscript"/>
          <w:lang w:eastAsia="en-GB"/>
        </w:rPr>
        <w:footnoteReference w:id="6"/>
      </w:r>
      <w:r w:rsidR="001B0C11" w:rsidRPr="001B0C11">
        <w:rPr>
          <w:lang w:eastAsia="en-GB"/>
        </w:rPr>
        <w:t xml:space="preserve"> Therefore, his enforced disappearance </w:t>
      </w:r>
      <w:r w:rsidR="00FC6C57">
        <w:rPr>
          <w:lang w:eastAsia="en-GB"/>
        </w:rPr>
        <w:t xml:space="preserve">and </w:t>
      </w:r>
      <w:r w:rsidR="001B0C11" w:rsidRPr="001B0C11">
        <w:rPr>
          <w:lang w:eastAsia="en-GB"/>
        </w:rPr>
        <w:t xml:space="preserve">the conditions he was subjected to constitute by themselves violations of </w:t>
      </w:r>
      <w:r w:rsidR="00DB7E8D">
        <w:rPr>
          <w:lang w:eastAsia="en-GB"/>
        </w:rPr>
        <w:t>article </w:t>
      </w:r>
      <w:r w:rsidR="001B0C11" w:rsidRPr="001B0C11">
        <w:rPr>
          <w:lang w:eastAsia="en-GB"/>
        </w:rPr>
        <w:t xml:space="preserve">10 of the Covenant. </w:t>
      </w:r>
    </w:p>
    <w:p w:rsidR="001B0C11" w:rsidRPr="001B0C11" w:rsidRDefault="00EF2CD3" w:rsidP="00521999">
      <w:pPr>
        <w:pStyle w:val="SingleTxtG"/>
        <w:rPr>
          <w:lang w:eastAsia="en-GB"/>
        </w:rPr>
      </w:pPr>
      <w:r>
        <w:rPr>
          <w:lang w:eastAsia="en-GB"/>
        </w:rPr>
        <w:t>3.6</w:t>
      </w:r>
      <w:r w:rsidR="001B0C11" w:rsidRPr="001B0C11">
        <w:rPr>
          <w:lang w:eastAsia="en-GB"/>
        </w:rPr>
        <w:tab/>
        <w:t>The enforced disappearance of the author’s father and the failure by the authorities to conduct an effective investigation concerning his whereabouts and fate</w:t>
      </w:r>
      <w:r w:rsidR="00FC6C57">
        <w:rPr>
          <w:lang w:eastAsia="en-GB"/>
        </w:rPr>
        <w:t>, have</w:t>
      </w:r>
      <w:r w:rsidR="001B0C11" w:rsidRPr="001B0C11">
        <w:rPr>
          <w:lang w:eastAsia="en-GB"/>
        </w:rPr>
        <w:t xml:space="preserve"> maintain</w:t>
      </w:r>
      <w:r w:rsidR="00FC6C57">
        <w:rPr>
          <w:lang w:eastAsia="en-GB"/>
        </w:rPr>
        <w:t>ed</w:t>
      </w:r>
      <w:r w:rsidR="001B0C11" w:rsidRPr="001B0C11">
        <w:rPr>
          <w:lang w:eastAsia="en-GB"/>
        </w:rPr>
        <w:t xml:space="preserve"> him outside the protection of the law since 31 December 2001, preventing him from </w:t>
      </w:r>
      <w:r w:rsidR="001B0C11" w:rsidRPr="001B0C11">
        <w:rPr>
          <w:lang w:eastAsia="en-GB"/>
        </w:rPr>
        <w:lastRenderedPageBreak/>
        <w:t xml:space="preserve">enjoying his human rights and freedoms. Consequently, </w:t>
      </w:r>
      <w:r w:rsidR="00FC6C57">
        <w:rPr>
          <w:lang w:eastAsia="en-GB"/>
        </w:rPr>
        <w:t xml:space="preserve">the </w:t>
      </w:r>
      <w:r w:rsidR="001B0C11" w:rsidRPr="001B0C11">
        <w:rPr>
          <w:lang w:eastAsia="en-GB"/>
        </w:rPr>
        <w:t xml:space="preserve">State party is responsible for a continuing violation of </w:t>
      </w:r>
      <w:r w:rsidR="00DB7E8D">
        <w:rPr>
          <w:lang w:eastAsia="en-GB"/>
        </w:rPr>
        <w:t>article </w:t>
      </w:r>
      <w:r w:rsidR="001B0C11" w:rsidRPr="001B0C11">
        <w:rPr>
          <w:lang w:eastAsia="en-GB"/>
        </w:rPr>
        <w:t>16</w:t>
      </w:r>
      <w:r w:rsidR="00FC6C57">
        <w:rPr>
          <w:lang w:eastAsia="en-GB"/>
        </w:rPr>
        <w:t>, read</w:t>
      </w:r>
      <w:r w:rsidR="001B0C11" w:rsidRPr="001B0C11">
        <w:rPr>
          <w:lang w:eastAsia="en-GB"/>
        </w:rPr>
        <w:t xml:space="preserve"> in conjunction with </w:t>
      </w:r>
      <w:r w:rsidR="00DB7E8D">
        <w:rPr>
          <w:lang w:eastAsia="en-GB"/>
        </w:rPr>
        <w:t>article </w:t>
      </w:r>
      <w:r w:rsidR="001B0C11" w:rsidRPr="001B0C11">
        <w:rPr>
          <w:lang w:eastAsia="en-GB"/>
        </w:rPr>
        <w:t xml:space="preserve">2, </w:t>
      </w:r>
      <w:r w:rsidR="00DB7E8D">
        <w:rPr>
          <w:lang w:eastAsia="en-GB"/>
        </w:rPr>
        <w:t>paragraph </w:t>
      </w:r>
      <w:r w:rsidR="001B0C11" w:rsidRPr="001B0C11">
        <w:rPr>
          <w:lang w:eastAsia="en-GB"/>
        </w:rPr>
        <w:t>3</w:t>
      </w:r>
      <w:r w:rsidR="00FC6C57">
        <w:rPr>
          <w:lang w:eastAsia="en-GB"/>
        </w:rPr>
        <w:t>,</w:t>
      </w:r>
      <w:r w:rsidR="001B0C11" w:rsidRPr="001B0C11">
        <w:rPr>
          <w:lang w:eastAsia="en-GB"/>
        </w:rPr>
        <w:t xml:space="preserve"> of the Covenant.</w:t>
      </w:r>
    </w:p>
    <w:p w:rsidR="001B0C11" w:rsidRPr="001B0C11" w:rsidRDefault="00EF2CD3" w:rsidP="00647B7B">
      <w:pPr>
        <w:pStyle w:val="SingleTxtG"/>
        <w:rPr>
          <w:lang w:eastAsia="en-GB"/>
        </w:rPr>
      </w:pPr>
      <w:r>
        <w:rPr>
          <w:lang w:eastAsia="en-GB"/>
        </w:rPr>
        <w:t>3.7</w:t>
      </w:r>
      <w:r w:rsidR="001B0C11" w:rsidRPr="001B0C11">
        <w:rPr>
          <w:lang w:eastAsia="en-GB"/>
        </w:rPr>
        <w:tab/>
      </w:r>
      <w:r w:rsidR="001B0C11" w:rsidRPr="001B0C11">
        <w:rPr>
          <w:spacing w:val="-2"/>
          <w:lang w:eastAsia="en-GB"/>
        </w:rPr>
        <w:t xml:space="preserve">Although the author promptly </w:t>
      </w:r>
      <w:r w:rsidR="00FC6C57" w:rsidRPr="001B0C11">
        <w:rPr>
          <w:spacing w:val="-2"/>
          <w:lang w:eastAsia="en-GB"/>
        </w:rPr>
        <w:t xml:space="preserve">reported </w:t>
      </w:r>
      <w:r w:rsidR="001B0C11" w:rsidRPr="001B0C11">
        <w:rPr>
          <w:spacing w:val="-2"/>
          <w:lang w:eastAsia="en-GB"/>
        </w:rPr>
        <w:t xml:space="preserve">the arbitrary deprivation of liberty, ill-treatment and enforced disappearance of his father and filed several complaints, no </w:t>
      </w:r>
      <w:r w:rsidR="001B0C11" w:rsidRPr="00B439F8">
        <w:rPr>
          <w:spacing w:val="-2"/>
          <w:lang w:eastAsia="en-GB"/>
        </w:rPr>
        <w:t>ex officio</w:t>
      </w:r>
      <w:r w:rsidR="001B0C11" w:rsidRPr="001B0C11">
        <w:rPr>
          <w:spacing w:val="-2"/>
          <w:lang w:eastAsia="en-GB"/>
        </w:rPr>
        <w:t>, prompt, impartial, thorough and independent investigation has been carried out and the fate and whereabouts of his father remain unknown</w:t>
      </w:r>
      <w:r w:rsidR="00FC6C57">
        <w:rPr>
          <w:spacing w:val="-2"/>
          <w:lang w:eastAsia="en-GB"/>
        </w:rPr>
        <w:t>.</w:t>
      </w:r>
      <w:r w:rsidR="001B0C11" w:rsidRPr="001B0C11">
        <w:rPr>
          <w:spacing w:val="-2"/>
          <w:lang w:eastAsia="en-GB"/>
        </w:rPr>
        <w:t xml:space="preserve"> </w:t>
      </w:r>
      <w:r w:rsidR="001B0C11" w:rsidRPr="001B0C11">
        <w:rPr>
          <w:lang w:eastAsia="en-GB"/>
        </w:rPr>
        <w:t>His remains have not been located, exhumed, identified and returned to the family. Moreover, as of today, no one has been summoned or convicted for his arbitrary deprivation of liberty and subsequent ill-treatment and enforced disappearance</w:t>
      </w:r>
      <w:r w:rsidR="001B0C11" w:rsidRPr="001B0C11">
        <w:rPr>
          <w:spacing w:val="-2"/>
          <w:lang w:eastAsia="en-GB"/>
        </w:rPr>
        <w:t>. Accordingly, the State party has violated and is continuing</w:t>
      </w:r>
      <w:r w:rsidR="00FC6C57">
        <w:rPr>
          <w:spacing w:val="-2"/>
          <w:lang w:eastAsia="en-GB"/>
        </w:rPr>
        <w:t xml:space="preserve"> to</w:t>
      </w:r>
      <w:r w:rsidR="001B0C11" w:rsidRPr="001B0C11">
        <w:rPr>
          <w:spacing w:val="-2"/>
          <w:lang w:eastAsia="en-GB"/>
        </w:rPr>
        <w:t xml:space="preserve"> violat</w:t>
      </w:r>
      <w:r w:rsidR="00FC6C57">
        <w:rPr>
          <w:spacing w:val="-2"/>
          <w:lang w:eastAsia="en-GB"/>
        </w:rPr>
        <w:t>e</w:t>
      </w:r>
      <w:r w:rsidR="001B0C11" w:rsidRPr="001B0C11">
        <w:rPr>
          <w:spacing w:val="-2"/>
          <w:lang w:eastAsia="en-GB"/>
        </w:rPr>
        <w:t xml:space="preserve"> his</w:t>
      </w:r>
      <w:r w:rsidR="00DB7E8D">
        <w:rPr>
          <w:spacing w:val="-2"/>
          <w:lang w:eastAsia="en-GB"/>
        </w:rPr>
        <w:t xml:space="preserve"> father’s rights under articles </w:t>
      </w:r>
      <w:r w:rsidR="001B0C11" w:rsidRPr="001B0C11">
        <w:rPr>
          <w:spacing w:val="-2"/>
          <w:lang w:eastAsia="en-GB"/>
        </w:rPr>
        <w:t>6</w:t>
      </w:r>
      <w:r w:rsidR="00FC6C57">
        <w:rPr>
          <w:spacing w:val="-2"/>
          <w:lang w:eastAsia="en-GB"/>
        </w:rPr>
        <w:t>;</w:t>
      </w:r>
      <w:r w:rsidR="001B0C11" w:rsidRPr="001B0C11">
        <w:rPr>
          <w:spacing w:val="-2"/>
          <w:lang w:eastAsia="en-GB"/>
        </w:rPr>
        <w:t xml:space="preserve"> 7</w:t>
      </w:r>
      <w:r w:rsidR="00FC6C57">
        <w:rPr>
          <w:spacing w:val="-2"/>
          <w:lang w:eastAsia="en-GB"/>
        </w:rPr>
        <w:t>;</w:t>
      </w:r>
      <w:r w:rsidR="001B0C11" w:rsidRPr="001B0C11">
        <w:rPr>
          <w:spacing w:val="-2"/>
          <w:lang w:eastAsia="en-GB"/>
        </w:rPr>
        <w:t xml:space="preserve"> 9 and 10, alone and </w:t>
      </w:r>
      <w:r w:rsidR="00FC6C57">
        <w:rPr>
          <w:spacing w:val="-2"/>
          <w:lang w:eastAsia="en-GB"/>
        </w:rPr>
        <w:t xml:space="preserve">read </w:t>
      </w:r>
      <w:r w:rsidR="001B0C11" w:rsidRPr="001B0C11">
        <w:rPr>
          <w:spacing w:val="-2"/>
          <w:lang w:eastAsia="en-GB"/>
        </w:rPr>
        <w:t xml:space="preserve">in conjunction with </w:t>
      </w:r>
      <w:r w:rsidR="00DB7E8D">
        <w:rPr>
          <w:spacing w:val="-2"/>
          <w:lang w:eastAsia="en-GB"/>
        </w:rPr>
        <w:t>article </w:t>
      </w:r>
      <w:r w:rsidR="001B0C11" w:rsidRPr="001B0C11">
        <w:rPr>
          <w:spacing w:val="-2"/>
          <w:lang w:eastAsia="en-GB"/>
        </w:rPr>
        <w:t xml:space="preserve">2, </w:t>
      </w:r>
      <w:r w:rsidR="00DB7E8D">
        <w:rPr>
          <w:spacing w:val="-2"/>
          <w:lang w:eastAsia="en-GB"/>
        </w:rPr>
        <w:t>paragraph </w:t>
      </w:r>
      <w:r w:rsidR="001B0C11" w:rsidRPr="001B0C11">
        <w:rPr>
          <w:spacing w:val="-2"/>
          <w:lang w:eastAsia="en-GB"/>
        </w:rPr>
        <w:t xml:space="preserve">3, of the Covenant. </w:t>
      </w:r>
      <w:r w:rsidR="001B0C11" w:rsidRPr="001B0C11">
        <w:rPr>
          <w:lang w:eastAsia="en-GB"/>
        </w:rPr>
        <w:t xml:space="preserve">The author further claims that his and his mother’s effort </w:t>
      </w:r>
      <w:r w:rsidR="001B0C11" w:rsidRPr="001B0C11">
        <w:rPr>
          <w:spacing w:val="-2"/>
          <w:lang w:eastAsia="en-GB"/>
        </w:rPr>
        <w:t>have been systematically frustrated</w:t>
      </w:r>
      <w:r w:rsidR="00FC6C57">
        <w:rPr>
          <w:spacing w:val="-2"/>
          <w:lang w:eastAsia="en-GB"/>
        </w:rPr>
        <w:t>, owing</w:t>
      </w:r>
      <w:r w:rsidR="001B0C11" w:rsidRPr="001B0C11">
        <w:rPr>
          <w:spacing w:val="-2"/>
          <w:lang w:eastAsia="en-GB"/>
        </w:rPr>
        <w:t xml:space="preserve"> to loopholes in the legal framework. For instance, in the context of judicial proceedings, </w:t>
      </w:r>
      <w:r w:rsidR="001B0C11" w:rsidRPr="001B0C11">
        <w:rPr>
          <w:lang w:eastAsia="en-GB"/>
        </w:rPr>
        <w:t>government officials are not</w:t>
      </w:r>
      <w:r w:rsidR="00647B7B">
        <w:rPr>
          <w:lang w:eastAsia="en-GB"/>
        </w:rPr>
        <w:t xml:space="preserve"> considered to be “</w:t>
      </w:r>
      <w:r w:rsidR="001B0C11" w:rsidRPr="001B0C11">
        <w:rPr>
          <w:lang w:eastAsia="en-GB"/>
        </w:rPr>
        <w:t>witnesses</w:t>
      </w:r>
      <w:r w:rsidR="00647B7B">
        <w:rPr>
          <w:lang w:eastAsia="en-GB"/>
        </w:rPr>
        <w:t>”</w:t>
      </w:r>
      <w:r w:rsidR="001B0C11" w:rsidRPr="001B0C11">
        <w:rPr>
          <w:lang w:eastAsia="en-GB"/>
        </w:rPr>
        <w:t xml:space="preserve"> and are not constrained by any legal provision to tell the whole truth.</w:t>
      </w:r>
      <w:r w:rsidR="001B0C11" w:rsidRPr="00DB7E8D">
        <w:rPr>
          <w:rStyle w:val="FootnoteReference"/>
        </w:rPr>
        <w:footnoteReference w:id="7"/>
      </w:r>
      <w:r w:rsidR="001B0C11" w:rsidRPr="001B0C11">
        <w:rPr>
          <w:lang w:eastAsia="en-GB"/>
        </w:rPr>
        <w:t xml:space="preserve"> In addition</w:t>
      </w:r>
      <w:r w:rsidR="008A0C9C">
        <w:rPr>
          <w:lang w:eastAsia="en-GB"/>
        </w:rPr>
        <w:t>,</w:t>
      </w:r>
      <w:r w:rsidR="001B0C11" w:rsidRPr="001B0C11">
        <w:rPr>
          <w:lang w:eastAsia="en-GB"/>
        </w:rPr>
        <w:t xml:space="preserve"> the fact that enforced disappearance and torture do not constitute separate offences under the criminal law makes the prosecution and conviction of those accused of such crimes</w:t>
      </w:r>
      <w:r w:rsidR="008A0C9C">
        <w:rPr>
          <w:lang w:eastAsia="en-GB"/>
        </w:rPr>
        <w:t xml:space="preserve"> difficult</w:t>
      </w:r>
      <w:r w:rsidR="001B0C11" w:rsidRPr="001B0C11">
        <w:rPr>
          <w:lang w:eastAsia="en-GB"/>
        </w:rPr>
        <w:t xml:space="preserve">. </w:t>
      </w:r>
    </w:p>
    <w:p w:rsidR="001B0C11" w:rsidRPr="001B0C11" w:rsidRDefault="00647B7B" w:rsidP="00DB7E8D">
      <w:pPr>
        <w:pStyle w:val="SingleTxtG"/>
        <w:rPr>
          <w:spacing w:val="2"/>
          <w:lang w:eastAsia="en-GB"/>
        </w:rPr>
      </w:pPr>
      <w:r>
        <w:rPr>
          <w:lang w:eastAsia="en-GB"/>
        </w:rPr>
        <w:t>3.8</w:t>
      </w:r>
      <w:r>
        <w:rPr>
          <w:lang w:eastAsia="en-GB"/>
        </w:rPr>
        <w:tab/>
      </w:r>
      <w:r w:rsidR="001B0C11" w:rsidRPr="001B0C11">
        <w:rPr>
          <w:lang w:eastAsia="en-GB"/>
        </w:rPr>
        <w:t>T</w:t>
      </w:r>
      <w:r w:rsidR="001B0C11" w:rsidRPr="001B0C11">
        <w:rPr>
          <w:spacing w:val="2"/>
          <w:lang w:eastAsia="en-GB"/>
        </w:rPr>
        <w:t xml:space="preserve">he author argues that he </w:t>
      </w:r>
      <w:r w:rsidR="008A0C9C">
        <w:rPr>
          <w:spacing w:val="2"/>
          <w:lang w:eastAsia="en-GB"/>
        </w:rPr>
        <w:t>has</w:t>
      </w:r>
      <w:r w:rsidR="008A0C9C" w:rsidRPr="001B0C11">
        <w:rPr>
          <w:spacing w:val="2"/>
          <w:lang w:eastAsia="en-GB"/>
        </w:rPr>
        <w:t xml:space="preserve"> </w:t>
      </w:r>
      <w:r w:rsidR="001B0C11" w:rsidRPr="001B0C11">
        <w:rPr>
          <w:spacing w:val="2"/>
          <w:lang w:eastAsia="en-GB"/>
        </w:rPr>
        <w:t>suffer</w:t>
      </w:r>
      <w:r w:rsidR="008A0C9C">
        <w:rPr>
          <w:spacing w:val="2"/>
          <w:lang w:eastAsia="en-GB"/>
        </w:rPr>
        <w:t>ed</w:t>
      </w:r>
      <w:r w:rsidR="001B0C11" w:rsidRPr="001B0C11">
        <w:rPr>
          <w:spacing w:val="2"/>
          <w:lang w:eastAsia="en-GB"/>
        </w:rPr>
        <w:t xml:space="preserve"> anguish and distress since 2001</w:t>
      </w:r>
      <w:r w:rsidR="008A0C9C">
        <w:rPr>
          <w:spacing w:val="2"/>
          <w:lang w:eastAsia="en-GB"/>
        </w:rPr>
        <w:t>,</w:t>
      </w:r>
      <w:r w:rsidR="001B0C11" w:rsidRPr="001B0C11">
        <w:rPr>
          <w:spacing w:val="2"/>
          <w:lang w:eastAsia="en-GB"/>
        </w:rPr>
        <w:t xml:space="preserve"> </w:t>
      </w:r>
      <w:r w:rsidR="008A0C9C">
        <w:rPr>
          <w:spacing w:val="2"/>
          <w:lang w:eastAsia="en-GB"/>
        </w:rPr>
        <w:t xml:space="preserve">owing </w:t>
      </w:r>
      <w:r w:rsidR="001B0C11" w:rsidRPr="001B0C11">
        <w:rPr>
          <w:spacing w:val="2"/>
          <w:lang w:eastAsia="en-GB"/>
        </w:rPr>
        <w:t xml:space="preserve">to the arbitrary deprivation of liberty, ill-treatment and enforced disappearance of his father, as well as to the acts and omissions of the authorities over the </w:t>
      </w:r>
      <w:r w:rsidR="008A0C9C">
        <w:rPr>
          <w:spacing w:val="2"/>
          <w:lang w:eastAsia="en-GB"/>
        </w:rPr>
        <w:t>following</w:t>
      </w:r>
      <w:r w:rsidR="008A0C9C" w:rsidRPr="001B0C11">
        <w:rPr>
          <w:spacing w:val="2"/>
          <w:lang w:eastAsia="en-GB"/>
        </w:rPr>
        <w:t xml:space="preserve"> </w:t>
      </w:r>
      <w:r w:rsidR="001B0C11" w:rsidRPr="001B0C11">
        <w:rPr>
          <w:spacing w:val="2"/>
          <w:lang w:eastAsia="en-GB"/>
        </w:rPr>
        <w:t xml:space="preserve">nine years in dealing with the issues. </w:t>
      </w:r>
      <w:r w:rsidR="001B0C11" w:rsidRPr="001B0C11">
        <w:rPr>
          <w:lang w:eastAsia="en-GB"/>
        </w:rPr>
        <w:t xml:space="preserve">The lack of an effective investigation into his father’s enforced disappearance </w:t>
      </w:r>
      <w:r w:rsidR="008A0C9C">
        <w:rPr>
          <w:lang w:eastAsia="en-GB"/>
        </w:rPr>
        <w:t>causes</w:t>
      </w:r>
      <w:r w:rsidR="008A0C9C" w:rsidRPr="001B0C11">
        <w:rPr>
          <w:lang w:eastAsia="en-GB"/>
        </w:rPr>
        <w:t xml:space="preserve"> </w:t>
      </w:r>
      <w:r w:rsidR="001B0C11" w:rsidRPr="001B0C11">
        <w:rPr>
          <w:lang w:eastAsia="en-GB"/>
        </w:rPr>
        <w:t>him a painful ongoing uncertainty</w:t>
      </w:r>
      <w:r w:rsidR="008A0C9C">
        <w:rPr>
          <w:lang w:eastAsia="en-GB"/>
        </w:rPr>
        <w:t>,</w:t>
      </w:r>
      <w:r w:rsidR="001B0C11" w:rsidRPr="001B0C11">
        <w:rPr>
          <w:lang w:eastAsia="en-GB"/>
        </w:rPr>
        <w:t xml:space="preserve"> which affects his life. </w:t>
      </w:r>
      <w:r w:rsidR="001B0C11" w:rsidRPr="001B0C11">
        <w:rPr>
          <w:spacing w:val="2"/>
          <w:lang w:eastAsia="en-GB"/>
        </w:rPr>
        <w:t xml:space="preserve">Due to his quest for justice, the author and his family have been </w:t>
      </w:r>
      <w:r w:rsidR="008A0C9C" w:rsidRPr="001B0C11">
        <w:rPr>
          <w:spacing w:val="2"/>
          <w:lang w:eastAsia="en-GB"/>
        </w:rPr>
        <w:t xml:space="preserve">repeatedly </w:t>
      </w:r>
      <w:r w:rsidR="001B0C11" w:rsidRPr="001B0C11">
        <w:rPr>
          <w:spacing w:val="2"/>
          <w:lang w:eastAsia="en-GB"/>
        </w:rPr>
        <w:t>subjected to intimidation and harassment.</w:t>
      </w:r>
      <w:r w:rsidR="005C0A75">
        <w:rPr>
          <w:spacing w:val="2"/>
          <w:lang w:eastAsia="en-GB"/>
        </w:rPr>
        <w:t xml:space="preserve"> </w:t>
      </w:r>
      <w:r w:rsidR="001B0C11" w:rsidRPr="001B0C11">
        <w:rPr>
          <w:lang w:eastAsia="en-GB"/>
        </w:rPr>
        <w:t xml:space="preserve">The State party </w:t>
      </w:r>
      <w:r w:rsidR="008A0C9C">
        <w:rPr>
          <w:lang w:eastAsia="en-GB"/>
        </w:rPr>
        <w:t xml:space="preserve">has </w:t>
      </w:r>
      <w:r w:rsidR="001B0C11" w:rsidRPr="001B0C11">
        <w:rPr>
          <w:lang w:eastAsia="en-GB"/>
        </w:rPr>
        <w:t xml:space="preserve">failed to adequately prevent these incidents and to investigate them when they occurred. Although the authorities </w:t>
      </w:r>
      <w:r w:rsidR="008A0C9C">
        <w:rPr>
          <w:lang w:eastAsia="en-GB"/>
        </w:rPr>
        <w:t>claim</w:t>
      </w:r>
      <w:r w:rsidR="001B0C11" w:rsidRPr="001B0C11">
        <w:rPr>
          <w:lang w:eastAsia="en-GB"/>
        </w:rPr>
        <w:t xml:space="preserve"> to know the location of Mr</w:t>
      </w:r>
      <w:r w:rsidR="00DB7E8D">
        <w:rPr>
          <w:lang w:eastAsia="en-GB"/>
        </w:rPr>
        <w:t>. </w:t>
      </w:r>
      <w:r w:rsidR="001B0C11" w:rsidRPr="001B0C11">
        <w:rPr>
          <w:lang w:eastAsia="en-GB"/>
        </w:rPr>
        <w:t xml:space="preserve">Bhandari’s remains, they have never undertaken any meaningful effort to return those remains to the family, fostering the author’s ongoing anguish and frustration </w:t>
      </w:r>
      <w:r w:rsidR="008A0C9C">
        <w:rPr>
          <w:lang w:eastAsia="en-GB"/>
        </w:rPr>
        <w:t>in</w:t>
      </w:r>
      <w:r w:rsidR="008A0C9C" w:rsidRPr="001B0C11">
        <w:rPr>
          <w:lang w:eastAsia="en-GB"/>
        </w:rPr>
        <w:t xml:space="preserve"> </w:t>
      </w:r>
      <w:r w:rsidR="001B0C11" w:rsidRPr="001B0C11">
        <w:rPr>
          <w:lang w:eastAsia="en-GB"/>
        </w:rPr>
        <w:t>not being able to give his father a proper burial. Moreover, he has not received adequate compensation for the material and moral harm suffered by him and his father, nor any measure of rehabilitation or satisfaction. Accordingly, he claims that th</w:t>
      </w:r>
      <w:r w:rsidR="008A0C9C">
        <w:rPr>
          <w:lang w:eastAsia="en-GB"/>
        </w:rPr>
        <w:t>ose</w:t>
      </w:r>
      <w:r w:rsidR="001B0C11" w:rsidRPr="001B0C11">
        <w:rPr>
          <w:lang w:eastAsia="en-GB"/>
        </w:rPr>
        <w:t xml:space="preserve"> facts constitute a continuing violation of his right under </w:t>
      </w:r>
      <w:r w:rsidR="00DB7E8D">
        <w:rPr>
          <w:lang w:eastAsia="en-GB"/>
        </w:rPr>
        <w:t>article </w:t>
      </w:r>
      <w:r w:rsidR="001B0C11" w:rsidRPr="001B0C11">
        <w:rPr>
          <w:lang w:eastAsia="en-GB"/>
        </w:rPr>
        <w:t>7,</w:t>
      </w:r>
      <w:r w:rsidR="008A0C9C">
        <w:rPr>
          <w:lang w:eastAsia="en-GB"/>
        </w:rPr>
        <w:t xml:space="preserve"> read</w:t>
      </w:r>
      <w:r w:rsidR="001B0C11" w:rsidRPr="001B0C11">
        <w:rPr>
          <w:lang w:eastAsia="en-GB"/>
        </w:rPr>
        <w:t xml:space="preserve"> in conjunction with </w:t>
      </w:r>
      <w:r w:rsidR="00DB7E8D">
        <w:rPr>
          <w:lang w:eastAsia="en-GB"/>
        </w:rPr>
        <w:t>article </w:t>
      </w:r>
      <w:r w:rsidR="001B0C11" w:rsidRPr="001B0C11">
        <w:rPr>
          <w:lang w:eastAsia="en-GB"/>
        </w:rPr>
        <w:t xml:space="preserve">2, </w:t>
      </w:r>
      <w:r w:rsidR="00DB7E8D">
        <w:rPr>
          <w:lang w:eastAsia="en-GB"/>
        </w:rPr>
        <w:t>paragraph </w:t>
      </w:r>
      <w:r w:rsidR="001B0C11" w:rsidRPr="001B0C11">
        <w:rPr>
          <w:lang w:eastAsia="en-GB"/>
        </w:rPr>
        <w:t>3</w:t>
      </w:r>
      <w:r w:rsidR="008A0C9C">
        <w:rPr>
          <w:lang w:eastAsia="en-GB"/>
        </w:rPr>
        <w:t>,</w:t>
      </w:r>
      <w:r w:rsidR="001B0C11" w:rsidRPr="001B0C11">
        <w:rPr>
          <w:lang w:eastAsia="en-GB"/>
        </w:rPr>
        <w:t xml:space="preserve"> of the Covenant.</w:t>
      </w:r>
      <w:r w:rsidR="001B0C11" w:rsidRPr="001B0C11">
        <w:rPr>
          <w:highlight w:val="red"/>
          <w:lang w:eastAsia="en-GB"/>
        </w:rPr>
        <w:t xml:space="preserve"> </w:t>
      </w:r>
    </w:p>
    <w:p w:rsidR="001B0C11" w:rsidRPr="001B0C11" w:rsidRDefault="001B0C11" w:rsidP="00DB7E8D">
      <w:pPr>
        <w:pStyle w:val="SingleTxtG"/>
        <w:rPr>
          <w:lang w:eastAsia="en-GB"/>
        </w:rPr>
      </w:pPr>
      <w:r w:rsidRPr="001B0C11">
        <w:rPr>
          <w:lang w:eastAsia="en-GB"/>
        </w:rPr>
        <w:t>3.9</w:t>
      </w:r>
      <w:r w:rsidRPr="001B0C11">
        <w:rPr>
          <w:lang w:eastAsia="en-GB"/>
        </w:rPr>
        <w:tab/>
        <w:t xml:space="preserve">The author requests the Committee to recommend the State party to: </w:t>
      </w:r>
      <w:r w:rsidR="008A0C9C">
        <w:rPr>
          <w:lang w:eastAsia="en-GB"/>
        </w:rPr>
        <w:t>(a</w:t>
      </w:r>
      <w:r w:rsidRPr="001B0C11">
        <w:rPr>
          <w:lang w:eastAsia="en-GB"/>
        </w:rPr>
        <w:t xml:space="preserve">) order an independent investigation as a matter of urgency concerning the fate and whereabouts of his father and, in the event </w:t>
      </w:r>
      <w:r w:rsidR="008A0C9C">
        <w:rPr>
          <w:lang w:eastAsia="en-GB"/>
        </w:rPr>
        <w:t>that</w:t>
      </w:r>
      <w:r w:rsidR="008A0C9C" w:rsidRPr="001B0C11">
        <w:rPr>
          <w:lang w:eastAsia="en-GB"/>
        </w:rPr>
        <w:t xml:space="preserve"> </w:t>
      </w:r>
      <w:r w:rsidRPr="001B0C11">
        <w:rPr>
          <w:lang w:eastAsia="en-GB"/>
        </w:rPr>
        <w:t>his death</w:t>
      </w:r>
      <w:r w:rsidR="008A0C9C">
        <w:rPr>
          <w:lang w:eastAsia="en-GB"/>
        </w:rPr>
        <w:t xml:space="preserve"> is confirmed</w:t>
      </w:r>
      <w:r w:rsidRPr="001B0C11">
        <w:rPr>
          <w:lang w:eastAsia="en-GB"/>
        </w:rPr>
        <w:t xml:space="preserve">, to locate, exhume, identify and respect his mortal remains and return them to the family; </w:t>
      </w:r>
      <w:r w:rsidR="008A0C9C">
        <w:rPr>
          <w:lang w:eastAsia="en-GB"/>
        </w:rPr>
        <w:t>(b</w:t>
      </w:r>
      <w:r w:rsidRPr="001B0C11">
        <w:rPr>
          <w:lang w:eastAsia="en-GB"/>
        </w:rPr>
        <w:t xml:space="preserve">) bring the perpetrators before the competent civilian authorities for prosecution, judgment and sanction, and disseminate publicly the results of this measure; </w:t>
      </w:r>
      <w:r w:rsidR="008A0C9C">
        <w:rPr>
          <w:lang w:eastAsia="en-GB"/>
        </w:rPr>
        <w:t>(c</w:t>
      </w:r>
      <w:r w:rsidRPr="001B0C11">
        <w:rPr>
          <w:lang w:eastAsia="en-GB"/>
        </w:rPr>
        <w:t xml:space="preserve">) ensure that the author obtains </w:t>
      </w:r>
      <w:r w:rsidRPr="002E163D">
        <w:rPr>
          <w:lang w:eastAsia="en-GB"/>
        </w:rPr>
        <w:t>integral reparation</w:t>
      </w:r>
      <w:r w:rsidRPr="001B0C11">
        <w:rPr>
          <w:lang w:eastAsia="en-GB"/>
        </w:rPr>
        <w:t xml:space="preserve"> and prompt, fair and adequate compensation; and </w:t>
      </w:r>
      <w:r w:rsidR="008A0C9C">
        <w:rPr>
          <w:lang w:eastAsia="en-GB"/>
        </w:rPr>
        <w:t>(d</w:t>
      </w:r>
      <w:r w:rsidRPr="001B0C11">
        <w:rPr>
          <w:lang w:eastAsia="en-GB"/>
        </w:rPr>
        <w:t>) ensure that the measures of reparation cover material and moral damage and measures of restitution, rehabilitation, satisfaction and guarantees of non-repetition. In particular, he requests that the State party acknowledge its international responsibility, on the occasion of a public ceremony, in the presence of the authorities and of himself</w:t>
      </w:r>
      <w:r w:rsidR="008A0C9C">
        <w:rPr>
          <w:lang w:eastAsia="en-GB"/>
        </w:rPr>
        <w:t>,</w:t>
      </w:r>
      <w:r w:rsidRPr="001B0C11">
        <w:rPr>
          <w:lang w:eastAsia="en-GB"/>
        </w:rPr>
        <w:t xml:space="preserve"> to whom official apologies shall be issued; and that the State party name a street or build a monument or a commemorative plate in Lamjung in memory of all the victims of enforced disappearance during the internal armed conflict. The State party should also provide the author with medical and psychological care immediately and free of charge, through its speciali</w:t>
      </w:r>
      <w:r w:rsidR="00C756C9">
        <w:rPr>
          <w:lang w:eastAsia="en-GB"/>
        </w:rPr>
        <w:t>zed</w:t>
      </w:r>
      <w:r w:rsidRPr="001B0C11">
        <w:rPr>
          <w:lang w:eastAsia="en-GB"/>
        </w:rPr>
        <w:t xml:space="preserve"> institutions, and grant him access to free legal aid</w:t>
      </w:r>
      <w:r w:rsidR="00C756C9">
        <w:rPr>
          <w:lang w:eastAsia="en-GB"/>
        </w:rPr>
        <w:t>,</w:t>
      </w:r>
      <w:r w:rsidRPr="001B0C11">
        <w:rPr>
          <w:lang w:eastAsia="en-GB"/>
        </w:rPr>
        <w:t xml:space="preserve"> </w:t>
      </w:r>
      <w:r w:rsidRPr="001B0C11">
        <w:rPr>
          <w:lang w:eastAsia="en-GB"/>
        </w:rPr>
        <w:lastRenderedPageBreak/>
        <w:t xml:space="preserve">where necessary, in order to ensure </w:t>
      </w:r>
      <w:r w:rsidR="00C756C9">
        <w:rPr>
          <w:lang w:eastAsia="en-GB"/>
        </w:rPr>
        <w:t>that he has</w:t>
      </w:r>
      <w:r w:rsidRPr="001B0C11">
        <w:rPr>
          <w:lang w:eastAsia="en-GB"/>
        </w:rPr>
        <w:t xml:space="preserve"> available, effective and sufficient remedies. As a guarantee of non-repetition, the State party should take the necessary measures to ensure that enforced disappearance and torture, and the </w:t>
      </w:r>
      <w:r w:rsidR="00C756C9">
        <w:rPr>
          <w:lang w:eastAsia="en-GB"/>
        </w:rPr>
        <w:t>various</w:t>
      </w:r>
      <w:r w:rsidR="00C756C9" w:rsidRPr="001B0C11">
        <w:rPr>
          <w:lang w:eastAsia="en-GB"/>
        </w:rPr>
        <w:t xml:space="preserve"> </w:t>
      </w:r>
      <w:r w:rsidRPr="001B0C11">
        <w:rPr>
          <w:lang w:eastAsia="en-GB"/>
        </w:rPr>
        <w:t>forms of participation in th</w:t>
      </w:r>
      <w:r w:rsidR="00C756C9">
        <w:rPr>
          <w:lang w:eastAsia="en-GB"/>
        </w:rPr>
        <w:t>ose</w:t>
      </w:r>
      <w:r w:rsidRPr="001B0C11">
        <w:rPr>
          <w:lang w:eastAsia="en-GB"/>
        </w:rPr>
        <w:t xml:space="preserve"> crimes, constitute autonomous offences under its criminal law, punishable by appropriate penalties</w:t>
      </w:r>
      <w:r w:rsidR="00C756C9">
        <w:rPr>
          <w:lang w:eastAsia="en-GB"/>
        </w:rPr>
        <w:t>,</w:t>
      </w:r>
      <w:r w:rsidRPr="001B0C11">
        <w:rPr>
          <w:lang w:eastAsia="en-GB"/>
        </w:rPr>
        <w:t xml:space="preserve"> which take into account their extreme seriousness.</w:t>
      </w:r>
      <w:r w:rsidRPr="00EF2CD3">
        <w:rPr>
          <w:vertAlign w:val="superscript"/>
          <w:lang w:eastAsia="en-GB"/>
        </w:rPr>
        <w:t xml:space="preserve"> </w:t>
      </w:r>
      <w:r w:rsidRPr="001B0C11">
        <w:rPr>
          <w:lang w:eastAsia="en-GB"/>
        </w:rPr>
        <w:t>Finally, the State party should establish as soon as possible educational programmes on international human rights law and international humanitarian law for all members of the army, the security forces and the judiciary.</w:t>
      </w:r>
    </w:p>
    <w:p w:rsidR="001B0C11" w:rsidRPr="001B0C11" w:rsidRDefault="001B0C11" w:rsidP="00521999">
      <w:pPr>
        <w:pStyle w:val="H23G"/>
      </w:pPr>
      <w:r w:rsidRPr="001B0C11">
        <w:tab/>
      </w:r>
      <w:r w:rsidRPr="001B0C11">
        <w:tab/>
        <w:t>State party’s observations on admissibility and the merits</w:t>
      </w:r>
    </w:p>
    <w:p w:rsidR="001B0C11" w:rsidRPr="001B0C11" w:rsidRDefault="001B0C11" w:rsidP="00521999">
      <w:pPr>
        <w:pStyle w:val="SingleTxtG"/>
      </w:pPr>
      <w:r w:rsidRPr="001B0C11">
        <w:t>4.1</w:t>
      </w:r>
      <w:r w:rsidRPr="001B0C11">
        <w:tab/>
        <w:t xml:space="preserve">By </w:t>
      </w:r>
      <w:r w:rsidR="00C756C9" w:rsidRPr="001B0C11">
        <w:t xml:space="preserve">note verbale </w:t>
      </w:r>
      <w:r w:rsidRPr="001B0C11">
        <w:t xml:space="preserve">of 4 May 2011, the State party submitted its observations, challenging the admissibility of the communication on the grounds of failure to exhaust domestic remedies. </w:t>
      </w:r>
    </w:p>
    <w:p w:rsidR="001B0C11" w:rsidRPr="001B0C11" w:rsidRDefault="00EF2CD3" w:rsidP="00521999">
      <w:pPr>
        <w:pStyle w:val="SingleTxtG"/>
      </w:pPr>
      <w:r>
        <w:t>4.2</w:t>
      </w:r>
      <w:r w:rsidR="001B0C11" w:rsidRPr="001B0C11">
        <w:tab/>
        <w:t xml:space="preserve">As to the facts of the case, the State party maintains that the author’s father was involved in violent activities. On 31 December 2001, he was taken to the forest area at the border of Simpani </w:t>
      </w:r>
      <w:r w:rsidR="00C756C9" w:rsidRPr="001B0C11">
        <w:t xml:space="preserve">village </w:t>
      </w:r>
      <w:r w:rsidR="001B0C11" w:rsidRPr="001B0C11">
        <w:t xml:space="preserve">by the security forces, where he had said that weapons </w:t>
      </w:r>
      <w:r w:rsidR="00C756C9">
        <w:t>were</w:t>
      </w:r>
      <w:r w:rsidR="00C756C9" w:rsidRPr="001B0C11">
        <w:t xml:space="preserve"> </w:t>
      </w:r>
      <w:r w:rsidR="00C756C9">
        <w:t>being</w:t>
      </w:r>
      <w:r w:rsidR="00C756C9" w:rsidRPr="001B0C11">
        <w:t xml:space="preserve"> </w:t>
      </w:r>
      <w:r w:rsidR="001B0C11" w:rsidRPr="001B0C11">
        <w:t>kept hidden. As he tried to break the security cordon and run away, the security forces had to intervene, which resulted in his accidental death.</w:t>
      </w:r>
    </w:p>
    <w:p w:rsidR="001B0C11" w:rsidRPr="001B0C11" w:rsidRDefault="00EF2CD3" w:rsidP="00521999">
      <w:pPr>
        <w:pStyle w:val="SingleTxtG"/>
      </w:pPr>
      <w:r>
        <w:t>4.3</w:t>
      </w:r>
      <w:r w:rsidR="001B0C11" w:rsidRPr="001B0C11">
        <w:tab/>
        <w:t xml:space="preserve">Pursuant to the Government Cases Act, 1992, the police carried out an investigation and a report was submitted to the Office of the District Government Attorney of Lamjung. As a result of the introduction of a </w:t>
      </w:r>
      <w:r w:rsidR="00C756C9">
        <w:t>first information report on</w:t>
      </w:r>
      <w:r w:rsidR="001B0C11" w:rsidRPr="001B0C11">
        <w:t xml:space="preserve"> th</w:t>
      </w:r>
      <w:r w:rsidR="00C756C9">
        <w:t>e</w:t>
      </w:r>
      <w:r w:rsidR="001B0C11" w:rsidRPr="001B0C11">
        <w:t xml:space="preserve"> accidental death, an investigation was carried out, including an examination of the remains. In the light of this, the State party submits that the case does not constitute an enforced disappearance.</w:t>
      </w:r>
    </w:p>
    <w:p w:rsidR="001B0C11" w:rsidRPr="001B0C11" w:rsidRDefault="00EF2CD3" w:rsidP="00521999">
      <w:pPr>
        <w:pStyle w:val="SingleTxtG"/>
      </w:pPr>
      <w:r>
        <w:t>4.4</w:t>
      </w:r>
      <w:r w:rsidR="001B0C11" w:rsidRPr="001B0C11">
        <w:tab/>
        <w:t xml:space="preserve">With regard to the author’s claim that the Supreme Court several times </w:t>
      </w:r>
      <w:r w:rsidR="00C756C9" w:rsidRPr="001B0C11">
        <w:t xml:space="preserve">postponed </w:t>
      </w:r>
      <w:r w:rsidR="001B0C11" w:rsidRPr="001B0C11">
        <w:t xml:space="preserve">hearings of his writ of mandamus, the State party maintains that the procedure of hearings at the Supreme Court is regulated by its </w:t>
      </w:r>
      <w:r w:rsidR="00C756C9" w:rsidRPr="001B0C11">
        <w:t>regulation</w:t>
      </w:r>
      <w:r w:rsidR="001B0C11" w:rsidRPr="001B0C11">
        <w:t xml:space="preserve">2049 BS. The author’s application requesting the registration of </w:t>
      </w:r>
      <w:r w:rsidR="00C756C9">
        <w:t>the first information report</w:t>
      </w:r>
      <w:r w:rsidR="00C756C9" w:rsidRPr="001B0C11">
        <w:t xml:space="preserve"> </w:t>
      </w:r>
      <w:r w:rsidR="001B0C11" w:rsidRPr="001B0C11">
        <w:t>was lodged on 12 May 2008. On the next day, the Supreme Court h</w:t>
      </w:r>
      <w:r w:rsidR="00C756C9">
        <w:t>eld</w:t>
      </w:r>
      <w:r w:rsidR="001B0C11" w:rsidRPr="001B0C11">
        <w:t xml:space="preserve"> hearings on the writ and issued a </w:t>
      </w:r>
      <w:r w:rsidR="00C756C9">
        <w:t>“</w:t>
      </w:r>
      <w:r w:rsidR="001B0C11" w:rsidRPr="001B0C11">
        <w:t>show cause</w:t>
      </w:r>
      <w:r w:rsidR="00C756C9">
        <w:t>”</w:t>
      </w:r>
      <w:r w:rsidR="001B0C11" w:rsidRPr="001B0C11">
        <w:t xml:space="preserve"> notice in the name of the defendants – the </w:t>
      </w:r>
      <w:r w:rsidR="00C756C9">
        <w:t>Chief District Officer</w:t>
      </w:r>
      <w:r w:rsidR="00C756C9" w:rsidRPr="001B0C11">
        <w:t xml:space="preserve"> </w:t>
      </w:r>
      <w:r w:rsidR="001B0C11" w:rsidRPr="001B0C11">
        <w:t xml:space="preserve">and the </w:t>
      </w:r>
      <w:r w:rsidR="00C756C9">
        <w:t>Deputy Superintendent of Police</w:t>
      </w:r>
      <w:r w:rsidR="001B0C11" w:rsidRPr="001B0C11">
        <w:t>. As ordered by the Supreme Court, the defendants submitted their written response</w:t>
      </w:r>
      <w:r w:rsidR="00C756C9">
        <w:t>s</w:t>
      </w:r>
      <w:r w:rsidR="001B0C11" w:rsidRPr="001B0C11">
        <w:t xml:space="preserve"> within the stipulated time frame. By the time </w:t>
      </w:r>
      <w:r w:rsidR="00C756C9">
        <w:t xml:space="preserve">the </w:t>
      </w:r>
      <w:r w:rsidR="001B0C11" w:rsidRPr="001B0C11">
        <w:t>State party submitted its observations to the Committee</w:t>
      </w:r>
      <w:r w:rsidR="00C756C9">
        <w:t>,</w:t>
      </w:r>
      <w:r w:rsidR="001B0C11" w:rsidRPr="001B0C11">
        <w:t xml:space="preserve"> the proceedings were at the final stage. The author’s case was awaiting the final hearing and the verdict of the </w:t>
      </w:r>
      <w:r w:rsidR="00C756C9" w:rsidRPr="001B0C11">
        <w:t xml:space="preserve">Court </w:t>
      </w:r>
      <w:r w:rsidR="001B0C11" w:rsidRPr="001B0C11">
        <w:t>was expected in the next hearing schedule</w:t>
      </w:r>
      <w:r w:rsidR="00F34F45">
        <w:t>.</w:t>
      </w:r>
      <w:r w:rsidR="001B0C11" w:rsidRPr="001B0C11">
        <w:t xml:space="preserve"> Th</w:t>
      </w:r>
      <w:r w:rsidR="00C756C9">
        <w:t>at</w:t>
      </w:r>
      <w:r w:rsidR="001B0C11" w:rsidRPr="001B0C11">
        <w:t xml:space="preserve"> shows that effective and adequate remedies are still ongoing. </w:t>
      </w:r>
      <w:r w:rsidR="00C756C9">
        <w:t>I</w:t>
      </w:r>
      <w:r w:rsidR="001B0C11" w:rsidRPr="001B0C11">
        <w:t>t cannot</w:t>
      </w:r>
      <w:r w:rsidR="00C756C9">
        <w:t>, therefore,</w:t>
      </w:r>
      <w:r w:rsidR="001B0C11" w:rsidRPr="001B0C11">
        <w:t xml:space="preserve"> be concluded that the author </w:t>
      </w:r>
      <w:r w:rsidR="00C756C9">
        <w:t xml:space="preserve">has </w:t>
      </w:r>
      <w:r w:rsidR="001B0C11" w:rsidRPr="001B0C11">
        <w:t xml:space="preserve">exhausted domestic remedies in accordance with </w:t>
      </w:r>
      <w:r w:rsidR="00DB7E8D">
        <w:t>article </w:t>
      </w:r>
      <w:r w:rsidR="001B0C11" w:rsidRPr="001B0C11">
        <w:t xml:space="preserve">5, </w:t>
      </w:r>
      <w:r w:rsidR="00DB7E8D">
        <w:t>paragraph </w:t>
      </w:r>
      <w:r w:rsidR="001B0C11" w:rsidRPr="001B0C11">
        <w:t>2 (b)</w:t>
      </w:r>
      <w:r w:rsidR="00C756C9">
        <w:t>,</w:t>
      </w:r>
      <w:r w:rsidR="001B0C11" w:rsidRPr="001B0C11">
        <w:t xml:space="preserve"> of the Optional Protocol. </w:t>
      </w:r>
    </w:p>
    <w:p w:rsidR="001B0C11" w:rsidRPr="001B0C11" w:rsidRDefault="00EF2CD3" w:rsidP="00521999">
      <w:pPr>
        <w:pStyle w:val="SingleTxtG"/>
      </w:pPr>
      <w:r>
        <w:t>5.1</w:t>
      </w:r>
      <w:r w:rsidR="001B0C11" w:rsidRPr="001B0C11">
        <w:tab/>
        <w:t xml:space="preserve">By </w:t>
      </w:r>
      <w:r w:rsidR="00C756C9" w:rsidRPr="001B0C11">
        <w:t xml:space="preserve">note </w:t>
      </w:r>
      <w:r w:rsidR="001B0C11" w:rsidRPr="001B0C11">
        <w:t xml:space="preserve">verbale of 13 September 2011, the State party submitted its observations on the merits and reiterated that the author had not exhausted domestic remedies. </w:t>
      </w:r>
    </w:p>
    <w:p w:rsidR="001B0C11" w:rsidRPr="001B0C11" w:rsidRDefault="00EF2CD3" w:rsidP="00521999">
      <w:pPr>
        <w:pStyle w:val="SingleTxtG"/>
      </w:pPr>
      <w:r>
        <w:t>5.2</w:t>
      </w:r>
      <w:r w:rsidR="001B0C11" w:rsidRPr="001B0C11">
        <w:tab/>
        <w:t xml:space="preserve">As to the merits of the communication, the State party points out that it has repeatedly refuted the reports of the Special Rapporteur on Torture </w:t>
      </w:r>
      <w:r w:rsidR="00C756C9">
        <w:t xml:space="preserve">and other cruel, inhuman or degrading treatment or punishment </w:t>
      </w:r>
      <w:r w:rsidR="001B0C11" w:rsidRPr="001B0C11">
        <w:t xml:space="preserve">and the </w:t>
      </w:r>
      <w:r w:rsidR="00C756C9" w:rsidRPr="00C756C9">
        <w:t>Working Group on Enforced or Involuntary Disappearances</w:t>
      </w:r>
      <w:r w:rsidR="00C756C9">
        <w:t>,</w:t>
      </w:r>
      <w:r w:rsidR="001B0C11" w:rsidRPr="001B0C11">
        <w:t xml:space="preserve"> </w:t>
      </w:r>
      <w:r w:rsidR="00C756C9">
        <w:t xml:space="preserve">in </w:t>
      </w:r>
      <w:r w:rsidR="001B0C11" w:rsidRPr="001B0C11">
        <w:t xml:space="preserve">which </w:t>
      </w:r>
      <w:r w:rsidR="00C756C9">
        <w:t xml:space="preserve">they </w:t>
      </w:r>
      <w:r w:rsidR="001B0C11" w:rsidRPr="001B0C11">
        <w:t>state</w:t>
      </w:r>
      <w:r w:rsidR="00C756C9">
        <w:t>d</w:t>
      </w:r>
      <w:r w:rsidR="001B0C11" w:rsidRPr="001B0C11">
        <w:t xml:space="preserve"> that torture was systematically practi</w:t>
      </w:r>
      <w:r w:rsidR="00C756C9">
        <w:t>sed</w:t>
      </w:r>
      <w:r w:rsidR="001B0C11" w:rsidRPr="001B0C11">
        <w:t xml:space="preserve"> by the police, armed police and the A</w:t>
      </w:r>
      <w:r w:rsidR="00C756C9">
        <w:t>rmy</w:t>
      </w:r>
      <w:r w:rsidR="001B0C11" w:rsidRPr="001B0C11">
        <w:t>.</w:t>
      </w:r>
    </w:p>
    <w:p w:rsidR="001B0C11" w:rsidRPr="001B0C11" w:rsidRDefault="00EF2CD3" w:rsidP="00521999">
      <w:pPr>
        <w:pStyle w:val="SingleTxtG"/>
      </w:pPr>
      <w:r>
        <w:t>5.3</w:t>
      </w:r>
      <w:r w:rsidR="001B0C11" w:rsidRPr="001B0C11">
        <w:tab/>
        <w:t xml:space="preserve">The Supreme Court decision of 5 April 2002 stated that the author’s father was dead. Since there is no doubt about his fate, the State party reiterates that it is not appropriate to consider the case as an enforced disappearance. </w:t>
      </w:r>
    </w:p>
    <w:p w:rsidR="001B0C11" w:rsidRPr="001B0C11" w:rsidRDefault="00EF2CD3" w:rsidP="00521999">
      <w:pPr>
        <w:pStyle w:val="SingleTxtG"/>
      </w:pPr>
      <w:r>
        <w:t>5.4</w:t>
      </w:r>
      <w:r w:rsidR="001B0C11" w:rsidRPr="001B0C11">
        <w:tab/>
        <w:t xml:space="preserve">The State party is aware of its obligation to carry out a thorough investigation, exhume the body and return the mortal remains. It also </w:t>
      </w:r>
      <w:r w:rsidR="00C756C9" w:rsidRPr="001B0C11">
        <w:t xml:space="preserve">has </w:t>
      </w:r>
      <w:r w:rsidR="001B0C11" w:rsidRPr="001B0C11">
        <w:t xml:space="preserve">serious concerns as to the existence of excessive use of force, torture or inhuman and degrading treatment against </w:t>
      </w:r>
      <w:r w:rsidR="001B0C11" w:rsidRPr="001B0C11">
        <w:lastRenderedPageBreak/>
        <w:t>victims of the armed conflict. To address th</w:t>
      </w:r>
      <w:r w:rsidR="00C756C9">
        <w:t>at</w:t>
      </w:r>
      <w:r w:rsidR="001B0C11" w:rsidRPr="001B0C11">
        <w:t xml:space="preserve"> situation, it </w:t>
      </w:r>
      <w:r w:rsidR="00C756C9">
        <w:t xml:space="preserve">has </w:t>
      </w:r>
      <w:r w:rsidR="001B0C11" w:rsidRPr="001B0C11">
        <w:t xml:space="preserve">decided to establish a commission to investigate cases of disappearances and a </w:t>
      </w:r>
      <w:r w:rsidR="00C756C9" w:rsidRPr="001B0C11">
        <w:t>truth and reconciliation commission</w:t>
      </w:r>
      <w:r w:rsidR="001B0C11" w:rsidRPr="001B0C11">
        <w:t xml:space="preserve">, in compliance with </w:t>
      </w:r>
      <w:r w:rsidR="00DB7E8D">
        <w:t>article </w:t>
      </w:r>
      <w:r w:rsidR="001B0C11" w:rsidRPr="001B0C11">
        <w:t xml:space="preserve">33 (s) of the Interim Constitution of Nepal </w:t>
      </w:r>
      <w:r w:rsidR="00C756C9">
        <w:t xml:space="preserve">of 2007 </w:t>
      </w:r>
      <w:r w:rsidR="001B0C11" w:rsidRPr="001B0C11">
        <w:t xml:space="preserve">and with clause 5.2.5 of the Comprehensive Peace Agreement of 21 November 2006. To this end, </w:t>
      </w:r>
      <w:r w:rsidR="001744C6">
        <w:t xml:space="preserve">bills on the </w:t>
      </w:r>
      <w:r w:rsidR="001744C6" w:rsidRPr="001B0C11">
        <w:t xml:space="preserve">truth and reconciliation commission </w:t>
      </w:r>
      <w:r w:rsidR="001B0C11" w:rsidRPr="001B0C11">
        <w:t xml:space="preserve">and </w:t>
      </w:r>
      <w:r w:rsidR="001744C6" w:rsidRPr="001B0C11">
        <w:t>enforced disappearance</w:t>
      </w:r>
      <w:r w:rsidR="001744C6">
        <w:t>s</w:t>
      </w:r>
      <w:r w:rsidR="001744C6" w:rsidRPr="001B0C11">
        <w:t xml:space="preserve"> (offence and punishment)</w:t>
      </w:r>
      <w:r w:rsidR="001B0C11" w:rsidRPr="001B0C11">
        <w:t xml:space="preserve"> have been submitted to Parliament. By the time the State party submitted the present observations, the </w:t>
      </w:r>
      <w:r w:rsidR="001744C6" w:rsidRPr="001B0C11">
        <w:t xml:space="preserve">bills </w:t>
      </w:r>
      <w:r w:rsidR="001B0C11" w:rsidRPr="001B0C11">
        <w:t xml:space="preserve">were pending approval. The two commissions to be formed after endorsement of those bills will investigate cases </w:t>
      </w:r>
      <w:r w:rsidR="001744C6">
        <w:t xml:space="preserve">which </w:t>
      </w:r>
      <w:r w:rsidR="001B0C11" w:rsidRPr="001B0C11">
        <w:t>occurred during the conflict and bring to the surface the truth about th</w:t>
      </w:r>
      <w:r w:rsidR="001744C6">
        <w:t>ose</w:t>
      </w:r>
      <w:r w:rsidR="001B0C11" w:rsidRPr="001B0C11">
        <w:t xml:space="preserve"> cases.</w:t>
      </w:r>
    </w:p>
    <w:p w:rsidR="001B0C11" w:rsidRPr="001B0C11" w:rsidRDefault="00EF2CD3" w:rsidP="00521999">
      <w:pPr>
        <w:pStyle w:val="SingleTxtG"/>
      </w:pPr>
      <w:r>
        <w:t>5.5</w:t>
      </w:r>
      <w:r w:rsidR="001B0C11" w:rsidRPr="001B0C11">
        <w:tab/>
        <w:t xml:space="preserve">The State party also notes that the author was granted </w:t>
      </w:r>
      <w:r w:rsidR="001744C6">
        <w:t xml:space="preserve">Nr. </w:t>
      </w:r>
      <w:r w:rsidR="001B0C11" w:rsidRPr="001B0C11">
        <w:t>100,000 as interim relief. The State party remains committed to investigat</w:t>
      </w:r>
      <w:r w:rsidR="001744C6">
        <w:t>ing,</w:t>
      </w:r>
      <w:r w:rsidR="001B0C11" w:rsidRPr="001B0C11">
        <w:t xml:space="preserve"> prosecut</w:t>
      </w:r>
      <w:r w:rsidR="001744C6">
        <w:t>ing</w:t>
      </w:r>
      <w:r w:rsidR="001B0C11" w:rsidRPr="001B0C11">
        <w:t xml:space="preserve"> and punish</w:t>
      </w:r>
      <w:r w:rsidR="001744C6">
        <w:t>ing</w:t>
      </w:r>
      <w:r w:rsidR="001B0C11" w:rsidRPr="001B0C11">
        <w:t xml:space="preserve"> the perpetrators and provid</w:t>
      </w:r>
      <w:r w:rsidR="001744C6">
        <w:t>ing</w:t>
      </w:r>
      <w:r w:rsidR="001B0C11" w:rsidRPr="001B0C11">
        <w:t xml:space="preserve"> compensation to the victims of the human rights violations committed during the armed conflict between 13 February 1996 and 21 November 2006. </w:t>
      </w:r>
    </w:p>
    <w:p w:rsidR="001B0C11" w:rsidRPr="001B0C11" w:rsidRDefault="001B0C11" w:rsidP="001B0C11">
      <w:pPr>
        <w:keepNext/>
        <w:keepLines/>
        <w:tabs>
          <w:tab w:val="right" w:pos="851"/>
        </w:tabs>
        <w:spacing w:before="240" w:after="120" w:line="240" w:lineRule="auto"/>
        <w:ind w:left="1134" w:hanging="1134"/>
        <w:rPr>
          <w:rFonts w:eastAsia="Times New Roman"/>
          <w:b/>
        </w:rPr>
      </w:pPr>
      <w:r w:rsidRPr="001B0C11">
        <w:rPr>
          <w:rFonts w:eastAsia="Times New Roman"/>
          <w:b/>
        </w:rPr>
        <w:tab/>
      </w:r>
      <w:r w:rsidRPr="001B0C11">
        <w:rPr>
          <w:rFonts w:eastAsia="Times New Roman"/>
          <w:b/>
        </w:rPr>
        <w:tab/>
        <w:t xml:space="preserve">Author’s comments on the State party’s observations </w:t>
      </w:r>
    </w:p>
    <w:p w:rsidR="001B0C11" w:rsidRPr="00655115" w:rsidRDefault="001B0C11" w:rsidP="00655115">
      <w:pPr>
        <w:pStyle w:val="SingleTxtG"/>
      </w:pPr>
      <w:r w:rsidRPr="00655115">
        <w:t>6.1</w:t>
      </w:r>
      <w:r w:rsidRPr="00655115">
        <w:tab/>
        <w:t xml:space="preserve">In his comments of 14 November 2011, the author rejects the State party’s observations. He reiterates his allegations and contests the fact that his father was not subjected to enforced disappearance. He highlights the fact that many people witnessed the arrest of his father on 31 December 2001 at </w:t>
      </w:r>
      <w:r w:rsidRPr="002E163D">
        <w:t>Manange Chautara</w:t>
      </w:r>
      <w:r w:rsidRPr="00655115">
        <w:t xml:space="preserve"> and that the </w:t>
      </w:r>
      <w:r w:rsidR="001744C6">
        <w:t>Army</w:t>
      </w:r>
      <w:r w:rsidR="001744C6" w:rsidRPr="00655115">
        <w:t xml:space="preserve"> </w:t>
      </w:r>
      <w:r w:rsidRPr="00655115">
        <w:t xml:space="preserve">itself admitted in its response to the Supreme Court in 2002 that his father had been taken into custody under </w:t>
      </w:r>
      <w:r w:rsidR="001744C6">
        <w:t>s</w:t>
      </w:r>
      <w:r w:rsidRPr="00655115">
        <w:t xml:space="preserve">ection 5 of the Terrorist </w:t>
      </w:r>
      <w:r w:rsidR="001744C6">
        <w:t xml:space="preserve">and Disruptive </w:t>
      </w:r>
      <w:r w:rsidRPr="00655115">
        <w:t xml:space="preserve">Activities Ordinance </w:t>
      </w:r>
      <w:r w:rsidR="001744C6">
        <w:t>(</w:t>
      </w:r>
      <w:r w:rsidRPr="00655115">
        <w:t>20</w:t>
      </w:r>
      <w:r w:rsidR="001744C6">
        <w:t>01).</w:t>
      </w:r>
      <w:r w:rsidRPr="00655115">
        <w:t xml:space="preserve"> Moreover, he received </w:t>
      </w:r>
      <w:r w:rsidR="001744C6">
        <w:t xml:space="preserve">Nr. </w:t>
      </w:r>
      <w:r w:rsidRPr="00655115">
        <w:t xml:space="preserve">100,000 as interim relief, which is the amount </w:t>
      </w:r>
      <w:r w:rsidR="001744C6">
        <w:t>to which the</w:t>
      </w:r>
      <w:r w:rsidR="001744C6" w:rsidRPr="00655115">
        <w:t xml:space="preserve"> </w:t>
      </w:r>
      <w:r w:rsidRPr="00655115">
        <w:t>families of victims of enforced disappearance are entitled</w:t>
      </w:r>
      <w:r w:rsidR="001744C6">
        <w:t>.</w:t>
      </w:r>
      <w:r w:rsidRPr="00655115">
        <w:t xml:space="preserve"> Although </w:t>
      </w:r>
      <w:r w:rsidR="00906C10">
        <w:t>in February and March 2002</w:t>
      </w:r>
      <w:r w:rsidR="001744C6">
        <w:t>,</w:t>
      </w:r>
      <w:r w:rsidR="00906C10">
        <w:t xml:space="preserve"> </w:t>
      </w:r>
      <w:r w:rsidRPr="00655115">
        <w:t xml:space="preserve">the authorities informed the </w:t>
      </w:r>
      <w:r w:rsidR="001744C6">
        <w:t>National Human Rights Commission</w:t>
      </w:r>
      <w:r w:rsidR="001744C6" w:rsidRPr="00655115">
        <w:t xml:space="preserve"> </w:t>
      </w:r>
      <w:r w:rsidRPr="00655115">
        <w:t>and the Supreme Court that his father had been killed on 1 January 2002 by State agents</w:t>
      </w:r>
      <w:r w:rsidR="001744C6">
        <w:t>,</w:t>
      </w:r>
      <w:r w:rsidRPr="00655115">
        <w:t xml:space="preserve"> allegedly when trying to escape, the circumstances leading to his death were never completely clarified and his mortal remains have not been located and returned to the family. Therefore, inasmuch as the State party has not fulfilled its obligations to provide information on the fate and whereabouts of his father; identify and return his mortal remains</w:t>
      </w:r>
      <w:r w:rsidR="001744C6">
        <w:t xml:space="preserve"> </w:t>
      </w:r>
      <w:r w:rsidR="001744C6" w:rsidRPr="00655115">
        <w:t>in the event of his death</w:t>
      </w:r>
      <w:r w:rsidR="001744C6">
        <w:t xml:space="preserve"> being confirmed</w:t>
      </w:r>
      <w:r w:rsidRPr="00655115">
        <w:t>; judge and sanction those responsible</w:t>
      </w:r>
      <w:r w:rsidR="001744C6">
        <w:t>;</w:t>
      </w:r>
      <w:r w:rsidRPr="00655115">
        <w:t xml:space="preserve"> and provide integral reparation to the author, his father’s situation continues to be one of enforced disappearance.</w:t>
      </w:r>
    </w:p>
    <w:p w:rsidR="001B0C11" w:rsidRPr="00655115" w:rsidRDefault="00EF2CD3" w:rsidP="00655115">
      <w:pPr>
        <w:pStyle w:val="SingleTxtG"/>
      </w:pPr>
      <w:r>
        <w:t>6.2</w:t>
      </w:r>
      <w:r w:rsidR="001B0C11" w:rsidRPr="00655115">
        <w:tab/>
        <w:t xml:space="preserve">As to the facts of the case, the author points out that his attempts to submit a </w:t>
      </w:r>
      <w:r w:rsidR="00DC1361">
        <w:t>first information report</w:t>
      </w:r>
      <w:r w:rsidR="00DC1361" w:rsidRPr="00655115">
        <w:t xml:space="preserve"> </w:t>
      </w:r>
      <w:r w:rsidR="001B0C11" w:rsidRPr="00655115">
        <w:t>never succeeded</w:t>
      </w:r>
      <w:r w:rsidR="00DC1361">
        <w:t>,</w:t>
      </w:r>
      <w:r w:rsidR="001B0C11" w:rsidRPr="00655115">
        <w:t xml:space="preserve"> </w:t>
      </w:r>
      <w:r w:rsidR="00DC1361">
        <w:t>owing</w:t>
      </w:r>
      <w:r w:rsidR="001B0C11" w:rsidRPr="00655115">
        <w:t xml:space="preserve"> to the refusal by the authorities to register it. The State party cannot claim that a report on his father’s death was prepared within a </w:t>
      </w:r>
      <w:r w:rsidR="00DC1361">
        <w:t>first information report</w:t>
      </w:r>
      <w:r w:rsidR="00DC1361" w:rsidRPr="00655115">
        <w:t xml:space="preserve"> </w:t>
      </w:r>
      <w:r w:rsidR="001B0C11" w:rsidRPr="00655115">
        <w:t>proceeding</w:t>
      </w:r>
      <w:r w:rsidR="00DC1361">
        <w:t>,</w:t>
      </w:r>
      <w:r w:rsidR="001B0C11" w:rsidRPr="00655115">
        <w:t xml:space="preserve"> since the authorities never admitted its registration. He received no information or report concerning the investigation and findings </w:t>
      </w:r>
      <w:r w:rsidR="00DC1361">
        <w:t>on</w:t>
      </w:r>
      <w:r w:rsidR="00DC1361" w:rsidRPr="00655115">
        <w:t xml:space="preserve"> </w:t>
      </w:r>
      <w:r w:rsidR="001B0C11" w:rsidRPr="00655115">
        <w:t>his father’s case and death. To date, no details whatsoever as to the nature of the alleged investigation or report have been provided by the State party. In th</w:t>
      </w:r>
      <w:r w:rsidR="00DC1361">
        <w:t>at</w:t>
      </w:r>
      <w:r w:rsidR="001B0C11" w:rsidRPr="00655115">
        <w:t xml:space="preserve"> respect, the author submits that a refusal to provide any information or communicate with the relatives at all is a violation of the right to the truth. Providing general information on procedural matters is insufficient and should also be considered a violation of the right to the truth.</w:t>
      </w:r>
      <w:r w:rsidR="001B0C11" w:rsidRPr="00DB7E8D">
        <w:rPr>
          <w:rStyle w:val="FootnoteReference"/>
        </w:rPr>
        <w:footnoteReference w:id="8"/>
      </w:r>
      <w:r w:rsidR="001B0C11" w:rsidRPr="00655115">
        <w:t xml:space="preserve"> In the absence of any explanation from the State party as to the nature of the investigation allegedly carried out by its authorities, and in light of the harassment suffered by the author as a result of his inquiries on the fate and whereabouts of his father, he contests that the alleged investigation indeed took place and fulfils the requirements under international law.</w:t>
      </w:r>
    </w:p>
    <w:p w:rsidR="001B0C11" w:rsidRPr="00655115" w:rsidRDefault="00EF2CD3" w:rsidP="00655115">
      <w:pPr>
        <w:pStyle w:val="SingleTxtG"/>
      </w:pPr>
      <w:r>
        <w:lastRenderedPageBreak/>
        <w:t>6.3</w:t>
      </w:r>
      <w:r w:rsidR="001B0C11" w:rsidRPr="00655115">
        <w:tab/>
        <w:t xml:space="preserve">By the time the author submitted his comments, the hearings regarding the registration of the </w:t>
      </w:r>
      <w:r w:rsidR="00DC1361">
        <w:t>first information report</w:t>
      </w:r>
      <w:r w:rsidR="001B0C11" w:rsidRPr="00655115">
        <w:t xml:space="preserve">, within the writ to mandamus lodged before the Supreme Court on 12 May 2008, had been postponed six times. The last scheduled hearing was supposed to take place on 23 August 2011. However, the authorities simply placed a notice saying that it was postponed, without providing any reason. </w:t>
      </w:r>
    </w:p>
    <w:p w:rsidR="001B0C11" w:rsidRPr="00655115" w:rsidRDefault="00EF2CD3" w:rsidP="00655115">
      <w:pPr>
        <w:pStyle w:val="SingleTxtG"/>
      </w:pPr>
      <w:r>
        <w:t>6.4</w:t>
      </w:r>
      <w:r w:rsidR="001B0C11" w:rsidRPr="00655115">
        <w:tab/>
        <w:t>The State party’s assertion that an examination of his father’s remains was conducted contradicts what is stated in the letter submitted on 6 March 2002 by a section officer of the A</w:t>
      </w:r>
      <w:r w:rsidR="00DC1361">
        <w:t>rmy</w:t>
      </w:r>
      <w:r w:rsidR="001B0C11" w:rsidRPr="00655115">
        <w:t xml:space="preserve"> to the Supreme Court. If the examination took place afterwards, no evidence or documentation has been provided to the author. </w:t>
      </w:r>
    </w:p>
    <w:p w:rsidR="001B0C11" w:rsidRPr="00655115" w:rsidRDefault="00EF2CD3" w:rsidP="00655115">
      <w:pPr>
        <w:pStyle w:val="SingleTxtG"/>
      </w:pPr>
      <w:r>
        <w:t>6.5</w:t>
      </w:r>
      <w:r w:rsidR="001B0C11" w:rsidRPr="00655115">
        <w:tab/>
        <w:t xml:space="preserve">As to the length of the writ of mandamus proceedings before the Supreme Court, the author claims that he was forced to lodge this writ in May 2008, as the authorities refused to register his </w:t>
      </w:r>
      <w:r w:rsidR="00DC1361">
        <w:t>first information report</w:t>
      </w:r>
      <w:r w:rsidR="001B0C11" w:rsidRPr="00655115">
        <w:t>. Likewise, local victims’ organizations have tried to register hundreds of cases of enforced disappearance</w:t>
      </w:r>
      <w:r w:rsidR="00CA3DA3">
        <w:t>,</w:t>
      </w:r>
      <w:r w:rsidR="001B0C11" w:rsidRPr="00655115">
        <w:t xml:space="preserve"> but the police and the </w:t>
      </w:r>
      <w:r w:rsidR="00CA3DA3">
        <w:t>Chief District Officer</w:t>
      </w:r>
      <w:r w:rsidR="001B0C11" w:rsidRPr="00655115">
        <w:t xml:space="preserve"> have continuously rejected their </w:t>
      </w:r>
      <w:r w:rsidR="00CA3DA3">
        <w:t>first information report</w:t>
      </w:r>
      <w:r w:rsidR="00CA3DA3" w:rsidRPr="00655115">
        <w:t>s</w:t>
      </w:r>
      <w:r w:rsidR="001B0C11" w:rsidRPr="00655115">
        <w:t>. The author reiterates that there is no effective remedy to exhaust and that domestic remedies have been unduly prolonged.</w:t>
      </w:r>
      <w:r w:rsidR="00C55773">
        <w:t xml:space="preserve"> </w:t>
      </w:r>
    </w:p>
    <w:p w:rsidR="001B0C11" w:rsidRPr="00655115" w:rsidRDefault="00EF2CD3" w:rsidP="00655115">
      <w:pPr>
        <w:pStyle w:val="SingleTxtG"/>
      </w:pPr>
      <w:bookmarkStart w:id="2" w:name="_bookmark26"/>
      <w:bookmarkEnd w:id="2"/>
      <w:r>
        <w:t>6.6</w:t>
      </w:r>
      <w:r w:rsidR="001B0C11" w:rsidRPr="00655115">
        <w:tab/>
        <w:t xml:space="preserve">In May 2009, the Supreme Court issued a judgment, ordering the </w:t>
      </w:r>
      <w:r w:rsidR="00CA3DA3" w:rsidRPr="00655115">
        <w:t xml:space="preserve">Government </w:t>
      </w:r>
      <w:r w:rsidR="001B0C11" w:rsidRPr="00655115">
        <w:t xml:space="preserve">to criminalize torture, but it is yet to be implemented, much like its judgment of June 2007 concerning the need to criminalize </w:t>
      </w:r>
      <w:r w:rsidR="00CD01F3">
        <w:t>e</w:t>
      </w:r>
      <w:r w:rsidR="001B0C11" w:rsidRPr="00655115">
        <w:t>nforced disappearances. Moreover, th</w:t>
      </w:r>
      <w:r w:rsidR="00CA3DA3">
        <w:t>ose</w:t>
      </w:r>
      <w:r w:rsidR="001B0C11" w:rsidRPr="00655115">
        <w:t xml:space="preserve"> decisions have not been followed by reforms to the lower judiciary, which continues to perform poorly when handling mandamus petitions and other aspects of cases alleging serious human rights violations</w:t>
      </w:r>
      <w:r w:rsidR="00CA3DA3">
        <w:t>,</w:t>
      </w:r>
      <w:r w:rsidR="001B0C11" w:rsidRPr="00655115">
        <w:t xml:space="preserve"> such as torture and </w:t>
      </w:r>
      <w:r w:rsidR="00CD01F3">
        <w:t>e</w:t>
      </w:r>
      <w:r w:rsidR="001B0C11" w:rsidRPr="00655115">
        <w:t>nforced disappearance.</w:t>
      </w:r>
    </w:p>
    <w:p w:rsidR="001B0C11" w:rsidRPr="00655115" w:rsidRDefault="001B0C11" w:rsidP="00655115">
      <w:pPr>
        <w:pStyle w:val="SingleTxtG"/>
      </w:pPr>
      <w:r w:rsidRPr="00655115">
        <w:t>6.7</w:t>
      </w:r>
      <w:r w:rsidRPr="00655115">
        <w:tab/>
      </w:r>
      <w:r w:rsidR="00CD01F3">
        <w:t>At</w:t>
      </w:r>
      <w:r w:rsidRPr="00655115">
        <w:t xml:space="preserve"> the time the author submitted his comments, the establishment of the future </w:t>
      </w:r>
      <w:r w:rsidR="00CA3DA3" w:rsidRPr="00655115">
        <w:t>truth and reconciliation commission and the commission on disappearance</w:t>
      </w:r>
      <w:r w:rsidR="00CA3DA3">
        <w:t>,</w:t>
      </w:r>
      <w:r w:rsidR="00CA3DA3" w:rsidRPr="00655115">
        <w:t xml:space="preserve"> </w:t>
      </w:r>
      <w:r w:rsidRPr="00655115">
        <w:t>as well as their powers to carry out prompt, independent and effective investigations and prosecutions</w:t>
      </w:r>
      <w:r w:rsidR="00CA3DA3">
        <w:t>,</w:t>
      </w:r>
      <w:r w:rsidRPr="00655115">
        <w:t xml:space="preserve"> were uncertain. Further, fact-finding processes by non-judicial bodies, </w:t>
      </w:r>
      <w:r w:rsidR="00CA3DA3">
        <w:t>al</w:t>
      </w:r>
      <w:r w:rsidRPr="00655115">
        <w:t xml:space="preserve">though crucial for the establishment of the truth, could never replace access to justice and redress for victims of gross human rights violations and their relatives, the criminal justice system </w:t>
      </w:r>
      <w:r w:rsidR="00CD01F3">
        <w:t xml:space="preserve">being </w:t>
      </w:r>
      <w:r w:rsidRPr="00655115">
        <w:t xml:space="preserve">the more appropriate avenue for immediate criminal investigation and punishment. </w:t>
      </w:r>
    </w:p>
    <w:p w:rsidR="001B0C11" w:rsidRPr="00655115" w:rsidRDefault="001B0C11" w:rsidP="00655115">
      <w:pPr>
        <w:pStyle w:val="SingleTxtG"/>
      </w:pPr>
      <w:bookmarkStart w:id="3" w:name="_bookmark50"/>
      <w:bookmarkEnd w:id="3"/>
      <w:r w:rsidRPr="00655115">
        <w:t>6.8</w:t>
      </w:r>
      <w:r w:rsidRPr="00655115">
        <w:tab/>
        <w:t xml:space="preserve">The amount of </w:t>
      </w:r>
      <w:r w:rsidR="00CA3DA3">
        <w:t>Nr</w:t>
      </w:r>
      <w:r w:rsidRPr="00655115">
        <w:t>. 100</w:t>
      </w:r>
      <w:r w:rsidR="00CA3DA3">
        <w:t>,</w:t>
      </w:r>
      <w:r w:rsidRPr="00655115">
        <w:t>0</w:t>
      </w:r>
      <w:r w:rsidR="00CA3DA3">
        <w:t>00</w:t>
      </w:r>
      <w:r w:rsidRPr="00655115">
        <w:t xml:space="preserve"> that the State party granted to the author as interim relief is a negligible amount and clearly not enough to cover the material and moral harm suffered by him and his father. Furthermore, mere pecuniary compensation for a human rights violation of this nature is not a sufficient remedy. Reparations in case of gross human rights violations must include restitution, rehabilitation, satisfaction and guarantees of non-repetition.</w:t>
      </w:r>
    </w:p>
    <w:p w:rsidR="001B0C11" w:rsidRPr="001B0C11" w:rsidRDefault="00DB7E8D" w:rsidP="00DB7E8D">
      <w:pPr>
        <w:pStyle w:val="H23G"/>
      </w:pPr>
      <w:r>
        <w:tab/>
      </w:r>
      <w:r>
        <w:tab/>
      </w:r>
      <w:r w:rsidR="001B0C11" w:rsidRPr="001B0C11">
        <w:t>Issues and proceedings before the Committee</w:t>
      </w:r>
    </w:p>
    <w:p w:rsidR="001B0C11" w:rsidRPr="001B0C11" w:rsidRDefault="001B0C11" w:rsidP="001B0C11">
      <w:pPr>
        <w:keepNext/>
        <w:keepLines/>
        <w:tabs>
          <w:tab w:val="right" w:pos="851"/>
        </w:tabs>
        <w:spacing w:before="240" w:after="120" w:line="240" w:lineRule="auto"/>
        <w:ind w:left="1134" w:hanging="1134"/>
        <w:rPr>
          <w:rFonts w:eastAsia="Times New Roman"/>
          <w:i/>
        </w:rPr>
      </w:pPr>
      <w:r w:rsidRPr="001B0C11">
        <w:rPr>
          <w:rFonts w:eastAsia="Times New Roman"/>
          <w:i/>
        </w:rPr>
        <w:tab/>
      </w:r>
      <w:r w:rsidRPr="001B0C11">
        <w:rPr>
          <w:rFonts w:eastAsia="Times New Roman"/>
          <w:i/>
        </w:rPr>
        <w:tab/>
        <w:t>Consideration of admissibility</w:t>
      </w:r>
    </w:p>
    <w:p w:rsidR="001B0C11" w:rsidRPr="00655115" w:rsidRDefault="001B0C11" w:rsidP="00655115">
      <w:pPr>
        <w:pStyle w:val="SingleTxtG"/>
      </w:pPr>
      <w:r w:rsidRPr="00655115">
        <w:t>7.1</w:t>
      </w:r>
      <w:r w:rsidRPr="00655115">
        <w:tab/>
        <w:t xml:space="preserve">Before considering any claim contained in a communication, the Human Rights Committee must, in accordance with rule 93 of its </w:t>
      </w:r>
      <w:r w:rsidR="00CA3DA3" w:rsidRPr="00655115">
        <w:t xml:space="preserve">rules </w:t>
      </w:r>
      <w:r w:rsidRPr="00655115">
        <w:t>of procedure, decide whether or not the case is admissible under the Optional Protocol to the Covenant.</w:t>
      </w:r>
    </w:p>
    <w:p w:rsidR="001B0C11" w:rsidRPr="00655115" w:rsidRDefault="001B0C11" w:rsidP="00655115">
      <w:pPr>
        <w:pStyle w:val="SingleTxtG"/>
      </w:pPr>
      <w:r w:rsidRPr="00655115">
        <w:t>7.2</w:t>
      </w:r>
      <w:r w:rsidRPr="00655115">
        <w:tab/>
        <w:t xml:space="preserve">The Committee has ascertained, as required under </w:t>
      </w:r>
      <w:r w:rsidR="00DB7E8D">
        <w:t>article </w:t>
      </w:r>
      <w:r w:rsidRPr="00655115">
        <w:t xml:space="preserve">5, </w:t>
      </w:r>
      <w:r w:rsidR="00DB7E8D">
        <w:t>paragraph </w:t>
      </w:r>
      <w:r w:rsidRPr="00655115">
        <w:t>2</w:t>
      </w:r>
      <w:r w:rsidR="00CA3DA3">
        <w:t xml:space="preserve"> </w:t>
      </w:r>
      <w:r w:rsidRPr="00655115">
        <w:t>(a), of the Optional Protocol, that the same matter is not being examined under another procedure of international investigation or settlement.</w:t>
      </w:r>
    </w:p>
    <w:p w:rsidR="001B0C11" w:rsidRPr="00655115" w:rsidRDefault="001B0C11" w:rsidP="00DB7E8D">
      <w:pPr>
        <w:pStyle w:val="SingleTxtG"/>
      </w:pPr>
      <w:r w:rsidRPr="00655115">
        <w:t>7.3</w:t>
      </w:r>
      <w:r w:rsidRPr="00655115">
        <w:tab/>
        <w:t>With respect to the requirement of exhaustion of domestic remedies, the Committee notes the State party’s argument that the Supreme Court has dealt with the writ of mandamus submitted by the author on 12 May 2008</w:t>
      </w:r>
      <w:r w:rsidR="00CA3DA3">
        <w:t>,</w:t>
      </w:r>
      <w:r w:rsidRPr="00655115">
        <w:t xml:space="preserve"> as prescribed by its regulations, and that this proceeding is still ongoing. The Committee takes notes of the author’s allegations </w:t>
      </w:r>
      <w:r w:rsidRPr="00655115">
        <w:lastRenderedPageBreak/>
        <w:t xml:space="preserve">that he reported the detention and disappearance of </w:t>
      </w:r>
      <w:r w:rsidR="00CA3DA3">
        <w:t>his father</w:t>
      </w:r>
      <w:r w:rsidRPr="00655115">
        <w:t xml:space="preserve"> promptly and filed a complaint </w:t>
      </w:r>
      <w:r w:rsidR="00CA3DA3">
        <w:t>with</w:t>
      </w:r>
      <w:r w:rsidR="00CA3DA3" w:rsidRPr="00655115">
        <w:t xml:space="preserve"> </w:t>
      </w:r>
      <w:r w:rsidRPr="00655115">
        <w:t xml:space="preserve">the </w:t>
      </w:r>
      <w:r w:rsidR="00CA3DA3">
        <w:t xml:space="preserve">National Human Rights Commission </w:t>
      </w:r>
      <w:r w:rsidRPr="00655115">
        <w:t xml:space="preserve">and a writ of habeas corpus before the Supreme Court on 31 January and 4 March 2002, respectively. In 2007, he attempted to lodge a </w:t>
      </w:r>
      <w:r w:rsidR="00CA3DA3">
        <w:t>first information report</w:t>
      </w:r>
      <w:r w:rsidRPr="00655115">
        <w:t>, but the police refused to register it.</w:t>
      </w:r>
      <w:r w:rsidR="00C55773">
        <w:t xml:space="preserve"> </w:t>
      </w:r>
      <w:r w:rsidRPr="00655115">
        <w:t xml:space="preserve">The Committee observes that 12 years after the </w:t>
      </w:r>
      <w:r w:rsidR="00906C10">
        <w:t xml:space="preserve">alleged </w:t>
      </w:r>
      <w:r w:rsidRPr="00655115">
        <w:t>disappearance of the author’s father</w:t>
      </w:r>
      <w:r w:rsidR="00CA3DA3">
        <w:t>,</w:t>
      </w:r>
      <w:r w:rsidRPr="00655115">
        <w:t xml:space="preserve"> the circumstances of </w:t>
      </w:r>
      <w:r w:rsidR="00CA3DA3">
        <w:t>his disappearance</w:t>
      </w:r>
      <w:r w:rsidR="00CA3DA3" w:rsidRPr="00655115">
        <w:t xml:space="preserve"> </w:t>
      </w:r>
      <w:r w:rsidRPr="00655115">
        <w:t>remain unclear and the State party has failed to provide convincing arguments to justify the delay in completing the investigation. Accordingly, the Committee considers that domestic remedies have been unreasonabl</w:t>
      </w:r>
      <w:r w:rsidR="00CD01F3">
        <w:t>y</w:t>
      </w:r>
      <w:r w:rsidRPr="00655115">
        <w:t xml:space="preserve"> prolonged</w:t>
      </w:r>
      <w:r w:rsidRPr="00DB7E8D">
        <w:rPr>
          <w:rStyle w:val="FootnoteReference"/>
        </w:rPr>
        <w:footnoteReference w:id="9"/>
      </w:r>
      <w:r w:rsidRPr="00655115">
        <w:t xml:space="preserve"> and that it is not precluded from considering the communication under </w:t>
      </w:r>
      <w:r w:rsidR="00DB7E8D">
        <w:t>article </w:t>
      </w:r>
      <w:r w:rsidRPr="00655115">
        <w:t xml:space="preserve">5, </w:t>
      </w:r>
      <w:r w:rsidR="00DB7E8D">
        <w:t>paragraph </w:t>
      </w:r>
      <w:r w:rsidRPr="00655115">
        <w:t xml:space="preserve">2 (b), of the Optional Protocol. </w:t>
      </w:r>
    </w:p>
    <w:p w:rsidR="001B0C11" w:rsidRPr="00655115" w:rsidRDefault="001B0C11" w:rsidP="00655115">
      <w:pPr>
        <w:pStyle w:val="SingleTxtG"/>
      </w:pPr>
      <w:r w:rsidRPr="00655115">
        <w:t>7.4</w:t>
      </w:r>
      <w:r w:rsidRPr="00655115">
        <w:tab/>
        <w:t>As all admissibility requirements have been met, the Committee declares the communication admissible and proceeds to its examination on the merits.</w:t>
      </w:r>
    </w:p>
    <w:p w:rsidR="001B0C11" w:rsidRPr="001B0C11" w:rsidRDefault="001B0C11" w:rsidP="001B0C11">
      <w:pPr>
        <w:keepNext/>
        <w:keepLines/>
        <w:tabs>
          <w:tab w:val="right" w:pos="851"/>
        </w:tabs>
        <w:spacing w:before="240" w:after="120" w:line="240" w:lineRule="auto"/>
        <w:ind w:left="1134" w:hanging="1134"/>
        <w:rPr>
          <w:rFonts w:eastAsia="Times New Roman"/>
          <w:i/>
        </w:rPr>
      </w:pPr>
      <w:r w:rsidRPr="001B0C11">
        <w:rPr>
          <w:rFonts w:eastAsia="Times New Roman"/>
          <w:i/>
        </w:rPr>
        <w:tab/>
      </w:r>
      <w:r w:rsidRPr="001B0C11">
        <w:rPr>
          <w:rFonts w:eastAsia="Times New Roman"/>
          <w:i/>
        </w:rPr>
        <w:tab/>
        <w:t>Consideration of the merits</w:t>
      </w:r>
    </w:p>
    <w:p w:rsidR="001B0C11" w:rsidRPr="00655115" w:rsidRDefault="001B0C11" w:rsidP="00655115">
      <w:pPr>
        <w:pStyle w:val="SingleTxtG"/>
      </w:pPr>
      <w:r w:rsidRPr="00655115">
        <w:t>8.1</w:t>
      </w:r>
      <w:r w:rsidRPr="00655115">
        <w:tab/>
        <w:t xml:space="preserve">The Human Rights Committee has considered the communication in the light of all the information made available to it by the parties, as provided for under </w:t>
      </w:r>
      <w:r w:rsidR="00DB7E8D">
        <w:t>article </w:t>
      </w:r>
      <w:r w:rsidRPr="00655115">
        <w:t xml:space="preserve">5, </w:t>
      </w:r>
      <w:r w:rsidR="00DB7E8D">
        <w:t>paragraph </w:t>
      </w:r>
      <w:r w:rsidRPr="00655115">
        <w:t xml:space="preserve">1, of the Optional Protocol. </w:t>
      </w:r>
    </w:p>
    <w:p w:rsidR="001B0C11" w:rsidRPr="00655115" w:rsidRDefault="00EF2CD3" w:rsidP="00655115">
      <w:pPr>
        <w:pStyle w:val="SingleTxtG"/>
      </w:pPr>
      <w:r>
        <w:t>8.2</w:t>
      </w:r>
      <w:r w:rsidR="001B0C11" w:rsidRPr="00655115">
        <w:tab/>
        <w:t>The Committee takes note of the author’s allegations that on 3</w:t>
      </w:r>
      <w:r w:rsidR="00DB7E8D">
        <w:t xml:space="preserve">1 December 2001, his father, </w:t>
      </w:r>
      <w:r w:rsidR="001B0C11" w:rsidRPr="00655115">
        <w:t>Tej Bahadur Bhandari, was arrested by policemen and soldiers in civilian clothes and taken to the office</w:t>
      </w:r>
      <w:r w:rsidR="00CA3DA3">
        <w:t xml:space="preserve"> of the Chief District Officer</w:t>
      </w:r>
      <w:r w:rsidR="001B0C11" w:rsidRPr="00655115">
        <w:t>. During his arrest and subsequent stay in the detention facility</w:t>
      </w:r>
      <w:r w:rsidR="00CA3DA3">
        <w:t>,</w:t>
      </w:r>
      <w:r w:rsidR="001B0C11" w:rsidRPr="00655115">
        <w:t xml:space="preserve"> he was severely ill-treated, according to witnesses. Although the author reported promptly the arrest, ill-treatment and disappearance of his father</w:t>
      </w:r>
      <w:r w:rsidR="00CA3DA3">
        <w:t>,</w:t>
      </w:r>
      <w:r w:rsidR="001B0C11" w:rsidRPr="00655115">
        <w:t xml:space="preserve"> and filed several complaints and writs, no ex officio, prompt, impartial, thorough and independent investigation has been carried out by the authorities, the fate and whereabouts of his father remain unknown to date</w:t>
      </w:r>
      <w:r w:rsidR="00CA3DA3">
        <w:t>,</w:t>
      </w:r>
      <w:r w:rsidR="001B0C11" w:rsidRPr="00655115">
        <w:t xml:space="preserve"> and no one has been summoned or convicted for th</w:t>
      </w:r>
      <w:r w:rsidR="00CA3DA3">
        <w:t>ose</w:t>
      </w:r>
      <w:r w:rsidR="001B0C11" w:rsidRPr="00655115">
        <w:t xml:space="preserve"> acts. The Committee also takes note of the State party’s argument that the fate of the author’s father is known, that</w:t>
      </w:r>
      <w:r w:rsidR="00CA3DA3">
        <w:t>,</w:t>
      </w:r>
      <w:r w:rsidR="001B0C11" w:rsidRPr="00655115">
        <w:t xml:space="preserve"> according to a report prepared by the police upon investigation, he was taken to the forest area at the border of Simpani </w:t>
      </w:r>
      <w:r w:rsidR="00CA3DA3" w:rsidRPr="00655115">
        <w:t xml:space="preserve">village </w:t>
      </w:r>
      <w:r w:rsidR="001B0C11" w:rsidRPr="00655115">
        <w:t xml:space="preserve">by the security forces in order to locate weapons which had been hidden by Maoist groups; that he tried to break the security cordon and run away; and that the action taken by the security forces to prevent his escape resulted in his accidental death. </w:t>
      </w:r>
    </w:p>
    <w:p w:rsidR="001B0C11" w:rsidRPr="00655115" w:rsidRDefault="00EF2CD3" w:rsidP="00DB7E8D">
      <w:pPr>
        <w:pStyle w:val="SingleTxtG"/>
      </w:pPr>
      <w:r>
        <w:t>8.3</w:t>
      </w:r>
      <w:r w:rsidR="001B0C11" w:rsidRPr="00655115">
        <w:tab/>
        <w:t xml:space="preserve">The Committee notes that both parties agree that the author’s father was arrested by members of the security forces, taken to the </w:t>
      </w:r>
      <w:r w:rsidR="00CA3DA3">
        <w:t>o</w:t>
      </w:r>
      <w:r w:rsidR="001B0C11" w:rsidRPr="00655115">
        <w:t xml:space="preserve">ffice </w:t>
      </w:r>
      <w:r w:rsidR="00CA3DA3">
        <w:t xml:space="preserve">of the Chief District Officer </w:t>
      </w:r>
      <w:r w:rsidR="001B0C11" w:rsidRPr="00655115">
        <w:t>and kept in</w:t>
      </w:r>
      <w:r w:rsidR="00CD01F3">
        <w:t xml:space="preserve"> custody</w:t>
      </w:r>
      <w:r w:rsidR="001B0C11" w:rsidRPr="00655115">
        <w:t>. The Committee observes, however, that in 2002, when the events occurred, the author and his mother received contradictory information concerning th</w:t>
      </w:r>
      <w:r w:rsidR="00CA3DA3">
        <w:t>e</w:t>
      </w:r>
      <w:r w:rsidR="001B0C11" w:rsidRPr="00655115">
        <w:t xml:space="preserve"> detention and</w:t>
      </w:r>
      <w:r w:rsidR="00CA3DA3">
        <w:t>,</w:t>
      </w:r>
      <w:r w:rsidR="001B0C11" w:rsidRPr="00655115">
        <w:t xml:space="preserve"> despite their requests</w:t>
      </w:r>
      <w:r w:rsidR="00CA3DA3">
        <w:t>,</w:t>
      </w:r>
      <w:r w:rsidR="001B0C11" w:rsidRPr="00655115">
        <w:t xml:space="preserve"> never received an official notification about the place where </w:t>
      </w:r>
      <w:r w:rsidR="00CA3DA3">
        <w:t>the author’s father</w:t>
      </w:r>
      <w:r w:rsidR="00CA3DA3" w:rsidRPr="00655115">
        <w:t xml:space="preserve"> </w:t>
      </w:r>
      <w:r w:rsidR="001B0C11" w:rsidRPr="00655115">
        <w:t xml:space="preserve">was being held, nor could they visit him or have any contact with him. Further, the Committee observes that the </w:t>
      </w:r>
      <w:r w:rsidR="00CA3DA3">
        <w:t>Chief District Officer, the Deputy Superintendent of Police</w:t>
      </w:r>
      <w:r w:rsidR="001B0C11" w:rsidRPr="00655115">
        <w:t xml:space="preserve"> and the A</w:t>
      </w:r>
      <w:r w:rsidR="00CA3DA3">
        <w:t>rmy</w:t>
      </w:r>
      <w:r w:rsidR="001B0C11" w:rsidRPr="00655115">
        <w:t xml:space="preserve"> informed the </w:t>
      </w:r>
      <w:r w:rsidR="00CA3DA3">
        <w:t>National Human Rights Commission</w:t>
      </w:r>
      <w:r w:rsidR="00CA3DA3" w:rsidRPr="00655115">
        <w:t xml:space="preserve"> </w:t>
      </w:r>
      <w:r w:rsidR="001B0C11" w:rsidRPr="00655115">
        <w:t xml:space="preserve">and the Supreme Court that the author’s father </w:t>
      </w:r>
      <w:r w:rsidR="00CA3DA3">
        <w:t>had been</w:t>
      </w:r>
      <w:r w:rsidR="00CA3DA3" w:rsidRPr="00655115">
        <w:t xml:space="preserve"> </w:t>
      </w:r>
      <w:r w:rsidR="001B0C11" w:rsidRPr="00655115">
        <w:t>killed in crossfire on 1 January 2002</w:t>
      </w:r>
      <w:r w:rsidR="00CA3DA3">
        <w:t>,</w:t>
      </w:r>
      <w:r w:rsidR="001B0C11" w:rsidRPr="00655115">
        <w:t xml:space="preserve"> </w:t>
      </w:r>
      <w:r w:rsidR="0020444D" w:rsidRPr="00250414">
        <w:t xml:space="preserve">rather than in the manner stated by the State party </w:t>
      </w:r>
      <w:r w:rsidR="001B0C11" w:rsidRPr="00250414">
        <w:t xml:space="preserve">(see </w:t>
      </w:r>
      <w:r w:rsidR="00250414" w:rsidRPr="00250414">
        <w:t xml:space="preserve">para. </w:t>
      </w:r>
      <w:r w:rsidR="001B0C11" w:rsidRPr="00250414">
        <w:t>8.2</w:t>
      </w:r>
      <w:r w:rsidR="00250414" w:rsidRPr="00250414">
        <w:t xml:space="preserve"> above</w:t>
      </w:r>
      <w:r w:rsidR="001B0C11" w:rsidRPr="00250414">
        <w:t>)</w:t>
      </w:r>
      <w:r w:rsidR="00250414">
        <w:t>,</w:t>
      </w:r>
      <w:r w:rsidR="001B0C11" w:rsidRPr="00655115">
        <w:t xml:space="preserve"> and that it was unclear whether the bullet that killed him was </w:t>
      </w:r>
      <w:r w:rsidR="00250414">
        <w:t>fired by</w:t>
      </w:r>
      <w:r w:rsidR="00250414" w:rsidRPr="00655115">
        <w:t xml:space="preserve"> </w:t>
      </w:r>
      <w:r w:rsidR="001B0C11" w:rsidRPr="00655115">
        <w:t>the security force</w:t>
      </w:r>
      <w:r w:rsidR="00250414">
        <w:t>s</w:t>
      </w:r>
      <w:r w:rsidR="001B0C11" w:rsidRPr="00655115">
        <w:t xml:space="preserve">. </w:t>
      </w:r>
      <w:r w:rsidR="0020444D">
        <w:t>It also notes tha</w:t>
      </w:r>
      <w:r w:rsidR="00250414">
        <w:t>,</w:t>
      </w:r>
      <w:r w:rsidR="0020444D">
        <w:t xml:space="preserve">t according to testimonies gathered by the author from former detainees who saw or heard his father while </w:t>
      </w:r>
      <w:r w:rsidR="00250414">
        <w:t xml:space="preserve">he was </w:t>
      </w:r>
      <w:r w:rsidR="0020444D">
        <w:t xml:space="preserve">in detention, </w:t>
      </w:r>
      <w:r w:rsidR="00EE7319">
        <w:t>Mr</w:t>
      </w:r>
      <w:r w:rsidR="00DB7E8D">
        <w:t>. </w:t>
      </w:r>
      <w:r w:rsidR="00EE7319">
        <w:t xml:space="preserve">Bhandari </w:t>
      </w:r>
      <w:r w:rsidR="00250414">
        <w:t>was</w:t>
      </w:r>
      <w:r w:rsidR="00EE7319">
        <w:t xml:space="preserve"> beaten to death in the District Police Office. </w:t>
      </w:r>
      <w:r w:rsidR="001B0C11" w:rsidRPr="00655115">
        <w:t xml:space="preserve">In any event, the Committee notes that his mortal remains have not been returned to the family and no information has been provided by the authorities as to the location of the remains and the efforts that may have been undertaken to return them, thus keeping the author in constant uncertainty. </w:t>
      </w:r>
    </w:p>
    <w:p w:rsidR="001B0C11" w:rsidRPr="00655115" w:rsidRDefault="00EF2CD3" w:rsidP="00DB7E8D">
      <w:pPr>
        <w:pStyle w:val="SingleTxtG"/>
      </w:pPr>
      <w:r>
        <w:lastRenderedPageBreak/>
        <w:t>8.4</w:t>
      </w:r>
      <w:r w:rsidR="001B0C11" w:rsidRPr="00655115">
        <w:tab/>
        <w:t xml:space="preserve">In the instant case, </w:t>
      </w:r>
      <w:r w:rsidR="00EE7319">
        <w:t>the State party indicates that it has conducted an effective investigation of the incident allegedly leading to the death of Mr</w:t>
      </w:r>
      <w:r w:rsidR="00DB7E8D">
        <w:t>. </w:t>
      </w:r>
      <w:r w:rsidR="00EE7319">
        <w:t xml:space="preserve"> Bhandari, after his detention by the security forces. However, </w:t>
      </w:r>
      <w:r w:rsidR="001B0C11" w:rsidRPr="00655115">
        <w:t xml:space="preserve">the Committee considers that the State party has not sufficiently explained the specific circumstances of </w:t>
      </w:r>
      <w:r w:rsidR="00EE7319">
        <w:t xml:space="preserve">his </w:t>
      </w:r>
      <w:r w:rsidR="001B0C11" w:rsidRPr="00655115">
        <w:t>detention and alleged death</w:t>
      </w:r>
      <w:r w:rsidR="00250414">
        <w:t>,</w:t>
      </w:r>
      <w:r w:rsidR="001B0C11" w:rsidRPr="00655115">
        <w:t xml:space="preserve"> nor has it produced sufficient evidence to indicate that it has fulfilled its obligation to protect </w:t>
      </w:r>
      <w:r w:rsidR="00EE7319">
        <w:t>his</w:t>
      </w:r>
      <w:r w:rsidR="00EE7319" w:rsidRPr="00655115">
        <w:t xml:space="preserve"> </w:t>
      </w:r>
      <w:r w:rsidR="001B0C11" w:rsidRPr="00655115">
        <w:t>life</w:t>
      </w:r>
      <w:r w:rsidR="00250414">
        <w:t>.</w:t>
      </w:r>
      <w:r w:rsidR="001B0C11" w:rsidRPr="00655115">
        <w:t xml:space="preserve"> Accordingly, the Committee concludes that the State party has failed in its duty to protect the life of Mr</w:t>
      </w:r>
      <w:r w:rsidR="00DB7E8D">
        <w:t>. </w:t>
      </w:r>
      <w:r w:rsidR="001B0C11" w:rsidRPr="00655115">
        <w:t xml:space="preserve">Bhandari, in violation of </w:t>
      </w:r>
      <w:r w:rsidR="00DB7E8D">
        <w:t>article </w:t>
      </w:r>
      <w:r w:rsidR="001B0C11" w:rsidRPr="00655115">
        <w:t xml:space="preserve">6 of the Covenant. </w:t>
      </w:r>
    </w:p>
    <w:p w:rsidR="001B0C11" w:rsidRPr="00655115" w:rsidRDefault="00EF2CD3" w:rsidP="00655115">
      <w:pPr>
        <w:pStyle w:val="SingleTxtG"/>
      </w:pPr>
      <w:r>
        <w:t>8.5</w:t>
      </w:r>
      <w:r w:rsidR="001B0C11" w:rsidRPr="00655115">
        <w:tab/>
        <w:t xml:space="preserve">The Committee takes note of the author’s allegations under </w:t>
      </w:r>
      <w:r w:rsidR="00DB7E8D">
        <w:t>article </w:t>
      </w:r>
      <w:r w:rsidR="001B0C11" w:rsidRPr="00655115">
        <w:t xml:space="preserve">7 that his father was severely ill-treated by the authorities at the moment of his arrest and while in detention; that he was held without contact with the outside world; that his enforced disappearance amounts per se to a treatment contrary to </w:t>
      </w:r>
      <w:r w:rsidR="00DB7E8D">
        <w:t>article </w:t>
      </w:r>
      <w:r w:rsidR="001B0C11" w:rsidRPr="00655115">
        <w:t>7</w:t>
      </w:r>
      <w:r w:rsidR="00250414">
        <w:t xml:space="preserve"> of the Covenant</w:t>
      </w:r>
      <w:r w:rsidR="001B0C11" w:rsidRPr="00655115">
        <w:t xml:space="preserve">; and that the State party has failed to carry out a prompt and effective investigation. The Committee recognizes the degree of suffering involved in being held indefinitely without contact with the outside world. It </w:t>
      </w:r>
      <w:r w:rsidR="00DB7E8D">
        <w:t>recalls its general comment No. </w:t>
      </w:r>
      <w:r w:rsidR="001B0C11" w:rsidRPr="00655115">
        <w:t xml:space="preserve">20 </w:t>
      </w:r>
      <w:r w:rsidR="00250414">
        <w:t xml:space="preserve">(1992) </w:t>
      </w:r>
      <w:r w:rsidR="001B0C11" w:rsidRPr="00655115">
        <w:t xml:space="preserve">on </w:t>
      </w:r>
      <w:r w:rsidR="00250414">
        <w:t>the prohibition of</w:t>
      </w:r>
      <w:r w:rsidR="001B0C11" w:rsidRPr="00655115">
        <w:t xml:space="preserve"> </w:t>
      </w:r>
      <w:r w:rsidR="00250414">
        <w:t xml:space="preserve">torture, or other cruel, inhuman or degrading treatment or punishment, in </w:t>
      </w:r>
      <w:r w:rsidR="001B0C11" w:rsidRPr="00655115">
        <w:t xml:space="preserve">which </w:t>
      </w:r>
      <w:r w:rsidR="00250414">
        <w:t xml:space="preserve">it </w:t>
      </w:r>
      <w:r w:rsidR="001B0C11" w:rsidRPr="00655115">
        <w:t xml:space="preserve">recommends that States parties should make provision to ban incommunicado detention. In the present case, in </w:t>
      </w:r>
      <w:r w:rsidR="00250414">
        <w:t xml:space="preserve">the </w:t>
      </w:r>
      <w:r w:rsidR="001B0C11" w:rsidRPr="00655115">
        <w:t>absence of a satisfactory explanation from the State party, the Committee finds that the acts of torture</w:t>
      </w:r>
      <w:r w:rsidR="00250414">
        <w:t>,</w:t>
      </w:r>
      <w:r w:rsidR="001B0C11" w:rsidRPr="00655115">
        <w:t xml:space="preserve"> to which the author’s father was </w:t>
      </w:r>
      <w:r w:rsidR="00250414">
        <w:t>subjected</w:t>
      </w:r>
      <w:r w:rsidR="001B0C11" w:rsidRPr="00655115">
        <w:t xml:space="preserve">, </w:t>
      </w:r>
      <w:r w:rsidR="00EE7319">
        <w:t xml:space="preserve">and </w:t>
      </w:r>
      <w:r w:rsidR="001B0C11" w:rsidRPr="00655115">
        <w:t xml:space="preserve">his incommunicado detention constitute a violation of </w:t>
      </w:r>
      <w:r w:rsidR="00DB7E8D">
        <w:t>article </w:t>
      </w:r>
      <w:r w:rsidR="001B0C11" w:rsidRPr="00655115">
        <w:t>7 of the Covenant.</w:t>
      </w:r>
    </w:p>
    <w:p w:rsidR="001B0C11" w:rsidRPr="00655115" w:rsidRDefault="00EF2CD3" w:rsidP="00655115">
      <w:pPr>
        <w:pStyle w:val="SingleTxtG"/>
      </w:pPr>
      <w:r>
        <w:t>8.6</w:t>
      </w:r>
      <w:r w:rsidR="001B0C11" w:rsidRPr="00655115">
        <w:tab/>
        <w:t xml:space="preserve">The Committee also takes note of the anguish and stress caused to the author by the disappearance of his father. In particular, the author and his family have never received </w:t>
      </w:r>
      <w:r w:rsidR="00250414">
        <w:t>an adequate</w:t>
      </w:r>
      <w:r w:rsidR="00250414" w:rsidRPr="00655115">
        <w:t xml:space="preserve"> </w:t>
      </w:r>
      <w:r w:rsidR="001B0C11" w:rsidRPr="00655115">
        <w:t xml:space="preserve">explanation concerning the circumstances surrounding the alleged death of his father, nor have they received his body remains. In the absence of a satisfactory explanation from the State party, the Committee considers that the facts reveal a violation of </w:t>
      </w:r>
      <w:r w:rsidR="00DB7E8D">
        <w:t>article </w:t>
      </w:r>
      <w:r w:rsidR="001B0C11" w:rsidRPr="00655115">
        <w:t>7 of the Covenant, with respect to the author.</w:t>
      </w:r>
    </w:p>
    <w:p w:rsidR="001B0C11" w:rsidRPr="00655115" w:rsidRDefault="00EF2CD3" w:rsidP="00655115">
      <w:pPr>
        <w:pStyle w:val="SingleTxtG"/>
      </w:pPr>
      <w:r>
        <w:t>8.7</w:t>
      </w:r>
      <w:r w:rsidR="001B0C11" w:rsidRPr="00655115">
        <w:tab/>
        <w:t xml:space="preserve">The Committee takes note of the author’s allegations under </w:t>
      </w:r>
      <w:r w:rsidR="00DB7E8D">
        <w:t>article </w:t>
      </w:r>
      <w:r w:rsidR="001B0C11" w:rsidRPr="00655115">
        <w:t>9 that his father was detained; that he was never brought before a judge or any other official authorized by law to exercise judicial power</w:t>
      </w:r>
      <w:r w:rsidR="00250414">
        <w:t>;</w:t>
      </w:r>
      <w:r w:rsidR="001B0C11" w:rsidRPr="00655115">
        <w:t xml:space="preserve"> nor could he take proceedings before a court to challenge the lawfulness of his detention. In the absence of a response </w:t>
      </w:r>
      <w:r w:rsidR="00250414">
        <w:t>from the State party</w:t>
      </w:r>
      <w:r w:rsidR="00250414" w:rsidRPr="00655115">
        <w:t xml:space="preserve"> </w:t>
      </w:r>
      <w:r w:rsidR="001B0C11" w:rsidRPr="00655115">
        <w:t xml:space="preserve">in this regard, the Committee considers that the detention </w:t>
      </w:r>
      <w:r w:rsidR="00250414">
        <w:t xml:space="preserve">of the </w:t>
      </w:r>
      <w:r w:rsidR="00250414" w:rsidRPr="00655115">
        <w:t xml:space="preserve">author’s father </w:t>
      </w:r>
      <w:r w:rsidR="001B0C11" w:rsidRPr="00655115">
        <w:t xml:space="preserve">constitutes a violation of his right under </w:t>
      </w:r>
      <w:r w:rsidR="00DB7E8D">
        <w:t>article </w:t>
      </w:r>
      <w:r w:rsidR="001B0C11" w:rsidRPr="00655115">
        <w:t>9 of the Covenant.</w:t>
      </w:r>
    </w:p>
    <w:p w:rsidR="001B0C11" w:rsidRPr="00655115" w:rsidRDefault="00EF2CD3" w:rsidP="00DB7E8D">
      <w:pPr>
        <w:pStyle w:val="SingleTxtG"/>
      </w:pPr>
      <w:r>
        <w:t>8.8</w:t>
      </w:r>
      <w:r w:rsidR="001B0C11" w:rsidRPr="00655115">
        <w:tab/>
        <w:t xml:space="preserve">With regard to the alleged violation of </w:t>
      </w:r>
      <w:r w:rsidR="00DB7E8D">
        <w:t>article </w:t>
      </w:r>
      <w:r w:rsidR="001B0C11" w:rsidRPr="00655115">
        <w:t>16, the Committee reiterates its established jurisprudence, according to which the intentional removal of a person from the protection of the law for a prolonged period of time may constitute a refusal to recognize that person as a person before the law</w:t>
      </w:r>
      <w:r w:rsidR="0092021A">
        <w:t>,</w:t>
      </w:r>
      <w:r w:rsidR="001B0C11" w:rsidRPr="00655115">
        <w:t xml:space="preserve"> if the victim was in the hands of the State authorities when last seen</w:t>
      </w:r>
      <w:r w:rsidR="0092021A">
        <w:t>,</w:t>
      </w:r>
      <w:r w:rsidR="001B0C11" w:rsidRPr="00655115">
        <w:t xml:space="preserve"> and if the efforts of his or her relatives to obtain access to potentially effective remedies, in</w:t>
      </w:r>
      <w:r w:rsidR="00DB7E8D">
        <w:t>cluding judicial remedies (art. </w:t>
      </w:r>
      <w:r w:rsidR="001B0C11" w:rsidRPr="00655115">
        <w:t>2, para.</w:t>
      </w:r>
      <w:r w:rsidR="00DB7E8D">
        <w:t> </w:t>
      </w:r>
      <w:r w:rsidR="001B0C11" w:rsidRPr="00655115">
        <w:t>3</w:t>
      </w:r>
      <w:r w:rsidR="0092021A">
        <w:t>,</w:t>
      </w:r>
      <w:r w:rsidR="001B0C11" w:rsidRPr="00655115">
        <w:t xml:space="preserve"> of the Covenant), have been systematically impeded.</w:t>
      </w:r>
      <w:r w:rsidR="001B0C11" w:rsidRPr="00DB7E8D">
        <w:rPr>
          <w:rStyle w:val="FootnoteReference"/>
        </w:rPr>
        <w:footnoteReference w:id="10"/>
      </w:r>
      <w:r w:rsidR="001B0C11" w:rsidRPr="00655115">
        <w:t xml:space="preserve"> In the present case, the Committee notes that shortly after the arrest of the author’s father</w:t>
      </w:r>
      <w:r w:rsidR="0092021A">
        <w:t>,</w:t>
      </w:r>
      <w:r w:rsidR="001B0C11" w:rsidRPr="00655115">
        <w:t xml:space="preserve"> the authorities provided the author and his mother with contradictory information about his arrest. Later, they failed to provide sufficient information concerning the fate or whereabouts of Mr</w:t>
      </w:r>
      <w:r w:rsidR="00DB7E8D">
        <w:t>. </w:t>
      </w:r>
      <w:r w:rsidR="001B0C11" w:rsidRPr="00655115">
        <w:t xml:space="preserve"> Bhandari, despite many requests. Accordingly, the Committee concludes that the enforced disappearance of the author’s father since 31 December 2001 </w:t>
      </w:r>
      <w:r w:rsidR="0092021A">
        <w:t xml:space="preserve">has </w:t>
      </w:r>
      <w:r w:rsidR="001B0C11" w:rsidRPr="00655115">
        <w:t xml:space="preserve">denied him the protection of the law and deprived him of his right to recognition as person before the law, in violation of </w:t>
      </w:r>
      <w:r w:rsidR="00DB7E8D">
        <w:t>article </w:t>
      </w:r>
      <w:r w:rsidR="001B0C11" w:rsidRPr="00655115">
        <w:t>16 of the Covenant.</w:t>
      </w:r>
    </w:p>
    <w:p w:rsidR="001B0C11" w:rsidRPr="00655115" w:rsidRDefault="00EF2CD3" w:rsidP="00DB7E8D">
      <w:pPr>
        <w:pStyle w:val="SingleTxtG"/>
      </w:pPr>
      <w:r>
        <w:t>8.9</w:t>
      </w:r>
      <w:r w:rsidR="001B0C11" w:rsidRPr="00655115">
        <w:tab/>
        <w:t xml:space="preserve">The author invokes </w:t>
      </w:r>
      <w:r w:rsidR="00DB7E8D">
        <w:t>article </w:t>
      </w:r>
      <w:r w:rsidR="001B0C11" w:rsidRPr="00655115">
        <w:t xml:space="preserve">2, </w:t>
      </w:r>
      <w:r w:rsidR="00DB7E8D">
        <w:t>paragraph </w:t>
      </w:r>
      <w:r w:rsidR="001B0C11" w:rsidRPr="00655115">
        <w:t xml:space="preserve">3, of the Covenant, which imposes on States parties the obligation to ensure an effective remedy for all persons whose rights under the </w:t>
      </w:r>
      <w:r w:rsidR="001B0C11" w:rsidRPr="00655115">
        <w:lastRenderedPageBreak/>
        <w:t>Covenant have been violated. The Committee attaches importance to the establishment by States parties of appropriate judicial and administrative mechanisms for addressing claims of rights violations. It re</w:t>
      </w:r>
      <w:r w:rsidR="00DB7E8D">
        <w:t>fers to its general comment No. </w:t>
      </w:r>
      <w:r w:rsidR="001B0C11" w:rsidRPr="00655115">
        <w:t>31</w:t>
      </w:r>
      <w:r w:rsidR="0092021A">
        <w:t xml:space="preserve"> (2004) on the nature of the general legal obligation imposed on States parties to the Covenant</w:t>
      </w:r>
      <w:r w:rsidR="001B0C11" w:rsidRPr="00655115">
        <w:t>, which provides, inter alia, that a failure by a State party to investigate allegations of violations could, in and of itself, give rise to a separate breach of the Covenant. In the present case, the Committee observes that</w:t>
      </w:r>
      <w:r w:rsidR="0092021A">
        <w:t>,</w:t>
      </w:r>
      <w:r w:rsidR="001B0C11" w:rsidRPr="00655115">
        <w:t xml:space="preserve"> shortly after the detention of the author’s father, the author and his mother approached the </w:t>
      </w:r>
      <w:r w:rsidR="0092021A">
        <w:t>Chief District Officer and the Deputy Superintendent of Police</w:t>
      </w:r>
      <w:r w:rsidR="001B0C11" w:rsidRPr="00655115">
        <w:t xml:space="preserve"> seeking information and later complained to the </w:t>
      </w:r>
      <w:r w:rsidR="0092021A">
        <w:t>National Human Rights Commission</w:t>
      </w:r>
      <w:r w:rsidR="001B0C11" w:rsidRPr="00655115">
        <w:t xml:space="preserve">, the Supreme Court and the police (see </w:t>
      </w:r>
      <w:r w:rsidR="0092021A">
        <w:t xml:space="preserve">para. </w:t>
      </w:r>
      <w:r w:rsidR="001B0C11" w:rsidRPr="00655115">
        <w:t>7.3</w:t>
      </w:r>
      <w:r w:rsidR="0092021A">
        <w:t xml:space="preserve"> above</w:t>
      </w:r>
      <w:r w:rsidR="001B0C11" w:rsidRPr="00655115">
        <w:t xml:space="preserve">). Despite the author’s efforts, almost 12 years after the disappearance </w:t>
      </w:r>
      <w:r w:rsidR="0092021A">
        <w:t xml:space="preserve">of his father, </w:t>
      </w:r>
      <w:r w:rsidR="001B0C11" w:rsidRPr="00655115">
        <w:t>no thorough and effective investigation has been concluded by the State party</w:t>
      </w:r>
      <w:r w:rsidR="0092021A">
        <w:t>,</w:t>
      </w:r>
      <w:r w:rsidR="001B0C11" w:rsidRPr="00655115">
        <w:t xml:space="preserve"> in order to elucidate the circumstances surrounding his detention and alleged death</w:t>
      </w:r>
      <w:r w:rsidR="0092021A">
        <w:t>,</w:t>
      </w:r>
      <w:r w:rsidR="001B0C11" w:rsidRPr="00655115">
        <w:t xml:space="preserve"> and no criminal investigation has even been started to bring the perpetrators to justice. The State party refers in a general fashion to ongoing investigations within the author’s writ of mandamus proceedings</w:t>
      </w:r>
      <w:r w:rsidR="0092021A">
        <w:t>,</w:t>
      </w:r>
      <w:r w:rsidR="001B0C11" w:rsidRPr="00655115">
        <w:t xml:space="preserve"> but it has failed to explain the effectiveness and adequacy of such investigations and the concrete steps taken to clarify the circumstance</w:t>
      </w:r>
      <w:r w:rsidR="0092021A">
        <w:t>s</w:t>
      </w:r>
      <w:r w:rsidR="001B0C11" w:rsidRPr="00655115">
        <w:t xml:space="preserve"> of the detention of the author’s father</w:t>
      </w:r>
      <w:r w:rsidR="0092021A">
        <w:t xml:space="preserve"> and</w:t>
      </w:r>
      <w:r w:rsidR="001B0C11" w:rsidRPr="00655115">
        <w:t xml:space="preserve"> the cause of his alleged death, </w:t>
      </w:r>
      <w:r w:rsidR="0092021A">
        <w:t>or</w:t>
      </w:r>
      <w:r w:rsidR="0092021A" w:rsidRPr="00655115">
        <w:t xml:space="preserve"> </w:t>
      </w:r>
      <w:r w:rsidR="001B0C11" w:rsidRPr="00655115">
        <w:t xml:space="preserve">to locate his mortal remains and return them to the author’s family. Therefore, the Committee considers that the State party has failed to conduct a thorough and effective investigation into the disappearance of the author’s father. . Additionally, the </w:t>
      </w:r>
      <w:r w:rsidR="0092021A">
        <w:t>Nr</w:t>
      </w:r>
      <w:r w:rsidR="001B0C11" w:rsidRPr="00655115">
        <w:t>. 100</w:t>
      </w:r>
      <w:r w:rsidR="0092021A">
        <w:t>,</w:t>
      </w:r>
      <w:r w:rsidR="001B0C11" w:rsidRPr="00655115">
        <w:t xml:space="preserve">000 received by the author as interim relief does not constitute an adequate remedy commensurate </w:t>
      </w:r>
      <w:r w:rsidR="0092021A">
        <w:t>with</w:t>
      </w:r>
      <w:r w:rsidR="0092021A" w:rsidRPr="00655115">
        <w:t xml:space="preserve"> </w:t>
      </w:r>
      <w:r w:rsidR="001B0C11" w:rsidRPr="00655115">
        <w:t xml:space="preserve">the serious violations inflicted. Accordingly, the Committee concludes that the facts before it reveal a violation of </w:t>
      </w:r>
      <w:r w:rsidR="00DB7E8D">
        <w:t>article</w:t>
      </w:r>
      <w:r w:rsidR="0092021A">
        <w:t>s</w:t>
      </w:r>
      <w:r w:rsidR="00DB7E8D">
        <w:t> </w:t>
      </w:r>
      <w:r w:rsidR="001B0C11" w:rsidRPr="00655115">
        <w:t xml:space="preserve">2, </w:t>
      </w:r>
      <w:r w:rsidR="00DB7E8D">
        <w:t>paragraph </w:t>
      </w:r>
      <w:r w:rsidR="001B0C11" w:rsidRPr="00655115">
        <w:t>3</w:t>
      </w:r>
      <w:r w:rsidR="0092021A">
        <w:t>, read</w:t>
      </w:r>
      <w:r w:rsidR="001B0C11" w:rsidRPr="00655115">
        <w:t xml:space="preserve"> in conjunction with </w:t>
      </w:r>
      <w:r w:rsidR="00DB7E8D">
        <w:t>article </w:t>
      </w:r>
      <w:r w:rsidR="001B0C11" w:rsidRPr="00655115">
        <w:t xml:space="preserve">6, </w:t>
      </w:r>
      <w:r w:rsidR="00DB7E8D">
        <w:t>paragraph </w:t>
      </w:r>
      <w:r w:rsidR="001B0C11" w:rsidRPr="00655115">
        <w:t>1; 7; 9 and 16</w:t>
      </w:r>
      <w:r w:rsidR="0092021A">
        <w:t xml:space="preserve"> of the Covenant</w:t>
      </w:r>
      <w:r w:rsidR="001B0C11" w:rsidRPr="00655115">
        <w:t xml:space="preserve">, with regard to Tej Bahadur Bhandari; and </w:t>
      </w:r>
      <w:r w:rsidR="00DB7E8D">
        <w:t>article </w:t>
      </w:r>
      <w:r w:rsidR="001B0C11" w:rsidRPr="00655115">
        <w:t xml:space="preserve">2, </w:t>
      </w:r>
      <w:r w:rsidR="00DB7E8D">
        <w:t>paragraph </w:t>
      </w:r>
      <w:r w:rsidR="001B0C11" w:rsidRPr="00655115">
        <w:t xml:space="preserve">3, read in conjunction with </w:t>
      </w:r>
      <w:r w:rsidR="00DB7E8D">
        <w:t>article </w:t>
      </w:r>
      <w:r w:rsidR="001B0C11" w:rsidRPr="00655115">
        <w:t>7 of the Covenant</w:t>
      </w:r>
      <w:r w:rsidR="0092021A">
        <w:t>,</w:t>
      </w:r>
      <w:r w:rsidR="001B0C11" w:rsidRPr="00655115">
        <w:t xml:space="preserve"> with respect to the author.</w:t>
      </w:r>
    </w:p>
    <w:p w:rsidR="001B0C11" w:rsidRPr="00655115" w:rsidRDefault="001B0C11" w:rsidP="00655115">
      <w:pPr>
        <w:pStyle w:val="SingleTxtG"/>
      </w:pPr>
      <w:r w:rsidRPr="00655115">
        <w:t>8.10</w:t>
      </w:r>
      <w:r w:rsidRPr="00655115">
        <w:tab/>
      </w:r>
      <w:r w:rsidRPr="002E163D">
        <w:t>Having concluded to violation of the above provisions</w:t>
      </w:r>
      <w:r w:rsidRPr="00655115">
        <w:t xml:space="preserve">, the Committee decides not to examine </w:t>
      </w:r>
      <w:r w:rsidR="00B6796E" w:rsidRPr="00655115">
        <w:t xml:space="preserve">separately </w:t>
      </w:r>
      <w:r w:rsidRPr="00655115">
        <w:t>the author’s claims under article10 of the Covenant.</w:t>
      </w:r>
      <w:r w:rsidRPr="00DB7E8D">
        <w:rPr>
          <w:rStyle w:val="FootnoteReference"/>
        </w:rPr>
        <w:footnoteReference w:id="11"/>
      </w:r>
    </w:p>
    <w:p w:rsidR="001B0C11" w:rsidRPr="00655115" w:rsidRDefault="001B0C11" w:rsidP="00655115">
      <w:pPr>
        <w:pStyle w:val="SingleTxtG"/>
      </w:pPr>
      <w:r w:rsidRPr="00655115">
        <w:t>9.</w:t>
      </w:r>
      <w:r w:rsidRPr="00655115">
        <w:tab/>
        <w:t xml:space="preserve">The Human Rights Committee, acting under </w:t>
      </w:r>
      <w:r w:rsidR="00DB7E8D">
        <w:t>article </w:t>
      </w:r>
      <w:r w:rsidRPr="00655115">
        <w:t xml:space="preserve">5, </w:t>
      </w:r>
      <w:r w:rsidR="00DB7E8D">
        <w:t>paragraph </w:t>
      </w:r>
      <w:r w:rsidRPr="00655115">
        <w:t>4, of the Optional Protocol to the International Covenant on Civil and Political Rights, is of the view that the information before it discloses violations by</w:t>
      </w:r>
      <w:r w:rsidR="00DB7E8D">
        <w:t xml:space="preserve"> the State party of articles </w:t>
      </w:r>
      <w:r w:rsidRPr="00655115">
        <w:t xml:space="preserve">6, </w:t>
      </w:r>
      <w:r w:rsidR="00DB7E8D">
        <w:t>paragraph </w:t>
      </w:r>
      <w:r w:rsidRPr="00655115">
        <w:t xml:space="preserve">1; 7; 9 and 16; and of </w:t>
      </w:r>
      <w:r w:rsidR="00DB7E8D">
        <w:t>article </w:t>
      </w:r>
      <w:r w:rsidRPr="00655115">
        <w:t xml:space="preserve">2, </w:t>
      </w:r>
      <w:r w:rsidR="00DB7E8D">
        <w:t>paragraph </w:t>
      </w:r>
      <w:r w:rsidRPr="00655115">
        <w:t>3, re</w:t>
      </w:r>
      <w:r w:rsidR="00DB7E8D">
        <w:t>ad in conjunction with articles </w:t>
      </w:r>
      <w:r w:rsidRPr="00655115">
        <w:t xml:space="preserve">6, </w:t>
      </w:r>
      <w:r w:rsidR="00DB7E8D">
        <w:t>paragraph </w:t>
      </w:r>
      <w:r w:rsidRPr="00655115">
        <w:t>1; 7; 9</w:t>
      </w:r>
      <w:r w:rsidR="00C55773">
        <w:t xml:space="preserve"> </w:t>
      </w:r>
      <w:r w:rsidRPr="00655115">
        <w:t xml:space="preserve">and 16 of the Covenant with regard to Tej Bahadur Bhandari; and of </w:t>
      </w:r>
      <w:r w:rsidR="00DB7E8D">
        <w:t>article </w:t>
      </w:r>
      <w:r w:rsidRPr="00655115">
        <w:t xml:space="preserve">7 and </w:t>
      </w:r>
      <w:r w:rsidR="00DB7E8D">
        <w:t>article </w:t>
      </w:r>
      <w:r w:rsidRPr="00655115">
        <w:t xml:space="preserve">2, </w:t>
      </w:r>
      <w:r w:rsidR="00DB7E8D">
        <w:t>paragraph </w:t>
      </w:r>
      <w:r w:rsidRPr="00655115">
        <w:t>3</w:t>
      </w:r>
      <w:r w:rsidR="00B6796E">
        <w:t>, read</w:t>
      </w:r>
      <w:r w:rsidRPr="00655115">
        <w:t xml:space="preserve"> in conjunction with </w:t>
      </w:r>
      <w:r w:rsidR="00DB7E8D">
        <w:t>article </w:t>
      </w:r>
      <w:r w:rsidRPr="00655115">
        <w:t>7, with respect to the author.</w:t>
      </w:r>
    </w:p>
    <w:p w:rsidR="001B0C11" w:rsidRDefault="001B0C11" w:rsidP="00DB7E8D">
      <w:pPr>
        <w:pStyle w:val="SingleTxtG"/>
      </w:pPr>
      <w:r w:rsidRPr="00655115">
        <w:t>10.</w:t>
      </w:r>
      <w:r w:rsidRPr="00655115">
        <w:tab/>
        <w:t xml:space="preserve">In accordance with </w:t>
      </w:r>
      <w:r w:rsidR="00DB7E8D">
        <w:t>article </w:t>
      </w:r>
      <w:r w:rsidRPr="00655115">
        <w:t xml:space="preserve">2, </w:t>
      </w:r>
      <w:r w:rsidR="00DB7E8D">
        <w:t>paragraph </w:t>
      </w:r>
      <w:r w:rsidRPr="00655115">
        <w:t>3, of the Covenant, the State party is under an obligation to provide the author with an effe</w:t>
      </w:r>
      <w:r w:rsidR="00DB7E8D">
        <w:t>ctive remedy, including by: (a) </w:t>
      </w:r>
      <w:r w:rsidRPr="00655115">
        <w:t>conducting a thorough and effective investigation into the disappearance of</w:t>
      </w:r>
      <w:r w:rsidR="00DB7E8D">
        <w:t> </w:t>
      </w:r>
      <w:r w:rsidRPr="00655115">
        <w:t xml:space="preserve">Tej Bahadur Bhandari </w:t>
      </w:r>
      <w:r w:rsidR="002A2C08">
        <w:t>and</w:t>
      </w:r>
      <w:r w:rsidRPr="00655115">
        <w:t xml:space="preserve">  providing the author with detailed information about the results of its investigation; (</w:t>
      </w:r>
      <w:r w:rsidR="002A2C08">
        <w:t>b</w:t>
      </w:r>
      <w:r w:rsidRPr="00655115">
        <w:t>)</w:t>
      </w:r>
      <w:r w:rsidR="00DB7E8D">
        <w:t> </w:t>
      </w:r>
      <w:r w:rsidR="002A2C08">
        <w:t>locating the remains of</w:t>
      </w:r>
      <w:r w:rsidRPr="00655115">
        <w:t xml:space="preserve"> Mr</w:t>
      </w:r>
      <w:r w:rsidR="00DB7E8D">
        <w:t>. </w:t>
      </w:r>
      <w:r w:rsidRPr="00655115">
        <w:t xml:space="preserve">Bhandari </w:t>
      </w:r>
      <w:r w:rsidR="002A2C08">
        <w:t>and</w:t>
      </w:r>
      <w:r w:rsidRPr="00655115">
        <w:t xml:space="preserve"> handing </w:t>
      </w:r>
      <w:r w:rsidR="002A2C08">
        <w:t xml:space="preserve">them </w:t>
      </w:r>
      <w:r w:rsidRPr="00655115">
        <w:t>over to his family; (</w:t>
      </w:r>
      <w:r w:rsidR="004F7D55">
        <w:t>c</w:t>
      </w:r>
      <w:r w:rsidR="00DB7E8D">
        <w:t>) </w:t>
      </w:r>
      <w:r w:rsidRPr="00655115">
        <w:t>prosecuting, trying and punishing those responsible for the violations committed; (</w:t>
      </w:r>
      <w:r w:rsidR="004F7D55">
        <w:t>d</w:t>
      </w:r>
      <w:r w:rsidRPr="00655115">
        <w:t>)</w:t>
      </w:r>
      <w:r w:rsidR="00DB7E8D">
        <w:t> </w:t>
      </w:r>
      <w:r w:rsidRPr="00655115">
        <w:t xml:space="preserve">providing adequate compensation to the author for the violations suffered; </w:t>
      </w:r>
      <w:r w:rsidR="004F7D55">
        <w:t xml:space="preserve">and </w:t>
      </w:r>
      <w:r w:rsidRPr="00655115">
        <w:t>(</w:t>
      </w:r>
      <w:r w:rsidR="004F7D55">
        <w:t>e</w:t>
      </w:r>
      <w:r w:rsidRPr="00655115">
        <w:t>)</w:t>
      </w:r>
      <w:r w:rsidR="00DB7E8D">
        <w:t> </w:t>
      </w:r>
      <w:r w:rsidR="004F7D55">
        <w:t xml:space="preserve">ensuring that the necessary and adequate </w:t>
      </w:r>
      <w:r w:rsidRPr="00655115">
        <w:t xml:space="preserve">psychological rehabilitation and medical treatment </w:t>
      </w:r>
      <w:r w:rsidR="004F7D55">
        <w:t>is provided to the author</w:t>
      </w:r>
      <w:r w:rsidR="00B6796E">
        <w:t>.</w:t>
      </w:r>
      <w:r w:rsidR="00CE6E06">
        <w:t xml:space="preserve"> The State party is also under an obligation to take steps to prevent similar violations in the future. In th</w:t>
      </w:r>
      <w:r w:rsidR="00B6796E">
        <w:t>at</w:t>
      </w:r>
      <w:r w:rsidR="00CE6E06">
        <w:t xml:space="preserve"> connection, the State </w:t>
      </w:r>
      <w:r w:rsidR="00CE6E06" w:rsidRPr="005E307F">
        <w:t>party should</w:t>
      </w:r>
      <w:r w:rsidR="004F7D55" w:rsidRPr="005E307F">
        <w:t xml:space="preserve"> ensure that its legislation allows </w:t>
      </w:r>
      <w:r w:rsidR="00B6796E">
        <w:t xml:space="preserve">for </w:t>
      </w:r>
      <w:r w:rsidR="004F7D55" w:rsidRPr="005E307F">
        <w:t>the criminal prosecution of the facts that constitute a violation of the Covenant</w:t>
      </w:r>
      <w:r w:rsidR="00E53D6E">
        <w:t>.</w:t>
      </w:r>
      <w:r w:rsidR="004F7D55" w:rsidRPr="008769B1">
        <w:t xml:space="preserve"> </w:t>
      </w:r>
    </w:p>
    <w:p w:rsidR="001B0C11" w:rsidRPr="00655115" w:rsidRDefault="001B0C11" w:rsidP="00655115">
      <w:pPr>
        <w:pStyle w:val="SingleTxtG"/>
      </w:pPr>
      <w:r w:rsidRPr="00655115">
        <w:t>11.</w:t>
      </w:r>
      <w:r w:rsidRPr="00655115">
        <w:tab/>
        <w:t xml:space="preserve">Bearing in mind that, by becoming a party to the Optional Protocol, the State party has recognized the competence of the Committee to determine whether or not there has </w:t>
      </w:r>
      <w:r w:rsidRPr="00655115">
        <w:lastRenderedPageBreak/>
        <w:t xml:space="preserve">been a violation of the Covenant and that, pursuant to </w:t>
      </w:r>
      <w:r w:rsidR="00DB7E8D">
        <w:t>article </w:t>
      </w:r>
      <w:r w:rsidRPr="00655115">
        <w:t>2 of the Covenant, the State party has undertaken to ensure for all individuals within its territory</w:t>
      </w:r>
      <w:r w:rsidR="00B6796E">
        <w:t>,</w:t>
      </w:r>
      <w:r w:rsidRPr="00655115">
        <w:t xml:space="preserve"> or subject to its jurisdiction</w:t>
      </w:r>
      <w:r w:rsidR="00B6796E">
        <w:t>,</w:t>
      </w:r>
      <w:r w:rsidRPr="00655115">
        <w:t xml:space="preserve"> the rights recognized in the Covenant and to provide an effective and enforceable remedy when a violation has been established, the Committee wishes to receive from the State party, within 180 days, information concerning the measures taken to give effect to the Committee’s Views. The State party is also requested to publish the present Views and disseminate them </w:t>
      </w:r>
      <w:r w:rsidR="00B6796E">
        <w:t xml:space="preserve">widely </w:t>
      </w:r>
      <w:r w:rsidRPr="00655115">
        <w:t>in the official languages of the State party.</w:t>
      </w:r>
    </w:p>
    <w:p w:rsidR="001B0C11" w:rsidRPr="00DB4E54" w:rsidRDefault="00DB4E54" w:rsidP="00DB4E54">
      <w:pPr>
        <w:spacing w:before="240"/>
        <w:ind w:left="1134" w:right="1134"/>
        <w:jc w:val="center"/>
        <w:rPr>
          <w:rFonts w:eastAsia="Times New Roman"/>
          <w:u w:val="single"/>
        </w:rPr>
      </w:pPr>
      <w:r>
        <w:rPr>
          <w:rFonts w:eastAsia="Times New Roman"/>
          <w:u w:val="single"/>
        </w:rPr>
        <w:tab/>
      </w:r>
      <w:r>
        <w:rPr>
          <w:rFonts w:eastAsia="Times New Roman"/>
          <w:u w:val="single"/>
        </w:rPr>
        <w:tab/>
      </w:r>
      <w:r>
        <w:rPr>
          <w:rFonts w:eastAsia="Times New Roman"/>
          <w:u w:val="single"/>
        </w:rPr>
        <w:tab/>
      </w:r>
    </w:p>
    <w:sectPr w:rsidR="001B0C11" w:rsidRPr="00DB4E54" w:rsidSect="003B3757">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1B1" w:rsidRDefault="00E941B1"/>
  </w:endnote>
  <w:endnote w:type="continuationSeparator" w:id="0">
    <w:p w:rsidR="00E941B1" w:rsidRDefault="00E941B1"/>
  </w:endnote>
  <w:endnote w:type="continuationNotice" w:id="1">
    <w:p w:rsidR="00E941B1" w:rsidRDefault="00E94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0000000" w:usb2="01000407"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C9" w:rsidRPr="00742D24" w:rsidRDefault="00C756C9" w:rsidP="00AC234C">
    <w:pPr>
      <w:pStyle w:val="Footer"/>
      <w:tabs>
        <w:tab w:val="right" w:pos="9598"/>
      </w:tabs>
    </w:pPr>
    <w:r w:rsidRPr="00742D24">
      <w:rPr>
        <w:b/>
        <w:sz w:val="18"/>
      </w:rPr>
      <w:fldChar w:fldCharType="begin"/>
    </w:r>
    <w:r w:rsidRPr="00742D24">
      <w:rPr>
        <w:b/>
        <w:sz w:val="18"/>
      </w:rPr>
      <w:instrText xml:space="preserve"> PAGE  \* MERGEFORMAT </w:instrText>
    </w:r>
    <w:r w:rsidRPr="00742D24">
      <w:rPr>
        <w:b/>
        <w:sz w:val="18"/>
      </w:rPr>
      <w:fldChar w:fldCharType="separate"/>
    </w:r>
    <w:r w:rsidR="00023C0E">
      <w:rPr>
        <w:b/>
        <w:noProof/>
        <w:sz w:val="18"/>
      </w:rPr>
      <w:t>2</w:t>
    </w:r>
    <w:r w:rsidRPr="00742D2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C9" w:rsidRPr="00742D24" w:rsidRDefault="00C756C9" w:rsidP="00AC234C">
    <w:pPr>
      <w:pStyle w:val="Footer"/>
      <w:tabs>
        <w:tab w:val="right" w:pos="9598"/>
      </w:tabs>
      <w:rPr>
        <w:b/>
        <w:sz w:val="18"/>
      </w:rPr>
    </w:pPr>
    <w:r>
      <w:tab/>
    </w:r>
    <w:r w:rsidRPr="00742D24">
      <w:rPr>
        <w:b/>
        <w:sz w:val="18"/>
      </w:rPr>
      <w:fldChar w:fldCharType="begin"/>
    </w:r>
    <w:r w:rsidRPr="00742D24">
      <w:rPr>
        <w:b/>
        <w:sz w:val="18"/>
      </w:rPr>
      <w:instrText xml:space="preserve"> PAGE  \* MERGEFORMAT </w:instrText>
    </w:r>
    <w:r w:rsidRPr="00742D24">
      <w:rPr>
        <w:b/>
        <w:sz w:val="18"/>
      </w:rPr>
      <w:fldChar w:fldCharType="separate"/>
    </w:r>
    <w:r w:rsidR="00023C0E">
      <w:rPr>
        <w:b/>
        <w:noProof/>
        <w:sz w:val="18"/>
      </w:rPr>
      <w:t>3</w:t>
    </w:r>
    <w:r w:rsidRPr="00742D2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C9" w:rsidRDefault="00E941B1">
    <w:pPr>
      <w:pStyle w:val="Footer"/>
    </w:pPr>
    <w:r>
      <w:rPr>
        <w:noProof/>
        <w:sz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C756C9">
      <w:rPr>
        <w:sz w:val="20"/>
      </w:rPr>
      <w:t>GE.14-</w:t>
    </w:r>
    <w:r w:rsidR="001E6D54">
      <w:rPr>
        <w:sz w:val="20"/>
      </w:rPr>
      <w:t>22802</w:t>
    </w:r>
    <w:r w:rsidR="00CE1B8B">
      <w:rPr>
        <w:sz w:val="20"/>
      </w:rPr>
      <w:t xml:space="preserve">  (E)</w:t>
    </w:r>
    <w:r w:rsidR="00CE1B8B">
      <w:rPr>
        <w:sz w:val="20"/>
      </w:rPr>
      <w:br/>
    </w:r>
    <w:r w:rsidR="00CE1B8B" w:rsidRPr="00CE1B8B">
      <w:rPr>
        <w:rFonts w:ascii="C39T30Lfz" w:hAnsi="C39T30Lfz"/>
        <w:sz w:val="56"/>
      </w:rPr>
      <w:t></w:t>
    </w:r>
    <w:r w:rsidR="00CE1B8B" w:rsidRPr="00CE1B8B">
      <w:rPr>
        <w:rFonts w:ascii="C39T30Lfz" w:hAnsi="C39T30Lfz"/>
        <w:sz w:val="56"/>
      </w:rPr>
      <w:t></w:t>
    </w:r>
    <w:r w:rsidR="00CE1B8B" w:rsidRPr="00CE1B8B">
      <w:rPr>
        <w:rFonts w:ascii="C39T30Lfz" w:hAnsi="C39T30Lfz"/>
        <w:sz w:val="56"/>
      </w:rPr>
      <w:t></w:t>
    </w:r>
    <w:r w:rsidR="00CE1B8B" w:rsidRPr="00CE1B8B">
      <w:rPr>
        <w:rFonts w:ascii="C39T30Lfz" w:hAnsi="C39T30Lfz"/>
        <w:sz w:val="56"/>
      </w:rPr>
      <w:t></w:t>
    </w:r>
    <w:r w:rsidR="00CE1B8B" w:rsidRPr="00CE1B8B">
      <w:rPr>
        <w:rFonts w:ascii="C39T30Lfz" w:hAnsi="C39T30Lfz"/>
        <w:sz w:val="56"/>
      </w:rPr>
      <w:t></w:t>
    </w:r>
    <w:r w:rsidR="00CE1B8B" w:rsidRPr="00CE1B8B">
      <w:rPr>
        <w:rFonts w:ascii="C39T30Lfz" w:hAnsi="C39T30Lfz"/>
        <w:sz w:val="56"/>
      </w:rPr>
      <w:t></w:t>
    </w:r>
    <w:r w:rsidR="00CE1B8B" w:rsidRPr="00CE1B8B">
      <w:rPr>
        <w:rFonts w:ascii="C39T30Lfz" w:hAnsi="C39T30Lfz"/>
        <w:sz w:val="56"/>
      </w:rPr>
      <w:t></w:t>
    </w:r>
    <w:r w:rsidR="00CE1B8B" w:rsidRPr="00CE1B8B">
      <w:rPr>
        <w:rFonts w:ascii="C39T30Lfz" w:hAnsi="C39T30Lfz"/>
        <w:sz w:val="56"/>
      </w:rPr>
      <w:t></w:t>
    </w:r>
    <w:r w:rsidR="00CE1B8B" w:rsidRPr="00CE1B8B">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1B1" w:rsidRPr="000B175B" w:rsidRDefault="00E941B1" w:rsidP="000B175B">
      <w:pPr>
        <w:tabs>
          <w:tab w:val="right" w:pos="2155"/>
        </w:tabs>
        <w:spacing w:after="80"/>
        <w:ind w:left="680"/>
        <w:rPr>
          <w:u w:val="single"/>
        </w:rPr>
      </w:pPr>
      <w:r>
        <w:rPr>
          <w:u w:val="single"/>
        </w:rPr>
        <w:tab/>
      </w:r>
    </w:p>
  </w:footnote>
  <w:footnote w:type="continuationSeparator" w:id="0">
    <w:p w:rsidR="00E941B1" w:rsidRPr="00FC68B7" w:rsidRDefault="00E941B1" w:rsidP="00FC68B7">
      <w:pPr>
        <w:tabs>
          <w:tab w:val="left" w:pos="2155"/>
        </w:tabs>
        <w:spacing w:after="80"/>
        <w:ind w:left="680"/>
        <w:rPr>
          <w:u w:val="single"/>
        </w:rPr>
      </w:pPr>
      <w:r>
        <w:rPr>
          <w:u w:val="single"/>
        </w:rPr>
        <w:tab/>
      </w:r>
    </w:p>
  </w:footnote>
  <w:footnote w:type="continuationNotice" w:id="1">
    <w:p w:rsidR="00E941B1" w:rsidRDefault="00E941B1"/>
  </w:footnote>
  <w:footnote w:id="2">
    <w:p w:rsidR="00C756C9" w:rsidRPr="00C55773" w:rsidRDefault="00C756C9" w:rsidP="00C55773">
      <w:pPr>
        <w:pStyle w:val="FootnoteText"/>
        <w:rPr>
          <w:lang w:val="fr-CH"/>
        </w:rPr>
      </w:pPr>
      <w:r>
        <w:rPr>
          <w:rStyle w:val="FootnoteReference"/>
        </w:rPr>
        <w:tab/>
      </w:r>
      <w:r w:rsidRPr="00C55773">
        <w:rPr>
          <w:rStyle w:val="FootnoteReference"/>
          <w:sz w:val="20"/>
          <w:vertAlign w:val="baseline"/>
        </w:rPr>
        <w:t>*</w:t>
      </w:r>
      <w:r>
        <w:rPr>
          <w:rStyle w:val="FootnoteReference"/>
          <w:sz w:val="20"/>
          <w:vertAlign w:val="baseline"/>
        </w:rPr>
        <w:tab/>
      </w:r>
      <w:r w:rsidRPr="00CC4AB8">
        <w:rPr>
          <w:szCs w:val="18"/>
        </w:rPr>
        <w:t xml:space="preserve">The following members of the Committee participated in the examination of the present communication: Yadh Ben Achour, </w:t>
      </w:r>
      <w:r>
        <w:rPr>
          <w:szCs w:val="18"/>
        </w:rPr>
        <w:t xml:space="preserve">Lazhari Bouzid, </w:t>
      </w:r>
      <w:r w:rsidRPr="00CC4AB8">
        <w:rPr>
          <w:bCs/>
          <w:szCs w:val="18"/>
          <w:lang w:val="en-US"/>
        </w:rPr>
        <w:t xml:space="preserve">Christine Chanet, Ahmed Amin Fathalla, </w:t>
      </w:r>
      <w:r w:rsidRPr="00CC4AB8">
        <w:rPr>
          <w:bCs/>
          <w:szCs w:val="18"/>
        </w:rPr>
        <w:t xml:space="preserve">Cornelis Flinterman, </w:t>
      </w:r>
      <w:r w:rsidRPr="00CC4AB8">
        <w:rPr>
          <w:bCs/>
          <w:szCs w:val="18"/>
          <w:lang w:val="en-US"/>
        </w:rPr>
        <w:t xml:space="preserve">Yuji Iwasawa, </w:t>
      </w:r>
      <w:r>
        <w:rPr>
          <w:bCs/>
          <w:szCs w:val="18"/>
          <w:lang w:val="en-US"/>
        </w:rPr>
        <w:t xml:space="preserve">Walter Kälin, </w:t>
      </w:r>
      <w:r w:rsidRPr="00CC4AB8">
        <w:rPr>
          <w:bCs/>
          <w:szCs w:val="18"/>
        </w:rPr>
        <w:t xml:space="preserve">Zonke Zanele Majodina, Gerald Neuman, </w:t>
      </w:r>
      <w:r>
        <w:rPr>
          <w:bCs/>
          <w:szCs w:val="18"/>
        </w:rPr>
        <w:t xml:space="preserve">Sir Nigel Rodley, </w:t>
      </w:r>
      <w:r w:rsidRPr="00CC4AB8">
        <w:rPr>
          <w:bCs/>
          <w:szCs w:val="18"/>
        </w:rPr>
        <w:t>Victor Manuel Rodríguez-Rescia,</w:t>
      </w:r>
      <w:r w:rsidRPr="00CC4AB8">
        <w:rPr>
          <w:bCs/>
          <w:szCs w:val="18"/>
          <w:lang w:val="en-US"/>
        </w:rPr>
        <w:t xml:space="preserve"> </w:t>
      </w:r>
      <w:r w:rsidRPr="00CC4AB8">
        <w:rPr>
          <w:bCs/>
          <w:szCs w:val="18"/>
        </w:rPr>
        <w:t>Fabián Omar Salvioli, Anja Seibert-Fohr, Dheerujlall Seetulsingh</w:t>
      </w:r>
      <w:r>
        <w:rPr>
          <w:bCs/>
          <w:szCs w:val="18"/>
        </w:rPr>
        <w:t xml:space="preserve">, </w:t>
      </w:r>
      <w:r w:rsidRPr="00CC4AB8">
        <w:rPr>
          <w:bCs/>
          <w:szCs w:val="18"/>
        </w:rPr>
        <w:t xml:space="preserve">Yuval Shany, Konstantine Vardzelashvili, Margo Waterval </w:t>
      </w:r>
      <w:r>
        <w:rPr>
          <w:bCs/>
          <w:szCs w:val="18"/>
        </w:rPr>
        <w:br/>
        <w:t>and Andrei Paul Zlătescu.</w:t>
      </w:r>
    </w:p>
  </w:footnote>
  <w:footnote w:id="3">
    <w:p w:rsidR="00C756C9" w:rsidRPr="00ED65FE" w:rsidRDefault="00C756C9" w:rsidP="00DD6853">
      <w:pPr>
        <w:pStyle w:val="FootnoteText"/>
        <w:rPr>
          <w:rFonts w:eastAsia="Times New Roman"/>
          <w:lang w:val="en-US"/>
        </w:rPr>
      </w:pPr>
      <w:r>
        <w:tab/>
      </w:r>
      <w:r w:rsidRPr="00DB7E8D">
        <w:rPr>
          <w:rStyle w:val="FootnoteReference"/>
        </w:rPr>
        <w:footnoteRef/>
      </w:r>
      <w:r>
        <w:tab/>
      </w:r>
      <w:r w:rsidRPr="00ED65FE">
        <w:t xml:space="preserve">The author refers to the </w:t>
      </w:r>
      <w:r>
        <w:t xml:space="preserve">report of the </w:t>
      </w:r>
      <w:r w:rsidRPr="00ED65FE">
        <w:t xml:space="preserve">Working Group on Enforced or Involuntary Disappearances on </w:t>
      </w:r>
      <w:r>
        <w:t>its</w:t>
      </w:r>
      <w:r w:rsidRPr="00ED65FE">
        <w:t xml:space="preserve"> visit t</w:t>
      </w:r>
      <w:r>
        <w:t>o Nepal (</w:t>
      </w:r>
      <w:r w:rsidRPr="0017370E">
        <w:t>E/CN.4/2005/65/Add.1</w:t>
      </w:r>
      <w:r>
        <w:t>), para. </w:t>
      </w:r>
      <w:r w:rsidRPr="00ED65FE">
        <w:t>25</w:t>
      </w:r>
      <w:r>
        <w:t>;</w:t>
      </w:r>
      <w:r w:rsidRPr="00ED65FE">
        <w:t xml:space="preserve"> and the repo</w:t>
      </w:r>
      <w:r>
        <w:t>rt of the Special Rapporteur on torture and other cruel, inhuman or degrading treatment or punishment on his visit to Nepal (</w:t>
      </w:r>
      <w:r w:rsidRPr="0017370E">
        <w:t>E/CN.4/2006/6/Add.5</w:t>
      </w:r>
      <w:r>
        <w:t>), para. </w:t>
      </w:r>
      <w:r w:rsidRPr="00ED65FE">
        <w:t>17</w:t>
      </w:r>
      <w:r>
        <w:t>.</w:t>
      </w:r>
    </w:p>
  </w:footnote>
  <w:footnote w:id="4">
    <w:p w:rsidR="00C756C9" w:rsidRPr="00ED65FE" w:rsidRDefault="00C756C9" w:rsidP="00DD6853">
      <w:pPr>
        <w:pStyle w:val="FootnoteText"/>
        <w:rPr>
          <w:rFonts w:eastAsia="Times New Roman"/>
          <w:i/>
          <w:lang w:val="en-US"/>
        </w:rPr>
      </w:pPr>
      <w:r>
        <w:tab/>
      </w:r>
      <w:r w:rsidRPr="00DB7E8D">
        <w:rPr>
          <w:rStyle w:val="FootnoteReference"/>
        </w:rPr>
        <w:footnoteRef/>
      </w:r>
      <w:r>
        <w:tab/>
      </w:r>
      <w:r w:rsidRPr="00ED65FE">
        <w:t xml:space="preserve">The author refers to the Committee’s jurisprudence concerning </w:t>
      </w:r>
      <w:r>
        <w:t>communication No. </w:t>
      </w:r>
      <w:r w:rsidRPr="0057596A">
        <w:t xml:space="preserve">1469/2006, </w:t>
      </w:r>
      <w:r w:rsidRPr="00DB7E8D">
        <w:rPr>
          <w:i/>
          <w:iCs/>
        </w:rPr>
        <w:t xml:space="preserve">Sharma </w:t>
      </w:r>
      <w:r w:rsidRPr="00B439F8">
        <w:rPr>
          <w:iCs/>
        </w:rPr>
        <w:t>v.</w:t>
      </w:r>
      <w:r w:rsidRPr="00DB7E8D">
        <w:rPr>
          <w:i/>
          <w:iCs/>
        </w:rPr>
        <w:t xml:space="preserve"> Nepal</w:t>
      </w:r>
      <w:r w:rsidRPr="0057596A">
        <w:t>, Views a</w:t>
      </w:r>
      <w:r>
        <w:t>dopted on 28 October 2008, para. </w:t>
      </w:r>
      <w:r w:rsidRPr="0057596A">
        <w:t>6.3.</w:t>
      </w:r>
    </w:p>
  </w:footnote>
  <w:footnote w:id="5">
    <w:p w:rsidR="00C756C9" w:rsidRPr="00ED65FE" w:rsidRDefault="00C756C9" w:rsidP="00DB7E8D">
      <w:pPr>
        <w:pStyle w:val="FootnoteText"/>
        <w:rPr>
          <w:rFonts w:eastAsia="Times New Roman"/>
          <w:lang w:val="en-US"/>
        </w:rPr>
      </w:pPr>
      <w:r>
        <w:tab/>
      </w:r>
      <w:r w:rsidRPr="00DB7E8D">
        <w:rPr>
          <w:rStyle w:val="FootnoteReference"/>
        </w:rPr>
        <w:footnoteRef/>
      </w:r>
      <w:r>
        <w:tab/>
      </w:r>
      <w:r w:rsidRPr="00ED65FE">
        <w:t xml:space="preserve">The author refers to </w:t>
      </w:r>
      <w:r w:rsidRPr="00ED65FE">
        <w:rPr>
          <w:lang w:val="en-US"/>
        </w:rPr>
        <w:t>E/CN.4/2006/6/Add.5</w:t>
      </w:r>
      <w:r>
        <w:rPr>
          <w:lang w:val="en-US"/>
        </w:rPr>
        <w:t>,</w:t>
      </w:r>
      <w:r w:rsidRPr="00ED65FE">
        <w:rPr>
          <w:lang w:val="en-US"/>
        </w:rPr>
        <w:t xml:space="preserve"> </w:t>
      </w:r>
      <w:r>
        <w:t xml:space="preserve">paras. 3 and </w:t>
      </w:r>
      <w:r w:rsidRPr="00ED65FE">
        <w:t>26</w:t>
      </w:r>
      <w:r>
        <w:t>;</w:t>
      </w:r>
      <w:r w:rsidRPr="00ED65FE">
        <w:t xml:space="preserve"> and concluding observations </w:t>
      </w:r>
      <w:r>
        <w:t>of the Committee against Torture,</w:t>
      </w:r>
      <w:r w:rsidRPr="00ED65FE">
        <w:t xml:space="preserve"> CAT/C/N</w:t>
      </w:r>
      <w:r>
        <w:t>PL/CO/2, paras. </w:t>
      </w:r>
      <w:r w:rsidRPr="00ED65FE">
        <w:t>13 and 24.</w:t>
      </w:r>
    </w:p>
  </w:footnote>
  <w:footnote w:id="6">
    <w:p w:rsidR="00C756C9" w:rsidRPr="000115A5" w:rsidRDefault="00C756C9" w:rsidP="00DD6853">
      <w:pPr>
        <w:pStyle w:val="FootnoteText"/>
        <w:rPr>
          <w:rFonts w:eastAsia="Times New Roman"/>
          <w:lang w:val="en-US"/>
        </w:rPr>
      </w:pPr>
      <w:r>
        <w:tab/>
      </w:r>
      <w:r w:rsidRPr="00DB7E8D">
        <w:rPr>
          <w:rStyle w:val="FootnoteReference"/>
        </w:rPr>
        <w:footnoteRef/>
      </w:r>
      <w:r>
        <w:tab/>
      </w:r>
      <w:r w:rsidRPr="00FD53FC">
        <w:t xml:space="preserve"> CAT/C/NPL/CO/2, paras. 28 and 31.</w:t>
      </w:r>
    </w:p>
  </w:footnote>
  <w:footnote w:id="7">
    <w:p w:rsidR="00C756C9" w:rsidRPr="00ED65FE" w:rsidRDefault="00C756C9" w:rsidP="00DD6853">
      <w:pPr>
        <w:pStyle w:val="FootnoteText"/>
        <w:rPr>
          <w:rFonts w:eastAsia="Times New Roman"/>
          <w:lang w:val="en-US"/>
        </w:rPr>
      </w:pPr>
      <w:r>
        <w:tab/>
      </w:r>
      <w:r w:rsidRPr="00DB7E8D">
        <w:rPr>
          <w:rStyle w:val="FootnoteReference"/>
        </w:rPr>
        <w:footnoteRef/>
      </w:r>
      <w:r>
        <w:tab/>
        <w:t xml:space="preserve">See </w:t>
      </w:r>
      <w:r w:rsidRPr="0017370E">
        <w:t>E/CN.4/2005/65/Add.1</w:t>
      </w:r>
      <w:r w:rsidRPr="000115A5">
        <w:t>,</w:t>
      </w:r>
      <w:r>
        <w:t xml:space="preserve"> paras. </w:t>
      </w:r>
      <w:r w:rsidRPr="00ED65FE">
        <w:rPr>
          <w:lang w:val="pt-BR"/>
        </w:rPr>
        <w:t>40-42.</w:t>
      </w:r>
    </w:p>
  </w:footnote>
  <w:footnote w:id="8">
    <w:p w:rsidR="00C756C9" w:rsidRPr="00597BAE" w:rsidRDefault="00C756C9" w:rsidP="00DD6853">
      <w:pPr>
        <w:pStyle w:val="FootnoteText"/>
      </w:pPr>
      <w:r>
        <w:tab/>
      </w:r>
      <w:r w:rsidRPr="00597BAE">
        <w:rPr>
          <w:rStyle w:val="FootnoteReference"/>
          <w:szCs w:val="18"/>
        </w:rPr>
        <w:footnoteRef/>
      </w:r>
      <w:r>
        <w:tab/>
      </w:r>
      <w:r w:rsidRPr="00597BAE">
        <w:t xml:space="preserve">The author refers to </w:t>
      </w:r>
      <w:r w:rsidR="00DC1361" w:rsidRPr="00DC1361">
        <w:t>general</w:t>
      </w:r>
      <w:r w:rsidR="00DC1361" w:rsidRPr="00DC1361">
        <w:rPr>
          <w:spacing w:val="5"/>
        </w:rPr>
        <w:t xml:space="preserve"> </w:t>
      </w:r>
      <w:r w:rsidR="00DC1361" w:rsidRPr="00DC1361">
        <w:t>comment</w:t>
      </w:r>
      <w:r w:rsidR="00DC1361" w:rsidRPr="00DC1361">
        <w:rPr>
          <w:spacing w:val="4"/>
        </w:rPr>
        <w:t xml:space="preserve"> </w:t>
      </w:r>
      <w:r w:rsidR="00DC1361">
        <w:rPr>
          <w:spacing w:val="4"/>
        </w:rPr>
        <w:t xml:space="preserve">No. 10 (2010) of the Working Group on Enforced or Involuntary Disappearances </w:t>
      </w:r>
      <w:r w:rsidRPr="00B439F8">
        <w:t>on</w:t>
      </w:r>
      <w:r w:rsidRPr="00B439F8">
        <w:rPr>
          <w:spacing w:val="5"/>
        </w:rPr>
        <w:t xml:space="preserve"> </w:t>
      </w:r>
      <w:r w:rsidRPr="00B439F8">
        <w:t>the</w:t>
      </w:r>
      <w:r w:rsidRPr="00B439F8">
        <w:rPr>
          <w:spacing w:val="4"/>
        </w:rPr>
        <w:t xml:space="preserve"> </w:t>
      </w:r>
      <w:r w:rsidR="00DC1361" w:rsidRPr="00DC1361">
        <w:t>right</w:t>
      </w:r>
      <w:r w:rsidR="00DC1361" w:rsidRPr="00DC1361">
        <w:rPr>
          <w:spacing w:val="5"/>
        </w:rPr>
        <w:t xml:space="preserve"> </w:t>
      </w:r>
      <w:r w:rsidR="00DC1361" w:rsidRPr="00DC1361">
        <w:t>to</w:t>
      </w:r>
      <w:r w:rsidR="00DC1361" w:rsidRPr="00DC1361">
        <w:rPr>
          <w:spacing w:val="4"/>
        </w:rPr>
        <w:t xml:space="preserve"> </w:t>
      </w:r>
      <w:r w:rsidR="00DC1361" w:rsidRPr="00DC1361">
        <w:t>know</w:t>
      </w:r>
      <w:r w:rsidR="00DC1361" w:rsidRPr="00DC1361">
        <w:rPr>
          <w:spacing w:val="5"/>
        </w:rPr>
        <w:t xml:space="preserve"> </w:t>
      </w:r>
      <w:r w:rsidR="00DC1361" w:rsidRPr="00DC1361">
        <w:t>the</w:t>
      </w:r>
      <w:r w:rsidR="00DC1361" w:rsidRPr="00DC1361">
        <w:rPr>
          <w:spacing w:val="1"/>
        </w:rPr>
        <w:t xml:space="preserve"> </w:t>
      </w:r>
      <w:r w:rsidR="00DC1361" w:rsidRPr="00DC1361">
        <w:rPr>
          <w:spacing w:val="-2"/>
        </w:rPr>
        <w:t>truth</w:t>
      </w:r>
      <w:r w:rsidR="00DC1361" w:rsidRPr="00DC1361">
        <w:rPr>
          <w:spacing w:val="4"/>
        </w:rPr>
        <w:t xml:space="preserve"> </w:t>
      </w:r>
      <w:r w:rsidR="00DC1361" w:rsidRPr="00DC1361">
        <w:t>in</w:t>
      </w:r>
      <w:r w:rsidR="00DC1361" w:rsidRPr="00DC1361">
        <w:rPr>
          <w:spacing w:val="5"/>
        </w:rPr>
        <w:t xml:space="preserve"> </w:t>
      </w:r>
      <w:r w:rsidR="00DC1361" w:rsidRPr="00DC1361">
        <w:t>relation</w:t>
      </w:r>
      <w:r w:rsidR="00DC1361" w:rsidRPr="00DC1361">
        <w:rPr>
          <w:spacing w:val="4"/>
        </w:rPr>
        <w:t xml:space="preserve"> </w:t>
      </w:r>
      <w:r w:rsidR="00DC1361" w:rsidRPr="00DC1361">
        <w:t>to</w:t>
      </w:r>
      <w:r w:rsidR="00DC1361" w:rsidRPr="00DC1361">
        <w:rPr>
          <w:spacing w:val="5"/>
        </w:rPr>
        <w:t xml:space="preserve"> </w:t>
      </w:r>
      <w:r w:rsidR="00DC1361" w:rsidRPr="00DC1361">
        <w:t>enforced</w:t>
      </w:r>
      <w:r w:rsidR="00DC1361" w:rsidRPr="00DC1361">
        <w:rPr>
          <w:spacing w:val="5"/>
        </w:rPr>
        <w:t xml:space="preserve"> </w:t>
      </w:r>
      <w:r w:rsidR="00DC1361" w:rsidRPr="002E163D">
        <w:rPr>
          <w:spacing w:val="-1"/>
        </w:rPr>
        <w:t>disappearances</w:t>
      </w:r>
      <w:r w:rsidRPr="00DC1361">
        <w:rPr>
          <w:spacing w:val="-1"/>
        </w:rPr>
        <w:t>,</w:t>
      </w:r>
      <w:r w:rsidRPr="00DC1361">
        <w:rPr>
          <w:spacing w:val="4"/>
        </w:rPr>
        <w:t xml:space="preserve"> </w:t>
      </w:r>
      <w:r>
        <w:t>para. </w:t>
      </w:r>
      <w:r w:rsidRPr="00597BAE">
        <w:t>3.</w:t>
      </w:r>
    </w:p>
  </w:footnote>
  <w:footnote w:id="9">
    <w:p w:rsidR="00C756C9" w:rsidRPr="0025767B" w:rsidRDefault="00C756C9" w:rsidP="00DD6853">
      <w:pPr>
        <w:pStyle w:val="FootnoteText"/>
      </w:pPr>
      <w:r>
        <w:tab/>
      </w:r>
      <w:r>
        <w:rPr>
          <w:rStyle w:val="FootnoteReference"/>
        </w:rPr>
        <w:footnoteRef/>
      </w:r>
      <w:r>
        <w:tab/>
        <w:t>See communication No. </w:t>
      </w:r>
      <w:r w:rsidRPr="00F53979">
        <w:t xml:space="preserve">1761/2008, </w:t>
      </w:r>
      <w:r w:rsidRPr="00F53979">
        <w:rPr>
          <w:i/>
        </w:rPr>
        <w:t xml:space="preserve">Giri </w:t>
      </w:r>
      <w:r w:rsidRPr="00B439F8">
        <w:t>v.</w:t>
      </w:r>
      <w:r w:rsidRPr="00F53979">
        <w:rPr>
          <w:i/>
        </w:rPr>
        <w:t xml:space="preserve"> Nepal</w:t>
      </w:r>
      <w:r w:rsidRPr="00F53979">
        <w:t xml:space="preserve">, </w:t>
      </w:r>
      <w:r>
        <w:t>Views adopted on 24 March 2011, para. </w:t>
      </w:r>
      <w:r w:rsidRPr="0025767B">
        <w:t>6.3</w:t>
      </w:r>
      <w:r>
        <w:t>.</w:t>
      </w:r>
    </w:p>
  </w:footnote>
  <w:footnote w:id="10">
    <w:p w:rsidR="00C756C9" w:rsidRPr="008D3F93" w:rsidRDefault="00C756C9" w:rsidP="00DD6853">
      <w:pPr>
        <w:pStyle w:val="FootnoteText"/>
      </w:pPr>
      <w:r>
        <w:tab/>
      </w:r>
      <w:r w:rsidRPr="009D5CB9">
        <w:rPr>
          <w:rStyle w:val="FootnoteReference"/>
        </w:rPr>
        <w:footnoteRef/>
      </w:r>
      <w:r>
        <w:tab/>
      </w:r>
      <w:r w:rsidR="0092021A">
        <w:t>See c</w:t>
      </w:r>
      <w:r>
        <w:t>ommunication No. </w:t>
      </w:r>
      <w:r w:rsidRPr="005E26D5">
        <w:t xml:space="preserve">1905/2009, </w:t>
      </w:r>
      <w:r w:rsidRPr="00DB7E8D">
        <w:rPr>
          <w:i/>
          <w:iCs/>
        </w:rPr>
        <w:t xml:space="preserve">Khirani </w:t>
      </w:r>
      <w:r w:rsidRPr="00B439F8">
        <w:rPr>
          <w:iCs/>
        </w:rPr>
        <w:t>v.</w:t>
      </w:r>
      <w:r w:rsidRPr="00DB7E8D">
        <w:rPr>
          <w:i/>
          <w:iCs/>
        </w:rPr>
        <w:t xml:space="preserve"> Algeria</w:t>
      </w:r>
      <w:r>
        <w:t xml:space="preserve">, </w:t>
      </w:r>
      <w:r w:rsidRPr="005E26D5">
        <w:t>Views adopte</w:t>
      </w:r>
      <w:r>
        <w:t>d on 26 March 2012, para. </w:t>
      </w:r>
      <w:r w:rsidRPr="008D3F93">
        <w:t>7.</w:t>
      </w:r>
      <w:r w:rsidR="0092021A">
        <w:t>9.</w:t>
      </w:r>
    </w:p>
  </w:footnote>
  <w:footnote w:id="11">
    <w:p w:rsidR="00C756C9" w:rsidRPr="0054223B" w:rsidRDefault="00C756C9" w:rsidP="00DD6853">
      <w:pPr>
        <w:pStyle w:val="FootnoteText"/>
      </w:pPr>
      <w:r>
        <w:tab/>
      </w:r>
      <w:r>
        <w:rPr>
          <w:rStyle w:val="FootnoteReference"/>
        </w:rPr>
        <w:footnoteRef/>
      </w:r>
      <w:r>
        <w:tab/>
      </w:r>
      <w:r w:rsidR="00B6796E">
        <w:t>See c</w:t>
      </w:r>
      <w:r>
        <w:t>ommunication No. </w:t>
      </w:r>
      <w:r w:rsidRPr="0054223B">
        <w:t xml:space="preserve">1900/2009, </w:t>
      </w:r>
      <w:r w:rsidRPr="00DB7E8D">
        <w:rPr>
          <w:i/>
          <w:iCs/>
        </w:rPr>
        <w:t>Mehalli v. Algeria</w:t>
      </w:r>
      <w:r w:rsidRPr="0054223B">
        <w:t xml:space="preserve">, Views </w:t>
      </w:r>
      <w:r>
        <w:t>adopted on 21 March 2014, para. 7.11.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C9" w:rsidRPr="00742D24" w:rsidRDefault="00C756C9" w:rsidP="00AC234C">
    <w:pPr>
      <w:pStyle w:val="Header"/>
    </w:pPr>
    <w:r>
      <w:t>CCPR/C/112/D/2031/2011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C9" w:rsidRPr="00742D24" w:rsidRDefault="00C756C9" w:rsidP="00AC234C">
    <w:pPr>
      <w:pStyle w:val="Header"/>
      <w:jc w:val="right"/>
    </w:pPr>
    <w:r>
      <w:t>CCPR/C/112/D/2031/2011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09111D"/>
    <w:multiLevelType w:val="hybridMultilevel"/>
    <w:tmpl w:val="535A20C6"/>
    <w:lvl w:ilvl="0" w:tplc="857A2420">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375C61"/>
    <w:multiLevelType w:val="hybridMultilevel"/>
    <w:tmpl w:val="7F9C194E"/>
    <w:lvl w:ilvl="0" w:tplc="857A2420">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E50CDE"/>
    <w:multiLevelType w:val="hybridMultilevel"/>
    <w:tmpl w:val="BF70A274"/>
    <w:lvl w:ilvl="0" w:tplc="857A2420">
      <w:start w:val="1"/>
      <w:numFmt w:val="lowerRoman"/>
      <w:lvlText w:val="(%1)"/>
      <w:lvlJc w:val="left"/>
      <w:pPr>
        <w:tabs>
          <w:tab w:val="num" w:pos="1701"/>
        </w:tabs>
        <w:ind w:left="1701" w:hanging="17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8E2405"/>
    <w:multiLevelType w:val="hybridMultilevel"/>
    <w:tmpl w:val="04B8561C"/>
    <w:lvl w:ilvl="0" w:tplc="F920F89C">
      <w:start w:val="1"/>
      <w:numFmt w:val="upperRoman"/>
      <w:lvlText w:val="%1."/>
      <w:lvlJc w:val="left"/>
      <w:pPr>
        <w:ind w:left="683" w:hanging="568"/>
      </w:pPr>
      <w:rPr>
        <w:rFonts w:ascii="Arial Narrow" w:eastAsia="Arial Narrow" w:hAnsi="Arial Narrow" w:hint="default"/>
        <w:b/>
        <w:bCs/>
        <w:sz w:val="28"/>
        <w:szCs w:val="28"/>
      </w:rPr>
    </w:lvl>
    <w:lvl w:ilvl="1" w:tplc="033454BA">
      <w:start w:val="1"/>
      <w:numFmt w:val="decimal"/>
      <w:lvlText w:val="%2."/>
      <w:lvlJc w:val="left"/>
      <w:pPr>
        <w:ind w:left="683" w:hanging="564"/>
      </w:pPr>
      <w:rPr>
        <w:rFonts w:ascii="Arial Narrow" w:eastAsia="Arial Narrow" w:hAnsi="Arial Narrow" w:hint="default"/>
        <w:sz w:val="24"/>
        <w:szCs w:val="24"/>
      </w:rPr>
    </w:lvl>
    <w:lvl w:ilvl="2" w:tplc="CCB84ABC">
      <w:start w:val="1"/>
      <w:numFmt w:val="bullet"/>
      <w:lvlText w:val="•"/>
      <w:lvlJc w:val="left"/>
      <w:pPr>
        <w:ind w:left="683" w:hanging="564"/>
      </w:pPr>
      <w:rPr>
        <w:rFonts w:hint="default"/>
      </w:rPr>
    </w:lvl>
    <w:lvl w:ilvl="3" w:tplc="97FAFF00">
      <w:start w:val="1"/>
      <w:numFmt w:val="bullet"/>
      <w:lvlText w:val="•"/>
      <w:lvlJc w:val="left"/>
      <w:pPr>
        <w:ind w:left="1831" w:hanging="564"/>
      </w:pPr>
      <w:rPr>
        <w:rFonts w:hint="default"/>
      </w:rPr>
    </w:lvl>
    <w:lvl w:ilvl="4" w:tplc="67E2A7E2">
      <w:start w:val="1"/>
      <w:numFmt w:val="bullet"/>
      <w:lvlText w:val="•"/>
      <w:lvlJc w:val="left"/>
      <w:pPr>
        <w:ind w:left="2979" w:hanging="564"/>
      </w:pPr>
      <w:rPr>
        <w:rFonts w:hint="default"/>
      </w:rPr>
    </w:lvl>
    <w:lvl w:ilvl="5" w:tplc="FB36F030">
      <w:start w:val="1"/>
      <w:numFmt w:val="bullet"/>
      <w:lvlText w:val="•"/>
      <w:lvlJc w:val="left"/>
      <w:pPr>
        <w:ind w:left="4127" w:hanging="564"/>
      </w:pPr>
      <w:rPr>
        <w:rFonts w:hint="default"/>
      </w:rPr>
    </w:lvl>
    <w:lvl w:ilvl="6" w:tplc="1F58D6E4">
      <w:start w:val="1"/>
      <w:numFmt w:val="bullet"/>
      <w:lvlText w:val="•"/>
      <w:lvlJc w:val="left"/>
      <w:pPr>
        <w:ind w:left="5274" w:hanging="564"/>
      </w:pPr>
      <w:rPr>
        <w:rFonts w:hint="default"/>
      </w:rPr>
    </w:lvl>
    <w:lvl w:ilvl="7" w:tplc="86F0064C">
      <w:start w:val="1"/>
      <w:numFmt w:val="bullet"/>
      <w:lvlText w:val="•"/>
      <w:lvlJc w:val="left"/>
      <w:pPr>
        <w:ind w:left="6422" w:hanging="564"/>
      </w:pPr>
      <w:rPr>
        <w:rFonts w:hint="default"/>
      </w:rPr>
    </w:lvl>
    <w:lvl w:ilvl="8" w:tplc="E2266E5E">
      <w:start w:val="1"/>
      <w:numFmt w:val="bullet"/>
      <w:lvlText w:val="•"/>
      <w:lvlJc w:val="left"/>
      <w:pPr>
        <w:ind w:left="7570" w:hanging="564"/>
      </w:pPr>
      <w:rPr>
        <w:rFonts w:hint="default"/>
      </w:rPr>
    </w:lvl>
  </w:abstractNum>
  <w:abstractNum w:abstractNumId="2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243555"/>
    <w:multiLevelType w:val="hybridMultilevel"/>
    <w:tmpl w:val="7422DF72"/>
    <w:lvl w:ilvl="0" w:tplc="857A2420">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7"/>
  </w:num>
  <w:num w:numId="12">
    <w:abstractNumId w:val="15"/>
  </w:num>
  <w:num w:numId="13">
    <w:abstractNumId w:val="10"/>
  </w:num>
  <w:num w:numId="14">
    <w:abstractNumId w:val="13"/>
  </w:num>
  <w:num w:numId="15">
    <w:abstractNumId w:val="18"/>
  </w:num>
  <w:num w:numId="16">
    <w:abstractNumId w:val="14"/>
  </w:num>
  <w:num w:numId="17">
    <w:abstractNumId w:val="11"/>
  </w:num>
  <w:num w:numId="18">
    <w:abstractNumId w:val="21"/>
  </w:num>
  <w:num w:numId="19">
    <w:abstractNumId w:val="19"/>
  </w:num>
  <w:num w:numId="20">
    <w:abstractNumId w:val="16"/>
  </w:num>
  <w:num w:numId="21">
    <w:abstractNumId w:val="12"/>
  </w:num>
  <w:num w:numId="22">
    <w:abstractNumId w:val="22"/>
  </w:num>
  <w:num w:numId="2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61B"/>
    <w:rsid w:val="00002A7D"/>
    <w:rsid w:val="000038A8"/>
    <w:rsid w:val="00006790"/>
    <w:rsid w:val="000153D8"/>
    <w:rsid w:val="00020B59"/>
    <w:rsid w:val="00022274"/>
    <w:rsid w:val="00022D78"/>
    <w:rsid w:val="00023C0E"/>
    <w:rsid w:val="00027624"/>
    <w:rsid w:val="00034BA8"/>
    <w:rsid w:val="00034BE1"/>
    <w:rsid w:val="00040EA4"/>
    <w:rsid w:val="00050F6B"/>
    <w:rsid w:val="00051277"/>
    <w:rsid w:val="00055CB5"/>
    <w:rsid w:val="0006018A"/>
    <w:rsid w:val="00063DAB"/>
    <w:rsid w:val="000678CD"/>
    <w:rsid w:val="0007091A"/>
    <w:rsid w:val="00072C8C"/>
    <w:rsid w:val="00074A96"/>
    <w:rsid w:val="00075E98"/>
    <w:rsid w:val="000817E3"/>
    <w:rsid w:val="00081CE0"/>
    <w:rsid w:val="00084D30"/>
    <w:rsid w:val="00087744"/>
    <w:rsid w:val="00090320"/>
    <w:rsid w:val="000931C0"/>
    <w:rsid w:val="000A04A9"/>
    <w:rsid w:val="000A2E09"/>
    <w:rsid w:val="000A57CA"/>
    <w:rsid w:val="000A6261"/>
    <w:rsid w:val="000A6A6E"/>
    <w:rsid w:val="000B175B"/>
    <w:rsid w:val="000B33CE"/>
    <w:rsid w:val="000B3A0F"/>
    <w:rsid w:val="000C16CE"/>
    <w:rsid w:val="000C3516"/>
    <w:rsid w:val="000C59CA"/>
    <w:rsid w:val="000C6296"/>
    <w:rsid w:val="000C7963"/>
    <w:rsid w:val="000D5CE6"/>
    <w:rsid w:val="000E0415"/>
    <w:rsid w:val="000E2FF9"/>
    <w:rsid w:val="000E3DCF"/>
    <w:rsid w:val="000F1ED1"/>
    <w:rsid w:val="000F500A"/>
    <w:rsid w:val="000F56E2"/>
    <w:rsid w:val="000F5B33"/>
    <w:rsid w:val="000F7715"/>
    <w:rsid w:val="000F7B6F"/>
    <w:rsid w:val="000F7B76"/>
    <w:rsid w:val="001017B4"/>
    <w:rsid w:val="001047A3"/>
    <w:rsid w:val="00106422"/>
    <w:rsid w:val="0011568F"/>
    <w:rsid w:val="001301FB"/>
    <w:rsid w:val="00134559"/>
    <w:rsid w:val="00147266"/>
    <w:rsid w:val="00156B99"/>
    <w:rsid w:val="00157E74"/>
    <w:rsid w:val="001619F4"/>
    <w:rsid w:val="00163255"/>
    <w:rsid w:val="001645CD"/>
    <w:rsid w:val="00166124"/>
    <w:rsid w:val="00166158"/>
    <w:rsid w:val="00167463"/>
    <w:rsid w:val="00170916"/>
    <w:rsid w:val="0017370E"/>
    <w:rsid w:val="001744C6"/>
    <w:rsid w:val="00177420"/>
    <w:rsid w:val="001833C3"/>
    <w:rsid w:val="0018490B"/>
    <w:rsid w:val="00184DDA"/>
    <w:rsid w:val="00185F71"/>
    <w:rsid w:val="001900CD"/>
    <w:rsid w:val="0019271E"/>
    <w:rsid w:val="00194251"/>
    <w:rsid w:val="001A0440"/>
    <w:rsid w:val="001A0452"/>
    <w:rsid w:val="001A3FA6"/>
    <w:rsid w:val="001A4DBB"/>
    <w:rsid w:val="001A4ECD"/>
    <w:rsid w:val="001A62EB"/>
    <w:rsid w:val="001B0C11"/>
    <w:rsid w:val="001B2BE0"/>
    <w:rsid w:val="001B4B04"/>
    <w:rsid w:val="001B5875"/>
    <w:rsid w:val="001C4B9C"/>
    <w:rsid w:val="001C6663"/>
    <w:rsid w:val="001C7895"/>
    <w:rsid w:val="001D26DF"/>
    <w:rsid w:val="001D4081"/>
    <w:rsid w:val="001D660F"/>
    <w:rsid w:val="001E6D54"/>
    <w:rsid w:val="001F1599"/>
    <w:rsid w:val="001F1819"/>
    <w:rsid w:val="001F19C4"/>
    <w:rsid w:val="001F42E4"/>
    <w:rsid w:val="001F6578"/>
    <w:rsid w:val="0020317C"/>
    <w:rsid w:val="002043F0"/>
    <w:rsid w:val="0020444D"/>
    <w:rsid w:val="00210061"/>
    <w:rsid w:val="00211E0B"/>
    <w:rsid w:val="0021377B"/>
    <w:rsid w:val="00213A5F"/>
    <w:rsid w:val="0021775D"/>
    <w:rsid w:val="002255A3"/>
    <w:rsid w:val="0023098D"/>
    <w:rsid w:val="00232575"/>
    <w:rsid w:val="002373AF"/>
    <w:rsid w:val="00244F9D"/>
    <w:rsid w:val="00247258"/>
    <w:rsid w:val="00247D90"/>
    <w:rsid w:val="00250165"/>
    <w:rsid w:val="00250414"/>
    <w:rsid w:val="00251174"/>
    <w:rsid w:val="00252F05"/>
    <w:rsid w:val="00257224"/>
    <w:rsid w:val="00257CAC"/>
    <w:rsid w:val="002609C5"/>
    <w:rsid w:val="00270477"/>
    <w:rsid w:val="00272F6D"/>
    <w:rsid w:val="00283790"/>
    <w:rsid w:val="002927FA"/>
    <w:rsid w:val="0029574C"/>
    <w:rsid w:val="002974E9"/>
    <w:rsid w:val="002A2C08"/>
    <w:rsid w:val="002A5731"/>
    <w:rsid w:val="002A74FF"/>
    <w:rsid w:val="002A7F94"/>
    <w:rsid w:val="002B109A"/>
    <w:rsid w:val="002B21F2"/>
    <w:rsid w:val="002C01EE"/>
    <w:rsid w:val="002C5206"/>
    <w:rsid w:val="002C54C7"/>
    <w:rsid w:val="002C5644"/>
    <w:rsid w:val="002C6D45"/>
    <w:rsid w:val="002D06FB"/>
    <w:rsid w:val="002D0B8E"/>
    <w:rsid w:val="002D4C0C"/>
    <w:rsid w:val="002D57D1"/>
    <w:rsid w:val="002D6E53"/>
    <w:rsid w:val="002E163D"/>
    <w:rsid w:val="002E3E4B"/>
    <w:rsid w:val="002E436E"/>
    <w:rsid w:val="002F046D"/>
    <w:rsid w:val="002F193F"/>
    <w:rsid w:val="002F1F9A"/>
    <w:rsid w:val="002F2338"/>
    <w:rsid w:val="002F4857"/>
    <w:rsid w:val="002F7C4A"/>
    <w:rsid w:val="00300205"/>
    <w:rsid w:val="00301764"/>
    <w:rsid w:val="00310897"/>
    <w:rsid w:val="003225DB"/>
    <w:rsid w:val="003229D8"/>
    <w:rsid w:val="003242EB"/>
    <w:rsid w:val="003279D1"/>
    <w:rsid w:val="00336C97"/>
    <w:rsid w:val="00342432"/>
    <w:rsid w:val="00344536"/>
    <w:rsid w:val="00352911"/>
    <w:rsid w:val="00352B25"/>
    <w:rsid w:val="00352D4B"/>
    <w:rsid w:val="0035638C"/>
    <w:rsid w:val="003564C4"/>
    <w:rsid w:val="003568C1"/>
    <w:rsid w:val="003622B5"/>
    <w:rsid w:val="00365C03"/>
    <w:rsid w:val="003709D8"/>
    <w:rsid w:val="00380A9A"/>
    <w:rsid w:val="003812A1"/>
    <w:rsid w:val="00382202"/>
    <w:rsid w:val="00383BCB"/>
    <w:rsid w:val="00384EC1"/>
    <w:rsid w:val="00384F54"/>
    <w:rsid w:val="003866AC"/>
    <w:rsid w:val="00393BD4"/>
    <w:rsid w:val="00394D05"/>
    <w:rsid w:val="0039501D"/>
    <w:rsid w:val="00395152"/>
    <w:rsid w:val="003A46BB"/>
    <w:rsid w:val="003A4EC7"/>
    <w:rsid w:val="003A7295"/>
    <w:rsid w:val="003B1F60"/>
    <w:rsid w:val="003B3757"/>
    <w:rsid w:val="003B3775"/>
    <w:rsid w:val="003C0114"/>
    <w:rsid w:val="003C0293"/>
    <w:rsid w:val="003C2CC4"/>
    <w:rsid w:val="003D4B23"/>
    <w:rsid w:val="003D5198"/>
    <w:rsid w:val="003D727A"/>
    <w:rsid w:val="003E278A"/>
    <w:rsid w:val="003E32D9"/>
    <w:rsid w:val="003E505A"/>
    <w:rsid w:val="003E7C33"/>
    <w:rsid w:val="00402CE4"/>
    <w:rsid w:val="0040421B"/>
    <w:rsid w:val="00413520"/>
    <w:rsid w:val="00420BAE"/>
    <w:rsid w:val="00424440"/>
    <w:rsid w:val="004325CB"/>
    <w:rsid w:val="00437448"/>
    <w:rsid w:val="00440A07"/>
    <w:rsid w:val="00442F9F"/>
    <w:rsid w:val="004506F7"/>
    <w:rsid w:val="00451628"/>
    <w:rsid w:val="00451982"/>
    <w:rsid w:val="00453030"/>
    <w:rsid w:val="00462880"/>
    <w:rsid w:val="0046599B"/>
    <w:rsid w:val="00467B79"/>
    <w:rsid w:val="00467D19"/>
    <w:rsid w:val="004764CB"/>
    <w:rsid w:val="00476F24"/>
    <w:rsid w:val="0048165B"/>
    <w:rsid w:val="00483091"/>
    <w:rsid w:val="004861E9"/>
    <w:rsid w:val="00487DB0"/>
    <w:rsid w:val="004933A0"/>
    <w:rsid w:val="00494310"/>
    <w:rsid w:val="004951FF"/>
    <w:rsid w:val="004A0880"/>
    <w:rsid w:val="004A10CB"/>
    <w:rsid w:val="004A4B6D"/>
    <w:rsid w:val="004B3127"/>
    <w:rsid w:val="004B5CE6"/>
    <w:rsid w:val="004C4252"/>
    <w:rsid w:val="004C55B0"/>
    <w:rsid w:val="004C62F8"/>
    <w:rsid w:val="004C67BE"/>
    <w:rsid w:val="004C6B7B"/>
    <w:rsid w:val="004D0AA0"/>
    <w:rsid w:val="004D4FE8"/>
    <w:rsid w:val="004D53D1"/>
    <w:rsid w:val="004E517A"/>
    <w:rsid w:val="004F6BA0"/>
    <w:rsid w:val="004F6E70"/>
    <w:rsid w:val="004F7D55"/>
    <w:rsid w:val="00503863"/>
    <w:rsid w:val="00503BEA"/>
    <w:rsid w:val="00506A3F"/>
    <w:rsid w:val="00514505"/>
    <w:rsid w:val="00516A1F"/>
    <w:rsid w:val="00516F95"/>
    <w:rsid w:val="005177CC"/>
    <w:rsid w:val="00521999"/>
    <w:rsid w:val="00522624"/>
    <w:rsid w:val="0052531C"/>
    <w:rsid w:val="005275D9"/>
    <w:rsid w:val="00533616"/>
    <w:rsid w:val="00534AAC"/>
    <w:rsid w:val="00535ABA"/>
    <w:rsid w:val="0053768B"/>
    <w:rsid w:val="005420F2"/>
    <w:rsid w:val="0054285C"/>
    <w:rsid w:val="00546224"/>
    <w:rsid w:val="00550000"/>
    <w:rsid w:val="0056237B"/>
    <w:rsid w:val="00563130"/>
    <w:rsid w:val="005676F5"/>
    <w:rsid w:val="00567F58"/>
    <w:rsid w:val="0057222D"/>
    <w:rsid w:val="005749C7"/>
    <w:rsid w:val="0058127E"/>
    <w:rsid w:val="00584173"/>
    <w:rsid w:val="00595520"/>
    <w:rsid w:val="00596050"/>
    <w:rsid w:val="005A3211"/>
    <w:rsid w:val="005A3A2D"/>
    <w:rsid w:val="005A4018"/>
    <w:rsid w:val="005A44B9"/>
    <w:rsid w:val="005A7B35"/>
    <w:rsid w:val="005B1BA0"/>
    <w:rsid w:val="005B2D9A"/>
    <w:rsid w:val="005B3DB3"/>
    <w:rsid w:val="005B4DBF"/>
    <w:rsid w:val="005B5700"/>
    <w:rsid w:val="005C0A75"/>
    <w:rsid w:val="005C145C"/>
    <w:rsid w:val="005C1CC1"/>
    <w:rsid w:val="005C35C2"/>
    <w:rsid w:val="005D15CA"/>
    <w:rsid w:val="005D5E0F"/>
    <w:rsid w:val="005D6677"/>
    <w:rsid w:val="005E307F"/>
    <w:rsid w:val="005E6913"/>
    <w:rsid w:val="005E732B"/>
    <w:rsid w:val="005F07A8"/>
    <w:rsid w:val="005F3066"/>
    <w:rsid w:val="005F3E61"/>
    <w:rsid w:val="005F495A"/>
    <w:rsid w:val="00600768"/>
    <w:rsid w:val="00604DDD"/>
    <w:rsid w:val="00605704"/>
    <w:rsid w:val="006115CC"/>
    <w:rsid w:val="00611FC4"/>
    <w:rsid w:val="00613858"/>
    <w:rsid w:val="006176FB"/>
    <w:rsid w:val="00620065"/>
    <w:rsid w:val="006229CD"/>
    <w:rsid w:val="00624E86"/>
    <w:rsid w:val="00630FCB"/>
    <w:rsid w:val="006313D2"/>
    <w:rsid w:val="00632D4F"/>
    <w:rsid w:val="00636011"/>
    <w:rsid w:val="00640B26"/>
    <w:rsid w:val="00641130"/>
    <w:rsid w:val="00642FE6"/>
    <w:rsid w:val="006432ED"/>
    <w:rsid w:val="0064599F"/>
    <w:rsid w:val="006467BE"/>
    <w:rsid w:val="0064719F"/>
    <w:rsid w:val="00647B7B"/>
    <w:rsid w:val="006507EC"/>
    <w:rsid w:val="00655115"/>
    <w:rsid w:val="00661BE0"/>
    <w:rsid w:val="00664F96"/>
    <w:rsid w:val="0066555D"/>
    <w:rsid w:val="00671B27"/>
    <w:rsid w:val="006720A1"/>
    <w:rsid w:val="006730EF"/>
    <w:rsid w:val="006733A2"/>
    <w:rsid w:val="0067618F"/>
    <w:rsid w:val="006770B2"/>
    <w:rsid w:val="00677E4B"/>
    <w:rsid w:val="00681895"/>
    <w:rsid w:val="006940E1"/>
    <w:rsid w:val="006948FA"/>
    <w:rsid w:val="00694FE0"/>
    <w:rsid w:val="00696CEA"/>
    <w:rsid w:val="006A04F5"/>
    <w:rsid w:val="006A1420"/>
    <w:rsid w:val="006A3320"/>
    <w:rsid w:val="006A3C72"/>
    <w:rsid w:val="006A7392"/>
    <w:rsid w:val="006A7E3E"/>
    <w:rsid w:val="006B03A1"/>
    <w:rsid w:val="006B0C97"/>
    <w:rsid w:val="006B1072"/>
    <w:rsid w:val="006B2D7D"/>
    <w:rsid w:val="006B67D9"/>
    <w:rsid w:val="006C5535"/>
    <w:rsid w:val="006D0196"/>
    <w:rsid w:val="006D0589"/>
    <w:rsid w:val="006D1A8C"/>
    <w:rsid w:val="006D34A4"/>
    <w:rsid w:val="006D7602"/>
    <w:rsid w:val="006E23F2"/>
    <w:rsid w:val="006E370E"/>
    <w:rsid w:val="006E564B"/>
    <w:rsid w:val="006E7154"/>
    <w:rsid w:val="006F7FF8"/>
    <w:rsid w:val="007003CD"/>
    <w:rsid w:val="00704C72"/>
    <w:rsid w:val="00706D34"/>
    <w:rsid w:val="0070701E"/>
    <w:rsid w:val="007070A5"/>
    <w:rsid w:val="00710573"/>
    <w:rsid w:val="0071067D"/>
    <w:rsid w:val="00721B2E"/>
    <w:rsid w:val="0072632A"/>
    <w:rsid w:val="007358E8"/>
    <w:rsid w:val="00736ECE"/>
    <w:rsid w:val="0074533B"/>
    <w:rsid w:val="00746592"/>
    <w:rsid w:val="00754FD1"/>
    <w:rsid w:val="00757473"/>
    <w:rsid w:val="007643BC"/>
    <w:rsid w:val="0076548B"/>
    <w:rsid w:val="007654B1"/>
    <w:rsid w:val="00767868"/>
    <w:rsid w:val="00767EA7"/>
    <w:rsid w:val="00771DA2"/>
    <w:rsid w:val="00776A28"/>
    <w:rsid w:val="007825F6"/>
    <w:rsid w:val="007872D9"/>
    <w:rsid w:val="007918D7"/>
    <w:rsid w:val="007947FD"/>
    <w:rsid w:val="007959FE"/>
    <w:rsid w:val="007A07F0"/>
    <w:rsid w:val="007A0CF1"/>
    <w:rsid w:val="007B2A22"/>
    <w:rsid w:val="007B4174"/>
    <w:rsid w:val="007B6BA5"/>
    <w:rsid w:val="007C3390"/>
    <w:rsid w:val="007C42D8"/>
    <w:rsid w:val="007C4F4B"/>
    <w:rsid w:val="007C5542"/>
    <w:rsid w:val="007D26F2"/>
    <w:rsid w:val="007D7362"/>
    <w:rsid w:val="007E04D3"/>
    <w:rsid w:val="007E562A"/>
    <w:rsid w:val="007F2F9D"/>
    <w:rsid w:val="007F3A5F"/>
    <w:rsid w:val="007F4EE2"/>
    <w:rsid w:val="007F5CE2"/>
    <w:rsid w:val="007F6611"/>
    <w:rsid w:val="00801A7A"/>
    <w:rsid w:val="00805185"/>
    <w:rsid w:val="00810BAC"/>
    <w:rsid w:val="008175E9"/>
    <w:rsid w:val="00820FCF"/>
    <w:rsid w:val="008238B1"/>
    <w:rsid w:val="008242D7"/>
    <w:rsid w:val="0082577B"/>
    <w:rsid w:val="00833789"/>
    <w:rsid w:val="00834BED"/>
    <w:rsid w:val="00840F28"/>
    <w:rsid w:val="00841784"/>
    <w:rsid w:val="00855107"/>
    <w:rsid w:val="00857036"/>
    <w:rsid w:val="00857296"/>
    <w:rsid w:val="00860685"/>
    <w:rsid w:val="00864959"/>
    <w:rsid w:val="00866893"/>
    <w:rsid w:val="00866F02"/>
    <w:rsid w:val="00867D18"/>
    <w:rsid w:val="008701A6"/>
    <w:rsid w:val="00870B5E"/>
    <w:rsid w:val="00871F9A"/>
    <w:rsid w:val="00871FD5"/>
    <w:rsid w:val="00873F74"/>
    <w:rsid w:val="008758C8"/>
    <w:rsid w:val="0087629D"/>
    <w:rsid w:val="0088172E"/>
    <w:rsid w:val="00881EFA"/>
    <w:rsid w:val="008964A2"/>
    <w:rsid w:val="00896835"/>
    <w:rsid w:val="008979B1"/>
    <w:rsid w:val="008A0C9C"/>
    <w:rsid w:val="008A41D9"/>
    <w:rsid w:val="008A5720"/>
    <w:rsid w:val="008A6B25"/>
    <w:rsid w:val="008A6C4F"/>
    <w:rsid w:val="008A7B48"/>
    <w:rsid w:val="008B1494"/>
    <w:rsid w:val="008B389E"/>
    <w:rsid w:val="008B7964"/>
    <w:rsid w:val="008C3DED"/>
    <w:rsid w:val="008D045E"/>
    <w:rsid w:val="008D17E8"/>
    <w:rsid w:val="008D3F25"/>
    <w:rsid w:val="008D4D82"/>
    <w:rsid w:val="008D69E5"/>
    <w:rsid w:val="008E0E46"/>
    <w:rsid w:val="008E40EB"/>
    <w:rsid w:val="008E47FA"/>
    <w:rsid w:val="008E5A7D"/>
    <w:rsid w:val="008E7116"/>
    <w:rsid w:val="008F143B"/>
    <w:rsid w:val="008F3882"/>
    <w:rsid w:val="008F4B7C"/>
    <w:rsid w:val="008F4D62"/>
    <w:rsid w:val="008F761B"/>
    <w:rsid w:val="00906C10"/>
    <w:rsid w:val="009112DC"/>
    <w:rsid w:val="00911B42"/>
    <w:rsid w:val="009139D8"/>
    <w:rsid w:val="00913AB7"/>
    <w:rsid w:val="00916136"/>
    <w:rsid w:val="0092021A"/>
    <w:rsid w:val="00925DBA"/>
    <w:rsid w:val="009265B3"/>
    <w:rsid w:val="00926E47"/>
    <w:rsid w:val="00930569"/>
    <w:rsid w:val="0093333C"/>
    <w:rsid w:val="0093647B"/>
    <w:rsid w:val="00937B54"/>
    <w:rsid w:val="009403E7"/>
    <w:rsid w:val="0094087B"/>
    <w:rsid w:val="00947162"/>
    <w:rsid w:val="00947258"/>
    <w:rsid w:val="00950A05"/>
    <w:rsid w:val="0095621D"/>
    <w:rsid w:val="0096375C"/>
    <w:rsid w:val="009662E6"/>
    <w:rsid w:val="0097095E"/>
    <w:rsid w:val="00972289"/>
    <w:rsid w:val="00972594"/>
    <w:rsid w:val="009839CF"/>
    <w:rsid w:val="0098592B"/>
    <w:rsid w:val="00985A2F"/>
    <w:rsid w:val="00985FC4"/>
    <w:rsid w:val="00990766"/>
    <w:rsid w:val="00991261"/>
    <w:rsid w:val="00991B1D"/>
    <w:rsid w:val="009964C4"/>
    <w:rsid w:val="009A2FAA"/>
    <w:rsid w:val="009A320D"/>
    <w:rsid w:val="009A7B81"/>
    <w:rsid w:val="009B2E66"/>
    <w:rsid w:val="009B72F1"/>
    <w:rsid w:val="009C40DB"/>
    <w:rsid w:val="009D01C0"/>
    <w:rsid w:val="009D6A08"/>
    <w:rsid w:val="009E0A16"/>
    <w:rsid w:val="009E16B9"/>
    <w:rsid w:val="009E7394"/>
    <w:rsid w:val="009E7970"/>
    <w:rsid w:val="009F2EAC"/>
    <w:rsid w:val="009F57E3"/>
    <w:rsid w:val="009F5C41"/>
    <w:rsid w:val="00A01B88"/>
    <w:rsid w:val="00A04275"/>
    <w:rsid w:val="00A10F4F"/>
    <w:rsid w:val="00A11067"/>
    <w:rsid w:val="00A1519F"/>
    <w:rsid w:val="00A15D3F"/>
    <w:rsid w:val="00A1704A"/>
    <w:rsid w:val="00A425EB"/>
    <w:rsid w:val="00A5219A"/>
    <w:rsid w:val="00A65B63"/>
    <w:rsid w:val="00A72F22"/>
    <w:rsid w:val="00A733BC"/>
    <w:rsid w:val="00A748A6"/>
    <w:rsid w:val="00A76A69"/>
    <w:rsid w:val="00A84077"/>
    <w:rsid w:val="00A879A4"/>
    <w:rsid w:val="00AB1ABF"/>
    <w:rsid w:val="00AB2A4A"/>
    <w:rsid w:val="00AB6220"/>
    <w:rsid w:val="00AB638C"/>
    <w:rsid w:val="00AC0F2C"/>
    <w:rsid w:val="00AC234C"/>
    <w:rsid w:val="00AC4BAD"/>
    <w:rsid w:val="00AC502A"/>
    <w:rsid w:val="00AD6AB9"/>
    <w:rsid w:val="00AE356C"/>
    <w:rsid w:val="00AF1746"/>
    <w:rsid w:val="00AF365F"/>
    <w:rsid w:val="00AF58C1"/>
    <w:rsid w:val="00AF59BA"/>
    <w:rsid w:val="00B027CA"/>
    <w:rsid w:val="00B06643"/>
    <w:rsid w:val="00B1014D"/>
    <w:rsid w:val="00B14D16"/>
    <w:rsid w:val="00B15055"/>
    <w:rsid w:val="00B17430"/>
    <w:rsid w:val="00B20127"/>
    <w:rsid w:val="00B20321"/>
    <w:rsid w:val="00B2509D"/>
    <w:rsid w:val="00B25186"/>
    <w:rsid w:val="00B30179"/>
    <w:rsid w:val="00B305F1"/>
    <w:rsid w:val="00B32012"/>
    <w:rsid w:val="00B33A88"/>
    <w:rsid w:val="00B37B15"/>
    <w:rsid w:val="00B439F8"/>
    <w:rsid w:val="00B45C02"/>
    <w:rsid w:val="00B53C63"/>
    <w:rsid w:val="00B5440C"/>
    <w:rsid w:val="00B54E3F"/>
    <w:rsid w:val="00B567C4"/>
    <w:rsid w:val="00B6051B"/>
    <w:rsid w:val="00B656C7"/>
    <w:rsid w:val="00B6796E"/>
    <w:rsid w:val="00B72A1E"/>
    <w:rsid w:val="00B7316E"/>
    <w:rsid w:val="00B753B9"/>
    <w:rsid w:val="00B8052A"/>
    <w:rsid w:val="00B81E12"/>
    <w:rsid w:val="00B835C9"/>
    <w:rsid w:val="00B93389"/>
    <w:rsid w:val="00B96DD5"/>
    <w:rsid w:val="00B97FC0"/>
    <w:rsid w:val="00BA339B"/>
    <w:rsid w:val="00BA6E3F"/>
    <w:rsid w:val="00BA7ABA"/>
    <w:rsid w:val="00BB2195"/>
    <w:rsid w:val="00BB263E"/>
    <w:rsid w:val="00BB527B"/>
    <w:rsid w:val="00BC021A"/>
    <w:rsid w:val="00BC1E7E"/>
    <w:rsid w:val="00BC2391"/>
    <w:rsid w:val="00BC74E9"/>
    <w:rsid w:val="00BC7E77"/>
    <w:rsid w:val="00BD0527"/>
    <w:rsid w:val="00BD22A1"/>
    <w:rsid w:val="00BE36A9"/>
    <w:rsid w:val="00BE3D9A"/>
    <w:rsid w:val="00BE618E"/>
    <w:rsid w:val="00BE6DF8"/>
    <w:rsid w:val="00BE7BEC"/>
    <w:rsid w:val="00BF03AD"/>
    <w:rsid w:val="00BF0A5A"/>
    <w:rsid w:val="00BF0E63"/>
    <w:rsid w:val="00BF12A3"/>
    <w:rsid w:val="00BF16D7"/>
    <w:rsid w:val="00BF1DEB"/>
    <w:rsid w:val="00BF2373"/>
    <w:rsid w:val="00BF46B0"/>
    <w:rsid w:val="00BF5A0C"/>
    <w:rsid w:val="00C044E2"/>
    <w:rsid w:val="00C048CB"/>
    <w:rsid w:val="00C04A00"/>
    <w:rsid w:val="00C058F8"/>
    <w:rsid w:val="00C066F3"/>
    <w:rsid w:val="00C16F77"/>
    <w:rsid w:val="00C2022B"/>
    <w:rsid w:val="00C245B1"/>
    <w:rsid w:val="00C24E0F"/>
    <w:rsid w:val="00C27D10"/>
    <w:rsid w:val="00C347BF"/>
    <w:rsid w:val="00C463DD"/>
    <w:rsid w:val="00C5152E"/>
    <w:rsid w:val="00C55773"/>
    <w:rsid w:val="00C67FDD"/>
    <w:rsid w:val="00C70021"/>
    <w:rsid w:val="00C70A8B"/>
    <w:rsid w:val="00C73169"/>
    <w:rsid w:val="00C734BD"/>
    <w:rsid w:val="00C738BC"/>
    <w:rsid w:val="00C740A2"/>
    <w:rsid w:val="00C745C3"/>
    <w:rsid w:val="00C747B3"/>
    <w:rsid w:val="00C756C9"/>
    <w:rsid w:val="00C80A0B"/>
    <w:rsid w:val="00C80E9E"/>
    <w:rsid w:val="00C8230B"/>
    <w:rsid w:val="00C90D8C"/>
    <w:rsid w:val="00C90E5B"/>
    <w:rsid w:val="00C911DA"/>
    <w:rsid w:val="00C96DC7"/>
    <w:rsid w:val="00CA00A2"/>
    <w:rsid w:val="00CA24A4"/>
    <w:rsid w:val="00CA3794"/>
    <w:rsid w:val="00CA3DA3"/>
    <w:rsid w:val="00CA54DB"/>
    <w:rsid w:val="00CB1144"/>
    <w:rsid w:val="00CB11E4"/>
    <w:rsid w:val="00CB348D"/>
    <w:rsid w:val="00CC0644"/>
    <w:rsid w:val="00CC4EDE"/>
    <w:rsid w:val="00CC51A8"/>
    <w:rsid w:val="00CC51BC"/>
    <w:rsid w:val="00CC553A"/>
    <w:rsid w:val="00CC6BB6"/>
    <w:rsid w:val="00CD01F3"/>
    <w:rsid w:val="00CD318B"/>
    <w:rsid w:val="00CD46F5"/>
    <w:rsid w:val="00CD4A27"/>
    <w:rsid w:val="00CD6D40"/>
    <w:rsid w:val="00CE1B8B"/>
    <w:rsid w:val="00CE2985"/>
    <w:rsid w:val="00CE4A8F"/>
    <w:rsid w:val="00CE6E06"/>
    <w:rsid w:val="00CE7F94"/>
    <w:rsid w:val="00CF071D"/>
    <w:rsid w:val="00CF295B"/>
    <w:rsid w:val="00D02B42"/>
    <w:rsid w:val="00D15B04"/>
    <w:rsid w:val="00D2031B"/>
    <w:rsid w:val="00D223C6"/>
    <w:rsid w:val="00D22D7C"/>
    <w:rsid w:val="00D25FE2"/>
    <w:rsid w:val="00D269A0"/>
    <w:rsid w:val="00D32197"/>
    <w:rsid w:val="00D3466C"/>
    <w:rsid w:val="00D34BA9"/>
    <w:rsid w:val="00D37DA9"/>
    <w:rsid w:val="00D406A7"/>
    <w:rsid w:val="00D43252"/>
    <w:rsid w:val="00D433D8"/>
    <w:rsid w:val="00D44D86"/>
    <w:rsid w:val="00D45844"/>
    <w:rsid w:val="00D46595"/>
    <w:rsid w:val="00D50B7D"/>
    <w:rsid w:val="00D52012"/>
    <w:rsid w:val="00D56C8E"/>
    <w:rsid w:val="00D67A96"/>
    <w:rsid w:val="00D704E5"/>
    <w:rsid w:val="00D72727"/>
    <w:rsid w:val="00D7526D"/>
    <w:rsid w:val="00D86692"/>
    <w:rsid w:val="00D87200"/>
    <w:rsid w:val="00D973C4"/>
    <w:rsid w:val="00D978C6"/>
    <w:rsid w:val="00DA0956"/>
    <w:rsid w:val="00DA1B55"/>
    <w:rsid w:val="00DA357F"/>
    <w:rsid w:val="00DA3E12"/>
    <w:rsid w:val="00DB0A31"/>
    <w:rsid w:val="00DB4E54"/>
    <w:rsid w:val="00DB7E8D"/>
    <w:rsid w:val="00DC1361"/>
    <w:rsid w:val="00DC18AD"/>
    <w:rsid w:val="00DD01F0"/>
    <w:rsid w:val="00DD0FB3"/>
    <w:rsid w:val="00DD1010"/>
    <w:rsid w:val="00DD205A"/>
    <w:rsid w:val="00DD469C"/>
    <w:rsid w:val="00DD6853"/>
    <w:rsid w:val="00DD75E9"/>
    <w:rsid w:val="00DE591A"/>
    <w:rsid w:val="00DE77BD"/>
    <w:rsid w:val="00DF1504"/>
    <w:rsid w:val="00DF1DF0"/>
    <w:rsid w:val="00DF748C"/>
    <w:rsid w:val="00DF7CAE"/>
    <w:rsid w:val="00E00CA6"/>
    <w:rsid w:val="00E101D8"/>
    <w:rsid w:val="00E109F4"/>
    <w:rsid w:val="00E1246E"/>
    <w:rsid w:val="00E15023"/>
    <w:rsid w:val="00E15252"/>
    <w:rsid w:val="00E250E5"/>
    <w:rsid w:val="00E26C29"/>
    <w:rsid w:val="00E31345"/>
    <w:rsid w:val="00E35510"/>
    <w:rsid w:val="00E3765E"/>
    <w:rsid w:val="00E423C0"/>
    <w:rsid w:val="00E450D1"/>
    <w:rsid w:val="00E52596"/>
    <w:rsid w:val="00E53D6E"/>
    <w:rsid w:val="00E6414C"/>
    <w:rsid w:val="00E64635"/>
    <w:rsid w:val="00E7260F"/>
    <w:rsid w:val="00E733F5"/>
    <w:rsid w:val="00E77B38"/>
    <w:rsid w:val="00E82633"/>
    <w:rsid w:val="00E83C07"/>
    <w:rsid w:val="00E85A71"/>
    <w:rsid w:val="00E8702D"/>
    <w:rsid w:val="00E916A9"/>
    <w:rsid w:val="00E916DE"/>
    <w:rsid w:val="00E941B1"/>
    <w:rsid w:val="00E96630"/>
    <w:rsid w:val="00E97614"/>
    <w:rsid w:val="00EA0236"/>
    <w:rsid w:val="00EB582C"/>
    <w:rsid w:val="00EB5C9F"/>
    <w:rsid w:val="00EC0534"/>
    <w:rsid w:val="00ED1629"/>
    <w:rsid w:val="00ED18DC"/>
    <w:rsid w:val="00ED2028"/>
    <w:rsid w:val="00ED6201"/>
    <w:rsid w:val="00ED7617"/>
    <w:rsid w:val="00ED7A2A"/>
    <w:rsid w:val="00EE7319"/>
    <w:rsid w:val="00EE7E8C"/>
    <w:rsid w:val="00EF1D7F"/>
    <w:rsid w:val="00EF2CD3"/>
    <w:rsid w:val="00EF2DF1"/>
    <w:rsid w:val="00EF40B4"/>
    <w:rsid w:val="00F0090D"/>
    <w:rsid w:val="00F0137E"/>
    <w:rsid w:val="00F035E5"/>
    <w:rsid w:val="00F16387"/>
    <w:rsid w:val="00F17B25"/>
    <w:rsid w:val="00F21786"/>
    <w:rsid w:val="00F24CC3"/>
    <w:rsid w:val="00F315D1"/>
    <w:rsid w:val="00F316C7"/>
    <w:rsid w:val="00F32F63"/>
    <w:rsid w:val="00F34F45"/>
    <w:rsid w:val="00F3742B"/>
    <w:rsid w:val="00F44E23"/>
    <w:rsid w:val="00F54B1D"/>
    <w:rsid w:val="00F562B8"/>
    <w:rsid w:val="00F56D63"/>
    <w:rsid w:val="00F609A9"/>
    <w:rsid w:val="00F6121C"/>
    <w:rsid w:val="00F61B65"/>
    <w:rsid w:val="00F6468D"/>
    <w:rsid w:val="00F65236"/>
    <w:rsid w:val="00F65F78"/>
    <w:rsid w:val="00F75677"/>
    <w:rsid w:val="00F80C99"/>
    <w:rsid w:val="00F842D3"/>
    <w:rsid w:val="00F867EC"/>
    <w:rsid w:val="00F91B2B"/>
    <w:rsid w:val="00FB1921"/>
    <w:rsid w:val="00FB205F"/>
    <w:rsid w:val="00FB2E0A"/>
    <w:rsid w:val="00FB651C"/>
    <w:rsid w:val="00FC03CD"/>
    <w:rsid w:val="00FC0646"/>
    <w:rsid w:val="00FC3D0B"/>
    <w:rsid w:val="00FC509F"/>
    <w:rsid w:val="00FC68B7"/>
    <w:rsid w:val="00FC6C57"/>
    <w:rsid w:val="00FC6DED"/>
    <w:rsid w:val="00FD0A24"/>
    <w:rsid w:val="00FD3520"/>
    <w:rsid w:val="00FD3597"/>
    <w:rsid w:val="00FD4076"/>
    <w:rsid w:val="00FD4802"/>
    <w:rsid w:val="00FD53FC"/>
    <w:rsid w:val="00FE123B"/>
    <w:rsid w:val="00FE166A"/>
    <w:rsid w:val="00FE34D3"/>
    <w:rsid w:val="00FE68A4"/>
    <w:rsid w:val="00FE6985"/>
    <w:rsid w:val="00FF34FD"/>
    <w:rsid w:val="00FF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760DE61-0A85-45E2-A38E-87CE8171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val="en-GB"/>
    </w:rPr>
  </w:style>
  <w:style w:type="paragraph" w:styleId="Heading1">
    <w:name w:val="heading 1"/>
    <w:aliases w:val="Table_G"/>
    <w:basedOn w:val="SingleTxtG"/>
    <w:next w:val="SingleTxtG"/>
    <w:link w:val="Heading1Char"/>
    <w:qFormat/>
    <w:rsid w:val="00ED7A2A"/>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link w:val="Heading3Char"/>
    <w:qFormat/>
    <w:pPr>
      <w:spacing w:line="240" w:lineRule="auto"/>
      <w:outlineLvl w:val="2"/>
    </w:pPr>
  </w:style>
  <w:style w:type="paragraph" w:styleId="Heading4">
    <w:name w:val="heading 4"/>
    <w:basedOn w:val="Normal"/>
    <w:next w:val="Normal"/>
    <w:link w:val="Heading4Char"/>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qFormat/>
    <w:pPr>
      <w:spacing w:line="240" w:lineRule="auto"/>
      <w:outlineLvl w:val="5"/>
    </w:pPr>
  </w:style>
  <w:style w:type="paragraph" w:styleId="Heading7">
    <w:name w:val="heading 7"/>
    <w:basedOn w:val="Normal"/>
    <w:next w:val="Normal"/>
    <w:link w:val="Heading7Char"/>
    <w:qFormat/>
    <w:pPr>
      <w:spacing w:line="240" w:lineRule="auto"/>
      <w:outlineLvl w:val="6"/>
    </w:pPr>
  </w:style>
  <w:style w:type="paragraph" w:styleId="Heading8">
    <w:name w:val="heading 8"/>
    <w:basedOn w:val="Normal"/>
    <w:next w:val="Normal"/>
    <w:link w:val="Heading8Char"/>
    <w:qFormat/>
    <w:pPr>
      <w:spacing w:line="240" w:lineRule="auto"/>
      <w:outlineLvl w:val="7"/>
    </w:pPr>
  </w:style>
  <w:style w:type="paragraph" w:styleId="Heading9">
    <w:name w:val="heading 9"/>
    <w:basedOn w:val="Normal"/>
    <w:next w:val="Normal"/>
    <w:link w:val="Heading9Char"/>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qFormat/>
    <w:rsid w:val="00DB7E8D"/>
    <w:rPr>
      <w:rFonts w:ascii="Times New Roman" w:hAnsi="Times New Roman"/>
      <w:sz w:val="18"/>
      <w:vertAlign w:val="superscript"/>
    </w:rPr>
  </w:style>
  <w:style w:type="paragraph" w:styleId="FootnoteText">
    <w:name w:val="footnote text"/>
    <w:aliases w:val="5_G"/>
    <w:basedOn w:val="Normal"/>
    <w:link w:val="FootnoteTextChar"/>
    <w:qFormat/>
    <w:rsid w:val="00DB7E8D"/>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link w:val="EndnoteTextChar"/>
    <w:rsid w:val="007B6BA5"/>
    <w:rPr>
      <w:rFonts w:eastAsia="Calibri"/>
    </w:rPr>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F035E5"/>
    <w:rPr>
      <w:color w:val="auto"/>
      <w:u w:val="none"/>
    </w:rPr>
  </w:style>
  <w:style w:type="paragraph" w:styleId="NoSpacing">
    <w:name w:val="No Spacing"/>
    <w:uiPriority w:val="1"/>
    <w:qFormat/>
    <w:rsid w:val="008F761B"/>
    <w:pPr>
      <w:suppressAutoHyphens/>
    </w:pPr>
    <w:rPr>
      <w:lang w:val="en-GB"/>
    </w:rPr>
  </w:style>
  <w:style w:type="character" w:styleId="CommentReference">
    <w:name w:val="annotation reference"/>
    <w:rsid w:val="0020317C"/>
    <w:rPr>
      <w:sz w:val="16"/>
      <w:szCs w:val="16"/>
    </w:rPr>
  </w:style>
  <w:style w:type="paragraph" w:styleId="CommentText">
    <w:name w:val="annotation text"/>
    <w:basedOn w:val="Normal"/>
    <w:link w:val="CommentTextChar"/>
    <w:rsid w:val="0020317C"/>
  </w:style>
  <w:style w:type="character" w:customStyle="1" w:styleId="CommentTextChar">
    <w:name w:val="Comment Text Char"/>
    <w:link w:val="CommentText"/>
    <w:rsid w:val="0020317C"/>
    <w:rPr>
      <w:lang w:val="en-GB"/>
    </w:rPr>
  </w:style>
  <w:style w:type="paragraph" w:styleId="CommentSubject">
    <w:name w:val="annotation subject"/>
    <w:basedOn w:val="CommentText"/>
    <w:next w:val="CommentText"/>
    <w:link w:val="CommentSubjectChar"/>
    <w:rsid w:val="0020317C"/>
    <w:rPr>
      <w:b/>
      <w:bCs/>
    </w:rPr>
  </w:style>
  <w:style w:type="character" w:customStyle="1" w:styleId="CommentSubjectChar">
    <w:name w:val="Comment Subject Char"/>
    <w:link w:val="CommentSubject"/>
    <w:rsid w:val="0020317C"/>
    <w:rPr>
      <w:b/>
      <w:bCs/>
      <w:lang w:val="en-GB"/>
    </w:rPr>
  </w:style>
  <w:style w:type="paragraph" w:styleId="BalloonText">
    <w:name w:val="Balloon Text"/>
    <w:basedOn w:val="Normal"/>
    <w:link w:val="BalloonTextChar"/>
    <w:uiPriority w:val="99"/>
    <w:rsid w:val="0020317C"/>
    <w:pPr>
      <w:spacing w:line="240" w:lineRule="auto"/>
    </w:pPr>
    <w:rPr>
      <w:rFonts w:ascii="Tahoma" w:hAnsi="Tahoma"/>
      <w:sz w:val="16"/>
      <w:szCs w:val="16"/>
    </w:rPr>
  </w:style>
  <w:style w:type="character" w:customStyle="1" w:styleId="BalloonTextChar">
    <w:name w:val="Balloon Text Char"/>
    <w:link w:val="BalloonText"/>
    <w:uiPriority w:val="99"/>
    <w:rsid w:val="0020317C"/>
    <w:rPr>
      <w:rFonts w:ascii="Tahoma" w:hAnsi="Tahoma" w:cs="Tahoma"/>
      <w:sz w:val="16"/>
      <w:szCs w:val="16"/>
      <w:lang w:val="en-GB"/>
    </w:rPr>
  </w:style>
  <w:style w:type="character" w:customStyle="1" w:styleId="FootnoteTextChar">
    <w:name w:val="Footnote Text Char"/>
    <w:aliases w:val="5_G Char"/>
    <w:link w:val="FootnoteText"/>
    <w:locked/>
    <w:rsid w:val="00AE356C"/>
    <w:rPr>
      <w:rFonts w:eastAsia="SimSun"/>
      <w:sz w:val="18"/>
      <w:lang w:val="en-GB"/>
    </w:rPr>
  </w:style>
  <w:style w:type="character" w:customStyle="1" w:styleId="SingleTxtGChar">
    <w:name w:val="_ Single Txt_G Char"/>
    <w:link w:val="SingleTxtG"/>
    <w:locked/>
    <w:rsid w:val="00AE356C"/>
    <w:rPr>
      <w:lang w:val="en-GB"/>
    </w:rPr>
  </w:style>
  <w:style w:type="numbering" w:customStyle="1" w:styleId="NoList1">
    <w:name w:val="No List1"/>
    <w:next w:val="NoList"/>
    <w:uiPriority w:val="99"/>
    <w:semiHidden/>
    <w:unhideWhenUsed/>
    <w:rsid w:val="001B0C11"/>
  </w:style>
  <w:style w:type="character" w:customStyle="1" w:styleId="Heading1Char">
    <w:name w:val="Heading 1 Char"/>
    <w:aliases w:val="Table_G Char"/>
    <w:link w:val="Heading1"/>
    <w:rsid w:val="001B0C11"/>
    <w:rPr>
      <w:lang w:eastAsia="en-US"/>
    </w:rPr>
  </w:style>
  <w:style w:type="character" w:customStyle="1" w:styleId="Heading2Char">
    <w:name w:val="Heading 2 Char"/>
    <w:link w:val="Heading2"/>
    <w:rsid w:val="001B0C11"/>
    <w:rPr>
      <w:lang w:eastAsia="en-US"/>
    </w:rPr>
  </w:style>
  <w:style w:type="character" w:customStyle="1" w:styleId="Heading3Char">
    <w:name w:val="Heading 3 Char"/>
    <w:link w:val="Heading3"/>
    <w:rsid w:val="001B0C11"/>
    <w:rPr>
      <w:lang w:eastAsia="en-US"/>
    </w:rPr>
  </w:style>
  <w:style w:type="character" w:customStyle="1" w:styleId="Heading4Char">
    <w:name w:val="Heading 4 Char"/>
    <w:link w:val="Heading4"/>
    <w:rsid w:val="001B0C11"/>
    <w:rPr>
      <w:lang w:eastAsia="en-US"/>
    </w:rPr>
  </w:style>
  <w:style w:type="character" w:customStyle="1" w:styleId="Heading5Char">
    <w:name w:val="Heading 5 Char"/>
    <w:link w:val="Heading5"/>
    <w:rsid w:val="001B0C11"/>
    <w:rPr>
      <w:lang w:eastAsia="en-US"/>
    </w:rPr>
  </w:style>
  <w:style w:type="character" w:customStyle="1" w:styleId="Heading6Char">
    <w:name w:val="Heading 6 Char"/>
    <w:link w:val="Heading6"/>
    <w:rsid w:val="001B0C11"/>
    <w:rPr>
      <w:lang w:eastAsia="en-US"/>
    </w:rPr>
  </w:style>
  <w:style w:type="character" w:customStyle="1" w:styleId="Heading7Char">
    <w:name w:val="Heading 7 Char"/>
    <w:link w:val="Heading7"/>
    <w:rsid w:val="001B0C11"/>
    <w:rPr>
      <w:lang w:eastAsia="en-US"/>
    </w:rPr>
  </w:style>
  <w:style w:type="character" w:customStyle="1" w:styleId="Heading8Char">
    <w:name w:val="Heading 8 Char"/>
    <w:link w:val="Heading8"/>
    <w:rsid w:val="001B0C11"/>
    <w:rPr>
      <w:lang w:eastAsia="en-US"/>
    </w:rPr>
  </w:style>
  <w:style w:type="character" w:customStyle="1" w:styleId="Heading9Char">
    <w:name w:val="Heading 9 Char"/>
    <w:link w:val="Heading9"/>
    <w:rsid w:val="001B0C11"/>
    <w:rPr>
      <w:lang w:eastAsia="en-US"/>
    </w:rPr>
  </w:style>
  <w:style w:type="character" w:customStyle="1" w:styleId="HeaderChar">
    <w:name w:val="Header Char"/>
    <w:aliases w:val="6_G Char"/>
    <w:link w:val="Header"/>
    <w:uiPriority w:val="99"/>
    <w:rsid w:val="001B0C11"/>
    <w:rPr>
      <w:b/>
      <w:sz w:val="18"/>
      <w:lang w:eastAsia="en-US"/>
    </w:rPr>
  </w:style>
  <w:style w:type="table" w:customStyle="1" w:styleId="TableGrid1">
    <w:name w:val="Table Grid1"/>
    <w:basedOn w:val="TableNormal"/>
    <w:next w:val="TableGrid"/>
    <w:rsid w:val="001B0C11"/>
    <w:pPr>
      <w:suppressAutoHyphens/>
      <w:spacing w:line="24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EndnoteTextChar">
    <w:name w:val="Endnote Text Char"/>
    <w:aliases w:val="2_G Char"/>
    <w:link w:val="EndnoteText"/>
    <w:rsid w:val="001B0C11"/>
    <w:rPr>
      <w:sz w:val="18"/>
      <w:lang w:eastAsia="en-US"/>
    </w:rPr>
  </w:style>
  <w:style w:type="character" w:customStyle="1" w:styleId="FooterChar">
    <w:name w:val="Footer Char"/>
    <w:aliases w:val="3_G Char"/>
    <w:link w:val="Footer"/>
    <w:uiPriority w:val="99"/>
    <w:rsid w:val="001B0C11"/>
    <w:rPr>
      <w:sz w:val="16"/>
      <w:lang w:eastAsia="en-US"/>
    </w:rPr>
  </w:style>
  <w:style w:type="paragraph" w:customStyle="1" w:styleId="CAJCorpsdutexte">
    <w:name w:val="CAJ Corps du texte"/>
    <w:rsid w:val="001B0C11"/>
    <w:pPr>
      <w:widowControl w:val="0"/>
      <w:spacing w:after="180" w:line="312" w:lineRule="auto"/>
      <w:jc w:val="both"/>
    </w:pPr>
    <w:rPr>
      <w:rFonts w:ascii="Arial Narrow" w:eastAsia="ヒラギノ角ゴ Pro W3" w:hAnsi="Arial Narrow"/>
      <w:color w:val="000000"/>
      <w:sz w:val="24"/>
      <w:lang w:val="en-GB" w:eastAsia="en-GB"/>
    </w:rPr>
  </w:style>
  <w:style w:type="character" w:customStyle="1" w:styleId="Appelnotedebasdep1">
    <w:name w:val="Appel note de bas de p.1"/>
    <w:rsid w:val="001B0C11"/>
    <w:rPr>
      <w:color w:val="000000"/>
      <w:sz w:val="24"/>
      <w:vertAlign w:val="superscript"/>
    </w:rPr>
  </w:style>
  <w:style w:type="paragraph" w:customStyle="1" w:styleId="CAJTextedenotesdebasdepage">
    <w:name w:val="CAJ Texte de notes de bas de page"/>
    <w:rsid w:val="001B0C11"/>
    <w:pPr>
      <w:spacing w:line="288" w:lineRule="auto"/>
      <w:ind w:left="567" w:hanging="567"/>
      <w:jc w:val="both"/>
    </w:pPr>
    <w:rPr>
      <w:rFonts w:ascii="Arial Narrow" w:eastAsia="ヒラギノ角ゴ Pro W3" w:hAnsi="Arial Narrow"/>
      <w:color w:val="000000"/>
      <w:sz w:val="19"/>
      <w:lang w:val="en-GB" w:eastAsia="en-GB"/>
    </w:rPr>
  </w:style>
  <w:style w:type="character" w:customStyle="1" w:styleId="Lienhypertexte1">
    <w:name w:val="Lien hypertexte1"/>
    <w:rsid w:val="001B0C11"/>
    <w:rPr>
      <w:color w:val="1347EE"/>
      <w:sz w:val="20"/>
      <w:u w:val="single"/>
    </w:rPr>
  </w:style>
  <w:style w:type="paragraph" w:customStyle="1" w:styleId="Notedebasdepage1">
    <w:name w:val="Note de bas de page1"/>
    <w:rsid w:val="001B0C11"/>
    <w:rPr>
      <w:rFonts w:eastAsia="ヒラギノ角ゴ Pro W3"/>
      <w:color w:val="000000"/>
      <w:lang w:eastAsia="en-GB"/>
    </w:rPr>
  </w:style>
  <w:style w:type="paragraph" w:customStyle="1" w:styleId="CAJCorpsdutexteA">
    <w:name w:val="CAJ Corps du texte A"/>
    <w:rsid w:val="001B0C11"/>
    <w:pPr>
      <w:widowControl w:val="0"/>
      <w:spacing w:after="180" w:line="312" w:lineRule="auto"/>
      <w:jc w:val="both"/>
    </w:pPr>
    <w:rPr>
      <w:rFonts w:ascii="Arial Narrow" w:eastAsia="ヒラギノ角ゴ Pro W3" w:hAnsi="Arial Narrow"/>
      <w:color w:val="000000"/>
      <w:sz w:val="24"/>
      <w:lang w:val="en-GB" w:eastAsia="en-GB"/>
    </w:rPr>
  </w:style>
  <w:style w:type="character" w:customStyle="1" w:styleId="Rimandonotaapidipagina">
    <w:name w:val="Rimando nota a piè di pagina"/>
    <w:rsid w:val="001B0C11"/>
    <w:rPr>
      <w:color w:val="000000"/>
      <w:sz w:val="19"/>
      <w:vertAlign w:val="superscript"/>
    </w:rPr>
  </w:style>
  <w:style w:type="table" w:customStyle="1" w:styleId="TableNormal1">
    <w:name w:val="Table Normal1"/>
    <w:uiPriority w:val="2"/>
    <w:semiHidden/>
    <w:unhideWhenUsed/>
    <w:qFormat/>
    <w:rsid w:val="001B0C11"/>
    <w:pPr>
      <w:widowControl w:val="0"/>
    </w:pPr>
    <w:rPr>
      <w:rFonts w:ascii="Calibri" w:hAnsi="Calibri"/>
      <w:sz w:val="22"/>
      <w:szCs w:val="22"/>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1B0C11"/>
    <w:pPr>
      <w:widowControl w:val="0"/>
      <w:suppressAutoHyphens w:val="0"/>
      <w:spacing w:line="240" w:lineRule="auto"/>
      <w:ind w:left="116"/>
    </w:pPr>
    <w:rPr>
      <w:rFonts w:ascii="Arial Narrow" w:eastAsia="Arial Narrow" w:hAnsi="Arial Narrow"/>
      <w:sz w:val="24"/>
      <w:szCs w:val="24"/>
      <w:lang w:val="en-US"/>
    </w:rPr>
  </w:style>
  <w:style w:type="character" w:customStyle="1" w:styleId="BodyTextChar">
    <w:name w:val="Body Text Char"/>
    <w:link w:val="BodyText"/>
    <w:uiPriority w:val="1"/>
    <w:rsid w:val="001B0C11"/>
    <w:rPr>
      <w:rFonts w:ascii="Arial Narrow" w:eastAsia="Arial Narrow" w:hAnsi="Arial Narrow"/>
      <w:sz w:val="24"/>
      <w:szCs w:val="24"/>
      <w:lang w:val="en-US" w:eastAsia="en-US"/>
    </w:rPr>
  </w:style>
  <w:style w:type="paragraph" w:customStyle="1" w:styleId="Heading11">
    <w:name w:val="Heading 11"/>
    <w:basedOn w:val="Normal"/>
    <w:uiPriority w:val="1"/>
    <w:qFormat/>
    <w:rsid w:val="001B0C11"/>
    <w:pPr>
      <w:widowControl w:val="0"/>
      <w:suppressAutoHyphens w:val="0"/>
      <w:spacing w:line="240" w:lineRule="auto"/>
      <w:ind w:left="683" w:hanging="567"/>
      <w:outlineLvl w:val="1"/>
    </w:pPr>
    <w:rPr>
      <w:rFonts w:ascii="Arial Narrow" w:eastAsia="Arial Narrow" w:hAnsi="Arial Narrow"/>
      <w:b/>
      <w:bCs/>
      <w:sz w:val="28"/>
      <w:szCs w:val="28"/>
      <w:lang w:val="en-US"/>
    </w:rPr>
  </w:style>
  <w:style w:type="paragraph" w:customStyle="1" w:styleId="TableParagraph">
    <w:name w:val="Table Paragraph"/>
    <w:basedOn w:val="Normal"/>
    <w:uiPriority w:val="1"/>
    <w:qFormat/>
    <w:rsid w:val="001B0C11"/>
    <w:pPr>
      <w:widowControl w:val="0"/>
      <w:suppressAutoHyphens w:val="0"/>
      <w:spacing w:line="240" w:lineRule="auto"/>
    </w:pPr>
    <w:rPr>
      <w:rFonts w:ascii="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282906">
      <w:bodyDiv w:val="1"/>
      <w:marLeft w:val="0"/>
      <w:marRight w:val="0"/>
      <w:marTop w:val="0"/>
      <w:marBottom w:val="0"/>
      <w:divBdr>
        <w:top w:val="none" w:sz="0" w:space="0" w:color="auto"/>
        <w:left w:val="none" w:sz="0" w:space="0" w:color="auto"/>
        <w:bottom w:val="none" w:sz="0" w:space="0" w:color="auto"/>
        <w:right w:val="none" w:sz="0" w:space="0" w:color="auto"/>
      </w:divBdr>
    </w:div>
    <w:div w:id="1333607485">
      <w:bodyDiv w:val="1"/>
      <w:marLeft w:val="0"/>
      <w:marRight w:val="0"/>
      <w:marTop w:val="0"/>
      <w:marBottom w:val="0"/>
      <w:divBdr>
        <w:top w:val="none" w:sz="0" w:space="0" w:color="auto"/>
        <w:left w:val="none" w:sz="0" w:space="0" w:color="auto"/>
        <w:bottom w:val="none" w:sz="0" w:space="0" w:color="auto"/>
        <w:right w:val="none" w:sz="0" w:space="0" w:color="auto"/>
      </w:divBdr>
    </w:div>
    <w:div w:id="1400789261">
      <w:bodyDiv w:val="1"/>
      <w:marLeft w:val="0"/>
      <w:marRight w:val="0"/>
      <w:marTop w:val="0"/>
      <w:marBottom w:val="0"/>
      <w:divBdr>
        <w:top w:val="none" w:sz="0" w:space="0" w:color="auto"/>
        <w:left w:val="none" w:sz="0" w:space="0" w:color="auto"/>
        <w:bottom w:val="none" w:sz="0" w:space="0" w:color="auto"/>
        <w:right w:val="none" w:sz="0" w:space="0" w:color="auto"/>
      </w:divBdr>
    </w:div>
    <w:div w:id="201001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6929</Words>
  <Characters>39497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Balasingham</dc:creator>
  <cp:keywords/>
  <cp:lastModifiedBy>Sarah Willig</cp:lastModifiedBy>
  <cp:revision>2</cp:revision>
  <cp:lastPrinted>2014-11-25T13:36:00Z</cp:lastPrinted>
  <dcterms:created xsi:type="dcterms:W3CDTF">2017-01-24T23:50:00Z</dcterms:created>
  <dcterms:modified xsi:type="dcterms:W3CDTF">2017-01-24T23:50:00Z</dcterms:modified>
</cp:coreProperties>
</file>