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3ACB14CB" w14:textId="77777777" w:rsidTr="00B6553F">
        <w:trPr>
          <w:cantSplit/>
          <w:trHeight w:hRule="exact" w:val="851"/>
        </w:trPr>
        <w:tc>
          <w:tcPr>
            <w:tcW w:w="1276" w:type="dxa"/>
            <w:tcBorders>
              <w:bottom w:val="single" w:sz="4" w:space="0" w:color="auto"/>
            </w:tcBorders>
            <w:vAlign w:val="bottom"/>
          </w:tcPr>
          <w:p w14:paraId="3D5B8C41" w14:textId="77777777" w:rsidR="00B56E9C" w:rsidRPr="00E563D1" w:rsidRDefault="00E563D1" w:rsidP="00E563D1">
            <w:pPr>
              <w:spacing w:line="20" w:lineRule="exact"/>
              <w:rPr>
                <w:sz w:val="2"/>
              </w:rPr>
            </w:pPr>
            <w:r>
              <w:rPr>
                <w:rStyle w:val="CommentReference"/>
              </w:rPr>
              <w:commentReference w:id="0"/>
            </w:r>
            <w:bookmarkStart w:id="1" w:name="_GoBack"/>
            <w:bookmarkEnd w:id="1"/>
          </w:p>
          <w:p w14:paraId="7C207C4A" w14:textId="77777777" w:rsidR="00E563D1" w:rsidRDefault="00E563D1" w:rsidP="00B6553F">
            <w:pPr>
              <w:spacing w:after="80"/>
            </w:pPr>
          </w:p>
        </w:tc>
        <w:tc>
          <w:tcPr>
            <w:tcW w:w="2268" w:type="dxa"/>
            <w:tcBorders>
              <w:bottom w:val="single" w:sz="4" w:space="0" w:color="auto"/>
            </w:tcBorders>
            <w:vAlign w:val="bottom"/>
          </w:tcPr>
          <w:p w14:paraId="054D2B8E"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C8CA60C" w14:textId="77777777" w:rsidR="00B56E9C" w:rsidRPr="00D47EEA" w:rsidRDefault="00671617" w:rsidP="00205DBA">
            <w:pPr>
              <w:jc w:val="right"/>
            </w:pPr>
            <w:r w:rsidRPr="00671617">
              <w:rPr>
                <w:sz w:val="40"/>
              </w:rPr>
              <w:t>CCPR</w:t>
            </w:r>
            <w:r>
              <w:t>/C/114/D/2038/2011</w:t>
            </w:r>
          </w:p>
        </w:tc>
      </w:tr>
      <w:tr w:rsidR="00B56E9C" w14:paraId="0629682F" w14:textId="77777777" w:rsidTr="00B6553F">
        <w:trPr>
          <w:cantSplit/>
          <w:trHeight w:hRule="exact" w:val="2835"/>
        </w:trPr>
        <w:tc>
          <w:tcPr>
            <w:tcW w:w="1276" w:type="dxa"/>
            <w:tcBorders>
              <w:top w:val="single" w:sz="4" w:space="0" w:color="auto"/>
              <w:bottom w:val="single" w:sz="12" w:space="0" w:color="auto"/>
            </w:tcBorders>
          </w:tcPr>
          <w:p w14:paraId="1BE98218" w14:textId="77777777" w:rsidR="00B56E9C" w:rsidRDefault="006211F9" w:rsidP="00B6553F">
            <w:pPr>
              <w:spacing w:before="120"/>
            </w:pPr>
            <w:r>
              <w:rPr>
                <w:noProof/>
                <w:lang w:val="en-US"/>
              </w:rPr>
              <w:drawing>
                <wp:inline distT="0" distB="0" distL="0" distR="0" wp14:anchorId="7D1B6582" wp14:editId="1F121EDF">
                  <wp:extent cx="717550" cy="596900"/>
                  <wp:effectExtent l="0" t="0" r="635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8309E18" w14:textId="77777777"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2C2DF495" w14:textId="77777777" w:rsidR="006211F9" w:rsidRPr="00267F5F" w:rsidRDefault="006211F9" w:rsidP="00267F5F">
            <w:pPr>
              <w:spacing w:before="120" w:line="380" w:lineRule="exact"/>
              <w:rPr>
                <w:sz w:val="34"/>
              </w:rPr>
            </w:pPr>
          </w:p>
        </w:tc>
        <w:tc>
          <w:tcPr>
            <w:tcW w:w="2835" w:type="dxa"/>
            <w:tcBorders>
              <w:top w:val="single" w:sz="4" w:space="0" w:color="auto"/>
              <w:bottom w:val="single" w:sz="12" w:space="0" w:color="auto"/>
            </w:tcBorders>
          </w:tcPr>
          <w:p w14:paraId="7A0CC740" w14:textId="77777777" w:rsidR="00B56E9C" w:rsidRDefault="00671617" w:rsidP="00671617">
            <w:pPr>
              <w:spacing w:before="240" w:line="240" w:lineRule="exact"/>
            </w:pPr>
            <w:r>
              <w:t xml:space="preserve">Distr.: </w:t>
            </w:r>
            <w:r w:rsidR="00362ABF">
              <w:t>General</w:t>
            </w:r>
          </w:p>
          <w:p w14:paraId="5744DB42" w14:textId="77777777" w:rsidR="00671617" w:rsidRDefault="000F1849" w:rsidP="00671617">
            <w:pPr>
              <w:spacing w:line="240" w:lineRule="exact"/>
            </w:pPr>
            <w:r>
              <w:t>2</w:t>
            </w:r>
            <w:r w:rsidR="00A910F4">
              <w:t>1</w:t>
            </w:r>
            <w:r>
              <w:t xml:space="preserve"> October</w:t>
            </w:r>
            <w:r w:rsidR="00671617">
              <w:t xml:space="preserve"> 2015</w:t>
            </w:r>
          </w:p>
          <w:p w14:paraId="079C5A4E" w14:textId="77777777" w:rsidR="00671617" w:rsidRDefault="00671617" w:rsidP="00671617">
            <w:pPr>
              <w:spacing w:line="240" w:lineRule="exact"/>
            </w:pPr>
          </w:p>
          <w:p w14:paraId="14412852" w14:textId="77777777" w:rsidR="00671617" w:rsidRDefault="00671617" w:rsidP="00671617">
            <w:pPr>
              <w:spacing w:line="240" w:lineRule="exact"/>
            </w:pPr>
            <w:r>
              <w:t>Original: English</w:t>
            </w:r>
          </w:p>
          <w:p w14:paraId="22B49E4B" w14:textId="77777777" w:rsidR="00671617" w:rsidRDefault="00671617" w:rsidP="00671617">
            <w:pPr>
              <w:spacing w:line="240" w:lineRule="exact"/>
            </w:pPr>
          </w:p>
        </w:tc>
      </w:tr>
    </w:tbl>
    <w:p w14:paraId="7D8E8ABE" w14:textId="77777777" w:rsidR="00671617" w:rsidRPr="00671617" w:rsidRDefault="00671617" w:rsidP="00671617">
      <w:pPr>
        <w:spacing w:before="120"/>
        <w:rPr>
          <w:b/>
          <w:sz w:val="24"/>
          <w:szCs w:val="24"/>
        </w:rPr>
      </w:pPr>
      <w:r w:rsidRPr="00671617">
        <w:rPr>
          <w:b/>
          <w:sz w:val="24"/>
          <w:szCs w:val="24"/>
        </w:rPr>
        <w:t>Human Rights Committee</w:t>
      </w:r>
    </w:p>
    <w:p w14:paraId="606D99A7" w14:textId="77777777" w:rsidR="00671617" w:rsidRPr="00671617" w:rsidRDefault="00671617" w:rsidP="00E22829">
      <w:pPr>
        <w:pStyle w:val="HChG"/>
      </w:pPr>
      <w:r w:rsidRPr="00671617">
        <w:tab/>
      </w:r>
      <w:r w:rsidRPr="00671617">
        <w:tab/>
        <w:t>Communication No. 2038/2011</w:t>
      </w:r>
    </w:p>
    <w:p w14:paraId="67AC749B" w14:textId="77777777" w:rsidR="00671617" w:rsidRPr="00671617" w:rsidRDefault="00671617" w:rsidP="00671617">
      <w:pPr>
        <w:pStyle w:val="H1G"/>
      </w:pPr>
      <w:r w:rsidRPr="00671617">
        <w:tab/>
      </w:r>
      <w:r w:rsidRPr="00671617">
        <w:tab/>
      </w:r>
      <w:r w:rsidR="00362ABF">
        <w:t>Views adopted by the Committee at its 114</w:t>
      </w:r>
      <w:r w:rsidR="00362ABF" w:rsidRPr="00F512C7">
        <w:t>th</w:t>
      </w:r>
      <w:r w:rsidR="00362ABF">
        <w:t xml:space="preserve"> session</w:t>
      </w:r>
      <w:r w:rsidR="00362ABF">
        <w:br/>
        <w:t>(</w:t>
      </w:r>
      <w:r w:rsidR="00362ABF">
        <w:rPr>
          <w:bCs/>
          <w:lang w:val="en-US"/>
        </w:rPr>
        <w:t>29 June</w:t>
      </w:r>
      <w:r w:rsidR="002E2157">
        <w:rPr>
          <w:bCs/>
          <w:lang w:val="en-US"/>
        </w:rPr>
        <w:t>-</w:t>
      </w:r>
      <w:r w:rsidR="00362ABF">
        <w:rPr>
          <w:bCs/>
          <w:lang w:val="en-US"/>
        </w:rPr>
        <w:t>24 July</w:t>
      </w:r>
      <w:r w:rsidR="00362ABF" w:rsidRPr="00671617">
        <w:rPr>
          <w:bCs/>
          <w:lang w:val="en-US"/>
        </w:rPr>
        <w:t xml:space="preserve"> 2015</w:t>
      </w:r>
      <w:r w:rsidR="00362ABF">
        <w:rPr>
          <w:bCs/>
          <w:lang w:val="en-US"/>
        </w:rPr>
        <w:t>)</w:t>
      </w:r>
    </w:p>
    <w:p w14:paraId="5E024F73" w14:textId="77777777" w:rsidR="00671617" w:rsidRPr="000D3576" w:rsidRDefault="00671617">
      <w:pPr>
        <w:pStyle w:val="SingleTxtG"/>
        <w:ind w:left="4536" w:hanging="2835"/>
        <w:jc w:val="left"/>
        <w:rPr>
          <w:lang w:val="x-none"/>
        </w:rPr>
      </w:pPr>
      <w:r w:rsidRPr="000D3576">
        <w:rPr>
          <w:rFonts w:eastAsia="Calibri"/>
          <w:i/>
          <w:lang w:val="x-none"/>
        </w:rPr>
        <w:t>Submitted by:</w:t>
      </w:r>
      <w:r w:rsidRPr="000D3576">
        <w:rPr>
          <w:rFonts w:eastAsia="Calibri"/>
          <w:sz w:val="24"/>
          <w:szCs w:val="24"/>
          <w:lang w:val="x-none"/>
        </w:rPr>
        <w:tab/>
      </w:r>
      <w:r w:rsidRPr="000D3576">
        <w:t>Chhedulal</w:t>
      </w:r>
      <w:r w:rsidRPr="000D3576">
        <w:rPr>
          <w:rStyle w:val="SingleTxtGChar"/>
          <w:rFonts w:eastAsia="Calibri"/>
          <w:lang w:val="x-none"/>
        </w:rPr>
        <w:t xml:space="preserve"> Tharu </w:t>
      </w:r>
      <w:r w:rsidR="003C28D4">
        <w:rPr>
          <w:rStyle w:val="SingleTxtGChar"/>
          <w:rFonts w:eastAsia="Calibri"/>
          <w:lang w:val="en-US"/>
        </w:rPr>
        <w:t>and others</w:t>
      </w:r>
      <w:r w:rsidRPr="000D3576">
        <w:rPr>
          <w:rStyle w:val="SingleTxtGChar"/>
          <w:rFonts w:eastAsia="Calibri"/>
          <w:lang w:val="x-none"/>
        </w:rPr>
        <w:t xml:space="preserve"> </w:t>
      </w:r>
      <w:r w:rsidRPr="000D3576">
        <w:rPr>
          <w:rStyle w:val="SingleTxtGChar"/>
          <w:lang w:val="x-none"/>
        </w:rPr>
        <w:t>(represented by counsel, Advocacy Forum-Nepal</w:t>
      </w:r>
      <w:r w:rsidR="0094128A">
        <w:rPr>
          <w:rStyle w:val="SingleTxtGChar"/>
          <w:lang w:val="en-US"/>
        </w:rPr>
        <w:t xml:space="preserve"> and REDRESS</w:t>
      </w:r>
      <w:r w:rsidRPr="000D3576">
        <w:rPr>
          <w:rStyle w:val="SingleTxtGChar"/>
          <w:lang w:val="x-none"/>
        </w:rPr>
        <w:t>)</w:t>
      </w:r>
    </w:p>
    <w:p w14:paraId="19AED342" w14:textId="77777777" w:rsidR="00671617" w:rsidRPr="00671617" w:rsidRDefault="00671617">
      <w:pPr>
        <w:pStyle w:val="SingleTxtG"/>
        <w:ind w:left="4536" w:hanging="2835"/>
        <w:jc w:val="left"/>
        <w:rPr>
          <w:lang w:val="x-none"/>
        </w:rPr>
      </w:pPr>
      <w:r w:rsidRPr="000D3576">
        <w:rPr>
          <w:rFonts w:eastAsia="Calibri"/>
          <w:i/>
          <w:lang w:val="x-none"/>
        </w:rPr>
        <w:t>Alleged victim:</w:t>
      </w:r>
      <w:r w:rsidRPr="000D3576">
        <w:rPr>
          <w:rFonts w:eastAsia="Calibri"/>
          <w:sz w:val="24"/>
          <w:szCs w:val="24"/>
          <w:lang w:val="x-none"/>
        </w:rPr>
        <w:tab/>
      </w:r>
      <w:r w:rsidRPr="000D3576">
        <w:rPr>
          <w:rStyle w:val="SingleTxtGChar"/>
          <w:rFonts w:eastAsia="Calibri"/>
          <w:lang w:val="x-none"/>
        </w:rPr>
        <w:t xml:space="preserve">The </w:t>
      </w:r>
      <w:r w:rsidRPr="000D3576">
        <w:t>authors</w:t>
      </w:r>
      <w:r w:rsidRPr="000D3576">
        <w:rPr>
          <w:rStyle w:val="SingleTxtGChar"/>
          <w:rFonts w:eastAsia="Calibri"/>
          <w:lang w:val="x-none"/>
        </w:rPr>
        <w:t xml:space="preserve"> and </w:t>
      </w:r>
      <w:r w:rsidRPr="000D3576">
        <w:rPr>
          <w:rStyle w:val="SingleTxtGChar"/>
          <w:lang w:val="x-none"/>
        </w:rPr>
        <w:t>Dhaniram Tharu, Soniram</w:t>
      </w:r>
      <w:r w:rsidRPr="007007A0">
        <w:rPr>
          <w:rStyle w:val="SingleTxtGChar"/>
          <w:lang w:val="x-none"/>
        </w:rPr>
        <w:t xml:space="preserve"> Tharu, Radhulal Tharu, Prem Prakash</w:t>
      </w:r>
      <w:r w:rsidRPr="00671617">
        <w:rPr>
          <w:rStyle w:val="SingleTxtGChar"/>
          <w:lang w:val="x-none"/>
        </w:rPr>
        <w:t xml:space="preserve"> Tharu, Kamala Tharu/Chaudhari, Mohan Tharu/Chaudhari, Lauti Tharu/Chaudhari and Chillu Tharu</w:t>
      </w:r>
      <w:r w:rsidRPr="00671617">
        <w:rPr>
          <w:rStyle w:val="SingleTxtGChar"/>
          <w:lang w:val="fr-CH"/>
        </w:rPr>
        <w:t>/</w:t>
      </w:r>
      <w:r w:rsidRPr="00671617">
        <w:rPr>
          <w:rStyle w:val="SingleTxtGChar"/>
          <w:lang w:val="x-none"/>
        </w:rPr>
        <w:t>Chaudhari</w:t>
      </w:r>
      <w:r w:rsidRPr="00671617">
        <w:rPr>
          <w:rStyle w:val="SingleTxtGChar"/>
          <w:rFonts w:eastAsia="Calibri"/>
          <w:lang w:val="x-none"/>
        </w:rPr>
        <w:t xml:space="preserve"> (authors’ close relatives)</w:t>
      </w:r>
    </w:p>
    <w:p w14:paraId="62EB54B4" w14:textId="77777777" w:rsidR="00671617" w:rsidRPr="00671617" w:rsidRDefault="00671617" w:rsidP="006175E2">
      <w:pPr>
        <w:spacing w:after="120"/>
        <w:ind w:left="4536" w:hanging="2835"/>
        <w:jc w:val="both"/>
        <w:rPr>
          <w:lang w:val="x-none"/>
        </w:rPr>
      </w:pPr>
      <w:r w:rsidRPr="00671617">
        <w:rPr>
          <w:rFonts w:eastAsia="Calibri"/>
          <w:i/>
          <w:lang w:val="x-none"/>
        </w:rPr>
        <w:t>State party:</w:t>
      </w:r>
      <w:r w:rsidRPr="00671617">
        <w:rPr>
          <w:rFonts w:eastAsia="Calibri"/>
          <w:sz w:val="24"/>
          <w:szCs w:val="24"/>
          <w:lang w:val="x-none"/>
        </w:rPr>
        <w:tab/>
      </w:r>
      <w:r w:rsidRPr="00671617">
        <w:rPr>
          <w:rFonts w:eastAsia="Calibri"/>
          <w:lang w:val="x-none"/>
        </w:rPr>
        <w:t>Nepal</w:t>
      </w:r>
    </w:p>
    <w:p w14:paraId="791D7366" w14:textId="77777777" w:rsidR="00671617" w:rsidRPr="00671617" w:rsidRDefault="00671617" w:rsidP="006175E2">
      <w:pPr>
        <w:pStyle w:val="SingleTxtG"/>
        <w:ind w:left="4536" w:hanging="2835"/>
        <w:jc w:val="left"/>
        <w:rPr>
          <w:lang w:val="x-none"/>
        </w:rPr>
      </w:pPr>
      <w:r w:rsidRPr="00671617">
        <w:rPr>
          <w:rFonts w:eastAsia="Calibri"/>
          <w:i/>
          <w:lang w:val="x-none"/>
        </w:rPr>
        <w:t>Date of communication:</w:t>
      </w:r>
      <w:r w:rsidRPr="00671617">
        <w:rPr>
          <w:rFonts w:eastAsia="Calibri"/>
          <w:sz w:val="24"/>
          <w:szCs w:val="24"/>
          <w:lang w:val="x-none"/>
        </w:rPr>
        <w:tab/>
      </w:r>
      <w:r w:rsidRPr="00671617">
        <w:rPr>
          <w:rFonts w:eastAsia="Calibri"/>
          <w:lang w:val="x-none"/>
        </w:rPr>
        <w:t xml:space="preserve">24 January </w:t>
      </w:r>
      <w:r w:rsidRPr="00671617">
        <w:t>2011</w:t>
      </w:r>
      <w:r w:rsidRPr="00671617">
        <w:rPr>
          <w:lang w:val="x-none"/>
        </w:rPr>
        <w:t xml:space="preserve"> (initial submissio</w:t>
      </w:r>
      <w:r w:rsidR="006211F9">
        <w:rPr>
          <w:noProof/>
          <w:lang w:val="en-US"/>
        </w:rPr>
        <mc:AlternateContent>
          <mc:Choice Requires="wps">
            <w:drawing>
              <wp:anchor distT="0" distB="0" distL="114300" distR="114300" simplePos="0" relativeHeight="251657216" behindDoc="0" locked="0" layoutInCell="1" allowOverlap="0" wp14:anchorId="15370132" wp14:editId="7A3586C5">
                <wp:simplePos x="0" y="0"/>
                <wp:positionH relativeFrom="margin">
                  <wp:posOffset>5489575</wp:posOffset>
                </wp:positionH>
                <wp:positionV relativeFrom="margin">
                  <wp:posOffset>8027670</wp:posOffset>
                </wp:positionV>
                <wp:extent cx="2743200" cy="2743200"/>
                <wp:effectExtent l="0" t="0" r="0" b="0"/>
                <wp:wrapNone/>
                <wp:docPr id="4" name="AutoShape 2" descr="http://undocs.org/m2/QRCode.ashx?DS=&amp;Size=2 &amp;Lan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2CE6" id="AutoShape 2" o:spid="_x0000_s1026" alt="http://undocs.org/m2/QRCode.ashx?DS=&amp;Size=2 &amp;Lang=E" style="position:absolute;margin-left:432.25pt;margin-top:632.1pt;width:3in;height:3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" o:allowoverlap="f" filled="f" stroked="f">
                <o:lock v:ext="edit" aspectratio="t"/>
                <w10:wrap anchorx="margin" anchory="margin"/>
              </v:rect>
            </w:pict>
          </mc:Fallback>
        </mc:AlternateContent>
      </w:r>
      <w:r w:rsidRPr="00671617">
        <w:rPr>
          <w:lang w:val="x-none"/>
        </w:rPr>
        <w:t>n)</w:t>
      </w:r>
    </w:p>
    <w:p w14:paraId="79E1137A" w14:textId="77777777" w:rsidR="00671617" w:rsidRPr="00671617" w:rsidRDefault="00671617" w:rsidP="006175E2">
      <w:pPr>
        <w:pStyle w:val="SingleTxtG"/>
        <w:ind w:left="4536" w:hanging="2835"/>
        <w:jc w:val="left"/>
        <w:rPr>
          <w:lang w:val="x-none"/>
        </w:rPr>
      </w:pPr>
      <w:r w:rsidRPr="00671617">
        <w:rPr>
          <w:rFonts w:eastAsia="Calibri"/>
          <w:i/>
          <w:lang w:val="x-none"/>
        </w:rPr>
        <w:t>Document references:</w:t>
      </w:r>
      <w:r w:rsidRPr="00671617">
        <w:rPr>
          <w:rFonts w:eastAsia="Calibri"/>
          <w:sz w:val="24"/>
          <w:szCs w:val="24"/>
          <w:lang w:val="x-none"/>
        </w:rPr>
        <w:tab/>
      </w:r>
      <w:r w:rsidRPr="00671617">
        <w:rPr>
          <w:rStyle w:val="SingleTxtGChar"/>
          <w:lang w:val="x-none"/>
        </w:rPr>
        <w:t xml:space="preserve">Special </w:t>
      </w:r>
      <w:r w:rsidRPr="00871651">
        <w:t>Rapporteur’s</w:t>
      </w:r>
      <w:r w:rsidRPr="00671617">
        <w:rPr>
          <w:rStyle w:val="SingleTxtGChar"/>
          <w:lang w:val="x-none"/>
        </w:rPr>
        <w:t xml:space="preserve"> rule 97 decision, transmitted to the State party on 8 April 2011 (not issued in document form)</w:t>
      </w:r>
    </w:p>
    <w:p w14:paraId="4AB5203D" w14:textId="77777777" w:rsidR="00671617" w:rsidRPr="00671617" w:rsidRDefault="00671617" w:rsidP="006175E2">
      <w:pPr>
        <w:spacing w:after="120"/>
        <w:ind w:left="4536" w:hanging="2835"/>
        <w:jc w:val="both"/>
        <w:rPr>
          <w:lang w:val="x-none"/>
        </w:rPr>
      </w:pPr>
      <w:r w:rsidRPr="00671617">
        <w:rPr>
          <w:rFonts w:eastAsia="Calibri"/>
          <w:i/>
          <w:lang w:val="x-none"/>
        </w:rPr>
        <w:t>Date of adoption of Views:</w:t>
      </w:r>
      <w:r w:rsidRPr="00671617">
        <w:rPr>
          <w:rFonts w:eastAsia="Calibri"/>
          <w:sz w:val="24"/>
          <w:szCs w:val="24"/>
          <w:lang w:val="x-none"/>
        </w:rPr>
        <w:tab/>
      </w:r>
      <w:r w:rsidR="00362ABF" w:rsidRPr="006211F9">
        <w:rPr>
          <w:rFonts w:eastAsia="Calibri"/>
        </w:rPr>
        <w:t>3</w:t>
      </w:r>
      <w:r w:rsidRPr="00671617">
        <w:rPr>
          <w:rFonts w:eastAsia="Calibri"/>
          <w:sz w:val="24"/>
          <w:szCs w:val="24"/>
          <w:lang w:val="x-none"/>
        </w:rPr>
        <w:t xml:space="preserve"> </w:t>
      </w:r>
      <w:r w:rsidRPr="00671617">
        <w:rPr>
          <w:rFonts w:eastAsia="Calibri"/>
          <w:lang w:val="x-none"/>
        </w:rPr>
        <w:t xml:space="preserve">July </w:t>
      </w:r>
      <w:r w:rsidRPr="00671617">
        <w:rPr>
          <w:lang w:val="x-none"/>
        </w:rPr>
        <w:t>2015</w:t>
      </w:r>
    </w:p>
    <w:p w14:paraId="21A293D0" w14:textId="77777777" w:rsidR="00671617" w:rsidRPr="00671617" w:rsidRDefault="00671617" w:rsidP="00E012CD">
      <w:pPr>
        <w:pStyle w:val="SingleTxtG"/>
        <w:ind w:left="4536" w:hanging="2835"/>
        <w:jc w:val="left"/>
        <w:rPr>
          <w:lang w:val="x-none"/>
        </w:rPr>
      </w:pPr>
      <w:r w:rsidRPr="00671617">
        <w:rPr>
          <w:i/>
          <w:iCs/>
          <w:lang w:val="x-none"/>
        </w:rPr>
        <w:t>Subject matter:</w:t>
      </w:r>
      <w:r w:rsidRPr="00671617">
        <w:rPr>
          <w:i/>
          <w:lang w:val="x-none"/>
        </w:rPr>
        <w:tab/>
      </w:r>
      <w:r w:rsidRPr="00671617">
        <w:rPr>
          <w:lang w:val="x-none"/>
        </w:rPr>
        <w:t xml:space="preserve">Enforced </w:t>
      </w:r>
      <w:r w:rsidRPr="00671617">
        <w:t>disappearance</w:t>
      </w:r>
    </w:p>
    <w:p w14:paraId="750D4942" w14:textId="77777777" w:rsidR="003C28D4" w:rsidRPr="00167CAD" w:rsidRDefault="003C28D4" w:rsidP="003C28D4">
      <w:pPr>
        <w:pStyle w:val="SingleTxtG"/>
        <w:ind w:left="4536" w:hanging="2835"/>
        <w:jc w:val="left"/>
        <w:rPr>
          <w:lang w:val="x-none"/>
        </w:rPr>
      </w:pPr>
      <w:r w:rsidRPr="00167CAD">
        <w:rPr>
          <w:i/>
          <w:iCs/>
          <w:lang w:val="x-none"/>
        </w:rPr>
        <w:t>Procedural issue</w:t>
      </w:r>
      <w:r>
        <w:rPr>
          <w:i/>
          <w:iCs/>
          <w:lang w:val="en-US"/>
        </w:rPr>
        <w:t>s</w:t>
      </w:r>
      <w:r w:rsidRPr="00167CAD">
        <w:rPr>
          <w:i/>
          <w:lang w:val="x-none"/>
        </w:rPr>
        <w:t>:</w:t>
      </w:r>
      <w:r w:rsidRPr="00167CAD">
        <w:rPr>
          <w:i/>
          <w:iCs/>
          <w:lang w:val="x-none"/>
        </w:rPr>
        <w:tab/>
      </w:r>
      <w:r w:rsidRPr="00167CAD">
        <w:t>Exhaustion</w:t>
      </w:r>
      <w:r w:rsidRPr="00167CAD">
        <w:rPr>
          <w:lang w:val="x-none"/>
        </w:rPr>
        <w:t xml:space="preserve"> of domestic remedies</w:t>
      </w:r>
    </w:p>
    <w:p w14:paraId="19C059BF" w14:textId="77777777" w:rsidR="00671617" w:rsidRPr="00671617" w:rsidRDefault="00671617">
      <w:pPr>
        <w:pStyle w:val="SingleTxtG"/>
        <w:ind w:left="4536" w:hanging="2835"/>
        <w:jc w:val="left"/>
        <w:rPr>
          <w:rStyle w:val="SingleTxtGChar"/>
          <w:lang w:val="x-none"/>
        </w:rPr>
      </w:pPr>
      <w:r w:rsidRPr="00671617">
        <w:rPr>
          <w:i/>
          <w:iCs/>
          <w:lang w:val="x-none"/>
        </w:rPr>
        <w:t>Substantive issues:</w:t>
      </w:r>
      <w:r w:rsidRPr="00671617">
        <w:rPr>
          <w:i/>
          <w:iCs/>
          <w:lang w:val="x-none"/>
        </w:rPr>
        <w:tab/>
      </w:r>
      <w:r w:rsidRPr="00671617">
        <w:rPr>
          <w:rStyle w:val="SingleTxtGChar"/>
          <w:lang w:val="x-none"/>
        </w:rPr>
        <w:t xml:space="preserve">Right to life, prohibition of torture and cruel and inhuman treatment, right to liberty and security of person, respect for the inherent dignity of the human person, recognition as a person before the law and </w:t>
      </w:r>
      <w:r w:rsidRPr="00167CAD">
        <w:rPr>
          <w:rStyle w:val="SingleTxtGChar"/>
          <w:lang w:val="x-none"/>
        </w:rPr>
        <w:t>right to an effective remedy</w:t>
      </w:r>
      <w:r w:rsidRPr="00167CAD">
        <w:rPr>
          <w:i/>
          <w:iCs/>
          <w:lang w:val="x-none"/>
        </w:rPr>
        <w:t>Articles of the Covenant</w:t>
      </w:r>
      <w:r w:rsidRPr="00167CAD">
        <w:rPr>
          <w:i/>
          <w:lang w:val="x-none"/>
        </w:rPr>
        <w:t>:</w:t>
      </w:r>
      <w:r w:rsidRPr="00167CAD">
        <w:rPr>
          <w:i/>
          <w:iCs/>
          <w:lang w:val="x-none"/>
        </w:rPr>
        <w:tab/>
      </w:r>
      <w:r w:rsidRPr="00167CAD">
        <w:rPr>
          <w:rStyle w:val="SingleTxtGChar"/>
          <w:lang w:val="x-none"/>
        </w:rPr>
        <w:t>6</w:t>
      </w:r>
      <w:r w:rsidR="00167CAD" w:rsidRPr="00F512C7">
        <w:rPr>
          <w:rStyle w:val="SingleTxtGChar"/>
          <w:lang w:val="en-US"/>
        </w:rPr>
        <w:t>,</w:t>
      </w:r>
      <w:r w:rsidRPr="00167CAD">
        <w:rPr>
          <w:rStyle w:val="SingleTxtGChar"/>
          <w:lang w:val="x-none"/>
        </w:rPr>
        <w:t xml:space="preserve"> 7</w:t>
      </w:r>
      <w:r w:rsidR="00167CAD" w:rsidRPr="00F512C7">
        <w:rPr>
          <w:rStyle w:val="SingleTxtGChar"/>
          <w:lang w:val="en-US"/>
        </w:rPr>
        <w:t>,</w:t>
      </w:r>
      <w:r w:rsidRPr="00167CAD">
        <w:rPr>
          <w:rStyle w:val="SingleTxtGChar"/>
          <w:lang w:val="x-none"/>
        </w:rPr>
        <w:t xml:space="preserve"> 9</w:t>
      </w:r>
      <w:r w:rsidR="00167CAD" w:rsidRPr="00F512C7">
        <w:rPr>
          <w:rStyle w:val="SingleTxtGChar"/>
          <w:lang w:val="en-US"/>
        </w:rPr>
        <w:t>,</w:t>
      </w:r>
      <w:r w:rsidRPr="00167CAD">
        <w:rPr>
          <w:rStyle w:val="SingleTxtGChar"/>
          <w:lang w:val="x-none"/>
        </w:rPr>
        <w:t xml:space="preserve"> 10</w:t>
      </w:r>
      <w:r w:rsidR="00167CAD" w:rsidRPr="00F512C7">
        <w:rPr>
          <w:rStyle w:val="SingleTxtGChar"/>
          <w:lang w:val="en-US"/>
        </w:rPr>
        <w:t>,</w:t>
      </w:r>
      <w:r w:rsidRPr="00167CAD">
        <w:rPr>
          <w:rStyle w:val="SingleTxtGChar"/>
          <w:lang w:val="x-none"/>
        </w:rPr>
        <w:t xml:space="preserve"> 16</w:t>
      </w:r>
      <w:r w:rsidR="00167CAD" w:rsidRPr="00F512C7">
        <w:rPr>
          <w:rStyle w:val="SingleTxtGChar"/>
          <w:lang w:val="en-US"/>
        </w:rPr>
        <w:t>,</w:t>
      </w:r>
      <w:r w:rsidRPr="00167CAD">
        <w:rPr>
          <w:rStyle w:val="SingleTxtGChar"/>
          <w:lang w:val="x-none"/>
        </w:rPr>
        <w:t xml:space="preserve"> 17</w:t>
      </w:r>
      <w:r w:rsidR="0094128A">
        <w:rPr>
          <w:rStyle w:val="SingleTxtGChar"/>
          <w:lang w:val="en-US"/>
        </w:rPr>
        <w:t> (1)</w:t>
      </w:r>
      <w:r w:rsidR="00167CAD" w:rsidRPr="00F512C7">
        <w:rPr>
          <w:rStyle w:val="SingleTxtGChar"/>
          <w:lang w:val="en-US"/>
        </w:rPr>
        <w:t>,</w:t>
      </w:r>
      <w:r w:rsidRPr="00167CAD">
        <w:rPr>
          <w:rStyle w:val="SingleTxtGChar"/>
          <w:lang w:val="x-none"/>
        </w:rPr>
        <w:t xml:space="preserve"> 23 and 24</w:t>
      </w:r>
      <w:r w:rsidR="00502A51" w:rsidRPr="00167CAD">
        <w:rPr>
          <w:rStyle w:val="SingleTxtGChar"/>
          <w:lang w:val="en-US"/>
        </w:rPr>
        <w:t> </w:t>
      </w:r>
      <w:r w:rsidRPr="00167CAD">
        <w:rPr>
          <w:rStyle w:val="SingleTxtGChar"/>
          <w:lang w:val="x-none"/>
        </w:rPr>
        <w:t>(1), alone and in conjunction with article 2</w:t>
      </w:r>
      <w:r w:rsidR="00502A51" w:rsidRPr="00167CAD">
        <w:rPr>
          <w:rStyle w:val="SingleTxtGChar"/>
          <w:lang w:val="en-US"/>
        </w:rPr>
        <w:t> </w:t>
      </w:r>
      <w:r w:rsidRPr="00167CAD">
        <w:rPr>
          <w:rStyle w:val="SingleTxtGChar"/>
          <w:lang w:val="x-none"/>
        </w:rPr>
        <w:t>(3)</w:t>
      </w:r>
    </w:p>
    <w:p w14:paraId="033FB61A" w14:textId="77777777" w:rsidR="00671617" w:rsidRPr="00671617" w:rsidRDefault="00671617">
      <w:pPr>
        <w:pStyle w:val="SingleTxtG"/>
        <w:ind w:left="4536" w:hanging="2835"/>
        <w:jc w:val="left"/>
        <w:rPr>
          <w:lang w:val="x-none"/>
        </w:rPr>
      </w:pPr>
      <w:r w:rsidRPr="00671617">
        <w:rPr>
          <w:i/>
          <w:iCs/>
          <w:lang w:val="x-none"/>
        </w:rPr>
        <w:t>Article</w:t>
      </w:r>
      <w:r w:rsidR="003C28D4">
        <w:rPr>
          <w:i/>
          <w:iCs/>
          <w:lang w:val="en-US"/>
        </w:rPr>
        <w:t>s</w:t>
      </w:r>
      <w:r w:rsidRPr="00671617">
        <w:rPr>
          <w:i/>
          <w:iCs/>
          <w:lang w:val="x-none"/>
        </w:rPr>
        <w:t xml:space="preserve"> of the Optional Protocol:</w:t>
      </w:r>
      <w:r w:rsidRPr="00671617">
        <w:rPr>
          <w:i/>
          <w:iCs/>
          <w:lang w:val="x-none"/>
        </w:rPr>
        <w:tab/>
      </w:r>
      <w:r w:rsidRPr="00671617">
        <w:rPr>
          <w:lang w:val="x-none"/>
        </w:rPr>
        <w:t>5</w:t>
      </w:r>
      <w:r w:rsidR="009876CD">
        <w:rPr>
          <w:lang w:val="en-US"/>
        </w:rPr>
        <w:t xml:space="preserve"> (</w:t>
      </w:r>
      <w:r w:rsidRPr="00671617">
        <w:rPr>
          <w:lang w:val="x-none"/>
        </w:rPr>
        <w:t>2</w:t>
      </w:r>
      <w:r w:rsidR="009876CD">
        <w:rPr>
          <w:lang w:val="en-US"/>
        </w:rPr>
        <w:t>)</w:t>
      </w:r>
      <w:r w:rsidRPr="00671617">
        <w:rPr>
          <w:lang w:val="x-none"/>
        </w:rPr>
        <w:t xml:space="preserve"> (a) and </w:t>
      </w:r>
      <w:r w:rsidR="009876CD">
        <w:rPr>
          <w:lang w:val="en-US"/>
        </w:rPr>
        <w:t>(</w:t>
      </w:r>
      <w:r w:rsidR="009876CD" w:rsidRPr="00671617">
        <w:rPr>
          <w:lang w:val="x-none"/>
        </w:rPr>
        <w:t>2</w:t>
      </w:r>
      <w:r w:rsidR="009876CD">
        <w:rPr>
          <w:lang w:val="en-US"/>
        </w:rPr>
        <w:t>)</w:t>
      </w:r>
      <w:r w:rsidR="009876CD" w:rsidRPr="00671617">
        <w:rPr>
          <w:lang w:val="x-none"/>
        </w:rPr>
        <w:t xml:space="preserve"> </w:t>
      </w:r>
      <w:r w:rsidRPr="00671617">
        <w:rPr>
          <w:lang w:val="x-none"/>
        </w:rPr>
        <w:t>(b)</w:t>
      </w:r>
    </w:p>
    <w:p w14:paraId="3E39C263" w14:textId="77777777" w:rsidR="00671617" w:rsidRPr="00671617" w:rsidRDefault="00671617" w:rsidP="00F512C7">
      <w:pPr>
        <w:pStyle w:val="SingleTxtG"/>
        <w:rPr>
          <w:lang w:val="x-none"/>
        </w:rPr>
      </w:pPr>
    </w:p>
    <w:p w14:paraId="48E3199F" w14:textId="77777777" w:rsidR="00671617" w:rsidRPr="00671617" w:rsidRDefault="00671617" w:rsidP="00BE5B91">
      <w:pPr>
        <w:pStyle w:val="HChG"/>
      </w:pPr>
      <w:r w:rsidRPr="00671617">
        <w:rPr>
          <w:rFonts w:eastAsia="Calibri"/>
          <w:sz w:val="24"/>
          <w:szCs w:val="24"/>
        </w:rPr>
        <w:br w:type="page"/>
      </w:r>
      <w:r w:rsidRPr="00671617">
        <w:lastRenderedPageBreak/>
        <w:t>Annex</w:t>
      </w:r>
    </w:p>
    <w:p w14:paraId="4B5AC872" w14:textId="77777777" w:rsidR="00671617" w:rsidRPr="000D3576" w:rsidRDefault="00671617">
      <w:pPr>
        <w:pStyle w:val="HChG"/>
      </w:pPr>
      <w:r w:rsidRPr="00671617">
        <w:tab/>
      </w:r>
      <w:r w:rsidRPr="00671617">
        <w:tab/>
        <w:t xml:space="preserve">Views of the Human Rights Committee </w:t>
      </w:r>
      <w:r w:rsidRPr="000D3576">
        <w:t>under article 5</w:t>
      </w:r>
      <w:r w:rsidR="009876CD" w:rsidRPr="000D3576">
        <w:t xml:space="preserve"> (</w:t>
      </w:r>
      <w:r w:rsidRPr="000D3576">
        <w:t>4</w:t>
      </w:r>
      <w:r w:rsidR="009876CD" w:rsidRPr="000D3576">
        <w:t>)</w:t>
      </w:r>
      <w:r w:rsidRPr="000D3576">
        <w:t xml:space="preserve"> of the Optional Protocol </w:t>
      </w:r>
      <w:r w:rsidRPr="00BB0D85">
        <w:t xml:space="preserve">to the International Covenant on Civil and Political </w:t>
      </w:r>
      <w:r w:rsidR="003C28D4">
        <w:t>R</w:t>
      </w:r>
      <w:r w:rsidRPr="00BB0D85">
        <w:t xml:space="preserve">ights (114th </w:t>
      </w:r>
      <w:r w:rsidRPr="000D3576">
        <w:rPr>
          <w:bCs/>
        </w:rPr>
        <w:t>session)</w:t>
      </w:r>
    </w:p>
    <w:p w14:paraId="74C89587" w14:textId="77777777" w:rsidR="00671617" w:rsidRPr="000D3576" w:rsidRDefault="00671617" w:rsidP="00671617">
      <w:pPr>
        <w:spacing w:after="120"/>
        <w:ind w:left="1134"/>
        <w:jc w:val="both"/>
        <w:rPr>
          <w:rFonts w:eastAsia="Calibri"/>
          <w:lang w:val="x-none"/>
        </w:rPr>
      </w:pPr>
      <w:r w:rsidRPr="000D3576">
        <w:rPr>
          <w:rFonts w:eastAsia="Calibri"/>
          <w:lang w:val="x-none"/>
        </w:rPr>
        <w:t>concerning</w:t>
      </w:r>
    </w:p>
    <w:p w14:paraId="4E1D4D42" w14:textId="77777777" w:rsidR="00D95364" w:rsidRDefault="00671617" w:rsidP="00E012CD">
      <w:pPr>
        <w:pStyle w:val="H1G"/>
        <w:rPr>
          <w:szCs w:val="24"/>
          <w:lang w:eastAsia="en-GB"/>
        </w:rPr>
      </w:pPr>
      <w:r w:rsidRPr="00D148F5">
        <w:rPr>
          <w:rFonts w:eastAsia="Calibri"/>
        </w:rPr>
        <w:tab/>
      </w:r>
      <w:r w:rsidRPr="00D148F5">
        <w:rPr>
          <w:rFonts w:eastAsia="Calibri"/>
        </w:rPr>
        <w:tab/>
        <w:t>Communication No. 2038/2011</w:t>
      </w:r>
      <w:r w:rsidR="00362ABF" w:rsidRPr="00F512C7">
        <w:rPr>
          <w:rStyle w:val="FootnoteReference"/>
          <w:rFonts w:eastAsia="Calibri"/>
          <w:bCs/>
          <w:sz w:val="20"/>
          <w:vertAlign w:val="baseline"/>
        </w:rPr>
        <w:footnoteReference w:customMarkFollows="1" w:id="2"/>
        <w:t>*</w:t>
      </w:r>
    </w:p>
    <w:p w14:paraId="5529C87F" w14:textId="77777777" w:rsidR="00671617" w:rsidRPr="00F512C7" w:rsidRDefault="00671617" w:rsidP="006175E2">
      <w:pPr>
        <w:pStyle w:val="SingleTxtG"/>
        <w:ind w:left="4536" w:hanging="2835"/>
        <w:jc w:val="left"/>
        <w:rPr>
          <w:lang w:val="en-US"/>
        </w:rPr>
      </w:pPr>
      <w:r w:rsidRPr="00671617">
        <w:rPr>
          <w:rFonts w:eastAsia="Calibri"/>
          <w:i/>
        </w:rPr>
        <w:t>Submitted by:</w:t>
      </w:r>
      <w:r w:rsidRPr="00671617">
        <w:rPr>
          <w:rFonts w:eastAsia="Calibri"/>
          <w:sz w:val="24"/>
          <w:szCs w:val="24"/>
        </w:rPr>
        <w:tab/>
      </w:r>
      <w:r w:rsidRPr="00871651">
        <w:t>Chhedulal</w:t>
      </w:r>
      <w:r w:rsidRPr="00671617">
        <w:rPr>
          <w:rStyle w:val="SingleTxtGChar"/>
          <w:rFonts w:eastAsia="Calibri"/>
        </w:rPr>
        <w:t xml:space="preserve"> Tharu et al. </w:t>
      </w:r>
      <w:r w:rsidRPr="00671617">
        <w:rPr>
          <w:rStyle w:val="SingleTxtGChar"/>
          <w:lang w:val="x-none"/>
        </w:rPr>
        <w:t>(represented by counsel, Advocacy Forum-Nepal</w:t>
      </w:r>
      <w:r w:rsidR="0094128A">
        <w:rPr>
          <w:rStyle w:val="SingleTxtGChar"/>
          <w:lang w:val="en-US"/>
        </w:rPr>
        <w:t xml:space="preserve"> and REDRESS)</w:t>
      </w:r>
    </w:p>
    <w:p w14:paraId="3EFDA314" w14:textId="77777777" w:rsidR="00671617" w:rsidRPr="00671617" w:rsidRDefault="00671617">
      <w:pPr>
        <w:pStyle w:val="SingleTxtG"/>
        <w:ind w:left="4536" w:hanging="2835"/>
        <w:jc w:val="left"/>
        <w:rPr>
          <w:lang w:val="x-none"/>
        </w:rPr>
      </w:pPr>
      <w:r w:rsidRPr="00671617">
        <w:rPr>
          <w:rFonts w:eastAsia="Calibri"/>
          <w:i/>
          <w:lang w:val="x-none"/>
        </w:rPr>
        <w:t>Alleged victim:</w:t>
      </w:r>
      <w:r w:rsidRPr="00671617">
        <w:rPr>
          <w:rFonts w:eastAsia="Calibri"/>
          <w:sz w:val="24"/>
          <w:szCs w:val="24"/>
          <w:lang w:val="x-none"/>
        </w:rPr>
        <w:tab/>
      </w:r>
      <w:r w:rsidRPr="00671617">
        <w:rPr>
          <w:rStyle w:val="SingleTxtGChar"/>
          <w:rFonts w:eastAsia="Calibri"/>
          <w:lang w:val="x-none"/>
        </w:rPr>
        <w:t xml:space="preserve">The authors and </w:t>
      </w:r>
      <w:r w:rsidRPr="00671617">
        <w:rPr>
          <w:rStyle w:val="SingleTxtGChar"/>
          <w:lang w:val="x-none"/>
        </w:rPr>
        <w:t xml:space="preserve">Dhaniram Tharu, Soniram Tharu, Radhulal Tharu, </w:t>
      </w:r>
      <w:r w:rsidRPr="00871651">
        <w:t>Prem</w:t>
      </w:r>
      <w:r w:rsidRPr="00671617">
        <w:rPr>
          <w:rStyle w:val="SingleTxtGChar"/>
          <w:lang w:val="x-none"/>
        </w:rPr>
        <w:t xml:space="preserve"> Prakash Tharu, Kamala Tharu/Chaudhari, Mohan Tharu/Chaudhari, Lauti Tharu/Chaudhari and Chillu Tharu</w:t>
      </w:r>
      <w:r w:rsidRPr="00671617">
        <w:rPr>
          <w:rStyle w:val="SingleTxtGChar"/>
        </w:rPr>
        <w:t>/</w:t>
      </w:r>
      <w:r w:rsidRPr="00671617">
        <w:rPr>
          <w:rStyle w:val="SingleTxtGChar"/>
          <w:lang w:val="x-none"/>
        </w:rPr>
        <w:t>Chaudhari</w:t>
      </w:r>
      <w:r w:rsidRPr="00671617">
        <w:rPr>
          <w:rStyle w:val="SingleTxtGChar"/>
          <w:rFonts w:eastAsia="Calibri"/>
          <w:lang w:val="x-none"/>
        </w:rPr>
        <w:t xml:space="preserve"> (authors’ close relatives)</w:t>
      </w:r>
    </w:p>
    <w:p w14:paraId="2366022C" w14:textId="77777777" w:rsidR="00671617" w:rsidRPr="00671617" w:rsidRDefault="00671617" w:rsidP="006175E2">
      <w:pPr>
        <w:spacing w:after="120"/>
        <w:ind w:left="4536" w:hanging="2835"/>
        <w:jc w:val="both"/>
        <w:rPr>
          <w:lang w:val="x-none"/>
        </w:rPr>
      </w:pPr>
      <w:r w:rsidRPr="00671617">
        <w:rPr>
          <w:rFonts w:eastAsia="Calibri"/>
          <w:i/>
        </w:rPr>
        <w:t>State party:</w:t>
      </w:r>
      <w:r w:rsidRPr="00671617">
        <w:rPr>
          <w:rFonts w:eastAsia="Calibri"/>
          <w:sz w:val="24"/>
          <w:szCs w:val="24"/>
        </w:rPr>
        <w:tab/>
      </w:r>
      <w:r w:rsidRPr="00671617">
        <w:rPr>
          <w:rFonts w:eastAsia="Calibri"/>
        </w:rPr>
        <w:t>Nepal</w:t>
      </w:r>
    </w:p>
    <w:p w14:paraId="1B6E058A" w14:textId="77777777" w:rsidR="00671617" w:rsidRPr="00671617" w:rsidRDefault="00671617" w:rsidP="006175E2">
      <w:pPr>
        <w:pStyle w:val="SingleTxtG"/>
        <w:ind w:left="4536" w:hanging="2835"/>
        <w:jc w:val="left"/>
        <w:rPr>
          <w:lang w:val="x-none"/>
        </w:rPr>
      </w:pPr>
      <w:r w:rsidRPr="00671617">
        <w:rPr>
          <w:rFonts w:eastAsia="Calibri"/>
          <w:i/>
        </w:rPr>
        <w:t>Date of communication:</w:t>
      </w:r>
      <w:r w:rsidRPr="00671617">
        <w:rPr>
          <w:rFonts w:eastAsia="Calibri"/>
          <w:sz w:val="24"/>
          <w:szCs w:val="24"/>
        </w:rPr>
        <w:tab/>
      </w:r>
      <w:r w:rsidRPr="00671617">
        <w:rPr>
          <w:rFonts w:eastAsia="Calibri"/>
        </w:rPr>
        <w:t xml:space="preserve">24 </w:t>
      </w:r>
      <w:r w:rsidRPr="00671617">
        <w:t>January</w:t>
      </w:r>
      <w:r w:rsidRPr="00671617">
        <w:rPr>
          <w:rFonts w:eastAsia="Calibri"/>
        </w:rPr>
        <w:t xml:space="preserve"> 2011</w:t>
      </w:r>
      <w:r w:rsidRPr="00671617">
        <w:rPr>
          <w:lang w:val="x-none"/>
        </w:rPr>
        <w:t xml:space="preserve"> (initial submission)</w:t>
      </w:r>
    </w:p>
    <w:p w14:paraId="66D73168" w14:textId="77777777" w:rsidR="00671617" w:rsidRPr="00671617" w:rsidRDefault="00671617" w:rsidP="00671617">
      <w:pPr>
        <w:pStyle w:val="SingleTxtG"/>
      </w:pPr>
      <w:r w:rsidRPr="00671617">
        <w:rPr>
          <w:rFonts w:eastAsia="Calibri"/>
          <w:i/>
          <w:sz w:val="24"/>
          <w:szCs w:val="24"/>
        </w:rPr>
        <w:tab/>
      </w:r>
      <w:r w:rsidRPr="00671617">
        <w:rPr>
          <w:rFonts w:eastAsia="Calibri"/>
          <w:i/>
        </w:rPr>
        <w:t>The Human Rights Committee</w:t>
      </w:r>
      <w:r w:rsidRPr="00671617">
        <w:rPr>
          <w:rFonts w:eastAsia="Calibri"/>
          <w:sz w:val="24"/>
          <w:szCs w:val="24"/>
        </w:rPr>
        <w:t xml:space="preserve">, </w:t>
      </w:r>
      <w:r w:rsidRPr="00671617">
        <w:t>established under article 28 of the International Covenant on Civil and Political Rights,</w:t>
      </w:r>
    </w:p>
    <w:p w14:paraId="688F5E69" w14:textId="77777777" w:rsidR="00671617" w:rsidRPr="00671617" w:rsidRDefault="00671617" w:rsidP="00671617">
      <w:pPr>
        <w:spacing w:after="120"/>
        <w:ind w:left="1134"/>
        <w:jc w:val="both"/>
        <w:rPr>
          <w:lang w:val="x-none"/>
        </w:rPr>
      </w:pPr>
      <w:r w:rsidRPr="00671617">
        <w:rPr>
          <w:rFonts w:eastAsia="Calibri"/>
          <w:sz w:val="24"/>
          <w:szCs w:val="24"/>
        </w:rPr>
        <w:tab/>
      </w:r>
      <w:r w:rsidRPr="00671617">
        <w:rPr>
          <w:rFonts w:eastAsia="Calibri"/>
          <w:i/>
        </w:rPr>
        <w:t xml:space="preserve">Meeting </w:t>
      </w:r>
      <w:r w:rsidRPr="006175E2">
        <w:rPr>
          <w:rFonts w:eastAsia="Calibri"/>
          <w:iCs/>
        </w:rPr>
        <w:t>on</w:t>
      </w:r>
      <w:r w:rsidRPr="00671617">
        <w:rPr>
          <w:rFonts w:eastAsia="Calibri"/>
          <w:sz w:val="24"/>
          <w:szCs w:val="24"/>
        </w:rPr>
        <w:t xml:space="preserve"> </w:t>
      </w:r>
      <w:r w:rsidR="00362ABF" w:rsidRPr="006211F9">
        <w:rPr>
          <w:rFonts w:eastAsia="Calibri"/>
        </w:rPr>
        <w:t>3</w:t>
      </w:r>
      <w:r w:rsidRPr="00671617">
        <w:rPr>
          <w:rFonts w:eastAsia="Calibri"/>
          <w:sz w:val="24"/>
          <w:szCs w:val="24"/>
        </w:rPr>
        <w:t xml:space="preserve"> </w:t>
      </w:r>
      <w:r w:rsidRPr="00671617">
        <w:rPr>
          <w:rFonts w:eastAsia="Calibri"/>
        </w:rPr>
        <w:t xml:space="preserve">July </w:t>
      </w:r>
      <w:r w:rsidRPr="00671617">
        <w:rPr>
          <w:lang w:val="x-none"/>
        </w:rPr>
        <w:t>2015,</w:t>
      </w:r>
    </w:p>
    <w:p w14:paraId="5F25D71B" w14:textId="77777777" w:rsidR="00671617" w:rsidRPr="007007A0" w:rsidRDefault="00671617" w:rsidP="00671617">
      <w:pPr>
        <w:pStyle w:val="SingleTxtG"/>
      </w:pPr>
      <w:r w:rsidRPr="00671617">
        <w:rPr>
          <w:rFonts w:eastAsia="Calibri"/>
          <w:sz w:val="24"/>
          <w:szCs w:val="24"/>
        </w:rPr>
        <w:tab/>
      </w:r>
      <w:r w:rsidRPr="00671617">
        <w:rPr>
          <w:rFonts w:eastAsia="Calibri"/>
          <w:i/>
        </w:rPr>
        <w:t>Having concluded</w:t>
      </w:r>
      <w:r w:rsidRPr="00671617">
        <w:rPr>
          <w:rFonts w:eastAsia="Calibri"/>
          <w:sz w:val="24"/>
          <w:szCs w:val="24"/>
        </w:rPr>
        <w:t xml:space="preserve"> </w:t>
      </w:r>
      <w:r w:rsidRPr="00671617">
        <w:t xml:space="preserve">its consideration of </w:t>
      </w:r>
      <w:r w:rsidRPr="007007A0">
        <w:t xml:space="preserve">communication No. 2038/2011, submitted to the Human Rights Committee by </w:t>
      </w:r>
      <w:r w:rsidRPr="007007A0">
        <w:rPr>
          <w:rFonts w:eastAsia="Calibri"/>
        </w:rPr>
        <w:t xml:space="preserve">Chhedulal Tharu et al. </w:t>
      </w:r>
      <w:r w:rsidRPr="007007A0">
        <w:t>under the Optional Protocol to the International Covenant on Civil and Political Rights,</w:t>
      </w:r>
    </w:p>
    <w:p w14:paraId="49BA1567" w14:textId="77777777" w:rsidR="00671617" w:rsidRPr="007007A0" w:rsidRDefault="00671617" w:rsidP="00671617">
      <w:pPr>
        <w:pStyle w:val="SingleTxtG"/>
      </w:pPr>
      <w:r w:rsidRPr="007007A0">
        <w:rPr>
          <w:rFonts w:eastAsia="Calibri"/>
          <w:sz w:val="24"/>
          <w:szCs w:val="24"/>
        </w:rPr>
        <w:tab/>
      </w:r>
      <w:r w:rsidRPr="007007A0">
        <w:rPr>
          <w:rFonts w:eastAsia="Calibri"/>
          <w:i/>
        </w:rPr>
        <w:t>Having taken into account</w:t>
      </w:r>
      <w:r w:rsidRPr="007007A0">
        <w:rPr>
          <w:rFonts w:eastAsia="Calibri"/>
          <w:sz w:val="24"/>
          <w:szCs w:val="24"/>
        </w:rPr>
        <w:t xml:space="preserve"> </w:t>
      </w:r>
      <w:r w:rsidRPr="007007A0">
        <w:t>all written information made available to it by the author</w:t>
      </w:r>
      <w:r w:rsidR="007E355E" w:rsidRPr="007007A0">
        <w:t>s</w:t>
      </w:r>
      <w:r w:rsidRPr="007007A0">
        <w:t xml:space="preserve"> of the communication and the State party,</w:t>
      </w:r>
    </w:p>
    <w:p w14:paraId="02D3EE28" w14:textId="77777777" w:rsidR="00671617" w:rsidRPr="002D4841" w:rsidRDefault="00671617" w:rsidP="006175E2">
      <w:pPr>
        <w:spacing w:after="120"/>
        <w:ind w:left="1134"/>
        <w:jc w:val="both"/>
      </w:pPr>
      <w:r w:rsidRPr="007007A0">
        <w:rPr>
          <w:rFonts w:eastAsia="Calibri"/>
          <w:sz w:val="24"/>
          <w:szCs w:val="24"/>
        </w:rPr>
        <w:tab/>
      </w:r>
      <w:r w:rsidRPr="007007A0">
        <w:rPr>
          <w:rFonts w:eastAsia="Calibri"/>
          <w:i/>
        </w:rPr>
        <w:t>Adopts</w:t>
      </w:r>
      <w:r w:rsidRPr="007007A0">
        <w:rPr>
          <w:rFonts w:eastAsia="Calibri"/>
        </w:rPr>
        <w:t xml:space="preserve"> </w:t>
      </w:r>
      <w:r w:rsidRPr="007007A0">
        <w:rPr>
          <w:lang w:val="x-none"/>
        </w:rPr>
        <w:t>the following:</w:t>
      </w:r>
    </w:p>
    <w:p w14:paraId="176430ED" w14:textId="77777777" w:rsidR="00671617" w:rsidRPr="00671617" w:rsidRDefault="00671617">
      <w:pPr>
        <w:pStyle w:val="H1G"/>
      </w:pPr>
      <w:r w:rsidRPr="00671617">
        <w:tab/>
      </w:r>
      <w:r w:rsidRPr="00671617">
        <w:tab/>
        <w:t>Views under article 5</w:t>
      </w:r>
      <w:r w:rsidR="007C28AD">
        <w:t xml:space="preserve"> (</w:t>
      </w:r>
      <w:r w:rsidRPr="00671617">
        <w:t>4</w:t>
      </w:r>
      <w:r w:rsidR="007C28AD">
        <w:t>)</w:t>
      </w:r>
      <w:r w:rsidRPr="00671617">
        <w:t xml:space="preserve"> of the Optional Protocol</w:t>
      </w:r>
    </w:p>
    <w:p w14:paraId="79B5B702" w14:textId="77777777" w:rsidR="00671617" w:rsidRPr="00671617" w:rsidRDefault="00871651">
      <w:pPr>
        <w:pStyle w:val="SingleTxtG"/>
      </w:pPr>
      <w:r>
        <w:t>1.1</w:t>
      </w:r>
      <w:r w:rsidR="00671617" w:rsidRPr="00671617">
        <w:tab/>
        <w:t xml:space="preserve">The authors of the communication are Chhedulal Tharu </w:t>
      </w:r>
      <w:r w:rsidR="000D3576">
        <w:t>(</w:t>
      </w:r>
      <w:r w:rsidR="000D3576" w:rsidRPr="000D3576">
        <w:t xml:space="preserve">father of Dhaniram and Soniram Tharu) </w:t>
      </w:r>
      <w:r w:rsidR="00671617" w:rsidRPr="000D3576">
        <w:t>and Sara/Sarita Tharu (wife of Dhaniram Tharu)</w:t>
      </w:r>
      <w:r w:rsidR="00F164DA" w:rsidRPr="000D3576">
        <w:t>;</w:t>
      </w:r>
      <w:r w:rsidR="00671617" w:rsidRPr="000D3576">
        <w:t xml:space="preserve"> Padam Tharu and Sanchariya Tharu (father and mother of Radhulal Tharu)</w:t>
      </w:r>
      <w:r w:rsidR="00F164DA" w:rsidRPr="000D3576">
        <w:t>;</w:t>
      </w:r>
      <w:r w:rsidR="00671617" w:rsidRPr="000D3576">
        <w:t xml:space="preserve"> Birbal Tharu, Thagani Tharu, and Bhagawati Tharu (father, mother and wife of Prem Prakash Tharu)</w:t>
      </w:r>
      <w:r w:rsidR="00F164DA" w:rsidRPr="000D3576">
        <w:t>;</w:t>
      </w:r>
      <w:r w:rsidR="00671617" w:rsidRPr="000D3576">
        <w:t xml:space="preserve"> Tulsiram Tharu and Phagani Tharu (father and mother of Kamala Tharu</w:t>
      </w:r>
      <w:r w:rsidR="009876CD" w:rsidRPr="000D3576">
        <w:t>/</w:t>
      </w:r>
      <w:r w:rsidR="00671617" w:rsidRPr="000D3576">
        <w:t>Chaudhari)</w:t>
      </w:r>
      <w:r w:rsidR="00F164DA" w:rsidRPr="000D3576">
        <w:t>;</w:t>
      </w:r>
      <w:r w:rsidR="00671617" w:rsidRPr="000D3576">
        <w:t xml:space="preserve"> Mahango Tharu and </w:t>
      </w:r>
      <w:r w:rsidR="00671617" w:rsidRPr="000D3576">
        <w:lastRenderedPageBreak/>
        <w:t>Parmeshwari Tharu (</w:t>
      </w:r>
      <w:r w:rsidR="00671617" w:rsidRPr="00671617">
        <w:t>father and mother of Mohan Tharu</w:t>
      </w:r>
      <w:r w:rsidR="009876CD">
        <w:t>/</w:t>
      </w:r>
      <w:r w:rsidR="00671617" w:rsidRPr="00671617">
        <w:t>Chaudhari)</w:t>
      </w:r>
      <w:r w:rsidR="00F164DA">
        <w:t>;</w:t>
      </w:r>
      <w:r w:rsidR="00671617" w:rsidRPr="00671617">
        <w:t xml:space="preserve"> Jaggu Tharu and Lahiya Tharu (father and aunt of Lauti Tharu</w:t>
      </w:r>
      <w:r w:rsidR="009876CD">
        <w:t>/</w:t>
      </w:r>
      <w:r w:rsidR="00671617" w:rsidRPr="00671617">
        <w:t>Chaudhari)</w:t>
      </w:r>
      <w:r w:rsidR="00F164DA">
        <w:t>;</w:t>
      </w:r>
      <w:r w:rsidR="00671617" w:rsidRPr="00671617">
        <w:t xml:space="preserve"> and Bechaniya Tharu and Manki Tharu (mother of Chillu Tharu</w:t>
      </w:r>
      <w:r w:rsidR="009876CD">
        <w:t>/</w:t>
      </w:r>
      <w:r w:rsidR="00671617" w:rsidRPr="00671617">
        <w:t>Chaudhari, and Bechaniya’s husband, respectively), all Nepal</w:t>
      </w:r>
      <w:r w:rsidR="00502A51">
        <w:t>ese</w:t>
      </w:r>
      <w:r w:rsidR="00671617" w:rsidRPr="00671617">
        <w:t xml:space="preserve"> nationals. They claim that the State party has violated the rights of their eight relatives (hereinafter </w:t>
      </w:r>
      <w:r w:rsidR="00A01712">
        <w:t>“</w:t>
      </w:r>
      <w:r w:rsidR="00671617" w:rsidRPr="00671617">
        <w:t>the authors’ relatives</w:t>
      </w:r>
      <w:r w:rsidR="00A01712">
        <w:t>”</w:t>
      </w:r>
      <w:r w:rsidR="00671617" w:rsidRPr="00671617">
        <w:t>), Nepalese nationals, under articles 6</w:t>
      </w:r>
      <w:r w:rsidR="009876CD">
        <w:t>,</w:t>
      </w:r>
      <w:r w:rsidR="00671617" w:rsidRPr="00671617">
        <w:t xml:space="preserve"> 7</w:t>
      </w:r>
      <w:r w:rsidR="009876CD">
        <w:t>,</w:t>
      </w:r>
      <w:r w:rsidR="00671617" w:rsidRPr="00671617">
        <w:t xml:space="preserve"> 9</w:t>
      </w:r>
      <w:r w:rsidR="009876CD">
        <w:t>,</w:t>
      </w:r>
      <w:r w:rsidR="00671617" w:rsidRPr="00671617">
        <w:t xml:space="preserve"> 10</w:t>
      </w:r>
      <w:r w:rsidR="009876CD">
        <w:t>,</w:t>
      </w:r>
      <w:r w:rsidR="00671617" w:rsidRPr="00671617">
        <w:t xml:space="preserve"> 16</w:t>
      </w:r>
      <w:r w:rsidR="009876CD">
        <w:t>,</w:t>
      </w:r>
      <w:r w:rsidR="00671617" w:rsidRPr="00671617">
        <w:t xml:space="preserve"> 23</w:t>
      </w:r>
      <w:r w:rsidR="00502A51">
        <w:t> </w:t>
      </w:r>
      <w:r w:rsidR="00671617" w:rsidRPr="00671617">
        <w:t>(1) and 24</w:t>
      </w:r>
      <w:r w:rsidR="00502A51">
        <w:t> </w:t>
      </w:r>
      <w:r w:rsidR="00671617" w:rsidRPr="00671617">
        <w:t>(1), alone and in conjunction with article 2</w:t>
      </w:r>
      <w:r w:rsidR="00502A51">
        <w:t> </w:t>
      </w:r>
      <w:r w:rsidR="00671617" w:rsidRPr="00671617">
        <w:t>(3), as well as their rights under article</w:t>
      </w:r>
      <w:r w:rsidR="00502A51">
        <w:t>s</w:t>
      </w:r>
      <w:r w:rsidR="00671617" w:rsidRPr="00671617">
        <w:t xml:space="preserve"> 7</w:t>
      </w:r>
      <w:r w:rsidR="00502A51">
        <w:t>,</w:t>
      </w:r>
      <w:r w:rsidR="00671617" w:rsidRPr="00671617">
        <w:t xml:space="preserve"> 17</w:t>
      </w:r>
      <w:r w:rsidR="00502A51">
        <w:t> </w:t>
      </w:r>
      <w:r w:rsidR="00671617" w:rsidRPr="00671617">
        <w:t>(1) and 23, read alone and in conjunction with article 2</w:t>
      </w:r>
      <w:r w:rsidR="00502A51">
        <w:t> </w:t>
      </w:r>
      <w:r w:rsidR="00671617" w:rsidRPr="00671617">
        <w:t xml:space="preserve">(3), of the Covenant. The authors are represented by counsel. </w:t>
      </w:r>
    </w:p>
    <w:p w14:paraId="4B3AC070" w14:textId="77777777" w:rsidR="00671617" w:rsidRPr="00E22829" w:rsidRDefault="00871651">
      <w:pPr>
        <w:pStyle w:val="SingleTxtG"/>
      </w:pPr>
      <w:r>
        <w:t>1.2</w:t>
      </w:r>
      <w:r w:rsidR="00671617" w:rsidRPr="00671617">
        <w:tab/>
        <w:t>The authors submit that</w:t>
      </w:r>
      <w:r w:rsidR="009876CD">
        <w:t>,</w:t>
      </w:r>
      <w:r w:rsidR="00671617" w:rsidRPr="00671617">
        <w:t xml:space="preserve"> at the moment of their disappearance</w:t>
      </w:r>
      <w:r w:rsidR="009876CD">
        <w:t>,</w:t>
      </w:r>
      <w:r w:rsidR="00671617" w:rsidRPr="00671617">
        <w:t xml:space="preserve"> Dhaniram </w:t>
      </w:r>
      <w:r w:rsidR="009876CD">
        <w:t xml:space="preserve">Tharu </w:t>
      </w:r>
      <w:r w:rsidR="00671617" w:rsidRPr="00671617">
        <w:t>was 17</w:t>
      </w:r>
      <w:r w:rsidR="00F164DA">
        <w:t xml:space="preserve"> or </w:t>
      </w:r>
      <w:r w:rsidR="00671617" w:rsidRPr="00671617">
        <w:t>18 years old</w:t>
      </w:r>
      <w:r w:rsidR="00B64C4E">
        <w:t>,</w:t>
      </w:r>
      <w:r w:rsidR="00671617" w:rsidRPr="00671617">
        <w:t xml:space="preserve"> married and work</w:t>
      </w:r>
      <w:r w:rsidR="00B64C4E">
        <w:t>ing</w:t>
      </w:r>
      <w:r w:rsidR="00671617" w:rsidRPr="00671617">
        <w:t xml:space="preserve"> as </w:t>
      </w:r>
      <w:r w:rsidR="00F164DA">
        <w:t xml:space="preserve">a </w:t>
      </w:r>
      <w:r w:rsidR="00671617" w:rsidRPr="00671617">
        <w:t xml:space="preserve">construction </w:t>
      </w:r>
      <w:r w:rsidR="00671617" w:rsidRPr="006B7096">
        <w:t>worker and subsistence farmer</w:t>
      </w:r>
      <w:r w:rsidR="009876CD" w:rsidRPr="006B7096">
        <w:t>;</w:t>
      </w:r>
      <w:r w:rsidR="00671617" w:rsidRPr="006B7096">
        <w:t xml:space="preserve"> Soniram </w:t>
      </w:r>
      <w:r w:rsidR="009876CD" w:rsidRPr="006B7096">
        <w:t xml:space="preserve">Tharu </w:t>
      </w:r>
      <w:r w:rsidR="00671617" w:rsidRPr="006B7096">
        <w:t>was 16</w:t>
      </w:r>
      <w:r w:rsidR="00F164DA" w:rsidRPr="006B7096">
        <w:t xml:space="preserve"> or </w:t>
      </w:r>
      <w:r w:rsidR="00671617" w:rsidRPr="006B7096">
        <w:t>17 years old and work</w:t>
      </w:r>
      <w:r w:rsidR="00B64C4E" w:rsidRPr="006B7096">
        <w:t>ing</w:t>
      </w:r>
      <w:r w:rsidR="00671617" w:rsidRPr="006B7096">
        <w:t xml:space="preserve"> as</w:t>
      </w:r>
      <w:r w:rsidR="000D3576" w:rsidRPr="006B7096">
        <w:t xml:space="preserve"> a</w:t>
      </w:r>
      <w:r w:rsidR="00671617" w:rsidRPr="006B7096">
        <w:t xml:space="preserve"> </w:t>
      </w:r>
      <w:r w:rsidR="00671617" w:rsidRPr="006B7096">
        <w:rPr>
          <w:i/>
        </w:rPr>
        <w:t>kamaiya</w:t>
      </w:r>
      <w:r w:rsidR="00671617" w:rsidRPr="006B7096">
        <w:rPr>
          <w:rStyle w:val="FootnoteReference"/>
        </w:rPr>
        <w:footnoteReference w:id="3"/>
      </w:r>
      <w:r w:rsidR="00671617" w:rsidRPr="006B7096">
        <w:t xml:space="preserve"> for a landlord in the village of Parseni</w:t>
      </w:r>
      <w:r w:rsidR="009876CD" w:rsidRPr="006B7096">
        <w:t>;</w:t>
      </w:r>
      <w:r w:rsidR="00671617" w:rsidRPr="006B7096">
        <w:t xml:space="preserve"> Radhulal Tharu was 19 years old</w:t>
      </w:r>
      <w:r w:rsidR="00B64C4E" w:rsidRPr="006B7096">
        <w:t>,</w:t>
      </w:r>
      <w:r w:rsidR="00671617" w:rsidRPr="006B7096">
        <w:t xml:space="preserve"> married and work</w:t>
      </w:r>
      <w:r w:rsidR="00B64C4E" w:rsidRPr="006B7096">
        <w:t>ing</w:t>
      </w:r>
      <w:r w:rsidR="00671617" w:rsidRPr="000D3576">
        <w:t xml:space="preserve"> as </w:t>
      </w:r>
      <w:r w:rsidR="00F164DA" w:rsidRPr="000D3576">
        <w:t xml:space="preserve">a </w:t>
      </w:r>
      <w:r w:rsidR="00671617" w:rsidRPr="000D3576">
        <w:t>carpenter and subsistence farmer</w:t>
      </w:r>
      <w:r w:rsidR="009876CD" w:rsidRPr="000D3576">
        <w:t>;</w:t>
      </w:r>
      <w:r w:rsidR="00671617" w:rsidRPr="000D3576">
        <w:t xml:space="preserve"> Prem Prakash Tharu was 23 years old, married</w:t>
      </w:r>
      <w:r w:rsidR="00B64C4E" w:rsidRPr="000D3576">
        <w:t xml:space="preserve"> with </w:t>
      </w:r>
      <w:r w:rsidR="00671617" w:rsidRPr="000D3576">
        <w:t>a</w:t>
      </w:r>
      <w:r w:rsidR="00B64C4E" w:rsidRPr="000D3576">
        <w:t>n 18-month-old</w:t>
      </w:r>
      <w:r w:rsidR="00671617" w:rsidRPr="000D3576">
        <w:t xml:space="preserve"> son </w:t>
      </w:r>
      <w:r w:rsidR="009876CD" w:rsidRPr="000D3576">
        <w:t xml:space="preserve">and </w:t>
      </w:r>
      <w:r w:rsidR="00671617" w:rsidRPr="000D3576">
        <w:t>work</w:t>
      </w:r>
      <w:r w:rsidR="00B64C4E" w:rsidRPr="000D3576">
        <w:t>ing</w:t>
      </w:r>
      <w:r w:rsidR="00671617" w:rsidRPr="000D3576">
        <w:t xml:space="preserve"> as </w:t>
      </w:r>
      <w:r w:rsidR="00B64C4E" w:rsidRPr="000D3576">
        <w:t xml:space="preserve">a </w:t>
      </w:r>
      <w:r w:rsidR="00671617" w:rsidRPr="000D3576">
        <w:t>farmer and tractor driver</w:t>
      </w:r>
      <w:r w:rsidR="009876CD" w:rsidRPr="000D3576">
        <w:t>;</w:t>
      </w:r>
      <w:r w:rsidR="00671617" w:rsidRPr="000D3576">
        <w:t xml:space="preserve"> Kamala Tharu was </w:t>
      </w:r>
      <w:r w:rsidR="00F164DA" w:rsidRPr="000D3576">
        <w:t xml:space="preserve">between </w:t>
      </w:r>
      <w:r w:rsidR="00671617" w:rsidRPr="000D3576">
        <w:t>16</w:t>
      </w:r>
      <w:r w:rsidR="00F164DA" w:rsidRPr="000D3576">
        <w:t xml:space="preserve"> and </w:t>
      </w:r>
      <w:r w:rsidR="00671617" w:rsidRPr="000D3576">
        <w:t xml:space="preserve">18 years old, a </w:t>
      </w:r>
      <w:r w:rsidR="00F164DA" w:rsidRPr="000D3576">
        <w:t>seventh</w:t>
      </w:r>
      <w:r w:rsidR="00F164DA">
        <w:t xml:space="preserve"> </w:t>
      </w:r>
      <w:r w:rsidR="00671617" w:rsidRPr="00671617">
        <w:t>grade student and liv</w:t>
      </w:r>
      <w:r w:rsidR="00F164DA">
        <w:t>ing</w:t>
      </w:r>
      <w:r w:rsidR="00671617" w:rsidRPr="00671617">
        <w:t xml:space="preserve"> with her parents</w:t>
      </w:r>
      <w:r w:rsidR="009876CD">
        <w:t>;</w:t>
      </w:r>
      <w:r w:rsidR="00671617" w:rsidRPr="00671617">
        <w:t xml:space="preserve"> Mohan Tharu was 18 years old, a construction worker and farmer</w:t>
      </w:r>
      <w:r w:rsidR="009876CD">
        <w:t>,</w:t>
      </w:r>
      <w:r w:rsidR="00671617" w:rsidRPr="00671617">
        <w:t xml:space="preserve"> </w:t>
      </w:r>
      <w:r w:rsidR="00EF0F33">
        <w:t xml:space="preserve">and </w:t>
      </w:r>
      <w:r w:rsidR="00671617" w:rsidRPr="00671617">
        <w:t xml:space="preserve">married and </w:t>
      </w:r>
      <w:r w:rsidR="00B64C4E">
        <w:t>with</w:t>
      </w:r>
      <w:r w:rsidR="00671617" w:rsidRPr="00671617">
        <w:t xml:space="preserve"> a son who was nine days old</w:t>
      </w:r>
      <w:r w:rsidR="009876CD">
        <w:t>;</w:t>
      </w:r>
      <w:r w:rsidR="00671617" w:rsidRPr="00671617">
        <w:t xml:space="preserve"> Lauti Tharu was </w:t>
      </w:r>
      <w:r w:rsidR="00F164DA">
        <w:t xml:space="preserve">between </w:t>
      </w:r>
      <w:r w:rsidR="00671617" w:rsidRPr="00671617">
        <w:t>17</w:t>
      </w:r>
      <w:r w:rsidR="00F164DA">
        <w:t xml:space="preserve"> and </w:t>
      </w:r>
      <w:r w:rsidR="00671617" w:rsidRPr="00671617">
        <w:t>20 years old, work</w:t>
      </w:r>
      <w:r w:rsidR="00B64C4E">
        <w:t>ing</w:t>
      </w:r>
      <w:r w:rsidR="00671617" w:rsidRPr="00671617">
        <w:t xml:space="preserve"> as a construction worker and as a farmer and </w:t>
      </w:r>
      <w:r w:rsidR="009876CD">
        <w:t xml:space="preserve">with </w:t>
      </w:r>
      <w:r w:rsidR="00671617" w:rsidRPr="00671617">
        <w:t>liv</w:t>
      </w:r>
      <w:r w:rsidR="00B64C4E">
        <w:t>ing</w:t>
      </w:r>
      <w:r w:rsidR="00671617" w:rsidRPr="00671617">
        <w:t xml:space="preserve"> her father and other relatives</w:t>
      </w:r>
      <w:r w:rsidR="009876CD">
        <w:t>; and</w:t>
      </w:r>
      <w:r w:rsidR="00671617" w:rsidRPr="00671617">
        <w:t xml:space="preserve"> Chillu Tharu was 16 years old and liv</w:t>
      </w:r>
      <w:r w:rsidR="00B64C4E">
        <w:t>ing</w:t>
      </w:r>
      <w:r w:rsidR="00671617" w:rsidRPr="00671617">
        <w:t xml:space="preserve"> </w:t>
      </w:r>
      <w:r w:rsidR="00160916">
        <w:t>in</w:t>
      </w:r>
      <w:r w:rsidR="00160916" w:rsidRPr="00671617">
        <w:t xml:space="preserve"> </w:t>
      </w:r>
      <w:r w:rsidR="00671617" w:rsidRPr="00671617">
        <w:t>his grandparents’ house.</w:t>
      </w:r>
      <w:r w:rsidR="00671617" w:rsidRPr="00571DEE">
        <w:rPr>
          <w:rStyle w:val="FootnoteReference"/>
        </w:rPr>
        <w:footnoteReference w:id="4"/>
      </w:r>
    </w:p>
    <w:p w14:paraId="27F55424" w14:textId="77777777" w:rsidR="00671617" w:rsidRPr="00671617" w:rsidRDefault="00871651" w:rsidP="00871651">
      <w:pPr>
        <w:pStyle w:val="H23G"/>
      </w:pPr>
      <w:r>
        <w:tab/>
      </w:r>
      <w:r>
        <w:tab/>
      </w:r>
      <w:r w:rsidR="00671617" w:rsidRPr="00671617">
        <w:t>The facts as submitted by the authors</w:t>
      </w:r>
    </w:p>
    <w:p w14:paraId="09A9BF8D" w14:textId="77777777" w:rsidR="00671617" w:rsidRPr="00671617" w:rsidRDefault="00871651" w:rsidP="008F5192">
      <w:pPr>
        <w:pStyle w:val="SingleTxtG"/>
        <w:rPr>
          <w:rFonts w:eastAsia="ヒラギノ角ゴ Pro W3"/>
          <w:lang w:eastAsia="en-GB"/>
        </w:rPr>
      </w:pPr>
      <w:r>
        <w:rPr>
          <w:rFonts w:eastAsia="ヒラギノ角ゴ Pro W3"/>
          <w:lang w:eastAsia="en-GB"/>
        </w:rPr>
        <w:t>2.1</w:t>
      </w:r>
      <w:r w:rsidR="00671617" w:rsidRPr="00671617">
        <w:rPr>
          <w:rFonts w:eastAsia="ヒラギノ角ゴ Pro W3"/>
          <w:lang w:eastAsia="en-GB"/>
        </w:rPr>
        <w:tab/>
        <w:t>Between 1996 and 2006, an internal armed conflict took place in the State party. Both parties to the conflict, including the police and the Royal Nepalese Army, committed atrocities</w:t>
      </w:r>
      <w:r w:rsidR="00F164DA">
        <w:rPr>
          <w:rFonts w:eastAsia="ヒラギノ角ゴ Pro W3"/>
          <w:lang w:eastAsia="en-GB"/>
        </w:rPr>
        <w:t>,</w:t>
      </w:r>
      <w:r w:rsidR="00671617" w:rsidRPr="00671617">
        <w:rPr>
          <w:rFonts w:eastAsia="ヒラギノ角ゴ Pro W3"/>
          <w:lang w:eastAsia="en-GB"/>
        </w:rPr>
        <w:t xml:space="preserve"> and enforced disappearances became a widespread phenomenon.</w:t>
      </w:r>
      <w:bookmarkStart w:id="2" w:name="_Ref418103122"/>
      <w:r w:rsidR="00671617" w:rsidRPr="00571DEE">
        <w:rPr>
          <w:rStyle w:val="FootnoteReference"/>
          <w:rFonts w:eastAsia="ヒラギノ角ゴ Pro W3"/>
        </w:rPr>
        <w:footnoteReference w:id="5"/>
      </w:r>
      <w:bookmarkEnd w:id="2"/>
      <w:r w:rsidR="00671617" w:rsidRPr="00671617">
        <w:rPr>
          <w:rFonts w:eastAsia="ヒラギノ角ゴ Pro W3"/>
          <w:lang w:eastAsia="en-GB"/>
        </w:rPr>
        <w:t xml:space="preserve"> Reliable reports indicate that a high number of enforced disappearance</w:t>
      </w:r>
      <w:r w:rsidR="00F164DA">
        <w:rPr>
          <w:rFonts w:eastAsia="ヒラギノ角ゴ Pro W3"/>
          <w:lang w:eastAsia="en-GB"/>
        </w:rPr>
        <w:t>s</w:t>
      </w:r>
      <w:r w:rsidR="00671617" w:rsidRPr="00671617">
        <w:rPr>
          <w:rFonts w:eastAsia="ヒラギノ角ゴ Pro W3"/>
          <w:lang w:eastAsia="en-GB"/>
        </w:rPr>
        <w:t xml:space="preserve"> occurred in the </w:t>
      </w:r>
      <w:r w:rsidR="00671617" w:rsidRPr="007007A0">
        <w:rPr>
          <w:rFonts w:eastAsia="ヒラギノ角ゴ Pro W3"/>
          <w:lang w:eastAsia="en-GB"/>
        </w:rPr>
        <w:t>Bardiya District and that members of the Tharu community were particularly targeted by the authorities.</w:t>
      </w:r>
      <w:r w:rsidR="00671617" w:rsidRPr="007007A0">
        <w:rPr>
          <w:rStyle w:val="FootnoteReference"/>
          <w:rFonts w:eastAsia="ヒラギノ角ゴ Pro W3"/>
        </w:rPr>
        <w:footnoteReference w:id="6"/>
      </w:r>
    </w:p>
    <w:p w14:paraId="502628DD" w14:textId="77777777" w:rsidR="00671617" w:rsidRPr="007007A0" w:rsidRDefault="00871651">
      <w:pPr>
        <w:pStyle w:val="SingleTxtG"/>
        <w:rPr>
          <w:rFonts w:eastAsia="ヒラギノ角ゴ Pro W3"/>
          <w:lang w:eastAsia="en-GB"/>
        </w:rPr>
      </w:pPr>
      <w:r>
        <w:rPr>
          <w:rFonts w:eastAsia="ヒラギノ角ゴ Pro W3"/>
          <w:lang w:eastAsia="en-GB"/>
        </w:rPr>
        <w:t>2.2</w:t>
      </w:r>
      <w:r w:rsidR="00671617" w:rsidRPr="00671617">
        <w:rPr>
          <w:rFonts w:eastAsia="ヒラギノ角ゴ Pro W3"/>
          <w:lang w:eastAsia="en-GB"/>
        </w:rPr>
        <w:tab/>
        <w:t>The authors and their</w:t>
      </w:r>
      <w:r w:rsidR="00805B71">
        <w:rPr>
          <w:rFonts w:eastAsia="ヒラギノ角ゴ Pro W3"/>
          <w:lang w:eastAsia="en-GB"/>
        </w:rPr>
        <w:t xml:space="preserve"> eight </w:t>
      </w:r>
      <w:r w:rsidR="00671617" w:rsidRPr="00671617">
        <w:rPr>
          <w:rFonts w:eastAsia="ヒラギノ角ゴ Pro W3"/>
          <w:lang w:eastAsia="en-GB"/>
        </w:rPr>
        <w:t>relatives belong to the Tharu indigenous community, which constitutes 52</w:t>
      </w:r>
      <w:r w:rsidR="00F164DA">
        <w:rPr>
          <w:rFonts w:eastAsia="ヒラギノ角ゴ Pro W3"/>
          <w:lang w:eastAsia="en-GB"/>
        </w:rPr>
        <w:t xml:space="preserve"> per cent</w:t>
      </w:r>
      <w:r w:rsidR="00671617" w:rsidRPr="00671617">
        <w:rPr>
          <w:rFonts w:eastAsia="ヒラギノ角ゴ Pro W3"/>
          <w:lang w:eastAsia="en-GB"/>
        </w:rPr>
        <w:t xml:space="preserve"> of the population of the Bardiya District. They claim that historically this community has been </w:t>
      </w:r>
      <w:r w:rsidR="00671617" w:rsidRPr="007007A0">
        <w:rPr>
          <w:rFonts w:eastAsia="ヒラギノ角ゴ Pro W3"/>
          <w:lang w:eastAsia="en-GB"/>
        </w:rPr>
        <w:t xml:space="preserve">discriminated </w:t>
      </w:r>
      <w:r w:rsidR="00F164DA" w:rsidRPr="007007A0">
        <w:rPr>
          <w:rFonts w:eastAsia="ヒラギノ角ゴ Pro W3"/>
          <w:lang w:eastAsia="en-GB"/>
        </w:rPr>
        <w:t xml:space="preserve">against </w:t>
      </w:r>
      <w:r w:rsidR="00671617" w:rsidRPr="007007A0">
        <w:rPr>
          <w:rFonts w:eastAsia="ヒラギノ角ゴ Pro W3"/>
          <w:lang w:eastAsia="en-GB"/>
        </w:rPr>
        <w:t xml:space="preserve">and marginalized in the State party, and that a significant number of members of the Communist Party of Nepal-Maoist in the Bardiya District </w:t>
      </w:r>
      <w:r w:rsidR="00160916">
        <w:rPr>
          <w:rFonts w:eastAsia="ヒラギノ角ゴ Pro W3"/>
          <w:lang w:eastAsia="en-GB"/>
        </w:rPr>
        <w:t>came</w:t>
      </w:r>
      <w:r w:rsidR="00160916" w:rsidRPr="007007A0">
        <w:rPr>
          <w:rFonts w:eastAsia="ヒラギノ角ゴ Pro W3"/>
          <w:lang w:eastAsia="en-GB"/>
        </w:rPr>
        <w:t xml:space="preserve"> </w:t>
      </w:r>
      <w:r w:rsidR="00671617" w:rsidRPr="007007A0">
        <w:rPr>
          <w:rFonts w:eastAsia="ヒラギノ角ゴ Pro W3"/>
          <w:lang w:eastAsia="en-GB"/>
        </w:rPr>
        <w:t>from their community.</w:t>
      </w:r>
      <w:r w:rsidR="00671617" w:rsidRPr="007007A0">
        <w:rPr>
          <w:rStyle w:val="FootnoteReference"/>
          <w:rFonts w:eastAsia="ヒラギノ角ゴ Pro W3"/>
        </w:rPr>
        <w:footnoteReference w:id="7"/>
      </w:r>
      <w:r w:rsidR="00671617" w:rsidRPr="007007A0">
        <w:rPr>
          <w:rFonts w:eastAsia="ヒラギノ角ゴ Pro W3"/>
          <w:lang w:eastAsia="en-GB"/>
        </w:rPr>
        <w:t xml:space="preserve"> </w:t>
      </w:r>
    </w:p>
    <w:p w14:paraId="62FA794E" w14:textId="77777777" w:rsidR="00671617" w:rsidRPr="00671617" w:rsidRDefault="00871651">
      <w:pPr>
        <w:pStyle w:val="SingleTxtG"/>
        <w:rPr>
          <w:rFonts w:eastAsia="ヒラギノ角ゴ Pro W3"/>
          <w:color w:val="000000"/>
          <w:lang w:eastAsia="en-GB"/>
        </w:rPr>
      </w:pPr>
      <w:r w:rsidRPr="007007A0">
        <w:rPr>
          <w:rFonts w:eastAsia="ヒラギノ角ゴ Pro W3"/>
          <w:color w:val="000000"/>
          <w:lang w:eastAsia="en-GB"/>
        </w:rPr>
        <w:t>2.3</w:t>
      </w:r>
      <w:r w:rsidR="00671617" w:rsidRPr="007007A0">
        <w:rPr>
          <w:rFonts w:eastAsia="ヒラギノ角ゴ Pro W3"/>
          <w:color w:val="000000"/>
          <w:lang w:eastAsia="en-GB"/>
        </w:rPr>
        <w:tab/>
        <w:t>At the time of the events, the authors lived in Nauranga village, Ward No. 8, Manau Village Development Committee, Bardiya District. The authors claim that</w:t>
      </w:r>
      <w:r w:rsidR="00745D5C" w:rsidRPr="007007A0">
        <w:rPr>
          <w:rFonts w:eastAsia="ヒラギノ角ゴ Pro W3"/>
          <w:color w:val="000000"/>
          <w:lang w:eastAsia="en-GB"/>
        </w:rPr>
        <w:t>,</w:t>
      </w:r>
      <w:r w:rsidR="00671617" w:rsidRPr="007007A0">
        <w:rPr>
          <w:rFonts w:eastAsia="ヒラギノ角ゴ Pro W3"/>
          <w:color w:val="000000"/>
          <w:lang w:eastAsia="en-GB"/>
        </w:rPr>
        <w:t xml:space="preserve"> on the night of 11 April 2002,</w:t>
      </w:r>
      <w:r w:rsidR="00745D5C" w:rsidRPr="007007A0">
        <w:rPr>
          <w:rFonts w:eastAsia="ヒラギノ角ゴ Pro W3"/>
          <w:color w:val="000000"/>
          <w:lang w:eastAsia="en-GB"/>
        </w:rPr>
        <w:t xml:space="preserve"> between 60 and </w:t>
      </w:r>
      <w:r w:rsidR="00671617" w:rsidRPr="007007A0">
        <w:rPr>
          <w:rFonts w:eastAsia="ヒラギノ角ゴ Pro W3"/>
          <w:color w:val="000000"/>
          <w:lang w:eastAsia="en-GB"/>
        </w:rPr>
        <w:t xml:space="preserve">70 </w:t>
      </w:r>
      <w:r w:rsidR="008F5192" w:rsidRPr="00F512C7">
        <w:rPr>
          <w:rFonts w:eastAsia="ヒラギノ角ゴ Pro W3"/>
          <w:color w:val="000000"/>
          <w:lang w:eastAsia="en-GB"/>
        </w:rPr>
        <w:t>Royal Nepalese Army</w:t>
      </w:r>
      <w:r w:rsidR="00671617" w:rsidRPr="007007A0">
        <w:rPr>
          <w:rFonts w:eastAsia="ヒラギノ角ゴ Pro W3"/>
          <w:color w:val="000000"/>
          <w:lang w:eastAsia="en-GB"/>
        </w:rPr>
        <w:t xml:space="preserve"> soldiers arrived in the village and </w:t>
      </w:r>
      <w:r w:rsidR="00671617" w:rsidRPr="007007A0">
        <w:rPr>
          <w:rFonts w:eastAsia="ヒラギノ角ゴ Pro W3"/>
          <w:color w:val="000000"/>
          <w:lang w:eastAsia="en-GB"/>
        </w:rPr>
        <w:lastRenderedPageBreak/>
        <w:t xml:space="preserve">surrounded their houses. Most of </w:t>
      </w:r>
      <w:r w:rsidR="00160916">
        <w:rPr>
          <w:rFonts w:eastAsia="ヒラギノ角ゴ Pro W3"/>
          <w:color w:val="000000"/>
          <w:lang w:eastAsia="en-GB"/>
        </w:rPr>
        <w:t>the soldiers</w:t>
      </w:r>
      <w:r w:rsidR="00160916" w:rsidRPr="007007A0">
        <w:rPr>
          <w:rFonts w:eastAsia="ヒラギノ角ゴ Pro W3"/>
          <w:color w:val="000000"/>
          <w:lang w:eastAsia="en-GB"/>
        </w:rPr>
        <w:t xml:space="preserve"> </w:t>
      </w:r>
      <w:r w:rsidR="00671617" w:rsidRPr="007007A0">
        <w:rPr>
          <w:rFonts w:eastAsia="ヒラギノ角ゴ Pro W3"/>
          <w:color w:val="000000"/>
          <w:lang w:eastAsia="en-GB"/>
        </w:rPr>
        <w:t>wore the army uniform</w:t>
      </w:r>
      <w:r w:rsidR="00160916">
        <w:rPr>
          <w:rFonts w:eastAsia="ヒラギノ角ゴ Pro W3"/>
          <w:color w:val="000000"/>
          <w:lang w:eastAsia="en-GB"/>
        </w:rPr>
        <w:t>,</w:t>
      </w:r>
      <w:r w:rsidR="00671617" w:rsidRPr="007007A0">
        <w:rPr>
          <w:rFonts w:eastAsia="ヒラギノ角ゴ Pro W3"/>
          <w:color w:val="000000"/>
          <w:lang w:eastAsia="en-GB"/>
        </w:rPr>
        <w:t xml:space="preserve"> and some covered their faces with a scarf and carried weapons and torches. In groups of two to five soldiers, they broke into the authors’ and other relatives’ houses at the same time, around midnight. The soldiers appeared to be specifically targeting the authors’ eight young relatives. In each case, their relatives were taken by force and against</w:t>
      </w:r>
      <w:r w:rsidR="00671617" w:rsidRPr="00671617">
        <w:rPr>
          <w:rFonts w:eastAsia="ヒラギノ角ゴ Pro W3"/>
          <w:color w:val="000000"/>
          <w:lang w:eastAsia="en-GB"/>
        </w:rPr>
        <w:t xml:space="preserve"> their will. During the operation, the soldiers threatened to kill the authors and other relatives. Some soldiers also beat or pointed their guns at certain authors</w:t>
      </w:r>
      <w:r w:rsidR="00BF3843">
        <w:rPr>
          <w:rFonts w:eastAsia="ヒラギノ角ゴ Pro W3"/>
          <w:color w:val="000000"/>
          <w:lang w:eastAsia="en-GB"/>
        </w:rPr>
        <w:t>.</w:t>
      </w:r>
      <w:r w:rsidR="00671617" w:rsidRPr="00671617">
        <w:rPr>
          <w:rFonts w:eastAsia="ヒラギノ角ゴ Pro W3"/>
          <w:color w:val="000000"/>
          <w:lang w:eastAsia="en-GB"/>
        </w:rPr>
        <w:t xml:space="preserve"> No reasons were given for taking the authors’ relatives</w:t>
      </w:r>
      <w:r w:rsidR="00C66284">
        <w:rPr>
          <w:rFonts w:eastAsia="ヒラギノ角ゴ Pro W3"/>
          <w:color w:val="000000"/>
          <w:lang w:eastAsia="en-GB"/>
        </w:rPr>
        <w:t>,</w:t>
      </w:r>
      <w:r w:rsidR="00671617" w:rsidRPr="00671617">
        <w:rPr>
          <w:rFonts w:eastAsia="ヒラギノ角ゴ Pro W3"/>
          <w:color w:val="000000"/>
          <w:lang w:eastAsia="en-GB"/>
        </w:rPr>
        <w:t xml:space="preserve"> but</w:t>
      </w:r>
      <w:r w:rsidR="00C66284">
        <w:rPr>
          <w:rFonts w:eastAsia="ヒラギノ角ゴ Pro W3"/>
          <w:color w:val="000000"/>
          <w:lang w:eastAsia="en-GB"/>
        </w:rPr>
        <w:t>,</w:t>
      </w:r>
      <w:r w:rsidR="00671617" w:rsidRPr="00671617">
        <w:rPr>
          <w:rFonts w:eastAsia="ヒラギノ角ゴ Pro W3"/>
          <w:color w:val="000000"/>
          <w:lang w:eastAsia="en-GB"/>
        </w:rPr>
        <w:t xml:space="preserve"> in the cases of </w:t>
      </w:r>
      <w:r w:rsidR="00671617" w:rsidRPr="007007A0">
        <w:rPr>
          <w:rFonts w:eastAsia="ヒラギノ角ゴ Pro W3"/>
          <w:color w:val="000000"/>
          <w:lang w:eastAsia="en-GB"/>
        </w:rPr>
        <w:t>Radhulal, Kamala, Prem Prakash and Mohan</w:t>
      </w:r>
      <w:r w:rsidR="00E74907" w:rsidRPr="007007A0">
        <w:rPr>
          <w:rFonts w:eastAsia="ヒラギノ角ゴ Pro W3"/>
          <w:color w:val="000000"/>
          <w:lang w:eastAsia="en-GB"/>
        </w:rPr>
        <w:t>,</w:t>
      </w:r>
      <w:r w:rsidR="00671617" w:rsidRPr="007007A0">
        <w:rPr>
          <w:rFonts w:eastAsia="ヒラギノ角ゴ Pro W3"/>
          <w:color w:val="000000"/>
          <w:lang w:eastAsia="en-GB"/>
        </w:rPr>
        <w:t xml:space="preserve"> the soldiers assured the relatives that they would return to their homes soon after </w:t>
      </w:r>
      <w:r w:rsidR="00160916">
        <w:rPr>
          <w:rFonts w:eastAsia="ヒラギノ角ゴ Pro W3"/>
          <w:color w:val="000000"/>
          <w:lang w:eastAsia="en-GB"/>
        </w:rPr>
        <w:t>being interrogated</w:t>
      </w:r>
      <w:r w:rsidR="00671617" w:rsidRPr="007007A0">
        <w:rPr>
          <w:rFonts w:eastAsia="ヒラギノ角ゴ Pro W3"/>
          <w:color w:val="000000"/>
          <w:lang w:eastAsia="en-GB"/>
        </w:rPr>
        <w:t xml:space="preserve">. In general, the families were not given any information as to where the soldiers </w:t>
      </w:r>
      <w:r w:rsidR="00E74907" w:rsidRPr="007007A0">
        <w:rPr>
          <w:rFonts w:eastAsia="ヒラギノ角ゴ Pro W3"/>
          <w:color w:val="000000"/>
          <w:lang w:eastAsia="en-GB"/>
        </w:rPr>
        <w:t xml:space="preserve">had taken </w:t>
      </w:r>
      <w:r w:rsidR="00671617" w:rsidRPr="007007A0">
        <w:rPr>
          <w:rFonts w:eastAsia="ヒラギノ角ゴ Pro W3"/>
          <w:color w:val="000000"/>
          <w:lang w:eastAsia="en-GB"/>
        </w:rPr>
        <w:t>their relatives. Nevertheless, Pre</w:t>
      </w:r>
      <w:r w:rsidR="00EF0F33" w:rsidRPr="007007A0">
        <w:rPr>
          <w:rFonts w:eastAsia="ヒラギノ角ゴ Pro W3"/>
          <w:color w:val="000000"/>
          <w:lang w:eastAsia="en-GB"/>
        </w:rPr>
        <w:t>m</w:t>
      </w:r>
      <w:r w:rsidR="00671617" w:rsidRPr="007007A0">
        <w:rPr>
          <w:rFonts w:eastAsia="ヒラギノ角ゴ Pro W3"/>
          <w:color w:val="000000"/>
          <w:lang w:eastAsia="en-GB"/>
        </w:rPr>
        <w:t xml:space="preserve"> Prakash’s wife was told that he would be taken to Rajapur</w:t>
      </w:r>
      <w:r w:rsidR="00E74907" w:rsidRPr="007007A0">
        <w:rPr>
          <w:rFonts w:eastAsia="ヒラギノ角ゴ Pro W3"/>
          <w:color w:val="000000"/>
          <w:lang w:eastAsia="en-GB"/>
        </w:rPr>
        <w:t>,</w:t>
      </w:r>
      <w:r w:rsidR="00671617" w:rsidRPr="007007A0">
        <w:rPr>
          <w:rFonts w:eastAsia="ヒラギノ角ゴ Pro W3"/>
          <w:color w:val="000000"/>
          <w:lang w:eastAsia="en-GB"/>
        </w:rPr>
        <w:t xml:space="preserve"> Kamala’s </w:t>
      </w:r>
      <w:r w:rsidR="00671617" w:rsidRPr="007007A0">
        <w:rPr>
          <w:lang w:eastAsia="en-GB"/>
        </w:rPr>
        <w:t>p</w:t>
      </w:r>
      <w:r w:rsidR="00671617" w:rsidRPr="007007A0">
        <w:rPr>
          <w:rFonts w:eastAsia="ヒラギノ角ゴ Pro W3"/>
          <w:color w:val="000000"/>
          <w:lang w:eastAsia="en-GB"/>
        </w:rPr>
        <w:t>arents were told that she would be taken to Gulariya</w:t>
      </w:r>
      <w:r w:rsidR="00E74907" w:rsidRPr="007007A0">
        <w:rPr>
          <w:rFonts w:eastAsia="ヒラギノ角ゴ Pro W3"/>
          <w:color w:val="000000"/>
          <w:lang w:eastAsia="en-GB"/>
        </w:rPr>
        <w:t>,</w:t>
      </w:r>
      <w:r w:rsidR="00671617" w:rsidRPr="007007A0">
        <w:rPr>
          <w:rFonts w:eastAsia="ヒラギノ角ゴ Pro W3"/>
          <w:color w:val="000000"/>
          <w:lang w:eastAsia="en-GB"/>
        </w:rPr>
        <w:t xml:space="preserve"> and Mohan’s mother was told that he would be taken to Rajapur and then Gulariya. The</w:t>
      </w:r>
      <w:r w:rsidR="00160916">
        <w:rPr>
          <w:rFonts w:eastAsia="ヒラギノ角ゴ Pro W3"/>
          <w:color w:val="000000"/>
          <w:lang w:eastAsia="en-GB"/>
        </w:rPr>
        <w:t xml:space="preserve"> authors</w:t>
      </w:r>
      <w:r w:rsidR="00671617" w:rsidRPr="007007A0">
        <w:rPr>
          <w:rFonts w:eastAsia="ヒラギノ角ゴ Pro W3"/>
          <w:color w:val="000000"/>
          <w:lang w:eastAsia="en-GB"/>
        </w:rPr>
        <w:t xml:space="preserve"> have never seen their </w:t>
      </w:r>
      <w:r w:rsidR="00E74907" w:rsidRPr="007007A0">
        <w:rPr>
          <w:rFonts w:eastAsia="ヒラギノ角ゴ Pro W3"/>
          <w:color w:val="000000"/>
          <w:lang w:eastAsia="en-GB"/>
        </w:rPr>
        <w:t>eight</w:t>
      </w:r>
      <w:r w:rsidR="00671617" w:rsidRPr="007007A0">
        <w:rPr>
          <w:rFonts w:eastAsia="ヒラギノ角ゴ Pro W3"/>
          <w:color w:val="000000"/>
          <w:lang w:eastAsia="en-GB"/>
        </w:rPr>
        <w:t xml:space="preserve"> relatives</w:t>
      </w:r>
      <w:r w:rsidR="00671617" w:rsidRPr="00671617">
        <w:rPr>
          <w:rFonts w:eastAsia="ヒラギノ角ゴ Pro W3"/>
          <w:color w:val="000000"/>
          <w:lang w:eastAsia="en-GB"/>
        </w:rPr>
        <w:t xml:space="preserve"> again</w:t>
      </w:r>
      <w:r w:rsidR="00E74907">
        <w:rPr>
          <w:rFonts w:eastAsia="ヒラギノ角ゴ Pro W3"/>
          <w:color w:val="000000"/>
          <w:lang w:eastAsia="en-GB"/>
        </w:rPr>
        <w:t>,</w:t>
      </w:r>
      <w:r w:rsidR="00671617" w:rsidRPr="00671617">
        <w:rPr>
          <w:rFonts w:eastAsia="ヒラギノ角ゴ Pro W3"/>
          <w:color w:val="000000"/>
          <w:lang w:eastAsia="en-GB"/>
        </w:rPr>
        <w:t xml:space="preserve"> and no relevant information has been given as </w:t>
      </w:r>
      <w:r>
        <w:rPr>
          <w:rFonts w:eastAsia="ヒラギノ角ゴ Pro W3"/>
          <w:color w:val="000000"/>
          <w:lang w:eastAsia="en-GB"/>
        </w:rPr>
        <w:t xml:space="preserve">to their fate and whereabouts. </w:t>
      </w:r>
    </w:p>
    <w:p w14:paraId="3E0C8911" w14:textId="77777777" w:rsidR="00671617" w:rsidRPr="00671617" w:rsidRDefault="00871651">
      <w:pPr>
        <w:pStyle w:val="SingleTxtG"/>
        <w:rPr>
          <w:rFonts w:eastAsia="ヒラギノ角ゴ Pro W3"/>
          <w:lang w:eastAsia="en-GB"/>
        </w:rPr>
      </w:pPr>
      <w:r>
        <w:rPr>
          <w:rFonts w:eastAsia="ヒラギノ角ゴ Pro W3"/>
          <w:lang w:eastAsia="en-GB"/>
        </w:rPr>
        <w:t>2.4</w:t>
      </w:r>
      <w:r w:rsidR="00671617" w:rsidRPr="00671617">
        <w:rPr>
          <w:rFonts w:eastAsia="ヒラギノ角ゴ Pro W3"/>
          <w:lang w:eastAsia="en-GB"/>
        </w:rPr>
        <w:tab/>
        <w:t>The authors claim that</w:t>
      </w:r>
      <w:r w:rsidR="000C7824">
        <w:rPr>
          <w:rFonts w:eastAsia="ヒラギノ角ゴ Pro W3"/>
          <w:lang w:eastAsia="en-GB"/>
        </w:rPr>
        <w:t>,</w:t>
      </w:r>
      <w:r w:rsidR="00671617" w:rsidRPr="00671617">
        <w:rPr>
          <w:rFonts w:eastAsia="ヒラギノ角ゴ Pro W3"/>
          <w:lang w:eastAsia="en-GB"/>
        </w:rPr>
        <w:t xml:space="preserve"> although their region is geographically isolated and lacks basic public services, including public transport, they made extensive efforts to locate their relatives. They further claim that they had no access to support</w:t>
      </w:r>
      <w:r w:rsidR="000C7824">
        <w:rPr>
          <w:rFonts w:eastAsia="ヒラギノ角ゴ Pro W3"/>
          <w:lang w:eastAsia="en-GB"/>
        </w:rPr>
        <w:t>,</w:t>
      </w:r>
      <w:r w:rsidR="00671617" w:rsidRPr="00671617">
        <w:rPr>
          <w:rFonts w:eastAsia="ヒラギノ角ゴ Pro W3"/>
          <w:lang w:eastAsia="en-GB"/>
        </w:rPr>
        <w:t xml:space="preserve"> since few human rights </w:t>
      </w:r>
      <w:r w:rsidR="00C66284">
        <w:rPr>
          <w:rFonts w:eastAsia="ヒラギノ角ゴ Pro W3"/>
          <w:lang w:eastAsia="en-GB"/>
        </w:rPr>
        <w:t>non-governmental organizations (</w:t>
      </w:r>
      <w:r w:rsidR="00671617" w:rsidRPr="00671617">
        <w:rPr>
          <w:rFonts w:eastAsia="ヒラギノ角ゴ Pro W3"/>
          <w:lang w:eastAsia="en-GB"/>
        </w:rPr>
        <w:t>NGOs</w:t>
      </w:r>
      <w:r w:rsidR="00C66284">
        <w:rPr>
          <w:rFonts w:eastAsia="ヒラギノ角ゴ Pro W3"/>
          <w:lang w:eastAsia="en-GB"/>
        </w:rPr>
        <w:t>)</w:t>
      </w:r>
      <w:r w:rsidR="00671617" w:rsidRPr="00671617">
        <w:rPr>
          <w:rFonts w:eastAsia="ヒラギノ角ゴ Pro W3"/>
          <w:lang w:eastAsia="en-GB"/>
        </w:rPr>
        <w:t xml:space="preserve"> worked in the area at the time and none provided legal assistance, and that they looked for advice within the community</w:t>
      </w:r>
      <w:r w:rsidR="00C66284">
        <w:rPr>
          <w:rFonts w:eastAsia="ヒラギノ角ゴ Pro W3"/>
          <w:lang w:eastAsia="en-GB"/>
        </w:rPr>
        <w:t>,</w:t>
      </w:r>
      <w:r w:rsidR="00671617" w:rsidRPr="00671617">
        <w:rPr>
          <w:rFonts w:eastAsia="ヒラギノ角ゴ Pro W3"/>
          <w:lang w:eastAsia="en-GB"/>
        </w:rPr>
        <w:t xml:space="preserve"> approaching its leaders</w:t>
      </w:r>
      <w:r w:rsidR="00C66284">
        <w:rPr>
          <w:rFonts w:eastAsia="ヒラギノ角ゴ Pro W3"/>
          <w:lang w:eastAsia="en-GB"/>
        </w:rPr>
        <w:t>,</w:t>
      </w:r>
      <w:r w:rsidR="00671617" w:rsidRPr="00671617">
        <w:rPr>
          <w:rFonts w:eastAsia="ヒラギノ角ゴ Pro W3"/>
          <w:lang w:eastAsia="en-GB"/>
        </w:rPr>
        <w:t xml:space="preserve"> such as the </w:t>
      </w:r>
      <w:r w:rsidR="00671617" w:rsidRPr="00671617">
        <w:rPr>
          <w:rFonts w:eastAsia="ヒラギノ角ゴ Pro W3"/>
          <w:i/>
          <w:lang w:eastAsia="en-GB"/>
        </w:rPr>
        <w:t>badghar</w:t>
      </w:r>
      <w:r w:rsidR="00671617" w:rsidRPr="00571DEE">
        <w:rPr>
          <w:rStyle w:val="FootnoteReference"/>
          <w:rFonts w:eastAsia="ヒラギノ角ゴ Pro W3"/>
        </w:rPr>
        <w:footnoteReference w:id="8"/>
      </w:r>
      <w:r w:rsidR="00671617" w:rsidRPr="00671617">
        <w:rPr>
          <w:rFonts w:eastAsia="ヒラギノ角ゴ Pro W3"/>
          <w:lang w:eastAsia="en-GB"/>
        </w:rPr>
        <w:t xml:space="preserve"> of the village, the headmaster of the school and leaders of political parties. </w:t>
      </w:r>
    </w:p>
    <w:p w14:paraId="01F321F4" w14:textId="77777777" w:rsidR="00671617" w:rsidRPr="00671617" w:rsidRDefault="00871651">
      <w:pPr>
        <w:pStyle w:val="SingleTxtG"/>
        <w:rPr>
          <w:rFonts w:eastAsia="ヒラギノ角ゴ Pro W3"/>
          <w:color w:val="000000"/>
          <w:lang w:eastAsia="en-GB"/>
        </w:rPr>
      </w:pPr>
      <w:r>
        <w:rPr>
          <w:rFonts w:eastAsia="ヒラギノ角ゴ Pro W3"/>
          <w:color w:val="000000"/>
          <w:lang w:eastAsia="en-GB"/>
        </w:rPr>
        <w:t>2.5</w:t>
      </w:r>
      <w:r w:rsidR="00671617" w:rsidRPr="00671617">
        <w:rPr>
          <w:rFonts w:eastAsia="ヒラギノ角ゴ Pro W3"/>
          <w:color w:val="000000"/>
          <w:lang w:eastAsia="en-GB"/>
        </w:rPr>
        <w:tab/>
        <w:t xml:space="preserve">In the </w:t>
      </w:r>
      <w:r w:rsidR="00C66284" w:rsidRPr="007007A0">
        <w:rPr>
          <w:rFonts w:eastAsia="ヒラギノ角ゴ Pro W3"/>
          <w:color w:val="000000"/>
          <w:lang w:eastAsia="en-GB"/>
        </w:rPr>
        <w:t xml:space="preserve">following </w:t>
      </w:r>
      <w:r w:rsidR="00671617" w:rsidRPr="007007A0">
        <w:rPr>
          <w:rFonts w:eastAsia="ヒラギノ角ゴ Pro W3"/>
          <w:color w:val="000000"/>
          <w:lang w:eastAsia="en-GB"/>
        </w:rPr>
        <w:t xml:space="preserve">days, some of them also met </w:t>
      </w:r>
      <w:r w:rsidR="00160916">
        <w:rPr>
          <w:rFonts w:eastAsia="ヒラギノ角ゴ Pro W3"/>
          <w:color w:val="000000"/>
          <w:lang w:eastAsia="en-GB"/>
        </w:rPr>
        <w:t xml:space="preserve">with </w:t>
      </w:r>
      <w:r w:rsidR="00671617" w:rsidRPr="007007A0">
        <w:rPr>
          <w:rFonts w:eastAsia="ヒラギノ角ゴ Pro W3"/>
          <w:color w:val="000000"/>
          <w:lang w:eastAsia="en-GB"/>
        </w:rPr>
        <w:t>Mr</w:t>
      </w:r>
      <w:r w:rsidR="00167CAD" w:rsidRPr="007007A0">
        <w:rPr>
          <w:rFonts w:eastAsia="ヒラギノ角ゴ Pro W3"/>
          <w:color w:val="000000"/>
          <w:lang w:eastAsia="en-GB"/>
        </w:rPr>
        <w:t>.</w:t>
      </w:r>
      <w:r w:rsidR="00671617" w:rsidRPr="007007A0">
        <w:rPr>
          <w:rFonts w:eastAsia="ヒラギノ角ゴ Pro W3"/>
          <w:color w:val="000000"/>
          <w:lang w:eastAsia="en-GB"/>
        </w:rPr>
        <w:t xml:space="preserve"> S.D.</w:t>
      </w:r>
      <w:r w:rsidR="00C66284" w:rsidRPr="007007A0">
        <w:rPr>
          <w:rFonts w:eastAsia="ヒラギノ角ゴ Pro W3"/>
          <w:color w:val="000000"/>
          <w:lang w:eastAsia="en-GB"/>
        </w:rPr>
        <w:t>,</w:t>
      </w:r>
      <w:r w:rsidR="00671617" w:rsidRPr="007007A0">
        <w:rPr>
          <w:rFonts w:eastAsia="ヒラギノ角ゴ Pro W3"/>
          <w:color w:val="000000"/>
          <w:lang w:eastAsia="en-GB"/>
        </w:rPr>
        <w:t xml:space="preserve"> a former member of the parliament, who called the Area Police Office of </w:t>
      </w:r>
      <w:r w:rsidR="00671617" w:rsidRPr="007007A0">
        <w:rPr>
          <w:rFonts w:eastAsia="ヒラギノ角ゴ Pro W3"/>
          <w:lang w:eastAsia="en-GB"/>
        </w:rPr>
        <w:t>Rajapur</w:t>
      </w:r>
      <w:r w:rsidR="00671617" w:rsidRPr="007007A0">
        <w:rPr>
          <w:rFonts w:eastAsia="ヒラギノ角ゴ Pro W3"/>
          <w:color w:val="000000"/>
          <w:lang w:eastAsia="en-GB"/>
        </w:rPr>
        <w:t xml:space="preserve"> and the </w:t>
      </w:r>
      <w:r w:rsidR="00671617" w:rsidRPr="006B7096">
        <w:rPr>
          <w:rFonts w:eastAsia="ヒラギノ角ゴ Pro W3"/>
          <w:color w:val="000000"/>
          <w:lang w:eastAsia="en-GB"/>
        </w:rPr>
        <w:t>Thakurdwara</w:t>
      </w:r>
      <w:r w:rsidR="00671617" w:rsidRPr="007007A0">
        <w:rPr>
          <w:rFonts w:eastAsia="ヒラギノ角ゴ Pro W3"/>
          <w:color w:val="000000"/>
          <w:lang w:eastAsia="en-GB"/>
        </w:rPr>
        <w:t xml:space="preserve"> </w:t>
      </w:r>
      <w:r w:rsidR="007007A0" w:rsidRPr="00F512C7">
        <w:rPr>
          <w:rFonts w:eastAsia="ヒラギノ角ゴ Pro W3"/>
          <w:color w:val="000000"/>
          <w:lang w:eastAsia="en-GB"/>
        </w:rPr>
        <w:t>a</w:t>
      </w:r>
      <w:r w:rsidR="00671617" w:rsidRPr="007007A0">
        <w:rPr>
          <w:rFonts w:eastAsia="ヒラギノ角ゴ Pro W3"/>
          <w:color w:val="000000"/>
          <w:lang w:eastAsia="en-GB"/>
        </w:rPr>
        <w:t xml:space="preserve">rmy </w:t>
      </w:r>
      <w:r w:rsidR="007007A0" w:rsidRPr="00F512C7">
        <w:rPr>
          <w:rFonts w:eastAsia="ヒラギノ角ゴ Pro W3"/>
          <w:color w:val="000000"/>
          <w:lang w:eastAsia="en-GB"/>
        </w:rPr>
        <w:t>b</w:t>
      </w:r>
      <w:r w:rsidR="00671617" w:rsidRPr="007007A0">
        <w:rPr>
          <w:rFonts w:eastAsia="ヒラギノ角ゴ Pro W3"/>
          <w:color w:val="000000"/>
          <w:lang w:eastAsia="en-GB"/>
        </w:rPr>
        <w:t xml:space="preserve">arracks. However, the authorities denied any knowledge </w:t>
      </w:r>
      <w:r w:rsidR="00167CAD" w:rsidRPr="007007A0">
        <w:rPr>
          <w:rFonts w:eastAsia="ヒラギノ角ゴ Pro W3"/>
          <w:color w:val="000000"/>
          <w:lang w:eastAsia="en-GB"/>
        </w:rPr>
        <w:t xml:space="preserve">of </w:t>
      </w:r>
      <w:r w:rsidR="00671617" w:rsidRPr="007007A0">
        <w:rPr>
          <w:rFonts w:eastAsia="ヒラギノ角ゴ Pro W3"/>
          <w:color w:val="000000"/>
          <w:lang w:eastAsia="en-GB"/>
        </w:rPr>
        <w:t xml:space="preserve">or involvement in the detention of their relatives. </w:t>
      </w:r>
      <w:r w:rsidR="00167CAD" w:rsidRPr="007007A0">
        <w:rPr>
          <w:rFonts w:eastAsia="ヒラギノ角ゴ Pro W3"/>
          <w:color w:val="000000"/>
          <w:lang w:eastAsia="en-GB"/>
        </w:rPr>
        <w:t xml:space="preserve">Mr. S.D. </w:t>
      </w:r>
      <w:r w:rsidR="00671617" w:rsidRPr="007007A0">
        <w:rPr>
          <w:rFonts w:eastAsia="ヒラギノ角ゴ Pro W3"/>
          <w:color w:val="000000"/>
          <w:lang w:eastAsia="en-GB"/>
        </w:rPr>
        <w:t xml:space="preserve">then called the Tikapur </w:t>
      </w:r>
      <w:r w:rsidR="008E57A2">
        <w:rPr>
          <w:rFonts w:eastAsia="ヒラギノ角ゴ Pro W3"/>
          <w:color w:val="000000"/>
          <w:lang w:eastAsia="en-GB"/>
        </w:rPr>
        <w:t>a</w:t>
      </w:r>
      <w:r w:rsidR="00671617" w:rsidRPr="007007A0">
        <w:rPr>
          <w:rFonts w:eastAsia="ヒラギノ角ゴ Pro W3"/>
          <w:color w:val="000000"/>
          <w:lang w:eastAsia="en-GB"/>
        </w:rPr>
        <w:t xml:space="preserve">rmy </w:t>
      </w:r>
      <w:r w:rsidR="008E57A2">
        <w:rPr>
          <w:rFonts w:eastAsia="ヒラギノ角ゴ Pro W3"/>
          <w:color w:val="000000"/>
          <w:lang w:eastAsia="en-GB"/>
        </w:rPr>
        <w:t>b</w:t>
      </w:r>
      <w:r w:rsidR="00671617" w:rsidRPr="007007A0">
        <w:rPr>
          <w:rFonts w:eastAsia="ヒラギノ角ゴ Pro W3"/>
          <w:color w:val="000000"/>
          <w:lang w:eastAsia="en-GB"/>
        </w:rPr>
        <w:t>arracks</w:t>
      </w:r>
      <w:r w:rsidR="00C66284" w:rsidRPr="007007A0">
        <w:rPr>
          <w:rFonts w:eastAsia="ヒラギノ角ゴ Pro W3"/>
          <w:color w:val="000000"/>
          <w:lang w:eastAsia="en-GB"/>
        </w:rPr>
        <w:t>,</w:t>
      </w:r>
      <w:r w:rsidR="00671617" w:rsidRPr="007007A0">
        <w:rPr>
          <w:rFonts w:eastAsia="ヒラギノ角ゴ Pro W3"/>
          <w:color w:val="000000"/>
          <w:lang w:eastAsia="en-GB"/>
        </w:rPr>
        <w:t xml:space="preserve"> and an officer confirmed </w:t>
      </w:r>
      <w:r w:rsidR="00805B71" w:rsidRPr="007007A0">
        <w:rPr>
          <w:rFonts w:eastAsia="ヒラギノ角ゴ Pro W3"/>
          <w:color w:val="000000"/>
          <w:lang w:eastAsia="en-GB"/>
        </w:rPr>
        <w:t xml:space="preserve">to </w:t>
      </w:r>
      <w:r w:rsidR="00671617" w:rsidRPr="007007A0">
        <w:rPr>
          <w:rFonts w:eastAsia="ヒラギノ角ゴ Pro W3"/>
          <w:color w:val="000000"/>
          <w:lang w:eastAsia="en-GB"/>
        </w:rPr>
        <w:t>him that soldiers from the</w:t>
      </w:r>
      <w:r w:rsidR="00671617" w:rsidRPr="00671617">
        <w:rPr>
          <w:rFonts w:eastAsia="ヒラギノ角ゴ Pro W3"/>
          <w:color w:val="000000"/>
          <w:lang w:eastAsia="en-GB"/>
        </w:rPr>
        <w:t xml:space="preserve"> barracks had taken the</w:t>
      </w:r>
      <w:r w:rsidR="00805B71">
        <w:rPr>
          <w:rFonts w:eastAsia="ヒラギノ角ゴ Pro W3"/>
          <w:color w:val="000000"/>
          <w:lang w:eastAsia="en-GB"/>
        </w:rPr>
        <w:t xml:space="preserve"> eight </w:t>
      </w:r>
      <w:r w:rsidR="00671617" w:rsidRPr="00671617">
        <w:rPr>
          <w:rFonts w:eastAsia="ヒラギノ角ゴ Pro W3"/>
          <w:color w:val="000000"/>
          <w:lang w:eastAsia="en-GB"/>
        </w:rPr>
        <w:t>young persons, but refused to give him further details. The authors also visited every police office and army barracks in Bardiya district and the neighbouring district of Kailali. In different groups, they went</w:t>
      </w:r>
      <w:r w:rsidR="00C66284">
        <w:rPr>
          <w:rFonts w:eastAsia="ヒラギノ角ゴ Pro W3"/>
          <w:color w:val="000000"/>
          <w:lang w:eastAsia="en-GB"/>
        </w:rPr>
        <w:t>,</w:t>
      </w:r>
      <w:r w:rsidR="00671617" w:rsidRPr="00671617">
        <w:rPr>
          <w:rFonts w:eastAsia="ヒラギノ角ゴ Pro W3"/>
          <w:color w:val="000000"/>
          <w:lang w:eastAsia="en-GB"/>
        </w:rPr>
        <w:t xml:space="preserve"> inter alia</w:t>
      </w:r>
      <w:r w:rsidR="00C66284">
        <w:rPr>
          <w:rFonts w:eastAsia="ヒラギノ角ゴ Pro W3"/>
          <w:color w:val="000000"/>
          <w:lang w:eastAsia="en-GB"/>
        </w:rPr>
        <w:t>,</w:t>
      </w:r>
      <w:r w:rsidR="00671617" w:rsidRPr="00671617">
        <w:rPr>
          <w:rFonts w:eastAsia="ヒラギノ角ゴ Pro W3"/>
          <w:color w:val="000000"/>
          <w:lang w:eastAsia="en-GB"/>
        </w:rPr>
        <w:t xml:space="preserve"> to the</w:t>
      </w:r>
      <w:r w:rsidR="00C66284" w:rsidRPr="00671617">
        <w:rPr>
          <w:rFonts w:eastAsia="ヒラギノ角ゴ Pro W3"/>
          <w:color w:val="000000"/>
          <w:lang w:eastAsia="en-GB"/>
        </w:rPr>
        <w:t xml:space="preserve"> Area Police Office </w:t>
      </w:r>
      <w:r w:rsidR="00671617" w:rsidRPr="00671617">
        <w:rPr>
          <w:rFonts w:eastAsia="ヒラギノ角ゴ Pro W3"/>
          <w:color w:val="000000"/>
          <w:lang w:eastAsia="en-GB"/>
        </w:rPr>
        <w:t>of Rajapur on two occasions</w:t>
      </w:r>
      <w:r w:rsidR="00167CAD">
        <w:rPr>
          <w:rFonts w:eastAsia="ヒラギノ角ゴ Pro W3"/>
          <w:color w:val="000000"/>
          <w:lang w:eastAsia="en-GB"/>
        </w:rPr>
        <w:t>,</w:t>
      </w:r>
      <w:r w:rsidR="00671617" w:rsidRPr="00671617">
        <w:rPr>
          <w:rFonts w:eastAsia="ヒラギノ角ゴ Pro W3"/>
          <w:color w:val="000000"/>
          <w:lang w:eastAsia="en-GB"/>
        </w:rPr>
        <w:t xml:space="preserve"> to the District Police Office in Gulariya on approximately 15 occasions</w:t>
      </w:r>
      <w:r w:rsidR="00167CAD">
        <w:rPr>
          <w:rFonts w:eastAsia="ヒラギノ角ゴ Pro W3"/>
          <w:color w:val="000000"/>
          <w:lang w:eastAsia="en-GB"/>
        </w:rPr>
        <w:t>,</w:t>
      </w:r>
      <w:r w:rsidR="00671617" w:rsidRPr="00671617">
        <w:rPr>
          <w:rFonts w:eastAsia="ヒラギノ角ゴ Pro W3"/>
          <w:color w:val="000000"/>
          <w:lang w:eastAsia="en-GB"/>
        </w:rPr>
        <w:t xml:space="preserve"> and to the army barracks and </w:t>
      </w:r>
      <w:r w:rsidR="00C66284" w:rsidRPr="00671617">
        <w:rPr>
          <w:rFonts w:eastAsia="ヒラギノ角ゴ Pro W3"/>
          <w:color w:val="000000"/>
          <w:lang w:eastAsia="en-GB"/>
        </w:rPr>
        <w:t xml:space="preserve">Area Police Office </w:t>
      </w:r>
      <w:r w:rsidR="00671617" w:rsidRPr="00671617">
        <w:rPr>
          <w:rFonts w:eastAsia="ヒラギノ角ゴ Pro W3"/>
          <w:color w:val="000000"/>
          <w:lang w:eastAsia="en-GB"/>
        </w:rPr>
        <w:t>in Tikapur, Kailali District</w:t>
      </w:r>
      <w:r w:rsidR="008E57A2">
        <w:rPr>
          <w:rFonts w:eastAsia="ヒラギノ角ゴ Pro W3"/>
          <w:color w:val="000000"/>
          <w:lang w:eastAsia="en-GB"/>
        </w:rPr>
        <w:t>, on at least three occasions</w:t>
      </w:r>
      <w:r w:rsidR="00671617" w:rsidRPr="00671617">
        <w:rPr>
          <w:rFonts w:eastAsia="ヒラギノ角ゴ Pro W3"/>
          <w:color w:val="000000"/>
          <w:lang w:eastAsia="en-GB"/>
        </w:rPr>
        <w:t xml:space="preserve">. They claimed that the second time they went to the </w:t>
      </w:r>
      <w:r w:rsidR="00C66284">
        <w:rPr>
          <w:rFonts w:eastAsia="ヒラギノ角ゴ Pro W3"/>
          <w:color w:val="000000"/>
          <w:lang w:eastAsia="en-GB"/>
        </w:rPr>
        <w:t xml:space="preserve">District Police Office in </w:t>
      </w:r>
      <w:r w:rsidR="00671617" w:rsidRPr="00671617">
        <w:rPr>
          <w:rFonts w:eastAsia="ヒラギノ角ゴ Pro W3"/>
          <w:color w:val="000000"/>
          <w:lang w:eastAsia="en-GB"/>
        </w:rPr>
        <w:t xml:space="preserve">Gulariya, they left a letter that had been written with the help of another person, describing how their relatives had been arrested and taken away by soldiers on 11 </w:t>
      </w:r>
      <w:r w:rsidR="00671617" w:rsidRPr="00167CAD">
        <w:rPr>
          <w:rFonts w:eastAsia="ヒラギノ角ゴ Pro W3"/>
          <w:color w:val="000000"/>
          <w:lang w:eastAsia="en-GB"/>
        </w:rPr>
        <w:t>April 2002. Later</w:t>
      </w:r>
      <w:r w:rsidR="00C66284" w:rsidRPr="00167CAD">
        <w:rPr>
          <w:rFonts w:eastAsia="ヒラギノ角ゴ Pro W3"/>
          <w:color w:val="000000"/>
          <w:lang w:eastAsia="en-GB"/>
        </w:rPr>
        <w:t>,</w:t>
      </w:r>
      <w:r w:rsidR="00671617" w:rsidRPr="00167CAD">
        <w:rPr>
          <w:rFonts w:eastAsia="ヒラギノ角ゴ Pro W3"/>
          <w:color w:val="000000"/>
          <w:lang w:eastAsia="en-GB"/>
        </w:rPr>
        <w:t xml:space="preserve"> they also tried to leave a copy of this letter with the</w:t>
      </w:r>
      <w:r w:rsidR="00C66284" w:rsidRPr="00167CAD">
        <w:rPr>
          <w:rFonts w:eastAsia="ヒラギノ角ゴ Pro W3"/>
          <w:color w:val="000000"/>
          <w:lang w:eastAsia="en-GB"/>
        </w:rPr>
        <w:t xml:space="preserve"> Area Police Office </w:t>
      </w:r>
      <w:r w:rsidR="00671617" w:rsidRPr="00167CAD">
        <w:rPr>
          <w:rFonts w:eastAsia="ヒラギノ角ゴ Pro W3"/>
          <w:color w:val="000000"/>
          <w:lang w:eastAsia="en-GB"/>
        </w:rPr>
        <w:t xml:space="preserve">in Tikapur, without success. The authors submit that all the authorities </w:t>
      </w:r>
      <w:r w:rsidR="00CD6F4F" w:rsidRPr="00167CAD">
        <w:rPr>
          <w:rFonts w:eastAsia="ヒラギノ角ゴ Pro W3"/>
          <w:color w:val="000000"/>
          <w:lang w:eastAsia="en-GB"/>
        </w:rPr>
        <w:t xml:space="preserve">denied </w:t>
      </w:r>
      <w:r w:rsidR="00167CAD" w:rsidRPr="00F512C7">
        <w:rPr>
          <w:rFonts w:eastAsia="ヒラギノ角ゴ Pro W3"/>
          <w:color w:val="000000"/>
          <w:lang w:eastAsia="en-GB"/>
        </w:rPr>
        <w:t xml:space="preserve">that </w:t>
      </w:r>
      <w:r w:rsidR="00671617" w:rsidRPr="00167CAD">
        <w:rPr>
          <w:rFonts w:eastAsia="ヒラギノ角ゴ Pro W3"/>
          <w:color w:val="000000"/>
          <w:lang w:eastAsia="en-GB"/>
        </w:rPr>
        <w:t xml:space="preserve">their relatives </w:t>
      </w:r>
      <w:r w:rsidR="00167CAD" w:rsidRPr="00167CAD">
        <w:rPr>
          <w:rFonts w:eastAsia="ヒラギノ角ゴ Pro W3"/>
          <w:color w:val="000000"/>
          <w:lang w:eastAsia="en-GB"/>
        </w:rPr>
        <w:t xml:space="preserve">had been detained, </w:t>
      </w:r>
      <w:r w:rsidR="00671617" w:rsidRPr="00167CAD">
        <w:rPr>
          <w:rFonts w:eastAsia="ヒラギノ角ゴ Pro W3"/>
          <w:color w:val="000000"/>
          <w:lang w:eastAsia="en-GB"/>
        </w:rPr>
        <w:t>and did not offer any assistance in looking for them or commit to undertaking an investigation</w:t>
      </w:r>
      <w:r w:rsidR="00671617" w:rsidRPr="00671617">
        <w:rPr>
          <w:rFonts w:eastAsia="ヒラギノ角ゴ Pro W3"/>
          <w:color w:val="000000"/>
          <w:lang w:eastAsia="en-GB"/>
        </w:rPr>
        <w:t xml:space="preserve"> i</w:t>
      </w:r>
      <w:r w:rsidR="00BF3843">
        <w:rPr>
          <w:rFonts w:eastAsia="ヒラギノ角ゴ Pro W3"/>
          <w:color w:val="000000"/>
          <w:lang w:eastAsia="en-GB"/>
        </w:rPr>
        <w:t xml:space="preserve">nto their disappearance. </w:t>
      </w:r>
    </w:p>
    <w:p w14:paraId="676A39C5" w14:textId="77777777" w:rsidR="00671617" w:rsidRPr="00671617" w:rsidRDefault="00BF3843" w:rsidP="00B70DF9">
      <w:pPr>
        <w:pStyle w:val="SingleTxtG"/>
        <w:rPr>
          <w:rFonts w:eastAsia="ヒラギノ角ゴ Pro W3"/>
          <w:color w:val="000000"/>
          <w:lang w:eastAsia="en-GB"/>
        </w:rPr>
      </w:pPr>
      <w:r>
        <w:rPr>
          <w:rFonts w:eastAsia="ヒラギノ角ゴ Pro W3"/>
          <w:color w:val="000000"/>
          <w:lang w:eastAsia="en-GB"/>
        </w:rPr>
        <w:t>2.6</w:t>
      </w:r>
      <w:r w:rsidR="00671617" w:rsidRPr="00671617">
        <w:rPr>
          <w:rFonts w:eastAsia="ヒラギノ角ゴ Pro W3"/>
          <w:color w:val="000000"/>
          <w:lang w:eastAsia="en-GB"/>
        </w:rPr>
        <w:tab/>
        <w:t xml:space="preserve">In 2003, Padam Tharu reported </w:t>
      </w:r>
      <w:r w:rsidR="00167CAD">
        <w:rPr>
          <w:rFonts w:eastAsia="ヒラギノ角ゴ Pro W3"/>
          <w:color w:val="000000"/>
          <w:lang w:eastAsia="en-GB"/>
        </w:rPr>
        <w:t xml:space="preserve">the disappearance of his son, </w:t>
      </w:r>
      <w:r w:rsidR="00671617" w:rsidRPr="00671617">
        <w:rPr>
          <w:rFonts w:eastAsia="ヒラギノ角ゴ Pro W3"/>
          <w:color w:val="000000"/>
          <w:lang w:eastAsia="en-GB"/>
        </w:rPr>
        <w:t>Radhulal</w:t>
      </w:r>
      <w:r w:rsidR="00167CAD">
        <w:rPr>
          <w:rFonts w:eastAsia="ヒラギノ角ゴ Pro W3"/>
          <w:color w:val="000000"/>
          <w:lang w:eastAsia="en-GB"/>
        </w:rPr>
        <w:t>,</w:t>
      </w:r>
      <w:r w:rsidR="00671617" w:rsidRPr="00671617">
        <w:rPr>
          <w:rFonts w:eastAsia="ヒラギノ角ゴ Pro W3"/>
          <w:color w:val="000000"/>
          <w:lang w:eastAsia="en-GB"/>
        </w:rPr>
        <w:t xml:space="preserve"> to the National Human Rights Commission office in Kathmandu.</w:t>
      </w:r>
      <w:r w:rsidR="005679A4">
        <w:rPr>
          <w:rFonts w:eastAsia="ヒラギノ角ゴ Pro W3"/>
          <w:color w:val="000000"/>
          <w:lang w:eastAsia="en-GB"/>
        </w:rPr>
        <w:t xml:space="preserve"> </w:t>
      </w:r>
      <w:r w:rsidR="00671617" w:rsidRPr="00671617">
        <w:rPr>
          <w:rFonts w:eastAsia="ヒラギノ角ゴ Pro W3"/>
          <w:color w:val="000000"/>
          <w:lang w:eastAsia="en-GB"/>
        </w:rPr>
        <w:t>Later</w:t>
      </w:r>
      <w:r w:rsidR="00167CAD">
        <w:rPr>
          <w:rFonts w:eastAsia="ヒラギノ角ゴ Pro W3"/>
          <w:color w:val="000000"/>
          <w:lang w:eastAsia="en-GB"/>
        </w:rPr>
        <w:t>,</w:t>
      </w:r>
      <w:r w:rsidR="00671617" w:rsidRPr="00671617">
        <w:rPr>
          <w:rFonts w:eastAsia="ヒラギノ角ゴ Pro W3"/>
          <w:color w:val="000000"/>
          <w:lang w:eastAsia="en-GB"/>
        </w:rPr>
        <w:t xml:space="preserve"> he and his wife were summoned by the Rajapur </w:t>
      </w:r>
      <w:r w:rsidR="008E57A2">
        <w:rPr>
          <w:rFonts w:eastAsia="ヒラギノ角ゴ Pro W3"/>
          <w:color w:val="000000"/>
          <w:lang w:eastAsia="en-GB"/>
        </w:rPr>
        <w:t>a</w:t>
      </w:r>
      <w:r w:rsidR="00671617" w:rsidRPr="00671617">
        <w:rPr>
          <w:rFonts w:eastAsia="ヒラギノ角ゴ Pro W3"/>
          <w:color w:val="000000"/>
          <w:lang w:eastAsia="en-GB"/>
        </w:rPr>
        <w:t xml:space="preserve">rmy </w:t>
      </w:r>
      <w:r w:rsidR="008E57A2">
        <w:rPr>
          <w:rFonts w:eastAsia="ヒラギノ角ゴ Pro W3"/>
          <w:color w:val="000000"/>
          <w:lang w:eastAsia="en-GB"/>
        </w:rPr>
        <w:t>b</w:t>
      </w:r>
      <w:r w:rsidR="00671617" w:rsidRPr="00671617">
        <w:rPr>
          <w:rFonts w:eastAsia="ヒラギノ角ゴ Pro W3"/>
          <w:color w:val="000000"/>
          <w:lang w:eastAsia="en-GB"/>
        </w:rPr>
        <w:t>arrack</w:t>
      </w:r>
      <w:r w:rsidR="008E57A2">
        <w:rPr>
          <w:rFonts w:eastAsia="ヒラギノ角ゴ Pro W3"/>
          <w:color w:val="000000"/>
          <w:lang w:eastAsia="en-GB"/>
        </w:rPr>
        <w:t>s</w:t>
      </w:r>
      <w:r w:rsidR="00671617" w:rsidRPr="00671617">
        <w:rPr>
          <w:rFonts w:eastAsia="ヒラギノ角ゴ Pro W3"/>
          <w:color w:val="000000"/>
          <w:lang w:eastAsia="en-GB"/>
        </w:rPr>
        <w:t xml:space="preserve">. At the barracks, the </w:t>
      </w:r>
      <w:r w:rsidR="00671617" w:rsidRPr="00671617">
        <w:rPr>
          <w:rFonts w:eastAsia="ヒラギノ角ゴ Pro W3"/>
          <w:lang w:eastAsia="en-GB"/>
        </w:rPr>
        <w:t>Army</w:t>
      </w:r>
      <w:r w:rsidR="00671617" w:rsidRPr="00671617">
        <w:rPr>
          <w:rFonts w:eastAsia="ヒラギノ角ゴ Pro W3"/>
          <w:color w:val="000000"/>
          <w:lang w:eastAsia="en-GB"/>
        </w:rPr>
        <w:t xml:space="preserve"> officers informed them that </w:t>
      </w:r>
      <w:r w:rsidR="00671617" w:rsidRPr="000D3576">
        <w:rPr>
          <w:rFonts w:eastAsia="ヒラギノ角ゴ Pro W3"/>
          <w:color w:val="000000"/>
          <w:lang w:eastAsia="en-GB"/>
        </w:rPr>
        <w:t xml:space="preserve">they would start an investigation </w:t>
      </w:r>
      <w:r w:rsidR="00167CAD" w:rsidRPr="000D3576">
        <w:rPr>
          <w:rFonts w:eastAsia="ヒラギノ角ゴ Pro W3"/>
          <w:color w:val="000000"/>
          <w:lang w:eastAsia="en-GB"/>
        </w:rPr>
        <w:t>in</w:t>
      </w:r>
      <w:r w:rsidR="00671617" w:rsidRPr="000D3576">
        <w:rPr>
          <w:rFonts w:eastAsia="ヒラギノ角ゴ Pro W3"/>
          <w:color w:val="000000"/>
          <w:lang w:eastAsia="en-GB"/>
        </w:rPr>
        <w:t>to the disappearance of their child</w:t>
      </w:r>
      <w:r w:rsidR="00167CAD" w:rsidRPr="000D3576">
        <w:rPr>
          <w:rFonts w:eastAsia="ヒラギノ角ゴ Pro W3"/>
          <w:color w:val="000000"/>
          <w:lang w:eastAsia="en-GB"/>
        </w:rPr>
        <w:t>,</w:t>
      </w:r>
      <w:r w:rsidR="00671617" w:rsidRPr="000D3576">
        <w:rPr>
          <w:rFonts w:eastAsia="ヒラギノ角ゴ Pro W3"/>
          <w:color w:val="000000"/>
          <w:lang w:eastAsia="en-GB"/>
        </w:rPr>
        <w:t xml:space="preserve"> and that they would contact the family if they </w:t>
      </w:r>
      <w:r w:rsidR="00671617" w:rsidRPr="007007A0">
        <w:rPr>
          <w:rFonts w:eastAsia="ヒラギノ角ゴ Pro W3"/>
          <w:color w:val="000000"/>
          <w:lang w:eastAsia="en-GB"/>
        </w:rPr>
        <w:t>obtained any information. However, the parents have not heard from</w:t>
      </w:r>
      <w:r w:rsidR="00671617" w:rsidRPr="00671617">
        <w:rPr>
          <w:rFonts w:eastAsia="ヒラギノ角ゴ Pro W3"/>
          <w:color w:val="000000"/>
          <w:lang w:eastAsia="en-GB"/>
        </w:rPr>
        <w:t xml:space="preserve"> the Rajapur </w:t>
      </w:r>
      <w:r w:rsidR="008E57A2">
        <w:rPr>
          <w:rFonts w:eastAsia="ヒラギノ角ゴ Pro W3"/>
          <w:color w:val="000000"/>
          <w:lang w:eastAsia="en-GB"/>
        </w:rPr>
        <w:t>a</w:t>
      </w:r>
      <w:r w:rsidR="00671617" w:rsidRPr="00671617">
        <w:rPr>
          <w:rFonts w:eastAsia="ヒラギノ角ゴ Pro W3"/>
          <w:color w:val="000000"/>
          <w:lang w:eastAsia="en-GB"/>
        </w:rPr>
        <w:t xml:space="preserve">rmy </w:t>
      </w:r>
      <w:r w:rsidR="008E57A2">
        <w:rPr>
          <w:rFonts w:eastAsia="ヒラギノ角ゴ Pro W3"/>
          <w:color w:val="000000"/>
          <w:lang w:eastAsia="en-GB"/>
        </w:rPr>
        <w:t>b</w:t>
      </w:r>
      <w:r w:rsidR="00671617" w:rsidRPr="00671617">
        <w:rPr>
          <w:rFonts w:eastAsia="ヒラギノ角ゴ Pro W3"/>
          <w:color w:val="000000"/>
          <w:lang w:eastAsia="en-GB"/>
        </w:rPr>
        <w:t>arracks since then.</w:t>
      </w:r>
    </w:p>
    <w:p w14:paraId="71373A3E" w14:textId="77777777" w:rsidR="00671617" w:rsidRPr="00671617" w:rsidRDefault="00BF3843" w:rsidP="00D624C6">
      <w:pPr>
        <w:pStyle w:val="SingleTxtG"/>
        <w:rPr>
          <w:rFonts w:eastAsia="ヒラギノ角ゴ Pro W3"/>
          <w:color w:val="000000"/>
          <w:lang w:eastAsia="en-GB"/>
        </w:rPr>
      </w:pPr>
      <w:r>
        <w:rPr>
          <w:rFonts w:eastAsia="ヒラギノ角ゴ Pro W3"/>
          <w:color w:val="000000"/>
          <w:lang w:eastAsia="en-GB"/>
        </w:rPr>
        <w:t>2.7</w:t>
      </w:r>
      <w:r w:rsidR="00671617" w:rsidRPr="00671617">
        <w:rPr>
          <w:rFonts w:eastAsia="ヒラギノ角ゴ Pro W3"/>
          <w:color w:val="000000"/>
          <w:lang w:eastAsia="en-GB"/>
        </w:rPr>
        <w:tab/>
        <w:t xml:space="preserve">On 13 July, 23 September and 16 October </w:t>
      </w:r>
      <w:r w:rsidR="00671617" w:rsidRPr="006B7096">
        <w:rPr>
          <w:rFonts w:eastAsia="ヒラギノ角ゴ Pro W3"/>
          <w:color w:val="000000"/>
          <w:lang w:eastAsia="en-GB"/>
        </w:rPr>
        <w:t>2003, the authors, with the assistance of Advocacy Forum-Nepal, filed eight writs of habeas corpus</w:t>
      </w:r>
      <w:r w:rsidR="00671617" w:rsidRPr="006B7096">
        <w:rPr>
          <w:rFonts w:ascii="Arial Narrow" w:eastAsia="ヒラギノ角ゴ Pro W3" w:hAnsi="Arial Narrow"/>
          <w:color w:val="000000"/>
          <w:sz w:val="24"/>
          <w:lang w:eastAsia="en-GB"/>
        </w:rPr>
        <w:t xml:space="preserve"> </w:t>
      </w:r>
      <w:r w:rsidR="006B7096" w:rsidRPr="006B7096">
        <w:rPr>
          <w:rFonts w:eastAsia="ヒラギノ角ゴ Pro W3"/>
          <w:color w:val="000000"/>
          <w:lang w:eastAsia="en-GB"/>
        </w:rPr>
        <w:t xml:space="preserve">with </w:t>
      </w:r>
      <w:r w:rsidR="00671617" w:rsidRPr="006B7096">
        <w:rPr>
          <w:rFonts w:eastAsia="ヒラギノ角ゴ Pro W3"/>
          <w:color w:val="000000"/>
          <w:lang w:eastAsia="en-GB"/>
        </w:rPr>
        <w:t xml:space="preserve">the Supreme Court, </w:t>
      </w:r>
      <w:r w:rsidR="00EC1177">
        <w:rPr>
          <w:rFonts w:eastAsia="ヒラギノ角ゴ Pro W3"/>
          <w:color w:val="000000"/>
          <w:lang w:eastAsia="en-GB"/>
        </w:rPr>
        <w:t>on behalf</w:t>
      </w:r>
      <w:r w:rsidR="00671617" w:rsidRPr="006B7096">
        <w:rPr>
          <w:rFonts w:eastAsia="ヒラギノ角ゴ Pro W3"/>
          <w:color w:val="000000"/>
          <w:lang w:eastAsia="en-GB"/>
        </w:rPr>
        <w:t xml:space="preserve"> of</w:t>
      </w:r>
      <w:r w:rsidR="005679A4" w:rsidRPr="006B7096">
        <w:rPr>
          <w:rFonts w:eastAsia="ヒラギノ角ゴ Pro W3"/>
          <w:color w:val="000000"/>
          <w:lang w:eastAsia="en-GB"/>
        </w:rPr>
        <w:t xml:space="preserve"> </w:t>
      </w:r>
      <w:r w:rsidR="00671617" w:rsidRPr="006B7096">
        <w:rPr>
          <w:rFonts w:eastAsia="ヒラギノ角ゴ Pro W3"/>
          <w:color w:val="000000"/>
          <w:lang w:eastAsia="en-GB"/>
        </w:rPr>
        <w:t>Dhaniram</w:t>
      </w:r>
      <w:r w:rsidR="00167CAD" w:rsidRPr="006B7096">
        <w:rPr>
          <w:rFonts w:eastAsia="ヒラギノ角ゴ Pro W3"/>
          <w:color w:val="000000"/>
          <w:lang w:eastAsia="en-GB"/>
        </w:rPr>
        <w:t>,</w:t>
      </w:r>
      <w:r w:rsidR="00671617" w:rsidRPr="006B7096">
        <w:rPr>
          <w:rFonts w:eastAsia="ヒラギノ角ゴ Pro W3"/>
          <w:color w:val="000000"/>
          <w:lang w:eastAsia="en-GB"/>
        </w:rPr>
        <w:t xml:space="preserve"> Soniram</w:t>
      </w:r>
      <w:r w:rsidR="00167CAD" w:rsidRPr="006B7096">
        <w:rPr>
          <w:rFonts w:eastAsia="ヒラギノ角ゴ Pro W3"/>
          <w:color w:val="000000"/>
          <w:lang w:eastAsia="en-GB"/>
        </w:rPr>
        <w:t>,</w:t>
      </w:r>
      <w:r w:rsidR="00671617" w:rsidRPr="006B7096">
        <w:rPr>
          <w:rFonts w:eastAsia="ヒラギノ角ゴ Pro W3"/>
          <w:color w:val="000000"/>
          <w:lang w:eastAsia="en-GB"/>
        </w:rPr>
        <w:t xml:space="preserve"> Lauti, Mohan</w:t>
      </w:r>
      <w:r w:rsidR="00167CAD" w:rsidRPr="006B7096">
        <w:rPr>
          <w:rFonts w:eastAsia="ヒラギノ角ゴ Pro W3"/>
          <w:color w:val="000000"/>
          <w:lang w:eastAsia="en-GB"/>
        </w:rPr>
        <w:t>,</w:t>
      </w:r>
      <w:r w:rsidR="00671617" w:rsidRPr="006B7096">
        <w:rPr>
          <w:rFonts w:eastAsia="ヒラギノ角ゴ Pro W3"/>
          <w:color w:val="000000"/>
          <w:lang w:eastAsia="en-GB"/>
        </w:rPr>
        <w:t xml:space="preserve"> Prem Prakash</w:t>
      </w:r>
      <w:r w:rsidR="00167CAD" w:rsidRPr="006B7096">
        <w:rPr>
          <w:rFonts w:eastAsia="ヒラギノ角ゴ Pro W3"/>
          <w:color w:val="000000"/>
          <w:lang w:eastAsia="en-GB"/>
        </w:rPr>
        <w:t>,</w:t>
      </w:r>
      <w:r w:rsidR="00671617" w:rsidRPr="006B7096">
        <w:rPr>
          <w:rFonts w:eastAsia="ヒラギノ角ゴ Pro W3"/>
          <w:color w:val="000000"/>
          <w:lang w:eastAsia="en-GB"/>
        </w:rPr>
        <w:t xml:space="preserve"> Chillu, Kamala and Radhulal, respectively. During the proceedings, the Ministry of </w:t>
      </w:r>
      <w:r w:rsidR="00671617" w:rsidRPr="006B7096">
        <w:rPr>
          <w:rFonts w:eastAsia="ヒラギノ角ゴ Pro W3"/>
          <w:lang w:eastAsia="en-GB"/>
        </w:rPr>
        <w:t>Defence</w:t>
      </w:r>
      <w:r w:rsidR="00671617" w:rsidRPr="006B7096">
        <w:rPr>
          <w:rFonts w:eastAsia="ヒラギノ角ゴ Pro W3"/>
          <w:color w:val="000000"/>
          <w:lang w:eastAsia="en-GB"/>
        </w:rPr>
        <w:t xml:space="preserve">, the Ministry of Home </w:t>
      </w:r>
      <w:r w:rsidR="00671617" w:rsidRPr="006B7096">
        <w:rPr>
          <w:rFonts w:eastAsia="ヒラギノ角ゴ Pro W3"/>
          <w:color w:val="000000"/>
          <w:lang w:eastAsia="en-GB"/>
        </w:rPr>
        <w:lastRenderedPageBreak/>
        <w:t xml:space="preserve">Affairs, </w:t>
      </w:r>
      <w:r w:rsidR="00230875" w:rsidRPr="006B7096">
        <w:rPr>
          <w:rFonts w:eastAsia="ヒラギノ角ゴ Pro W3"/>
          <w:color w:val="000000"/>
          <w:lang w:eastAsia="en-GB"/>
        </w:rPr>
        <w:t xml:space="preserve">the </w:t>
      </w:r>
      <w:r w:rsidR="00671617" w:rsidRPr="006B7096">
        <w:rPr>
          <w:rFonts w:eastAsia="ヒラギノ角ゴ Pro W3"/>
          <w:color w:val="000000"/>
          <w:lang w:eastAsia="en-GB"/>
        </w:rPr>
        <w:t>Bardiya District Administrative Office</w:t>
      </w:r>
      <w:r w:rsidR="00230875" w:rsidRPr="006B7096">
        <w:rPr>
          <w:rFonts w:eastAsia="ヒラギノ角ゴ Pro W3"/>
          <w:color w:val="000000"/>
          <w:lang w:eastAsia="en-GB"/>
        </w:rPr>
        <w:t xml:space="preserve"> and the</w:t>
      </w:r>
      <w:r w:rsidR="00671617" w:rsidRPr="006B7096">
        <w:rPr>
          <w:rFonts w:eastAsia="ヒラギノ角ゴ Pro W3"/>
          <w:color w:val="000000"/>
          <w:lang w:eastAsia="en-GB"/>
        </w:rPr>
        <w:t xml:space="preserve"> Bardiya </w:t>
      </w:r>
      <w:r w:rsidR="00230875" w:rsidRPr="006B7096">
        <w:rPr>
          <w:rFonts w:eastAsia="ヒラギノ角ゴ Pro W3"/>
          <w:color w:val="000000"/>
          <w:lang w:eastAsia="en-GB"/>
        </w:rPr>
        <w:t>District Police Office</w:t>
      </w:r>
      <w:r w:rsidR="00671617" w:rsidRPr="006B7096">
        <w:rPr>
          <w:rFonts w:eastAsia="ヒラギノ角ゴ Pro W3"/>
          <w:color w:val="000000"/>
          <w:lang w:eastAsia="en-GB"/>
        </w:rPr>
        <w:t>, among other authorities, informed the Supreme Court that the authors’ relatives had not been arrested or detained by them.</w:t>
      </w:r>
      <w:r w:rsidR="00671617" w:rsidRPr="00671617">
        <w:rPr>
          <w:rFonts w:eastAsia="ヒラギノ角ゴ Pro W3"/>
          <w:color w:val="000000"/>
          <w:lang w:eastAsia="en-GB"/>
        </w:rPr>
        <w:t xml:space="preserve"> </w:t>
      </w:r>
    </w:p>
    <w:p w14:paraId="6EC26125" w14:textId="77777777" w:rsidR="00671617" w:rsidRPr="006B7096" w:rsidRDefault="00671617">
      <w:pPr>
        <w:pStyle w:val="SingleTxtG"/>
        <w:rPr>
          <w:rFonts w:eastAsia="ヒラギノ角ゴ Pro W3"/>
          <w:color w:val="000000"/>
          <w:lang w:eastAsia="en-GB"/>
        </w:rPr>
      </w:pPr>
      <w:r w:rsidRPr="00671617">
        <w:rPr>
          <w:rFonts w:eastAsia="ヒラギノ角ゴ Pro W3"/>
          <w:color w:val="000000"/>
          <w:lang w:eastAsia="en-GB"/>
        </w:rPr>
        <w:t>2.8</w:t>
      </w:r>
      <w:r w:rsidRPr="00671617">
        <w:rPr>
          <w:rFonts w:eastAsia="ヒラギノ角ゴ Pro W3"/>
          <w:color w:val="000000"/>
          <w:lang w:eastAsia="en-GB"/>
        </w:rPr>
        <w:tab/>
        <w:t xml:space="preserve">On 24, 25, 26, and 27 August 2004, and 7 January, 11 February, and 29 March 2005, the Supreme Court quashed the writs of habeas </w:t>
      </w:r>
      <w:r w:rsidRPr="00671617">
        <w:rPr>
          <w:rFonts w:eastAsia="ヒラギノ角ゴ Pro W3"/>
          <w:lang w:eastAsia="en-GB"/>
        </w:rPr>
        <w:t>corpus</w:t>
      </w:r>
      <w:r w:rsidRPr="00671617">
        <w:rPr>
          <w:rFonts w:eastAsia="ヒラギノ角ゴ Pro W3"/>
          <w:color w:val="000000"/>
          <w:lang w:eastAsia="en-GB"/>
        </w:rPr>
        <w:t xml:space="preserve"> submitted by the authors. It stated that the authors </w:t>
      </w:r>
      <w:r w:rsidR="006B7630">
        <w:rPr>
          <w:rFonts w:eastAsia="ヒラギノ角ゴ Pro W3"/>
          <w:color w:val="000000"/>
          <w:lang w:eastAsia="en-GB"/>
        </w:rPr>
        <w:t xml:space="preserve">had </w:t>
      </w:r>
      <w:r w:rsidRPr="00671617">
        <w:rPr>
          <w:rFonts w:eastAsia="ヒラギノ角ゴ Pro W3"/>
          <w:color w:val="000000"/>
          <w:lang w:eastAsia="en-GB"/>
        </w:rPr>
        <w:t>failed to identify where and by whom their relatives had been detained and that</w:t>
      </w:r>
      <w:r w:rsidR="006B7630">
        <w:rPr>
          <w:rFonts w:eastAsia="ヒラギノ角ゴ Pro W3"/>
          <w:color w:val="000000"/>
          <w:lang w:eastAsia="en-GB"/>
        </w:rPr>
        <w:t>, in order to obtain</w:t>
      </w:r>
      <w:r w:rsidRPr="00671617">
        <w:rPr>
          <w:rFonts w:eastAsia="ヒラギノ角ゴ Pro W3"/>
          <w:color w:val="000000"/>
          <w:lang w:eastAsia="en-GB"/>
        </w:rPr>
        <w:t xml:space="preserve"> a search warrant</w:t>
      </w:r>
      <w:r w:rsidR="006B7630">
        <w:rPr>
          <w:rFonts w:eastAsia="ヒラギノ角ゴ Pro W3"/>
          <w:color w:val="000000"/>
          <w:lang w:eastAsia="en-GB"/>
        </w:rPr>
        <w:t>,</w:t>
      </w:r>
      <w:r w:rsidRPr="00671617">
        <w:rPr>
          <w:rFonts w:eastAsia="ヒラギノ角ゴ Pro W3"/>
          <w:color w:val="000000"/>
          <w:lang w:eastAsia="en-GB"/>
        </w:rPr>
        <w:t xml:space="preserve"> the </w:t>
      </w:r>
      <w:r w:rsidRPr="006B7096">
        <w:rPr>
          <w:rFonts w:eastAsia="ヒラギノ角ゴ Pro W3"/>
          <w:color w:val="000000"/>
          <w:lang w:eastAsia="en-GB"/>
        </w:rPr>
        <w:t>applicants must help the Court by identifying the place where the alleged victim</w:t>
      </w:r>
      <w:r w:rsidR="005A2D9E" w:rsidRPr="006B7096">
        <w:rPr>
          <w:rFonts w:eastAsia="ヒラギノ角ゴ Pro W3"/>
          <w:color w:val="000000"/>
          <w:lang w:eastAsia="en-GB"/>
        </w:rPr>
        <w:t>s</w:t>
      </w:r>
      <w:r w:rsidRPr="006B7096">
        <w:rPr>
          <w:rFonts w:eastAsia="ヒラギノ角ゴ Pro W3"/>
          <w:color w:val="000000"/>
          <w:lang w:eastAsia="en-GB"/>
        </w:rPr>
        <w:t xml:space="preserve"> </w:t>
      </w:r>
      <w:r w:rsidR="006B7630" w:rsidRPr="006B7096">
        <w:rPr>
          <w:rFonts w:eastAsia="ヒラギノ角ゴ Pro W3"/>
          <w:color w:val="000000"/>
          <w:lang w:eastAsia="en-GB"/>
        </w:rPr>
        <w:t>w</w:t>
      </w:r>
      <w:r w:rsidR="005A2D9E" w:rsidRPr="006B7096">
        <w:rPr>
          <w:rFonts w:eastAsia="ヒラギノ角ゴ Pro W3"/>
          <w:color w:val="000000"/>
          <w:lang w:eastAsia="en-GB"/>
        </w:rPr>
        <w:t>ere</w:t>
      </w:r>
      <w:r w:rsidR="006B7630" w:rsidRPr="006B7096">
        <w:rPr>
          <w:rFonts w:eastAsia="ヒラギノ角ゴ Pro W3"/>
          <w:color w:val="000000"/>
          <w:lang w:eastAsia="en-GB"/>
        </w:rPr>
        <w:t xml:space="preserve"> being</w:t>
      </w:r>
      <w:r w:rsidRPr="006B7096">
        <w:rPr>
          <w:rFonts w:eastAsia="ヒラギノ角ゴ Pro W3"/>
          <w:color w:val="000000"/>
          <w:lang w:eastAsia="en-GB"/>
        </w:rPr>
        <w:t xml:space="preserve"> kept. The authors claim that the Court did not proactively </w:t>
      </w:r>
      <w:r w:rsidR="006B7630" w:rsidRPr="006B7096">
        <w:rPr>
          <w:rFonts w:eastAsia="ヒラギノ角ゴ Pro W3"/>
          <w:color w:val="000000"/>
          <w:lang w:eastAsia="en-GB"/>
        </w:rPr>
        <w:t>e</w:t>
      </w:r>
      <w:r w:rsidRPr="006B7096">
        <w:rPr>
          <w:rFonts w:eastAsia="ヒラギノ角ゴ Pro W3"/>
          <w:color w:val="000000"/>
          <w:lang w:eastAsia="en-GB"/>
        </w:rPr>
        <w:t xml:space="preserve">nquire about the fate and whereabouts of their relatives or about the measures undertaken by other authorities to search </w:t>
      </w:r>
      <w:r w:rsidR="006B7630" w:rsidRPr="006B7096">
        <w:rPr>
          <w:rFonts w:eastAsia="ヒラギノ角ゴ Pro W3"/>
          <w:color w:val="000000"/>
          <w:lang w:eastAsia="en-GB"/>
        </w:rPr>
        <w:t xml:space="preserve">for </w:t>
      </w:r>
      <w:r w:rsidRPr="006B7096">
        <w:rPr>
          <w:rFonts w:eastAsia="ヒラギノ角ゴ Pro W3"/>
          <w:color w:val="000000"/>
          <w:lang w:eastAsia="en-GB"/>
        </w:rPr>
        <w:t xml:space="preserve">their relatives or investigate their disappearance. </w:t>
      </w:r>
    </w:p>
    <w:p w14:paraId="3215B5C3" w14:textId="77777777" w:rsidR="00671617" w:rsidRPr="00671617" w:rsidRDefault="00671617">
      <w:pPr>
        <w:pStyle w:val="SingleTxtG"/>
        <w:rPr>
          <w:rFonts w:eastAsia="ヒラギノ角ゴ Pro W3"/>
          <w:color w:val="000000"/>
          <w:lang w:eastAsia="en-GB"/>
        </w:rPr>
      </w:pPr>
      <w:r w:rsidRPr="006B7096">
        <w:rPr>
          <w:rFonts w:eastAsia="ヒラギノ角ゴ Pro W3"/>
          <w:color w:val="000000"/>
          <w:lang w:eastAsia="en-GB"/>
        </w:rPr>
        <w:t>2.9</w:t>
      </w:r>
      <w:r w:rsidRPr="006B7096">
        <w:rPr>
          <w:rFonts w:eastAsia="ヒラギノ角ゴ Pro W3"/>
          <w:color w:val="000000"/>
          <w:lang w:eastAsia="en-GB"/>
        </w:rPr>
        <w:tab/>
        <w:t xml:space="preserve">On 12 February 2006, Thagani Tharu (Prem Prakash’s mother) reported </w:t>
      </w:r>
      <w:r w:rsidR="006A6BFB" w:rsidRPr="006B7096">
        <w:rPr>
          <w:rFonts w:eastAsia="ヒラギノ角ゴ Pro W3"/>
          <w:color w:val="000000"/>
          <w:lang w:eastAsia="en-GB"/>
        </w:rPr>
        <w:t xml:space="preserve">the disappearance of </w:t>
      </w:r>
      <w:r w:rsidRPr="006B7096">
        <w:rPr>
          <w:rFonts w:eastAsia="ヒラギノ角ゴ Pro W3"/>
          <w:color w:val="000000"/>
          <w:lang w:eastAsia="en-GB"/>
        </w:rPr>
        <w:t xml:space="preserve">Prem Prakash, Kamala, Lauti and Chillu to the </w:t>
      </w:r>
      <w:r w:rsidR="002B2FBE" w:rsidRPr="006B7096">
        <w:rPr>
          <w:rFonts w:eastAsia="ヒラギノ角ゴ Pro W3"/>
          <w:color w:val="000000"/>
          <w:lang w:eastAsia="en-GB"/>
        </w:rPr>
        <w:t>National Human Rights Commission</w:t>
      </w:r>
      <w:r w:rsidRPr="006B7096">
        <w:rPr>
          <w:rFonts w:eastAsia="ヒラギノ角ゴ Pro W3"/>
          <w:color w:val="000000"/>
          <w:lang w:eastAsia="en-GB"/>
        </w:rPr>
        <w:t>. Parmeshwari Tharu (Moha</w:t>
      </w:r>
      <w:r w:rsidR="006A6BFB" w:rsidRPr="006B7096">
        <w:rPr>
          <w:rFonts w:eastAsia="ヒラギノ角ゴ Pro W3"/>
          <w:color w:val="000000"/>
          <w:lang w:eastAsia="en-GB"/>
        </w:rPr>
        <w:t>n</w:t>
      </w:r>
      <w:r w:rsidRPr="006B7096">
        <w:rPr>
          <w:rFonts w:eastAsia="ヒラギノ角ゴ Pro W3"/>
          <w:color w:val="000000"/>
          <w:lang w:eastAsia="en-GB"/>
        </w:rPr>
        <w:t>’s mother) also reported Moha</w:t>
      </w:r>
      <w:r w:rsidR="006A6BFB" w:rsidRPr="006B7096">
        <w:rPr>
          <w:rFonts w:eastAsia="ヒラギノ角ゴ Pro W3"/>
          <w:color w:val="000000"/>
          <w:lang w:eastAsia="en-GB"/>
        </w:rPr>
        <w:t>n</w:t>
      </w:r>
      <w:r w:rsidRPr="006B7096">
        <w:rPr>
          <w:rFonts w:eastAsia="ヒラギノ角ゴ Pro W3"/>
          <w:color w:val="000000"/>
          <w:lang w:eastAsia="en-GB"/>
        </w:rPr>
        <w:t xml:space="preserve">’s disappearance to </w:t>
      </w:r>
      <w:r w:rsidRPr="006B7096">
        <w:rPr>
          <w:rFonts w:eastAsia="ヒラギノ角ゴ Pro W3"/>
          <w:lang w:eastAsia="en-GB"/>
        </w:rPr>
        <w:t>the</w:t>
      </w:r>
      <w:r w:rsidRPr="006B7096">
        <w:rPr>
          <w:rFonts w:eastAsia="ヒラギノ角ゴ Pro W3"/>
          <w:color w:val="000000"/>
          <w:lang w:eastAsia="en-GB"/>
        </w:rPr>
        <w:t xml:space="preserve"> </w:t>
      </w:r>
      <w:r w:rsidR="002B2FBE" w:rsidRPr="006B7096">
        <w:rPr>
          <w:rFonts w:eastAsia="ヒラギノ角ゴ Pro W3"/>
          <w:color w:val="000000"/>
          <w:lang w:eastAsia="en-GB"/>
        </w:rPr>
        <w:t>Commission</w:t>
      </w:r>
      <w:r w:rsidRPr="006B7096">
        <w:rPr>
          <w:rFonts w:eastAsia="ヒラギノ角ゴ Pro W3"/>
          <w:color w:val="000000"/>
          <w:lang w:eastAsia="en-GB"/>
        </w:rPr>
        <w:t>.</w:t>
      </w:r>
      <w:r w:rsidR="00BF3843" w:rsidRPr="006B7096">
        <w:rPr>
          <w:rFonts w:eastAsia="ヒラギノ角ゴ Pro W3"/>
          <w:color w:val="000000"/>
          <w:lang w:eastAsia="en-GB"/>
        </w:rPr>
        <w:t xml:space="preserve"> </w:t>
      </w:r>
      <w:r w:rsidRPr="006B7096">
        <w:rPr>
          <w:rFonts w:eastAsia="ヒラギノ角ゴ Pro W3"/>
          <w:color w:val="000000"/>
          <w:lang w:eastAsia="en-GB"/>
        </w:rPr>
        <w:t xml:space="preserve">The authors claim that officers </w:t>
      </w:r>
      <w:r w:rsidR="002B2FBE" w:rsidRPr="006B7096">
        <w:rPr>
          <w:rFonts w:eastAsia="ヒラギノ角ゴ Pro W3"/>
          <w:color w:val="000000"/>
          <w:lang w:eastAsia="en-GB"/>
        </w:rPr>
        <w:t xml:space="preserve">from the Commission </w:t>
      </w:r>
      <w:r w:rsidRPr="006B7096">
        <w:rPr>
          <w:rFonts w:eastAsia="ヒラギノ角ゴ Pro W3"/>
          <w:color w:val="000000"/>
          <w:lang w:eastAsia="en-GB"/>
        </w:rPr>
        <w:t xml:space="preserve">visited them twice and that </w:t>
      </w:r>
      <w:r w:rsidR="006A6BFB" w:rsidRPr="006B7096">
        <w:rPr>
          <w:rFonts w:eastAsia="ヒラギノ角ゴ Pro W3"/>
          <w:color w:val="000000"/>
          <w:lang w:eastAsia="en-GB"/>
        </w:rPr>
        <w:t>the Commission</w:t>
      </w:r>
      <w:r w:rsidRPr="006B7096">
        <w:rPr>
          <w:rFonts w:eastAsia="ヒラギノ角ゴ Pro W3"/>
          <w:color w:val="000000"/>
          <w:lang w:eastAsia="en-GB"/>
        </w:rPr>
        <w:t xml:space="preserve"> transmitted their complaints to the </w:t>
      </w:r>
      <w:r w:rsidR="008F5192" w:rsidRPr="006B7096">
        <w:rPr>
          <w:rFonts w:eastAsia="ヒラギノ角ゴ Pro W3"/>
          <w:color w:val="000000"/>
          <w:lang w:eastAsia="en-GB"/>
        </w:rPr>
        <w:t>Royal Nepalese Army</w:t>
      </w:r>
      <w:r w:rsidRPr="006B7096">
        <w:rPr>
          <w:rFonts w:eastAsia="ヒラギノ角ゴ Pro W3"/>
          <w:color w:val="000000"/>
          <w:lang w:eastAsia="en-GB"/>
        </w:rPr>
        <w:t>’s Human Rights Cell.</w:t>
      </w:r>
    </w:p>
    <w:p w14:paraId="05EAD448" w14:textId="77777777" w:rsidR="00671617" w:rsidRPr="00F512C7" w:rsidRDefault="00671617">
      <w:pPr>
        <w:pStyle w:val="SingleTxtG"/>
        <w:rPr>
          <w:rFonts w:eastAsia="ヒラギノ角ゴ Pro W3"/>
        </w:rPr>
      </w:pPr>
      <w:r w:rsidRPr="00671617">
        <w:rPr>
          <w:rFonts w:eastAsia="ヒラギノ角ゴ Pro W3"/>
          <w:lang w:eastAsia="en-GB"/>
        </w:rPr>
        <w:t>2.10</w:t>
      </w:r>
      <w:r w:rsidRPr="00671617">
        <w:rPr>
          <w:rFonts w:eastAsia="ヒラギノ角ゴ Pro W3"/>
          <w:lang w:eastAsia="en-GB"/>
        </w:rPr>
        <w:tab/>
        <w:t xml:space="preserve">Their eight relatives were registered as </w:t>
      </w:r>
      <w:r w:rsidRPr="0060213E">
        <w:rPr>
          <w:rFonts w:eastAsia="ヒラギノ角ゴ Pro W3"/>
          <w:lang w:eastAsia="en-GB"/>
        </w:rPr>
        <w:t xml:space="preserve">missing persons in the International Committee of </w:t>
      </w:r>
      <w:r w:rsidR="00BF3843" w:rsidRPr="0060213E">
        <w:rPr>
          <w:rFonts w:eastAsia="ヒラギノ角ゴ Pro W3"/>
          <w:lang w:eastAsia="en-GB"/>
        </w:rPr>
        <w:t>the Red Cross database.</w:t>
      </w:r>
      <w:r w:rsidR="00BF3843">
        <w:rPr>
          <w:rFonts w:eastAsia="ヒラギノ角ゴ Pro W3"/>
          <w:lang w:eastAsia="en-GB"/>
        </w:rPr>
        <w:t xml:space="preserve"> </w:t>
      </w:r>
    </w:p>
    <w:p w14:paraId="1CDE8ADA"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2.11</w:t>
      </w:r>
      <w:r w:rsidRPr="00671617">
        <w:rPr>
          <w:rFonts w:eastAsia="ヒラギノ角ゴ Pro W3"/>
          <w:color w:val="000000"/>
          <w:lang w:eastAsia="en-GB"/>
        </w:rPr>
        <w:tab/>
        <w:t xml:space="preserve">On 25 May 2006, the </w:t>
      </w:r>
      <w:r w:rsidR="002B2FBE">
        <w:rPr>
          <w:rFonts w:eastAsia="ヒラギノ角ゴ Pro W3"/>
          <w:color w:val="000000"/>
          <w:lang w:eastAsia="en-GB"/>
        </w:rPr>
        <w:t>G</w:t>
      </w:r>
      <w:r w:rsidRPr="00671617">
        <w:rPr>
          <w:rFonts w:eastAsia="ヒラギノ角ゴ Pro W3"/>
          <w:color w:val="000000"/>
          <w:lang w:eastAsia="en-GB"/>
        </w:rPr>
        <w:t xml:space="preserve">overnment established </w:t>
      </w:r>
      <w:r w:rsidRPr="006B7096">
        <w:rPr>
          <w:rFonts w:eastAsia="ヒラギノ角ゴ Pro W3"/>
          <w:color w:val="000000"/>
          <w:lang w:eastAsia="en-GB"/>
        </w:rPr>
        <w:t xml:space="preserve">the Ministry of Home Affairs Disappearances Committee, composed </w:t>
      </w:r>
      <w:r w:rsidR="00382C93">
        <w:rPr>
          <w:rFonts w:eastAsia="ヒラギノ角ゴ Pro W3"/>
          <w:color w:val="000000"/>
          <w:lang w:eastAsia="en-GB"/>
        </w:rPr>
        <w:t>of</w:t>
      </w:r>
      <w:r w:rsidR="00382C93" w:rsidRPr="006B7096">
        <w:rPr>
          <w:rFonts w:eastAsia="ヒラギノ角ゴ Pro W3"/>
          <w:color w:val="000000"/>
          <w:lang w:eastAsia="en-GB"/>
        </w:rPr>
        <w:t xml:space="preserve"> </w:t>
      </w:r>
      <w:r w:rsidRPr="006B7096">
        <w:rPr>
          <w:rFonts w:eastAsia="ヒラギノ角ゴ Pro W3"/>
          <w:color w:val="000000"/>
          <w:lang w:eastAsia="en-GB"/>
        </w:rPr>
        <w:t>the Joint Secretary of the Ministry of</w:t>
      </w:r>
      <w:r w:rsidRPr="00671617">
        <w:rPr>
          <w:rFonts w:eastAsia="ヒラギノ角ゴ Pro W3"/>
          <w:color w:val="000000"/>
          <w:lang w:eastAsia="en-GB"/>
        </w:rPr>
        <w:t xml:space="preserve"> Home Affairs (</w:t>
      </w:r>
      <w:r w:rsidR="006053E6">
        <w:rPr>
          <w:rFonts w:eastAsia="ヒラギノ角ゴ Pro W3"/>
          <w:color w:val="000000"/>
          <w:lang w:eastAsia="en-GB"/>
        </w:rPr>
        <w:t xml:space="preserve">also </w:t>
      </w:r>
      <w:r w:rsidRPr="00671617">
        <w:rPr>
          <w:rFonts w:eastAsia="ヒラギノ角ゴ Pro W3"/>
          <w:color w:val="000000"/>
          <w:lang w:eastAsia="en-GB"/>
        </w:rPr>
        <w:t xml:space="preserve">known as </w:t>
      </w:r>
      <w:r w:rsidR="0033144D">
        <w:rPr>
          <w:rFonts w:eastAsia="ヒラギノ角ゴ Pro W3"/>
          <w:color w:val="000000"/>
          <w:lang w:eastAsia="en-GB"/>
        </w:rPr>
        <w:t xml:space="preserve">the </w:t>
      </w:r>
      <w:r w:rsidRPr="00671617">
        <w:rPr>
          <w:rFonts w:eastAsia="ヒラギノ角ゴ Pro W3"/>
          <w:color w:val="000000"/>
          <w:lang w:eastAsia="en-GB"/>
        </w:rPr>
        <w:t xml:space="preserve">Neupane Committee), for the purpose of investigating the fate of allegedly disappeared persons, </w:t>
      </w:r>
      <w:r w:rsidRPr="00671617">
        <w:rPr>
          <w:rFonts w:eastAsia="ヒラギノ角ゴ Pro W3"/>
          <w:lang w:eastAsia="en-GB"/>
        </w:rPr>
        <w:t>preparing</w:t>
      </w:r>
      <w:r w:rsidRPr="00671617">
        <w:rPr>
          <w:rFonts w:eastAsia="ヒラギノ角ゴ Pro W3"/>
          <w:color w:val="000000"/>
          <w:lang w:eastAsia="en-GB"/>
        </w:rPr>
        <w:t xml:space="preserve"> a report </w:t>
      </w:r>
      <w:r w:rsidR="0033144D">
        <w:rPr>
          <w:rFonts w:eastAsia="ヒラギノ角ゴ Pro W3"/>
          <w:color w:val="000000"/>
          <w:lang w:eastAsia="en-GB"/>
        </w:rPr>
        <w:t xml:space="preserve">establishing </w:t>
      </w:r>
      <w:r w:rsidRPr="00671617">
        <w:rPr>
          <w:rFonts w:eastAsia="ヒラギノ角ゴ Pro W3"/>
          <w:color w:val="000000"/>
          <w:lang w:eastAsia="en-GB"/>
        </w:rPr>
        <w:t xml:space="preserve">the truth of their status and recommending the necessary measures to be taken with respect to those whose status remains unknown. Subsequently, the </w:t>
      </w:r>
      <w:r w:rsidR="0033144D">
        <w:rPr>
          <w:rFonts w:eastAsia="ヒラギノ角ゴ Pro W3"/>
          <w:color w:val="000000"/>
          <w:lang w:eastAsia="en-GB"/>
        </w:rPr>
        <w:t xml:space="preserve">National Human Rights Commission </w:t>
      </w:r>
      <w:r w:rsidRPr="00671617">
        <w:rPr>
          <w:rFonts w:eastAsia="ヒラギノ角ゴ Pro W3"/>
          <w:color w:val="000000"/>
          <w:lang w:eastAsia="en-GB"/>
        </w:rPr>
        <w:t>transmitted the cases of the author</w:t>
      </w:r>
      <w:r w:rsidR="00BF3843">
        <w:rPr>
          <w:rFonts w:eastAsia="ヒラギノ角ゴ Pro W3"/>
          <w:color w:val="000000"/>
          <w:lang w:eastAsia="en-GB"/>
        </w:rPr>
        <w:t>s’ relative</w:t>
      </w:r>
      <w:r w:rsidR="0033144D">
        <w:rPr>
          <w:rFonts w:eastAsia="ヒラギノ角ゴ Pro W3"/>
          <w:color w:val="000000"/>
          <w:lang w:eastAsia="en-GB"/>
        </w:rPr>
        <w:t>s</w:t>
      </w:r>
      <w:r w:rsidR="00BF3843">
        <w:rPr>
          <w:rFonts w:eastAsia="ヒラギノ角ゴ Pro W3"/>
          <w:color w:val="000000"/>
          <w:lang w:eastAsia="en-GB"/>
        </w:rPr>
        <w:t xml:space="preserve"> to this Committee. </w:t>
      </w:r>
    </w:p>
    <w:p w14:paraId="2081859E"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2.12</w:t>
      </w:r>
      <w:r w:rsidRPr="00671617">
        <w:rPr>
          <w:rFonts w:eastAsia="ヒラギノ角ゴ Pro W3"/>
          <w:color w:val="000000"/>
          <w:lang w:eastAsia="en-GB"/>
        </w:rPr>
        <w:tab/>
        <w:t xml:space="preserve">On 25 July 2006, the Disappearances Committee published its report, which concluded that it had resolved 174 out of 776 cases of disappearance. Among these cases, the report considered “clarified” the cases of Dhaniram, Chillu, Mohan, </w:t>
      </w:r>
      <w:r w:rsidRPr="00BB0D85">
        <w:rPr>
          <w:rFonts w:eastAsia="ヒラギノ角ゴ Pro W3"/>
          <w:color w:val="000000"/>
          <w:lang w:eastAsia="en-GB"/>
        </w:rPr>
        <w:t xml:space="preserve">Kamala, Lauti, Soniram and Radhulal, as the Human Rights Cell of the </w:t>
      </w:r>
      <w:r w:rsidR="00C91A52">
        <w:rPr>
          <w:rFonts w:eastAsia="ヒラギノ角ゴ Pro W3"/>
          <w:color w:val="000000"/>
          <w:lang w:eastAsia="en-GB"/>
        </w:rPr>
        <w:t>Royal Nepalese</w:t>
      </w:r>
      <w:r w:rsidR="00C91A52" w:rsidRPr="00BB0D85">
        <w:rPr>
          <w:rFonts w:eastAsia="ヒラギノ角ゴ Pro W3"/>
          <w:color w:val="000000"/>
          <w:lang w:eastAsia="en-GB"/>
        </w:rPr>
        <w:t xml:space="preserve"> </w:t>
      </w:r>
      <w:r w:rsidRPr="00BB0D85">
        <w:rPr>
          <w:rFonts w:eastAsia="ヒラギノ角ゴ Pro W3"/>
          <w:color w:val="000000"/>
          <w:lang w:eastAsia="en-GB"/>
        </w:rPr>
        <w:t xml:space="preserve">Army </w:t>
      </w:r>
      <w:r w:rsidR="00C91A52">
        <w:rPr>
          <w:rFonts w:eastAsia="ヒラギノ角ゴ Pro W3"/>
          <w:color w:val="000000"/>
          <w:lang w:eastAsia="en-GB"/>
        </w:rPr>
        <w:t xml:space="preserve">had </w:t>
      </w:r>
      <w:r w:rsidR="0033144D" w:rsidRPr="00BB0D85">
        <w:rPr>
          <w:rFonts w:eastAsia="ヒラギノ角ゴ Pro W3"/>
          <w:color w:val="000000"/>
          <w:lang w:eastAsia="en-GB"/>
        </w:rPr>
        <w:t xml:space="preserve">provided information that they had been </w:t>
      </w:r>
      <w:r w:rsidRPr="00BB0D85">
        <w:rPr>
          <w:rFonts w:eastAsia="ヒラギノ角ゴ Pro W3"/>
          <w:color w:val="000000"/>
          <w:lang w:eastAsia="en-GB"/>
        </w:rPr>
        <w:t>killed on 11 April 2002 in crossfire with</w:t>
      </w:r>
      <w:r w:rsidRPr="00671617">
        <w:rPr>
          <w:rFonts w:eastAsia="ヒラギノ角ゴ Pro W3"/>
          <w:color w:val="000000"/>
          <w:lang w:eastAsia="en-GB"/>
        </w:rPr>
        <w:t xml:space="preserve"> the security forces in the </w:t>
      </w:r>
      <w:r w:rsidRPr="00BB0D85">
        <w:rPr>
          <w:rFonts w:eastAsia="ヒラギノ角ゴ Pro W3"/>
          <w:color w:val="000000"/>
          <w:lang w:eastAsia="en-GB"/>
        </w:rPr>
        <w:t>nursery area</w:t>
      </w:r>
      <w:r w:rsidRPr="00671617">
        <w:rPr>
          <w:rFonts w:eastAsia="ヒラギノ角ゴ Pro W3"/>
          <w:color w:val="000000"/>
          <w:lang w:eastAsia="en-GB"/>
        </w:rPr>
        <w:t xml:space="preserve"> of Manau. The authors claim that </w:t>
      </w:r>
      <w:r w:rsidRPr="00AB574E">
        <w:rPr>
          <w:rFonts w:eastAsia="ヒラギノ角ゴ Pro W3"/>
          <w:color w:val="000000"/>
          <w:lang w:eastAsia="en-GB"/>
        </w:rPr>
        <w:t xml:space="preserve">the Committee did not undertake a thorough investigation, and </w:t>
      </w:r>
      <w:r w:rsidR="00DB6CAB">
        <w:rPr>
          <w:rFonts w:eastAsia="ヒラギノ角ゴ Pro W3"/>
          <w:color w:val="000000"/>
          <w:lang w:eastAsia="en-GB"/>
        </w:rPr>
        <w:t>gave full credence to</w:t>
      </w:r>
      <w:r w:rsidR="00AB574E" w:rsidRPr="00AB574E">
        <w:rPr>
          <w:rFonts w:eastAsia="ヒラギノ角ゴ Pro W3"/>
          <w:color w:val="000000"/>
          <w:lang w:eastAsia="en-GB"/>
        </w:rPr>
        <w:t xml:space="preserve"> </w:t>
      </w:r>
      <w:r w:rsidRPr="00AB574E">
        <w:rPr>
          <w:rFonts w:eastAsia="ヒラギノ角ゴ Pro W3"/>
          <w:color w:val="000000"/>
          <w:lang w:eastAsia="en-GB"/>
        </w:rPr>
        <w:t>the responses from the security agencies</w:t>
      </w:r>
      <w:r w:rsidRPr="006B7096">
        <w:rPr>
          <w:rFonts w:eastAsia="ヒラギノ角ゴ Pro W3"/>
          <w:color w:val="000000"/>
          <w:lang w:eastAsia="en-GB"/>
        </w:rPr>
        <w:t xml:space="preserve">, without any consultation with the relatives, request for further clarification or examination of the information submitted. Moreover, </w:t>
      </w:r>
      <w:r w:rsidR="0033144D" w:rsidRPr="006B7096">
        <w:rPr>
          <w:rFonts w:eastAsia="ヒラギノ角ゴ Pro W3"/>
          <w:color w:val="000000"/>
          <w:lang w:eastAsia="en-GB"/>
        </w:rPr>
        <w:t xml:space="preserve">they say </w:t>
      </w:r>
      <w:r w:rsidRPr="006B7096">
        <w:rPr>
          <w:rFonts w:eastAsia="ヒラギノ角ゴ Pro W3"/>
          <w:color w:val="000000"/>
          <w:lang w:eastAsia="en-GB"/>
        </w:rPr>
        <w:t>the Human Rights Cell</w:t>
      </w:r>
      <w:r w:rsidRPr="00671617">
        <w:rPr>
          <w:rFonts w:eastAsia="ヒラギノ角ゴ Pro W3"/>
          <w:color w:val="000000"/>
          <w:lang w:eastAsia="en-GB"/>
        </w:rPr>
        <w:t xml:space="preserve"> has never explained how </w:t>
      </w:r>
      <w:r w:rsidR="0033144D">
        <w:rPr>
          <w:rFonts w:eastAsia="ヒラギノ角ゴ Pro W3"/>
          <w:color w:val="000000"/>
          <w:lang w:eastAsia="en-GB"/>
        </w:rPr>
        <w:t xml:space="preserve">it </w:t>
      </w:r>
      <w:r w:rsidRPr="00671617">
        <w:rPr>
          <w:rFonts w:eastAsia="ヒラギノ角ゴ Pro W3"/>
          <w:color w:val="000000"/>
          <w:lang w:eastAsia="en-GB"/>
        </w:rPr>
        <w:t>concluded that seven of their relatives had been killed in crossfire.</w:t>
      </w:r>
    </w:p>
    <w:p w14:paraId="23EFCF9F"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2.13</w:t>
      </w:r>
      <w:r w:rsidRPr="00671617">
        <w:rPr>
          <w:rFonts w:eastAsia="ヒラギノ角ゴ Pro W3"/>
          <w:color w:val="000000"/>
          <w:lang w:eastAsia="en-GB"/>
        </w:rPr>
        <w:tab/>
        <w:t xml:space="preserve">On 12 December 2006, the cases of Dhaniram, Radhulal (registered as </w:t>
      </w:r>
      <w:r w:rsidR="00E14B05" w:rsidRPr="00671617">
        <w:rPr>
          <w:rFonts w:eastAsia="ヒラギノ角ゴ Pro W3"/>
          <w:color w:val="000000"/>
          <w:lang w:eastAsia="en-GB"/>
        </w:rPr>
        <w:t>“</w:t>
      </w:r>
      <w:r w:rsidRPr="00671617">
        <w:rPr>
          <w:rFonts w:eastAsia="ヒラギノ角ゴ Pro W3"/>
          <w:color w:val="000000"/>
          <w:lang w:eastAsia="en-GB"/>
        </w:rPr>
        <w:t>Raghulal</w:t>
      </w:r>
      <w:r w:rsidR="00E14B05" w:rsidRPr="00671617">
        <w:rPr>
          <w:rFonts w:eastAsia="ヒラギノ角ゴ Pro W3"/>
          <w:color w:val="000000"/>
          <w:lang w:eastAsia="en-GB"/>
        </w:rPr>
        <w:t>”</w:t>
      </w:r>
      <w:r w:rsidRPr="00671617">
        <w:rPr>
          <w:rFonts w:eastAsia="ヒラギノ角ゴ Pro W3"/>
          <w:color w:val="000000"/>
          <w:lang w:eastAsia="en-GB"/>
        </w:rPr>
        <w:t xml:space="preserve">), Kamala, Chillu, Lauti (registered as “Lauti Chaudhari”), Mohan, Prem Prakash (registered as “Prem Tharu”) and Soniram were reported to the </w:t>
      </w:r>
      <w:r w:rsidR="0033144D">
        <w:rPr>
          <w:rFonts w:eastAsia="ヒラギノ角ゴ Pro W3"/>
          <w:color w:val="000000"/>
          <w:lang w:eastAsia="en-GB"/>
        </w:rPr>
        <w:t xml:space="preserve">Working Group on Enforced </w:t>
      </w:r>
      <w:r w:rsidR="0087302A">
        <w:rPr>
          <w:rFonts w:eastAsia="ヒラギノ角ゴ Pro W3"/>
          <w:color w:val="000000"/>
          <w:lang w:eastAsia="en-GB"/>
        </w:rPr>
        <w:t xml:space="preserve">or Involuntary </w:t>
      </w:r>
      <w:r w:rsidR="0033144D">
        <w:rPr>
          <w:rFonts w:eastAsia="ヒラギノ角ゴ Pro W3"/>
          <w:color w:val="000000"/>
          <w:lang w:eastAsia="en-GB"/>
        </w:rPr>
        <w:t>Disappearances</w:t>
      </w:r>
      <w:r w:rsidR="00BF3843">
        <w:rPr>
          <w:rFonts w:eastAsia="ヒラギノ角ゴ Pro W3"/>
          <w:color w:val="000000"/>
          <w:lang w:eastAsia="en-GB"/>
        </w:rPr>
        <w:t>.</w:t>
      </w:r>
      <w:r w:rsidRPr="00571DEE">
        <w:rPr>
          <w:rStyle w:val="FootnoteReference"/>
          <w:rFonts w:eastAsia="ヒラギノ角ゴ Pro W3"/>
        </w:rPr>
        <w:footnoteReference w:id="9"/>
      </w:r>
    </w:p>
    <w:p w14:paraId="41FCDCB4" w14:textId="77777777" w:rsidR="00671617" w:rsidRPr="00671617" w:rsidRDefault="00BF3843">
      <w:pPr>
        <w:pStyle w:val="SingleTxtG"/>
        <w:rPr>
          <w:rFonts w:eastAsia="ヒラギノ角ゴ Pro W3"/>
          <w:color w:val="000000"/>
          <w:lang w:eastAsia="en-GB"/>
        </w:rPr>
      </w:pPr>
      <w:r>
        <w:rPr>
          <w:rFonts w:eastAsia="ヒラギノ角ゴ Pro W3"/>
          <w:color w:val="000000"/>
          <w:lang w:eastAsia="en-GB"/>
        </w:rPr>
        <w:t>2.14</w:t>
      </w:r>
      <w:r>
        <w:rPr>
          <w:rFonts w:eastAsia="ヒラギノ角ゴ Pro W3"/>
          <w:color w:val="000000"/>
          <w:lang w:eastAsia="en-GB"/>
        </w:rPr>
        <w:tab/>
      </w:r>
      <w:r w:rsidR="00671617" w:rsidRPr="00671617">
        <w:rPr>
          <w:rFonts w:eastAsia="ヒラギノ角ゴ Pro W3"/>
          <w:color w:val="000000"/>
          <w:lang w:eastAsia="en-GB"/>
        </w:rPr>
        <w:t>On 1 June 2007, the Supreme Court issued a judg</w:t>
      </w:r>
      <w:r w:rsidR="003C28D4">
        <w:rPr>
          <w:rFonts w:eastAsia="ヒラギノ角ゴ Pro W3"/>
          <w:color w:val="000000"/>
          <w:lang w:eastAsia="en-GB"/>
        </w:rPr>
        <w:t>e</w:t>
      </w:r>
      <w:r w:rsidR="00671617" w:rsidRPr="00671617">
        <w:rPr>
          <w:rFonts w:eastAsia="ヒラギノ角ゴ Pro W3"/>
          <w:color w:val="000000"/>
          <w:lang w:eastAsia="en-GB"/>
        </w:rPr>
        <w:t xml:space="preserve">ment concerning 83 cases of enforced disappearance. Among other findings, the Court ordered </w:t>
      </w:r>
      <w:r w:rsidR="00671617" w:rsidRPr="00BB0D85">
        <w:rPr>
          <w:rFonts w:eastAsia="ヒラギノ角ゴ Pro W3"/>
          <w:color w:val="000000"/>
          <w:lang w:eastAsia="en-GB"/>
        </w:rPr>
        <w:t xml:space="preserve">the </w:t>
      </w:r>
      <w:r w:rsidR="0033144D" w:rsidRPr="00BB0D85">
        <w:rPr>
          <w:rFonts w:eastAsia="ヒラギノ角ゴ Pro W3"/>
          <w:color w:val="000000"/>
          <w:lang w:eastAsia="en-GB"/>
        </w:rPr>
        <w:t>G</w:t>
      </w:r>
      <w:r w:rsidR="00671617" w:rsidRPr="00BB0D85">
        <w:rPr>
          <w:rFonts w:eastAsia="ヒラギノ角ゴ Pro W3"/>
          <w:color w:val="000000"/>
          <w:lang w:eastAsia="en-GB"/>
        </w:rPr>
        <w:t xml:space="preserve">overnment to provide all families of disappeared persons listed in the </w:t>
      </w:r>
      <w:r w:rsidR="00671617" w:rsidRPr="00143551">
        <w:rPr>
          <w:rFonts w:eastAsia="ヒラギノ角ゴ Pro W3"/>
          <w:color w:val="000000"/>
          <w:lang w:eastAsia="en-GB"/>
        </w:rPr>
        <w:t>petition with 100,000</w:t>
      </w:r>
      <w:r w:rsidR="000E2F5D" w:rsidRPr="00143551">
        <w:rPr>
          <w:rFonts w:eastAsia="ヒラギノ角ゴ Pro W3"/>
          <w:color w:val="000000"/>
          <w:lang w:eastAsia="en-GB"/>
        </w:rPr>
        <w:t xml:space="preserve"> Nepalese rupees</w:t>
      </w:r>
      <w:r w:rsidR="00E14B05" w:rsidRPr="00143551">
        <w:rPr>
          <w:rFonts w:eastAsia="ヒラギノ角ゴ Pro W3"/>
          <w:color w:val="000000"/>
          <w:lang w:eastAsia="en-GB"/>
        </w:rPr>
        <w:t>,</w:t>
      </w:r>
      <w:r w:rsidR="00671617" w:rsidRPr="00143551">
        <w:rPr>
          <w:rStyle w:val="FootnoteReference"/>
          <w:rFonts w:eastAsia="ヒラギノ角ゴ Pro W3"/>
        </w:rPr>
        <w:footnoteReference w:id="10"/>
      </w:r>
      <w:r w:rsidR="00671617" w:rsidRPr="00143551">
        <w:rPr>
          <w:rFonts w:eastAsia="ヒラギノ角ゴ Pro W3"/>
          <w:color w:val="000000"/>
          <w:lang w:eastAsia="en-GB"/>
        </w:rPr>
        <w:t xml:space="preserve"> to establish a commission of inquiry</w:t>
      </w:r>
      <w:r w:rsidR="00E14B05" w:rsidRPr="00143551">
        <w:rPr>
          <w:rFonts w:eastAsia="ヒラギノ角ゴ Pro W3"/>
          <w:color w:val="000000"/>
          <w:lang w:eastAsia="en-GB"/>
        </w:rPr>
        <w:t>,</w:t>
      </w:r>
      <w:r w:rsidR="00671617" w:rsidRPr="00143551">
        <w:rPr>
          <w:rFonts w:eastAsia="ヒラギノ角ゴ Pro W3"/>
          <w:color w:val="000000"/>
          <w:lang w:eastAsia="en-GB"/>
        </w:rPr>
        <w:t xml:space="preserve"> to criminalize enforced disappearance and to </w:t>
      </w:r>
      <w:r w:rsidR="00671617" w:rsidRPr="00143551">
        <w:rPr>
          <w:rFonts w:eastAsia="ヒラギノ角ゴ Pro W3"/>
          <w:color w:val="000000"/>
          <w:lang w:eastAsia="en-GB"/>
        </w:rPr>
        <w:lastRenderedPageBreak/>
        <w:t>prosecute those responsible. Following this ruling, the Council of Minister</w:t>
      </w:r>
      <w:r w:rsidR="0094128A">
        <w:rPr>
          <w:rFonts w:eastAsia="ヒラギノ角ゴ Pro W3"/>
          <w:color w:val="000000"/>
          <w:lang w:eastAsia="en-GB"/>
        </w:rPr>
        <w:t>s</w:t>
      </w:r>
      <w:r w:rsidR="00671617" w:rsidRPr="00143551">
        <w:rPr>
          <w:rFonts w:eastAsia="ヒラギノ角ゴ Pro W3"/>
          <w:color w:val="000000"/>
          <w:lang w:eastAsia="en-GB"/>
        </w:rPr>
        <w:t xml:space="preserve"> decided to</w:t>
      </w:r>
      <w:r w:rsidR="00671617" w:rsidRPr="00671617">
        <w:rPr>
          <w:rFonts w:eastAsia="ヒラギノ角ゴ Pro W3"/>
          <w:color w:val="000000"/>
          <w:lang w:eastAsia="en-GB"/>
        </w:rPr>
        <w:t xml:space="preserve"> provide interim </w:t>
      </w:r>
      <w:r w:rsidR="00671617" w:rsidRPr="006B7096">
        <w:rPr>
          <w:rFonts w:eastAsia="ヒラギノ角ゴ Pro W3"/>
          <w:color w:val="000000"/>
          <w:lang w:eastAsia="en-GB"/>
        </w:rPr>
        <w:t>relief to various categories of victims of the armed conflict, including the relatives of disappeared persons. Between September 2008 and March 2009, the Manau Village Development Committee issued letters certifying that the authors’ relatives were still disappeared.</w:t>
      </w:r>
    </w:p>
    <w:p w14:paraId="1CABCC58" w14:textId="77777777" w:rsidR="00671617" w:rsidRPr="00671617" w:rsidRDefault="00671617">
      <w:pPr>
        <w:pStyle w:val="SingleTxtG"/>
        <w:rPr>
          <w:rFonts w:eastAsia="ヒラギノ角ゴ Pro W3"/>
          <w:lang w:eastAsia="en-GB"/>
        </w:rPr>
      </w:pPr>
      <w:r w:rsidRPr="00671617">
        <w:rPr>
          <w:rFonts w:eastAsia="ヒラギノ角ゴ Pro W3"/>
          <w:lang w:eastAsia="en-GB"/>
        </w:rPr>
        <w:t>2.15</w:t>
      </w:r>
      <w:r w:rsidRPr="00671617">
        <w:rPr>
          <w:rFonts w:eastAsia="ヒラギノ角ゴ Pro W3"/>
          <w:lang w:eastAsia="en-GB"/>
        </w:rPr>
        <w:tab/>
        <w:t xml:space="preserve">In December </w:t>
      </w:r>
      <w:r w:rsidRPr="00BB0D85">
        <w:rPr>
          <w:rFonts w:eastAsia="ヒラギノ角ゴ Pro W3"/>
          <w:lang w:eastAsia="en-GB"/>
        </w:rPr>
        <w:t xml:space="preserve">2008, </w:t>
      </w:r>
      <w:r w:rsidR="00BB0D85" w:rsidRPr="00BB0D85">
        <w:rPr>
          <w:rFonts w:eastAsia="ヒラギノ角ゴ Pro W3"/>
          <w:lang w:eastAsia="en-GB"/>
        </w:rPr>
        <w:t>the United Nations Human Rights Office in Nepal (</w:t>
      </w:r>
      <w:r w:rsidRPr="00BB0D85">
        <w:rPr>
          <w:rFonts w:eastAsia="ヒラギノ角ゴ Pro W3"/>
          <w:lang w:eastAsia="en-GB"/>
        </w:rPr>
        <w:t>OHCHR-Nepal</w:t>
      </w:r>
      <w:r w:rsidR="00BB0D85" w:rsidRPr="00BB0D85">
        <w:rPr>
          <w:rFonts w:eastAsia="ヒラギノ角ゴ Pro W3"/>
          <w:lang w:eastAsia="en-GB"/>
        </w:rPr>
        <w:t>)</w:t>
      </w:r>
      <w:r w:rsidRPr="00BB0D85">
        <w:rPr>
          <w:rFonts w:eastAsia="ヒラギノ角ゴ Pro W3"/>
          <w:lang w:eastAsia="en-GB"/>
        </w:rPr>
        <w:t xml:space="preserve"> issued a report on enforced disappearances in Bardiya </w:t>
      </w:r>
      <w:r w:rsidRPr="00BB0D85">
        <w:t>District</w:t>
      </w:r>
      <w:r w:rsidRPr="00BB0D85">
        <w:rPr>
          <w:rFonts w:eastAsia="ヒラギノ角ゴ Pro W3"/>
          <w:lang w:eastAsia="en-GB"/>
        </w:rPr>
        <w:t>.</w:t>
      </w:r>
      <w:r w:rsidRPr="00BB0D85">
        <w:rPr>
          <w:rStyle w:val="FootnoteReference"/>
          <w:rFonts w:eastAsia="ヒラギノ角ゴ Pro W3"/>
        </w:rPr>
        <w:footnoteReference w:id="11"/>
      </w:r>
      <w:r w:rsidRPr="00BB0D85">
        <w:rPr>
          <w:rFonts w:eastAsia="ヒラギノ角ゴ Pro W3"/>
          <w:lang w:eastAsia="en-GB"/>
        </w:rPr>
        <w:t xml:space="preserve"> </w:t>
      </w:r>
      <w:r w:rsidR="00AC2E87" w:rsidRPr="00F512C7">
        <w:rPr>
          <w:rFonts w:eastAsia="ヒラギノ角ゴ Pro W3"/>
          <w:vertAlign w:val="superscript"/>
          <w:lang w:eastAsia="en-GB"/>
        </w:rPr>
        <w:t xml:space="preserve"> </w:t>
      </w:r>
      <w:r w:rsidRPr="00BB0D85">
        <w:rPr>
          <w:rFonts w:eastAsia="ヒラギノ角ゴ Pro W3"/>
          <w:lang w:eastAsia="en-GB"/>
        </w:rPr>
        <w:t xml:space="preserve">It noted that the Human Rights Cell of the </w:t>
      </w:r>
      <w:r w:rsidR="00C91A52">
        <w:rPr>
          <w:rFonts w:eastAsia="ヒラギノ角ゴ Pro W3"/>
          <w:lang w:eastAsia="en-GB"/>
        </w:rPr>
        <w:t>Royal Nepalese</w:t>
      </w:r>
      <w:r w:rsidR="00C91A52" w:rsidRPr="00671617">
        <w:rPr>
          <w:rFonts w:eastAsia="ヒラギノ角ゴ Pro W3"/>
          <w:lang w:eastAsia="en-GB"/>
        </w:rPr>
        <w:t xml:space="preserve"> </w:t>
      </w:r>
      <w:r w:rsidRPr="00671617">
        <w:rPr>
          <w:rFonts w:eastAsia="ヒラギノ角ゴ Pro W3"/>
          <w:lang w:eastAsia="en-GB"/>
        </w:rPr>
        <w:t xml:space="preserve">Army </w:t>
      </w:r>
      <w:r w:rsidR="00E14B05">
        <w:rPr>
          <w:rFonts w:eastAsia="ヒラギノ角ゴ Pro W3"/>
          <w:lang w:eastAsia="en-GB"/>
        </w:rPr>
        <w:t xml:space="preserve">had </w:t>
      </w:r>
      <w:r w:rsidRPr="00671617">
        <w:rPr>
          <w:rFonts w:eastAsia="ヒラギノ角ゴ Pro W3"/>
          <w:lang w:eastAsia="en-GB"/>
        </w:rPr>
        <w:t xml:space="preserve">provided information about 35 cases, including the same information it </w:t>
      </w:r>
      <w:r w:rsidR="000E2F5D">
        <w:rPr>
          <w:rFonts w:eastAsia="ヒラギノ角ゴ Pro W3"/>
          <w:lang w:eastAsia="en-GB"/>
        </w:rPr>
        <w:t>had given</w:t>
      </w:r>
      <w:r w:rsidR="000E2F5D" w:rsidRPr="00671617">
        <w:rPr>
          <w:rFonts w:eastAsia="ヒラギノ角ゴ Pro W3"/>
          <w:lang w:eastAsia="en-GB"/>
        </w:rPr>
        <w:t xml:space="preserve"> </w:t>
      </w:r>
      <w:r w:rsidRPr="00671617">
        <w:rPr>
          <w:rFonts w:eastAsia="ヒラギノ角ゴ Pro W3"/>
          <w:lang w:eastAsia="en-GB"/>
        </w:rPr>
        <w:t xml:space="preserve">to the Ministry of Home Affairs Disappearances Committee. The authors point out that the authorities transmitted the same information to </w:t>
      </w:r>
      <w:r w:rsidR="00E14B05">
        <w:rPr>
          <w:rFonts w:eastAsia="ヒラギノ角ゴ Pro W3"/>
          <w:lang w:eastAsia="en-GB"/>
        </w:rPr>
        <w:t>additional</w:t>
      </w:r>
      <w:r w:rsidR="00E14B05" w:rsidRPr="00671617">
        <w:rPr>
          <w:rFonts w:eastAsia="ヒラギノ角ゴ Pro W3"/>
          <w:lang w:eastAsia="en-GB"/>
        </w:rPr>
        <w:t xml:space="preserve"> </w:t>
      </w:r>
      <w:r w:rsidRPr="00671617">
        <w:rPr>
          <w:rFonts w:eastAsia="ヒラギノ角ゴ Pro W3"/>
          <w:lang w:eastAsia="en-GB"/>
        </w:rPr>
        <w:t xml:space="preserve">institutions, such as </w:t>
      </w:r>
      <w:r w:rsidR="003C28D4">
        <w:rPr>
          <w:rFonts w:eastAsia="ヒラギノ角ゴ Pro W3"/>
          <w:lang w:eastAsia="en-GB"/>
        </w:rPr>
        <w:t>the International Committee of the Red Cross</w:t>
      </w:r>
      <w:r w:rsidRPr="00671617">
        <w:rPr>
          <w:rFonts w:eastAsia="ヒラギノ角ゴ Pro W3"/>
          <w:lang w:eastAsia="en-GB"/>
        </w:rPr>
        <w:t>.</w:t>
      </w:r>
    </w:p>
    <w:p w14:paraId="05CB157A" w14:textId="77777777" w:rsidR="00671617" w:rsidRPr="00671617" w:rsidRDefault="00671617" w:rsidP="000E2F5D">
      <w:pPr>
        <w:pStyle w:val="SingleTxtG"/>
        <w:rPr>
          <w:rFonts w:eastAsia="ヒラギノ角ゴ Pro W3"/>
          <w:color w:val="000000"/>
          <w:lang w:eastAsia="en-GB"/>
        </w:rPr>
      </w:pPr>
      <w:r w:rsidRPr="00671617">
        <w:rPr>
          <w:rFonts w:eastAsia="ヒラギノ角ゴ Pro W3"/>
          <w:color w:val="000000"/>
          <w:lang w:eastAsia="en-GB"/>
        </w:rPr>
        <w:t>2.16</w:t>
      </w:r>
      <w:r w:rsidRPr="00671617">
        <w:rPr>
          <w:rFonts w:eastAsia="ヒラギノ角ゴ Pro W3"/>
          <w:color w:val="000000"/>
          <w:lang w:eastAsia="en-GB"/>
        </w:rPr>
        <w:tab/>
        <w:t xml:space="preserve">In April 2009, the Ministry of Peace and Reconstruction provided the authors, as families of disappeared persons, with an interim </w:t>
      </w:r>
      <w:r w:rsidRPr="00671617">
        <w:rPr>
          <w:rFonts w:eastAsia="ヒラギノ角ゴ Pro W3"/>
          <w:lang w:eastAsia="en-GB"/>
        </w:rPr>
        <w:t>relief</w:t>
      </w:r>
      <w:r w:rsidRPr="00671617">
        <w:rPr>
          <w:rFonts w:eastAsia="ヒラギノ角ゴ Pro W3"/>
          <w:color w:val="000000"/>
          <w:lang w:eastAsia="en-GB"/>
        </w:rPr>
        <w:t xml:space="preserve"> of N</w:t>
      </w:r>
      <w:r w:rsidR="000E2F5D">
        <w:rPr>
          <w:rFonts w:eastAsia="ヒラギノ角ゴ Pro W3"/>
          <w:color w:val="000000"/>
          <w:lang w:eastAsia="en-GB"/>
        </w:rPr>
        <w:t>r</w:t>
      </w:r>
      <w:r w:rsidRPr="00671617">
        <w:rPr>
          <w:rFonts w:eastAsia="ヒラギノ角ゴ Pro W3"/>
          <w:color w:val="000000"/>
          <w:lang w:eastAsia="en-GB"/>
        </w:rPr>
        <w:t xml:space="preserve"> 100,000. The authors maintain that this amount was intended </w:t>
      </w:r>
      <w:r w:rsidR="000E2F5D">
        <w:rPr>
          <w:rFonts w:eastAsia="ヒラギノ角ゴ Pro W3"/>
          <w:color w:val="000000"/>
          <w:lang w:eastAsia="en-GB"/>
        </w:rPr>
        <w:t xml:space="preserve">only </w:t>
      </w:r>
      <w:r w:rsidRPr="00671617">
        <w:rPr>
          <w:rFonts w:eastAsia="ヒラギノ角ゴ Pro W3"/>
          <w:color w:val="000000"/>
          <w:lang w:eastAsia="en-GB"/>
        </w:rPr>
        <w:t>to provide temporary assistance to the victim</w:t>
      </w:r>
      <w:r w:rsidR="000E2F5D">
        <w:rPr>
          <w:rFonts w:eastAsia="ヒラギノ角ゴ Pro W3"/>
          <w:color w:val="000000"/>
          <w:lang w:eastAsia="en-GB"/>
        </w:rPr>
        <w:t>s</w:t>
      </w:r>
      <w:r w:rsidRPr="00671617">
        <w:rPr>
          <w:rFonts w:eastAsia="ヒラギノ角ゴ Pro W3"/>
          <w:color w:val="000000"/>
          <w:lang w:eastAsia="en-GB"/>
        </w:rPr>
        <w:t xml:space="preserve"> or their families</w:t>
      </w:r>
      <w:r w:rsidR="000E2F5D">
        <w:rPr>
          <w:rFonts w:eastAsia="ヒラギノ角ゴ Pro W3"/>
          <w:color w:val="000000"/>
          <w:lang w:eastAsia="en-GB"/>
        </w:rPr>
        <w:t>,</w:t>
      </w:r>
      <w:r w:rsidRPr="00671617">
        <w:rPr>
          <w:rFonts w:eastAsia="ヒラギノ角ゴ Pro W3"/>
          <w:color w:val="000000"/>
          <w:lang w:eastAsia="en-GB"/>
        </w:rPr>
        <w:t xml:space="preserve"> and that it cannot be consi</w:t>
      </w:r>
      <w:r w:rsidR="00BF3843">
        <w:rPr>
          <w:rFonts w:eastAsia="ヒラギノ角ゴ Pro W3"/>
          <w:color w:val="000000"/>
          <w:lang w:eastAsia="en-GB"/>
        </w:rPr>
        <w:t xml:space="preserve">dered a measure of reparation. </w:t>
      </w:r>
    </w:p>
    <w:p w14:paraId="5B03A410"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2.17</w:t>
      </w:r>
      <w:r w:rsidRPr="00671617">
        <w:rPr>
          <w:rFonts w:eastAsia="ヒラギノ角ゴ Pro W3"/>
          <w:color w:val="000000"/>
          <w:lang w:eastAsia="en-GB"/>
        </w:rPr>
        <w:tab/>
        <w:t xml:space="preserve">The authors claim that their </w:t>
      </w:r>
      <w:r w:rsidRPr="00671617">
        <w:rPr>
          <w:rFonts w:eastAsia="ヒラギノ角ゴ Pro W3"/>
          <w:lang w:eastAsia="en-GB"/>
        </w:rPr>
        <w:t>communication</w:t>
      </w:r>
      <w:r w:rsidRPr="00671617">
        <w:rPr>
          <w:rFonts w:eastAsia="ヒラギノ角ゴ Pro W3"/>
          <w:color w:val="000000"/>
          <w:lang w:eastAsia="en-GB"/>
        </w:rPr>
        <w:t xml:space="preserve"> meets the admissibility requirement established in article 5</w:t>
      </w:r>
      <w:r w:rsidR="000E2F5D">
        <w:rPr>
          <w:rFonts w:eastAsia="ヒラギノ角ゴ Pro W3"/>
          <w:color w:val="000000"/>
          <w:lang w:eastAsia="en-GB"/>
        </w:rPr>
        <w:t xml:space="preserve"> (</w:t>
      </w:r>
      <w:r w:rsidRPr="00671617">
        <w:rPr>
          <w:rFonts w:eastAsia="ヒラギノ角ゴ Pro W3"/>
          <w:color w:val="000000"/>
          <w:lang w:eastAsia="en-GB"/>
        </w:rPr>
        <w:t>2</w:t>
      </w:r>
      <w:r w:rsidR="000E2F5D">
        <w:rPr>
          <w:rFonts w:eastAsia="ヒラギノ角ゴ Pro W3"/>
          <w:color w:val="000000"/>
          <w:lang w:eastAsia="en-GB"/>
        </w:rPr>
        <w:t>) (</w:t>
      </w:r>
      <w:r w:rsidRPr="00671617">
        <w:rPr>
          <w:rFonts w:eastAsia="ヒラギノ角ゴ Pro W3"/>
          <w:color w:val="000000"/>
          <w:lang w:eastAsia="en-GB"/>
        </w:rPr>
        <w:t xml:space="preserve">b) of </w:t>
      </w:r>
      <w:r w:rsidRPr="00BB0D85">
        <w:rPr>
          <w:rFonts w:eastAsia="ヒラギノ角ゴ Pro W3"/>
          <w:color w:val="000000"/>
          <w:lang w:eastAsia="en-GB"/>
        </w:rPr>
        <w:t xml:space="preserve">the Optional Protocol and that they have exhausted all available judicial remedies. Despite their efforts, </w:t>
      </w:r>
      <w:r w:rsidR="000E2F5D" w:rsidRPr="00BB0D85">
        <w:rPr>
          <w:rFonts w:eastAsia="ヒラギノ角ゴ Pro W3"/>
          <w:color w:val="000000"/>
          <w:lang w:eastAsia="en-GB"/>
        </w:rPr>
        <w:t xml:space="preserve">the </w:t>
      </w:r>
      <w:r w:rsidRPr="00BB0D85">
        <w:rPr>
          <w:rFonts w:eastAsia="ヒラギノ角ゴ Pro W3"/>
          <w:color w:val="000000"/>
          <w:lang w:eastAsia="en-GB"/>
        </w:rPr>
        <w:t>fate</w:t>
      </w:r>
      <w:r w:rsidRPr="00671617">
        <w:rPr>
          <w:rFonts w:eastAsia="ヒラギノ角ゴ Pro W3"/>
          <w:color w:val="000000"/>
          <w:lang w:eastAsia="en-GB"/>
        </w:rPr>
        <w:t xml:space="preserve"> and whereabouts </w:t>
      </w:r>
      <w:r w:rsidR="000E2F5D">
        <w:rPr>
          <w:rFonts w:eastAsia="ヒラギノ角ゴ Pro W3"/>
          <w:color w:val="000000"/>
          <w:lang w:eastAsia="en-GB"/>
        </w:rPr>
        <w:t xml:space="preserve">of their relatives </w:t>
      </w:r>
      <w:r w:rsidRPr="00671617">
        <w:rPr>
          <w:rFonts w:eastAsia="ヒラギノ角ゴ Pro W3"/>
          <w:color w:val="000000"/>
          <w:lang w:eastAsia="en-GB"/>
        </w:rPr>
        <w:t xml:space="preserve">remain unknown, no effective investigation has taken place to clarify the circumstances of their disappearances and no one has been sanctioned. Moreover, neither </w:t>
      </w:r>
      <w:r w:rsidR="000E2F5D">
        <w:rPr>
          <w:rFonts w:eastAsia="ヒラギノ角ゴ Pro W3"/>
          <w:color w:val="000000"/>
          <w:lang w:eastAsia="en-GB"/>
        </w:rPr>
        <w:t xml:space="preserve">the National Human Rights Commission </w:t>
      </w:r>
      <w:r w:rsidRPr="00671617">
        <w:rPr>
          <w:rFonts w:eastAsia="ヒラギノ角ゴ Pro W3"/>
          <w:color w:val="000000"/>
          <w:lang w:eastAsia="en-GB"/>
        </w:rPr>
        <w:t xml:space="preserve">nor the Ministry of Home Affairs Disappearances Committee can be considered an effective </w:t>
      </w:r>
      <w:r w:rsidR="006B7096" w:rsidRPr="006B7096">
        <w:rPr>
          <w:rFonts w:eastAsia="ヒラギノ角ゴ Pro W3"/>
          <w:color w:val="000000"/>
          <w:lang w:eastAsia="en-GB"/>
        </w:rPr>
        <w:t xml:space="preserve">source of </w:t>
      </w:r>
      <w:r w:rsidRPr="006B7096">
        <w:rPr>
          <w:rFonts w:eastAsia="ヒラギノ角ゴ Pro W3"/>
          <w:color w:val="000000"/>
          <w:lang w:eastAsia="en-GB"/>
        </w:rPr>
        <w:t>remedy</w:t>
      </w:r>
      <w:r w:rsidRPr="00671617">
        <w:rPr>
          <w:rFonts w:eastAsia="ヒラギノ角ゴ Pro W3"/>
          <w:color w:val="000000"/>
          <w:lang w:eastAsia="en-GB"/>
        </w:rPr>
        <w:t xml:space="preserve">. The authors argue that they did not try to </w:t>
      </w:r>
      <w:r w:rsidRPr="00151E31">
        <w:rPr>
          <w:rFonts w:eastAsia="ヒラギノ角ゴ Pro W3"/>
          <w:color w:val="000000"/>
          <w:lang w:eastAsia="en-GB"/>
        </w:rPr>
        <w:t xml:space="preserve">file a </w:t>
      </w:r>
      <w:r w:rsidR="006B7096" w:rsidRPr="00F512C7">
        <w:rPr>
          <w:rFonts w:eastAsia="ヒラギノ角ゴ Pro W3"/>
          <w:color w:val="000000"/>
          <w:lang w:eastAsia="en-GB"/>
        </w:rPr>
        <w:t>f</w:t>
      </w:r>
      <w:r w:rsidRPr="00151E31">
        <w:rPr>
          <w:rFonts w:eastAsia="ヒラギノ角ゴ Pro W3"/>
          <w:color w:val="000000"/>
          <w:lang w:eastAsia="en-GB"/>
        </w:rPr>
        <w:t xml:space="preserve">irst </w:t>
      </w:r>
      <w:r w:rsidR="006B7096" w:rsidRPr="00F512C7">
        <w:rPr>
          <w:rFonts w:eastAsia="ヒラギノ角ゴ Pro W3"/>
          <w:color w:val="000000"/>
          <w:lang w:eastAsia="en-GB"/>
        </w:rPr>
        <w:t>i</w:t>
      </w:r>
      <w:r w:rsidRPr="00151E31">
        <w:rPr>
          <w:rFonts w:eastAsia="ヒラギノ角ゴ Pro W3"/>
          <w:color w:val="000000"/>
          <w:lang w:eastAsia="en-GB"/>
        </w:rPr>
        <w:t xml:space="preserve">nformation </w:t>
      </w:r>
      <w:r w:rsidR="006B7096" w:rsidRPr="00F512C7">
        <w:rPr>
          <w:rFonts w:eastAsia="ヒラギノ角ゴ Pro W3"/>
          <w:color w:val="000000"/>
          <w:lang w:eastAsia="en-GB"/>
        </w:rPr>
        <w:t>r</w:t>
      </w:r>
      <w:r w:rsidRPr="00151E31">
        <w:rPr>
          <w:rFonts w:eastAsia="ヒラギノ角ゴ Pro W3"/>
          <w:color w:val="000000"/>
          <w:lang w:eastAsia="en-GB"/>
        </w:rPr>
        <w:t xml:space="preserve">eport </w:t>
      </w:r>
      <w:r w:rsidR="000E2F5D" w:rsidRPr="00151E31">
        <w:rPr>
          <w:rFonts w:eastAsia="ヒラギノ角ゴ Pro W3"/>
          <w:color w:val="000000"/>
          <w:lang w:eastAsia="en-GB"/>
        </w:rPr>
        <w:t>with</w:t>
      </w:r>
      <w:r w:rsidRPr="00151E31">
        <w:rPr>
          <w:rFonts w:eastAsia="ヒラギノ角ゴ Pro W3"/>
          <w:color w:val="000000"/>
          <w:lang w:eastAsia="en-GB"/>
        </w:rPr>
        <w:t xml:space="preserve"> the police</w:t>
      </w:r>
      <w:r w:rsidR="000E2F5D" w:rsidRPr="00151E31">
        <w:rPr>
          <w:rFonts w:eastAsia="ヒラギノ角ゴ Pro W3"/>
          <w:color w:val="000000"/>
          <w:lang w:eastAsia="en-GB"/>
        </w:rPr>
        <w:t>,</w:t>
      </w:r>
      <w:r w:rsidRPr="00151E31">
        <w:rPr>
          <w:rFonts w:eastAsia="ヒラギノ角ゴ Pro W3"/>
          <w:color w:val="000000"/>
          <w:lang w:eastAsia="en-GB"/>
        </w:rPr>
        <w:t xml:space="preserve"> as this procedure is limited to the crimes listed in Schedule 1 of the State Cases Act of 1992</w:t>
      </w:r>
      <w:r w:rsidR="000E2F5D" w:rsidRPr="00151E31">
        <w:rPr>
          <w:rFonts w:eastAsia="ヒラギノ角ゴ Pro W3"/>
          <w:color w:val="000000"/>
          <w:lang w:eastAsia="en-GB"/>
        </w:rPr>
        <w:t>,</w:t>
      </w:r>
      <w:r w:rsidRPr="00151E31">
        <w:rPr>
          <w:rFonts w:eastAsia="ヒラギノ角ゴ Pro W3"/>
          <w:color w:val="000000"/>
          <w:lang w:eastAsia="en-GB"/>
        </w:rPr>
        <w:t xml:space="preserve"> which does not </w:t>
      </w:r>
      <w:r w:rsidR="00BF3843" w:rsidRPr="00151E31">
        <w:rPr>
          <w:rFonts w:eastAsia="ヒラギノ角ゴ Pro W3"/>
          <w:color w:val="000000"/>
          <w:lang w:eastAsia="en-GB"/>
        </w:rPr>
        <w:t>include enforced disappearance</w:t>
      </w:r>
      <w:r w:rsidR="00BF3843">
        <w:rPr>
          <w:rFonts w:eastAsia="ヒラギノ角ゴ Pro W3"/>
          <w:color w:val="000000"/>
          <w:lang w:eastAsia="en-GB"/>
        </w:rPr>
        <w:t>.</w:t>
      </w:r>
    </w:p>
    <w:p w14:paraId="35B9E33D"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2.18</w:t>
      </w:r>
      <w:r w:rsidRPr="00671617">
        <w:rPr>
          <w:rFonts w:eastAsia="ヒラギノ角ゴ Pro W3"/>
          <w:color w:val="000000"/>
          <w:lang w:eastAsia="en-GB"/>
        </w:rPr>
        <w:tab/>
        <w:t xml:space="preserve">As to the requirement established in article 5 </w:t>
      </w:r>
      <w:r w:rsidR="000E2F5D">
        <w:rPr>
          <w:rFonts w:eastAsia="ヒラギノ角ゴ Pro W3"/>
          <w:color w:val="000000"/>
          <w:lang w:eastAsia="en-GB"/>
        </w:rPr>
        <w:t>(</w:t>
      </w:r>
      <w:r w:rsidRPr="00671617">
        <w:rPr>
          <w:rFonts w:eastAsia="ヒラギノ角ゴ Pro W3"/>
          <w:color w:val="000000"/>
          <w:lang w:eastAsia="en-GB"/>
        </w:rPr>
        <w:t>2</w:t>
      </w:r>
      <w:r w:rsidR="000E2F5D">
        <w:rPr>
          <w:rFonts w:eastAsia="ヒラギノ角ゴ Pro W3"/>
          <w:color w:val="000000"/>
          <w:lang w:eastAsia="en-GB"/>
        </w:rPr>
        <w:t>)</w:t>
      </w:r>
      <w:r w:rsidRPr="00671617">
        <w:rPr>
          <w:rFonts w:eastAsia="ヒラギノ角ゴ Pro W3"/>
          <w:color w:val="000000"/>
          <w:lang w:eastAsia="en-GB"/>
        </w:rPr>
        <w:t xml:space="preserve"> </w:t>
      </w:r>
      <w:r w:rsidR="000E2F5D">
        <w:rPr>
          <w:rFonts w:eastAsia="ヒラギノ角ゴ Pro W3"/>
          <w:color w:val="000000"/>
          <w:lang w:eastAsia="en-GB"/>
        </w:rPr>
        <w:t>(</w:t>
      </w:r>
      <w:r w:rsidRPr="00671617">
        <w:rPr>
          <w:rFonts w:eastAsia="ヒラギノ角ゴ Pro W3"/>
          <w:color w:val="000000"/>
          <w:lang w:eastAsia="en-GB"/>
        </w:rPr>
        <w:t xml:space="preserve">a) of the Optional Protocol, the authors submit that </w:t>
      </w:r>
      <w:r w:rsidR="000E2F5D">
        <w:rPr>
          <w:rFonts w:eastAsia="ヒラギノ角ゴ Pro W3"/>
          <w:color w:val="000000"/>
          <w:lang w:eastAsia="en-GB"/>
        </w:rPr>
        <w:t xml:space="preserve">the </w:t>
      </w:r>
      <w:r w:rsidRPr="00671617">
        <w:rPr>
          <w:rFonts w:eastAsia="ヒラギノ角ゴ Pro W3"/>
          <w:color w:val="000000"/>
          <w:lang w:eastAsia="en-GB"/>
        </w:rPr>
        <w:t xml:space="preserve">same matter is not being </w:t>
      </w:r>
      <w:r w:rsidR="000E2F5D">
        <w:rPr>
          <w:rFonts w:eastAsia="ヒラギノ角ゴ Pro W3"/>
          <w:color w:val="000000"/>
          <w:lang w:eastAsia="en-GB"/>
        </w:rPr>
        <w:t xml:space="preserve">taken up </w:t>
      </w:r>
      <w:r w:rsidRPr="00671617">
        <w:rPr>
          <w:rFonts w:eastAsia="ヒラギノ角ゴ Pro W3"/>
          <w:color w:val="000000"/>
          <w:lang w:eastAsia="en-GB"/>
        </w:rPr>
        <w:t xml:space="preserve">under another procedure of international investigation or settlement. While </w:t>
      </w:r>
      <w:r w:rsidR="00DB6CAB">
        <w:rPr>
          <w:rFonts w:eastAsia="ヒラギノ角ゴ Pro W3"/>
          <w:color w:val="000000"/>
          <w:lang w:eastAsia="en-GB"/>
        </w:rPr>
        <w:t xml:space="preserve">it is </w:t>
      </w:r>
      <w:r w:rsidR="006211F9" w:rsidRPr="00671617">
        <w:rPr>
          <w:rFonts w:eastAsia="ヒラギノ角ゴ Pro W3"/>
          <w:color w:val="000000"/>
          <w:lang w:eastAsia="en-GB"/>
        </w:rPr>
        <w:t>a</w:t>
      </w:r>
      <w:r w:rsidR="006211F9">
        <w:rPr>
          <w:rFonts w:eastAsia="ヒラギノ角ゴ Pro W3"/>
          <w:color w:val="000000"/>
          <w:lang w:eastAsia="en-GB"/>
        </w:rPr>
        <w:t>n</w:t>
      </w:r>
      <w:r w:rsidR="006211F9" w:rsidRPr="00671617">
        <w:rPr>
          <w:rFonts w:eastAsia="ヒラギノ角ゴ Pro W3"/>
          <w:color w:val="000000"/>
          <w:lang w:eastAsia="en-GB"/>
        </w:rPr>
        <w:t xml:space="preserve"> </w:t>
      </w:r>
      <w:r w:rsidRPr="00671617">
        <w:rPr>
          <w:rFonts w:eastAsia="ヒラギノ角ゴ Pro W3"/>
          <w:color w:val="000000"/>
          <w:lang w:eastAsia="en-GB"/>
        </w:rPr>
        <w:t xml:space="preserve">important special </w:t>
      </w:r>
      <w:r w:rsidRPr="00671617">
        <w:rPr>
          <w:rFonts w:eastAsia="ヒラギノ角ゴ Pro W3"/>
          <w:lang w:eastAsia="en-GB"/>
        </w:rPr>
        <w:t>procedure</w:t>
      </w:r>
      <w:r w:rsidRPr="00671617">
        <w:rPr>
          <w:rFonts w:eastAsia="ヒラギノ角ゴ Pro W3"/>
          <w:color w:val="000000"/>
          <w:lang w:eastAsia="en-GB"/>
        </w:rPr>
        <w:t xml:space="preserve"> within the </w:t>
      </w:r>
      <w:r w:rsidR="000E2F5D">
        <w:rPr>
          <w:rFonts w:eastAsia="ヒラギノ角ゴ Pro W3"/>
          <w:color w:val="000000"/>
          <w:lang w:eastAsia="en-GB"/>
        </w:rPr>
        <w:t xml:space="preserve">United Nations </w:t>
      </w:r>
      <w:r w:rsidRPr="00671617">
        <w:rPr>
          <w:rFonts w:eastAsia="ヒラギノ角ゴ Pro W3"/>
          <w:color w:val="000000"/>
          <w:lang w:eastAsia="en-GB"/>
        </w:rPr>
        <w:t xml:space="preserve">system, the </w:t>
      </w:r>
      <w:r w:rsidR="000E2F5D">
        <w:rPr>
          <w:rFonts w:eastAsia="ヒラギノ角ゴ Pro W3"/>
          <w:color w:val="000000"/>
          <w:lang w:eastAsia="en-GB"/>
        </w:rPr>
        <w:t xml:space="preserve">Working Group on Enforced </w:t>
      </w:r>
      <w:r w:rsidR="0087302A">
        <w:rPr>
          <w:rFonts w:eastAsia="ヒラギノ角ゴ Pro W3"/>
          <w:color w:val="000000"/>
          <w:lang w:eastAsia="en-GB"/>
        </w:rPr>
        <w:t xml:space="preserve">or Involuntary </w:t>
      </w:r>
      <w:r w:rsidR="000E2F5D">
        <w:rPr>
          <w:rFonts w:eastAsia="ヒラギノ角ゴ Pro W3"/>
          <w:color w:val="000000"/>
          <w:lang w:eastAsia="en-GB"/>
        </w:rPr>
        <w:t>Disappearance</w:t>
      </w:r>
      <w:r w:rsidR="0087302A">
        <w:rPr>
          <w:rFonts w:eastAsia="ヒラギノ角ゴ Pro W3"/>
          <w:color w:val="000000"/>
          <w:lang w:eastAsia="en-GB"/>
        </w:rPr>
        <w:t>s</w:t>
      </w:r>
      <w:r w:rsidR="000E2F5D">
        <w:rPr>
          <w:rFonts w:eastAsia="ヒラギノ角ゴ Pro W3"/>
          <w:color w:val="000000"/>
          <w:lang w:eastAsia="en-GB"/>
        </w:rPr>
        <w:t xml:space="preserve"> </w:t>
      </w:r>
      <w:r w:rsidRPr="00671617">
        <w:rPr>
          <w:rFonts w:eastAsia="ヒラギノ角ゴ Pro W3"/>
          <w:color w:val="000000"/>
          <w:lang w:eastAsia="en-GB"/>
        </w:rPr>
        <w:t xml:space="preserve">does not constitute a </w:t>
      </w:r>
      <w:r w:rsidR="00DB6CAB">
        <w:rPr>
          <w:rFonts w:eastAsia="ヒラギノ角ゴ Pro W3"/>
          <w:color w:val="000000"/>
          <w:lang w:eastAsia="en-GB"/>
        </w:rPr>
        <w:t xml:space="preserve">procedure </w:t>
      </w:r>
      <w:r w:rsidRPr="00671617">
        <w:rPr>
          <w:rFonts w:eastAsia="ヒラギノ角ゴ Pro W3"/>
          <w:color w:val="000000"/>
          <w:lang w:eastAsia="en-GB"/>
        </w:rPr>
        <w:t>analogous to the one established by the Optional Protocol</w:t>
      </w:r>
      <w:r w:rsidR="000E2F5D">
        <w:rPr>
          <w:rFonts w:eastAsia="ヒラギノ角ゴ Pro W3"/>
          <w:color w:val="000000"/>
          <w:lang w:eastAsia="en-GB"/>
        </w:rPr>
        <w:t>,</w:t>
      </w:r>
      <w:r w:rsidRPr="00671617">
        <w:rPr>
          <w:rFonts w:eastAsia="ヒラギノ角ゴ Pro W3"/>
          <w:color w:val="000000"/>
          <w:lang w:eastAsia="en-GB"/>
        </w:rPr>
        <w:t xml:space="preserve"> as it </w:t>
      </w:r>
      <w:r w:rsidR="000E2F5D">
        <w:rPr>
          <w:rFonts w:eastAsia="ヒラギノ角ゴ Pro W3"/>
          <w:color w:val="000000"/>
          <w:lang w:eastAsia="en-GB"/>
        </w:rPr>
        <w:t>is of</w:t>
      </w:r>
      <w:r w:rsidR="000E2F5D" w:rsidRPr="00671617">
        <w:rPr>
          <w:rFonts w:eastAsia="ヒラギノ角ゴ Pro W3"/>
          <w:color w:val="000000"/>
          <w:lang w:eastAsia="en-GB"/>
        </w:rPr>
        <w:t xml:space="preserve"> </w:t>
      </w:r>
      <w:r w:rsidRPr="00671617">
        <w:rPr>
          <w:rFonts w:eastAsia="ヒラギノ角ゴ Pro W3"/>
          <w:color w:val="000000"/>
          <w:lang w:eastAsia="en-GB"/>
        </w:rPr>
        <w:t>a strictly humanitarian nature.</w:t>
      </w:r>
      <w:r w:rsidR="005679A4">
        <w:rPr>
          <w:rFonts w:eastAsia="ヒラギノ角ゴ Pro W3"/>
          <w:color w:val="000000"/>
          <w:lang w:eastAsia="en-GB"/>
        </w:rPr>
        <w:t xml:space="preserve"> </w:t>
      </w:r>
    </w:p>
    <w:p w14:paraId="374F6471" w14:textId="77777777" w:rsidR="00671617" w:rsidRPr="00671617" w:rsidRDefault="00671617" w:rsidP="00671617">
      <w:pPr>
        <w:keepNext/>
        <w:keepLines/>
        <w:tabs>
          <w:tab w:val="right" w:pos="851"/>
        </w:tabs>
        <w:spacing w:before="240" w:after="120" w:line="240" w:lineRule="auto"/>
        <w:ind w:left="1134" w:hanging="1134"/>
        <w:rPr>
          <w:b/>
        </w:rPr>
      </w:pPr>
      <w:r w:rsidRPr="00671617">
        <w:rPr>
          <w:b/>
        </w:rPr>
        <w:tab/>
      </w:r>
      <w:r w:rsidRPr="00671617">
        <w:rPr>
          <w:b/>
        </w:rPr>
        <w:tab/>
        <w:t>The complaint</w:t>
      </w:r>
    </w:p>
    <w:p w14:paraId="7BCD0F40" w14:textId="77777777" w:rsidR="00671617" w:rsidRPr="00671617" w:rsidRDefault="00BF3843" w:rsidP="000E2F5D">
      <w:pPr>
        <w:pStyle w:val="SingleTxtG"/>
        <w:rPr>
          <w:rFonts w:eastAsia="ヒラギノ角ゴ Pro W3"/>
          <w:color w:val="000000"/>
          <w:lang w:eastAsia="en-GB"/>
        </w:rPr>
      </w:pPr>
      <w:r>
        <w:rPr>
          <w:rFonts w:eastAsia="ヒラギノ角ゴ Pro W3"/>
          <w:color w:val="000000"/>
          <w:lang w:eastAsia="en-GB"/>
        </w:rPr>
        <w:t>3.1</w:t>
      </w:r>
      <w:r w:rsidR="00671617" w:rsidRPr="00671617">
        <w:rPr>
          <w:rFonts w:eastAsia="ヒラギノ角ゴ Pro W3"/>
          <w:color w:val="000000"/>
          <w:lang w:eastAsia="en-GB"/>
        </w:rPr>
        <w:tab/>
        <w:t xml:space="preserve">The authors argue that their eight relatives were victims of enforced disappearance and therefore of a violation of their rights under </w:t>
      </w:r>
      <w:r w:rsidR="00671617" w:rsidRPr="00671617">
        <w:rPr>
          <w:rFonts w:eastAsia="ヒラギノ角ゴ Pro W3"/>
          <w:lang w:eastAsia="en-GB"/>
        </w:rPr>
        <w:t>articles</w:t>
      </w:r>
      <w:r w:rsidR="00671617" w:rsidRPr="00671617">
        <w:rPr>
          <w:rFonts w:eastAsia="ヒラギノ角ゴ Pro W3"/>
          <w:color w:val="000000"/>
          <w:lang w:eastAsia="en-GB"/>
        </w:rPr>
        <w:t xml:space="preserve"> 6</w:t>
      </w:r>
      <w:r w:rsidR="000E2F5D">
        <w:rPr>
          <w:rFonts w:eastAsia="ヒラギノ角ゴ Pro W3"/>
          <w:color w:val="000000"/>
          <w:lang w:eastAsia="en-GB"/>
        </w:rPr>
        <w:t>,</w:t>
      </w:r>
      <w:r w:rsidR="00671617" w:rsidRPr="00671617">
        <w:rPr>
          <w:rFonts w:eastAsia="ヒラギノ角ゴ Pro W3"/>
          <w:color w:val="000000"/>
          <w:lang w:eastAsia="en-GB"/>
        </w:rPr>
        <w:t xml:space="preserve"> 7</w:t>
      </w:r>
      <w:r w:rsidR="000E2F5D">
        <w:rPr>
          <w:rFonts w:eastAsia="ヒラギノ角ゴ Pro W3"/>
          <w:color w:val="000000"/>
          <w:lang w:eastAsia="en-GB"/>
        </w:rPr>
        <w:t>,</w:t>
      </w:r>
      <w:r w:rsidR="00671617" w:rsidRPr="00671617">
        <w:rPr>
          <w:rFonts w:eastAsia="ヒラギノ角ゴ Pro W3"/>
          <w:color w:val="000000"/>
          <w:lang w:eastAsia="en-GB"/>
        </w:rPr>
        <w:t xml:space="preserve"> 9</w:t>
      </w:r>
      <w:r w:rsidR="000E2F5D">
        <w:rPr>
          <w:rFonts w:eastAsia="ヒラギノ角ゴ Pro W3"/>
          <w:color w:val="000000"/>
          <w:lang w:eastAsia="en-GB"/>
        </w:rPr>
        <w:t>,</w:t>
      </w:r>
      <w:r w:rsidR="00671617" w:rsidRPr="00671617">
        <w:rPr>
          <w:rFonts w:eastAsia="ヒラギノ角ゴ Pro W3"/>
          <w:color w:val="000000"/>
          <w:lang w:eastAsia="en-GB"/>
        </w:rPr>
        <w:t xml:space="preserve"> 10</w:t>
      </w:r>
      <w:r w:rsidR="000E2F5D">
        <w:rPr>
          <w:rFonts w:eastAsia="ヒラギノ角ゴ Pro W3"/>
          <w:color w:val="000000"/>
          <w:lang w:eastAsia="en-GB"/>
        </w:rPr>
        <w:t>,</w:t>
      </w:r>
      <w:r w:rsidR="00671617" w:rsidRPr="00671617">
        <w:rPr>
          <w:rFonts w:eastAsia="ヒラギノ角ゴ Pro W3"/>
          <w:color w:val="000000"/>
          <w:lang w:eastAsia="en-GB"/>
        </w:rPr>
        <w:t xml:space="preserve"> 16</w:t>
      </w:r>
      <w:r w:rsidR="000E2F5D">
        <w:rPr>
          <w:rFonts w:eastAsia="ヒラギノ角ゴ Pro W3"/>
          <w:color w:val="000000"/>
          <w:lang w:eastAsia="en-GB"/>
        </w:rPr>
        <w:t>,</w:t>
      </w:r>
      <w:r w:rsidR="00671617" w:rsidRPr="00671617">
        <w:rPr>
          <w:rFonts w:eastAsia="ヒラギノ角ゴ Pro W3"/>
          <w:color w:val="000000"/>
          <w:lang w:eastAsia="en-GB"/>
        </w:rPr>
        <w:t xml:space="preserve"> 23</w:t>
      </w:r>
      <w:r w:rsidR="000E2F5D">
        <w:rPr>
          <w:rFonts w:eastAsia="ヒラギノ角ゴ Pro W3"/>
          <w:color w:val="000000"/>
          <w:lang w:eastAsia="en-GB"/>
        </w:rPr>
        <w:t> </w:t>
      </w:r>
      <w:r w:rsidR="00671617" w:rsidRPr="00671617">
        <w:rPr>
          <w:rFonts w:eastAsia="ヒラギノ角ゴ Pro W3"/>
          <w:color w:val="000000"/>
          <w:lang w:eastAsia="en-GB"/>
        </w:rPr>
        <w:t>(1) and 24</w:t>
      </w:r>
      <w:r w:rsidR="000E2F5D">
        <w:rPr>
          <w:rFonts w:eastAsia="ヒラギノ角ゴ Pro W3"/>
          <w:color w:val="000000"/>
          <w:lang w:eastAsia="en-GB"/>
        </w:rPr>
        <w:t> </w:t>
      </w:r>
      <w:r w:rsidR="00671617" w:rsidRPr="00671617">
        <w:rPr>
          <w:rFonts w:eastAsia="ヒラギノ角ゴ Pro W3"/>
          <w:color w:val="000000"/>
          <w:lang w:eastAsia="en-GB"/>
        </w:rPr>
        <w:t>(1), alone and in conjunction with article 2</w:t>
      </w:r>
      <w:r w:rsidR="000E2F5D">
        <w:rPr>
          <w:rFonts w:eastAsia="ヒラギノ角ゴ Pro W3"/>
          <w:color w:val="000000"/>
          <w:lang w:eastAsia="en-GB"/>
        </w:rPr>
        <w:t> </w:t>
      </w:r>
      <w:r w:rsidR="00671617" w:rsidRPr="00671617">
        <w:rPr>
          <w:rFonts w:eastAsia="ヒラギノ角ゴ Pro W3"/>
          <w:color w:val="000000"/>
          <w:lang w:eastAsia="en-GB"/>
        </w:rPr>
        <w:t>(3)</w:t>
      </w:r>
      <w:r w:rsidR="000E2F5D">
        <w:rPr>
          <w:rFonts w:eastAsia="ヒラギノ角ゴ Pro W3"/>
          <w:color w:val="000000"/>
          <w:lang w:eastAsia="en-GB"/>
        </w:rPr>
        <w:t>,</w:t>
      </w:r>
      <w:r w:rsidR="00671617" w:rsidRPr="00671617">
        <w:rPr>
          <w:rFonts w:eastAsia="ヒラギノ角ゴ Pro W3"/>
          <w:color w:val="000000"/>
          <w:lang w:eastAsia="en-GB"/>
        </w:rPr>
        <w:t xml:space="preserve"> and that their rights under articles 7</w:t>
      </w:r>
      <w:r w:rsidR="000E2F5D">
        <w:rPr>
          <w:rFonts w:eastAsia="ヒラギノ角ゴ Pro W3"/>
          <w:color w:val="000000"/>
          <w:lang w:eastAsia="en-GB"/>
        </w:rPr>
        <w:t>,</w:t>
      </w:r>
      <w:r w:rsidR="00671617" w:rsidRPr="00671617">
        <w:rPr>
          <w:rFonts w:eastAsia="ヒラギノ角ゴ Pro W3"/>
          <w:color w:val="000000"/>
          <w:lang w:eastAsia="en-GB"/>
        </w:rPr>
        <w:t xml:space="preserve"> 17</w:t>
      </w:r>
      <w:r w:rsidR="00DB6CAB">
        <w:rPr>
          <w:rFonts w:eastAsia="ヒラギノ角ゴ Pro W3"/>
          <w:color w:val="000000"/>
          <w:lang w:eastAsia="en-GB"/>
        </w:rPr>
        <w:t> </w:t>
      </w:r>
      <w:r w:rsidR="00671617" w:rsidRPr="00671617">
        <w:rPr>
          <w:rFonts w:eastAsia="ヒラギノ角ゴ Pro W3"/>
          <w:color w:val="000000"/>
          <w:lang w:eastAsia="en-GB"/>
        </w:rPr>
        <w:t>(1) and 23, read alone and in conjunction with article 2</w:t>
      </w:r>
      <w:r w:rsidR="000E2F5D">
        <w:rPr>
          <w:rFonts w:eastAsia="ヒラギノ角ゴ Pro W3"/>
          <w:color w:val="000000"/>
          <w:lang w:eastAsia="en-GB"/>
        </w:rPr>
        <w:t> </w:t>
      </w:r>
      <w:r w:rsidR="00671617" w:rsidRPr="00671617">
        <w:rPr>
          <w:rFonts w:eastAsia="ヒラギノ角ゴ Pro W3"/>
          <w:color w:val="000000"/>
          <w:lang w:eastAsia="en-GB"/>
        </w:rPr>
        <w:t>(3) of the Covenant, were al</w:t>
      </w:r>
      <w:r>
        <w:rPr>
          <w:rFonts w:eastAsia="ヒラギノ角ゴ Pro W3"/>
          <w:color w:val="000000"/>
          <w:lang w:eastAsia="en-GB"/>
        </w:rPr>
        <w:t>so violated by the State party.</w:t>
      </w:r>
    </w:p>
    <w:p w14:paraId="04CF000B" w14:textId="77777777" w:rsidR="00671617" w:rsidRPr="00671617" w:rsidRDefault="00BF3843">
      <w:pPr>
        <w:pStyle w:val="SingleTxtG"/>
        <w:rPr>
          <w:rFonts w:eastAsia="ヒラギノ角ゴ Pro W3"/>
          <w:color w:val="000000"/>
          <w:lang w:eastAsia="en-GB"/>
        </w:rPr>
      </w:pPr>
      <w:r>
        <w:rPr>
          <w:rFonts w:eastAsia="ヒラギノ角ゴ Pro W3"/>
          <w:color w:val="000000"/>
          <w:lang w:eastAsia="en-GB"/>
        </w:rPr>
        <w:t>3.2</w:t>
      </w:r>
      <w:r w:rsidR="00671617" w:rsidRPr="00671617">
        <w:rPr>
          <w:rFonts w:eastAsia="ヒラギノ角ゴ Pro W3"/>
          <w:color w:val="000000"/>
          <w:lang w:eastAsia="en-GB"/>
        </w:rPr>
        <w:tab/>
        <w:t xml:space="preserve">The authors claim that members of </w:t>
      </w:r>
      <w:r w:rsidR="00671617" w:rsidRPr="00BB0D85">
        <w:rPr>
          <w:rFonts w:eastAsia="ヒラギノ角ゴ Pro W3"/>
          <w:color w:val="000000"/>
          <w:lang w:eastAsia="en-GB"/>
        </w:rPr>
        <w:t xml:space="preserve">the </w:t>
      </w:r>
      <w:r w:rsidR="008F5192" w:rsidRPr="00BB0D85">
        <w:rPr>
          <w:rFonts w:eastAsia="ヒラギノ角ゴ Pro W3"/>
          <w:color w:val="000000"/>
          <w:lang w:eastAsia="en-GB"/>
        </w:rPr>
        <w:t>Royal Nepalese Army</w:t>
      </w:r>
      <w:r w:rsidR="00671617" w:rsidRPr="00BB0D85">
        <w:rPr>
          <w:rFonts w:eastAsia="ヒラギノ角ゴ Pro W3"/>
          <w:color w:val="000000"/>
          <w:lang w:eastAsia="en-GB"/>
        </w:rPr>
        <w:t xml:space="preserve"> arbitrarily detained their eight relatives. Despite the authors’ efforts and although their relatives’ detention was promptly </w:t>
      </w:r>
      <w:r w:rsidR="00E502A7">
        <w:rPr>
          <w:rFonts w:eastAsia="ヒラギノ角ゴ Pro W3"/>
          <w:color w:val="000000"/>
          <w:lang w:eastAsia="en-GB"/>
        </w:rPr>
        <w:t xml:space="preserve">reported </w:t>
      </w:r>
      <w:r w:rsidR="00671617" w:rsidRPr="00BB0D85">
        <w:rPr>
          <w:rFonts w:eastAsia="ヒラギノ角ゴ Pro W3"/>
          <w:color w:val="000000"/>
          <w:lang w:eastAsia="en-GB"/>
        </w:rPr>
        <w:t xml:space="preserve">by them, the fate and whereabouts </w:t>
      </w:r>
      <w:r w:rsidR="00815E94" w:rsidRPr="00BB0D85">
        <w:rPr>
          <w:rFonts w:eastAsia="ヒラギノ角ゴ Pro W3"/>
          <w:color w:val="000000"/>
          <w:lang w:eastAsia="en-GB"/>
        </w:rPr>
        <w:t xml:space="preserve">of their relatives </w:t>
      </w:r>
      <w:r w:rsidR="00671617" w:rsidRPr="00BB0D85">
        <w:rPr>
          <w:rFonts w:eastAsia="ヒラギノ角ゴ Pro W3"/>
          <w:color w:val="000000"/>
          <w:lang w:eastAsia="en-GB"/>
        </w:rPr>
        <w:t xml:space="preserve">remain unknown. All </w:t>
      </w:r>
      <w:r w:rsidR="00815E94" w:rsidRPr="00BB0D85">
        <w:rPr>
          <w:rFonts w:eastAsia="ヒラギノ角ゴ Pro W3"/>
          <w:color w:val="000000"/>
          <w:lang w:eastAsia="en-GB"/>
        </w:rPr>
        <w:t xml:space="preserve">of </w:t>
      </w:r>
      <w:r w:rsidR="00671617" w:rsidRPr="00BB0D85">
        <w:rPr>
          <w:rFonts w:eastAsia="ヒラギノ角ゴ Pro W3"/>
          <w:lang w:eastAsia="en-GB"/>
        </w:rPr>
        <w:t>the</w:t>
      </w:r>
      <w:r w:rsidR="00671617" w:rsidRPr="00BB0D85">
        <w:rPr>
          <w:rFonts w:eastAsia="ヒラギノ角ゴ Pro W3"/>
          <w:color w:val="000000"/>
          <w:lang w:eastAsia="en-GB"/>
        </w:rPr>
        <w:t xml:space="preserve"> authorities initially denied that the</w:t>
      </w:r>
      <w:r w:rsidR="00E502A7">
        <w:rPr>
          <w:rFonts w:eastAsia="ヒラギノ角ゴ Pro W3"/>
          <w:color w:val="000000"/>
          <w:lang w:eastAsia="en-GB"/>
        </w:rPr>
        <w:t xml:space="preserve"> authors</w:t>
      </w:r>
      <w:r w:rsidR="00505C91">
        <w:rPr>
          <w:rFonts w:eastAsia="ヒラギノ角ゴ Pro W3"/>
          <w:color w:val="000000"/>
          <w:lang w:eastAsia="en-GB"/>
        </w:rPr>
        <w:t>’</w:t>
      </w:r>
      <w:r w:rsidR="00671617" w:rsidRPr="00BB0D85">
        <w:rPr>
          <w:rFonts w:eastAsia="ヒラギノ角ゴ Pro W3"/>
          <w:color w:val="000000"/>
          <w:lang w:eastAsia="en-GB"/>
        </w:rPr>
        <w:t xml:space="preserve"> </w:t>
      </w:r>
      <w:r w:rsidR="00BB0D85" w:rsidRPr="00F512C7">
        <w:rPr>
          <w:rFonts w:eastAsia="ヒラギノ角ゴ Pro W3"/>
          <w:color w:val="000000"/>
          <w:lang w:eastAsia="en-GB"/>
        </w:rPr>
        <w:t xml:space="preserve">relatives had been deprived </w:t>
      </w:r>
      <w:r w:rsidR="00E502A7">
        <w:rPr>
          <w:rFonts w:eastAsia="ヒラギノ角ゴ Pro W3"/>
          <w:color w:val="000000"/>
          <w:lang w:eastAsia="en-GB"/>
        </w:rPr>
        <w:t xml:space="preserve">of </w:t>
      </w:r>
      <w:r w:rsidR="00671617" w:rsidRPr="00BB0D85">
        <w:rPr>
          <w:rFonts w:eastAsia="ヒラギノ角ゴ Pro W3"/>
          <w:color w:val="000000"/>
          <w:lang w:eastAsia="en-GB"/>
        </w:rPr>
        <w:t>liberty</w:t>
      </w:r>
      <w:r w:rsidR="00815E94" w:rsidRPr="00BB0D85">
        <w:rPr>
          <w:rFonts w:eastAsia="ヒラギノ角ゴ Pro W3"/>
          <w:color w:val="000000"/>
          <w:lang w:eastAsia="en-GB"/>
        </w:rPr>
        <w:t>.</w:t>
      </w:r>
      <w:r w:rsidR="00671617" w:rsidRPr="00BB0D85">
        <w:rPr>
          <w:rFonts w:eastAsia="ヒラギノ角ゴ Pro W3"/>
          <w:color w:val="000000"/>
          <w:lang w:eastAsia="en-GB"/>
        </w:rPr>
        <w:t xml:space="preserve"> </w:t>
      </w:r>
      <w:r w:rsidR="00815E94" w:rsidRPr="00BB0D85">
        <w:rPr>
          <w:rFonts w:eastAsia="ヒラギノ角ゴ Pro W3"/>
          <w:color w:val="000000"/>
          <w:lang w:eastAsia="en-GB"/>
        </w:rPr>
        <w:t>L</w:t>
      </w:r>
      <w:r w:rsidR="00671617" w:rsidRPr="00BB0D85">
        <w:rPr>
          <w:rFonts w:eastAsia="ヒラギノ角ゴ Pro W3"/>
          <w:color w:val="000000"/>
          <w:lang w:eastAsia="en-GB"/>
        </w:rPr>
        <w:t>ater</w:t>
      </w:r>
      <w:r w:rsidR="00815E94" w:rsidRPr="00BB0D85">
        <w:rPr>
          <w:rFonts w:eastAsia="ヒラギノ角ゴ Pro W3"/>
          <w:color w:val="000000"/>
          <w:lang w:eastAsia="en-GB"/>
        </w:rPr>
        <w:t>,</w:t>
      </w:r>
      <w:r w:rsidR="00671617" w:rsidRPr="00BB0D85">
        <w:rPr>
          <w:rFonts w:eastAsia="ヒラギノ角ゴ Pro W3"/>
          <w:color w:val="000000"/>
          <w:lang w:eastAsia="en-GB"/>
        </w:rPr>
        <w:t xml:space="preserve"> the Army alleged</w:t>
      </w:r>
      <w:r w:rsidR="00E502A7">
        <w:rPr>
          <w:rFonts w:eastAsia="ヒラギノ角ゴ Pro W3"/>
          <w:color w:val="000000"/>
          <w:lang w:eastAsia="en-GB"/>
        </w:rPr>
        <w:t>, without supporting evidence or investigation,</w:t>
      </w:r>
      <w:r w:rsidR="00671617" w:rsidRPr="00BB0D85">
        <w:rPr>
          <w:rFonts w:eastAsia="ヒラギノ角ゴ Pro W3"/>
          <w:color w:val="000000"/>
          <w:lang w:eastAsia="en-GB"/>
        </w:rPr>
        <w:t xml:space="preserve"> that seven of the</w:t>
      </w:r>
      <w:r w:rsidR="00E502A7">
        <w:rPr>
          <w:rFonts w:eastAsia="ヒラギノ角ゴ Pro W3"/>
          <w:color w:val="000000"/>
          <w:lang w:eastAsia="en-GB"/>
        </w:rPr>
        <w:t xml:space="preserve"> authors' relatives</w:t>
      </w:r>
      <w:r w:rsidR="00671617" w:rsidRPr="00BB0D85">
        <w:rPr>
          <w:rFonts w:eastAsia="ヒラギノ角ゴ Pro W3"/>
          <w:color w:val="000000"/>
          <w:lang w:eastAsia="en-GB"/>
        </w:rPr>
        <w:t xml:space="preserve"> </w:t>
      </w:r>
      <w:r w:rsidR="000E2F5D" w:rsidRPr="00BB0D85">
        <w:rPr>
          <w:rFonts w:eastAsia="ヒラギノ角ゴ Pro W3"/>
          <w:color w:val="000000"/>
          <w:lang w:eastAsia="en-GB"/>
        </w:rPr>
        <w:t xml:space="preserve">had been </w:t>
      </w:r>
      <w:r w:rsidR="00671617" w:rsidRPr="00BB0D85">
        <w:rPr>
          <w:rFonts w:eastAsia="ヒラギノ角ゴ Pro W3"/>
          <w:color w:val="000000"/>
          <w:lang w:eastAsia="en-GB"/>
        </w:rPr>
        <w:t xml:space="preserve">killed on 11 April 2002 in crossfire with the security forces in the nursery area of Manau. </w:t>
      </w:r>
      <w:r w:rsidR="00E502A7">
        <w:rPr>
          <w:rFonts w:eastAsia="ヒラギノ角ゴ Pro W3"/>
          <w:color w:val="000000"/>
          <w:lang w:eastAsia="en-GB"/>
        </w:rPr>
        <w:t>The authors maintain that i</w:t>
      </w:r>
      <w:r w:rsidR="00671617" w:rsidRPr="00BB0D85">
        <w:rPr>
          <w:rFonts w:eastAsia="ヒラギノ角ゴ Pro W3"/>
          <w:color w:val="000000"/>
          <w:lang w:eastAsia="en-GB"/>
        </w:rPr>
        <w:t xml:space="preserve">t would be highly unlikely, if not impossible, for the Army to have referred to these seven persons by name if they </w:t>
      </w:r>
      <w:r w:rsidR="000E2F5D" w:rsidRPr="00BB0D85">
        <w:rPr>
          <w:rFonts w:eastAsia="ヒラギノ角ゴ Pro W3"/>
          <w:color w:val="000000"/>
          <w:lang w:eastAsia="en-GB"/>
        </w:rPr>
        <w:t xml:space="preserve">had </w:t>
      </w:r>
      <w:r w:rsidR="00671617" w:rsidRPr="00BB0D85">
        <w:rPr>
          <w:rFonts w:eastAsia="ヒラギノ角ゴ Pro W3"/>
          <w:color w:val="000000"/>
          <w:lang w:eastAsia="en-GB"/>
        </w:rPr>
        <w:t>been killed in crossfire</w:t>
      </w:r>
      <w:r w:rsidR="000E2F5D" w:rsidRPr="00BB0D85">
        <w:rPr>
          <w:rFonts w:eastAsia="ヒラギノ角ゴ Pro W3"/>
          <w:color w:val="000000"/>
          <w:lang w:eastAsia="en-GB"/>
        </w:rPr>
        <w:t>,</w:t>
      </w:r>
      <w:r w:rsidR="00671617" w:rsidRPr="00BB0D85">
        <w:rPr>
          <w:rFonts w:eastAsia="ヒラギノ角ゴ Pro W3"/>
          <w:color w:val="000000"/>
          <w:lang w:eastAsia="en-GB"/>
        </w:rPr>
        <w:t xml:space="preserve"> since none of them</w:t>
      </w:r>
      <w:r w:rsidR="00E502A7">
        <w:rPr>
          <w:rFonts w:eastAsia="ヒラギノ角ゴ Pro W3"/>
          <w:color w:val="000000"/>
          <w:lang w:eastAsia="en-GB"/>
        </w:rPr>
        <w:t>, with the exception of Prem Prakash,</w:t>
      </w:r>
      <w:r w:rsidR="00671617" w:rsidRPr="00BB0D85">
        <w:rPr>
          <w:rFonts w:eastAsia="ヒラギノ角ゴ Pro W3"/>
          <w:color w:val="000000"/>
          <w:lang w:eastAsia="en-GB"/>
        </w:rPr>
        <w:t xml:space="preserve"> had a </w:t>
      </w:r>
      <w:r w:rsidR="00671617" w:rsidRPr="00BB0D85">
        <w:rPr>
          <w:rFonts w:eastAsia="ヒラギノ角ゴ Pro W3"/>
          <w:color w:val="000000"/>
          <w:lang w:eastAsia="en-GB"/>
        </w:rPr>
        <w:lastRenderedPageBreak/>
        <w:t>citizenship</w:t>
      </w:r>
      <w:r w:rsidR="00671617" w:rsidRPr="00671617">
        <w:rPr>
          <w:rFonts w:eastAsia="ヒラギノ角ゴ Pro W3"/>
          <w:color w:val="000000"/>
          <w:lang w:eastAsia="en-GB"/>
        </w:rPr>
        <w:t xml:space="preserve"> card or any other </w:t>
      </w:r>
      <w:r w:rsidR="00E502A7">
        <w:rPr>
          <w:rFonts w:eastAsia="ヒラギノ角ゴ Pro W3"/>
          <w:color w:val="000000"/>
          <w:lang w:eastAsia="en-GB"/>
        </w:rPr>
        <w:t xml:space="preserve">type of </w:t>
      </w:r>
      <w:r w:rsidR="00671617" w:rsidRPr="00671617">
        <w:rPr>
          <w:rFonts w:eastAsia="ヒラギノ角ゴ Pro W3"/>
          <w:color w:val="000000"/>
          <w:lang w:eastAsia="en-GB"/>
        </w:rPr>
        <w:t>identity document. Moreover, the way in which the authors’ eight relatives were taken from their homes was part of the ge</w:t>
      </w:r>
      <w:r w:rsidR="00671617" w:rsidRPr="000E2F5D">
        <w:rPr>
          <w:rFonts w:eastAsia="ヒラギノ角ゴ Pro W3"/>
          <w:color w:val="000000"/>
          <w:lang w:eastAsia="en-GB"/>
        </w:rPr>
        <w:t xml:space="preserve">neral </w:t>
      </w:r>
      <w:r w:rsidR="00671617" w:rsidRPr="00F512C7">
        <w:rPr>
          <w:rFonts w:eastAsia="ヒラギノ角ゴ Pro W3"/>
          <w:color w:val="000000"/>
          <w:lang w:eastAsia="en-GB"/>
        </w:rPr>
        <w:t>modus operandi</w:t>
      </w:r>
      <w:r w:rsidR="00671617" w:rsidRPr="000E2F5D">
        <w:rPr>
          <w:rFonts w:eastAsia="ヒラギノ角ゴ Pro W3"/>
          <w:color w:val="000000"/>
          <w:lang w:eastAsia="en-GB"/>
        </w:rPr>
        <w:t xml:space="preserve"> of</w:t>
      </w:r>
      <w:r w:rsidR="00671617" w:rsidRPr="00671617">
        <w:rPr>
          <w:rFonts w:eastAsia="ヒラギノ角ゴ Pro W3"/>
          <w:color w:val="000000"/>
          <w:lang w:eastAsia="en-GB"/>
        </w:rPr>
        <w:t xml:space="preserve"> the </w:t>
      </w:r>
      <w:r w:rsidR="008F5192">
        <w:rPr>
          <w:rFonts w:eastAsia="ヒラギノ角ゴ Pro W3"/>
          <w:color w:val="000000"/>
          <w:lang w:eastAsia="en-GB"/>
        </w:rPr>
        <w:t>Royal Nepalese Army</w:t>
      </w:r>
      <w:r w:rsidR="00671617" w:rsidRPr="00671617">
        <w:rPr>
          <w:rFonts w:eastAsia="ヒラギノ角ゴ Pro W3"/>
          <w:color w:val="000000"/>
          <w:lang w:eastAsia="en-GB"/>
        </w:rPr>
        <w:t>’s search operations in Bardiya District between December 2001 and January 2003.</w:t>
      </w:r>
      <w:r w:rsidR="00671617" w:rsidRPr="00571DEE">
        <w:rPr>
          <w:rStyle w:val="FootnoteReference"/>
          <w:rFonts w:eastAsia="ヒラギノ角ゴ Pro W3"/>
        </w:rPr>
        <w:footnoteReference w:id="12"/>
      </w:r>
      <w:r w:rsidR="00671617" w:rsidRPr="00671617">
        <w:rPr>
          <w:rFonts w:eastAsia="ヒラギノ角ゴ Pro W3"/>
          <w:color w:val="000000"/>
          <w:lang w:eastAsia="en-GB"/>
        </w:rPr>
        <w:t xml:space="preserve"> Against this background, the authors contend that their relatives’ arbitrary detention and subsequent disappearance by the authorities placed them in a situation that posed a grave threat to life and constitute</w:t>
      </w:r>
      <w:r w:rsidR="000E2F5D">
        <w:rPr>
          <w:rFonts w:eastAsia="ヒラギノ角ゴ Pro W3"/>
          <w:color w:val="000000"/>
          <w:lang w:eastAsia="en-GB"/>
        </w:rPr>
        <w:t>d</w:t>
      </w:r>
      <w:r w:rsidR="00671617" w:rsidRPr="00671617">
        <w:rPr>
          <w:rFonts w:eastAsia="ヒラギノ角ゴ Pro W3"/>
          <w:color w:val="000000"/>
          <w:lang w:eastAsia="en-GB"/>
        </w:rPr>
        <w:t xml:space="preserve"> a violation</w:t>
      </w:r>
      <w:r>
        <w:rPr>
          <w:rFonts w:eastAsia="ヒラギノ角ゴ Pro W3"/>
          <w:color w:val="000000"/>
          <w:lang w:eastAsia="en-GB"/>
        </w:rPr>
        <w:t xml:space="preserve"> of article 6 of the Covenant. </w:t>
      </w:r>
    </w:p>
    <w:p w14:paraId="144147CB" w14:textId="77777777" w:rsidR="00671617" w:rsidRPr="00671617" w:rsidRDefault="00BF3843">
      <w:pPr>
        <w:pStyle w:val="SingleTxtG"/>
        <w:rPr>
          <w:rFonts w:eastAsia="ヒラギノ角ゴ Pro W3"/>
          <w:color w:val="000000"/>
          <w:lang w:eastAsia="en-GB"/>
        </w:rPr>
      </w:pPr>
      <w:r>
        <w:rPr>
          <w:rFonts w:eastAsia="ヒラギノ角ゴ Pro W3"/>
          <w:color w:val="000000"/>
          <w:lang w:eastAsia="en-GB"/>
        </w:rPr>
        <w:t>3.3</w:t>
      </w:r>
      <w:r w:rsidR="00671617" w:rsidRPr="00671617">
        <w:rPr>
          <w:rFonts w:eastAsia="ヒラギノ角ゴ Pro W3"/>
          <w:color w:val="000000"/>
          <w:lang w:eastAsia="en-GB"/>
        </w:rPr>
        <w:tab/>
        <w:t>The</w:t>
      </w:r>
      <w:r w:rsidR="00815E94">
        <w:rPr>
          <w:rFonts w:eastAsia="ヒラギノ角ゴ Pro W3"/>
          <w:color w:val="000000"/>
          <w:lang w:eastAsia="en-GB"/>
        </w:rPr>
        <w:t xml:space="preserve"> authors further claim that the enforced disappearance of the</w:t>
      </w:r>
      <w:r w:rsidR="00671617" w:rsidRPr="00671617">
        <w:rPr>
          <w:rFonts w:eastAsia="ヒラギノ角ゴ Pro W3"/>
          <w:color w:val="000000"/>
          <w:lang w:eastAsia="en-GB"/>
        </w:rPr>
        <w:t xml:space="preserve">ir relatives and the degree of suffering involved in being held without contact with the outside world </w:t>
      </w:r>
      <w:r w:rsidR="00671617" w:rsidRPr="00671617">
        <w:rPr>
          <w:rFonts w:eastAsia="ヒラギノ角ゴ Pro W3"/>
          <w:lang w:eastAsia="en-GB"/>
        </w:rPr>
        <w:t>amount</w:t>
      </w:r>
      <w:r w:rsidR="00671617" w:rsidRPr="00671617">
        <w:rPr>
          <w:rFonts w:eastAsia="ヒラギノ角ゴ Pro W3"/>
          <w:color w:val="000000"/>
          <w:lang w:eastAsia="en-GB"/>
        </w:rPr>
        <w:t xml:space="preserve"> to a violation of article 7.</w:t>
      </w:r>
    </w:p>
    <w:p w14:paraId="276BE727"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3.4</w:t>
      </w:r>
      <w:r w:rsidRPr="00671617">
        <w:rPr>
          <w:rFonts w:eastAsia="ヒラギノ角ゴ Pro W3"/>
          <w:color w:val="000000"/>
          <w:lang w:eastAsia="en-GB"/>
        </w:rPr>
        <w:tab/>
        <w:t xml:space="preserve">The authors claim that the State party violated article 9 of the Covenant. Their relatives were taken by the </w:t>
      </w:r>
      <w:r w:rsidR="008F5192">
        <w:rPr>
          <w:rFonts w:eastAsia="ヒラギノ角ゴ Pro W3"/>
          <w:color w:val="000000"/>
          <w:lang w:eastAsia="en-GB"/>
        </w:rPr>
        <w:t>Royal Nepalese Army</w:t>
      </w:r>
      <w:r w:rsidRPr="00671617">
        <w:rPr>
          <w:rFonts w:eastAsia="ヒラギノ角ゴ Pro W3"/>
          <w:color w:val="000000"/>
          <w:lang w:eastAsia="en-GB"/>
        </w:rPr>
        <w:t xml:space="preserve">, without an arrest warrant or a sufficient explanation </w:t>
      </w:r>
      <w:r w:rsidR="008570BA">
        <w:rPr>
          <w:rFonts w:eastAsia="ヒラギノ角ゴ Pro W3"/>
          <w:color w:val="000000"/>
          <w:lang w:eastAsia="en-GB"/>
        </w:rPr>
        <w:t xml:space="preserve">of </w:t>
      </w:r>
      <w:r w:rsidRPr="00671617">
        <w:rPr>
          <w:rFonts w:eastAsia="ヒラギノ角ゴ Pro W3"/>
          <w:color w:val="000000"/>
          <w:lang w:eastAsia="en-GB"/>
        </w:rPr>
        <w:t xml:space="preserve">the reasons for their arrest. Later, </w:t>
      </w:r>
      <w:r w:rsidR="00EC4E58">
        <w:rPr>
          <w:rFonts w:eastAsia="ヒラギノ角ゴ Pro W3"/>
          <w:color w:val="000000"/>
          <w:lang w:eastAsia="en-GB"/>
        </w:rPr>
        <w:t xml:space="preserve">the Army </w:t>
      </w:r>
      <w:r w:rsidRPr="00671617">
        <w:rPr>
          <w:rFonts w:eastAsia="ヒラギノ角ゴ Pro W3"/>
          <w:color w:val="000000"/>
          <w:lang w:eastAsia="en-GB"/>
        </w:rPr>
        <w:t xml:space="preserve">denied </w:t>
      </w:r>
      <w:r w:rsidR="00EC4E58">
        <w:rPr>
          <w:rFonts w:eastAsia="ヒラギノ角ゴ Pro W3"/>
          <w:lang w:eastAsia="en-GB"/>
        </w:rPr>
        <w:t>that they had been arrested or subsequently detained</w:t>
      </w:r>
      <w:r w:rsidRPr="00671617">
        <w:rPr>
          <w:rFonts w:eastAsia="ヒラギノ角ゴ Pro W3"/>
          <w:color w:val="000000"/>
          <w:lang w:eastAsia="en-GB"/>
        </w:rPr>
        <w:t xml:space="preserve">. </w:t>
      </w:r>
      <w:r w:rsidR="000E2F5D">
        <w:rPr>
          <w:rFonts w:eastAsia="ヒラギノ角ゴ Pro W3"/>
          <w:color w:val="000000"/>
          <w:lang w:eastAsia="en-GB"/>
        </w:rPr>
        <w:t xml:space="preserve">Neither </w:t>
      </w:r>
      <w:r w:rsidRPr="00671617">
        <w:rPr>
          <w:rFonts w:eastAsia="ヒラギノ角ゴ Pro W3"/>
          <w:color w:val="000000"/>
          <w:lang w:eastAsia="en-GB"/>
        </w:rPr>
        <w:t xml:space="preserve">were </w:t>
      </w:r>
      <w:r w:rsidR="000E2F5D">
        <w:rPr>
          <w:rFonts w:eastAsia="ヒラギノ角ゴ Pro W3"/>
          <w:color w:val="000000"/>
          <w:lang w:eastAsia="en-GB"/>
        </w:rPr>
        <w:t>the</w:t>
      </w:r>
      <w:r w:rsidR="00EC4E58">
        <w:rPr>
          <w:rFonts w:eastAsia="ヒラギノ角ゴ Pro W3"/>
          <w:color w:val="000000"/>
          <w:lang w:eastAsia="en-GB"/>
        </w:rPr>
        <w:t xml:space="preserve"> authors</w:t>
      </w:r>
      <w:r w:rsidR="00505C91">
        <w:rPr>
          <w:rFonts w:eastAsia="ヒラギノ角ゴ Pro W3"/>
          <w:color w:val="000000"/>
          <w:lang w:eastAsia="en-GB"/>
        </w:rPr>
        <w:t>’</w:t>
      </w:r>
      <w:r w:rsidR="00EC4E58">
        <w:rPr>
          <w:rFonts w:eastAsia="ヒラギノ角ゴ Pro W3"/>
          <w:color w:val="000000"/>
          <w:lang w:eastAsia="en-GB"/>
        </w:rPr>
        <w:t xml:space="preserve"> relatives</w:t>
      </w:r>
      <w:r w:rsidR="000E2F5D">
        <w:rPr>
          <w:rFonts w:eastAsia="ヒラギノ角ゴ Pro W3"/>
          <w:color w:val="000000"/>
          <w:lang w:eastAsia="en-GB"/>
        </w:rPr>
        <w:t xml:space="preserve"> ever </w:t>
      </w:r>
      <w:r w:rsidRPr="00671617">
        <w:rPr>
          <w:rFonts w:eastAsia="ヒラギノ角ゴ Pro W3"/>
          <w:color w:val="000000"/>
          <w:lang w:eastAsia="en-GB"/>
        </w:rPr>
        <w:t xml:space="preserve">brought before a judge or any other official authorized by law to exercise judicial power, nor could they </w:t>
      </w:r>
      <w:r w:rsidR="00EC4E58">
        <w:rPr>
          <w:rFonts w:eastAsia="ヒラギノ角ゴ Pro W3"/>
          <w:color w:val="000000"/>
          <w:lang w:eastAsia="en-GB"/>
        </w:rPr>
        <w:t xml:space="preserve">bring </w:t>
      </w:r>
      <w:r w:rsidRPr="00671617">
        <w:rPr>
          <w:rFonts w:eastAsia="ヒラギノ角ゴ Pro W3"/>
          <w:color w:val="000000"/>
          <w:lang w:eastAsia="en-GB"/>
        </w:rPr>
        <w:t>proceedings before a court to challenge the lawfulness of their detention.</w:t>
      </w:r>
    </w:p>
    <w:p w14:paraId="718F83AE" w14:textId="77777777" w:rsidR="00671617" w:rsidRPr="00671617" w:rsidRDefault="00671617">
      <w:pPr>
        <w:pStyle w:val="SingleTxtG"/>
        <w:rPr>
          <w:rFonts w:eastAsia="ヒラギノ角ゴ Pro W3"/>
          <w:lang w:eastAsia="en-GB"/>
        </w:rPr>
      </w:pPr>
      <w:r w:rsidRPr="00671617">
        <w:rPr>
          <w:rFonts w:eastAsia="ヒラギノ角ゴ Pro W3"/>
          <w:lang w:eastAsia="en-GB"/>
        </w:rPr>
        <w:t>3.5</w:t>
      </w:r>
      <w:r w:rsidRPr="00671617">
        <w:rPr>
          <w:rFonts w:eastAsia="ヒラギノ角ゴ Pro W3"/>
          <w:lang w:eastAsia="en-GB"/>
        </w:rPr>
        <w:tab/>
        <w:t xml:space="preserve">The </w:t>
      </w:r>
      <w:r w:rsidR="00151E31">
        <w:rPr>
          <w:rFonts w:eastAsia="ヒラギノ角ゴ Pro W3"/>
          <w:lang w:eastAsia="en-GB"/>
        </w:rPr>
        <w:t xml:space="preserve">authors claim that the </w:t>
      </w:r>
      <w:r w:rsidRPr="00671617">
        <w:rPr>
          <w:rFonts w:eastAsia="ヒラギノ角ゴ Pro W3"/>
          <w:lang w:eastAsia="en-GB"/>
        </w:rPr>
        <w:t xml:space="preserve">State party has violated and continues </w:t>
      </w:r>
      <w:r w:rsidR="008570BA">
        <w:rPr>
          <w:rFonts w:eastAsia="ヒラギノ角ゴ Pro W3"/>
          <w:lang w:eastAsia="en-GB"/>
        </w:rPr>
        <w:t>to violate</w:t>
      </w:r>
      <w:r w:rsidR="008570BA" w:rsidRPr="00671617">
        <w:rPr>
          <w:rFonts w:eastAsia="ヒラギノ角ゴ Pro W3"/>
          <w:lang w:eastAsia="en-GB"/>
        </w:rPr>
        <w:t xml:space="preserve"> </w:t>
      </w:r>
      <w:r w:rsidRPr="00671617">
        <w:rPr>
          <w:rFonts w:eastAsia="ヒラギノ角ゴ Pro W3"/>
          <w:lang w:eastAsia="en-GB"/>
        </w:rPr>
        <w:t>the rights of the</w:t>
      </w:r>
      <w:r w:rsidR="00151E31">
        <w:rPr>
          <w:rFonts w:eastAsia="ヒラギノ角ゴ Pro W3"/>
          <w:lang w:eastAsia="en-GB"/>
        </w:rPr>
        <w:t>ir</w:t>
      </w:r>
      <w:r w:rsidRPr="00671617">
        <w:rPr>
          <w:rFonts w:eastAsia="ヒラギノ角ゴ Pro W3"/>
          <w:lang w:eastAsia="en-GB"/>
        </w:rPr>
        <w:t xml:space="preserve"> relatives under article 10 of </w:t>
      </w:r>
      <w:r w:rsidRPr="00671617">
        <w:t>the</w:t>
      </w:r>
      <w:r w:rsidRPr="00671617">
        <w:rPr>
          <w:rFonts w:eastAsia="ヒラギノ角ゴ Pro W3"/>
          <w:lang w:eastAsia="en-GB"/>
        </w:rPr>
        <w:t xml:space="preserve"> Covenant due to </w:t>
      </w:r>
      <w:r w:rsidR="008570BA">
        <w:rPr>
          <w:rFonts w:eastAsia="ヒラギノ角ゴ Pro W3"/>
          <w:lang w:eastAsia="en-GB"/>
        </w:rPr>
        <w:t>its</w:t>
      </w:r>
      <w:r w:rsidRPr="00671617">
        <w:rPr>
          <w:rFonts w:eastAsia="ヒラギノ角ゴ Pro W3"/>
          <w:lang w:eastAsia="en-GB"/>
        </w:rPr>
        <w:t xml:space="preserve"> inherent failure to treat </w:t>
      </w:r>
      <w:r w:rsidR="008570BA">
        <w:rPr>
          <w:rFonts w:eastAsia="ヒラギノ角ゴ Pro W3"/>
          <w:lang w:eastAsia="en-GB"/>
        </w:rPr>
        <w:t>their relatives</w:t>
      </w:r>
      <w:r w:rsidRPr="00671617">
        <w:rPr>
          <w:rFonts w:eastAsia="ヒラギノ角ゴ Pro W3"/>
          <w:lang w:eastAsia="en-GB"/>
        </w:rPr>
        <w:t>, who remain subject to enforced disappearance, with humanity and to respect their dignity.</w:t>
      </w:r>
      <w:r w:rsidR="00BF3843">
        <w:rPr>
          <w:rFonts w:eastAsia="ヒラギノ角ゴ Pro W3"/>
          <w:lang w:eastAsia="en-GB"/>
        </w:rPr>
        <w:t xml:space="preserve"> </w:t>
      </w:r>
    </w:p>
    <w:p w14:paraId="29BB931D" w14:textId="77777777" w:rsidR="00671617" w:rsidRPr="00671617" w:rsidRDefault="00671617">
      <w:pPr>
        <w:pStyle w:val="SingleTxtG"/>
        <w:rPr>
          <w:rFonts w:eastAsia="ヒラギノ角ゴ Pro W3"/>
          <w:lang w:eastAsia="en-GB"/>
        </w:rPr>
      </w:pPr>
      <w:r w:rsidRPr="00671617">
        <w:rPr>
          <w:rFonts w:eastAsia="ヒラギノ角ゴ Pro W3"/>
          <w:lang w:eastAsia="en-GB"/>
        </w:rPr>
        <w:t>3.6</w:t>
      </w:r>
      <w:r w:rsidRPr="00671617">
        <w:rPr>
          <w:rFonts w:eastAsia="ヒラギノ角ゴ Pro W3"/>
          <w:lang w:eastAsia="en-GB"/>
        </w:rPr>
        <w:tab/>
        <w:t xml:space="preserve">The </w:t>
      </w:r>
      <w:r w:rsidR="008570BA">
        <w:rPr>
          <w:rFonts w:eastAsia="ヒラギノ角ゴ Pro W3"/>
          <w:lang w:eastAsia="en-GB"/>
        </w:rPr>
        <w:t xml:space="preserve">authors maintain that the </w:t>
      </w:r>
      <w:r w:rsidRPr="00671617">
        <w:rPr>
          <w:rFonts w:eastAsia="ヒラギノ角ゴ Pro W3"/>
          <w:lang w:eastAsia="en-GB"/>
        </w:rPr>
        <w:t xml:space="preserve">enforced disappearance of </w:t>
      </w:r>
      <w:r w:rsidR="008570BA">
        <w:rPr>
          <w:rFonts w:eastAsia="ヒラギノ角ゴ Pro W3"/>
          <w:lang w:eastAsia="en-GB"/>
        </w:rPr>
        <w:t xml:space="preserve">their </w:t>
      </w:r>
      <w:r w:rsidRPr="00671617">
        <w:rPr>
          <w:rFonts w:eastAsia="ヒラギノ角ゴ Pro W3"/>
          <w:lang w:eastAsia="en-GB"/>
        </w:rPr>
        <w:t xml:space="preserve">relatives and the failure by the authorities to conduct </w:t>
      </w:r>
      <w:r w:rsidRPr="00BB0D85">
        <w:rPr>
          <w:rFonts w:eastAsia="ヒラギノ角ゴ Pro W3"/>
          <w:lang w:eastAsia="en-GB"/>
        </w:rPr>
        <w:t xml:space="preserve">an effective investigation concerning their whereabouts and fate </w:t>
      </w:r>
      <w:r w:rsidR="00BB0D85" w:rsidRPr="00BB0D85">
        <w:rPr>
          <w:rFonts w:eastAsia="ヒラギノ角ゴ Pro W3"/>
          <w:lang w:eastAsia="en-GB"/>
        </w:rPr>
        <w:t xml:space="preserve">places </w:t>
      </w:r>
      <w:r w:rsidRPr="00BB0D85">
        <w:rPr>
          <w:rFonts w:eastAsia="ヒラギノ角ゴ Pro W3"/>
          <w:lang w:eastAsia="en-GB"/>
        </w:rPr>
        <w:t>the</w:t>
      </w:r>
      <w:r w:rsidR="008570BA">
        <w:rPr>
          <w:rFonts w:eastAsia="ヒラギノ角ゴ Pro W3"/>
          <w:lang w:eastAsia="en-GB"/>
        </w:rPr>
        <w:t>ir relatives</w:t>
      </w:r>
      <w:r w:rsidRPr="00BB0D85">
        <w:rPr>
          <w:rFonts w:eastAsia="ヒラギノ角ゴ Pro W3"/>
          <w:lang w:eastAsia="en-GB"/>
        </w:rPr>
        <w:t xml:space="preserve"> outside</w:t>
      </w:r>
      <w:r w:rsidRPr="00671617">
        <w:rPr>
          <w:rFonts w:eastAsia="ヒラギノ角ゴ Pro W3"/>
          <w:lang w:eastAsia="en-GB"/>
        </w:rPr>
        <w:t xml:space="preserve"> the protection </w:t>
      </w:r>
      <w:r w:rsidRPr="00671617">
        <w:t>of</w:t>
      </w:r>
      <w:r w:rsidRPr="00671617">
        <w:rPr>
          <w:rFonts w:eastAsia="ヒラギノ角ゴ Pro W3"/>
          <w:lang w:eastAsia="en-GB"/>
        </w:rPr>
        <w:t xml:space="preserve"> the law, preventing them from enjoying their human rights and freedoms in violation</w:t>
      </w:r>
      <w:r w:rsidR="00BF3843">
        <w:rPr>
          <w:rFonts w:eastAsia="ヒラギノ角ゴ Pro W3"/>
          <w:lang w:eastAsia="en-GB"/>
        </w:rPr>
        <w:t xml:space="preserve"> of article 16 of the Covenant.</w:t>
      </w:r>
    </w:p>
    <w:p w14:paraId="1C077E67" w14:textId="77777777" w:rsidR="00671617" w:rsidRPr="00671617" w:rsidRDefault="00BF3843">
      <w:pPr>
        <w:pStyle w:val="SingleTxtG"/>
        <w:rPr>
          <w:rFonts w:eastAsia="ヒラギノ角ゴ Pro W3"/>
          <w:lang w:eastAsia="en-GB"/>
        </w:rPr>
      </w:pPr>
      <w:r>
        <w:rPr>
          <w:rFonts w:eastAsia="ヒラギノ角ゴ Pro W3"/>
          <w:lang w:eastAsia="en-GB"/>
        </w:rPr>
        <w:t>3.7</w:t>
      </w:r>
      <w:r w:rsidR="00671617" w:rsidRPr="00671617">
        <w:rPr>
          <w:rFonts w:eastAsia="ヒラギノ角ゴ Pro W3"/>
          <w:lang w:eastAsia="en-GB"/>
        </w:rPr>
        <w:tab/>
        <w:t>The authors submit that article 23</w:t>
      </w:r>
      <w:r w:rsidR="00815E94">
        <w:rPr>
          <w:rFonts w:eastAsia="ヒラギノ角ゴ Pro W3"/>
          <w:lang w:eastAsia="en-GB"/>
        </w:rPr>
        <w:t xml:space="preserve"> (</w:t>
      </w:r>
      <w:r w:rsidR="00671617" w:rsidRPr="00671617">
        <w:rPr>
          <w:rFonts w:eastAsia="ヒラギノ角ゴ Pro W3"/>
          <w:lang w:eastAsia="en-GB"/>
        </w:rPr>
        <w:t>1</w:t>
      </w:r>
      <w:r w:rsidR="00815E94">
        <w:rPr>
          <w:rFonts w:eastAsia="ヒラギノ角ゴ Pro W3"/>
          <w:lang w:eastAsia="en-GB"/>
        </w:rPr>
        <w:t>)</w:t>
      </w:r>
      <w:r w:rsidR="00671617" w:rsidRPr="00671617">
        <w:rPr>
          <w:rFonts w:eastAsia="ヒラギノ角ゴ Pro W3"/>
          <w:lang w:eastAsia="en-GB"/>
        </w:rPr>
        <w:t xml:space="preserve"> of the Covenant requires the maintenance of personal relations and direct and regular contact </w:t>
      </w:r>
      <w:r w:rsidR="00671617" w:rsidRPr="00505C91">
        <w:rPr>
          <w:rFonts w:eastAsia="ヒラギノ角ゴ Pro W3"/>
          <w:lang w:eastAsia="en-GB"/>
        </w:rPr>
        <w:t xml:space="preserve">between </w:t>
      </w:r>
      <w:r w:rsidR="00815E94" w:rsidRPr="00505C91">
        <w:rPr>
          <w:rFonts w:eastAsia="ヒラギノ角ゴ Pro W3"/>
          <w:lang w:eastAsia="en-GB"/>
        </w:rPr>
        <w:t xml:space="preserve">a </w:t>
      </w:r>
      <w:r w:rsidR="00671617" w:rsidRPr="00505C91">
        <w:rPr>
          <w:rFonts w:eastAsia="ヒラギノ角ゴ Pro W3"/>
          <w:lang w:eastAsia="en-GB"/>
        </w:rPr>
        <w:t xml:space="preserve">child and </w:t>
      </w:r>
      <w:r w:rsidR="00815E94" w:rsidRPr="00505C91">
        <w:rPr>
          <w:rFonts w:eastAsia="ヒラギノ角ゴ Pro W3"/>
          <w:lang w:eastAsia="en-GB"/>
        </w:rPr>
        <w:t xml:space="preserve">his or her </w:t>
      </w:r>
      <w:r w:rsidR="00671617" w:rsidRPr="00505C91">
        <w:rPr>
          <w:rFonts w:eastAsia="ヒラギノ角ゴ Pro W3"/>
          <w:lang w:eastAsia="en-GB"/>
        </w:rPr>
        <w:t xml:space="preserve">parents and that, therefore, the </w:t>
      </w:r>
      <w:r w:rsidR="00671617" w:rsidRPr="00505C91">
        <w:t>enforced</w:t>
      </w:r>
      <w:r w:rsidR="00671617" w:rsidRPr="00505C91">
        <w:rPr>
          <w:rFonts w:eastAsia="ヒラギノ角ゴ Pro W3"/>
          <w:lang w:eastAsia="en-GB"/>
        </w:rPr>
        <w:t xml:space="preserve"> disappearance of the authors’ relatives constitutes a violation of this provision</w:t>
      </w:r>
      <w:r w:rsidR="00815E94" w:rsidRPr="00505C91">
        <w:rPr>
          <w:rFonts w:eastAsia="ヒラギノ角ゴ Pro W3"/>
          <w:lang w:eastAsia="en-GB"/>
        </w:rPr>
        <w:t>,</w:t>
      </w:r>
      <w:r w:rsidR="00671617" w:rsidRPr="00505C91">
        <w:rPr>
          <w:rFonts w:eastAsia="ヒラギノ角ゴ Pro W3"/>
          <w:lang w:eastAsia="en-GB"/>
        </w:rPr>
        <w:t xml:space="preserve"> since it resulted in a complete </w:t>
      </w:r>
      <w:r w:rsidR="00BB0D85" w:rsidRPr="00505C91">
        <w:rPr>
          <w:rFonts w:eastAsia="ヒラギノ角ゴ Pro W3"/>
          <w:lang w:eastAsia="en-GB"/>
        </w:rPr>
        <w:t xml:space="preserve">rupture </w:t>
      </w:r>
      <w:r w:rsidR="00671617" w:rsidRPr="00505C91">
        <w:rPr>
          <w:rFonts w:eastAsia="ヒラギノ角ゴ Pro W3"/>
          <w:lang w:eastAsia="en-GB"/>
        </w:rPr>
        <w:t>of the relationship between parents and children.</w:t>
      </w:r>
    </w:p>
    <w:p w14:paraId="6688F81A" w14:textId="77777777" w:rsidR="00671617" w:rsidRPr="00671617" w:rsidRDefault="00BF3843">
      <w:pPr>
        <w:pStyle w:val="SingleTxtG"/>
        <w:rPr>
          <w:rFonts w:eastAsia="ヒラギノ角ゴ Pro W3"/>
          <w:color w:val="000000"/>
          <w:lang w:eastAsia="en-GB"/>
        </w:rPr>
      </w:pPr>
      <w:r>
        <w:rPr>
          <w:rFonts w:eastAsia="ヒラギノ角ゴ Pro W3"/>
          <w:color w:val="000000"/>
          <w:lang w:eastAsia="en-GB"/>
        </w:rPr>
        <w:t>3.8</w:t>
      </w:r>
      <w:r w:rsidR="00671617" w:rsidRPr="00671617">
        <w:rPr>
          <w:rFonts w:eastAsia="ヒラギノ角ゴ Pro W3"/>
          <w:color w:val="000000"/>
          <w:lang w:eastAsia="en-GB"/>
        </w:rPr>
        <w:tab/>
        <w:t xml:space="preserve">The authors argue that </w:t>
      </w:r>
      <w:r w:rsidR="00671617" w:rsidRPr="00151E31">
        <w:rPr>
          <w:rFonts w:eastAsia="ヒラギノ角ゴ Pro W3"/>
          <w:color w:val="000000"/>
          <w:lang w:eastAsia="en-GB"/>
        </w:rPr>
        <w:t xml:space="preserve">Dhaniram (17-18 years old), Soniram, Kamala (16-18 years old), Lauti (17-20 years old) and Chillu were </w:t>
      </w:r>
      <w:r w:rsidR="00815E94" w:rsidRPr="00151E31">
        <w:rPr>
          <w:rFonts w:eastAsia="ヒラギノ角ゴ Pro W3"/>
          <w:color w:val="000000"/>
          <w:lang w:eastAsia="en-GB"/>
        </w:rPr>
        <w:t xml:space="preserve">under </w:t>
      </w:r>
      <w:r w:rsidR="00671617" w:rsidRPr="00151E31">
        <w:rPr>
          <w:rFonts w:eastAsia="ヒラギノ角ゴ Pro W3"/>
          <w:color w:val="000000"/>
          <w:lang w:eastAsia="en-GB"/>
        </w:rPr>
        <w:t xml:space="preserve">the age of 18 and that the State party was </w:t>
      </w:r>
      <w:r w:rsidR="008570BA">
        <w:rPr>
          <w:rFonts w:eastAsia="ヒラギノ角ゴ Pro W3"/>
          <w:color w:val="000000"/>
          <w:lang w:eastAsia="en-GB"/>
        </w:rPr>
        <w:t xml:space="preserve">therefore </w:t>
      </w:r>
      <w:r w:rsidR="00671617" w:rsidRPr="00151E31">
        <w:rPr>
          <w:rFonts w:eastAsia="ヒラギノ角ゴ Pro W3"/>
          <w:color w:val="000000"/>
          <w:lang w:eastAsia="en-GB"/>
        </w:rPr>
        <w:t>obliged to provide</w:t>
      </w:r>
      <w:r w:rsidR="005679A4" w:rsidRPr="00151E31">
        <w:rPr>
          <w:rFonts w:eastAsia="ヒラギノ角ゴ Pro W3"/>
          <w:color w:val="000000"/>
          <w:lang w:eastAsia="en-GB"/>
        </w:rPr>
        <w:t xml:space="preserve"> </w:t>
      </w:r>
      <w:r w:rsidR="00671617" w:rsidRPr="00151E31">
        <w:rPr>
          <w:rFonts w:eastAsia="ヒラギノ角ゴ Pro W3"/>
          <w:color w:val="000000"/>
          <w:lang w:eastAsia="en-GB"/>
        </w:rPr>
        <w:t xml:space="preserve">them special protection as minors. </w:t>
      </w:r>
      <w:r w:rsidR="00671617" w:rsidRPr="00D470BE">
        <w:rPr>
          <w:rFonts w:eastAsia="ヒラギノ角ゴ Pro W3"/>
          <w:color w:val="000000"/>
          <w:lang w:eastAsia="en-GB"/>
        </w:rPr>
        <w:t xml:space="preserve">Accordingly, their arrest and subsequent disappearance also constituted a violation of article 24 </w:t>
      </w:r>
      <w:r w:rsidR="00815E94" w:rsidRPr="00D470BE">
        <w:rPr>
          <w:rFonts w:eastAsia="ヒラギノ角ゴ Pro W3"/>
          <w:color w:val="000000"/>
          <w:lang w:eastAsia="en-GB"/>
        </w:rPr>
        <w:t>(</w:t>
      </w:r>
      <w:r w:rsidR="00671617" w:rsidRPr="00D470BE">
        <w:rPr>
          <w:rFonts w:eastAsia="ヒラギノ角ゴ Pro W3"/>
          <w:color w:val="000000"/>
          <w:lang w:eastAsia="en-GB"/>
        </w:rPr>
        <w:t>1</w:t>
      </w:r>
      <w:r w:rsidR="00815E94" w:rsidRPr="00D470BE">
        <w:rPr>
          <w:rFonts w:eastAsia="ヒラギノ角ゴ Pro W3"/>
          <w:color w:val="000000"/>
          <w:lang w:eastAsia="en-GB"/>
        </w:rPr>
        <w:t>)</w:t>
      </w:r>
      <w:r w:rsidR="00671617" w:rsidRPr="00D470BE">
        <w:rPr>
          <w:rFonts w:eastAsia="ヒラギノ角ゴ Pro W3"/>
          <w:color w:val="000000"/>
          <w:lang w:eastAsia="en-GB"/>
        </w:rPr>
        <w:t xml:space="preserve"> of the Covenant. The authors point out that, as established in article 37 </w:t>
      </w:r>
      <w:r w:rsidR="00815E94" w:rsidRPr="00D470BE">
        <w:rPr>
          <w:rFonts w:eastAsia="ヒラギノ角ゴ Pro W3"/>
          <w:color w:val="000000"/>
          <w:lang w:eastAsia="en-GB"/>
        </w:rPr>
        <w:t>(</w:t>
      </w:r>
      <w:r w:rsidR="00671617" w:rsidRPr="00D470BE">
        <w:rPr>
          <w:rFonts w:eastAsia="ヒラギノ角ゴ Pro W3"/>
          <w:color w:val="000000"/>
          <w:lang w:eastAsia="en-GB"/>
        </w:rPr>
        <w:t>b) of the Convention on the Rights of the Child, the arrest, detention or imprisonment of a child should be in conformity with the law and be used only as a measure of last resort and for the shortest</w:t>
      </w:r>
      <w:r w:rsidR="00671617" w:rsidRPr="00671617">
        <w:rPr>
          <w:rFonts w:eastAsia="ヒラギノ角ゴ Pro W3"/>
          <w:color w:val="000000"/>
          <w:lang w:eastAsia="en-GB"/>
        </w:rPr>
        <w:t xml:space="preserve"> period of time.</w:t>
      </w:r>
      <w:r w:rsidR="00671617" w:rsidRPr="00571DEE">
        <w:rPr>
          <w:rStyle w:val="FootnoteReference"/>
          <w:rFonts w:eastAsia="ヒラギノ角ゴ Pro W3"/>
        </w:rPr>
        <w:footnoteReference w:id="13"/>
      </w:r>
    </w:p>
    <w:p w14:paraId="2FA2F09D" w14:textId="77777777" w:rsidR="00671617" w:rsidRPr="00671617" w:rsidRDefault="00BF3843">
      <w:pPr>
        <w:pStyle w:val="SingleTxtG"/>
        <w:rPr>
          <w:rFonts w:eastAsia="ヒラギノ角ゴ Pro W3"/>
          <w:color w:val="000000"/>
          <w:lang w:eastAsia="en-GB"/>
        </w:rPr>
      </w:pPr>
      <w:r>
        <w:rPr>
          <w:rFonts w:eastAsia="ヒラギノ角ゴ Pro W3"/>
          <w:color w:val="000000"/>
          <w:lang w:eastAsia="en-GB"/>
        </w:rPr>
        <w:t>3.9</w:t>
      </w:r>
      <w:r w:rsidR="00671617" w:rsidRPr="00671617">
        <w:rPr>
          <w:rFonts w:eastAsia="ヒラギノ角ゴ Pro W3"/>
          <w:color w:val="000000"/>
          <w:lang w:eastAsia="en-GB"/>
        </w:rPr>
        <w:tab/>
      </w:r>
      <w:r w:rsidR="00671617" w:rsidRPr="00671617">
        <w:rPr>
          <w:rFonts w:eastAsia="ヒラギノ角ゴ Pro W3"/>
          <w:color w:val="000000"/>
          <w:spacing w:val="-2"/>
          <w:lang w:eastAsia="en-GB"/>
        </w:rPr>
        <w:t xml:space="preserve">Although the authors </w:t>
      </w:r>
      <w:r w:rsidR="008570BA" w:rsidRPr="00671617">
        <w:rPr>
          <w:rFonts w:eastAsia="ヒラギノ角ゴ Pro W3"/>
          <w:color w:val="000000"/>
          <w:spacing w:val="-2"/>
          <w:lang w:eastAsia="en-GB"/>
        </w:rPr>
        <w:t xml:space="preserve">promptly </w:t>
      </w:r>
      <w:r w:rsidR="00671617" w:rsidRPr="00671617">
        <w:rPr>
          <w:rFonts w:eastAsia="ヒラギノ角ゴ Pro W3"/>
          <w:color w:val="000000"/>
          <w:spacing w:val="-2"/>
          <w:lang w:eastAsia="en-GB"/>
        </w:rPr>
        <w:t xml:space="preserve">reported the arbitrary </w:t>
      </w:r>
      <w:r w:rsidR="00671617" w:rsidRPr="0060213E">
        <w:rPr>
          <w:rFonts w:eastAsia="ヒラギノ角ゴ Pro W3"/>
          <w:color w:val="000000"/>
          <w:spacing w:val="-2"/>
          <w:lang w:eastAsia="en-GB"/>
        </w:rPr>
        <w:t xml:space="preserve">deprivation of liberty and enforced disappearance of their relatives to the authorities </w:t>
      </w:r>
      <w:r w:rsidR="00671617" w:rsidRPr="008570BA">
        <w:rPr>
          <w:rFonts w:eastAsia="ヒラギノ角ゴ Pro W3"/>
          <w:color w:val="000000"/>
          <w:spacing w:val="-2"/>
          <w:lang w:eastAsia="en-GB"/>
        </w:rPr>
        <w:t xml:space="preserve">and filed several complaints, including writs of habeas corpus before the Supreme Court, no ex officio, prompt, impartial, thorough and independent investigation has been carried out and the fate and </w:t>
      </w:r>
      <w:r w:rsidR="00815E94" w:rsidRPr="008570BA">
        <w:rPr>
          <w:rFonts w:eastAsia="ヒラギノ角ゴ Pro W3"/>
          <w:color w:val="000000"/>
          <w:spacing w:val="-2"/>
          <w:lang w:eastAsia="en-GB"/>
        </w:rPr>
        <w:t xml:space="preserve">the </w:t>
      </w:r>
      <w:r w:rsidR="00671617" w:rsidRPr="008570BA">
        <w:rPr>
          <w:rFonts w:eastAsia="ヒラギノ角ゴ Pro W3"/>
          <w:color w:val="000000"/>
          <w:spacing w:val="-2"/>
          <w:lang w:eastAsia="en-GB"/>
        </w:rPr>
        <w:t>whereabouts of their eight relatives remain unknown to date. Should their relatives be dead, their</w:t>
      </w:r>
      <w:r w:rsidR="00671617" w:rsidRPr="00671617">
        <w:rPr>
          <w:rFonts w:eastAsia="ヒラギノ角ゴ Pro W3"/>
          <w:color w:val="000000"/>
          <w:lang w:eastAsia="en-GB"/>
        </w:rPr>
        <w:t xml:space="preserve"> remains have not been located, exhumed, identified and returned to the families. Moreover, no one has </w:t>
      </w:r>
      <w:r w:rsidR="00125DE1">
        <w:rPr>
          <w:rFonts w:eastAsia="ヒラギノ角ゴ Pro W3"/>
          <w:color w:val="000000"/>
          <w:lang w:eastAsia="en-GB"/>
        </w:rPr>
        <w:t xml:space="preserve">yet </w:t>
      </w:r>
      <w:r w:rsidR="00671617" w:rsidRPr="00671617">
        <w:rPr>
          <w:rFonts w:eastAsia="ヒラギノ角ゴ Pro W3"/>
          <w:color w:val="000000"/>
          <w:lang w:eastAsia="en-GB"/>
        </w:rPr>
        <w:t>been convicted for their arbitrary deprivation of liberty and enforced disappearance</w:t>
      </w:r>
      <w:r w:rsidR="00671617" w:rsidRPr="00671617">
        <w:rPr>
          <w:rFonts w:eastAsia="ヒラギノ角ゴ Pro W3"/>
          <w:color w:val="000000"/>
          <w:spacing w:val="-2"/>
          <w:lang w:eastAsia="en-GB"/>
        </w:rPr>
        <w:t xml:space="preserve">. Accordingly, the State party has violated and is continuing </w:t>
      </w:r>
      <w:r w:rsidR="00125DE1">
        <w:rPr>
          <w:rFonts w:eastAsia="ヒラギノ角ゴ Pro W3"/>
          <w:color w:val="000000"/>
          <w:spacing w:val="-2"/>
          <w:lang w:eastAsia="en-GB"/>
        </w:rPr>
        <w:t xml:space="preserve">to </w:t>
      </w:r>
      <w:r w:rsidR="00671617" w:rsidRPr="00671617">
        <w:rPr>
          <w:rFonts w:eastAsia="ヒラギノ角ゴ Pro W3"/>
          <w:color w:val="000000"/>
          <w:spacing w:val="-2"/>
          <w:lang w:eastAsia="en-GB"/>
        </w:rPr>
        <w:t>violat</w:t>
      </w:r>
      <w:r w:rsidR="00125DE1">
        <w:rPr>
          <w:rFonts w:eastAsia="ヒラギノ角ゴ Pro W3"/>
          <w:color w:val="000000"/>
          <w:spacing w:val="-2"/>
          <w:lang w:eastAsia="en-GB"/>
        </w:rPr>
        <w:t>e</w:t>
      </w:r>
      <w:r w:rsidR="00671617" w:rsidRPr="00671617">
        <w:rPr>
          <w:rFonts w:eastAsia="ヒラギノ角ゴ Pro W3"/>
          <w:color w:val="000000"/>
          <w:spacing w:val="-2"/>
          <w:lang w:eastAsia="en-GB"/>
        </w:rPr>
        <w:t xml:space="preserve"> their relatives’ rights </w:t>
      </w:r>
      <w:r w:rsidR="00671617" w:rsidRPr="00671617">
        <w:rPr>
          <w:rFonts w:eastAsia="ヒラギノ角ゴ Pro W3"/>
          <w:color w:val="000000"/>
          <w:spacing w:val="-2"/>
          <w:lang w:eastAsia="en-GB"/>
        </w:rPr>
        <w:lastRenderedPageBreak/>
        <w:t xml:space="preserve">under articles 6 </w:t>
      </w:r>
      <w:r w:rsidR="00125DE1">
        <w:rPr>
          <w:rFonts w:eastAsia="ヒラギノ角ゴ Pro W3"/>
          <w:color w:val="000000"/>
          <w:spacing w:val="-2"/>
          <w:lang w:eastAsia="en-GB"/>
        </w:rPr>
        <w:t>(</w:t>
      </w:r>
      <w:r w:rsidR="00671617" w:rsidRPr="00671617">
        <w:rPr>
          <w:rFonts w:eastAsia="ヒラギノ角ゴ Pro W3"/>
          <w:color w:val="000000"/>
          <w:spacing w:val="-2"/>
          <w:lang w:eastAsia="en-GB"/>
        </w:rPr>
        <w:t>1</w:t>
      </w:r>
      <w:r w:rsidR="00125DE1">
        <w:rPr>
          <w:rFonts w:eastAsia="ヒラギノ角ゴ Pro W3"/>
          <w:color w:val="000000"/>
          <w:spacing w:val="-2"/>
          <w:lang w:eastAsia="en-GB"/>
        </w:rPr>
        <w:t>),</w:t>
      </w:r>
      <w:r w:rsidR="00671617" w:rsidRPr="00671617">
        <w:rPr>
          <w:rFonts w:eastAsia="ヒラギノ角ゴ Pro W3"/>
          <w:color w:val="000000"/>
          <w:spacing w:val="-2"/>
          <w:lang w:eastAsia="en-GB"/>
        </w:rPr>
        <w:t xml:space="preserve"> 7</w:t>
      </w:r>
      <w:r w:rsidR="00125DE1">
        <w:rPr>
          <w:rFonts w:eastAsia="ヒラギノ角ゴ Pro W3"/>
          <w:color w:val="000000"/>
          <w:spacing w:val="-2"/>
          <w:lang w:eastAsia="en-GB"/>
        </w:rPr>
        <w:t>,</w:t>
      </w:r>
      <w:r w:rsidR="00671617" w:rsidRPr="00671617">
        <w:rPr>
          <w:rFonts w:eastAsia="ヒラギノ角ゴ Pro W3"/>
          <w:color w:val="000000"/>
          <w:spacing w:val="-2"/>
          <w:lang w:eastAsia="en-GB"/>
        </w:rPr>
        <w:t xml:space="preserve"> 9</w:t>
      </w:r>
      <w:r w:rsidR="00125DE1">
        <w:rPr>
          <w:rFonts w:eastAsia="ヒラギノ角ゴ Pro W3"/>
          <w:color w:val="000000"/>
          <w:spacing w:val="-2"/>
          <w:lang w:eastAsia="en-GB"/>
        </w:rPr>
        <w:t>,</w:t>
      </w:r>
      <w:r w:rsidR="00671617" w:rsidRPr="00671617">
        <w:rPr>
          <w:rFonts w:eastAsia="ヒラギノ角ゴ Pro W3"/>
          <w:color w:val="000000"/>
          <w:spacing w:val="-2"/>
          <w:lang w:eastAsia="en-GB"/>
        </w:rPr>
        <w:t xml:space="preserve"> </w:t>
      </w:r>
      <w:r w:rsidR="00671617" w:rsidRPr="00671617">
        <w:rPr>
          <w:rFonts w:eastAsia="ヒラギノ角ゴ Pro W3"/>
          <w:color w:val="000000"/>
          <w:lang w:eastAsia="en-GB"/>
        </w:rPr>
        <w:t xml:space="preserve">10 </w:t>
      </w:r>
      <w:r w:rsidR="00125DE1">
        <w:rPr>
          <w:rFonts w:eastAsia="ヒラギノ角ゴ Pro W3"/>
          <w:color w:val="000000"/>
          <w:lang w:eastAsia="en-GB"/>
        </w:rPr>
        <w:t>(</w:t>
      </w:r>
      <w:r w:rsidR="00671617" w:rsidRPr="00671617">
        <w:rPr>
          <w:rFonts w:eastAsia="ヒラギノ角ゴ Pro W3"/>
          <w:color w:val="000000"/>
          <w:lang w:eastAsia="en-GB"/>
        </w:rPr>
        <w:t>1</w:t>
      </w:r>
      <w:r w:rsidR="00125DE1">
        <w:rPr>
          <w:rFonts w:eastAsia="ヒラギノ角ゴ Pro W3"/>
          <w:color w:val="000000"/>
          <w:lang w:eastAsia="en-GB"/>
        </w:rPr>
        <w:t>),</w:t>
      </w:r>
      <w:r w:rsidR="00671617" w:rsidRPr="00671617">
        <w:rPr>
          <w:rFonts w:eastAsia="ヒラギノ角ゴ Pro W3"/>
          <w:color w:val="000000"/>
          <w:lang w:eastAsia="en-GB"/>
        </w:rPr>
        <w:t xml:space="preserve"> 16</w:t>
      </w:r>
      <w:r w:rsidR="00125DE1">
        <w:rPr>
          <w:rFonts w:eastAsia="ヒラギノ角ゴ Pro W3"/>
          <w:color w:val="000000"/>
          <w:lang w:eastAsia="en-GB"/>
        </w:rPr>
        <w:t>,</w:t>
      </w:r>
      <w:r w:rsidR="00671617" w:rsidRPr="00671617">
        <w:rPr>
          <w:rFonts w:eastAsia="ヒラギノ角ゴ Pro W3"/>
          <w:color w:val="000000"/>
          <w:lang w:eastAsia="en-GB"/>
        </w:rPr>
        <w:t xml:space="preserve"> 23 </w:t>
      </w:r>
      <w:r w:rsidR="00125DE1">
        <w:rPr>
          <w:rFonts w:eastAsia="ヒラギノ角ゴ Pro W3"/>
          <w:color w:val="000000"/>
          <w:lang w:eastAsia="en-GB"/>
        </w:rPr>
        <w:t>(</w:t>
      </w:r>
      <w:r w:rsidR="00671617" w:rsidRPr="00671617">
        <w:rPr>
          <w:rFonts w:eastAsia="ヒラギノ角ゴ Pro W3"/>
          <w:color w:val="000000"/>
          <w:lang w:eastAsia="en-GB"/>
        </w:rPr>
        <w:t>1</w:t>
      </w:r>
      <w:r w:rsidR="00125DE1">
        <w:rPr>
          <w:rFonts w:eastAsia="ヒラギノ角ゴ Pro W3"/>
          <w:color w:val="000000"/>
          <w:lang w:eastAsia="en-GB"/>
        </w:rPr>
        <w:t>)</w:t>
      </w:r>
      <w:r w:rsidR="00671617" w:rsidRPr="00671617">
        <w:rPr>
          <w:rFonts w:eastAsia="ヒラギノ角ゴ Pro W3"/>
          <w:color w:val="000000"/>
          <w:lang w:eastAsia="en-GB"/>
        </w:rPr>
        <w:t xml:space="preserve"> and 24 </w:t>
      </w:r>
      <w:r w:rsidR="00125DE1">
        <w:rPr>
          <w:rFonts w:eastAsia="ヒラギノ角ゴ Pro W3"/>
          <w:color w:val="000000"/>
          <w:lang w:eastAsia="en-GB"/>
        </w:rPr>
        <w:t>(</w:t>
      </w:r>
      <w:r w:rsidR="00671617" w:rsidRPr="00671617">
        <w:rPr>
          <w:rFonts w:eastAsia="ヒラギノ角ゴ Pro W3"/>
          <w:color w:val="000000"/>
          <w:lang w:eastAsia="en-GB"/>
        </w:rPr>
        <w:t>1</w:t>
      </w:r>
      <w:r w:rsidR="00125DE1">
        <w:rPr>
          <w:rFonts w:eastAsia="ヒラギノ角ゴ Pro W3"/>
          <w:color w:val="000000"/>
          <w:lang w:eastAsia="en-GB"/>
        </w:rPr>
        <w:t>)</w:t>
      </w:r>
      <w:r w:rsidR="00671617" w:rsidRPr="00671617">
        <w:rPr>
          <w:rFonts w:eastAsia="ヒラギノ角ゴ Pro W3"/>
          <w:color w:val="000000"/>
          <w:lang w:eastAsia="en-GB"/>
        </w:rPr>
        <w:t xml:space="preserve">, </w:t>
      </w:r>
      <w:r w:rsidR="003C28D4">
        <w:rPr>
          <w:rFonts w:eastAsia="ヒラギノ角ゴ Pro W3"/>
          <w:color w:val="000000"/>
          <w:lang w:eastAsia="en-GB"/>
        </w:rPr>
        <w:t xml:space="preserve">all </w:t>
      </w:r>
      <w:r w:rsidR="00671617" w:rsidRPr="00671617">
        <w:rPr>
          <w:rFonts w:eastAsia="ヒラギノ角ゴ Pro W3"/>
          <w:color w:val="000000"/>
          <w:lang w:eastAsia="en-GB"/>
        </w:rPr>
        <w:t>read in conjunction with article 2</w:t>
      </w:r>
      <w:r w:rsidR="00125DE1">
        <w:rPr>
          <w:rFonts w:eastAsia="ヒラギノ角ゴ Pro W3"/>
          <w:color w:val="000000"/>
          <w:lang w:eastAsia="en-GB"/>
        </w:rPr>
        <w:t> (</w:t>
      </w:r>
      <w:r w:rsidR="00671617" w:rsidRPr="00671617">
        <w:rPr>
          <w:rFonts w:eastAsia="ヒラギノ角ゴ Pro W3"/>
          <w:color w:val="000000"/>
          <w:lang w:eastAsia="en-GB"/>
        </w:rPr>
        <w:t>3</w:t>
      </w:r>
      <w:r w:rsidR="00125DE1">
        <w:rPr>
          <w:rFonts w:eastAsia="ヒラギノ角ゴ Pro W3"/>
          <w:color w:val="000000"/>
          <w:lang w:eastAsia="en-GB"/>
        </w:rPr>
        <w:t>)</w:t>
      </w:r>
      <w:r w:rsidR="00671617" w:rsidRPr="00671617">
        <w:rPr>
          <w:rFonts w:eastAsia="ヒラギノ角ゴ Pro W3"/>
          <w:color w:val="000000"/>
          <w:lang w:eastAsia="en-GB"/>
        </w:rPr>
        <w:t xml:space="preserve"> of the Covenant.</w:t>
      </w:r>
    </w:p>
    <w:p w14:paraId="18F5717B" w14:textId="77777777" w:rsidR="00671617" w:rsidRPr="00671617" w:rsidRDefault="00BF3843">
      <w:pPr>
        <w:pStyle w:val="SingleTxtG"/>
        <w:rPr>
          <w:rFonts w:eastAsia="ヒラギノ角ゴ Pro W3"/>
          <w:color w:val="000000"/>
          <w:spacing w:val="2"/>
          <w:lang w:eastAsia="en-GB"/>
        </w:rPr>
      </w:pPr>
      <w:r>
        <w:rPr>
          <w:rFonts w:eastAsia="ヒラギノ角ゴ Pro W3"/>
          <w:color w:val="000000"/>
          <w:lang w:eastAsia="en-GB"/>
        </w:rPr>
        <w:t>3.10</w:t>
      </w:r>
      <w:r>
        <w:rPr>
          <w:rFonts w:eastAsia="ヒラギノ角ゴ Pro W3"/>
          <w:color w:val="000000"/>
          <w:lang w:eastAsia="en-GB"/>
        </w:rPr>
        <w:tab/>
      </w:r>
      <w:r w:rsidR="00671617" w:rsidRPr="00671617">
        <w:rPr>
          <w:rFonts w:eastAsia="ヒラギノ角ゴ Pro W3"/>
          <w:color w:val="000000"/>
          <w:lang w:eastAsia="en-GB"/>
        </w:rPr>
        <w:t>T</w:t>
      </w:r>
      <w:r w:rsidR="00671617" w:rsidRPr="00671617">
        <w:rPr>
          <w:rFonts w:eastAsia="ヒラギノ角ゴ Pro W3"/>
          <w:color w:val="000000"/>
          <w:spacing w:val="2"/>
          <w:lang w:eastAsia="en-GB"/>
        </w:rPr>
        <w:t xml:space="preserve">he authors argue that the State party has </w:t>
      </w:r>
      <w:r w:rsidR="009A1C82">
        <w:rPr>
          <w:rFonts w:eastAsia="ヒラギノ角ゴ Pro W3"/>
          <w:color w:val="000000"/>
          <w:spacing w:val="2"/>
          <w:lang w:eastAsia="en-GB"/>
        </w:rPr>
        <w:t>continued to</w:t>
      </w:r>
      <w:r w:rsidR="009A1C82" w:rsidRPr="00671617">
        <w:rPr>
          <w:rFonts w:eastAsia="ヒラギノ角ゴ Pro W3"/>
          <w:color w:val="000000"/>
          <w:spacing w:val="2"/>
          <w:lang w:eastAsia="en-GB"/>
        </w:rPr>
        <w:t xml:space="preserve"> </w:t>
      </w:r>
      <w:r w:rsidR="00671617" w:rsidRPr="00671617">
        <w:rPr>
          <w:rFonts w:eastAsia="ヒラギノ角ゴ Pro W3"/>
          <w:color w:val="000000"/>
          <w:spacing w:val="2"/>
          <w:lang w:eastAsia="en-GB"/>
        </w:rPr>
        <w:t xml:space="preserve">violate their rights under article 7, read alone and in conjunction with article 2 </w:t>
      </w:r>
      <w:r w:rsidR="009A1C82">
        <w:rPr>
          <w:rFonts w:eastAsia="ヒラギノ角ゴ Pro W3"/>
          <w:color w:val="000000"/>
          <w:spacing w:val="2"/>
          <w:lang w:eastAsia="en-GB"/>
        </w:rPr>
        <w:t>(</w:t>
      </w:r>
      <w:r w:rsidR="00671617" w:rsidRPr="00671617">
        <w:rPr>
          <w:rFonts w:eastAsia="ヒラギノ角ゴ Pro W3"/>
          <w:color w:val="000000"/>
          <w:spacing w:val="2"/>
          <w:lang w:eastAsia="en-GB"/>
        </w:rPr>
        <w:t>3</w:t>
      </w:r>
      <w:r w:rsidR="009A1C82">
        <w:rPr>
          <w:rFonts w:eastAsia="ヒラギノ角ゴ Pro W3"/>
          <w:color w:val="000000"/>
          <w:spacing w:val="2"/>
          <w:lang w:eastAsia="en-GB"/>
        </w:rPr>
        <w:t>)</w:t>
      </w:r>
      <w:r w:rsidR="00671617" w:rsidRPr="00671617">
        <w:rPr>
          <w:rFonts w:eastAsia="ヒラギノ角ゴ Pro W3"/>
          <w:color w:val="000000"/>
          <w:spacing w:val="2"/>
          <w:lang w:eastAsia="en-GB"/>
        </w:rPr>
        <w:t xml:space="preserve"> of the Covenant. They </w:t>
      </w:r>
      <w:r w:rsidR="009A1C82">
        <w:rPr>
          <w:rFonts w:eastAsia="ヒラギノ角ゴ Pro W3"/>
          <w:color w:val="000000"/>
          <w:spacing w:val="2"/>
          <w:lang w:eastAsia="en-GB"/>
        </w:rPr>
        <w:t xml:space="preserve">have suffered </w:t>
      </w:r>
      <w:r w:rsidR="00671617" w:rsidRPr="00671617">
        <w:rPr>
          <w:rFonts w:eastAsia="ヒラギノ角ゴ Pro W3"/>
          <w:color w:val="000000"/>
          <w:spacing w:val="2"/>
          <w:lang w:eastAsia="en-GB"/>
        </w:rPr>
        <w:t xml:space="preserve">anguish and distress </w:t>
      </w:r>
      <w:r w:rsidR="00671617" w:rsidRPr="00671617">
        <w:rPr>
          <w:rFonts w:eastAsia="ヒラギノ角ゴ Pro W3"/>
          <w:lang w:eastAsia="en-GB"/>
        </w:rPr>
        <w:t>since</w:t>
      </w:r>
      <w:r w:rsidR="00671617" w:rsidRPr="00671617">
        <w:rPr>
          <w:rFonts w:eastAsia="ヒラギノ角ゴ Pro W3"/>
          <w:color w:val="000000"/>
          <w:spacing w:val="2"/>
          <w:lang w:eastAsia="en-GB"/>
        </w:rPr>
        <w:t xml:space="preserve"> 2002 due to the arbitrary </w:t>
      </w:r>
      <w:r w:rsidR="00671617" w:rsidRPr="00671617">
        <w:rPr>
          <w:rFonts w:eastAsia="ヒラギノ角ゴ Pro W3"/>
          <w:lang w:eastAsia="en-GB"/>
        </w:rPr>
        <w:t>deprivation</w:t>
      </w:r>
      <w:r w:rsidR="00671617" w:rsidRPr="00671617">
        <w:rPr>
          <w:rFonts w:eastAsia="ヒラギノ角ゴ Pro W3"/>
          <w:color w:val="000000"/>
          <w:spacing w:val="2"/>
          <w:lang w:eastAsia="en-GB"/>
        </w:rPr>
        <w:t xml:space="preserve"> of liberty, ill-treatment and enforced disappearance of their eight relatives, as well as to the failure of the authorities to carry out any effective investigation concerning the fate a</w:t>
      </w:r>
      <w:r>
        <w:rPr>
          <w:rFonts w:eastAsia="ヒラギノ角ゴ Pro W3"/>
          <w:color w:val="000000"/>
          <w:spacing w:val="2"/>
          <w:lang w:eastAsia="en-GB"/>
        </w:rPr>
        <w:t>nd whereabouts</w:t>
      </w:r>
      <w:r w:rsidR="008570BA">
        <w:rPr>
          <w:rFonts w:eastAsia="ヒラギノ角ゴ Pro W3"/>
          <w:color w:val="000000"/>
          <w:spacing w:val="2"/>
          <w:lang w:eastAsia="en-GB"/>
        </w:rPr>
        <w:t xml:space="preserve"> of their relatives</w:t>
      </w:r>
      <w:r>
        <w:rPr>
          <w:rFonts w:eastAsia="ヒラギノ角ゴ Pro W3"/>
          <w:color w:val="000000"/>
          <w:spacing w:val="2"/>
          <w:lang w:eastAsia="en-GB"/>
        </w:rPr>
        <w:t xml:space="preserve">. </w:t>
      </w:r>
    </w:p>
    <w:p w14:paraId="1B0F493D" w14:textId="77777777" w:rsidR="00671617" w:rsidRPr="00671617" w:rsidRDefault="00671617">
      <w:pPr>
        <w:pStyle w:val="SingleTxtG"/>
        <w:rPr>
          <w:rFonts w:eastAsia="ヒラギノ角ゴ Pro W3"/>
          <w:color w:val="000000"/>
          <w:spacing w:val="2"/>
          <w:lang w:eastAsia="en-GB"/>
        </w:rPr>
      </w:pPr>
      <w:r w:rsidRPr="00671617">
        <w:rPr>
          <w:rFonts w:eastAsia="ヒラギノ角ゴ Pro W3"/>
          <w:color w:val="000000"/>
          <w:spacing w:val="2"/>
          <w:lang w:eastAsia="en-GB"/>
        </w:rPr>
        <w:t>3.11</w:t>
      </w:r>
      <w:r w:rsidRPr="00671617">
        <w:rPr>
          <w:rFonts w:eastAsia="ヒラギノ角ゴ Pro W3"/>
          <w:color w:val="000000"/>
          <w:spacing w:val="2"/>
          <w:lang w:eastAsia="en-GB"/>
        </w:rPr>
        <w:tab/>
        <w:t>The authors submit that the State party has also violated their rights under articles 17</w:t>
      </w:r>
      <w:r w:rsidR="00DB6CAB">
        <w:rPr>
          <w:rFonts w:eastAsia="ヒラギノ角ゴ Pro W3"/>
          <w:color w:val="000000"/>
          <w:spacing w:val="2"/>
          <w:lang w:eastAsia="en-GB"/>
        </w:rPr>
        <w:t> </w:t>
      </w:r>
      <w:r w:rsidR="009A1C82">
        <w:rPr>
          <w:rFonts w:eastAsia="ヒラギノ角ゴ Pro W3"/>
          <w:color w:val="000000"/>
          <w:spacing w:val="2"/>
          <w:lang w:eastAsia="en-GB"/>
        </w:rPr>
        <w:t>(</w:t>
      </w:r>
      <w:r w:rsidRPr="00671617">
        <w:rPr>
          <w:rFonts w:eastAsia="ヒラギノ角ゴ Pro W3"/>
          <w:color w:val="000000"/>
          <w:spacing w:val="2"/>
          <w:lang w:eastAsia="en-GB"/>
        </w:rPr>
        <w:t>1</w:t>
      </w:r>
      <w:r w:rsidR="009A1C82">
        <w:rPr>
          <w:rFonts w:eastAsia="ヒラギノ角ゴ Pro W3"/>
          <w:color w:val="000000"/>
          <w:spacing w:val="2"/>
          <w:lang w:eastAsia="en-GB"/>
        </w:rPr>
        <w:t>)</w:t>
      </w:r>
      <w:r w:rsidRPr="00671617">
        <w:rPr>
          <w:rFonts w:eastAsia="ヒラギノ角ゴ Pro W3"/>
          <w:color w:val="000000"/>
          <w:spacing w:val="2"/>
          <w:lang w:eastAsia="en-GB"/>
        </w:rPr>
        <w:t xml:space="preserve"> and 23, read alone and in </w:t>
      </w:r>
      <w:r w:rsidRPr="00671617">
        <w:rPr>
          <w:rFonts w:eastAsia="ヒラギノ角ゴ Pro W3"/>
          <w:lang w:eastAsia="en-GB"/>
        </w:rPr>
        <w:t>conjunction</w:t>
      </w:r>
      <w:r w:rsidRPr="00671617">
        <w:rPr>
          <w:rFonts w:eastAsia="ヒラギノ角ゴ Pro W3"/>
          <w:color w:val="000000"/>
          <w:spacing w:val="2"/>
          <w:lang w:eastAsia="en-GB"/>
        </w:rPr>
        <w:t xml:space="preserve"> with article 2</w:t>
      </w:r>
      <w:r w:rsidR="008570BA">
        <w:rPr>
          <w:rFonts w:eastAsia="ヒラギノ角ゴ Pro W3"/>
          <w:color w:val="000000"/>
          <w:spacing w:val="2"/>
          <w:lang w:eastAsia="en-GB"/>
        </w:rPr>
        <w:t> </w:t>
      </w:r>
      <w:r w:rsidR="009A1C82">
        <w:rPr>
          <w:rFonts w:eastAsia="ヒラギノ角ゴ Pro W3"/>
          <w:color w:val="000000"/>
          <w:spacing w:val="2"/>
          <w:lang w:eastAsia="en-GB"/>
        </w:rPr>
        <w:t>(</w:t>
      </w:r>
      <w:r w:rsidRPr="00671617">
        <w:rPr>
          <w:rFonts w:eastAsia="ヒラギノ角ゴ Pro W3"/>
          <w:color w:val="000000"/>
          <w:spacing w:val="2"/>
          <w:lang w:eastAsia="en-GB"/>
        </w:rPr>
        <w:t>3</w:t>
      </w:r>
      <w:r w:rsidR="009A1C82">
        <w:rPr>
          <w:rFonts w:eastAsia="ヒラギノ角ゴ Pro W3"/>
          <w:color w:val="000000"/>
          <w:spacing w:val="2"/>
          <w:lang w:eastAsia="en-GB"/>
        </w:rPr>
        <w:t>)</w:t>
      </w:r>
      <w:r w:rsidR="008570BA">
        <w:rPr>
          <w:rFonts w:eastAsia="ヒラギノ角ゴ Pro W3"/>
          <w:color w:val="000000"/>
          <w:spacing w:val="2"/>
          <w:lang w:eastAsia="en-GB"/>
        </w:rPr>
        <w:t>,</w:t>
      </w:r>
      <w:r w:rsidRPr="00671617">
        <w:rPr>
          <w:rFonts w:eastAsia="ヒラギノ角ゴ Pro W3"/>
          <w:color w:val="000000"/>
          <w:spacing w:val="2"/>
          <w:lang w:eastAsia="en-GB"/>
        </w:rPr>
        <w:t xml:space="preserve"> by forcibly entering their home</w:t>
      </w:r>
      <w:r w:rsidR="008570BA">
        <w:rPr>
          <w:rFonts w:eastAsia="ヒラギノ角ゴ Pro W3"/>
          <w:color w:val="000000"/>
          <w:spacing w:val="2"/>
          <w:lang w:eastAsia="en-GB"/>
        </w:rPr>
        <w:t>s</w:t>
      </w:r>
      <w:r w:rsidRPr="00671617">
        <w:rPr>
          <w:rFonts w:eastAsia="ヒラギノ角ゴ Pro W3"/>
          <w:color w:val="000000"/>
          <w:spacing w:val="2"/>
          <w:lang w:eastAsia="en-GB"/>
        </w:rPr>
        <w:t xml:space="preserve"> and removing their relatives, which has resulted in an abrupt and complete separation from them.</w:t>
      </w:r>
    </w:p>
    <w:p w14:paraId="34795C90" w14:textId="77777777" w:rsidR="00671617" w:rsidRPr="00671617" w:rsidRDefault="00671617">
      <w:pPr>
        <w:pStyle w:val="SingleTxtG"/>
        <w:rPr>
          <w:lang w:val="x-none"/>
        </w:rPr>
      </w:pPr>
      <w:r w:rsidRPr="00671617">
        <w:rPr>
          <w:spacing w:val="2"/>
          <w:lang w:val="x-none"/>
        </w:rPr>
        <w:t>3.12</w:t>
      </w:r>
      <w:r w:rsidRPr="00671617">
        <w:rPr>
          <w:spacing w:val="2"/>
          <w:lang w:val="x-none"/>
        </w:rPr>
        <w:tab/>
      </w:r>
      <w:r w:rsidRPr="00671617">
        <w:rPr>
          <w:lang w:val="x-none"/>
        </w:rPr>
        <w:t xml:space="preserve">The authors request the Committee to recommend </w:t>
      </w:r>
      <w:r w:rsidR="009A1C82">
        <w:rPr>
          <w:lang w:val="en-US"/>
        </w:rPr>
        <w:t xml:space="preserve">that </w:t>
      </w:r>
      <w:r w:rsidRPr="00671617">
        <w:rPr>
          <w:lang w:val="x-none"/>
        </w:rPr>
        <w:t>the State party</w:t>
      </w:r>
      <w:r w:rsidR="009A1C82">
        <w:rPr>
          <w:lang w:val="en-US" w:eastAsia="en-GB"/>
        </w:rPr>
        <w:t xml:space="preserve"> (a</w:t>
      </w:r>
      <w:r w:rsidRPr="00671617">
        <w:rPr>
          <w:lang w:val="x-none" w:eastAsia="en-GB"/>
        </w:rPr>
        <w:t>)</w:t>
      </w:r>
      <w:r w:rsidR="008570BA">
        <w:rPr>
          <w:lang w:val="en-US" w:eastAsia="en-GB"/>
        </w:rPr>
        <w:t> </w:t>
      </w:r>
      <w:r w:rsidRPr="00671617">
        <w:rPr>
          <w:lang w:val="x-none" w:eastAsia="en-GB"/>
        </w:rPr>
        <w:t xml:space="preserve">order prompt, impartial and thorough investigations concerning the fate and whereabouts of their eight relatives; </w:t>
      </w:r>
      <w:r w:rsidR="009A1C82">
        <w:rPr>
          <w:lang w:val="en-US" w:eastAsia="en-GB"/>
        </w:rPr>
        <w:t>(b</w:t>
      </w:r>
      <w:r w:rsidRPr="00671617">
        <w:rPr>
          <w:lang w:val="x-none" w:eastAsia="en-GB"/>
        </w:rPr>
        <w:t>)</w:t>
      </w:r>
      <w:r w:rsidR="008570BA">
        <w:rPr>
          <w:lang w:val="en-US" w:eastAsia="en-GB"/>
        </w:rPr>
        <w:t> </w:t>
      </w:r>
      <w:r w:rsidRPr="00671617">
        <w:rPr>
          <w:lang w:val="x-none"/>
        </w:rPr>
        <w:t>release their relatives, should they be alive</w:t>
      </w:r>
      <w:r w:rsidRPr="00671617">
        <w:rPr>
          <w:lang w:val="x-none" w:eastAsia="en-GB"/>
        </w:rPr>
        <w:t xml:space="preserve"> and, in the event of their death, to locate, exhume, identify and respect their mortal remains and return them to the family; </w:t>
      </w:r>
      <w:r w:rsidR="009A1C82">
        <w:rPr>
          <w:lang w:val="en-US" w:eastAsia="en-GB"/>
        </w:rPr>
        <w:t>(c</w:t>
      </w:r>
      <w:r w:rsidRPr="00671617">
        <w:rPr>
          <w:lang w:val="x-none" w:eastAsia="en-GB"/>
        </w:rPr>
        <w:t>)</w:t>
      </w:r>
      <w:r w:rsidR="008570BA">
        <w:rPr>
          <w:lang w:val="en-US" w:eastAsia="en-GB"/>
        </w:rPr>
        <w:t> </w:t>
      </w:r>
      <w:r w:rsidR="009A1C82">
        <w:rPr>
          <w:lang w:val="en-US" w:eastAsia="en-GB"/>
        </w:rPr>
        <w:t xml:space="preserve">provide information to the authors on </w:t>
      </w:r>
      <w:r w:rsidRPr="00671617">
        <w:rPr>
          <w:lang w:val="x-none" w:eastAsia="en-GB"/>
        </w:rPr>
        <w:t xml:space="preserve">the progress of the investigations; </w:t>
      </w:r>
      <w:r w:rsidR="009A1C82">
        <w:rPr>
          <w:lang w:val="en-US" w:eastAsia="en-GB"/>
        </w:rPr>
        <w:t>(d</w:t>
      </w:r>
      <w:r w:rsidRPr="00671617">
        <w:rPr>
          <w:lang w:val="x-none" w:eastAsia="en-GB"/>
        </w:rPr>
        <w:t>)</w:t>
      </w:r>
      <w:r w:rsidR="008570BA">
        <w:rPr>
          <w:lang w:val="en-US" w:eastAsia="en-GB"/>
        </w:rPr>
        <w:t> </w:t>
      </w:r>
      <w:r w:rsidRPr="00671617">
        <w:rPr>
          <w:lang w:val="x-none"/>
        </w:rPr>
        <w:t>bring the perpetrators before a court for prosecution, judg</w:t>
      </w:r>
      <w:r w:rsidR="003C28D4">
        <w:rPr>
          <w:lang w:val="en-US"/>
        </w:rPr>
        <w:t>e</w:t>
      </w:r>
      <w:r w:rsidRPr="00671617">
        <w:rPr>
          <w:lang w:val="x-none"/>
        </w:rPr>
        <w:t>ment and sanction</w:t>
      </w:r>
      <w:r w:rsidRPr="00671617">
        <w:rPr>
          <w:lang w:val="x-none" w:eastAsia="en-GB"/>
        </w:rPr>
        <w:t xml:space="preserve">; </w:t>
      </w:r>
      <w:r w:rsidR="009A1C82">
        <w:rPr>
          <w:lang w:val="en-US" w:eastAsia="en-GB"/>
        </w:rPr>
        <w:t>and (e</w:t>
      </w:r>
      <w:r w:rsidRPr="00671617">
        <w:rPr>
          <w:lang w:val="x-none"/>
        </w:rPr>
        <w:t>)</w:t>
      </w:r>
      <w:r w:rsidR="008570BA">
        <w:rPr>
          <w:lang w:val="en-US"/>
        </w:rPr>
        <w:t> </w:t>
      </w:r>
      <w:r w:rsidRPr="00671617">
        <w:rPr>
          <w:lang w:val="x-none"/>
        </w:rPr>
        <w:t>provide the authors and their relatives, should they be alive, with adequate compensation that cover</w:t>
      </w:r>
      <w:r w:rsidR="009A1C82">
        <w:rPr>
          <w:lang w:val="en-US"/>
        </w:rPr>
        <w:t>s</w:t>
      </w:r>
      <w:r w:rsidRPr="00671617">
        <w:rPr>
          <w:lang w:val="x-none"/>
        </w:rPr>
        <w:t xml:space="preserve"> material and moral damages, as well as other measures of reparation, including measures of rehabilitation</w:t>
      </w:r>
      <w:r w:rsidRPr="00571DEE">
        <w:rPr>
          <w:rStyle w:val="FootnoteReference"/>
        </w:rPr>
        <w:footnoteReference w:id="14"/>
      </w:r>
      <w:r w:rsidRPr="00671617">
        <w:rPr>
          <w:lang w:val="x-none"/>
        </w:rPr>
        <w:t xml:space="preserve"> and satisfaction. In particular, the authors request that </w:t>
      </w:r>
      <w:r w:rsidRPr="00671617">
        <w:rPr>
          <w:lang w:val="x-none" w:eastAsia="en-GB"/>
        </w:rPr>
        <w:t xml:space="preserve">the State party publicly acknowledge its international responsibility. As a guarantee of </w:t>
      </w:r>
      <w:r w:rsidRPr="002716C6">
        <w:rPr>
          <w:lang w:val="x-none" w:eastAsia="en-GB"/>
        </w:rPr>
        <w:t>non-repetition, the State party should ensure that enforced disappearance and torture</w:t>
      </w:r>
      <w:r w:rsidRPr="002716C6">
        <w:rPr>
          <w:lang w:val="x-none"/>
        </w:rPr>
        <w:t xml:space="preserve"> constitute autonomous offences under its criminal law</w:t>
      </w:r>
      <w:r w:rsidR="008570BA">
        <w:rPr>
          <w:lang w:val="en-US"/>
        </w:rPr>
        <w:t>,</w:t>
      </w:r>
      <w:r w:rsidRPr="002716C6">
        <w:rPr>
          <w:lang w:val="x-none"/>
        </w:rPr>
        <w:t xml:space="preserve"> amend its legislation so as to ensure that habeas </w:t>
      </w:r>
      <w:r w:rsidRPr="002716C6">
        <w:t>corpus is</w:t>
      </w:r>
      <w:r w:rsidRPr="002716C6">
        <w:rPr>
          <w:lang w:val="x-none"/>
        </w:rPr>
        <w:t xml:space="preserve"> an available and effective remedy in case of enforced disappearance</w:t>
      </w:r>
      <w:r w:rsidR="009A1C82" w:rsidRPr="002716C6">
        <w:rPr>
          <w:lang w:val="en-US"/>
        </w:rPr>
        <w:t>,</w:t>
      </w:r>
      <w:r w:rsidRPr="002716C6">
        <w:rPr>
          <w:lang w:val="x-none"/>
        </w:rPr>
        <w:t xml:space="preserve"> set up an independent commission to investigate enforced disappearances</w:t>
      </w:r>
      <w:r w:rsidR="009A1C82" w:rsidRPr="002716C6">
        <w:rPr>
          <w:lang w:val="en-US"/>
        </w:rPr>
        <w:t>,</w:t>
      </w:r>
      <w:r w:rsidRPr="002716C6">
        <w:rPr>
          <w:lang w:val="x-none"/>
        </w:rPr>
        <w:t xml:space="preserve"> ratify the International Convention for the Protection of All Persons from Enforced Disappearance and the </w:t>
      </w:r>
      <w:r w:rsidRPr="00151E31">
        <w:rPr>
          <w:lang w:val="x-none"/>
        </w:rPr>
        <w:t xml:space="preserve">Optional Protocol </w:t>
      </w:r>
      <w:r w:rsidRPr="00151E31">
        <w:rPr>
          <w:lang w:val="en-US"/>
        </w:rPr>
        <w:t>to the Convention against Torture and Other Cruel, Inhuman or Degrading Treatment or Punishment</w:t>
      </w:r>
      <w:r w:rsidR="009A1C82" w:rsidRPr="00151E31">
        <w:rPr>
          <w:lang w:val="en-US"/>
        </w:rPr>
        <w:t>,</w:t>
      </w:r>
      <w:r w:rsidRPr="00151E31">
        <w:rPr>
          <w:lang w:val="x-none"/>
        </w:rPr>
        <w:t xml:space="preserve"> and fully implement the recommendations made by OHCHR in relation</w:t>
      </w:r>
      <w:r w:rsidRPr="002716C6">
        <w:rPr>
          <w:lang w:val="x-none"/>
        </w:rPr>
        <w:t xml:space="preserve"> to the enforced disappearances in Bardiya</w:t>
      </w:r>
      <w:r w:rsidRPr="00671617">
        <w:rPr>
          <w:lang w:val="x-none"/>
        </w:rPr>
        <w:t xml:space="preserve"> district.</w:t>
      </w:r>
      <w:r w:rsidR="005679A4">
        <w:rPr>
          <w:lang w:val="x-none"/>
        </w:rPr>
        <w:t xml:space="preserve"> </w:t>
      </w:r>
    </w:p>
    <w:p w14:paraId="2EE0CB04" w14:textId="77777777" w:rsidR="00671617" w:rsidRPr="00671617" w:rsidRDefault="00671617" w:rsidP="00BF3843">
      <w:pPr>
        <w:pStyle w:val="H23G"/>
      </w:pPr>
      <w:r w:rsidRPr="00671617">
        <w:tab/>
      </w:r>
      <w:r w:rsidRPr="00671617">
        <w:tab/>
        <w:t xml:space="preserve">State party’s observations on admissibility </w:t>
      </w:r>
    </w:p>
    <w:p w14:paraId="00D935F8" w14:textId="77777777" w:rsidR="00671617" w:rsidRPr="00671617" w:rsidRDefault="00671617">
      <w:pPr>
        <w:pStyle w:val="SingleTxtG"/>
        <w:rPr>
          <w:lang w:val="x-none"/>
        </w:rPr>
      </w:pPr>
      <w:r w:rsidRPr="00671617">
        <w:rPr>
          <w:lang w:val="x-none"/>
        </w:rPr>
        <w:t>4.1</w:t>
      </w:r>
      <w:r w:rsidRPr="00671617">
        <w:rPr>
          <w:lang w:val="x-none"/>
        </w:rPr>
        <w:tab/>
        <w:t xml:space="preserve">By </w:t>
      </w:r>
      <w:r w:rsidR="009A1C82">
        <w:rPr>
          <w:lang w:val="en-US"/>
        </w:rPr>
        <w:t>n</w:t>
      </w:r>
      <w:r w:rsidRPr="00671617">
        <w:rPr>
          <w:lang w:val="x-none"/>
        </w:rPr>
        <w:t xml:space="preserve">ote verbale of 10 June </w:t>
      </w:r>
      <w:r w:rsidRPr="00671617">
        <w:rPr>
          <w:rFonts w:eastAsia="ヒラギノ角ゴ Pro W3"/>
          <w:lang w:eastAsia="en-GB"/>
        </w:rPr>
        <w:t>2011</w:t>
      </w:r>
      <w:r w:rsidRPr="00671617">
        <w:rPr>
          <w:lang w:val="x-none"/>
        </w:rPr>
        <w:t xml:space="preserve">, the State party submitted its observations, challenging the admissibility of the communication on the grounds of failure to exhaust domestic remedies. </w:t>
      </w:r>
    </w:p>
    <w:p w14:paraId="27F81295" w14:textId="77777777" w:rsidR="00671617" w:rsidRPr="00671617" w:rsidRDefault="00BF3843">
      <w:pPr>
        <w:pStyle w:val="SingleTxtG"/>
        <w:rPr>
          <w:lang w:eastAsia="en-GB"/>
        </w:rPr>
      </w:pPr>
      <w:r>
        <w:t>4.2</w:t>
      </w:r>
      <w:r w:rsidR="00671617" w:rsidRPr="00671617">
        <w:tab/>
      </w:r>
      <w:r w:rsidR="00671617" w:rsidRPr="00671617">
        <w:rPr>
          <w:lang w:eastAsia="en-GB"/>
        </w:rPr>
        <w:t xml:space="preserve">It notes that the 1990 Constitution explicitly prohibited torture and other cruel inhumane and degrading treatment and </w:t>
      </w:r>
      <w:r w:rsidR="00671617" w:rsidRPr="00151E31">
        <w:rPr>
          <w:lang w:eastAsia="en-GB"/>
        </w:rPr>
        <w:t xml:space="preserve">punishment, and that a person subjected to such treatment was entitled to adequate compensation in accordance with the 1997 Compensation </w:t>
      </w:r>
      <w:r w:rsidR="00151E31" w:rsidRPr="00151E31">
        <w:rPr>
          <w:lang w:eastAsia="en-GB"/>
        </w:rPr>
        <w:t>r</w:t>
      </w:r>
      <w:r w:rsidR="00671617" w:rsidRPr="00151E31">
        <w:rPr>
          <w:lang w:eastAsia="en-GB"/>
        </w:rPr>
        <w:t>elating to Torture Act. Therefore, the authors could have filed a petition under the A</w:t>
      </w:r>
      <w:r w:rsidR="003D1914" w:rsidRPr="00151E31">
        <w:rPr>
          <w:lang w:eastAsia="en-GB"/>
        </w:rPr>
        <w:t>ct</w:t>
      </w:r>
      <w:r w:rsidR="00671617" w:rsidRPr="00151E31">
        <w:rPr>
          <w:lang w:eastAsia="en-GB"/>
        </w:rPr>
        <w:t xml:space="preserve">, </w:t>
      </w:r>
      <w:r w:rsidR="003D1914" w:rsidRPr="00151E31">
        <w:rPr>
          <w:lang w:eastAsia="en-GB"/>
        </w:rPr>
        <w:t>by</w:t>
      </w:r>
      <w:r w:rsidR="00671617" w:rsidRPr="00151E31">
        <w:rPr>
          <w:lang w:eastAsia="en-GB"/>
        </w:rPr>
        <w:t xml:space="preserve"> which a decision by a </w:t>
      </w:r>
      <w:r w:rsidR="008570BA">
        <w:rPr>
          <w:lang w:eastAsia="en-GB"/>
        </w:rPr>
        <w:t>c</w:t>
      </w:r>
      <w:r w:rsidR="00671617" w:rsidRPr="00151E31">
        <w:rPr>
          <w:lang w:eastAsia="en-GB"/>
        </w:rPr>
        <w:t>ourt has to be made within 90 days.</w:t>
      </w:r>
      <w:r w:rsidR="00671617" w:rsidRPr="00151E31">
        <w:rPr>
          <w:bCs/>
        </w:rPr>
        <w:t xml:space="preserve"> Likewise, they failed to submit a petition invoking the State Cases Act</w:t>
      </w:r>
      <w:r w:rsidR="00915B9A" w:rsidRPr="00151E31">
        <w:rPr>
          <w:bCs/>
        </w:rPr>
        <w:t>.</w:t>
      </w:r>
    </w:p>
    <w:p w14:paraId="72EDAD67" w14:textId="77777777" w:rsidR="00671617" w:rsidRPr="00151E31" w:rsidRDefault="00BF3843">
      <w:pPr>
        <w:pStyle w:val="SingleTxtG"/>
        <w:rPr>
          <w:lang w:eastAsia="en-GB"/>
        </w:rPr>
      </w:pPr>
      <w:r>
        <w:rPr>
          <w:lang w:eastAsia="en-GB"/>
        </w:rPr>
        <w:t>4.3</w:t>
      </w:r>
      <w:r w:rsidR="00671617" w:rsidRPr="00671617">
        <w:rPr>
          <w:lang w:eastAsia="en-GB"/>
        </w:rPr>
        <w:tab/>
        <w:t xml:space="preserve">The </w:t>
      </w:r>
      <w:r w:rsidR="00671617" w:rsidRPr="00671617">
        <w:t xml:space="preserve">National Human Rights </w:t>
      </w:r>
      <w:r w:rsidR="00671617" w:rsidRPr="00151E31">
        <w:t xml:space="preserve">Commission is an independent and impartial Commission established under the Human </w:t>
      </w:r>
      <w:r w:rsidR="00671617" w:rsidRPr="00151E31">
        <w:rPr>
          <w:rFonts w:eastAsia="ヒラギノ角ゴ Pro W3"/>
          <w:lang w:eastAsia="en-GB"/>
        </w:rPr>
        <w:t>Rights</w:t>
      </w:r>
      <w:r w:rsidR="00671617" w:rsidRPr="00151E31">
        <w:t xml:space="preserve"> Commission Act </w:t>
      </w:r>
      <w:r w:rsidR="00151E31" w:rsidRPr="00F512C7">
        <w:t xml:space="preserve">of </w:t>
      </w:r>
      <w:r w:rsidR="00671617" w:rsidRPr="00151E31">
        <w:t>1997</w:t>
      </w:r>
      <w:r w:rsidR="008666EF">
        <w:t>.</w:t>
      </w:r>
      <w:r w:rsidR="00671617" w:rsidRPr="00151E31">
        <w:t xml:space="preserve"> </w:t>
      </w:r>
      <w:r w:rsidR="008666EF">
        <w:t xml:space="preserve">It </w:t>
      </w:r>
      <w:r w:rsidR="00671617" w:rsidRPr="00151E31">
        <w:t xml:space="preserve">is vested with the statutory power to conduct </w:t>
      </w:r>
      <w:r w:rsidR="003D1914" w:rsidRPr="00151E31">
        <w:t>e</w:t>
      </w:r>
      <w:r w:rsidR="00671617" w:rsidRPr="00151E31">
        <w:t>nquiries into human rights violations</w:t>
      </w:r>
      <w:r w:rsidR="00671617" w:rsidRPr="00151E31">
        <w:rPr>
          <w:lang w:eastAsia="en-GB"/>
        </w:rPr>
        <w:t xml:space="preserve">, </w:t>
      </w:r>
      <w:r w:rsidR="008666EF">
        <w:rPr>
          <w:lang w:eastAsia="en-GB"/>
        </w:rPr>
        <w:t xml:space="preserve">to </w:t>
      </w:r>
      <w:r w:rsidR="00671617" w:rsidRPr="00151E31">
        <w:rPr>
          <w:lang w:eastAsia="en-GB"/>
        </w:rPr>
        <w:t xml:space="preserve">require any person to appear before it, </w:t>
      </w:r>
      <w:r w:rsidR="008666EF">
        <w:rPr>
          <w:lang w:eastAsia="en-GB"/>
        </w:rPr>
        <w:t xml:space="preserve">and to </w:t>
      </w:r>
      <w:r w:rsidR="00671617" w:rsidRPr="00151E31">
        <w:rPr>
          <w:lang w:eastAsia="en-GB"/>
        </w:rPr>
        <w:t>gather</w:t>
      </w:r>
      <w:r w:rsidR="008666EF">
        <w:rPr>
          <w:lang w:eastAsia="en-GB"/>
        </w:rPr>
        <w:t>,</w:t>
      </w:r>
      <w:r w:rsidR="00671617" w:rsidRPr="00151E31">
        <w:rPr>
          <w:lang w:eastAsia="en-GB"/>
        </w:rPr>
        <w:t xml:space="preserve"> receive</w:t>
      </w:r>
      <w:r w:rsidR="008666EF">
        <w:rPr>
          <w:lang w:eastAsia="en-GB"/>
        </w:rPr>
        <w:t>, examine and assess</w:t>
      </w:r>
      <w:r w:rsidR="00671617" w:rsidRPr="00151E31">
        <w:rPr>
          <w:lang w:eastAsia="en-GB"/>
        </w:rPr>
        <w:t xml:space="preserve"> information and </w:t>
      </w:r>
      <w:r w:rsidR="00671617" w:rsidRPr="00151E31">
        <w:rPr>
          <w:lang w:eastAsia="en-GB"/>
        </w:rPr>
        <w:lastRenderedPageBreak/>
        <w:t xml:space="preserve">evidence. The </w:t>
      </w:r>
      <w:r w:rsidR="003D1914" w:rsidRPr="00151E31">
        <w:rPr>
          <w:lang w:eastAsia="en-GB"/>
        </w:rPr>
        <w:t xml:space="preserve">Commission </w:t>
      </w:r>
      <w:r w:rsidR="00671617" w:rsidRPr="00151E31">
        <w:rPr>
          <w:lang w:eastAsia="en-GB"/>
        </w:rPr>
        <w:t xml:space="preserve">can recommend </w:t>
      </w:r>
      <w:r w:rsidR="003D1914" w:rsidRPr="00151E31">
        <w:rPr>
          <w:lang w:eastAsia="en-GB"/>
        </w:rPr>
        <w:t xml:space="preserve">that </w:t>
      </w:r>
      <w:r w:rsidR="00671617" w:rsidRPr="00151E31">
        <w:rPr>
          <w:lang w:eastAsia="en-GB"/>
        </w:rPr>
        <w:t xml:space="preserve">the </w:t>
      </w:r>
      <w:r w:rsidR="003D1914" w:rsidRPr="00151E31">
        <w:rPr>
          <w:lang w:eastAsia="en-GB"/>
        </w:rPr>
        <w:t>G</w:t>
      </w:r>
      <w:r w:rsidR="00671617" w:rsidRPr="00151E31">
        <w:rPr>
          <w:lang w:eastAsia="en-GB"/>
        </w:rPr>
        <w:t>overnment give compensation to a victim and punish perpetr</w:t>
      </w:r>
      <w:r w:rsidRPr="00151E31">
        <w:rPr>
          <w:lang w:eastAsia="en-GB"/>
        </w:rPr>
        <w:t>ators.</w:t>
      </w:r>
    </w:p>
    <w:p w14:paraId="23223481" w14:textId="77777777" w:rsidR="00671617" w:rsidRPr="00671617" w:rsidRDefault="00BF3843">
      <w:pPr>
        <w:pStyle w:val="SingleTxtG"/>
      </w:pPr>
      <w:r w:rsidRPr="00151E31">
        <w:rPr>
          <w:lang w:eastAsia="en-GB"/>
        </w:rPr>
        <w:t>4.4</w:t>
      </w:r>
      <w:r w:rsidR="00671617" w:rsidRPr="00151E31">
        <w:rPr>
          <w:lang w:eastAsia="en-GB"/>
        </w:rPr>
        <w:tab/>
      </w:r>
      <w:r w:rsidR="00671617" w:rsidRPr="00151E31">
        <w:t>The State party informs the Committee that two investigati</w:t>
      </w:r>
      <w:r w:rsidR="00EC53B8" w:rsidRPr="00151E31">
        <w:t>ve</w:t>
      </w:r>
      <w:r w:rsidR="00671617" w:rsidRPr="00151E31">
        <w:t xml:space="preserve"> committees headed by Joint Secretaries at the Ministry of Home </w:t>
      </w:r>
      <w:r w:rsidR="00671617" w:rsidRPr="00143551">
        <w:t xml:space="preserve">Affairs were established in order to </w:t>
      </w:r>
      <w:r w:rsidR="00EC53B8" w:rsidRPr="00143551">
        <w:t>ascertain</w:t>
      </w:r>
      <w:r w:rsidR="00671617" w:rsidRPr="00143551">
        <w:t xml:space="preserve"> the fate and whereabouts of the persons that were reported </w:t>
      </w:r>
      <w:r w:rsidR="00EC53B8" w:rsidRPr="00143551">
        <w:t xml:space="preserve">as </w:t>
      </w:r>
      <w:r w:rsidR="00671617" w:rsidRPr="00143551">
        <w:t xml:space="preserve">disappeared during the armed conflict. </w:t>
      </w:r>
      <w:r w:rsidR="00671617" w:rsidRPr="00143551">
        <w:rPr>
          <w:lang w:eastAsia="en-GB"/>
        </w:rPr>
        <w:t>It points out that the Army and the Police have also conducted departmental</w:t>
      </w:r>
      <w:r w:rsidR="00EC53B8" w:rsidRPr="00143551">
        <w:rPr>
          <w:lang w:eastAsia="en-GB"/>
        </w:rPr>
        <w:t>-</w:t>
      </w:r>
      <w:r w:rsidR="00671617" w:rsidRPr="00143551">
        <w:rPr>
          <w:lang w:eastAsia="en-GB"/>
        </w:rPr>
        <w:t xml:space="preserve">level </w:t>
      </w:r>
      <w:r w:rsidR="00EC53B8" w:rsidRPr="00143551">
        <w:rPr>
          <w:lang w:eastAsia="en-GB"/>
        </w:rPr>
        <w:t xml:space="preserve">enquiries </w:t>
      </w:r>
      <w:r w:rsidR="00671617" w:rsidRPr="00143551">
        <w:rPr>
          <w:lang w:eastAsia="en-GB"/>
        </w:rPr>
        <w:t>and held several personnel responsible</w:t>
      </w:r>
      <w:r w:rsidR="00915B9A" w:rsidRPr="00143551">
        <w:rPr>
          <w:lang w:eastAsia="en-GB"/>
        </w:rPr>
        <w:t>.</w:t>
      </w:r>
      <w:r w:rsidR="00671617" w:rsidRPr="00143551">
        <w:rPr>
          <w:lang w:eastAsia="en-GB"/>
        </w:rPr>
        <w:t xml:space="preserve"> </w:t>
      </w:r>
      <w:r w:rsidR="00671617" w:rsidRPr="00143551">
        <w:t>Further, to address th</w:t>
      </w:r>
      <w:r w:rsidR="00EC53B8" w:rsidRPr="00143551">
        <w:t>e</w:t>
      </w:r>
      <w:r w:rsidR="00671617" w:rsidRPr="00143551">
        <w:t xml:space="preserve"> situation of disappeared persons, it decided to establish a commission to investigate cases of disappearances and a </w:t>
      </w:r>
      <w:r w:rsidR="00EC53B8" w:rsidRPr="00143551">
        <w:t>t</w:t>
      </w:r>
      <w:r w:rsidR="00671617" w:rsidRPr="00143551">
        <w:t xml:space="preserve">ruth and </w:t>
      </w:r>
      <w:r w:rsidR="00EC53B8" w:rsidRPr="00143551">
        <w:t>r</w:t>
      </w:r>
      <w:r w:rsidR="00671617" w:rsidRPr="00143551">
        <w:t xml:space="preserve">econciliation </w:t>
      </w:r>
      <w:r w:rsidR="00EC53B8" w:rsidRPr="00143551">
        <w:t>c</w:t>
      </w:r>
      <w:r w:rsidR="00671617" w:rsidRPr="00143551">
        <w:t>ommission, in compliance with article 33</w:t>
      </w:r>
      <w:r w:rsidR="008666EF">
        <w:t> </w:t>
      </w:r>
      <w:r w:rsidR="00671617" w:rsidRPr="00143551">
        <w:t>(s) of the 2007 Interim Constitution of Nepal</w:t>
      </w:r>
      <w:r w:rsidR="00671617" w:rsidRPr="00200DB5">
        <w:t xml:space="preserve"> and with clause 5.2.5 of the Comprehensive Peace Agreement of 21 November 2006. To this end, the Truth and Reconciliation Commission Bill and the Enforced Disappearance (Offence and Punishment) Bill have been submitted</w:t>
      </w:r>
      <w:r w:rsidR="00671617" w:rsidRPr="00671617">
        <w:t xml:space="preserve"> to </w:t>
      </w:r>
      <w:r w:rsidR="00200DB5">
        <w:t xml:space="preserve">the </w:t>
      </w:r>
      <w:r w:rsidR="007438B9" w:rsidRPr="00200DB5">
        <w:t>p</w:t>
      </w:r>
      <w:r w:rsidR="00671617" w:rsidRPr="00200DB5">
        <w:t>arliament. By the time the State party submitted its observations</w:t>
      </w:r>
      <w:r w:rsidR="00302200" w:rsidRPr="00200DB5">
        <w:t>,</w:t>
      </w:r>
      <w:r w:rsidR="00671617" w:rsidRPr="00200DB5">
        <w:t xml:space="preserve"> the </w:t>
      </w:r>
      <w:r w:rsidR="00302200" w:rsidRPr="00200DB5">
        <w:t>b</w:t>
      </w:r>
      <w:r w:rsidR="00671617" w:rsidRPr="00200DB5">
        <w:t>ills were pending approval. The two</w:t>
      </w:r>
      <w:r w:rsidR="00671617" w:rsidRPr="00671617">
        <w:t xml:space="preserve"> commissions to be formed after endorsement of those bills will investigate cases </w:t>
      </w:r>
      <w:r w:rsidR="00302200">
        <w:t xml:space="preserve">that </w:t>
      </w:r>
      <w:r w:rsidR="00671617" w:rsidRPr="00671617">
        <w:t xml:space="preserve">occurred during the armed conflict and bring to </w:t>
      </w:r>
      <w:r w:rsidR="00302200">
        <w:t xml:space="preserve">light </w:t>
      </w:r>
      <w:r w:rsidR="00671617" w:rsidRPr="00671617">
        <w:t>the truth about these cases.</w:t>
      </w:r>
    </w:p>
    <w:p w14:paraId="72450044" w14:textId="77777777" w:rsidR="00671617" w:rsidRPr="00671617" w:rsidRDefault="00915B9A" w:rsidP="00915B9A">
      <w:pPr>
        <w:pStyle w:val="H23G"/>
      </w:pPr>
      <w:r>
        <w:tab/>
      </w:r>
      <w:r>
        <w:tab/>
      </w:r>
      <w:r w:rsidR="00671617" w:rsidRPr="00671617">
        <w:t>State party’s observations on the merits</w:t>
      </w:r>
    </w:p>
    <w:p w14:paraId="5C2834E0" w14:textId="77777777" w:rsidR="00671617" w:rsidRPr="00671617" w:rsidRDefault="00915B9A">
      <w:pPr>
        <w:pStyle w:val="SingleTxtG"/>
        <w:rPr>
          <w:lang w:val="x-none"/>
        </w:rPr>
      </w:pPr>
      <w:r>
        <w:rPr>
          <w:lang w:val="x-none"/>
        </w:rPr>
        <w:t>5.1</w:t>
      </w:r>
      <w:r w:rsidR="00671617" w:rsidRPr="00671617">
        <w:rPr>
          <w:lang w:val="x-none"/>
        </w:rPr>
        <w:tab/>
        <w:t xml:space="preserve">On 10 January 2012, the State party provided its observations on the merits of the communication. It reiterates its previous observations that the authors have not exhausted domestic remedies and that the communication should be declared </w:t>
      </w:r>
      <w:r w:rsidR="00671617" w:rsidRPr="00671617">
        <w:rPr>
          <w:rFonts w:eastAsia="ヒラギノ角ゴ Pro W3"/>
          <w:lang w:eastAsia="en-GB"/>
        </w:rPr>
        <w:t>inadmissible</w:t>
      </w:r>
      <w:r w:rsidR="00671617" w:rsidRPr="00671617">
        <w:rPr>
          <w:lang w:val="x-none"/>
        </w:rPr>
        <w:t xml:space="preserve"> pursuant article 5 </w:t>
      </w:r>
      <w:r w:rsidR="004E7642">
        <w:rPr>
          <w:lang w:val="en-US"/>
        </w:rPr>
        <w:t>(</w:t>
      </w:r>
      <w:r w:rsidR="00671617" w:rsidRPr="00671617">
        <w:rPr>
          <w:lang w:val="x-none"/>
        </w:rPr>
        <w:t>2</w:t>
      </w:r>
      <w:r w:rsidR="004E7642">
        <w:rPr>
          <w:lang w:val="en-US"/>
        </w:rPr>
        <w:t>) (</w:t>
      </w:r>
      <w:r w:rsidR="00671617" w:rsidRPr="00671617">
        <w:rPr>
          <w:lang w:val="x-none"/>
        </w:rPr>
        <w:t>b) of the Optional Protocol.</w:t>
      </w:r>
    </w:p>
    <w:p w14:paraId="0D815F1A" w14:textId="77777777" w:rsidR="00671617" w:rsidRPr="00671617" w:rsidRDefault="00915B9A">
      <w:pPr>
        <w:pStyle w:val="SingleTxtG"/>
        <w:rPr>
          <w:lang w:val="x-none"/>
        </w:rPr>
      </w:pPr>
      <w:r>
        <w:rPr>
          <w:lang w:val="x-none"/>
        </w:rPr>
        <w:t>5.2</w:t>
      </w:r>
      <w:r w:rsidR="00671617" w:rsidRPr="00671617">
        <w:rPr>
          <w:lang w:val="x-none"/>
        </w:rPr>
        <w:tab/>
        <w:t xml:space="preserve">The State party informs the Committee that the two bills for the establishment of a </w:t>
      </w:r>
      <w:r w:rsidR="004E7642">
        <w:rPr>
          <w:lang w:val="en-US"/>
        </w:rPr>
        <w:t>c</w:t>
      </w:r>
      <w:r w:rsidR="00671617" w:rsidRPr="00671617">
        <w:rPr>
          <w:lang w:val="x-none"/>
        </w:rPr>
        <w:t xml:space="preserve">ommission on </w:t>
      </w:r>
      <w:r w:rsidR="004E7642" w:rsidRPr="007438B9">
        <w:rPr>
          <w:lang w:val="en-US"/>
        </w:rPr>
        <w:t>d</w:t>
      </w:r>
      <w:r w:rsidR="00671617" w:rsidRPr="007438B9">
        <w:rPr>
          <w:lang w:val="x-none"/>
        </w:rPr>
        <w:t xml:space="preserve">isappearance and a </w:t>
      </w:r>
      <w:r w:rsidR="004E7642" w:rsidRPr="007438B9">
        <w:rPr>
          <w:lang w:val="en-US"/>
        </w:rPr>
        <w:t>t</w:t>
      </w:r>
      <w:r w:rsidR="00671617" w:rsidRPr="007438B9">
        <w:rPr>
          <w:lang w:val="x-none"/>
        </w:rPr>
        <w:t xml:space="preserve">ruth and </w:t>
      </w:r>
      <w:r w:rsidR="004E7642" w:rsidRPr="007438B9">
        <w:rPr>
          <w:lang w:val="en-US"/>
        </w:rPr>
        <w:t>r</w:t>
      </w:r>
      <w:r w:rsidR="00671617" w:rsidRPr="007438B9">
        <w:rPr>
          <w:lang w:val="x-none"/>
        </w:rPr>
        <w:t xml:space="preserve">econciliation </w:t>
      </w:r>
      <w:r w:rsidR="004E7642" w:rsidRPr="007438B9">
        <w:rPr>
          <w:lang w:val="en-US"/>
        </w:rPr>
        <w:t>c</w:t>
      </w:r>
      <w:r w:rsidR="00671617" w:rsidRPr="007438B9">
        <w:rPr>
          <w:lang w:val="x-none"/>
        </w:rPr>
        <w:t>ommission were</w:t>
      </w:r>
      <w:r w:rsidR="004E7642" w:rsidRPr="007438B9">
        <w:rPr>
          <w:lang w:val="en-US"/>
        </w:rPr>
        <w:t xml:space="preserve"> pending approval</w:t>
      </w:r>
      <w:r w:rsidR="00671617" w:rsidRPr="007438B9">
        <w:rPr>
          <w:lang w:val="x-none"/>
        </w:rPr>
        <w:t xml:space="preserve"> in </w:t>
      </w:r>
      <w:r w:rsidR="007438B9" w:rsidRPr="007438B9">
        <w:rPr>
          <w:lang w:val="en-US"/>
        </w:rPr>
        <w:t>a p</w:t>
      </w:r>
      <w:r w:rsidR="00671617" w:rsidRPr="007438B9">
        <w:rPr>
          <w:lang w:val="x-none"/>
        </w:rPr>
        <w:t xml:space="preserve">arliamentary </w:t>
      </w:r>
      <w:r w:rsidR="007438B9" w:rsidRPr="00F512C7">
        <w:rPr>
          <w:lang w:val="en-US"/>
        </w:rPr>
        <w:t>c</w:t>
      </w:r>
      <w:r w:rsidR="00671617" w:rsidRPr="007438B9">
        <w:rPr>
          <w:lang w:val="x-none"/>
        </w:rPr>
        <w:t xml:space="preserve">ommittee. It points out that </w:t>
      </w:r>
      <w:r w:rsidR="004E7642" w:rsidRPr="007438B9">
        <w:rPr>
          <w:lang w:val="en-US"/>
        </w:rPr>
        <w:t xml:space="preserve">those bills </w:t>
      </w:r>
      <w:r w:rsidR="00671617" w:rsidRPr="007438B9">
        <w:rPr>
          <w:lang w:val="x-none"/>
        </w:rPr>
        <w:t>were</w:t>
      </w:r>
      <w:r w:rsidR="00671617" w:rsidRPr="00671617">
        <w:rPr>
          <w:lang w:val="x-none"/>
        </w:rPr>
        <w:t xml:space="preserve"> drafted with extensive interaction with stakeholders and members of the international community, and that </w:t>
      </w:r>
      <w:r w:rsidR="008666EF">
        <w:rPr>
          <w:lang w:val="en-US"/>
        </w:rPr>
        <w:t>their</w:t>
      </w:r>
      <w:r w:rsidR="008666EF" w:rsidRPr="00671617">
        <w:rPr>
          <w:lang w:val="x-none"/>
        </w:rPr>
        <w:t xml:space="preserve"> </w:t>
      </w:r>
      <w:r w:rsidR="00671617" w:rsidRPr="00671617">
        <w:rPr>
          <w:lang w:val="x-none"/>
        </w:rPr>
        <w:t xml:space="preserve">provisions </w:t>
      </w:r>
      <w:r w:rsidR="004E7642">
        <w:rPr>
          <w:lang w:val="en-US"/>
        </w:rPr>
        <w:t>are</w:t>
      </w:r>
      <w:r w:rsidR="00671617" w:rsidRPr="00671617">
        <w:rPr>
          <w:lang w:val="x-none"/>
        </w:rPr>
        <w:t xml:space="preserve"> in accordance with international standards.</w:t>
      </w:r>
      <w:r w:rsidR="005679A4">
        <w:rPr>
          <w:lang w:val="x-none"/>
        </w:rPr>
        <w:t xml:space="preserve"> </w:t>
      </w:r>
    </w:p>
    <w:p w14:paraId="372A273C" w14:textId="77777777" w:rsidR="00671617" w:rsidRPr="00671617" w:rsidRDefault="00915B9A" w:rsidP="00382C93">
      <w:pPr>
        <w:pStyle w:val="SingleTxtG"/>
        <w:rPr>
          <w:lang w:val="x-none"/>
        </w:rPr>
      </w:pPr>
      <w:r>
        <w:rPr>
          <w:lang w:val="x-none"/>
        </w:rPr>
        <w:t>5.3</w:t>
      </w:r>
      <w:r w:rsidR="00671617" w:rsidRPr="00671617">
        <w:rPr>
          <w:lang w:val="x-none"/>
        </w:rPr>
        <w:tab/>
        <w:t>The State party remains committed to investigat</w:t>
      </w:r>
      <w:r w:rsidR="004E7642">
        <w:rPr>
          <w:lang w:val="en-US"/>
        </w:rPr>
        <w:t>ing</w:t>
      </w:r>
      <w:r w:rsidR="00671617" w:rsidRPr="00671617">
        <w:rPr>
          <w:lang w:val="x-none"/>
        </w:rPr>
        <w:t>, prosecut</w:t>
      </w:r>
      <w:r w:rsidR="004E7642">
        <w:rPr>
          <w:lang w:val="en-US"/>
        </w:rPr>
        <w:t>ing</w:t>
      </w:r>
      <w:r w:rsidR="00671617" w:rsidRPr="00671617">
        <w:rPr>
          <w:lang w:val="x-none"/>
        </w:rPr>
        <w:t xml:space="preserve"> and punish</w:t>
      </w:r>
      <w:r w:rsidR="004E7642">
        <w:rPr>
          <w:lang w:val="en-US"/>
        </w:rPr>
        <w:t>ing</w:t>
      </w:r>
      <w:r w:rsidR="00671617" w:rsidRPr="00671617">
        <w:rPr>
          <w:lang w:val="x-none"/>
        </w:rPr>
        <w:t xml:space="preserve"> the perpetrators and provid</w:t>
      </w:r>
      <w:r w:rsidR="004E7642">
        <w:rPr>
          <w:lang w:val="en-US"/>
        </w:rPr>
        <w:t>ing</w:t>
      </w:r>
      <w:r w:rsidR="00671617" w:rsidRPr="00671617">
        <w:rPr>
          <w:lang w:val="x-none"/>
        </w:rPr>
        <w:t xml:space="preserve"> compensation to the victims of the </w:t>
      </w:r>
      <w:r w:rsidR="00671617" w:rsidRPr="00671617">
        <w:rPr>
          <w:rFonts w:eastAsia="ヒラギノ角ゴ Pro W3"/>
          <w:lang w:eastAsia="en-GB"/>
        </w:rPr>
        <w:t>human</w:t>
      </w:r>
      <w:r w:rsidR="00671617" w:rsidRPr="00671617">
        <w:rPr>
          <w:lang w:val="x-none"/>
        </w:rPr>
        <w:t xml:space="preserve"> rights violations committed during the armed conflict betwe</w:t>
      </w:r>
      <w:r w:rsidR="00671617" w:rsidRPr="002716C6">
        <w:rPr>
          <w:lang w:val="x-none"/>
        </w:rPr>
        <w:t>en 1 February 1996 and 2006. It</w:t>
      </w:r>
      <w:r w:rsidR="00671617" w:rsidRPr="00671617">
        <w:rPr>
          <w:lang w:val="x-none"/>
        </w:rPr>
        <w:t xml:space="preserve"> note</w:t>
      </w:r>
      <w:r w:rsidR="004E7642">
        <w:rPr>
          <w:lang w:val="en-US"/>
        </w:rPr>
        <w:t>s</w:t>
      </w:r>
      <w:r w:rsidR="00671617" w:rsidRPr="00671617">
        <w:rPr>
          <w:lang w:val="x-none"/>
        </w:rPr>
        <w:t xml:space="preserve"> that the authors have already received interim relief</w:t>
      </w:r>
      <w:r w:rsidRPr="003B6E5F">
        <w:t>.</w:t>
      </w:r>
    </w:p>
    <w:p w14:paraId="67300AE0" w14:textId="77777777" w:rsidR="00671617" w:rsidRPr="00671617" w:rsidRDefault="00671617" w:rsidP="00671617">
      <w:pPr>
        <w:keepNext/>
        <w:keepLines/>
        <w:tabs>
          <w:tab w:val="right" w:pos="851"/>
        </w:tabs>
        <w:spacing w:before="240" w:after="120" w:line="240" w:lineRule="auto"/>
        <w:ind w:left="1134" w:hanging="1134"/>
        <w:rPr>
          <w:b/>
        </w:rPr>
      </w:pPr>
      <w:r w:rsidRPr="00671617">
        <w:rPr>
          <w:b/>
        </w:rPr>
        <w:tab/>
      </w:r>
      <w:r w:rsidRPr="00671617">
        <w:rPr>
          <w:b/>
        </w:rPr>
        <w:tab/>
        <w:t xml:space="preserve">Authors’ comments on the State party’s observations </w:t>
      </w:r>
    </w:p>
    <w:p w14:paraId="391E2AA9" w14:textId="77777777" w:rsidR="00671617" w:rsidRPr="00671617" w:rsidRDefault="00671617" w:rsidP="00915B9A">
      <w:pPr>
        <w:pStyle w:val="SingleTxtG"/>
        <w:rPr>
          <w:rFonts w:eastAsia="Arial Narrow"/>
          <w:lang w:val="en-US"/>
        </w:rPr>
      </w:pPr>
      <w:r w:rsidRPr="00671617">
        <w:rPr>
          <w:rFonts w:eastAsia="Arial Narrow"/>
          <w:lang w:val="en-US"/>
        </w:rPr>
        <w:t>6.1</w:t>
      </w:r>
      <w:r w:rsidRPr="00671617">
        <w:rPr>
          <w:rFonts w:eastAsia="Arial Narrow"/>
          <w:lang w:val="en-US"/>
        </w:rPr>
        <w:tab/>
        <w:t xml:space="preserve">On 18 April 2012, the authors </w:t>
      </w:r>
      <w:r w:rsidRPr="00671617">
        <w:rPr>
          <w:rFonts w:eastAsia="ヒラギノ角ゴ Pro W3"/>
          <w:lang w:eastAsia="en-GB"/>
        </w:rPr>
        <w:t>submitted</w:t>
      </w:r>
      <w:r w:rsidRPr="00671617">
        <w:rPr>
          <w:rFonts w:eastAsia="Arial Narrow"/>
          <w:lang w:val="en-US"/>
        </w:rPr>
        <w:t xml:space="preserve"> their comments on t</w:t>
      </w:r>
      <w:r w:rsidR="00915B9A">
        <w:rPr>
          <w:rFonts w:eastAsia="Arial Narrow"/>
          <w:lang w:val="en-US"/>
        </w:rPr>
        <w:t xml:space="preserve">he State party’s observations. </w:t>
      </w:r>
    </w:p>
    <w:p w14:paraId="555775D4" w14:textId="77777777" w:rsidR="00671617" w:rsidRPr="00671617" w:rsidRDefault="00915B9A">
      <w:pPr>
        <w:pStyle w:val="SingleTxtG"/>
        <w:rPr>
          <w:rFonts w:eastAsia="Arial Narrow"/>
          <w:lang w:val="en-US"/>
        </w:rPr>
      </w:pPr>
      <w:r>
        <w:rPr>
          <w:rFonts w:eastAsia="Arial Narrow"/>
          <w:lang w:val="en-US"/>
        </w:rPr>
        <w:t>6.2</w:t>
      </w:r>
      <w:r w:rsidR="00671617" w:rsidRPr="00671617">
        <w:rPr>
          <w:rFonts w:eastAsia="Arial Narrow"/>
          <w:lang w:val="en-US"/>
        </w:rPr>
        <w:tab/>
        <w:t xml:space="preserve">The authors reiterate </w:t>
      </w:r>
      <w:r w:rsidR="00671617" w:rsidRPr="002716C6">
        <w:rPr>
          <w:rFonts w:eastAsia="Arial Narrow"/>
          <w:lang w:val="en-US"/>
        </w:rPr>
        <w:t xml:space="preserve">that they have exhausted all domestic remedies. They argue that in general </w:t>
      </w:r>
      <w:r w:rsidR="002716C6" w:rsidRPr="002716C6">
        <w:rPr>
          <w:rFonts w:eastAsia="Arial Narrow"/>
          <w:lang w:val="en-US"/>
        </w:rPr>
        <w:t xml:space="preserve">a </w:t>
      </w:r>
      <w:r w:rsidR="00671617" w:rsidRPr="002716C6">
        <w:rPr>
          <w:rFonts w:eastAsia="Arial Narrow"/>
          <w:lang w:val="en-US"/>
        </w:rPr>
        <w:t>writ of habeas corpus is the remedy best suited to redress</w:t>
      </w:r>
      <w:r w:rsidR="007A27B7" w:rsidRPr="002716C6">
        <w:rPr>
          <w:rFonts w:eastAsia="Arial Narrow"/>
          <w:lang w:val="en-US"/>
        </w:rPr>
        <w:t>ing</w:t>
      </w:r>
      <w:r w:rsidR="00671617" w:rsidRPr="002716C6">
        <w:rPr>
          <w:rFonts w:eastAsia="Arial Narrow"/>
          <w:lang w:val="en-US"/>
        </w:rPr>
        <w:t xml:space="preserve"> the violation concerned by producing the disappeared person and thereby ending the unacknowledged detention. It is therefore the most appropriate immediate remedy to </w:t>
      </w:r>
      <w:r w:rsidR="00671617" w:rsidRPr="002716C6">
        <w:rPr>
          <w:rFonts w:eastAsia="ヒラギノ角ゴ Pro W3"/>
          <w:lang w:eastAsia="en-GB"/>
        </w:rPr>
        <w:t>protect</w:t>
      </w:r>
      <w:r w:rsidR="00671617" w:rsidRPr="002716C6">
        <w:rPr>
          <w:rFonts w:eastAsia="Arial Narrow"/>
          <w:lang w:val="en-US"/>
        </w:rPr>
        <w:t xml:space="preserve"> the rights of a person taken by the authorities. However, </w:t>
      </w:r>
      <w:r w:rsidR="002716C6" w:rsidRPr="002716C6">
        <w:rPr>
          <w:rFonts w:eastAsia="Arial Narrow"/>
          <w:lang w:val="en-US"/>
        </w:rPr>
        <w:t xml:space="preserve">the </w:t>
      </w:r>
      <w:r w:rsidR="00671617" w:rsidRPr="002716C6">
        <w:rPr>
          <w:rFonts w:eastAsia="Arial Narrow"/>
          <w:lang w:val="en-US"/>
        </w:rPr>
        <w:t xml:space="preserve">regulations </w:t>
      </w:r>
      <w:r w:rsidR="002716C6" w:rsidRPr="002716C6">
        <w:rPr>
          <w:rFonts w:eastAsia="Arial Narrow"/>
          <w:lang w:val="en-US"/>
        </w:rPr>
        <w:t xml:space="preserve">concerning such writs </w:t>
      </w:r>
      <w:r w:rsidR="00671617" w:rsidRPr="002716C6">
        <w:rPr>
          <w:rFonts w:eastAsia="Arial Narrow"/>
          <w:lang w:val="en-US"/>
        </w:rPr>
        <w:t xml:space="preserve">and the manner in which the courts in the State party handle habeas corpus petitions make them ineffective. The authors further claim that it is </w:t>
      </w:r>
      <w:r w:rsidR="008666EF">
        <w:rPr>
          <w:rFonts w:eastAsia="Arial Narrow"/>
          <w:lang w:val="en-US"/>
        </w:rPr>
        <w:t>the responsibility of</w:t>
      </w:r>
      <w:r w:rsidR="008666EF" w:rsidRPr="002716C6">
        <w:rPr>
          <w:rFonts w:eastAsia="Arial Narrow"/>
          <w:lang w:val="en-US"/>
        </w:rPr>
        <w:t xml:space="preserve"> </w:t>
      </w:r>
      <w:r w:rsidR="00671617" w:rsidRPr="002716C6">
        <w:rPr>
          <w:rFonts w:eastAsia="Arial Narrow"/>
          <w:lang w:val="en-US"/>
        </w:rPr>
        <w:t>the State</w:t>
      </w:r>
      <w:r w:rsidR="00671617" w:rsidRPr="00671617">
        <w:rPr>
          <w:rFonts w:eastAsia="Arial Narrow"/>
          <w:lang w:val="en-US"/>
        </w:rPr>
        <w:t xml:space="preserve"> party to carry out ex officio a full and thorough investigation into the allegations of torture and enforced disappearance at the</w:t>
      </w:r>
      <w:r>
        <w:rPr>
          <w:rFonts w:eastAsia="Arial Narrow"/>
          <w:lang w:val="en-US"/>
        </w:rPr>
        <w:t xml:space="preserve"> earliest possible opportunity.</w:t>
      </w:r>
    </w:p>
    <w:p w14:paraId="17501717" w14:textId="77777777" w:rsidR="00671617" w:rsidRPr="00671617" w:rsidRDefault="00915B9A">
      <w:pPr>
        <w:pStyle w:val="SingleTxtG"/>
        <w:rPr>
          <w:rFonts w:eastAsia="Arial Narrow"/>
          <w:lang w:val="en-US"/>
        </w:rPr>
      </w:pPr>
      <w:r>
        <w:rPr>
          <w:rFonts w:eastAsia="Arial Narrow"/>
          <w:lang w:val="en-US"/>
        </w:rPr>
        <w:t>6.3</w:t>
      </w:r>
      <w:r w:rsidR="00671617" w:rsidRPr="00671617">
        <w:rPr>
          <w:rFonts w:eastAsia="Arial Narrow"/>
          <w:lang w:val="en-US"/>
        </w:rPr>
        <w:tab/>
        <w:t xml:space="preserve">The ruling of the Supreme Court of 1 June 2007 has not </w:t>
      </w:r>
      <w:r w:rsidR="007A27B7">
        <w:rPr>
          <w:rFonts w:eastAsia="Arial Narrow"/>
          <w:lang w:val="en-US"/>
        </w:rPr>
        <w:t xml:space="preserve">yet </w:t>
      </w:r>
      <w:r w:rsidR="00671617" w:rsidRPr="00671617">
        <w:rPr>
          <w:rFonts w:eastAsia="Arial Narrow"/>
          <w:lang w:val="en-US"/>
        </w:rPr>
        <w:t>been fully implemented. Although the State party granted the famil</w:t>
      </w:r>
      <w:r w:rsidR="008666EF">
        <w:rPr>
          <w:rFonts w:eastAsia="Arial Narrow"/>
          <w:lang w:val="en-US"/>
        </w:rPr>
        <w:t>ies</w:t>
      </w:r>
      <w:r w:rsidR="00671617" w:rsidRPr="00671617">
        <w:rPr>
          <w:rFonts w:eastAsia="Arial Narrow"/>
          <w:lang w:val="en-US"/>
        </w:rPr>
        <w:t xml:space="preserve"> of disappeared persons an interim relief of N</w:t>
      </w:r>
      <w:r w:rsidR="000E2F5D">
        <w:rPr>
          <w:rFonts w:eastAsia="Arial Narrow"/>
          <w:lang w:val="en-US"/>
        </w:rPr>
        <w:t>r</w:t>
      </w:r>
      <w:r w:rsidR="008666EF">
        <w:rPr>
          <w:rFonts w:eastAsia="Arial Narrow"/>
          <w:lang w:val="en-US"/>
        </w:rPr>
        <w:t> </w:t>
      </w:r>
      <w:r w:rsidR="00671617" w:rsidRPr="00671617">
        <w:rPr>
          <w:rFonts w:eastAsia="Arial Narrow"/>
          <w:lang w:val="en-US"/>
        </w:rPr>
        <w:t>100,000, it has failed to implement the other directives</w:t>
      </w:r>
      <w:r w:rsidR="007A27B7">
        <w:rPr>
          <w:rFonts w:eastAsia="Arial Narrow"/>
          <w:lang w:val="en-US"/>
        </w:rPr>
        <w:t>,</w:t>
      </w:r>
      <w:r w:rsidR="00671617" w:rsidRPr="00671617">
        <w:rPr>
          <w:rFonts w:eastAsia="Arial Narrow"/>
          <w:lang w:val="en-US"/>
        </w:rPr>
        <w:t xml:space="preserve"> such as criminalizing enforced disappearance or</w:t>
      </w:r>
      <w:r>
        <w:rPr>
          <w:rFonts w:eastAsia="Arial Narrow"/>
          <w:lang w:val="en-US"/>
        </w:rPr>
        <w:t xml:space="preserve"> prosecuting the perpetrators.</w:t>
      </w:r>
    </w:p>
    <w:p w14:paraId="7692955C" w14:textId="77777777" w:rsidR="00671617" w:rsidRPr="00671617" w:rsidRDefault="00915B9A">
      <w:pPr>
        <w:pStyle w:val="SingleTxtG"/>
        <w:rPr>
          <w:rFonts w:eastAsia="Arial Narrow"/>
          <w:lang w:val="en-US"/>
        </w:rPr>
      </w:pPr>
      <w:r>
        <w:rPr>
          <w:rFonts w:eastAsia="Arial Narrow"/>
          <w:lang w:val="en-US"/>
        </w:rPr>
        <w:lastRenderedPageBreak/>
        <w:t>6.4</w:t>
      </w:r>
      <w:r w:rsidR="00671617" w:rsidRPr="00671617">
        <w:rPr>
          <w:rFonts w:eastAsia="Arial Narrow"/>
          <w:lang w:val="en-US"/>
        </w:rPr>
        <w:tab/>
        <w:t xml:space="preserve">The authors reiterate </w:t>
      </w:r>
      <w:r w:rsidR="00671617" w:rsidRPr="002716C6">
        <w:rPr>
          <w:rFonts w:eastAsia="Arial Narrow"/>
          <w:lang w:val="en-US"/>
        </w:rPr>
        <w:t xml:space="preserve">that </w:t>
      </w:r>
      <w:r w:rsidR="002716C6" w:rsidRPr="002716C6">
        <w:rPr>
          <w:rFonts w:eastAsia="Arial Narrow"/>
          <w:lang w:val="en-US"/>
        </w:rPr>
        <w:t>a first information report</w:t>
      </w:r>
      <w:r w:rsidR="00671617" w:rsidRPr="002716C6">
        <w:rPr>
          <w:rFonts w:eastAsia="Arial Narrow"/>
          <w:lang w:val="en-US"/>
        </w:rPr>
        <w:t xml:space="preserve"> is not an effective remedy. As to the possibility </w:t>
      </w:r>
      <w:r w:rsidR="007A27B7" w:rsidRPr="002716C6">
        <w:rPr>
          <w:rFonts w:eastAsia="Arial Narrow"/>
          <w:lang w:val="en-US"/>
        </w:rPr>
        <w:t xml:space="preserve">of requesting </w:t>
      </w:r>
      <w:r w:rsidR="00671617" w:rsidRPr="002716C6">
        <w:rPr>
          <w:rFonts w:eastAsia="Arial Narrow"/>
          <w:lang w:val="en-US"/>
        </w:rPr>
        <w:t xml:space="preserve">compensation as a victim of torture under the </w:t>
      </w:r>
      <w:r w:rsidR="002716C6" w:rsidRPr="00F512C7">
        <w:rPr>
          <w:lang w:val="x-none"/>
        </w:rPr>
        <w:t xml:space="preserve">Compensation </w:t>
      </w:r>
      <w:r w:rsidR="002716C6" w:rsidRPr="00F512C7">
        <w:rPr>
          <w:lang w:val="en-US"/>
        </w:rPr>
        <w:t>r</w:t>
      </w:r>
      <w:r w:rsidR="002716C6" w:rsidRPr="00F512C7">
        <w:rPr>
          <w:lang w:val="x-none"/>
        </w:rPr>
        <w:t xml:space="preserve">elating to Torture Act </w:t>
      </w:r>
      <w:r w:rsidR="00671617" w:rsidRPr="002716C6">
        <w:rPr>
          <w:rFonts w:eastAsia="Arial Narrow"/>
          <w:lang w:val="en-US"/>
        </w:rPr>
        <w:t xml:space="preserve">, the authors point out that their relatives cannot materially pursue this procedure since they have been removed from the protection of the law by enforced disappearance, and that in general </w:t>
      </w:r>
      <w:r w:rsidR="007A27B7" w:rsidRPr="002716C6">
        <w:rPr>
          <w:rFonts w:eastAsia="Arial Narrow"/>
          <w:lang w:val="en-US"/>
        </w:rPr>
        <w:t xml:space="preserve">it </w:t>
      </w:r>
      <w:r w:rsidR="00671617" w:rsidRPr="002716C6">
        <w:rPr>
          <w:rFonts w:eastAsia="Arial Narrow"/>
          <w:lang w:val="en-US"/>
        </w:rPr>
        <w:t>is not an</w:t>
      </w:r>
      <w:r w:rsidR="00671617" w:rsidRPr="00671617">
        <w:rPr>
          <w:rFonts w:eastAsia="Arial Narrow"/>
          <w:lang w:val="en-US"/>
        </w:rPr>
        <w:t xml:space="preserve"> effective remedy </w:t>
      </w:r>
      <w:r w:rsidR="008666EF">
        <w:rPr>
          <w:rFonts w:eastAsia="Arial Narrow"/>
          <w:lang w:val="en-US"/>
        </w:rPr>
        <w:t xml:space="preserve">with respect to </w:t>
      </w:r>
      <w:r w:rsidR="00671617" w:rsidRPr="00671617">
        <w:rPr>
          <w:rFonts w:eastAsia="Arial Narrow"/>
          <w:lang w:val="en-US"/>
        </w:rPr>
        <w:t xml:space="preserve">the arbitrary detention and disappearance of their relatives. Likewise, it is not an effective remedy for the torture inflicted on them, since according to </w:t>
      </w:r>
      <w:r w:rsidR="007A27B7">
        <w:rPr>
          <w:rFonts w:eastAsia="Arial Narrow"/>
          <w:lang w:val="en-US"/>
        </w:rPr>
        <w:t>s</w:t>
      </w:r>
      <w:r w:rsidR="00671617" w:rsidRPr="00671617">
        <w:rPr>
          <w:rFonts w:eastAsia="Arial Narrow"/>
          <w:lang w:val="en-US"/>
        </w:rPr>
        <w:t xml:space="preserve">ection 2 of the Act it applies only to torture committed in detention. </w:t>
      </w:r>
    </w:p>
    <w:p w14:paraId="7078D99D" w14:textId="77777777" w:rsidR="00671617" w:rsidRPr="00671617" w:rsidRDefault="00915B9A">
      <w:pPr>
        <w:pStyle w:val="SingleTxtG"/>
        <w:rPr>
          <w:rFonts w:eastAsia="Arial Narrow"/>
          <w:lang w:val="en-US"/>
        </w:rPr>
      </w:pPr>
      <w:r>
        <w:rPr>
          <w:rFonts w:eastAsia="Arial Narrow"/>
          <w:lang w:val="en-US"/>
        </w:rPr>
        <w:t>6.5</w:t>
      </w:r>
      <w:r w:rsidR="00671617" w:rsidRPr="00671617">
        <w:rPr>
          <w:rFonts w:eastAsia="Arial Narrow"/>
          <w:lang w:val="en-US"/>
        </w:rPr>
        <w:tab/>
        <w:t xml:space="preserve">The potential future </w:t>
      </w:r>
      <w:r w:rsidR="00671617" w:rsidRPr="00671617">
        <w:rPr>
          <w:rFonts w:eastAsia="ヒラギノ角ゴ Pro W3"/>
          <w:lang w:eastAsia="en-GB"/>
        </w:rPr>
        <w:t>transitional</w:t>
      </w:r>
      <w:r w:rsidR="00671617" w:rsidRPr="00671617">
        <w:rPr>
          <w:rFonts w:eastAsia="Arial Narrow"/>
          <w:lang w:val="en-US"/>
        </w:rPr>
        <w:t xml:space="preserve"> justice </w:t>
      </w:r>
      <w:r w:rsidR="00671617" w:rsidRPr="002716C6">
        <w:rPr>
          <w:rFonts w:eastAsia="Arial Narrow"/>
          <w:lang w:val="en-US"/>
        </w:rPr>
        <w:t xml:space="preserve">mechanism is not relevant to </w:t>
      </w:r>
      <w:r w:rsidR="002716C6" w:rsidRPr="002716C6">
        <w:rPr>
          <w:rFonts w:eastAsia="Arial Narrow"/>
          <w:lang w:val="en-US"/>
        </w:rPr>
        <w:t xml:space="preserve">the determination of </w:t>
      </w:r>
      <w:r w:rsidR="00671617" w:rsidRPr="002716C6">
        <w:rPr>
          <w:rFonts w:eastAsia="Arial Narrow"/>
          <w:lang w:val="en-US"/>
        </w:rPr>
        <w:t>the admissibility of the communication and, even if</w:t>
      </w:r>
      <w:r w:rsidR="00671617" w:rsidRPr="00671617">
        <w:rPr>
          <w:rFonts w:eastAsia="Arial Narrow"/>
          <w:lang w:val="en-US"/>
        </w:rPr>
        <w:t xml:space="preserve"> established, would not constitute an effective remedy. Fact-finding</w:t>
      </w:r>
      <w:r w:rsidR="00671617" w:rsidRPr="00671617">
        <w:rPr>
          <w:rFonts w:eastAsia="Arial Narrow"/>
          <w:spacing w:val="32"/>
          <w:lang w:val="en-US"/>
        </w:rPr>
        <w:t xml:space="preserve"> </w:t>
      </w:r>
      <w:r w:rsidR="00671617" w:rsidRPr="00671617">
        <w:rPr>
          <w:rFonts w:eastAsia="Arial Narrow"/>
          <w:lang w:val="en-US"/>
        </w:rPr>
        <w:t xml:space="preserve">processes by non-judicial </w:t>
      </w:r>
      <w:r w:rsidR="00671617" w:rsidRPr="002716C6">
        <w:rPr>
          <w:rFonts w:eastAsia="Arial Narrow"/>
          <w:lang w:val="en-US"/>
        </w:rPr>
        <w:t>bodies</w:t>
      </w:r>
      <w:r w:rsidR="00671617" w:rsidRPr="002716C6">
        <w:rPr>
          <w:rFonts w:eastAsia="Arial Narrow"/>
          <w:spacing w:val="31"/>
          <w:lang w:val="en-US"/>
        </w:rPr>
        <w:t xml:space="preserve"> </w:t>
      </w:r>
      <w:r w:rsidR="002716C6" w:rsidRPr="002716C6">
        <w:rPr>
          <w:rFonts w:eastAsia="Arial Narrow"/>
          <w:spacing w:val="12"/>
          <w:lang w:val="en-US"/>
        </w:rPr>
        <w:t xml:space="preserve">can </w:t>
      </w:r>
      <w:r w:rsidR="00671617" w:rsidRPr="002716C6">
        <w:rPr>
          <w:rFonts w:eastAsia="Arial Narrow"/>
          <w:lang w:val="en-US"/>
        </w:rPr>
        <w:t>never</w:t>
      </w:r>
      <w:r w:rsidR="00671617" w:rsidRPr="002716C6">
        <w:rPr>
          <w:rFonts w:eastAsia="Arial Narrow"/>
          <w:spacing w:val="12"/>
          <w:lang w:val="en-US"/>
        </w:rPr>
        <w:t xml:space="preserve"> </w:t>
      </w:r>
      <w:r w:rsidR="00671617" w:rsidRPr="002716C6">
        <w:rPr>
          <w:rFonts w:eastAsia="Arial Narrow"/>
          <w:lang w:val="en-US"/>
        </w:rPr>
        <w:t>replace</w:t>
      </w:r>
      <w:r w:rsidR="00671617" w:rsidRPr="002716C6">
        <w:rPr>
          <w:rFonts w:eastAsia="Arial Narrow"/>
          <w:spacing w:val="12"/>
          <w:lang w:val="en-US"/>
        </w:rPr>
        <w:t xml:space="preserve"> </w:t>
      </w:r>
      <w:r w:rsidR="00671617" w:rsidRPr="002716C6">
        <w:rPr>
          <w:rFonts w:eastAsia="Arial Narrow"/>
          <w:lang w:val="en-US"/>
        </w:rPr>
        <w:t>access</w:t>
      </w:r>
      <w:r w:rsidR="00671617" w:rsidRPr="002716C6">
        <w:rPr>
          <w:rFonts w:eastAsia="Arial Narrow"/>
          <w:spacing w:val="12"/>
          <w:lang w:val="en-US"/>
        </w:rPr>
        <w:t xml:space="preserve"> </w:t>
      </w:r>
      <w:r w:rsidR="00671617" w:rsidRPr="002716C6">
        <w:rPr>
          <w:rFonts w:eastAsia="Arial Narrow"/>
          <w:lang w:val="en-US"/>
        </w:rPr>
        <w:t>to</w:t>
      </w:r>
      <w:r w:rsidR="00671617" w:rsidRPr="002716C6">
        <w:rPr>
          <w:rFonts w:eastAsia="Arial Narrow"/>
          <w:spacing w:val="12"/>
          <w:lang w:val="en-US"/>
        </w:rPr>
        <w:t xml:space="preserve"> </w:t>
      </w:r>
      <w:r w:rsidR="00671617" w:rsidRPr="002716C6">
        <w:rPr>
          <w:rFonts w:eastAsia="Arial Narrow"/>
          <w:lang w:val="en-US"/>
        </w:rPr>
        <w:t>justice</w:t>
      </w:r>
      <w:r w:rsidR="00671617" w:rsidRPr="002716C6">
        <w:rPr>
          <w:rFonts w:eastAsia="Arial Narrow"/>
          <w:spacing w:val="12"/>
          <w:lang w:val="en-US"/>
        </w:rPr>
        <w:t xml:space="preserve"> </w:t>
      </w:r>
      <w:r w:rsidR="00671617" w:rsidRPr="002716C6">
        <w:rPr>
          <w:rFonts w:eastAsia="Arial Narrow"/>
          <w:lang w:val="en-US"/>
        </w:rPr>
        <w:t>and</w:t>
      </w:r>
      <w:r w:rsidR="00671617" w:rsidRPr="002716C6">
        <w:rPr>
          <w:rFonts w:eastAsia="Arial Narrow"/>
          <w:spacing w:val="11"/>
          <w:lang w:val="en-US"/>
        </w:rPr>
        <w:t xml:space="preserve"> </w:t>
      </w:r>
      <w:r w:rsidR="00671617" w:rsidRPr="002716C6">
        <w:rPr>
          <w:rFonts w:eastAsia="Arial Narrow"/>
          <w:lang w:val="en-US"/>
        </w:rPr>
        <w:t>redress</w:t>
      </w:r>
      <w:r w:rsidR="00671617" w:rsidRPr="002716C6">
        <w:rPr>
          <w:rFonts w:eastAsia="Arial Narrow"/>
          <w:spacing w:val="12"/>
          <w:lang w:val="en-US"/>
        </w:rPr>
        <w:t xml:space="preserve"> </w:t>
      </w:r>
      <w:r w:rsidR="00671617" w:rsidRPr="002716C6">
        <w:rPr>
          <w:rFonts w:eastAsia="Arial Narrow"/>
          <w:lang w:val="en-US"/>
        </w:rPr>
        <w:t>for</w:t>
      </w:r>
      <w:r w:rsidR="00671617" w:rsidRPr="002716C6">
        <w:rPr>
          <w:rFonts w:eastAsia="Arial Narrow"/>
          <w:spacing w:val="12"/>
          <w:lang w:val="en-US"/>
        </w:rPr>
        <w:t xml:space="preserve"> </w:t>
      </w:r>
      <w:r w:rsidR="00671617" w:rsidRPr="002716C6">
        <w:rPr>
          <w:rFonts w:eastAsia="Arial Narrow"/>
          <w:lang w:val="en-US"/>
        </w:rPr>
        <w:t>victims</w:t>
      </w:r>
      <w:r w:rsidR="00671617" w:rsidRPr="002716C6">
        <w:rPr>
          <w:rFonts w:eastAsia="Arial Narrow"/>
          <w:spacing w:val="12"/>
          <w:lang w:val="en-US"/>
        </w:rPr>
        <w:t xml:space="preserve"> </w:t>
      </w:r>
      <w:r w:rsidR="00671617" w:rsidRPr="002716C6">
        <w:rPr>
          <w:rFonts w:eastAsia="Arial Narrow"/>
          <w:lang w:val="en-US"/>
        </w:rPr>
        <w:t>of</w:t>
      </w:r>
      <w:r w:rsidR="00671617" w:rsidRPr="002716C6">
        <w:rPr>
          <w:rFonts w:eastAsia="Arial Narrow"/>
          <w:spacing w:val="12"/>
          <w:lang w:val="en-US"/>
        </w:rPr>
        <w:t xml:space="preserve"> </w:t>
      </w:r>
      <w:r w:rsidR="00671617" w:rsidRPr="002716C6">
        <w:rPr>
          <w:rFonts w:eastAsia="Arial Narrow"/>
          <w:lang w:val="en-US"/>
        </w:rPr>
        <w:t>gross</w:t>
      </w:r>
      <w:r w:rsidR="00671617" w:rsidRPr="002716C6">
        <w:rPr>
          <w:lang w:val="en-US"/>
        </w:rPr>
        <w:t xml:space="preserve"> </w:t>
      </w:r>
      <w:r w:rsidR="00671617" w:rsidRPr="002716C6">
        <w:rPr>
          <w:rFonts w:eastAsia="Arial Narrow"/>
          <w:lang w:val="en-US"/>
        </w:rPr>
        <w:t>human</w:t>
      </w:r>
      <w:r w:rsidR="00671617" w:rsidRPr="002716C6">
        <w:rPr>
          <w:rFonts w:eastAsia="Arial Narrow"/>
          <w:spacing w:val="18"/>
          <w:lang w:val="en-US"/>
        </w:rPr>
        <w:t xml:space="preserve"> </w:t>
      </w:r>
      <w:r w:rsidR="00671617" w:rsidRPr="002716C6">
        <w:rPr>
          <w:rFonts w:eastAsia="Arial Narrow"/>
          <w:lang w:val="en-US"/>
        </w:rPr>
        <w:t>rights</w:t>
      </w:r>
      <w:r w:rsidR="00671617" w:rsidRPr="002716C6">
        <w:rPr>
          <w:rFonts w:eastAsia="Arial Narrow"/>
          <w:spacing w:val="19"/>
          <w:lang w:val="en-US"/>
        </w:rPr>
        <w:t xml:space="preserve"> </w:t>
      </w:r>
      <w:r w:rsidR="00671617" w:rsidRPr="002716C6">
        <w:rPr>
          <w:rFonts w:eastAsia="Arial Narrow"/>
          <w:lang w:val="en-US"/>
        </w:rPr>
        <w:t>violations</w:t>
      </w:r>
      <w:r w:rsidR="00671617" w:rsidRPr="002716C6">
        <w:rPr>
          <w:rFonts w:eastAsia="Arial Narrow"/>
          <w:spacing w:val="18"/>
          <w:lang w:val="en-US"/>
        </w:rPr>
        <w:t xml:space="preserve"> </w:t>
      </w:r>
      <w:r w:rsidR="00671617" w:rsidRPr="002716C6">
        <w:rPr>
          <w:rFonts w:eastAsia="Arial Narrow"/>
          <w:lang w:val="en-US"/>
        </w:rPr>
        <w:t>and</w:t>
      </w:r>
      <w:r w:rsidR="00671617" w:rsidRPr="002716C6">
        <w:rPr>
          <w:rFonts w:eastAsia="Arial Narrow"/>
          <w:spacing w:val="19"/>
          <w:lang w:val="en-US"/>
        </w:rPr>
        <w:t xml:space="preserve"> </w:t>
      </w:r>
      <w:r w:rsidR="002716C6" w:rsidRPr="00F512C7">
        <w:rPr>
          <w:rFonts w:eastAsia="Arial Narrow"/>
          <w:spacing w:val="19"/>
          <w:lang w:val="en-US"/>
        </w:rPr>
        <w:t xml:space="preserve">for </w:t>
      </w:r>
      <w:r w:rsidR="00671617" w:rsidRPr="002716C6">
        <w:rPr>
          <w:rFonts w:eastAsia="Arial Narrow"/>
          <w:lang w:val="en-US"/>
        </w:rPr>
        <w:t>their</w:t>
      </w:r>
      <w:r w:rsidR="00671617" w:rsidRPr="002716C6">
        <w:rPr>
          <w:rFonts w:eastAsia="Arial Narrow"/>
          <w:spacing w:val="18"/>
          <w:lang w:val="en-US"/>
        </w:rPr>
        <w:t xml:space="preserve"> </w:t>
      </w:r>
      <w:r w:rsidR="00671617" w:rsidRPr="002716C6">
        <w:rPr>
          <w:rFonts w:eastAsia="Arial Narrow"/>
          <w:lang w:val="en-US"/>
        </w:rPr>
        <w:t>relatives, since it is the criminal</w:t>
      </w:r>
      <w:r w:rsidR="00671617" w:rsidRPr="002716C6">
        <w:rPr>
          <w:rFonts w:eastAsia="Arial Narrow"/>
          <w:spacing w:val="4"/>
          <w:lang w:val="en-US"/>
        </w:rPr>
        <w:t xml:space="preserve"> </w:t>
      </w:r>
      <w:r w:rsidR="00671617" w:rsidRPr="002716C6">
        <w:rPr>
          <w:rFonts w:eastAsia="Arial Narrow"/>
          <w:lang w:val="en-US"/>
        </w:rPr>
        <w:t>justice</w:t>
      </w:r>
      <w:r w:rsidR="00671617" w:rsidRPr="002716C6">
        <w:rPr>
          <w:rFonts w:eastAsia="Arial Narrow"/>
          <w:spacing w:val="5"/>
          <w:lang w:val="en-US"/>
        </w:rPr>
        <w:t xml:space="preserve"> </w:t>
      </w:r>
      <w:r w:rsidR="00E00427" w:rsidRPr="002716C6">
        <w:rPr>
          <w:rFonts w:eastAsia="Arial Narrow"/>
          <w:lang w:val="en-US"/>
        </w:rPr>
        <w:t xml:space="preserve">system </w:t>
      </w:r>
      <w:r w:rsidR="00671617" w:rsidRPr="002716C6">
        <w:rPr>
          <w:rFonts w:eastAsia="Arial Narrow"/>
          <w:lang w:val="en-US"/>
        </w:rPr>
        <w:t>that is</w:t>
      </w:r>
      <w:r w:rsidR="00671617" w:rsidRPr="002716C6">
        <w:rPr>
          <w:rFonts w:eastAsia="Arial Narrow"/>
          <w:spacing w:val="4"/>
          <w:lang w:val="en-US"/>
        </w:rPr>
        <w:t xml:space="preserve"> </w:t>
      </w:r>
      <w:r w:rsidR="00671617" w:rsidRPr="002716C6">
        <w:rPr>
          <w:rFonts w:eastAsia="Arial Narrow"/>
          <w:lang w:val="en-US"/>
        </w:rPr>
        <w:t>the</w:t>
      </w:r>
      <w:r w:rsidR="00671617" w:rsidRPr="002716C6">
        <w:rPr>
          <w:rFonts w:eastAsia="Arial Narrow"/>
          <w:spacing w:val="4"/>
          <w:lang w:val="en-US"/>
        </w:rPr>
        <w:t xml:space="preserve"> </w:t>
      </w:r>
      <w:r w:rsidR="00671617" w:rsidRPr="002716C6">
        <w:rPr>
          <w:rFonts w:eastAsia="Arial Narrow"/>
          <w:lang w:val="en-US"/>
        </w:rPr>
        <w:t>more</w:t>
      </w:r>
      <w:r w:rsidR="00671617" w:rsidRPr="002716C6">
        <w:rPr>
          <w:rFonts w:eastAsia="Arial Narrow"/>
          <w:spacing w:val="26"/>
          <w:lang w:val="en-US"/>
        </w:rPr>
        <w:t xml:space="preserve"> </w:t>
      </w:r>
      <w:r w:rsidR="00671617" w:rsidRPr="002716C6">
        <w:rPr>
          <w:rFonts w:eastAsia="Arial Narrow"/>
          <w:lang w:val="en-US"/>
        </w:rPr>
        <w:t>appropriate</w:t>
      </w:r>
      <w:r w:rsidR="00671617" w:rsidRPr="002716C6">
        <w:rPr>
          <w:rFonts w:eastAsia="Arial Narrow"/>
          <w:spacing w:val="-2"/>
          <w:lang w:val="en-US"/>
        </w:rPr>
        <w:t xml:space="preserve"> </w:t>
      </w:r>
      <w:r w:rsidR="00671617" w:rsidRPr="002716C6">
        <w:rPr>
          <w:rFonts w:eastAsia="Arial Narrow"/>
          <w:lang w:val="en-US"/>
        </w:rPr>
        <w:t>avenue</w:t>
      </w:r>
      <w:r w:rsidR="00671617" w:rsidRPr="002716C6">
        <w:rPr>
          <w:rFonts w:eastAsia="Arial Narrow"/>
          <w:spacing w:val="-1"/>
          <w:lang w:val="en-US"/>
        </w:rPr>
        <w:t xml:space="preserve"> </w:t>
      </w:r>
      <w:r w:rsidR="00671617" w:rsidRPr="002716C6">
        <w:rPr>
          <w:rFonts w:eastAsia="Arial Narrow"/>
          <w:lang w:val="en-US"/>
        </w:rPr>
        <w:t>for</w:t>
      </w:r>
      <w:r w:rsidR="00671617" w:rsidRPr="002716C6">
        <w:rPr>
          <w:rFonts w:eastAsia="Arial Narrow"/>
          <w:spacing w:val="-1"/>
          <w:lang w:val="en-US"/>
        </w:rPr>
        <w:t xml:space="preserve"> </w:t>
      </w:r>
      <w:r w:rsidR="00671617" w:rsidRPr="002716C6">
        <w:rPr>
          <w:rFonts w:eastAsia="Arial Narrow"/>
          <w:lang w:val="en-US"/>
        </w:rPr>
        <w:t>immediate</w:t>
      </w:r>
      <w:r w:rsidR="00671617" w:rsidRPr="002716C6">
        <w:rPr>
          <w:rFonts w:eastAsia="Arial Narrow"/>
          <w:spacing w:val="-1"/>
          <w:lang w:val="en-US"/>
        </w:rPr>
        <w:t xml:space="preserve"> </w:t>
      </w:r>
      <w:r w:rsidR="00671617" w:rsidRPr="002716C6">
        <w:rPr>
          <w:rFonts w:eastAsia="Arial Narrow"/>
          <w:lang w:val="en-US"/>
        </w:rPr>
        <w:t>criminal</w:t>
      </w:r>
      <w:r w:rsidR="00671617" w:rsidRPr="002716C6">
        <w:rPr>
          <w:rFonts w:eastAsia="Arial Narrow"/>
          <w:spacing w:val="-1"/>
          <w:lang w:val="en-US"/>
        </w:rPr>
        <w:t xml:space="preserve"> </w:t>
      </w:r>
      <w:r w:rsidR="00671617" w:rsidRPr="002716C6">
        <w:rPr>
          <w:rFonts w:eastAsia="Arial Narrow"/>
          <w:lang w:val="en-US"/>
        </w:rPr>
        <w:t>investigation</w:t>
      </w:r>
      <w:r w:rsidR="00671617" w:rsidRPr="002716C6">
        <w:rPr>
          <w:rFonts w:eastAsia="Arial Narrow"/>
          <w:spacing w:val="-1"/>
          <w:lang w:val="en-US"/>
        </w:rPr>
        <w:t xml:space="preserve"> </w:t>
      </w:r>
      <w:r w:rsidR="00671617" w:rsidRPr="002716C6">
        <w:rPr>
          <w:rFonts w:eastAsia="Arial Narrow"/>
          <w:lang w:val="en-US"/>
        </w:rPr>
        <w:t>and</w:t>
      </w:r>
      <w:r w:rsidR="00671617" w:rsidRPr="002716C6">
        <w:rPr>
          <w:rFonts w:eastAsia="Arial Narrow"/>
          <w:spacing w:val="-1"/>
          <w:lang w:val="en-US"/>
        </w:rPr>
        <w:t xml:space="preserve"> </w:t>
      </w:r>
      <w:r w:rsidR="00671617" w:rsidRPr="002716C6">
        <w:rPr>
          <w:rFonts w:eastAsia="Arial Narrow"/>
          <w:lang w:val="en-US"/>
        </w:rPr>
        <w:t>punishment.</w:t>
      </w:r>
    </w:p>
    <w:p w14:paraId="67414B27" w14:textId="77777777" w:rsidR="00671617" w:rsidRPr="00F512C7" w:rsidRDefault="00915B9A">
      <w:pPr>
        <w:pStyle w:val="SingleTxtG"/>
        <w:rPr>
          <w:rFonts w:eastAsia="Arial Narrow"/>
          <w:lang w:val="en-US"/>
        </w:rPr>
      </w:pPr>
      <w:r>
        <w:rPr>
          <w:rFonts w:eastAsia="Arial Narrow"/>
          <w:lang w:val="en-US"/>
        </w:rPr>
        <w:t>6.6</w:t>
      </w:r>
      <w:r w:rsidR="00671617" w:rsidRPr="00671617">
        <w:rPr>
          <w:rFonts w:eastAsia="Arial Narrow"/>
          <w:lang w:val="en-US"/>
        </w:rPr>
        <w:tab/>
        <w:t>The authors claim that</w:t>
      </w:r>
      <w:r w:rsidR="00F00C88">
        <w:rPr>
          <w:rFonts w:eastAsia="Arial Narrow"/>
          <w:lang w:val="en-US"/>
        </w:rPr>
        <w:t>,</w:t>
      </w:r>
      <w:r w:rsidR="00671617" w:rsidRPr="00671617">
        <w:rPr>
          <w:rFonts w:eastAsia="Arial Narrow"/>
          <w:lang w:val="en-US"/>
        </w:rPr>
        <w:t xml:space="preserve"> in the absence of concrete observations </w:t>
      </w:r>
      <w:r w:rsidR="00F00C88">
        <w:rPr>
          <w:rFonts w:eastAsia="Arial Narrow"/>
          <w:lang w:val="en-US"/>
        </w:rPr>
        <w:t xml:space="preserve">of the State party </w:t>
      </w:r>
      <w:r w:rsidR="00671617" w:rsidRPr="00671617">
        <w:rPr>
          <w:rFonts w:eastAsia="Arial Narrow"/>
          <w:lang w:val="en-US"/>
        </w:rPr>
        <w:t>on the merits of the communication that refute</w:t>
      </w:r>
      <w:r w:rsidR="00671617" w:rsidRPr="00F512C7">
        <w:rPr>
          <w:rFonts w:eastAsia="Arial Narrow"/>
          <w:lang w:val="en-US"/>
        </w:rPr>
        <w:t xml:space="preserve"> </w:t>
      </w:r>
      <w:r w:rsidR="008666EF" w:rsidRPr="00F512C7">
        <w:rPr>
          <w:rFonts w:eastAsia="Arial Narrow"/>
          <w:lang w:val="en-US"/>
        </w:rPr>
        <w:t>their</w:t>
      </w:r>
      <w:r w:rsidR="00671617" w:rsidRPr="00F512C7">
        <w:rPr>
          <w:rFonts w:eastAsia="Arial Narrow"/>
          <w:lang w:val="en-US"/>
        </w:rPr>
        <w:t xml:space="preserve"> allegations, their claims should be considered substantiated. They point out that the State party refers to the investigations carried out by the Joint Secretaries at the Ministry of Home Affairs and by the Army</w:t>
      </w:r>
      <w:r w:rsidR="00F00C88" w:rsidRPr="00F512C7">
        <w:rPr>
          <w:rFonts w:eastAsia="Arial Narrow"/>
          <w:lang w:val="en-US"/>
        </w:rPr>
        <w:t>;</w:t>
      </w:r>
      <w:r w:rsidR="00671617" w:rsidRPr="00F512C7">
        <w:rPr>
          <w:rFonts w:eastAsia="Arial Narrow"/>
          <w:lang w:val="en-US"/>
        </w:rPr>
        <w:t xml:space="preserve"> however, it failed to provide details as to how such investigations had been undertaken and why the Army concluded that seven of the authors’ relatives </w:t>
      </w:r>
      <w:r w:rsidR="00F00C88" w:rsidRPr="00F512C7">
        <w:rPr>
          <w:rFonts w:eastAsia="Arial Narrow"/>
          <w:lang w:val="en-US"/>
        </w:rPr>
        <w:t xml:space="preserve">had been </w:t>
      </w:r>
      <w:r w:rsidR="00671617" w:rsidRPr="00F512C7">
        <w:rPr>
          <w:rFonts w:eastAsia="Arial Narrow"/>
          <w:lang w:val="en-US"/>
        </w:rPr>
        <w:t>killed in crossfire in April 2002.</w:t>
      </w:r>
      <w:r w:rsidR="005679A4" w:rsidRPr="00F512C7">
        <w:rPr>
          <w:rFonts w:eastAsia="Arial Narrow"/>
          <w:lang w:val="en-US"/>
        </w:rPr>
        <w:t xml:space="preserve"> </w:t>
      </w:r>
    </w:p>
    <w:p w14:paraId="4EECFF65" w14:textId="77777777" w:rsidR="00671617" w:rsidRPr="00671617" w:rsidRDefault="00915B9A" w:rsidP="00915B9A">
      <w:pPr>
        <w:pStyle w:val="H23G"/>
        <w:rPr>
          <w:lang w:eastAsia="en-GB"/>
        </w:rPr>
      </w:pPr>
      <w:r>
        <w:rPr>
          <w:lang w:eastAsia="en-GB"/>
        </w:rPr>
        <w:tab/>
      </w:r>
      <w:r>
        <w:rPr>
          <w:lang w:eastAsia="en-GB"/>
        </w:rPr>
        <w:tab/>
      </w:r>
      <w:r w:rsidR="00671617" w:rsidRPr="00671617">
        <w:rPr>
          <w:lang w:eastAsia="en-GB"/>
        </w:rPr>
        <w:t>Further submissions from the parties</w:t>
      </w:r>
    </w:p>
    <w:p w14:paraId="750E9291" w14:textId="77777777" w:rsidR="00671617" w:rsidRPr="00200DB5" w:rsidRDefault="00671617">
      <w:pPr>
        <w:pStyle w:val="SingleTxtG"/>
        <w:rPr>
          <w:lang w:val="x-none" w:eastAsia="en-GB"/>
        </w:rPr>
      </w:pPr>
      <w:r w:rsidRPr="00671617">
        <w:rPr>
          <w:lang w:val="x-none" w:eastAsia="en-GB"/>
        </w:rPr>
        <w:t>7.1</w:t>
      </w:r>
      <w:r w:rsidRPr="00671617">
        <w:rPr>
          <w:lang w:val="x-none" w:eastAsia="en-GB"/>
        </w:rPr>
        <w:tab/>
        <w:t xml:space="preserve">On 4 July 2014 and </w:t>
      </w:r>
      <w:r w:rsidRPr="00200DB5">
        <w:rPr>
          <w:lang w:val="x-none" w:eastAsia="en-GB"/>
        </w:rPr>
        <w:t>15 March 2015, the authors informed the Committee that on 25</w:t>
      </w:r>
      <w:r w:rsidR="008666EF">
        <w:rPr>
          <w:lang w:val="en-US" w:eastAsia="en-GB"/>
        </w:rPr>
        <w:t> </w:t>
      </w:r>
      <w:r w:rsidRPr="00200DB5">
        <w:rPr>
          <w:lang w:val="x-none" w:eastAsia="en-GB"/>
        </w:rPr>
        <w:t xml:space="preserve">April 2014 the State party’s Parliament </w:t>
      </w:r>
      <w:r w:rsidR="00F92D75" w:rsidRPr="00F512C7">
        <w:rPr>
          <w:lang w:val="en-US" w:eastAsia="en-GB"/>
        </w:rPr>
        <w:t xml:space="preserve">had </w:t>
      </w:r>
      <w:r w:rsidRPr="00200DB5">
        <w:rPr>
          <w:lang w:val="x-none" w:eastAsia="en-GB"/>
        </w:rPr>
        <w:t xml:space="preserve">adopted Act 2071 (2014) creating the Truth and Reconciliation Commission and the Commission on Investigation of </w:t>
      </w:r>
      <w:r w:rsidRPr="00200DB5">
        <w:rPr>
          <w:rFonts w:eastAsia="ヒラギノ角ゴ Pro W3"/>
          <w:lang w:eastAsia="en-GB"/>
        </w:rPr>
        <w:t>Disappeared</w:t>
      </w:r>
      <w:r w:rsidRPr="00200DB5">
        <w:rPr>
          <w:lang w:val="x-none" w:eastAsia="en-GB"/>
        </w:rPr>
        <w:t xml:space="preserve"> Persons. On 21 May 2014, the Act was published in the </w:t>
      </w:r>
      <w:r w:rsidRPr="00F512C7">
        <w:rPr>
          <w:i/>
          <w:iCs/>
          <w:lang w:val="x-none" w:eastAsia="en-GB"/>
        </w:rPr>
        <w:t>Official Gazette</w:t>
      </w:r>
      <w:r w:rsidRPr="00200DB5">
        <w:rPr>
          <w:lang w:val="x-none" w:eastAsia="en-GB"/>
        </w:rPr>
        <w:t>.</w:t>
      </w:r>
    </w:p>
    <w:p w14:paraId="4B19AC73" w14:textId="77777777" w:rsidR="00671617" w:rsidRPr="003B6E5F" w:rsidRDefault="00671617">
      <w:pPr>
        <w:pStyle w:val="SingleTxtG"/>
        <w:rPr>
          <w:lang w:eastAsia="en-GB"/>
        </w:rPr>
      </w:pPr>
      <w:r w:rsidRPr="00200DB5">
        <w:rPr>
          <w:lang w:eastAsia="en-GB"/>
        </w:rPr>
        <w:t>7.2</w:t>
      </w:r>
      <w:r w:rsidRPr="00200DB5">
        <w:rPr>
          <w:lang w:eastAsia="en-GB"/>
        </w:rPr>
        <w:tab/>
        <w:t xml:space="preserve">The authors point out that this Act is applicable to all cases of </w:t>
      </w:r>
      <w:r w:rsidR="00A01712" w:rsidRPr="00200DB5">
        <w:rPr>
          <w:lang w:eastAsia="en-GB"/>
        </w:rPr>
        <w:t>“</w:t>
      </w:r>
      <w:r w:rsidRPr="00200DB5">
        <w:rPr>
          <w:lang w:eastAsia="en-GB"/>
        </w:rPr>
        <w:t>serious violations of human rights</w:t>
      </w:r>
      <w:r w:rsidR="00A01712" w:rsidRPr="00200DB5">
        <w:rPr>
          <w:lang w:eastAsia="en-GB"/>
        </w:rPr>
        <w:t>”</w:t>
      </w:r>
      <w:r w:rsidRPr="00200DB5">
        <w:rPr>
          <w:lang w:eastAsia="en-GB"/>
        </w:rPr>
        <w:t xml:space="preserve"> committed during the </w:t>
      </w:r>
      <w:r w:rsidR="00F00C88" w:rsidRPr="00200DB5">
        <w:rPr>
          <w:lang w:eastAsia="en-GB"/>
        </w:rPr>
        <w:t xml:space="preserve">period of </w:t>
      </w:r>
      <w:r w:rsidRPr="00200DB5">
        <w:rPr>
          <w:lang w:eastAsia="en-GB"/>
        </w:rPr>
        <w:t>armed conflict, and argue that</w:t>
      </w:r>
      <w:r w:rsidRPr="00671617">
        <w:rPr>
          <w:lang w:eastAsia="en-GB"/>
        </w:rPr>
        <w:t xml:space="preserve"> several provisions are incompatible with international human rights standards. </w:t>
      </w:r>
      <w:r w:rsidRPr="00671617">
        <w:rPr>
          <w:rFonts w:eastAsia="ヒラギノ角ゴ Pro W3"/>
          <w:lang w:eastAsia="en-GB"/>
        </w:rPr>
        <w:t>Notably</w:t>
      </w:r>
      <w:r w:rsidRPr="00671617">
        <w:rPr>
          <w:lang w:eastAsia="en-GB"/>
        </w:rPr>
        <w:t xml:space="preserve">, it confers </w:t>
      </w:r>
      <w:r w:rsidR="00F00C88">
        <w:rPr>
          <w:lang w:eastAsia="en-GB"/>
        </w:rPr>
        <w:t xml:space="preserve">on </w:t>
      </w:r>
      <w:r w:rsidRPr="00671617">
        <w:rPr>
          <w:lang w:eastAsia="en-GB"/>
        </w:rPr>
        <w:t xml:space="preserve">the Commissions the power to </w:t>
      </w:r>
      <w:r w:rsidRPr="00F92D75">
        <w:rPr>
          <w:lang w:eastAsia="en-GB"/>
        </w:rPr>
        <w:t>recommend amnesties for gross violations of international human rights law or serious violations of international humanitarian law, such as the ones raised in the present communication; the Commissioners</w:t>
      </w:r>
      <w:r w:rsidRPr="00671617">
        <w:rPr>
          <w:lang w:eastAsia="en-GB"/>
        </w:rPr>
        <w:t xml:space="preserve"> lack guarantees of independence and impartiality; and the Act fails to recogni</w:t>
      </w:r>
      <w:r w:rsidR="001E406E">
        <w:rPr>
          <w:lang w:eastAsia="en-GB"/>
        </w:rPr>
        <w:t>z</w:t>
      </w:r>
      <w:r w:rsidRPr="00671617">
        <w:rPr>
          <w:lang w:eastAsia="en-GB"/>
        </w:rPr>
        <w:t xml:space="preserve">e the </w:t>
      </w:r>
      <w:r w:rsidR="008666EF">
        <w:rPr>
          <w:lang w:eastAsia="en-GB"/>
        </w:rPr>
        <w:t xml:space="preserve">right of </w:t>
      </w:r>
      <w:r w:rsidRPr="00671617">
        <w:rPr>
          <w:lang w:eastAsia="en-GB"/>
        </w:rPr>
        <w:t>victims to full reparation.</w:t>
      </w:r>
      <w:r w:rsidRPr="00571DEE">
        <w:rPr>
          <w:rStyle w:val="FootnoteReference"/>
        </w:rPr>
        <w:footnoteReference w:id="15"/>
      </w:r>
      <w:r w:rsidRPr="00671617">
        <w:rPr>
          <w:lang w:eastAsia="en-GB"/>
        </w:rPr>
        <w:t xml:space="preserve"> Should the Committee find that the Covenant has been violated in the present case, the Committee could recommend </w:t>
      </w:r>
      <w:r w:rsidR="00F00C88">
        <w:rPr>
          <w:lang w:eastAsia="en-GB"/>
        </w:rPr>
        <w:t xml:space="preserve">that </w:t>
      </w:r>
      <w:r w:rsidRPr="00671617">
        <w:rPr>
          <w:lang w:eastAsia="en-GB"/>
        </w:rPr>
        <w:t xml:space="preserve">the State party amend the Act, following appropriate consultation with victims, their families, civil society and the </w:t>
      </w:r>
      <w:r w:rsidR="00F00C88">
        <w:rPr>
          <w:lang w:eastAsia="en-GB"/>
        </w:rPr>
        <w:t>National Human Rights Commission</w:t>
      </w:r>
      <w:r w:rsidRPr="00671617">
        <w:rPr>
          <w:lang w:eastAsia="en-GB"/>
        </w:rPr>
        <w:t xml:space="preserve">. </w:t>
      </w:r>
    </w:p>
    <w:p w14:paraId="32F9A7A5" w14:textId="77777777" w:rsidR="00671617" w:rsidRPr="00671617" w:rsidRDefault="00915B9A">
      <w:pPr>
        <w:pStyle w:val="SingleTxtG"/>
        <w:rPr>
          <w:lang w:val="x-none" w:eastAsia="en-GB"/>
        </w:rPr>
      </w:pPr>
      <w:r w:rsidRPr="00200DB5">
        <w:rPr>
          <w:lang w:val="x-none" w:eastAsia="en-GB"/>
        </w:rPr>
        <w:t>7.3</w:t>
      </w:r>
      <w:r w:rsidR="00671617" w:rsidRPr="00200DB5">
        <w:rPr>
          <w:lang w:val="x-none" w:eastAsia="en-GB"/>
        </w:rPr>
        <w:tab/>
        <w:t xml:space="preserve">On 26 February 2015, the Supreme Court found several provisions of Act 2071 (2014) contrary to the Interim Constitution and the State party’s international obligations. Notably, it stated that the Act’s amnesty provision was in violation of international law; that reconciliation </w:t>
      </w:r>
      <w:r w:rsidR="00DC4485" w:rsidRPr="00200DB5">
        <w:rPr>
          <w:lang w:val="en-US" w:eastAsia="en-GB"/>
        </w:rPr>
        <w:t>could</w:t>
      </w:r>
      <w:r w:rsidR="00DC4485" w:rsidRPr="00200DB5">
        <w:rPr>
          <w:lang w:val="x-none" w:eastAsia="en-GB"/>
        </w:rPr>
        <w:t xml:space="preserve"> </w:t>
      </w:r>
      <w:r w:rsidR="00671617" w:rsidRPr="00200DB5">
        <w:rPr>
          <w:lang w:val="x-none" w:eastAsia="en-GB"/>
        </w:rPr>
        <w:t xml:space="preserve">be granted </w:t>
      </w:r>
      <w:r w:rsidR="00DC4485" w:rsidRPr="00200DB5">
        <w:rPr>
          <w:lang w:val="en-US" w:eastAsia="en-GB"/>
        </w:rPr>
        <w:t xml:space="preserve">only </w:t>
      </w:r>
      <w:r w:rsidR="00671617" w:rsidRPr="00200DB5">
        <w:rPr>
          <w:lang w:val="x-none" w:eastAsia="en-GB"/>
        </w:rPr>
        <w:t>with the consent of the victim</w:t>
      </w:r>
      <w:r w:rsidR="008666EF">
        <w:rPr>
          <w:lang w:val="en-US" w:eastAsia="en-GB"/>
        </w:rPr>
        <w:t>s</w:t>
      </w:r>
      <w:r w:rsidR="00671617" w:rsidRPr="00200DB5">
        <w:rPr>
          <w:lang w:val="x-none" w:eastAsia="en-GB"/>
        </w:rPr>
        <w:t xml:space="preserve">; that cases under </w:t>
      </w:r>
      <w:r w:rsidR="00671617" w:rsidRPr="00200DB5">
        <w:rPr>
          <w:rFonts w:eastAsia="ヒラギノ角ゴ Pro W3"/>
          <w:lang w:eastAsia="en-GB"/>
        </w:rPr>
        <w:t>consideration</w:t>
      </w:r>
      <w:r w:rsidR="00671617" w:rsidRPr="00200DB5">
        <w:rPr>
          <w:lang w:val="x-none" w:eastAsia="en-GB"/>
        </w:rPr>
        <w:t xml:space="preserve"> by the Court could continue to be dealt</w:t>
      </w:r>
      <w:r w:rsidR="00671617" w:rsidRPr="00671617">
        <w:rPr>
          <w:lang w:val="x-none" w:eastAsia="en-GB"/>
        </w:rPr>
        <w:t xml:space="preserve"> with by it, as they f</w:t>
      </w:r>
      <w:r w:rsidR="00DC4485">
        <w:rPr>
          <w:lang w:val="en-US" w:eastAsia="en-GB"/>
        </w:rPr>
        <w:t>e</w:t>
      </w:r>
      <w:r w:rsidR="00671617" w:rsidRPr="00671617">
        <w:rPr>
          <w:lang w:val="x-none" w:eastAsia="en-GB"/>
        </w:rPr>
        <w:t xml:space="preserve">ll under its jurisdiction; and </w:t>
      </w:r>
      <w:r w:rsidR="00671617" w:rsidRPr="00AB574E">
        <w:rPr>
          <w:lang w:val="x-none" w:eastAsia="en-GB"/>
        </w:rPr>
        <w:t>that the Attorney</w:t>
      </w:r>
      <w:r w:rsidR="00DC4485" w:rsidRPr="00AB574E">
        <w:rPr>
          <w:lang w:val="en-US" w:eastAsia="en-GB"/>
        </w:rPr>
        <w:t>-</w:t>
      </w:r>
      <w:r w:rsidR="00671617" w:rsidRPr="00AB574E">
        <w:rPr>
          <w:lang w:val="x-none" w:eastAsia="en-GB"/>
        </w:rPr>
        <w:t>General did not require the permission of the ministry to begin a prosecution.</w:t>
      </w:r>
      <w:r w:rsidR="005679A4" w:rsidRPr="00AB574E">
        <w:rPr>
          <w:lang w:val="x-none" w:eastAsia="en-GB"/>
        </w:rPr>
        <w:t xml:space="preserve"> </w:t>
      </w:r>
      <w:r w:rsidR="008666EF">
        <w:rPr>
          <w:lang w:val="en-US" w:eastAsia="en-GB"/>
        </w:rPr>
        <w:t>Nevertheless</w:t>
      </w:r>
      <w:r w:rsidR="00671617" w:rsidRPr="00AB574E">
        <w:rPr>
          <w:lang w:val="x-none" w:eastAsia="en-GB"/>
        </w:rPr>
        <w:t xml:space="preserve">, the authors expressed their concern about the prospects </w:t>
      </w:r>
      <w:r w:rsidR="00671617" w:rsidRPr="00AB574E">
        <w:rPr>
          <w:lang w:val="x-none" w:eastAsia="en-GB"/>
        </w:rPr>
        <w:lastRenderedPageBreak/>
        <w:t>for implementation of the Supreme Court’s decision</w:t>
      </w:r>
      <w:r w:rsidR="00DC4485" w:rsidRPr="00AB574E">
        <w:rPr>
          <w:lang w:val="en-US" w:eastAsia="en-GB"/>
        </w:rPr>
        <w:t>,</w:t>
      </w:r>
      <w:r w:rsidR="00671617" w:rsidRPr="00AB574E">
        <w:rPr>
          <w:lang w:val="x-none" w:eastAsia="en-GB"/>
        </w:rPr>
        <w:t xml:space="preserve"> as the main political leaders ha</w:t>
      </w:r>
      <w:r w:rsidR="00DC4485" w:rsidRPr="00AB574E">
        <w:rPr>
          <w:lang w:val="en-US" w:eastAsia="en-GB"/>
        </w:rPr>
        <w:t>d</w:t>
      </w:r>
      <w:r w:rsidR="00671617" w:rsidRPr="00AB574E">
        <w:rPr>
          <w:lang w:val="x-none" w:eastAsia="en-GB"/>
        </w:rPr>
        <w:t xml:space="preserve"> issued public statements rejecting the decision.</w:t>
      </w:r>
      <w:r w:rsidR="005679A4">
        <w:rPr>
          <w:lang w:val="x-none" w:eastAsia="en-GB"/>
        </w:rPr>
        <w:t xml:space="preserve"> </w:t>
      </w:r>
    </w:p>
    <w:p w14:paraId="2EA1460D" w14:textId="77777777" w:rsidR="00671617" w:rsidRPr="003B6E5F" w:rsidRDefault="00671617">
      <w:pPr>
        <w:pStyle w:val="SingleTxtG"/>
        <w:rPr>
          <w:lang w:eastAsia="en-GB"/>
        </w:rPr>
      </w:pPr>
      <w:r w:rsidRPr="00671617">
        <w:rPr>
          <w:lang w:val="x-none" w:eastAsia="en-GB"/>
        </w:rPr>
        <w:t>8.</w:t>
      </w:r>
      <w:r w:rsidRPr="00671617">
        <w:rPr>
          <w:lang w:val="x-none" w:eastAsia="en-GB"/>
        </w:rPr>
        <w:tab/>
        <w:t xml:space="preserve">On 11 December 2014, the State party reiterated its commitment to establishing a transitional justice mechanism and informed the Committee about the adoption of the Act by its </w:t>
      </w:r>
      <w:r w:rsidR="008666EF">
        <w:rPr>
          <w:lang w:val="en-US" w:eastAsia="en-GB"/>
        </w:rPr>
        <w:t>p</w:t>
      </w:r>
      <w:r w:rsidRPr="00671617">
        <w:rPr>
          <w:lang w:val="x-none" w:eastAsia="en-GB"/>
        </w:rPr>
        <w:t>arliament, provi</w:t>
      </w:r>
      <w:r w:rsidRPr="00671617">
        <w:rPr>
          <w:lang w:eastAsia="en-GB"/>
        </w:rPr>
        <w:t>din</w:t>
      </w:r>
      <w:r w:rsidRPr="00671617">
        <w:rPr>
          <w:lang w:val="x-none" w:eastAsia="en-GB"/>
        </w:rPr>
        <w:t xml:space="preserve">g a brief description of the main provisions. It held that </w:t>
      </w:r>
      <w:r w:rsidR="00DC4485">
        <w:rPr>
          <w:lang w:val="en-US" w:eastAsia="en-GB"/>
        </w:rPr>
        <w:t>the Act was</w:t>
      </w:r>
      <w:r w:rsidRPr="00671617">
        <w:rPr>
          <w:lang w:val="x-none" w:eastAsia="en-GB"/>
        </w:rPr>
        <w:t xml:space="preserve"> a landmark instrument to address the issue of past human rights violations committed by both the Sta</w:t>
      </w:r>
      <w:r w:rsidR="00915B9A">
        <w:rPr>
          <w:lang w:val="x-none" w:eastAsia="en-GB"/>
        </w:rPr>
        <w:t xml:space="preserve">te party and non-State actors. </w:t>
      </w:r>
    </w:p>
    <w:p w14:paraId="7C0923C8" w14:textId="77777777" w:rsidR="00671617" w:rsidRPr="00671617" w:rsidRDefault="00915B9A" w:rsidP="00915B9A">
      <w:pPr>
        <w:pStyle w:val="H23G"/>
      </w:pPr>
      <w:r>
        <w:tab/>
      </w:r>
      <w:r>
        <w:tab/>
      </w:r>
      <w:r w:rsidR="00671617" w:rsidRPr="00671617">
        <w:t>Issues and proceedings before the Committee</w:t>
      </w:r>
    </w:p>
    <w:p w14:paraId="05AE9F4E" w14:textId="77777777" w:rsidR="00671617" w:rsidRPr="00671617" w:rsidRDefault="00671617" w:rsidP="00915B9A">
      <w:pPr>
        <w:pStyle w:val="H4G"/>
      </w:pPr>
      <w:r w:rsidRPr="00671617">
        <w:tab/>
      </w:r>
      <w:r w:rsidRPr="00671617">
        <w:tab/>
        <w:t>Consideration of admissibility</w:t>
      </w:r>
    </w:p>
    <w:p w14:paraId="17221954" w14:textId="77777777" w:rsidR="00671617" w:rsidRPr="00671617" w:rsidRDefault="00671617">
      <w:pPr>
        <w:pStyle w:val="SingleTxtG"/>
        <w:rPr>
          <w:lang w:val="x-none"/>
        </w:rPr>
      </w:pPr>
      <w:r w:rsidRPr="00671617">
        <w:rPr>
          <w:lang w:val="x-none"/>
        </w:rPr>
        <w:t>9.1</w:t>
      </w:r>
      <w:r w:rsidRPr="00671617">
        <w:rPr>
          <w:lang w:val="x-none"/>
        </w:rPr>
        <w:tab/>
        <w:t xml:space="preserve">Before considering any claim contained in a communication, the Human Rights Committee must, in accordance with rule 93 of its </w:t>
      </w:r>
      <w:r w:rsidR="00DC4485">
        <w:rPr>
          <w:lang w:val="en-US"/>
        </w:rPr>
        <w:t>r</w:t>
      </w:r>
      <w:r w:rsidRPr="00671617">
        <w:rPr>
          <w:lang w:val="x-none"/>
        </w:rPr>
        <w:t xml:space="preserve">ules of </w:t>
      </w:r>
      <w:r w:rsidRPr="00671617">
        <w:rPr>
          <w:rFonts w:eastAsia="ヒラギノ角ゴ Pro W3"/>
          <w:lang w:eastAsia="en-GB"/>
        </w:rPr>
        <w:t>procedure</w:t>
      </w:r>
      <w:r w:rsidRPr="00671617">
        <w:rPr>
          <w:lang w:val="x-none"/>
        </w:rPr>
        <w:t>, decide whether the case is admissible under the Optional Protocol to the Covenant.</w:t>
      </w:r>
    </w:p>
    <w:p w14:paraId="12326284" w14:textId="77777777" w:rsidR="00671617" w:rsidRPr="00671617" w:rsidRDefault="00671617">
      <w:pPr>
        <w:pStyle w:val="SingleTxtG"/>
        <w:rPr>
          <w:lang w:val="x-none"/>
        </w:rPr>
      </w:pPr>
      <w:r w:rsidRPr="00671617">
        <w:rPr>
          <w:lang w:val="x-none"/>
        </w:rPr>
        <w:t>9.2</w:t>
      </w:r>
      <w:r w:rsidRPr="00671617">
        <w:rPr>
          <w:lang w:val="x-none"/>
        </w:rPr>
        <w:tab/>
        <w:t>As required under article 5</w:t>
      </w:r>
      <w:r w:rsidR="0064636D">
        <w:rPr>
          <w:lang w:val="en-US"/>
        </w:rPr>
        <w:t> </w:t>
      </w:r>
      <w:r w:rsidR="000B0BEA">
        <w:rPr>
          <w:lang w:val="en-US"/>
        </w:rPr>
        <w:t>(</w:t>
      </w:r>
      <w:r w:rsidRPr="00671617">
        <w:rPr>
          <w:lang w:val="x-none"/>
        </w:rPr>
        <w:t>2</w:t>
      </w:r>
      <w:r w:rsidR="000B0BEA">
        <w:rPr>
          <w:lang w:val="en-US"/>
        </w:rPr>
        <w:t>)</w:t>
      </w:r>
      <w:r w:rsidR="0064636D">
        <w:rPr>
          <w:lang w:val="en-US"/>
        </w:rPr>
        <w:t> </w:t>
      </w:r>
      <w:r w:rsidRPr="00671617">
        <w:rPr>
          <w:lang w:val="x-none"/>
        </w:rPr>
        <w:t xml:space="preserve">(a) of the Optional Protocol, the Committee has ascertained that the same matter is not being examined under another procedure of international investigation or settlement. The Committee notes that the cases of Dhaniram, Radhulal, Kamala, Chillu, Lauti, Mohan, Prem Prakash and Soniram were reported to the </w:t>
      </w:r>
      <w:r w:rsidRPr="00AB574E">
        <w:rPr>
          <w:lang w:val="x-none"/>
        </w:rPr>
        <w:t>Working Group on Enforced or Involuntary Disappearances. However, it recalls that extra-conventional procedures or mechanisms established by the Commission on Human Rights or the Human Rights Council, and whose mandates are to examine and report publicly on human rights situations in specific</w:t>
      </w:r>
      <w:r w:rsidRPr="00671617">
        <w:rPr>
          <w:lang w:val="x-none"/>
        </w:rPr>
        <w:t xml:space="preserve"> countries or territories</w:t>
      </w:r>
      <w:r w:rsidR="00A817B8">
        <w:rPr>
          <w:lang w:val="en-US"/>
        </w:rPr>
        <w:t>,</w:t>
      </w:r>
      <w:r w:rsidRPr="00671617">
        <w:rPr>
          <w:lang w:val="x-none"/>
        </w:rPr>
        <w:t xml:space="preserve"> or cases of widespread human rights violations worldwide, do not generally constitute an international procedure of investigation or settlement within the </w:t>
      </w:r>
      <w:r w:rsidRPr="00671617">
        <w:rPr>
          <w:rFonts w:eastAsia="ヒラギノ角ゴ Pro W3"/>
          <w:lang w:eastAsia="en-GB"/>
        </w:rPr>
        <w:t>meaning</w:t>
      </w:r>
      <w:r w:rsidRPr="00671617">
        <w:rPr>
          <w:lang w:val="x-none"/>
        </w:rPr>
        <w:t xml:space="preserve"> of article 5 </w:t>
      </w:r>
      <w:r w:rsidR="00A817B8">
        <w:rPr>
          <w:lang w:val="en-US"/>
        </w:rPr>
        <w:t>(</w:t>
      </w:r>
      <w:r w:rsidRPr="00671617">
        <w:rPr>
          <w:lang w:val="x-none"/>
        </w:rPr>
        <w:t>2</w:t>
      </w:r>
      <w:r w:rsidR="00A817B8">
        <w:rPr>
          <w:lang w:val="en-US"/>
        </w:rPr>
        <w:t>)</w:t>
      </w:r>
      <w:r w:rsidRPr="00671617">
        <w:rPr>
          <w:lang w:val="x-none"/>
        </w:rPr>
        <w:t xml:space="preserve"> (a) of the Optional Protocol.</w:t>
      </w:r>
      <w:r w:rsidRPr="00571DEE">
        <w:rPr>
          <w:rStyle w:val="FootnoteReference"/>
        </w:rPr>
        <w:footnoteReference w:id="16"/>
      </w:r>
      <w:r w:rsidRPr="00671617">
        <w:rPr>
          <w:lang w:val="x-none"/>
        </w:rPr>
        <w:t xml:space="preserve"> Accordingly, the Committee considers that it is not precluded from examining the communication under this provision.</w:t>
      </w:r>
    </w:p>
    <w:p w14:paraId="31FA21DE" w14:textId="77777777" w:rsidR="00671617" w:rsidRPr="00671617" w:rsidRDefault="00671617">
      <w:pPr>
        <w:pStyle w:val="SingleTxtG"/>
        <w:rPr>
          <w:lang w:val="x-none"/>
        </w:rPr>
      </w:pPr>
      <w:r w:rsidRPr="00671617">
        <w:rPr>
          <w:lang w:val="x-none"/>
        </w:rPr>
        <w:t>9.3</w:t>
      </w:r>
      <w:r w:rsidRPr="00671617">
        <w:rPr>
          <w:lang w:val="x-none"/>
        </w:rPr>
        <w:tab/>
        <w:t xml:space="preserve">The Committee notes the State party’s </w:t>
      </w:r>
      <w:r w:rsidRPr="00200DB5">
        <w:rPr>
          <w:lang w:val="x-none"/>
        </w:rPr>
        <w:t xml:space="preserve">argument that the communication does not fulfil the requirements of article 5 </w:t>
      </w:r>
      <w:r w:rsidR="007C28AD" w:rsidRPr="00200DB5">
        <w:rPr>
          <w:lang w:val="en-US"/>
        </w:rPr>
        <w:t>(</w:t>
      </w:r>
      <w:r w:rsidRPr="00200DB5">
        <w:rPr>
          <w:lang w:val="x-none"/>
        </w:rPr>
        <w:t>2</w:t>
      </w:r>
      <w:r w:rsidR="007C28AD" w:rsidRPr="00200DB5">
        <w:rPr>
          <w:lang w:val="en-US"/>
        </w:rPr>
        <w:t>)</w:t>
      </w:r>
      <w:r w:rsidRPr="00200DB5">
        <w:rPr>
          <w:lang w:val="x-none"/>
        </w:rPr>
        <w:t xml:space="preserve"> (b)</w:t>
      </w:r>
      <w:r w:rsidRPr="00200DB5">
        <w:rPr>
          <w:bCs/>
          <w:lang w:val="x-none"/>
        </w:rPr>
        <w:t xml:space="preserve"> of the Optional Protocol, </w:t>
      </w:r>
      <w:r w:rsidR="008666EF">
        <w:rPr>
          <w:bCs/>
          <w:lang w:val="en-US"/>
        </w:rPr>
        <w:t xml:space="preserve">owing to the fact that </w:t>
      </w:r>
      <w:r w:rsidRPr="00200DB5">
        <w:rPr>
          <w:bCs/>
          <w:lang w:val="x-none"/>
        </w:rPr>
        <w:t xml:space="preserve">the authors have failed to lodge a complaint before a </w:t>
      </w:r>
      <w:r w:rsidRPr="00200DB5">
        <w:rPr>
          <w:bCs/>
        </w:rPr>
        <w:t>c</w:t>
      </w:r>
      <w:r w:rsidRPr="00200DB5">
        <w:rPr>
          <w:bCs/>
          <w:lang w:val="x-none"/>
        </w:rPr>
        <w:t xml:space="preserve">ourt under the </w:t>
      </w:r>
      <w:r w:rsidRPr="00200DB5">
        <w:rPr>
          <w:lang w:val="x-none"/>
        </w:rPr>
        <w:t xml:space="preserve">Compensation </w:t>
      </w:r>
      <w:r w:rsidR="00293C4D" w:rsidRPr="00F512C7">
        <w:rPr>
          <w:lang w:val="en-US"/>
        </w:rPr>
        <w:t>r</w:t>
      </w:r>
      <w:r w:rsidRPr="00200DB5">
        <w:rPr>
          <w:lang w:val="x-none"/>
        </w:rPr>
        <w:t xml:space="preserve">elating to Torture Act </w:t>
      </w:r>
      <w:r w:rsidRPr="00200DB5">
        <w:t>and to invoke the State Cases Act</w:t>
      </w:r>
      <w:r w:rsidR="008666EF">
        <w:rPr>
          <w:lang w:val="en-US"/>
        </w:rPr>
        <w:t>,</w:t>
      </w:r>
      <w:r w:rsidRPr="00200DB5">
        <w:rPr>
          <w:lang w:val="x-none"/>
        </w:rPr>
        <w:t xml:space="preserve"> and that the cases of the authors’ relatives should be addressed within the transitional justice mechanisms established by </w:t>
      </w:r>
      <w:r w:rsidRPr="00200DB5">
        <w:rPr>
          <w:lang w:val="x-none" w:eastAsia="en-GB"/>
        </w:rPr>
        <w:t xml:space="preserve">Act 2071 (2014), </w:t>
      </w:r>
      <w:r w:rsidRPr="00200DB5">
        <w:rPr>
          <w:lang w:val="x-none"/>
        </w:rPr>
        <w:t xml:space="preserve">in conformity with the 2007 Interim Constitution and the 2006 Comprehensive Peace Agreement. The Committee also notes the authors’ allegations that the Supreme Court quashed their writs of habeas corpus </w:t>
      </w:r>
      <w:r w:rsidR="00AB574E" w:rsidRPr="00200DB5">
        <w:rPr>
          <w:lang w:val="en-US"/>
        </w:rPr>
        <w:t xml:space="preserve">because </w:t>
      </w:r>
      <w:r w:rsidRPr="00200DB5">
        <w:rPr>
          <w:lang w:val="x-none"/>
        </w:rPr>
        <w:t xml:space="preserve">they failed to identify where and by whom their relatives had been detained; </w:t>
      </w:r>
      <w:r w:rsidRPr="00200DB5">
        <w:rPr>
          <w:bCs/>
          <w:lang w:val="x-none"/>
        </w:rPr>
        <w:t xml:space="preserve">the </w:t>
      </w:r>
      <w:r w:rsidR="00293C4D" w:rsidRPr="00200DB5">
        <w:rPr>
          <w:lang w:val="en-US"/>
        </w:rPr>
        <w:t xml:space="preserve">Compensation relating to Torture Act </w:t>
      </w:r>
      <w:r w:rsidRPr="00200DB5">
        <w:rPr>
          <w:lang w:val="x-none"/>
        </w:rPr>
        <w:t xml:space="preserve">is not an adequate remedy for the violations suffered by their relatives; and that </w:t>
      </w:r>
      <w:r w:rsidR="008666EF">
        <w:rPr>
          <w:lang w:val="en-US"/>
        </w:rPr>
        <w:t xml:space="preserve">a first information report </w:t>
      </w:r>
      <w:r w:rsidRPr="00200DB5">
        <w:rPr>
          <w:lang w:val="x-none"/>
        </w:rPr>
        <w:t>is not an appropriate remedy</w:t>
      </w:r>
      <w:r w:rsidR="00293C4D" w:rsidRPr="00200DB5">
        <w:rPr>
          <w:lang w:val="en-US"/>
        </w:rPr>
        <w:t>,</w:t>
      </w:r>
      <w:r w:rsidRPr="00200DB5">
        <w:rPr>
          <w:lang w:val="x-none"/>
        </w:rPr>
        <w:t xml:space="preserve"> as it is limited to the crimes listed in Schedule 1 of the State Cases Act</w:t>
      </w:r>
      <w:r w:rsidR="00293C4D" w:rsidRPr="00200DB5">
        <w:rPr>
          <w:lang w:val="en-US"/>
        </w:rPr>
        <w:t>,</w:t>
      </w:r>
      <w:r w:rsidRPr="00200DB5">
        <w:rPr>
          <w:lang w:val="x-none"/>
        </w:rPr>
        <w:t xml:space="preserve"> which does not include enforced</w:t>
      </w:r>
      <w:r w:rsidRPr="00AB574E">
        <w:rPr>
          <w:lang w:val="x-none"/>
        </w:rPr>
        <w:t xml:space="preserve"> disappearance. The Committee observes that</w:t>
      </w:r>
      <w:r w:rsidR="00293C4D" w:rsidRPr="00AB574E">
        <w:rPr>
          <w:lang w:val="en-US"/>
        </w:rPr>
        <w:t>,</w:t>
      </w:r>
      <w:r w:rsidRPr="00AB574E">
        <w:rPr>
          <w:lang w:val="x-none"/>
        </w:rPr>
        <w:t xml:space="preserve"> although the authors promptly reported their relatives’ disappearance</w:t>
      </w:r>
      <w:r w:rsidRPr="00AB574E">
        <w:t xml:space="preserve"> to the authorities</w:t>
      </w:r>
      <w:r w:rsidRPr="00AB574E">
        <w:rPr>
          <w:lang w:val="x-none"/>
        </w:rPr>
        <w:t xml:space="preserve">, more than 13 years </w:t>
      </w:r>
      <w:r w:rsidRPr="00AB574E">
        <w:t>later</w:t>
      </w:r>
      <w:r w:rsidRPr="00AB574E">
        <w:rPr>
          <w:lang w:val="x-none"/>
        </w:rPr>
        <w:t xml:space="preserve"> the circumstances of </w:t>
      </w:r>
      <w:r w:rsidRPr="00AB574E">
        <w:t>their disappearance</w:t>
      </w:r>
      <w:r w:rsidRPr="00AB574E">
        <w:rPr>
          <w:lang w:val="x-none"/>
        </w:rPr>
        <w:t xml:space="preserve"> remain unclear and no investigation has </w:t>
      </w:r>
      <w:r w:rsidR="00293C4D" w:rsidRPr="00AB574E">
        <w:rPr>
          <w:lang w:val="en-US"/>
        </w:rPr>
        <w:t xml:space="preserve">yet </w:t>
      </w:r>
      <w:r w:rsidRPr="00AB574E">
        <w:rPr>
          <w:lang w:val="x-none"/>
        </w:rPr>
        <w:t>been concluded</w:t>
      </w:r>
      <w:r w:rsidRPr="00671617">
        <w:rPr>
          <w:lang w:val="x-none"/>
        </w:rPr>
        <w:t>. The</w:t>
      </w:r>
      <w:r w:rsidRPr="00671617" w:rsidDel="00FE692F">
        <w:rPr>
          <w:lang w:val="x-none"/>
        </w:rPr>
        <w:t xml:space="preserve"> </w:t>
      </w:r>
      <w:r w:rsidRPr="00671617">
        <w:rPr>
          <w:lang w:val="x-none"/>
        </w:rPr>
        <w:t>Committee further recalls its jurisprudence that</w:t>
      </w:r>
      <w:r w:rsidR="00293C4D">
        <w:rPr>
          <w:lang w:val="en-US"/>
        </w:rPr>
        <w:t>,</w:t>
      </w:r>
      <w:r w:rsidRPr="00671617">
        <w:rPr>
          <w:lang w:val="x-none"/>
        </w:rPr>
        <w:t xml:space="preserve"> in cases of serious violations</w:t>
      </w:r>
      <w:r w:rsidR="00293C4D">
        <w:rPr>
          <w:lang w:val="en-US"/>
        </w:rPr>
        <w:t>,</w:t>
      </w:r>
      <w:r w:rsidRPr="00671617">
        <w:rPr>
          <w:lang w:val="x-none"/>
        </w:rPr>
        <w:t xml:space="preserve"> a</w:t>
      </w:r>
      <w:r w:rsidR="00C95AD9" w:rsidRPr="00CD6F4F">
        <w:t xml:space="preserve">n </w:t>
      </w:r>
      <w:r w:rsidR="00C95AD9">
        <w:t>effect</w:t>
      </w:r>
      <w:r w:rsidR="00E36FCA">
        <w:t>i</w:t>
      </w:r>
      <w:r w:rsidR="00C95AD9">
        <w:t>ve</w:t>
      </w:r>
      <w:r w:rsidRPr="00671617">
        <w:rPr>
          <w:lang w:val="x-none"/>
        </w:rPr>
        <w:t xml:space="preserve"> judicial remedy is required</w:t>
      </w:r>
      <w:r w:rsidR="00915B9A" w:rsidRPr="003B6E5F">
        <w:t>.</w:t>
      </w:r>
      <w:r w:rsidRPr="00671617">
        <w:rPr>
          <w:lang w:val="x-none"/>
        </w:rPr>
        <w:t xml:space="preserve"> In this respect, the </w:t>
      </w:r>
      <w:r w:rsidRPr="00AB574E">
        <w:rPr>
          <w:lang w:val="x-none"/>
        </w:rPr>
        <w:t xml:space="preserve">Committee observes that the transitional justice bodies established by </w:t>
      </w:r>
      <w:r w:rsidR="00AB574E">
        <w:rPr>
          <w:lang w:val="en-US"/>
        </w:rPr>
        <w:t xml:space="preserve">Act </w:t>
      </w:r>
      <w:r w:rsidRPr="00AB574E">
        <w:rPr>
          <w:lang w:val="x-none"/>
        </w:rPr>
        <w:t xml:space="preserve">2071 (2014) are not judicial organs. Accordingly, the Committee considers that the investigation has been </w:t>
      </w:r>
      <w:r w:rsidR="00CD6F4F" w:rsidRPr="00AB574E">
        <w:t xml:space="preserve">ineffective and </w:t>
      </w:r>
      <w:r w:rsidRPr="00AB574E">
        <w:rPr>
          <w:lang w:val="x-none"/>
        </w:rPr>
        <w:t>unreasonably prolonged and that there are no obstacles to the examination of the communication</w:t>
      </w:r>
      <w:r w:rsidRPr="00671617">
        <w:rPr>
          <w:lang w:val="x-none"/>
        </w:rPr>
        <w:t xml:space="preserve"> under article 5 </w:t>
      </w:r>
      <w:r w:rsidR="007C28AD">
        <w:rPr>
          <w:lang w:val="en-US"/>
        </w:rPr>
        <w:t>(</w:t>
      </w:r>
      <w:r w:rsidRPr="00671617">
        <w:rPr>
          <w:lang w:val="x-none"/>
        </w:rPr>
        <w:t>2</w:t>
      </w:r>
      <w:r w:rsidR="007C28AD">
        <w:rPr>
          <w:lang w:val="en-US"/>
        </w:rPr>
        <w:t>)</w:t>
      </w:r>
      <w:r w:rsidRPr="00671617">
        <w:rPr>
          <w:lang w:val="x-none"/>
        </w:rPr>
        <w:t xml:space="preserve"> (b) of the Optional Protocol. </w:t>
      </w:r>
    </w:p>
    <w:p w14:paraId="63F2192A" w14:textId="77777777" w:rsidR="00671617" w:rsidRPr="00AB574E" w:rsidRDefault="00671617">
      <w:pPr>
        <w:pStyle w:val="SingleTxtG"/>
        <w:rPr>
          <w:lang w:val="x-none"/>
        </w:rPr>
      </w:pPr>
      <w:r w:rsidRPr="00671617">
        <w:rPr>
          <w:lang w:val="x-none"/>
        </w:rPr>
        <w:lastRenderedPageBreak/>
        <w:t>9.4</w:t>
      </w:r>
      <w:r w:rsidRPr="00671617">
        <w:rPr>
          <w:lang w:val="x-none"/>
        </w:rPr>
        <w:tab/>
        <w:t xml:space="preserve">As all </w:t>
      </w:r>
      <w:r w:rsidRPr="00AB574E">
        <w:rPr>
          <w:lang w:val="x-none"/>
        </w:rPr>
        <w:t>admissibility requirements have been met, the Committee declares the communication admissible and proceeds to its examination o</w:t>
      </w:r>
      <w:r w:rsidR="00AB574E">
        <w:rPr>
          <w:lang w:val="en-US"/>
        </w:rPr>
        <w:t>f</w:t>
      </w:r>
      <w:r w:rsidRPr="00AB574E">
        <w:rPr>
          <w:lang w:val="x-none"/>
        </w:rPr>
        <w:t xml:space="preserve"> </w:t>
      </w:r>
      <w:r w:rsidRPr="00AB574E">
        <w:rPr>
          <w:rFonts w:eastAsia="ヒラギノ角ゴ Pro W3"/>
          <w:lang w:eastAsia="en-GB"/>
        </w:rPr>
        <w:t>the</w:t>
      </w:r>
      <w:r w:rsidRPr="00AB574E">
        <w:rPr>
          <w:lang w:val="x-none"/>
        </w:rPr>
        <w:t xml:space="preserve"> merits.</w:t>
      </w:r>
    </w:p>
    <w:p w14:paraId="59BC4017" w14:textId="77777777" w:rsidR="00671617" w:rsidRPr="00AB574E" w:rsidRDefault="00671617" w:rsidP="00671617">
      <w:pPr>
        <w:keepNext/>
        <w:keepLines/>
        <w:tabs>
          <w:tab w:val="right" w:pos="851"/>
        </w:tabs>
        <w:spacing w:before="240" w:after="120" w:line="240" w:lineRule="auto"/>
        <w:ind w:left="1134" w:hanging="1134"/>
        <w:rPr>
          <w:i/>
        </w:rPr>
      </w:pPr>
      <w:r w:rsidRPr="00AB574E">
        <w:rPr>
          <w:i/>
        </w:rPr>
        <w:tab/>
      </w:r>
      <w:r w:rsidRPr="00AB574E">
        <w:rPr>
          <w:i/>
        </w:rPr>
        <w:tab/>
        <w:t>Consideration of the merits</w:t>
      </w:r>
    </w:p>
    <w:p w14:paraId="25F39869" w14:textId="77777777" w:rsidR="00671617" w:rsidRPr="00671617" w:rsidRDefault="00671617">
      <w:pPr>
        <w:pStyle w:val="SingleTxtG"/>
        <w:rPr>
          <w:lang w:val="x-none"/>
        </w:rPr>
      </w:pPr>
      <w:r w:rsidRPr="00AB574E">
        <w:rPr>
          <w:lang w:val="x-none"/>
        </w:rPr>
        <w:t>10.1</w:t>
      </w:r>
      <w:r w:rsidRPr="00AB574E">
        <w:rPr>
          <w:lang w:val="x-none"/>
        </w:rPr>
        <w:tab/>
        <w:t>The Human Rights Committee has considered the communication in the light of all the information made available to it by the</w:t>
      </w:r>
      <w:r w:rsidRPr="00671617">
        <w:rPr>
          <w:lang w:val="x-none"/>
        </w:rPr>
        <w:t xml:space="preserve"> parties, as provided for under article 5 </w:t>
      </w:r>
      <w:r w:rsidR="007C28AD">
        <w:rPr>
          <w:lang w:val="en-US"/>
        </w:rPr>
        <w:t>(</w:t>
      </w:r>
      <w:r w:rsidRPr="00671617">
        <w:rPr>
          <w:lang w:val="x-none"/>
        </w:rPr>
        <w:t>1</w:t>
      </w:r>
      <w:r w:rsidR="007C28AD">
        <w:rPr>
          <w:lang w:val="en-US"/>
        </w:rPr>
        <w:t>)</w:t>
      </w:r>
      <w:r w:rsidRPr="00671617">
        <w:rPr>
          <w:lang w:val="x-none"/>
        </w:rPr>
        <w:t xml:space="preserve"> of the Optional Protocol.</w:t>
      </w:r>
    </w:p>
    <w:p w14:paraId="0D2AB6C2" w14:textId="77777777" w:rsidR="00671617" w:rsidRPr="00671617" w:rsidRDefault="00915B9A">
      <w:pPr>
        <w:pStyle w:val="SingleTxtG"/>
        <w:rPr>
          <w:lang w:val="x-none"/>
        </w:rPr>
      </w:pPr>
      <w:r>
        <w:rPr>
          <w:lang w:val="x-none"/>
        </w:rPr>
        <w:t>10.2</w:t>
      </w:r>
      <w:r w:rsidR="00671617" w:rsidRPr="00671617">
        <w:rPr>
          <w:lang w:val="x-none"/>
        </w:rPr>
        <w:tab/>
        <w:t xml:space="preserve">The Committee observes that the State party has not provided any concrete observation as to </w:t>
      </w:r>
      <w:r w:rsidR="00671617" w:rsidRPr="00671617">
        <w:t xml:space="preserve">allegations raised by </w:t>
      </w:r>
      <w:r w:rsidR="00671617" w:rsidRPr="00671617">
        <w:rPr>
          <w:lang w:val="x-none"/>
        </w:rPr>
        <w:t xml:space="preserve">the communication. The Committee recalls that </w:t>
      </w:r>
      <w:r w:rsidR="00671617" w:rsidRPr="00671617">
        <w:t>i</w:t>
      </w:r>
      <w:r w:rsidR="00671617" w:rsidRPr="00671617">
        <w:rPr>
          <w:lang w:val="x-none"/>
        </w:rPr>
        <w:t xml:space="preserve">t is implicit in article 4 </w:t>
      </w:r>
      <w:r w:rsidR="007C28AD">
        <w:rPr>
          <w:lang w:val="en-US"/>
        </w:rPr>
        <w:t>(</w:t>
      </w:r>
      <w:r w:rsidR="00671617" w:rsidRPr="00671617">
        <w:rPr>
          <w:lang w:val="x-none"/>
        </w:rPr>
        <w:t>2</w:t>
      </w:r>
      <w:r w:rsidR="007C28AD">
        <w:rPr>
          <w:lang w:val="en-US"/>
        </w:rPr>
        <w:t>)</w:t>
      </w:r>
      <w:r w:rsidR="00671617" w:rsidRPr="00671617">
        <w:rPr>
          <w:lang w:val="x-none"/>
        </w:rPr>
        <w:t xml:space="preserve"> of the Optional Protocol that the State party </w:t>
      </w:r>
      <w:r w:rsidR="00671617" w:rsidRPr="00671617">
        <w:rPr>
          <w:rFonts w:eastAsia="ヒラギノ角ゴ Pro W3"/>
          <w:lang w:eastAsia="en-GB"/>
        </w:rPr>
        <w:t>has</w:t>
      </w:r>
      <w:r w:rsidR="00671617" w:rsidRPr="00671617">
        <w:rPr>
          <w:lang w:val="x-none"/>
        </w:rPr>
        <w:t xml:space="preserve"> the duty to investigate in good faith all allegations of violations of the Covenant made against it and its representatives and to provide the Committee with the information available to it. In cases </w:t>
      </w:r>
      <w:r w:rsidR="00293C4D">
        <w:rPr>
          <w:lang w:val="en-US"/>
        </w:rPr>
        <w:t xml:space="preserve">in which </w:t>
      </w:r>
      <w:r w:rsidR="00671617" w:rsidRPr="00671617">
        <w:rPr>
          <w:lang w:val="x-none"/>
        </w:rPr>
        <w:t xml:space="preserve">the author has submitted allegations that are corroborated by credible evidence and </w:t>
      </w:r>
      <w:r w:rsidR="00293C4D">
        <w:rPr>
          <w:lang w:val="en-US"/>
        </w:rPr>
        <w:t xml:space="preserve">in which </w:t>
      </w:r>
      <w:r w:rsidR="00671617" w:rsidRPr="00671617">
        <w:rPr>
          <w:lang w:val="x-none"/>
        </w:rPr>
        <w:t>further clarification depends on information that is solely in the hands of the State party, the Committee may consider the author’s allegations substantiated in the absence of satisfactory evidence or explanations to the contrary presented by the State party.</w:t>
      </w:r>
      <w:r w:rsidR="00671617" w:rsidRPr="00571DEE">
        <w:rPr>
          <w:rStyle w:val="FootnoteReference"/>
        </w:rPr>
        <w:footnoteReference w:id="17"/>
      </w:r>
      <w:r w:rsidR="00671617" w:rsidRPr="00671617">
        <w:rPr>
          <w:lang w:val="x-none"/>
        </w:rPr>
        <w:t xml:space="preserve"> </w:t>
      </w:r>
    </w:p>
    <w:p w14:paraId="3AB1F64F" w14:textId="77777777" w:rsidR="00E36FCA" w:rsidRDefault="00915B9A">
      <w:pPr>
        <w:pStyle w:val="SingleTxtG"/>
      </w:pPr>
      <w:r>
        <w:t>10.3</w:t>
      </w:r>
      <w:r w:rsidR="00671617" w:rsidRPr="00671617">
        <w:tab/>
        <w:t xml:space="preserve">The Committee takes note of the authors’ allegations that on 11 April 2002 members of the </w:t>
      </w:r>
      <w:r w:rsidR="008F5192">
        <w:t>Royal Nepalese Army</w:t>
      </w:r>
      <w:r w:rsidR="00671617" w:rsidRPr="00671617">
        <w:t xml:space="preserve"> took their eight relatives and that they were never informed where their relatives were taken. The authors also claim that</w:t>
      </w:r>
      <w:r w:rsidR="007878A6">
        <w:t>,</w:t>
      </w:r>
      <w:r w:rsidR="00671617" w:rsidRPr="00671617">
        <w:t xml:space="preserve"> </w:t>
      </w:r>
      <w:r w:rsidR="00671617" w:rsidRPr="00671617">
        <w:rPr>
          <w:spacing w:val="-2"/>
        </w:rPr>
        <w:t xml:space="preserve">although they reported promptly the arrest and </w:t>
      </w:r>
      <w:r w:rsidR="00671617" w:rsidRPr="008666EF">
        <w:rPr>
          <w:rFonts w:eastAsia="ヒラギノ角ゴ Pro W3"/>
          <w:lang w:eastAsia="en-GB"/>
        </w:rPr>
        <w:t>disappearance</w:t>
      </w:r>
      <w:r w:rsidR="00671617" w:rsidRPr="008666EF">
        <w:rPr>
          <w:spacing w:val="-2"/>
        </w:rPr>
        <w:t xml:space="preserve"> of their relatives and filed several complaints and writs of habeas corpus, no ex officio, prompt, impartial, thorough and independent investigation has been carried out by the authorities</w:t>
      </w:r>
      <w:r w:rsidR="007878A6">
        <w:rPr>
          <w:spacing w:val="-2"/>
        </w:rPr>
        <w:t>;</w:t>
      </w:r>
      <w:r w:rsidR="00671617" w:rsidRPr="00671617">
        <w:rPr>
          <w:spacing w:val="-2"/>
        </w:rPr>
        <w:t xml:space="preserve"> the fate and </w:t>
      </w:r>
      <w:r w:rsidR="00671617" w:rsidRPr="00671617">
        <w:t>whereabouts</w:t>
      </w:r>
      <w:r w:rsidR="00671617" w:rsidRPr="00671617">
        <w:rPr>
          <w:spacing w:val="-2"/>
        </w:rPr>
        <w:t xml:space="preserve"> of their relatives remain unknown to date</w:t>
      </w:r>
      <w:r w:rsidR="007878A6">
        <w:rPr>
          <w:spacing w:val="-2"/>
        </w:rPr>
        <w:t xml:space="preserve">; </w:t>
      </w:r>
      <w:r w:rsidR="00671617" w:rsidRPr="00671617">
        <w:rPr>
          <w:spacing w:val="-2"/>
        </w:rPr>
        <w:t>n</w:t>
      </w:r>
      <w:r w:rsidR="00671617" w:rsidRPr="00671617">
        <w:t>o one has been summoned or convicted for these acts; and that</w:t>
      </w:r>
      <w:r w:rsidR="007878A6">
        <w:t>,</w:t>
      </w:r>
      <w:r w:rsidR="00671617" w:rsidRPr="00671617">
        <w:t xml:space="preserve"> in these circumstances, their relatives were victims of enforced disappearance.</w:t>
      </w:r>
    </w:p>
    <w:p w14:paraId="584319A0" w14:textId="77777777" w:rsidR="00E36FCA" w:rsidRPr="00E36FCA" w:rsidRDefault="00E36FCA">
      <w:pPr>
        <w:pStyle w:val="SingleTxtG"/>
        <w:rPr>
          <w:rFonts w:eastAsia="SimSun"/>
          <w:sz w:val="24"/>
          <w:szCs w:val="24"/>
          <w:lang w:eastAsia="en-GB"/>
        </w:rPr>
      </w:pPr>
      <w:r>
        <w:t>10.4</w:t>
      </w:r>
      <w:r>
        <w:tab/>
        <w:t xml:space="preserve">The Committee recalls that, while the Covenant does not explicitly use the term “enforced disappearance” in any of its articles, enforced disappearance constitutes a unique and integrated series of acts that represents </w:t>
      </w:r>
      <w:r w:rsidR="008666EF">
        <w:t xml:space="preserve">a </w:t>
      </w:r>
      <w:r>
        <w:t>continuing violation of various rights recognized in that treaty.</w:t>
      </w:r>
      <w:r w:rsidRPr="00571DEE">
        <w:rPr>
          <w:rStyle w:val="FootnoteReference"/>
        </w:rPr>
        <w:footnoteReference w:id="18"/>
      </w:r>
      <w:r>
        <w:t xml:space="preserve"> </w:t>
      </w:r>
    </w:p>
    <w:p w14:paraId="213B02AB" w14:textId="77777777" w:rsidR="00671617" w:rsidRPr="00671617" w:rsidRDefault="00915B9A">
      <w:pPr>
        <w:pStyle w:val="SingleTxtG"/>
        <w:rPr>
          <w:rFonts w:eastAsia="ヒラギノ角ゴ Pro W3"/>
          <w:lang w:eastAsia="en-GB"/>
        </w:rPr>
      </w:pPr>
      <w:r>
        <w:rPr>
          <w:rFonts w:eastAsia="ヒラギノ角ゴ Pro W3"/>
          <w:lang w:eastAsia="en-GB"/>
        </w:rPr>
        <w:t>10.</w:t>
      </w:r>
      <w:r w:rsidR="00E36FCA">
        <w:rPr>
          <w:rFonts w:eastAsia="ヒラギノ角ゴ Pro W3"/>
          <w:lang w:eastAsia="en-GB"/>
        </w:rPr>
        <w:t>5</w:t>
      </w:r>
      <w:r w:rsidR="00671617" w:rsidRPr="00671617">
        <w:rPr>
          <w:rFonts w:eastAsia="ヒラギノ角ゴ Pro W3"/>
          <w:lang w:eastAsia="en-GB"/>
        </w:rPr>
        <w:tab/>
        <w:t>The Committee observes that in 2002, when the events occurred, the authors received contradictory information concerning their relatives’ detention by different police offices and Army barracks and that</w:t>
      </w:r>
      <w:r w:rsidR="007878A6">
        <w:rPr>
          <w:rFonts w:eastAsia="ヒラギノ角ゴ Pro W3"/>
          <w:lang w:eastAsia="en-GB"/>
        </w:rPr>
        <w:t>,</w:t>
      </w:r>
      <w:r w:rsidR="00671617" w:rsidRPr="00671617">
        <w:rPr>
          <w:rFonts w:eastAsia="ヒラギノ角ゴ Pro W3"/>
          <w:lang w:eastAsia="en-GB"/>
        </w:rPr>
        <w:t xml:space="preserve"> within the habeas corpus proceedings before the Supreme Court, the Ministry of Defence, the Ministry of Home Affairs, </w:t>
      </w:r>
      <w:r w:rsidR="007878A6">
        <w:rPr>
          <w:rFonts w:eastAsia="ヒラギノ角ゴ Pro W3"/>
          <w:lang w:eastAsia="en-GB"/>
        </w:rPr>
        <w:t xml:space="preserve">the </w:t>
      </w:r>
      <w:r w:rsidR="00671617" w:rsidRPr="00671617">
        <w:rPr>
          <w:rFonts w:eastAsia="ヒラギノ角ゴ Pro W3"/>
          <w:lang w:eastAsia="en-GB"/>
        </w:rPr>
        <w:t>Bardiya District Administrative Office</w:t>
      </w:r>
      <w:r w:rsidR="007878A6">
        <w:rPr>
          <w:rFonts w:eastAsia="ヒラギノ角ゴ Pro W3"/>
          <w:lang w:eastAsia="en-GB"/>
        </w:rPr>
        <w:t xml:space="preserve"> and the</w:t>
      </w:r>
      <w:r w:rsidR="00671617" w:rsidRPr="00671617">
        <w:rPr>
          <w:rFonts w:eastAsia="ヒラギノ角ゴ Pro W3"/>
          <w:lang w:eastAsia="en-GB"/>
        </w:rPr>
        <w:t xml:space="preserve"> Bardiya </w:t>
      </w:r>
      <w:r w:rsidR="007878A6">
        <w:rPr>
          <w:rFonts w:eastAsia="ヒラギノ角ゴ Pro W3"/>
          <w:lang w:eastAsia="en-GB"/>
        </w:rPr>
        <w:t>District Police Office</w:t>
      </w:r>
      <w:r w:rsidR="00671617" w:rsidRPr="00671617">
        <w:rPr>
          <w:rFonts w:eastAsia="ヒラギノ角ゴ Pro W3"/>
          <w:lang w:eastAsia="en-GB"/>
        </w:rPr>
        <w:t xml:space="preserve">, among other authorities, denied having arrested or detained their relatives. Later, on 25 July 2006, the Ministry of Home Affairs </w:t>
      </w:r>
      <w:r w:rsidR="00C91A52">
        <w:rPr>
          <w:rFonts w:eastAsia="ヒラギノ角ゴ Pro W3"/>
          <w:lang w:eastAsia="en-GB"/>
        </w:rPr>
        <w:t>Royal Nepalese</w:t>
      </w:r>
      <w:r w:rsidR="00671617" w:rsidRPr="00671617">
        <w:rPr>
          <w:rFonts w:eastAsia="ヒラギノ角ゴ Pro W3"/>
          <w:lang w:eastAsia="en-GB"/>
        </w:rPr>
        <w:t xml:space="preserve"> Army, concluded that Dhaniram, Chillu, Mohan, Kamala, Lauti, Soniram and Radhulal </w:t>
      </w:r>
      <w:r w:rsidR="007878A6">
        <w:rPr>
          <w:rFonts w:eastAsia="ヒラギノ角ゴ Pro W3"/>
          <w:lang w:eastAsia="en-GB"/>
        </w:rPr>
        <w:t xml:space="preserve">had been </w:t>
      </w:r>
      <w:r w:rsidR="00671617" w:rsidRPr="00671617">
        <w:rPr>
          <w:rFonts w:eastAsia="ヒラギノ角ゴ Pro W3"/>
          <w:lang w:eastAsia="en-GB"/>
        </w:rPr>
        <w:t>killed on 11 April 2002 in crossfire with the security forces in the nursery area of Manau. No information has been provided as to the fate and whereabouts of Prem Prakash. The State party has not</w:t>
      </w:r>
      <w:r w:rsidR="007878A6">
        <w:rPr>
          <w:rFonts w:eastAsia="ヒラギノ角ゴ Pro W3"/>
          <w:lang w:eastAsia="en-GB"/>
        </w:rPr>
        <w:t>, however,</w:t>
      </w:r>
      <w:r w:rsidR="00671617" w:rsidRPr="00671617">
        <w:rPr>
          <w:rFonts w:eastAsia="ヒラギノ角ゴ Pro W3"/>
          <w:lang w:eastAsia="en-GB"/>
        </w:rPr>
        <w:t xml:space="preserve"> challenged the authors’ allegation that the </w:t>
      </w:r>
      <w:r w:rsidR="00671617" w:rsidRPr="00AB574E">
        <w:rPr>
          <w:rFonts w:eastAsia="ヒラギノ角ゴ Pro W3"/>
          <w:lang w:eastAsia="en-GB"/>
        </w:rPr>
        <w:t xml:space="preserve">authorities did not undertake a thorough investigation and that it </w:t>
      </w:r>
      <w:r w:rsidR="00DB6CAB">
        <w:rPr>
          <w:rFonts w:eastAsia="ヒラギノ角ゴ Pro W3"/>
          <w:lang w:eastAsia="en-GB"/>
        </w:rPr>
        <w:t>gave full credence</w:t>
      </w:r>
      <w:r w:rsidR="00671617" w:rsidRPr="00AB574E">
        <w:rPr>
          <w:rFonts w:eastAsia="ヒラギノ角ゴ Pro W3"/>
          <w:lang w:eastAsia="en-GB"/>
        </w:rPr>
        <w:t xml:space="preserve"> to the </w:t>
      </w:r>
      <w:r w:rsidR="007878A6" w:rsidRPr="00AB574E">
        <w:rPr>
          <w:rFonts w:eastAsia="ヒラギノ角ゴ Pro W3"/>
          <w:lang w:eastAsia="en-GB"/>
        </w:rPr>
        <w:t xml:space="preserve">information provided by the </w:t>
      </w:r>
      <w:r w:rsidR="00671617" w:rsidRPr="00AB574E">
        <w:rPr>
          <w:rFonts w:eastAsia="ヒラギノ角ゴ Pro W3"/>
          <w:lang w:eastAsia="en-GB"/>
        </w:rPr>
        <w:t>Human Rights Cell of the Army, which did not rely on any supporting</w:t>
      </w:r>
      <w:r w:rsidR="00671617" w:rsidRPr="00671617">
        <w:rPr>
          <w:rFonts w:eastAsia="ヒラギノ角ゴ Pro W3"/>
          <w:lang w:eastAsia="en-GB"/>
        </w:rPr>
        <w:t xml:space="preserve"> evidence. The Committee also observes that the</w:t>
      </w:r>
      <w:r w:rsidR="008666EF">
        <w:rPr>
          <w:rFonts w:eastAsia="ヒラギノ角ゴ Pro W3"/>
          <w:lang w:eastAsia="en-GB"/>
        </w:rPr>
        <w:t xml:space="preserve"> mortal remains of the authors</w:t>
      </w:r>
      <w:r w:rsidR="008666EF" w:rsidRPr="00671617">
        <w:rPr>
          <w:rFonts w:eastAsia="ヒラギノ角ゴ Pro W3"/>
          <w:lang w:eastAsia="en-GB"/>
        </w:rPr>
        <w:t>’</w:t>
      </w:r>
      <w:r w:rsidR="00671617" w:rsidRPr="00671617">
        <w:rPr>
          <w:rFonts w:eastAsia="ヒラギノ角ゴ Pro W3"/>
          <w:lang w:eastAsia="en-GB"/>
        </w:rPr>
        <w:t xml:space="preserve"> relatives’ have not been returned to the families </w:t>
      </w:r>
      <w:r w:rsidR="00671617" w:rsidRPr="00671617">
        <w:t>and</w:t>
      </w:r>
      <w:r w:rsidR="00671617" w:rsidRPr="00671617">
        <w:rPr>
          <w:rFonts w:eastAsia="ヒラギノ角ゴ Pro W3"/>
          <w:lang w:eastAsia="en-GB"/>
        </w:rPr>
        <w:t xml:space="preserve"> no information has been provided by the authorities as to the location of the remains </w:t>
      </w:r>
      <w:r w:rsidR="007878A6">
        <w:rPr>
          <w:rFonts w:eastAsia="ヒラギノ角ゴ Pro W3"/>
          <w:lang w:eastAsia="en-GB"/>
        </w:rPr>
        <w:t>or</w:t>
      </w:r>
      <w:r w:rsidR="00671617" w:rsidRPr="00671617">
        <w:rPr>
          <w:rFonts w:eastAsia="ヒラギノ角ゴ Pro W3"/>
          <w:lang w:eastAsia="en-GB"/>
        </w:rPr>
        <w:t xml:space="preserve"> the efforts that may have been undertaken to return them, thus keeping the authors in constant uncertainty. Against this background, the Committee considers that the State party has not explained the specific circumstances of the alleged death of the authors’ relatives</w:t>
      </w:r>
      <w:r w:rsidR="007878A6">
        <w:rPr>
          <w:rFonts w:eastAsia="ヒラギノ角ゴ Pro W3"/>
          <w:lang w:eastAsia="en-GB"/>
        </w:rPr>
        <w:t>,</w:t>
      </w:r>
      <w:r w:rsidR="00671617" w:rsidRPr="00671617">
        <w:rPr>
          <w:rFonts w:eastAsia="ヒラギノ角ゴ Pro W3"/>
          <w:lang w:eastAsia="en-GB"/>
        </w:rPr>
        <w:t xml:space="preserve"> nor has it produced evidence to </w:t>
      </w:r>
      <w:r w:rsidR="00671617" w:rsidRPr="00671617">
        <w:rPr>
          <w:rFonts w:eastAsia="ヒラギノ角ゴ Pro W3"/>
          <w:lang w:eastAsia="en-GB"/>
        </w:rPr>
        <w:lastRenderedPageBreak/>
        <w:t>indicate that it has fulfilled its obligation to protect their li</w:t>
      </w:r>
      <w:r w:rsidR="007878A6">
        <w:rPr>
          <w:rFonts w:eastAsia="ヒラギノ角ゴ Pro W3"/>
          <w:lang w:eastAsia="en-GB"/>
        </w:rPr>
        <w:t>v</w:t>
      </w:r>
      <w:r w:rsidR="00671617" w:rsidRPr="00671617">
        <w:rPr>
          <w:rFonts w:eastAsia="ヒラギノ角ゴ Pro W3"/>
          <w:lang w:eastAsia="en-GB"/>
        </w:rPr>
        <w:t>e</w:t>
      </w:r>
      <w:r w:rsidR="007878A6">
        <w:rPr>
          <w:rFonts w:eastAsia="ヒラギノ角ゴ Pro W3"/>
          <w:lang w:eastAsia="en-GB"/>
        </w:rPr>
        <w:t>s</w:t>
      </w:r>
      <w:r w:rsidR="00671617" w:rsidRPr="00671617">
        <w:rPr>
          <w:rFonts w:eastAsia="ヒラギノ角ゴ Pro W3"/>
          <w:lang w:eastAsia="en-GB"/>
        </w:rPr>
        <w:t xml:space="preserve">. Accordingly, the Committee concludes that the State party has failed in its duty to protect the </w:t>
      </w:r>
      <w:r w:rsidR="007878A6">
        <w:rPr>
          <w:rFonts w:eastAsia="ヒラギノ角ゴ Pro W3"/>
          <w:lang w:eastAsia="en-GB"/>
        </w:rPr>
        <w:t xml:space="preserve">lives </w:t>
      </w:r>
      <w:r w:rsidR="00671617" w:rsidRPr="00671617">
        <w:rPr>
          <w:rFonts w:eastAsia="ヒラギノ角ゴ Pro W3"/>
          <w:lang w:eastAsia="en-GB"/>
        </w:rPr>
        <w:t xml:space="preserve">of the authors’ relatives, in violation of article 6 of the Covenant. </w:t>
      </w:r>
    </w:p>
    <w:p w14:paraId="6FE2110A" w14:textId="77777777" w:rsidR="00671617" w:rsidRPr="00671617" w:rsidRDefault="00671617">
      <w:pPr>
        <w:pStyle w:val="SingleTxtG"/>
        <w:rPr>
          <w:rFonts w:eastAsia="ヒラギノ角ゴ Pro W3"/>
          <w:color w:val="000000"/>
          <w:lang w:eastAsia="en-GB"/>
        </w:rPr>
      </w:pPr>
      <w:r w:rsidRPr="00671617">
        <w:rPr>
          <w:rFonts w:eastAsia="ヒラギノ角ゴ Pro W3"/>
          <w:color w:val="000000"/>
          <w:lang w:eastAsia="en-GB"/>
        </w:rPr>
        <w:t>10</w:t>
      </w:r>
      <w:r w:rsidR="00915B9A">
        <w:rPr>
          <w:rFonts w:eastAsia="ヒラギノ角ゴ Pro W3"/>
          <w:color w:val="000000"/>
          <w:lang w:eastAsia="en-GB"/>
        </w:rPr>
        <w:t>.</w:t>
      </w:r>
      <w:r w:rsidR="00E36FCA">
        <w:rPr>
          <w:rFonts w:eastAsia="ヒラギノ角ゴ Pro W3"/>
          <w:color w:val="000000"/>
          <w:lang w:eastAsia="en-GB"/>
        </w:rPr>
        <w:t>6</w:t>
      </w:r>
      <w:r w:rsidRPr="00671617">
        <w:rPr>
          <w:rFonts w:eastAsia="ヒラギノ角ゴ Pro W3"/>
          <w:color w:val="000000"/>
          <w:lang w:eastAsia="en-GB"/>
        </w:rPr>
        <w:tab/>
        <w:t xml:space="preserve">The Committee takes note of the </w:t>
      </w:r>
      <w:r w:rsidRPr="00FD6B97">
        <w:rPr>
          <w:rFonts w:eastAsia="ヒラギノ角ゴ Pro W3"/>
          <w:color w:val="000000"/>
          <w:lang w:eastAsia="en-GB"/>
        </w:rPr>
        <w:t>authors’ allegations that the detention and subsequent enforced disappearance</w:t>
      </w:r>
      <w:r w:rsidR="00143273">
        <w:rPr>
          <w:rFonts w:eastAsia="ヒラギノ角ゴ Pro W3"/>
          <w:color w:val="000000"/>
          <w:lang w:eastAsia="en-GB"/>
        </w:rPr>
        <w:t xml:space="preserve"> of their relatives</w:t>
      </w:r>
      <w:r w:rsidRPr="00FD6B97">
        <w:rPr>
          <w:rFonts w:eastAsia="ヒラギノ角ゴ Pro W3"/>
          <w:color w:val="000000"/>
          <w:lang w:eastAsia="en-GB"/>
        </w:rPr>
        <w:t xml:space="preserve"> amount per se to treatment contrary to article 7. The Committee recognizes the degree of suffering </w:t>
      </w:r>
      <w:r w:rsidRPr="0097148C">
        <w:rPr>
          <w:rFonts w:eastAsia="ヒラギノ角ゴ Pro W3"/>
          <w:color w:val="000000"/>
          <w:lang w:eastAsia="en-GB"/>
        </w:rPr>
        <w:t xml:space="preserve">involved in being held indefinitely without </w:t>
      </w:r>
      <w:r w:rsidRPr="0097148C">
        <w:rPr>
          <w:rFonts w:eastAsia="ヒラギノ角ゴ Pro W3"/>
          <w:lang w:eastAsia="en-GB"/>
        </w:rPr>
        <w:t>contact</w:t>
      </w:r>
      <w:r w:rsidRPr="0097148C">
        <w:rPr>
          <w:rFonts w:eastAsia="ヒラギノ角ゴ Pro W3"/>
          <w:color w:val="000000"/>
          <w:lang w:eastAsia="en-GB"/>
        </w:rPr>
        <w:t xml:space="preserve"> with the outside world. It recalls its general comment No. 20 on article</w:t>
      </w:r>
      <w:r w:rsidR="00143273">
        <w:rPr>
          <w:rFonts w:eastAsia="ヒラギノ角ゴ Pro W3"/>
          <w:color w:val="000000"/>
          <w:lang w:eastAsia="en-GB"/>
        </w:rPr>
        <w:t> </w:t>
      </w:r>
      <w:r w:rsidRPr="0097148C">
        <w:rPr>
          <w:rFonts w:eastAsia="ヒラギノ角ゴ Pro W3"/>
          <w:color w:val="000000"/>
          <w:lang w:eastAsia="en-GB"/>
        </w:rPr>
        <w:t>7, which recommends that States parties should make provision to ban incommunicado detention. In the present case, in</w:t>
      </w:r>
      <w:r w:rsidR="00FD6B97" w:rsidRPr="0097148C">
        <w:rPr>
          <w:rFonts w:eastAsia="ヒラギノ角ゴ Pro W3"/>
          <w:color w:val="000000"/>
          <w:lang w:eastAsia="en-GB"/>
        </w:rPr>
        <w:t xml:space="preserve"> the</w:t>
      </w:r>
      <w:r w:rsidRPr="0097148C">
        <w:rPr>
          <w:rFonts w:eastAsia="ヒラギノ角ゴ Pro W3"/>
          <w:color w:val="000000"/>
          <w:lang w:eastAsia="en-GB"/>
        </w:rPr>
        <w:t xml:space="preserve"> absence of a satisfactory explanation</w:t>
      </w:r>
      <w:r w:rsidRPr="00FD6B97">
        <w:rPr>
          <w:rFonts w:eastAsia="ヒラギノ角ゴ Pro W3"/>
          <w:color w:val="000000"/>
          <w:lang w:eastAsia="en-GB"/>
        </w:rPr>
        <w:t xml:space="preserve"> from the State party, the Committee finds that the enforced disappearance of the authors’ relatives</w:t>
      </w:r>
      <w:r w:rsidRPr="00671617">
        <w:rPr>
          <w:rFonts w:eastAsia="ヒラギノ角ゴ Pro W3"/>
          <w:color w:val="000000"/>
          <w:lang w:eastAsia="en-GB"/>
        </w:rPr>
        <w:t xml:space="preserve"> constitutes a violation of article 7 of the Covenant.</w:t>
      </w:r>
    </w:p>
    <w:p w14:paraId="4EB4B24E" w14:textId="77777777" w:rsidR="00671617" w:rsidRPr="00671617" w:rsidRDefault="00671617">
      <w:pPr>
        <w:pStyle w:val="SingleTxtG"/>
        <w:rPr>
          <w:lang w:val="x-none"/>
        </w:rPr>
      </w:pPr>
      <w:r w:rsidRPr="00671617">
        <w:t>10</w:t>
      </w:r>
      <w:r w:rsidR="00915B9A">
        <w:rPr>
          <w:lang w:val="x-none"/>
        </w:rPr>
        <w:t>.</w:t>
      </w:r>
      <w:r w:rsidR="00E36FCA" w:rsidRPr="00D00184">
        <w:t>7</w:t>
      </w:r>
      <w:r w:rsidRPr="00671617">
        <w:rPr>
          <w:lang w:val="x-none"/>
        </w:rPr>
        <w:tab/>
        <w:t>The Committee also takes note of the anguish and stress caused to the author</w:t>
      </w:r>
      <w:r w:rsidRPr="00671617">
        <w:t>s</w:t>
      </w:r>
      <w:r w:rsidRPr="00671617">
        <w:rPr>
          <w:lang w:val="x-none"/>
        </w:rPr>
        <w:t xml:space="preserve"> by the disappearance of </w:t>
      </w:r>
      <w:r w:rsidRPr="00671617">
        <w:t>their relatives</w:t>
      </w:r>
      <w:r w:rsidRPr="00671617">
        <w:rPr>
          <w:lang w:val="x-none"/>
        </w:rPr>
        <w:t>. In particular, the author</w:t>
      </w:r>
      <w:r w:rsidRPr="00671617">
        <w:t>s</w:t>
      </w:r>
      <w:r w:rsidRPr="00671617">
        <w:rPr>
          <w:lang w:val="x-none"/>
        </w:rPr>
        <w:t xml:space="preserve"> and </w:t>
      </w:r>
      <w:r w:rsidRPr="00671617">
        <w:t>their</w:t>
      </w:r>
      <w:r w:rsidRPr="00671617">
        <w:rPr>
          <w:lang w:val="x-none"/>
        </w:rPr>
        <w:t xml:space="preserve"> </w:t>
      </w:r>
      <w:r w:rsidR="002C5DF4">
        <w:rPr>
          <w:lang w:val="en-US"/>
        </w:rPr>
        <w:t>families</w:t>
      </w:r>
      <w:r w:rsidR="002C5DF4" w:rsidRPr="00671617">
        <w:rPr>
          <w:lang w:val="x-none"/>
        </w:rPr>
        <w:t xml:space="preserve"> </w:t>
      </w:r>
      <w:r w:rsidRPr="00671617">
        <w:rPr>
          <w:lang w:val="x-none"/>
        </w:rPr>
        <w:t>have never received sufficient explanation concerning the circumstances surrounding the</w:t>
      </w:r>
      <w:r w:rsidRPr="00671617">
        <w:t>ir</w:t>
      </w:r>
      <w:r w:rsidRPr="00671617">
        <w:rPr>
          <w:lang w:val="x-none"/>
        </w:rPr>
        <w:t xml:space="preserve"> alleged </w:t>
      </w:r>
      <w:r w:rsidRPr="00671617">
        <w:rPr>
          <w:rFonts w:eastAsia="ヒラギノ角ゴ Pro W3"/>
          <w:lang w:eastAsia="en-GB"/>
        </w:rPr>
        <w:t>death</w:t>
      </w:r>
      <w:r w:rsidR="002C5DF4">
        <w:rPr>
          <w:rFonts w:eastAsia="ヒラギノ角ゴ Pro W3"/>
          <w:lang w:eastAsia="en-GB"/>
        </w:rPr>
        <w:t>s</w:t>
      </w:r>
      <w:r w:rsidRPr="00671617">
        <w:rPr>
          <w:lang w:val="x-none"/>
        </w:rPr>
        <w:t xml:space="preserve">, nor have they received </w:t>
      </w:r>
      <w:r w:rsidRPr="00671617">
        <w:t>their</w:t>
      </w:r>
      <w:r w:rsidRPr="00671617">
        <w:rPr>
          <w:lang w:val="x-none"/>
        </w:rPr>
        <w:t xml:space="preserve"> remains. In the absence of a satisfactory explanation from the State party, the Committee considers that the</w:t>
      </w:r>
      <w:r w:rsidRPr="00671617">
        <w:t>se</w:t>
      </w:r>
      <w:r w:rsidRPr="00671617">
        <w:rPr>
          <w:lang w:val="x-none"/>
        </w:rPr>
        <w:t xml:space="preserve"> facts reveal a violation of article 7 of the Covenant with respect to the author</w:t>
      </w:r>
      <w:r w:rsidRPr="00671617">
        <w:t>s</w:t>
      </w:r>
      <w:r w:rsidRPr="00671617">
        <w:rPr>
          <w:lang w:val="x-none"/>
        </w:rPr>
        <w:t>.</w:t>
      </w:r>
    </w:p>
    <w:p w14:paraId="052935FA" w14:textId="77777777" w:rsidR="00671617" w:rsidRPr="00671617" w:rsidRDefault="00671617">
      <w:pPr>
        <w:pStyle w:val="SingleTxtG"/>
        <w:rPr>
          <w:lang w:val="x-none"/>
        </w:rPr>
      </w:pPr>
      <w:r w:rsidRPr="00671617">
        <w:t>10</w:t>
      </w:r>
      <w:r w:rsidRPr="00671617">
        <w:rPr>
          <w:lang w:val="x-none"/>
        </w:rPr>
        <w:t>.</w:t>
      </w:r>
      <w:r w:rsidR="00E36FCA" w:rsidRPr="00D00184">
        <w:t>8</w:t>
      </w:r>
      <w:r w:rsidRPr="00671617">
        <w:rPr>
          <w:lang w:val="x-none"/>
        </w:rPr>
        <w:tab/>
        <w:t>The Committee takes note of the authors</w:t>
      </w:r>
      <w:r w:rsidRPr="00671617">
        <w:t>’</w:t>
      </w:r>
      <w:r w:rsidRPr="00671617">
        <w:rPr>
          <w:lang w:val="x-none"/>
        </w:rPr>
        <w:t xml:space="preserve"> allegations under article 9 that </w:t>
      </w:r>
      <w:r w:rsidRPr="00671617">
        <w:t>their relatives were</w:t>
      </w:r>
      <w:r w:rsidRPr="00671617">
        <w:rPr>
          <w:lang w:val="x-none"/>
        </w:rPr>
        <w:t xml:space="preserve"> detained</w:t>
      </w:r>
      <w:r w:rsidRPr="00671617">
        <w:t xml:space="preserve"> without an arrest warrant</w:t>
      </w:r>
      <w:r w:rsidR="002C5DF4">
        <w:rPr>
          <w:lang w:val="en-US"/>
        </w:rPr>
        <w:t>,</w:t>
      </w:r>
      <w:r w:rsidRPr="00671617">
        <w:rPr>
          <w:lang w:val="x-none"/>
        </w:rPr>
        <w:t xml:space="preserve"> that </w:t>
      </w:r>
      <w:r w:rsidRPr="00671617">
        <w:t>they were</w:t>
      </w:r>
      <w:r w:rsidRPr="00671617">
        <w:rPr>
          <w:lang w:val="x-none"/>
        </w:rPr>
        <w:t xml:space="preserve"> never brought before a judge or any other official authorized by law to exercise judicial power</w:t>
      </w:r>
      <w:r w:rsidR="002C5DF4">
        <w:rPr>
          <w:lang w:val="en-US"/>
        </w:rPr>
        <w:t>,</w:t>
      </w:r>
      <w:r w:rsidRPr="00671617">
        <w:rPr>
          <w:lang w:val="x-none"/>
        </w:rPr>
        <w:t xml:space="preserve"> </w:t>
      </w:r>
      <w:r w:rsidR="002C5DF4">
        <w:rPr>
          <w:lang w:val="en-US"/>
        </w:rPr>
        <w:t xml:space="preserve">and that they </w:t>
      </w:r>
      <w:r w:rsidRPr="00671617">
        <w:rPr>
          <w:lang w:val="x-none"/>
        </w:rPr>
        <w:t xml:space="preserve">could </w:t>
      </w:r>
      <w:r w:rsidR="002C5DF4">
        <w:t xml:space="preserve">not </w:t>
      </w:r>
      <w:r w:rsidRPr="00671617">
        <w:rPr>
          <w:lang w:val="x-none"/>
        </w:rPr>
        <w:t xml:space="preserve">take </w:t>
      </w:r>
      <w:r w:rsidRPr="00671617">
        <w:rPr>
          <w:rFonts w:eastAsia="ヒラギノ角ゴ Pro W3"/>
          <w:lang w:eastAsia="en-GB"/>
        </w:rPr>
        <w:t>proceedings</w:t>
      </w:r>
      <w:r w:rsidRPr="00671617">
        <w:rPr>
          <w:lang w:val="x-none"/>
        </w:rPr>
        <w:t xml:space="preserve"> before a court to challenge the lawfulness of </w:t>
      </w:r>
      <w:r w:rsidRPr="00671617">
        <w:t>their</w:t>
      </w:r>
      <w:r w:rsidRPr="00671617">
        <w:rPr>
          <w:lang w:val="x-none"/>
        </w:rPr>
        <w:t xml:space="preserve"> detention. In the absence of a State party’s response in this regard, the Committee considers that the detention </w:t>
      </w:r>
      <w:r w:rsidRPr="00671617">
        <w:t xml:space="preserve">of the authors’ relatives </w:t>
      </w:r>
      <w:r w:rsidRPr="00671617">
        <w:rPr>
          <w:lang w:val="x-none"/>
        </w:rPr>
        <w:t xml:space="preserve">constitutes a violation of </w:t>
      </w:r>
      <w:r w:rsidRPr="00671617">
        <w:t xml:space="preserve">their </w:t>
      </w:r>
      <w:r w:rsidRPr="00671617">
        <w:rPr>
          <w:lang w:val="x-none"/>
        </w:rPr>
        <w:t>right</w:t>
      </w:r>
      <w:r w:rsidRPr="00671617">
        <w:t>s</w:t>
      </w:r>
      <w:r w:rsidRPr="00671617">
        <w:rPr>
          <w:lang w:val="x-none"/>
        </w:rPr>
        <w:t xml:space="preserve"> under article 9 of the Covenant.</w:t>
      </w:r>
    </w:p>
    <w:p w14:paraId="190870EB" w14:textId="77777777" w:rsidR="00671617" w:rsidRPr="00671617" w:rsidRDefault="00871651">
      <w:pPr>
        <w:pStyle w:val="SingleTxtG"/>
        <w:rPr>
          <w:lang w:val="x-none"/>
        </w:rPr>
      </w:pPr>
      <w:r w:rsidRPr="003B6E5F">
        <w:t>10</w:t>
      </w:r>
      <w:r w:rsidR="00915B9A">
        <w:rPr>
          <w:lang w:val="x-none"/>
        </w:rPr>
        <w:t>.</w:t>
      </w:r>
      <w:r w:rsidR="00E36FCA" w:rsidRPr="00D00184">
        <w:t>9</w:t>
      </w:r>
      <w:r w:rsidR="00671617" w:rsidRPr="00671617">
        <w:rPr>
          <w:lang w:val="x-none"/>
        </w:rPr>
        <w:tab/>
        <w:t xml:space="preserve">With regard to the alleged violation of article 16, the Committee </w:t>
      </w:r>
      <w:r w:rsidR="00E36FCA" w:rsidRPr="00D00184">
        <w:t xml:space="preserve">considers that </w:t>
      </w:r>
      <w:r w:rsidR="00671617" w:rsidRPr="00671617">
        <w:rPr>
          <w:lang w:val="x-none"/>
        </w:rPr>
        <w:t>the intentional removal of a person from the protection of the law constitute</w:t>
      </w:r>
      <w:r w:rsidR="00CD6F4F" w:rsidRPr="00CD6F4F">
        <w:t>s</w:t>
      </w:r>
      <w:r w:rsidR="00671617" w:rsidRPr="00671617">
        <w:rPr>
          <w:lang w:val="x-none"/>
        </w:rPr>
        <w:t xml:space="preserve"> a </w:t>
      </w:r>
      <w:r w:rsidR="00CD6F4F" w:rsidRPr="009F75A1">
        <w:t>denial of the right to recognition everywhere as a person before the law</w:t>
      </w:r>
      <w:r w:rsidR="00671617" w:rsidRPr="00671617">
        <w:rPr>
          <w:lang w:val="x-none"/>
        </w:rPr>
        <w:t xml:space="preserve"> if the victim was in the hands of the State authorities when last seen and if the efforts of his or her relatives to obtain access to potentially effective remedies, including judicial remedies (</w:t>
      </w:r>
      <w:r w:rsidR="00143273">
        <w:rPr>
          <w:lang w:val="en-US"/>
        </w:rPr>
        <w:t xml:space="preserve">see </w:t>
      </w:r>
      <w:r w:rsidR="00671617" w:rsidRPr="00671617">
        <w:rPr>
          <w:lang w:val="x-none"/>
        </w:rPr>
        <w:t>art.</w:t>
      </w:r>
      <w:r w:rsidR="00143273">
        <w:rPr>
          <w:lang w:val="en-US"/>
        </w:rPr>
        <w:t> </w:t>
      </w:r>
      <w:r w:rsidR="00671617" w:rsidRPr="00671617">
        <w:rPr>
          <w:lang w:val="x-none"/>
        </w:rPr>
        <w:t>2</w:t>
      </w:r>
      <w:r w:rsidR="00143273">
        <w:rPr>
          <w:lang w:val="en-US"/>
        </w:rPr>
        <w:t> </w:t>
      </w:r>
      <w:r w:rsidR="002D5D95">
        <w:rPr>
          <w:lang w:val="en-US"/>
        </w:rPr>
        <w:t>(</w:t>
      </w:r>
      <w:r w:rsidR="00671617" w:rsidRPr="00671617">
        <w:rPr>
          <w:lang w:val="x-none"/>
        </w:rPr>
        <w:t>3</w:t>
      </w:r>
      <w:r w:rsidR="002D5D95">
        <w:rPr>
          <w:lang w:val="en-US"/>
        </w:rPr>
        <w:t>)</w:t>
      </w:r>
      <w:r w:rsidR="00671617" w:rsidRPr="00671617">
        <w:rPr>
          <w:lang w:val="x-none"/>
        </w:rPr>
        <w:t xml:space="preserve"> of the Covenant), have been systematically impeded. In the present case, the Committee notes that</w:t>
      </w:r>
      <w:r w:rsidR="0015020B">
        <w:rPr>
          <w:lang w:val="en-US"/>
        </w:rPr>
        <w:t>,</w:t>
      </w:r>
      <w:r w:rsidR="00671617" w:rsidRPr="00671617">
        <w:rPr>
          <w:lang w:val="x-none"/>
        </w:rPr>
        <w:t xml:space="preserve"> shortly after the arrest of the authors</w:t>
      </w:r>
      <w:r w:rsidR="00671617" w:rsidRPr="00671617">
        <w:t xml:space="preserve">’ relatives, the authorities gave </w:t>
      </w:r>
      <w:r w:rsidR="00671617" w:rsidRPr="00671617">
        <w:rPr>
          <w:lang w:val="x-none"/>
        </w:rPr>
        <w:t xml:space="preserve">contradictory information about </w:t>
      </w:r>
      <w:r w:rsidR="00671617" w:rsidRPr="00671617">
        <w:t>their arrest</w:t>
      </w:r>
      <w:r w:rsidR="00671617" w:rsidRPr="00671617">
        <w:rPr>
          <w:lang w:val="x-none"/>
        </w:rPr>
        <w:t xml:space="preserve">. Later, they failed to </w:t>
      </w:r>
      <w:r w:rsidR="00671617" w:rsidRPr="0097148C">
        <w:rPr>
          <w:lang w:val="x-none"/>
        </w:rPr>
        <w:t xml:space="preserve">provide sufficient information concerning the fate or whereabouts of </w:t>
      </w:r>
      <w:r w:rsidR="00671617" w:rsidRPr="0097148C">
        <w:t>the authors’ relatives</w:t>
      </w:r>
      <w:r w:rsidR="00671617" w:rsidRPr="0097148C">
        <w:rPr>
          <w:lang w:val="x-none"/>
        </w:rPr>
        <w:t xml:space="preserve">, despite </w:t>
      </w:r>
      <w:r w:rsidR="0097148C">
        <w:rPr>
          <w:lang w:val="en-US"/>
        </w:rPr>
        <w:t>numerous</w:t>
      </w:r>
      <w:r w:rsidR="00671617" w:rsidRPr="0097148C">
        <w:rPr>
          <w:lang w:val="x-none"/>
        </w:rPr>
        <w:t xml:space="preserve"> requests. Accordingly, the Committee concludes that the enforced disappearance of the authors</w:t>
      </w:r>
      <w:r w:rsidR="00671617" w:rsidRPr="0097148C">
        <w:t>’ relatives</w:t>
      </w:r>
      <w:r w:rsidR="00671617" w:rsidRPr="0097148C">
        <w:rPr>
          <w:lang w:val="x-none"/>
        </w:rPr>
        <w:t xml:space="preserve"> denied </w:t>
      </w:r>
      <w:r w:rsidR="00671617" w:rsidRPr="0097148C">
        <w:t xml:space="preserve">them </w:t>
      </w:r>
      <w:r w:rsidR="00671617" w:rsidRPr="0097148C">
        <w:rPr>
          <w:lang w:val="x-none"/>
        </w:rPr>
        <w:t xml:space="preserve">the protection of the law and deprived </w:t>
      </w:r>
      <w:r w:rsidR="00671617" w:rsidRPr="0097148C">
        <w:t xml:space="preserve">them </w:t>
      </w:r>
      <w:r w:rsidR="00671617" w:rsidRPr="0097148C">
        <w:rPr>
          <w:lang w:val="x-none"/>
        </w:rPr>
        <w:t xml:space="preserve">of </w:t>
      </w:r>
      <w:r w:rsidR="00671617" w:rsidRPr="0097148C">
        <w:t>their</w:t>
      </w:r>
      <w:r w:rsidR="00671617" w:rsidRPr="0097148C">
        <w:rPr>
          <w:lang w:val="x-none"/>
        </w:rPr>
        <w:t xml:space="preserve"> right to recognition as person</w:t>
      </w:r>
      <w:r w:rsidR="0015020B" w:rsidRPr="0097148C">
        <w:rPr>
          <w:lang w:val="en-US"/>
        </w:rPr>
        <w:t>s</w:t>
      </w:r>
      <w:r w:rsidR="00671617" w:rsidRPr="0097148C">
        <w:rPr>
          <w:lang w:val="x-none"/>
        </w:rPr>
        <w:t xml:space="preserve"> before the law, in violation of article 16 of the Covenant.</w:t>
      </w:r>
    </w:p>
    <w:p w14:paraId="73E0AA94" w14:textId="77777777" w:rsidR="00871651" w:rsidRPr="003B6E5F" w:rsidRDefault="00871651">
      <w:pPr>
        <w:pStyle w:val="SingleTxtG"/>
      </w:pPr>
      <w:r>
        <w:rPr>
          <w:rFonts w:eastAsia="ヒラギノ角ゴ Pro W3"/>
          <w:lang w:eastAsia="en-GB"/>
        </w:rPr>
        <w:t>10</w:t>
      </w:r>
      <w:r>
        <w:t>.</w:t>
      </w:r>
      <w:r w:rsidR="00E36FCA">
        <w:t>10</w:t>
      </w:r>
      <w:r w:rsidR="00671617" w:rsidRPr="00671617">
        <w:tab/>
        <w:t>The author</w:t>
      </w:r>
      <w:r w:rsidR="00143273">
        <w:t>s</w:t>
      </w:r>
      <w:r w:rsidR="00671617" w:rsidRPr="00671617">
        <w:t xml:space="preserve"> invoke article 2 </w:t>
      </w:r>
      <w:r w:rsidR="007C28AD">
        <w:t>(</w:t>
      </w:r>
      <w:r w:rsidR="00671617" w:rsidRPr="00671617">
        <w:t>3</w:t>
      </w:r>
      <w:r w:rsidR="007C28AD">
        <w:t>)</w:t>
      </w:r>
      <w:r w:rsidR="00671617" w:rsidRPr="00671617">
        <w:t xml:space="preserve"> of the Covenant, which imposes on States parties the obligation to ensure an effective remedy for all persons whose rights under the Covenant have been violated. The Committee attaches </w:t>
      </w:r>
      <w:r w:rsidR="00671617" w:rsidRPr="0097148C">
        <w:t>importance to the establishment by States parties of appropriate judicial and administrative mechanisms for addressing claims of rights violations. It refers to its general comment No. 31, which provides, inter alia, that a failure by a State party to investigate allegations of violations could, in and of itself, give rise to a separate breach of the Covenant. In the present case,</w:t>
      </w:r>
      <w:r w:rsidR="00671617" w:rsidRPr="00671617">
        <w:t xml:space="preserve"> the Committee observes that</w:t>
      </w:r>
      <w:r w:rsidR="0015020B">
        <w:t>,</w:t>
      </w:r>
      <w:r w:rsidR="00671617" w:rsidRPr="00671617">
        <w:t xml:space="preserve"> shortly after the detention of the authors’ relatives, the authors approached different police offices and Army barracks seeking information</w:t>
      </w:r>
      <w:r w:rsidR="00143273">
        <w:t>,</w:t>
      </w:r>
      <w:r w:rsidR="00671617" w:rsidRPr="00671617">
        <w:t xml:space="preserve"> and later filed writs of habeas corpus before the Supreme Court and complained to the </w:t>
      </w:r>
      <w:r w:rsidR="0015020B">
        <w:t>National Human Rights Commission</w:t>
      </w:r>
      <w:r w:rsidR="00671617" w:rsidRPr="00671617">
        <w:t>. Despite the authors’ efforts, no thorough and effective investigation has been concluded by the State party to elucidate the circumstances surrounding their relatives’ detention and alleged death</w:t>
      </w:r>
      <w:r w:rsidR="0015020B">
        <w:t>s,</w:t>
      </w:r>
      <w:r w:rsidR="00671617" w:rsidRPr="00671617">
        <w:t xml:space="preserve"> and no criminal investigation has even </w:t>
      </w:r>
      <w:r w:rsidR="00671617" w:rsidRPr="00F760A1">
        <w:t xml:space="preserve">been started to bring the perpetrators to justice. The State party has failed to explain the effectiveness and adequacy of investigations carried out by the Ministry of Home Affairs </w:t>
      </w:r>
      <w:r w:rsidR="00671617" w:rsidRPr="00143551">
        <w:t>Disappearance</w:t>
      </w:r>
      <w:r w:rsidR="00382C93">
        <w:t>s</w:t>
      </w:r>
      <w:r w:rsidR="00671617" w:rsidRPr="00143551">
        <w:t xml:space="preserve"> Committee</w:t>
      </w:r>
      <w:r w:rsidR="00671617" w:rsidRPr="00671617">
        <w:t xml:space="preserve"> and </w:t>
      </w:r>
      <w:r w:rsidR="00671617" w:rsidRPr="00671617">
        <w:lastRenderedPageBreak/>
        <w:t>the concrete steps taken to clarify the circumstance</w:t>
      </w:r>
      <w:r w:rsidR="00143273">
        <w:t>s</w:t>
      </w:r>
      <w:r w:rsidR="00671617" w:rsidRPr="00671617">
        <w:t xml:space="preserve"> of their </w:t>
      </w:r>
      <w:r w:rsidR="00671617" w:rsidRPr="00505C91">
        <w:t xml:space="preserve">detention </w:t>
      </w:r>
      <w:r w:rsidR="00143273" w:rsidRPr="00505C91">
        <w:t xml:space="preserve">or </w:t>
      </w:r>
      <w:r w:rsidR="00671617" w:rsidRPr="00505C91">
        <w:t>the cause of their alleged death</w:t>
      </w:r>
      <w:r w:rsidR="0015020B" w:rsidRPr="00505C91">
        <w:t xml:space="preserve">s. It has also failed </w:t>
      </w:r>
      <w:r w:rsidR="00671617" w:rsidRPr="00505C91">
        <w:t>to locate their mortal remains and return</w:t>
      </w:r>
      <w:r w:rsidR="00671617" w:rsidRPr="00671617">
        <w:t xml:space="preserve"> them to the authors’ families. Therefore, the Committee considers that the State party has failed to conduct a thorough and effective investigation into the </w:t>
      </w:r>
      <w:r w:rsidR="00671617" w:rsidRPr="0097148C">
        <w:t xml:space="preserve">disappearance of the authors’ relatives. Additionally, the </w:t>
      </w:r>
      <w:r w:rsidR="0015020B" w:rsidRPr="0097148C">
        <w:t>Nr</w:t>
      </w:r>
      <w:r w:rsidR="00671617" w:rsidRPr="0097148C">
        <w:t xml:space="preserve"> 100,000 received by the authors as interim relief </w:t>
      </w:r>
      <w:r w:rsidR="00671617" w:rsidRPr="0097148C">
        <w:rPr>
          <w:lang w:eastAsia="en-GB"/>
        </w:rPr>
        <w:t>does not constitute an adequate remedy commensurate to the serious violations inflicted.</w:t>
      </w:r>
      <w:r w:rsidR="00671617" w:rsidRPr="0097148C">
        <w:t xml:space="preserve"> Accordingly, the Committee concludes that the facts before it reveal a violation of article 2</w:t>
      </w:r>
      <w:r w:rsidR="00143273">
        <w:t> </w:t>
      </w:r>
      <w:r w:rsidR="007C28AD" w:rsidRPr="0097148C">
        <w:t>(</w:t>
      </w:r>
      <w:r w:rsidR="00671617" w:rsidRPr="0097148C">
        <w:t>3</w:t>
      </w:r>
      <w:r w:rsidR="007C28AD" w:rsidRPr="0097148C">
        <w:t>)</w:t>
      </w:r>
      <w:r w:rsidR="0015020B" w:rsidRPr="0097148C">
        <w:t>,</w:t>
      </w:r>
      <w:r w:rsidR="00671617" w:rsidRPr="0097148C">
        <w:t xml:space="preserve"> in conjunction with articles 6 </w:t>
      </w:r>
      <w:r w:rsidR="007C28AD" w:rsidRPr="0097148C">
        <w:t>(</w:t>
      </w:r>
      <w:r w:rsidR="00671617" w:rsidRPr="0097148C">
        <w:t>1</w:t>
      </w:r>
      <w:r w:rsidR="007C28AD" w:rsidRPr="0097148C">
        <w:t>),</w:t>
      </w:r>
      <w:r w:rsidR="00671617" w:rsidRPr="0097148C">
        <w:t xml:space="preserve"> 7</w:t>
      </w:r>
      <w:r w:rsidR="007C28AD" w:rsidRPr="0097148C">
        <w:t>,</w:t>
      </w:r>
      <w:r w:rsidR="00671617" w:rsidRPr="0097148C">
        <w:t xml:space="preserve"> 9 and 16, with regard to the authors’ relatives; and article 2</w:t>
      </w:r>
      <w:r w:rsidR="007C28AD" w:rsidRPr="0097148C">
        <w:t xml:space="preserve"> (</w:t>
      </w:r>
      <w:r w:rsidR="00671617" w:rsidRPr="0097148C">
        <w:t>3</w:t>
      </w:r>
      <w:r w:rsidR="007C28AD" w:rsidRPr="0097148C">
        <w:t>)</w:t>
      </w:r>
      <w:r w:rsidR="00671617" w:rsidRPr="0097148C">
        <w:t>, read in conjunction</w:t>
      </w:r>
      <w:r w:rsidR="00671617" w:rsidRPr="00671617">
        <w:t xml:space="preserve"> with article 7 of the Covenant</w:t>
      </w:r>
      <w:r w:rsidR="0015020B">
        <w:t>,</w:t>
      </w:r>
      <w:r w:rsidR="00671617" w:rsidRPr="00671617">
        <w:t xml:space="preserve"> with respect to the authors.</w:t>
      </w:r>
    </w:p>
    <w:p w14:paraId="0CFCED59" w14:textId="77777777" w:rsidR="00671617" w:rsidRPr="003B6E5F" w:rsidRDefault="00871651">
      <w:pPr>
        <w:spacing w:after="120"/>
        <w:ind w:left="1134" w:right="1134"/>
        <w:jc w:val="both"/>
      </w:pPr>
      <w:r w:rsidRPr="003B6E5F">
        <w:t>10.1</w:t>
      </w:r>
      <w:r w:rsidR="00E36FCA">
        <w:t>1</w:t>
      </w:r>
      <w:r w:rsidRPr="003B6E5F">
        <w:tab/>
      </w:r>
      <w:r w:rsidR="00671617" w:rsidRPr="00671617">
        <w:t xml:space="preserve">Having concluded </w:t>
      </w:r>
      <w:r w:rsidR="0015020B">
        <w:t xml:space="preserve">that there was a </w:t>
      </w:r>
      <w:r w:rsidR="00671617" w:rsidRPr="00671617">
        <w:t>violation of the above provisions, the Committee decides not to separately examine the authors’ claims under articles</w:t>
      </w:r>
      <w:r w:rsidR="007C28AD">
        <w:t xml:space="preserve"> </w:t>
      </w:r>
      <w:r w:rsidR="00671617" w:rsidRPr="00671617">
        <w:t>10</w:t>
      </w:r>
      <w:r w:rsidR="007C28AD">
        <w:t>,</w:t>
      </w:r>
      <w:r w:rsidR="00671617" w:rsidRPr="00671617">
        <w:t xml:space="preserve"> 17</w:t>
      </w:r>
      <w:r w:rsidR="0094128A">
        <w:rPr>
          <w:lang w:val="en-US"/>
        </w:rPr>
        <w:t> (1)</w:t>
      </w:r>
      <w:r w:rsidR="007C28AD">
        <w:t>,</w:t>
      </w:r>
      <w:r w:rsidR="00671617" w:rsidRPr="00671617">
        <w:t xml:space="preserve"> 23 and 24</w:t>
      </w:r>
      <w:r w:rsidR="007C28AD">
        <w:t xml:space="preserve"> (</w:t>
      </w:r>
      <w:r w:rsidR="00671617" w:rsidRPr="00671617">
        <w:t>1</w:t>
      </w:r>
      <w:r w:rsidR="007C28AD">
        <w:t>)</w:t>
      </w:r>
      <w:r w:rsidR="00671617" w:rsidRPr="00671617">
        <w:t xml:space="preserve"> of the Covenant. </w:t>
      </w:r>
    </w:p>
    <w:p w14:paraId="5E2A334A" w14:textId="77777777" w:rsidR="00671617" w:rsidRDefault="00671617">
      <w:pPr>
        <w:pStyle w:val="SingleTxtG"/>
      </w:pPr>
      <w:r w:rsidRPr="00671617">
        <w:t>11.</w:t>
      </w:r>
      <w:r w:rsidRPr="00671617">
        <w:tab/>
        <w:t xml:space="preserve">The Human Rights Committee, acting </w:t>
      </w:r>
      <w:r w:rsidRPr="0097148C">
        <w:t xml:space="preserve">under article 5 </w:t>
      </w:r>
      <w:r w:rsidR="007C28AD" w:rsidRPr="0097148C">
        <w:t>(</w:t>
      </w:r>
      <w:r w:rsidRPr="0097148C">
        <w:t>4</w:t>
      </w:r>
      <w:r w:rsidR="007C28AD" w:rsidRPr="0097148C">
        <w:t>)</w:t>
      </w:r>
      <w:r w:rsidRPr="0097148C">
        <w:t xml:space="preserve"> of the Optional Protocol to the International Covenant on Civil and Political Rights, is of the view that the information before it </w:t>
      </w:r>
      <w:r w:rsidR="0015020B" w:rsidRPr="0097148C">
        <w:t xml:space="preserve">indicates </w:t>
      </w:r>
      <w:r w:rsidRPr="0097148C">
        <w:t>violations by the State party of articles 6</w:t>
      </w:r>
      <w:r w:rsidR="007C28AD" w:rsidRPr="0097148C">
        <w:t xml:space="preserve"> (</w:t>
      </w:r>
      <w:r w:rsidRPr="0097148C">
        <w:t>1</w:t>
      </w:r>
      <w:r w:rsidR="007C28AD" w:rsidRPr="0097148C">
        <w:t>),</w:t>
      </w:r>
      <w:r w:rsidRPr="0097148C">
        <w:t xml:space="preserve"> 7</w:t>
      </w:r>
      <w:r w:rsidR="007C28AD" w:rsidRPr="0097148C">
        <w:t>,</w:t>
      </w:r>
      <w:r w:rsidRPr="0097148C">
        <w:t xml:space="preserve"> 9 and 16; article 2</w:t>
      </w:r>
      <w:r w:rsidR="007C28AD" w:rsidRPr="0097148C">
        <w:t xml:space="preserve"> (</w:t>
      </w:r>
      <w:r w:rsidRPr="0097148C">
        <w:t>3</w:t>
      </w:r>
      <w:r w:rsidR="007C28AD" w:rsidRPr="0097148C">
        <w:t>)</w:t>
      </w:r>
      <w:r w:rsidRPr="0097148C">
        <w:t>, read in</w:t>
      </w:r>
      <w:r w:rsidRPr="00671617">
        <w:t xml:space="preserve"> conjunction with articles 6</w:t>
      </w:r>
      <w:r w:rsidR="007C28AD">
        <w:t xml:space="preserve"> (</w:t>
      </w:r>
      <w:r w:rsidRPr="00671617">
        <w:t>1</w:t>
      </w:r>
      <w:r w:rsidR="007C28AD">
        <w:t>),</w:t>
      </w:r>
      <w:r w:rsidRPr="00671617">
        <w:t xml:space="preserve"> 7</w:t>
      </w:r>
      <w:r w:rsidR="007C28AD">
        <w:t>,</w:t>
      </w:r>
      <w:r w:rsidRPr="00671617">
        <w:t xml:space="preserve"> 9</w:t>
      </w:r>
      <w:r w:rsidR="005679A4">
        <w:t xml:space="preserve"> </w:t>
      </w:r>
      <w:r w:rsidRPr="00671617">
        <w:t xml:space="preserve">and 16 of the Covenant with regard to authors’ relatives; and of article 7, </w:t>
      </w:r>
      <w:r w:rsidR="00143273">
        <w:t>as well as</w:t>
      </w:r>
      <w:r w:rsidR="00143273" w:rsidRPr="00671617">
        <w:t xml:space="preserve"> </w:t>
      </w:r>
      <w:r w:rsidRPr="00671617">
        <w:t>article 2</w:t>
      </w:r>
      <w:r w:rsidR="007C28AD">
        <w:t xml:space="preserve"> (</w:t>
      </w:r>
      <w:r w:rsidRPr="00671617">
        <w:t>3</w:t>
      </w:r>
      <w:r w:rsidR="007C28AD">
        <w:t>),</w:t>
      </w:r>
      <w:r w:rsidRPr="00671617">
        <w:t xml:space="preserve"> </w:t>
      </w:r>
      <w:r w:rsidR="00143273">
        <w:t xml:space="preserve">read </w:t>
      </w:r>
      <w:r w:rsidRPr="00671617">
        <w:t>in conjunction with article 7, with respect to the authors.</w:t>
      </w:r>
    </w:p>
    <w:p w14:paraId="13FE946C" w14:textId="77777777" w:rsidR="00CD6F4F" w:rsidRPr="00671617" w:rsidRDefault="00671617">
      <w:pPr>
        <w:pStyle w:val="SingleTxtG"/>
      </w:pPr>
      <w:r w:rsidRPr="00671617">
        <w:t>12.</w:t>
      </w:r>
      <w:r w:rsidRPr="00671617">
        <w:tab/>
        <w:t>In accordance with article 2</w:t>
      </w:r>
      <w:r w:rsidR="007C28AD">
        <w:t xml:space="preserve"> (</w:t>
      </w:r>
      <w:r w:rsidRPr="00671617">
        <w:t>3</w:t>
      </w:r>
      <w:r w:rsidR="007C28AD">
        <w:t>)</w:t>
      </w:r>
      <w:r w:rsidRPr="00671617">
        <w:t xml:space="preserve"> of the Covenant, the State party is under an obligation to provide the authors with an effective remedy, including by: (a) conducting a thorough and effective investigation into the disappearance of their relatives and</w:t>
      </w:r>
      <w:r w:rsidR="005679A4">
        <w:t xml:space="preserve"> </w:t>
      </w:r>
      <w:r w:rsidRPr="00671617">
        <w:t>providing the authors with detailed information about the results of its investigation; (b) </w:t>
      </w:r>
      <w:r w:rsidR="00C91B85">
        <w:t xml:space="preserve">if their relatives are dead, </w:t>
      </w:r>
      <w:r w:rsidRPr="00671617">
        <w:t>locating the</w:t>
      </w:r>
      <w:r w:rsidR="00C91B85">
        <w:t>ir</w:t>
      </w:r>
      <w:r w:rsidRPr="00671617">
        <w:t xml:space="preserve"> remains and handing them over to their families; (c) prosecuting, trying and punishing those responsible for the violations committed and making the results of such measures public; (d) ensuring that </w:t>
      </w:r>
      <w:r w:rsidR="00205DBA">
        <w:t>any</w:t>
      </w:r>
      <w:r w:rsidR="00205DBA" w:rsidRPr="00671617">
        <w:t xml:space="preserve"> </w:t>
      </w:r>
      <w:r w:rsidRPr="00671617">
        <w:t xml:space="preserve">necessary and adequate rehabilitation and treatment </w:t>
      </w:r>
      <w:r w:rsidR="00CD6F4F">
        <w:t>are</w:t>
      </w:r>
      <w:r w:rsidRPr="00671617">
        <w:t xml:space="preserve"> provided to the authors; and (e) providing effective reparation, including adequate compensation and appropriate measures of satisfaction</w:t>
      </w:r>
      <w:r w:rsidR="00143273">
        <w:t>,</w:t>
      </w:r>
      <w:r w:rsidRPr="00671617">
        <w:t xml:space="preserve"> to the authors for the violations suffered. The State party is also under an obligation to take steps to prevent similar violations in the future. </w:t>
      </w:r>
      <w:r w:rsidR="00CD6F4F">
        <w:t xml:space="preserve">In particular, the State party should ensure </w:t>
      </w:r>
      <w:r w:rsidR="00CD6F4F" w:rsidRPr="00671617">
        <w:t xml:space="preserve">that its legislation allows for the criminal prosecution of </w:t>
      </w:r>
      <w:r w:rsidR="00CD6F4F">
        <w:t>those responsible for serious human rights violations such as torture, extrajudicial executio</w:t>
      </w:r>
      <w:r w:rsidR="005E670D">
        <w:t>n and enforced disappearance.</w:t>
      </w:r>
    </w:p>
    <w:p w14:paraId="2890B459" w14:textId="77777777" w:rsidR="00671617" w:rsidRPr="00671617" w:rsidRDefault="00671617">
      <w:pPr>
        <w:pStyle w:val="SingleTxtG"/>
      </w:pPr>
      <w:r w:rsidRPr="00671617">
        <w:t>13.</w:t>
      </w:r>
      <w:r w:rsidRPr="00671617">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broadly in the official languages of the State party.</w:t>
      </w:r>
    </w:p>
    <w:p w14:paraId="52638E40" w14:textId="77777777" w:rsidR="00BE5B91" w:rsidRDefault="00BE5B91" w:rsidP="00671617">
      <w:pPr>
        <w:spacing w:before="240" w:line="240" w:lineRule="auto"/>
        <w:ind w:left="1134"/>
        <w:jc w:val="center"/>
        <w:rPr>
          <w:u w:val="single"/>
          <w:lang w:val="x-none"/>
        </w:rPr>
        <w:sectPr w:rsidR="00BE5B91" w:rsidSect="00E563D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505517DF" w14:textId="77777777" w:rsidR="00BE5B91" w:rsidRPr="005566A9" w:rsidRDefault="00BE5B91" w:rsidP="00BE5B91">
      <w:pPr>
        <w:keepNext/>
        <w:keepLines/>
        <w:tabs>
          <w:tab w:val="right" w:pos="851"/>
        </w:tabs>
        <w:spacing w:before="360" w:after="240" w:line="300" w:lineRule="exact"/>
        <w:ind w:left="1134" w:right="1134" w:hanging="1134"/>
        <w:rPr>
          <w:b/>
          <w:sz w:val="28"/>
        </w:rPr>
      </w:pPr>
      <w:r w:rsidRPr="0097148C">
        <w:rPr>
          <w:b/>
          <w:sz w:val="28"/>
        </w:rPr>
        <w:lastRenderedPageBreak/>
        <w:t>Appendix I</w:t>
      </w:r>
    </w:p>
    <w:p w14:paraId="6B81B20E" w14:textId="77777777" w:rsidR="00671617" w:rsidRPr="0035150F" w:rsidRDefault="00671617" w:rsidP="00F512C7">
      <w:pPr>
        <w:pStyle w:val="SingleTxtG"/>
        <w:jc w:val="right"/>
      </w:pPr>
    </w:p>
    <w:p w14:paraId="6998C070" w14:textId="77777777" w:rsidR="00BE5B91" w:rsidRPr="00E22829" w:rsidRDefault="00BE5B91" w:rsidP="00F512C7">
      <w:pPr>
        <w:pStyle w:val="H1G"/>
      </w:pPr>
      <w:r w:rsidRPr="00160916">
        <w:tab/>
      </w:r>
      <w:r w:rsidRPr="00160916">
        <w:tab/>
      </w:r>
      <w:r w:rsidRPr="008E57A2">
        <w:t>Individual opinion of Committee member Olivier de Frouville</w:t>
      </w:r>
      <w:r>
        <w:t xml:space="preserve"> </w:t>
      </w:r>
      <w:r w:rsidRPr="00BE5B91">
        <w:t>(concurring)</w:t>
      </w:r>
    </w:p>
    <w:p w14:paraId="241B848C" w14:textId="77777777" w:rsidR="00BE5B91" w:rsidRPr="00BE5B91" w:rsidRDefault="00BE5B91" w:rsidP="00F512C7">
      <w:pPr>
        <w:pStyle w:val="SingleTxtG"/>
      </w:pPr>
      <w:r w:rsidRPr="00BE5B91">
        <w:t>1.</w:t>
      </w:r>
      <w:r w:rsidRPr="00BE5B91">
        <w:tab/>
        <w:t xml:space="preserve">In its Views, the Committee has decided to abandon the time requirement </w:t>
      </w:r>
      <w:r w:rsidR="009D3223" w:rsidRPr="00BE5B91">
        <w:t xml:space="preserve">(a time requirement that had arisen from the use of the terms “removal of a person from the protection of the </w:t>
      </w:r>
      <w:r w:rsidR="009D3223" w:rsidRPr="003C28D4">
        <w:t>law for a prolonged period of time”)</w:t>
      </w:r>
      <w:r w:rsidR="009D3223">
        <w:t xml:space="preserve"> </w:t>
      </w:r>
      <w:r w:rsidRPr="00BE5B91">
        <w:t xml:space="preserve">and found a violation of article 16 resulting from an enforced disappearance . These terms were used because, in a </w:t>
      </w:r>
      <w:r w:rsidRPr="00F760A1">
        <w:t>number of earlier Views, the Committee had used the definition of enforced disappearance given in article 7</w:t>
      </w:r>
      <w:r w:rsidR="00F760A1" w:rsidRPr="00F760A1">
        <w:t xml:space="preserve"> (2) (i) </w:t>
      </w:r>
      <w:r w:rsidRPr="00F760A1">
        <w:t>of the Rome Statute establishing the International Criminal Court.</w:t>
      </w:r>
      <w:r w:rsidRPr="00F760A1">
        <w:rPr>
          <w:rStyle w:val="FootnoteReference"/>
        </w:rPr>
        <w:footnoteReference w:id="19"/>
      </w:r>
    </w:p>
    <w:p w14:paraId="4EB8AC00" w14:textId="77777777" w:rsidR="00BE5B91" w:rsidRPr="00BE5B91" w:rsidRDefault="00BE5B91" w:rsidP="00F512C7">
      <w:pPr>
        <w:pStyle w:val="SingleTxtG"/>
      </w:pPr>
      <w:r w:rsidRPr="00BE5B91">
        <w:t>2.</w:t>
      </w:r>
      <w:r w:rsidRPr="00BE5B91">
        <w:tab/>
        <w:t xml:space="preserve">This time </w:t>
      </w:r>
      <w:r w:rsidRPr="00505C91">
        <w:t>condition contained in the definition of the Rome</w:t>
      </w:r>
      <w:r w:rsidR="00F760A1" w:rsidRPr="00505C91">
        <w:t xml:space="preserve"> Statute</w:t>
      </w:r>
      <w:r w:rsidRPr="00505C91">
        <w:t>, however, had been sharply criticized, especially by the independent expert charged by the Commission on Human Rights with examining the shortcomings of international law in the matter</w:t>
      </w:r>
      <w:r w:rsidRPr="00505C91">
        <w:rPr>
          <w:rStyle w:val="FootnoteReference"/>
        </w:rPr>
        <w:footnoteReference w:id="20"/>
      </w:r>
      <w:r w:rsidRPr="00505C91">
        <w:t xml:space="preserve"> and by the Working Group on Enforced </w:t>
      </w:r>
      <w:r w:rsidR="0087302A" w:rsidRPr="00505C91">
        <w:t xml:space="preserve">or Involuntary </w:t>
      </w:r>
      <w:r w:rsidRPr="00505C91">
        <w:t>Disappearances.</w:t>
      </w:r>
      <w:r w:rsidRPr="00505C91">
        <w:rPr>
          <w:rStyle w:val="FootnoteReference"/>
        </w:rPr>
        <w:footnoteReference w:id="21"/>
      </w:r>
      <w:r w:rsidRPr="00505C91">
        <w:t xml:space="preserve"> The Committee had itself given up the reference to the Rome Statute, opting instead for a reference to the </w:t>
      </w:r>
      <w:r w:rsidR="00F760A1" w:rsidRPr="00505C91">
        <w:t xml:space="preserve">International </w:t>
      </w:r>
      <w:r w:rsidRPr="00505C91">
        <w:t>Convention for the Protection of All Persons from Enforced Disappearance,</w:t>
      </w:r>
      <w:r w:rsidRPr="00F760A1">
        <w:t xml:space="preserve"> which had been adopted</w:t>
      </w:r>
      <w:r w:rsidR="00C91B85" w:rsidRPr="00F760A1">
        <w:t xml:space="preserve"> in the meantime</w:t>
      </w:r>
      <w:r w:rsidRPr="00F760A1">
        <w:t>.</w:t>
      </w:r>
      <w:r w:rsidRPr="00F760A1">
        <w:rPr>
          <w:rStyle w:val="FootnoteReference"/>
        </w:rPr>
        <w:footnoteReference w:id="22"/>
      </w:r>
      <w:r w:rsidRPr="00F760A1">
        <w:t xml:space="preserve"> </w:t>
      </w:r>
      <w:r w:rsidR="00C91B85" w:rsidRPr="00F760A1">
        <w:t xml:space="preserve">However, </w:t>
      </w:r>
      <w:r w:rsidRPr="00F760A1">
        <w:t>it inexplicably maintained the time</w:t>
      </w:r>
      <w:r w:rsidRPr="00BE5B91">
        <w:t xml:space="preserve"> requirement, without justifying why the removal of the person from the protection of the law needed to be “prolonged” in order to find a violation of article 16.</w:t>
      </w:r>
    </w:p>
    <w:p w14:paraId="1DAB5E3C" w14:textId="77777777" w:rsidR="00BE5B91" w:rsidRPr="00BE5B91" w:rsidRDefault="00BE5B91" w:rsidP="00F512C7">
      <w:pPr>
        <w:pStyle w:val="SingleTxtG"/>
      </w:pPr>
      <w:r w:rsidRPr="00BE5B91">
        <w:t>3.</w:t>
      </w:r>
      <w:r w:rsidRPr="00BE5B91">
        <w:tab/>
        <w:t>In fact</w:t>
      </w:r>
      <w:r w:rsidR="00C91B85">
        <w:t>,</w:t>
      </w:r>
      <w:r w:rsidRPr="00BE5B91">
        <w:t xml:space="preserve"> the denial of the recognition of the individuals subjected to enforced disappearance as persons before the law begins right from the outset of their deprivation of liberty, as shown by the testimonies of those who returned from that hell. The victims of enforced disappearance are never detained in an official </w:t>
      </w:r>
      <w:r w:rsidRPr="00F760A1">
        <w:t>place of detention</w:t>
      </w:r>
      <w:r w:rsidR="00F760A1" w:rsidRPr="00F760A1">
        <w:t>;</w:t>
      </w:r>
      <w:r w:rsidRPr="00F760A1">
        <w:t xml:space="preserve"> </w:t>
      </w:r>
      <w:r w:rsidR="00DA7A52">
        <w:t>they</w:t>
      </w:r>
      <w:r w:rsidRPr="00F760A1">
        <w:t xml:space="preserve"> are locked up either in the headquarters of the intelligence service, in the cellar of a requisitioned building or in an old disused barracks</w:t>
      </w:r>
      <w:r w:rsidR="00F760A1" w:rsidRPr="00F760A1">
        <w:t>,</w:t>
      </w:r>
      <w:r w:rsidRPr="00F760A1">
        <w:t xml:space="preserve"> and the first thing that the guards do to them is to make them feel totally vulnerable and completely at their mercy. There is no appeal; no help can be expected from outside and the very notion of “law</w:t>
      </w:r>
      <w:r w:rsidRPr="00BE5B91">
        <w:t>” vanishes. All that is left is the physical and mental restraint of the guards, who treat their victims as objects, inflicting torture and ill-treatment on them and thereby denying their human dignity.</w:t>
      </w:r>
    </w:p>
    <w:p w14:paraId="524ADC4B" w14:textId="77777777" w:rsidR="00BE5B91" w:rsidRPr="00BE5B91" w:rsidRDefault="00BE5B91" w:rsidP="00F512C7">
      <w:pPr>
        <w:pStyle w:val="SingleTxtG"/>
      </w:pPr>
      <w:r w:rsidRPr="00BE5B91">
        <w:t>4.</w:t>
      </w:r>
      <w:r w:rsidRPr="00BE5B91">
        <w:tab/>
        <w:t>It is true that the practice of enforced disappearance has evolved since the turn of the century. Nowadays</w:t>
      </w:r>
      <w:r w:rsidR="001A4222">
        <w:t>,</w:t>
      </w:r>
      <w:r w:rsidRPr="00BE5B91">
        <w:t xml:space="preserve"> short-term disappearances have proliferated, especially in the context of counter-terrorism, as was noted by the Working Group on Enforced </w:t>
      </w:r>
      <w:r w:rsidR="0087302A">
        <w:t xml:space="preserve">or Involuntary </w:t>
      </w:r>
      <w:r w:rsidRPr="00BE5B91">
        <w:t>Disappearances in its reports.</w:t>
      </w:r>
      <w:r w:rsidRPr="00571DEE">
        <w:rPr>
          <w:rStyle w:val="FootnoteReference"/>
        </w:rPr>
        <w:footnoteReference w:id="23"/>
      </w:r>
      <w:r w:rsidRPr="00BE5B91">
        <w:t xml:space="preserve"> In the 1970s, 1980s and even 1990s, only </w:t>
      </w:r>
      <w:r w:rsidR="001A4222">
        <w:t xml:space="preserve">a </w:t>
      </w:r>
      <w:r w:rsidRPr="00BE5B91">
        <w:t xml:space="preserve">few people ever survived enforced disappearance. Most of the victims, once placed in secret detention, died under torture or were summarily executed. A few were lucky enough to come out of it alive, after a few days or a few weeks of detention, especially if their cases had been made public soon enough by </w:t>
      </w:r>
      <w:r w:rsidR="001A4222">
        <w:t>non-governmental organizations</w:t>
      </w:r>
      <w:r w:rsidR="001A4222" w:rsidRPr="00BE5B91">
        <w:t xml:space="preserve"> </w:t>
      </w:r>
      <w:r w:rsidRPr="00BE5B91">
        <w:t>or United Nations protection bodies like the Working Group. A few others, in some countries, would “reappear” years or even decades later, completely shattered by the experience of confinement and the total denial of their rights.</w:t>
      </w:r>
    </w:p>
    <w:p w14:paraId="1CF20170" w14:textId="77777777" w:rsidR="00BE5B91" w:rsidRPr="00BE5B91" w:rsidRDefault="00BE5B91" w:rsidP="00F512C7">
      <w:pPr>
        <w:pStyle w:val="SingleTxtG"/>
      </w:pPr>
      <w:r w:rsidRPr="00BE5B91">
        <w:t>5.</w:t>
      </w:r>
      <w:r w:rsidRPr="00BE5B91">
        <w:tab/>
        <w:t xml:space="preserve">This type of enforced disappearance </w:t>
      </w:r>
      <w:r w:rsidRPr="00F760A1">
        <w:t>is still practi</w:t>
      </w:r>
      <w:r w:rsidR="00F760A1" w:rsidRPr="00F512C7">
        <w:t>s</w:t>
      </w:r>
      <w:r w:rsidRPr="00F760A1">
        <w:t>ed in some contexts</w:t>
      </w:r>
      <w:r w:rsidR="003D174E" w:rsidRPr="00F760A1">
        <w:t>,</w:t>
      </w:r>
      <w:r w:rsidRPr="00F760A1">
        <w:t xml:space="preserve"> and the cases that the Committee has come across in </w:t>
      </w:r>
      <w:r w:rsidRPr="00F760A1">
        <w:rPr>
          <w:i/>
          <w:iCs/>
        </w:rPr>
        <w:t>Tharu et al. v. Nepal</w:t>
      </w:r>
      <w:r w:rsidRPr="00F760A1">
        <w:t xml:space="preserve"> probably fit into that category. </w:t>
      </w:r>
      <w:r w:rsidR="003D174E" w:rsidRPr="00F760A1">
        <w:t>T</w:t>
      </w:r>
      <w:r w:rsidRPr="00F760A1">
        <w:t>o this form of enforced disappearance</w:t>
      </w:r>
      <w:r w:rsidR="003D174E" w:rsidRPr="00F760A1">
        <w:t>, however,</w:t>
      </w:r>
      <w:r w:rsidRPr="00F760A1">
        <w:t xml:space="preserve"> has been added the practice whereby a person is made to disappear for the space of a few days or for several weeks, during which time </w:t>
      </w:r>
      <w:r w:rsidR="00DA7A52">
        <w:t xml:space="preserve">he or she is </w:t>
      </w:r>
      <w:r w:rsidRPr="00F760A1">
        <w:t>maintained in secret detention outside any legal</w:t>
      </w:r>
      <w:r w:rsidRPr="00BE5B91">
        <w:t xml:space="preserve"> framework and tortured, before being handed over to the police and then to the courts, often with a falsified arrest warrant in an attempt to hide the real date of arrest. The person is then charged and tried on the basis of “confessions” obtained in fact under torture during the period of disappearance. Have these practices been created in an effort to circumvent the time condition laid down in article 7 of the Rome Statute and the particularly degrading attribute of “crime against humanity”? There is no way of knowing. But that is not essentially what matters. What really matters here is the recognition that in some cases, as in the more classic cases, the person is denied the right to recognition as a person before the law from the outset of his or her deprivation of liberty. The act of causing the person to disappear and to be placed in secret detention outside any legal framework is a way of signifying to the person’s family and acquaintances that the disappeared person is no longer a person before the law, that he or she </w:t>
      </w:r>
      <w:r w:rsidR="00DA7A52">
        <w:t>ceases to legally exist</w:t>
      </w:r>
      <w:r w:rsidRPr="00BE5B91">
        <w:t xml:space="preserve"> </w:t>
      </w:r>
      <w:r w:rsidR="00DA7A52">
        <w:t xml:space="preserve">and </w:t>
      </w:r>
      <w:r w:rsidRPr="00BE5B91">
        <w:t>is no longer entitled to the protection of his or her country’s laws or of international law — and that, in those conditions, the person’s torturers can dispose of him or her exactly as they please.</w:t>
      </w:r>
    </w:p>
    <w:p w14:paraId="0B2DF783" w14:textId="77777777" w:rsidR="00BE5B91" w:rsidRDefault="00BE5B91" w:rsidP="00F512C7">
      <w:pPr>
        <w:pStyle w:val="SingleTxtG"/>
      </w:pPr>
      <w:r w:rsidRPr="00BE5B91">
        <w:t>6.</w:t>
      </w:r>
      <w:r w:rsidRPr="00BE5B91">
        <w:tab/>
        <w:t xml:space="preserve">This was why the Working Group </w:t>
      </w:r>
      <w:r w:rsidRPr="00942D3D">
        <w:t>recognized, in its general comment on the right to recognition as a person before the law in the context of enforced disappearance</w:t>
      </w:r>
      <w:r w:rsidR="00942D3D" w:rsidRPr="00F512C7">
        <w:t>s</w:t>
      </w:r>
      <w:r w:rsidRPr="00942D3D">
        <w:t>, that enforced disappearance represented “a paradigmatic violation” of the right to be recognized as a person before the law.</w:t>
      </w:r>
      <w:r w:rsidRPr="00942D3D">
        <w:rPr>
          <w:rStyle w:val="FootnoteReference"/>
        </w:rPr>
        <w:footnoteReference w:id="24"/>
      </w:r>
      <w:r w:rsidRPr="00942D3D">
        <w:t xml:space="preserve"> Any enforced disappearance, however long it lasts, constitutes a violation of that right. It is fortunate that the Committee has amended its jurisprudence in that sense</w:t>
      </w:r>
      <w:r w:rsidRPr="00BE5B91">
        <w:t xml:space="preserve"> — even in a case that did not involve that type of short-term disappearance — as it can only add greater accuracy and relevance to the legal definition of the violation.</w:t>
      </w:r>
    </w:p>
    <w:p w14:paraId="7D7D1D8D" w14:textId="77777777" w:rsidR="00BE5B91" w:rsidRPr="00F512C7" w:rsidRDefault="00BE5B91" w:rsidP="00BE5B91">
      <w:pPr>
        <w:pStyle w:val="SingleTxtG"/>
        <w:rPr>
          <w:u w:val="single"/>
          <w:lang w:val="en-US"/>
        </w:rPr>
        <w:sectPr w:rsidR="00BE5B91" w:rsidRPr="00F512C7" w:rsidSect="00BE5B91">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14:paraId="43E39692" w14:textId="77777777" w:rsidR="00BE5B91" w:rsidRPr="005566A9" w:rsidRDefault="00BE5B91" w:rsidP="00BE5B91">
      <w:pPr>
        <w:keepNext/>
        <w:keepLines/>
        <w:tabs>
          <w:tab w:val="right" w:pos="851"/>
        </w:tabs>
        <w:spacing w:before="360" w:after="240" w:line="300" w:lineRule="exact"/>
        <w:ind w:left="1134" w:right="1134" w:hanging="1134"/>
        <w:rPr>
          <w:b/>
          <w:sz w:val="28"/>
        </w:rPr>
      </w:pPr>
      <w:r w:rsidRPr="005566A9">
        <w:rPr>
          <w:b/>
          <w:sz w:val="28"/>
        </w:rPr>
        <w:t>Appendix I</w:t>
      </w:r>
      <w:r w:rsidR="00F7148C">
        <w:rPr>
          <w:b/>
          <w:sz w:val="28"/>
        </w:rPr>
        <w:t>I</w:t>
      </w:r>
    </w:p>
    <w:p w14:paraId="0D142BB2" w14:textId="77777777" w:rsidR="00BE5B91" w:rsidRDefault="00BE5B91" w:rsidP="00BE5B91">
      <w:pPr>
        <w:pStyle w:val="SingleTxtG"/>
        <w:jc w:val="right"/>
      </w:pPr>
    </w:p>
    <w:p w14:paraId="59DCF82C" w14:textId="77777777" w:rsidR="00BE5B91" w:rsidRPr="00BE5B91" w:rsidRDefault="00BE5B91" w:rsidP="00BE5B91">
      <w:pPr>
        <w:pStyle w:val="H1G"/>
      </w:pPr>
      <w:r>
        <w:tab/>
      </w:r>
      <w:r>
        <w:tab/>
      </w:r>
      <w:r w:rsidRPr="00BE5B91">
        <w:t xml:space="preserve">Individual opinion of </w:t>
      </w:r>
      <w:r>
        <w:t xml:space="preserve">Committee member Anja Seibert-Fohr </w:t>
      </w:r>
      <w:r w:rsidRPr="00BE5B91">
        <w:t>(concurring)</w:t>
      </w:r>
    </w:p>
    <w:p w14:paraId="0D2985C8" w14:textId="77777777" w:rsidR="00BE5B91" w:rsidRPr="00F512C7" w:rsidRDefault="00BE5B91">
      <w:pPr>
        <w:pStyle w:val="SingleTxtG"/>
      </w:pPr>
      <w:r w:rsidRPr="00BE5B91">
        <w:t>1.</w:t>
      </w:r>
      <w:r>
        <w:tab/>
      </w:r>
      <w:r w:rsidRPr="00BE5B91">
        <w:t xml:space="preserve">I concur with the Committee’s conclusion on this communication. However, I am not in a position to support the broad legal reading of article 16 suggested in the first sentence of paragraph 10.9. Instead I would have retained the temporal element which has long been established in the Committee’s jurisprudence. </w:t>
      </w:r>
    </w:p>
    <w:p w14:paraId="0CFDFC50" w14:textId="77777777" w:rsidR="00BE5B91" w:rsidRPr="00F512C7" w:rsidRDefault="00BE5B91">
      <w:pPr>
        <w:pStyle w:val="SingleTxtG"/>
      </w:pPr>
      <w:r>
        <w:t>2.</w:t>
      </w:r>
      <w:r>
        <w:tab/>
      </w:r>
      <w:r w:rsidRPr="00BE5B91">
        <w:t>Article 16 of the Covenant protects the right of everyone to recognition everywhere as a person before the law. The capacity to bear rights and duties is a necessary prerequisite to all other individual rights.</w:t>
      </w:r>
      <w:r w:rsidRPr="00571DEE">
        <w:rPr>
          <w:rStyle w:val="FootnoteReference"/>
        </w:rPr>
        <w:footnoteReference w:id="25"/>
      </w:r>
      <w:r w:rsidRPr="00BE5B91">
        <w:t xml:space="preserve"> The absolute and non-derogable nature of this right explicitly recognized in article 4 (2) of the Covenant demands a particularly careful determination of its scope. Accordingly</w:t>
      </w:r>
      <w:r w:rsidR="0086013A">
        <w:t>,</w:t>
      </w:r>
      <w:r w:rsidRPr="00BE5B91">
        <w:t xml:space="preserve"> the Committee held in </w:t>
      </w:r>
      <w:r w:rsidRPr="00F512C7">
        <w:rPr>
          <w:i/>
          <w:iCs/>
        </w:rPr>
        <w:t>Grioua v. Algeria</w:t>
      </w:r>
      <w:r w:rsidRPr="00BE5B91">
        <w:t xml:space="preserve"> that “intentionally removing a person from the protection of the law </w:t>
      </w:r>
      <w:r w:rsidRPr="00BE5B91">
        <w:rPr>
          <w:i/>
        </w:rPr>
        <w:t xml:space="preserve">for a prolonged period of time </w:t>
      </w:r>
      <w:r w:rsidRPr="00BE5B91">
        <w:t xml:space="preserve">may constitute a refusal to recognize that person before the law if the victim was in the hands of the State </w:t>
      </w:r>
      <w:r w:rsidRPr="00F760A1">
        <w:t>authorities when last seen and, at the same time, if the efforts of his or her relatives to obtain access to potentially effective remedies, including judicial remedies (Covenant, art. 2, para. 3) have been systematically impeded [emphasis added]”. It explained that</w:t>
      </w:r>
      <w:r w:rsidR="003D174E" w:rsidRPr="00F760A1">
        <w:t>,</w:t>
      </w:r>
      <w:r w:rsidRPr="00F760A1">
        <w:t xml:space="preserve"> in such cases, victims “are</w:t>
      </w:r>
      <w:r w:rsidRPr="00BE5B91">
        <w:t xml:space="preserve"> in practice deprived of their capacity to exercise entitlements under the law, including all their other rights under the Covenant, and of access to any possible remedy as a direct consequence of the actions of the State”</w:t>
      </w:r>
      <w:r w:rsidR="003D174E">
        <w:t>.</w:t>
      </w:r>
      <w:r w:rsidRPr="00571DEE">
        <w:rPr>
          <w:rStyle w:val="FootnoteReference"/>
        </w:rPr>
        <w:footnoteReference w:id="26"/>
      </w:r>
      <w:r w:rsidRPr="00BE5B91">
        <w:t xml:space="preserve"> Since 2007</w:t>
      </w:r>
      <w:r w:rsidR="0060213E">
        <w:t>,</w:t>
      </w:r>
      <w:r w:rsidRPr="00BE5B91">
        <w:t xml:space="preserve"> it has been the Committee’s established case law that article 16 is violated whe</w:t>
      </w:r>
      <w:r w:rsidR="0060213E">
        <w:t>n</w:t>
      </w:r>
      <w:r w:rsidRPr="00BE5B91">
        <w:t xml:space="preserve"> victims are systematically </w:t>
      </w:r>
      <w:r w:rsidRPr="00BE5B91">
        <w:rPr>
          <w:i/>
        </w:rPr>
        <w:t>and</w:t>
      </w:r>
      <w:r w:rsidRPr="00BE5B91">
        <w:t xml:space="preserve"> for a prolonged period of time deprived of any possibility </w:t>
      </w:r>
      <w:r w:rsidR="0060213E">
        <w:t xml:space="preserve">of exercising </w:t>
      </w:r>
      <w:r w:rsidRPr="00BE5B91">
        <w:t>their rights and denied access to a remedy.</w:t>
      </w:r>
      <w:r w:rsidRPr="00571DEE">
        <w:rPr>
          <w:rStyle w:val="FootnoteReference"/>
        </w:rPr>
        <w:footnoteReference w:id="27"/>
      </w:r>
      <w:r w:rsidRPr="00BE5B91">
        <w:t xml:space="preserve"> </w:t>
      </w:r>
    </w:p>
    <w:p w14:paraId="06C53473" w14:textId="77777777" w:rsidR="00BE5B91" w:rsidRPr="00F512C7" w:rsidRDefault="00BE5B91">
      <w:pPr>
        <w:pStyle w:val="SingleTxtG"/>
      </w:pPr>
      <w:r>
        <w:t>3.</w:t>
      </w:r>
      <w:r>
        <w:tab/>
      </w:r>
      <w:r w:rsidRPr="00BE5B91">
        <w:t>Under these circumstances</w:t>
      </w:r>
      <w:r w:rsidR="0060213E">
        <w:t>,</w:t>
      </w:r>
      <w:r w:rsidRPr="00BE5B91">
        <w:t xml:space="preserve"> which include the temporal element and the systematic character of the deprivation</w:t>
      </w:r>
      <w:r w:rsidR="0060213E">
        <w:t>,</w:t>
      </w:r>
      <w:r w:rsidRPr="00BE5B91">
        <w:t xml:space="preserve"> a de facto denial of the right to be treated as a bearer of rights is taking place.</w:t>
      </w:r>
      <w:r w:rsidR="0035011D" w:rsidRPr="00F512C7">
        <w:rPr>
          <w:vertAlign w:val="superscript"/>
        </w:rPr>
        <w:t>a</w:t>
      </w:r>
      <w:r w:rsidRPr="00BE5B91">
        <w:t xml:space="preserve"> The temporal element is evidence of the refusal per se to recognize an individual as a person before the law. I am aware that the </w:t>
      </w:r>
      <w:r w:rsidRPr="00F760A1">
        <w:t xml:space="preserve">International Convention for the Protection of All Persons from Enforced Disappearance and the </w:t>
      </w:r>
      <w:r w:rsidR="00F760A1" w:rsidRPr="00F760A1">
        <w:t>Inter-</w:t>
      </w:r>
      <w:r w:rsidRPr="00F760A1">
        <w:t>American Convention on Forced Disappearance of Persons do not contain a temporal element for the definition of enforced disappearance. However</w:t>
      </w:r>
      <w:r w:rsidR="0060213E" w:rsidRPr="00F760A1">
        <w:t>,</w:t>
      </w:r>
      <w:r w:rsidRPr="00F760A1">
        <w:t xml:space="preserve"> the issue before us is not a determination </w:t>
      </w:r>
      <w:r w:rsidR="0060213E" w:rsidRPr="00F760A1">
        <w:t xml:space="preserve">of </w:t>
      </w:r>
      <w:r w:rsidRPr="00F760A1">
        <w:t>whether</w:t>
      </w:r>
      <w:r w:rsidRPr="00BE5B91">
        <w:t xml:space="preserve"> an atrocity qualifies as an enforced disappearance but whether it is in violation of article 16 of the Covenant. While recognizing the very serious nature of enforced disappearance as one of the most heinous human rights violations</w:t>
      </w:r>
      <w:r w:rsidR="0086013A">
        <w:t>,</w:t>
      </w:r>
      <w:r w:rsidRPr="00BE5B91">
        <w:t xml:space="preserve"> and the immediate need for the effective protection for victims of enforced disappearance and their families, the fact that an atrocity inflicted upon a victim constitutes an enforced disappearance which is in violation of articles 6, 7 and 9 of the Covenant and thus requires immediate protection does not automatically predetermine the legal analysis under article 16.</w:t>
      </w:r>
      <w:r w:rsidRPr="00571DEE">
        <w:rPr>
          <w:rStyle w:val="FootnoteReference"/>
        </w:rPr>
        <w:footnoteReference w:id="28"/>
      </w:r>
      <w:r w:rsidRPr="00BE5B91">
        <w:t xml:space="preserve"> Moreover, not every case of a denial of justice or access to a remedy in case of a violation of a right is in violation of article 16.</w:t>
      </w:r>
      <w:r w:rsidR="0035011D" w:rsidRPr="00F512C7">
        <w:rPr>
          <w:vertAlign w:val="superscript"/>
        </w:rPr>
        <w:t>a</w:t>
      </w:r>
    </w:p>
    <w:p w14:paraId="5679D9C5" w14:textId="77777777" w:rsidR="00E22829" w:rsidRDefault="00BE5B91" w:rsidP="00F512C7">
      <w:pPr>
        <w:pStyle w:val="SingleTxtG"/>
      </w:pPr>
      <w:r>
        <w:t>4.</w:t>
      </w:r>
      <w:r>
        <w:tab/>
      </w:r>
      <w:r w:rsidRPr="00BE5B91">
        <w:t>This line of reasoning is by no means intended to change or weaken the concept of enforced disappearance enshrined in the above</w:t>
      </w:r>
      <w:r w:rsidR="0060213E">
        <w:t>-</w:t>
      </w:r>
      <w:r w:rsidRPr="00BE5B91">
        <w:t xml:space="preserve">named </w:t>
      </w:r>
      <w:r w:rsidR="0060213E">
        <w:t>c</w:t>
      </w:r>
      <w:r w:rsidRPr="00BE5B91">
        <w:t xml:space="preserve">onventions. </w:t>
      </w:r>
      <w:r w:rsidR="0060213E">
        <w:t xml:space="preserve">Neither </w:t>
      </w:r>
      <w:r w:rsidRPr="00BE5B91">
        <w:t>does it lead to a fragmented standard for a notion which is not included in the Covenant. It is the role of the Committee to examine communications on the basis of each of the Covenant provisions and to determine whether the factual circumstances are appropriate for finding a violation of the Covenant</w:t>
      </w:r>
      <w:r w:rsidRPr="00571DEE">
        <w:rPr>
          <w:rStyle w:val="FootnoteReference"/>
        </w:rPr>
        <w:footnoteReference w:id="29"/>
      </w:r>
      <w:r w:rsidRPr="00BE5B91">
        <w:t xml:space="preserve"> rather than generalizing or reinterpreting its guarantees by applying legal notions that are not enshrined therein.</w:t>
      </w:r>
      <w:r w:rsidRPr="00571DEE">
        <w:rPr>
          <w:rStyle w:val="FootnoteReference"/>
        </w:rPr>
        <w:footnoteReference w:id="30"/>
      </w:r>
      <w:r w:rsidRPr="00BE5B91">
        <w:t xml:space="preserve"> For the reasons outlined above</w:t>
      </w:r>
      <w:r w:rsidR="0060213E">
        <w:t>,</w:t>
      </w:r>
      <w:r w:rsidRPr="00BE5B91">
        <w:t xml:space="preserve"> I do not recognize the rationale for renouncing the temporal element under article 16. It would be erroneous to find a violation thereof whenever there is a denial of justice for whatever short period of time. Apart from the fact that the modification was unnecessary for the outcome of the present very serious case</w:t>
      </w:r>
      <w:r w:rsidR="0060213E">
        <w:t>,</w:t>
      </w:r>
      <w:r w:rsidRPr="00BE5B91">
        <w:t xml:space="preserve"> </w:t>
      </w:r>
      <w:r w:rsidR="0060213E">
        <w:t xml:space="preserve">in which </w:t>
      </w:r>
      <w:r w:rsidRPr="00BE5B91">
        <w:t>the victims had been removed from the protection of the law since 2002</w:t>
      </w:r>
      <w:r>
        <w:t>,</w:t>
      </w:r>
      <w:r w:rsidRPr="00571DEE">
        <w:rPr>
          <w:rStyle w:val="FootnoteReference"/>
        </w:rPr>
        <w:footnoteReference w:id="31"/>
      </w:r>
      <w:r w:rsidRPr="00BE5B91">
        <w:t xml:space="preserve"> I fear that lowering the threshold of article 16 for reasons which lie outside the Covenant risks undermining the fundamental value of this human rights guarantee </w:t>
      </w:r>
      <w:r w:rsidR="0060213E">
        <w:t>in</w:t>
      </w:r>
      <w:r w:rsidRPr="00BE5B91">
        <w:t xml:space="preserve"> the long run.</w:t>
      </w:r>
    </w:p>
    <w:p w14:paraId="1BA44B09" w14:textId="77777777" w:rsidR="00E22829" w:rsidRPr="00E22829" w:rsidRDefault="00E22829" w:rsidP="00F512C7">
      <w:pPr>
        <w:pStyle w:val="SingleTxtG"/>
        <w:spacing w:before="240" w:after="0"/>
        <w:jc w:val="center"/>
        <w:rPr>
          <w:u w:val="single"/>
        </w:rPr>
      </w:pPr>
      <w:r>
        <w:rPr>
          <w:u w:val="single"/>
        </w:rPr>
        <w:tab/>
      </w:r>
      <w:r>
        <w:rPr>
          <w:u w:val="single"/>
        </w:rPr>
        <w:tab/>
      </w:r>
      <w:r>
        <w:rPr>
          <w:u w:val="single"/>
        </w:rPr>
        <w:tab/>
      </w:r>
    </w:p>
    <w:p w14:paraId="08DF6466" w14:textId="77777777" w:rsidR="00BE5B91" w:rsidRPr="00F512C7" w:rsidRDefault="00BE5B91" w:rsidP="00F512C7">
      <w:pPr>
        <w:pStyle w:val="SingleTxtG"/>
        <w:rPr>
          <w:lang w:val="en-US"/>
        </w:rPr>
      </w:pPr>
    </w:p>
    <w:sectPr w:rsidR="00BE5B91" w:rsidRPr="00F512C7" w:rsidSect="00F512C7">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23T08:36:00Z" w:initials="Start">
    <w:p w14:paraId="728028D4" w14:textId="77777777" w:rsidR="00E563D1" w:rsidRDefault="00E563D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NO&gt;&gt;N1523979E&lt;&lt;ODS JOB NO&gt;&gt;</w:t>
      </w:r>
    </w:p>
    <w:p w14:paraId="39AB3132" w14:textId="77777777" w:rsidR="00E563D1" w:rsidRDefault="00E563D1">
      <w:pPr>
        <w:pStyle w:val="CommentText"/>
      </w:pPr>
      <w:r>
        <w:t>&lt;&lt;ODS DOC SYMBOL1&gt;&gt;CCPR/C/114/D/2038/2011&lt;&lt;ODS DOC SYMBOL1&gt;&gt;</w:t>
      </w:r>
    </w:p>
    <w:p w14:paraId="778B1F75" w14:textId="77777777" w:rsidR="00E563D1" w:rsidRDefault="00E563D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B1F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761E2" w14:textId="77777777" w:rsidR="00F65B54" w:rsidRDefault="00F65B54"/>
  </w:endnote>
  <w:endnote w:type="continuationSeparator" w:id="0">
    <w:p w14:paraId="167A0D89" w14:textId="77777777" w:rsidR="00F65B54" w:rsidRDefault="00F65B54"/>
  </w:endnote>
  <w:endnote w:type="continuationNotice" w:id="1">
    <w:p w14:paraId="5AD9153A" w14:textId="77777777" w:rsidR="00F65B54" w:rsidRDefault="00F6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C5149" w14:textId="77777777" w:rsidR="00DB6CAB" w:rsidRPr="00671617" w:rsidRDefault="00DB6CAB" w:rsidP="00671617">
    <w:pPr>
      <w:pStyle w:val="Footer"/>
      <w:tabs>
        <w:tab w:val="right" w:pos="9638"/>
      </w:tabs>
    </w:pPr>
    <w:r w:rsidRPr="00671617">
      <w:rPr>
        <w:b/>
        <w:sz w:val="18"/>
      </w:rPr>
      <w:fldChar w:fldCharType="begin"/>
    </w:r>
    <w:r w:rsidRPr="00671617">
      <w:rPr>
        <w:b/>
        <w:sz w:val="18"/>
      </w:rPr>
      <w:instrText xml:space="preserve"> PAGE  \* MERGEFORMAT </w:instrText>
    </w:r>
    <w:r w:rsidRPr="00671617">
      <w:rPr>
        <w:b/>
        <w:sz w:val="18"/>
      </w:rPr>
      <w:fldChar w:fldCharType="separate"/>
    </w:r>
    <w:r w:rsidR="003F20B0">
      <w:rPr>
        <w:b/>
        <w:noProof/>
        <w:sz w:val="18"/>
      </w:rPr>
      <w:t>2</w:t>
    </w:r>
    <w:r w:rsidRPr="0067161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B216" w14:textId="77777777" w:rsidR="00DB6CAB" w:rsidRPr="00671617" w:rsidRDefault="00DB6CAB" w:rsidP="00671617">
    <w:pPr>
      <w:pStyle w:val="Footer"/>
      <w:tabs>
        <w:tab w:val="right" w:pos="9638"/>
      </w:tabs>
      <w:rPr>
        <w:b/>
        <w:sz w:val="18"/>
      </w:rPr>
    </w:pPr>
    <w:r>
      <w:tab/>
    </w:r>
    <w:r w:rsidRPr="00671617">
      <w:rPr>
        <w:b/>
        <w:sz w:val="18"/>
      </w:rPr>
      <w:fldChar w:fldCharType="begin"/>
    </w:r>
    <w:r w:rsidRPr="00671617">
      <w:rPr>
        <w:b/>
        <w:sz w:val="18"/>
      </w:rPr>
      <w:instrText xml:space="preserve"> PAGE  \* MERGEFORMAT </w:instrText>
    </w:r>
    <w:r w:rsidRPr="00671617">
      <w:rPr>
        <w:b/>
        <w:sz w:val="18"/>
      </w:rPr>
      <w:fldChar w:fldCharType="separate"/>
    </w:r>
    <w:r w:rsidR="003F20B0">
      <w:rPr>
        <w:b/>
        <w:noProof/>
        <w:sz w:val="18"/>
      </w:rPr>
      <w:t>3</w:t>
    </w:r>
    <w:r w:rsidRPr="0067161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E563D1" w14:paraId="2AC52C42" w14:textId="77777777" w:rsidTr="00E563D1">
      <w:tc>
        <w:tcPr>
          <w:tcW w:w="3614" w:type="dxa"/>
          <w:shd w:val="clear" w:color="auto" w:fill="auto"/>
        </w:tcPr>
        <w:p w14:paraId="70B5C68D" w14:textId="77777777" w:rsidR="00E563D1" w:rsidRDefault="00E563D1" w:rsidP="00E563D1">
          <w:pPr>
            <w:pStyle w:val="Footer"/>
            <w:rPr>
              <w:sz w:val="20"/>
            </w:rPr>
          </w:pPr>
          <w:r>
            <w:rPr>
              <w:noProof/>
              <w:sz w:val="20"/>
              <w:lang w:val="en-US"/>
            </w:rPr>
            <w:drawing>
              <wp:anchor distT="0" distB="0" distL="114300" distR="114300" simplePos="0" relativeHeight="251658240" behindDoc="0" locked="0" layoutInCell="1" allowOverlap="1" wp14:anchorId="13A8E3E0" wp14:editId="513ABBDA">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038/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038/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GE.15-16644(E)</w:t>
          </w:r>
        </w:p>
        <w:p w14:paraId="088F0324" w14:textId="77777777" w:rsidR="00E563D1" w:rsidRPr="00E563D1" w:rsidRDefault="00E563D1" w:rsidP="00E563D1">
          <w:pPr>
            <w:pStyle w:val="Footer"/>
            <w:rPr>
              <w:rFonts w:ascii="Barcode 3 of 9 by request" w:hAnsi="Barcode 3 of 9 by request"/>
              <w:sz w:val="24"/>
            </w:rPr>
          </w:pPr>
          <w:r>
            <w:rPr>
              <w:rFonts w:ascii="Barcode 3 of 9 by request" w:hAnsi="Barcode 3 of 9 by request"/>
              <w:sz w:val="24"/>
            </w:rPr>
            <w:t>*1516644*</w:t>
          </w:r>
        </w:p>
      </w:tc>
      <w:tc>
        <w:tcPr>
          <w:tcW w:w="4752" w:type="dxa"/>
          <w:shd w:val="clear" w:color="auto" w:fill="auto"/>
        </w:tcPr>
        <w:p w14:paraId="71782F8D" w14:textId="77777777" w:rsidR="00E563D1" w:rsidRDefault="00E563D1" w:rsidP="00E563D1">
          <w:pPr>
            <w:pStyle w:val="Footer"/>
            <w:spacing w:line="240" w:lineRule="atLeast"/>
            <w:jc w:val="right"/>
            <w:rPr>
              <w:sz w:val="20"/>
            </w:rPr>
          </w:pPr>
          <w:r>
            <w:rPr>
              <w:noProof/>
              <w:sz w:val="20"/>
              <w:lang w:val="en-US"/>
            </w:rPr>
            <w:drawing>
              <wp:inline distT="0" distB="0" distL="0" distR="0" wp14:anchorId="55456BDE" wp14:editId="6347FD09">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93FB984" w14:textId="77777777" w:rsidR="00E563D1" w:rsidRPr="00E563D1" w:rsidRDefault="00E563D1" w:rsidP="00E563D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12ED" w14:textId="77777777" w:rsidR="00F65B54" w:rsidRPr="000B175B" w:rsidRDefault="00F65B54" w:rsidP="000B175B">
      <w:pPr>
        <w:tabs>
          <w:tab w:val="right" w:pos="2155"/>
        </w:tabs>
        <w:spacing w:after="80"/>
        <w:ind w:left="680"/>
        <w:rPr>
          <w:u w:val="single"/>
        </w:rPr>
      </w:pPr>
      <w:r>
        <w:rPr>
          <w:u w:val="single"/>
        </w:rPr>
        <w:tab/>
      </w:r>
    </w:p>
  </w:footnote>
  <w:footnote w:type="continuationSeparator" w:id="0">
    <w:p w14:paraId="57B5F959" w14:textId="77777777" w:rsidR="00F65B54" w:rsidRPr="00FC68B7" w:rsidRDefault="00F65B54" w:rsidP="00FC68B7">
      <w:pPr>
        <w:tabs>
          <w:tab w:val="left" w:pos="2155"/>
        </w:tabs>
        <w:spacing w:after="80"/>
        <w:ind w:left="680"/>
        <w:rPr>
          <w:u w:val="single"/>
        </w:rPr>
      </w:pPr>
      <w:r>
        <w:rPr>
          <w:u w:val="single"/>
        </w:rPr>
        <w:tab/>
      </w:r>
    </w:p>
  </w:footnote>
  <w:footnote w:type="continuationNotice" w:id="1">
    <w:p w14:paraId="543B7CDB" w14:textId="77777777" w:rsidR="00F65B54" w:rsidRDefault="00F65B54"/>
  </w:footnote>
  <w:footnote w:id="2">
    <w:p w14:paraId="5BC336DB" w14:textId="77777777" w:rsidR="00DB6CAB" w:rsidRPr="00F512C7" w:rsidRDefault="00DB6CAB" w:rsidP="003C28D4">
      <w:pPr>
        <w:pStyle w:val="FootnoteText"/>
        <w:rPr>
          <w:bCs/>
          <w:szCs w:val="18"/>
          <w:lang w:val="fr-CH"/>
        </w:rPr>
      </w:pPr>
      <w:r w:rsidRPr="00F512C7">
        <w:rPr>
          <w:rStyle w:val="FootnoteReference"/>
          <w:lang w:val="fr-CH"/>
        </w:rPr>
        <w:tab/>
      </w:r>
      <w:r w:rsidRPr="00F512C7">
        <w:rPr>
          <w:rStyle w:val="FootnoteReference"/>
          <w:sz w:val="20"/>
          <w:vertAlign w:val="baseline"/>
          <w:lang w:val="fr-CH"/>
        </w:rPr>
        <w:t>*</w:t>
      </w:r>
      <w:r w:rsidRPr="00F512C7">
        <w:rPr>
          <w:rStyle w:val="FootnoteReference"/>
          <w:sz w:val="20"/>
          <w:vertAlign w:val="baseline"/>
          <w:lang w:val="fr-CH"/>
        </w:rPr>
        <w:tab/>
      </w:r>
      <w:r w:rsidRPr="00F512C7">
        <w:rPr>
          <w:szCs w:val="18"/>
          <w:lang w:val="fr-CH"/>
        </w:rPr>
        <w:t xml:space="preserve">The following members of the Committee participated in the </w:t>
      </w:r>
      <w:r w:rsidR="003C28D4">
        <w:rPr>
          <w:szCs w:val="18"/>
          <w:lang w:val="fr-CH"/>
        </w:rPr>
        <w:t>consideration</w:t>
      </w:r>
      <w:r w:rsidRPr="00F512C7">
        <w:rPr>
          <w:szCs w:val="18"/>
          <w:lang w:val="fr-CH"/>
        </w:rPr>
        <w:t xml:space="preserve"> of the present communication: Yadh Ben Achour, Lazhari Bouzid, Sarah Cleveland, Olivier de Frouville, Yuji Iwasawa, Ivana Jelić, Duncan </w:t>
      </w:r>
      <w:r w:rsidRPr="009A787A">
        <w:rPr>
          <w:szCs w:val="18"/>
          <w:lang w:val="fr-CH"/>
        </w:rPr>
        <w:t xml:space="preserve">Laki </w:t>
      </w:r>
      <w:r w:rsidRPr="00F512C7">
        <w:rPr>
          <w:szCs w:val="18"/>
          <w:lang w:val="fr-CH"/>
        </w:rPr>
        <w:t xml:space="preserve">Muhumuza, Photini Pazartzis, Mauro Politi, </w:t>
      </w:r>
      <w:r w:rsidRPr="00F512C7">
        <w:rPr>
          <w:bCs/>
          <w:szCs w:val="18"/>
          <w:lang w:val="fr-CH"/>
        </w:rPr>
        <w:t>Sir</w:t>
      </w:r>
      <w:r w:rsidRPr="00F512C7">
        <w:rPr>
          <w:szCs w:val="18"/>
          <w:lang w:val="fr-CH"/>
        </w:rPr>
        <w:t xml:space="preserve"> Nigel Rodley, Victor Manuel Rodríguez-Rescia, Fabián Omar Salvioli, Dheerujlall Seetulsingh, Anja Seibert-Fohr, Yuval Shany, Konstantine Vardzelashvili and Margo Waterval</w:t>
      </w:r>
      <w:r w:rsidRPr="00F512C7">
        <w:rPr>
          <w:bCs/>
          <w:szCs w:val="18"/>
          <w:lang w:val="fr-CH"/>
        </w:rPr>
        <w:t>.</w:t>
      </w:r>
    </w:p>
    <w:p w14:paraId="6B1C61AC" w14:textId="77777777" w:rsidR="00DB6CAB" w:rsidRPr="009A787A" w:rsidRDefault="00DB6CAB" w:rsidP="006E31E1">
      <w:pPr>
        <w:pStyle w:val="FootnoteText"/>
      </w:pPr>
      <w:r w:rsidRPr="00B95D7E">
        <w:rPr>
          <w:rStyle w:val="FootnoteReference"/>
          <w:sz w:val="20"/>
        </w:rPr>
        <w:tab/>
      </w:r>
      <w:r w:rsidRPr="00B95D7E">
        <w:rPr>
          <w:sz w:val="20"/>
        </w:rPr>
        <w:tab/>
      </w:r>
      <w:r w:rsidRPr="009A787A">
        <w:t xml:space="preserve">The texts of individual opinions of Committee member </w:t>
      </w:r>
      <w:r w:rsidRPr="00F512C7">
        <w:t>Olivier de Frouville (concurring)</w:t>
      </w:r>
      <w:r w:rsidRPr="009A787A">
        <w:rPr>
          <w:lang w:eastAsia="en-GB"/>
        </w:rPr>
        <w:t xml:space="preserve"> </w:t>
      </w:r>
      <w:r w:rsidRPr="009A787A">
        <w:t>and Anja Seibert-Fohr (</w:t>
      </w:r>
      <w:r w:rsidRPr="00F512C7">
        <w:t>concurring</w:t>
      </w:r>
      <w:r w:rsidRPr="009A787A">
        <w:t>) are appended to the present Views.</w:t>
      </w:r>
    </w:p>
  </w:footnote>
  <w:footnote w:id="3">
    <w:p w14:paraId="3ADBF5D3" w14:textId="77777777" w:rsidR="00DB6CAB" w:rsidRPr="009A787A" w:rsidRDefault="00DB6CAB">
      <w:pPr>
        <w:pStyle w:val="FootnoteText"/>
      </w:pPr>
      <w:r w:rsidRPr="009A787A">
        <w:tab/>
      </w:r>
      <w:r w:rsidRPr="009A787A">
        <w:rPr>
          <w:rStyle w:val="FootnoteReference"/>
        </w:rPr>
        <w:footnoteRef/>
      </w:r>
      <w:r w:rsidRPr="009A787A">
        <w:tab/>
        <w:t xml:space="preserve">According to the authors, it refers to persons, including most of the Tharu people, who have a status of wage labourers. While the </w:t>
      </w:r>
      <w:r w:rsidRPr="009A787A">
        <w:rPr>
          <w:i/>
        </w:rPr>
        <w:t>kamaiya</w:t>
      </w:r>
      <w:r w:rsidRPr="009A787A">
        <w:t xml:space="preserve"> system was formally abolished in 2000, the working conditions of former </w:t>
      </w:r>
      <w:r w:rsidRPr="009A787A">
        <w:rPr>
          <w:i/>
        </w:rPr>
        <w:t>kamaiya</w:t>
      </w:r>
      <w:r w:rsidRPr="009A787A">
        <w:t xml:space="preserve"> families had not changed. </w:t>
      </w:r>
    </w:p>
  </w:footnote>
  <w:footnote w:id="4">
    <w:p w14:paraId="237280B0" w14:textId="77777777" w:rsidR="00DB6CAB" w:rsidRPr="009A787A" w:rsidRDefault="00DB6CAB">
      <w:pPr>
        <w:pStyle w:val="FootnoteText"/>
      </w:pPr>
      <w:r w:rsidRPr="009A787A">
        <w:tab/>
      </w:r>
      <w:r w:rsidRPr="009A787A">
        <w:rPr>
          <w:rStyle w:val="FootnoteReference"/>
        </w:rPr>
        <w:footnoteRef/>
      </w:r>
      <w:r w:rsidRPr="009A787A">
        <w:tab/>
        <w:t>The authors claim that the ages given are indicative and that they are unable to provide an exact age of their relatives since they did not have citizenship cards or any other type of identity card. They further note that in rural areas of the State party the concept of time revolves around seasons and agricultural activities, and that the use of calendars is not common.</w:t>
      </w:r>
    </w:p>
  </w:footnote>
  <w:footnote w:id="5">
    <w:p w14:paraId="7ABF9C07" w14:textId="77777777" w:rsidR="00DB6CAB" w:rsidRPr="009A787A" w:rsidRDefault="00DB6CAB">
      <w:pPr>
        <w:pStyle w:val="FootnoteText"/>
      </w:pPr>
      <w:r w:rsidRPr="009A787A">
        <w:tab/>
      </w:r>
      <w:r w:rsidRPr="009A787A">
        <w:rPr>
          <w:rStyle w:val="FootnoteReference"/>
        </w:rPr>
        <w:footnoteRef/>
      </w:r>
      <w:r w:rsidRPr="009A787A">
        <w:tab/>
        <w:t xml:space="preserve">See reports of the Working Group on Enforced or Involuntary Disappearances (E/CN.4/2004/58, para. 227, and A/HRC/13/31, annex IV, graph relating to Nepal), as well as the report of the Office of the United Nations High Commissioner for Human Rights </w:t>
      </w:r>
      <w:r w:rsidR="00A37DB6">
        <w:t xml:space="preserve">(OHCHR) </w:t>
      </w:r>
      <w:r w:rsidRPr="009A787A">
        <w:t xml:space="preserve">entitled “Conflict-related disappearances in Bardiya District” (December 2008), pp. 5 and 27 (available from </w:t>
      </w:r>
      <w:hyperlink r:id="rId1" w:history="1">
        <w:r w:rsidRPr="009A787A">
          <w:rPr>
            <w:rStyle w:val="Hyperlink"/>
          </w:rPr>
          <w:t>http://nepal.ohchr.org</w:t>
        </w:r>
      </w:hyperlink>
      <w:r w:rsidRPr="009A787A">
        <w:rPr>
          <w:rStyle w:val="Hyperlink"/>
        </w:rPr>
        <w:t>)</w:t>
      </w:r>
      <w:r w:rsidRPr="009A787A">
        <w:t>.</w:t>
      </w:r>
    </w:p>
  </w:footnote>
  <w:footnote w:id="6">
    <w:p w14:paraId="23D1AC4F" w14:textId="77777777" w:rsidR="00DB6CAB" w:rsidRPr="009A787A" w:rsidRDefault="00DB6CAB">
      <w:pPr>
        <w:pStyle w:val="FootnoteText"/>
      </w:pPr>
      <w:r w:rsidRPr="009A787A">
        <w:tab/>
      </w:r>
      <w:r w:rsidRPr="009A787A">
        <w:rPr>
          <w:rStyle w:val="FootnoteReference"/>
        </w:rPr>
        <w:footnoteRef/>
      </w:r>
      <w:r w:rsidRPr="009A787A">
        <w:tab/>
      </w:r>
      <w:r w:rsidR="003C28D4">
        <w:t>I</w:t>
      </w:r>
      <w:r w:rsidRPr="009A787A">
        <w:t>bid., p. 17.</w:t>
      </w:r>
    </w:p>
  </w:footnote>
  <w:footnote w:id="7">
    <w:p w14:paraId="3DCC1E9A" w14:textId="77777777" w:rsidR="00DB6CAB" w:rsidRPr="009A787A" w:rsidRDefault="00DB6CAB">
      <w:pPr>
        <w:pStyle w:val="FootnoteText"/>
      </w:pPr>
      <w:r w:rsidRPr="009A787A">
        <w:tab/>
      </w:r>
      <w:r w:rsidRPr="009A787A">
        <w:rPr>
          <w:rStyle w:val="FootnoteReference"/>
        </w:rPr>
        <w:footnoteRef/>
      </w:r>
      <w:r w:rsidRPr="009A787A">
        <w:tab/>
        <w:t>See Human Rights Watch, “Clear culpability: ‘disappearances’ by security forces in Nepal” (28 February 2005), p. 26.</w:t>
      </w:r>
    </w:p>
  </w:footnote>
  <w:footnote w:id="8">
    <w:p w14:paraId="5ABED3DC" w14:textId="77777777" w:rsidR="00DB6CAB" w:rsidRPr="009A787A" w:rsidRDefault="00DB6CAB" w:rsidP="00BF3843">
      <w:pPr>
        <w:pStyle w:val="FootnoteText"/>
      </w:pPr>
      <w:r w:rsidRPr="009A787A">
        <w:tab/>
      </w:r>
      <w:r w:rsidRPr="009A787A">
        <w:rPr>
          <w:rStyle w:val="FootnoteReference"/>
        </w:rPr>
        <w:footnoteRef/>
      </w:r>
      <w:r w:rsidRPr="009A787A">
        <w:tab/>
        <w:t xml:space="preserve">According to the authors, the </w:t>
      </w:r>
      <w:r w:rsidRPr="00F512C7">
        <w:rPr>
          <w:i/>
          <w:iCs/>
        </w:rPr>
        <w:t>badghar</w:t>
      </w:r>
      <w:r w:rsidRPr="009A787A">
        <w:t xml:space="preserve"> is the traditional chief in Tharu villages.</w:t>
      </w:r>
    </w:p>
  </w:footnote>
  <w:footnote w:id="9">
    <w:p w14:paraId="65D2778F" w14:textId="77777777" w:rsidR="00DB6CAB" w:rsidRPr="009A787A" w:rsidRDefault="00DB6CAB">
      <w:pPr>
        <w:pStyle w:val="FootnoteText"/>
        <w:rPr>
          <w:rFonts w:ascii="Calibri" w:eastAsia="Calibri" w:hAnsi="Calibri"/>
        </w:rPr>
      </w:pPr>
      <w:r w:rsidRPr="009A787A">
        <w:tab/>
      </w:r>
      <w:r w:rsidRPr="009A787A">
        <w:rPr>
          <w:rStyle w:val="FootnoteReference"/>
        </w:rPr>
        <w:footnoteRef/>
      </w:r>
      <w:r w:rsidRPr="009A787A">
        <w:tab/>
        <w:t xml:space="preserve">See </w:t>
      </w:r>
      <w:r w:rsidRPr="009A787A">
        <w:rPr>
          <w:rFonts w:eastAsia="Calibri"/>
          <w:lang w:eastAsia="en-GB"/>
        </w:rPr>
        <w:t>A/HRC/4/41, annex IV.</w:t>
      </w:r>
    </w:p>
  </w:footnote>
  <w:footnote w:id="10">
    <w:p w14:paraId="5641A494" w14:textId="77777777" w:rsidR="00DB6CAB" w:rsidRPr="009A787A" w:rsidRDefault="00DB6CAB">
      <w:pPr>
        <w:pStyle w:val="FootnoteText"/>
      </w:pPr>
      <w:r w:rsidRPr="009A787A">
        <w:tab/>
      </w:r>
      <w:r w:rsidRPr="009A787A">
        <w:rPr>
          <w:rStyle w:val="FootnoteReference"/>
        </w:rPr>
        <w:footnoteRef/>
      </w:r>
      <w:r w:rsidRPr="009A787A">
        <w:tab/>
        <w:t xml:space="preserve">According to the authors, this amount was the equivalent of $1,420 at the time the communication was submitted. </w:t>
      </w:r>
    </w:p>
  </w:footnote>
  <w:footnote w:id="11">
    <w:p w14:paraId="2F53B6BB" w14:textId="77777777" w:rsidR="00DB6CAB" w:rsidRPr="009A787A" w:rsidRDefault="00DB6CAB">
      <w:pPr>
        <w:pStyle w:val="FootnoteText"/>
      </w:pPr>
      <w:r w:rsidRPr="009A787A">
        <w:tab/>
      </w:r>
      <w:r w:rsidRPr="009A787A">
        <w:rPr>
          <w:rStyle w:val="FootnoteReference"/>
        </w:rPr>
        <w:footnoteRef/>
      </w:r>
      <w:r w:rsidRPr="009A787A">
        <w:tab/>
        <w:t xml:space="preserve">See footnote </w:t>
      </w:r>
      <w:r w:rsidRPr="009E0EB0">
        <w:fldChar w:fldCharType="begin"/>
      </w:r>
      <w:r w:rsidRPr="009A787A">
        <w:instrText xml:space="preserve"> NOTEREF _Ref418103122 \h  \* MERGEFORMAT </w:instrText>
      </w:r>
      <w:r w:rsidRPr="009E0EB0">
        <w:fldChar w:fldCharType="separate"/>
      </w:r>
      <w:r w:rsidR="00F55027">
        <w:t>3</w:t>
      </w:r>
      <w:r w:rsidRPr="009E0EB0">
        <w:fldChar w:fldCharType="end"/>
      </w:r>
      <w:r w:rsidRPr="009A787A">
        <w:t>.</w:t>
      </w:r>
    </w:p>
  </w:footnote>
  <w:footnote w:id="12">
    <w:p w14:paraId="3995EC2A" w14:textId="77777777" w:rsidR="00DB6CAB" w:rsidRPr="009A787A" w:rsidRDefault="00DB6CAB">
      <w:pPr>
        <w:pStyle w:val="FootnoteText"/>
      </w:pPr>
      <w:r w:rsidRPr="009A787A">
        <w:tab/>
      </w:r>
      <w:r w:rsidRPr="009A787A">
        <w:rPr>
          <w:rStyle w:val="FootnoteReference"/>
        </w:rPr>
        <w:footnoteRef/>
      </w:r>
      <w:r w:rsidRPr="009A787A">
        <w:tab/>
        <w:t>See “Conflict-related disappearances in Bardiya District”, sects. VI.ii.i and VI.vii.ii.</w:t>
      </w:r>
    </w:p>
  </w:footnote>
  <w:footnote w:id="13">
    <w:p w14:paraId="4791E4FE" w14:textId="77777777" w:rsidR="00DB6CAB" w:rsidRPr="009A787A" w:rsidRDefault="00DB6CAB">
      <w:pPr>
        <w:pStyle w:val="FootnoteText"/>
      </w:pPr>
      <w:r w:rsidRPr="009A787A">
        <w:tab/>
      </w:r>
      <w:r w:rsidRPr="009A787A">
        <w:rPr>
          <w:rStyle w:val="FootnoteReference"/>
        </w:rPr>
        <w:footnoteRef/>
      </w:r>
      <w:r w:rsidRPr="009A787A">
        <w:tab/>
        <w:t>See Committee on the Rights of the Child</w:t>
      </w:r>
      <w:r w:rsidRPr="00F512C7">
        <w:t>, g</w:t>
      </w:r>
      <w:r w:rsidRPr="009A787A">
        <w:t xml:space="preserve">eneral </w:t>
      </w:r>
      <w:r w:rsidRPr="00F512C7">
        <w:t>c</w:t>
      </w:r>
      <w:r w:rsidRPr="009A787A">
        <w:t xml:space="preserve">omment No. 10 </w:t>
      </w:r>
      <w:r w:rsidRPr="00F512C7">
        <w:t>(</w:t>
      </w:r>
      <w:r w:rsidRPr="009A787A">
        <w:t xml:space="preserve">2007) on children’s rights in juvenile justice, paras. 59-61 and 82-84. </w:t>
      </w:r>
    </w:p>
  </w:footnote>
  <w:footnote w:id="14">
    <w:p w14:paraId="430AC707" w14:textId="77777777" w:rsidR="00DB6CAB" w:rsidRPr="009A787A" w:rsidRDefault="00DB6CAB">
      <w:pPr>
        <w:pStyle w:val="FootnoteText"/>
      </w:pPr>
      <w:r w:rsidRPr="009A787A">
        <w:tab/>
      </w:r>
      <w:r w:rsidRPr="009A787A">
        <w:rPr>
          <w:rStyle w:val="FootnoteReference"/>
        </w:rPr>
        <w:footnoteRef/>
      </w:r>
      <w:r w:rsidRPr="009A787A">
        <w:tab/>
        <w:t xml:space="preserve">See E/CN.4/1998/43, para. 75. </w:t>
      </w:r>
    </w:p>
  </w:footnote>
  <w:footnote w:id="15">
    <w:p w14:paraId="0F8240D2" w14:textId="77777777" w:rsidR="00DB6CAB" w:rsidRPr="009A787A" w:rsidRDefault="00DB6CAB">
      <w:pPr>
        <w:pStyle w:val="FootnoteText"/>
      </w:pPr>
      <w:r w:rsidRPr="009A787A">
        <w:tab/>
      </w:r>
      <w:r w:rsidRPr="009A787A">
        <w:rPr>
          <w:rStyle w:val="FootnoteReference"/>
        </w:rPr>
        <w:footnoteRef/>
      </w:r>
      <w:r w:rsidRPr="009A787A">
        <w:tab/>
        <w:t xml:space="preserve">See OHCHR, </w:t>
      </w:r>
      <w:r w:rsidRPr="00F512C7">
        <w:t>“</w:t>
      </w:r>
      <w:r w:rsidRPr="009A787A">
        <w:t>The Nepal Act on the Commission on Investigation of Disappeared Persons, Truth and Reconciliation, 2071 (2014) – as Gazetted 21 May 2014</w:t>
      </w:r>
      <w:r w:rsidRPr="00F512C7">
        <w:t>”</w:t>
      </w:r>
      <w:r w:rsidRPr="009A787A">
        <w:t xml:space="preserve">, </w:t>
      </w:r>
      <w:r w:rsidRPr="00F512C7">
        <w:t xml:space="preserve">OHCHR technical note; and </w:t>
      </w:r>
      <w:r w:rsidRPr="009A787A">
        <w:t xml:space="preserve">OHCHR, “Nepal: truth-seeking legislation risks further entrenching impunity, alert </w:t>
      </w:r>
      <w:r w:rsidR="00A37DB6">
        <w:t>United Nations</w:t>
      </w:r>
      <w:r w:rsidR="00A37DB6" w:rsidRPr="009A787A">
        <w:t xml:space="preserve"> </w:t>
      </w:r>
      <w:r w:rsidRPr="009A787A">
        <w:t>rights experts”</w:t>
      </w:r>
      <w:r w:rsidRPr="00F512C7">
        <w:t>,</w:t>
      </w:r>
      <w:r w:rsidRPr="009A787A">
        <w:t xml:space="preserve"> news release </w:t>
      </w:r>
      <w:r w:rsidRPr="00F512C7">
        <w:t>(</w:t>
      </w:r>
      <w:r w:rsidRPr="009A787A">
        <w:t xml:space="preserve">4 July 2014). </w:t>
      </w:r>
    </w:p>
  </w:footnote>
  <w:footnote w:id="16">
    <w:p w14:paraId="12FD73A3" w14:textId="77777777" w:rsidR="00DB6CAB" w:rsidRPr="00F512C7" w:rsidRDefault="00DB6CAB">
      <w:pPr>
        <w:pStyle w:val="FootnoteText"/>
      </w:pPr>
      <w:r w:rsidRPr="009A787A">
        <w:tab/>
      </w:r>
      <w:r w:rsidRPr="009A787A">
        <w:rPr>
          <w:rStyle w:val="FootnoteReference"/>
        </w:rPr>
        <w:footnoteRef/>
      </w:r>
      <w:r w:rsidRPr="009A787A">
        <w:tab/>
        <w:t>See communication Nos.</w:t>
      </w:r>
      <w:r w:rsidRPr="009A787A">
        <w:rPr>
          <w:spacing w:val="-2"/>
        </w:rPr>
        <w:t xml:space="preserve"> 1874/2009, </w:t>
      </w:r>
      <w:r w:rsidRPr="009A787A">
        <w:rPr>
          <w:i/>
          <w:spacing w:val="-2"/>
        </w:rPr>
        <w:t>Mihoubi v. Algeria</w:t>
      </w:r>
      <w:r w:rsidRPr="009A787A">
        <w:rPr>
          <w:spacing w:val="-2"/>
        </w:rPr>
        <w:t xml:space="preserve">, Views adopted on 18 October 2013, para. 6.2; and </w:t>
      </w:r>
      <w:r w:rsidRPr="009A787A">
        <w:t xml:space="preserve">1882/2009, </w:t>
      </w:r>
      <w:r w:rsidRPr="00F512C7">
        <w:rPr>
          <w:i/>
          <w:iCs/>
        </w:rPr>
        <w:t>Al Daquel v. Libya</w:t>
      </w:r>
      <w:r w:rsidRPr="009A787A">
        <w:t>, Views adopted on 21 July 2014, para. 5.2</w:t>
      </w:r>
      <w:r w:rsidRPr="00F512C7">
        <w:rPr>
          <w:spacing w:val="-2"/>
        </w:rPr>
        <w:t>.</w:t>
      </w:r>
    </w:p>
  </w:footnote>
  <w:footnote w:id="17">
    <w:p w14:paraId="2049E24C" w14:textId="77777777" w:rsidR="00DB6CAB" w:rsidRPr="009A787A" w:rsidRDefault="00DB6CAB" w:rsidP="00915B9A">
      <w:pPr>
        <w:pStyle w:val="FootnoteText"/>
      </w:pPr>
      <w:r w:rsidRPr="00F512C7">
        <w:tab/>
      </w:r>
      <w:r w:rsidRPr="009A787A">
        <w:rPr>
          <w:rStyle w:val="FootnoteReference"/>
        </w:rPr>
        <w:footnoteRef/>
      </w:r>
      <w:r w:rsidRPr="009A787A">
        <w:tab/>
        <w:t xml:space="preserve">See communication No. 2111/2011, </w:t>
      </w:r>
      <w:r w:rsidRPr="00F512C7">
        <w:rPr>
          <w:i/>
          <w:iCs/>
        </w:rPr>
        <w:t>Tripathi v. Nepal</w:t>
      </w:r>
      <w:r w:rsidRPr="009A787A">
        <w:t>, Views adopted on 29 October 2014, para. 7.2.</w:t>
      </w:r>
    </w:p>
  </w:footnote>
  <w:footnote w:id="18">
    <w:p w14:paraId="4D7B4C49" w14:textId="77777777" w:rsidR="00DB6CAB" w:rsidRPr="009A787A" w:rsidRDefault="00DB6CAB">
      <w:pPr>
        <w:pStyle w:val="FootnoteText"/>
        <w:widowControl w:val="0"/>
      </w:pPr>
      <w:r w:rsidRPr="009A787A">
        <w:tab/>
      </w:r>
      <w:r w:rsidRPr="009A787A">
        <w:rPr>
          <w:rStyle w:val="FootnoteReference"/>
        </w:rPr>
        <w:footnoteRef/>
      </w:r>
      <w:r w:rsidRPr="009A787A">
        <w:tab/>
        <w:t xml:space="preserve">See communication No. 2000/2010, </w:t>
      </w:r>
      <w:r w:rsidRPr="009A787A">
        <w:rPr>
          <w:i/>
          <w:iCs/>
        </w:rPr>
        <w:t>Katwal v. Nepal</w:t>
      </w:r>
      <w:r w:rsidRPr="009A787A">
        <w:t xml:space="preserve">, </w:t>
      </w:r>
      <w:r w:rsidRPr="00F512C7">
        <w:t xml:space="preserve">Views </w:t>
      </w:r>
      <w:r w:rsidRPr="009A787A">
        <w:t xml:space="preserve">adopted on 1 April 2015, para. 11.3. </w:t>
      </w:r>
    </w:p>
  </w:footnote>
  <w:footnote w:id="19">
    <w:p w14:paraId="0E2A5BB9" w14:textId="77777777" w:rsidR="00DB6CAB" w:rsidRPr="009A787A" w:rsidRDefault="00DB6CAB" w:rsidP="00F512C7">
      <w:pPr>
        <w:pStyle w:val="FootnoteText"/>
      </w:pPr>
      <w:r w:rsidRPr="009A787A">
        <w:tab/>
      </w:r>
      <w:r w:rsidRPr="009A787A">
        <w:rPr>
          <w:rStyle w:val="FootnoteReference"/>
        </w:rPr>
        <w:footnoteRef/>
      </w:r>
      <w:r w:rsidRPr="009A787A">
        <w:tab/>
        <w:t xml:space="preserve">In the first place, in </w:t>
      </w:r>
      <w:r w:rsidRPr="00F512C7">
        <w:t xml:space="preserve">communication Nos. 1328/2004, </w:t>
      </w:r>
      <w:r w:rsidRPr="009A787A">
        <w:rPr>
          <w:i/>
          <w:iCs/>
        </w:rPr>
        <w:t>Kimouche v. Algeria</w:t>
      </w:r>
      <w:r w:rsidRPr="009A787A">
        <w:t xml:space="preserve">, </w:t>
      </w:r>
      <w:r w:rsidRPr="00F512C7">
        <w:t xml:space="preserve">Views adopted on </w:t>
      </w:r>
      <w:r w:rsidRPr="009A787A">
        <w:t xml:space="preserve">10 July 2007, para. 7.2; and 1327/2004, </w:t>
      </w:r>
      <w:r w:rsidRPr="00F512C7">
        <w:rPr>
          <w:i/>
          <w:iCs/>
        </w:rPr>
        <w:t>Grioua v. Algeria</w:t>
      </w:r>
      <w:r w:rsidRPr="00F512C7">
        <w:t>,</w:t>
      </w:r>
      <w:r w:rsidRPr="00F512C7">
        <w:rPr>
          <w:i/>
          <w:iCs/>
        </w:rPr>
        <w:t xml:space="preserve"> </w:t>
      </w:r>
      <w:r w:rsidRPr="00F512C7">
        <w:t>Views adopted on</w:t>
      </w:r>
      <w:r w:rsidRPr="00F512C7">
        <w:rPr>
          <w:i/>
          <w:iCs/>
        </w:rPr>
        <w:t xml:space="preserve"> </w:t>
      </w:r>
      <w:r w:rsidRPr="009A787A">
        <w:t>10 July 2007, para. 7.2.</w:t>
      </w:r>
    </w:p>
  </w:footnote>
  <w:footnote w:id="20">
    <w:p w14:paraId="0A0D7B76" w14:textId="77777777" w:rsidR="00DB6CAB" w:rsidRPr="009A787A" w:rsidRDefault="00DB6CAB" w:rsidP="00F512C7">
      <w:pPr>
        <w:pStyle w:val="FootnoteText"/>
      </w:pPr>
      <w:r w:rsidRPr="009A787A">
        <w:tab/>
      </w:r>
      <w:r w:rsidRPr="009A787A">
        <w:rPr>
          <w:rStyle w:val="FootnoteReference"/>
        </w:rPr>
        <w:footnoteRef/>
      </w:r>
      <w:r w:rsidRPr="009A787A">
        <w:tab/>
        <w:t>See E/CN.4/2002/71, para. 74.</w:t>
      </w:r>
    </w:p>
  </w:footnote>
  <w:footnote w:id="21">
    <w:p w14:paraId="42461AA2" w14:textId="77777777" w:rsidR="00DB6CAB" w:rsidRPr="009A787A" w:rsidRDefault="00DB6CAB" w:rsidP="00F512C7">
      <w:pPr>
        <w:pStyle w:val="FootnoteText"/>
      </w:pPr>
      <w:r w:rsidRPr="009A787A">
        <w:tab/>
      </w:r>
      <w:r w:rsidRPr="009A787A">
        <w:rPr>
          <w:rStyle w:val="FootnoteReference"/>
        </w:rPr>
        <w:footnoteRef/>
      </w:r>
      <w:r w:rsidRPr="009A787A">
        <w:tab/>
        <w:t>See general comment on the definition of enforced disappearance (2007), in particular, paras. 5 and 9.</w:t>
      </w:r>
    </w:p>
  </w:footnote>
  <w:footnote w:id="22">
    <w:p w14:paraId="16789E9B" w14:textId="77777777" w:rsidR="00DB6CAB" w:rsidRPr="009A787A" w:rsidRDefault="00DB6CAB" w:rsidP="00F512C7">
      <w:pPr>
        <w:pStyle w:val="FootnoteText"/>
      </w:pPr>
      <w:r w:rsidRPr="009A787A">
        <w:tab/>
      </w:r>
      <w:r w:rsidRPr="009A787A">
        <w:rPr>
          <w:rStyle w:val="FootnoteReference"/>
        </w:rPr>
        <w:footnoteRef/>
      </w:r>
      <w:r w:rsidRPr="009A787A">
        <w:tab/>
        <w:t xml:space="preserve">See, for example, communication Nos. 1588/2007, </w:t>
      </w:r>
      <w:r w:rsidRPr="009A787A">
        <w:rPr>
          <w:i/>
          <w:iCs/>
        </w:rPr>
        <w:t>Benaziza v. Algeria</w:t>
      </w:r>
      <w:r w:rsidRPr="00F512C7">
        <w:t xml:space="preserve">, Views adopted on </w:t>
      </w:r>
      <w:r w:rsidRPr="009A787A">
        <w:t xml:space="preserve">26 July 2010, para. 9.3, in which the Committee still refers to the Statute in a footnote; and 1863/2009, </w:t>
      </w:r>
      <w:r w:rsidRPr="009A787A">
        <w:rPr>
          <w:i/>
          <w:iCs/>
        </w:rPr>
        <w:t>Maharjan v. Nepal</w:t>
      </w:r>
      <w:r w:rsidRPr="00F512C7">
        <w:t xml:space="preserve">, Views adopted on </w:t>
      </w:r>
      <w:r w:rsidRPr="009A787A">
        <w:t>19 July 2012, para. 3.1, in which only the Convention is referenced.</w:t>
      </w:r>
    </w:p>
  </w:footnote>
  <w:footnote w:id="23">
    <w:p w14:paraId="2C696D69" w14:textId="77777777" w:rsidR="00A37DB6" w:rsidRDefault="00DB6CAB" w:rsidP="00F512C7">
      <w:pPr>
        <w:pStyle w:val="FootnoteText"/>
        <w:keepNext/>
        <w:keepLines/>
        <w:spacing w:after="120"/>
      </w:pPr>
      <w:r w:rsidRPr="009A787A">
        <w:tab/>
      </w:r>
      <w:r w:rsidRPr="009A787A">
        <w:rPr>
          <w:rStyle w:val="FootnoteReference"/>
        </w:rPr>
        <w:footnoteRef/>
      </w:r>
      <w:r w:rsidRPr="009A787A">
        <w:tab/>
        <w:t>See A/HRC/19/58/Rev.1, para. 50</w:t>
      </w:r>
      <w:r w:rsidR="00A37DB6">
        <w:t>:</w:t>
      </w:r>
    </w:p>
    <w:p w14:paraId="63972B76" w14:textId="77777777" w:rsidR="00A37DB6" w:rsidRDefault="00DB6CAB" w:rsidP="00F512C7">
      <w:pPr>
        <w:pStyle w:val="FootnoteText"/>
        <w:spacing w:after="120"/>
        <w:ind w:left="1531" w:firstLine="0"/>
      </w:pPr>
      <w:r w:rsidRPr="009A787A">
        <w:t>The Working Group notes that, regrettably, enforced disappearances continue to be used by some States as a tool to deal with situations of conflict or internal unrest. The Working Group has also witnessed the use of “short term disappearances”, where victims are placed in secret detention or unknown locations, outside the protection of the law, before being released weeks or months later, sometimes after having been tortured and without having been brought in front of a judge or other civil authority. This very worrisome practice, whether it is used to counter terrorism, to fight organized crime or suppress legitimate civil strife demanding democracy, freedom of expression or religion, should be considered as an enforced disappearance and as such adequately investigated, prosecuted and punished.</w:t>
      </w:r>
    </w:p>
    <w:p w14:paraId="396B314C" w14:textId="77777777" w:rsidR="00A37DB6" w:rsidRDefault="00A37DB6" w:rsidP="00F512C7">
      <w:pPr>
        <w:pStyle w:val="FootnoteText"/>
        <w:keepNext/>
        <w:spacing w:after="120"/>
      </w:pPr>
      <w:r>
        <w:tab/>
      </w:r>
      <w:r>
        <w:tab/>
      </w:r>
      <w:r w:rsidR="00DB6CAB" w:rsidRPr="009A787A">
        <w:t>See also, more recently, A/HRC/27/49, para. 117</w:t>
      </w:r>
      <w:r>
        <w:t>:</w:t>
      </w:r>
    </w:p>
    <w:p w14:paraId="604F0BDF" w14:textId="77777777" w:rsidR="00A37DB6" w:rsidRPr="009A787A" w:rsidRDefault="00DB6CAB" w:rsidP="00F512C7">
      <w:pPr>
        <w:pStyle w:val="FootnoteText"/>
        <w:spacing w:after="120"/>
        <w:ind w:left="1531" w:firstLine="0"/>
      </w:pPr>
      <w:r w:rsidRPr="009A787A">
        <w:t>During the reporting period, the Working Group observed a pattern of short-term enforced disappearances being used in a number of countries, including Bahrain and the United Arab Emirates. The Working Group expresses its deep concern at the phenomenon. It stresses that there is no time limit, no matter how short, for an enforced disappearance to occur and that accurate information on the detention of any person deprived of liberty and their place of detention shall be made promptly available to their family members.</w:t>
      </w:r>
    </w:p>
  </w:footnote>
  <w:footnote w:id="24">
    <w:p w14:paraId="53874CFE" w14:textId="77777777" w:rsidR="00DB6CAB" w:rsidRPr="009A787A" w:rsidRDefault="00DB6CAB" w:rsidP="00F512C7">
      <w:pPr>
        <w:pStyle w:val="FootnoteText"/>
      </w:pPr>
      <w:r w:rsidRPr="009A787A">
        <w:tab/>
      </w:r>
      <w:r w:rsidRPr="009A787A">
        <w:rPr>
          <w:rStyle w:val="FootnoteReference"/>
        </w:rPr>
        <w:footnoteRef/>
      </w:r>
      <w:r w:rsidRPr="009A787A">
        <w:tab/>
        <w:t>See A/HRC/19/58/Rev.1, para. 42.</w:t>
      </w:r>
    </w:p>
  </w:footnote>
  <w:footnote w:id="25">
    <w:p w14:paraId="08A18418" w14:textId="77777777" w:rsidR="00DB6CAB" w:rsidRPr="009A787A" w:rsidRDefault="00DB6CAB" w:rsidP="00F512C7">
      <w:pPr>
        <w:pStyle w:val="FootnoteText"/>
      </w:pPr>
      <w:r w:rsidRPr="009A787A">
        <w:tab/>
      </w:r>
      <w:r w:rsidRPr="00F512C7">
        <w:rPr>
          <w:rStyle w:val="FootnoteReference"/>
        </w:rPr>
        <w:footnoteRef/>
      </w:r>
      <w:r w:rsidRPr="009A787A">
        <w:tab/>
        <w:t xml:space="preserve">See </w:t>
      </w:r>
      <w:r w:rsidRPr="00F512C7">
        <w:rPr>
          <w:i/>
          <w:iCs/>
        </w:rPr>
        <w:t>Aboufaied v. Libya</w:t>
      </w:r>
      <w:r w:rsidRPr="00F512C7">
        <w:t xml:space="preserve">, Communication No. 1782/2008, Views adopted on 21 March 2012, </w:t>
      </w:r>
      <w:r w:rsidRPr="009A787A">
        <w:t xml:space="preserve">appendix, </w:t>
      </w:r>
      <w:r w:rsidRPr="009A787A">
        <w:rPr>
          <w:rStyle w:val="Strong"/>
          <w:b w:val="0"/>
          <w:bCs w:val="0"/>
        </w:rPr>
        <w:t>i</w:t>
      </w:r>
      <w:r w:rsidRPr="00F512C7">
        <w:rPr>
          <w:rStyle w:val="Strong"/>
          <w:b w:val="0"/>
          <w:bCs w:val="0"/>
        </w:rPr>
        <w:t xml:space="preserve">ndividual </w:t>
      </w:r>
      <w:r w:rsidRPr="009A787A">
        <w:rPr>
          <w:rStyle w:val="Strong"/>
          <w:b w:val="0"/>
          <w:bCs w:val="0"/>
        </w:rPr>
        <w:t>o</w:t>
      </w:r>
      <w:r w:rsidRPr="00F512C7">
        <w:rPr>
          <w:rStyle w:val="Strong"/>
          <w:b w:val="0"/>
          <w:bCs w:val="0"/>
        </w:rPr>
        <w:t>pinion of</w:t>
      </w:r>
      <w:r w:rsidRPr="009A787A">
        <w:rPr>
          <w:rStyle w:val="Strong"/>
          <w:b w:val="0"/>
          <w:bCs w:val="0"/>
        </w:rPr>
        <w:t xml:space="preserve"> </w:t>
      </w:r>
      <w:r w:rsidRPr="00F512C7">
        <w:rPr>
          <w:rStyle w:val="Strong"/>
          <w:b w:val="0"/>
          <w:bCs w:val="0"/>
        </w:rPr>
        <w:t>Committee member Walter Kälin.</w:t>
      </w:r>
    </w:p>
  </w:footnote>
  <w:footnote w:id="26">
    <w:p w14:paraId="37553BB3" w14:textId="77777777" w:rsidR="00DB6CAB" w:rsidRPr="00F512C7" w:rsidRDefault="00DB6CAB" w:rsidP="00F512C7">
      <w:pPr>
        <w:pStyle w:val="FootnoteText"/>
      </w:pPr>
      <w:r w:rsidRPr="009E0EB0">
        <w:tab/>
      </w:r>
      <w:r w:rsidRPr="00F512C7">
        <w:rPr>
          <w:rStyle w:val="FootnoteReference"/>
        </w:rPr>
        <w:footnoteRef/>
      </w:r>
      <w:r w:rsidRPr="004909C1">
        <w:tab/>
      </w:r>
      <w:r w:rsidRPr="00F512C7">
        <w:t xml:space="preserve">See </w:t>
      </w:r>
      <w:r w:rsidR="00C83CF4" w:rsidRPr="00A34E90">
        <w:rPr>
          <w:lang w:eastAsia="en-US"/>
        </w:rPr>
        <w:t xml:space="preserve">communication No. 1327/2004, </w:t>
      </w:r>
      <w:r w:rsidRPr="00F512C7">
        <w:rPr>
          <w:i/>
          <w:iCs/>
          <w:lang w:eastAsia="en-US"/>
        </w:rPr>
        <w:t>Grioua v. Algeria</w:t>
      </w:r>
      <w:r w:rsidRPr="00F512C7">
        <w:rPr>
          <w:lang w:eastAsia="en-US"/>
        </w:rPr>
        <w:t xml:space="preserve">, </w:t>
      </w:r>
      <w:r w:rsidR="003C28D4" w:rsidRPr="00577F9A">
        <w:t>Views adopted on</w:t>
      </w:r>
      <w:r w:rsidR="003C28D4" w:rsidRPr="00577F9A">
        <w:rPr>
          <w:i/>
          <w:iCs/>
        </w:rPr>
        <w:t xml:space="preserve"> </w:t>
      </w:r>
      <w:r w:rsidR="003C28D4" w:rsidRPr="009A787A">
        <w:t xml:space="preserve">10 July 2007, </w:t>
      </w:r>
      <w:r w:rsidRPr="00F512C7">
        <w:rPr>
          <w:lang w:eastAsia="en-US"/>
        </w:rPr>
        <w:t>para. 7.8.</w:t>
      </w:r>
    </w:p>
  </w:footnote>
  <w:footnote w:id="27">
    <w:p w14:paraId="5BE01798" w14:textId="77777777" w:rsidR="00DB6CAB" w:rsidRPr="00F512C7" w:rsidRDefault="00DB6CAB" w:rsidP="00F512C7">
      <w:pPr>
        <w:pStyle w:val="FootnoteText"/>
      </w:pPr>
      <w:r w:rsidRPr="00A37DB6">
        <w:tab/>
      </w:r>
      <w:r w:rsidRPr="00F512C7">
        <w:rPr>
          <w:rStyle w:val="FootnoteReference"/>
        </w:rPr>
        <w:footnoteRef/>
      </w:r>
      <w:r w:rsidRPr="009A787A">
        <w:tab/>
      </w:r>
      <w:r w:rsidRPr="00F512C7">
        <w:t xml:space="preserve">See, for example, communication Nos. 1640/2007, </w:t>
      </w:r>
      <w:r w:rsidRPr="00F512C7">
        <w:rPr>
          <w:i/>
          <w:iCs/>
        </w:rPr>
        <w:t>El Abani v. Libyan Arab Jamahiriya</w:t>
      </w:r>
      <w:r w:rsidRPr="00F512C7">
        <w:t xml:space="preserve">, Views adopted on 26 July 2010, para 7.9; 1751/2008, </w:t>
      </w:r>
      <w:r w:rsidRPr="00F512C7">
        <w:rPr>
          <w:i/>
          <w:iCs/>
        </w:rPr>
        <w:t>Aboussedra v. Libyan Arab Jamahiriya</w:t>
      </w:r>
      <w:r w:rsidRPr="00F512C7">
        <w:t xml:space="preserve">, para. 7.9; and </w:t>
      </w:r>
      <w:r w:rsidRPr="00A37DB6">
        <w:t xml:space="preserve">1495/2006, </w:t>
      </w:r>
      <w:r w:rsidRPr="00F512C7">
        <w:rPr>
          <w:i/>
          <w:iCs/>
        </w:rPr>
        <w:t>Madoui v. Algeria</w:t>
      </w:r>
      <w:r w:rsidRPr="00F512C7">
        <w:t>, Views adopted on 28 October 2008, para. 7.7.</w:t>
      </w:r>
    </w:p>
  </w:footnote>
  <w:footnote w:id="28">
    <w:p w14:paraId="3EF60CB1" w14:textId="77777777" w:rsidR="00DB6CAB" w:rsidRPr="009A787A" w:rsidRDefault="00DB6CAB">
      <w:pPr>
        <w:pStyle w:val="FootnoteText"/>
      </w:pPr>
      <w:r w:rsidRPr="009A787A">
        <w:tab/>
      </w:r>
      <w:r w:rsidRPr="009A787A">
        <w:rPr>
          <w:rStyle w:val="FootnoteReference"/>
        </w:rPr>
        <w:footnoteRef/>
      </w:r>
      <w:r w:rsidRPr="009A787A">
        <w:tab/>
        <w:t xml:space="preserve">See communication No. 2022/2011, </w:t>
      </w:r>
      <w:r w:rsidRPr="00F512C7">
        <w:rPr>
          <w:i/>
          <w:iCs/>
        </w:rPr>
        <w:t>Hamulić v. Bosnia and Herzegovina</w:t>
      </w:r>
      <w:r w:rsidRPr="00F512C7">
        <w:t xml:space="preserve">, </w:t>
      </w:r>
      <w:r w:rsidRPr="009A787A">
        <w:t xml:space="preserve">Views adopted on 30 March 2015, </w:t>
      </w:r>
      <w:r w:rsidRPr="00F512C7">
        <w:t xml:space="preserve">appendix I, </w:t>
      </w:r>
      <w:r w:rsidRPr="009A787A">
        <w:t>i</w:t>
      </w:r>
      <w:r w:rsidRPr="00F512C7">
        <w:t xml:space="preserve">ndividual </w:t>
      </w:r>
      <w:r w:rsidRPr="009A787A">
        <w:t>o</w:t>
      </w:r>
      <w:r w:rsidRPr="00F512C7">
        <w:t>pinion by Committee member A</w:t>
      </w:r>
      <w:r w:rsidRPr="009A787A">
        <w:t>nja</w:t>
      </w:r>
      <w:r w:rsidRPr="00F512C7">
        <w:t xml:space="preserve"> Seibert-Fohr, para. 5.</w:t>
      </w:r>
    </w:p>
  </w:footnote>
  <w:footnote w:id="29">
    <w:p w14:paraId="0051C06A" w14:textId="77777777" w:rsidR="00DB6CAB" w:rsidRPr="00F512C7" w:rsidRDefault="00DB6CAB">
      <w:pPr>
        <w:pStyle w:val="FootnoteText"/>
      </w:pPr>
      <w:r w:rsidRPr="009A787A">
        <w:tab/>
      </w:r>
      <w:r w:rsidRPr="00F512C7">
        <w:rPr>
          <w:rStyle w:val="FootnoteReference"/>
        </w:rPr>
        <w:footnoteRef/>
      </w:r>
      <w:r w:rsidRPr="009A787A">
        <w:tab/>
      </w:r>
      <w:r w:rsidRPr="00F512C7">
        <w:t>Article 16 of the Covenant is an autonomous human right guarantee. The notion “recognition as a person before the law” differs from the wording in the International Convention for the Protection of All Persons from Enforced Disappearance. Accordingly</w:t>
      </w:r>
      <w:r w:rsidRPr="009A787A">
        <w:t>,</w:t>
      </w:r>
      <w:r w:rsidRPr="00F512C7">
        <w:t xml:space="preserve"> its interpretation is informed </w:t>
      </w:r>
      <w:r w:rsidRPr="009A787A">
        <w:t xml:space="preserve">neither </w:t>
      </w:r>
      <w:r w:rsidRPr="00F512C7">
        <w:t xml:space="preserve">by this Convention nor by </w:t>
      </w:r>
      <w:r w:rsidRPr="009A787A">
        <w:rPr>
          <w:rStyle w:val="Strong"/>
          <w:b w:val="0"/>
          <w:bCs w:val="0"/>
        </w:rPr>
        <w:t xml:space="preserve">article </w:t>
      </w:r>
      <w:r w:rsidRPr="00F512C7">
        <w:rPr>
          <w:rStyle w:val="Strong"/>
          <w:b w:val="0"/>
          <w:bCs w:val="0"/>
        </w:rPr>
        <w:t xml:space="preserve">7 </w:t>
      </w:r>
      <w:r w:rsidRPr="009A787A">
        <w:rPr>
          <w:rStyle w:val="Strong"/>
          <w:b w:val="0"/>
          <w:bCs w:val="0"/>
        </w:rPr>
        <w:t>(</w:t>
      </w:r>
      <w:r w:rsidRPr="00F512C7">
        <w:rPr>
          <w:rStyle w:val="Strong"/>
          <w:b w:val="0"/>
          <w:bCs w:val="0"/>
        </w:rPr>
        <w:t>2</w:t>
      </w:r>
      <w:r w:rsidRPr="009A787A">
        <w:rPr>
          <w:rStyle w:val="Strong"/>
          <w:b w:val="0"/>
          <w:bCs w:val="0"/>
        </w:rPr>
        <w:t>)</w:t>
      </w:r>
      <w:r w:rsidRPr="00F512C7">
        <w:rPr>
          <w:rStyle w:val="Strong"/>
          <w:b w:val="0"/>
          <w:bCs w:val="0"/>
        </w:rPr>
        <w:t xml:space="preserve"> (i) of </w:t>
      </w:r>
      <w:r w:rsidRPr="00F512C7">
        <w:t xml:space="preserve">the Rome Statute </w:t>
      </w:r>
      <w:r w:rsidRPr="00F512C7">
        <w:rPr>
          <w:rStyle w:val="Strong"/>
          <w:b w:val="0"/>
          <w:bCs w:val="0"/>
        </w:rPr>
        <w:t>of the International Criminal Court</w:t>
      </w:r>
      <w:r w:rsidRPr="00F512C7">
        <w:t>.</w:t>
      </w:r>
    </w:p>
  </w:footnote>
  <w:footnote w:id="30">
    <w:p w14:paraId="5B4F5B61" w14:textId="77777777" w:rsidR="00DB6CAB" w:rsidRPr="00F512C7" w:rsidRDefault="00DB6CAB" w:rsidP="00F512C7">
      <w:pPr>
        <w:pStyle w:val="FootnoteText"/>
      </w:pPr>
      <w:r w:rsidRPr="009A787A">
        <w:tab/>
      </w:r>
      <w:r w:rsidRPr="00F512C7">
        <w:rPr>
          <w:rStyle w:val="FootnoteReference"/>
        </w:rPr>
        <w:footnoteRef/>
      </w:r>
      <w:r w:rsidRPr="009A787A">
        <w:tab/>
        <w:t xml:space="preserve">See </w:t>
      </w:r>
      <w:r w:rsidRPr="00F512C7">
        <w:rPr>
          <w:i/>
          <w:iCs/>
        </w:rPr>
        <w:t>Hamulić v. Bosnia and Herzegovina</w:t>
      </w:r>
      <w:r w:rsidRPr="00F512C7">
        <w:t xml:space="preserve">, </w:t>
      </w:r>
      <w:r w:rsidRPr="009A787A">
        <w:t>i</w:t>
      </w:r>
      <w:r w:rsidRPr="00F512C7">
        <w:t xml:space="preserve">ndividual </w:t>
      </w:r>
      <w:r w:rsidRPr="009A787A">
        <w:t>o</w:t>
      </w:r>
      <w:r w:rsidRPr="00F512C7">
        <w:t>pinion by Committee member A</w:t>
      </w:r>
      <w:r w:rsidRPr="009A787A">
        <w:t>nja</w:t>
      </w:r>
      <w:r w:rsidRPr="00F512C7">
        <w:t xml:space="preserve"> Seibert-Fohr, para</w:t>
      </w:r>
      <w:r w:rsidRPr="009A787A">
        <w:t>.</w:t>
      </w:r>
      <w:r w:rsidRPr="00F512C7">
        <w:t xml:space="preserve"> 7.</w:t>
      </w:r>
    </w:p>
  </w:footnote>
  <w:footnote w:id="31">
    <w:p w14:paraId="0E716CE9" w14:textId="77777777" w:rsidR="00DB6CAB" w:rsidRPr="00586474" w:rsidRDefault="00DB6CAB">
      <w:pPr>
        <w:pStyle w:val="FootnoteText"/>
      </w:pPr>
      <w:r w:rsidRPr="009A787A">
        <w:tab/>
      </w:r>
      <w:r w:rsidRPr="00F512C7">
        <w:rPr>
          <w:rStyle w:val="FootnoteReference"/>
        </w:rPr>
        <w:footnoteRef/>
      </w:r>
      <w:r w:rsidRPr="009A787A">
        <w:tab/>
      </w:r>
      <w:r w:rsidRPr="00F512C7">
        <w:t>The Committee found a violation of article 16 under its established jurisprudence</w:t>
      </w:r>
      <w:r w:rsidRPr="009A787A">
        <w:t>,</w:t>
      </w:r>
      <w:r w:rsidRPr="00F512C7">
        <w:t xml:space="preserve"> e.g. in</w:t>
      </w:r>
      <w:r w:rsidRPr="009A787A">
        <w:t xml:space="preserve"> Views of the Committee on communication No. 2000/2010,</w:t>
      </w:r>
      <w:r w:rsidRPr="00F512C7">
        <w:t xml:space="preserve"> </w:t>
      </w:r>
      <w:r w:rsidRPr="00F512C7">
        <w:rPr>
          <w:i/>
          <w:iCs/>
        </w:rPr>
        <w:t>Katwal v.</w:t>
      </w:r>
      <w:r w:rsidRPr="009A787A">
        <w:rPr>
          <w:i/>
          <w:iCs/>
        </w:rPr>
        <w:t> </w:t>
      </w:r>
      <w:r w:rsidRPr="00F512C7">
        <w:rPr>
          <w:i/>
          <w:iCs/>
        </w:rPr>
        <w:t>Nepal</w:t>
      </w:r>
      <w:r w:rsidRPr="00F512C7">
        <w:t xml:space="preserve">, </w:t>
      </w:r>
      <w:r w:rsidRPr="009A787A">
        <w:t xml:space="preserve">adopted on 1 April 2015, </w:t>
      </w:r>
      <w:r w:rsidRPr="00F512C7">
        <w:t>para</w:t>
      </w:r>
      <w:r w:rsidRPr="009A787A">
        <w:t>.</w:t>
      </w:r>
      <w:r w:rsidRPr="00F512C7">
        <w:t xml:space="preserve">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1932" w14:textId="77777777" w:rsidR="00DB6CAB" w:rsidRPr="00671617" w:rsidRDefault="00DB6CAB">
    <w:pPr>
      <w:pStyle w:val="Header"/>
    </w:pPr>
    <w:r>
      <w:t>CCPR/C/114/D/2038/2011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87AA" w14:textId="77777777" w:rsidR="00DB6CAB" w:rsidRPr="00671617" w:rsidRDefault="00DB6CAB" w:rsidP="00671617">
    <w:pPr>
      <w:pStyle w:val="Header"/>
      <w:jc w:val="right"/>
    </w:pPr>
    <w:r>
      <w:t>CCPR/C/114/D/2038/2011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C36E2"/>
    <w:multiLevelType w:val="hybridMultilevel"/>
    <w:tmpl w:val="DC8A48C8"/>
    <w:lvl w:ilvl="0" w:tplc="31226DE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17"/>
    <w:rsid w:val="00006D09"/>
    <w:rsid w:val="000272B3"/>
    <w:rsid w:val="00050F6B"/>
    <w:rsid w:val="00057E97"/>
    <w:rsid w:val="00060C3A"/>
    <w:rsid w:val="00072C8C"/>
    <w:rsid w:val="000733B5"/>
    <w:rsid w:val="00081815"/>
    <w:rsid w:val="000931C0"/>
    <w:rsid w:val="000A414E"/>
    <w:rsid w:val="000B0BEA"/>
    <w:rsid w:val="000B175B"/>
    <w:rsid w:val="000B3A0F"/>
    <w:rsid w:val="000B4EF7"/>
    <w:rsid w:val="000B6319"/>
    <w:rsid w:val="000C2C03"/>
    <w:rsid w:val="000C2D2E"/>
    <w:rsid w:val="000C7824"/>
    <w:rsid w:val="000D3576"/>
    <w:rsid w:val="000E0415"/>
    <w:rsid w:val="000E2F5D"/>
    <w:rsid w:val="000E4A55"/>
    <w:rsid w:val="000F1849"/>
    <w:rsid w:val="000F52EC"/>
    <w:rsid w:val="001049AF"/>
    <w:rsid w:val="001074C8"/>
    <w:rsid w:val="001103AA"/>
    <w:rsid w:val="0012516E"/>
    <w:rsid w:val="00125DE1"/>
    <w:rsid w:val="00143273"/>
    <w:rsid w:val="00143551"/>
    <w:rsid w:val="0015020B"/>
    <w:rsid w:val="00151E31"/>
    <w:rsid w:val="00160916"/>
    <w:rsid w:val="00165F3A"/>
    <w:rsid w:val="00167CAD"/>
    <w:rsid w:val="00177853"/>
    <w:rsid w:val="00183968"/>
    <w:rsid w:val="001A4222"/>
    <w:rsid w:val="001A5C80"/>
    <w:rsid w:val="001A6686"/>
    <w:rsid w:val="001B4B04"/>
    <w:rsid w:val="001C1964"/>
    <w:rsid w:val="001C6663"/>
    <w:rsid w:val="001C7895"/>
    <w:rsid w:val="001D053F"/>
    <w:rsid w:val="001D0C8C"/>
    <w:rsid w:val="001D26DF"/>
    <w:rsid w:val="001D3A03"/>
    <w:rsid w:val="001E406E"/>
    <w:rsid w:val="00200DB5"/>
    <w:rsid w:val="00202DA8"/>
    <w:rsid w:val="00205DBA"/>
    <w:rsid w:val="002075B5"/>
    <w:rsid w:val="00207BA5"/>
    <w:rsid w:val="00211E0B"/>
    <w:rsid w:val="00214799"/>
    <w:rsid w:val="00230875"/>
    <w:rsid w:val="0023210C"/>
    <w:rsid w:val="002611FE"/>
    <w:rsid w:val="00267F5F"/>
    <w:rsid w:val="002716C6"/>
    <w:rsid w:val="00282E09"/>
    <w:rsid w:val="00286B4D"/>
    <w:rsid w:val="00293C4D"/>
    <w:rsid w:val="002B2FBE"/>
    <w:rsid w:val="002C5802"/>
    <w:rsid w:val="002C5DF4"/>
    <w:rsid w:val="002D4841"/>
    <w:rsid w:val="002D5D95"/>
    <w:rsid w:val="002E2157"/>
    <w:rsid w:val="002F175C"/>
    <w:rsid w:val="00302200"/>
    <w:rsid w:val="00317F73"/>
    <w:rsid w:val="003229D8"/>
    <w:rsid w:val="0033144D"/>
    <w:rsid w:val="0035011D"/>
    <w:rsid w:val="0035150F"/>
    <w:rsid w:val="00352709"/>
    <w:rsid w:val="0036177C"/>
    <w:rsid w:val="00362ABF"/>
    <w:rsid w:val="00363B41"/>
    <w:rsid w:val="00367567"/>
    <w:rsid w:val="00371178"/>
    <w:rsid w:val="003779FD"/>
    <w:rsid w:val="00382C93"/>
    <w:rsid w:val="0038336C"/>
    <w:rsid w:val="003845CC"/>
    <w:rsid w:val="00387E18"/>
    <w:rsid w:val="003A5D9C"/>
    <w:rsid w:val="003A6810"/>
    <w:rsid w:val="003B181C"/>
    <w:rsid w:val="003B62BC"/>
    <w:rsid w:val="003B6E5F"/>
    <w:rsid w:val="003C28D4"/>
    <w:rsid w:val="003C2CC4"/>
    <w:rsid w:val="003D174E"/>
    <w:rsid w:val="003D1914"/>
    <w:rsid w:val="003D4B23"/>
    <w:rsid w:val="003F20B0"/>
    <w:rsid w:val="00405F61"/>
    <w:rsid w:val="00407D57"/>
    <w:rsid w:val="00410007"/>
    <w:rsid w:val="00410C89"/>
    <w:rsid w:val="00425831"/>
    <w:rsid w:val="00426B9B"/>
    <w:rsid w:val="004300B4"/>
    <w:rsid w:val="004325CB"/>
    <w:rsid w:val="00436B33"/>
    <w:rsid w:val="00442A83"/>
    <w:rsid w:val="0045495B"/>
    <w:rsid w:val="004650D1"/>
    <w:rsid w:val="00487488"/>
    <w:rsid w:val="004909C1"/>
    <w:rsid w:val="004B2038"/>
    <w:rsid w:val="004D3517"/>
    <w:rsid w:val="004E7642"/>
    <w:rsid w:val="004F407E"/>
    <w:rsid w:val="004F5483"/>
    <w:rsid w:val="00502A51"/>
    <w:rsid w:val="00505C91"/>
    <w:rsid w:val="0052136D"/>
    <w:rsid w:val="0052775E"/>
    <w:rsid w:val="005420F2"/>
    <w:rsid w:val="005617AE"/>
    <w:rsid w:val="005628B6"/>
    <w:rsid w:val="005679A4"/>
    <w:rsid w:val="00571DEE"/>
    <w:rsid w:val="005720B0"/>
    <w:rsid w:val="005848B3"/>
    <w:rsid w:val="00590F87"/>
    <w:rsid w:val="00592C4A"/>
    <w:rsid w:val="00594AB1"/>
    <w:rsid w:val="005A2D9E"/>
    <w:rsid w:val="005B3DB3"/>
    <w:rsid w:val="005C4835"/>
    <w:rsid w:val="005C59AE"/>
    <w:rsid w:val="005D551A"/>
    <w:rsid w:val="005E6047"/>
    <w:rsid w:val="005E670D"/>
    <w:rsid w:val="005F7717"/>
    <w:rsid w:val="005F7B75"/>
    <w:rsid w:val="006001EE"/>
    <w:rsid w:val="0060213E"/>
    <w:rsid w:val="00605042"/>
    <w:rsid w:val="006053E6"/>
    <w:rsid w:val="00611FC4"/>
    <w:rsid w:val="006175E2"/>
    <w:rsid w:val="006176FB"/>
    <w:rsid w:val="006211F9"/>
    <w:rsid w:val="00640B26"/>
    <w:rsid w:val="0064636D"/>
    <w:rsid w:val="00652D0A"/>
    <w:rsid w:val="00662BB6"/>
    <w:rsid w:val="00671617"/>
    <w:rsid w:val="0067184A"/>
    <w:rsid w:val="00681343"/>
    <w:rsid w:val="00684C21"/>
    <w:rsid w:val="00694B82"/>
    <w:rsid w:val="006A6BFB"/>
    <w:rsid w:val="006B7096"/>
    <w:rsid w:val="006B7630"/>
    <w:rsid w:val="006D37AF"/>
    <w:rsid w:val="006D51D0"/>
    <w:rsid w:val="006E31E1"/>
    <w:rsid w:val="006E564B"/>
    <w:rsid w:val="006E7191"/>
    <w:rsid w:val="007007A0"/>
    <w:rsid w:val="00703577"/>
    <w:rsid w:val="0072632A"/>
    <w:rsid w:val="007327D5"/>
    <w:rsid w:val="007438B9"/>
    <w:rsid w:val="00745D5C"/>
    <w:rsid w:val="007629C8"/>
    <w:rsid w:val="00775EE1"/>
    <w:rsid w:val="007878A6"/>
    <w:rsid w:val="007920FA"/>
    <w:rsid w:val="0079673D"/>
    <w:rsid w:val="007A27B7"/>
    <w:rsid w:val="007B6BA5"/>
    <w:rsid w:val="007C28AD"/>
    <w:rsid w:val="007C3390"/>
    <w:rsid w:val="007C4F4B"/>
    <w:rsid w:val="007C784F"/>
    <w:rsid w:val="007E0B2D"/>
    <w:rsid w:val="007E355E"/>
    <w:rsid w:val="007F6611"/>
    <w:rsid w:val="00805B71"/>
    <w:rsid w:val="00806D1F"/>
    <w:rsid w:val="008105B8"/>
    <w:rsid w:val="00815E94"/>
    <w:rsid w:val="00823B0B"/>
    <w:rsid w:val="008242D7"/>
    <w:rsid w:val="008257B1"/>
    <w:rsid w:val="008258D2"/>
    <w:rsid w:val="00843767"/>
    <w:rsid w:val="0084767E"/>
    <w:rsid w:val="008570BA"/>
    <w:rsid w:val="0086013A"/>
    <w:rsid w:val="00863CED"/>
    <w:rsid w:val="008666EF"/>
    <w:rsid w:val="008679D9"/>
    <w:rsid w:val="00871651"/>
    <w:rsid w:val="0087302A"/>
    <w:rsid w:val="008979B1"/>
    <w:rsid w:val="008A1DB2"/>
    <w:rsid w:val="008A6B25"/>
    <w:rsid w:val="008A6C4F"/>
    <w:rsid w:val="008B2335"/>
    <w:rsid w:val="008D09A7"/>
    <w:rsid w:val="008E0678"/>
    <w:rsid w:val="008E57A2"/>
    <w:rsid w:val="008F5192"/>
    <w:rsid w:val="00910F40"/>
    <w:rsid w:val="00912112"/>
    <w:rsid w:val="00912C08"/>
    <w:rsid w:val="00915B9A"/>
    <w:rsid w:val="009223CA"/>
    <w:rsid w:val="009250ED"/>
    <w:rsid w:val="00940F93"/>
    <w:rsid w:val="0094128A"/>
    <w:rsid w:val="00942D3D"/>
    <w:rsid w:val="0095347F"/>
    <w:rsid w:val="0097148C"/>
    <w:rsid w:val="009760F3"/>
    <w:rsid w:val="00977E39"/>
    <w:rsid w:val="00982792"/>
    <w:rsid w:val="009876CD"/>
    <w:rsid w:val="009909F5"/>
    <w:rsid w:val="009A0E8D"/>
    <w:rsid w:val="009A1C82"/>
    <w:rsid w:val="009A787A"/>
    <w:rsid w:val="009B26E7"/>
    <w:rsid w:val="009D3223"/>
    <w:rsid w:val="009E0EB0"/>
    <w:rsid w:val="00A00A3F"/>
    <w:rsid w:val="00A01489"/>
    <w:rsid w:val="00A01712"/>
    <w:rsid w:val="00A17872"/>
    <w:rsid w:val="00A338F1"/>
    <w:rsid w:val="00A37DB6"/>
    <w:rsid w:val="00A41EBC"/>
    <w:rsid w:val="00A44615"/>
    <w:rsid w:val="00A536E5"/>
    <w:rsid w:val="00A72F22"/>
    <w:rsid w:val="00A7360F"/>
    <w:rsid w:val="00A748A6"/>
    <w:rsid w:val="00A769F4"/>
    <w:rsid w:val="00A771B1"/>
    <w:rsid w:val="00A776B4"/>
    <w:rsid w:val="00A817B8"/>
    <w:rsid w:val="00A910F4"/>
    <w:rsid w:val="00A94361"/>
    <w:rsid w:val="00A94661"/>
    <w:rsid w:val="00AA293C"/>
    <w:rsid w:val="00AB574E"/>
    <w:rsid w:val="00AC2E87"/>
    <w:rsid w:val="00AD2DF1"/>
    <w:rsid w:val="00AF2943"/>
    <w:rsid w:val="00B129EC"/>
    <w:rsid w:val="00B13E9B"/>
    <w:rsid w:val="00B30179"/>
    <w:rsid w:val="00B339A7"/>
    <w:rsid w:val="00B35622"/>
    <w:rsid w:val="00B56E4A"/>
    <w:rsid w:val="00B56E9C"/>
    <w:rsid w:val="00B64B1F"/>
    <w:rsid w:val="00B64C4E"/>
    <w:rsid w:val="00B6553F"/>
    <w:rsid w:val="00B66E5E"/>
    <w:rsid w:val="00B70DF9"/>
    <w:rsid w:val="00B77D05"/>
    <w:rsid w:val="00B81206"/>
    <w:rsid w:val="00B81E12"/>
    <w:rsid w:val="00B8273D"/>
    <w:rsid w:val="00B9067B"/>
    <w:rsid w:val="00B95D7E"/>
    <w:rsid w:val="00BB0D85"/>
    <w:rsid w:val="00BC2C23"/>
    <w:rsid w:val="00BC74E9"/>
    <w:rsid w:val="00BD7C5A"/>
    <w:rsid w:val="00BE5B91"/>
    <w:rsid w:val="00BF3843"/>
    <w:rsid w:val="00BF68A8"/>
    <w:rsid w:val="00C11A03"/>
    <w:rsid w:val="00C463DD"/>
    <w:rsid w:val="00C464A0"/>
    <w:rsid w:val="00C4724C"/>
    <w:rsid w:val="00C629A0"/>
    <w:rsid w:val="00C66284"/>
    <w:rsid w:val="00C745C3"/>
    <w:rsid w:val="00C83CF4"/>
    <w:rsid w:val="00C91A52"/>
    <w:rsid w:val="00C91B85"/>
    <w:rsid w:val="00C95AD9"/>
    <w:rsid w:val="00CD6F4F"/>
    <w:rsid w:val="00CE4A8F"/>
    <w:rsid w:val="00CF544B"/>
    <w:rsid w:val="00D00184"/>
    <w:rsid w:val="00D148F5"/>
    <w:rsid w:val="00D2031B"/>
    <w:rsid w:val="00D25FE2"/>
    <w:rsid w:val="00D43252"/>
    <w:rsid w:val="00D470BE"/>
    <w:rsid w:val="00D47EEA"/>
    <w:rsid w:val="00D624C6"/>
    <w:rsid w:val="00D6686A"/>
    <w:rsid w:val="00D95303"/>
    <w:rsid w:val="00D95364"/>
    <w:rsid w:val="00D978C6"/>
    <w:rsid w:val="00DA3111"/>
    <w:rsid w:val="00DA3C1C"/>
    <w:rsid w:val="00DA7A52"/>
    <w:rsid w:val="00DB0C79"/>
    <w:rsid w:val="00DB6CAB"/>
    <w:rsid w:val="00DC4485"/>
    <w:rsid w:val="00DD34C9"/>
    <w:rsid w:val="00E00427"/>
    <w:rsid w:val="00E012CD"/>
    <w:rsid w:val="00E14B05"/>
    <w:rsid w:val="00E22829"/>
    <w:rsid w:val="00E27346"/>
    <w:rsid w:val="00E36FCA"/>
    <w:rsid w:val="00E502A7"/>
    <w:rsid w:val="00E563D1"/>
    <w:rsid w:val="00E71BC8"/>
    <w:rsid w:val="00E7260F"/>
    <w:rsid w:val="00E74907"/>
    <w:rsid w:val="00E779FC"/>
    <w:rsid w:val="00E96630"/>
    <w:rsid w:val="00EB2581"/>
    <w:rsid w:val="00EC1177"/>
    <w:rsid w:val="00EC4E58"/>
    <w:rsid w:val="00EC53B8"/>
    <w:rsid w:val="00ED7A2A"/>
    <w:rsid w:val="00EF0F33"/>
    <w:rsid w:val="00EF1D7F"/>
    <w:rsid w:val="00F00C88"/>
    <w:rsid w:val="00F164DA"/>
    <w:rsid w:val="00F20C3D"/>
    <w:rsid w:val="00F43E9E"/>
    <w:rsid w:val="00F512C7"/>
    <w:rsid w:val="00F55027"/>
    <w:rsid w:val="00F65B54"/>
    <w:rsid w:val="00F7148C"/>
    <w:rsid w:val="00F760A1"/>
    <w:rsid w:val="00F9057C"/>
    <w:rsid w:val="00F906D7"/>
    <w:rsid w:val="00F92D75"/>
    <w:rsid w:val="00F93781"/>
    <w:rsid w:val="00FB613B"/>
    <w:rsid w:val="00FC68B7"/>
    <w:rsid w:val="00FD6B97"/>
    <w:rsid w:val="00FE106A"/>
    <w:rsid w:val="00FF174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E303"/>
  <w15:docId w15:val="{706BF108-E7D7-4302-8FD8-59FDAC0E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91"/>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E215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E215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71617"/>
    <w:rPr>
      <w:rFonts w:eastAsia="SimSun"/>
      <w:sz w:val="18"/>
      <w:lang w:val="en-US" w:eastAsia="zh-CN"/>
    </w:rPr>
  </w:style>
  <w:style w:type="character" w:customStyle="1" w:styleId="SingleTxtGChar">
    <w:name w:val="_ Single Txt_G Char"/>
    <w:link w:val="SingleTxtG"/>
    <w:rsid w:val="00671617"/>
    <w:rPr>
      <w:lang w:eastAsia="en-US"/>
    </w:rPr>
  </w:style>
  <w:style w:type="paragraph" w:styleId="BalloonText">
    <w:name w:val="Balloon Text"/>
    <w:basedOn w:val="Normal"/>
    <w:link w:val="BalloonTextChar"/>
    <w:rsid w:val="00A771B1"/>
    <w:pPr>
      <w:spacing w:line="240" w:lineRule="auto"/>
    </w:pPr>
    <w:rPr>
      <w:rFonts w:ascii="Tahoma" w:hAnsi="Tahoma" w:cs="Tahoma"/>
      <w:sz w:val="16"/>
      <w:szCs w:val="16"/>
    </w:rPr>
  </w:style>
  <w:style w:type="character" w:customStyle="1" w:styleId="BalloonTextChar">
    <w:name w:val="Balloon Text Char"/>
    <w:link w:val="BalloonText"/>
    <w:rsid w:val="00A771B1"/>
    <w:rPr>
      <w:rFonts w:ascii="Tahoma" w:hAnsi="Tahoma" w:cs="Tahoma"/>
      <w:sz w:val="16"/>
      <w:szCs w:val="16"/>
      <w:lang w:eastAsia="en-US"/>
    </w:rPr>
  </w:style>
  <w:style w:type="character" w:styleId="CommentReference">
    <w:name w:val="annotation reference"/>
    <w:rsid w:val="00C95AD9"/>
    <w:rPr>
      <w:sz w:val="16"/>
      <w:szCs w:val="16"/>
    </w:rPr>
  </w:style>
  <w:style w:type="paragraph" w:styleId="CommentText">
    <w:name w:val="annotation text"/>
    <w:basedOn w:val="Normal"/>
    <w:link w:val="CommentTextChar"/>
    <w:rsid w:val="00C95AD9"/>
  </w:style>
  <w:style w:type="character" w:customStyle="1" w:styleId="CommentTextChar">
    <w:name w:val="Comment Text Char"/>
    <w:link w:val="CommentText"/>
    <w:rsid w:val="00C95AD9"/>
    <w:rPr>
      <w:lang w:eastAsia="en-US"/>
    </w:rPr>
  </w:style>
  <w:style w:type="paragraph" w:styleId="CommentSubject">
    <w:name w:val="annotation subject"/>
    <w:basedOn w:val="CommentText"/>
    <w:next w:val="CommentText"/>
    <w:link w:val="CommentSubjectChar"/>
    <w:rsid w:val="00C95AD9"/>
    <w:rPr>
      <w:b/>
      <w:bCs/>
    </w:rPr>
  </w:style>
  <w:style w:type="character" w:customStyle="1" w:styleId="CommentSubjectChar">
    <w:name w:val="Comment Subject Char"/>
    <w:link w:val="CommentSubject"/>
    <w:rsid w:val="00C95AD9"/>
    <w:rPr>
      <w:b/>
      <w:bCs/>
      <w:lang w:eastAsia="en-US"/>
    </w:rPr>
  </w:style>
  <w:style w:type="character" w:styleId="Strong">
    <w:name w:val="Strong"/>
    <w:qFormat/>
    <w:rsid w:val="00BE5B91"/>
    <w:rPr>
      <w:b/>
      <w:bCs/>
    </w:rPr>
  </w:style>
  <w:style w:type="paragraph" w:styleId="Revision">
    <w:name w:val="Revision"/>
    <w:hidden/>
    <w:uiPriority w:val="99"/>
    <w:semiHidden/>
    <w:rsid w:val="003314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5987">
      <w:bodyDiv w:val="1"/>
      <w:marLeft w:val="0"/>
      <w:marRight w:val="0"/>
      <w:marTop w:val="0"/>
      <w:marBottom w:val="0"/>
      <w:divBdr>
        <w:top w:val="none" w:sz="0" w:space="0" w:color="auto"/>
        <w:left w:val="none" w:sz="0" w:space="0" w:color="auto"/>
        <w:bottom w:val="none" w:sz="0" w:space="0" w:color="auto"/>
        <w:right w:val="none" w:sz="0" w:space="0" w:color="auto"/>
      </w:divBdr>
    </w:div>
    <w:div w:id="1471634444">
      <w:bodyDiv w:val="1"/>
      <w:marLeft w:val="0"/>
      <w:marRight w:val="0"/>
      <w:marTop w:val="0"/>
      <w:marBottom w:val="0"/>
      <w:divBdr>
        <w:top w:val="none" w:sz="0" w:space="0" w:color="auto"/>
        <w:left w:val="none" w:sz="0" w:space="0" w:color="auto"/>
        <w:bottom w:val="none" w:sz="0" w:space="0" w:color="auto"/>
        <w:right w:val="none" w:sz="0" w:space="0" w:color="auto"/>
      </w:divBdr>
    </w:div>
    <w:div w:id="21154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nepal.ohch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F4C5-D4F2-49A0-B1AA-D462FCA7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1</TotalTime>
  <Pages>15</Pages>
  <Words>8442</Words>
  <Characters>48121</Characters>
  <Application>Microsoft Office Word</Application>
  <DocSecurity>0</DocSecurity>
  <Lines>401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56451</CharactersWithSpaces>
  <SharedDoc>false</SharedDoc>
  <HLinks>
    <vt:vector size="6" baseType="variant">
      <vt:variant>
        <vt:i4>1179774</vt:i4>
      </vt:variant>
      <vt:variant>
        <vt:i4>0</vt:i4>
      </vt:variant>
      <vt:variant>
        <vt:i4>0</vt:i4>
      </vt:variant>
      <vt:variant>
        <vt:i4>5</vt:i4>
      </vt:variant>
      <vt:variant>
        <vt:lpwstr>http://nepal.ohchr.org/en/resources/Documents/English/reports/HCR/2008_12_19_Bardiya_Report_E.pdf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2015-10-23T06:36:00Z</cp:lastPrinted>
  <dcterms:created xsi:type="dcterms:W3CDTF">2017-01-24T23:53:00Z</dcterms:created>
  <dcterms:modified xsi:type="dcterms:W3CDTF">2017-01-24T23:53:00Z</dcterms:modified>
</cp:coreProperties>
</file>