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E7626" w:rsidRPr="00727449">
        <w:trPr>
          <w:cantSplit/>
          <w:trHeight w:hRule="exact" w:val="851"/>
        </w:trPr>
        <w:tc>
          <w:tcPr>
            <w:tcW w:w="1276" w:type="dxa"/>
            <w:tcBorders>
              <w:bottom w:val="single" w:sz="4" w:space="0" w:color="auto"/>
            </w:tcBorders>
            <w:vAlign w:val="bottom"/>
          </w:tcPr>
          <w:p w:rsidR="001E7626" w:rsidRDefault="001E7626" w:rsidP="001E7626">
            <w:pPr>
              <w:spacing w:after="80"/>
              <w:jc w:val="right"/>
            </w:pPr>
            <w:bookmarkStart w:id="0" w:name="_GoBack"/>
            <w:bookmarkEnd w:id="0"/>
          </w:p>
        </w:tc>
        <w:tc>
          <w:tcPr>
            <w:tcW w:w="2268" w:type="dxa"/>
            <w:tcBorders>
              <w:bottom w:val="single" w:sz="4" w:space="0" w:color="auto"/>
            </w:tcBorders>
            <w:vAlign w:val="bottom"/>
          </w:tcPr>
          <w:p w:rsidR="001E7626" w:rsidRPr="00727449" w:rsidRDefault="001E7626" w:rsidP="001E7626">
            <w:pPr>
              <w:spacing w:after="80" w:line="300" w:lineRule="exact"/>
              <w:rPr>
                <w:b/>
                <w:sz w:val="24"/>
                <w:szCs w:val="24"/>
              </w:rPr>
            </w:pPr>
            <w:r w:rsidRPr="00727449">
              <w:rPr>
                <w:sz w:val="28"/>
                <w:szCs w:val="28"/>
              </w:rPr>
              <w:t>United Nations</w:t>
            </w:r>
          </w:p>
        </w:tc>
        <w:tc>
          <w:tcPr>
            <w:tcW w:w="6095" w:type="dxa"/>
            <w:gridSpan w:val="2"/>
            <w:tcBorders>
              <w:bottom w:val="single" w:sz="4" w:space="0" w:color="auto"/>
            </w:tcBorders>
            <w:vAlign w:val="bottom"/>
          </w:tcPr>
          <w:p w:rsidR="001E7626" w:rsidRPr="00727449" w:rsidRDefault="001E7626" w:rsidP="00E51598">
            <w:pPr>
              <w:jc w:val="right"/>
            </w:pPr>
            <w:r w:rsidRPr="00727449">
              <w:rPr>
                <w:sz w:val="40"/>
              </w:rPr>
              <w:t>CCPR</w:t>
            </w:r>
            <w:r w:rsidRPr="00727449">
              <w:t>/C/1</w:t>
            </w:r>
            <w:r>
              <w:t>12</w:t>
            </w:r>
            <w:r w:rsidRPr="00727449">
              <w:t>/D/</w:t>
            </w:r>
            <w:r>
              <w:t>2111</w:t>
            </w:r>
            <w:r w:rsidRPr="00727449">
              <w:t>/20</w:t>
            </w:r>
            <w:r>
              <w:t>11</w:t>
            </w:r>
          </w:p>
        </w:tc>
      </w:tr>
      <w:tr w:rsidR="001E7626" w:rsidRPr="00727449" w:rsidTr="00A543CF">
        <w:trPr>
          <w:cantSplit/>
          <w:trHeight w:hRule="exact" w:val="2835"/>
        </w:trPr>
        <w:tc>
          <w:tcPr>
            <w:tcW w:w="1276" w:type="dxa"/>
            <w:tcBorders>
              <w:top w:val="single" w:sz="4" w:space="0" w:color="auto"/>
              <w:bottom w:val="single" w:sz="12" w:space="0" w:color="auto"/>
            </w:tcBorders>
          </w:tcPr>
          <w:p w:rsidR="001E7626" w:rsidRPr="00727449" w:rsidRDefault="00053ADA" w:rsidP="001E7626">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1E7626" w:rsidRDefault="001E7626" w:rsidP="001E7626">
            <w:pPr>
              <w:spacing w:before="120" w:line="380" w:lineRule="exact"/>
              <w:rPr>
                <w:b/>
                <w:sz w:val="34"/>
                <w:szCs w:val="40"/>
              </w:rPr>
            </w:pPr>
            <w:r w:rsidRPr="00727449">
              <w:rPr>
                <w:b/>
                <w:sz w:val="34"/>
                <w:szCs w:val="40"/>
              </w:rPr>
              <w:t>International Covenant on</w:t>
            </w:r>
            <w:r w:rsidRPr="00727449">
              <w:rPr>
                <w:b/>
                <w:sz w:val="34"/>
                <w:szCs w:val="40"/>
              </w:rPr>
              <w:br/>
              <w:t>Civil and Political Rights</w:t>
            </w:r>
          </w:p>
          <w:p w:rsidR="0071550D" w:rsidRPr="0071550D" w:rsidRDefault="0071550D" w:rsidP="001E7626">
            <w:pPr>
              <w:spacing w:before="120" w:line="380" w:lineRule="exact"/>
              <w:rPr>
                <w:sz w:val="34"/>
              </w:rPr>
            </w:pPr>
          </w:p>
        </w:tc>
        <w:tc>
          <w:tcPr>
            <w:tcW w:w="2835" w:type="dxa"/>
            <w:tcBorders>
              <w:top w:val="single" w:sz="4" w:space="0" w:color="auto"/>
              <w:bottom w:val="single" w:sz="12" w:space="0" w:color="auto"/>
            </w:tcBorders>
          </w:tcPr>
          <w:p w:rsidR="001E7626" w:rsidRPr="00727449" w:rsidRDefault="001E7626" w:rsidP="001E7626">
            <w:pPr>
              <w:spacing w:before="240" w:line="240" w:lineRule="exact"/>
            </w:pPr>
            <w:r w:rsidRPr="00727449">
              <w:t xml:space="preserve">Distr.: </w:t>
            </w:r>
            <w:r w:rsidR="00E51598">
              <w:t>General</w:t>
            </w:r>
          </w:p>
          <w:p w:rsidR="001E7626" w:rsidRPr="00727449" w:rsidRDefault="00772155" w:rsidP="001E7626">
            <w:pPr>
              <w:spacing w:line="240" w:lineRule="exact"/>
            </w:pPr>
            <w:r>
              <w:t>25</w:t>
            </w:r>
            <w:r w:rsidR="000820BC">
              <w:t xml:space="preserve"> </w:t>
            </w:r>
            <w:r w:rsidR="0071550D" w:rsidRPr="000820BC">
              <w:t>November</w:t>
            </w:r>
            <w:r w:rsidR="001E7626" w:rsidRPr="000820BC">
              <w:t xml:space="preserve"> 2014</w:t>
            </w:r>
          </w:p>
          <w:p w:rsidR="001E7626" w:rsidRPr="00727449" w:rsidRDefault="001E7626" w:rsidP="001E7626">
            <w:pPr>
              <w:spacing w:line="240" w:lineRule="exact"/>
            </w:pPr>
          </w:p>
          <w:p w:rsidR="001E7626" w:rsidRPr="00727449" w:rsidRDefault="001E7626" w:rsidP="001E7626">
            <w:pPr>
              <w:spacing w:line="240" w:lineRule="exact"/>
            </w:pPr>
            <w:r w:rsidRPr="00727449">
              <w:t>Original: English</w:t>
            </w:r>
          </w:p>
        </w:tc>
      </w:tr>
    </w:tbl>
    <w:p w:rsidR="001E7626" w:rsidRPr="00727449" w:rsidRDefault="001E7626" w:rsidP="001E7626">
      <w:pPr>
        <w:spacing w:before="120"/>
        <w:rPr>
          <w:b/>
          <w:sz w:val="24"/>
          <w:szCs w:val="24"/>
        </w:rPr>
      </w:pPr>
      <w:r w:rsidRPr="00727449">
        <w:rPr>
          <w:b/>
          <w:sz w:val="24"/>
          <w:szCs w:val="24"/>
        </w:rPr>
        <w:t>Human Rights Committee</w:t>
      </w:r>
      <w:r w:rsidR="00053ADA">
        <w:rPr>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8" o:title="2011&amp;Size=2 &amp;Lang=E"/>
            <w10:wrap anchorx="margin" anchory="margin"/>
          </v:shape>
        </w:pict>
      </w:r>
    </w:p>
    <w:p w:rsidR="001E7626" w:rsidRPr="00727449" w:rsidRDefault="001E7626" w:rsidP="001E7626">
      <w:pPr>
        <w:pStyle w:val="HChG"/>
      </w:pPr>
      <w:r w:rsidRPr="00727449">
        <w:tab/>
      </w:r>
      <w:r w:rsidRPr="00727449">
        <w:tab/>
        <w:t xml:space="preserve">Communication No. </w:t>
      </w:r>
      <w:r>
        <w:t>2111/2011</w:t>
      </w:r>
    </w:p>
    <w:p w:rsidR="00E51598" w:rsidRPr="00E8097C" w:rsidRDefault="001E7626" w:rsidP="00E51598">
      <w:pPr>
        <w:pStyle w:val="H1G"/>
        <w:spacing w:after="600"/>
      </w:pPr>
      <w:r w:rsidRPr="00727449">
        <w:tab/>
      </w:r>
      <w:r w:rsidRPr="00727449">
        <w:tab/>
      </w:r>
      <w:r w:rsidR="00E51598">
        <w:rPr>
          <w:rFonts w:eastAsia="MS Mincho"/>
        </w:rPr>
        <w:t>Views adopted by the Committee at its 112</w:t>
      </w:r>
      <w:r w:rsidR="00E51598" w:rsidRPr="000820BC">
        <w:rPr>
          <w:rFonts w:eastAsia="MS Mincho"/>
        </w:rPr>
        <w:t>th</w:t>
      </w:r>
      <w:r w:rsidR="00E51598">
        <w:rPr>
          <w:rFonts w:eastAsia="MS Mincho"/>
        </w:rPr>
        <w:t xml:space="preserve"> session</w:t>
      </w:r>
      <w:r w:rsidR="0071550D">
        <w:rPr>
          <w:rFonts w:eastAsia="MS Mincho"/>
        </w:rPr>
        <w:br/>
      </w:r>
      <w:r w:rsidR="00E51598">
        <w:rPr>
          <w:rFonts w:eastAsia="MS Mincho"/>
        </w:rPr>
        <w:t>(7</w:t>
      </w:r>
      <w:r w:rsidR="005208E2">
        <w:rPr>
          <w:rFonts w:eastAsia="MS Mincho"/>
        </w:rPr>
        <w:t>–</w:t>
      </w:r>
      <w:r w:rsidR="00E51598">
        <w:rPr>
          <w:rFonts w:eastAsia="MS Mincho"/>
        </w:rPr>
        <w:t>31 October 2014)</w:t>
      </w:r>
    </w:p>
    <w:p w:rsidR="001E7626" w:rsidRPr="00751730" w:rsidRDefault="001E7626" w:rsidP="00386A93">
      <w:pPr>
        <w:pStyle w:val="SingleTxtG"/>
        <w:tabs>
          <w:tab w:val="left" w:pos="4536"/>
        </w:tabs>
        <w:jc w:val="left"/>
        <w:rPr>
          <w:rStyle w:val="SingleTxtGChar"/>
        </w:rPr>
      </w:pPr>
      <w:r w:rsidRPr="00727449">
        <w:rPr>
          <w:rFonts w:eastAsia="Calibri"/>
          <w:i/>
        </w:rPr>
        <w:t>Submitted by:</w:t>
      </w:r>
      <w:r w:rsidRPr="00727449">
        <w:rPr>
          <w:rFonts w:eastAsia="Calibri"/>
          <w:sz w:val="24"/>
          <w:szCs w:val="24"/>
        </w:rPr>
        <w:tab/>
      </w:r>
      <w:r>
        <w:rPr>
          <w:rStyle w:val="SingleTxtGChar"/>
        </w:rPr>
        <w:t>Sharmila Tripathi (r</w:t>
      </w:r>
      <w:r w:rsidRPr="00727449">
        <w:rPr>
          <w:rStyle w:val="SingleTxtGChar"/>
        </w:rPr>
        <w:t>epresented by counsel,</w:t>
      </w:r>
      <w:r>
        <w:rPr>
          <w:rStyle w:val="SingleTxtGChar"/>
        </w:rPr>
        <w:t xml:space="preserve"> </w:t>
      </w:r>
      <w:r w:rsidR="006D124C">
        <w:rPr>
          <w:rStyle w:val="SingleTxtGChar"/>
          <w:lang w:val="fr-CH"/>
        </w:rPr>
        <w:tab/>
      </w:r>
      <w:r w:rsidR="00B13FD5">
        <w:rPr>
          <w:rStyle w:val="SingleTxtGChar"/>
        </w:rPr>
        <w:t>Track</w:t>
      </w:r>
      <w:r w:rsidR="00B13FD5">
        <w:rPr>
          <w:rStyle w:val="SingleTxtGChar"/>
          <w:lang w:val="fr-CH"/>
        </w:rPr>
        <w:t xml:space="preserve"> </w:t>
      </w:r>
      <w:r>
        <w:rPr>
          <w:rStyle w:val="SingleTxtGChar"/>
        </w:rPr>
        <w:t>Impunity Always-TRIAL</w:t>
      </w:r>
      <w:r w:rsidRPr="00727449">
        <w:rPr>
          <w:rStyle w:val="SingleTxtGChar"/>
        </w:rPr>
        <w:t>)</w:t>
      </w:r>
    </w:p>
    <w:p w:rsidR="001E7626" w:rsidRPr="00751730" w:rsidRDefault="001E7626" w:rsidP="006D124C">
      <w:pPr>
        <w:pStyle w:val="SingleTxtG"/>
        <w:tabs>
          <w:tab w:val="left" w:pos="4536"/>
        </w:tabs>
        <w:jc w:val="left"/>
        <w:rPr>
          <w:rStyle w:val="SingleTxtGChar"/>
        </w:rPr>
      </w:pPr>
      <w:r w:rsidRPr="00727449">
        <w:rPr>
          <w:rFonts w:eastAsia="Calibri"/>
          <w:i/>
        </w:rPr>
        <w:t>Alleged victim:</w:t>
      </w:r>
      <w:r w:rsidRPr="00727449">
        <w:rPr>
          <w:rFonts w:eastAsia="Calibri"/>
          <w:sz w:val="24"/>
          <w:szCs w:val="24"/>
        </w:rPr>
        <w:tab/>
      </w:r>
      <w:r w:rsidRPr="00291C20">
        <w:rPr>
          <w:rFonts w:eastAsia="Calibri"/>
        </w:rPr>
        <w:t>The author</w:t>
      </w:r>
      <w:r>
        <w:rPr>
          <w:rFonts w:eastAsia="Calibri"/>
        </w:rPr>
        <w:t xml:space="preserve">, Gyanendra Tripathi (her husband) </w:t>
      </w:r>
      <w:r w:rsidR="006D124C">
        <w:rPr>
          <w:rFonts w:eastAsia="Calibri"/>
          <w:lang w:val="fr-CH"/>
        </w:rPr>
        <w:tab/>
      </w:r>
      <w:r>
        <w:rPr>
          <w:rFonts w:eastAsia="Calibri"/>
        </w:rPr>
        <w:t xml:space="preserve">and </w:t>
      </w:r>
      <w:r w:rsidR="00CB1C33">
        <w:rPr>
          <w:rFonts w:eastAsia="Calibri"/>
          <w:lang w:val="fr-CH"/>
        </w:rPr>
        <w:t>C.T.</w:t>
      </w:r>
      <w:r>
        <w:rPr>
          <w:rFonts w:eastAsia="Calibri"/>
        </w:rPr>
        <w:t xml:space="preserve"> (their minor daughter) </w:t>
      </w:r>
    </w:p>
    <w:p w:rsidR="001E7626" w:rsidRPr="00751730" w:rsidRDefault="001E7626" w:rsidP="006D124C">
      <w:pPr>
        <w:pStyle w:val="SingleTxtG"/>
        <w:tabs>
          <w:tab w:val="left" w:pos="4536"/>
        </w:tabs>
        <w:jc w:val="left"/>
        <w:rPr>
          <w:rStyle w:val="SingleTxtGChar"/>
        </w:rPr>
      </w:pPr>
      <w:r w:rsidRPr="001A2F55">
        <w:rPr>
          <w:rFonts w:eastAsia="Calibri"/>
          <w:i/>
          <w:iCs/>
        </w:rPr>
        <w:t>State party:</w:t>
      </w:r>
      <w:r w:rsidRPr="00727449">
        <w:rPr>
          <w:rFonts w:eastAsia="Calibri"/>
          <w:sz w:val="24"/>
          <w:szCs w:val="24"/>
        </w:rPr>
        <w:tab/>
      </w:r>
      <w:r w:rsidRPr="00727449">
        <w:rPr>
          <w:rFonts w:eastAsia="Calibri"/>
        </w:rPr>
        <w:t>Nepal</w:t>
      </w:r>
    </w:p>
    <w:p w:rsidR="001E7626" w:rsidRPr="00751730" w:rsidRDefault="001E7626" w:rsidP="006D124C">
      <w:pPr>
        <w:pStyle w:val="SingleTxtG"/>
        <w:tabs>
          <w:tab w:val="left" w:pos="4536"/>
        </w:tabs>
        <w:jc w:val="left"/>
        <w:rPr>
          <w:rStyle w:val="SingleTxtGChar"/>
        </w:rPr>
      </w:pPr>
      <w:r w:rsidRPr="00727449">
        <w:rPr>
          <w:rFonts w:eastAsia="Calibri"/>
          <w:i/>
        </w:rPr>
        <w:t>Date of communication:</w:t>
      </w:r>
      <w:r w:rsidRPr="00727449">
        <w:rPr>
          <w:rFonts w:eastAsia="Calibri"/>
          <w:sz w:val="24"/>
          <w:szCs w:val="24"/>
        </w:rPr>
        <w:tab/>
      </w:r>
      <w:r>
        <w:rPr>
          <w:rFonts w:eastAsia="Calibri"/>
        </w:rPr>
        <w:t>28 September 2011</w:t>
      </w:r>
      <w:r w:rsidRPr="00727449">
        <w:rPr>
          <w:rStyle w:val="SingleTxtGChar"/>
        </w:rPr>
        <w:t xml:space="preserve"> (initial submission)</w:t>
      </w:r>
    </w:p>
    <w:p w:rsidR="001E7626" w:rsidRPr="00751730" w:rsidRDefault="001E7626" w:rsidP="006D124C">
      <w:pPr>
        <w:pStyle w:val="SingleTxtG"/>
        <w:tabs>
          <w:tab w:val="left" w:pos="4536"/>
        </w:tabs>
        <w:jc w:val="left"/>
        <w:rPr>
          <w:rStyle w:val="SingleTxtGChar"/>
        </w:rPr>
      </w:pPr>
      <w:r w:rsidRPr="00727449">
        <w:rPr>
          <w:rFonts w:eastAsia="Calibri"/>
          <w:i/>
        </w:rPr>
        <w:t>Document references:</w:t>
      </w:r>
      <w:r w:rsidRPr="00727449">
        <w:rPr>
          <w:rFonts w:eastAsia="Calibri"/>
          <w:sz w:val="24"/>
          <w:szCs w:val="24"/>
        </w:rPr>
        <w:tab/>
      </w:r>
      <w:r w:rsidRPr="00727449">
        <w:rPr>
          <w:rStyle w:val="SingleTxtGChar"/>
        </w:rPr>
        <w:t xml:space="preserve">Special Rapporteur’s rule 97 decision, </w:t>
      </w:r>
      <w:r w:rsidR="006D124C">
        <w:rPr>
          <w:rStyle w:val="SingleTxtGChar"/>
          <w:lang w:val="fr-CH"/>
        </w:rPr>
        <w:tab/>
      </w:r>
      <w:r w:rsidRPr="00727449">
        <w:rPr>
          <w:rStyle w:val="SingleTxtGChar"/>
        </w:rPr>
        <w:t xml:space="preserve">transmitted to the State party on </w:t>
      </w:r>
      <w:r>
        <w:rPr>
          <w:rStyle w:val="SingleTxtGChar"/>
        </w:rPr>
        <w:t>21 October</w:t>
      </w:r>
      <w:r w:rsidRPr="00727449">
        <w:rPr>
          <w:rStyle w:val="SingleTxtGChar"/>
        </w:rPr>
        <w:t xml:space="preserve"> 20</w:t>
      </w:r>
      <w:r>
        <w:rPr>
          <w:rStyle w:val="SingleTxtGChar"/>
        </w:rPr>
        <w:t>11</w:t>
      </w:r>
      <w:r w:rsidRPr="00727449">
        <w:rPr>
          <w:rStyle w:val="SingleTxtGChar"/>
        </w:rPr>
        <w:t xml:space="preserve"> </w:t>
      </w:r>
      <w:r w:rsidR="006D124C">
        <w:rPr>
          <w:rStyle w:val="SingleTxtGChar"/>
          <w:lang w:val="fr-CH"/>
        </w:rPr>
        <w:tab/>
      </w:r>
      <w:r w:rsidRPr="00727449">
        <w:rPr>
          <w:rStyle w:val="SingleTxtGChar"/>
        </w:rPr>
        <w:t>(not issued in document form)</w:t>
      </w:r>
    </w:p>
    <w:p w:rsidR="001E7626" w:rsidRPr="00751730" w:rsidRDefault="001E7626" w:rsidP="006D124C">
      <w:pPr>
        <w:pStyle w:val="SingleTxtG"/>
        <w:tabs>
          <w:tab w:val="left" w:pos="4536"/>
        </w:tabs>
        <w:jc w:val="left"/>
        <w:rPr>
          <w:rStyle w:val="SingleTxtGChar"/>
        </w:rPr>
      </w:pPr>
      <w:r w:rsidRPr="000820BC">
        <w:rPr>
          <w:rFonts w:eastAsia="Calibri"/>
          <w:i/>
        </w:rPr>
        <w:t xml:space="preserve">Date of adoption of </w:t>
      </w:r>
      <w:r w:rsidR="005208E2" w:rsidRPr="005208E2">
        <w:rPr>
          <w:rFonts w:eastAsia="Calibri"/>
          <w:i/>
        </w:rPr>
        <w:t>views</w:t>
      </w:r>
      <w:r w:rsidRPr="000820BC">
        <w:rPr>
          <w:rFonts w:eastAsia="Calibri"/>
          <w:i/>
        </w:rPr>
        <w:t>:</w:t>
      </w:r>
      <w:r w:rsidRPr="00727449">
        <w:rPr>
          <w:rFonts w:eastAsia="Calibri"/>
          <w:sz w:val="24"/>
          <w:szCs w:val="24"/>
        </w:rPr>
        <w:tab/>
      </w:r>
      <w:r w:rsidR="00E51598" w:rsidRPr="000820BC">
        <w:rPr>
          <w:rFonts w:eastAsia="Calibri"/>
        </w:rPr>
        <w:t>29</w:t>
      </w:r>
      <w:r w:rsidRPr="00373B54">
        <w:rPr>
          <w:rFonts w:eastAsia="Calibri"/>
        </w:rPr>
        <w:t xml:space="preserve"> O</w:t>
      </w:r>
      <w:r>
        <w:rPr>
          <w:rFonts w:eastAsia="Calibri"/>
        </w:rPr>
        <w:t>ctober</w:t>
      </w:r>
      <w:r w:rsidRPr="00727449">
        <w:rPr>
          <w:rFonts w:eastAsia="Calibri"/>
        </w:rPr>
        <w:t xml:space="preserve"> </w:t>
      </w:r>
      <w:r w:rsidRPr="00727449">
        <w:rPr>
          <w:rStyle w:val="SingleTxtGChar"/>
        </w:rPr>
        <w:t>201</w:t>
      </w:r>
      <w:r>
        <w:rPr>
          <w:rStyle w:val="SingleTxtGChar"/>
        </w:rPr>
        <w:t>4</w:t>
      </w:r>
    </w:p>
    <w:p w:rsidR="001E7626" w:rsidRPr="00727449" w:rsidRDefault="003F0E44" w:rsidP="006D124C">
      <w:pPr>
        <w:pStyle w:val="SingleTxtG"/>
        <w:tabs>
          <w:tab w:val="left" w:pos="4536"/>
        </w:tabs>
        <w:jc w:val="left"/>
      </w:pPr>
      <w:r w:rsidRPr="00727449">
        <w:rPr>
          <w:i/>
          <w:iCs/>
        </w:rPr>
        <w:t>Subject matter:</w:t>
      </w:r>
      <w:r>
        <w:rPr>
          <w:i/>
          <w:iCs/>
          <w:lang w:val="fr-CH"/>
        </w:rPr>
        <w:tab/>
      </w:r>
      <w:r>
        <w:t>Enforced disappearance</w:t>
      </w:r>
    </w:p>
    <w:p w:rsidR="001E7626" w:rsidRPr="00751730" w:rsidRDefault="001E7626" w:rsidP="006D124C">
      <w:pPr>
        <w:pStyle w:val="SingleTxtG"/>
        <w:tabs>
          <w:tab w:val="left" w:pos="4536"/>
        </w:tabs>
        <w:jc w:val="left"/>
      </w:pPr>
      <w:r w:rsidRPr="00727449">
        <w:rPr>
          <w:i/>
          <w:iCs/>
        </w:rPr>
        <w:t>Substantive issues:</w:t>
      </w:r>
      <w:r w:rsidRPr="00727449">
        <w:rPr>
          <w:i/>
          <w:iCs/>
        </w:rPr>
        <w:tab/>
      </w:r>
      <w:r w:rsidRPr="00093F76">
        <w:t>Right to life</w:t>
      </w:r>
      <w:r w:rsidR="005208E2">
        <w:t>; p</w:t>
      </w:r>
      <w:r w:rsidRPr="00093F76">
        <w:t xml:space="preserve">rohibition of torture and cruel and </w:t>
      </w:r>
      <w:r w:rsidR="006D124C">
        <w:rPr>
          <w:lang w:val="fr-CH"/>
        </w:rPr>
        <w:tab/>
      </w:r>
      <w:r w:rsidRPr="00093F76">
        <w:t>inhuman treatment</w:t>
      </w:r>
      <w:r w:rsidR="005208E2">
        <w:t>;</w:t>
      </w:r>
      <w:r w:rsidRPr="00093F76">
        <w:t xml:space="preserve"> right to liberty and security </w:t>
      </w:r>
      <w:r w:rsidR="006D124C">
        <w:rPr>
          <w:lang w:val="fr-CH"/>
        </w:rPr>
        <w:tab/>
      </w:r>
      <w:r w:rsidRPr="00093F76">
        <w:t>of person</w:t>
      </w:r>
      <w:r w:rsidR="005208E2">
        <w:t>;</w:t>
      </w:r>
      <w:r w:rsidRPr="00093F76">
        <w:t xml:space="preserve"> respect for the inherent dignity of the </w:t>
      </w:r>
      <w:r w:rsidR="006D124C">
        <w:rPr>
          <w:lang w:val="fr-CH"/>
        </w:rPr>
        <w:tab/>
      </w:r>
      <w:r w:rsidRPr="00093F76">
        <w:t>human person</w:t>
      </w:r>
      <w:r w:rsidR="005208E2">
        <w:t>;</w:t>
      </w:r>
      <w:r w:rsidRPr="00093F76">
        <w:t xml:space="preserve"> recognition as a person before the </w:t>
      </w:r>
      <w:r w:rsidR="006D124C">
        <w:rPr>
          <w:lang w:val="fr-CH"/>
        </w:rPr>
        <w:tab/>
      </w:r>
      <w:r w:rsidRPr="00093F76">
        <w:t>law</w:t>
      </w:r>
      <w:r w:rsidR="005208E2">
        <w:t>;</w:t>
      </w:r>
      <w:r w:rsidRPr="00093F76">
        <w:t xml:space="preserve"> freedom of association</w:t>
      </w:r>
      <w:r w:rsidR="005208E2">
        <w:t>;</w:t>
      </w:r>
      <w:r w:rsidRPr="00093F76">
        <w:t xml:space="preserve"> right of the child to </w:t>
      </w:r>
      <w:r w:rsidR="006D124C">
        <w:rPr>
          <w:lang w:val="fr-CH"/>
        </w:rPr>
        <w:tab/>
      </w:r>
      <w:r w:rsidRPr="00093F76">
        <w:t>measures of protection</w:t>
      </w:r>
      <w:r w:rsidR="005208E2">
        <w:t>;</w:t>
      </w:r>
      <w:r w:rsidRPr="00093F76">
        <w:t xml:space="preserve"> and right to an effective </w:t>
      </w:r>
      <w:r w:rsidR="006D124C">
        <w:rPr>
          <w:lang w:val="fr-CH"/>
        </w:rPr>
        <w:tab/>
      </w:r>
      <w:r w:rsidRPr="00093F76">
        <w:t>remedy</w:t>
      </w:r>
    </w:p>
    <w:p w:rsidR="001E7626" w:rsidRPr="00751730" w:rsidRDefault="001E7626" w:rsidP="006D124C">
      <w:pPr>
        <w:pStyle w:val="SingleTxtG"/>
        <w:tabs>
          <w:tab w:val="left" w:pos="4536"/>
        </w:tabs>
        <w:jc w:val="left"/>
      </w:pPr>
      <w:r w:rsidRPr="00093F76">
        <w:rPr>
          <w:i/>
          <w:iCs/>
        </w:rPr>
        <w:t>Procedural issue</w:t>
      </w:r>
      <w:r w:rsidR="00CD1B87">
        <w:rPr>
          <w:i/>
          <w:iCs/>
        </w:rPr>
        <w:t>s</w:t>
      </w:r>
      <w:r w:rsidRPr="00093F76">
        <w:rPr>
          <w:i/>
        </w:rPr>
        <w:t>:</w:t>
      </w:r>
      <w:r w:rsidRPr="00093F76">
        <w:rPr>
          <w:i/>
          <w:iCs/>
        </w:rPr>
        <w:tab/>
      </w:r>
      <w:r w:rsidRPr="00093F76">
        <w:t>Exhaustion of domestic remedies</w:t>
      </w:r>
    </w:p>
    <w:p w:rsidR="001E7626" w:rsidRPr="00751730" w:rsidRDefault="001E7626" w:rsidP="000820BC">
      <w:pPr>
        <w:pStyle w:val="SingleTxtG"/>
        <w:tabs>
          <w:tab w:val="left" w:pos="4536"/>
        </w:tabs>
        <w:ind w:left="4536" w:hanging="3402"/>
        <w:jc w:val="left"/>
      </w:pPr>
      <w:r w:rsidRPr="00093F76">
        <w:rPr>
          <w:i/>
          <w:iCs/>
        </w:rPr>
        <w:t>Articles of the Covenant</w:t>
      </w:r>
      <w:r w:rsidRPr="00093F76">
        <w:rPr>
          <w:i/>
        </w:rPr>
        <w:t>:</w:t>
      </w:r>
      <w:r w:rsidRPr="00093F76">
        <w:rPr>
          <w:i/>
          <w:iCs/>
        </w:rPr>
        <w:tab/>
      </w:r>
      <w:r w:rsidRPr="00093F76">
        <w:t xml:space="preserve">6, </w:t>
      </w:r>
      <w:r w:rsidR="001D7A6F">
        <w:t>para</w:t>
      </w:r>
      <w:r w:rsidR="005208E2" w:rsidRPr="000820BC">
        <w:t>.</w:t>
      </w:r>
      <w:r w:rsidR="001D7A6F">
        <w:t> </w:t>
      </w:r>
      <w:r w:rsidRPr="00093F76">
        <w:t>1; 7; 9, para</w:t>
      </w:r>
      <w:r w:rsidR="005208E2" w:rsidRPr="000820BC">
        <w:t>s.</w:t>
      </w:r>
      <w:r w:rsidRPr="00093F76">
        <w:t xml:space="preserve"> 1</w:t>
      </w:r>
      <w:r w:rsidR="00CD1B87">
        <w:t>–</w:t>
      </w:r>
      <w:r w:rsidRPr="00093F76">
        <w:t xml:space="preserve">4; 10, </w:t>
      </w:r>
      <w:r w:rsidR="001D7A6F">
        <w:t>para</w:t>
      </w:r>
      <w:r w:rsidR="005208E2" w:rsidRPr="000820BC">
        <w:t>.</w:t>
      </w:r>
      <w:r w:rsidR="001D7A6F">
        <w:t> </w:t>
      </w:r>
      <w:r w:rsidRPr="00093F76">
        <w:t xml:space="preserve">1; 16; 22; </w:t>
      </w:r>
      <w:r w:rsidR="005208E2" w:rsidRPr="000820BC">
        <w:t xml:space="preserve">and </w:t>
      </w:r>
      <w:r w:rsidRPr="00093F76">
        <w:t xml:space="preserve">24, </w:t>
      </w:r>
      <w:r w:rsidR="001D7A6F">
        <w:t>para</w:t>
      </w:r>
      <w:r w:rsidR="005208E2" w:rsidRPr="000820BC">
        <w:t>.</w:t>
      </w:r>
      <w:r w:rsidR="001D7A6F">
        <w:t> </w:t>
      </w:r>
      <w:r w:rsidRPr="00093F76">
        <w:t>1, alone and</w:t>
      </w:r>
      <w:r w:rsidR="00CD1B87">
        <w:t xml:space="preserve"> </w:t>
      </w:r>
      <w:r w:rsidR="00CD1B87" w:rsidRPr="000820BC">
        <w:t>read</w:t>
      </w:r>
      <w:r w:rsidR="00CD1B87">
        <w:t xml:space="preserve"> </w:t>
      </w:r>
      <w:r w:rsidRPr="00093F76">
        <w:t xml:space="preserve">in conjunction with </w:t>
      </w:r>
      <w:r w:rsidR="001D7A6F">
        <w:t>article </w:t>
      </w:r>
      <w:r w:rsidRPr="00093F76">
        <w:t>2</w:t>
      </w:r>
      <w:r w:rsidR="005208E2">
        <w:t>, para. 3</w:t>
      </w:r>
      <w:r w:rsidR="003F0E44">
        <w:t xml:space="preserve"> </w:t>
      </w:r>
    </w:p>
    <w:p w:rsidR="001E7626" w:rsidRPr="00751730" w:rsidRDefault="001D7A6F" w:rsidP="006D124C">
      <w:pPr>
        <w:pStyle w:val="SingleTxtG"/>
        <w:tabs>
          <w:tab w:val="left" w:pos="4536"/>
        </w:tabs>
        <w:jc w:val="left"/>
      </w:pPr>
      <w:r w:rsidRPr="000820BC">
        <w:rPr>
          <w:i/>
        </w:rPr>
        <w:t>Article</w:t>
      </w:r>
      <w:r w:rsidR="005208E2">
        <w:rPr>
          <w:i/>
        </w:rPr>
        <w:t>s</w:t>
      </w:r>
      <w:r w:rsidRPr="000820BC">
        <w:rPr>
          <w:i/>
        </w:rPr>
        <w:t> </w:t>
      </w:r>
      <w:r w:rsidR="001E7626" w:rsidRPr="000820BC">
        <w:rPr>
          <w:i/>
        </w:rPr>
        <w:t>of the Optional Protocol:</w:t>
      </w:r>
      <w:r w:rsidR="001E7626" w:rsidRPr="00093F76">
        <w:tab/>
      </w:r>
      <w:r w:rsidR="003A51B6">
        <w:rPr>
          <w:lang w:val="fr-CH"/>
        </w:rPr>
        <w:t>3</w:t>
      </w:r>
      <w:r w:rsidR="001E7626" w:rsidRPr="00093F76">
        <w:t xml:space="preserve"> </w:t>
      </w:r>
      <w:r w:rsidR="005208E2">
        <w:t xml:space="preserve">and </w:t>
      </w:r>
      <w:r w:rsidR="001E7626" w:rsidRPr="00093F76">
        <w:t xml:space="preserve">5, </w:t>
      </w:r>
      <w:r>
        <w:t>para</w:t>
      </w:r>
      <w:r w:rsidR="005208E2">
        <w:t>.</w:t>
      </w:r>
      <w:r>
        <w:t> </w:t>
      </w:r>
      <w:r w:rsidR="001E7626" w:rsidRPr="00093F76">
        <w:t>2 (b)</w:t>
      </w:r>
    </w:p>
    <w:p w:rsidR="006A5340" w:rsidRPr="006A5340" w:rsidRDefault="001E7626" w:rsidP="006A5340">
      <w:pPr>
        <w:keepNext/>
        <w:keepLines/>
        <w:tabs>
          <w:tab w:val="right" w:pos="851"/>
        </w:tabs>
        <w:spacing w:line="240" w:lineRule="auto"/>
        <w:ind w:left="1134" w:right="1134" w:hanging="1134"/>
        <w:rPr>
          <w:rFonts w:eastAsia="Calibri"/>
          <w:sz w:val="8"/>
          <w:szCs w:val="8"/>
        </w:rPr>
      </w:pPr>
      <w:r w:rsidRPr="00727449">
        <w:rPr>
          <w:rFonts w:eastAsia="Calibri"/>
          <w:sz w:val="24"/>
          <w:szCs w:val="24"/>
        </w:rPr>
        <w:br w:type="page"/>
      </w:r>
    </w:p>
    <w:p w:rsidR="001E7626" w:rsidRPr="006A5340" w:rsidRDefault="001E7626" w:rsidP="00B67D05">
      <w:pPr>
        <w:keepNext/>
        <w:keepLines/>
        <w:tabs>
          <w:tab w:val="right" w:pos="851"/>
        </w:tabs>
        <w:spacing w:before="360" w:after="240" w:line="300" w:lineRule="exact"/>
        <w:ind w:left="1134" w:right="1134" w:hanging="1134"/>
        <w:rPr>
          <w:b/>
          <w:sz w:val="28"/>
        </w:rPr>
      </w:pPr>
      <w:r w:rsidRPr="006A5340">
        <w:rPr>
          <w:b/>
          <w:sz w:val="28"/>
        </w:rPr>
        <w:t>Annex</w:t>
      </w:r>
    </w:p>
    <w:p w:rsidR="001E7626" w:rsidRPr="00727449" w:rsidRDefault="001E7626" w:rsidP="00751730">
      <w:pPr>
        <w:pStyle w:val="H1G"/>
      </w:pPr>
      <w:r w:rsidRPr="00727449">
        <w:tab/>
      </w:r>
      <w:r w:rsidRPr="00727449">
        <w:tab/>
      </w:r>
      <w:r w:rsidRPr="009E31DB">
        <w:t xml:space="preserve">Views of the Human Rights Committee under </w:t>
      </w:r>
      <w:r w:rsidR="001D7A6F">
        <w:t>article </w:t>
      </w:r>
      <w:r w:rsidRPr="009E31DB">
        <w:t xml:space="preserve">5, </w:t>
      </w:r>
      <w:r w:rsidR="001D7A6F">
        <w:t>paragraph </w:t>
      </w:r>
      <w:r w:rsidRPr="009E31DB">
        <w:t>4, of</w:t>
      </w:r>
      <w:r w:rsidR="00751730">
        <w:t> </w:t>
      </w:r>
      <w:r w:rsidRPr="009E31DB">
        <w:t>the Optional Protocol to the International Covenant on Civil and Political rights (</w:t>
      </w:r>
      <w:r>
        <w:t xml:space="preserve">112th </w:t>
      </w:r>
      <w:r w:rsidRPr="009E31DB">
        <w:rPr>
          <w:bCs/>
        </w:rPr>
        <w:t>session)</w:t>
      </w:r>
    </w:p>
    <w:p w:rsidR="001E7626" w:rsidRPr="00727449" w:rsidRDefault="001E7626" w:rsidP="00D03F1E">
      <w:pPr>
        <w:pStyle w:val="SingleTxtG"/>
        <w:ind w:right="0"/>
        <w:rPr>
          <w:rFonts w:eastAsia="Calibri"/>
        </w:rPr>
      </w:pPr>
      <w:r w:rsidRPr="00727449">
        <w:rPr>
          <w:rFonts w:eastAsia="Calibri"/>
        </w:rPr>
        <w:t>concerning</w:t>
      </w:r>
    </w:p>
    <w:p w:rsidR="001E7626" w:rsidRPr="00727449" w:rsidRDefault="001E7626" w:rsidP="001A2F55">
      <w:pPr>
        <w:keepNext/>
        <w:keepLines/>
        <w:tabs>
          <w:tab w:val="right" w:pos="851"/>
        </w:tabs>
        <w:spacing w:before="360" w:after="240" w:line="270" w:lineRule="exact"/>
        <w:ind w:left="1134" w:hanging="1134"/>
        <w:rPr>
          <w:rFonts w:eastAsia="Calibri"/>
          <w:b/>
          <w:sz w:val="24"/>
          <w:szCs w:val="24"/>
        </w:rPr>
      </w:pPr>
      <w:r w:rsidRPr="00727449">
        <w:rPr>
          <w:rFonts w:eastAsia="Calibri"/>
          <w:b/>
          <w:sz w:val="24"/>
          <w:szCs w:val="24"/>
        </w:rPr>
        <w:tab/>
      </w:r>
      <w:r w:rsidRPr="00727449">
        <w:rPr>
          <w:rFonts w:eastAsia="Calibri"/>
          <w:b/>
          <w:sz w:val="24"/>
          <w:szCs w:val="24"/>
        </w:rPr>
        <w:tab/>
        <w:t xml:space="preserve">Communication No. </w:t>
      </w:r>
      <w:r>
        <w:rPr>
          <w:rFonts w:eastAsia="Calibri"/>
          <w:b/>
          <w:sz w:val="24"/>
          <w:szCs w:val="24"/>
        </w:rPr>
        <w:t>2111/2011</w:t>
      </w:r>
      <w:r w:rsidR="001A2F55" w:rsidRPr="001A2F55">
        <w:rPr>
          <w:rStyle w:val="FootnoteReference"/>
          <w:rFonts w:eastAsia="Calibri"/>
          <w:bCs/>
          <w:sz w:val="20"/>
          <w:szCs w:val="24"/>
          <w:vertAlign w:val="baseline"/>
        </w:rPr>
        <w:footnoteReference w:customMarkFollows="1" w:id="2"/>
        <w:t>*</w:t>
      </w:r>
    </w:p>
    <w:p w:rsidR="001E7626" w:rsidRPr="00727449" w:rsidRDefault="001E7626" w:rsidP="00B13FD5">
      <w:pPr>
        <w:pStyle w:val="SingleTxtG"/>
        <w:tabs>
          <w:tab w:val="left" w:pos="4536"/>
        </w:tabs>
        <w:jc w:val="left"/>
        <w:rPr>
          <w:rStyle w:val="SingleTxtGChar"/>
        </w:rPr>
      </w:pPr>
      <w:r w:rsidRPr="00727449">
        <w:rPr>
          <w:rFonts w:eastAsia="Calibri"/>
          <w:i/>
        </w:rPr>
        <w:t>Submitted by:</w:t>
      </w:r>
      <w:r w:rsidRPr="00727449">
        <w:rPr>
          <w:rFonts w:eastAsia="Calibri"/>
          <w:sz w:val="24"/>
          <w:szCs w:val="24"/>
        </w:rPr>
        <w:tab/>
      </w:r>
      <w:r>
        <w:rPr>
          <w:rFonts w:eastAsia="Calibri"/>
        </w:rPr>
        <w:t xml:space="preserve">Sharmila Tripathi </w:t>
      </w:r>
      <w:r w:rsidRPr="00727449">
        <w:rPr>
          <w:rStyle w:val="SingleTxtGChar"/>
        </w:rPr>
        <w:t xml:space="preserve">(represented by counsel, </w:t>
      </w:r>
      <w:r w:rsidR="00B13FD5">
        <w:rPr>
          <w:rStyle w:val="SingleTxtGChar"/>
          <w:lang w:val="fr-CH"/>
        </w:rPr>
        <w:tab/>
      </w:r>
      <w:r>
        <w:rPr>
          <w:rStyle w:val="SingleTxtGChar"/>
        </w:rPr>
        <w:t>Track</w:t>
      </w:r>
      <w:r w:rsidR="00B13FD5">
        <w:rPr>
          <w:rStyle w:val="SingleTxtGChar"/>
          <w:lang w:val="fr-CH"/>
        </w:rPr>
        <w:t> </w:t>
      </w:r>
      <w:r>
        <w:rPr>
          <w:rStyle w:val="SingleTxtGChar"/>
        </w:rPr>
        <w:t>Impunity Always-TRIAL</w:t>
      </w:r>
      <w:r w:rsidRPr="00727449">
        <w:rPr>
          <w:rStyle w:val="SingleTxtGChar"/>
        </w:rPr>
        <w:t>)</w:t>
      </w:r>
    </w:p>
    <w:p w:rsidR="001E7626" w:rsidRDefault="001E7626" w:rsidP="008259F8">
      <w:pPr>
        <w:pStyle w:val="SingleTxtG"/>
        <w:tabs>
          <w:tab w:val="left" w:pos="4536"/>
        </w:tabs>
        <w:jc w:val="left"/>
        <w:rPr>
          <w:rFonts w:eastAsia="Calibri"/>
        </w:rPr>
      </w:pPr>
      <w:r w:rsidRPr="00727449">
        <w:rPr>
          <w:rFonts w:eastAsia="Calibri"/>
          <w:i/>
        </w:rPr>
        <w:t>Alleged victim:</w:t>
      </w:r>
      <w:r w:rsidRPr="00727449">
        <w:rPr>
          <w:rFonts w:eastAsia="Calibri"/>
          <w:sz w:val="24"/>
          <w:szCs w:val="24"/>
        </w:rPr>
        <w:tab/>
      </w:r>
      <w:r w:rsidRPr="00291C20">
        <w:rPr>
          <w:rFonts w:eastAsia="Calibri"/>
        </w:rPr>
        <w:t>The author</w:t>
      </w:r>
      <w:r>
        <w:rPr>
          <w:rFonts w:eastAsia="Calibri"/>
        </w:rPr>
        <w:t xml:space="preserve">, Gyanendra Tripathi (her husband) </w:t>
      </w:r>
      <w:r w:rsidR="008259F8">
        <w:rPr>
          <w:rFonts w:eastAsia="Calibri"/>
          <w:lang w:val="fr-CH"/>
        </w:rPr>
        <w:tab/>
      </w:r>
      <w:r>
        <w:rPr>
          <w:rFonts w:eastAsia="Calibri"/>
        </w:rPr>
        <w:t xml:space="preserve">and </w:t>
      </w:r>
      <w:r w:rsidR="00CB1C33">
        <w:rPr>
          <w:rFonts w:eastAsia="Calibri"/>
        </w:rPr>
        <w:t>C.T.</w:t>
      </w:r>
      <w:r>
        <w:rPr>
          <w:rFonts w:eastAsia="Calibri"/>
        </w:rPr>
        <w:t xml:space="preserve"> (their minor daughter) </w:t>
      </w:r>
    </w:p>
    <w:p w:rsidR="001E7626" w:rsidRPr="00727449" w:rsidRDefault="001E7626" w:rsidP="008259F8">
      <w:pPr>
        <w:pStyle w:val="SingleTxtG"/>
        <w:tabs>
          <w:tab w:val="left" w:pos="4536"/>
        </w:tabs>
        <w:jc w:val="left"/>
        <w:rPr>
          <w:rStyle w:val="SingleTxtGChar"/>
        </w:rPr>
      </w:pPr>
      <w:r w:rsidRPr="000820BC">
        <w:rPr>
          <w:rFonts w:eastAsia="Calibri"/>
          <w:i/>
        </w:rPr>
        <w:t>State party:</w:t>
      </w:r>
      <w:r w:rsidRPr="00727449">
        <w:rPr>
          <w:rFonts w:eastAsia="Calibri"/>
          <w:sz w:val="24"/>
          <w:szCs w:val="24"/>
        </w:rPr>
        <w:tab/>
      </w:r>
      <w:r w:rsidRPr="00727449">
        <w:rPr>
          <w:rFonts w:eastAsia="Calibri"/>
        </w:rPr>
        <w:t>Nepal</w:t>
      </w:r>
    </w:p>
    <w:p w:rsidR="001E7626" w:rsidRPr="00727449" w:rsidRDefault="001E7626" w:rsidP="008259F8">
      <w:pPr>
        <w:pStyle w:val="SingleTxtG"/>
        <w:tabs>
          <w:tab w:val="left" w:pos="4536"/>
        </w:tabs>
        <w:jc w:val="left"/>
        <w:rPr>
          <w:rStyle w:val="SingleTxtGChar"/>
        </w:rPr>
      </w:pPr>
      <w:r w:rsidRPr="00727449">
        <w:rPr>
          <w:rFonts w:eastAsia="Calibri"/>
          <w:i/>
        </w:rPr>
        <w:t>Date of communication:</w:t>
      </w:r>
      <w:r w:rsidRPr="00727449">
        <w:rPr>
          <w:rFonts w:eastAsia="Calibri"/>
          <w:sz w:val="24"/>
          <w:szCs w:val="24"/>
        </w:rPr>
        <w:tab/>
      </w:r>
      <w:r>
        <w:rPr>
          <w:rFonts w:eastAsia="Calibri"/>
        </w:rPr>
        <w:t>28 September 2011</w:t>
      </w:r>
      <w:r w:rsidRPr="00727449">
        <w:rPr>
          <w:rStyle w:val="SingleTxtGChar"/>
        </w:rPr>
        <w:t xml:space="preserve"> (initial submission)</w:t>
      </w:r>
    </w:p>
    <w:p w:rsidR="001E7626" w:rsidRPr="00727449" w:rsidRDefault="001E7626" w:rsidP="00751730">
      <w:pPr>
        <w:pStyle w:val="SingleTxtG"/>
        <w:rPr>
          <w:rStyle w:val="SingleTxtGChar"/>
        </w:rPr>
      </w:pPr>
      <w:r w:rsidRPr="00727449">
        <w:rPr>
          <w:rFonts w:eastAsia="Calibri"/>
          <w:i/>
          <w:sz w:val="24"/>
          <w:szCs w:val="24"/>
        </w:rPr>
        <w:tab/>
      </w:r>
      <w:r w:rsidRPr="00727449">
        <w:rPr>
          <w:rFonts w:eastAsia="Calibri"/>
          <w:i/>
        </w:rPr>
        <w:t>The Human Rights Committee</w:t>
      </w:r>
      <w:r w:rsidRPr="00727449">
        <w:rPr>
          <w:rFonts w:eastAsia="Calibri"/>
          <w:sz w:val="24"/>
          <w:szCs w:val="24"/>
        </w:rPr>
        <w:t xml:space="preserve">, </w:t>
      </w:r>
      <w:r w:rsidRPr="00727449">
        <w:rPr>
          <w:rStyle w:val="SingleTxtGChar"/>
        </w:rPr>
        <w:t xml:space="preserve">established under </w:t>
      </w:r>
      <w:r w:rsidR="001D7A6F">
        <w:rPr>
          <w:rStyle w:val="SingleTxtGChar"/>
        </w:rPr>
        <w:t>article </w:t>
      </w:r>
      <w:r w:rsidRPr="00727449">
        <w:rPr>
          <w:rStyle w:val="SingleTxtGChar"/>
        </w:rPr>
        <w:t>28 of the International Covenant on Civil and Political Rights,</w:t>
      </w:r>
    </w:p>
    <w:p w:rsidR="001E7626" w:rsidRPr="00727449" w:rsidRDefault="001E7626" w:rsidP="00751730">
      <w:pPr>
        <w:pStyle w:val="SingleTxtG"/>
        <w:rPr>
          <w:rStyle w:val="SingleTxtGChar"/>
        </w:rPr>
      </w:pPr>
      <w:r w:rsidRPr="00727449">
        <w:rPr>
          <w:rFonts w:eastAsia="Calibri"/>
          <w:sz w:val="24"/>
          <w:szCs w:val="24"/>
        </w:rPr>
        <w:tab/>
      </w:r>
      <w:r w:rsidRPr="00727449">
        <w:rPr>
          <w:rFonts w:eastAsia="Calibri"/>
          <w:i/>
        </w:rPr>
        <w:t>Meeting on</w:t>
      </w:r>
      <w:r w:rsidRPr="00727449">
        <w:rPr>
          <w:rFonts w:eastAsia="Calibri"/>
          <w:sz w:val="24"/>
          <w:szCs w:val="24"/>
        </w:rPr>
        <w:t xml:space="preserve"> </w:t>
      </w:r>
      <w:r w:rsidR="00E51598">
        <w:rPr>
          <w:rFonts w:eastAsia="Calibri"/>
        </w:rPr>
        <w:t>29</w:t>
      </w:r>
      <w:r w:rsidR="00E51598" w:rsidRPr="00373B54">
        <w:rPr>
          <w:rFonts w:eastAsia="Calibri"/>
        </w:rPr>
        <w:t xml:space="preserve"> </w:t>
      </w:r>
      <w:r>
        <w:rPr>
          <w:rFonts w:eastAsia="Calibri"/>
        </w:rPr>
        <w:t>October</w:t>
      </w:r>
      <w:r w:rsidRPr="00727449">
        <w:rPr>
          <w:rFonts w:eastAsia="Calibri"/>
          <w:sz w:val="24"/>
          <w:szCs w:val="24"/>
        </w:rPr>
        <w:t xml:space="preserve"> </w:t>
      </w:r>
      <w:r w:rsidRPr="00727449">
        <w:rPr>
          <w:rStyle w:val="SingleTxtGChar"/>
        </w:rPr>
        <w:t>201</w:t>
      </w:r>
      <w:r>
        <w:rPr>
          <w:rStyle w:val="SingleTxtGChar"/>
        </w:rPr>
        <w:t>4</w:t>
      </w:r>
      <w:r w:rsidRPr="00727449">
        <w:rPr>
          <w:rStyle w:val="SingleTxtGChar"/>
        </w:rPr>
        <w:t>,</w:t>
      </w:r>
    </w:p>
    <w:p w:rsidR="001E7626" w:rsidRPr="00727449" w:rsidRDefault="001E7626" w:rsidP="00751730">
      <w:pPr>
        <w:pStyle w:val="SingleTxtG"/>
        <w:rPr>
          <w:rStyle w:val="SingleTxtGChar"/>
        </w:rPr>
      </w:pPr>
      <w:r w:rsidRPr="00727449">
        <w:rPr>
          <w:rFonts w:eastAsia="Calibri"/>
          <w:sz w:val="24"/>
          <w:szCs w:val="24"/>
        </w:rPr>
        <w:tab/>
      </w:r>
      <w:r w:rsidRPr="00727449">
        <w:rPr>
          <w:rFonts w:eastAsia="Calibri"/>
          <w:i/>
        </w:rPr>
        <w:t>Having concluded</w:t>
      </w:r>
      <w:r w:rsidRPr="00727449">
        <w:rPr>
          <w:rFonts w:eastAsia="Calibri"/>
          <w:sz w:val="24"/>
          <w:szCs w:val="24"/>
        </w:rPr>
        <w:t xml:space="preserve"> </w:t>
      </w:r>
      <w:r w:rsidRPr="00727449">
        <w:rPr>
          <w:rStyle w:val="SingleTxtGChar"/>
        </w:rPr>
        <w:t>its con</w:t>
      </w:r>
      <w:r w:rsidR="00386A93">
        <w:rPr>
          <w:rStyle w:val="SingleTxtGChar"/>
        </w:rPr>
        <w:t>sideration of communication No.</w:t>
      </w:r>
      <w:r w:rsidR="00386A93">
        <w:rPr>
          <w:rStyle w:val="SingleTxtGChar"/>
          <w:lang w:val="fr-CH"/>
        </w:rPr>
        <w:t> </w:t>
      </w:r>
      <w:r>
        <w:rPr>
          <w:rStyle w:val="SingleTxtGChar"/>
        </w:rPr>
        <w:t>2111/2011</w:t>
      </w:r>
      <w:r w:rsidRPr="00727449">
        <w:rPr>
          <w:rStyle w:val="SingleTxtGChar"/>
        </w:rPr>
        <w:t xml:space="preserve">, submitted to the Human Rights Committee by </w:t>
      </w:r>
      <w:r>
        <w:rPr>
          <w:rStyle w:val="SingleTxtGChar"/>
        </w:rPr>
        <w:t xml:space="preserve">Sharmila Tripathi </w:t>
      </w:r>
      <w:r w:rsidRPr="00727449">
        <w:rPr>
          <w:rStyle w:val="SingleTxtGChar"/>
        </w:rPr>
        <w:t>under the Optional Protocol to the International Covenant on Civil and Political Rights,</w:t>
      </w:r>
    </w:p>
    <w:p w:rsidR="001E7626" w:rsidRPr="00727449" w:rsidRDefault="001E7626" w:rsidP="00751730">
      <w:pPr>
        <w:pStyle w:val="SingleTxtG"/>
        <w:rPr>
          <w:rStyle w:val="SingleTxtGChar"/>
        </w:rPr>
      </w:pPr>
      <w:r w:rsidRPr="00727449">
        <w:rPr>
          <w:rFonts w:eastAsia="Calibri"/>
          <w:sz w:val="24"/>
          <w:szCs w:val="24"/>
        </w:rPr>
        <w:tab/>
      </w:r>
      <w:r w:rsidRPr="00727449">
        <w:rPr>
          <w:rFonts w:eastAsia="Calibri"/>
          <w:i/>
        </w:rPr>
        <w:t>Having taken into account</w:t>
      </w:r>
      <w:r w:rsidRPr="00727449">
        <w:rPr>
          <w:rFonts w:eastAsia="Calibri"/>
          <w:sz w:val="24"/>
          <w:szCs w:val="24"/>
        </w:rPr>
        <w:t xml:space="preserve"> </w:t>
      </w:r>
      <w:r w:rsidRPr="00727449">
        <w:rPr>
          <w:rStyle w:val="SingleTxtGChar"/>
        </w:rPr>
        <w:t>all written information made available to it by the author of the communication and the State party,</w:t>
      </w:r>
    </w:p>
    <w:p w:rsidR="001E7626" w:rsidRPr="00727449" w:rsidRDefault="001E7626" w:rsidP="00751730">
      <w:pPr>
        <w:pStyle w:val="SingleTxtG"/>
        <w:rPr>
          <w:rStyle w:val="SingleTxtGChar"/>
        </w:rPr>
      </w:pPr>
      <w:r w:rsidRPr="00727449">
        <w:rPr>
          <w:rFonts w:eastAsia="Calibri"/>
          <w:sz w:val="24"/>
          <w:szCs w:val="24"/>
        </w:rPr>
        <w:tab/>
      </w:r>
      <w:r w:rsidRPr="00727449">
        <w:rPr>
          <w:rFonts w:eastAsia="Calibri"/>
          <w:i/>
        </w:rPr>
        <w:t>Adopts</w:t>
      </w:r>
      <w:r w:rsidRPr="00727449">
        <w:rPr>
          <w:rFonts w:eastAsia="Calibri"/>
        </w:rPr>
        <w:t xml:space="preserve"> </w:t>
      </w:r>
      <w:r w:rsidRPr="00727449">
        <w:rPr>
          <w:rStyle w:val="SingleTxtGChar"/>
        </w:rPr>
        <w:t>the following:</w:t>
      </w:r>
    </w:p>
    <w:p w:rsidR="001E7626" w:rsidRDefault="001E7626" w:rsidP="00D03F1E">
      <w:pPr>
        <w:pStyle w:val="H1G"/>
        <w:ind w:right="0"/>
      </w:pPr>
      <w:r w:rsidRPr="00727449">
        <w:tab/>
      </w:r>
      <w:r w:rsidRPr="00727449">
        <w:tab/>
      </w:r>
      <w:r w:rsidRPr="009E31DB">
        <w:t xml:space="preserve">Views under </w:t>
      </w:r>
      <w:r w:rsidR="001D7A6F">
        <w:t>article </w:t>
      </w:r>
      <w:r w:rsidRPr="009E31DB">
        <w:t xml:space="preserve">5, </w:t>
      </w:r>
      <w:r w:rsidR="001D7A6F">
        <w:t>paragraph </w:t>
      </w:r>
      <w:r w:rsidRPr="009E31DB">
        <w:t>4, of the Optional Protocol</w:t>
      </w:r>
    </w:p>
    <w:p w:rsidR="001E7626" w:rsidRPr="001A2F55" w:rsidRDefault="001E7626" w:rsidP="001A2F55">
      <w:pPr>
        <w:pStyle w:val="SingleTxtG"/>
      </w:pPr>
      <w:r w:rsidRPr="00727449">
        <w:t>1.</w:t>
      </w:r>
      <w:r w:rsidRPr="00727449">
        <w:tab/>
        <w:t xml:space="preserve">The author of the communication </w:t>
      </w:r>
      <w:r>
        <w:t>is</w:t>
      </w:r>
      <w:r w:rsidR="001A2F55">
        <w:rPr>
          <w:lang w:val="fr-CH"/>
        </w:rPr>
        <w:t> </w:t>
      </w:r>
      <w:r>
        <w:t xml:space="preserve">Sharmila Tripathi, who submits the communication on her </w:t>
      </w:r>
      <w:r w:rsidR="00CD1B87">
        <w:t xml:space="preserve">own </w:t>
      </w:r>
      <w:r>
        <w:t>behal</w:t>
      </w:r>
      <w:r w:rsidR="001D7A6F">
        <w:t xml:space="preserve">f and that of her husband </w:t>
      </w:r>
      <w:r>
        <w:t xml:space="preserve">Gyanendra Tripathi and their minor daughter </w:t>
      </w:r>
      <w:r w:rsidR="00CB1C33">
        <w:rPr>
          <w:lang w:val="fr-CH"/>
        </w:rPr>
        <w:t>C.T</w:t>
      </w:r>
      <w:r>
        <w:t xml:space="preserve">. They are Nepalese nationals, born on 1 January 1969, 8 June 1969 and 21 January 2002, respectively. The author </w:t>
      </w:r>
      <w:r w:rsidRPr="00727449">
        <w:t>claim</w:t>
      </w:r>
      <w:r>
        <w:t>s</w:t>
      </w:r>
      <w:r w:rsidRPr="00727449">
        <w:t xml:space="preserve"> that </w:t>
      </w:r>
      <w:r>
        <w:t>the State party</w:t>
      </w:r>
      <w:r w:rsidRPr="00727449">
        <w:t xml:space="preserve"> has violated </w:t>
      </w:r>
      <w:r>
        <w:t>Mr</w:t>
      </w:r>
      <w:r w:rsidR="001A2F55">
        <w:rPr>
          <w:lang w:val="fr-CH"/>
        </w:rPr>
        <w:t>. </w:t>
      </w:r>
      <w:r>
        <w:t>Tripathi’s</w:t>
      </w:r>
      <w:r w:rsidRPr="00727449">
        <w:t xml:space="preserve"> rights under article</w:t>
      </w:r>
      <w:r>
        <w:t>s</w:t>
      </w:r>
      <w:r w:rsidRPr="00727449">
        <w:t xml:space="preserve"> </w:t>
      </w:r>
      <w:r>
        <w:t xml:space="preserve">6; </w:t>
      </w:r>
      <w:r w:rsidRPr="00727449">
        <w:t>7</w:t>
      </w:r>
      <w:r>
        <w:t>;</w:t>
      </w:r>
      <w:r w:rsidRPr="00727449">
        <w:t xml:space="preserve"> 9</w:t>
      </w:r>
      <w:r w:rsidR="00DC0E56">
        <w:t>, paragraphs</w:t>
      </w:r>
      <w:r w:rsidR="00DC0E56">
        <w:rPr>
          <w:lang w:val="fr-CH"/>
        </w:rPr>
        <w:t> </w:t>
      </w:r>
      <w:r>
        <w:t>1</w:t>
      </w:r>
      <w:r w:rsidR="00CD1B87">
        <w:t>–</w:t>
      </w:r>
      <w:r>
        <w:t>4;</w:t>
      </w:r>
      <w:r w:rsidRPr="00727449">
        <w:t xml:space="preserve"> 10</w:t>
      </w:r>
      <w:r>
        <w:t xml:space="preserve">, </w:t>
      </w:r>
      <w:r w:rsidR="001D7A6F">
        <w:t>paragraph </w:t>
      </w:r>
      <w:r>
        <w:t xml:space="preserve">1; 16 and </w:t>
      </w:r>
      <w:r w:rsidRPr="00093F76">
        <w:t xml:space="preserve">22, alone and </w:t>
      </w:r>
      <w:r w:rsidR="00CD1B87">
        <w:t xml:space="preserve">read </w:t>
      </w:r>
      <w:r w:rsidRPr="00093F76">
        <w:t>in</w:t>
      </w:r>
      <w:r>
        <w:t xml:space="preserve"> conjunction with</w:t>
      </w:r>
      <w:r w:rsidRPr="00E12DC8">
        <w:t xml:space="preserve"> </w:t>
      </w:r>
      <w:r w:rsidR="001D7A6F">
        <w:t>article </w:t>
      </w:r>
      <w:r>
        <w:t xml:space="preserve">2, </w:t>
      </w:r>
      <w:r w:rsidR="001D7A6F">
        <w:t>paragraph </w:t>
      </w:r>
      <w:r>
        <w:t>3</w:t>
      </w:r>
      <w:r w:rsidR="00CD1B87">
        <w:t>, of the International Covenant on Civil and Political Rights</w:t>
      </w:r>
      <w:r>
        <w:t xml:space="preserve">; </w:t>
      </w:r>
      <w:r w:rsidR="00CD1B87">
        <w:t xml:space="preserve">the author’s </w:t>
      </w:r>
      <w:r>
        <w:t xml:space="preserve">rights under </w:t>
      </w:r>
      <w:r w:rsidR="001D7A6F">
        <w:t>article </w:t>
      </w:r>
      <w:r>
        <w:t xml:space="preserve">7, </w:t>
      </w:r>
      <w:r w:rsidR="00CD1B87">
        <w:t xml:space="preserve">read </w:t>
      </w:r>
      <w:r>
        <w:t xml:space="preserve">in conjunction with </w:t>
      </w:r>
      <w:r w:rsidR="001D7A6F">
        <w:t>article </w:t>
      </w:r>
      <w:r>
        <w:t xml:space="preserve">2, </w:t>
      </w:r>
      <w:r w:rsidR="001D7A6F">
        <w:t>paragraph </w:t>
      </w:r>
      <w:r>
        <w:t xml:space="preserve">3, </w:t>
      </w:r>
      <w:r w:rsidR="00CD1B87">
        <w:t>of the Covenant; and</w:t>
      </w:r>
      <w:r>
        <w:t xml:space="preserve"> </w:t>
      </w:r>
      <w:r w:rsidR="00DD41A0" w:rsidRPr="00971E2A">
        <w:t xml:space="preserve">her </w:t>
      </w:r>
      <w:r w:rsidR="00BA3736">
        <w:t xml:space="preserve">minor </w:t>
      </w:r>
      <w:r w:rsidR="00DD41A0" w:rsidRPr="00971E2A">
        <w:t xml:space="preserve">daughter’s </w:t>
      </w:r>
      <w:r>
        <w:t xml:space="preserve">rights under </w:t>
      </w:r>
      <w:r w:rsidR="001D7A6F">
        <w:t>article </w:t>
      </w:r>
      <w:r>
        <w:t>7, re</w:t>
      </w:r>
      <w:r w:rsidR="00521C2D">
        <w:t>ad in conjunction with articles</w:t>
      </w:r>
      <w:r w:rsidR="00521C2D">
        <w:rPr>
          <w:lang w:val="fr-CH"/>
        </w:rPr>
        <w:t> </w:t>
      </w:r>
      <w:r>
        <w:t xml:space="preserve">2, </w:t>
      </w:r>
      <w:r w:rsidR="001D7A6F">
        <w:t>paragraph </w:t>
      </w:r>
      <w:r>
        <w:t xml:space="preserve">3, and 24, </w:t>
      </w:r>
      <w:r w:rsidR="001D7A6F">
        <w:t>paragraph </w:t>
      </w:r>
      <w:r>
        <w:t>1,</w:t>
      </w:r>
      <w:r w:rsidRPr="00727449">
        <w:t xml:space="preserve"> of the Covenant. </w:t>
      </w:r>
      <w:r>
        <w:t>The author is</w:t>
      </w:r>
      <w:r w:rsidRPr="00727449">
        <w:t xml:space="preserve"> represented by </w:t>
      </w:r>
      <w:r>
        <w:t xml:space="preserve">counsel. </w:t>
      </w:r>
    </w:p>
    <w:p w:rsidR="001E7626" w:rsidRPr="00727449" w:rsidRDefault="001E7626" w:rsidP="00D03F1E">
      <w:pPr>
        <w:pStyle w:val="H23G"/>
        <w:ind w:right="0"/>
      </w:pPr>
      <w:r w:rsidRPr="00727449">
        <w:lastRenderedPageBreak/>
        <w:tab/>
      </w:r>
      <w:r w:rsidRPr="00727449">
        <w:tab/>
        <w:t>The facts as submitted by the author</w:t>
      </w:r>
    </w:p>
    <w:p w:rsidR="001E7626" w:rsidRPr="00521C2D" w:rsidRDefault="00373B54" w:rsidP="001A2F55">
      <w:pPr>
        <w:pStyle w:val="SingleTxtG"/>
        <w:rPr>
          <w:lang w:val="fr-CH"/>
        </w:rPr>
      </w:pPr>
      <w:r>
        <w:t>2.1</w:t>
      </w:r>
      <w:r w:rsidR="001E7626">
        <w:tab/>
      </w:r>
      <w:r w:rsidR="001E7626" w:rsidRPr="00CE3242">
        <w:t xml:space="preserve">As a result of the armed conflict </w:t>
      </w:r>
      <w:r w:rsidR="001E7626">
        <w:t>prevailing in the country</w:t>
      </w:r>
      <w:r w:rsidR="001E7626" w:rsidRPr="00CE3242">
        <w:t>, the State party authorities declared a state of emergency in November 2001.</w:t>
      </w:r>
      <w:r w:rsidR="001E7626">
        <w:t xml:space="preserve"> T</w:t>
      </w:r>
      <w:r w:rsidR="001E7626" w:rsidRPr="00EA0D28">
        <w:rPr>
          <w:spacing w:val="-2"/>
        </w:rPr>
        <w:t xml:space="preserve">he Terrorist and Disruptive Activities Ordinance </w:t>
      </w:r>
      <w:r w:rsidR="00CD1B87">
        <w:rPr>
          <w:spacing w:val="-2"/>
        </w:rPr>
        <w:t xml:space="preserve">(2001) </w:t>
      </w:r>
      <w:r w:rsidR="001E7626" w:rsidRPr="00EA0D28">
        <w:rPr>
          <w:spacing w:val="-2"/>
        </w:rPr>
        <w:t>allowed State agents</w:t>
      </w:r>
      <w:r w:rsidR="001E7626">
        <w:rPr>
          <w:spacing w:val="-2"/>
        </w:rPr>
        <w:t xml:space="preserve"> </w:t>
      </w:r>
      <w:r w:rsidR="001E7626" w:rsidRPr="00EA0D28">
        <w:rPr>
          <w:spacing w:val="-2"/>
        </w:rPr>
        <w:t>to arrest individuals on the basis of mere suspicion of involvement in terrorist activities</w:t>
      </w:r>
      <w:r w:rsidR="001E7626">
        <w:rPr>
          <w:spacing w:val="-2"/>
        </w:rPr>
        <w:t xml:space="preserve"> and</w:t>
      </w:r>
      <w:r w:rsidR="001E7626" w:rsidRPr="00EA0D28">
        <w:rPr>
          <w:spacing w:val="-2"/>
        </w:rPr>
        <w:t xml:space="preserve"> various constitutionally granted human rights </w:t>
      </w:r>
      <w:r w:rsidR="001E7626" w:rsidRPr="00373B54">
        <w:t>and</w:t>
      </w:r>
      <w:r w:rsidR="001E7626" w:rsidRPr="00EA0D28">
        <w:rPr>
          <w:spacing w:val="-2"/>
        </w:rPr>
        <w:t xml:space="preserve"> freedoms were suspended</w:t>
      </w:r>
      <w:r w:rsidR="001E7626" w:rsidRPr="009F2E99">
        <w:rPr>
          <w:spacing w:val="-2"/>
        </w:rPr>
        <w:t xml:space="preserve">. </w:t>
      </w:r>
      <w:r w:rsidR="001E7626" w:rsidRPr="009F2E99">
        <w:t xml:space="preserve">Against this background, both parties to the conflict, including the police and the </w:t>
      </w:r>
      <w:r w:rsidR="001E7626">
        <w:t>Royal Nepalese Army</w:t>
      </w:r>
      <w:r w:rsidR="00CD1B87">
        <w:t>,</w:t>
      </w:r>
      <w:r w:rsidR="001E7626" w:rsidRPr="009F2E99">
        <w:t xml:space="preserve"> committed atrocities and enforced disappearances </w:t>
      </w:r>
      <w:r w:rsidR="001E7626">
        <w:t>became</w:t>
      </w:r>
      <w:r w:rsidR="001E7626" w:rsidRPr="009F2E99">
        <w:t xml:space="preserve"> a widespread phenomenon.</w:t>
      </w:r>
      <w:r w:rsidR="001E7626" w:rsidRPr="001A2F55">
        <w:rPr>
          <w:rStyle w:val="FootnoteReference"/>
        </w:rPr>
        <w:footnoteReference w:id="3"/>
      </w:r>
      <w:r w:rsidR="001E7626" w:rsidRPr="009F2E99">
        <w:t xml:space="preserve"> </w:t>
      </w:r>
      <w:r w:rsidR="001E7626">
        <w:t>Moreover, in August 2003, the A</w:t>
      </w:r>
      <w:r w:rsidR="00C52156">
        <w:t>rmy</w:t>
      </w:r>
      <w:r w:rsidR="001E7626">
        <w:t xml:space="preserve"> arbitrarily detained several members of the All Nepal National Independent Student</w:t>
      </w:r>
      <w:r w:rsidR="00C52156">
        <w:t>s’</w:t>
      </w:r>
      <w:r w:rsidR="001E7626">
        <w:t xml:space="preserve"> Union</w:t>
      </w:r>
      <w:r w:rsidR="00C52156">
        <w:t xml:space="preserve"> </w:t>
      </w:r>
      <w:r w:rsidR="001E7626">
        <w:t>(Revolutionary) (ANNISU-R), the student wing of the Communist Party of Nepal-Maoist (CPN-M). During th</w:t>
      </w:r>
      <w:r w:rsidR="00C52156">
        <w:t>at</w:t>
      </w:r>
      <w:r w:rsidR="001E7626">
        <w:t xml:space="preserve"> period, the  Maharajgunj </w:t>
      </w:r>
      <w:r w:rsidR="00C52156">
        <w:t xml:space="preserve">army </w:t>
      </w:r>
      <w:r w:rsidR="001E7626">
        <w:t xml:space="preserve">barracks in Kathmandu, which hosted the Bhairabnath and the Yudha Bhairab </w:t>
      </w:r>
      <w:r w:rsidR="00C52156">
        <w:t>battalions</w:t>
      </w:r>
      <w:r w:rsidR="001E7626">
        <w:t>, became notorious as a place in which persons suspected of being Maoists were detained, ill-treated, tortured, disappeared and killed</w:t>
      </w:r>
      <w:r w:rsidRPr="00DA572B">
        <w:t>.</w:t>
      </w:r>
      <w:r w:rsidR="001E7626" w:rsidRPr="00DA572B">
        <w:rPr>
          <w:rStyle w:val="FootnoteReference"/>
        </w:rPr>
        <w:footnoteReference w:id="4"/>
      </w:r>
    </w:p>
    <w:p w:rsidR="001E7626" w:rsidRPr="001A2F55" w:rsidRDefault="00373B54" w:rsidP="001A2F55">
      <w:pPr>
        <w:pStyle w:val="SingleTxtG"/>
      </w:pPr>
      <w:r>
        <w:t>2.2</w:t>
      </w:r>
      <w:r w:rsidR="001D7A6F">
        <w:tab/>
        <w:t>Mr</w:t>
      </w:r>
      <w:r w:rsidR="001D7A6F">
        <w:rPr>
          <w:lang w:val="fr-CH"/>
        </w:rPr>
        <w:t>. </w:t>
      </w:r>
      <w:r w:rsidR="001E7626">
        <w:t>Tripathi was a member of the ANNISU-R Central Committee and head of the division of education in Kathmandu.</w:t>
      </w:r>
      <w:r w:rsidR="003F0E44">
        <w:t xml:space="preserve"> </w:t>
      </w:r>
      <w:r w:rsidR="001E7626">
        <w:t xml:space="preserve">On or about 2 August 2003, he was arrested by </w:t>
      </w:r>
      <w:r w:rsidR="009C0265">
        <w:t xml:space="preserve">army </w:t>
      </w:r>
      <w:r w:rsidR="001E7626">
        <w:t xml:space="preserve">personnel. He was detained in an unknown location in the Kathmandu Valley for 17 days and kept incommunicado </w:t>
      </w:r>
      <w:r w:rsidR="009C0265">
        <w:t xml:space="preserve">for </w:t>
      </w:r>
      <w:r w:rsidR="001E7626">
        <w:t>the first 3 days following his arrest. He was severely ill-treated. On or about 19 August 2003, he was handed over to the police and kept in the District Police Office in Hanumandhoka, Ka</w:t>
      </w:r>
      <w:r w:rsidR="001D7A6F">
        <w:t>thmandu, until his release on 5</w:t>
      </w:r>
      <w:r w:rsidR="001D7A6F">
        <w:rPr>
          <w:lang w:val="fr-CH"/>
        </w:rPr>
        <w:t> </w:t>
      </w:r>
      <w:r w:rsidR="001E7626">
        <w:t xml:space="preserve">September 2003. He </w:t>
      </w:r>
      <w:r w:rsidR="009C0265">
        <w:t xml:space="preserve">then </w:t>
      </w:r>
      <w:r w:rsidR="001E7626">
        <w:t xml:space="preserve">stayed </w:t>
      </w:r>
      <w:r w:rsidR="009C0265">
        <w:t xml:space="preserve">at </w:t>
      </w:r>
      <w:r w:rsidR="001E7626">
        <w:t>a friend’s house, in Shantinagar, Banseshwor Municipality, Kathmandu district. He and the author had daily phone contact until 26 September 2003. After th</w:t>
      </w:r>
      <w:r w:rsidR="009C0265">
        <w:t>at</w:t>
      </w:r>
      <w:r w:rsidR="001E7626">
        <w:t xml:space="preserve"> date she </w:t>
      </w:r>
      <w:r w:rsidR="009C0265">
        <w:t xml:space="preserve">was </w:t>
      </w:r>
      <w:r w:rsidR="001E7626">
        <w:t>not</w:t>
      </w:r>
      <w:r w:rsidR="009C0265">
        <w:t xml:space="preserve"> able</w:t>
      </w:r>
      <w:r w:rsidR="001E7626">
        <w:t xml:space="preserve"> reach him again.</w:t>
      </w:r>
    </w:p>
    <w:p w:rsidR="001E7626" w:rsidRPr="001A2F55" w:rsidRDefault="00373B54" w:rsidP="001A2F55">
      <w:pPr>
        <w:pStyle w:val="SingleTxtG"/>
      </w:pPr>
      <w:r>
        <w:t>2.3</w:t>
      </w:r>
      <w:r w:rsidR="001E7626">
        <w:tab/>
        <w:t>As the author knew that her husband had</w:t>
      </w:r>
      <w:r w:rsidR="00DA572B">
        <w:t xml:space="preserve"> an appointment</w:t>
      </w:r>
      <w:r w:rsidR="001E7626">
        <w:t xml:space="preserve"> to meet a friend at the Shantinagar Gate, on 27 September 2003 she went to th</w:t>
      </w:r>
      <w:r w:rsidR="009C0265">
        <w:t>e</w:t>
      </w:r>
      <w:r w:rsidR="001E7626">
        <w:t xml:space="preserve"> gate. However, a petrol-pump attendant told her that he saw a man, who fit</w:t>
      </w:r>
      <w:r w:rsidR="009C0265">
        <w:t>ted</w:t>
      </w:r>
      <w:r w:rsidR="001E7626">
        <w:t xml:space="preserve"> the description of her husband, being arrested and taken away by a group of persons</w:t>
      </w:r>
      <w:r w:rsidR="009C0265">
        <w:t xml:space="preserve"> in plain clothes</w:t>
      </w:r>
      <w:r w:rsidR="001E7626">
        <w:t>. She assumed that he had been taken by the A</w:t>
      </w:r>
      <w:r w:rsidR="009C0265">
        <w:t>rmy</w:t>
      </w:r>
      <w:r w:rsidR="001E7626">
        <w:t xml:space="preserve">, as </w:t>
      </w:r>
      <w:r w:rsidR="009C0265">
        <w:t xml:space="preserve">had happened to </w:t>
      </w:r>
      <w:r w:rsidR="001E7626">
        <w:t xml:space="preserve">many others Maoist supporters. </w:t>
      </w:r>
    </w:p>
    <w:p w:rsidR="001E7626" w:rsidRPr="001A2F55" w:rsidRDefault="00373B54" w:rsidP="001E0F9C">
      <w:pPr>
        <w:pStyle w:val="SingleTxtG"/>
      </w:pPr>
      <w:r>
        <w:t>2.4</w:t>
      </w:r>
      <w:r w:rsidR="001E7626">
        <w:tab/>
        <w:t>On 28 September 200</w:t>
      </w:r>
      <w:r w:rsidR="009C0265">
        <w:t>3,</w:t>
      </w:r>
      <w:r w:rsidR="001E7626">
        <w:t xml:space="preserve"> the author tried to report her husband’s </w:t>
      </w:r>
      <w:r w:rsidR="00971E2A">
        <w:t xml:space="preserve">arbitrary </w:t>
      </w:r>
      <w:r w:rsidR="001E7626">
        <w:t xml:space="preserve">arrest to the District Police Office in Hanumandhoka, Kathmandu. </w:t>
      </w:r>
      <w:r w:rsidR="009C0265">
        <w:t>However</w:t>
      </w:r>
      <w:r w:rsidR="001E0F9C">
        <w:t xml:space="preserve">, she was informed that such </w:t>
      </w:r>
      <w:r w:rsidR="001E0F9C">
        <w:rPr>
          <w:lang w:val="fr-CH"/>
        </w:rPr>
        <w:t>“</w:t>
      </w:r>
      <w:r w:rsidR="001E7626">
        <w:t>incidents</w:t>
      </w:r>
      <w:r w:rsidR="001E0F9C">
        <w:t>”</w:t>
      </w:r>
      <w:r w:rsidR="001E7626">
        <w:t xml:space="preserve"> were not </w:t>
      </w:r>
      <w:r w:rsidR="009C0265">
        <w:t xml:space="preserve">the </w:t>
      </w:r>
      <w:r w:rsidR="001E7626">
        <w:t xml:space="preserve">responsibility of the police. On the same day, she visited several </w:t>
      </w:r>
      <w:r w:rsidR="009C0265">
        <w:t>army</w:t>
      </w:r>
      <w:r w:rsidR="001E7626">
        <w:t xml:space="preserve"> barracks within the Kathmandu Valley to ascertain his whereabouts, without success. She continued visiting the barracks regularly until the ceasefire agreement was signed between the CPN-M and the Seven Party Alliance in May 2006. Although she was never harassed or threatened, each time she visited the barracks she met with complete indifference from </w:t>
      </w:r>
      <w:r w:rsidR="00203A77">
        <w:t xml:space="preserve">army </w:t>
      </w:r>
      <w:r w:rsidR="001E7626">
        <w:t xml:space="preserve">officers. </w:t>
      </w:r>
    </w:p>
    <w:p w:rsidR="001E7626" w:rsidRPr="001A2F55" w:rsidRDefault="00373B54" w:rsidP="001A2F55">
      <w:pPr>
        <w:pStyle w:val="SingleTxtG"/>
      </w:pPr>
      <w:r>
        <w:t>2.5</w:t>
      </w:r>
      <w:r w:rsidR="001E7626">
        <w:tab/>
        <w:t>On 29 September and 1 October 200</w:t>
      </w:r>
      <w:r w:rsidR="00971E2A">
        <w:t>3</w:t>
      </w:r>
      <w:r w:rsidR="00203A77">
        <w:t xml:space="preserve"> respectively,</w:t>
      </w:r>
      <w:r w:rsidR="00971E2A">
        <w:t xml:space="preserve">, </w:t>
      </w:r>
      <w:r w:rsidR="001D7A6F">
        <w:t>Mr</w:t>
      </w:r>
      <w:r w:rsidR="001D7A6F">
        <w:rPr>
          <w:lang w:val="fr-CH"/>
        </w:rPr>
        <w:t>. </w:t>
      </w:r>
      <w:r w:rsidR="001E7626">
        <w:t>S.P.</w:t>
      </w:r>
      <w:r w:rsidR="00971E2A">
        <w:t>, an advocate acting on his own initiative,</w:t>
      </w:r>
      <w:r w:rsidR="001E7626">
        <w:t xml:space="preserve"> and the author</w:t>
      </w:r>
      <w:r w:rsidR="00203A77">
        <w:t xml:space="preserve"> </w:t>
      </w:r>
      <w:r w:rsidR="001E7626">
        <w:t>lodged writs of habeas corpus before th</w:t>
      </w:r>
      <w:r w:rsidR="001D7A6F">
        <w:t xml:space="preserve">e Supreme Court </w:t>
      </w:r>
      <w:r w:rsidR="001D7A6F">
        <w:lastRenderedPageBreak/>
        <w:t>in favour of Mr</w:t>
      </w:r>
      <w:r w:rsidR="001D7A6F">
        <w:rPr>
          <w:lang w:val="fr-CH"/>
        </w:rPr>
        <w:t>. </w:t>
      </w:r>
      <w:r w:rsidR="001E7626">
        <w:t xml:space="preserve">Tripathi. The author argued that her husband </w:t>
      </w:r>
      <w:r w:rsidR="00203A77">
        <w:t xml:space="preserve">had been </w:t>
      </w:r>
      <w:r w:rsidR="001E7626">
        <w:t xml:space="preserve">illegally detained by the security forces and requested the Court to order his release. </w:t>
      </w:r>
    </w:p>
    <w:p w:rsidR="001E7626" w:rsidRPr="001A2F55" w:rsidRDefault="00373B54" w:rsidP="001A2F55">
      <w:pPr>
        <w:pStyle w:val="SingleTxtG"/>
      </w:pPr>
      <w:r>
        <w:t>2.6</w:t>
      </w:r>
      <w:r w:rsidR="001E7626">
        <w:tab/>
        <w:t>On 30 September and 1 October 2003, the Police, the A</w:t>
      </w:r>
      <w:r w:rsidR="00203A77">
        <w:t>rmy</w:t>
      </w:r>
      <w:r w:rsidR="001E7626">
        <w:t xml:space="preserve"> and the Ministry</w:t>
      </w:r>
      <w:r w:rsidR="00203A77">
        <w:t xml:space="preserve"> of Home Affairs</w:t>
      </w:r>
      <w:r w:rsidR="001E7626">
        <w:t>, among other authorities, inf</w:t>
      </w:r>
      <w:r w:rsidR="001D7A6F">
        <w:t>ormed the Supreme Court that Mr</w:t>
      </w:r>
      <w:r w:rsidR="001D7A6F">
        <w:rPr>
          <w:lang w:val="fr-CH"/>
        </w:rPr>
        <w:t>. </w:t>
      </w:r>
      <w:r w:rsidR="001E7626">
        <w:t>Tripathi had not been arrested or detained by them. In the following weeks</w:t>
      </w:r>
      <w:r w:rsidR="00203A77">
        <w:t>,</w:t>
      </w:r>
      <w:r w:rsidR="001E7626">
        <w:t xml:space="preserve"> other authorities also </w:t>
      </w:r>
      <w:r w:rsidR="00203A77">
        <w:t>stated that they had not detained him.</w:t>
      </w:r>
      <w:r w:rsidR="001E7626">
        <w:t xml:space="preserve"> In October 2003, the author also </w:t>
      </w:r>
      <w:r w:rsidR="001E7626" w:rsidRPr="00EA0D28">
        <w:t>r</w:t>
      </w:r>
      <w:r w:rsidR="001E7626">
        <w:t xml:space="preserve">eported her husband’s arbitrary detention </w:t>
      </w:r>
      <w:r w:rsidR="001E7626" w:rsidRPr="00EA0D28">
        <w:t>to the National Human Rights Commission</w:t>
      </w:r>
      <w:r w:rsidR="001E7626">
        <w:t xml:space="preserve"> and requested its help in securing his release. </w:t>
      </w:r>
    </w:p>
    <w:p w:rsidR="001E7626" w:rsidRPr="001A2F55" w:rsidRDefault="00373B54" w:rsidP="00521C2D">
      <w:pPr>
        <w:pStyle w:val="SingleTxtG"/>
      </w:pPr>
      <w:r>
        <w:t>2.7</w:t>
      </w:r>
      <w:r w:rsidR="001E7626">
        <w:tab/>
        <w:t>On 13 November 2003, the Ministry of Defence</w:t>
      </w:r>
      <w:r w:rsidR="00DA572B">
        <w:t>, without providing any detail or explanation,</w:t>
      </w:r>
      <w:r w:rsidR="001E7626">
        <w:t xml:space="preserve"> informed the Supreme Court that</w:t>
      </w:r>
      <w:r w:rsidR="00DA572B">
        <w:t xml:space="preserve">, </w:t>
      </w:r>
      <w:r w:rsidR="001E7626">
        <w:t xml:space="preserve">from the information </w:t>
      </w:r>
      <w:r w:rsidR="00A543CF">
        <w:t>available,</w:t>
      </w:r>
      <w:r w:rsidR="001E7626">
        <w:t xml:space="preserve"> it found that Gyanendra Tripathi was not </w:t>
      </w:r>
      <w:r w:rsidR="00A543CF">
        <w:t>in the</w:t>
      </w:r>
      <w:r w:rsidR="001E7626">
        <w:t xml:space="preserve"> custody</w:t>
      </w:r>
      <w:r w:rsidR="00A543CF">
        <w:t xml:space="preserve"> of the Army</w:t>
      </w:r>
      <w:r w:rsidR="00DA572B">
        <w:t>.</w:t>
      </w:r>
      <w:r w:rsidR="001E7626">
        <w:t xml:space="preserve"> </w:t>
      </w:r>
    </w:p>
    <w:p w:rsidR="001E7626" w:rsidRPr="001A2F55" w:rsidRDefault="001E7626" w:rsidP="001A2F55">
      <w:pPr>
        <w:pStyle w:val="SingleTxtG"/>
      </w:pPr>
      <w:r>
        <w:t>2.8</w:t>
      </w:r>
      <w:r>
        <w:tab/>
        <w:t>On 26 January 2004, the Supreme Court quashed the writs of habeas corpus</w:t>
      </w:r>
      <w:r w:rsidR="001D7A6F">
        <w:t xml:space="preserve"> submitted by the author and Mr</w:t>
      </w:r>
      <w:r w:rsidR="001D7A6F">
        <w:rPr>
          <w:lang w:val="fr-CH"/>
        </w:rPr>
        <w:t>. </w:t>
      </w:r>
      <w:r>
        <w:t xml:space="preserve">S.P. It stated that they </w:t>
      </w:r>
      <w:r w:rsidR="00203A77">
        <w:t xml:space="preserve">had </w:t>
      </w:r>
      <w:r>
        <w:t>failed</w:t>
      </w:r>
      <w:r w:rsidR="001D7A6F">
        <w:t xml:space="preserve"> to show that Mr</w:t>
      </w:r>
      <w:r w:rsidR="001D7A6F">
        <w:rPr>
          <w:lang w:val="fr-CH"/>
        </w:rPr>
        <w:t>. </w:t>
      </w:r>
      <w:r>
        <w:t>Tripathi was detained or in whose custody he was; that for a search warrant</w:t>
      </w:r>
      <w:r w:rsidR="00203A77">
        <w:t xml:space="preserve"> to be issued,</w:t>
      </w:r>
      <w:r>
        <w:t xml:space="preserve"> the applicants must help the Court by identifying the place or agency to be searched; and that only after the location of the detainee</w:t>
      </w:r>
      <w:r w:rsidR="00203A77">
        <w:t xml:space="preserve"> had been identified</w:t>
      </w:r>
      <w:r>
        <w:t xml:space="preserve">, </w:t>
      </w:r>
      <w:r w:rsidR="00203A77">
        <w:t xml:space="preserve">could </w:t>
      </w:r>
      <w:r>
        <w:t xml:space="preserve">the application for habeas corpus be reissued. The Court concluded that it was not necessary to carry out further investigations. </w:t>
      </w:r>
    </w:p>
    <w:p w:rsidR="001E7626" w:rsidRPr="001A2F55" w:rsidRDefault="00373B54" w:rsidP="001E0F9C">
      <w:pPr>
        <w:pStyle w:val="SingleTxtG"/>
      </w:pPr>
      <w:r>
        <w:t>2.9</w:t>
      </w:r>
      <w:r w:rsidR="001E7626">
        <w:tab/>
      </w:r>
      <w:r w:rsidR="001E7626" w:rsidRPr="00D500DA">
        <w:t xml:space="preserve">In May 2006, </w:t>
      </w:r>
      <w:r w:rsidR="001E7626">
        <w:t xml:space="preserve">the </w:t>
      </w:r>
      <w:r w:rsidR="001E7626" w:rsidRPr="00D500DA">
        <w:t>Office of the United Nations High Commissioner for Human</w:t>
      </w:r>
      <w:r w:rsidR="001E0F9C">
        <w:t xml:space="preserve"> Rights</w:t>
      </w:r>
      <w:r w:rsidR="00203A77">
        <w:t xml:space="preserve"> in </w:t>
      </w:r>
      <w:r w:rsidR="001E0F9C">
        <w:t xml:space="preserve">Nepal issued a </w:t>
      </w:r>
      <w:r w:rsidR="00203A77">
        <w:t>r</w:t>
      </w:r>
      <w:r w:rsidR="001E7626" w:rsidRPr="00D500DA">
        <w:t xml:space="preserve">eport of </w:t>
      </w:r>
      <w:r w:rsidR="00203A77">
        <w:t xml:space="preserve">an </w:t>
      </w:r>
      <w:r w:rsidR="001E7626" w:rsidRPr="00D500DA">
        <w:t xml:space="preserve">investigation into arbitrary detention, torture and disappearance at </w:t>
      </w:r>
      <w:r w:rsidR="00203A77">
        <w:t xml:space="preserve">the </w:t>
      </w:r>
      <w:r w:rsidR="001E7626" w:rsidRPr="00D500DA">
        <w:t>Maharajgunj barracks, Kathmandu, in 200</w:t>
      </w:r>
      <w:r w:rsidR="001D7A6F">
        <w:t>3</w:t>
      </w:r>
      <w:r w:rsidR="00DA572B">
        <w:t xml:space="preserve"> and </w:t>
      </w:r>
      <w:r w:rsidR="001D7A6F">
        <w:t>2004</w:t>
      </w:r>
      <w:r w:rsidR="00203A77">
        <w:t>.</w:t>
      </w:r>
      <w:r w:rsidR="001D7A6F">
        <w:t xml:space="preserve"> The report included Mr</w:t>
      </w:r>
      <w:r w:rsidR="001D7A6F">
        <w:rPr>
          <w:lang w:val="fr-CH"/>
        </w:rPr>
        <w:t>. </w:t>
      </w:r>
      <w:r w:rsidR="001E7626" w:rsidRPr="00D500DA">
        <w:t>Tripathi’s name in a list of disappeared persons</w:t>
      </w:r>
      <w:r w:rsidR="001E7626">
        <w:t xml:space="preserve"> and</w:t>
      </w:r>
      <w:r w:rsidR="001E7626" w:rsidRPr="00D500DA">
        <w:t xml:space="preserve"> stated that</w:t>
      </w:r>
      <w:r w:rsidR="009102E7">
        <w:t xml:space="preserve"> </w:t>
      </w:r>
      <w:r w:rsidR="00203A77">
        <w:t xml:space="preserve">agents of the </w:t>
      </w:r>
      <w:r w:rsidR="009102E7">
        <w:t>Bhairabnath battalion</w:t>
      </w:r>
      <w:r w:rsidR="00203A77">
        <w:t xml:space="preserve"> had</w:t>
      </w:r>
      <w:r w:rsidR="009102E7">
        <w:t xml:space="preserve"> detained several</w:t>
      </w:r>
      <w:r w:rsidR="00971E2A">
        <w:t xml:space="preserve"> </w:t>
      </w:r>
      <w:r w:rsidR="009102E7">
        <w:t>members</w:t>
      </w:r>
      <w:r w:rsidR="00203A77">
        <w:t xml:space="preserve"> of UNNISU-R</w:t>
      </w:r>
      <w:r w:rsidR="009102E7">
        <w:t xml:space="preserve">; that they were held incommunicado; and that </w:t>
      </w:r>
      <w:r w:rsidR="00203A77">
        <w:t xml:space="preserve">the Army had </w:t>
      </w:r>
      <w:r w:rsidR="009102E7">
        <w:t>denied to their families or other authorit</w:t>
      </w:r>
      <w:r w:rsidR="00203A77">
        <w:t>ies that they had been detained</w:t>
      </w:r>
      <w:r w:rsidR="009102E7">
        <w:t>.</w:t>
      </w:r>
      <w:r w:rsidR="001D7A6F">
        <w:t xml:space="preserve"> The report also stated that Mr</w:t>
      </w:r>
      <w:r w:rsidR="001D7A6F">
        <w:rPr>
          <w:lang w:val="fr-CH"/>
        </w:rPr>
        <w:t>. </w:t>
      </w:r>
      <w:r w:rsidR="009102E7">
        <w:t xml:space="preserve">Tripathi was alive and under </w:t>
      </w:r>
      <w:r w:rsidR="009F7111">
        <w:t xml:space="preserve">the </w:t>
      </w:r>
      <w:r w:rsidR="009102E7">
        <w:t>control of th</w:t>
      </w:r>
      <w:r w:rsidR="00F90671">
        <w:t>e</w:t>
      </w:r>
      <w:r w:rsidR="009102E7">
        <w:t xml:space="preserve"> battalion at least until 20 December 2003.</w:t>
      </w:r>
      <w:r w:rsidR="001E7626" w:rsidRPr="00D500DA">
        <w:rPr>
          <w:rStyle w:val="FootnoteReference"/>
          <w:sz w:val="20"/>
        </w:rPr>
        <w:footnoteReference w:id="5"/>
      </w:r>
    </w:p>
    <w:p w:rsidR="001E7626" w:rsidRPr="001A2F55" w:rsidRDefault="001E7626" w:rsidP="001A2F55">
      <w:pPr>
        <w:pStyle w:val="SingleTxtG"/>
      </w:pPr>
      <w:r>
        <w:t>2.10</w:t>
      </w:r>
      <w:r>
        <w:tab/>
      </w:r>
      <w:r w:rsidRPr="00F91C9D">
        <w:t>On 4 Ju</w:t>
      </w:r>
      <w:r w:rsidR="001D7A6F">
        <w:t xml:space="preserve">ly 2006, the </w:t>
      </w:r>
      <w:r w:rsidR="009F7111">
        <w:t xml:space="preserve">National Human Rights Commission </w:t>
      </w:r>
      <w:r w:rsidR="001D7A6F">
        <w:t>found that Mr</w:t>
      </w:r>
      <w:r w:rsidR="001D7A6F">
        <w:rPr>
          <w:lang w:val="fr-CH"/>
        </w:rPr>
        <w:t>. </w:t>
      </w:r>
      <w:r w:rsidRPr="00F91C9D">
        <w:t xml:space="preserve">Tripathi </w:t>
      </w:r>
      <w:r w:rsidR="009F7111">
        <w:t>had been</w:t>
      </w:r>
      <w:r w:rsidR="009F7111" w:rsidRPr="00F91C9D">
        <w:t xml:space="preserve"> </w:t>
      </w:r>
      <w:r w:rsidRPr="00F91C9D">
        <w:t xml:space="preserve">arrested, kept in the </w:t>
      </w:r>
      <w:r w:rsidRPr="00D500DA">
        <w:t>Maharajgunj</w:t>
      </w:r>
      <w:r w:rsidRPr="00F91C9D">
        <w:t xml:space="preserve"> barracks and disappeared by the Bhairabnath battalion</w:t>
      </w:r>
      <w:r w:rsidR="009F7111">
        <w:t>.  It r</w:t>
      </w:r>
      <w:r w:rsidRPr="00F91C9D">
        <w:t>ecommend</w:t>
      </w:r>
      <w:r w:rsidR="009F7111">
        <w:t>ed that</w:t>
      </w:r>
      <w:r w:rsidRPr="00F91C9D">
        <w:t xml:space="preserve"> the </w:t>
      </w:r>
      <w:r w:rsidR="009F7111" w:rsidRPr="00F91C9D">
        <w:t xml:space="preserve">Government </w:t>
      </w:r>
      <w:r w:rsidRPr="00F91C9D">
        <w:t xml:space="preserve">bring </w:t>
      </w:r>
      <w:r>
        <w:t>him</w:t>
      </w:r>
      <w:r w:rsidRPr="00F91C9D">
        <w:t xml:space="preserve"> under the protection of the law and </w:t>
      </w:r>
      <w:r w:rsidR="009F7111">
        <w:t xml:space="preserve">that </w:t>
      </w:r>
      <w:r w:rsidRPr="00F91C9D">
        <w:t xml:space="preserve">those responsible for </w:t>
      </w:r>
      <w:r w:rsidR="009F7111">
        <w:t>such</w:t>
      </w:r>
      <w:r w:rsidRPr="00F91C9D">
        <w:t xml:space="preserve"> crimes</w:t>
      </w:r>
      <w:r w:rsidR="009F7111">
        <w:t xml:space="preserve"> be prosecuted</w:t>
      </w:r>
      <w:r w:rsidRPr="00F91C9D">
        <w:t xml:space="preserve">. </w:t>
      </w:r>
      <w:r w:rsidR="009F7111">
        <w:t>However,</w:t>
      </w:r>
      <w:r w:rsidRPr="00F91C9D">
        <w:t xml:space="preserve"> no action </w:t>
      </w:r>
      <w:r>
        <w:t>has been</w:t>
      </w:r>
      <w:r w:rsidRPr="00F91C9D">
        <w:t xml:space="preserve"> taken by the authorities in th</w:t>
      </w:r>
      <w:r w:rsidR="009F7111">
        <w:t>at</w:t>
      </w:r>
      <w:r w:rsidRPr="00F91C9D">
        <w:t xml:space="preserve"> regard.</w:t>
      </w:r>
    </w:p>
    <w:p w:rsidR="001E7626" w:rsidRPr="001A2F55" w:rsidRDefault="001E7626" w:rsidP="001A2F55">
      <w:pPr>
        <w:pStyle w:val="SingleTxtG"/>
      </w:pPr>
      <w:r>
        <w:t>2.11</w:t>
      </w:r>
      <w:r>
        <w:tab/>
        <w:t>On 1 June 2007, the Supreme Court issued a decision concerning a</w:t>
      </w:r>
      <w:r w:rsidR="00B53E00">
        <w:t>nother</w:t>
      </w:r>
      <w:r>
        <w:t xml:space="preserve"> wr</w:t>
      </w:r>
      <w:r w:rsidR="001D7A6F">
        <w:t>it of habeas corpus filed by Mr</w:t>
      </w:r>
      <w:r w:rsidR="001D7A6F">
        <w:rPr>
          <w:lang w:val="fr-CH"/>
        </w:rPr>
        <w:t>. </w:t>
      </w:r>
      <w:r>
        <w:t>R.D. wh</w:t>
      </w:r>
      <w:r w:rsidR="00B53E00">
        <w:t>o,</w:t>
      </w:r>
      <w:r>
        <w:t xml:space="preserve"> </w:t>
      </w:r>
      <w:r w:rsidR="00B53E00">
        <w:t xml:space="preserve">acting on his own initiative, </w:t>
      </w:r>
      <w:r>
        <w:t xml:space="preserve">additionally included </w:t>
      </w:r>
      <w:r w:rsidR="001D7A6F">
        <w:t>as petitioners Mr</w:t>
      </w:r>
      <w:r w:rsidR="001D7A6F">
        <w:rPr>
          <w:lang w:val="fr-CH"/>
        </w:rPr>
        <w:t>. </w:t>
      </w:r>
      <w:r>
        <w:t>Tripathi and other persons who had been arbitrar</w:t>
      </w:r>
      <w:r w:rsidR="009F7111">
        <w:t>il</w:t>
      </w:r>
      <w:r>
        <w:t xml:space="preserve">y detained by </w:t>
      </w:r>
      <w:r w:rsidR="009F7111">
        <w:t xml:space="preserve">agents of the </w:t>
      </w:r>
      <w:r>
        <w:t xml:space="preserve">State between January 1999 and February 2004. The Court stated that they had been illegally arrested and </w:t>
      </w:r>
      <w:r w:rsidR="00AA0281">
        <w:t xml:space="preserve">forcibly </w:t>
      </w:r>
      <w:r>
        <w:t xml:space="preserve">disappeared by security personnel, and ordered the </w:t>
      </w:r>
      <w:r w:rsidR="00AA0281">
        <w:t xml:space="preserve">Government </w:t>
      </w:r>
      <w:r>
        <w:t>to take immediate measures to ensure accountability by</w:t>
      </w:r>
      <w:r w:rsidR="00AA0281">
        <w:t>,</w:t>
      </w:r>
      <w:r>
        <w:t xml:space="preserve"> </w:t>
      </w:r>
      <w:r w:rsidRPr="000820BC">
        <w:t>inter alia</w:t>
      </w:r>
      <w:r w:rsidR="00AA0281">
        <w:t>,</w:t>
      </w:r>
      <w:r>
        <w:t xml:space="preserve"> establishing a commission of inquiry, criminali</w:t>
      </w:r>
      <w:r w:rsidR="00AA0281">
        <w:t>zing</w:t>
      </w:r>
      <w:r>
        <w:t xml:space="preserve"> enforced disappearance, investigating and prosecuting those responsible for disappearances and providing adequate compensation and relief to the victims and their families.</w:t>
      </w:r>
    </w:p>
    <w:p w:rsidR="001E7626" w:rsidRPr="001A2F55" w:rsidRDefault="002E4254" w:rsidP="001A2F55">
      <w:pPr>
        <w:pStyle w:val="SingleTxtG"/>
      </w:pPr>
      <w:r>
        <w:t>2.12</w:t>
      </w:r>
      <w:r w:rsidR="001E7626" w:rsidRPr="005617B0">
        <w:tab/>
        <w:t xml:space="preserve">On 7 September 2009, the </w:t>
      </w:r>
      <w:r w:rsidR="00AA0281">
        <w:t>National Human Rights Commission</w:t>
      </w:r>
      <w:r w:rsidR="00AA0281" w:rsidRPr="005617B0">
        <w:t xml:space="preserve"> </w:t>
      </w:r>
      <w:r w:rsidR="001E7626" w:rsidRPr="005617B0">
        <w:t xml:space="preserve">issued a report concerning the Maharajgunj barracks, </w:t>
      </w:r>
      <w:r w:rsidR="00AA0281">
        <w:t xml:space="preserve">in </w:t>
      </w:r>
      <w:r w:rsidR="001E7626">
        <w:t>which</w:t>
      </w:r>
      <w:r w:rsidR="001E7626" w:rsidRPr="005617B0">
        <w:t xml:space="preserve"> </w:t>
      </w:r>
      <w:r w:rsidR="00AA0281">
        <w:t xml:space="preserve">it </w:t>
      </w:r>
      <w:r w:rsidR="001E7626" w:rsidRPr="005617B0">
        <w:t xml:space="preserve">stated that the author’s husband </w:t>
      </w:r>
      <w:r w:rsidR="00AA0281">
        <w:t xml:space="preserve">had been </w:t>
      </w:r>
      <w:r w:rsidR="001E7626" w:rsidRPr="005617B0">
        <w:t xml:space="preserve">kept in </w:t>
      </w:r>
      <w:r w:rsidR="001E7626">
        <w:t>the</w:t>
      </w:r>
      <w:r w:rsidR="001E7626" w:rsidRPr="005617B0">
        <w:t xml:space="preserve"> barrack</w:t>
      </w:r>
      <w:r w:rsidR="001E7626">
        <w:t>s</w:t>
      </w:r>
      <w:r w:rsidR="001E7626" w:rsidRPr="005617B0">
        <w:t xml:space="preserve"> a</w:t>
      </w:r>
      <w:r w:rsidR="001E7626">
        <w:t>n</w:t>
      </w:r>
      <w:r w:rsidR="001E7626" w:rsidRPr="005617B0">
        <w:t xml:space="preserve">d </w:t>
      </w:r>
      <w:r w:rsidR="00AA0281">
        <w:t xml:space="preserve">had </w:t>
      </w:r>
      <w:r w:rsidR="001E7626" w:rsidRPr="005617B0">
        <w:t>later disappeared. The C</w:t>
      </w:r>
      <w:r w:rsidR="00AA0281">
        <w:t>ommission</w:t>
      </w:r>
      <w:r w:rsidR="001E7626" w:rsidRPr="005617B0">
        <w:t xml:space="preserve"> also noted that 43 persons kept in custody at the Maharajgunj barracks </w:t>
      </w:r>
      <w:r w:rsidR="00AA0281">
        <w:t>had been</w:t>
      </w:r>
      <w:r w:rsidR="00AA0281" w:rsidRPr="005617B0">
        <w:t xml:space="preserve"> </w:t>
      </w:r>
      <w:r w:rsidR="001E7626" w:rsidRPr="005617B0">
        <w:t xml:space="preserve">taken to the Shivapuri </w:t>
      </w:r>
      <w:r w:rsidR="00523DB3" w:rsidRPr="005617B0">
        <w:t xml:space="preserve">National </w:t>
      </w:r>
      <w:r w:rsidR="00523DB3">
        <w:t>Park</w:t>
      </w:r>
      <w:r w:rsidR="001E7626" w:rsidRPr="005617B0">
        <w:t xml:space="preserve"> in </w:t>
      </w:r>
      <w:r w:rsidR="00AA0281">
        <w:t xml:space="preserve">the </w:t>
      </w:r>
      <w:r w:rsidR="001E7626" w:rsidRPr="005617B0">
        <w:t>Kathmandu</w:t>
      </w:r>
      <w:r w:rsidR="00AA0281">
        <w:t xml:space="preserve"> Valley</w:t>
      </w:r>
      <w:r w:rsidR="001E7626" w:rsidRPr="005617B0">
        <w:t xml:space="preserve"> and killed between December 2003 and January 2004.</w:t>
      </w:r>
      <w:r w:rsidR="001E7626" w:rsidRPr="005617B0">
        <w:rPr>
          <w:rStyle w:val="FootnoteReference"/>
          <w:sz w:val="20"/>
        </w:rPr>
        <w:footnoteReference w:id="6"/>
      </w:r>
    </w:p>
    <w:p w:rsidR="001E7626" w:rsidRPr="001A2F55" w:rsidRDefault="001E7626" w:rsidP="005D4D6C">
      <w:pPr>
        <w:pStyle w:val="SingleTxtG"/>
        <w:rPr>
          <w:highlight w:val="green"/>
        </w:rPr>
      </w:pPr>
      <w:r w:rsidRPr="00AE788F">
        <w:t>2.13</w:t>
      </w:r>
      <w:r w:rsidRPr="00AE788F">
        <w:tab/>
        <w:t>The author claims that she tried to exhaust all domestic remedies. Her writ of habeas corpus was quashed by the Supreme Court, the highest domestic tribunal, and there is no other domestic remedy to exhaust</w:t>
      </w:r>
      <w:r w:rsidR="00863DF2" w:rsidRPr="0052371F">
        <w:t>.</w:t>
      </w:r>
      <w:r w:rsidRPr="00AE788F">
        <w:rPr>
          <w:rStyle w:val="Appelnotedebasdep1"/>
          <w:spacing w:val="2"/>
          <w:sz w:val="20"/>
        </w:rPr>
        <w:footnoteReference w:id="7"/>
      </w:r>
      <w:r w:rsidRPr="00AE788F">
        <w:t xml:space="preserve"> The </w:t>
      </w:r>
      <w:r w:rsidR="007241C1">
        <w:t xml:space="preserve">National Human Rights Commission </w:t>
      </w:r>
      <w:r w:rsidRPr="00AE788F">
        <w:t xml:space="preserve">cannot be considered an effective remedy. As regards the </w:t>
      </w:r>
      <w:r w:rsidR="007241C1">
        <w:t>first information report</w:t>
      </w:r>
      <w:r w:rsidRPr="00AE788F">
        <w:t xml:space="preserve">, it is limited to the crimes listed in </w:t>
      </w:r>
      <w:r w:rsidR="007241C1" w:rsidRPr="00AE788F">
        <w:t>schedule</w:t>
      </w:r>
      <w:r w:rsidR="007241C1">
        <w:rPr>
          <w:lang w:val="fr-CH"/>
        </w:rPr>
        <w:t> </w:t>
      </w:r>
      <w:r w:rsidRPr="00AE788F">
        <w:t>1 of the State Cases Act of 1992</w:t>
      </w:r>
      <w:r w:rsidR="007241C1">
        <w:t>,</w:t>
      </w:r>
      <w:r w:rsidRPr="00AE788F">
        <w:t xml:space="preserve"> which does not include enforced disappearance and torture. Furthermore, the filing of </w:t>
      </w:r>
      <w:r w:rsidR="007241C1">
        <w:t>first information reports</w:t>
      </w:r>
      <w:r w:rsidR="007241C1" w:rsidRPr="00AE788F">
        <w:t xml:space="preserve"> </w:t>
      </w:r>
      <w:r w:rsidRPr="00AE788F">
        <w:t>in disappearance cases does not constitute an appropriate remedy</w:t>
      </w:r>
      <w:r w:rsidR="007241C1">
        <w:t>,</w:t>
      </w:r>
      <w:r w:rsidRPr="00AE788F">
        <w:t xml:space="preserve"> as the authorities usually argue that the person’s death cannot be proved in the absence of </w:t>
      </w:r>
      <w:r w:rsidR="007241C1">
        <w:t>a</w:t>
      </w:r>
      <w:r w:rsidR="007241C1" w:rsidRPr="00AE788F">
        <w:t xml:space="preserve"> </w:t>
      </w:r>
      <w:r w:rsidRPr="00AE788F">
        <w:t>body. Although torture is forbidden</w:t>
      </w:r>
      <w:r w:rsidR="007241C1">
        <w:t>,</w:t>
      </w:r>
      <w:r w:rsidRPr="00AE788F">
        <w:t xml:space="preserve"> pursuant to </w:t>
      </w:r>
      <w:r w:rsidRPr="00A543CF">
        <w:t>the Interim Constitution</w:t>
      </w:r>
      <w:r w:rsidRPr="00AE788F">
        <w:t xml:space="preserve"> and section 3</w:t>
      </w:r>
      <w:r w:rsidR="007241C1">
        <w:t xml:space="preserve"> </w:t>
      </w:r>
      <w:r w:rsidRPr="00AE788F">
        <w:t>(1) of the Compensation Relating to Torture Act</w:t>
      </w:r>
      <w:r w:rsidR="003873C8">
        <w:t>, 2053 (1996)</w:t>
      </w:r>
      <w:r w:rsidR="007241C1">
        <w:t>,</w:t>
      </w:r>
      <w:r w:rsidRPr="00AE788F">
        <w:t xml:space="preserve"> it has not been criminalized by national law. </w:t>
      </w:r>
      <w:r w:rsidR="007241C1">
        <w:t>The Act</w:t>
      </w:r>
      <w:r w:rsidR="007241C1" w:rsidRPr="00AE788F">
        <w:t xml:space="preserve"> </w:t>
      </w:r>
      <w:r w:rsidRPr="00AE788F">
        <w:t>does not provide for criminal accountability</w:t>
      </w:r>
      <w:r w:rsidR="007241C1">
        <w:t>,</w:t>
      </w:r>
      <w:r w:rsidRPr="00AE788F">
        <w:t xml:space="preserve"> but only for compensation of a maximum of </w:t>
      </w:r>
      <w:r w:rsidR="007241C1">
        <w:t xml:space="preserve">Nr. </w:t>
      </w:r>
      <w:r w:rsidRPr="00AE788F">
        <w:t xml:space="preserve">100,000 and a claim must be filed within 35 days of the torture or release from detention. </w:t>
      </w:r>
      <w:r w:rsidR="00540F14" w:rsidRPr="00FB38A2">
        <w:t xml:space="preserve">Despite </w:t>
      </w:r>
      <w:r w:rsidRPr="00AE788F">
        <w:t xml:space="preserve">the </w:t>
      </w:r>
      <w:r w:rsidR="007241C1">
        <w:t xml:space="preserve">order of the </w:t>
      </w:r>
      <w:r w:rsidRPr="00AE788F">
        <w:t xml:space="preserve">Supreme Court in 2007 to criminalize </w:t>
      </w:r>
      <w:r w:rsidR="00540F14" w:rsidRPr="00AE788F">
        <w:t>enforced disappearance,</w:t>
      </w:r>
      <w:r w:rsidRPr="00AE788F">
        <w:t xml:space="preserve"> no action has been taken in th</w:t>
      </w:r>
      <w:r w:rsidR="007241C1">
        <w:t>at</w:t>
      </w:r>
      <w:r w:rsidRPr="00AE788F">
        <w:t xml:space="preserve"> respect. </w:t>
      </w:r>
    </w:p>
    <w:p w:rsidR="001E7626" w:rsidRPr="00727449" w:rsidRDefault="001E7626" w:rsidP="00D03F1E">
      <w:pPr>
        <w:pStyle w:val="H23G"/>
        <w:ind w:right="0"/>
      </w:pPr>
      <w:r w:rsidRPr="00727449">
        <w:tab/>
      </w:r>
      <w:r w:rsidRPr="00727449">
        <w:tab/>
        <w:t>The complaint</w:t>
      </w:r>
    </w:p>
    <w:p w:rsidR="001E7626" w:rsidRPr="001A2F55" w:rsidRDefault="00373B54" w:rsidP="002C3764">
      <w:pPr>
        <w:pStyle w:val="SingleTxtG"/>
      </w:pPr>
      <w:r>
        <w:t>3.1</w:t>
      </w:r>
      <w:r w:rsidR="001E7626">
        <w:tab/>
        <w:t xml:space="preserve">The author argues that her husband was </w:t>
      </w:r>
      <w:r w:rsidR="003873C8">
        <w:t xml:space="preserve">the </w:t>
      </w:r>
      <w:r w:rsidR="001E7626">
        <w:t>victim of enforced disappearance and that the State party vio</w:t>
      </w:r>
      <w:r w:rsidR="005D4D6C">
        <w:t>lated his rights under articles</w:t>
      </w:r>
      <w:r w:rsidR="005D4D6C">
        <w:rPr>
          <w:lang w:val="fr-CH"/>
        </w:rPr>
        <w:t> </w:t>
      </w:r>
      <w:r w:rsidR="001E7626">
        <w:t>6; 7; 9, paragraphs</w:t>
      </w:r>
      <w:r w:rsidR="002C3764">
        <w:rPr>
          <w:lang w:val="fr-CH"/>
        </w:rPr>
        <w:t> </w:t>
      </w:r>
      <w:r w:rsidR="001E7626">
        <w:t>1</w:t>
      </w:r>
      <w:r w:rsidR="003873C8">
        <w:t>–</w:t>
      </w:r>
      <w:r w:rsidR="001E7626">
        <w:t xml:space="preserve">4; 10, </w:t>
      </w:r>
      <w:r w:rsidR="001D7A6F">
        <w:t>paragraph </w:t>
      </w:r>
      <w:r w:rsidR="001E7626">
        <w:t>1; 16; and 22</w:t>
      </w:r>
      <w:r w:rsidR="001E7626" w:rsidRPr="00093F76">
        <w:t xml:space="preserve">, alone and </w:t>
      </w:r>
      <w:r w:rsidR="003873C8">
        <w:t xml:space="preserve">read </w:t>
      </w:r>
      <w:r w:rsidR="001E7626" w:rsidRPr="00093F76">
        <w:t xml:space="preserve">in conjunction with </w:t>
      </w:r>
      <w:r w:rsidR="001D7A6F">
        <w:t>article </w:t>
      </w:r>
      <w:r w:rsidR="001E7626" w:rsidRPr="00093F76">
        <w:t xml:space="preserve">2, </w:t>
      </w:r>
      <w:r w:rsidR="001D7A6F">
        <w:t>paragraph </w:t>
      </w:r>
      <w:r w:rsidR="001E7626" w:rsidRPr="00093F76">
        <w:t>3</w:t>
      </w:r>
      <w:r w:rsidR="00DA572B">
        <w:t>,</w:t>
      </w:r>
      <w:r w:rsidR="003873C8">
        <w:t xml:space="preserve"> of the Covenant</w:t>
      </w:r>
      <w:r w:rsidR="001E7626" w:rsidRPr="00093F76">
        <w:t xml:space="preserve">; </w:t>
      </w:r>
      <w:r w:rsidR="001E7626" w:rsidRPr="00CA1686">
        <w:t xml:space="preserve">her rights under </w:t>
      </w:r>
      <w:r w:rsidR="001D7A6F" w:rsidRPr="00CA1686">
        <w:t>article </w:t>
      </w:r>
      <w:r w:rsidR="001E7626" w:rsidRPr="00A543CF">
        <w:t xml:space="preserve">7, </w:t>
      </w:r>
      <w:r w:rsidR="003873C8" w:rsidRPr="00A543CF">
        <w:t xml:space="preserve">read </w:t>
      </w:r>
      <w:r w:rsidR="001E7626" w:rsidRPr="00A543CF">
        <w:t xml:space="preserve">in conjunction with </w:t>
      </w:r>
      <w:r w:rsidR="001D7A6F" w:rsidRPr="00A543CF">
        <w:t>article </w:t>
      </w:r>
      <w:r w:rsidR="001E7626" w:rsidRPr="00A543CF">
        <w:t xml:space="preserve">2, </w:t>
      </w:r>
      <w:r w:rsidR="001D7A6F" w:rsidRPr="00A543CF">
        <w:t>paragraph </w:t>
      </w:r>
      <w:r w:rsidR="001E7626" w:rsidRPr="00A543CF">
        <w:t>3</w:t>
      </w:r>
      <w:r w:rsidR="00406EDB" w:rsidRPr="000820BC">
        <w:t>, of the Covenant</w:t>
      </w:r>
      <w:r w:rsidR="001E7626" w:rsidRPr="00CA1686">
        <w:t>;</w:t>
      </w:r>
      <w:r w:rsidR="001E7626" w:rsidRPr="00093F76">
        <w:t xml:space="preserve"> and her </w:t>
      </w:r>
      <w:r w:rsidR="00BA3736" w:rsidRPr="00BA3736">
        <w:t xml:space="preserve">minor </w:t>
      </w:r>
      <w:r w:rsidR="001E7626" w:rsidRPr="00093F76">
        <w:t>daughter’s right</w:t>
      </w:r>
      <w:r w:rsidR="00406EDB">
        <w:t>s</w:t>
      </w:r>
      <w:r w:rsidR="001E7626">
        <w:t xml:space="preserve"> under </w:t>
      </w:r>
      <w:r w:rsidR="001D7A6F">
        <w:t>article </w:t>
      </w:r>
      <w:r w:rsidR="001E7626">
        <w:t xml:space="preserve">7, </w:t>
      </w:r>
      <w:r w:rsidR="00406EDB">
        <w:t xml:space="preserve">read </w:t>
      </w:r>
      <w:r w:rsidR="001E7626">
        <w:t xml:space="preserve">in conjunction with articles 2, </w:t>
      </w:r>
      <w:r w:rsidR="001D7A6F">
        <w:t>paragraph </w:t>
      </w:r>
      <w:r w:rsidR="001E7626">
        <w:t>3</w:t>
      </w:r>
      <w:r w:rsidR="00406EDB">
        <w:t>,</w:t>
      </w:r>
      <w:r w:rsidR="001E7626">
        <w:t xml:space="preserve"> and 24, </w:t>
      </w:r>
      <w:r w:rsidR="001D7A6F">
        <w:t>paragraph </w:t>
      </w:r>
      <w:r w:rsidR="001E7626">
        <w:t xml:space="preserve">1, </w:t>
      </w:r>
      <w:r w:rsidR="001E7626" w:rsidRPr="00AE0A75">
        <w:t>of the Covenant</w:t>
      </w:r>
      <w:r w:rsidR="001E7626">
        <w:t>.</w:t>
      </w:r>
    </w:p>
    <w:p w:rsidR="001E7626" w:rsidRPr="001A2F55" w:rsidRDefault="001E7626" w:rsidP="001A2F55">
      <w:pPr>
        <w:pStyle w:val="SingleTxtG"/>
      </w:pPr>
      <w:r>
        <w:t>3.2</w:t>
      </w:r>
      <w:r>
        <w:tab/>
      </w:r>
      <w:r w:rsidRPr="005A7C4D">
        <w:t>The author claims that</w:t>
      </w:r>
      <w:r w:rsidR="00406EDB">
        <w:t>,</w:t>
      </w:r>
      <w:r w:rsidRPr="005A7C4D">
        <w:t xml:space="preserve"> although there are no eye-witnesses </w:t>
      </w:r>
      <w:r w:rsidR="00406EDB">
        <w:t>to</w:t>
      </w:r>
      <w:r w:rsidR="00406EDB" w:rsidRPr="005A7C4D">
        <w:t xml:space="preserve"> </w:t>
      </w:r>
      <w:r w:rsidRPr="005A7C4D">
        <w:t xml:space="preserve">the precise moment of her husband’s </w:t>
      </w:r>
      <w:r>
        <w:t>arrest</w:t>
      </w:r>
      <w:r w:rsidRPr="005A7C4D">
        <w:t>, there are strong reasons to believe that he was arbitrar</w:t>
      </w:r>
      <w:r w:rsidR="00406EDB">
        <w:t>il</w:t>
      </w:r>
      <w:r w:rsidRPr="005A7C4D">
        <w:t xml:space="preserve">y arrested on 26 September 2003, kept in the Maharajgunj barracks and </w:t>
      </w:r>
      <w:r w:rsidR="00406EDB">
        <w:t>forcibly</w:t>
      </w:r>
      <w:r w:rsidR="00406EDB" w:rsidRPr="005A7C4D">
        <w:t xml:space="preserve"> </w:t>
      </w:r>
      <w:r w:rsidRPr="005A7C4D">
        <w:t>disappeared</w:t>
      </w:r>
      <w:r>
        <w:t xml:space="preserve"> by State agents</w:t>
      </w:r>
      <w:r w:rsidRPr="005A7C4D">
        <w:t xml:space="preserve">. Moreover, </w:t>
      </w:r>
      <w:r>
        <w:t>in view of</w:t>
      </w:r>
      <w:r w:rsidRPr="005A7C4D">
        <w:t xml:space="preserve"> testimonies and </w:t>
      </w:r>
      <w:r>
        <w:t xml:space="preserve">other </w:t>
      </w:r>
      <w:r w:rsidRPr="005A7C4D">
        <w:t xml:space="preserve">concurrent evidence from different reliable sources, it is </w:t>
      </w:r>
      <w:r>
        <w:t xml:space="preserve">reasonable to </w:t>
      </w:r>
      <w:r w:rsidRPr="005A7C4D">
        <w:t xml:space="preserve">presume that he was </w:t>
      </w:r>
      <w:r>
        <w:t>killed</w:t>
      </w:r>
      <w:r w:rsidRPr="005A7C4D">
        <w:t xml:space="preserve"> by members of the A</w:t>
      </w:r>
      <w:r w:rsidR="00406EDB">
        <w:t>rmy</w:t>
      </w:r>
      <w:r w:rsidRPr="005A7C4D">
        <w:t xml:space="preserve">. His arbitrary deprivation of liberty took place within </w:t>
      </w:r>
      <w:r w:rsidR="00406EDB">
        <w:t>the</w:t>
      </w:r>
      <w:r w:rsidR="00406EDB" w:rsidRPr="005A7C4D">
        <w:t xml:space="preserve"> </w:t>
      </w:r>
      <w:r w:rsidRPr="005A7C4D">
        <w:t>context of massive arrests, enforced disappearances and torture of persons suspected of being Maoist</w:t>
      </w:r>
      <w:r w:rsidR="00406EDB">
        <w:t>s</w:t>
      </w:r>
      <w:r w:rsidRPr="005A7C4D">
        <w:t>. Against</w:t>
      </w:r>
      <w:r w:rsidR="003F0E44">
        <w:t xml:space="preserve"> </w:t>
      </w:r>
      <w:r w:rsidRPr="005A7C4D">
        <w:t>th</w:t>
      </w:r>
      <w:r w:rsidR="00406EDB">
        <w:t>at</w:t>
      </w:r>
      <w:r w:rsidRPr="005A7C4D">
        <w:t xml:space="preserve"> background, the burden of proof rests on the State party to provide a satisfactory and convincing explanation, establishing and disclosing with certainty h</w:t>
      </w:r>
      <w:r>
        <w:t xml:space="preserve">er husband’s </w:t>
      </w:r>
      <w:r w:rsidRPr="005A7C4D">
        <w:t xml:space="preserve">fate and whereabouts. Therefore, in </w:t>
      </w:r>
      <w:r w:rsidR="00DA572B">
        <w:t xml:space="preserve">the </w:t>
      </w:r>
      <w:r w:rsidRPr="005A7C4D">
        <w:t>light of the State party’s failure to demonstrate the contrary, the author submits that her husband’s enforced disappearance as such</w:t>
      </w:r>
      <w:r w:rsidR="00406EDB">
        <w:t>,</w:t>
      </w:r>
      <w:r w:rsidRPr="005A7C4D">
        <w:t xml:space="preserve"> and subsequent killing</w:t>
      </w:r>
      <w:r w:rsidR="00406EDB">
        <w:t>,</w:t>
      </w:r>
      <w:r w:rsidRPr="005A7C4D">
        <w:t xml:space="preserve"> constitute a violation</w:t>
      </w:r>
      <w:r w:rsidR="00540F14">
        <w:t xml:space="preserve"> by the State party</w:t>
      </w:r>
      <w:r w:rsidRPr="005A7C4D">
        <w:t xml:space="preserve"> of his right</w:t>
      </w:r>
      <w:r w:rsidR="00406EDB">
        <w:t>s</w:t>
      </w:r>
      <w:r w:rsidRPr="005A7C4D">
        <w:t xml:space="preserve"> under </w:t>
      </w:r>
      <w:r w:rsidR="001D7A6F">
        <w:t>article </w:t>
      </w:r>
      <w:r w:rsidRPr="005A7C4D">
        <w:t>6</w:t>
      </w:r>
      <w:r w:rsidR="00406EDB">
        <w:t xml:space="preserve"> of the Covenant</w:t>
      </w:r>
      <w:r w:rsidRPr="005A7C4D">
        <w:t>.</w:t>
      </w:r>
      <w:r w:rsidR="003F0E44">
        <w:t xml:space="preserve"> </w:t>
      </w:r>
    </w:p>
    <w:p w:rsidR="001E7626" w:rsidRPr="001A2F55" w:rsidRDefault="00863DF2" w:rsidP="001A2F55">
      <w:pPr>
        <w:pStyle w:val="SingleTxtG"/>
      </w:pPr>
      <w:r>
        <w:t>3.3</w:t>
      </w:r>
      <w:r w:rsidR="001E7626">
        <w:tab/>
        <w:t>The incommunicado detention and e</w:t>
      </w:r>
      <w:r w:rsidR="001E7626" w:rsidRPr="00EA0D28">
        <w:t xml:space="preserve">nforced disappearance </w:t>
      </w:r>
      <w:r w:rsidR="001E7626">
        <w:t xml:space="preserve">of the author’s husband </w:t>
      </w:r>
      <w:r w:rsidR="001E7626" w:rsidRPr="000820BC">
        <w:t>per se</w:t>
      </w:r>
      <w:r w:rsidR="001E7626" w:rsidRPr="00EA0D28">
        <w:t xml:space="preserve"> </w:t>
      </w:r>
      <w:r w:rsidR="001E7626">
        <w:t xml:space="preserve">amount </w:t>
      </w:r>
      <w:r w:rsidR="001E7626" w:rsidRPr="00EA0D28">
        <w:t xml:space="preserve">to a treatment contrary to </w:t>
      </w:r>
      <w:r w:rsidR="001D7A6F">
        <w:t>article </w:t>
      </w:r>
      <w:r w:rsidR="001E7626" w:rsidRPr="00EA0D28">
        <w:t>7</w:t>
      </w:r>
      <w:r w:rsidR="00406EDB">
        <w:t xml:space="preserve"> of the Covenant</w:t>
      </w:r>
      <w:r w:rsidR="001E7626" w:rsidRPr="00EA0D28">
        <w:t>.</w:t>
      </w:r>
      <w:r w:rsidR="001E7626">
        <w:rPr>
          <w:spacing w:val="-2"/>
        </w:rPr>
        <w:t xml:space="preserve"> By keeping him in detention without contact with the outside world since </w:t>
      </w:r>
      <w:r w:rsidR="009E192E">
        <w:rPr>
          <w:spacing w:val="-2"/>
        </w:rPr>
        <w:t>September</w:t>
      </w:r>
      <w:r w:rsidR="001E7626">
        <w:rPr>
          <w:spacing w:val="-2"/>
        </w:rPr>
        <w:t xml:space="preserve"> 2003, the authorities placed him at</w:t>
      </w:r>
      <w:r w:rsidR="00406EDB">
        <w:rPr>
          <w:spacing w:val="-2"/>
        </w:rPr>
        <w:t xml:space="preserve"> the</w:t>
      </w:r>
      <w:r w:rsidR="001E7626">
        <w:rPr>
          <w:spacing w:val="-2"/>
        </w:rPr>
        <w:t xml:space="preserve"> mercy of the </w:t>
      </w:r>
      <w:r w:rsidR="00406EDB">
        <w:rPr>
          <w:spacing w:val="-2"/>
        </w:rPr>
        <w:t xml:space="preserve">officers of the </w:t>
      </w:r>
      <w:r w:rsidR="001E7626">
        <w:rPr>
          <w:spacing w:val="-2"/>
        </w:rPr>
        <w:t>Maharajgunj barracks</w:t>
      </w:r>
      <w:r w:rsidR="00406EDB">
        <w:rPr>
          <w:spacing w:val="-2"/>
        </w:rPr>
        <w:t>.</w:t>
      </w:r>
      <w:r w:rsidR="003F0E44">
        <w:rPr>
          <w:spacing w:val="-2"/>
        </w:rPr>
        <w:t xml:space="preserve"> </w:t>
      </w:r>
      <w:r w:rsidR="001E7626">
        <w:rPr>
          <w:spacing w:val="-2"/>
        </w:rPr>
        <w:t>Further, according to eye-witnesses who saw him in the barracks, he was in poor physical condition and with visible signs of torture. It has been well</w:t>
      </w:r>
      <w:r w:rsidR="00406EDB">
        <w:rPr>
          <w:spacing w:val="-2"/>
        </w:rPr>
        <w:t xml:space="preserve"> </w:t>
      </w:r>
      <w:r w:rsidR="001E7626">
        <w:rPr>
          <w:spacing w:val="-2"/>
        </w:rPr>
        <w:t>documented that torture was a common practice at Maharajgunj barracks.</w:t>
      </w:r>
    </w:p>
    <w:p w:rsidR="001E7626" w:rsidRPr="001A2F55" w:rsidRDefault="00863DF2" w:rsidP="001D7A6F">
      <w:pPr>
        <w:pStyle w:val="SingleTxtG"/>
      </w:pPr>
      <w:r>
        <w:t>3.4</w:t>
      </w:r>
      <w:r w:rsidR="001E7626">
        <w:tab/>
        <w:t>Mr</w:t>
      </w:r>
      <w:r w:rsidR="001D7A6F">
        <w:rPr>
          <w:lang w:val="fr-CH"/>
        </w:rPr>
        <w:t>. </w:t>
      </w:r>
      <w:r w:rsidR="001E7626">
        <w:t>Tripathi’s conditions of detention at the Maharajgunj barracks also constituted a violation of his rights under articles 7</w:t>
      </w:r>
      <w:r w:rsidR="00406EDB">
        <w:t>;</w:t>
      </w:r>
      <w:r w:rsidR="001E7626">
        <w:t xml:space="preserve"> and 10, </w:t>
      </w:r>
      <w:r w:rsidR="001D7A6F">
        <w:t>paragraph </w:t>
      </w:r>
      <w:r w:rsidR="001E7626">
        <w:t>1</w:t>
      </w:r>
      <w:r w:rsidR="00406EDB">
        <w:t>, of the Covenant</w:t>
      </w:r>
      <w:r w:rsidR="001E7626">
        <w:t>.</w:t>
      </w:r>
      <w:r w:rsidR="003F0E44">
        <w:t xml:space="preserve"> </w:t>
      </w:r>
      <w:r w:rsidR="001E7626">
        <w:t>Testimonies of former detainees</w:t>
      </w:r>
      <w:r w:rsidR="00DA572B">
        <w:t>,</w:t>
      </w:r>
      <w:r w:rsidR="001E7626">
        <w:t xml:space="preserve"> as well as the reports </w:t>
      </w:r>
      <w:r w:rsidR="00406EDB">
        <w:t>of the National Human Rights Commission and OHCHR</w:t>
      </w:r>
      <w:r w:rsidR="00A543CF">
        <w:t>-</w:t>
      </w:r>
      <w:r w:rsidR="00406EDB">
        <w:t>Nepal</w:t>
      </w:r>
      <w:r w:rsidR="00DA572B">
        <w:t>,</w:t>
      </w:r>
      <w:r w:rsidR="00406EDB">
        <w:t xml:space="preserve"> </w:t>
      </w:r>
      <w:r w:rsidR="001E7626">
        <w:t>indicate that detainees were permanently handcuffed and blindfolded</w:t>
      </w:r>
      <w:r w:rsidR="00DA572B">
        <w:t xml:space="preserve"> and</w:t>
      </w:r>
      <w:r w:rsidR="001E7626">
        <w:t xml:space="preserve"> were held in overcrowded cells, with limited access to food of very poor quality, </w:t>
      </w:r>
      <w:r w:rsidR="00406EDB">
        <w:t>with dirty</w:t>
      </w:r>
      <w:r w:rsidR="001E7626">
        <w:t xml:space="preserve"> water and toilets. Those </w:t>
      </w:r>
      <w:r w:rsidR="00406EDB">
        <w:t xml:space="preserve">detainees </w:t>
      </w:r>
      <w:r w:rsidR="001E7626">
        <w:t xml:space="preserve">who </w:t>
      </w:r>
      <w:r w:rsidR="00406EDB">
        <w:t xml:space="preserve">were suffering from </w:t>
      </w:r>
      <w:r w:rsidR="001E7626">
        <w:t>diseases and infections did not receive medical treatment.</w:t>
      </w:r>
      <w:r w:rsidR="003F0E44">
        <w:t xml:space="preserve"> </w:t>
      </w:r>
    </w:p>
    <w:p w:rsidR="001E7626" w:rsidRPr="001A2F55" w:rsidRDefault="00863DF2" w:rsidP="001A2F55">
      <w:pPr>
        <w:pStyle w:val="SingleTxtG"/>
      </w:pPr>
      <w:r>
        <w:t>3.5</w:t>
      </w:r>
      <w:r w:rsidR="001E7626">
        <w:tab/>
        <w:t xml:space="preserve"> The author’s husband was also </w:t>
      </w:r>
      <w:r w:rsidR="00406EDB">
        <w:t xml:space="preserve">a </w:t>
      </w:r>
      <w:r w:rsidR="001E7626">
        <w:t xml:space="preserve">victim of violations </w:t>
      </w:r>
      <w:r w:rsidR="00406EDB">
        <w:t xml:space="preserve">of </w:t>
      </w:r>
      <w:r w:rsidR="001E7626">
        <w:t xml:space="preserve">his rights under </w:t>
      </w:r>
      <w:r w:rsidR="001D7A6F">
        <w:t>article </w:t>
      </w:r>
      <w:r w:rsidR="000F5E98">
        <w:t>9, paragraphs</w:t>
      </w:r>
      <w:r w:rsidR="000F5E98">
        <w:rPr>
          <w:lang w:val="fr-CH"/>
        </w:rPr>
        <w:t> </w:t>
      </w:r>
      <w:r w:rsidR="001E7626">
        <w:t>1</w:t>
      </w:r>
      <w:r w:rsidR="005C73A6">
        <w:t>–</w:t>
      </w:r>
      <w:r w:rsidR="001E7626">
        <w:t>4</w:t>
      </w:r>
      <w:r w:rsidR="005C73A6">
        <w:t>,</w:t>
      </w:r>
      <w:r w:rsidR="00406EDB">
        <w:t xml:space="preserve"> of the Covenant</w:t>
      </w:r>
      <w:r w:rsidR="001E7626">
        <w:t>. The fact that her husband was last seen alive in the hands of the A</w:t>
      </w:r>
      <w:r w:rsidR="00406EDB">
        <w:t>rmy</w:t>
      </w:r>
      <w:r w:rsidR="001E7626">
        <w:t xml:space="preserve"> at the Maharajgunj barracks, </w:t>
      </w:r>
      <w:r w:rsidR="00540F14">
        <w:t xml:space="preserve">in </w:t>
      </w:r>
      <w:r w:rsidR="001E7626">
        <w:t xml:space="preserve">the context of massive arrests of persons suspected of being Maoists, allows for a presumption that he was arrested on 26 September 2003 by State agents, without </w:t>
      </w:r>
      <w:r w:rsidR="00540F14">
        <w:t>any</w:t>
      </w:r>
      <w:r w:rsidR="001E7626">
        <w:t xml:space="preserve"> legal grounds. His detention was not entered in any official record or register and his relatives have never seen him again. He</w:t>
      </w:r>
      <w:r w:rsidR="001E7626" w:rsidRPr="00EA0D28">
        <w:t xml:space="preserve"> was never </w:t>
      </w:r>
      <w:r w:rsidR="001E7626">
        <w:t xml:space="preserve">charged </w:t>
      </w:r>
      <w:r w:rsidR="00540F14">
        <w:t xml:space="preserve">with </w:t>
      </w:r>
      <w:r w:rsidR="001E7626">
        <w:t xml:space="preserve">a crime, nor was he </w:t>
      </w:r>
      <w:r w:rsidR="001E7626" w:rsidRPr="00EA0D28">
        <w:t>brought before a judge</w:t>
      </w:r>
      <w:r w:rsidR="00406EDB">
        <w:t>,</w:t>
      </w:r>
      <w:r w:rsidR="001E7626" w:rsidRPr="00EA0D28">
        <w:t xml:space="preserve"> or any other official authorized by law to exercise judicial power</w:t>
      </w:r>
      <w:r w:rsidR="001E7626">
        <w:t xml:space="preserve">. </w:t>
      </w:r>
      <w:r w:rsidR="00540F14">
        <w:t>H</w:t>
      </w:r>
      <w:r w:rsidR="001E7626">
        <w:t>e was unable to</w:t>
      </w:r>
      <w:r w:rsidR="001E7626" w:rsidRPr="00EA0D28">
        <w:t xml:space="preserve"> take proceedings before a court to challenge the lawfulness of his </w:t>
      </w:r>
      <w:r w:rsidR="001E7626">
        <w:t>detention</w:t>
      </w:r>
      <w:r w:rsidR="001E7626" w:rsidRPr="00EA0D28">
        <w:t>.</w:t>
      </w:r>
      <w:r w:rsidR="001E7626" w:rsidRPr="00480ED6">
        <w:t xml:space="preserve"> </w:t>
      </w:r>
    </w:p>
    <w:p w:rsidR="001E7626" w:rsidRPr="001A2F55" w:rsidRDefault="001D7A6F" w:rsidP="001A2F55">
      <w:pPr>
        <w:pStyle w:val="SingleTxtG"/>
      </w:pPr>
      <w:r>
        <w:t>3.6</w:t>
      </w:r>
      <w:r>
        <w:tab/>
        <w:t>Mr</w:t>
      </w:r>
      <w:r>
        <w:rPr>
          <w:lang w:val="fr-CH"/>
        </w:rPr>
        <w:t>. </w:t>
      </w:r>
      <w:r w:rsidR="001E7626">
        <w:t xml:space="preserve">Tripathi’s enforced disappearance </w:t>
      </w:r>
      <w:r w:rsidR="001E7626" w:rsidRPr="00DE45AA">
        <w:t>and the failure by the authorities</w:t>
      </w:r>
      <w:r w:rsidR="001E7626" w:rsidRPr="00EA0D28">
        <w:t xml:space="preserve"> to conduct an </w:t>
      </w:r>
      <w:r w:rsidR="001E7626">
        <w:t xml:space="preserve">effective </w:t>
      </w:r>
      <w:r w:rsidR="001E7626" w:rsidRPr="00EA0D28">
        <w:t xml:space="preserve">investigation </w:t>
      </w:r>
      <w:r w:rsidR="001E7626">
        <w:t>concerning his whereabouts and fate</w:t>
      </w:r>
      <w:r w:rsidR="001E7626" w:rsidRPr="00EA0D28">
        <w:t xml:space="preserve"> </w:t>
      </w:r>
      <w:r w:rsidR="00406EDB">
        <w:t xml:space="preserve">have </w:t>
      </w:r>
      <w:r w:rsidR="001E7626" w:rsidRPr="00EA0D28">
        <w:t>maintain</w:t>
      </w:r>
      <w:r w:rsidR="00406EDB">
        <w:t>ed</w:t>
      </w:r>
      <w:r w:rsidR="001E7626" w:rsidRPr="00EA0D28">
        <w:t xml:space="preserve"> </w:t>
      </w:r>
      <w:r w:rsidR="001E7626">
        <w:t>him</w:t>
      </w:r>
      <w:r w:rsidR="001E7626" w:rsidRPr="00EA0D28">
        <w:t xml:space="preserve"> outside the protection of the law since </w:t>
      </w:r>
      <w:r w:rsidR="001E7626">
        <w:t xml:space="preserve">September 2003, preventing him from enjoying </w:t>
      </w:r>
      <w:r w:rsidR="001E7626" w:rsidRPr="000074A6">
        <w:t>his human rights and freedoms.</w:t>
      </w:r>
      <w:r w:rsidR="001E7626" w:rsidRPr="00EA0D28">
        <w:t xml:space="preserve"> Consequently</w:t>
      </w:r>
      <w:r w:rsidR="001E7626">
        <w:t>, the State party</w:t>
      </w:r>
      <w:r w:rsidR="001E7626" w:rsidRPr="00EA0D28">
        <w:t xml:space="preserve"> is responsible for a continuing violation of </w:t>
      </w:r>
      <w:r>
        <w:t>article </w:t>
      </w:r>
      <w:r w:rsidR="001E7626">
        <w:t>16 of the Covenant.</w:t>
      </w:r>
    </w:p>
    <w:p w:rsidR="001E7626" w:rsidRPr="001A2F55" w:rsidRDefault="001E7626" w:rsidP="001A2F55">
      <w:pPr>
        <w:pStyle w:val="SingleTxtG"/>
      </w:pPr>
      <w:r>
        <w:t>3.7</w:t>
      </w:r>
      <w:r>
        <w:tab/>
        <w:t xml:space="preserve">The author claims that her husband’s arbitrary detention, enforced disappearance and alleged arbitrary deprivation of life, were directly related to his membership </w:t>
      </w:r>
      <w:r w:rsidR="00406EDB">
        <w:t xml:space="preserve">of </w:t>
      </w:r>
      <w:r>
        <w:t>ANNISU-R and, therefore, constitute a violation of his right</w:t>
      </w:r>
      <w:r w:rsidR="00406EDB">
        <w:t>s</w:t>
      </w:r>
      <w:r>
        <w:t xml:space="preserve"> under </w:t>
      </w:r>
      <w:r w:rsidR="001D7A6F">
        <w:t>article </w:t>
      </w:r>
      <w:r>
        <w:t xml:space="preserve">22, </w:t>
      </w:r>
      <w:r w:rsidR="001D7A6F">
        <w:t>paragraph </w:t>
      </w:r>
      <w:r>
        <w:t>1</w:t>
      </w:r>
      <w:r w:rsidR="005C73A6">
        <w:t>,</w:t>
      </w:r>
      <w:r w:rsidR="00406EDB">
        <w:t xml:space="preserve"> of the Covenant</w:t>
      </w:r>
      <w:r>
        <w:t>.</w:t>
      </w:r>
    </w:p>
    <w:p w:rsidR="001E7626" w:rsidRPr="001A2F55" w:rsidRDefault="001E7626" w:rsidP="001A2F55">
      <w:pPr>
        <w:pStyle w:val="SingleTxtG"/>
      </w:pPr>
      <w:r>
        <w:t>3.8</w:t>
      </w:r>
      <w:r>
        <w:tab/>
      </w:r>
      <w:r w:rsidRPr="00F220A6">
        <w:t>Although the author reported promptly the arbitrary deprivation of liberty and enforced disappearance of h</w:t>
      </w:r>
      <w:r>
        <w:t>er husband</w:t>
      </w:r>
      <w:r w:rsidRPr="00F220A6">
        <w:t xml:space="preserve">, no </w:t>
      </w:r>
      <w:r w:rsidRPr="000820BC">
        <w:t>ex officio</w:t>
      </w:r>
      <w:r w:rsidRPr="00F220A6">
        <w:t>, prompt, impartial, thorough and independent investigation has been carried out</w:t>
      </w:r>
      <w:r w:rsidR="00A5720D">
        <w:t>,</w:t>
      </w:r>
      <w:r w:rsidRPr="00F220A6">
        <w:t xml:space="preserve"> and </w:t>
      </w:r>
      <w:r>
        <w:t>his</w:t>
      </w:r>
      <w:r w:rsidRPr="00F220A6">
        <w:t xml:space="preserve"> fate and whereabouts remain unknown to </w:t>
      </w:r>
      <w:r w:rsidRPr="00DE45AA">
        <w:t>date</w:t>
      </w:r>
      <w:r>
        <w:t xml:space="preserve">. </w:t>
      </w:r>
      <w:r w:rsidRPr="00DE45AA">
        <w:t>Moreover, as of today, no one has been summoned or convicted for his arbitrary deprivation of liberty</w:t>
      </w:r>
      <w:r>
        <w:t>,</w:t>
      </w:r>
      <w:r w:rsidRPr="00DE45AA">
        <w:t xml:space="preserve"> enforced disappearance</w:t>
      </w:r>
      <w:r>
        <w:t>, torture, most likely arbitrary execution and the subsequent concealment of his mortal remains</w:t>
      </w:r>
      <w:r w:rsidRPr="00DE45AA">
        <w:t>. Accordingly</w:t>
      </w:r>
      <w:r w:rsidRPr="00F220A6">
        <w:t>, the State party has</w:t>
      </w:r>
      <w:r>
        <w:t xml:space="preserve"> violated and is continuing</w:t>
      </w:r>
      <w:r w:rsidR="00A5720D">
        <w:t xml:space="preserve"> to</w:t>
      </w:r>
      <w:r>
        <w:t xml:space="preserve"> violat</w:t>
      </w:r>
      <w:r w:rsidR="00A5720D">
        <w:t>e</w:t>
      </w:r>
      <w:r w:rsidRPr="00F220A6">
        <w:t xml:space="preserve"> </w:t>
      </w:r>
      <w:r>
        <w:t>his</w:t>
      </w:r>
      <w:r w:rsidRPr="00F220A6">
        <w:t xml:space="preserve"> </w:t>
      </w:r>
      <w:r w:rsidR="001D7A6F">
        <w:t>rights under articles</w:t>
      </w:r>
      <w:r w:rsidR="001D7A6F">
        <w:rPr>
          <w:lang w:val="fr-CH"/>
        </w:rPr>
        <w:t> </w:t>
      </w:r>
      <w:r>
        <w:t xml:space="preserve">6, </w:t>
      </w:r>
      <w:r w:rsidR="001D7A6F">
        <w:t>paragraph </w:t>
      </w:r>
      <w:r>
        <w:t>1;</w:t>
      </w:r>
      <w:r w:rsidRPr="00F220A6">
        <w:t xml:space="preserve"> 7</w:t>
      </w:r>
      <w:r>
        <w:t>;</w:t>
      </w:r>
      <w:r w:rsidRPr="00F220A6">
        <w:t xml:space="preserve"> 9,</w:t>
      </w:r>
      <w:r w:rsidR="001D7A6F">
        <w:t xml:space="preserve"> paragraphs</w:t>
      </w:r>
      <w:r w:rsidR="001D7A6F">
        <w:rPr>
          <w:lang w:val="fr-CH"/>
        </w:rPr>
        <w:t> </w:t>
      </w:r>
      <w:r>
        <w:t>1</w:t>
      </w:r>
      <w:r w:rsidR="00A5720D">
        <w:t>–</w:t>
      </w:r>
      <w:r>
        <w:t>4;</w:t>
      </w:r>
      <w:r w:rsidRPr="00F220A6">
        <w:t xml:space="preserve"> 10</w:t>
      </w:r>
      <w:r>
        <w:t xml:space="preserve">, </w:t>
      </w:r>
      <w:r w:rsidR="001D7A6F">
        <w:t>paragraph </w:t>
      </w:r>
      <w:r>
        <w:t xml:space="preserve">1; 16 and 22, </w:t>
      </w:r>
      <w:r w:rsidR="00A5720D">
        <w:t xml:space="preserve">read </w:t>
      </w:r>
      <w:r w:rsidRPr="00F220A6">
        <w:t xml:space="preserve">in conjunction with </w:t>
      </w:r>
      <w:r w:rsidR="001D7A6F">
        <w:t>article </w:t>
      </w:r>
      <w:r w:rsidRPr="00F220A6">
        <w:t xml:space="preserve">2, </w:t>
      </w:r>
      <w:r w:rsidR="001D7A6F">
        <w:t>paragraph </w:t>
      </w:r>
      <w:r w:rsidRPr="00F220A6">
        <w:t>3, of the Covenant</w:t>
      </w:r>
      <w:r>
        <w:t xml:space="preserve">. </w:t>
      </w:r>
    </w:p>
    <w:p w:rsidR="001E7626" w:rsidRPr="001A2F55" w:rsidRDefault="00863DF2" w:rsidP="001A2F55">
      <w:pPr>
        <w:pStyle w:val="SingleTxtG"/>
      </w:pPr>
      <w:r>
        <w:t>3.9</w:t>
      </w:r>
      <w:r w:rsidR="001E7626">
        <w:tab/>
      </w:r>
      <w:r w:rsidR="001E7626" w:rsidRPr="007342A2">
        <w:t>The author claims that the State party violated her right</w:t>
      </w:r>
      <w:r w:rsidR="001E7626">
        <w:t>s</w:t>
      </w:r>
      <w:r w:rsidR="001E7626" w:rsidRPr="007342A2">
        <w:t xml:space="preserve"> under </w:t>
      </w:r>
      <w:r w:rsidR="001D7A6F">
        <w:t>article </w:t>
      </w:r>
      <w:r w:rsidR="001E7626" w:rsidRPr="007342A2">
        <w:t xml:space="preserve">7, read in conjunction with </w:t>
      </w:r>
      <w:r w:rsidR="001D7A6F">
        <w:t>article </w:t>
      </w:r>
      <w:r w:rsidR="001E7626" w:rsidRPr="007342A2">
        <w:t xml:space="preserve">2, </w:t>
      </w:r>
      <w:r w:rsidR="001D7A6F">
        <w:t>paragraph </w:t>
      </w:r>
      <w:r w:rsidR="001E7626" w:rsidRPr="007342A2">
        <w:t xml:space="preserve">3, </w:t>
      </w:r>
      <w:r w:rsidR="00A5720D">
        <w:t xml:space="preserve">of the Covenant, </w:t>
      </w:r>
      <w:r w:rsidR="001E7626" w:rsidRPr="007342A2">
        <w:t xml:space="preserve">as she was subjected to deep anguish and distress </w:t>
      </w:r>
      <w:r w:rsidR="00A5720D">
        <w:t>owing</w:t>
      </w:r>
      <w:r w:rsidR="001E7626" w:rsidRPr="007342A2">
        <w:t xml:space="preserve"> to the arbitrary arrest and subsequent enforced disappearance of her husband, as well as to the acts and omission</w:t>
      </w:r>
      <w:r w:rsidR="00A5720D">
        <w:t>s</w:t>
      </w:r>
      <w:r w:rsidR="001E7626" w:rsidRPr="007342A2">
        <w:t xml:space="preserve"> of the authorities in dealing with th</w:t>
      </w:r>
      <w:r w:rsidR="00A5720D">
        <w:t>ose</w:t>
      </w:r>
      <w:r w:rsidR="001E7626" w:rsidRPr="007342A2">
        <w:t xml:space="preserve">e issues. As a result of her husband’s disappearance, she </w:t>
      </w:r>
      <w:r w:rsidR="00A5720D">
        <w:t xml:space="preserve">has </w:t>
      </w:r>
      <w:r w:rsidR="001E7626" w:rsidRPr="007342A2">
        <w:t xml:space="preserve">had to bring </w:t>
      </w:r>
      <w:r w:rsidR="00A5720D">
        <w:t xml:space="preserve">up </w:t>
      </w:r>
      <w:r w:rsidR="001E7626" w:rsidRPr="007342A2">
        <w:t>her daughter alone. In th</w:t>
      </w:r>
      <w:r w:rsidR="00A5720D">
        <w:t>at</w:t>
      </w:r>
      <w:r w:rsidR="001E7626" w:rsidRPr="007342A2">
        <w:t xml:space="preserve"> regard, she argues that wives and families of disappeared persons are often stigmati</w:t>
      </w:r>
      <w:r w:rsidR="00A5720D">
        <w:t>zed</w:t>
      </w:r>
      <w:r w:rsidR="001E7626" w:rsidRPr="007342A2">
        <w:t xml:space="preserve"> in Nepal. </w:t>
      </w:r>
    </w:p>
    <w:p w:rsidR="001E7626" w:rsidRPr="001A2F55" w:rsidRDefault="001E7626" w:rsidP="001D7A6F">
      <w:pPr>
        <w:pStyle w:val="SingleTxtG"/>
      </w:pPr>
      <w:r>
        <w:t>3.10</w:t>
      </w:r>
      <w:r>
        <w:tab/>
        <w:t>The author also contends that her daughter is</w:t>
      </w:r>
      <w:r w:rsidR="00A5720D">
        <w:t xml:space="preserve"> the</w:t>
      </w:r>
      <w:r>
        <w:t xml:space="preserve"> victim </w:t>
      </w:r>
      <w:r w:rsidR="00A5720D">
        <w:t xml:space="preserve">of </w:t>
      </w:r>
      <w:r>
        <w:t xml:space="preserve">a violation of her rights under </w:t>
      </w:r>
      <w:r w:rsidR="001D7A6F">
        <w:t>article </w:t>
      </w:r>
      <w:r>
        <w:t>7, re</w:t>
      </w:r>
      <w:r w:rsidR="000F5E98">
        <w:t>ad in conjunction with articles</w:t>
      </w:r>
      <w:r w:rsidR="000F5E98">
        <w:rPr>
          <w:lang w:val="fr-CH"/>
        </w:rPr>
        <w:t> </w:t>
      </w:r>
      <w:r>
        <w:t xml:space="preserve">2, </w:t>
      </w:r>
      <w:r w:rsidR="001D7A6F">
        <w:t>paragraph </w:t>
      </w:r>
      <w:r>
        <w:t>3</w:t>
      </w:r>
      <w:r w:rsidR="00A5720D">
        <w:t>,</w:t>
      </w:r>
      <w:r>
        <w:t xml:space="preserve"> and 24, </w:t>
      </w:r>
      <w:r w:rsidR="001D7A6F">
        <w:t>paragraph </w:t>
      </w:r>
      <w:r>
        <w:t>1</w:t>
      </w:r>
      <w:r w:rsidR="00A5720D">
        <w:t>, of the Covenant</w:t>
      </w:r>
      <w:r>
        <w:t xml:space="preserve">. </w:t>
      </w:r>
      <w:r w:rsidRPr="00FD3DF7">
        <w:t xml:space="preserve">She was </w:t>
      </w:r>
      <w:r w:rsidR="00A5720D">
        <w:t>one</w:t>
      </w:r>
      <w:r w:rsidR="001D7A6F">
        <w:rPr>
          <w:lang w:val="fr-CH"/>
        </w:rPr>
        <w:t> </w:t>
      </w:r>
      <w:r w:rsidRPr="00FD3DF7">
        <w:t xml:space="preserve">year and </w:t>
      </w:r>
      <w:r w:rsidR="00A5720D">
        <w:t>eight</w:t>
      </w:r>
      <w:r w:rsidRPr="00FD3DF7">
        <w:t xml:space="preserve"> months old at the time of her </w:t>
      </w:r>
      <w:r w:rsidR="00A5720D">
        <w:t>father’s</w:t>
      </w:r>
      <w:r w:rsidR="00A5720D" w:rsidRPr="00FD3DF7">
        <w:t xml:space="preserve"> </w:t>
      </w:r>
      <w:r w:rsidRPr="00FD3DF7">
        <w:t>disappearance. As</w:t>
      </w:r>
      <w:r w:rsidR="00540F14">
        <w:t xml:space="preserve"> </w:t>
      </w:r>
      <w:r w:rsidR="00D301F0">
        <w:t xml:space="preserve">a </w:t>
      </w:r>
      <w:r w:rsidR="00540F14">
        <w:t>child</w:t>
      </w:r>
      <w:r w:rsidRPr="00FD3DF7">
        <w:t xml:space="preserve">, she </w:t>
      </w:r>
      <w:r>
        <w:t>has been</w:t>
      </w:r>
      <w:r w:rsidRPr="00FD3DF7">
        <w:t xml:space="preserve"> particularly affected</w:t>
      </w:r>
      <w:r w:rsidR="00A5720D">
        <w:t>,</w:t>
      </w:r>
      <w:r w:rsidRPr="00FD3DF7">
        <w:t xml:space="preserve"> since she has </w:t>
      </w:r>
      <w:r>
        <w:t>ha</w:t>
      </w:r>
      <w:r w:rsidRPr="00FD3DF7">
        <w:t xml:space="preserve">d to grow up without being able to enjoy a family life and experiencing the ongoing anguish of not knowing where her father </w:t>
      </w:r>
      <w:r w:rsidR="00A5720D">
        <w:t>is</w:t>
      </w:r>
      <w:r w:rsidR="00A5720D" w:rsidRPr="00FD3DF7">
        <w:t xml:space="preserve"> </w:t>
      </w:r>
      <w:r w:rsidRPr="00FD3DF7">
        <w:t>and whether he w</w:t>
      </w:r>
      <w:r w:rsidR="00A5720D">
        <w:t>ill</w:t>
      </w:r>
      <w:r w:rsidRPr="00FD3DF7">
        <w:t xml:space="preserve"> come back. </w:t>
      </w:r>
    </w:p>
    <w:p w:rsidR="001E7626" w:rsidRPr="001A2F55" w:rsidRDefault="001E7626" w:rsidP="001A2F55">
      <w:pPr>
        <w:pStyle w:val="SingleTxtG"/>
      </w:pPr>
      <w:r>
        <w:t>3.11</w:t>
      </w:r>
      <w:r>
        <w:tab/>
        <w:t xml:space="preserve">The author requests the Committee to recommend the State party to: </w:t>
      </w:r>
      <w:r w:rsidR="00A5720D">
        <w:t>(a</w:t>
      </w:r>
      <w:r>
        <w:t xml:space="preserve">) </w:t>
      </w:r>
      <w:r w:rsidRPr="00EA0D28">
        <w:t>order</w:t>
      </w:r>
      <w:r>
        <w:t xml:space="preserve"> an</w:t>
      </w:r>
      <w:r w:rsidRPr="00EA0D28">
        <w:t xml:space="preserve"> independent investigation</w:t>
      </w:r>
      <w:r w:rsidR="00A5720D">
        <w:t>,</w:t>
      </w:r>
      <w:r w:rsidRPr="00EA0D28">
        <w:t xml:space="preserve"> as a matter of urgency</w:t>
      </w:r>
      <w:r w:rsidR="00A5720D">
        <w:t>,</w:t>
      </w:r>
      <w:r w:rsidRPr="00EA0D28">
        <w:t xml:space="preserve"> </w:t>
      </w:r>
      <w:r>
        <w:t>concerning</w:t>
      </w:r>
      <w:r w:rsidRPr="00EA0D28">
        <w:t xml:space="preserve"> the fate and whereabouts of </w:t>
      </w:r>
      <w:r>
        <w:t>her husband</w:t>
      </w:r>
      <w:r w:rsidRPr="00EA0D28">
        <w:t xml:space="preserve"> and, in the event of his death, locat</w:t>
      </w:r>
      <w:r>
        <w:t>e</w:t>
      </w:r>
      <w:r w:rsidRPr="00EA0D28">
        <w:t>, exhum</w:t>
      </w:r>
      <w:r>
        <w:t>e</w:t>
      </w:r>
      <w:r w:rsidRPr="00EA0D28">
        <w:t xml:space="preserve">, identify and respect his mortal remains and return them to </w:t>
      </w:r>
      <w:r>
        <w:t>the family</w:t>
      </w:r>
      <w:r w:rsidRPr="00EA0D28">
        <w:t xml:space="preserve">; </w:t>
      </w:r>
      <w:r w:rsidR="00A5720D">
        <w:t>(b</w:t>
      </w:r>
      <w:r>
        <w:t>)</w:t>
      </w:r>
      <w:r w:rsidRPr="00EA0D28">
        <w:t xml:space="preserve"> bring the perpetrators before the competent civilian authorities for prosecution, judgment and sanction, and disseminate publicly the results of th</w:t>
      </w:r>
      <w:r w:rsidR="00A5720D">
        <w:t>at</w:t>
      </w:r>
      <w:r w:rsidRPr="00EA0D28">
        <w:t xml:space="preserve"> measure;</w:t>
      </w:r>
      <w:r>
        <w:t xml:space="preserve"> </w:t>
      </w:r>
      <w:r w:rsidR="00A5720D">
        <w:t>(c</w:t>
      </w:r>
      <w:r>
        <w:t xml:space="preserve">) provisionally separate from service all army officials against whom there is </w:t>
      </w:r>
      <w:r w:rsidRPr="000820BC">
        <w:t>prima facie</w:t>
      </w:r>
      <w:r>
        <w:t xml:space="preserve"> evidence that they were involved in the crimes against her husband, pending the outcome of </w:t>
      </w:r>
      <w:r w:rsidR="00A5720D">
        <w:t xml:space="preserve">the </w:t>
      </w:r>
      <w:r>
        <w:t xml:space="preserve">investigation; </w:t>
      </w:r>
      <w:r w:rsidR="00A5720D">
        <w:t>(d</w:t>
      </w:r>
      <w:r>
        <w:t>) ensure that persons suspected of having committed th</w:t>
      </w:r>
      <w:r w:rsidR="00A5720D">
        <w:t>ose</w:t>
      </w:r>
      <w:r>
        <w:t xml:space="preserve"> crimes are not in a position to influence the progress of the investigation by means of pressure</w:t>
      </w:r>
      <w:r w:rsidR="00A5720D">
        <w:t>,</w:t>
      </w:r>
      <w:r>
        <w:t xml:space="preserve"> or acts of intimidation or reprisal against the complainant, witnesses, their families or their defence counsels</w:t>
      </w:r>
      <w:r w:rsidR="00A5720D">
        <w:t>,</w:t>
      </w:r>
      <w:r>
        <w:t xml:space="preserve"> or other persons participating in the investigation; </w:t>
      </w:r>
      <w:r w:rsidR="00A5720D">
        <w:t>(e</w:t>
      </w:r>
      <w:r>
        <w:t xml:space="preserve">) ensure that the author and her daughter obtain integral reparation and prompt, fair and adequate compensation; and </w:t>
      </w:r>
      <w:r w:rsidR="00A5720D">
        <w:t>(f</w:t>
      </w:r>
      <w:r>
        <w:t xml:space="preserve">) </w:t>
      </w:r>
      <w:r w:rsidRPr="00EA0D28">
        <w:t xml:space="preserve">ensure that the measures of reparation cover material and moral damages and measures </w:t>
      </w:r>
      <w:r>
        <w:t>of</w:t>
      </w:r>
      <w:r w:rsidRPr="00EA0D28">
        <w:t xml:space="preserve"> restitution</w:t>
      </w:r>
      <w:r>
        <w:t>,</w:t>
      </w:r>
      <w:r w:rsidRPr="00EA0D28">
        <w:t xml:space="preserve"> rehabilitation</w:t>
      </w:r>
      <w:r>
        <w:t>,</w:t>
      </w:r>
      <w:r w:rsidRPr="00EA0D28">
        <w:t xml:space="preserve"> satisfaction and guarantees o</w:t>
      </w:r>
      <w:r>
        <w:t>f non-repetition. In particular, she requests that the State party</w:t>
      </w:r>
      <w:r w:rsidRPr="00EA0D28">
        <w:t xml:space="preserve"> acknowledge its international responsibility, on the occasion of a public ceremony, in the presence of the authorities and of </w:t>
      </w:r>
      <w:r w:rsidR="001D7A6F">
        <w:t>Mr</w:t>
      </w:r>
      <w:r w:rsidR="001D7A6F">
        <w:rPr>
          <w:lang w:val="fr-CH"/>
        </w:rPr>
        <w:t>. </w:t>
      </w:r>
      <w:r>
        <w:t>Tripathi’s relatives</w:t>
      </w:r>
      <w:r w:rsidR="00A5720D">
        <w:t>,</w:t>
      </w:r>
      <w:r w:rsidRPr="00EA0D28">
        <w:t xml:space="preserve"> to whom off</w:t>
      </w:r>
      <w:r>
        <w:t>icial apologies shall be issued; and that the State party name</w:t>
      </w:r>
      <w:r w:rsidRPr="00EA0D28">
        <w:t xml:space="preserve"> a street</w:t>
      </w:r>
      <w:r w:rsidR="00A5720D">
        <w:t>,</w:t>
      </w:r>
      <w:r w:rsidRPr="00EA0D28">
        <w:t xml:space="preserve"> build a monument or </w:t>
      </w:r>
      <w:r w:rsidR="00A5720D">
        <w:t xml:space="preserve">place </w:t>
      </w:r>
      <w:r w:rsidRPr="00EA0D28">
        <w:t>a commemorative pla</w:t>
      </w:r>
      <w:r w:rsidR="00A5720D">
        <w:t>que</w:t>
      </w:r>
      <w:r w:rsidRPr="00EA0D28">
        <w:t xml:space="preserve"> in memory of all the victims of enforced disappearance </w:t>
      </w:r>
      <w:r>
        <w:t xml:space="preserve">and torture </w:t>
      </w:r>
      <w:r w:rsidRPr="00EA0D28">
        <w:t>during the inte</w:t>
      </w:r>
      <w:r>
        <w:t>rnal armed conflict, including a speci</w:t>
      </w:r>
      <w:r w:rsidR="001D7A6F">
        <w:t>fic reference to the case of Mr</w:t>
      </w:r>
      <w:r w:rsidR="001D7A6F">
        <w:rPr>
          <w:lang w:val="fr-CH"/>
        </w:rPr>
        <w:t>. </w:t>
      </w:r>
      <w:r>
        <w:t>Tripathi</w:t>
      </w:r>
      <w:r w:rsidR="00A5720D">
        <w:t>,</w:t>
      </w:r>
      <w:r>
        <w:t xml:space="preserve"> whereby his reputation is fully restored. The State party should</w:t>
      </w:r>
      <w:r w:rsidRPr="00EA0D28">
        <w:t xml:space="preserve"> </w:t>
      </w:r>
      <w:r>
        <w:t xml:space="preserve">also </w:t>
      </w:r>
      <w:r w:rsidRPr="00EA0D28">
        <w:t xml:space="preserve">provide </w:t>
      </w:r>
      <w:r>
        <w:t xml:space="preserve">the author </w:t>
      </w:r>
      <w:r w:rsidRPr="00EA0D28">
        <w:t>with medical and psychological care immediately and free of charge, through its speciali</w:t>
      </w:r>
      <w:r w:rsidR="00A5720D">
        <w:t>zed</w:t>
      </w:r>
      <w:r w:rsidRPr="00EA0D28">
        <w:t xml:space="preserve"> institutions, and grant h</w:t>
      </w:r>
      <w:r>
        <w:t>er</w:t>
      </w:r>
      <w:r w:rsidRPr="00EA0D28">
        <w:t xml:space="preserve"> access to free legal aid</w:t>
      </w:r>
      <w:r w:rsidR="00A5720D">
        <w:t>,</w:t>
      </w:r>
      <w:r w:rsidRPr="00EA0D28">
        <w:t xml:space="preserve"> where necessary, in order to ensure </w:t>
      </w:r>
      <w:r>
        <w:t xml:space="preserve">to </w:t>
      </w:r>
      <w:r w:rsidRPr="00EA0D28">
        <w:t>h</w:t>
      </w:r>
      <w:r>
        <w:t>er</w:t>
      </w:r>
      <w:r w:rsidRPr="00EA0D28">
        <w:t xml:space="preserve"> available, ef</w:t>
      </w:r>
      <w:r>
        <w:t xml:space="preserve">fective and sufficient remedies. Likewise, the author’s daughter should be provided with a scholarship for the remainder of her education. </w:t>
      </w:r>
      <w:r w:rsidRPr="00EA0D28">
        <w:t>As a guarantee of non-repet</w:t>
      </w:r>
      <w:r>
        <w:t>ition, the State party</w:t>
      </w:r>
      <w:r w:rsidRPr="00EA0D28">
        <w:t xml:space="preserve"> sh</w:t>
      </w:r>
      <w:r>
        <w:t>ould</w:t>
      </w:r>
      <w:r w:rsidRPr="00EA0D28">
        <w:t xml:space="preserve"> take the necessary measures to ensure that enforced disappearance and torture</w:t>
      </w:r>
      <w:r>
        <w:t>, and the different forms of participation in these crimes,</w:t>
      </w:r>
      <w:r w:rsidRPr="00EA0D28">
        <w:t xml:space="preserve"> constitute autonomous offences under its criminal law, punishable by appropriate penalties which take into account their extreme seriousness</w:t>
      </w:r>
      <w:r>
        <w:t>.</w:t>
      </w:r>
      <w:r w:rsidRPr="00EA0D28">
        <w:t xml:space="preserve"> Finally, </w:t>
      </w:r>
      <w:r>
        <w:t>the State party should</w:t>
      </w:r>
      <w:r w:rsidRPr="00EA0D28">
        <w:t xml:space="preserve"> establish</w:t>
      </w:r>
      <w:r w:rsidR="008765E6">
        <w:t>,</w:t>
      </w:r>
      <w:r w:rsidRPr="00EA0D28">
        <w:t xml:space="preserve"> as soon as possible</w:t>
      </w:r>
      <w:r w:rsidR="008765E6">
        <w:t>,</w:t>
      </w:r>
      <w:r w:rsidRPr="00EA0D28">
        <w:t xml:space="preserve"> educational programmes on international human rights law and international humanitarian law for all members of the </w:t>
      </w:r>
      <w:r w:rsidR="00A5720D" w:rsidRPr="00EA0D28">
        <w:t>Army</w:t>
      </w:r>
      <w:r w:rsidRPr="00EA0D28">
        <w:t>, the security forces and the judiciary.</w:t>
      </w:r>
    </w:p>
    <w:p w:rsidR="001E7626" w:rsidRPr="00727449" w:rsidRDefault="001E7626" w:rsidP="00D03F1E">
      <w:pPr>
        <w:pStyle w:val="H23G"/>
        <w:ind w:right="0"/>
      </w:pPr>
      <w:r w:rsidRPr="00727449">
        <w:tab/>
      </w:r>
      <w:r w:rsidRPr="00727449">
        <w:tab/>
        <w:t xml:space="preserve">State party’s observations on admissibility </w:t>
      </w:r>
      <w:r>
        <w:t xml:space="preserve">and </w:t>
      </w:r>
      <w:r w:rsidRPr="00766DF4">
        <w:t>the merits</w:t>
      </w:r>
    </w:p>
    <w:p w:rsidR="001E7626" w:rsidRPr="001A2F55" w:rsidRDefault="001E7626" w:rsidP="001A2F55">
      <w:pPr>
        <w:pStyle w:val="SingleTxtG"/>
      </w:pPr>
      <w:r w:rsidRPr="00727449">
        <w:t>4.1</w:t>
      </w:r>
      <w:r w:rsidRPr="00727449">
        <w:tab/>
      </w:r>
      <w:r>
        <w:t>On</w:t>
      </w:r>
      <w:r w:rsidRPr="00727449">
        <w:t xml:space="preserve"> </w:t>
      </w:r>
      <w:r w:rsidR="00154B75" w:rsidRPr="00154B75">
        <w:t>10 May 2012</w:t>
      </w:r>
      <w:r w:rsidRPr="00727449">
        <w:t>, the State party submitted its observations</w:t>
      </w:r>
      <w:r>
        <w:t xml:space="preserve"> on admissibility and the merits. It maintains that the communication is not in conformity with </w:t>
      </w:r>
      <w:r w:rsidR="00BB2DF7">
        <w:t xml:space="preserve">rules </w:t>
      </w:r>
      <w:r>
        <w:t>96</w:t>
      </w:r>
      <w:r w:rsidR="00BB2DF7">
        <w:t xml:space="preserve"> </w:t>
      </w:r>
      <w:r>
        <w:t>(b), (c) and (f) of the Committee’s rules of procedure</w:t>
      </w:r>
      <w:r w:rsidR="00863DF2" w:rsidRPr="0052371F">
        <w:t>.</w:t>
      </w:r>
      <w:r>
        <w:rPr>
          <w:rStyle w:val="FootnoteReference"/>
        </w:rPr>
        <w:footnoteReference w:id="8"/>
      </w:r>
      <w:r>
        <w:t xml:space="preserve"> It </w:t>
      </w:r>
      <w:r w:rsidR="00D301F0" w:rsidRPr="00D5620E">
        <w:t xml:space="preserve">argues </w:t>
      </w:r>
      <w:r>
        <w:t>that the author has not exhausted all domestic remedies</w:t>
      </w:r>
      <w:r w:rsidR="00BB2DF7">
        <w:t>,</w:t>
      </w:r>
      <w:r>
        <w:t xml:space="preserve"> as she failed to register a </w:t>
      </w:r>
      <w:r w:rsidR="00BB2DF7">
        <w:t xml:space="preserve">first information report with </w:t>
      </w:r>
      <w:r>
        <w:t>the police for the alleged human rights violations raised in her communication</w:t>
      </w:r>
      <w:r w:rsidRPr="00727449">
        <w:t xml:space="preserve">. </w:t>
      </w:r>
      <w:r>
        <w:t xml:space="preserve">On the other hand, habeas corpus proceedings, </w:t>
      </w:r>
      <w:r w:rsidR="00BB2DF7">
        <w:t xml:space="preserve">such </w:t>
      </w:r>
      <w:r>
        <w:t>as the one instituted by the author, are limited to review</w:t>
      </w:r>
      <w:r w:rsidR="00BB2DF7">
        <w:t>ing</w:t>
      </w:r>
      <w:r>
        <w:t xml:space="preserve"> the legality of a detention and an order of habeas corpus is issued by a court </w:t>
      </w:r>
      <w:r w:rsidR="00D301F0" w:rsidRPr="00D5620E">
        <w:t xml:space="preserve">only </w:t>
      </w:r>
      <w:r>
        <w:t>when it is prove</w:t>
      </w:r>
      <w:r w:rsidR="00D301F0" w:rsidRPr="00D5620E">
        <w:t>n</w:t>
      </w:r>
      <w:r>
        <w:t xml:space="preserve"> that a detention has taken place. </w:t>
      </w:r>
    </w:p>
    <w:p w:rsidR="001E7626" w:rsidRPr="001A2F55" w:rsidRDefault="00863DF2" w:rsidP="001A2F55">
      <w:pPr>
        <w:pStyle w:val="SingleTxtG"/>
      </w:pPr>
      <w:r>
        <w:t>4.2</w:t>
      </w:r>
      <w:r w:rsidR="001E7626">
        <w:tab/>
        <w:t>The legislation in force at the moment</w:t>
      </w:r>
      <w:r w:rsidR="00EA2D48">
        <w:t xml:space="preserve"> that</w:t>
      </w:r>
      <w:r w:rsidR="001E7626">
        <w:t xml:space="preserve"> the State party’s observations were submitted, allowed victims of torture to seek compensation. In addition, the State party </w:t>
      </w:r>
      <w:r w:rsidR="00EA2D48">
        <w:t xml:space="preserve">stated </w:t>
      </w:r>
      <w:r w:rsidR="001E7626">
        <w:t>that amendments to the</w:t>
      </w:r>
      <w:r w:rsidR="008744E0">
        <w:t xml:space="preserve"> Penal Code and other </w:t>
      </w:r>
      <w:r w:rsidR="001E7626">
        <w:t xml:space="preserve">legislation </w:t>
      </w:r>
      <w:r w:rsidR="00EA2D48">
        <w:t>aimed at</w:t>
      </w:r>
      <w:r w:rsidR="001E7626">
        <w:t xml:space="preserve"> criminaliz</w:t>
      </w:r>
      <w:r w:rsidR="00EA2D48">
        <w:t>ing</w:t>
      </w:r>
      <w:r w:rsidR="001E7626">
        <w:t xml:space="preserve"> enforced disappearance</w:t>
      </w:r>
      <w:r w:rsidR="00D301F0" w:rsidRPr="00D5620E">
        <w:t>,</w:t>
      </w:r>
      <w:r w:rsidR="001E7626">
        <w:t xml:space="preserve"> as well as two bills on the establishment of a</w:t>
      </w:r>
      <w:r w:rsidR="001E7626" w:rsidRPr="00342F22">
        <w:t xml:space="preserve"> </w:t>
      </w:r>
      <w:r w:rsidR="00EA2D48" w:rsidRPr="00727449">
        <w:t xml:space="preserve">truth and reconciliation commission and </w:t>
      </w:r>
      <w:r w:rsidR="00EA2D48">
        <w:t>a</w:t>
      </w:r>
      <w:r w:rsidR="00EA2D48" w:rsidRPr="00727449">
        <w:t xml:space="preserve"> disappearance </w:t>
      </w:r>
      <w:r w:rsidR="00EA2D48">
        <w:t xml:space="preserve">commission </w:t>
      </w:r>
      <w:r w:rsidR="001E7626">
        <w:t xml:space="preserve">were </w:t>
      </w:r>
      <w:r w:rsidR="00D76C52">
        <w:t xml:space="preserve">awaiting </w:t>
      </w:r>
      <w:r w:rsidR="001E7626">
        <w:t xml:space="preserve">approval by Parliament. The establishment of the commissions was agreed by the </w:t>
      </w:r>
      <w:r w:rsidR="00D76C52">
        <w:t xml:space="preserve">Government </w:t>
      </w:r>
      <w:r w:rsidR="001E7626">
        <w:t>and the C</w:t>
      </w:r>
      <w:r w:rsidR="00E8297A">
        <w:t xml:space="preserve">ommunist </w:t>
      </w:r>
      <w:r w:rsidR="001E7626">
        <w:t>P</w:t>
      </w:r>
      <w:r w:rsidR="00E8297A">
        <w:t xml:space="preserve">arty of </w:t>
      </w:r>
      <w:r w:rsidR="001E7626">
        <w:t>N</w:t>
      </w:r>
      <w:r w:rsidR="00E8297A">
        <w:t>epal-Maoist</w:t>
      </w:r>
      <w:r w:rsidR="001E7626">
        <w:t xml:space="preserve"> in the Comprehensive Peace Agreement of 21 November 2006 and is also provided </w:t>
      </w:r>
      <w:r w:rsidR="00E8297A">
        <w:t>for in</w:t>
      </w:r>
      <w:r w:rsidR="001E7626">
        <w:t xml:space="preserve"> </w:t>
      </w:r>
      <w:r w:rsidR="00D76C52">
        <w:t>a</w:t>
      </w:r>
      <w:r w:rsidR="001D7A6F">
        <w:t>rticle 33</w:t>
      </w:r>
      <w:r w:rsidR="001D7A6F">
        <w:rPr>
          <w:lang w:val="fr-CH"/>
        </w:rPr>
        <w:t> </w:t>
      </w:r>
      <w:r w:rsidR="001E7626">
        <w:t xml:space="preserve">(q) and (s) of the Interim Constitution of Nepal </w:t>
      </w:r>
      <w:r w:rsidR="00E8297A">
        <w:t xml:space="preserve">of </w:t>
      </w:r>
      <w:r w:rsidR="001E7626">
        <w:t>2007. The commissions will be competent to carry out investigations concerning offences committed during the armed conflict,</w:t>
      </w:r>
      <w:r w:rsidR="00E8297A">
        <w:t xml:space="preserve"> for the period</w:t>
      </w:r>
      <w:r w:rsidR="001E7626">
        <w:t xml:space="preserve"> from 13 February 1996 to 21 November 2006.</w:t>
      </w:r>
      <w:r w:rsidR="003F0E44">
        <w:t xml:space="preserve"> </w:t>
      </w:r>
    </w:p>
    <w:p w:rsidR="001E7626" w:rsidRPr="001A2F55" w:rsidRDefault="00863DF2" w:rsidP="001A2F55">
      <w:pPr>
        <w:pStyle w:val="SingleTxtG"/>
      </w:pPr>
      <w:r>
        <w:t>4.3</w:t>
      </w:r>
      <w:r w:rsidR="001E7626">
        <w:tab/>
        <w:t>As regards the merits of the communication, the State party maintains that the author’s allegations are not based on reliable facts and proof, but on mere suspicion. The author argues that there are reasons to believe that her husband was arbitrarily executed by State agents at the Maharajgunj barracks. Nevertheless, her writ of habeas corpus filed before the Supr</w:t>
      </w:r>
      <w:r w:rsidR="001D7A6F">
        <w:t>eme Court failed to indicate Mr</w:t>
      </w:r>
      <w:r w:rsidR="001D7A6F">
        <w:rPr>
          <w:lang w:val="fr-CH"/>
        </w:rPr>
        <w:t>. </w:t>
      </w:r>
      <w:r w:rsidR="001E7626">
        <w:t xml:space="preserve">Tripathi’s whereabouts and to prove that in fact he </w:t>
      </w:r>
      <w:r w:rsidR="00E8297A">
        <w:t xml:space="preserve">had been </w:t>
      </w:r>
      <w:r w:rsidR="001E7626">
        <w:t xml:space="preserve">arrested and detained by State agents. </w:t>
      </w:r>
    </w:p>
    <w:p w:rsidR="001E7626" w:rsidRPr="001A2F55" w:rsidRDefault="00863DF2" w:rsidP="001A2F55">
      <w:pPr>
        <w:pStyle w:val="SingleTxtG"/>
      </w:pPr>
      <w:r>
        <w:t>4.4</w:t>
      </w:r>
      <w:r w:rsidR="001E7626" w:rsidRPr="00447D5C">
        <w:tab/>
        <w:t xml:space="preserve">The State party </w:t>
      </w:r>
      <w:r w:rsidR="00E8297A">
        <w:t>states</w:t>
      </w:r>
      <w:r w:rsidR="00E8297A" w:rsidRPr="00447D5C">
        <w:t xml:space="preserve"> </w:t>
      </w:r>
      <w:r w:rsidR="001E7626" w:rsidRPr="00447D5C">
        <w:t xml:space="preserve">that in May 2005, a committee was set up to inquire into the status of disappeared persons. At the moment </w:t>
      </w:r>
      <w:r w:rsidR="00E8297A">
        <w:t xml:space="preserve">that </w:t>
      </w:r>
      <w:r w:rsidR="001E7626" w:rsidRPr="00447D5C">
        <w:t>the State party’s observations were submitted, th</w:t>
      </w:r>
      <w:r w:rsidR="00E8297A">
        <w:t>e</w:t>
      </w:r>
      <w:r w:rsidR="001E7626" w:rsidRPr="00447D5C">
        <w:t xml:space="preserve"> committee had carried out investigations </w:t>
      </w:r>
      <w:r w:rsidR="00E8297A">
        <w:t>into</w:t>
      </w:r>
      <w:r w:rsidR="001E7626" w:rsidRPr="00447D5C">
        <w:t xml:space="preserve"> the status of 174 disappeared persons</w:t>
      </w:r>
      <w:r w:rsidRPr="0052371F">
        <w:t>.</w:t>
      </w:r>
      <w:r w:rsidR="001E7626" w:rsidRPr="00447D5C">
        <w:t xml:space="preserve"> Against th</w:t>
      </w:r>
      <w:r w:rsidR="00E8297A">
        <w:t>at</w:t>
      </w:r>
      <w:r w:rsidR="001E7626" w:rsidRPr="00447D5C">
        <w:t xml:space="preserve"> background</w:t>
      </w:r>
      <w:r w:rsidR="00E8297A">
        <w:t>,</w:t>
      </w:r>
      <w:r w:rsidR="001E7626" w:rsidRPr="00447D5C">
        <w:t xml:space="preserve"> and in </w:t>
      </w:r>
      <w:r w:rsidR="00DA572B">
        <w:t xml:space="preserve">the </w:t>
      </w:r>
      <w:r w:rsidR="001E7626" w:rsidRPr="00447D5C">
        <w:t>light of its sincere effort</w:t>
      </w:r>
      <w:r w:rsidR="00E8297A">
        <w:t>s</w:t>
      </w:r>
      <w:r w:rsidR="001E7626" w:rsidRPr="00447D5C">
        <w:t xml:space="preserve"> to establish transitional justice mechanisms, the State party requests the Committee not to examine the author’s communication. It points out that the alleged arbitrary detention a</w:t>
      </w:r>
      <w:r w:rsidR="001D7A6F">
        <w:t>nd enforced disappearance of Mr</w:t>
      </w:r>
      <w:r w:rsidR="001D7A6F">
        <w:rPr>
          <w:lang w:val="fr-CH"/>
        </w:rPr>
        <w:t>. </w:t>
      </w:r>
      <w:r w:rsidR="001E7626" w:rsidRPr="00447D5C">
        <w:t xml:space="preserve">Tripathi have not </w:t>
      </w:r>
      <w:r w:rsidR="00E8297A">
        <w:t xml:space="preserve">yet </w:t>
      </w:r>
      <w:r w:rsidR="001E7626" w:rsidRPr="00447D5C">
        <w:t>been prove</w:t>
      </w:r>
      <w:r w:rsidR="00747EF0" w:rsidRPr="00D5620E">
        <w:t>n</w:t>
      </w:r>
      <w:r w:rsidR="001E7626" w:rsidRPr="00447D5C">
        <w:t xml:space="preserve"> and that only an independent investigation can establish his fate and whereabouts</w:t>
      </w:r>
      <w:r w:rsidR="00E8297A">
        <w:t>,</w:t>
      </w:r>
      <w:r w:rsidR="001E7626" w:rsidRPr="00447D5C">
        <w:t xml:space="preserve"> and sanction those responsible </w:t>
      </w:r>
      <w:r w:rsidR="00E8297A">
        <w:t>for</w:t>
      </w:r>
      <w:r w:rsidR="00E8297A" w:rsidRPr="00447D5C">
        <w:t xml:space="preserve"> </w:t>
      </w:r>
      <w:r w:rsidR="001E7626" w:rsidRPr="00447D5C">
        <w:t xml:space="preserve">violations </w:t>
      </w:r>
      <w:r w:rsidR="00E8297A">
        <w:t>of</w:t>
      </w:r>
      <w:r w:rsidR="00E8297A" w:rsidRPr="00447D5C">
        <w:t xml:space="preserve"> </w:t>
      </w:r>
      <w:r w:rsidR="001E7626" w:rsidRPr="00447D5C">
        <w:t>his rights.</w:t>
      </w:r>
    </w:p>
    <w:p w:rsidR="001E7626" w:rsidRDefault="001E7626" w:rsidP="001A2F55">
      <w:pPr>
        <w:pStyle w:val="SingleTxtG"/>
      </w:pPr>
      <w:r>
        <w:t>4.5</w:t>
      </w:r>
      <w:r w:rsidR="00D03F1E" w:rsidRPr="00D03F1E">
        <w:tab/>
      </w:r>
      <w:r>
        <w:t xml:space="preserve">The Supreme Court issued an order to provide </w:t>
      </w:r>
      <w:r w:rsidR="00E8297A">
        <w:t xml:space="preserve">Nr. </w:t>
      </w:r>
      <w:r>
        <w:t>100,000 to close relatives of a disappeared person whose status ha</w:t>
      </w:r>
      <w:r w:rsidR="008765E6">
        <w:t>d</w:t>
      </w:r>
      <w:r>
        <w:t xml:space="preserve"> not been clarified. In th</w:t>
      </w:r>
      <w:r w:rsidR="00E8297A">
        <w:t>at</w:t>
      </w:r>
      <w:r>
        <w:t xml:space="preserve"> framework, the author was granted </w:t>
      </w:r>
      <w:r w:rsidR="00E8297A" w:rsidRPr="00CA1686">
        <w:t xml:space="preserve">Nr. </w:t>
      </w:r>
      <w:r w:rsidRPr="00CA1686">
        <w:t>300,000</w:t>
      </w:r>
      <w:r>
        <w:t xml:space="preserve"> as interim compensation.</w:t>
      </w:r>
    </w:p>
    <w:p w:rsidR="001E7626" w:rsidRPr="00727449" w:rsidRDefault="001E7626" w:rsidP="00D03F1E">
      <w:pPr>
        <w:pStyle w:val="H23G"/>
        <w:ind w:right="0"/>
      </w:pPr>
      <w:r w:rsidRPr="00727449">
        <w:tab/>
      </w:r>
      <w:r w:rsidRPr="00727449">
        <w:tab/>
        <w:t xml:space="preserve">Author’s comments on the State party’s observations </w:t>
      </w:r>
    </w:p>
    <w:p w:rsidR="001E7626" w:rsidRPr="001D7A6F" w:rsidRDefault="001E7626" w:rsidP="001A2F55">
      <w:pPr>
        <w:pStyle w:val="SingleTxtG"/>
        <w:rPr>
          <w:lang w:val="fr-CH"/>
        </w:rPr>
      </w:pPr>
      <w:r>
        <w:t>5</w:t>
      </w:r>
      <w:r w:rsidRPr="00887995">
        <w:t>.1</w:t>
      </w:r>
      <w:r w:rsidRPr="00887995">
        <w:tab/>
        <w:t xml:space="preserve">On </w:t>
      </w:r>
      <w:r>
        <w:t>23 June 2012</w:t>
      </w:r>
      <w:r w:rsidRPr="00887995">
        <w:t>, the author reject</w:t>
      </w:r>
      <w:r>
        <w:t>ed</w:t>
      </w:r>
      <w:r w:rsidRPr="00887995">
        <w:t xml:space="preserve"> the State party’s observations.</w:t>
      </w:r>
      <w:r>
        <w:t xml:space="preserve"> She argues that her claims are sufficiently substantiated and reiterates that </w:t>
      </w:r>
      <w:r w:rsidR="00E8297A">
        <w:t xml:space="preserve">substantial </w:t>
      </w:r>
      <w:r>
        <w:t>and concurring evidence, from different reliable sources, indicates that her husband was arbitrarily detained and subsequently subjected to enforced disappearance.</w:t>
      </w:r>
      <w:r w:rsidR="003F0E44">
        <w:t xml:space="preserve"> </w:t>
      </w:r>
      <w:r>
        <w:t>In light of th</w:t>
      </w:r>
      <w:r w:rsidR="00183894">
        <w:t>at</w:t>
      </w:r>
      <w:r>
        <w:t xml:space="preserve"> evidence and </w:t>
      </w:r>
      <w:r w:rsidR="00183894">
        <w:t xml:space="preserve">in </w:t>
      </w:r>
      <w:r>
        <w:t xml:space="preserve">the context of systematic repression </w:t>
      </w:r>
      <w:r w:rsidR="00183894">
        <w:t xml:space="preserve">of </w:t>
      </w:r>
      <w:r>
        <w:t>Maoist sympathizers, it is reasonable to conclude that he was placed in a grave situation of suffering irreparable damage to his integrity and life. In th</w:t>
      </w:r>
      <w:r w:rsidR="00183894">
        <w:t>at</w:t>
      </w:r>
      <w:r>
        <w:t xml:space="preserve"> regard, the author </w:t>
      </w:r>
      <w:r w:rsidR="00183894">
        <w:t xml:space="preserve">emphasizes </w:t>
      </w:r>
      <w:r>
        <w:t xml:space="preserve">that her husband was not only a member of ANNISU-R, but head of its </w:t>
      </w:r>
      <w:r w:rsidR="00183894">
        <w:t xml:space="preserve">education </w:t>
      </w:r>
      <w:r>
        <w:t xml:space="preserve">division and </w:t>
      </w:r>
      <w:r w:rsidR="00183894">
        <w:t xml:space="preserve">a </w:t>
      </w:r>
      <w:r>
        <w:t>member of the Central Committee in Kathmandu. Therefore, her husband was arbitrarily deprived of his liberty, subsequently forcibly disappeared</w:t>
      </w:r>
      <w:r w:rsidR="00183894">
        <w:t>,</w:t>
      </w:r>
      <w:r>
        <w:t xml:space="preserve"> and presumably </w:t>
      </w:r>
      <w:r w:rsidR="008744E0">
        <w:t>killed by members</w:t>
      </w:r>
      <w:r w:rsidR="00183894">
        <w:t xml:space="preserve"> of the Army</w:t>
      </w:r>
      <w:r w:rsidR="00863DF2" w:rsidRPr="0052371F">
        <w:t>.</w:t>
      </w:r>
      <w:r>
        <w:rPr>
          <w:rStyle w:val="FootnoteReference"/>
        </w:rPr>
        <w:footnoteReference w:id="9"/>
      </w:r>
    </w:p>
    <w:p w:rsidR="001E7626" w:rsidRPr="001A2F55" w:rsidRDefault="00863DF2" w:rsidP="001A2F55">
      <w:pPr>
        <w:pStyle w:val="SingleTxtG"/>
      </w:pPr>
      <w:r>
        <w:t>5.2</w:t>
      </w:r>
      <w:r w:rsidR="001E7626">
        <w:tab/>
        <w:t xml:space="preserve">The communication does not constitute an abuse of the right of submission. Since 2003, the author has addressed the authorities and requested them to establish her husband’s fate and whereabouts. Her hopes of progress in the clarification of her husband’s case were particularly encouraged after the ruling </w:t>
      </w:r>
      <w:r w:rsidR="00183894">
        <w:t xml:space="preserve">by the Supreme Court </w:t>
      </w:r>
      <w:r w:rsidR="001E7626">
        <w:t>of 1 June 2007.</w:t>
      </w:r>
      <w:r w:rsidR="003F0E44">
        <w:t xml:space="preserve"> </w:t>
      </w:r>
      <w:r w:rsidR="001E7626">
        <w:t xml:space="preserve">Afterwards, she </w:t>
      </w:r>
      <w:r w:rsidR="00183894">
        <w:t>was</w:t>
      </w:r>
      <w:r w:rsidR="001E7626">
        <w:t xml:space="preserve"> reluctant to request its implementation, because she feared for her life and that of her daughter. Finally, the</w:t>
      </w:r>
      <w:r w:rsidR="00E038DC">
        <w:t xml:space="preserve"> author points out that </w:t>
      </w:r>
      <w:r w:rsidR="00183894">
        <w:t>rule</w:t>
      </w:r>
      <w:r w:rsidR="00183894">
        <w:rPr>
          <w:lang w:val="fr-CH"/>
        </w:rPr>
        <w:t> </w:t>
      </w:r>
      <w:r w:rsidR="00E038DC">
        <w:t>96</w:t>
      </w:r>
      <w:r w:rsidR="00E038DC">
        <w:rPr>
          <w:lang w:val="fr-CH"/>
        </w:rPr>
        <w:t> </w:t>
      </w:r>
      <w:r w:rsidR="001E7626">
        <w:t xml:space="preserve">(c) of the Committee’s </w:t>
      </w:r>
      <w:r w:rsidR="00183894">
        <w:t xml:space="preserve">rules </w:t>
      </w:r>
      <w:r w:rsidR="001E7626">
        <w:t xml:space="preserve">of procedure applies to communications submitted after January 2012. </w:t>
      </w:r>
    </w:p>
    <w:p w:rsidR="001E7626" w:rsidRPr="001A2F55" w:rsidRDefault="00863DF2" w:rsidP="001A2F55">
      <w:pPr>
        <w:pStyle w:val="SingleTxtG"/>
      </w:pPr>
      <w:r>
        <w:t>5.3</w:t>
      </w:r>
      <w:r w:rsidR="001E7626">
        <w:tab/>
        <w:t>As to the requirement of exhaustion of domestic remedies, the author holds that a habeas corpus proceeding is not limited to examin</w:t>
      </w:r>
      <w:r w:rsidR="00183894">
        <w:t>ing</w:t>
      </w:r>
      <w:r w:rsidR="001E7626">
        <w:t xml:space="preserve"> the legality of a detention, but </w:t>
      </w:r>
      <w:r w:rsidR="00183894">
        <w:t xml:space="preserve">may </w:t>
      </w:r>
      <w:r w:rsidR="001E7626">
        <w:t xml:space="preserve">also obtain the </w:t>
      </w:r>
      <w:r w:rsidR="00183894">
        <w:t>freedom of the person concerned,</w:t>
      </w:r>
      <w:r w:rsidR="001E7626">
        <w:t xml:space="preserve"> should the detention be found to be arbitrary. In her husband’s case, the State party claimed that his detention must be prove</w:t>
      </w:r>
      <w:r w:rsidR="00F92A1C">
        <w:t>n</w:t>
      </w:r>
      <w:r w:rsidR="001E7626">
        <w:t xml:space="preserve"> in order for the habeas corpus to be issued. However, if th</w:t>
      </w:r>
      <w:r w:rsidR="00183894">
        <w:t>at</w:t>
      </w:r>
      <w:r w:rsidR="001E7626">
        <w:t xml:space="preserve"> were the rationale of th</w:t>
      </w:r>
      <w:r w:rsidR="00183894">
        <w:t>e</w:t>
      </w:r>
      <w:r w:rsidR="001E7626">
        <w:t xml:space="preserve"> remedy, its effectiveness would be rendered useless in cases of enforced disappearance. In light of all the evidence that indicated that her husband was </w:t>
      </w:r>
      <w:r w:rsidR="00183894">
        <w:t xml:space="preserve">the </w:t>
      </w:r>
      <w:r w:rsidR="001E7626">
        <w:t xml:space="preserve">victim of enforced disappearance, it was for the State party’s authorities to investigate the circumstances of his detention and establish his fate and whereabouts. She reiterates that the </w:t>
      </w:r>
      <w:r w:rsidR="00183894">
        <w:t xml:space="preserve">first information report </w:t>
      </w:r>
      <w:r w:rsidR="001E7626">
        <w:t xml:space="preserve">is not an effective remedy and that even in those cases where </w:t>
      </w:r>
      <w:r w:rsidR="00183894">
        <w:t xml:space="preserve">such reports </w:t>
      </w:r>
      <w:r w:rsidR="001E7626">
        <w:t xml:space="preserve">may be filed, the police generally refuse to register submissions when members of the police or the </w:t>
      </w:r>
      <w:r w:rsidR="00183894">
        <w:t xml:space="preserve">Army </w:t>
      </w:r>
      <w:r w:rsidR="001E7626">
        <w:t xml:space="preserve">are involved. As to the State party’s argument that victims of torture can request compensation, the author points out that the </w:t>
      </w:r>
      <w:r w:rsidR="00183894">
        <w:t xml:space="preserve">Coimpensation Relating to Torture Act </w:t>
      </w:r>
      <w:r w:rsidR="001E7626">
        <w:t>is a</w:t>
      </w:r>
      <w:r w:rsidR="00183894">
        <w:t xml:space="preserve"> civil</w:t>
      </w:r>
      <w:r w:rsidR="001E7626">
        <w:t xml:space="preserve"> </w:t>
      </w:r>
      <w:r w:rsidR="00183894">
        <w:t>act,</w:t>
      </w:r>
      <w:r w:rsidR="001E7626">
        <w:t xml:space="preserve"> </w:t>
      </w:r>
      <w:r w:rsidR="00183894">
        <w:t xml:space="preserve">which </w:t>
      </w:r>
      <w:r w:rsidR="001E7626">
        <w:t>only provides for compensation and, potentially, disciplinary action with regard to the perpetrators</w:t>
      </w:r>
      <w:r w:rsidR="00183894">
        <w:t xml:space="preserve"> of such actions</w:t>
      </w:r>
      <w:r w:rsidR="001E7626">
        <w:t>.</w:t>
      </w:r>
    </w:p>
    <w:p w:rsidR="001E7626" w:rsidRPr="001A2F55" w:rsidRDefault="00863DF2" w:rsidP="001A2F55">
      <w:pPr>
        <w:pStyle w:val="SingleTxtG"/>
      </w:pPr>
      <w:r>
        <w:t>5.4</w:t>
      </w:r>
      <w:r w:rsidR="001E7626">
        <w:tab/>
      </w:r>
      <w:r w:rsidR="00183894">
        <w:t>At</w:t>
      </w:r>
      <w:r w:rsidR="001E7626">
        <w:t xml:space="preserve"> the time </w:t>
      </w:r>
      <w:r w:rsidR="00183894">
        <w:t xml:space="preserve">that </w:t>
      </w:r>
      <w:r w:rsidR="001E7626">
        <w:t>the author</w:t>
      </w:r>
      <w:r w:rsidR="001E7626" w:rsidRPr="00887995">
        <w:t xml:space="preserve"> submitted h</w:t>
      </w:r>
      <w:r w:rsidR="001E7626">
        <w:t>er</w:t>
      </w:r>
      <w:r w:rsidR="001E7626" w:rsidRPr="00887995">
        <w:t xml:space="preserve"> comments, the establishment of the future </w:t>
      </w:r>
      <w:r w:rsidR="00183894" w:rsidRPr="00887995">
        <w:t>truth and reconciliation commission and the commission on disappearance</w:t>
      </w:r>
      <w:r w:rsidR="00183894">
        <w:t>,</w:t>
      </w:r>
      <w:r w:rsidR="00183894" w:rsidRPr="00887995">
        <w:t xml:space="preserve"> </w:t>
      </w:r>
      <w:r w:rsidR="001E7626" w:rsidRPr="00887995">
        <w:t xml:space="preserve">as well as their powers </w:t>
      </w:r>
      <w:r w:rsidR="001E7626">
        <w:t>to carry out</w:t>
      </w:r>
      <w:r w:rsidR="001E7626" w:rsidRPr="00887995">
        <w:t xml:space="preserve"> prompt, independent and effective investigation</w:t>
      </w:r>
      <w:r w:rsidR="001E7626">
        <w:t>s</w:t>
      </w:r>
      <w:r w:rsidR="001E7626" w:rsidRPr="00887995">
        <w:t xml:space="preserve"> and prosecution</w:t>
      </w:r>
      <w:r w:rsidR="001E7626">
        <w:t>s</w:t>
      </w:r>
      <w:r w:rsidR="00183894">
        <w:t>,</w:t>
      </w:r>
      <w:r w:rsidR="001E7626" w:rsidRPr="00887995">
        <w:t xml:space="preserve"> were uncertain. Further,</w:t>
      </w:r>
      <w:r w:rsidR="001E7626">
        <w:t xml:space="preserve"> they w</w:t>
      </w:r>
      <w:r w:rsidR="00F92A1C">
        <w:t>ould</w:t>
      </w:r>
      <w:r w:rsidR="001E7626">
        <w:t xml:space="preserve"> not </w:t>
      </w:r>
      <w:r w:rsidR="00F92A1C">
        <w:t xml:space="preserve">be </w:t>
      </w:r>
      <w:r w:rsidR="001E7626">
        <w:t>judicial bodies and the draft bills included a general amnesty clause for perpetrators of serious violations of international human rights law and international humanitarian law, including enforced disappearance.</w:t>
      </w:r>
      <w:r w:rsidR="003F0E44">
        <w:t xml:space="preserve"> </w:t>
      </w:r>
      <w:r w:rsidR="001E7626">
        <w:t>F</w:t>
      </w:r>
      <w:r w:rsidR="001E7626" w:rsidRPr="00887995">
        <w:t>act-finding</w:t>
      </w:r>
      <w:r w:rsidR="001E7626" w:rsidRPr="00887995">
        <w:rPr>
          <w:spacing w:val="32"/>
        </w:rPr>
        <w:t xml:space="preserve"> </w:t>
      </w:r>
      <w:r w:rsidR="001E7626" w:rsidRPr="00887995">
        <w:t>processes by non-judicial bodies,</w:t>
      </w:r>
      <w:r w:rsidR="001E7626" w:rsidRPr="00887995">
        <w:rPr>
          <w:spacing w:val="31"/>
        </w:rPr>
        <w:t xml:space="preserve"> </w:t>
      </w:r>
      <w:r w:rsidR="00183894">
        <w:rPr>
          <w:spacing w:val="31"/>
        </w:rPr>
        <w:t>al</w:t>
      </w:r>
      <w:r w:rsidR="001E7626" w:rsidRPr="00887995">
        <w:t>though crucial</w:t>
      </w:r>
      <w:r w:rsidR="001E7626" w:rsidRPr="00887995">
        <w:rPr>
          <w:spacing w:val="11"/>
        </w:rPr>
        <w:t xml:space="preserve"> </w:t>
      </w:r>
      <w:r w:rsidR="001E7626" w:rsidRPr="00887995">
        <w:t>for</w:t>
      </w:r>
      <w:r w:rsidR="001E7626" w:rsidRPr="00887995">
        <w:rPr>
          <w:spacing w:val="12"/>
        </w:rPr>
        <w:t xml:space="preserve"> </w:t>
      </w:r>
      <w:r w:rsidR="001E7626" w:rsidRPr="00887995">
        <w:t>the</w:t>
      </w:r>
      <w:r w:rsidR="001E7626" w:rsidRPr="00887995">
        <w:rPr>
          <w:spacing w:val="12"/>
        </w:rPr>
        <w:t xml:space="preserve"> </w:t>
      </w:r>
      <w:r w:rsidR="001E7626" w:rsidRPr="00887995">
        <w:t>establishment</w:t>
      </w:r>
      <w:r w:rsidR="001E7626" w:rsidRPr="00887995">
        <w:rPr>
          <w:spacing w:val="12"/>
        </w:rPr>
        <w:t xml:space="preserve"> </w:t>
      </w:r>
      <w:r w:rsidR="001E7626" w:rsidRPr="00887995">
        <w:t>of</w:t>
      </w:r>
      <w:r w:rsidR="001E7626" w:rsidRPr="00887995">
        <w:rPr>
          <w:spacing w:val="12"/>
        </w:rPr>
        <w:t xml:space="preserve"> </w:t>
      </w:r>
      <w:r w:rsidR="001E7626" w:rsidRPr="00887995">
        <w:t>the</w:t>
      </w:r>
      <w:r w:rsidR="001E7626" w:rsidRPr="00887995">
        <w:rPr>
          <w:spacing w:val="12"/>
        </w:rPr>
        <w:t xml:space="preserve"> </w:t>
      </w:r>
      <w:r w:rsidR="001E7626" w:rsidRPr="00887995">
        <w:t>truth,</w:t>
      </w:r>
      <w:r w:rsidR="001E7626" w:rsidRPr="00887995">
        <w:rPr>
          <w:spacing w:val="12"/>
        </w:rPr>
        <w:t xml:space="preserve"> </w:t>
      </w:r>
      <w:r w:rsidR="001E7626" w:rsidRPr="00887995">
        <w:t>could</w:t>
      </w:r>
      <w:r w:rsidR="001E7626" w:rsidRPr="00887995">
        <w:rPr>
          <w:spacing w:val="12"/>
        </w:rPr>
        <w:t xml:space="preserve"> </w:t>
      </w:r>
      <w:r w:rsidR="001E7626" w:rsidRPr="00887995">
        <w:t>never</w:t>
      </w:r>
      <w:r w:rsidR="001E7626" w:rsidRPr="00887995">
        <w:rPr>
          <w:spacing w:val="12"/>
        </w:rPr>
        <w:t xml:space="preserve"> </w:t>
      </w:r>
      <w:r w:rsidR="001E7626" w:rsidRPr="00887995">
        <w:t>replace</w:t>
      </w:r>
      <w:r w:rsidR="001E7626" w:rsidRPr="00887995">
        <w:rPr>
          <w:spacing w:val="12"/>
        </w:rPr>
        <w:t xml:space="preserve"> </w:t>
      </w:r>
      <w:r w:rsidR="001E7626" w:rsidRPr="00887995">
        <w:t>access</w:t>
      </w:r>
      <w:r w:rsidR="001E7626" w:rsidRPr="00887995">
        <w:rPr>
          <w:spacing w:val="12"/>
        </w:rPr>
        <w:t xml:space="preserve"> </w:t>
      </w:r>
      <w:r w:rsidR="001E7626" w:rsidRPr="00887995">
        <w:t>to</w:t>
      </w:r>
      <w:r w:rsidR="001E7626" w:rsidRPr="00887995">
        <w:rPr>
          <w:spacing w:val="12"/>
        </w:rPr>
        <w:t xml:space="preserve"> </w:t>
      </w:r>
      <w:r w:rsidR="001E7626" w:rsidRPr="00887995">
        <w:t>justice</w:t>
      </w:r>
      <w:r w:rsidR="001E7626" w:rsidRPr="00887995">
        <w:rPr>
          <w:spacing w:val="12"/>
        </w:rPr>
        <w:t xml:space="preserve"> </w:t>
      </w:r>
      <w:r w:rsidR="001E7626" w:rsidRPr="00887995">
        <w:t>and</w:t>
      </w:r>
      <w:r w:rsidR="001E7626" w:rsidRPr="00887995">
        <w:rPr>
          <w:spacing w:val="11"/>
        </w:rPr>
        <w:t xml:space="preserve"> </w:t>
      </w:r>
      <w:r w:rsidR="001E7626" w:rsidRPr="00887995">
        <w:t>redress</w:t>
      </w:r>
      <w:r w:rsidR="001E7626" w:rsidRPr="00887995">
        <w:rPr>
          <w:spacing w:val="12"/>
        </w:rPr>
        <w:t xml:space="preserve"> </w:t>
      </w:r>
      <w:r w:rsidR="001E7626" w:rsidRPr="00887995">
        <w:t>for</w:t>
      </w:r>
      <w:r w:rsidR="001E7626" w:rsidRPr="00887995">
        <w:rPr>
          <w:spacing w:val="12"/>
        </w:rPr>
        <w:t xml:space="preserve"> </w:t>
      </w:r>
      <w:r w:rsidR="001E7626" w:rsidRPr="00887995">
        <w:t>victims</w:t>
      </w:r>
      <w:r w:rsidR="001E7626" w:rsidRPr="00887995">
        <w:rPr>
          <w:spacing w:val="12"/>
        </w:rPr>
        <w:t xml:space="preserve"> </w:t>
      </w:r>
      <w:r w:rsidR="001E7626" w:rsidRPr="00887995">
        <w:t>of</w:t>
      </w:r>
      <w:r w:rsidR="001E7626" w:rsidRPr="00887995">
        <w:rPr>
          <w:spacing w:val="12"/>
        </w:rPr>
        <w:t xml:space="preserve"> </w:t>
      </w:r>
      <w:r w:rsidR="001E7626" w:rsidRPr="00887995">
        <w:t>gross human</w:t>
      </w:r>
      <w:r w:rsidR="001E7626" w:rsidRPr="00887995">
        <w:rPr>
          <w:spacing w:val="18"/>
        </w:rPr>
        <w:t xml:space="preserve"> </w:t>
      </w:r>
      <w:r w:rsidR="001E7626" w:rsidRPr="00887995">
        <w:t>rights</w:t>
      </w:r>
      <w:r w:rsidR="001E7626" w:rsidRPr="00887995">
        <w:rPr>
          <w:spacing w:val="19"/>
        </w:rPr>
        <w:t xml:space="preserve"> </w:t>
      </w:r>
      <w:r w:rsidR="001E7626" w:rsidRPr="00887995">
        <w:t>violations</w:t>
      </w:r>
      <w:r w:rsidR="001E7626" w:rsidRPr="00887995">
        <w:rPr>
          <w:spacing w:val="18"/>
        </w:rPr>
        <w:t xml:space="preserve"> </w:t>
      </w:r>
      <w:r w:rsidR="001E7626" w:rsidRPr="00887995">
        <w:t>and</w:t>
      </w:r>
      <w:r w:rsidR="001E7626" w:rsidRPr="00887995">
        <w:rPr>
          <w:spacing w:val="19"/>
        </w:rPr>
        <w:t xml:space="preserve"> </w:t>
      </w:r>
      <w:r w:rsidR="001E7626" w:rsidRPr="00887995">
        <w:t>their</w:t>
      </w:r>
      <w:r w:rsidR="001E7626" w:rsidRPr="00887995">
        <w:rPr>
          <w:spacing w:val="18"/>
        </w:rPr>
        <w:t xml:space="preserve"> </w:t>
      </w:r>
      <w:r w:rsidR="001E7626" w:rsidRPr="00887995">
        <w:t xml:space="preserve">relatives, </w:t>
      </w:r>
      <w:r w:rsidR="00183894">
        <w:t xml:space="preserve">as </w:t>
      </w:r>
      <w:r w:rsidR="001E7626" w:rsidRPr="00887995">
        <w:t>the criminal</w:t>
      </w:r>
      <w:r w:rsidR="001E7626" w:rsidRPr="00887995">
        <w:rPr>
          <w:spacing w:val="4"/>
        </w:rPr>
        <w:t xml:space="preserve"> </w:t>
      </w:r>
      <w:r w:rsidR="001E7626" w:rsidRPr="00887995">
        <w:t>justice</w:t>
      </w:r>
      <w:r w:rsidR="001E7626" w:rsidRPr="00887995">
        <w:rPr>
          <w:spacing w:val="5"/>
        </w:rPr>
        <w:t xml:space="preserve"> </w:t>
      </w:r>
      <w:r w:rsidR="001E7626" w:rsidRPr="00887995">
        <w:t>system</w:t>
      </w:r>
      <w:r w:rsidR="001E7626" w:rsidRPr="00887995">
        <w:rPr>
          <w:spacing w:val="4"/>
        </w:rPr>
        <w:t xml:space="preserve"> </w:t>
      </w:r>
      <w:r w:rsidR="00183894">
        <w:t>is</w:t>
      </w:r>
      <w:r w:rsidR="00183894" w:rsidRPr="00887995">
        <w:t xml:space="preserve"> </w:t>
      </w:r>
      <w:r w:rsidR="001E7626" w:rsidRPr="00887995">
        <w:t>the</w:t>
      </w:r>
      <w:r w:rsidR="001E7626" w:rsidRPr="00887995">
        <w:rPr>
          <w:spacing w:val="4"/>
        </w:rPr>
        <w:t xml:space="preserve"> </w:t>
      </w:r>
      <w:r w:rsidR="001E7626" w:rsidRPr="00887995">
        <w:t>more</w:t>
      </w:r>
      <w:r w:rsidR="001E7626" w:rsidRPr="00887995">
        <w:rPr>
          <w:spacing w:val="26"/>
        </w:rPr>
        <w:t xml:space="preserve"> </w:t>
      </w:r>
      <w:r w:rsidR="001E7626" w:rsidRPr="00887995">
        <w:t>appropriate</w:t>
      </w:r>
      <w:r w:rsidR="001E7626" w:rsidRPr="00887995">
        <w:rPr>
          <w:spacing w:val="-2"/>
        </w:rPr>
        <w:t xml:space="preserve"> </w:t>
      </w:r>
      <w:r w:rsidR="001E7626" w:rsidRPr="00887995">
        <w:t>avenue</w:t>
      </w:r>
      <w:r w:rsidR="001E7626" w:rsidRPr="00887995">
        <w:rPr>
          <w:spacing w:val="-1"/>
        </w:rPr>
        <w:t xml:space="preserve"> </w:t>
      </w:r>
      <w:r w:rsidR="001E7626" w:rsidRPr="00887995">
        <w:t>for</w:t>
      </w:r>
      <w:r w:rsidR="001E7626" w:rsidRPr="00887995">
        <w:rPr>
          <w:spacing w:val="-1"/>
        </w:rPr>
        <w:t xml:space="preserve"> </w:t>
      </w:r>
      <w:r w:rsidR="001E7626" w:rsidRPr="00887995">
        <w:t>immediate</w:t>
      </w:r>
      <w:r w:rsidR="001E7626" w:rsidRPr="00887995">
        <w:rPr>
          <w:spacing w:val="-1"/>
        </w:rPr>
        <w:t xml:space="preserve"> </w:t>
      </w:r>
      <w:r w:rsidR="001E7626" w:rsidRPr="00887995">
        <w:t>investigation</w:t>
      </w:r>
      <w:r w:rsidR="001E7626" w:rsidRPr="00887995">
        <w:rPr>
          <w:spacing w:val="-1"/>
        </w:rPr>
        <w:t xml:space="preserve"> </w:t>
      </w:r>
      <w:r w:rsidR="00183894">
        <w:rPr>
          <w:spacing w:val="-1"/>
        </w:rPr>
        <w:t xml:space="preserve">into </w:t>
      </w:r>
      <w:r w:rsidR="001E7626" w:rsidRPr="00887995">
        <w:t>and</w:t>
      </w:r>
      <w:r w:rsidR="001E7626" w:rsidRPr="00887995">
        <w:rPr>
          <w:spacing w:val="-1"/>
        </w:rPr>
        <w:t xml:space="preserve"> </w:t>
      </w:r>
      <w:r w:rsidR="001E7626" w:rsidRPr="00887995">
        <w:t>punishment</w:t>
      </w:r>
      <w:r w:rsidR="00183894">
        <w:t xml:space="preserve"> of criminal acts</w:t>
      </w:r>
      <w:r w:rsidR="001E7626" w:rsidRPr="00887995">
        <w:t>.</w:t>
      </w:r>
      <w:r w:rsidR="001E7626" w:rsidRPr="00887995">
        <w:rPr>
          <w:spacing w:val="-9"/>
        </w:rPr>
        <w:t xml:space="preserve"> </w:t>
      </w:r>
    </w:p>
    <w:p w:rsidR="001E7626" w:rsidRPr="001A2F55" w:rsidRDefault="00863DF2" w:rsidP="001A2F55">
      <w:pPr>
        <w:pStyle w:val="SingleTxtG"/>
      </w:pPr>
      <w:r>
        <w:t>5.5</w:t>
      </w:r>
      <w:r w:rsidR="001E7626">
        <w:tab/>
        <w:t xml:space="preserve">The State party’s commitment to human rights, expressed in its observations, is neither supported by </w:t>
      </w:r>
      <w:r w:rsidR="00183894">
        <w:t xml:space="preserve">the </w:t>
      </w:r>
      <w:r w:rsidR="001E7626">
        <w:t>evidence</w:t>
      </w:r>
      <w:r w:rsidR="00183894">
        <w:t>,</w:t>
      </w:r>
      <w:r w:rsidR="001E7626">
        <w:t xml:space="preserve"> nor of relevance to the case of the author’s husband. In th</w:t>
      </w:r>
      <w:r w:rsidR="00183894">
        <w:t>at</w:t>
      </w:r>
      <w:r w:rsidR="001E7626">
        <w:t xml:space="preserve"> regard, it is </w:t>
      </w:r>
      <w:r w:rsidR="00183894">
        <w:t xml:space="preserve">emphasized </w:t>
      </w:r>
      <w:r w:rsidR="001E7626">
        <w:t xml:space="preserve">that the State party has failed to implement the </w:t>
      </w:r>
      <w:r w:rsidR="00183894">
        <w:t xml:space="preserve">ruling by the </w:t>
      </w:r>
      <w:r w:rsidR="001E7626">
        <w:t xml:space="preserve">Supreme Court of 1 June 2007. </w:t>
      </w:r>
    </w:p>
    <w:p w:rsidR="001E7626" w:rsidRPr="001A2F55" w:rsidRDefault="00863DF2" w:rsidP="001A2F55">
      <w:pPr>
        <w:pStyle w:val="SingleTxtG"/>
      </w:pPr>
      <w:r>
        <w:t>5.6</w:t>
      </w:r>
      <w:r w:rsidR="001E7626">
        <w:tab/>
      </w:r>
      <w:r w:rsidR="001E0F9C">
        <w:t xml:space="preserve">The amount of </w:t>
      </w:r>
      <w:r w:rsidR="0025269E">
        <w:t xml:space="preserve">Nr. </w:t>
      </w:r>
      <w:r w:rsidR="001E0F9C">
        <w:t>300,000</w:t>
      </w:r>
      <w:r w:rsidR="001E0F9C">
        <w:rPr>
          <w:lang w:val="fr-CH"/>
        </w:rPr>
        <w:t> </w:t>
      </w:r>
      <w:r w:rsidR="001E7626">
        <w:t xml:space="preserve"> received by the author as interim </w:t>
      </w:r>
      <w:r w:rsidR="001E7626" w:rsidRPr="00A543CF">
        <w:t>relief</w:t>
      </w:r>
      <w:r w:rsidR="001E7626">
        <w:t xml:space="preserve"> is a negligible amount to cover the material and moral harm suffered by her and her daughter</w:t>
      </w:r>
      <w:r w:rsidR="0025269E">
        <w:t>,</w:t>
      </w:r>
      <w:r w:rsidR="001E7626">
        <w:t xml:space="preserve"> and cannot be considered as an effective domestic remedy within the meaning of </w:t>
      </w:r>
      <w:r w:rsidR="001D7A6F">
        <w:t>article </w:t>
      </w:r>
      <w:r w:rsidR="001E7626">
        <w:t xml:space="preserve">2, </w:t>
      </w:r>
      <w:r w:rsidR="001D7A6F">
        <w:t>paragraph </w:t>
      </w:r>
      <w:r w:rsidR="001E7626">
        <w:t>3</w:t>
      </w:r>
      <w:r w:rsidR="0025269E">
        <w:t>,</w:t>
      </w:r>
      <w:r w:rsidR="001E7626">
        <w:t xml:space="preserve"> of the Covenant. Furthermore, mere pecuniary compensation for human rights violations of th</w:t>
      </w:r>
      <w:r w:rsidR="0025269E">
        <w:t>at</w:t>
      </w:r>
      <w:r w:rsidR="001E7626">
        <w:t xml:space="preserve"> nature is not a sufficient remedy. Reparations in cases of gross human rights violations shall include restitution, rehabilitation, satisfaction and guarantees of non-repetition. </w:t>
      </w:r>
    </w:p>
    <w:p w:rsidR="001E7626" w:rsidRPr="00BF319F" w:rsidRDefault="00D03F1E" w:rsidP="00D03F1E">
      <w:pPr>
        <w:pStyle w:val="H23G"/>
      </w:pPr>
      <w:r>
        <w:tab/>
      </w:r>
      <w:r>
        <w:tab/>
      </w:r>
      <w:r w:rsidR="001E7626" w:rsidRPr="00BF319F">
        <w:t>Issues and proceedings before the Committee</w:t>
      </w:r>
    </w:p>
    <w:p w:rsidR="001E7626" w:rsidRPr="00727449" w:rsidRDefault="001E7626" w:rsidP="00D03F1E">
      <w:pPr>
        <w:pStyle w:val="H4G"/>
        <w:ind w:right="0"/>
      </w:pPr>
      <w:r w:rsidRPr="00727449">
        <w:tab/>
      </w:r>
      <w:r w:rsidRPr="00727449">
        <w:tab/>
        <w:t>Consideration of admissibility</w:t>
      </w:r>
    </w:p>
    <w:p w:rsidR="001E7626" w:rsidRPr="001A2F55" w:rsidRDefault="001E7626" w:rsidP="001A2F55">
      <w:pPr>
        <w:pStyle w:val="SingleTxtG"/>
      </w:pPr>
      <w:r>
        <w:t>6</w:t>
      </w:r>
      <w:r w:rsidRPr="00727449">
        <w:t>.1</w:t>
      </w:r>
      <w:r w:rsidRPr="00727449">
        <w:tab/>
        <w:t xml:space="preserve">Before considering any claim contained in a communication, the Human Rights Committee must, in accordance with rule 93 of its </w:t>
      </w:r>
      <w:r w:rsidR="0025269E" w:rsidRPr="00727449">
        <w:t xml:space="preserve">rules </w:t>
      </w:r>
      <w:r w:rsidRPr="00727449">
        <w:t>of procedure, decide whether or not the case is admissible under the Optional Protocol to the Covenant.</w:t>
      </w:r>
    </w:p>
    <w:p w:rsidR="001E7626" w:rsidRPr="001A2F55" w:rsidRDefault="001E7626" w:rsidP="001A2F55">
      <w:pPr>
        <w:pStyle w:val="SingleTxtG"/>
      </w:pPr>
      <w:r>
        <w:t>6</w:t>
      </w:r>
      <w:r w:rsidRPr="00727449">
        <w:t>.2</w:t>
      </w:r>
      <w:r w:rsidRPr="00727449">
        <w:tab/>
        <w:t xml:space="preserve">The Committee has ascertained, as required under </w:t>
      </w:r>
      <w:r w:rsidR="001D7A6F">
        <w:t>article </w:t>
      </w:r>
      <w:r w:rsidRPr="00727449">
        <w:t xml:space="preserve">5, </w:t>
      </w:r>
      <w:r w:rsidR="001D7A6F">
        <w:t>paragraph </w:t>
      </w:r>
      <w:r w:rsidRPr="00727449">
        <w:t>2</w:t>
      </w:r>
      <w:r w:rsidR="0025269E">
        <w:t xml:space="preserve"> </w:t>
      </w:r>
      <w:r w:rsidRPr="00727449">
        <w:t>(a), of the Optional Protocol, that the same matter is not being examined under another procedure of international investigation or settlement.</w:t>
      </w:r>
    </w:p>
    <w:p w:rsidR="001E7626" w:rsidRPr="001A2F55" w:rsidRDefault="004061F3" w:rsidP="001A2F55">
      <w:pPr>
        <w:pStyle w:val="SingleTxtG"/>
      </w:pPr>
      <w:r>
        <w:t>6.</w:t>
      </w:r>
      <w:r w:rsidRPr="004061F3">
        <w:t>3</w:t>
      </w:r>
      <w:r w:rsidR="001E7626">
        <w:tab/>
      </w:r>
      <w:r w:rsidR="001E7626" w:rsidRPr="00727449">
        <w:t>With respect to the requirement of exhaustion of domestic remedies, the Committee notes the State party’s argument</w:t>
      </w:r>
      <w:r w:rsidR="001E7626">
        <w:t>s</w:t>
      </w:r>
      <w:r w:rsidR="001E7626" w:rsidRPr="00727449">
        <w:t xml:space="preserve"> that </w:t>
      </w:r>
      <w:r w:rsidR="001E7626">
        <w:t>the author has not exhausted domestic remedies</w:t>
      </w:r>
      <w:r w:rsidR="0025269E">
        <w:t>,</w:t>
      </w:r>
      <w:r w:rsidR="001E7626">
        <w:t xml:space="preserve"> as she failed to register a </w:t>
      </w:r>
      <w:r w:rsidR="0025269E">
        <w:t xml:space="preserve">first information report with </w:t>
      </w:r>
      <w:r w:rsidR="001E7626">
        <w:t>the police; that she could request compensation under the Compensation Relating to Torture Act</w:t>
      </w:r>
      <w:r w:rsidR="0025269E">
        <w:t>;</w:t>
      </w:r>
      <w:r w:rsidR="001E7626">
        <w:t xml:space="preserve"> and that her husband’s case </w:t>
      </w:r>
      <w:r w:rsidR="0025269E">
        <w:t xml:space="preserve">will </w:t>
      </w:r>
      <w:r w:rsidR="001E7626">
        <w:t>be addressed within the transitional justice mechanisms</w:t>
      </w:r>
      <w:r w:rsidR="0025269E">
        <w:t>,</w:t>
      </w:r>
      <w:r w:rsidR="001E7626">
        <w:t xml:space="preserve"> which </w:t>
      </w:r>
      <w:r w:rsidR="0025269E">
        <w:t>should</w:t>
      </w:r>
      <w:r w:rsidR="001E7626">
        <w:t xml:space="preserve"> be established in conformity with the Interim Constitution </w:t>
      </w:r>
      <w:r w:rsidR="0025269E">
        <w:t xml:space="preserve">of 2007 </w:t>
      </w:r>
      <w:r w:rsidR="001E7626">
        <w:t>and the Comprehensive Peace Agreement</w:t>
      </w:r>
      <w:r w:rsidR="0025269E">
        <w:t xml:space="preserve"> of 2006</w:t>
      </w:r>
      <w:r w:rsidR="001E7626">
        <w:t xml:space="preserve">. The Committee also notes the author’s allegations that </w:t>
      </w:r>
      <w:r w:rsidR="0025269E">
        <w:t xml:space="preserve">a first information report </w:t>
      </w:r>
      <w:r w:rsidR="001E7626" w:rsidRPr="000572FC">
        <w:t xml:space="preserve">is </w:t>
      </w:r>
      <w:r w:rsidR="001E7626">
        <w:t>not an appropriate remedy</w:t>
      </w:r>
      <w:r w:rsidR="0025269E">
        <w:t>,</w:t>
      </w:r>
      <w:r w:rsidR="001E7626">
        <w:t xml:space="preserve"> as it is </w:t>
      </w:r>
      <w:r w:rsidR="001E7626" w:rsidRPr="000572FC">
        <w:t xml:space="preserve">limited to the crimes listed in </w:t>
      </w:r>
      <w:r w:rsidR="0025269E" w:rsidRPr="000572FC">
        <w:t xml:space="preserve">schedule </w:t>
      </w:r>
      <w:r w:rsidR="001E7626" w:rsidRPr="000572FC">
        <w:t>1 of the State Cases Act of 1992</w:t>
      </w:r>
      <w:r w:rsidR="0025269E">
        <w:t>,</w:t>
      </w:r>
      <w:r w:rsidR="001E7626" w:rsidRPr="000572FC">
        <w:t xml:space="preserve"> which does not include enforced disappearance and torture</w:t>
      </w:r>
      <w:r w:rsidR="001E7626">
        <w:t xml:space="preserve">; and that the </w:t>
      </w:r>
      <w:r w:rsidR="0025269E">
        <w:t>Compensation Relating to Torture Act</w:t>
      </w:r>
      <w:r w:rsidR="0025269E" w:rsidRPr="00AE788F">
        <w:t xml:space="preserve"> </w:t>
      </w:r>
      <w:r w:rsidR="001E7626" w:rsidRPr="00AE788F">
        <w:t>does not provide for criminal accountability</w:t>
      </w:r>
      <w:r w:rsidR="0025269E">
        <w:t>,</w:t>
      </w:r>
      <w:r w:rsidR="001E7626" w:rsidRPr="00AE788F">
        <w:t xml:space="preserve"> but only for compensation</w:t>
      </w:r>
      <w:r w:rsidR="001E7626">
        <w:t xml:space="preserve"> of </w:t>
      </w:r>
      <w:r w:rsidR="0025269E">
        <w:t xml:space="preserve">a </w:t>
      </w:r>
      <w:r w:rsidR="001E7626">
        <w:t xml:space="preserve">maximum </w:t>
      </w:r>
      <w:r w:rsidR="0025269E">
        <w:t xml:space="preserve">of Nr. </w:t>
      </w:r>
      <w:r w:rsidR="001E7626">
        <w:t>100,000</w:t>
      </w:r>
      <w:r w:rsidR="0025269E">
        <w:t>.</w:t>
      </w:r>
      <w:r w:rsidR="001E7626">
        <w:t xml:space="preserve"> The Committee observes that the author’s writ of habeas corpus was quashed by the Supreme Court on 26 January 2004. Despite the recommendations </w:t>
      </w:r>
      <w:r w:rsidR="0025269E">
        <w:t xml:space="preserve">of the National Human Rights Commission </w:t>
      </w:r>
      <w:r w:rsidR="001E7626">
        <w:t xml:space="preserve">of 4 July 2006 and the ruling </w:t>
      </w:r>
      <w:r w:rsidR="0025269E">
        <w:t xml:space="preserve">by the Supreme Court </w:t>
      </w:r>
      <w:r w:rsidR="001E7626">
        <w:t>of 1 June 2007, the circumstances of the alleged disappearance of the author’s husband remain unclear</w:t>
      </w:r>
      <w:r w:rsidR="001E7626" w:rsidRPr="00363CCC">
        <w:t xml:space="preserve"> </w:t>
      </w:r>
      <w:r w:rsidR="001E7626">
        <w:t xml:space="preserve">and no investigation has </w:t>
      </w:r>
      <w:r w:rsidR="0025269E">
        <w:t xml:space="preserve">yet </w:t>
      </w:r>
      <w:r w:rsidR="001E7626">
        <w:t>been concluded</w:t>
      </w:r>
      <w:r w:rsidR="0025269E">
        <w:t>.</w:t>
      </w:r>
      <w:r w:rsidR="001E7626">
        <w:t xml:space="preserve"> The</w:t>
      </w:r>
      <w:r w:rsidR="001E7626" w:rsidRPr="009970AE" w:rsidDel="00FE692F">
        <w:t xml:space="preserve"> </w:t>
      </w:r>
      <w:r w:rsidR="001E7626">
        <w:t>Committee further recalls its jurisprudence</w:t>
      </w:r>
      <w:r w:rsidR="001E7626" w:rsidRPr="009970AE">
        <w:t xml:space="preserve"> that in cases of serious violations a judicial remedy </w:t>
      </w:r>
      <w:r w:rsidR="001E7626">
        <w:t>is</w:t>
      </w:r>
      <w:r w:rsidR="001E7626" w:rsidRPr="009970AE">
        <w:t xml:space="preserve"> required</w:t>
      </w:r>
      <w:r w:rsidR="00863DF2" w:rsidRPr="0052371F">
        <w:t>.</w:t>
      </w:r>
      <w:r w:rsidR="001E7626" w:rsidRPr="001D7A6F">
        <w:rPr>
          <w:rStyle w:val="FootnoteReference"/>
        </w:rPr>
        <w:footnoteReference w:id="10"/>
      </w:r>
      <w:r w:rsidR="001E7626" w:rsidRPr="004359DB">
        <w:t xml:space="preserve"> </w:t>
      </w:r>
      <w:r w:rsidR="001E7626">
        <w:t>In th</w:t>
      </w:r>
      <w:r w:rsidR="0025269E">
        <w:t>at</w:t>
      </w:r>
      <w:r w:rsidR="001E7626">
        <w:t xml:space="preserve"> respect, the Committee observes that the </w:t>
      </w:r>
      <w:r w:rsidR="001E7626" w:rsidRPr="005B1A24">
        <w:t xml:space="preserve">transitional justice </w:t>
      </w:r>
      <w:r w:rsidR="001E7626">
        <w:t xml:space="preserve">bodies to be established are not judicial organs. Accordingly, the Committee considers that the investigation has been unreasonably prolonged and that there are no obstacles to the examination of </w:t>
      </w:r>
      <w:r w:rsidR="001E7626" w:rsidRPr="00934E72">
        <w:t xml:space="preserve">the communication under </w:t>
      </w:r>
      <w:r w:rsidR="001D7A6F">
        <w:t>article </w:t>
      </w:r>
      <w:r w:rsidR="001E7626" w:rsidRPr="00934E72">
        <w:t xml:space="preserve">5, </w:t>
      </w:r>
      <w:r w:rsidR="001D7A6F">
        <w:t>paragraph </w:t>
      </w:r>
      <w:r w:rsidR="001E7626" w:rsidRPr="00934E72">
        <w:t xml:space="preserve">2 (b), of the Optional Protocol. </w:t>
      </w:r>
    </w:p>
    <w:p w:rsidR="00EF635E" w:rsidRDefault="00863DF2" w:rsidP="001E0F9C">
      <w:pPr>
        <w:pStyle w:val="SingleTxtG"/>
      </w:pPr>
      <w:r>
        <w:t>6.4</w:t>
      </w:r>
      <w:r w:rsidR="00D03F1E">
        <w:tab/>
      </w:r>
      <w:r w:rsidR="004061F3" w:rsidRPr="004061F3">
        <w:t xml:space="preserve">The Committee notes that the State party refers to </w:t>
      </w:r>
      <w:r w:rsidR="00253D3A" w:rsidRPr="004061F3">
        <w:t xml:space="preserve">rule </w:t>
      </w:r>
      <w:r w:rsidR="004061F3" w:rsidRPr="004061F3">
        <w:t xml:space="preserve">96 (c) of the Committee’s </w:t>
      </w:r>
      <w:r w:rsidR="00253D3A" w:rsidRPr="004061F3">
        <w:t xml:space="preserve">rules </w:t>
      </w:r>
      <w:r w:rsidR="004061F3" w:rsidRPr="004061F3">
        <w:t>of procedure, without providing observations in th</w:t>
      </w:r>
      <w:r w:rsidR="00253D3A">
        <w:t>at</w:t>
      </w:r>
      <w:r w:rsidR="004061F3" w:rsidRPr="004061F3">
        <w:t xml:space="preserve"> </w:t>
      </w:r>
      <w:r w:rsidR="004061F3" w:rsidRPr="008704A5">
        <w:t xml:space="preserve">regard. </w:t>
      </w:r>
      <w:r w:rsidR="00154B75" w:rsidRPr="0039433F">
        <w:t xml:space="preserve">The Committee </w:t>
      </w:r>
      <w:r w:rsidR="00154B75" w:rsidRPr="00284AF0">
        <w:t>observes</w:t>
      </w:r>
      <w:r w:rsidR="00154B75">
        <w:t xml:space="preserve"> </w:t>
      </w:r>
      <w:r w:rsidR="00BA3736">
        <w:t xml:space="preserve">that </w:t>
      </w:r>
      <w:r w:rsidR="00154B75">
        <w:t>the present communication was submitted to it on 28 September 2011 and</w:t>
      </w:r>
      <w:r w:rsidR="00154B75" w:rsidRPr="00284AF0">
        <w:t xml:space="preserve"> that its new rule</w:t>
      </w:r>
      <w:r w:rsidR="00154B75" w:rsidRPr="00994BFA">
        <w:t xml:space="preserve"> 96 (c)</w:t>
      </w:r>
      <w:r w:rsidR="00154B75">
        <w:t xml:space="preserve"> is</w:t>
      </w:r>
      <w:r w:rsidR="00154B75" w:rsidRPr="00994BFA">
        <w:t xml:space="preserve"> applicable to communications received by the Committee after 1</w:t>
      </w:r>
      <w:r w:rsidR="001E0F9C">
        <w:rPr>
          <w:lang w:val="fr-CH"/>
        </w:rPr>
        <w:t> </w:t>
      </w:r>
      <w:r w:rsidR="00154B75" w:rsidRPr="00994BFA">
        <w:t>January 2012</w:t>
      </w:r>
      <w:r>
        <w:t>.</w:t>
      </w:r>
      <w:r w:rsidR="001B72AA" w:rsidRPr="001D7A6F">
        <w:rPr>
          <w:rStyle w:val="FootnoteReference"/>
        </w:rPr>
        <w:footnoteReference w:id="11"/>
      </w:r>
      <w:r w:rsidR="00253D3A">
        <w:t xml:space="preserve"> </w:t>
      </w:r>
      <w:r w:rsidR="004061F3" w:rsidRPr="008704A5">
        <w:t xml:space="preserve">The Committee </w:t>
      </w:r>
      <w:r w:rsidR="00BA3736">
        <w:t xml:space="preserve">further </w:t>
      </w:r>
      <w:r w:rsidR="004061F3" w:rsidRPr="008704A5">
        <w:t xml:space="preserve">observes that the Optional Protocol does not establish time limits within which a communication should be submitted, and that the period of time elapsing before </w:t>
      </w:r>
      <w:r w:rsidR="00253D3A">
        <w:t>such a submission</w:t>
      </w:r>
      <w:r w:rsidR="004061F3" w:rsidRPr="008704A5">
        <w:t>, other than in exceptional circumstances, does not in itself constitute an abuse of the right of submission of a</w:t>
      </w:r>
      <w:r w:rsidR="004061F3" w:rsidRPr="0039433F">
        <w:t xml:space="preserve"> communication.</w:t>
      </w:r>
      <w:r w:rsidR="004061F3" w:rsidRPr="00FC4000">
        <w:rPr>
          <w:rStyle w:val="FootnoteReference"/>
        </w:rPr>
        <w:footnoteReference w:id="12"/>
      </w:r>
      <w:r w:rsidR="004061F3" w:rsidRPr="008704A5">
        <w:t xml:space="preserve"> It is clear that, in determining what constitutes excessive delay, each case must be decided on its own facts. </w:t>
      </w:r>
      <w:r w:rsidR="004061F3" w:rsidRPr="00994BFA">
        <w:t>In the meantime, the Committee applies its jurisprudence which allows for finding an abuse</w:t>
      </w:r>
      <w:r w:rsidR="00184517">
        <w:t>,</w:t>
      </w:r>
      <w:r w:rsidR="004061F3" w:rsidRPr="00994BFA">
        <w:t xml:space="preserve"> where an exceptionally long period of time has elapsed before the presentation of the communication, without sufficient justification.</w:t>
      </w:r>
      <w:r w:rsidR="004061F3" w:rsidRPr="00FC4000">
        <w:rPr>
          <w:rStyle w:val="FootnoteReference"/>
        </w:rPr>
        <w:footnoteReference w:id="13"/>
      </w:r>
      <w:r w:rsidR="00B53E00">
        <w:t xml:space="preserve"> T</w:t>
      </w:r>
      <w:r w:rsidR="00B14A16">
        <w:t xml:space="preserve">he Committee observes that no domestic </w:t>
      </w:r>
      <w:r w:rsidR="00233491">
        <w:t xml:space="preserve">legal </w:t>
      </w:r>
      <w:r w:rsidR="00B14A16">
        <w:t xml:space="preserve">action was taken by the author after the ruling </w:t>
      </w:r>
      <w:r w:rsidR="00184517">
        <w:t xml:space="preserve">by the Supreme Court </w:t>
      </w:r>
      <w:r w:rsidR="00B14A16">
        <w:t xml:space="preserve">of 26 January 2004; however she continued </w:t>
      </w:r>
      <w:r w:rsidR="00184517">
        <w:t xml:space="preserve">to </w:t>
      </w:r>
      <w:r w:rsidR="00B14A16">
        <w:t>mak</w:t>
      </w:r>
      <w:r w:rsidR="00184517">
        <w:t>e</w:t>
      </w:r>
      <w:r w:rsidR="00B14A16">
        <w:t xml:space="preserve"> efforts to clarify her husband’s whereabouts</w:t>
      </w:r>
      <w:r w:rsidR="00233491">
        <w:t xml:space="preserve"> after th</w:t>
      </w:r>
      <w:r w:rsidR="00184517">
        <w:t>at</w:t>
      </w:r>
      <w:r w:rsidR="00233491">
        <w:t xml:space="preserve"> date, approaching </w:t>
      </w:r>
      <w:r w:rsidR="00785180">
        <w:t xml:space="preserve">different </w:t>
      </w:r>
      <w:r w:rsidR="00233491">
        <w:t>authorities</w:t>
      </w:r>
      <w:r w:rsidR="00B14A16">
        <w:t>. Moreover,</w:t>
      </w:r>
      <w:r w:rsidR="00233491">
        <w:t xml:space="preserve"> on 1 July 2007</w:t>
      </w:r>
      <w:r w:rsidR="00184517">
        <w:t>,</w:t>
      </w:r>
      <w:r w:rsidR="00233491">
        <w:t xml:space="preserve"> the Constitutional Court issued </w:t>
      </w:r>
      <w:r w:rsidR="00B53E00">
        <w:t>a</w:t>
      </w:r>
      <w:r w:rsidR="00233491">
        <w:t xml:space="preserve"> ruling</w:t>
      </w:r>
      <w:r w:rsidR="00EF635E">
        <w:t xml:space="preserve"> concerning the arbitrary detention and enforced disappearance of several detainees, including the author’s husband. </w:t>
      </w:r>
      <w:r w:rsidR="00785180">
        <w:t>Therefore, i</w:t>
      </w:r>
      <w:r w:rsidR="00EF635E">
        <w:t xml:space="preserve">n the </w:t>
      </w:r>
      <w:r w:rsidR="00A91AFF">
        <w:t>circumstances</w:t>
      </w:r>
      <w:r w:rsidR="00EF635E">
        <w:t xml:space="preserve"> of the instant case, the Committee considers that the delay</w:t>
      </w:r>
      <w:r w:rsidR="00785180">
        <w:t xml:space="preserve"> does not constitute an abuse of the right of submission under </w:t>
      </w:r>
      <w:r w:rsidR="001D7A6F">
        <w:t>article </w:t>
      </w:r>
      <w:r w:rsidR="00785180">
        <w:t>3 of the Optional Protocol.</w:t>
      </w:r>
    </w:p>
    <w:p w:rsidR="001E7626" w:rsidRPr="001A2F55" w:rsidRDefault="00863DF2" w:rsidP="001A2F55">
      <w:pPr>
        <w:pStyle w:val="SingleTxtG"/>
      </w:pPr>
      <w:r>
        <w:t>6.5</w:t>
      </w:r>
      <w:r w:rsidR="001E7626">
        <w:tab/>
        <w:t xml:space="preserve">The Committee takes note of the author’s claim under </w:t>
      </w:r>
      <w:r w:rsidR="001D7A6F">
        <w:t>article </w:t>
      </w:r>
      <w:r w:rsidR="001E7626">
        <w:t>22</w:t>
      </w:r>
      <w:r w:rsidR="00184517">
        <w:t xml:space="preserve"> of the Covenant</w:t>
      </w:r>
      <w:r w:rsidR="001E7626">
        <w:t xml:space="preserve"> that her husband’s alleged arbitrary detention, enforced disappearance and extrajudicial execution were directly related to his membership </w:t>
      </w:r>
      <w:r w:rsidR="00184517">
        <w:t xml:space="preserve">of </w:t>
      </w:r>
      <w:r w:rsidR="001E7626">
        <w:t>ANNISU-R, where he held important positions. The Committee considers that this claim has not been sufficiently substantiated for purposes of admissibility and finds it inadmissible</w:t>
      </w:r>
      <w:r w:rsidR="00184517">
        <w:t>,</w:t>
      </w:r>
      <w:r w:rsidR="001E7626">
        <w:t xml:space="preserve"> pursuant to </w:t>
      </w:r>
      <w:r w:rsidR="001D7A6F">
        <w:t>article </w:t>
      </w:r>
      <w:r w:rsidR="001E7626">
        <w:t>2 of the Optional Protocol.</w:t>
      </w:r>
    </w:p>
    <w:p w:rsidR="001E7626" w:rsidRPr="001A2F55" w:rsidRDefault="001E7626" w:rsidP="001D7A6F">
      <w:pPr>
        <w:pStyle w:val="SingleTxtG"/>
      </w:pPr>
      <w:r>
        <w:t>6</w:t>
      </w:r>
      <w:r w:rsidRPr="00347F56">
        <w:t>.</w:t>
      </w:r>
      <w:r>
        <w:t>6</w:t>
      </w:r>
      <w:r w:rsidRPr="00347F56">
        <w:tab/>
        <w:t xml:space="preserve">The Committee </w:t>
      </w:r>
      <w:r w:rsidR="00C335EB" w:rsidRPr="00D5620E">
        <w:t xml:space="preserve">considers that the remaining claims have been sufficiently substantiated for purposes of </w:t>
      </w:r>
      <w:r w:rsidR="00A91AFF" w:rsidRPr="00D5620E">
        <w:t>admissibility</w:t>
      </w:r>
      <w:r w:rsidR="00C335EB" w:rsidRPr="00D5620E">
        <w:t xml:space="preserve">. It </w:t>
      </w:r>
      <w:r w:rsidRPr="00347F56">
        <w:t xml:space="preserve">therefore considers that the communication is admissible and proceeds to the examination of the claims in respect </w:t>
      </w:r>
      <w:r w:rsidR="00184517">
        <w:rPr>
          <w:lang w:val="fr-CH"/>
        </w:rPr>
        <w:t xml:space="preserve">Of </w:t>
      </w:r>
      <w:r>
        <w:t>Gyanendra Tripathi under</w:t>
      </w:r>
      <w:r w:rsidRPr="00347F56">
        <w:t xml:space="preserve"> </w:t>
      </w:r>
      <w:r w:rsidRPr="00727449">
        <w:t>article</w:t>
      </w:r>
      <w:r>
        <w:t>s</w:t>
      </w:r>
      <w:r w:rsidR="001E0F9C">
        <w:rPr>
          <w:lang w:val="fr-CH"/>
        </w:rPr>
        <w:t> </w:t>
      </w:r>
      <w:r>
        <w:t xml:space="preserve">6; </w:t>
      </w:r>
      <w:r w:rsidRPr="00727449">
        <w:t>7</w:t>
      </w:r>
      <w:r>
        <w:t>;</w:t>
      </w:r>
      <w:r w:rsidRPr="00727449">
        <w:t xml:space="preserve"> 9</w:t>
      </w:r>
      <w:r>
        <w:t>;</w:t>
      </w:r>
      <w:r w:rsidRPr="00727449">
        <w:t xml:space="preserve"> 10</w:t>
      </w:r>
      <w:r>
        <w:t xml:space="preserve">, </w:t>
      </w:r>
      <w:r w:rsidR="001D7A6F">
        <w:t>paragraph </w:t>
      </w:r>
      <w:r>
        <w:t>1</w:t>
      </w:r>
      <w:r w:rsidR="00184517">
        <w:t>,</w:t>
      </w:r>
      <w:r>
        <w:t xml:space="preserve"> </w:t>
      </w:r>
      <w:r w:rsidRPr="008744E0">
        <w:t xml:space="preserve">and 16, alone and </w:t>
      </w:r>
      <w:r w:rsidR="008765E6">
        <w:t xml:space="preserve">read </w:t>
      </w:r>
      <w:r w:rsidRPr="008744E0">
        <w:t>in conjunction</w:t>
      </w:r>
      <w:r>
        <w:t xml:space="preserve"> with</w:t>
      </w:r>
      <w:r w:rsidRPr="00E12DC8">
        <w:t xml:space="preserve"> </w:t>
      </w:r>
      <w:r w:rsidR="001D7A6F">
        <w:t>article </w:t>
      </w:r>
      <w:r>
        <w:t xml:space="preserve">2, </w:t>
      </w:r>
      <w:r w:rsidR="001D7A6F">
        <w:t>paragraph </w:t>
      </w:r>
      <w:r>
        <w:t>3</w:t>
      </w:r>
      <w:r w:rsidR="008765E6">
        <w:t>,</w:t>
      </w:r>
      <w:r w:rsidR="00184517">
        <w:t xml:space="preserve"> of the Covenant</w:t>
      </w:r>
      <w:r>
        <w:t xml:space="preserve">; as well as </w:t>
      </w:r>
      <w:r w:rsidR="00184517">
        <w:t xml:space="preserve">in respect of </w:t>
      </w:r>
      <w:r>
        <w:t xml:space="preserve">the author under </w:t>
      </w:r>
      <w:r w:rsidR="001D7A6F">
        <w:t>article </w:t>
      </w:r>
      <w:r>
        <w:t xml:space="preserve">7, </w:t>
      </w:r>
      <w:r w:rsidR="00184517">
        <w:t xml:space="preserve">read </w:t>
      </w:r>
      <w:r>
        <w:t xml:space="preserve">in conjunction with </w:t>
      </w:r>
      <w:r w:rsidR="001D7A6F">
        <w:t>article </w:t>
      </w:r>
      <w:r>
        <w:t xml:space="preserve">2, </w:t>
      </w:r>
      <w:r w:rsidR="001D7A6F">
        <w:t>paragraph </w:t>
      </w:r>
      <w:r>
        <w:t xml:space="preserve">3, and </w:t>
      </w:r>
      <w:r w:rsidR="00184517">
        <w:t xml:space="preserve">of </w:t>
      </w:r>
      <w:r w:rsidR="00BA3736" w:rsidRPr="00BA3736">
        <w:t xml:space="preserve">her </w:t>
      </w:r>
      <w:r w:rsidR="00BA3736">
        <w:t xml:space="preserve">minor </w:t>
      </w:r>
      <w:r w:rsidR="00BA3736" w:rsidRPr="00971E2A">
        <w:t>daughter</w:t>
      </w:r>
      <w:r w:rsidR="00BA3736">
        <w:t xml:space="preserve"> </w:t>
      </w:r>
      <w:r>
        <w:t xml:space="preserve">under </w:t>
      </w:r>
      <w:r w:rsidR="00184517">
        <w:t xml:space="preserve">article </w:t>
      </w:r>
      <w:r>
        <w:t>7, re</w:t>
      </w:r>
      <w:r w:rsidR="00B67D05">
        <w:t>ad in conjunction with articles</w:t>
      </w:r>
      <w:r w:rsidR="00B67D05">
        <w:rPr>
          <w:lang w:val="fr-CH"/>
        </w:rPr>
        <w:t> </w:t>
      </w:r>
      <w:r>
        <w:t xml:space="preserve">2, </w:t>
      </w:r>
      <w:r w:rsidR="001D7A6F">
        <w:t>paragraph </w:t>
      </w:r>
      <w:r>
        <w:t xml:space="preserve">3, and 24, </w:t>
      </w:r>
      <w:r w:rsidR="001D7A6F">
        <w:t>paragraph </w:t>
      </w:r>
      <w:r>
        <w:t>1,</w:t>
      </w:r>
      <w:r w:rsidRPr="00727449">
        <w:t xml:space="preserve"> of the Covenant</w:t>
      </w:r>
      <w:r>
        <w:t>.</w:t>
      </w:r>
    </w:p>
    <w:p w:rsidR="001E7626" w:rsidRPr="00727449" w:rsidRDefault="001E7626" w:rsidP="00D03F1E">
      <w:pPr>
        <w:pStyle w:val="H4G"/>
        <w:ind w:right="0"/>
      </w:pPr>
      <w:r>
        <w:tab/>
      </w:r>
      <w:r>
        <w:tab/>
      </w:r>
      <w:r w:rsidRPr="00727449">
        <w:t>Consideration of the merits</w:t>
      </w:r>
    </w:p>
    <w:p w:rsidR="001E7626" w:rsidRPr="001A2F55" w:rsidRDefault="001E7626" w:rsidP="001A2F55">
      <w:pPr>
        <w:pStyle w:val="SingleTxtG"/>
      </w:pPr>
      <w:r>
        <w:t>7</w:t>
      </w:r>
      <w:r w:rsidRPr="00727449">
        <w:t>.1</w:t>
      </w:r>
      <w:r w:rsidRPr="00727449">
        <w:tab/>
        <w:t xml:space="preserve">The Human Rights Committee has considered the communication in the light of all the information made available to it by the parties, as provided for under </w:t>
      </w:r>
      <w:r w:rsidR="001D7A6F">
        <w:t>article </w:t>
      </w:r>
      <w:r w:rsidRPr="00727449">
        <w:t xml:space="preserve">5, </w:t>
      </w:r>
      <w:r w:rsidR="001D7A6F">
        <w:t>paragraph </w:t>
      </w:r>
      <w:r w:rsidRPr="00727449">
        <w:t xml:space="preserve">1, of the Optional Protocol. </w:t>
      </w:r>
    </w:p>
    <w:p w:rsidR="001E7626" w:rsidRPr="001A2F55" w:rsidRDefault="002E4254" w:rsidP="001D7A6F">
      <w:pPr>
        <w:pStyle w:val="SingleTxtG"/>
      </w:pPr>
      <w:r>
        <w:t>7.2</w:t>
      </w:r>
      <w:r w:rsidR="001E7626">
        <w:tab/>
        <w:t>The Committee takes note of the author’s allegation that</w:t>
      </w:r>
      <w:r w:rsidR="00184517">
        <w:t>,</w:t>
      </w:r>
      <w:r w:rsidR="001E7626">
        <w:t xml:space="preserve"> </w:t>
      </w:r>
      <w:r w:rsidR="001E7626" w:rsidRPr="005A7C4D">
        <w:t xml:space="preserve">although there </w:t>
      </w:r>
      <w:r w:rsidR="00184517">
        <w:t>were</w:t>
      </w:r>
      <w:r w:rsidR="00184517" w:rsidRPr="005A7C4D">
        <w:t xml:space="preserve"> </w:t>
      </w:r>
      <w:r w:rsidR="001E7626" w:rsidRPr="005A7C4D">
        <w:t xml:space="preserve">no eye-witnesses </w:t>
      </w:r>
      <w:r w:rsidR="00184517">
        <w:t>to</w:t>
      </w:r>
      <w:r w:rsidR="00184517" w:rsidRPr="005A7C4D">
        <w:t xml:space="preserve"> </w:t>
      </w:r>
      <w:r w:rsidR="001E7626" w:rsidRPr="005A7C4D">
        <w:t xml:space="preserve">the precise moment of her husband’s </w:t>
      </w:r>
      <w:r w:rsidR="001E7626">
        <w:t>arrest</w:t>
      </w:r>
      <w:r w:rsidR="001E7626" w:rsidRPr="005A7C4D">
        <w:t xml:space="preserve">, </w:t>
      </w:r>
      <w:r w:rsidR="001E7626">
        <w:t xml:space="preserve">several reports and testimonies indicate that her husband was detained by </w:t>
      </w:r>
      <w:r w:rsidR="001E0F9C">
        <w:t>the A</w:t>
      </w:r>
      <w:r w:rsidR="00184517">
        <w:t>rmy</w:t>
      </w:r>
      <w:r w:rsidR="001E0F9C">
        <w:t xml:space="preserve"> on 26</w:t>
      </w:r>
      <w:r w:rsidR="001E0F9C">
        <w:rPr>
          <w:lang w:val="fr-CH"/>
        </w:rPr>
        <w:t> </w:t>
      </w:r>
      <w:r w:rsidR="001E7626">
        <w:t>September 2003, kept incommunicado at</w:t>
      </w:r>
      <w:r w:rsidR="001E7626" w:rsidRPr="005A7C4D">
        <w:t xml:space="preserve"> the Maharajgunj barracks and </w:t>
      </w:r>
      <w:r w:rsidR="00184517">
        <w:t>forcibly</w:t>
      </w:r>
      <w:r w:rsidR="00184517" w:rsidRPr="005A7C4D">
        <w:t xml:space="preserve"> </w:t>
      </w:r>
      <w:r w:rsidR="001E7626" w:rsidRPr="005A7C4D">
        <w:t>disappeared</w:t>
      </w:r>
      <w:r w:rsidR="001E7626">
        <w:t xml:space="preserve"> by State agents. According to the author, the chances </w:t>
      </w:r>
      <w:r w:rsidR="00184517">
        <w:t xml:space="preserve">of </w:t>
      </w:r>
      <w:r w:rsidR="001E7626">
        <w:t>find</w:t>
      </w:r>
      <w:r w:rsidR="00184517">
        <w:t>ing</w:t>
      </w:r>
      <w:r w:rsidR="001E7626">
        <w:t xml:space="preserve"> her husband alive are minimal, since concurring evidence suggests that he was killed by members</w:t>
      </w:r>
      <w:r w:rsidR="00184517">
        <w:t xml:space="preserve"> of the Army</w:t>
      </w:r>
      <w:r w:rsidR="001E7626">
        <w:t xml:space="preserve"> on or about 20</w:t>
      </w:r>
      <w:r w:rsidR="001D7A6F">
        <w:rPr>
          <w:lang w:val="fr-CH"/>
        </w:rPr>
        <w:t> </w:t>
      </w:r>
      <w:r w:rsidR="001E7626">
        <w:t xml:space="preserve">December 2003. The Committee also notes the State party’s argument that the author’s allegations are based on mere suspicion; and that within the habeas corpus proceedings, she was unable to prove that her husband had been arrested and detained by State agents. </w:t>
      </w:r>
      <w:r w:rsidR="001E7626" w:rsidRPr="0031077E">
        <w:t>The Committee reaffirms that the burden of proof cannot rest solely on the author of the communication, especially considering that the author and the State party do not always have equal access to evidence</w:t>
      </w:r>
      <w:r w:rsidR="00184517">
        <w:t>,</w:t>
      </w:r>
      <w:r w:rsidR="001E7626" w:rsidRPr="0031077E">
        <w:t xml:space="preserve"> and that frequently the State party alone has access to the relevant information.</w:t>
      </w:r>
      <w:r w:rsidR="001E7626" w:rsidRPr="001D7A6F">
        <w:rPr>
          <w:rStyle w:val="FootnoteReference"/>
        </w:rPr>
        <w:footnoteReference w:id="14"/>
      </w:r>
      <w:r w:rsidR="001E7626" w:rsidRPr="0031077E">
        <w:t xml:space="preserve"> It is implicit in </w:t>
      </w:r>
      <w:r w:rsidR="001D7A6F">
        <w:t>article </w:t>
      </w:r>
      <w:r w:rsidR="001E7626" w:rsidRPr="0031077E">
        <w:t xml:space="preserve">4, </w:t>
      </w:r>
      <w:r w:rsidR="001D7A6F">
        <w:t>paragraph </w:t>
      </w:r>
      <w:r w:rsidR="001E7626" w:rsidRPr="0031077E">
        <w:t>2, of the Optional Protocol that the State party has the duty to investigate in good faith all allegations of violations of the Covenant made against it and its representatives</w:t>
      </w:r>
      <w:r w:rsidR="00B61CA4">
        <w:t>,</w:t>
      </w:r>
      <w:r w:rsidR="001E7626" w:rsidRPr="0031077E">
        <w:t xml:space="preserve"> and to provide the Committee with the information available to it. In cases where the author has submitted allegations to the State party that are corroborated by credible evidence</w:t>
      </w:r>
      <w:r w:rsidR="00B61CA4">
        <w:t>,</w:t>
      </w:r>
      <w:r w:rsidR="001E7626" w:rsidRPr="0031077E">
        <w:t xml:space="preserve"> and where further clarification depends on information that is solely in the hands of the State party, the Committee may consider the author’s allegations substantiated</w:t>
      </w:r>
      <w:r w:rsidR="00B61CA4">
        <w:t>,</w:t>
      </w:r>
      <w:r w:rsidR="001E7626" w:rsidRPr="0031077E">
        <w:t xml:space="preserve"> in the absence of satisfactory evidence or explanations to the contrary presented by the State party.</w:t>
      </w:r>
      <w:r w:rsidR="001E7626">
        <w:t xml:space="preserve"> </w:t>
      </w:r>
    </w:p>
    <w:p w:rsidR="001E7626" w:rsidRPr="00C117F1" w:rsidRDefault="002E4254" w:rsidP="001A2F55">
      <w:pPr>
        <w:pStyle w:val="SingleTxtG"/>
        <w:rPr>
          <w:lang w:val="fr-CH"/>
        </w:rPr>
      </w:pPr>
      <w:r>
        <w:t>7.3</w:t>
      </w:r>
      <w:r w:rsidR="001E7626">
        <w:tab/>
        <w:t xml:space="preserve">In the present case, the Committee observes that promptly after losing contact with her husband in September 2003, the author approached several </w:t>
      </w:r>
      <w:r w:rsidR="00B61CA4">
        <w:t xml:space="preserve">Army </w:t>
      </w:r>
      <w:r w:rsidR="001E7626">
        <w:t>barracks in Kathmandu inquiring</w:t>
      </w:r>
      <w:r w:rsidR="00C335EB" w:rsidRPr="00873D76">
        <w:t xml:space="preserve"> </w:t>
      </w:r>
      <w:r w:rsidR="00B61CA4">
        <w:t xml:space="preserve">as to </w:t>
      </w:r>
      <w:r w:rsidR="001E7626">
        <w:t xml:space="preserve">his whereabouts and fate. However, the authorities denied </w:t>
      </w:r>
      <w:r w:rsidR="00B61CA4">
        <w:t>that he had been detained</w:t>
      </w:r>
      <w:r w:rsidR="001E7626">
        <w:t xml:space="preserve">. </w:t>
      </w:r>
      <w:r w:rsidR="00B61CA4">
        <w:t xml:space="preserve">The Committee </w:t>
      </w:r>
      <w:r w:rsidR="001E7626">
        <w:t>also observes that</w:t>
      </w:r>
      <w:r w:rsidR="00B61CA4">
        <w:t>,</w:t>
      </w:r>
      <w:r w:rsidR="001E7626">
        <w:t xml:space="preserve"> according to reports issued by OHCHR-Nepal and </w:t>
      </w:r>
      <w:r w:rsidR="00B61CA4">
        <w:t xml:space="preserve">the National Human Rights Commission </w:t>
      </w:r>
      <w:r w:rsidR="001E7626">
        <w:t>in 2006 and 2009</w:t>
      </w:r>
      <w:r w:rsidR="008744E0" w:rsidRPr="008744E0">
        <w:t>,</w:t>
      </w:r>
      <w:r w:rsidR="001E7626">
        <w:t xml:space="preserve"> respectively</w:t>
      </w:r>
      <w:r w:rsidR="00C335EB" w:rsidRPr="00873D76">
        <w:t xml:space="preserve">, and </w:t>
      </w:r>
      <w:r w:rsidR="001E7626">
        <w:t xml:space="preserve">testimonies from former detainees </w:t>
      </w:r>
      <w:r w:rsidR="00B61CA4">
        <w:t>at the</w:t>
      </w:r>
      <w:r w:rsidR="001E7626">
        <w:t>Maharajgunj barracks, her husband was last s</w:t>
      </w:r>
      <w:r w:rsidR="00BA3736" w:rsidRPr="00BA3736">
        <w:t>een</w:t>
      </w:r>
      <w:r w:rsidR="001E7626">
        <w:t xml:space="preserve"> in th</w:t>
      </w:r>
      <w:r w:rsidR="00B61CA4">
        <w:t>ose</w:t>
      </w:r>
      <w:r w:rsidR="001E7626">
        <w:t xml:space="preserve"> barracks </w:t>
      </w:r>
      <w:r w:rsidR="00B61CA4">
        <w:t>in the</w:t>
      </w:r>
      <w:r w:rsidR="001E7626">
        <w:t xml:space="preserve"> custody</w:t>
      </w:r>
      <w:r w:rsidR="00B61CA4">
        <w:t xml:space="preserve"> of the Army</w:t>
      </w:r>
      <w:r w:rsidR="001E7626">
        <w:t>, in December 2003. Further, on 4 July 2006</w:t>
      </w:r>
      <w:r w:rsidR="00B61CA4">
        <w:t>,</w:t>
      </w:r>
      <w:r w:rsidR="001E7626">
        <w:t xml:space="preserve"> the </w:t>
      </w:r>
      <w:r w:rsidR="00B61CA4">
        <w:t>National Human Rights Commission</w:t>
      </w:r>
      <w:r w:rsidR="001D7A6F">
        <w:t xml:space="preserve"> found that Mr</w:t>
      </w:r>
      <w:r w:rsidR="001D7A6F">
        <w:rPr>
          <w:lang w:val="fr-CH"/>
        </w:rPr>
        <w:t>. </w:t>
      </w:r>
      <w:r w:rsidR="001E7626">
        <w:t xml:space="preserve">Tripathi had been arrested, kept in the Maharajgunj barracks and disappeared by members of the Bhairabnath </w:t>
      </w:r>
      <w:r w:rsidR="001E7626" w:rsidRPr="008744E0">
        <w:t>battalion. In the light of the</w:t>
      </w:r>
      <w:r w:rsidR="001E7626">
        <w:t xml:space="preserve"> documentation submitted by the author, the Committee considers </w:t>
      </w:r>
      <w:r w:rsidR="00C335EB" w:rsidRPr="008979D1">
        <w:t xml:space="preserve">that </w:t>
      </w:r>
      <w:r w:rsidR="001E7626">
        <w:t xml:space="preserve">the State party has not </w:t>
      </w:r>
      <w:r w:rsidR="007D4F50" w:rsidRPr="007D4F50">
        <w:t xml:space="preserve">provided sufficient </w:t>
      </w:r>
      <w:r w:rsidR="007D4F50">
        <w:t xml:space="preserve">and concrete </w:t>
      </w:r>
      <w:r w:rsidR="007D4F50" w:rsidRPr="007D4F50">
        <w:t>explanation</w:t>
      </w:r>
      <w:r w:rsidR="007D4F50">
        <w:t>s that oppose</w:t>
      </w:r>
      <w:r w:rsidR="003F0E44">
        <w:t xml:space="preserve"> </w:t>
      </w:r>
      <w:r w:rsidR="001E7626">
        <w:t xml:space="preserve">the findings and conclusions of the </w:t>
      </w:r>
      <w:r w:rsidR="00B61CA4">
        <w:t>National Human Rights Commission</w:t>
      </w:r>
      <w:r w:rsidR="001E7626">
        <w:t xml:space="preserve"> and OHCHR-Nepal</w:t>
      </w:r>
      <w:r w:rsidR="00B61CA4">
        <w:t>.</w:t>
      </w:r>
      <w:r w:rsidR="001E7626" w:rsidRPr="00590193">
        <w:t xml:space="preserve"> </w:t>
      </w:r>
      <w:r w:rsidR="001E7626">
        <w:t>T</w:t>
      </w:r>
      <w:r w:rsidR="001E7626" w:rsidRPr="0031077E">
        <w:t>he Committee recalls its jurisprudence that, in cases of enforced disappearance, the deprivation of liberty followed by a refusal to acknowledge the deprivation of liberty</w:t>
      </w:r>
      <w:r w:rsidR="00B61CA4">
        <w:t>,</w:t>
      </w:r>
      <w:r w:rsidR="001E7626" w:rsidRPr="0031077E">
        <w:t xml:space="preserve"> or by concealment of the fate of the disappeared person, removes the person from the protection of the law and places his or her life at serious and constant risk</w:t>
      </w:r>
      <w:r w:rsidR="00B61CA4">
        <w:t>,</w:t>
      </w:r>
      <w:r w:rsidR="001E7626" w:rsidRPr="0031077E">
        <w:t xml:space="preserve"> for which the State is accountable.</w:t>
      </w:r>
      <w:r w:rsidR="001E7626" w:rsidRPr="001D7A6F">
        <w:rPr>
          <w:rStyle w:val="FootnoteReference"/>
        </w:rPr>
        <w:footnoteReference w:id="15"/>
      </w:r>
      <w:r w:rsidR="001E7626">
        <w:t xml:space="preserve"> In the instant case, the State party has produced no evidence to show that it met its obliga</w:t>
      </w:r>
      <w:r w:rsidR="001D7A6F">
        <w:t>tions to protect the life of Mr</w:t>
      </w:r>
      <w:r w:rsidR="001D7A6F">
        <w:rPr>
          <w:lang w:val="fr-CH"/>
        </w:rPr>
        <w:t>. </w:t>
      </w:r>
      <w:r w:rsidR="001E7626">
        <w:t xml:space="preserve">Tripathi. </w:t>
      </w:r>
      <w:r w:rsidR="001E7626" w:rsidRPr="0031077E">
        <w:t xml:space="preserve">Accordingly, the Committee concludes that the State party failed in </w:t>
      </w:r>
      <w:r w:rsidR="001D7A6F">
        <w:t>its duty to protect Mr</w:t>
      </w:r>
      <w:r w:rsidR="001D7A6F">
        <w:rPr>
          <w:lang w:val="fr-CH"/>
        </w:rPr>
        <w:t>. </w:t>
      </w:r>
      <w:r w:rsidR="001E7626">
        <w:t>Tripathi</w:t>
      </w:r>
      <w:r w:rsidR="001E7626" w:rsidRPr="0031077E">
        <w:t xml:space="preserve">’s life, in violation of </w:t>
      </w:r>
      <w:r w:rsidR="001D7A6F">
        <w:t>article </w:t>
      </w:r>
      <w:r w:rsidR="001E7626" w:rsidRPr="0031077E">
        <w:t xml:space="preserve">6, </w:t>
      </w:r>
      <w:r w:rsidR="001D7A6F">
        <w:t>paragraph </w:t>
      </w:r>
      <w:r w:rsidR="001E7626" w:rsidRPr="0031077E">
        <w:t>1, of the Covenant.</w:t>
      </w:r>
      <w:r w:rsidR="001E7626" w:rsidRPr="00C117F1">
        <w:rPr>
          <w:rStyle w:val="FootnoteReference"/>
        </w:rPr>
        <w:footnoteReference w:id="16"/>
      </w:r>
    </w:p>
    <w:p w:rsidR="001E7626" w:rsidRPr="001A2F55" w:rsidRDefault="002E4254" w:rsidP="001A2F55">
      <w:pPr>
        <w:pStyle w:val="SingleTxtG"/>
      </w:pPr>
      <w:r>
        <w:t>7.4</w:t>
      </w:r>
      <w:r w:rsidR="001E7626">
        <w:tab/>
        <w:t>T</w:t>
      </w:r>
      <w:r w:rsidR="001E7626" w:rsidRPr="00F33CD4">
        <w:t xml:space="preserve">he Committee recognizes the degree of suffering involved in being held indefinitely without contact with the outside world. It </w:t>
      </w:r>
      <w:r w:rsidR="001D7A6F">
        <w:t>recalls its general comment No.</w:t>
      </w:r>
      <w:r w:rsidR="001D7A6F">
        <w:rPr>
          <w:lang w:val="fr-CH"/>
        </w:rPr>
        <w:t> </w:t>
      </w:r>
      <w:r w:rsidR="001E7626" w:rsidRPr="00F33CD4">
        <w:t xml:space="preserve">20 (1992) on the prohibition of torture or cruel, inhuman or degrading treatment or punishment, in which </w:t>
      </w:r>
      <w:r w:rsidR="001E7626">
        <w:t>it</w:t>
      </w:r>
      <w:r w:rsidR="001E7626" w:rsidRPr="00F33CD4">
        <w:t xml:space="preserve"> recommend</w:t>
      </w:r>
      <w:r w:rsidR="00535BD6">
        <w:t>ed</w:t>
      </w:r>
      <w:r w:rsidR="001E7626" w:rsidRPr="00F33CD4">
        <w:t xml:space="preserve"> that States parties make provision against </w:t>
      </w:r>
      <w:r w:rsidR="001E7626" w:rsidRPr="000820BC">
        <w:rPr>
          <w:iCs/>
        </w:rPr>
        <w:t>incommunicado</w:t>
      </w:r>
      <w:r w:rsidR="001E7626" w:rsidRPr="00535BD6">
        <w:t xml:space="preserve"> </w:t>
      </w:r>
      <w:r w:rsidR="001E7626" w:rsidRPr="00F33CD4">
        <w:t xml:space="preserve">detention. It notes </w:t>
      </w:r>
      <w:r w:rsidR="001E7626">
        <w:t xml:space="preserve">the author’s allegations that her husband was arrested in September 2003 and </w:t>
      </w:r>
      <w:r w:rsidR="001E7626" w:rsidRPr="00F33CD4">
        <w:t xml:space="preserve">kept </w:t>
      </w:r>
      <w:r w:rsidR="001E7626" w:rsidRPr="000820BC">
        <w:t>incommunicado</w:t>
      </w:r>
      <w:r w:rsidR="001E7626" w:rsidRPr="00FC3ED9">
        <w:rPr>
          <w:i/>
        </w:rPr>
        <w:t xml:space="preserve"> </w:t>
      </w:r>
      <w:r w:rsidR="001E7626">
        <w:t xml:space="preserve">at the Maharajgunj barracks, without contact with the outside world; and that when he </w:t>
      </w:r>
      <w:r w:rsidR="00535BD6">
        <w:t xml:space="preserve">was </w:t>
      </w:r>
      <w:r w:rsidR="001E7626">
        <w:t xml:space="preserve">last seen in the barracks by other detainees, he was in poor physical condition and had visible signs of torture. In </w:t>
      </w:r>
      <w:r w:rsidR="00535BD6">
        <w:t xml:space="preserve">the </w:t>
      </w:r>
      <w:r w:rsidR="001E7626">
        <w:t>absence of information from the State party that would contradict the aforementioned, the Committee concludes that the facts</w:t>
      </w:r>
      <w:r w:rsidR="00535BD6">
        <w:t>,</w:t>
      </w:r>
      <w:r w:rsidR="001E7626">
        <w:t xml:space="preserve"> as described</w:t>
      </w:r>
      <w:r w:rsidR="00535BD6">
        <w:t>,</w:t>
      </w:r>
      <w:r w:rsidR="001E7626">
        <w:t xml:space="preserve"> amount to a violation of </w:t>
      </w:r>
      <w:r w:rsidR="001D7A6F">
        <w:t>article </w:t>
      </w:r>
      <w:r w:rsidR="001E7626">
        <w:t>7 of the Covenant. Having reached th</w:t>
      </w:r>
      <w:r w:rsidR="00535BD6">
        <w:t>at</w:t>
      </w:r>
      <w:r w:rsidR="001E7626">
        <w:t xml:space="preserve"> conclusion the Committee will not examine the claims regarding the violation of </w:t>
      </w:r>
      <w:r w:rsidR="001D7A6F">
        <w:t>article </w:t>
      </w:r>
      <w:r w:rsidR="001E7626">
        <w:t>10 of the Covenant.</w:t>
      </w:r>
    </w:p>
    <w:p w:rsidR="00711A3D" w:rsidRPr="001A2F55" w:rsidRDefault="002E4254" w:rsidP="001D7A6F">
      <w:pPr>
        <w:pStyle w:val="SingleTxtG"/>
      </w:pPr>
      <w:r>
        <w:t>7.5</w:t>
      </w:r>
      <w:r w:rsidR="001E7626" w:rsidRPr="006F4F07">
        <w:tab/>
      </w:r>
      <w:r w:rsidR="00711A3D">
        <w:t>T</w:t>
      </w:r>
      <w:r w:rsidR="00711A3D" w:rsidRPr="00F33CD4">
        <w:t xml:space="preserve">he Committee notes the anguish and distress caused </w:t>
      </w:r>
      <w:r w:rsidR="00711A3D">
        <w:t xml:space="preserve">to the author and her minor </w:t>
      </w:r>
      <w:r w:rsidR="009E192E">
        <w:t>daughter</w:t>
      </w:r>
      <w:r w:rsidR="00711A3D">
        <w:t xml:space="preserve">, </w:t>
      </w:r>
      <w:r w:rsidR="00CB1C33">
        <w:rPr>
          <w:lang w:val="fr-CH"/>
        </w:rPr>
        <w:t>C.T.</w:t>
      </w:r>
      <w:r w:rsidR="00711A3D">
        <w:t>, by the disappearance of Mr</w:t>
      </w:r>
      <w:r w:rsidR="001A2F55">
        <w:rPr>
          <w:lang w:val="fr-CH"/>
        </w:rPr>
        <w:t>. </w:t>
      </w:r>
      <w:r w:rsidR="00711A3D">
        <w:t xml:space="preserve">Tripathi </w:t>
      </w:r>
      <w:r w:rsidR="00535BD6">
        <w:t xml:space="preserve">in </w:t>
      </w:r>
      <w:r w:rsidR="00711A3D">
        <w:t xml:space="preserve">September 2003. The author and her </w:t>
      </w:r>
      <w:r w:rsidR="009E192E">
        <w:t>daughter</w:t>
      </w:r>
      <w:r w:rsidR="00711A3D">
        <w:t xml:space="preserve"> have never received </w:t>
      </w:r>
      <w:r w:rsidR="00535BD6">
        <w:t xml:space="preserve">an adequate </w:t>
      </w:r>
      <w:r w:rsidR="00711A3D">
        <w:t>explanation</w:t>
      </w:r>
      <w:r w:rsidR="00535BD6">
        <w:t xml:space="preserve"> of</w:t>
      </w:r>
      <w:r w:rsidR="00711A3D">
        <w:t xml:space="preserve"> the circumstances surrounding Mr</w:t>
      </w:r>
      <w:r w:rsidR="001A2F55">
        <w:rPr>
          <w:lang w:val="fr-CH"/>
        </w:rPr>
        <w:t>. </w:t>
      </w:r>
      <w:r w:rsidR="00711A3D">
        <w:t xml:space="preserve">Tripathi’s </w:t>
      </w:r>
      <w:r w:rsidR="00C335EB" w:rsidRPr="00873D76">
        <w:t>disappearance</w:t>
      </w:r>
      <w:r w:rsidR="00711A3D">
        <w:t xml:space="preserve">. Moreover, although </w:t>
      </w:r>
      <w:r w:rsidR="009E192E">
        <w:t>reliable</w:t>
      </w:r>
      <w:r w:rsidR="00711A3D">
        <w:t xml:space="preserve"> evidence suggests that the chances </w:t>
      </w:r>
      <w:r w:rsidR="00535BD6">
        <w:t>of</w:t>
      </w:r>
      <w:r w:rsidR="00711A3D">
        <w:t xml:space="preserve"> find</w:t>
      </w:r>
      <w:r w:rsidR="00535BD6">
        <w:t>ing</w:t>
      </w:r>
      <w:r w:rsidR="00711A3D">
        <w:t xml:space="preserve"> her husband alive are minimal, no invest</w:t>
      </w:r>
      <w:r w:rsidR="00711A3D" w:rsidRPr="00711A3D">
        <w:t>i</w:t>
      </w:r>
      <w:r w:rsidR="00711A3D">
        <w:t>gation has been carried out to ascertain his fate, and, in case of his death</w:t>
      </w:r>
      <w:r w:rsidR="00535BD6">
        <w:t>,</w:t>
      </w:r>
      <w:r w:rsidR="00711A3D">
        <w:t xml:space="preserve"> to </w:t>
      </w:r>
      <w:r w:rsidR="009E192E">
        <w:t>retu</w:t>
      </w:r>
      <w:r w:rsidR="009E192E" w:rsidRPr="00711A3D">
        <w:t>rn</w:t>
      </w:r>
      <w:r w:rsidR="00711A3D">
        <w:t xml:space="preserve"> his bod</w:t>
      </w:r>
      <w:r w:rsidR="00C335EB" w:rsidRPr="00873D76">
        <w:t>il</w:t>
      </w:r>
      <w:r w:rsidR="00711A3D">
        <w:t xml:space="preserve">y remains to his family. The Committee considers that </w:t>
      </w:r>
      <w:r w:rsidR="00711A3D" w:rsidRPr="00FE6328">
        <w:t>the facts</w:t>
      </w:r>
      <w:r w:rsidR="00535BD6">
        <w:t>,</w:t>
      </w:r>
      <w:r w:rsidR="00711A3D" w:rsidRPr="00FE6328">
        <w:t xml:space="preserve"> </w:t>
      </w:r>
      <w:r w:rsidR="00711A3D">
        <w:t>as described</w:t>
      </w:r>
      <w:r w:rsidR="00535BD6">
        <w:t>,</w:t>
      </w:r>
      <w:r w:rsidR="00711A3D">
        <w:t xml:space="preserve"> </w:t>
      </w:r>
      <w:r w:rsidR="00711A3D" w:rsidRPr="00FE6328">
        <w:t>also disclose</w:t>
      </w:r>
      <w:r w:rsidR="00711A3D" w:rsidRPr="00912AB3">
        <w:t xml:space="preserve"> a violation of </w:t>
      </w:r>
      <w:r w:rsidR="001D7A6F">
        <w:t>article </w:t>
      </w:r>
      <w:r w:rsidR="00711A3D" w:rsidRPr="00912AB3">
        <w:t xml:space="preserve">7 of the Covenant with regard to </w:t>
      </w:r>
      <w:r w:rsidR="00711A3D">
        <w:t>the author and her daughter</w:t>
      </w:r>
      <w:r w:rsidR="00711A3D" w:rsidRPr="00FC4000">
        <w:t>.</w:t>
      </w:r>
      <w:r w:rsidR="00711A3D" w:rsidRPr="00FC4000">
        <w:rPr>
          <w:rStyle w:val="FootnoteReference"/>
        </w:rPr>
        <w:footnoteReference w:id="17"/>
      </w:r>
      <w:r w:rsidR="00711A3D">
        <w:t xml:space="preserve"> Having reached th</w:t>
      </w:r>
      <w:r w:rsidR="00CD307C">
        <w:t>at</w:t>
      </w:r>
      <w:r w:rsidR="00711A3D">
        <w:t xml:space="preserve"> conclusion the Committee will not examine the claims regarding the violation of </w:t>
      </w:r>
      <w:r w:rsidR="001D7A6F">
        <w:t>article </w:t>
      </w:r>
      <w:r w:rsidR="00711A3D">
        <w:t xml:space="preserve">24, </w:t>
      </w:r>
      <w:r w:rsidR="001D7A6F">
        <w:t>paragraph </w:t>
      </w:r>
      <w:r w:rsidR="00711A3D">
        <w:t>1</w:t>
      </w:r>
      <w:r w:rsidR="00CD307C">
        <w:t>,</w:t>
      </w:r>
      <w:r w:rsidR="00711A3D">
        <w:t xml:space="preserve"> of the Covenant c</w:t>
      </w:r>
      <w:r w:rsidR="009E192E">
        <w:t xml:space="preserve">oncerning </w:t>
      </w:r>
      <w:r w:rsidR="00CB1C33">
        <w:rPr>
          <w:lang w:val="fr-CH"/>
        </w:rPr>
        <w:t>C.T</w:t>
      </w:r>
      <w:r w:rsidR="00711A3D">
        <w:t>.</w:t>
      </w:r>
    </w:p>
    <w:p w:rsidR="00711A3D" w:rsidRPr="001A2F55" w:rsidRDefault="002E4254" w:rsidP="001A2F55">
      <w:pPr>
        <w:pStyle w:val="SingleTxtG"/>
      </w:pPr>
      <w:r>
        <w:t>7.6</w:t>
      </w:r>
      <w:r w:rsidR="00711A3D">
        <w:tab/>
      </w:r>
      <w:r w:rsidR="001E7626" w:rsidRPr="006F4F07">
        <w:t xml:space="preserve">Regarding the alleged violations of </w:t>
      </w:r>
      <w:r w:rsidR="001D7A6F">
        <w:t>article </w:t>
      </w:r>
      <w:r w:rsidR="001E7626" w:rsidRPr="006F4F07">
        <w:t>9</w:t>
      </w:r>
      <w:r w:rsidR="00CD307C">
        <w:t xml:space="preserve"> of the Covenant</w:t>
      </w:r>
      <w:r w:rsidR="001E7626" w:rsidRPr="006F4F07">
        <w:t>,</w:t>
      </w:r>
      <w:r w:rsidR="003F0E44">
        <w:t xml:space="preserve"> </w:t>
      </w:r>
      <w:r w:rsidR="001E7626" w:rsidRPr="006F4F07">
        <w:t xml:space="preserve">the Committee notes the author’s claims that the fact that her husband was last seen alive in the hands of the </w:t>
      </w:r>
      <w:r w:rsidR="00CD307C">
        <w:t>Army</w:t>
      </w:r>
      <w:r w:rsidR="00CD307C" w:rsidRPr="006F4F07">
        <w:t xml:space="preserve"> </w:t>
      </w:r>
      <w:r w:rsidR="001E7626" w:rsidRPr="006F4F07">
        <w:t>at the Maharajgunj barracks, together with the context of massive arrests of persons suspected of being Maoists, allows for a presumption that</w:t>
      </w:r>
      <w:r w:rsidR="00CD307C">
        <w:t>,</w:t>
      </w:r>
      <w:r w:rsidR="001E7626" w:rsidRPr="006F4F07">
        <w:t xml:space="preserve"> on 26 September 2003</w:t>
      </w:r>
      <w:r w:rsidR="00CD307C">
        <w:t>,</w:t>
      </w:r>
      <w:r w:rsidR="001E7626" w:rsidRPr="006F4F07">
        <w:t xml:space="preserve"> he was arrested without a warrant; held incommunicado at the Maharajgunj barracks; and never brought before a judge</w:t>
      </w:r>
      <w:r w:rsidR="00CD307C">
        <w:t>,</w:t>
      </w:r>
      <w:r w:rsidR="001E7626" w:rsidRPr="006F4F07">
        <w:t xml:space="preserve"> or any other official authorized by law to exercise judicial power; nor could he take proceedings before a court to challenge the lawfulness of his detention. In th</w:t>
      </w:r>
      <w:r w:rsidR="00CD307C">
        <w:t>at</w:t>
      </w:r>
      <w:r w:rsidR="001E7626" w:rsidRPr="006F4F07">
        <w:t xml:space="preserve"> regard, the Committee observes that the State party has not refuted the findings </w:t>
      </w:r>
      <w:r w:rsidR="00CD307C">
        <w:t xml:space="preserve">of the National Human Rights Commission </w:t>
      </w:r>
      <w:r w:rsidR="001E7626" w:rsidRPr="006F4F07">
        <w:t xml:space="preserve">of 4 July 2006. In </w:t>
      </w:r>
      <w:r w:rsidR="00CD307C">
        <w:t xml:space="preserve">the </w:t>
      </w:r>
      <w:r w:rsidR="001E7626" w:rsidRPr="006F4F07">
        <w:t xml:space="preserve">absence of a pertinent explanation from the State party, the Committee considers that the facts described constitute a violation of </w:t>
      </w:r>
      <w:r w:rsidR="001D7A6F">
        <w:t>article </w:t>
      </w:r>
      <w:r w:rsidR="001E7626" w:rsidRPr="006F4F07">
        <w:t>9</w:t>
      </w:r>
      <w:r w:rsidR="003F0E44">
        <w:t xml:space="preserve"> </w:t>
      </w:r>
      <w:r w:rsidR="001E7626" w:rsidRPr="006F4F07">
        <w:t>of the Covenant.</w:t>
      </w:r>
    </w:p>
    <w:p w:rsidR="00711A3D" w:rsidRPr="001A2F55" w:rsidRDefault="00711A3D" w:rsidP="001A2F55">
      <w:pPr>
        <w:pStyle w:val="SingleTxtG"/>
      </w:pPr>
      <w:r>
        <w:t>7.</w:t>
      </w:r>
      <w:r w:rsidRPr="00711A3D">
        <w:t>7</w:t>
      </w:r>
      <w:r>
        <w:tab/>
      </w:r>
      <w:r w:rsidR="001E7626" w:rsidRPr="00F261EF">
        <w:t xml:space="preserve">In respect of </w:t>
      </w:r>
      <w:r w:rsidR="001D7A6F">
        <w:t>article </w:t>
      </w:r>
      <w:r w:rsidR="001E7626" w:rsidRPr="00F261EF">
        <w:t>16</w:t>
      </w:r>
      <w:r w:rsidR="00CD307C">
        <w:t xml:space="preserve"> of the Covenant</w:t>
      </w:r>
      <w:r w:rsidR="001E7626" w:rsidRPr="00F261EF">
        <w:t>, the Committee reiterates its established jurisprudence, according to which intentionally removing a person from the protection of the law for a prolonged period of time may constitute a refusal of recognition as a person before the law if the victim was in the hands of the State authorities when last seen and, at the same time, if the efforts of his or her relatives to obtain access to potentially effective remedies, including judicial remedies (see art.</w:t>
      </w:r>
      <w:r w:rsidR="001A2F55">
        <w:rPr>
          <w:lang w:val="fr-CH"/>
        </w:rPr>
        <w:t> </w:t>
      </w:r>
      <w:r w:rsidR="001A2F55">
        <w:t>2, para.</w:t>
      </w:r>
      <w:r w:rsidR="001A2F55">
        <w:rPr>
          <w:lang w:val="fr-CH"/>
        </w:rPr>
        <w:t> </w:t>
      </w:r>
      <w:r w:rsidR="001E7626" w:rsidRPr="00F261EF">
        <w:t>3, of the Covenant)</w:t>
      </w:r>
      <w:r w:rsidR="00CD307C">
        <w:t>,</w:t>
      </w:r>
      <w:r w:rsidR="001E7626" w:rsidRPr="00F261EF">
        <w:t xml:space="preserve"> have been systematically impeded.</w:t>
      </w:r>
      <w:r w:rsidR="001E7626" w:rsidRPr="001A2F55">
        <w:rPr>
          <w:rStyle w:val="FootnoteReference"/>
        </w:rPr>
        <w:footnoteReference w:id="18"/>
      </w:r>
      <w:r w:rsidR="001E7626" w:rsidRPr="00F261EF">
        <w:rPr>
          <w:vertAlign w:val="superscript"/>
        </w:rPr>
        <w:t xml:space="preserve"> </w:t>
      </w:r>
      <w:r w:rsidR="001E7626" w:rsidRPr="00F261EF">
        <w:t>In the present case, the author claims that</w:t>
      </w:r>
      <w:r w:rsidR="00CD307C">
        <w:t>,</w:t>
      </w:r>
      <w:r w:rsidR="007D4F50" w:rsidRPr="007D4F50">
        <w:t xml:space="preserve"> despite </w:t>
      </w:r>
      <w:r w:rsidR="007D4F50">
        <w:t xml:space="preserve">the efforts of </w:t>
      </w:r>
      <w:r w:rsidR="007D4F50" w:rsidRPr="007D4F50">
        <w:t>Mr</w:t>
      </w:r>
      <w:r w:rsidR="001A2F55">
        <w:t>. </w:t>
      </w:r>
      <w:r w:rsidR="007D4F50" w:rsidRPr="007D4F50">
        <w:t>Tripathi’s family</w:t>
      </w:r>
      <w:r w:rsidR="00CD307C">
        <w:t>,</w:t>
      </w:r>
      <w:r w:rsidR="001E7626" w:rsidRPr="00F261EF">
        <w:t xml:space="preserve"> the State party has failed to provide </w:t>
      </w:r>
      <w:r w:rsidR="007D4F50" w:rsidRPr="007D4F50">
        <w:t>them</w:t>
      </w:r>
      <w:r w:rsidR="001E7626" w:rsidRPr="00F261EF">
        <w:t xml:space="preserve"> with relevant information concerning </w:t>
      </w:r>
      <w:r w:rsidR="007D4F50" w:rsidRPr="007D4F50">
        <w:t>h</w:t>
      </w:r>
      <w:r w:rsidR="001E7626" w:rsidRPr="00F261EF">
        <w:t xml:space="preserve">is fate and whereabouts and that despite the recommendations </w:t>
      </w:r>
      <w:r w:rsidR="00CD307C">
        <w:t xml:space="preserve">of the National Human Rights Commmission </w:t>
      </w:r>
      <w:r w:rsidR="001E7626" w:rsidRPr="00F261EF">
        <w:t xml:space="preserve">and the </w:t>
      </w:r>
      <w:r w:rsidR="00CD307C">
        <w:t xml:space="preserve">ruling by the </w:t>
      </w:r>
      <w:r w:rsidR="001E7626" w:rsidRPr="00F261EF">
        <w:t>Supreme Court of 1 June 2007, no effective investigation has been carried out to ascertain his</w:t>
      </w:r>
      <w:r w:rsidR="00C335EB" w:rsidRPr="00873D76">
        <w:t xml:space="preserve"> whereabouts</w:t>
      </w:r>
      <w:r w:rsidR="001E7626" w:rsidRPr="00F261EF">
        <w:t xml:space="preserve">, </w:t>
      </w:r>
      <w:r w:rsidR="009E192E" w:rsidRPr="00F261EF">
        <w:t>maintaining</w:t>
      </w:r>
      <w:r w:rsidR="001E7626" w:rsidRPr="00F261EF">
        <w:t xml:space="preserve"> him outside the protection of the law since September 2003. The Committee, therefore, finds that t</w:t>
      </w:r>
      <w:r w:rsidR="001D7A6F">
        <w:t>he enforced disappearance of Mr</w:t>
      </w:r>
      <w:r w:rsidR="001D7A6F">
        <w:rPr>
          <w:lang w:val="fr-CH"/>
        </w:rPr>
        <w:t>. </w:t>
      </w:r>
      <w:r w:rsidR="001E7626" w:rsidRPr="00F261EF">
        <w:t xml:space="preserve">Tripathi deprives him of the protection of the law and </w:t>
      </w:r>
      <w:r w:rsidR="009E192E" w:rsidRPr="00F261EF">
        <w:t>deprived</w:t>
      </w:r>
      <w:r w:rsidR="001E7626" w:rsidRPr="00F261EF">
        <w:t xml:space="preserve"> him </w:t>
      </w:r>
      <w:r w:rsidR="00CD307C">
        <w:t>of</w:t>
      </w:r>
      <w:r w:rsidR="001E7626" w:rsidRPr="00F261EF">
        <w:t xml:space="preserve"> his right to recognition as person before the law, in violation of </w:t>
      </w:r>
      <w:r w:rsidR="001D7A6F">
        <w:t>article </w:t>
      </w:r>
      <w:r w:rsidR="001E7626" w:rsidRPr="00F261EF">
        <w:t>16 of the Covenant.</w:t>
      </w:r>
    </w:p>
    <w:p w:rsidR="001E7626" w:rsidRPr="005208E2" w:rsidRDefault="002E4254" w:rsidP="001A2F55">
      <w:pPr>
        <w:pStyle w:val="SingleTxtG"/>
      </w:pPr>
      <w:r>
        <w:t>7.8</w:t>
      </w:r>
      <w:r w:rsidR="001E7626">
        <w:tab/>
      </w:r>
      <w:r w:rsidR="001E7626" w:rsidRPr="00F33CD4">
        <w:t>The author invoke</w:t>
      </w:r>
      <w:r w:rsidR="001E7626">
        <w:t>s</w:t>
      </w:r>
      <w:r w:rsidR="001E7626" w:rsidRPr="00F33CD4">
        <w:t xml:space="preserve"> </w:t>
      </w:r>
      <w:r w:rsidR="001D7A6F">
        <w:t>article </w:t>
      </w:r>
      <w:r w:rsidR="001E7626" w:rsidRPr="00F33CD4">
        <w:t xml:space="preserve">2, </w:t>
      </w:r>
      <w:r w:rsidR="001D7A6F">
        <w:t>paragraph </w:t>
      </w:r>
      <w:r w:rsidR="001E7626" w:rsidRPr="00F33CD4">
        <w:t>3, of the Covenant, which requires States parties to ensure that individuals have accessible, effective and enforceable remedies for asserting the rights recognized in the Covenant. The Committee reiterates the importance it attaches to States parties establish</w:t>
      </w:r>
      <w:r w:rsidR="001E7626">
        <w:t>ing</w:t>
      </w:r>
      <w:r w:rsidR="001E7626" w:rsidRPr="00F33CD4">
        <w:t xml:space="preserve"> appropriate judicial and administrative mechanisms for addressing alleged violations of rights under domestic law. It refers to its general comment No. 31</w:t>
      </w:r>
      <w:r w:rsidR="00CD307C">
        <w:t xml:space="preserve"> (2004) on the nature of the general legal obligation imposed on States parties to the Covenant</w:t>
      </w:r>
      <w:r w:rsidR="001E7626" w:rsidRPr="00F33CD4">
        <w:t>, in which it states that failure by a State party to investigate allegations of violations could in and of itself give rise to a s</w:t>
      </w:r>
      <w:r w:rsidR="001E7626">
        <w:t>eparate breach of the Covenant.</w:t>
      </w:r>
      <w:r w:rsidR="001E7626">
        <w:rPr>
          <w:spacing w:val="-2"/>
        </w:rPr>
        <w:t xml:space="preserve"> </w:t>
      </w:r>
      <w:r w:rsidR="001E7626">
        <w:t>In the present case, t</w:t>
      </w:r>
      <w:r w:rsidR="001E7626" w:rsidRPr="00CA3326">
        <w:t>he Committee observes that</w:t>
      </w:r>
      <w:r w:rsidR="00CD307C">
        <w:t>,</w:t>
      </w:r>
      <w:r w:rsidR="001E7626" w:rsidRPr="00CA3326">
        <w:t xml:space="preserve"> shortly after </w:t>
      </w:r>
      <w:r w:rsidR="001E7626">
        <w:t>losing contact with her husband</w:t>
      </w:r>
      <w:r w:rsidR="00CD307C">
        <w:t>,</w:t>
      </w:r>
      <w:r w:rsidR="001E7626">
        <w:t xml:space="preserve"> the author </w:t>
      </w:r>
      <w:r w:rsidR="009E192E">
        <w:t>approached</w:t>
      </w:r>
      <w:r w:rsidR="001E7626">
        <w:t xml:space="preserve"> several barracks in Kathmandu, tried to report his disappearance to the </w:t>
      </w:r>
      <w:r w:rsidR="00CD307C">
        <w:t xml:space="preserve">Chief District Officer </w:t>
      </w:r>
      <w:r w:rsidR="001E7626">
        <w:t xml:space="preserve">in Hanumandhoka and lodged a writ of habeas corpus </w:t>
      </w:r>
      <w:r w:rsidR="00CD307C">
        <w:t xml:space="preserve">with </w:t>
      </w:r>
      <w:r w:rsidR="001E7626">
        <w:t xml:space="preserve">the Supreme Court. </w:t>
      </w:r>
      <w:r w:rsidR="001E7626" w:rsidRPr="001738F5">
        <w:t>Despite the author’s efforts, almost 12 years after the disappearance</w:t>
      </w:r>
      <w:r w:rsidR="001E7626">
        <w:t xml:space="preserve"> of her husband</w:t>
      </w:r>
      <w:r w:rsidR="00CD307C">
        <w:t>,</w:t>
      </w:r>
      <w:r w:rsidR="001E7626" w:rsidRPr="001738F5">
        <w:t xml:space="preserve"> no thorough and effective investigation has been concluded by the State party in order to elucidate the circumstances surrounding </w:t>
      </w:r>
      <w:r w:rsidR="001E7626">
        <w:t xml:space="preserve">his </w:t>
      </w:r>
      <w:r w:rsidR="001E7626" w:rsidRPr="001738F5">
        <w:t>detention</w:t>
      </w:r>
      <w:r w:rsidR="00CD307C">
        <w:t>,</w:t>
      </w:r>
      <w:r w:rsidR="001E7626" w:rsidRPr="001738F5">
        <w:t xml:space="preserve"> and no criminal investigation has even been started to </w:t>
      </w:r>
      <w:r w:rsidR="001E7626">
        <w:t>bring</w:t>
      </w:r>
      <w:r w:rsidR="001E7626" w:rsidRPr="001738F5">
        <w:t xml:space="preserve"> the perpetrators</w:t>
      </w:r>
      <w:r w:rsidR="001E7626">
        <w:t xml:space="preserve"> to justice</w:t>
      </w:r>
      <w:r w:rsidR="001E7626" w:rsidRPr="001738F5">
        <w:t xml:space="preserve">. </w:t>
      </w:r>
      <w:r w:rsidR="001E7626">
        <w:t xml:space="preserve">Therefore, the Committee considers that the State party has failed to conduct a thorough and effective investigation into the disappearance of the author’s husband. Additionally, the </w:t>
      </w:r>
      <w:r w:rsidR="00CD307C">
        <w:t>Nr</w:t>
      </w:r>
      <w:r w:rsidR="001E7626">
        <w:t>. 3</w:t>
      </w:r>
      <w:r w:rsidR="001E7626" w:rsidRPr="00727449">
        <w:t>00</w:t>
      </w:r>
      <w:r w:rsidR="00CD307C">
        <w:t>,</w:t>
      </w:r>
      <w:r w:rsidR="001E7626" w:rsidRPr="00727449">
        <w:t xml:space="preserve">000 received by the </w:t>
      </w:r>
      <w:r w:rsidR="001E7626">
        <w:t>author as</w:t>
      </w:r>
      <w:r w:rsidR="001E7626" w:rsidRPr="00727449">
        <w:t xml:space="preserve"> </w:t>
      </w:r>
      <w:r w:rsidR="001E7626" w:rsidRPr="00FC4000">
        <w:t>interim relief</w:t>
      </w:r>
      <w:r w:rsidR="001E7626" w:rsidRPr="00727449">
        <w:t xml:space="preserve"> </w:t>
      </w:r>
      <w:r w:rsidR="001E7626">
        <w:rPr>
          <w:lang w:eastAsia="en-GB"/>
        </w:rPr>
        <w:t xml:space="preserve">does not constitute an adequate remedy commensurate </w:t>
      </w:r>
      <w:r w:rsidR="00CA1686">
        <w:rPr>
          <w:lang w:eastAsia="en-GB"/>
        </w:rPr>
        <w:t xml:space="preserve">with </w:t>
      </w:r>
      <w:r w:rsidR="001E7626">
        <w:rPr>
          <w:lang w:eastAsia="en-GB"/>
        </w:rPr>
        <w:t>the serious</w:t>
      </w:r>
      <w:r w:rsidR="00C335EB" w:rsidRPr="003068D3">
        <w:rPr>
          <w:lang w:eastAsia="en-GB"/>
        </w:rPr>
        <w:t xml:space="preserve">ness of the </w:t>
      </w:r>
      <w:r w:rsidR="001E7626">
        <w:rPr>
          <w:lang w:eastAsia="en-GB"/>
        </w:rPr>
        <w:t>violations inflicted.</w:t>
      </w:r>
      <w:r w:rsidR="007D4F50" w:rsidRPr="00655115">
        <w:t xml:space="preserve"> </w:t>
      </w:r>
      <w:r w:rsidR="001E7626">
        <w:t>Accordingly, t</w:t>
      </w:r>
      <w:r w:rsidR="001E7626" w:rsidRPr="00727449">
        <w:t xml:space="preserve">he Committee concludes that the facts before it </w:t>
      </w:r>
      <w:r w:rsidR="0046141E" w:rsidRPr="003068D3">
        <w:t xml:space="preserve">also </w:t>
      </w:r>
      <w:r w:rsidR="001E7626" w:rsidRPr="00727449">
        <w:t xml:space="preserve">reveal a violation of </w:t>
      </w:r>
      <w:r w:rsidR="001D7A6F">
        <w:t>article </w:t>
      </w:r>
      <w:r w:rsidR="001E7626" w:rsidRPr="00727449">
        <w:t xml:space="preserve">2, </w:t>
      </w:r>
      <w:r w:rsidR="001D7A6F">
        <w:t>paragraph </w:t>
      </w:r>
      <w:r w:rsidR="001E7626" w:rsidRPr="00727449">
        <w:t>3</w:t>
      </w:r>
      <w:r w:rsidR="00CA1686">
        <w:t>,</w:t>
      </w:r>
      <w:r w:rsidR="001E7626" w:rsidRPr="00727449">
        <w:t xml:space="preserve"> </w:t>
      </w:r>
      <w:r w:rsidR="00CA1686">
        <w:t xml:space="preserve">read </w:t>
      </w:r>
      <w:r w:rsidR="001E7626" w:rsidRPr="00727449">
        <w:t xml:space="preserve">in conjunction with </w:t>
      </w:r>
      <w:r w:rsidR="001D7A6F">
        <w:t>article</w:t>
      </w:r>
      <w:r w:rsidR="00CA1686">
        <w:t>s</w:t>
      </w:r>
      <w:r w:rsidR="001D7A6F">
        <w:t> </w:t>
      </w:r>
      <w:r w:rsidR="001E7626" w:rsidRPr="00727449">
        <w:t xml:space="preserve">6, </w:t>
      </w:r>
      <w:r w:rsidR="001D7A6F">
        <w:t>paragraph </w:t>
      </w:r>
      <w:r w:rsidR="001E7626" w:rsidRPr="00727449">
        <w:t xml:space="preserve">1; </w:t>
      </w:r>
      <w:r w:rsidR="001E7626">
        <w:t>7; 9 and 16</w:t>
      </w:r>
      <w:r w:rsidR="00CA1686">
        <w:t xml:space="preserve"> of the Covenant</w:t>
      </w:r>
      <w:r w:rsidR="001E7626">
        <w:t>,</w:t>
      </w:r>
      <w:r w:rsidR="001E7626" w:rsidRPr="00727449">
        <w:t xml:space="preserve"> with regard to </w:t>
      </w:r>
      <w:r w:rsidR="001D7A6F">
        <w:t>Mr</w:t>
      </w:r>
      <w:r w:rsidR="001D7A6F">
        <w:rPr>
          <w:lang w:val="fr-CH"/>
        </w:rPr>
        <w:t>. </w:t>
      </w:r>
      <w:r w:rsidR="001E7626">
        <w:t>Tripathi;</w:t>
      </w:r>
      <w:r w:rsidR="001E7626" w:rsidRPr="00727449">
        <w:t xml:space="preserve"> and </w:t>
      </w:r>
      <w:r w:rsidR="001D7A6F">
        <w:t>article </w:t>
      </w:r>
      <w:r w:rsidR="001E7626" w:rsidRPr="00727449">
        <w:t xml:space="preserve">2, </w:t>
      </w:r>
      <w:r w:rsidR="001D7A6F">
        <w:t>paragraph </w:t>
      </w:r>
      <w:r w:rsidR="001E7626" w:rsidRPr="00727449">
        <w:t xml:space="preserve">3, read in conjunction with </w:t>
      </w:r>
      <w:r w:rsidR="001D7A6F">
        <w:t>article </w:t>
      </w:r>
      <w:r w:rsidR="001E7626" w:rsidRPr="00727449">
        <w:t>7 of the Covenant with respect to the author</w:t>
      </w:r>
      <w:r w:rsidR="001E7626">
        <w:t xml:space="preserve"> and </w:t>
      </w:r>
      <w:r w:rsidR="00CB1C33">
        <w:rPr>
          <w:lang w:val="fr-CH"/>
        </w:rPr>
        <w:t>C</w:t>
      </w:r>
      <w:r w:rsidR="00E15586">
        <w:rPr>
          <w:lang w:val="fr-CH"/>
        </w:rPr>
        <w:t>.</w:t>
      </w:r>
      <w:r w:rsidR="00CB1C33">
        <w:rPr>
          <w:lang w:val="fr-CH"/>
        </w:rPr>
        <w:t>T.</w:t>
      </w:r>
    </w:p>
    <w:p w:rsidR="001E7626" w:rsidRPr="001A2F55" w:rsidRDefault="001E7626" w:rsidP="001A2F55">
      <w:pPr>
        <w:pStyle w:val="SingleTxtG"/>
      </w:pPr>
      <w:r>
        <w:t>8</w:t>
      </w:r>
      <w:r w:rsidRPr="00727449">
        <w:t>.</w:t>
      </w:r>
      <w:r w:rsidRPr="00727449">
        <w:tab/>
        <w:t xml:space="preserve">The Human Rights Committee, acting under </w:t>
      </w:r>
      <w:r w:rsidR="001D7A6F">
        <w:t>article </w:t>
      </w:r>
      <w:r w:rsidRPr="00727449">
        <w:t xml:space="preserve">5, </w:t>
      </w:r>
      <w:r w:rsidR="001D7A6F">
        <w:t>paragraph </w:t>
      </w:r>
      <w:r w:rsidRPr="00727449">
        <w:t>4, of the Optional Protocol to the International Covenant on Civil and Political Rights, is of the view that the information before it discloses violations by the State party of article</w:t>
      </w:r>
      <w:r>
        <w:t>s</w:t>
      </w:r>
      <w:r w:rsidRPr="00727449">
        <w:t xml:space="preserve"> </w:t>
      </w:r>
      <w:r>
        <w:t xml:space="preserve">6, </w:t>
      </w:r>
      <w:r w:rsidR="001D7A6F">
        <w:t>paragraph </w:t>
      </w:r>
      <w:r>
        <w:t xml:space="preserve">1; </w:t>
      </w:r>
      <w:r w:rsidRPr="00727449">
        <w:t>7;</w:t>
      </w:r>
      <w:r>
        <w:t xml:space="preserve"> 9 and</w:t>
      </w:r>
      <w:r w:rsidRPr="00727449">
        <w:t xml:space="preserve"> </w:t>
      </w:r>
      <w:r>
        <w:t>16</w:t>
      </w:r>
      <w:r w:rsidR="00CA1686">
        <w:t xml:space="preserve"> of the Covenant</w:t>
      </w:r>
      <w:r>
        <w:t xml:space="preserve">; </w:t>
      </w:r>
      <w:r w:rsidRPr="00727449">
        <w:t xml:space="preserve">and </w:t>
      </w:r>
      <w:r>
        <w:t xml:space="preserve">of </w:t>
      </w:r>
      <w:r w:rsidR="001D7A6F">
        <w:t>article </w:t>
      </w:r>
      <w:r w:rsidRPr="00727449">
        <w:t xml:space="preserve">2, </w:t>
      </w:r>
      <w:r w:rsidR="001D7A6F">
        <w:t>paragraph </w:t>
      </w:r>
      <w:r w:rsidRPr="00727449">
        <w:t>3, read in conjunction with article</w:t>
      </w:r>
      <w:r>
        <w:t>s</w:t>
      </w:r>
      <w:r w:rsidRPr="00727449">
        <w:t xml:space="preserve"> </w:t>
      </w:r>
      <w:r>
        <w:t xml:space="preserve">6, </w:t>
      </w:r>
      <w:r w:rsidR="001D7A6F">
        <w:t>paragraph </w:t>
      </w:r>
      <w:r>
        <w:t xml:space="preserve">1; </w:t>
      </w:r>
      <w:r w:rsidRPr="00727449">
        <w:t>7;</w:t>
      </w:r>
      <w:r>
        <w:t xml:space="preserve"> 9 and</w:t>
      </w:r>
      <w:r w:rsidRPr="00727449">
        <w:t xml:space="preserve"> </w:t>
      </w:r>
      <w:r>
        <w:t xml:space="preserve">16 </w:t>
      </w:r>
      <w:r w:rsidRPr="00727449">
        <w:t xml:space="preserve">of the Covenant with regard to </w:t>
      </w:r>
      <w:r>
        <w:t>Gyanendra Tripathi;</w:t>
      </w:r>
      <w:r w:rsidRPr="00727449">
        <w:t xml:space="preserve"> and of </w:t>
      </w:r>
      <w:r w:rsidR="001D7A6F">
        <w:t>article</w:t>
      </w:r>
      <w:r w:rsidR="00CA1686">
        <w:t>s</w:t>
      </w:r>
      <w:r w:rsidR="001D7A6F">
        <w:t> </w:t>
      </w:r>
      <w:r w:rsidRPr="00727449">
        <w:t xml:space="preserve">7 </w:t>
      </w:r>
      <w:r>
        <w:t>and</w:t>
      </w:r>
      <w:r w:rsidRPr="00727449">
        <w:t xml:space="preserve"> </w:t>
      </w:r>
      <w:r w:rsidR="001D7A6F">
        <w:t> </w:t>
      </w:r>
      <w:r w:rsidRPr="00727449">
        <w:t xml:space="preserve">2, </w:t>
      </w:r>
      <w:r w:rsidR="001D7A6F">
        <w:t>paragraph </w:t>
      </w:r>
      <w:r w:rsidRPr="00727449">
        <w:t>3</w:t>
      </w:r>
      <w:r w:rsidR="00CA1686">
        <w:t>, read</w:t>
      </w:r>
      <w:r>
        <w:t xml:space="preserve"> in conjunction with </w:t>
      </w:r>
      <w:r w:rsidR="001D7A6F">
        <w:t>article </w:t>
      </w:r>
      <w:r>
        <w:t>7,</w:t>
      </w:r>
      <w:r w:rsidRPr="00727449">
        <w:t xml:space="preserve"> with respect to </w:t>
      </w:r>
      <w:r>
        <w:t xml:space="preserve">the author and </w:t>
      </w:r>
      <w:r w:rsidR="00CA1686">
        <w:t>C.T.</w:t>
      </w:r>
    </w:p>
    <w:p w:rsidR="00E51598" w:rsidRPr="001A2F55" w:rsidRDefault="001E7626" w:rsidP="001A2F55">
      <w:pPr>
        <w:pStyle w:val="SingleTxtG"/>
      </w:pPr>
      <w:r>
        <w:t>9</w:t>
      </w:r>
      <w:r w:rsidRPr="00095565">
        <w:t>.</w:t>
      </w:r>
      <w:r w:rsidRPr="00095565">
        <w:tab/>
        <w:t xml:space="preserve">In accordance with </w:t>
      </w:r>
      <w:r w:rsidR="001D7A6F">
        <w:t>article </w:t>
      </w:r>
      <w:r w:rsidRPr="00095565">
        <w:t xml:space="preserve">2, </w:t>
      </w:r>
      <w:r w:rsidR="001D7A6F">
        <w:t>paragraph </w:t>
      </w:r>
      <w:r w:rsidRPr="00095565">
        <w:t xml:space="preserve">3, of the Covenant, the State party is under an obligation to provide the author with an effective remedy, including by: (a) conducting a thorough and effective investigation into </w:t>
      </w:r>
      <w:r>
        <w:t xml:space="preserve">the facts surrounding the detention </w:t>
      </w:r>
      <w:r w:rsidRPr="00095565">
        <w:t xml:space="preserve">of </w:t>
      </w:r>
      <w:r>
        <w:t>Mr</w:t>
      </w:r>
      <w:r w:rsidR="001A2F55">
        <w:rPr>
          <w:lang w:val="fr-CH"/>
        </w:rPr>
        <w:t>. </w:t>
      </w:r>
      <w:r>
        <w:t xml:space="preserve"> Tripathi and </w:t>
      </w:r>
      <w:r w:rsidR="00CA1686">
        <w:t xml:space="preserve">the </w:t>
      </w:r>
      <w:r>
        <w:t xml:space="preserve">treatment </w:t>
      </w:r>
      <w:r w:rsidR="00CA1686">
        <w:t xml:space="preserve">he </w:t>
      </w:r>
      <w:r>
        <w:t>suffered at the Maharajgunj barracks</w:t>
      </w:r>
      <w:r w:rsidR="00CA1686">
        <w:t>,</w:t>
      </w:r>
      <w:r w:rsidR="00E51598" w:rsidRPr="00E90BE6">
        <w:t xml:space="preserve"> and</w:t>
      </w:r>
      <w:r w:rsidR="00E51598" w:rsidRPr="00E51598">
        <w:t xml:space="preserve"> </w:t>
      </w:r>
      <w:r w:rsidR="00E51598" w:rsidRPr="00095565">
        <w:t>providing the author with detailed information about the results of its investigation;</w:t>
      </w:r>
      <w:r w:rsidRPr="00095565">
        <w:t xml:space="preserve"> </w:t>
      </w:r>
      <w:r>
        <w:t xml:space="preserve">(b) releasing him if </w:t>
      </w:r>
      <w:r w:rsidR="00CA1686">
        <w:t xml:space="preserve">he is </w:t>
      </w:r>
      <w:r>
        <w:t>still alive</w:t>
      </w:r>
      <w:r w:rsidRPr="00095565">
        <w:t>; (</w:t>
      </w:r>
      <w:r w:rsidR="00E51598" w:rsidRPr="00E90BE6">
        <w:t>c</w:t>
      </w:r>
      <w:r w:rsidRPr="00095565">
        <w:t xml:space="preserve">) </w:t>
      </w:r>
      <w:r>
        <w:t>i</w:t>
      </w:r>
      <w:r w:rsidRPr="00095565">
        <w:t>n the event that Mr</w:t>
      </w:r>
      <w:r w:rsidR="001A2F55">
        <w:rPr>
          <w:lang w:val="fr-CH"/>
        </w:rPr>
        <w:t>. </w:t>
      </w:r>
      <w:r>
        <w:t xml:space="preserve"> Tripathi</w:t>
      </w:r>
      <w:r w:rsidRPr="00095565">
        <w:t xml:space="preserve"> is deceased, handing over his remains to his family</w:t>
      </w:r>
      <w:r>
        <w:t>; (</w:t>
      </w:r>
      <w:r w:rsidR="00E51598" w:rsidRPr="00E90BE6">
        <w:t>d</w:t>
      </w:r>
      <w:r w:rsidRPr="00095565">
        <w:t>) prosecuting, trying and punishing those responsible for the violations committed; (</w:t>
      </w:r>
      <w:r w:rsidR="00E51598" w:rsidRPr="00E90BE6">
        <w:t>e</w:t>
      </w:r>
      <w:r w:rsidRPr="00095565">
        <w:t xml:space="preserve">) providing adequate compensation </w:t>
      </w:r>
      <w:r w:rsidR="00CA1686" w:rsidRPr="00095565">
        <w:t>for the violations suffered</w:t>
      </w:r>
      <w:r w:rsidR="00CA1686">
        <w:t>,</w:t>
      </w:r>
      <w:r w:rsidR="00CA1686" w:rsidRPr="00095565">
        <w:t xml:space="preserve"> </w:t>
      </w:r>
      <w:r w:rsidRPr="00095565">
        <w:t>to the author</w:t>
      </w:r>
      <w:r w:rsidR="007F2A67" w:rsidRPr="00373B54">
        <w:t>,</w:t>
      </w:r>
      <w:r>
        <w:t xml:space="preserve"> her daughter</w:t>
      </w:r>
      <w:r w:rsidR="007F2A67" w:rsidRPr="00373B54">
        <w:t xml:space="preserve"> and</w:t>
      </w:r>
      <w:r w:rsidR="003F0E44">
        <w:t xml:space="preserve"> </w:t>
      </w:r>
      <w:r w:rsidR="007F2A67" w:rsidRPr="00655115">
        <w:t>Mr</w:t>
      </w:r>
      <w:r w:rsidR="001A2F55">
        <w:rPr>
          <w:lang w:val="fr-CH"/>
        </w:rPr>
        <w:t>. </w:t>
      </w:r>
      <w:r w:rsidR="007F2A67" w:rsidRPr="00F157ED">
        <w:t xml:space="preserve"> Tripathi</w:t>
      </w:r>
      <w:r w:rsidR="007F2A67" w:rsidRPr="00655115">
        <w:t>, if he is still alive</w:t>
      </w:r>
      <w:r w:rsidR="00CA1686">
        <w:t>;</w:t>
      </w:r>
      <w:r w:rsidRPr="00095565">
        <w:t xml:space="preserve"> </w:t>
      </w:r>
      <w:r>
        <w:t>(</w:t>
      </w:r>
      <w:r w:rsidR="00E51598" w:rsidRPr="00E90BE6">
        <w:t>f</w:t>
      </w:r>
      <w:r>
        <w:t xml:space="preserve">) </w:t>
      </w:r>
      <w:r w:rsidR="00E51598" w:rsidRPr="00E90BE6">
        <w:t>ensuring that</w:t>
      </w:r>
      <w:r w:rsidR="003F0E44">
        <w:t xml:space="preserve"> </w:t>
      </w:r>
      <w:r w:rsidR="00E51598" w:rsidRPr="00E90BE6">
        <w:t xml:space="preserve">necessary and adequate </w:t>
      </w:r>
      <w:r w:rsidRPr="00111802">
        <w:t>psychological rehabilitation and medical treatment</w:t>
      </w:r>
      <w:r w:rsidRPr="00111802">
        <w:rPr>
          <w:lang w:val="en-US" w:eastAsia="en-GB"/>
        </w:rPr>
        <w:t xml:space="preserve"> </w:t>
      </w:r>
      <w:r w:rsidR="00CA1686">
        <w:rPr>
          <w:lang w:val="en-US" w:eastAsia="en-GB"/>
        </w:rPr>
        <w:t>are</w:t>
      </w:r>
      <w:r w:rsidR="00E51598">
        <w:rPr>
          <w:lang w:val="en-US" w:eastAsia="en-GB"/>
        </w:rPr>
        <w:t xml:space="preserve"> provided to the author and her daughter</w:t>
      </w:r>
      <w:r w:rsidRPr="00111802">
        <w:rPr>
          <w:lang w:val="en-US" w:eastAsia="en-GB"/>
        </w:rPr>
        <w:t xml:space="preserve">; </w:t>
      </w:r>
      <w:r w:rsidR="00910812">
        <w:rPr>
          <w:lang w:val="en-US" w:eastAsia="en-GB"/>
        </w:rPr>
        <w:t xml:space="preserve">and </w:t>
      </w:r>
      <w:r w:rsidRPr="00111802">
        <w:rPr>
          <w:lang w:val="en-US" w:eastAsia="en-GB"/>
        </w:rPr>
        <w:t>(</w:t>
      </w:r>
      <w:r w:rsidR="00E51598">
        <w:rPr>
          <w:lang w:val="en-US" w:eastAsia="en-GB"/>
        </w:rPr>
        <w:t>g</w:t>
      </w:r>
      <w:r>
        <w:rPr>
          <w:lang w:val="en-US" w:eastAsia="en-GB"/>
        </w:rPr>
        <w:t>)</w:t>
      </w:r>
      <w:r w:rsidR="00711A3D">
        <w:rPr>
          <w:lang w:val="en-US" w:eastAsia="en-GB"/>
        </w:rPr>
        <w:t xml:space="preserve"> </w:t>
      </w:r>
      <w:r w:rsidR="00E51598">
        <w:rPr>
          <w:lang w:val="en-US" w:eastAsia="en-GB"/>
        </w:rPr>
        <w:t xml:space="preserve">providing appropriate measures of satisfaction. </w:t>
      </w:r>
      <w:r w:rsidR="007F2A67">
        <w:t>The State party is also under an obligation to take steps to prevent similar violations in the future. In th</w:t>
      </w:r>
      <w:r w:rsidR="00CA1686">
        <w:t>at</w:t>
      </w:r>
      <w:r w:rsidR="007F2A67">
        <w:t xml:space="preserve"> connection, the State party should</w:t>
      </w:r>
      <w:r w:rsidR="00E51598" w:rsidRPr="00E90BE6">
        <w:t xml:space="preserve"> ensure that its legislation allows the criminal prosecution of the facts that constituted a violation of the Covenant</w:t>
      </w:r>
      <w:r w:rsidRPr="00111802">
        <w:t>.</w:t>
      </w:r>
      <w:r w:rsidR="00E51598" w:rsidRPr="00E51598">
        <w:t xml:space="preserve"> </w:t>
      </w:r>
    </w:p>
    <w:p w:rsidR="001E7626" w:rsidRDefault="001E7626" w:rsidP="001A2F55">
      <w:pPr>
        <w:pStyle w:val="SingleTxtG"/>
      </w:pPr>
      <w:r>
        <w:t>10</w:t>
      </w:r>
      <w:r w:rsidRPr="00727449">
        <w:t>.</w:t>
      </w:r>
      <w:r w:rsidRPr="00727449">
        <w:tab/>
        <w:t xml:space="preserve">Bearing in mind that, by becoming a party to the Optional Protocol, the State party has recognized the competence of the Committee to determine whether or not there has been a violation of the Covenant and that, pursuant to </w:t>
      </w:r>
      <w:r w:rsidR="001D7A6F">
        <w:t>article </w:t>
      </w:r>
      <w:r w:rsidRPr="00727449">
        <w:t>2 of the Covenant, the State party has undertaken to ensure for all individuals within its territory</w:t>
      </w:r>
      <w:r w:rsidR="00CA1686">
        <w:t>,</w:t>
      </w:r>
      <w:r w:rsidRPr="00727449">
        <w:t xml:space="preserve"> or subject to its jurisdiction</w:t>
      </w:r>
      <w:r w:rsidR="00CA1686">
        <w:t>,</w:t>
      </w:r>
      <w:r w:rsidRPr="00727449">
        <w:t xml:space="preserve"> the rights recognized in the Covenant</w:t>
      </w:r>
      <w:r w:rsidR="00CA1686">
        <w:t>,</w:t>
      </w:r>
      <w:r w:rsidRPr="00727449">
        <w:t xml:space="preserve"> and to provide an effective and enforceable remedy when a violation has been established, the Committee wishes to receive from the State party, within 180 days, information concerning the measures taken to give effect to the Committee’s Views. The State party is also requested to publish the present Views and disseminate them </w:t>
      </w:r>
      <w:r w:rsidR="00CA1686">
        <w:t>widely</w:t>
      </w:r>
      <w:r w:rsidR="00CA1686" w:rsidRPr="00727449">
        <w:t xml:space="preserve"> </w:t>
      </w:r>
      <w:r w:rsidRPr="00727449">
        <w:t>in the official languages of the State party.</w:t>
      </w:r>
    </w:p>
    <w:p w:rsidR="00EE4144" w:rsidRPr="00EE4144" w:rsidRDefault="00EE4144" w:rsidP="00EE4144">
      <w:pPr>
        <w:pStyle w:val="SingleTxtG"/>
        <w:spacing w:before="240" w:after="0"/>
        <w:jc w:val="center"/>
        <w:rPr>
          <w:u w:val="single"/>
        </w:rPr>
      </w:pPr>
      <w:r>
        <w:rPr>
          <w:u w:val="single"/>
        </w:rPr>
        <w:tab/>
      </w:r>
      <w:r>
        <w:rPr>
          <w:u w:val="single"/>
        </w:rPr>
        <w:tab/>
      </w:r>
      <w:r>
        <w:rPr>
          <w:u w:val="single"/>
        </w:rPr>
        <w:tab/>
      </w:r>
    </w:p>
    <w:sectPr w:rsidR="00EE4144" w:rsidRPr="00EE4144" w:rsidSect="002C3764">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ADA" w:rsidRDefault="00053ADA"/>
  </w:endnote>
  <w:endnote w:type="continuationSeparator" w:id="0">
    <w:p w:rsidR="00053ADA" w:rsidRDefault="00053ADA"/>
  </w:endnote>
  <w:endnote w:type="continuationNotice" w:id="1">
    <w:p w:rsidR="00053ADA" w:rsidRDefault="00053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C8" w:rsidRPr="00727449" w:rsidRDefault="003873C8" w:rsidP="001E7626">
    <w:pPr>
      <w:pStyle w:val="Footer"/>
      <w:tabs>
        <w:tab w:val="right" w:pos="9638"/>
      </w:tabs>
    </w:pPr>
    <w:r w:rsidRPr="00727449">
      <w:rPr>
        <w:b/>
        <w:sz w:val="18"/>
      </w:rPr>
      <w:fldChar w:fldCharType="begin"/>
    </w:r>
    <w:r w:rsidRPr="00727449">
      <w:rPr>
        <w:b/>
        <w:sz w:val="18"/>
      </w:rPr>
      <w:instrText xml:space="preserve"> </w:instrText>
    </w:r>
    <w:r>
      <w:rPr>
        <w:b/>
        <w:sz w:val="18"/>
      </w:rPr>
      <w:instrText>PAGE</w:instrText>
    </w:r>
    <w:r w:rsidRPr="00727449">
      <w:rPr>
        <w:b/>
        <w:sz w:val="18"/>
      </w:rPr>
      <w:instrText xml:space="preserve">  \* MERGEFORMAT </w:instrText>
    </w:r>
    <w:r w:rsidRPr="00727449">
      <w:rPr>
        <w:b/>
        <w:sz w:val="18"/>
      </w:rPr>
      <w:fldChar w:fldCharType="separate"/>
    </w:r>
    <w:r w:rsidR="00C552A4">
      <w:rPr>
        <w:b/>
        <w:noProof/>
        <w:sz w:val="18"/>
      </w:rPr>
      <w:t>2</w:t>
    </w:r>
    <w:r w:rsidRPr="0072744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C8" w:rsidRPr="00727449" w:rsidRDefault="003873C8" w:rsidP="001E7626">
    <w:pPr>
      <w:pStyle w:val="Footer"/>
      <w:tabs>
        <w:tab w:val="right" w:pos="9638"/>
      </w:tabs>
      <w:rPr>
        <w:b/>
        <w:sz w:val="18"/>
      </w:rPr>
    </w:pPr>
    <w:r>
      <w:tab/>
    </w:r>
    <w:r w:rsidRPr="00727449">
      <w:rPr>
        <w:b/>
        <w:sz w:val="18"/>
      </w:rPr>
      <w:fldChar w:fldCharType="begin"/>
    </w:r>
    <w:r w:rsidRPr="00727449">
      <w:rPr>
        <w:b/>
        <w:sz w:val="18"/>
      </w:rPr>
      <w:instrText xml:space="preserve"> </w:instrText>
    </w:r>
    <w:r>
      <w:rPr>
        <w:b/>
        <w:sz w:val="18"/>
      </w:rPr>
      <w:instrText>PAGE</w:instrText>
    </w:r>
    <w:r w:rsidRPr="00727449">
      <w:rPr>
        <w:b/>
        <w:sz w:val="18"/>
      </w:rPr>
      <w:instrText xml:space="preserve">  \* MERGEFORMAT </w:instrText>
    </w:r>
    <w:r w:rsidRPr="00727449">
      <w:rPr>
        <w:b/>
        <w:sz w:val="18"/>
      </w:rPr>
      <w:fldChar w:fldCharType="separate"/>
    </w:r>
    <w:r w:rsidR="00C552A4">
      <w:rPr>
        <w:b/>
        <w:noProof/>
        <w:sz w:val="18"/>
      </w:rPr>
      <w:t>3</w:t>
    </w:r>
    <w:r w:rsidRPr="0072744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C8" w:rsidRDefault="00053ADA" w:rsidP="003F0E44">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3pt;margin-top:646.25pt;width:73.25pt;height:18.15pt;z-index:1;mso-position-horizontal-relative:margin;mso-position-vertical-relative:margin">
          <v:imagedata r:id="rId1" o:title="recycle_English"/>
          <w10:wrap anchorx="margin" anchory="margin"/>
        </v:shape>
      </w:pict>
    </w:r>
    <w:r w:rsidR="003873C8">
      <w:t>GE.14-</w:t>
    </w:r>
    <w:r w:rsidR="007C208B">
      <w:t>22821</w:t>
    </w:r>
    <w:r w:rsidR="009816E4">
      <w:t xml:space="preserve">  (E)</w:t>
    </w:r>
    <w:r w:rsidR="009816E4">
      <w:br/>
    </w:r>
    <w:r w:rsidR="009816E4">
      <w:rPr>
        <w:rFonts w:ascii="C39T30Lfz" w:hAnsi="C39T30Lfz"/>
        <w:sz w:val="56"/>
      </w:rPr>
      <w:t></w:t>
    </w:r>
    <w:r w:rsidR="009816E4">
      <w:rPr>
        <w:rFonts w:ascii="C39T30Lfz" w:hAnsi="C39T30Lfz"/>
        <w:sz w:val="56"/>
      </w:rPr>
      <w:t></w:t>
    </w:r>
    <w:r w:rsidR="009816E4">
      <w:rPr>
        <w:rFonts w:ascii="C39T30Lfz" w:hAnsi="C39T30Lfz"/>
        <w:sz w:val="56"/>
      </w:rPr>
      <w:t></w:t>
    </w:r>
    <w:r w:rsidR="009816E4">
      <w:rPr>
        <w:rFonts w:ascii="C39T30Lfz" w:hAnsi="C39T30Lfz"/>
        <w:sz w:val="56"/>
      </w:rPr>
      <w:t></w:t>
    </w:r>
    <w:r w:rsidR="009816E4">
      <w:rPr>
        <w:rFonts w:ascii="C39T30Lfz" w:hAnsi="C39T30Lfz"/>
        <w:sz w:val="56"/>
      </w:rPr>
      <w:t></w:t>
    </w:r>
    <w:r w:rsidR="009816E4">
      <w:rPr>
        <w:rFonts w:ascii="C39T30Lfz" w:hAnsi="C39T30Lfz"/>
        <w:sz w:val="56"/>
      </w:rPr>
      <w:t></w:t>
    </w:r>
    <w:r w:rsidR="009816E4">
      <w:rPr>
        <w:rFonts w:ascii="C39T30Lfz" w:hAnsi="C39T30Lfz"/>
        <w:sz w:val="56"/>
      </w:rPr>
      <w:t></w:t>
    </w:r>
    <w:r w:rsidR="009816E4">
      <w:rPr>
        <w:rFonts w:ascii="C39T30Lfz" w:hAnsi="C39T30Lfz"/>
        <w:sz w:val="56"/>
      </w:rPr>
      <w:t></w:t>
    </w:r>
    <w:r w:rsidR="009816E4" w:rsidRPr="009816E4">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ADA" w:rsidRPr="000B175B" w:rsidRDefault="00053ADA" w:rsidP="001E7626">
      <w:pPr>
        <w:tabs>
          <w:tab w:val="right" w:pos="2155"/>
        </w:tabs>
        <w:spacing w:after="80"/>
        <w:ind w:left="680"/>
        <w:rPr>
          <w:u w:val="single"/>
        </w:rPr>
      </w:pPr>
      <w:r>
        <w:rPr>
          <w:u w:val="single"/>
        </w:rPr>
        <w:tab/>
      </w:r>
    </w:p>
  </w:footnote>
  <w:footnote w:type="continuationSeparator" w:id="0">
    <w:p w:rsidR="00053ADA" w:rsidRPr="00FC68B7" w:rsidRDefault="00053ADA" w:rsidP="001E7626">
      <w:pPr>
        <w:tabs>
          <w:tab w:val="left" w:pos="2155"/>
        </w:tabs>
        <w:spacing w:after="80"/>
        <w:ind w:left="680"/>
        <w:rPr>
          <w:u w:val="single"/>
        </w:rPr>
      </w:pPr>
      <w:r>
        <w:rPr>
          <w:u w:val="single"/>
        </w:rPr>
        <w:tab/>
      </w:r>
    </w:p>
  </w:footnote>
  <w:footnote w:type="continuationNotice" w:id="1">
    <w:p w:rsidR="00053ADA" w:rsidRDefault="00053ADA"/>
  </w:footnote>
  <w:footnote w:id="2">
    <w:p w:rsidR="003873C8" w:rsidRPr="001A2F55" w:rsidRDefault="003873C8" w:rsidP="00DC0E56">
      <w:pPr>
        <w:pStyle w:val="FootnoteText"/>
        <w:rPr>
          <w:lang w:val="fr-CH"/>
        </w:rPr>
      </w:pPr>
      <w:r>
        <w:rPr>
          <w:rStyle w:val="FootnoteReference"/>
        </w:rPr>
        <w:tab/>
      </w:r>
      <w:r w:rsidRPr="001A2F55">
        <w:rPr>
          <w:rStyle w:val="FootnoteReference"/>
          <w:sz w:val="20"/>
          <w:vertAlign w:val="baseline"/>
        </w:rPr>
        <w:t>*</w:t>
      </w:r>
      <w:r>
        <w:rPr>
          <w:rStyle w:val="FootnoteReference"/>
          <w:sz w:val="20"/>
          <w:vertAlign w:val="baseline"/>
        </w:rPr>
        <w:tab/>
      </w:r>
      <w:r w:rsidRPr="00CC4AB8">
        <w:rPr>
          <w:szCs w:val="18"/>
        </w:rPr>
        <w:t xml:space="preserve">The following members of the Committee participated in the examination of the present communication: Yadh Ben Achour, </w:t>
      </w:r>
      <w:r>
        <w:rPr>
          <w:szCs w:val="18"/>
        </w:rPr>
        <w:t xml:space="preserve">Lazhari Bouzid, </w:t>
      </w:r>
      <w:r w:rsidRPr="00CC4AB8">
        <w:rPr>
          <w:bCs/>
          <w:szCs w:val="18"/>
          <w:lang w:val="en-US"/>
        </w:rPr>
        <w:t xml:space="preserve">Christine Chanet, Ahmed Amin Fathalla, </w:t>
      </w:r>
      <w:r w:rsidRPr="00CC4AB8">
        <w:rPr>
          <w:bCs/>
          <w:szCs w:val="18"/>
        </w:rPr>
        <w:t xml:space="preserve">Cornelis Flinterman, </w:t>
      </w:r>
      <w:r w:rsidRPr="00CC4AB8">
        <w:rPr>
          <w:bCs/>
          <w:szCs w:val="18"/>
          <w:lang w:val="en-US"/>
        </w:rPr>
        <w:t xml:space="preserve">Yuji Iwasawa, </w:t>
      </w:r>
      <w:r>
        <w:rPr>
          <w:bCs/>
          <w:szCs w:val="18"/>
          <w:lang w:val="en-US"/>
        </w:rPr>
        <w:t xml:space="preserve">Walter Kälin, </w:t>
      </w:r>
      <w:r w:rsidRPr="00CC4AB8">
        <w:rPr>
          <w:bCs/>
          <w:szCs w:val="18"/>
        </w:rPr>
        <w:t xml:space="preserve">Zonke Zanele Majodina, Gerald Neuman, </w:t>
      </w:r>
      <w:r>
        <w:rPr>
          <w:bCs/>
          <w:szCs w:val="18"/>
        </w:rPr>
        <w:t xml:space="preserve">Sir Nigel Rodley, </w:t>
      </w:r>
      <w:r w:rsidRPr="00CC4AB8">
        <w:rPr>
          <w:bCs/>
          <w:szCs w:val="18"/>
        </w:rPr>
        <w:t>Victor Manuel Rodríguez-Rescia,</w:t>
      </w:r>
      <w:r w:rsidRPr="00CC4AB8">
        <w:rPr>
          <w:bCs/>
          <w:szCs w:val="18"/>
          <w:lang w:val="en-US"/>
        </w:rPr>
        <w:t xml:space="preserve"> </w:t>
      </w:r>
      <w:r w:rsidRPr="00CC4AB8">
        <w:rPr>
          <w:bCs/>
          <w:szCs w:val="18"/>
        </w:rPr>
        <w:t>Fabián Omar Salvioli, Anja Seibert-Fohr, Yuval</w:t>
      </w:r>
      <w:r>
        <w:rPr>
          <w:bCs/>
          <w:szCs w:val="18"/>
        </w:rPr>
        <w:t> </w:t>
      </w:r>
      <w:r w:rsidRPr="00CC4AB8">
        <w:rPr>
          <w:bCs/>
          <w:szCs w:val="18"/>
        </w:rPr>
        <w:t xml:space="preserve">Shany, Konstantine Vardzelashvili, Margo Waterval, </w:t>
      </w:r>
      <w:r>
        <w:rPr>
          <w:bCs/>
          <w:szCs w:val="18"/>
        </w:rPr>
        <w:t>and Andrei Paul Zlătescu</w:t>
      </w:r>
      <w:r w:rsidRPr="00E90BE6">
        <w:rPr>
          <w:bCs/>
          <w:szCs w:val="18"/>
        </w:rPr>
        <w:t>.</w:t>
      </w:r>
    </w:p>
  </w:footnote>
  <w:footnote w:id="3">
    <w:p w:rsidR="003873C8" w:rsidRPr="001A2F55" w:rsidRDefault="003873C8" w:rsidP="001A2F55">
      <w:pPr>
        <w:pStyle w:val="FootnoteText"/>
      </w:pPr>
      <w:r w:rsidRPr="00373B54">
        <w:tab/>
      </w:r>
      <w:r w:rsidRPr="001A2F55">
        <w:rPr>
          <w:rStyle w:val="FootnoteReference"/>
        </w:rPr>
        <w:footnoteRef/>
      </w:r>
      <w:r w:rsidRPr="0036267A">
        <w:tab/>
      </w:r>
      <w:r w:rsidRPr="00ED65FE">
        <w:t>The author refer</w:t>
      </w:r>
      <w:r>
        <w:t>s</w:t>
      </w:r>
      <w:r w:rsidRPr="00ED65FE">
        <w:t xml:space="preserve"> to the </w:t>
      </w:r>
      <w:r>
        <w:t xml:space="preserve">report of the </w:t>
      </w:r>
      <w:r w:rsidRPr="00ED65FE">
        <w:t xml:space="preserve">Working Group on Enforced or Involuntary Disappearances </w:t>
      </w:r>
      <w:r>
        <w:t xml:space="preserve">on its </w:t>
      </w:r>
      <w:r w:rsidRPr="00ED65FE">
        <w:t>visit t</w:t>
      </w:r>
      <w:r>
        <w:t>o Nepal (E/CN.4/2005/65/Add.1), para. </w:t>
      </w:r>
      <w:r w:rsidRPr="00ED65FE">
        <w:t>25</w:t>
      </w:r>
      <w:r>
        <w:t>;</w:t>
      </w:r>
      <w:r w:rsidRPr="00ED65FE">
        <w:t xml:space="preserve"> and the </w:t>
      </w:r>
      <w:r>
        <w:t xml:space="preserve">report of the </w:t>
      </w:r>
      <w:r w:rsidRPr="00ED65FE">
        <w:t>Special Rapporteur on torture</w:t>
      </w:r>
      <w:r>
        <w:t xml:space="preserve"> and other cruel, inhuman or degrading treatment or punishment on his visit to Nepal (E/CN.4/2006/6/Add.5), para. </w:t>
      </w:r>
      <w:r w:rsidRPr="00ED65FE">
        <w:t>17</w:t>
      </w:r>
      <w:r>
        <w:t>.</w:t>
      </w:r>
    </w:p>
  </w:footnote>
  <w:footnote w:id="4">
    <w:p w:rsidR="003873C8" w:rsidRPr="001A2F55" w:rsidRDefault="003873C8" w:rsidP="001A2F55">
      <w:pPr>
        <w:pStyle w:val="FootnoteText"/>
      </w:pPr>
      <w:r>
        <w:rPr>
          <w:lang w:val="fr-CH"/>
        </w:rPr>
        <w:tab/>
      </w:r>
      <w:r w:rsidRPr="001A2F55">
        <w:rPr>
          <w:rStyle w:val="FootnoteReference"/>
        </w:rPr>
        <w:footnoteRef/>
      </w:r>
      <w:r w:rsidRPr="0036267A">
        <w:tab/>
      </w:r>
      <w:r>
        <w:t xml:space="preserve">The author refers to the </w:t>
      </w:r>
      <w:r w:rsidRPr="00464E4C">
        <w:t xml:space="preserve">report </w:t>
      </w:r>
      <w:r>
        <w:t xml:space="preserve">of the Office of the United Nations High Commissioner for Human Rights (OHCHR) </w:t>
      </w:r>
      <w:r w:rsidRPr="00464E4C">
        <w:t>of</w:t>
      </w:r>
      <w:r>
        <w:t xml:space="preserve"> an</w:t>
      </w:r>
      <w:r w:rsidRPr="00464E4C">
        <w:t xml:space="preserve"> investigation into arbitrary detention, torture and disappearance at </w:t>
      </w:r>
      <w:r w:rsidR="00DA572B">
        <w:t xml:space="preserve">the </w:t>
      </w:r>
      <w:r w:rsidRPr="00464E4C">
        <w:t>Maharajgunj RNA barracks, Kathmandu, in 2003</w:t>
      </w:r>
      <w:r w:rsidR="00DA572B">
        <w:t xml:space="preserve"> and </w:t>
      </w:r>
      <w:r w:rsidRPr="00464E4C">
        <w:t>2004</w:t>
      </w:r>
      <w:r>
        <w:t xml:space="preserve"> (May 2006), available at: </w:t>
      </w:r>
      <w:r w:rsidRPr="00C52156">
        <w:t>http://nepalconflictreport.ohchr.org/files/docs/2006-05-26_report_ohchr_eng.pdf</w:t>
      </w:r>
      <w:r>
        <w:t xml:space="preserve">; and the </w:t>
      </w:r>
      <w:r w:rsidR="00DA572B">
        <w:t xml:space="preserve">report of an </w:t>
      </w:r>
      <w:r w:rsidRPr="00A543CF">
        <w:t xml:space="preserve">investigation by the National Human Rights Commission </w:t>
      </w:r>
      <w:r w:rsidR="00DA572B">
        <w:t>into</w:t>
      </w:r>
      <w:r w:rsidR="00DA572B" w:rsidRPr="00A543CF">
        <w:t xml:space="preserve"> </w:t>
      </w:r>
      <w:r w:rsidRPr="00A543CF">
        <w:t xml:space="preserve">disappearances at the Maharajgunj </w:t>
      </w:r>
      <w:r w:rsidR="00406EDB" w:rsidRPr="000820BC">
        <w:t>barracks</w:t>
      </w:r>
      <w:r w:rsidRPr="00A543CF">
        <w:t xml:space="preserve">, </w:t>
      </w:r>
      <w:r w:rsidR="00A543CF">
        <w:t>which w</w:t>
      </w:r>
      <w:r w:rsidRPr="00A543CF">
        <w:t>as</w:t>
      </w:r>
      <w:r>
        <w:t xml:space="preserve"> ordered by the Supreme Court and submitted to </w:t>
      </w:r>
      <w:r w:rsidR="00A543CF">
        <w:t>it</w:t>
      </w:r>
      <w:r>
        <w:t xml:space="preserve"> on 7 September 2009.</w:t>
      </w:r>
    </w:p>
  </w:footnote>
  <w:footnote w:id="5">
    <w:p w:rsidR="003873C8" w:rsidRPr="005208E2" w:rsidRDefault="003873C8" w:rsidP="001D7A6F">
      <w:pPr>
        <w:pStyle w:val="FootnoteText"/>
      </w:pPr>
      <w:r>
        <w:rPr>
          <w:lang w:val="fr-CH"/>
        </w:rPr>
        <w:tab/>
      </w:r>
      <w:r w:rsidRPr="00093F76">
        <w:rPr>
          <w:rStyle w:val="FootnoteReference"/>
        </w:rPr>
        <w:footnoteRef/>
      </w:r>
      <w:r w:rsidRPr="00373B54">
        <w:tab/>
      </w:r>
      <w:r>
        <w:t>OHCHR report</w:t>
      </w:r>
      <w:r w:rsidR="00DA572B">
        <w:t xml:space="preserve"> (note 2 above)</w:t>
      </w:r>
      <w:r>
        <w:t>, pp. </w:t>
      </w:r>
      <w:r w:rsidRPr="00093F76">
        <w:t>48</w:t>
      </w:r>
      <w:r>
        <w:t>–</w:t>
      </w:r>
      <w:r w:rsidRPr="00093F76">
        <w:t xml:space="preserve">49. The author also points out that, according to copies of documentation enclosed </w:t>
      </w:r>
      <w:r w:rsidRPr="0082773E">
        <w:t xml:space="preserve">with </w:t>
      </w:r>
      <w:r>
        <w:t xml:space="preserve">her communication, </w:t>
      </w:r>
      <w:r w:rsidRPr="00093F76">
        <w:t>Krishna K.C., who was also kept in th</w:t>
      </w:r>
      <w:r>
        <w:t>ose</w:t>
      </w:r>
      <w:r w:rsidRPr="00093F76">
        <w:t xml:space="preserve"> barracks, declared before the Patan Appellate Court that he saw her husband in the Maharajgunj barracks in </w:t>
      </w:r>
      <w:r>
        <w:t xml:space="preserve">or around </w:t>
      </w:r>
      <w:r w:rsidRPr="00093F76">
        <w:t>December 2003; that on 20 December 2003, a g</w:t>
      </w:r>
      <w:r>
        <w:t>roup of detainees, including Mr. </w:t>
      </w:r>
      <w:r w:rsidRPr="00093F76">
        <w:t xml:space="preserve">Tripathi, were taken by </w:t>
      </w:r>
      <w:r>
        <w:t>the Army</w:t>
      </w:r>
      <w:r w:rsidRPr="00093F76">
        <w:t xml:space="preserve"> to an unknown place to be killed; and that th</w:t>
      </w:r>
      <w:r>
        <w:t>ose</w:t>
      </w:r>
      <w:r w:rsidRPr="00093F76">
        <w:t xml:space="preserve"> detainees were never seen again. In a written testimony given to OHCHR-Nepal in February 2007, he also mentioned that he</w:t>
      </w:r>
      <w:r>
        <w:t xml:space="preserve"> had heard rumours that Mr. </w:t>
      </w:r>
      <w:r w:rsidRPr="00CE1A49">
        <w:t>Tripathi had been killed in the S</w:t>
      </w:r>
      <w:r>
        <w:t xml:space="preserve">hivapuri barracks. Likewise, </w:t>
      </w:r>
      <w:r w:rsidRPr="00CE1A49">
        <w:t xml:space="preserve">Jit Man Basnet, another </w:t>
      </w:r>
      <w:r>
        <w:t xml:space="preserve">previous </w:t>
      </w:r>
      <w:r w:rsidRPr="00CE1A49">
        <w:t>inmate of the ba</w:t>
      </w:r>
      <w:r>
        <w:t xml:space="preserve">rracks, published a book entitled </w:t>
      </w:r>
      <w:r w:rsidRPr="000820BC">
        <w:rPr>
          <w:i/>
        </w:rPr>
        <w:t>258 Dark Days</w:t>
      </w:r>
      <w:r>
        <w:rPr>
          <w:i/>
        </w:rPr>
        <w:t>,</w:t>
      </w:r>
      <w:r w:rsidRPr="00CE1A49">
        <w:t xml:space="preserve"> </w:t>
      </w:r>
      <w:r>
        <w:t>in which he</w:t>
      </w:r>
      <w:r w:rsidRPr="00CE1A49">
        <w:t xml:space="preserve"> described in detail the manner </w:t>
      </w:r>
      <w:r>
        <w:t>in which</w:t>
      </w:r>
      <w:r w:rsidRPr="00CE1A49">
        <w:t xml:space="preserve"> the author’s husband was tortured by the authorities and noted that soldiers</w:t>
      </w:r>
      <w:r>
        <w:t xml:space="preserve"> had</w:t>
      </w:r>
      <w:r w:rsidRPr="00CE1A49">
        <w:t xml:space="preserve"> told him that he</w:t>
      </w:r>
      <w:r>
        <w:t xml:space="preserve"> had</w:t>
      </w:r>
      <w:r w:rsidRPr="00CE1A49">
        <w:t xml:space="preserve"> died while he was immersed in a drum full of water</w:t>
      </w:r>
      <w:r w:rsidR="00DA572B">
        <w:t>,</w:t>
      </w:r>
      <w:r w:rsidRPr="00CE1A49">
        <w:t xml:space="preserve"> as part of the torture inflicted on him.</w:t>
      </w:r>
    </w:p>
  </w:footnote>
  <w:footnote w:id="6">
    <w:p w:rsidR="003873C8" w:rsidRPr="001A2F55" w:rsidRDefault="003873C8" w:rsidP="001A2F55">
      <w:pPr>
        <w:pStyle w:val="FootnoteText"/>
      </w:pPr>
      <w:r w:rsidRPr="000820BC">
        <w:tab/>
      </w:r>
      <w:r w:rsidRPr="005617B0">
        <w:rPr>
          <w:rStyle w:val="FootnoteReference"/>
          <w:szCs w:val="18"/>
        </w:rPr>
        <w:footnoteRef/>
      </w:r>
      <w:r w:rsidRPr="0036267A">
        <w:tab/>
      </w:r>
      <w:r w:rsidRPr="005617B0">
        <w:t xml:space="preserve">The author refers to the </w:t>
      </w:r>
      <w:r w:rsidR="00DA572B">
        <w:t xml:space="preserve">report of the </w:t>
      </w:r>
      <w:r>
        <w:t>i</w:t>
      </w:r>
      <w:r w:rsidRPr="005617B0">
        <w:t xml:space="preserve">nvestigation </w:t>
      </w:r>
      <w:r>
        <w:t xml:space="preserve">undertaken by the National Human Rights Comission into </w:t>
      </w:r>
      <w:r w:rsidRPr="005617B0">
        <w:t xml:space="preserve">disappearances </w:t>
      </w:r>
      <w:r>
        <w:t>at the</w:t>
      </w:r>
      <w:r w:rsidRPr="005617B0">
        <w:t xml:space="preserve"> Maharajgunj </w:t>
      </w:r>
      <w:r w:rsidR="00406EDB" w:rsidRPr="005617B0">
        <w:t>barracks</w:t>
      </w:r>
      <w:r>
        <w:t>,</w:t>
      </w:r>
      <w:r w:rsidRPr="005617B0">
        <w:t xml:space="preserve"> </w:t>
      </w:r>
      <w:r w:rsidR="00A543CF">
        <w:t>which w</w:t>
      </w:r>
      <w:r w:rsidRPr="005617B0">
        <w:t xml:space="preserve">as ordered by the Supreme </w:t>
      </w:r>
      <w:r>
        <w:t xml:space="preserve">Court, </w:t>
      </w:r>
      <w:r w:rsidRPr="00A543CF">
        <w:t>pp. 1–2.</w:t>
      </w:r>
      <w:r w:rsidRPr="00B01A88">
        <w:t xml:space="preserve"> She</w:t>
      </w:r>
      <w:r w:rsidRPr="005617B0">
        <w:t xml:space="preserve"> also notes that</w:t>
      </w:r>
      <w:r>
        <w:t>,</w:t>
      </w:r>
      <w:r w:rsidRPr="005617B0">
        <w:t xml:space="preserve"> in November 2008, at the request of OHCHR-Nepal, two experts from the Department of Forensic Medicine at the University of Turku</w:t>
      </w:r>
      <w:r>
        <w:t>, Finland,</w:t>
      </w:r>
      <w:r w:rsidRPr="005617B0">
        <w:t xml:space="preserve"> conducted a preliminary investigation of a possible mass burial or cremation site </w:t>
      </w:r>
      <w:r>
        <w:t>in</w:t>
      </w:r>
      <w:r w:rsidRPr="005617B0">
        <w:t xml:space="preserve"> Shivapuri forest. The experts concluded that the remains</w:t>
      </w:r>
      <w:r>
        <w:t xml:space="preserve"> they</w:t>
      </w:r>
      <w:r w:rsidRPr="005617B0">
        <w:t xml:space="preserve"> </w:t>
      </w:r>
      <w:r>
        <w:t xml:space="preserve">had </w:t>
      </w:r>
      <w:r w:rsidRPr="005617B0">
        <w:t xml:space="preserve">found were human. In addition, </w:t>
      </w:r>
      <w:r>
        <w:t xml:space="preserve">the </w:t>
      </w:r>
      <w:r w:rsidRPr="005617B0">
        <w:t>name</w:t>
      </w:r>
      <w:r>
        <w:t xml:space="preserve"> of the author’s husband</w:t>
      </w:r>
      <w:r w:rsidRPr="005617B0">
        <w:t xml:space="preserve"> was included in </w:t>
      </w:r>
      <w:r>
        <w:t xml:space="preserve">a report by the </w:t>
      </w:r>
      <w:r w:rsidRPr="005617B0">
        <w:t>the Internatio</w:t>
      </w:r>
      <w:r>
        <w:t>nal Committee of the Red Cross entitled</w:t>
      </w:r>
      <w:r w:rsidRPr="005617B0">
        <w:t xml:space="preserve"> </w:t>
      </w:r>
      <w:r>
        <w:t>“</w:t>
      </w:r>
      <w:r w:rsidRPr="000820BC">
        <w:t xml:space="preserve">Missing </w:t>
      </w:r>
      <w:r w:rsidRPr="007241C1">
        <w:t xml:space="preserve">persons </w:t>
      </w:r>
      <w:r w:rsidRPr="000820BC">
        <w:t xml:space="preserve">in Nepal: </w:t>
      </w:r>
      <w:r w:rsidRPr="007241C1">
        <w:t xml:space="preserve">the </w:t>
      </w:r>
      <w:r w:rsidRPr="000820BC">
        <w:t>right to know – updated listed 2009</w:t>
      </w:r>
      <w:r>
        <w:t>”</w:t>
      </w:r>
      <w:r w:rsidRPr="000820BC">
        <w:t xml:space="preserve"> (August 2009)</w:t>
      </w:r>
      <w:r w:rsidRPr="005617B0">
        <w:t xml:space="preserve">. </w:t>
      </w:r>
    </w:p>
  </w:footnote>
  <w:footnote w:id="7">
    <w:p w:rsidR="003873C8" w:rsidRPr="001A2F55" w:rsidRDefault="003873C8" w:rsidP="001A2F55">
      <w:pPr>
        <w:pStyle w:val="FootnoteText"/>
      </w:pPr>
      <w:r>
        <w:rPr>
          <w:lang w:val="fr-CH"/>
        </w:rPr>
        <w:tab/>
      </w:r>
      <w:r w:rsidRPr="00ED65FE">
        <w:rPr>
          <w:rStyle w:val="Appelnotedebasdep1"/>
          <w:sz w:val="18"/>
          <w:szCs w:val="18"/>
        </w:rPr>
        <w:footnoteRef/>
      </w:r>
      <w:r w:rsidRPr="0036267A">
        <w:tab/>
      </w:r>
      <w:r w:rsidRPr="00ED65FE">
        <w:t xml:space="preserve">The author refers to the Committee’s jurisprudence </w:t>
      </w:r>
      <w:r>
        <w:t>in</w:t>
      </w:r>
      <w:r w:rsidRPr="00ED65FE">
        <w:t xml:space="preserve"> </w:t>
      </w:r>
      <w:r>
        <w:t>communication No. </w:t>
      </w:r>
      <w:r w:rsidRPr="0057596A">
        <w:t xml:space="preserve">1469/2006, </w:t>
      </w:r>
      <w:r w:rsidRPr="001A2F55">
        <w:rPr>
          <w:i/>
          <w:iCs/>
        </w:rPr>
        <w:t xml:space="preserve">Sharma </w:t>
      </w:r>
      <w:r w:rsidRPr="000820BC">
        <w:rPr>
          <w:iCs/>
        </w:rPr>
        <w:t>v.</w:t>
      </w:r>
      <w:r w:rsidRPr="001A2F55">
        <w:rPr>
          <w:i/>
          <w:iCs/>
        </w:rPr>
        <w:t xml:space="preserve"> Nepal</w:t>
      </w:r>
      <w:r w:rsidRPr="0057596A">
        <w:t>, Views a</w:t>
      </w:r>
      <w:r>
        <w:t>dopted on 28 October 2008, para. </w:t>
      </w:r>
      <w:r w:rsidRPr="0057596A">
        <w:t>6.3.</w:t>
      </w:r>
    </w:p>
  </w:footnote>
  <w:footnote w:id="8">
    <w:p w:rsidR="003873C8" w:rsidRPr="001A2F55" w:rsidRDefault="003873C8" w:rsidP="001A2F55">
      <w:pPr>
        <w:pStyle w:val="FootnoteText"/>
      </w:pPr>
      <w:r>
        <w:rPr>
          <w:lang w:val="fr-CH"/>
        </w:rPr>
        <w:tab/>
      </w:r>
      <w:r>
        <w:rPr>
          <w:rStyle w:val="FootnoteReference"/>
        </w:rPr>
        <w:footnoteRef/>
      </w:r>
      <w:r w:rsidRPr="0036267A">
        <w:tab/>
      </w:r>
      <w:r w:rsidRPr="004844DB">
        <w:t>The Committee observes that the State party has not substantiate</w:t>
      </w:r>
      <w:r>
        <w:t>d</w:t>
      </w:r>
      <w:r w:rsidRPr="004844DB">
        <w:t xml:space="preserve"> its observations under </w:t>
      </w:r>
      <w:r w:rsidR="00BB2DF7" w:rsidRPr="004844DB">
        <w:t xml:space="preserve">rule 96 </w:t>
      </w:r>
      <w:r w:rsidR="00BB2DF7">
        <w:t>(c)</w:t>
      </w:r>
      <w:r w:rsidR="00BB2DF7" w:rsidRPr="004844DB">
        <w:t xml:space="preserve"> of </w:t>
      </w:r>
      <w:r w:rsidR="00BB2DF7">
        <w:t>its</w:t>
      </w:r>
      <w:r w:rsidR="00BB2DF7" w:rsidRPr="004844DB">
        <w:t xml:space="preserve"> rule</w:t>
      </w:r>
      <w:r w:rsidR="008765E6">
        <w:t>s</w:t>
      </w:r>
      <w:r w:rsidR="00BB2DF7" w:rsidRPr="004844DB">
        <w:t xml:space="preserve"> of procedure</w:t>
      </w:r>
      <w:r w:rsidR="008765E6">
        <w:t xml:space="preserve"> </w:t>
      </w:r>
      <w:r w:rsidR="00BB2DF7">
        <w:t>(</w:t>
      </w:r>
      <w:r>
        <w:t>CCPR/C/3/Rev.10</w:t>
      </w:r>
      <w:r w:rsidR="00BB2DF7">
        <w:t>)</w:t>
      </w:r>
      <w:r>
        <w:t>.</w:t>
      </w:r>
    </w:p>
  </w:footnote>
  <w:footnote w:id="9">
    <w:p w:rsidR="003873C8" w:rsidRPr="00EE4144" w:rsidRDefault="003873C8" w:rsidP="001A2F55">
      <w:pPr>
        <w:pStyle w:val="FootnoteText"/>
        <w:rPr>
          <w:lang w:val="es-ES"/>
        </w:rPr>
      </w:pPr>
      <w:r>
        <w:rPr>
          <w:lang w:val="fr-CH"/>
        </w:rPr>
        <w:tab/>
      </w:r>
      <w:r>
        <w:rPr>
          <w:rStyle w:val="FootnoteReference"/>
        </w:rPr>
        <w:footnoteRef/>
      </w:r>
      <w:r w:rsidRPr="0036267A">
        <w:tab/>
      </w:r>
      <w:r w:rsidRPr="003D3391">
        <w:t xml:space="preserve">The </w:t>
      </w:r>
      <w:r w:rsidRPr="00863DF2">
        <w:t>author</w:t>
      </w:r>
      <w:r>
        <w:t xml:space="preserve"> refers to </w:t>
      </w:r>
      <w:r w:rsidR="00B61CA4">
        <w:t xml:space="preserve">communication </w:t>
      </w:r>
      <w:r>
        <w:t xml:space="preserve">No. 44971991, </w:t>
      </w:r>
      <w:r w:rsidRPr="001D7A6F">
        <w:rPr>
          <w:i/>
          <w:iCs/>
        </w:rPr>
        <w:t xml:space="preserve">Mojica </w:t>
      </w:r>
      <w:r w:rsidRPr="000820BC">
        <w:rPr>
          <w:iCs/>
        </w:rPr>
        <w:t>v.</w:t>
      </w:r>
      <w:r w:rsidRPr="001D7A6F">
        <w:rPr>
          <w:i/>
          <w:iCs/>
        </w:rPr>
        <w:t xml:space="preserve"> Dominican Republic</w:t>
      </w:r>
      <w:r>
        <w:t>, Views adopted on 15 July 1994, para. </w:t>
      </w:r>
      <w:r w:rsidRPr="00EE4144">
        <w:rPr>
          <w:lang w:val="es-ES"/>
        </w:rPr>
        <w:t xml:space="preserve">5.7. </w:t>
      </w:r>
    </w:p>
  </w:footnote>
  <w:footnote w:id="10">
    <w:p w:rsidR="003873C8" w:rsidRPr="00EE4144" w:rsidRDefault="003873C8" w:rsidP="00863DF2">
      <w:pPr>
        <w:pStyle w:val="FootnoteText"/>
        <w:ind w:right="0"/>
        <w:rPr>
          <w:lang w:val="es-ES"/>
        </w:rPr>
      </w:pPr>
      <w:r w:rsidRPr="00EE4144">
        <w:rPr>
          <w:rStyle w:val="FootnoteReference"/>
          <w:lang w:val="es-ES"/>
        </w:rPr>
        <w:tab/>
      </w:r>
      <w:r w:rsidRPr="00976768">
        <w:rPr>
          <w:rStyle w:val="FootnoteReference"/>
          <w:szCs w:val="18"/>
        </w:rPr>
        <w:footnoteRef/>
      </w:r>
      <w:r w:rsidRPr="001D7A6F">
        <w:rPr>
          <w:rStyle w:val="FootnoteReference"/>
          <w:vertAlign w:val="baseline"/>
          <w:lang w:val="es-ES"/>
        </w:rPr>
        <w:tab/>
      </w:r>
      <w:r>
        <w:rPr>
          <w:rStyle w:val="FootnoteReference"/>
          <w:vertAlign w:val="baseline"/>
          <w:lang w:val="es-ES"/>
        </w:rPr>
        <w:t>See</w:t>
      </w:r>
      <w:r w:rsidRPr="00EE4144">
        <w:rPr>
          <w:rStyle w:val="FootnoteReference"/>
          <w:vertAlign w:val="baseline"/>
          <w:lang w:val="es-ES"/>
        </w:rPr>
        <w:t xml:space="preserve"> communication</w:t>
      </w:r>
      <w:r>
        <w:rPr>
          <w:rStyle w:val="FootnoteReference"/>
          <w:vertAlign w:val="baseline"/>
          <w:lang w:val="es-ES"/>
        </w:rPr>
        <w:t xml:space="preserve"> No. </w:t>
      </w:r>
      <w:r w:rsidRPr="0030183B">
        <w:rPr>
          <w:rStyle w:val="FootnoteReference"/>
          <w:vertAlign w:val="baseline"/>
          <w:lang w:val="es-ES"/>
        </w:rPr>
        <w:t xml:space="preserve">1761/2008, </w:t>
      </w:r>
      <w:r w:rsidRPr="0030183B">
        <w:rPr>
          <w:rStyle w:val="FootnoteReference"/>
          <w:i/>
          <w:vertAlign w:val="baseline"/>
          <w:lang w:val="es-ES"/>
        </w:rPr>
        <w:t xml:space="preserve">Giri </w:t>
      </w:r>
      <w:r w:rsidRPr="001D7A6F">
        <w:rPr>
          <w:rStyle w:val="FootnoteReference"/>
          <w:i/>
          <w:iCs/>
          <w:vertAlign w:val="baseline"/>
          <w:lang w:val="es-ES"/>
        </w:rPr>
        <w:t>v.</w:t>
      </w:r>
      <w:r w:rsidRPr="0030183B">
        <w:rPr>
          <w:rStyle w:val="FootnoteReference"/>
          <w:vertAlign w:val="baseline"/>
          <w:lang w:val="es-ES"/>
        </w:rPr>
        <w:t xml:space="preserve"> </w:t>
      </w:r>
      <w:r w:rsidRPr="0030183B">
        <w:rPr>
          <w:rStyle w:val="FootnoteReference"/>
          <w:i/>
          <w:vertAlign w:val="baseline"/>
          <w:lang w:val="es-ES"/>
        </w:rPr>
        <w:t>Nepal</w:t>
      </w:r>
      <w:r w:rsidRPr="0030183B">
        <w:rPr>
          <w:rStyle w:val="FootnoteReference"/>
          <w:vertAlign w:val="baseline"/>
          <w:lang w:val="es-ES"/>
        </w:rPr>
        <w:t xml:space="preserve">, Views </w:t>
      </w:r>
      <w:r w:rsidRPr="00EE4144">
        <w:rPr>
          <w:rStyle w:val="FootnoteReference"/>
          <w:vertAlign w:val="baseline"/>
          <w:lang w:val="es-ES"/>
        </w:rPr>
        <w:t>adopted</w:t>
      </w:r>
      <w:r w:rsidRPr="0030183B">
        <w:rPr>
          <w:rStyle w:val="FootnoteReference"/>
          <w:vertAlign w:val="baseline"/>
          <w:lang w:val="es-ES"/>
        </w:rPr>
        <w:t xml:space="preserve"> on 24 March 2011,</w:t>
      </w:r>
      <w:r w:rsidRPr="0030183B">
        <w:rPr>
          <w:lang w:val="es-ES"/>
        </w:rPr>
        <w:t xml:space="preserve"> para.</w:t>
      </w:r>
      <w:r>
        <w:rPr>
          <w:lang w:val="es-ES"/>
        </w:rPr>
        <w:t> </w:t>
      </w:r>
      <w:r w:rsidRPr="0030183B">
        <w:rPr>
          <w:lang w:val="es-ES"/>
        </w:rPr>
        <w:t>6.3.</w:t>
      </w:r>
    </w:p>
  </w:footnote>
  <w:footnote w:id="11">
    <w:p w:rsidR="003873C8" w:rsidRPr="001A2F55" w:rsidRDefault="003873C8" w:rsidP="001D7A6F">
      <w:pPr>
        <w:pStyle w:val="FootnoteText"/>
      </w:pPr>
      <w:r>
        <w:rPr>
          <w:lang w:val="fr-CH"/>
        </w:rPr>
        <w:tab/>
      </w:r>
      <w:r>
        <w:rPr>
          <w:rStyle w:val="FootnoteReference"/>
        </w:rPr>
        <w:footnoteRef/>
      </w:r>
      <w:r>
        <w:rPr>
          <w:lang w:val="fr-CH"/>
        </w:rPr>
        <w:tab/>
      </w:r>
      <w:r w:rsidRPr="001B72AA">
        <w:t>According to new rule of procedure 96 (c)</w:t>
      </w:r>
      <w:r w:rsidRPr="00994BFA">
        <w:t>,</w:t>
      </w:r>
      <w:r>
        <w:t xml:space="preserve"> </w:t>
      </w:r>
      <w:r w:rsidRPr="00994BFA">
        <w:t xml:space="preserve">the Committee shall ascertain that the communication does not constitute an abuse of the right of submission. An abuse of the right of submission is not, in principle, a basis of a decision of inadmissibility </w:t>
      </w:r>
      <w:r w:rsidRPr="00994BFA">
        <w:rPr>
          <w:i/>
          <w:iCs/>
        </w:rPr>
        <w:t xml:space="preserve">ratione temporis </w:t>
      </w:r>
      <w:r w:rsidRPr="00994BFA">
        <w:t xml:space="preserve">on grounds of delay in submission. However, a communication may </w:t>
      </w:r>
      <w:r w:rsidRPr="00373B54">
        <w:t>constitute</w:t>
      </w:r>
      <w:r w:rsidRPr="00994BFA">
        <w:t xml:space="preserve"> an abuse of the right of submission when it is submitted </w:t>
      </w:r>
      <w:r w:rsidR="00253D3A">
        <w:t>five </w:t>
      </w:r>
      <w:r w:rsidRPr="00994BFA">
        <w:t>years from the exhaustion of domestic remedies by the author of the commu</w:t>
      </w:r>
      <w:r>
        <w:t xml:space="preserve">nication, or, where applicable, </w:t>
      </w:r>
      <w:r w:rsidR="00253D3A">
        <w:t>three</w:t>
      </w:r>
      <w:r w:rsidR="00253D3A" w:rsidRPr="00994BFA">
        <w:t xml:space="preserve"> </w:t>
      </w:r>
      <w:r w:rsidRPr="00994BFA">
        <w:t>years from the conclusion of another procedure of international investigation or settlement, unless there are reasons justifying the delay</w:t>
      </w:r>
      <w:r w:rsidR="00253D3A">
        <w:t>,</w:t>
      </w:r>
      <w:r w:rsidRPr="00994BFA">
        <w:t xml:space="preserve"> taking into account all the circumstances of the communication</w:t>
      </w:r>
      <w:r w:rsidRPr="001B72AA">
        <w:t>.</w:t>
      </w:r>
    </w:p>
  </w:footnote>
  <w:footnote w:id="12">
    <w:p w:rsidR="003873C8" w:rsidRPr="001A2F55" w:rsidRDefault="003873C8" w:rsidP="001D7A6F">
      <w:pPr>
        <w:pStyle w:val="FootnoteText"/>
      </w:pPr>
      <w:r w:rsidRPr="001B72AA">
        <w:tab/>
      </w:r>
      <w:r w:rsidRPr="00840668">
        <w:rPr>
          <w:rStyle w:val="FootnoteReference"/>
        </w:rPr>
        <w:footnoteRef/>
      </w:r>
      <w:r w:rsidRPr="0036267A">
        <w:tab/>
      </w:r>
      <w:r w:rsidRPr="00840668">
        <w:t xml:space="preserve">See, for example, communications No. 1223/2003, </w:t>
      </w:r>
      <w:r w:rsidRPr="00840668">
        <w:rPr>
          <w:i/>
          <w:iCs/>
        </w:rPr>
        <w:t>Tsarjov</w:t>
      </w:r>
      <w:r w:rsidRPr="008259F8">
        <w:rPr>
          <w:i/>
          <w:iCs/>
        </w:rPr>
        <w:t xml:space="preserve"> </w:t>
      </w:r>
      <w:r w:rsidRPr="00FC4000">
        <w:rPr>
          <w:iCs/>
        </w:rPr>
        <w:t>v.</w:t>
      </w:r>
      <w:r w:rsidRPr="008259F8">
        <w:rPr>
          <w:i/>
          <w:iCs/>
        </w:rPr>
        <w:t xml:space="preserve"> </w:t>
      </w:r>
      <w:r w:rsidRPr="00840668">
        <w:rPr>
          <w:i/>
          <w:iCs/>
        </w:rPr>
        <w:t>Estonia</w:t>
      </w:r>
      <w:r w:rsidRPr="00840668">
        <w:t>, Views adopted on 26 O</w:t>
      </w:r>
      <w:r>
        <w:t xml:space="preserve">ctober 2007, para. 6.3; </w:t>
      </w:r>
      <w:r w:rsidRPr="00FC4000">
        <w:t xml:space="preserve">No. 1434/2005, </w:t>
      </w:r>
      <w:r w:rsidRPr="00FC4000">
        <w:rPr>
          <w:i/>
          <w:iCs/>
        </w:rPr>
        <w:t xml:space="preserve">Fillacier </w:t>
      </w:r>
      <w:r w:rsidRPr="00FC4000">
        <w:rPr>
          <w:iCs/>
        </w:rPr>
        <w:t>v.</w:t>
      </w:r>
      <w:r w:rsidRPr="00FC4000">
        <w:t xml:space="preserve"> France, decision of inadmissibility adopted on </w:t>
      </w:r>
      <w:r w:rsidR="00FC4000">
        <w:t xml:space="preserve">27 March </w:t>
      </w:r>
      <w:r w:rsidRPr="00FC4000">
        <w:t>2006, para. 4.3;</w:t>
      </w:r>
      <w:r>
        <w:t xml:space="preserve"> and No. </w:t>
      </w:r>
      <w:r w:rsidRPr="00840668">
        <w:t xml:space="preserve">787/1997, </w:t>
      </w:r>
      <w:r w:rsidRPr="00840668">
        <w:rPr>
          <w:i/>
          <w:iCs/>
        </w:rPr>
        <w:t xml:space="preserve">Gobin </w:t>
      </w:r>
      <w:r w:rsidRPr="00FC4000">
        <w:rPr>
          <w:iCs/>
        </w:rPr>
        <w:t>v.</w:t>
      </w:r>
      <w:r w:rsidRPr="00840668">
        <w:t xml:space="preserve"> </w:t>
      </w:r>
      <w:r w:rsidRPr="00840668">
        <w:rPr>
          <w:i/>
          <w:iCs/>
        </w:rPr>
        <w:t>Mauritius</w:t>
      </w:r>
      <w:r w:rsidRPr="00840668">
        <w:t>, decision of inadmissibility ad</w:t>
      </w:r>
      <w:r>
        <w:t>opted on 16 July 2001, para. </w:t>
      </w:r>
      <w:r w:rsidRPr="00840668">
        <w:t>6.3.</w:t>
      </w:r>
    </w:p>
  </w:footnote>
  <w:footnote w:id="13">
    <w:p w:rsidR="003873C8" w:rsidRPr="001A2F55" w:rsidRDefault="003873C8" w:rsidP="001A2F55">
      <w:pPr>
        <w:pStyle w:val="FootnoteText"/>
      </w:pPr>
      <w:r>
        <w:tab/>
      </w:r>
      <w:r w:rsidRPr="00840668">
        <w:rPr>
          <w:rStyle w:val="FootnoteReference"/>
        </w:rPr>
        <w:footnoteRef/>
      </w:r>
      <w:r>
        <w:tab/>
      </w:r>
      <w:r w:rsidRPr="00FC4000">
        <w:rPr>
          <w:lang w:val="fr-CH"/>
        </w:rPr>
        <w:t>Ibid.</w:t>
      </w:r>
    </w:p>
  </w:footnote>
  <w:footnote w:id="14">
    <w:p w:rsidR="003873C8" w:rsidRPr="001A2F55" w:rsidRDefault="003873C8" w:rsidP="001D7A6F">
      <w:pPr>
        <w:pStyle w:val="FootnoteText"/>
      </w:pPr>
      <w:r w:rsidRPr="00B27544">
        <w:tab/>
      </w:r>
      <w:r w:rsidRPr="00B27544">
        <w:rPr>
          <w:rStyle w:val="FootnoteReference"/>
          <w:szCs w:val="18"/>
        </w:rPr>
        <w:footnoteRef/>
      </w:r>
      <w:r w:rsidRPr="00B27544">
        <w:tab/>
      </w:r>
      <w:r w:rsidR="00B61CA4">
        <w:t xml:space="preserve">See </w:t>
      </w:r>
      <w:r w:rsidR="00B61CA4">
        <w:rPr>
          <w:lang w:eastAsia="en-GB"/>
        </w:rPr>
        <w:t>c</w:t>
      </w:r>
      <w:r w:rsidRPr="00B27544">
        <w:rPr>
          <w:lang w:eastAsia="en-GB"/>
        </w:rPr>
        <w:t>ommunication</w:t>
      </w:r>
      <w:r w:rsidRPr="00711A3D">
        <w:rPr>
          <w:lang w:eastAsia="en-GB"/>
        </w:rPr>
        <w:t>s</w:t>
      </w:r>
      <w:r>
        <w:rPr>
          <w:lang w:eastAsia="en-GB"/>
        </w:rPr>
        <w:t xml:space="preserve"> No. </w:t>
      </w:r>
      <w:r w:rsidRPr="00B27544">
        <w:rPr>
          <w:lang w:eastAsia="en-GB"/>
        </w:rPr>
        <w:t xml:space="preserve">1422/2005, </w:t>
      </w:r>
      <w:r w:rsidRPr="00711A3D">
        <w:rPr>
          <w:i/>
          <w:lang w:eastAsia="en-GB"/>
        </w:rPr>
        <w:t xml:space="preserve">El Hassy </w:t>
      </w:r>
      <w:r w:rsidRPr="000820BC">
        <w:rPr>
          <w:lang w:eastAsia="en-GB"/>
        </w:rPr>
        <w:t>v.</w:t>
      </w:r>
      <w:r w:rsidRPr="00711A3D">
        <w:rPr>
          <w:i/>
          <w:lang w:eastAsia="en-GB"/>
        </w:rPr>
        <w:t xml:space="preserve"> </w:t>
      </w:r>
      <w:r w:rsidR="00B61CA4">
        <w:rPr>
          <w:i/>
          <w:lang w:eastAsia="en-GB"/>
        </w:rPr>
        <w:t xml:space="preserve">the </w:t>
      </w:r>
      <w:r w:rsidRPr="00711A3D">
        <w:rPr>
          <w:i/>
          <w:lang w:eastAsia="en-GB"/>
        </w:rPr>
        <w:t>Libya</w:t>
      </w:r>
      <w:r w:rsidR="00B61CA4">
        <w:rPr>
          <w:i/>
          <w:lang w:eastAsia="en-GB"/>
        </w:rPr>
        <w:t>n Arab Jamahiriya</w:t>
      </w:r>
      <w:r w:rsidRPr="00B27544">
        <w:rPr>
          <w:lang w:eastAsia="en-GB"/>
        </w:rPr>
        <w:t>,</w:t>
      </w:r>
      <w:r w:rsidRPr="00711A3D">
        <w:rPr>
          <w:lang w:eastAsia="en-GB"/>
        </w:rPr>
        <w:t xml:space="preserve"> Views adopted on 24 October 2007,</w:t>
      </w:r>
      <w:r>
        <w:rPr>
          <w:lang w:eastAsia="en-GB"/>
        </w:rPr>
        <w:t xml:space="preserve"> para. 6.7; No. </w:t>
      </w:r>
      <w:r w:rsidRPr="00B27544">
        <w:rPr>
          <w:lang w:eastAsia="en-GB"/>
        </w:rPr>
        <w:t>1297/2004</w:t>
      </w:r>
      <w:r w:rsidR="00B61CA4">
        <w:rPr>
          <w:lang w:eastAsia="en-GB"/>
        </w:rPr>
        <w:t>;</w:t>
      </w:r>
      <w:r w:rsidRPr="00B27544">
        <w:rPr>
          <w:lang w:eastAsia="en-GB"/>
        </w:rPr>
        <w:t xml:space="preserve"> </w:t>
      </w:r>
      <w:r w:rsidRPr="00B27544">
        <w:rPr>
          <w:i/>
          <w:lang w:eastAsia="en-GB"/>
        </w:rPr>
        <w:t xml:space="preserve">Medjnoune </w:t>
      </w:r>
      <w:r w:rsidRPr="000820BC">
        <w:rPr>
          <w:lang w:eastAsia="en-GB"/>
        </w:rPr>
        <w:t>v.</w:t>
      </w:r>
      <w:r w:rsidRPr="00B27544">
        <w:rPr>
          <w:i/>
          <w:lang w:eastAsia="en-GB"/>
        </w:rPr>
        <w:t xml:space="preserve"> Algeria</w:t>
      </w:r>
      <w:r w:rsidRPr="00B27544">
        <w:rPr>
          <w:lang w:eastAsia="en-GB"/>
        </w:rPr>
        <w:t>, Views adopted on 1</w:t>
      </w:r>
      <w:r>
        <w:rPr>
          <w:lang w:eastAsia="en-GB"/>
        </w:rPr>
        <w:t>4 July 2006, para. 8.3</w:t>
      </w:r>
      <w:r w:rsidR="00B61CA4">
        <w:rPr>
          <w:lang w:eastAsia="en-GB"/>
        </w:rPr>
        <w:t>;</w:t>
      </w:r>
      <w:r>
        <w:rPr>
          <w:lang w:eastAsia="en-GB"/>
        </w:rPr>
        <w:t xml:space="preserve"> and No. </w:t>
      </w:r>
      <w:r w:rsidRPr="00B27544">
        <w:rPr>
          <w:lang w:eastAsia="en-GB"/>
        </w:rPr>
        <w:t>1804/2008</w:t>
      </w:r>
      <w:r>
        <w:rPr>
          <w:lang w:eastAsia="en-GB"/>
        </w:rPr>
        <w:t>,</w:t>
      </w:r>
      <w:r w:rsidRPr="00B27544">
        <w:rPr>
          <w:lang w:eastAsia="en-GB"/>
        </w:rPr>
        <w:t xml:space="preserve"> </w:t>
      </w:r>
      <w:r w:rsidRPr="00B27544">
        <w:rPr>
          <w:i/>
          <w:lang w:eastAsia="en-GB"/>
        </w:rPr>
        <w:t xml:space="preserve">Il Khwildy </w:t>
      </w:r>
      <w:r w:rsidRPr="000820BC">
        <w:rPr>
          <w:lang w:eastAsia="en-GB"/>
        </w:rPr>
        <w:t>v.</w:t>
      </w:r>
      <w:r w:rsidRPr="00B27544">
        <w:rPr>
          <w:i/>
          <w:lang w:eastAsia="en-GB"/>
        </w:rPr>
        <w:t xml:space="preserve"> Libya</w:t>
      </w:r>
      <w:r w:rsidRPr="00B27544">
        <w:rPr>
          <w:lang w:eastAsia="en-GB"/>
        </w:rPr>
        <w:t>, Views a</w:t>
      </w:r>
      <w:r>
        <w:rPr>
          <w:lang w:eastAsia="en-GB"/>
        </w:rPr>
        <w:t>dopted on 1 November 2012, para. </w:t>
      </w:r>
      <w:r w:rsidRPr="00B27544">
        <w:rPr>
          <w:lang w:eastAsia="en-GB"/>
        </w:rPr>
        <w:t>7.2</w:t>
      </w:r>
      <w:r w:rsidR="00B61CA4">
        <w:rPr>
          <w:lang w:eastAsia="en-GB"/>
        </w:rPr>
        <w:t>.</w:t>
      </w:r>
      <w:r w:rsidRPr="00B27544">
        <w:rPr>
          <w:lang w:eastAsia="en-GB"/>
        </w:rPr>
        <w:t xml:space="preserve"> </w:t>
      </w:r>
    </w:p>
  </w:footnote>
  <w:footnote w:id="15">
    <w:p w:rsidR="003873C8" w:rsidRPr="001A2F55" w:rsidRDefault="003873C8" w:rsidP="001A2F55">
      <w:pPr>
        <w:pStyle w:val="FootnoteText"/>
      </w:pPr>
      <w:r w:rsidRPr="00B27544">
        <w:tab/>
      </w:r>
      <w:r w:rsidRPr="00B27544">
        <w:rPr>
          <w:rStyle w:val="FootnoteReference"/>
          <w:szCs w:val="18"/>
        </w:rPr>
        <w:footnoteRef/>
      </w:r>
      <w:r>
        <w:tab/>
      </w:r>
      <w:r w:rsidR="00B61CA4">
        <w:t xml:space="preserve">See communication </w:t>
      </w:r>
      <w:r>
        <w:t>No. </w:t>
      </w:r>
      <w:r w:rsidRPr="00E5563B">
        <w:t>1913/</w:t>
      </w:r>
      <w:r w:rsidRPr="002E4254">
        <w:t>2009</w:t>
      </w:r>
      <w:r w:rsidRPr="00E5563B">
        <w:t xml:space="preserve">, </w:t>
      </w:r>
      <w:r w:rsidRPr="00711A3D">
        <w:rPr>
          <w:i/>
        </w:rPr>
        <w:t>Ab</w:t>
      </w:r>
      <w:r>
        <w:rPr>
          <w:i/>
        </w:rPr>
        <w:t xml:space="preserve">ushaala </w:t>
      </w:r>
      <w:r w:rsidRPr="000820BC">
        <w:t>v.</w:t>
      </w:r>
      <w:r>
        <w:rPr>
          <w:i/>
        </w:rPr>
        <w:t xml:space="preserve"> Libya</w:t>
      </w:r>
      <w:r w:rsidRPr="00E5563B">
        <w:t>, Views adopte</w:t>
      </w:r>
      <w:r w:rsidRPr="00711A3D">
        <w:t>d</w:t>
      </w:r>
      <w:r w:rsidRPr="00E5563B">
        <w:t xml:space="preserve"> on 18 March </w:t>
      </w:r>
      <w:r w:rsidRPr="00711A3D">
        <w:t>2</w:t>
      </w:r>
      <w:r w:rsidRPr="00E5563B">
        <w:t>013</w:t>
      </w:r>
      <w:r>
        <w:t>, para. </w:t>
      </w:r>
      <w:r w:rsidRPr="00711A3D">
        <w:t>6.2</w:t>
      </w:r>
      <w:r>
        <w:t>.</w:t>
      </w:r>
    </w:p>
  </w:footnote>
  <w:footnote w:id="16">
    <w:p w:rsidR="003873C8" w:rsidRPr="001A2F55" w:rsidRDefault="003873C8" w:rsidP="001A2F55">
      <w:pPr>
        <w:pStyle w:val="FootnoteText"/>
      </w:pPr>
      <w:r>
        <w:tab/>
      </w:r>
      <w:r>
        <w:rPr>
          <w:rStyle w:val="FootnoteReference"/>
        </w:rPr>
        <w:footnoteRef/>
      </w:r>
      <w:r>
        <w:tab/>
      </w:r>
      <w:r w:rsidR="00B61CA4">
        <w:t xml:space="preserve">See </w:t>
      </w:r>
      <w:r w:rsidR="007D0215" w:rsidRPr="00B27544">
        <w:rPr>
          <w:i/>
          <w:lang w:eastAsia="en-GB"/>
        </w:rPr>
        <w:t xml:space="preserve">Il Khwildy </w:t>
      </w:r>
      <w:r w:rsidR="007D0215" w:rsidRPr="001E103C">
        <w:rPr>
          <w:lang w:eastAsia="en-GB"/>
        </w:rPr>
        <w:t>v.</w:t>
      </w:r>
      <w:r w:rsidR="007D0215" w:rsidRPr="00B27544">
        <w:rPr>
          <w:i/>
          <w:lang w:eastAsia="en-GB"/>
        </w:rPr>
        <w:t xml:space="preserve"> Libya</w:t>
      </w:r>
      <w:r w:rsidR="007D0215" w:rsidRPr="00B27544">
        <w:rPr>
          <w:lang w:eastAsia="en-GB"/>
        </w:rPr>
        <w:t xml:space="preserve">, </w:t>
      </w:r>
      <w:r w:rsidRPr="00B27544">
        <w:rPr>
          <w:lang w:eastAsia="en-GB"/>
        </w:rPr>
        <w:t>para</w:t>
      </w:r>
      <w:r w:rsidRPr="00EE4144">
        <w:rPr>
          <w:lang w:eastAsia="en-GB"/>
        </w:rPr>
        <w:t>.</w:t>
      </w:r>
      <w:r>
        <w:rPr>
          <w:lang w:eastAsia="en-GB"/>
        </w:rPr>
        <w:t> 7.12.</w:t>
      </w:r>
    </w:p>
  </w:footnote>
  <w:footnote w:id="17">
    <w:p w:rsidR="003873C8" w:rsidRPr="001A2F55" w:rsidRDefault="003873C8" w:rsidP="001A2F55">
      <w:pPr>
        <w:pStyle w:val="FootnoteText"/>
      </w:pPr>
      <w:r>
        <w:rPr>
          <w:lang w:val="fr-CH"/>
        </w:rPr>
        <w:tab/>
      </w:r>
      <w:r w:rsidRPr="00B83AAC">
        <w:rPr>
          <w:rStyle w:val="FootnoteReference"/>
          <w:szCs w:val="18"/>
        </w:rPr>
        <w:footnoteRef/>
      </w:r>
      <w:r w:rsidRPr="0036267A">
        <w:tab/>
      </w:r>
      <w:r>
        <w:t>See communication No. </w:t>
      </w:r>
      <w:r w:rsidRPr="00B83AAC">
        <w:t xml:space="preserve">1640/2007, </w:t>
      </w:r>
      <w:r w:rsidRPr="00B83AAC">
        <w:rPr>
          <w:i/>
          <w:iCs/>
        </w:rPr>
        <w:t xml:space="preserve">El Abani </w:t>
      </w:r>
      <w:r w:rsidRPr="000820BC">
        <w:rPr>
          <w:iCs/>
        </w:rPr>
        <w:t>v.</w:t>
      </w:r>
      <w:r w:rsidRPr="00B83AAC">
        <w:t xml:space="preserve"> </w:t>
      </w:r>
      <w:r w:rsidRPr="00B83AAC">
        <w:rPr>
          <w:i/>
          <w:iCs/>
        </w:rPr>
        <w:t>Libyan Arab Jamahiriya</w:t>
      </w:r>
      <w:r w:rsidRPr="00B83AAC">
        <w:t>, Views</w:t>
      </w:r>
      <w:r>
        <w:t xml:space="preserve"> adopted on 26 July 2010, para. 7.5; </w:t>
      </w:r>
      <w:r w:rsidRPr="00FC4000">
        <w:t xml:space="preserve">No. 1295/2004, </w:t>
      </w:r>
      <w:r w:rsidRPr="00FC4000">
        <w:rPr>
          <w:i/>
          <w:iCs/>
        </w:rPr>
        <w:t>El A</w:t>
      </w:r>
      <w:r w:rsidR="00535BD6" w:rsidRPr="00FC4000">
        <w:rPr>
          <w:i/>
          <w:iCs/>
        </w:rPr>
        <w:t>l</w:t>
      </w:r>
      <w:r w:rsidRPr="00FC4000">
        <w:rPr>
          <w:i/>
          <w:iCs/>
        </w:rPr>
        <w:t xml:space="preserve">wani </w:t>
      </w:r>
      <w:r w:rsidRPr="000820BC">
        <w:rPr>
          <w:iCs/>
        </w:rPr>
        <w:t>v.</w:t>
      </w:r>
      <w:r w:rsidRPr="00FC4000">
        <w:t xml:space="preserve"> </w:t>
      </w:r>
      <w:r w:rsidRPr="00FC4000">
        <w:rPr>
          <w:i/>
          <w:iCs/>
        </w:rPr>
        <w:t xml:space="preserve">Libyan Arab </w:t>
      </w:r>
      <w:r w:rsidRPr="000820BC">
        <w:rPr>
          <w:i/>
        </w:rPr>
        <w:t>Jamahiriya</w:t>
      </w:r>
      <w:r w:rsidRPr="00FC4000">
        <w:t xml:space="preserve">, </w:t>
      </w:r>
      <w:r w:rsidRPr="00FC4000">
        <w:rPr>
          <w:iCs/>
        </w:rPr>
        <w:t>Views adopted on 11 July 200</w:t>
      </w:r>
      <w:r w:rsidR="00535BD6" w:rsidRPr="00FC4000">
        <w:rPr>
          <w:iCs/>
        </w:rPr>
        <w:t>7</w:t>
      </w:r>
      <w:r w:rsidRPr="00FC4000">
        <w:t>, para. </w:t>
      </w:r>
      <w:r w:rsidR="00FC4000">
        <w:t>6.5;</w:t>
      </w:r>
      <w:r w:rsidRPr="005A34EA">
        <w:t xml:space="preserve"> No. 107/1981, </w:t>
      </w:r>
      <w:r w:rsidRPr="005A34EA">
        <w:rPr>
          <w:i/>
          <w:iCs/>
        </w:rPr>
        <w:t xml:space="preserve">Quinteros </w:t>
      </w:r>
      <w:r w:rsidRPr="000820BC">
        <w:rPr>
          <w:iCs/>
        </w:rPr>
        <w:t>v.</w:t>
      </w:r>
      <w:r w:rsidRPr="005A34EA">
        <w:rPr>
          <w:i/>
          <w:iCs/>
        </w:rPr>
        <w:t xml:space="preserve"> Uruguay</w:t>
      </w:r>
      <w:r w:rsidRPr="005A34EA">
        <w:t>, Views</w:t>
      </w:r>
      <w:r>
        <w:t xml:space="preserve"> adopted on 21 July 1983, para. </w:t>
      </w:r>
      <w:r w:rsidRPr="00B83AAC">
        <w:t>14; and No</w:t>
      </w:r>
      <w:r>
        <w:t>. </w:t>
      </w:r>
      <w:r w:rsidRPr="00B83AAC">
        <w:t xml:space="preserve">950/2000, </w:t>
      </w:r>
      <w:r w:rsidRPr="00B83AAC">
        <w:rPr>
          <w:i/>
          <w:iCs/>
        </w:rPr>
        <w:t xml:space="preserve">Sarma </w:t>
      </w:r>
      <w:r w:rsidRPr="000820BC">
        <w:rPr>
          <w:iCs/>
        </w:rPr>
        <w:t>v.</w:t>
      </w:r>
      <w:r w:rsidRPr="00B83AAC">
        <w:t xml:space="preserve"> </w:t>
      </w:r>
      <w:r w:rsidRPr="00B83AAC">
        <w:rPr>
          <w:i/>
          <w:iCs/>
        </w:rPr>
        <w:t>Sri Lanka</w:t>
      </w:r>
      <w:r w:rsidRPr="00B83AAC">
        <w:t>, Views</w:t>
      </w:r>
      <w:r>
        <w:t xml:space="preserve"> adopted on 16 July 2003, para. </w:t>
      </w:r>
      <w:r w:rsidRPr="005A34EA">
        <w:t>9.5.</w:t>
      </w:r>
    </w:p>
  </w:footnote>
  <w:footnote w:id="18">
    <w:p w:rsidR="003873C8" w:rsidRPr="001A2F55" w:rsidRDefault="003873C8" w:rsidP="001A2F55">
      <w:pPr>
        <w:pStyle w:val="FootnoteText"/>
      </w:pPr>
      <w:r>
        <w:rPr>
          <w:i/>
          <w:lang w:val="fr-CH"/>
        </w:rPr>
        <w:tab/>
      </w:r>
      <w:r>
        <w:rPr>
          <w:rStyle w:val="FootnoteReference"/>
        </w:rPr>
        <w:footnoteRef/>
      </w:r>
      <w:r w:rsidRPr="0036267A">
        <w:rPr>
          <w:i/>
        </w:rPr>
        <w:tab/>
      </w:r>
      <w:r w:rsidRPr="00721452">
        <w:t>See</w:t>
      </w:r>
      <w:r>
        <w:t xml:space="preserve"> </w:t>
      </w:r>
      <w:r w:rsidRPr="00721452">
        <w:rPr>
          <w:i/>
        </w:rPr>
        <w:t xml:space="preserve">El Abani </w:t>
      </w:r>
      <w:r w:rsidRPr="000820BC">
        <w:t>v.</w:t>
      </w:r>
      <w:r w:rsidRPr="00721452">
        <w:rPr>
          <w:i/>
        </w:rPr>
        <w:t xml:space="preserve"> Libyan Arab Jamahiriya</w:t>
      </w:r>
      <w:r w:rsidRPr="00711A3D">
        <w:t xml:space="preserve">, </w:t>
      </w:r>
      <w:r>
        <w:t>para. </w:t>
      </w:r>
      <w:r w:rsidRPr="00721452">
        <w:t xml:space="preserve">7.9; </w:t>
      </w:r>
      <w:r w:rsidR="00CD307C">
        <w:t xml:space="preserve">and communications </w:t>
      </w:r>
      <w:r w:rsidRPr="00721452">
        <w:t xml:space="preserve">No. 1327/2004, </w:t>
      </w:r>
      <w:r w:rsidRPr="00721452">
        <w:rPr>
          <w:i/>
        </w:rPr>
        <w:t>Grioua v</w:t>
      </w:r>
      <w:r>
        <w:rPr>
          <w:i/>
        </w:rPr>
        <w:t>. Algeria</w:t>
      </w:r>
      <w:r w:rsidRPr="00C14FC2">
        <w:t>, Views adopted on 10 July 2007, para.</w:t>
      </w:r>
      <w:r>
        <w:t> </w:t>
      </w:r>
      <w:r w:rsidRPr="007E653B">
        <w:t>7.8; No.</w:t>
      </w:r>
      <w:r>
        <w:t> </w:t>
      </w:r>
      <w:r w:rsidRPr="007E653B">
        <w:t xml:space="preserve">1495/2006, </w:t>
      </w:r>
      <w:r w:rsidRPr="007E653B">
        <w:rPr>
          <w:i/>
        </w:rPr>
        <w:t>Madoui v. Algeria</w:t>
      </w:r>
      <w:r w:rsidRPr="007E653B">
        <w:t>, Views ad</w:t>
      </w:r>
      <w:r>
        <w:t>opted on 28 October 2008, para. </w:t>
      </w:r>
      <w:r w:rsidRPr="00FA3608">
        <w:t>7.7</w:t>
      </w:r>
      <w:r w:rsidR="00CD307C">
        <w:t>; and</w:t>
      </w:r>
      <w:r w:rsidRPr="00C74280">
        <w:t xml:space="preserve"> </w:t>
      </w:r>
      <w:r>
        <w:t>No. </w:t>
      </w:r>
      <w:r w:rsidRPr="005E26D5">
        <w:t xml:space="preserve">1905/2009, </w:t>
      </w:r>
      <w:r w:rsidRPr="001A2F55">
        <w:rPr>
          <w:i/>
          <w:iCs/>
        </w:rPr>
        <w:t>Khirani v. Algeria</w:t>
      </w:r>
      <w:r>
        <w:t xml:space="preserve">, </w:t>
      </w:r>
      <w:r w:rsidRPr="005E26D5">
        <w:t>Views adopte</w:t>
      </w:r>
      <w:r>
        <w:t>d on 26 March 2012, para. </w:t>
      </w:r>
      <w:r w:rsidRPr="008D3F93">
        <w:t>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C8" w:rsidRPr="000820BC" w:rsidRDefault="003873C8" w:rsidP="00373B54">
    <w:pPr>
      <w:pStyle w:val="Header"/>
      <w:ind w:right="-1134"/>
      <w:rPr>
        <w:lang w:val="fr-CH"/>
      </w:rPr>
    </w:pPr>
    <w:r>
      <w:t>CCPR/C/112/D/2111/2011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C8" w:rsidRPr="00727449" w:rsidRDefault="003873C8" w:rsidP="002C3764">
    <w:pPr>
      <w:pStyle w:val="Header"/>
      <w:jc w:val="right"/>
    </w:pPr>
    <w:r>
      <w:t>CCPR/C/112/D/2111/2011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9111D"/>
    <w:multiLevelType w:val="hybridMultilevel"/>
    <w:tmpl w:val="535A20C6"/>
    <w:lvl w:ilvl="0" w:tplc="857A2420">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30375C61"/>
    <w:multiLevelType w:val="hybridMultilevel"/>
    <w:tmpl w:val="7F9C194E"/>
    <w:lvl w:ilvl="0" w:tplc="857A2420">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46E50CDE"/>
    <w:multiLevelType w:val="hybridMultilevel"/>
    <w:tmpl w:val="BF70A274"/>
    <w:lvl w:ilvl="0" w:tplc="857A2420">
      <w:start w:val="1"/>
      <w:numFmt w:val="lowerRoman"/>
      <w:lvlText w:val="(%1)"/>
      <w:lvlJc w:val="left"/>
      <w:pPr>
        <w:tabs>
          <w:tab w:val="num" w:pos="1701"/>
        </w:tabs>
        <w:ind w:left="1701" w:hanging="170"/>
      </w:pPr>
      <w:rPr>
        <w:rFonts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8E2405"/>
    <w:multiLevelType w:val="hybridMultilevel"/>
    <w:tmpl w:val="04B8561C"/>
    <w:lvl w:ilvl="0" w:tplc="F920F89C">
      <w:start w:val="1"/>
      <w:numFmt w:val="upperRoman"/>
      <w:lvlText w:val="%1."/>
      <w:lvlJc w:val="left"/>
      <w:pPr>
        <w:ind w:left="683" w:hanging="568"/>
      </w:pPr>
      <w:rPr>
        <w:rFonts w:ascii="Arial Narrow" w:eastAsia="Arial Narrow" w:hAnsi="Arial Narrow" w:hint="default"/>
        <w:b/>
        <w:bCs/>
        <w:sz w:val="28"/>
        <w:szCs w:val="28"/>
      </w:rPr>
    </w:lvl>
    <w:lvl w:ilvl="1" w:tplc="033454BA">
      <w:start w:val="1"/>
      <w:numFmt w:val="decimal"/>
      <w:lvlText w:val="%2."/>
      <w:lvlJc w:val="left"/>
      <w:pPr>
        <w:ind w:left="683" w:hanging="564"/>
      </w:pPr>
      <w:rPr>
        <w:rFonts w:ascii="Arial Narrow" w:eastAsia="Arial Narrow" w:hAnsi="Arial Narrow" w:hint="default"/>
        <w:sz w:val="24"/>
        <w:szCs w:val="24"/>
      </w:rPr>
    </w:lvl>
    <w:lvl w:ilvl="2" w:tplc="CCB84ABC">
      <w:start w:val="1"/>
      <w:numFmt w:val="bullet"/>
      <w:lvlText w:val="•"/>
      <w:lvlJc w:val="left"/>
      <w:pPr>
        <w:ind w:left="683" w:hanging="564"/>
      </w:pPr>
      <w:rPr>
        <w:rFonts w:hint="default"/>
      </w:rPr>
    </w:lvl>
    <w:lvl w:ilvl="3" w:tplc="97FAFF00">
      <w:start w:val="1"/>
      <w:numFmt w:val="bullet"/>
      <w:lvlText w:val="•"/>
      <w:lvlJc w:val="left"/>
      <w:pPr>
        <w:ind w:left="1831" w:hanging="564"/>
      </w:pPr>
      <w:rPr>
        <w:rFonts w:hint="default"/>
      </w:rPr>
    </w:lvl>
    <w:lvl w:ilvl="4" w:tplc="67E2A7E2">
      <w:start w:val="1"/>
      <w:numFmt w:val="bullet"/>
      <w:lvlText w:val="•"/>
      <w:lvlJc w:val="left"/>
      <w:pPr>
        <w:ind w:left="2979" w:hanging="564"/>
      </w:pPr>
      <w:rPr>
        <w:rFonts w:hint="default"/>
      </w:rPr>
    </w:lvl>
    <w:lvl w:ilvl="5" w:tplc="FB36F030">
      <w:start w:val="1"/>
      <w:numFmt w:val="bullet"/>
      <w:lvlText w:val="•"/>
      <w:lvlJc w:val="left"/>
      <w:pPr>
        <w:ind w:left="4127" w:hanging="564"/>
      </w:pPr>
      <w:rPr>
        <w:rFonts w:hint="default"/>
      </w:rPr>
    </w:lvl>
    <w:lvl w:ilvl="6" w:tplc="1F58D6E4">
      <w:start w:val="1"/>
      <w:numFmt w:val="bullet"/>
      <w:lvlText w:val="•"/>
      <w:lvlJc w:val="left"/>
      <w:pPr>
        <w:ind w:left="5274" w:hanging="564"/>
      </w:pPr>
      <w:rPr>
        <w:rFonts w:hint="default"/>
      </w:rPr>
    </w:lvl>
    <w:lvl w:ilvl="7" w:tplc="86F0064C">
      <w:start w:val="1"/>
      <w:numFmt w:val="bullet"/>
      <w:lvlText w:val="•"/>
      <w:lvlJc w:val="left"/>
      <w:pPr>
        <w:ind w:left="6422" w:hanging="564"/>
      </w:pPr>
      <w:rPr>
        <w:rFonts w:hint="default"/>
      </w:rPr>
    </w:lvl>
    <w:lvl w:ilvl="8" w:tplc="E2266E5E">
      <w:start w:val="1"/>
      <w:numFmt w:val="bullet"/>
      <w:lvlText w:val="•"/>
      <w:lvlJc w:val="left"/>
      <w:pPr>
        <w:ind w:left="7570" w:hanging="564"/>
      </w:pPr>
      <w:rPr>
        <w:rFont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243555"/>
    <w:multiLevelType w:val="hybridMultilevel"/>
    <w:tmpl w:val="7422DF72"/>
    <w:lvl w:ilvl="0" w:tplc="857A2420">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0"/>
  </w:num>
  <w:num w:numId="2">
    <w:abstractNumId w:val="5"/>
  </w:num>
  <w:num w:numId="3">
    <w:abstractNumId w:val="3"/>
  </w:num>
  <w:num w:numId="4">
    <w:abstractNumId w:val="2"/>
  </w:num>
  <w:num w:numId="5">
    <w:abstractNumId w:val="1"/>
  </w:num>
  <w:num w:numId="6">
    <w:abstractNumId w:val="6"/>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GB" w:vendorID="2" w:dllVersion="6" w:checkStyle="1"/>
  <w:activeWritingStyle w:appName="MSWord" w:lang="it-IT" w:vendorID="3" w:dllVersion="517"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449"/>
    <w:rsid w:val="0003348E"/>
    <w:rsid w:val="00046180"/>
    <w:rsid w:val="0005297B"/>
    <w:rsid w:val="00053ADA"/>
    <w:rsid w:val="00056E0D"/>
    <w:rsid w:val="0008108E"/>
    <w:rsid w:val="00081895"/>
    <w:rsid w:val="000820BC"/>
    <w:rsid w:val="00097D5E"/>
    <w:rsid w:val="000A6C67"/>
    <w:rsid w:val="000B0CAC"/>
    <w:rsid w:val="000B1120"/>
    <w:rsid w:val="000F5E98"/>
    <w:rsid w:val="0014189D"/>
    <w:rsid w:val="00151073"/>
    <w:rsid w:val="00154B75"/>
    <w:rsid w:val="00177AD9"/>
    <w:rsid w:val="00183894"/>
    <w:rsid w:val="00184517"/>
    <w:rsid w:val="001A18A0"/>
    <w:rsid w:val="001A2F55"/>
    <w:rsid w:val="001B3E71"/>
    <w:rsid w:val="001B72AA"/>
    <w:rsid w:val="001D0C5C"/>
    <w:rsid w:val="001D7A6F"/>
    <w:rsid w:val="001E0F9C"/>
    <w:rsid w:val="001E5068"/>
    <w:rsid w:val="001E7626"/>
    <w:rsid w:val="00203A77"/>
    <w:rsid w:val="00233491"/>
    <w:rsid w:val="0025056C"/>
    <w:rsid w:val="0025269E"/>
    <w:rsid w:val="00253D3A"/>
    <w:rsid w:val="00271C95"/>
    <w:rsid w:val="00284AF0"/>
    <w:rsid w:val="002856D5"/>
    <w:rsid w:val="00294C37"/>
    <w:rsid w:val="002C3764"/>
    <w:rsid w:val="002E4254"/>
    <w:rsid w:val="003068D3"/>
    <w:rsid w:val="0030777C"/>
    <w:rsid w:val="003124B5"/>
    <w:rsid w:val="003455E5"/>
    <w:rsid w:val="00357820"/>
    <w:rsid w:val="0036267A"/>
    <w:rsid w:val="003656EE"/>
    <w:rsid w:val="00373B54"/>
    <w:rsid w:val="00386A93"/>
    <w:rsid w:val="003873C8"/>
    <w:rsid w:val="00391679"/>
    <w:rsid w:val="0039433F"/>
    <w:rsid w:val="003A51B6"/>
    <w:rsid w:val="003C1C40"/>
    <w:rsid w:val="003F0E44"/>
    <w:rsid w:val="003F4DBA"/>
    <w:rsid w:val="004061F3"/>
    <w:rsid w:val="00406EDB"/>
    <w:rsid w:val="00445A86"/>
    <w:rsid w:val="0046141E"/>
    <w:rsid w:val="00477001"/>
    <w:rsid w:val="00493C61"/>
    <w:rsid w:val="005208E2"/>
    <w:rsid w:val="00521C2D"/>
    <w:rsid w:val="0052371F"/>
    <w:rsid w:val="00523DB3"/>
    <w:rsid w:val="00535BD6"/>
    <w:rsid w:val="00540F14"/>
    <w:rsid w:val="00564425"/>
    <w:rsid w:val="005951FF"/>
    <w:rsid w:val="005B0C9F"/>
    <w:rsid w:val="005C73A6"/>
    <w:rsid w:val="005D4D6C"/>
    <w:rsid w:val="005E5093"/>
    <w:rsid w:val="005F7BF4"/>
    <w:rsid w:val="006A5340"/>
    <w:rsid w:val="006D124C"/>
    <w:rsid w:val="00710297"/>
    <w:rsid w:val="00711A3D"/>
    <w:rsid w:val="0071550D"/>
    <w:rsid w:val="007241C1"/>
    <w:rsid w:val="00724572"/>
    <w:rsid w:val="00727449"/>
    <w:rsid w:val="00747EF0"/>
    <w:rsid w:val="00751730"/>
    <w:rsid w:val="0076559F"/>
    <w:rsid w:val="00772155"/>
    <w:rsid w:val="00785180"/>
    <w:rsid w:val="0078703A"/>
    <w:rsid w:val="007C208B"/>
    <w:rsid w:val="007D0215"/>
    <w:rsid w:val="007D4F50"/>
    <w:rsid w:val="007E653B"/>
    <w:rsid w:val="007F2A67"/>
    <w:rsid w:val="008259F8"/>
    <w:rsid w:val="0082773E"/>
    <w:rsid w:val="0085105B"/>
    <w:rsid w:val="00863DF2"/>
    <w:rsid w:val="008704A5"/>
    <w:rsid w:val="00870ABC"/>
    <w:rsid w:val="00873D76"/>
    <w:rsid w:val="008744E0"/>
    <w:rsid w:val="008765E6"/>
    <w:rsid w:val="008979D1"/>
    <w:rsid w:val="008D502B"/>
    <w:rsid w:val="009102E7"/>
    <w:rsid w:val="00910812"/>
    <w:rsid w:val="00971E2A"/>
    <w:rsid w:val="009816E4"/>
    <w:rsid w:val="00994BFA"/>
    <w:rsid w:val="009C0265"/>
    <w:rsid w:val="009E192E"/>
    <w:rsid w:val="009F7111"/>
    <w:rsid w:val="00A543CF"/>
    <w:rsid w:val="00A5720D"/>
    <w:rsid w:val="00A70E4B"/>
    <w:rsid w:val="00A91AFF"/>
    <w:rsid w:val="00AA0281"/>
    <w:rsid w:val="00AC059F"/>
    <w:rsid w:val="00AE4FA1"/>
    <w:rsid w:val="00B0070E"/>
    <w:rsid w:val="00B01A88"/>
    <w:rsid w:val="00B13FD5"/>
    <w:rsid w:val="00B14A16"/>
    <w:rsid w:val="00B246D5"/>
    <w:rsid w:val="00B2578C"/>
    <w:rsid w:val="00B27CAA"/>
    <w:rsid w:val="00B406AD"/>
    <w:rsid w:val="00B53E00"/>
    <w:rsid w:val="00B61CA4"/>
    <w:rsid w:val="00B67D05"/>
    <w:rsid w:val="00BA3736"/>
    <w:rsid w:val="00BB2DF7"/>
    <w:rsid w:val="00BC00A8"/>
    <w:rsid w:val="00BC6201"/>
    <w:rsid w:val="00BE5230"/>
    <w:rsid w:val="00BF39AF"/>
    <w:rsid w:val="00C0715A"/>
    <w:rsid w:val="00C117F1"/>
    <w:rsid w:val="00C236A2"/>
    <w:rsid w:val="00C250F9"/>
    <w:rsid w:val="00C335EB"/>
    <w:rsid w:val="00C4091F"/>
    <w:rsid w:val="00C52156"/>
    <w:rsid w:val="00C552A4"/>
    <w:rsid w:val="00C811D0"/>
    <w:rsid w:val="00CA06A1"/>
    <w:rsid w:val="00CA1686"/>
    <w:rsid w:val="00CB1C33"/>
    <w:rsid w:val="00CD1B87"/>
    <w:rsid w:val="00CD307C"/>
    <w:rsid w:val="00D03F1E"/>
    <w:rsid w:val="00D301F0"/>
    <w:rsid w:val="00D5620E"/>
    <w:rsid w:val="00D6387D"/>
    <w:rsid w:val="00D76C52"/>
    <w:rsid w:val="00D92891"/>
    <w:rsid w:val="00D94106"/>
    <w:rsid w:val="00DA572B"/>
    <w:rsid w:val="00DC04EB"/>
    <w:rsid w:val="00DC0E56"/>
    <w:rsid w:val="00DD41A0"/>
    <w:rsid w:val="00DD6584"/>
    <w:rsid w:val="00E037CB"/>
    <w:rsid w:val="00E038DC"/>
    <w:rsid w:val="00E13AB9"/>
    <w:rsid w:val="00E15586"/>
    <w:rsid w:val="00E23DB3"/>
    <w:rsid w:val="00E51598"/>
    <w:rsid w:val="00E709B3"/>
    <w:rsid w:val="00E8297A"/>
    <w:rsid w:val="00E90BE6"/>
    <w:rsid w:val="00EA2D48"/>
    <w:rsid w:val="00EE4144"/>
    <w:rsid w:val="00EF635E"/>
    <w:rsid w:val="00F04001"/>
    <w:rsid w:val="00F457A2"/>
    <w:rsid w:val="00F90671"/>
    <w:rsid w:val="00F92A1C"/>
    <w:rsid w:val="00FB38A2"/>
    <w:rsid w:val="00FC4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EA36119-8F8E-4E88-A06D-759C56B0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751730"/>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751730"/>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uiPriority w:val="99"/>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727449"/>
    <w:rPr>
      <w:rFonts w:eastAsia="SimSun"/>
      <w:sz w:val="18"/>
      <w:lang w:val="en-GB"/>
    </w:rPr>
  </w:style>
  <w:style w:type="character" w:customStyle="1" w:styleId="SingleTxtGChar">
    <w:name w:val="_ Single Txt_G Char"/>
    <w:link w:val="SingleTxtG"/>
    <w:rsid w:val="00727449"/>
    <w:rPr>
      <w:lang w:eastAsia="en-US"/>
    </w:rPr>
  </w:style>
  <w:style w:type="paragraph" w:customStyle="1" w:styleId="CAJCorpsdutexte">
    <w:name w:val="CAJ Corps du texte"/>
    <w:rsid w:val="007259DA"/>
    <w:pPr>
      <w:widowControl w:val="0"/>
      <w:spacing w:after="180" w:line="312" w:lineRule="auto"/>
      <w:jc w:val="both"/>
    </w:pPr>
    <w:rPr>
      <w:rFonts w:ascii="Arial Narrow" w:eastAsia="ヒラギノ角ゴ Pro W3" w:hAnsi="Arial Narrow"/>
      <w:color w:val="000000"/>
      <w:sz w:val="24"/>
      <w:lang w:val="en-GB" w:eastAsia="en-GB"/>
    </w:rPr>
  </w:style>
  <w:style w:type="character" w:customStyle="1" w:styleId="Appelnotedebasdep1">
    <w:name w:val="Appel note de bas de p.1"/>
    <w:rsid w:val="007259DA"/>
    <w:rPr>
      <w:color w:val="000000"/>
      <w:sz w:val="24"/>
      <w:vertAlign w:val="superscript"/>
    </w:rPr>
  </w:style>
  <w:style w:type="paragraph" w:customStyle="1" w:styleId="CAJTextedenotesdebasdepage">
    <w:name w:val="CAJ Texte de notes de bas de page"/>
    <w:rsid w:val="007259DA"/>
    <w:pPr>
      <w:spacing w:line="288" w:lineRule="auto"/>
      <w:ind w:left="567" w:hanging="567"/>
      <w:jc w:val="both"/>
    </w:pPr>
    <w:rPr>
      <w:rFonts w:ascii="Arial Narrow" w:eastAsia="ヒラギノ角ゴ Pro W3" w:hAnsi="Arial Narrow"/>
      <w:color w:val="000000"/>
      <w:sz w:val="19"/>
      <w:lang w:val="en-GB" w:eastAsia="en-GB"/>
    </w:rPr>
  </w:style>
  <w:style w:type="character" w:customStyle="1" w:styleId="Lienhypertexte1">
    <w:name w:val="Lien hypertexte1"/>
    <w:rsid w:val="007259DA"/>
    <w:rPr>
      <w:color w:val="1347EE"/>
      <w:sz w:val="20"/>
      <w:u w:val="single"/>
    </w:rPr>
  </w:style>
  <w:style w:type="paragraph" w:customStyle="1" w:styleId="Notedebasdepage1">
    <w:name w:val="Note de bas de page1"/>
    <w:rsid w:val="007259DA"/>
    <w:rPr>
      <w:rFonts w:eastAsia="ヒラギノ角ゴ Pro W3"/>
      <w:color w:val="000000"/>
      <w:lang w:eastAsia="en-GB"/>
    </w:rPr>
  </w:style>
  <w:style w:type="paragraph" w:customStyle="1" w:styleId="CAJCorpsdutexteA">
    <w:name w:val="CAJ Corps du texte A"/>
    <w:rsid w:val="00076DE2"/>
    <w:pPr>
      <w:widowControl w:val="0"/>
      <w:spacing w:after="180" w:line="312" w:lineRule="auto"/>
      <w:jc w:val="both"/>
    </w:pPr>
    <w:rPr>
      <w:rFonts w:ascii="Arial Narrow" w:eastAsia="ヒラギノ角ゴ Pro W3" w:hAnsi="Arial Narrow"/>
      <w:color w:val="000000"/>
      <w:sz w:val="24"/>
      <w:lang w:val="en-GB" w:eastAsia="en-GB"/>
    </w:rPr>
  </w:style>
  <w:style w:type="character" w:customStyle="1" w:styleId="Rimandonotaapidipagina">
    <w:name w:val="Rimando nota a piè di pagina"/>
    <w:rsid w:val="00ED65FE"/>
    <w:rPr>
      <w:color w:val="000000"/>
      <w:sz w:val="19"/>
      <w:vertAlign w:val="superscript"/>
    </w:rPr>
  </w:style>
  <w:style w:type="table" w:customStyle="1" w:styleId="TableNormal1">
    <w:name w:val="Table Normal1"/>
    <w:uiPriority w:val="2"/>
    <w:semiHidden/>
    <w:unhideWhenUsed/>
    <w:qFormat/>
    <w:rsid w:val="00887995"/>
    <w:pPr>
      <w:widowControl w:val="0"/>
    </w:pPr>
    <w:rPr>
      <w:rFonts w:ascii="Calibri" w:eastAsia="Calibri" w:hAnsi="Calibri"/>
      <w:sz w:val="22"/>
      <w:szCs w:val="22"/>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887995"/>
    <w:pPr>
      <w:widowControl w:val="0"/>
      <w:suppressAutoHyphens w:val="0"/>
      <w:spacing w:line="240" w:lineRule="auto"/>
      <w:ind w:left="116"/>
    </w:pPr>
    <w:rPr>
      <w:rFonts w:ascii="Arial Narrow" w:eastAsia="Arial Narrow" w:hAnsi="Arial Narrow"/>
      <w:sz w:val="24"/>
      <w:szCs w:val="24"/>
      <w:lang w:val="en-US"/>
    </w:rPr>
  </w:style>
  <w:style w:type="character" w:customStyle="1" w:styleId="BodyTextChar">
    <w:name w:val="Body Text Char"/>
    <w:link w:val="BodyText"/>
    <w:uiPriority w:val="1"/>
    <w:rsid w:val="00887995"/>
    <w:rPr>
      <w:rFonts w:ascii="Arial Narrow" w:eastAsia="Arial Narrow" w:hAnsi="Arial Narrow"/>
      <w:sz w:val="24"/>
      <w:szCs w:val="24"/>
      <w:lang w:val="en-US" w:eastAsia="en-US"/>
    </w:rPr>
  </w:style>
  <w:style w:type="paragraph" w:customStyle="1" w:styleId="Heading11">
    <w:name w:val="Heading 11"/>
    <w:basedOn w:val="Normal"/>
    <w:uiPriority w:val="1"/>
    <w:qFormat/>
    <w:rsid w:val="00887995"/>
    <w:pPr>
      <w:widowControl w:val="0"/>
      <w:suppressAutoHyphens w:val="0"/>
      <w:spacing w:line="240" w:lineRule="auto"/>
      <w:ind w:left="683" w:hanging="567"/>
      <w:outlineLvl w:val="1"/>
    </w:pPr>
    <w:rPr>
      <w:rFonts w:ascii="Arial Narrow" w:eastAsia="Arial Narrow" w:hAnsi="Arial Narrow"/>
      <w:b/>
      <w:bCs/>
      <w:sz w:val="28"/>
      <w:szCs w:val="28"/>
      <w:lang w:val="en-US"/>
    </w:rPr>
  </w:style>
  <w:style w:type="paragraph" w:customStyle="1" w:styleId="TableParagraph">
    <w:name w:val="Table Paragraph"/>
    <w:basedOn w:val="Normal"/>
    <w:uiPriority w:val="1"/>
    <w:qFormat/>
    <w:rsid w:val="00887995"/>
    <w:pPr>
      <w:widowControl w:val="0"/>
      <w:suppressAutoHyphens w:val="0"/>
      <w:spacing w:line="240" w:lineRule="auto"/>
    </w:pPr>
    <w:rPr>
      <w:rFonts w:ascii="Calibri" w:eastAsia="Calibri" w:hAnsi="Calibri"/>
      <w:sz w:val="22"/>
      <w:szCs w:val="22"/>
      <w:lang w:val="en-US"/>
    </w:rPr>
  </w:style>
  <w:style w:type="character" w:customStyle="1" w:styleId="HeaderChar">
    <w:name w:val="Header Char"/>
    <w:aliases w:val="6_G Char"/>
    <w:link w:val="Header"/>
    <w:uiPriority w:val="99"/>
    <w:rsid w:val="00887995"/>
    <w:rPr>
      <w:b/>
      <w:sz w:val="18"/>
      <w:lang w:eastAsia="en-US"/>
    </w:rPr>
  </w:style>
  <w:style w:type="character" w:customStyle="1" w:styleId="FooterChar">
    <w:name w:val="Footer Char"/>
    <w:aliases w:val="3_G Char"/>
    <w:link w:val="Footer"/>
    <w:uiPriority w:val="99"/>
    <w:rsid w:val="00887995"/>
    <w:rPr>
      <w:sz w:val="16"/>
      <w:lang w:eastAsia="en-US"/>
    </w:rPr>
  </w:style>
  <w:style w:type="paragraph" w:styleId="BalloonText">
    <w:name w:val="Balloon Text"/>
    <w:basedOn w:val="Normal"/>
    <w:link w:val="BalloonTextChar"/>
    <w:uiPriority w:val="99"/>
    <w:unhideWhenUsed/>
    <w:rsid w:val="00887995"/>
    <w:pPr>
      <w:widowControl w:val="0"/>
      <w:suppressAutoHyphens w:val="0"/>
      <w:spacing w:line="240" w:lineRule="auto"/>
    </w:pPr>
    <w:rPr>
      <w:rFonts w:ascii="Tahoma" w:eastAsia="Calibri" w:hAnsi="Tahoma"/>
      <w:sz w:val="16"/>
      <w:szCs w:val="16"/>
      <w:lang w:val="en-US"/>
    </w:rPr>
  </w:style>
  <w:style w:type="character" w:customStyle="1" w:styleId="BalloonTextChar">
    <w:name w:val="Balloon Text Char"/>
    <w:link w:val="BalloonText"/>
    <w:uiPriority w:val="99"/>
    <w:rsid w:val="00887995"/>
    <w:rPr>
      <w:rFonts w:ascii="Tahoma" w:eastAsia="Calibri" w:hAnsi="Tahoma" w:cs="Tahoma"/>
      <w:sz w:val="16"/>
      <w:szCs w:val="16"/>
      <w:lang w:val="en-US" w:eastAsia="en-US"/>
    </w:rPr>
  </w:style>
  <w:style w:type="character" w:customStyle="1" w:styleId="FootnoteTextChar1">
    <w:name w:val="Footnote Text Char1"/>
    <w:aliases w:val="5_G Char1"/>
    <w:uiPriority w:val="99"/>
    <w:rsid w:val="00FC3ED9"/>
    <w:rPr>
      <w:sz w:val="18"/>
      <w:lang w:eastAsia="en-US"/>
    </w:rPr>
  </w:style>
  <w:style w:type="character" w:styleId="CommentReference">
    <w:name w:val="annotation reference"/>
    <w:rsid w:val="00DD41A0"/>
    <w:rPr>
      <w:sz w:val="16"/>
      <w:szCs w:val="16"/>
    </w:rPr>
  </w:style>
  <w:style w:type="paragraph" w:styleId="CommentText">
    <w:name w:val="annotation text"/>
    <w:basedOn w:val="Normal"/>
    <w:link w:val="CommentTextChar"/>
    <w:rsid w:val="00DD41A0"/>
  </w:style>
  <w:style w:type="character" w:customStyle="1" w:styleId="CommentTextChar">
    <w:name w:val="Comment Text Char"/>
    <w:link w:val="CommentText"/>
    <w:rsid w:val="00DD41A0"/>
    <w:rPr>
      <w:lang w:eastAsia="en-US"/>
    </w:rPr>
  </w:style>
  <w:style w:type="paragraph" w:styleId="CommentSubject">
    <w:name w:val="annotation subject"/>
    <w:basedOn w:val="CommentText"/>
    <w:next w:val="CommentText"/>
    <w:link w:val="CommentSubjectChar"/>
    <w:rsid w:val="00DD41A0"/>
    <w:rPr>
      <w:b/>
      <w:bCs/>
    </w:rPr>
  </w:style>
  <w:style w:type="character" w:customStyle="1" w:styleId="CommentSubjectChar">
    <w:name w:val="Comment Subject Char"/>
    <w:link w:val="CommentSubject"/>
    <w:rsid w:val="00DD41A0"/>
    <w:rPr>
      <w:b/>
      <w:bCs/>
      <w:lang w:eastAsia="en-US"/>
    </w:rPr>
  </w:style>
  <w:style w:type="paragraph" w:customStyle="1" w:styleId="Default">
    <w:name w:val="Default"/>
    <w:rsid w:val="008704A5"/>
    <w:pPr>
      <w:autoSpaceDE w:val="0"/>
      <w:autoSpaceDN w:val="0"/>
      <w:adjustRightInd w:val="0"/>
    </w:pPr>
    <w:rPr>
      <w:rFonts w:eastAsia="Calibri"/>
      <w:color w:val="000000"/>
      <w:sz w:val="24"/>
      <w:szCs w:val="24"/>
      <w:lang w:val="en-GB" w:eastAsia="en-GB"/>
    </w:rPr>
  </w:style>
  <w:style w:type="paragraph" w:styleId="Revision">
    <w:name w:val="Revision"/>
    <w:hidden/>
    <w:uiPriority w:val="99"/>
    <w:semiHidden/>
    <w:rsid w:val="005208E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4</Pages>
  <Words>6685</Words>
  <Characters>38105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44701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Sheena Neogi</dc:creator>
  <cp:keywords/>
  <cp:lastModifiedBy>Sarah Willig</cp:lastModifiedBy>
  <cp:revision>2</cp:revision>
  <cp:lastPrinted>2014-10-08T06:26:00Z</cp:lastPrinted>
  <dcterms:created xsi:type="dcterms:W3CDTF">2017-01-24T23:57:00Z</dcterms:created>
  <dcterms:modified xsi:type="dcterms:W3CDTF">2017-01-24T23:57:00Z</dcterms:modified>
</cp:coreProperties>
</file>