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A8135E">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A8135E" w:rsidRDefault="00B56E9C" w:rsidP="00B6553F">
            <w:pPr>
              <w:spacing w:after="80" w:line="300" w:lineRule="exact"/>
              <w:rPr>
                <w:b/>
                <w:sz w:val="24"/>
                <w:szCs w:val="24"/>
              </w:rPr>
            </w:pPr>
            <w:r w:rsidRPr="00A8135E">
              <w:rPr>
                <w:sz w:val="28"/>
                <w:szCs w:val="28"/>
              </w:rPr>
              <w:t>United Nations</w:t>
            </w:r>
          </w:p>
        </w:tc>
        <w:tc>
          <w:tcPr>
            <w:tcW w:w="6095" w:type="dxa"/>
            <w:gridSpan w:val="2"/>
            <w:tcBorders>
              <w:bottom w:val="single" w:sz="4" w:space="0" w:color="auto"/>
            </w:tcBorders>
            <w:vAlign w:val="bottom"/>
          </w:tcPr>
          <w:p w:rsidR="00B56E9C" w:rsidRPr="00A8135E" w:rsidRDefault="000E3598" w:rsidP="00DF04C8">
            <w:pPr>
              <w:jc w:val="right"/>
            </w:pPr>
            <w:r w:rsidRPr="00A8135E">
              <w:rPr>
                <w:sz w:val="40"/>
              </w:rPr>
              <w:t>CCPR</w:t>
            </w:r>
            <w:r w:rsidRPr="00A8135E">
              <w:t>/C/10</w:t>
            </w:r>
            <w:r w:rsidR="00E44A3A" w:rsidRPr="00A8135E">
              <w:t>7</w:t>
            </w:r>
            <w:r w:rsidR="00560650" w:rsidRPr="00A8135E">
              <w:t>/D/</w:t>
            </w:r>
            <w:r w:rsidR="00E44A3A" w:rsidRPr="00A8135E">
              <w:t>1886/2009</w:t>
            </w:r>
          </w:p>
        </w:tc>
      </w:tr>
      <w:tr w:rsidR="00B56E9C" w:rsidRPr="00A8135E">
        <w:trPr>
          <w:cantSplit/>
          <w:trHeight w:hRule="exact" w:val="2835"/>
        </w:trPr>
        <w:tc>
          <w:tcPr>
            <w:tcW w:w="1276" w:type="dxa"/>
            <w:tcBorders>
              <w:top w:val="single" w:sz="4" w:space="0" w:color="auto"/>
              <w:bottom w:val="single" w:sz="12" w:space="0" w:color="auto"/>
            </w:tcBorders>
          </w:tcPr>
          <w:p w:rsidR="00B56E9C" w:rsidRPr="00A8135E" w:rsidRDefault="008F3FB8"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A8135E" w:rsidRDefault="00B56E9C" w:rsidP="00267F5F">
            <w:pPr>
              <w:spacing w:before="120" w:line="380" w:lineRule="exact"/>
              <w:rPr>
                <w:sz w:val="34"/>
              </w:rPr>
            </w:pPr>
            <w:r w:rsidRPr="00A8135E">
              <w:rPr>
                <w:b/>
                <w:sz w:val="34"/>
                <w:szCs w:val="40"/>
              </w:rPr>
              <w:t xml:space="preserve">International </w:t>
            </w:r>
            <w:r w:rsidR="00060C3A" w:rsidRPr="00A8135E">
              <w:rPr>
                <w:b/>
                <w:sz w:val="34"/>
                <w:szCs w:val="40"/>
              </w:rPr>
              <w:t>Covenant on</w:t>
            </w:r>
            <w:r w:rsidR="00060C3A" w:rsidRPr="00A8135E">
              <w:rPr>
                <w:b/>
                <w:sz w:val="34"/>
                <w:szCs w:val="40"/>
              </w:rPr>
              <w:br/>
              <w:t>Civil and Political R</w:t>
            </w:r>
            <w:r w:rsidR="00703577" w:rsidRPr="00A8135E">
              <w:rPr>
                <w:b/>
                <w:sz w:val="34"/>
                <w:szCs w:val="40"/>
              </w:rPr>
              <w:t>ights</w:t>
            </w:r>
          </w:p>
        </w:tc>
        <w:tc>
          <w:tcPr>
            <w:tcW w:w="2835" w:type="dxa"/>
            <w:tcBorders>
              <w:top w:val="single" w:sz="4" w:space="0" w:color="auto"/>
              <w:bottom w:val="single" w:sz="12" w:space="0" w:color="auto"/>
            </w:tcBorders>
          </w:tcPr>
          <w:p w:rsidR="0027113E" w:rsidRPr="00A8135E" w:rsidRDefault="000E3598" w:rsidP="0027113E">
            <w:pPr>
              <w:spacing w:before="240" w:line="240" w:lineRule="exact"/>
            </w:pPr>
            <w:r w:rsidRPr="00A8135E">
              <w:t xml:space="preserve">Distr.: </w:t>
            </w:r>
            <w:r w:rsidR="00991350" w:rsidRPr="00A8135E">
              <w:t>General</w:t>
            </w:r>
          </w:p>
          <w:p w:rsidR="000E3598" w:rsidRPr="00A8135E" w:rsidRDefault="00A37AB8" w:rsidP="000E3598">
            <w:pPr>
              <w:spacing w:line="240" w:lineRule="exact"/>
            </w:pPr>
            <w:r>
              <w:t>10</w:t>
            </w:r>
            <w:r w:rsidR="00311113" w:rsidRPr="00A8135E">
              <w:t xml:space="preserve"> May</w:t>
            </w:r>
            <w:r w:rsidR="0015310A" w:rsidRPr="00A8135E">
              <w:t xml:space="preserve"> 2013</w:t>
            </w:r>
          </w:p>
          <w:p w:rsidR="000E3598" w:rsidRPr="00A8135E" w:rsidRDefault="000E3598" w:rsidP="000E3598">
            <w:pPr>
              <w:spacing w:line="240" w:lineRule="exact"/>
            </w:pPr>
          </w:p>
          <w:p w:rsidR="00B56E9C" w:rsidRPr="00A8135E" w:rsidRDefault="000E3598" w:rsidP="000E3598">
            <w:pPr>
              <w:spacing w:line="240" w:lineRule="exact"/>
            </w:pPr>
            <w:r w:rsidRPr="00A8135E">
              <w:t>Original: English</w:t>
            </w:r>
          </w:p>
          <w:p w:rsidR="008C7770" w:rsidRPr="00A8135E" w:rsidRDefault="008C7770" w:rsidP="000E3598">
            <w:pPr>
              <w:spacing w:line="240" w:lineRule="exact"/>
            </w:pPr>
          </w:p>
          <w:p w:rsidR="008C7770" w:rsidRPr="00A8135E" w:rsidRDefault="008C7770" w:rsidP="000E3598">
            <w:pPr>
              <w:spacing w:line="240" w:lineRule="exact"/>
              <w:rPr>
                <w:b/>
              </w:rPr>
            </w:pPr>
          </w:p>
        </w:tc>
      </w:tr>
    </w:tbl>
    <w:p w:rsidR="00A5368D" w:rsidRPr="00A8135E" w:rsidRDefault="00A5368D" w:rsidP="00A5368D">
      <w:pPr>
        <w:spacing w:before="120"/>
        <w:rPr>
          <w:b/>
          <w:sz w:val="24"/>
          <w:szCs w:val="24"/>
        </w:rPr>
      </w:pPr>
      <w:r w:rsidRPr="00A8135E">
        <w:rPr>
          <w:b/>
          <w:sz w:val="24"/>
          <w:szCs w:val="24"/>
        </w:rPr>
        <w:t>Human Rights Committee</w:t>
      </w:r>
    </w:p>
    <w:p w:rsidR="00A5368D" w:rsidRPr="00A8135E" w:rsidRDefault="0027113E" w:rsidP="0027113E">
      <w:pPr>
        <w:pStyle w:val="HChG"/>
      </w:pPr>
      <w:r w:rsidRPr="00A8135E">
        <w:tab/>
      </w:r>
      <w:r w:rsidRPr="00A8135E">
        <w:tab/>
      </w:r>
      <w:r w:rsidR="00A5368D" w:rsidRPr="00A8135E">
        <w:t>Communication No.</w:t>
      </w:r>
      <w:r w:rsidR="00A12D4A" w:rsidRPr="00A8135E">
        <w:t xml:space="preserve"> </w:t>
      </w:r>
      <w:r w:rsidR="00E44A3A" w:rsidRPr="00A8135E">
        <w:t>1886/2009</w:t>
      </w:r>
    </w:p>
    <w:p w:rsidR="00A5368D" w:rsidRPr="00A8135E" w:rsidRDefault="0027113E" w:rsidP="0027113E">
      <w:pPr>
        <w:pStyle w:val="H1G"/>
      </w:pPr>
      <w:r w:rsidRPr="00A8135E">
        <w:tab/>
      </w:r>
      <w:r w:rsidRPr="00A8135E">
        <w:tab/>
      </w:r>
      <w:r w:rsidR="00E67048" w:rsidRPr="00A8135E">
        <w:t xml:space="preserve">Decision adopted by the Committee at its 107th session </w:t>
      </w:r>
      <w:r w:rsidR="00A37AB8">
        <w:br/>
      </w:r>
      <w:r w:rsidR="00E67048" w:rsidRPr="00A8135E">
        <w:t>(11-28 March 2013)</w:t>
      </w:r>
    </w:p>
    <w:p w:rsidR="00A5368D" w:rsidRPr="00A8135E" w:rsidRDefault="00A5368D" w:rsidP="00A5368D">
      <w:pPr>
        <w:spacing w:after="120"/>
        <w:ind w:left="4536" w:right="1134" w:hanging="3402"/>
        <w:jc w:val="both"/>
        <w:rPr>
          <w:rStyle w:val="SingleTxtGChar"/>
        </w:rPr>
      </w:pPr>
      <w:r w:rsidRPr="00A8135E">
        <w:rPr>
          <w:rFonts w:eastAsia="Calibri"/>
          <w:i/>
        </w:rPr>
        <w:t>Submitted by:</w:t>
      </w:r>
      <w:r w:rsidRPr="00A8135E">
        <w:rPr>
          <w:rFonts w:eastAsia="Calibri"/>
          <w:sz w:val="24"/>
          <w:szCs w:val="24"/>
        </w:rPr>
        <w:tab/>
      </w:r>
      <w:r w:rsidR="008B2743" w:rsidRPr="00A8135E">
        <w:rPr>
          <w:rFonts w:eastAsia="Calibri"/>
        </w:rPr>
        <w:t>X</w:t>
      </w:r>
      <w:r w:rsidR="00F449FC" w:rsidRPr="00A8135E">
        <w:rPr>
          <w:rFonts w:eastAsia="Calibri"/>
        </w:rPr>
        <w:t xml:space="preserve"> </w:t>
      </w:r>
      <w:r w:rsidRPr="00A8135E">
        <w:rPr>
          <w:rStyle w:val="SingleTxtGChar"/>
        </w:rPr>
        <w:t>(</w:t>
      </w:r>
      <w:r w:rsidR="00D1271F" w:rsidRPr="00A8135E">
        <w:rPr>
          <w:rStyle w:val="SingleTxtGChar"/>
        </w:rPr>
        <w:t>rep</w:t>
      </w:r>
      <w:r w:rsidRPr="00A8135E">
        <w:rPr>
          <w:rStyle w:val="SingleTxtGChar"/>
        </w:rPr>
        <w:t>resented by counsel</w:t>
      </w:r>
      <w:r w:rsidR="007416A3" w:rsidRPr="00A8135E">
        <w:rPr>
          <w:rStyle w:val="SingleTxtGChar"/>
        </w:rPr>
        <w:t xml:space="preserve">, </w:t>
      </w:r>
      <w:r w:rsidR="00E44A3A" w:rsidRPr="00A8135E">
        <w:rPr>
          <w:rStyle w:val="SingleTxtGChar"/>
        </w:rPr>
        <w:t>Marcel Schuckink Kool</w:t>
      </w:r>
      <w:r w:rsidR="00D1271F" w:rsidRPr="00A8135E">
        <w:rPr>
          <w:rStyle w:val="SingleTxtGChar"/>
        </w:rPr>
        <w:t>)</w:t>
      </w:r>
    </w:p>
    <w:p w:rsidR="00A5368D" w:rsidRPr="00A8135E" w:rsidRDefault="00A5368D" w:rsidP="00A5368D">
      <w:pPr>
        <w:spacing w:after="120"/>
        <w:ind w:left="4536" w:right="1134" w:hanging="3402"/>
        <w:jc w:val="both"/>
        <w:rPr>
          <w:rStyle w:val="SingleTxtGChar"/>
        </w:rPr>
      </w:pPr>
      <w:r w:rsidRPr="00A8135E">
        <w:rPr>
          <w:rFonts w:eastAsia="Calibri"/>
          <w:i/>
        </w:rPr>
        <w:t>Alleged victim:</w:t>
      </w:r>
      <w:r w:rsidRPr="00A8135E">
        <w:rPr>
          <w:rFonts w:eastAsia="Calibri"/>
          <w:sz w:val="24"/>
          <w:szCs w:val="24"/>
        </w:rPr>
        <w:tab/>
      </w:r>
      <w:r w:rsidR="00D85049" w:rsidRPr="00A8135E">
        <w:rPr>
          <w:rFonts w:eastAsia="Calibri"/>
        </w:rPr>
        <w:t xml:space="preserve">The </w:t>
      </w:r>
      <w:r w:rsidR="005C5950" w:rsidRPr="00A8135E">
        <w:rPr>
          <w:rFonts w:eastAsia="Calibri"/>
        </w:rPr>
        <w:t>author</w:t>
      </w:r>
    </w:p>
    <w:p w:rsidR="00A5368D" w:rsidRPr="00A8135E" w:rsidRDefault="00A5368D" w:rsidP="00A5368D">
      <w:pPr>
        <w:spacing w:after="120"/>
        <w:ind w:left="4536" w:right="1134" w:hanging="3402"/>
        <w:jc w:val="both"/>
        <w:rPr>
          <w:rStyle w:val="SingleTxtGChar"/>
        </w:rPr>
      </w:pPr>
      <w:r w:rsidRPr="00A8135E">
        <w:rPr>
          <w:rFonts w:eastAsia="Calibri"/>
          <w:i/>
        </w:rPr>
        <w:t>State party:</w:t>
      </w:r>
      <w:r w:rsidRPr="00A8135E">
        <w:rPr>
          <w:rFonts w:eastAsia="Calibri"/>
          <w:sz w:val="24"/>
          <w:szCs w:val="24"/>
        </w:rPr>
        <w:tab/>
      </w:r>
      <w:r w:rsidR="00D85049" w:rsidRPr="00A8135E">
        <w:rPr>
          <w:rFonts w:eastAsia="Calibri"/>
        </w:rPr>
        <w:t xml:space="preserve">The </w:t>
      </w:r>
      <w:smartTag w:uri="urn:schemas-microsoft-com:office:smarttags" w:element="place">
        <w:smartTag w:uri="urn:schemas-microsoft-com:office:smarttags" w:element="country-region">
          <w:r w:rsidR="005C5950" w:rsidRPr="00A8135E">
            <w:rPr>
              <w:rFonts w:eastAsia="Calibri"/>
            </w:rPr>
            <w:t>Netherlands</w:t>
          </w:r>
        </w:smartTag>
      </w:smartTag>
    </w:p>
    <w:p w:rsidR="00A5368D" w:rsidRPr="00A8135E" w:rsidRDefault="00A5368D" w:rsidP="00A5368D">
      <w:pPr>
        <w:spacing w:after="120"/>
        <w:ind w:left="4536" w:right="1134" w:hanging="3402"/>
        <w:jc w:val="both"/>
        <w:rPr>
          <w:rStyle w:val="SingleTxtGChar"/>
        </w:rPr>
      </w:pPr>
      <w:r w:rsidRPr="00A8135E">
        <w:rPr>
          <w:rFonts w:eastAsia="Calibri"/>
          <w:i/>
        </w:rPr>
        <w:t>Date of communication:</w:t>
      </w:r>
      <w:r w:rsidRPr="00A8135E">
        <w:rPr>
          <w:rFonts w:eastAsia="Calibri"/>
          <w:sz w:val="24"/>
          <w:szCs w:val="24"/>
        </w:rPr>
        <w:tab/>
      </w:r>
      <w:r w:rsidR="005C5950" w:rsidRPr="00A8135E">
        <w:rPr>
          <w:rStyle w:val="SingleTxtGChar"/>
        </w:rPr>
        <w:t>22 October 2005</w:t>
      </w:r>
      <w:r w:rsidRPr="00A8135E">
        <w:rPr>
          <w:rStyle w:val="SingleTxtGChar"/>
        </w:rPr>
        <w:t xml:space="preserve"> (initial submission)</w:t>
      </w:r>
    </w:p>
    <w:p w:rsidR="00A5368D" w:rsidRPr="00A8135E" w:rsidRDefault="00A5368D" w:rsidP="00A5368D">
      <w:pPr>
        <w:spacing w:after="120"/>
        <w:ind w:left="4536" w:right="1134" w:hanging="3402"/>
        <w:jc w:val="both"/>
        <w:rPr>
          <w:rStyle w:val="SingleTxtGChar"/>
        </w:rPr>
      </w:pPr>
      <w:r w:rsidRPr="00A8135E">
        <w:rPr>
          <w:rFonts w:eastAsia="Calibri"/>
          <w:i/>
        </w:rPr>
        <w:t>Document references:</w:t>
      </w:r>
      <w:r w:rsidRPr="00A8135E">
        <w:rPr>
          <w:rFonts w:eastAsia="Calibri"/>
          <w:sz w:val="24"/>
          <w:szCs w:val="24"/>
        </w:rPr>
        <w:tab/>
      </w:r>
      <w:r w:rsidRPr="00A8135E">
        <w:rPr>
          <w:rStyle w:val="SingleTxtGChar"/>
        </w:rPr>
        <w:t xml:space="preserve">Special Rapporteur’s rule 97 decision, transmitted to the State party on </w:t>
      </w:r>
      <w:r w:rsidR="005C5950" w:rsidRPr="00A8135E">
        <w:rPr>
          <w:rStyle w:val="SingleTxtGChar"/>
        </w:rPr>
        <w:t>17 July 2009</w:t>
      </w:r>
      <w:r w:rsidRPr="00A8135E">
        <w:rPr>
          <w:rStyle w:val="SingleTxtGChar"/>
        </w:rPr>
        <w:t xml:space="preserve"> (not issued in document form)</w:t>
      </w:r>
    </w:p>
    <w:p w:rsidR="00A5368D" w:rsidRPr="00A8135E" w:rsidRDefault="00A5368D" w:rsidP="00A5368D">
      <w:pPr>
        <w:spacing w:after="120"/>
        <w:ind w:left="4536" w:right="1134" w:hanging="3402"/>
        <w:jc w:val="both"/>
        <w:rPr>
          <w:rStyle w:val="SingleTxtGChar"/>
        </w:rPr>
      </w:pPr>
      <w:r w:rsidRPr="00A8135E">
        <w:rPr>
          <w:rFonts w:eastAsia="Calibri"/>
          <w:i/>
        </w:rPr>
        <w:t xml:space="preserve">Date of adoption of </w:t>
      </w:r>
      <w:r w:rsidR="000F49C8" w:rsidRPr="00A8135E">
        <w:rPr>
          <w:rFonts w:eastAsia="Calibri"/>
          <w:i/>
        </w:rPr>
        <w:t>Decision</w:t>
      </w:r>
      <w:r w:rsidRPr="00A8135E">
        <w:rPr>
          <w:rFonts w:eastAsia="Calibri"/>
          <w:i/>
        </w:rPr>
        <w:t>:</w:t>
      </w:r>
      <w:r w:rsidRPr="00A8135E">
        <w:rPr>
          <w:rFonts w:eastAsia="Calibri"/>
          <w:sz w:val="24"/>
          <w:szCs w:val="24"/>
        </w:rPr>
        <w:tab/>
      </w:r>
      <w:r w:rsidR="00E67048" w:rsidRPr="00A8135E">
        <w:rPr>
          <w:rFonts w:eastAsia="Calibri"/>
        </w:rPr>
        <w:t>28</w:t>
      </w:r>
      <w:r w:rsidR="00E67048" w:rsidRPr="00A8135E">
        <w:rPr>
          <w:rFonts w:eastAsia="Calibri"/>
          <w:sz w:val="24"/>
          <w:szCs w:val="24"/>
        </w:rPr>
        <w:t xml:space="preserve"> </w:t>
      </w:r>
      <w:r w:rsidR="005C5950" w:rsidRPr="00A8135E">
        <w:rPr>
          <w:rFonts w:eastAsia="Calibri"/>
        </w:rPr>
        <w:t>March</w:t>
      </w:r>
      <w:r w:rsidR="00A12D4A" w:rsidRPr="00A8135E">
        <w:rPr>
          <w:rFonts w:eastAsia="Calibri"/>
        </w:rPr>
        <w:t xml:space="preserve"> </w:t>
      </w:r>
      <w:r w:rsidR="005C5950" w:rsidRPr="00A8135E">
        <w:rPr>
          <w:rStyle w:val="SingleTxtGChar"/>
        </w:rPr>
        <w:t>2013</w:t>
      </w:r>
    </w:p>
    <w:p w:rsidR="00A5368D" w:rsidRPr="00A8135E" w:rsidRDefault="0027113E" w:rsidP="00A5368D">
      <w:pPr>
        <w:spacing w:after="120"/>
        <w:ind w:left="4536" w:right="1134" w:hanging="3402"/>
        <w:jc w:val="both"/>
        <w:rPr>
          <w:rStyle w:val="SingleTxtGChar"/>
        </w:rPr>
      </w:pPr>
      <w:r w:rsidRPr="00A8135E">
        <w:rPr>
          <w:rFonts w:eastAsia="Calibri"/>
          <w:i/>
        </w:rPr>
        <w:t>Subject matter:</w:t>
      </w:r>
      <w:r w:rsidR="00A5368D" w:rsidRPr="00A8135E">
        <w:rPr>
          <w:rFonts w:eastAsia="Calibri"/>
          <w:i/>
          <w:sz w:val="24"/>
          <w:szCs w:val="24"/>
        </w:rPr>
        <w:tab/>
      </w:r>
      <w:r w:rsidR="00B51ED6" w:rsidRPr="00A8135E">
        <w:rPr>
          <w:rFonts w:eastAsia="Calibri"/>
          <w:i/>
          <w:sz w:val="24"/>
          <w:szCs w:val="24"/>
        </w:rPr>
        <w:tab/>
      </w:r>
      <w:r w:rsidR="005C5950" w:rsidRPr="00A8135E">
        <w:rPr>
          <w:rFonts w:eastAsia="Calibri"/>
        </w:rPr>
        <w:t>Anonymity</w:t>
      </w:r>
    </w:p>
    <w:p w:rsidR="00A12D4A" w:rsidRPr="00A8135E" w:rsidRDefault="00A5368D" w:rsidP="00462C4B">
      <w:pPr>
        <w:spacing w:after="120"/>
        <w:ind w:left="4536" w:right="1134" w:hanging="3402"/>
        <w:jc w:val="both"/>
        <w:rPr>
          <w:rFonts w:eastAsia="Calibri"/>
        </w:rPr>
      </w:pPr>
      <w:r w:rsidRPr="00A8135E">
        <w:rPr>
          <w:rFonts w:eastAsia="Calibri"/>
          <w:i/>
        </w:rPr>
        <w:t>Substantive issues:</w:t>
      </w:r>
      <w:r w:rsidRPr="00A8135E">
        <w:rPr>
          <w:rFonts w:eastAsia="Calibri"/>
          <w:i/>
          <w:sz w:val="24"/>
          <w:szCs w:val="24"/>
        </w:rPr>
        <w:tab/>
      </w:r>
      <w:r w:rsidR="00462C4B" w:rsidRPr="00A8135E">
        <w:rPr>
          <w:rFonts w:eastAsia="Calibri"/>
        </w:rPr>
        <w:t>Inability of</w:t>
      </w:r>
      <w:r w:rsidR="005C5950" w:rsidRPr="00A8135E">
        <w:rPr>
          <w:rFonts w:eastAsia="Calibri"/>
        </w:rPr>
        <w:t xml:space="preserve"> a higher tribunal </w:t>
      </w:r>
      <w:r w:rsidR="003728D6" w:rsidRPr="00A8135E">
        <w:rPr>
          <w:rFonts w:eastAsia="Calibri"/>
        </w:rPr>
        <w:t xml:space="preserve">to review a sentence </w:t>
      </w:r>
      <w:r w:rsidR="00C91225" w:rsidRPr="00A8135E">
        <w:rPr>
          <w:rFonts w:eastAsia="Calibri"/>
        </w:rPr>
        <w:t>for reasons of</w:t>
      </w:r>
      <w:r w:rsidR="005C5950" w:rsidRPr="00A8135E">
        <w:rPr>
          <w:rFonts w:eastAsia="Calibri"/>
        </w:rPr>
        <w:t xml:space="preserve"> anonymity</w:t>
      </w:r>
    </w:p>
    <w:p w:rsidR="00A5368D" w:rsidRPr="00A8135E" w:rsidRDefault="00A5368D" w:rsidP="00A5368D">
      <w:pPr>
        <w:spacing w:after="120"/>
        <w:ind w:left="4536" w:right="1134" w:hanging="3402"/>
        <w:jc w:val="both"/>
        <w:rPr>
          <w:rFonts w:eastAsia="Calibri"/>
          <w:sz w:val="24"/>
          <w:szCs w:val="24"/>
        </w:rPr>
      </w:pPr>
      <w:r w:rsidRPr="00A8135E">
        <w:rPr>
          <w:rFonts w:eastAsia="Calibri"/>
          <w:i/>
        </w:rPr>
        <w:t>Procedural issues:</w:t>
      </w:r>
      <w:r w:rsidRPr="00A8135E">
        <w:rPr>
          <w:rFonts w:eastAsia="Calibri"/>
          <w:i/>
          <w:sz w:val="24"/>
          <w:szCs w:val="24"/>
        </w:rPr>
        <w:tab/>
      </w:r>
      <w:r w:rsidR="003A29F4" w:rsidRPr="00A8135E">
        <w:rPr>
          <w:rStyle w:val="SingleTxtGChar"/>
        </w:rPr>
        <w:t>Insufficient substantiation</w:t>
      </w:r>
    </w:p>
    <w:p w:rsidR="00A5368D" w:rsidRPr="00A8135E" w:rsidRDefault="00A5368D" w:rsidP="00A5368D">
      <w:pPr>
        <w:spacing w:after="120"/>
        <w:ind w:left="4536" w:right="1134" w:hanging="3402"/>
        <w:jc w:val="both"/>
        <w:rPr>
          <w:rStyle w:val="SingleTxtGChar"/>
        </w:rPr>
      </w:pPr>
      <w:r w:rsidRPr="00A8135E">
        <w:rPr>
          <w:rFonts w:eastAsia="Calibri"/>
          <w:i/>
        </w:rPr>
        <w:t>Article of the Covenant:</w:t>
      </w:r>
      <w:r w:rsidRPr="00A8135E">
        <w:rPr>
          <w:rFonts w:eastAsia="Calibri"/>
          <w:sz w:val="24"/>
          <w:szCs w:val="24"/>
        </w:rPr>
        <w:t xml:space="preserve"> </w:t>
      </w:r>
      <w:r w:rsidRPr="00A8135E">
        <w:rPr>
          <w:rFonts w:eastAsia="Calibri"/>
          <w:sz w:val="24"/>
          <w:szCs w:val="24"/>
        </w:rPr>
        <w:tab/>
      </w:r>
      <w:r w:rsidR="005C5950" w:rsidRPr="00A8135E">
        <w:rPr>
          <w:rFonts w:eastAsia="Calibri"/>
        </w:rPr>
        <w:t>14, paragraph 5</w:t>
      </w:r>
    </w:p>
    <w:p w:rsidR="00A5368D" w:rsidRPr="00A8135E" w:rsidRDefault="00A5368D" w:rsidP="00A5368D">
      <w:pPr>
        <w:spacing w:after="120"/>
        <w:ind w:left="4536" w:right="1134" w:hanging="3402"/>
        <w:jc w:val="both"/>
        <w:rPr>
          <w:rStyle w:val="SingleTxtGChar"/>
        </w:rPr>
      </w:pPr>
      <w:r w:rsidRPr="00A8135E">
        <w:rPr>
          <w:rFonts w:eastAsia="Calibri"/>
          <w:i/>
        </w:rPr>
        <w:t>Article of the Optional Protocol:</w:t>
      </w:r>
      <w:r w:rsidRPr="00A8135E">
        <w:rPr>
          <w:rFonts w:eastAsia="Calibri"/>
          <w:i/>
          <w:sz w:val="24"/>
          <w:szCs w:val="24"/>
        </w:rPr>
        <w:t xml:space="preserve"> </w:t>
      </w:r>
      <w:r w:rsidRPr="00A8135E">
        <w:rPr>
          <w:rStyle w:val="SingleTxtGChar"/>
        </w:rPr>
        <w:tab/>
      </w:r>
      <w:r w:rsidR="00200A41" w:rsidRPr="00A8135E">
        <w:rPr>
          <w:rStyle w:val="SingleTxtGChar"/>
        </w:rPr>
        <w:t>2</w:t>
      </w:r>
    </w:p>
    <w:p w:rsidR="00A5368D" w:rsidRPr="00A8135E" w:rsidRDefault="00A8029B" w:rsidP="0027113E">
      <w:pPr>
        <w:pStyle w:val="HChG"/>
      </w:pPr>
      <w:r w:rsidRPr="00A8135E">
        <w:rPr>
          <w:rFonts w:eastAsia="Calibri"/>
          <w:sz w:val="24"/>
          <w:szCs w:val="24"/>
        </w:rPr>
        <w:br w:type="page"/>
      </w:r>
      <w:r w:rsidR="00A5368D" w:rsidRPr="00A8135E">
        <w:lastRenderedPageBreak/>
        <w:t>Annex</w:t>
      </w:r>
    </w:p>
    <w:p w:rsidR="00A5368D" w:rsidRPr="00A8135E" w:rsidRDefault="00A5368D" w:rsidP="00A5368D">
      <w:pPr>
        <w:keepNext/>
        <w:keepLines/>
        <w:tabs>
          <w:tab w:val="right" w:pos="851"/>
        </w:tabs>
        <w:spacing w:before="360" w:after="240" w:line="300" w:lineRule="exact"/>
        <w:ind w:left="1134" w:right="1134" w:hanging="1134"/>
        <w:rPr>
          <w:b/>
          <w:sz w:val="28"/>
        </w:rPr>
      </w:pPr>
      <w:r w:rsidRPr="00A8135E">
        <w:rPr>
          <w:b/>
          <w:sz w:val="28"/>
        </w:rPr>
        <w:tab/>
      </w:r>
      <w:r w:rsidRPr="00A8135E">
        <w:rPr>
          <w:b/>
          <w:sz w:val="28"/>
        </w:rPr>
        <w:tab/>
      </w:r>
      <w:r w:rsidR="007416A3" w:rsidRPr="00A8135E">
        <w:rPr>
          <w:b/>
          <w:sz w:val="28"/>
        </w:rPr>
        <w:t>Decision of</w:t>
      </w:r>
      <w:r w:rsidRPr="00A8135E">
        <w:rPr>
          <w:b/>
          <w:sz w:val="28"/>
        </w:rPr>
        <w:t xml:space="preserve"> the Human Rights Committee under the Optional Protocol to the International Covenant on Civil and Political Rights (</w:t>
      </w:r>
      <w:r w:rsidR="008B2743" w:rsidRPr="00A8135E">
        <w:rPr>
          <w:b/>
          <w:sz w:val="28"/>
        </w:rPr>
        <w:t>107th</w:t>
      </w:r>
      <w:r w:rsidRPr="00A8135E">
        <w:rPr>
          <w:b/>
          <w:sz w:val="28"/>
        </w:rPr>
        <w:t xml:space="preserve"> session)</w:t>
      </w:r>
    </w:p>
    <w:p w:rsidR="00A5368D" w:rsidRPr="00A8135E" w:rsidRDefault="00A5368D" w:rsidP="00A5368D">
      <w:pPr>
        <w:pStyle w:val="SingleTxtG"/>
        <w:rPr>
          <w:rFonts w:eastAsia="Calibri"/>
        </w:rPr>
      </w:pPr>
      <w:r w:rsidRPr="00A8135E">
        <w:rPr>
          <w:rFonts w:eastAsia="Calibri"/>
        </w:rPr>
        <w:t>concerning</w:t>
      </w:r>
    </w:p>
    <w:p w:rsidR="00A5368D" w:rsidRPr="00A8135E" w:rsidRDefault="00A5368D" w:rsidP="00A5368D">
      <w:pPr>
        <w:keepNext/>
        <w:keepLines/>
        <w:tabs>
          <w:tab w:val="right" w:pos="851"/>
        </w:tabs>
        <w:spacing w:before="360" w:after="240" w:line="270" w:lineRule="exact"/>
        <w:ind w:left="1134" w:right="1134" w:hanging="1134"/>
        <w:rPr>
          <w:rFonts w:eastAsia="Calibri"/>
          <w:b/>
          <w:sz w:val="24"/>
          <w:szCs w:val="24"/>
        </w:rPr>
      </w:pPr>
      <w:r w:rsidRPr="00A8135E">
        <w:rPr>
          <w:rFonts w:eastAsia="Calibri"/>
          <w:b/>
          <w:sz w:val="24"/>
          <w:szCs w:val="24"/>
        </w:rPr>
        <w:tab/>
      </w:r>
      <w:r w:rsidRPr="00A8135E">
        <w:rPr>
          <w:rFonts w:eastAsia="Calibri"/>
          <w:b/>
          <w:sz w:val="24"/>
          <w:szCs w:val="24"/>
        </w:rPr>
        <w:tab/>
        <w:t xml:space="preserve">Communication No. </w:t>
      </w:r>
      <w:r w:rsidR="005C5950" w:rsidRPr="00A8135E">
        <w:rPr>
          <w:rFonts w:eastAsia="Calibri"/>
          <w:b/>
          <w:sz w:val="24"/>
          <w:szCs w:val="24"/>
        </w:rPr>
        <w:t>1886/2009</w:t>
      </w:r>
      <w:r w:rsidR="00555A70" w:rsidRPr="00A8135E">
        <w:rPr>
          <w:rStyle w:val="FootnoteReference"/>
          <w:rFonts w:eastAsia="Calibri"/>
          <w:b/>
          <w:szCs w:val="24"/>
          <w:lang w:val="en-US"/>
        </w:rPr>
        <w:footnoteReference w:customMarkFollows="1" w:id="2"/>
        <w:t>*</w:t>
      </w:r>
    </w:p>
    <w:p w:rsidR="0029008E" w:rsidRPr="00A8135E" w:rsidRDefault="00A5368D" w:rsidP="0029008E">
      <w:pPr>
        <w:spacing w:after="120"/>
        <w:ind w:left="4536" w:right="1134" w:hanging="3402"/>
        <w:jc w:val="both"/>
        <w:rPr>
          <w:rStyle w:val="SingleTxtGChar"/>
        </w:rPr>
      </w:pPr>
      <w:r w:rsidRPr="00A8135E">
        <w:rPr>
          <w:rFonts w:eastAsia="Calibri"/>
          <w:i/>
        </w:rPr>
        <w:t>Submitted by:</w:t>
      </w:r>
      <w:r w:rsidRPr="00A8135E">
        <w:rPr>
          <w:rFonts w:eastAsia="Calibri"/>
          <w:sz w:val="24"/>
          <w:szCs w:val="24"/>
        </w:rPr>
        <w:tab/>
      </w:r>
      <w:r w:rsidR="008B2743" w:rsidRPr="00A8135E">
        <w:rPr>
          <w:rFonts w:eastAsia="Calibri"/>
        </w:rPr>
        <w:t>X</w:t>
      </w:r>
      <w:r w:rsidR="00F449FC" w:rsidRPr="00A8135E">
        <w:rPr>
          <w:rFonts w:eastAsia="Calibri"/>
        </w:rPr>
        <w:t xml:space="preserve"> </w:t>
      </w:r>
      <w:r w:rsidR="00AB7709" w:rsidRPr="00A8135E">
        <w:rPr>
          <w:rFonts w:eastAsia="Calibri"/>
        </w:rPr>
        <w:t>(represented by counsel, Marcel Schuckink Kool)</w:t>
      </w:r>
    </w:p>
    <w:p w:rsidR="0029008E" w:rsidRPr="00A8135E" w:rsidRDefault="00A5368D" w:rsidP="0029008E">
      <w:pPr>
        <w:spacing w:after="120"/>
        <w:ind w:left="4536" w:right="1134" w:hanging="3402"/>
        <w:jc w:val="both"/>
        <w:rPr>
          <w:rStyle w:val="SingleTxtGChar"/>
        </w:rPr>
      </w:pPr>
      <w:r w:rsidRPr="00A8135E">
        <w:rPr>
          <w:rFonts w:eastAsia="Calibri"/>
          <w:i/>
        </w:rPr>
        <w:t>Alleged victim:</w:t>
      </w:r>
      <w:r w:rsidRPr="00A8135E">
        <w:rPr>
          <w:rFonts w:eastAsia="Calibri"/>
          <w:sz w:val="24"/>
          <w:szCs w:val="24"/>
        </w:rPr>
        <w:tab/>
      </w:r>
      <w:r w:rsidR="00D85049" w:rsidRPr="00A8135E">
        <w:rPr>
          <w:rFonts w:eastAsia="Calibri"/>
        </w:rPr>
        <w:t xml:space="preserve">The </w:t>
      </w:r>
      <w:r w:rsidR="0087119B" w:rsidRPr="00A8135E">
        <w:rPr>
          <w:rFonts w:eastAsia="Calibri"/>
        </w:rPr>
        <w:t>author</w:t>
      </w:r>
    </w:p>
    <w:p w:rsidR="0087119B" w:rsidRPr="00A8135E" w:rsidRDefault="00A5368D" w:rsidP="00A5368D">
      <w:pPr>
        <w:spacing w:after="120"/>
        <w:ind w:left="4536" w:right="1134" w:hanging="3402"/>
        <w:jc w:val="both"/>
        <w:rPr>
          <w:rFonts w:eastAsia="Calibri"/>
          <w:i/>
        </w:rPr>
      </w:pPr>
      <w:r w:rsidRPr="00A8135E">
        <w:rPr>
          <w:rFonts w:eastAsia="Calibri"/>
          <w:i/>
        </w:rPr>
        <w:t>State party:</w:t>
      </w:r>
      <w:r w:rsidRPr="00A8135E">
        <w:rPr>
          <w:rFonts w:eastAsia="Calibri"/>
          <w:sz w:val="24"/>
          <w:szCs w:val="24"/>
        </w:rPr>
        <w:tab/>
      </w:r>
      <w:r w:rsidR="00D85049" w:rsidRPr="00A8135E">
        <w:rPr>
          <w:rFonts w:eastAsia="Calibri"/>
        </w:rPr>
        <w:t xml:space="preserve">The </w:t>
      </w:r>
      <w:smartTag w:uri="urn:schemas-microsoft-com:office:smarttags" w:element="place">
        <w:smartTag w:uri="urn:schemas-microsoft-com:office:smarttags" w:element="country-region">
          <w:r w:rsidR="0087119B" w:rsidRPr="00A8135E">
            <w:rPr>
              <w:rFonts w:eastAsia="Calibri"/>
            </w:rPr>
            <w:t>Netherlands</w:t>
          </w:r>
        </w:smartTag>
      </w:smartTag>
      <w:r w:rsidR="0087119B" w:rsidRPr="00A8135E">
        <w:rPr>
          <w:rFonts w:eastAsia="Calibri"/>
          <w:i/>
        </w:rPr>
        <w:t xml:space="preserve"> </w:t>
      </w:r>
    </w:p>
    <w:p w:rsidR="00A5368D" w:rsidRPr="00A8135E" w:rsidRDefault="00A5368D" w:rsidP="00A5368D">
      <w:pPr>
        <w:spacing w:after="120"/>
        <w:ind w:left="4536" w:right="1134" w:hanging="3402"/>
        <w:jc w:val="both"/>
        <w:rPr>
          <w:rStyle w:val="SingleTxtGChar"/>
        </w:rPr>
      </w:pPr>
      <w:r w:rsidRPr="00A8135E">
        <w:rPr>
          <w:rFonts w:eastAsia="Calibri"/>
          <w:i/>
        </w:rPr>
        <w:t>Date of communication:</w:t>
      </w:r>
      <w:r w:rsidRPr="00A8135E">
        <w:rPr>
          <w:rFonts w:eastAsia="Calibri"/>
          <w:sz w:val="24"/>
          <w:szCs w:val="24"/>
        </w:rPr>
        <w:tab/>
      </w:r>
      <w:r w:rsidR="0087119B" w:rsidRPr="00A8135E">
        <w:rPr>
          <w:rFonts w:eastAsia="Calibri"/>
        </w:rPr>
        <w:t>22 October 2005 (initial submission)</w:t>
      </w:r>
    </w:p>
    <w:p w:rsidR="00A5368D" w:rsidRPr="00A8135E" w:rsidRDefault="00A5368D" w:rsidP="00A5368D">
      <w:pPr>
        <w:spacing w:after="120"/>
        <w:ind w:left="1134" w:right="1134"/>
        <w:jc w:val="both"/>
        <w:rPr>
          <w:rStyle w:val="SingleTxtGChar"/>
        </w:rPr>
      </w:pPr>
      <w:r w:rsidRPr="00A8135E">
        <w:rPr>
          <w:rFonts w:eastAsia="Calibri"/>
          <w:i/>
          <w:sz w:val="24"/>
          <w:szCs w:val="24"/>
        </w:rPr>
        <w:tab/>
      </w:r>
      <w:r w:rsidRPr="00A8135E">
        <w:rPr>
          <w:rFonts w:eastAsia="Calibri"/>
          <w:i/>
        </w:rPr>
        <w:t>The Human Rights Committee</w:t>
      </w:r>
      <w:r w:rsidRPr="00A8135E">
        <w:rPr>
          <w:rFonts w:eastAsia="Calibri"/>
          <w:sz w:val="24"/>
          <w:szCs w:val="24"/>
        </w:rPr>
        <w:t xml:space="preserve">, </w:t>
      </w:r>
      <w:r w:rsidRPr="00A8135E">
        <w:rPr>
          <w:rStyle w:val="SingleTxtGChar"/>
        </w:rPr>
        <w:t>established under article 28 of the International Covenant on Civil and Political Rights,</w:t>
      </w:r>
    </w:p>
    <w:p w:rsidR="00A5368D" w:rsidRPr="00A8135E" w:rsidRDefault="00A5368D" w:rsidP="00A5368D">
      <w:pPr>
        <w:spacing w:after="120"/>
        <w:ind w:left="1134" w:right="1134"/>
        <w:jc w:val="both"/>
        <w:rPr>
          <w:rStyle w:val="SingleTxtGChar"/>
        </w:rPr>
      </w:pPr>
      <w:r w:rsidRPr="00A8135E">
        <w:rPr>
          <w:rFonts w:eastAsia="Calibri"/>
          <w:sz w:val="24"/>
          <w:szCs w:val="24"/>
        </w:rPr>
        <w:tab/>
      </w:r>
      <w:r w:rsidRPr="00A8135E">
        <w:rPr>
          <w:rFonts w:eastAsia="Calibri"/>
          <w:i/>
        </w:rPr>
        <w:t>Meeting on</w:t>
      </w:r>
      <w:r w:rsidRPr="00A8135E">
        <w:rPr>
          <w:rFonts w:eastAsia="Calibri"/>
          <w:sz w:val="24"/>
          <w:szCs w:val="24"/>
        </w:rPr>
        <w:t xml:space="preserve"> </w:t>
      </w:r>
      <w:r w:rsidR="00E67048" w:rsidRPr="00A8135E">
        <w:rPr>
          <w:rFonts w:eastAsia="Calibri"/>
        </w:rPr>
        <w:t>28</w:t>
      </w:r>
      <w:r w:rsidR="00E67048" w:rsidRPr="00A8135E">
        <w:rPr>
          <w:rFonts w:eastAsia="Calibri"/>
          <w:sz w:val="24"/>
          <w:szCs w:val="24"/>
        </w:rPr>
        <w:t xml:space="preserve"> </w:t>
      </w:r>
      <w:r w:rsidR="0087119B" w:rsidRPr="00A8135E">
        <w:rPr>
          <w:rFonts w:eastAsia="Calibri"/>
        </w:rPr>
        <w:t>March</w:t>
      </w:r>
      <w:r w:rsidR="007416A3" w:rsidRPr="00A8135E">
        <w:rPr>
          <w:rFonts w:eastAsia="Calibri"/>
          <w:sz w:val="24"/>
          <w:szCs w:val="24"/>
        </w:rPr>
        <w:t xml:space="preserve"> </w:t>
      </w:r>
      <w:r w:rsidR="0087119B" w:rsidRPr="00A8135E">
        <w:rPr>
          <w:rStyle w:val="SingleTxtGChar"/>
        </w:rPr>
        <w:t>2013</w:t>
      </w:r>
      <w:r w:rsidRPr="00A8135E">
        <w:rPr>
          <w:rStyle w:val="SingleTxtGChar"/>
        </w:rPr>
        <w:t>,</w:t>
      </w:r>
    </w:p>
    <w:p w:rsidR="00A5368D" w:rsidRPr="00A8135E" w:rsidRDefault="00A5368D" w:rsidP="00A5368D">
      <w:pPr>
        <w:spacing w:after="120"/>
        <w:ind w:left="1134" w:right="1134"/>
        <w:jc w:val="both"/>
        <w:rPr>
          <w:rStyle w:val="SingleTxtGChar"/>
        </w:rPr>
      </w:pPr>
      <w:r w:rsidRPr="00A8135E">
        <w:rPr>
          <w:rFonts w:eastAsia="Calibri"/>
          <w:sz w:val="24"/>
          <w:szCs w:val="24"/>
        </w:rPr>
        <w:tab/>
      </w:r>
      <w:r w:rsidRPr="00A8135E">
        <w:rPr>
          <w:rFonts w:eastAsia="Calibri"/>
          <w:i/>
        </w:rPr>
        <w:t>Adopts</w:t>
      </w:r>
      <w:r w:rsidRPr="00A8135E">
        <w:rPr>
          <w:rFonts w:eastAsia="Calibri"/>
        </w:rPr>
        <w:t xml:space="preserve"> </w:t>
      </w:r>
      <w:r w:rsidRPr="00A8135E">
        <w:rPr>
          <w:rStyle w:val="SingleTxtGChar"/>
        </w:rPr>
        <w:t>the following:</w:t>
      </w:r>
    </w:p>
    <w:p w:rsidR="00C61681" w:rsidRPr="00A8135E" w:rsidRDefault="0027113E" w:rsidP="007C1AD9">
      <w:pPr>
        <w:pStyle w:val="H1G"/>
      </w:pPr>
      <w:r w:rsidRPr="00A8135E">
        <w:tab/>
      </w:r>
      <w:r w:rsidRPr="00A8135E">
        <w:tab/>
      </w:r>
      <w:r w:rsidR="007416A3" w:rsidRPr="00A8135E">
        <w:t>Decision on admissibility</w:t>
      </w:r>
    </w:p>
    <w:p w:rsidR="00AA5493" w:rsidRPr="00A8135E" w:rsidRDefault="00326DC2" w:rsidP="00094DA9">
      <w:pPr>
        <w:pStyle w:val="SingleTxtG"/>
      </w:pPr>
      <w:r w:rsidRPr="00A8135E">
        <w:t>1.</w:t>
      </w:r>
      <w:r w:rsidR="00AA5493" w:rsidRPr="00A8135E">
        <w:tab/>
      </w:r>
      <w:r w:rsidR="007416A3" w:rsidRPr="00A8135E">
        <w:t xml:space="preserve">The author of the communication </w:t>
      </w:r>
      <w:r w:rsidR="0029008E" w:rsidRPr="00A8135E">
        <w:t xml:space="preserve">is </w:t>
      </w:r>
      <w:r w:rsidR="008B2743" w:rsidRPr="00A8135E">
        <w:t>Ms. X</w:t>
      </w:r>
      <w:r w:rsidR="007244DD" w:rsidRPr="00A8135E">
        <w:t>,</w:t>
      </w:r>
      <w:r w:rsidRPr="00A8135E">
        <w:rPr>
          <w:rStyle w:val="FootnoteReference"/>
        </w:rPr>
        <w:footnoteReference w:id="3"/>
      </w:r>
      <w:r w:rsidR="0029008E" w:rsidRPr="00A8135E">
        <w:t xml:space="preserve"> </w:t>
      </w:r>
      <w:r w:rsidR="009223B4" w:rsidRPr="00A8135E">
        <w:t>a Dutch national</w:t>
      </w:r>
      <w:r w:rsidR="008B2743" w:rsidRPr="00A8135E">
        <w:t xml:space="preserve"> born in</w:t>
      </w:r>
      <w:r w:rsidR="009223B4" w:rsidRPr="00A8135E">
        <w:t xml:space="preserve"> 1968</w:t>
      </w:r>
      <w:r w:rsidR="0029008E" w:rsidRPr="00A8135E">
        <w:t>. She</w:t>
      </w:r>
      <w:r w:rsidR="007416A3" w:rsidRPr="00A8135E">
        <w:t xml:space="preserve"> </w:t>
      </w:r>
      <w:r w:rsidR="0029008E" w:rsidRPr="00A8135E">
        <w:t xml:space="preserve">claims </w:t>
      </w:r>
      <w:r w:rsidR="008B2743" w:rsidRPr="00A8135E">
        <w:t xml:space="preserve">to be </w:t>
      </w:r>
      <w:r w:rsidR="004C1B8B" w:rsidRPr="00A8135E">
        <w:t xml:space="preserve">a </w:t>
      </w:r>
      <w:r w:rsidR="008B2743" w:rsidRPr="00A8135E">
        <w:t xml:space="preserve">victim of a violation by the </w:t>
      </w:r>
      <w:smartTag w:uri="urn:schemas-microsoft-com:office:smarttags" w:element="place">
        <w:smartTag w:uri="urn:schemas-microsoft-com:office:smarttags" w:element="country-region">
          <w:r w:rsidR="009223B4" w:rsidRPr="00A8135E">
            <w:t>Netherlands</w:t>
          </w:r>
        </w:smartTag>
      </w:smartTag>
      <w:r w:rsidR="0029008E" w:rsidRPr="00A8135E">
        <w:t xml:space="preserve"> </w:t>
      </w:r>
      <w:r w:rsidR="008B2743" w:rsidRPr="00A8135E">
        <w:t>of her rights under</w:t>
      </w:r>
      <w:r w:rsidR="009223B4" w:rsidRPr="00A8135E">
        <w:t xml:space="preserve"> article 14, paragraph 5,</w:t>
      </w:r>
      <w:r w:rsidR="0029008E" w:rsidRPr="00A8135E">
        <w:t xml:space="preserve"> of the </w:t>
      </w:r>
      <w:r w:rsidR="007416A3" w:rsidRPr="00A8135E">
        <w:t xml:space="preserve">International Covenant </w:t>
      </w:r>
      <w:r w:rsidR="00A64147" w:rsidRPr="00A8135E">
        <w:t>on</w:t>
      </w:r>
      <w:r w:rsidR="007416A3" w:rsidRPr="00A8135E">
        <w:t xml:space="preserve"> Civil and Political Rights</w:t>
      </w:r>
      <w:r w:rsidR="00E94F3C" w:rsidRPr="00A8135E">
        <w:t>.</w:t>
      </w:r>
      <w:r w:rsidR="00A63D9E" w:rsidRPr="00A8135E">
        <w:rPr>
          <w:rStyle w:val="FootnoteReference"/>
        </w:rPr>
        <w:footnoteReference w:id="4"/>
      </w:r>
      <w:r w:rsidR="007416A3" w:rsidRPr="00A8135E">
        <w:t xml:space="preserve"> </w:t>
      </w:r>
      <w:r w:rsidR="00A64147" w:rsidRPr="00A8135E">
        <w:t>She is</w:t>
      </w:r>
      <w:r w:rsidR="007416A3" w:rsidRPr="00A8135E">
        <w:t xml:space="preserve"> represented by </w:t>
      </w:r>
      <w:r w:rsidR="00A64147" w:rsidRPr="00A8135E">
        <w:t>c</w:t>
      </w:r>
      <w:r w:rsidR="007416A3" w:rsidRPr="00A8135E">
        <w:t>ounsel</w:t>
      </w:r>
      <w:r w:rsidR="00A63D9E" w:rsidRPr="00A8135E">
        <w:t xml:space="preserve">, </w:t>
      </w:r>
      <w:r w:rsidR="00E76D54">
        <w:t xml:space="preserve">Mr. </w:t>
      </w:r>
      <w:r w:rsidR="009223B4" w:rsidRPr="00A8135E">
        <w:rPr>
          <w:rFonts w:eastAsia="Calibri"/>
        </w:rPr>
        <w:t>Marcel Schuckink Kool</w:t>
      </w:r>
      <w:r w:rsidR="00B51ED6" w:rsidRPr="00A8135E">
        <w:rPr>
          <w:rFonts w:eastAsia="Calibri"/>
        </w:rPr>
        <w:t>.</w:t>
      </w:r>
      <w:r w:rsidR="008B2743" w:rsidRPr="00A8135E">
        <w:rPr>
          <w:rStyle w:val="FootnoteReference"/>
        </w:rPr>
        <w:footnoteReference w:id="5"/>
      </w:r>
    </w:p>
    <w:p w:rsidR="00C61681" w:rsidRPr="00A8135E" w:rsidRDefault="0027113E" w:rsidP="007C1AD9">
      <w:pPr>
        <w:pStyle w:val="H23G"/>
      </w:pPr>
      <w:r w:rsidRPr="00A8135E">
        <w:lastRenderedPageBreak/>
        <w:tab/>
      </w:r>
      <w:r w:rsidRPr="00A8135E">
        <w:tab/>
      </w:r>
      <w:r w:rsidR="00C61681" w:rsidRPr="00A8135E">
        <w:t>The facts as submitted by the author</w:t>
      </w:r>
    </w:p>
    <w:p w:rsidR="00384F25" w:rsidRPr="00A8135E" w:rsidRDefault="008B2743" w:rsidP="00094DA9">
      <w:pPr>
        <w:pStyle w:val="SingleTxtG"/>
      </w:pPr>
      <w:r w:rsidRPr="00A8135E">
        <w:t>2.1</w:t>
      </w:r>
      <w:r w:rsidR="0096522A" w:rsidRPr="00A8135E">
        <w:tab/>
      </w:r>
      <w:r w:rsidR="00EC7DA4" w:rsidRPr="00A8135E">
        <w:t xml:space="preserve">The author </w:t>
      </w:r>
      <w:r w:rsidR="004C1B8B" w:rsidRPr="00A8135E">
        <w:t>contends</w:t>
      </w:r>
      <w:r w:rsidR="00B11B94" w:rsidRPr="00A8135E">
        <w:t xml:space="preserve">, without further </w:t>
      </w:r>
      <w:r w:rsidR="004C1B8B" w:rsidRPr="00A8135E">
        <w:t>explanation</w:t>
      </w:r>
      <w:r w:rsidR="00B11B94" w:rsidRPr="00A8135E">
        <w:t>, that she was</w:t>
      </w:r>
      <w:r w:rsidR="00EC7DA4" w:rsidRPr="00A8135E">
        <w:t xml:space="preserve"> found guilty of committing an offence on 22 April 2005</w:t>
      </w:r>
      <w:r w:rsidR="00B51ED6" w:rsidRPr="00A8135E">
        <w:t>.</w:t>
      </w:r>
      <w:r w:rsidR="00A37AB8">
        <w:rPr>
          <w:rStyle w:val="FootnoteReference"/>
        </w:rPr>
        <w:footnoteReference w:id="6"/>
      </w:r>
      <w:r w:rsidR="00EC7DA4" w:rsidRPr="00A8135E">
        <w:t xml:space="preserve"> </w:t>
      </w:r>
      <w:r w:rsidR="00581A60" w:rsidRPr="00A8135E">
        <w:t xml:space="preserve">She claims that she </w:t>
      </w:r>
      <w:r w:rsidR="0083117C" w:rsidRPr="00A8135E">
        <w:t>had</w:t>
      </w:r>
      <w:r w:rsidR="00EC7DA4" w:rsidRPr="00A8135E">
        <w:t xml:space="preserve"> not</w:t>
      </w:r>
      <w:r w:rsidR="0083117C" w:rsidRPr="00A8135E">
        <w:t xml:space="preserve"> </w:t>
      </w:r>
      <w:r w:rsidR="004C1B8B" w:rsidRPr="00A8135E">
        <w:t>attempted t</w:t>
      </w:r>
      <w:r w:rsidR="0083117C" w:rsidRPr="00A8135E">
        <w:t>o</w:t>
      </w:r>
      <w:r w:rsidR="00EC7DA4" w:rsidRPr="00A8135E">
        <w:t xml:space="preserve"> appeal </w:t>
      </w:r>
      <w:r w:rsidR="004C1B8B" w:rsidRPr="00A8135E">
        <w:t>her sentence</w:t>
      </w:r>
      <w:r w:rsidR="00EC7DA4" w:rsidRPr="00A8135E">
        <w:t>, as she</w:t>
      </w:r>
      <w:r w:rsidR="0083117C" w:rsidRPr="00A8135E">
        <w:t xml:space="preserve"> refused</w:t>
      </w:r>
      <w:r w:rsidR="00581A60" w:rsidRPr="00A8135E">
        <w:t xml:space="preserve"> to disclose her identity </w:t>
      </w:r>
      <w:r w:rsidR="004C1B8B" w:rsidRPr="00A8135E">
        <w:t xml:space="preserve">in </w:t>
      </w:r>
      <w:r w:rsidR="00A2790B" w:rsidRPr="00A8135E">
        <w:t xml:space="preserve">an </w:t>
      </w:r>
      <w:r w:rsidR="004C1B8B" w:rsidRPr="00A8135E">
        <w:t>appeal</w:t>
      </w:r>
      <w:r w:rsidR="00581A60" w:rsidRPr="00A8135E">
        <w:t xml:space="preserve">. </w:t>
      </w:r>
      <w:r w:rsidR="0083117C" w:rsidRPr="00A8135E">
        <w:t xml:space="preserve">She refers to </w:t>
      </w:r>
      <w:r w:rsidR="004C1B8B" w:rsidRPr="00A8135E">
        <w:t>a</w:t>
      </w:r>
      <w:r w:rsidR="0083117C" w:rsidRPr="00A8135E">
        <w:t xml:space="preserve"> </w:t>
      </w:r>
      <w:r w:rsidR="00FD14FA" w:rsidRPr="00A8135E">
        <w:t>decision</w:t>
      </w:r>
      <w:r w:rsidR="0083117C" w:rsidRPr="00A8135E">
        <w:t xml:space="preserve"> of the Supreme Court </w:t>
      </w:r>
      <w:r w:rsidR="004C1B8B" w:rsidRPr="00A8135E">
        <w:t xml:space="preserve">dated </w:t>
      </w:r>
      <w:r w:rsidR="0083117C" w:rsidRPr="00A8135E">
        <w:t>24 June 2003 in case No.</w:t>
      </w:r>
      <w:r w:rsidR="007244DD" w:rsidRPr="00A8135E">
        <w:t xml:space="preserve"> </w:t>
      </w:r>
      <w:r w:rsidR="0083117C" w:rsidRPr="00A8135E">
        <w:t xml:space="preserve">01948/02, </w:t>
      </w:r>
      <w:r w:rsidR="00FD14FA" w:rsidRPr="00A8135E">
        <w:t xml:space="preserve">according to which </w:t>
      </w:r>
      <w:r w:rsidR="0083117C" w:rsidRPr="00A8135E">
        <w:t>“it must be inferred from articles 449-452 of the Code of Criminal Procedure, which specify the way in which legal remedies are to be applied, that a suspect who is the subject of a court ruling, in which he has been identified in another way than by name, cannot apply a legal remedy against a final verdict any other way than by disclosing his personal identifying information</w:t>
      </w:r>
      <w:r w:rsidR="00AB3198" w:rsidRPr="00A8135E">
        <w:t>.</w:t>
      </w:r>
      <w:r w:rsidR="0083117C" w:rsidRPr="00A8135E">
        <w:t xml:space="preserve">” </w:t>
      </w:r>
      <w:r w:rsidR="004C1B8B" w:rsidRPr="00A8135E">
        <w:t>T</w:t>
      </w:r>
      <w:r w:rsidR="002F228A" w:rsidRPr="00A8135E">
        <w:t xml:space="preserve">he </w:t>
      </w:r>
      <w:r w:rsidR="004C1B8B" w:rsidRPr="00A8135E">
        <w:t>author notes, however, that</w:t>
      </w:r>
      <w:r w:rsidR="00581A60" w:rsidRPr="00A8135E">
        <w:t xml:space="preserve"> her refusal to disclose her identity within the criminal proceedings before the court of first instance </w:t>
      </w:r>
      <w:r w:rsidR="00B63F67" w:rsidRPr="00A8135E">
        <w:t xml:space="preserve">did not preclude the authorities from </w:t>
      </w:r>
      <w:r w:rsidR="00581A60" w:rsidRPr="00A8135E">
        <w:t>find</w:t>
      </w:r>
      <w:r w:rsidR="00B63F67" w:rsidRPr="00A8135E">
        <w:t>ing</w:t>
      </w:r>
      <w:r w:rsidR="00581A60" w:rsidRPr="00A8135E">
        <w:t xml:space="preserve"> her guilty of an offence. </w:t>
      </w:r>
      <w:r w:rsidR="00B63F67" w:rsidRPr="00A8135E">
        <w:t>She adds</w:t>
      </w:r>
      <w:r w:rsidR="00581A60" w:rsidRPr="00A8135E">
        <w:t xml:space="preserve"> that</w:t>
      </w:r>
      <w:r w:rsidR="004B5795" w:rsidRPr="00A8135E">
        <w:t>,</w:t>
      </w:r>
      <w:r w:rsidR="00581A60" w:rsidRPr="00A8135E">
        <w:t xml:space="preserve"> until recently</w:t>
      </w:r>
      <w:r w:rsidR="00FD14FA" w:rsidRPr="00A8135E">
        <w:t>,</w:t>
      </w:r>
      <w:r w:rsidR="00581A60" w:rsidRPr="00A8135E">
        <w:t xml:space="preserve"> it was possible to </w:t>
      </w:r>
      <w:r w:rsidR="00FD14FA" w:rsidRPr="00A8135E">
        <w:t>appeal</w:t>
      </w:r>
      <w:r w:rsidR="00581A60" w:rsidRPr="00A8135E">
        <w:t xml:space="preserve"> without disclosing one’s identity. However, the legislation was amended</w:t>
      </w:r>
      <w:r w:rsidR="00A808E5" w:rsidRPr="00A8135E">
        <w:t>,</w:t>
      </w:r>
      <w:r w:rsidR="00581A60" w:rsidRPr="00A8135E">
        <w:t xml:space="preserve"> exclud</w:t>
      </w:r>
      <w:r w:rsidR="00A808E5" w:rsidRPr="00A8135E">
        <w:t>ing</w:t>
      </w:r>
      <w:r w:rsidR="00581A60" w:rsidRPr="00A8135E">
        <w:t xml:space="preserve"> </w:t>
      </w:r>
      <w:r w:rsidR="00094DA9" w:rsidRPr="00A8135E">
        <w:t xml:space="preserve">this </w:t>
      </w:r>
      <w:r w:rsidR="00581A60" w:rsidRPr="00A8135E">
        <w:t>possib</w:t>
      </w:r>
      <w:r w:rsidR="0083117C" w:rsidRPr="00A8135E">
        <w:t>ility</w:t>
      </w:r>
      <w:r w:rsidR="00094DA9" w:rsidRPr="00A8135E">
        <w:t>, although not definitively</w:t>
      </w:r>
      <w:r w:rsidR="0083117C" w:rsidRPr="00A8135E">
        <w:t xml:space="preserve">. </w:t>
      </w:r>
    </w:p>
    <w:p w:rsidR="00EC7DA4" w:rsidRPr="00A8135E" w:rsidRDefault="0083117C" w:rsidP="008F2E8B">
      <w:pPr>
        <w:pStyle w:val="SingleTxtG"/>
      </w:pPr>
      <w:r w:rsidRPr="00A8135E">
        <w:t>2.2</w:t>
      </w:r>
      <w:r w:rsidR="00D078A8" w:rsidRPr="00A8135E">
        <w:tab/>
      </w:r>
      <w:r w:rsidR="00FC736B" w:rsidRPr="00A8135E">
        <w:t>S</w:t>
      </w:r>
      <w:r w:rsidR="00EC7DA4" w:rsidRPr="00A8135E">
        <w:t xml:space="preserve">ince she wished to remain anonymous </w:t>
      </w:r>
      <w:r w:rsidR="002C7D8E" w:rsidRPr="00A8135E">
        <w:t xml:space="preserve">in the context of </w:t>
      </w:r>
      <w:r w:rsidR="00EC7DA4" w:rsidRPr="00A8135E">
        <w:t xml:space="preserve">her criminal proceedings and </w:t>
      </w:r>
      <w:r w:rsidR="00FC736B" w:rsidRPr="00A8135E">
        <w:t>given that</w:t>
      </w:r>
      <w:r w:rsidR="00EC7DA4" w:rsidRPr="00A8135E">
        <w:t xml:space="preserve"> she </w:t>
      </w:r>
      <w:r w:rsidR="00B63F67" w:rsidRPr="00A8135E">
        <w:t xml:space="preserve">considers </w:t>
      </w:r>
      <w:r w:rsidR="00EC7DA4" w:rsidRPr="00A8135E">
        <w:t xml:space="preserve">the State party </w:t>
      </w:r>
      <w:r w:rsidR="00B63F67" w:rsidRPr="00A8135E">
        <w:t xml:space="preserve">to be </w:t>
      </w:r>
      <w:r w:rsidR="00EC7DA4" w:rsidRPr="00A8135E">
        <w:t xml:space="preserve">able to identify her </w:t>
      </w:r>
      <w:r w:rsidR="002C7D8E" w:rsidRPr="00A8135E">
        <w:t xml:space="preserve">through </w:t>
      </w:r>
      <w:r w:rsidR="00EC7DA4" w:rsidRPr="00A8135E">
        <w:t xml:space="preserve">the </w:t>
      </w:r>
      <w:r w:rsidR="00B63F67" w:rsidRPr="00A8135E">
        <w:t xml:space="preserve">reference </w:t>
      </w:r>
      <w:r w:rsidR="00EC7DA4" w:rsidRPr="00A8135E">
        <w:t>number</w:t>
      </w:r>
      <w:r w:rsidR="002C7D8E" w:rsidRPr="00A8135E">
        <w:t xml:space="preserve">s </w:t>
      </w:r>
      <w:r w:rsidR="00B63F67" w:rsidRPr="00A8135E">
        <w:t>she provides</w:t>
      </w:r>
      <w:r w:rsidR="00EC7DA4" w:rsidRPr="00A8135E">
        <w:t xml:space="preserve">, the author </w:t>
      </w:r>
      <w:r w:rsidR="00FC736B" w:rsidRPr="00A8135E">
        <w:t>d</w:t>
      </w:r>
      <w:r w:rsidR="00B63F67" w:rsidRPr="00A8135E">
        <w:t xml:space="preserve">ecided </w:t>
      </w:r>
      <w:r w:rsidR="00EC7DA4" w:rsidRPr="00A8135E">
        <w:t xml:space="preserve">not </w:t>
      </w:r>
      <w:r w:rsidR="00A808E5" w:rsidRPr="00A8135E">
        <w:t xml:space="preserve">to </w:t>
      </w:r>
      <w:r w:rsidR="00EC7DA4" w:rsidRPr="00A8135E">
        <w:t xml:space="preserve">disclose her identity </w:t>
      </w:r>
      <w:r w:rsidR="00FC736B" w:rsidRPr="00A8135E">
        <w:t>to</w:t>
      </w:r>
      <w:r w:rsidR="00EC7DA4" w:rsidRPr="00A8135E">
        <w:t xml:space="preserve"> the Committee</w:t>
      </w:r>
      <w:r w:rsidR="002C7D8E" w:rsidRPr="00A8135E">
        <w:t xml:space="preserve"> either</w:t>
      </w:r>
      <w:r w:rsidR="00EC7DA4" w:rsidRPr="00A8135E">
        <w:t>.</w:t>
      </w:r>
    </w:p>
    <w:p w:rsidR="0083117C" w:rsidRPr="00A8135E" w:rsidRDefault="0083117C" w:rsidP="00312003">
      <w:pPr>
        <w:pStyle w:val="SingleTxtG"/>
      </w:pPr>
      <w:r w:rsidRPr="00A8135E">
        <w:t>2.3</w:t>
      </w:r>
      <w:r w:rsidR="00D078A8" w:rsidRPr="00A8135E">
        <w:tab/>
      </w:r>
      <w:r w:rsidR="00384F25" w:rsidRPr="00A8135E">
        <w:t xml:space="preserve">On 28 October, 8 November and 2 December 2005, the author reiterated her request not to </w:t>
      </w:r>
      <w:r w:rsidR="00FC736B" w:rsidRPr="00A8135E">
        <w:t xml:space="preserve">have her </w:t>
      </w:r>
      <w:r w:rsidR="00384F25" w:rsidRPr="00A8135E">
        <w:t>identity</w:t>
      </w:r>
      <w:r w:rsidR="00FC736B" w:rsidRPr="00A8135E">
        <w:t xml:space="preserve"> disclosed</w:t>
      </w:r>
      <w:r w:rsidR="00384F25" w:rsidRPr="00A8135E">
        <w:t>.</w:t>
      </w:r>
      <w:r w:rsidR="005F0B13" w:rsidRPr="00A8135E">
        <w:t xml:space="preserve"> In particular, </w:t>
      </w:r>
      <w:r w:rsidR="00FC736B" w:rsidRPr="00A8135E">
        <w:t>on</w:t>
      </w:r>
      <w:r w:rsidR="005F0B13" w:rsidRPr="00A8135E">
        <w:t xml:space="preserve"> 2 December 2005, </w:t>
      </w:r>
      <w:r w:rsidR="00FC736B" w:rsidRPr="00A8135E">
        <w:t>she</w:t>
      </w:r>
      <w:r w:rsidR="005F0B13" w:rsidRPr="00A8135E">
        <w:t xml:space="preserve"> recalled that she was precluded </w:t>
      </w:r>
      <w:r w:rsidR="00B51ED6" w:rsidRPr="00A8135E">
        <w:t xml:space="preserve">from </w:t>
      </w:r>
      <w:r w:rsidR="005F0B13" w:rsidRPr="00A8135E">
        <w:t>appeal</w:t>
      </w:r>
      <w:r w:rsidR="00B51ED6" w:rsidRPr="00A8135E">
        <w:t>ing</w:t>
      </w:r>
      <w:r w:rsidR="005F0B13" w:rsidRPr="00A8135E">
        <w:t xml:space="preserve"> her sentenc</w:t>
      </w:r>
      <w:r w:rsidRPr="00A8135E">
        <w:t>e</w:t>
      </w:r>
      <w:r w:rsidR="005F0B13" w:rsidRPr="00A8135E">
        <w:t xml:space="preserve"> </w:t>
      </w:r>
      <w:r w:rsidRPr="00A8135E">
        <w:t>as</w:t>
      </w:r>
      <w:r w:rsidR="005F0B13" w:rsidRPr="00A8135E">
        <w:t xml:space="preserve"> she</w:t>
      </w:r>
      <w:r w:rsidR="002C7D8E" w:rsidRPr="00A8135E">
        <w:t xml:space="preserve"> </w:t>
      </w:r>
      <w:r w:rsidR="00B51ED6" w:rsidRPr="00A8135E">
        <w:t xml:space="preserve">would </w:t>
      </w:r>
      <w:r w:rsidR="002C7D8E" w:rsidRPr="00A8135E">
        <w:t>not reveal her identity</w:t>
      </w:r>
      <w:r w:rsidR="00B63F67" w:rsidRPr="00A8135E">
        <w:t xml:space="preserve">, </w:t>
      </w:r>
      <w:r w:rsidR="00B51ED6" w:rsidRPr="00A8135E">
        <w:t xml:space="preserve">which </w:t>
      </w:r>
      <w:r w:rsidR="00B63F67" w:rsidRPr="00A8135E">
        <w:t>amount</w:t>
      </w:r>
      <w:r w:rsidR="002C7D8E" w:rsidRPr="00A8135E">
        <w:t xml:space="preserve">ed, </w:t>
      </w:r>
      <w:r w:rsidR="00247323" w:rsidRPr="00A8135E">
        <w:t>in her opinion</w:t>
      </w:r>
      <w:r w:rsidR="002C7D8E" w:rsidRPr="00A8135E">
        <w:t xml:space="preserve">, </w:t>
      </w:r>
      <w:r w:rsidR="00B63F67" w:rsidRPr="00A8135E">
        <w:t>to a v</w:t>
      </w:r>
      <w:r w:rsidR="005F0B13" w:rsidRPr="00A8135E">
        <w:t>iolat</w:t>
      </w:r>
      <w:r w:rsidR="00B63F67" w:rsidRPr="00A8135E">
        <w:t>ion</w:t>
      </w:r>
      <w:r w:rsidR="005F0B13" w:rsidRPr="00A8135E">
        <w:t xml:space="preserve"> </w:t>
      </w:r>
      <w:r w:rsidR="00B63F67" w:rsidRPr="00A8135E">
        <w:t xml:space="preserve">of </w:t>
      </w:r>
      <w:r w:rsidR="005F0B13" w:rsidRPr="00A8135E">
        <w:t xml:space="preserve">her rights under article 14, paragraph 5, of the Covenant. </w:t>
      </w:r>
      <w:r w:rsidR="002C7D8E" w:rsidRPr="00A8135E">
        <w:t xml:space="preserve">She adds that in her view, </w:t>
      </w:r>
      <w:r w:rsidR="008E4B7B" w:rsidRPr="00A8135E">
        <w:t xml:space="preserve">the right to remain anonymous </w:t>
      </w:r>
      <w:r w:rsidR="00B63F67" w:rsidRPr="00A8135E">
        <w:t>i</w:t>
      </w:r>
      <w:r w:rsidR="008E4B7B" w:rsidRPr="00A8135E">
        <w:t>s</w:t>
      </w:r>
      <w:r w:rsidR="005F0B13" w:rsidRPr="00A8135E">
        <w:t xml:space="preserve"> </w:t>
      </w:r>
      <w:r w:rsidR="00FC736B" w:rsidRPr="00A8135E">
        <w:t>directly</w:t>
      </w:r>
      <w:r w:rsidR="005F0B13" w:rsidRPr="00A8135E">
        <w:t xml:space="preserve"> linked to the right to a fair trial, which </w:t>
      </w:r>
      <w:r w:rsidRPr="00A8135E">
        <w:t>include</w:t>
      </w:r>
      <w:r w:rsidR="00B63F67" w:rsidRPr="00A8135E">
        <w:t>s</w:t>
      </w:r>
      <w:r w:rsidR="005F0B13" w:rsidRPr="00A8135E">
        <w:t xml:space="preserve"> the right not to </w:t>
      </w:r>
      <w:r w:rsidRPr="00A8135E">
        <w:t xml:space="preserve">incriminate </w:t>
      </w:r>
      <w:r w:rsidR="002F228A" w:rsidRPr="00A8135E">
        <w:t>oneself</w:t>
      </w:r>
      <w:r w:rsidR="005F0B13" w:rsidRPr="00A8135E">
        <w:t xml:space="preserve">. </w:t>
      </w:r>
    </w:p>
    <w:p w:rsidR="00384F25" w:rsidRPr="00A8135E" w:rsidRDefault="0083117C" w:rsidP="00AB3198">
      <w:pPr>
        <w:pStyle w:val="SingleTxtG"/>
      </w:pPr>
      <w:r w:rsidRPr="00A8135E">
        <w:t xml:space="preserve">2.4 </w:t>
      </w:r>
      <w:r w:rsidR="00D85049" w:rsidRPr="00A8135E">
        <w:tab/>
      </w:r>
      <w:r w:rsidR="008E4B7B" w:rsidRPr="00A8135E">
        <w:t>The author reiterate</w:t>
      </w:r>
      <w:r w:rsidR="00B63F67" w:rsidRPr="00A8135E">
        <w:t>s</w:t>
      </w:r>
      <w:r w:rsidR="00B266B0" w:rsidRPr="00A8135E">
        <w:t xml:space="preserve"> that her wish to remain anonymous </w:t>
      </w:r>
      <w:r w:rsidR="00FC736B" w:rsidRPr="00A8135E">
        <w:t>does</w:t>
      </w:r>
      <w:r w:rsidR="008E4B7B" w:rsidRPr="00A8135E">
        <w:t xml:space="preserve"> </w:t>
      </w:r>
      <w:r w:rsidR="00B266B0" w:rsidRPr="00A8135E">
        <w:t>not preclude the State p</w:t>
      </w:r>
      <w:r w:rsidR="008E4B7B" w:rsidRPr="00A8135E">
        <w:t xml:space="preserve">arty </w:t>
      </w:r>
      <w:r w:rsidR="002C7D8E" w:rsidRPr="00A8135E">
        <w:t xml:space="preserve">from </w:t>
      </w:r>
      <w:r w:rsidR="008E4B7B" w:rsidRPr="00A8135E">
        <w:t>identify</w:t>
      </w:r>
      <w:r w:rsidR="002C7D8E" w:rsidRPr="00A8135E">
        <w:t>ing</w:t>
      </w:r>
      <w:r w:rsidR="008E4B7B" w:rsidRPr="00A8135E">
        <w:t xml:space="preserve"> her, as she had</w:t>
      </w:r>
      <w:r w:rsidR="00B266B0" w:rsidRPr="00A8135E">
        <w:t xml:space="preserve"> submitted the relevant </w:t>
      </w:r>
      <w:r w:rsidR="008E4B7B" w:rsidRPr="00A8135E">
        <w:t xml:space="preserve">identification </w:t>
      </w:r>
      <w:r w:rsidR="00B266B0" w:rsidRPr="00A8135E">
        <w:t xml:space="preserve">numbers </w:t>
      </w:r>
      <w:r w:rsidR="00FC736B" w:rsidRPr="00A8135E">
        <w:t xml:space="preserve">and thus </w:t>
      </w:r>
      <w:r w:rsidR="00B266B0" w:rsidRPr="00A8135E">
        <w:t xml:space="preserve">could be </w:t>
      </w:r>
      <w:r w:rsidR="002C7D8E" w:rsidRPr="00A8135E">
        <w:t xml:space="preserve">easily </w:t>
      </w:r>
      <w:r w:rsidR="00B266B0" w:rsidRPr="00A8135E">
        <w:t>identified.</w:t>
      </w:r>
      <w:r w:rsidR="005F0B13" w:rsidRPr="00A8135E">
        <w:t xml:space="preserve">  </w:t>
      </w:r>
    </w:p>
    <w:p w:rsidR="00384F25" w:rsidRPr="00A8135E" w:rsidRDefault="0031560E" w:rsidP="00307676">
      <w:pPr>
        <w:pStyle w:val="SingleTxtG"/>
      </w:pPr>
      <w:r w:rsidRPr="00A8135E">
        <w:t>2.5</w:t>
      </w:r>
      <w:r w:rsidR="00D078A8" w:rsidRPr="00A8135E">
        <w:tab/>
      </w:r>
      <w:r w:rsidR="0083117C" w:rsidRPr="00A8135E">
        <w:t>O</w:t>
      </w:r>
      <w:r w:rsidR="00B07B13" w:rsidRPr="00A8135E">
        <w:t>n 9 June 2006</w:t>
      </w:r>
      <w:r w:rsidR="0098294A" w:rsidRPr="00A8135E">
        <w:t xml:space="preserve">, </w:t>
      </w:r>
      <w:r w:rsidR="00B07B13" w:rsidRPr="00A8135E">
        <w:t>the author</w:t>
      </w:r>
      <w:r w:rsidR="0098294A" w:rsidRPr="00A8135E">
        <w:t xml:space="preserve"> </w:t>
      </w:r>
      <w:r w:rsidR="005D2D96" w:rsidRPr="00A8135E">
        <w:t xml:space="preserve">disclosed </w:t>
      </w:r>
      <w:r w:rsidR="00FC736B" w:rsidRPr="00A8135E">
        <w:t>her name</w:t>
      </w:r>
      <w:r w:rsidR="00B3523C" w:rsidRPr="00A8135E">
        <w:t xml:space="preserve"> to the Committee</w:t>
      </w:r>
      <w:r w:rsidR="0098294A" w:rsidRPr="00A8135E">
        <w:t xml:space="preserve">, </w:t>
      </w:r>
      <w:r w:rsidR="00307676" w:rsidRPr="00A8135E">
        <w:t xml:space="preserve">on </w:t>
      </w:r>
      <w:r w:rsidR="0098294A" w:rsidRPr="00A8135E">
        <w:t xml:space="preserve">the strict condition that </w:t>
      </w:r>
      <w:r w:rsidR="0083117C" w:rsidRPr="00A8135E">
        <w:t>it</w:t>
      </w:r>
      <w:r w:rsidR="0098294A" w:rsidRPr="00A8135E">
        <w:t xml:space="preserve"> </w:t>
      </w:r>
      <w:r w:rsidR="00B51ED6" w:rsidRPr="00A8135E">
        <w:t xml:space="preserve">would </w:t>
      </w:r>
      <w:r w:rsidR="0098294A" w:rsidRPr="00A8135E">
        <w:t>be kept confidential</w:t>
      </w:r>
      <w:r w:rsidR="002C7D8E" w:rsidRPr="00A8135E">
        <w:t xml:space="preserve"> </w:t>
      </w:r>
      <w:r w:rsidR="0098294A" w:rsidRPr="00A8135E">
        <w:t xml:space="preserve">and </w:t>
      </w:r>
      <w:r w:rsidR="00B51ED6" w:rsidRPr="00A8135E">
        <w:t xml:space="preserve">would </w:t>
      </w:r>
      <w:r w:rsidR="0098294A" w:rsidRPr="00A8135E">
        <w:t xml:space="preserve">not be </w:t>
      </w:r>
      <w:r w:rsidR="002972DB" w:rsidRPr="00A8135E">
        <w:t>disclosed</w:t>
      </w:r>
      <w:r w:rsidR="00FC736B" w:rsidRPr="00A8135E">
        <w:t xml:space="preserve"> to the State party.</w:t>
      </w:r>
    </w:p>
    <w:p w:rsidR="00B4421F" w:rsidRPr="00A8135E" w:rsidRDefault="008F2E8B" w:rsidP="008F2E8B">
      <w:pPr>
        <w:pStyle w:val="H23G"/>
      </w:pPr>
      <w:r w:rsidRPr="00A8135E">
        <w:tab/>
      </w:r>
      <w:r w:rsidRPr="00A8135E">
        <w:tab/>
      </w:r>
      <w:r w:rsidR="00B4421F" w:rsidRPr="00A8135E">
        <w:t>The complaint</w:t>
      </w:r>
    </w:p>
    <w:p w:rsidR="00384F25" w:rsidRPr="00A8135E" w:rsidRDefault="009B76AC" w:rsidP="00533423">
      <w:pPr>
        <w:pStyle w:val="SingleTxtG"/>
      </w:pPr>
      <w:r w:rsidRPr="00A8135E">
        <w:t>3</w:t>
      </w:r>
      <w:r w:rsidR="00D4110A" w:rsidRPr="00A8135E">
        <w:t>.</w:t>
      </w:r>
      <w:r w:rsidR="00D4110A" w:rsidRPr="00A8135E">
        <w:tab/>
      </w:r>
      <w:r w:rsidR="00384F25" w:rsidRPr="00A8135E">
        <w:t xml:space="preserve">The author claims to be the victim of a violation of </w:t>
      </w:r>
      <w:r w:rsidR="002C7D8E" w:rsidRPr="00A8135E">
        <w:t xml:space="preserve">her rights under </w:t>
      </w:r>
      <w:r w:rsidR="00384F25" w:rsidRPr="00A8135E">
        <w:t xml:space="preserve">article 14, paragraph 5, of the Covenant, </w:t>
      </w:r>
      <w:r w:rsidR="00FC736B" w:rsidRPr="00A8135E">
        <w:t>as</w:t>
      </w:r>
      <w:r w:rsidR="0083117C" w:rsidRPr="00A8135E">
        <w:t xml:space="preserve"> she </w:t>
      </w:r>
      <w:r w:rsidR="00533423" w:rsidRPr="00A8135E">
        <w:t>was unable to</w:t>
      </w:r>
      <w:r w:rsidR="00384F25" w:rsidRPr="00A8135E">
        <w:t xml:space="preserve"> appeal her sentence </w:t>
      </w:r>
      <w:r w:rsidR="002C7D8E" w:rsidRPr="00A8135E">
        <w:t xml:space="preserve">because she </w:t>
      </w:r>
      <w:r w:rsidR="00533423" w:rsidRPr="00A8135E">
        <w:t xml:space="preserve">would </w:t>
      </w:r>
      <w:r w:rsidR="002C7D8E" w:rsidRPr="00A8135E">
        <w:t>not disclose her name</w:t>
      </w:r>
      <w:r w:rsidR="00384F25" w:rsidRPr="00A8135E">
        <w:t>.</w:t>
      </w:r>
    </w:p>
    <w:p w:rsidR="00B4421F" w:rsidRPr="00A8135E" w:rsidRDefault="008F2E8B" w:rsidP="008F2E8B">
      <w:pPr>
        <w:pStyle w:val="H23G"/>
      </w:pPr>
      <w:r w:rsidRPr="00A8135E">
        <w:tab/>
      </w:r>
      <w:r w:rsidRPr="00A8135E">
        <w:tab/>
      </w:r>
      <w:r w:rsidR="00B4421F" w:rsidRPr="00A8135E">
        <w:t>State party’</w:t>
      </w:r>
      <w:r w:rsidR="00223E1F" w:rsidRPr="00A8135E">
        <w:t>s observations on admissibility</w:t>
      </w:r>
    </w:p>
    <w:p w:rsidR="00C82C84" w:rsidRPr="00A8135E" w:rsidRDefault="00B4421F" w:rsidP="009A1A05">
      <w:pPr>
        <w:pStyle w:val="SingleTxtG"/>
      </w:pPr>
      <w:r w:rsidRPr="00A8135E">
        <w:t>4.</w:t>
      </w:r>
      <w:r w:rsidR="00223E1F" w:rsidRPr="00A8135E">
        <w:tab/>
      </w:r>
      <w:r w:rsidR="009B76AC" w:rsidRPr="00A8135E">
        <w:t xml:space="preserve">By </w:t>
      </w:r>
      <w:r w:rsidR="00B51ED6" w:rsidRPr="00A8135E">
        <w:t>n</w:t>
      </w:r>
      <w:r w:rsidR="009B76AC" w:rsidRPr="00A8135E">
        <w:t xml:space="preserve">ote verbale of </w:t>
      </w:r>
      <w:r w:rsidR="00C82C84" w:rsidRPr="00A8135E">
        <w:t>27 August 2009</w:t>
      </w:r>
      <w:r w:rsidR="009B76AC" w:rsidRPr="00A8135E">
        <w:t>, the State party challeng</w:t>
      </w:r>
      <w:r w:rsidR="0083117C" w:rsidRPr="00A8135E">
        <w:t>ed</w:t>
      </w:r>
      <w:r w:rsidR="009B76AC" w:rsidRPr="00A8135E">
        <w:t xml:space="preserve"> the admissibility of the communication</w:t>
      </w:r>
      <w:r w:rsidR="00C82C84" w:rsidRPr="00A8135E">
        <w:t xml:space="preserve">. </w:t>
      </w:r>
      <w:r w:rsidR="0083117C" w:rsidRPr="00A8135E">
        <w:t>It points out</w:t>
      </w:r>
      <w:r w:rsidR="00C82C84" w:rsidRPr="00A8135E">
        <w:t xml:space="preserve"> that</w:t>
      </w:r>
      <w:r w:rsidR="0083117C" w:rsidRPr="00A8135E">
        <w:t xml:space="preserve"> the communication is </w:t>
      </w:r>
      <w:r w:rsidR="004D3936" w:rsidRPr="00A8135E">
        <w:t>anonymous</w:t>
      </w:r>
      <w:r w:rsidR="002C7D8E" w:rsidRPr="00A8135E">
        <w:t xml:space="preserve">, </w:t>
      </w:r>
      <w:r w:rsidR="00533423" w:rsidRPr="00A8135E">
        <w:t xml:space="preserve">although </w:t>
      </w:r>
      <w:r w:rsidR="00C82C84" w:rsidRPr="00A8135E">
        <w:t xml:space="preserve">article 3 of the Optional Protocol explicitly </w:t>
      </w:r>
      <w:r w:rsidR="0083117C" w:rsidRPr="00A8135E">
        <w:t>precludes</w:t>
      </w:r>
      <w:r w:rsidR="00C82C84" w:rsidRPr="00A8135E">
        <w:t xml:space="preserve"> the Committee </w:t>
      </w:r>
      <w:r w:rsidR="00780FED" w:rsidRPr="00A8135E">
        <w:t>from</w:t>
      </w:r>
      <w:r w:rsidR="00C82C84" w:rsidRPr="00A8135E">
        <w:t xml:space="preserve"> consider</w:t>
      </w:r>
      <w:r w:rsidR="00780FED" w:rsidRPr="00A8135E">
        <w:t>ing</w:t>
      </w:r>
      <w:r w:rsidR="00C82C84" w:rsidRPr="00A8135E">
        <w:t xml:space="preserve"> </w:t>
      </w:r>
      <w:r w:rsidR="002C7D8E" w:rsidRPr="00A8135E">
        <w:t xml:space="preserve">anonymous </w:t>
      </w:r>
      <w:r w:rsidR="00C82C84" w:rsidRPr="00A8135E">
        <w:t>communication</w:t>
      </w:r>
      <w:r w:rsidR="002C7D8E" w:rsidRPr="00A8135E">
        <w:t>s</w:t>
      </w:r>
      <w:r w:rsidR="00C82C84" w:rsidRPr="00A8135E">
        <w:t xml:space="preserve">. </w:t>
      </w:r>
      <w:r w:rsidR="00780FED" w:rsidRPr="00A8135E">
        <w:t>It further</w:t>
      </w:r>
      <w:r w:rsidR="00C82C84" w:rsidRPr="00A8135E">
        <w:t xml:space="preserve"> notes that </w:t>
      </w:r>
      <w:r w:rsidR="00FC736B" w:rsidRPr="00A8135E">
        <w:t>it finds no</w:t>
      </w:r>
      <w:r w:rsidR="00C82C84" w:rsidRPr="00A8135E">
        <w:t xml:space="preserve"> explanation </w:t>
      </w:r>
      <w:r w:rsidR="00780FED" w:rsidRPr="00A8135E">
        <w:t>as to</w:t>
      </w:r>
      <w:r w:rsidR="00C82C84" w:rsidRPr="00A8135E">
        <w:t xml:space="preserve"> why </w:t>
      </w:r>
      <w:r w:rsidR="00FC736B" w:rsidRPr="00A8135E">
        <w:t>this communication</w:t>
      </w:r>
      <w:r w:rsidR="00C82C84" w:rsidRPr="00A8135E">
        <w:t xml:space="preserve"> was </w:t>
      </w:r>
      <w:r w:rsidR="002C7D8E" w:rsidRPr="00A8135E">
        <w:t>brought to its attention</w:t>
      </w:r>
      <w:r w:rsidR="00C82C84" w:rsidRPr="00A8135E">
        <w:t xml:space="preserve"> notwithstanding the requirements of article 3 of the Optional Protocol. </w:t>
      </w:r>
      <w:r w:rsidR="002C7D8E" w:rsidRPr="00A8135E">
        <w:t>In addition, a</w:t>
      </w:r>
      <w:r w:rsidR="00C82C84" w:rsidRPr="00A8135E">
        <w:t>ccording to the State party, the communication itself d</w:t>
      </w:r>
      <w:r w:rsidR="002F228A" w:rsidRPr="00A8135E">
        <w:t>oes</w:t>
      </w:r>
      <w:r w:rsidR="00C82C84" w:rsidRPr="00A8135E">
        <w:t xml:space="preserve"> not provide any reasons for </w:t>
      </w:r>
      <w:r w:rsidR="00FC736B" w:rsidRPr="00A8135E">
        <w:t>the need to keep the author’s identity undisclosed</w:t>
      </w:r>
      <w:r w:rsidR="00C82C84" w:rsidRPr="00A8135E">
        <w:t>.</w:t>
      </w:r>
    </w:p>
    <w:p w:rsidR="0086231E" w:rsidRPr="00A8135E" w:rsidRDefault="007C1AD9" w:rsidP="007C1AD9">
      <w:pPr>
        <w:pStyle w:val="H23G"/>
      </w:pPr>
      <w:r w:rsidRPr="00A8135E">
        <w:lastRenderedPageBreak/>
        <w:tab/>
      </w:r>
      <w:r w:rsidRPr="00A8135E">
        <w:tab/>
      </w:r>
      <w:r w:rsidR="0086231E" w:rsidRPr="00A8135E">
        <w:t>Author</w:t>
      </w:r>
      <w:r w:rsidR="00223E1F" w:rsidRPr="00A8135E">
        <w:t>’</w:t>
      </w:r>
      <w:r w:rsidR="009B76AC" w:rsidRPr="00A8135E">
        <w:t>s</w:t>
      </w:r>
      <w:r w:rsidR="0086231E" w:rsidRPr="00A8135E">
        <w:t xml:space="preserve"> comments on the State party’s observations </w:t>
      </w:r>
    </w:p>
    <w:p w:rsidR="005F0B13" w:rsidRPr="00A8135E" w:rsidRDefault="0086231E" w:rsidP="009A1A05">
      <w:pPr>
        <w:pStyle w:val="SingleTxtG"/>
      </w:pPr>
      <w:r w:rsidRPr="00A8135E">
        <w:t>5.1</w:t>
      </w:r>
      <w:r w:rsidRPr="00A8135E">
        <w:tab/>
        <w:t xml:space="preserve">On </w:t>
      </w:r>
      <w:r w:rsidR="00826836" w:rsidRPr="00A8135E">
        <w:t>26 July</w:t>
      </w:r>
      <w:r w:rsidR="00BE22F9" w:rsidRPr="00A8135E">
        <w:t xml:space="preserve"> 2011, the author </w:t>
      </w:r>
      <w:r w:rsidR="008E4B7B" w:rsidRPr="00A8135E">
        <w:t>rejected</w:t>
      </w:r>
      <w:r w:rsidR="00A91339" w:rsidRPr="00A8135E">
        <w:t xml:space="preserve"> the</w:t>
      </w:r>
      <w:r w:rsidR="008E4B7B" w:rsidRPr="00A8135E">
        <w:t xml:space="preserve"> State party’s observations</w:t>
      </w:r>
      <w:r w:rsidR="00A91339" w:rsidRPr="00A8135E">
        <w:t xml:space="preserve">. With regard to the </w:t>
      </w:r>
      <w:r w:rsidR="00826836" w:rsidRPr="00A8135E">
        <w:t>issue of he</w:t>
      </w:r>
      <w:r w:rsidR="002C7D8E" w:rsidRPr="00A8135E">
        <w:t>r</w:t>
      </w:r>
      <w:r w:rsidR="00826836" w:rsidRPr="00A8135E">
        <w:t xml:space="preserve"> anonymity</w:t>
      </w:r>
      <w:r w:rsidR="00A91339" w:rsidRPr="00A8135E">
        <w:t xml:space="preserve">, </w:t>
      </w:r>
      <w:r w:rsidR="00780FED" w:rsidRPr="00A8135E">
        <w:t>she</w:t>
      </w:r>
      <w:r w:rsidR="00A91339" w:rsidRPr="00A8135E">
        <w:t xml:space="preserve"> </w:t>
      </w:r>
      <w:r w:rsidR="00826836" w:rsidRPr="00A8135E">
        <w:t xml:space="preserve">explains that </w:t>
      </w:r>
      <w:r w:rsidR="009A1A05" w:rsidRPr="00A8135E">
        <w:t xml:space="preserve">the </w:t>
      </w:r>
      <w:r w:rsidR="00826836" w:rsidRPr="00A8135E">
        <w:t xml:space="preserve">communication is not </w:t>
      </w:r>
      <w:r w:rsidR="005F0B13" w:rsidRPr="00A8135E">
        <w:t>anonymous</w:t>
      </w:r>
      <w:r w:rsidR="00FC736B" w:rsidRPr="00A8135E">
        <w:t>, as the</w:t>
      </w:r>
      <w:r w:rsidR="005F0B13" w:rsidRPr="00A8135E">
        <w:t xml:space="preserve"> State party </w:t>
      </w:r>
      <w:r w:rsidR="009A1A05" w:rsidRPr="00A8135E">
        <w:t xml:space="preserve">would be able to </w:t>
      </w:r>
      <w:r w:rsidR="00780FED" w:rsidRPr="00A8135E">
        <w:t>identify her</w:t>
      </w:r>
      <w:r w:rsidR="005F0B13" w:rsidRPr="00A8135E">
        <w:t xml:space="preserve">. </w:t>
      </w:r>
      <w:r w:rsidR="002C7D8E" w:rsidRPr="00A8135E">
        <w:t>She adds that in</w:t>
      </w:r>
      <w:r w:rsidR="009A1A05" w:rsidRPr="00A8135E">
        <w:t>,</w:t>
      </w:r>
      <w:r w:rsidR="002C7D8E" w:rsidRPr="00A8135E">
        <w:t xml:space="preserve"> any case, </w:t>
      </w:r>
      <w:r w:rsidR="00977D62" w:rsidRPr="00A8135E">
        <w:t>her anonymity</w:t>
      </w:r>
      <w:r w:rsidR="005F0B13" w:rsidRPr="00A8135E">
        <w:t xml:space="preserve"> </w:t>
      </w:r>
      <w:r w:rsidR="009A1A05" w:rsidRPr="00A8135E">
        <w:t xml:space="preserve">had </w:t>
      </w:r>
      <w:r w:rsidR="005F0B13" w:rsidRPr="00A8135E">
        <w:t>not prevent</w:t>
      </w:r>
      <w:r w:rsidR="009A1A05" w:rsidRPr="00A8135E">
        <w:t>ed</w:t>
      </w:r>
      <w:r w:rsidR="005F0B13" w:rsidRPr="00A8135E">
        <w:t xml:space="preserve"> the State party </w:t>
      </w:r>
      <w:r w:rsidR="00307676" w:rsidRPr="00A8135E">
        <w:t xml:space="preserve">from </w:t>
      </w:r>
      <w:r w:rsidR="00FC736B" w:rsidRPr="00A8135E">
        <w:t>pursu</w:t>
      </w:r>
      <w:r w:rsidR="00307676" w:rsidRPr="00A8135E">
        <w:t>ing</w:t>
      </w:r>
      <w:r w:rsidR="005F0B13" w:rsidRPr="00A8135E">
        <w:t xml:space="preserve"> criminal proceedings against </w:t>
      </w:r>
      <w:r w:rsidR="00780FED" w:rsidRPr="00A8135E">
        <w:t>her</w:t>
      </w:r>
      <w:r w:rsidR="005F0B13" w:rsidRPr="00A8135E">
        <w:t>.</w:t>
      </w:r>
    </w:p>
    <w:p w:rsidR="00C41107" w:rsidRPr="00A8135E" w:rsidRDefault="005F0B13" w:rsidP="00247323">
      <w:pPr>
        <w:pStyle w:val="SingleTxtG"/>
      </w:pPr>
      <w:r w:rsidRPr="00A8135E">
        <w:t xml:space="preserve">5.2 </w:t>
      </w:r>
      <w:r w:rsidR="00BA6BCC" w:rsidRPr="00A8135E">
        <w:tab/>
      </w:r>
      <w:r w:rsidRPr="00A8135E">
        <w:t xml:space="preserve">The author </w:t>
      </w:r>
      <w:r w:rsidR="0031560E" w:rsidRPr="00A8135E">
        <w:t>reiterates</w:t>
      </w:r>
      <w:r w:rsidR="00757D97" w:rsidRPr="00A8135E">
        <w:t xml:space="preserve"> </w:t>
      </w:r>
      <w:r w:rsidRPr="00A8135E">
        <w:t xml:space="preserve">her </w:t>
      </w:r>
      <w:r w:rsidR="00757D97" w:rsidRPr="00A8135E">
        <w:t>comments of 2 December 2005</w:t>
      </w:r>
      <w:r w:rsidR="00B51ED6" w:rsidRPr="00A8135E">
        <w:t>,</w:t>
      </w:r>
      <w:r w:rsidR="002F202F" w:rsidRPr="00A8135E">
        <w:rPr>
          <w:rStyle w:val="FootnoteReference"/>
        </w:rPr>
        <w:footnoteReference w:id="7"/>
      </w:r>
      <w:r w:rsidR="002C7D8E" w:rsidRPr="00A8135E">
        <w:t xml:space="preserve"> and </w:t>
      </w:r>
      <w:r w:rsidR="0031560E" w:rsidRPr="00A8135E">
        <w:t>refers</w:t>
      </w:r>
      <w:r w:rsidR="00C41107" w:rsidRPr="00A8135E">
        <w:t xml:space="preserve"> to the conclusions of the European Court of Human Rights</w:t>
      </w:r>
      <w:r w:rsidR="006C1702" w:rsidRPr="00A8135E">
        <w:t xml:space="preserve"> in Application No.</w:t>
      </w:r>
      <w:r w:rsidR="002C7D8E" w:rsidRPr="00A8135E">
        <w:t xml:space="preserve"> </w:t>
      </w:r>
      <w:r w:rsidR="006C1702" w:rsidRPr="00A8135E">
        <w:t xml:space="preserve">36378/02, </w:t>
      </w:r>
      <w:r w:rsidR="006C1702" w:rsidRPr="00A8135E">
        <w:rPr>
          <w:i/>
          <w:iCs/>
        </w:rPr>
        <w:t>Shamayev</w:t>
      </w:r>
      <w:r w:rsidR="006C1702" w:rsidRPr="00A8135E">
        <w:t xml:space="preserve"> v. </w:t>
      </w:r>
      <w:r w:rsidR="006C1702" w:rsidRPr="00A8135E">
        <w:rPr>
          <w:i/>
          <w:iCs/>
        </w:rPr>
        <w:t>Georgia and Russia</w:t>
      </w:r>
      <w:r w:rsidR="00B51ED6" w:rsidRPr="00A8135E">
        <w:rPr>
          <w:i/>
          <w:iCs/>
        </w:rPr>
        <w:t>,</w:t>
      </w:r>
      <w:r w:rsidR="00C41107" w:rsidRPr="00A8135E">
        <w:rPr>
          <w:rStyle w:val="FootnoteReference"/>
        </w:rPr>
        <w:footnoteReference w:id="8"/>
      </w:r>
      <w:r w:rsidR="00C41107" w:rsidRPr="00A8135E">
        <w:t xml:space="preserve"> </w:t>
      </w:r>
      <w:r w:rsidR="00AB4658" w:rsidRPr="00A8135E">
        <w:t>in which</w:t>
      </w:r>
      <w:r w:rsidR="006C1702" w:rsidRPr="00A8135E">
        <w:t xml:space="preserve">, according to the author, </w:t>
      </w:r>
      <w:r w:rsidR="00C41107" w:rsidRPr="00A8135E">
        <w:t xml:space="preserve">the Court </w:t>
      </w:r>
      <w:r w:rsidR="006C1702" w:rsidRPr="00A8135E">
        <w:t xml:space="preserve">had concluded that </w:t>
      </w:r>
      <w:r w:rsidR="00205F72" w:rsidRPr="00A8135E">
        <w:t xml:space="preserve">behind the </w:t>
      </w:r>
      <w:r w:rsidR="00AB4658" w:rsidRPr="00A8135E">
        <w:t xml:space="preserve">strategy of </w:t>
      </w:r>
      <w:r w:rsidR="00205F72" w:rsidRPr="00A8135E">
        <w:t xml:space="preserve">concealing their </w:t>
      </w:r>
      <w:r w:rsidR="00AB4658" w:rsidRPr="00A8135E">
        <w:t xml:space="preserve">true </w:t>
      </w:r>
      <w:r w:rsidR="00205F72" w:rsidRPr="00A8135E">
        <w:t>identities</w:t>
      </w:r>
      <w:r w:rsidR="00AB4658" w:rsidRPr="00A8135E">
        <w:t>,</w:t>
      </w:r>
      <w:r w:rsidR="00205F72" w:rsidRPr="00A8135E">
        <w:t xml:space="preserve"> for understandable reasons</w:t>
      </w:r>
      <w:r w:rsidR="00AB4658" w:rsidRPr="00A8135E">
        <w:t>,</w:t>
      </w:r>
      <w:r w:rsidR="00205F72" w:rsidRPr="00A8135E">
        <w:t xml:space="preserve"> were real people</w:t>
      </w:r>
      <w:r w:rsidR="00F32B41" w:rsidRPr="00A8135E">
        <w:t>,</w:t>
      </w:r>
      <w:r w:rsidR="00205F72" w:rsidRPr="00A8135E">
        <w:t xml:space="preserve"> </w:t>
      </w:r>
      <w:r w:rsidR="00247323" w:rsidRPr="00A8135E">
        <w:t xml:space="preserve">sufficiently </w:t>
      </w:r>
      <w:r w:rsidR="00205F72" w:rsidRPr="00A8135E">
        <w:t>identifiable from a number of indications other than their names</w:t>
      </w:r>
      <w:r w:rsidR="00C41107" w:rsidRPr="00A8135E">
        <w:t>.</w:t>
      </w:r>
    </w:p>
    <w:p w:rsidR="00132850" w:rsidRPr="00A8135E" w:rsidRDefault="007C1AD9" w:rsidP="007C1AD9">
      <w:pPr>
        <w:pStyle w:val="H23G"/>
      </w:pPr>
      <w:r w:rsidRPr="00A8135E">
        <w:tab/>
      </w:r>
      <w:r w:rsidRPr="00A8135E">
        <w:tab/>
      </w:r>
      <w:r w:rsidR="00132850" w:rsidRPr="00A8135E">
        <w:t>Issues and proceedings before the Committee</w:t>
      </w:r>
    </w:p>
    <w:p w:rsidR="00E33323" w:rsidRPr="00A8135E" w:rsidRDefault="007C1AD9" w:rsidP="007C1AD9">
      <w:pPr>
        <w:pStyle w:val="H4G"/>
      </w:pPr>
      <w:r w:rsidRPr="00A8135E">
        <w:tab/>
      </w:r>
      <w:r w:rsidRPr="00A8135E">
        <w:tab/>
      </w:r>
      <w:r w:rsidR="00E33323" w:rsidRPr="00A8135E">
        <w:t>Consideration of admissibility</w:t>
      </w:r>
    </w:p>
    <w:p w:rsidR="009B76AC" w:rsidRPr="00A8135E" w:rsidRDefault="007030AD" w:rsidP="007C1AD9">
      <w:pPr>
        <w:pStyle w:val="SingleTxtG"/>
      </w:pPr>
      <w:r w:rsidRPr="00A8135E">
        <w:t>6</w:t>
      </w:r>
      <w:r w:rsidR="009B76AC" w:rsidRPr="00A8135E">
        <w:t>.1</w:t>
      </w:r>
      <w:r w:rsidR="009B76AC" w:rsidRPr="00A8135E">
        <w:tab/>
        <w:t xml:space="preserve">Before considering any claim contained in a communication, the Human Rights Committee must, in accordance with rule 93 of its </w:t>
      </w:r>
      <w:r w:rsidR="00B51ED6" w:rsidRPr="00A8135E">
        <w:t>r</w:t>
      </w:r>
      <w:r w:rsidR="009B76AC" w:rsidRPr="00A8135E">
        <w:t>ules of procedure, decide whether or not the case is admissible under the Optional Protocol to the Covenant.</w:t>
      </w:r>
    </w:p>
    <w:p w:rsidR="00B03A2F" w:rsidRPr="00A8135E" w:rsidRDefault="00B03A2F" w:rsidP="00247323">
      <w:pPr>
        <w:pStyle w:val="SingleTxtG"/>
      </w:pPr>
      <w:r w:rsidRPr="00A8135E">
        <w:t>6.2</w:t>
      </w:r>
      <w:r w:rsidR="00254B4C" w:rsidRPr="00A8135E">
        <w:t xml:space="preserve"> </w:t>
      </w:r>
      <w:r w:rsidR="00BA6BCC" w:rsidRPr="00A8135E">
        <w:tab/>
      </w:r>
      <w:r w:rsidR="00254B4C" w:rsidRPr="00A8135E">
        <w:t xml:space="preserve">The Committee </w:t>
      </w:r>
      <w:r w:rsidR="002C7D8E" w:rsidRPr="00A8135E">
        <w:t xml:space="preserve">has noted the State party’s </w:t>
      </w:r>
      <w:r w:rsidR="003828ED" w:rsidRPr="00A8135E">
        <w:t xml:space="preserve">objections </w:t>
      </w:r>
      <w:r w:rsidR="002F3C90" w:rsidRPr="00A8135E">
        <w:t xml:space="preserve">to </w:t>
      </w:r>
      <w:r w:rsidR="003828ED" w:rsidRPr="00A8135E">
        <w:t xml:space="preserve">the admissibility of the communication under article 3 of the Optional Protocol to the Covenant. It further </w:t>
      </w:r>
      <w:r w:rsidR="00A8731F" w:rsidRPr="00A8135E">
        <w:t>notes</w:t>
      </w:r>
      <w:r w:rsidR="00254B4C" w:rsidRPr="00A8135E">
        <w:t xml:space="preserve"> that</w:t>
      </w:r>
      <w:r w:rsidR="00F82F8D" w:rsidRPr="00A8135E">
        <w:t>,</w:t>
      </w:r>
      <w:r w:rsidR="00254B4C" w:rsidRPr="00A8135E">
        <w:t xml:space="preserve"> pursuant to article 3 of the Optional Protocol, as well as to </w:t>
      </w:r>
      <w:r w:rsidR="002F3C90" w:rsidRPr="00A8135E">
        <w:t>r</w:t>
      </w:r>
      <w:r w:rsidR="00254B4C" w:rsidRPr="00A8135E">
        <w:t>ule 96, paragraph (a)</w:t>
      </w:r>
      <w:r w:rsidR="002F3C90" w:rsidRPr="00A8135E">
        <w:t>,</w:t>
      </w:r>
      <w:r w:rsidR="00254B4C" w:rsidRPr="00A8135E">
        <w:t xml:space="preserve"> of the </w:t>
      </w:r>
      <w:r w:rsidR="003828ED" w:rsidRPr="00A8135E">
        <w:t>Committee’s r</w:t>
      </w:r>
      <w:r w:rsidR="00254B4C" w:rsidRPr="00A8135E">
        <w:t>ules of procedure</w:t>
      </w:r>
      <w:r w:rsidR="003828ED" w:rsidRPr="00A8135E">
        <w:t xml:space="preserve"> </w:t>
      </w:r>
      <w:r w:rsidR="00311113" w:rsidRPr="00A8135E">
        <w:t>“</w:t>
      </w:r>
      <w:r w:rsidR="00254B4C" w:rsidRPr="00A8135E">
        <w:t>the Committee shall consider inadmissible any communication under the present Protocol which is anonymous (…).</w:t>
      </w:r>
      <w:r w:rsidR="00311113" w:rsidRPr="00A8135E">
        <w:t>”</w:t>
      </w:r>
      <w:r w:rsidR="008E4B7B" w:rsidRPr="00A8135E">
        <w:t xml:space="preserve"> </w:t>
      </w:r>
    </w:p>
    <w:p w:rsidR="00B03A2F" w:rsidRPr="00A8135E" w:rsidRDefault="00B03A2F" w:rsidP="00A2790B">
      <w:pPr>
        <w:pStyle w:val="SingleTxtG"/>
      </w:pPr>
      <w:r w:rsidRPr="00A8135E">
        <w:t>6.3</w:t>
      </w:r>
      <w:r w:rsidRPr="00A8135E">
        <w:tab/>
        <w:t xml:space="preserve">The Committee </w:t>
      </w:r>
      <w:r w:rsidR="00A13961" w:rsidRPr="00A8135E">
        <w:t>notes</w:t>
      </w:r>
      <w:r w:rsidRPr="00A8135E">
        <w:t xml:space="preserve"> that the author wished to remain anonymous, both to th</w:t>
      </w:r>
      <w:r w:rsidR="00A13961" w:rsidRPr="00A8135E">
        <w:t>e Committee and the State party</w:t>
      </w:r>
      <w:r w:rsidRPr="00A8135E">
        <w:t xml:space="preserve">. On 9 June 2006, the author disclosed her identity to the Committee; however she insisted </w:t>
      </w:r>
      <w:r w:rsidR="00B51ED6" w:rsidRPr="00A8135E">
        <w:t xml:space="preserve">on </w:t>
      </w:r>
      <w:r w:rsidRPr="00A8135E">
        <w:t>preserv</w:t>
      </w:r>
      <w:r w:rsidR="00B51ED6" w:rsidRPr="00A8135E">
        <w:t>ing</w:t>
      </w:r>
      <w:r w:rsidRPr="00A8135E">
        <w:t xml:space="preserve"> her anonymity to the State party, as, according to </w:t>
      </w:r>
      <w:r w:rsidR="00A13961" w:rsidRPr="00A8135E">
        <w:t>her</w:t>
      </w:r>
      <w:r w:rsidRPr="00A8135E">
        <w:t xml:space="preserve">, she could be </w:t>
      </w:r>
      <w:r w:rsidR="00A13961" w:rsidRPr="00A8135E">
        <w:t xml:space="preserve">easily </w:t>
      </w:r>
      <w:r w:rsidRPr="00A8135E">
        <w:t xml:space="preserve">identified by the </w:t>
      </w:r>
      <w:r w:rsidR="003828ED" w:rsidRPr="00A8135E">
        <w:t>authorities</w:t>
      </w:r>
      <w:r w:rsidR="00B51ED6" w:rsidRPr="00A8135E">
        <w:t>.</w:t>
      </w:r>
      <w:r w:rsidR="00A13961" w:rsidRPr="00A8135E">
        <w:rPr>
          <w:rStyle w:val="FootnoteReference"/>
        </w:rPr>
        <w:footnoteReference w:id="9"/>
      </w:r>
      <w:r w:rsidRPr="00A8135E">
        <w:t xml:space="preserve"> In this connection, the Committee </w:t>
      </w:r>
      <w:r w:rsidR="00581790" w:rsidRPr="00A8135E">
        <w:t xml:space="preserve">notes </w:t>
      </w:r>
      <w:r w:rsidR="006B2053" w:rsidRPr="00A8135E">
        <w:t xml:space="preserve">that </w:t>
      </w:r>
      <w:r w:rsidR="00BC2BC5" w:rsidRPr="00A8135E">
        <w:t xml:space="preserve">neither </w:t>
      </w:r>
      <w:r w:rsidR="006B2053" w:rsidRPr="00A8135E">
        <w:t xml:space="preserve">in her initial submission, nor in </w:t>
      </w:r>
      <w:r w:rsidR="00A13961" w:rsidRPr="00A8135E">
        <w:t>subsequent</w:t>
      </w:r>
      <w:r w:rsidR="006B2053" w:rsidRPr="00A8135E">
        <w:t xml:space="preserve"> </w:t>
      </w:r>
      <w:r w:rsidR="009F7611" w:rsidRPr="00A8135E">
        <w:t>submissions</w:t>
      </w:r>
      <w:r w:rsidR="006B2053" w:rsidRPr="00A8135E">
        <w:t xml:space="preserve">, </w:t>
      </w:r>
      <w:r w:rsidR="00A13961" w:rsidRPr="00A8135E">
        <w:t xml:space="preserve">had </w:t>
      </w:r>
      <w:r w:rsidR="006B2053" w:rsidRPr="00A8135E">
        <w:t xml:space="preserve">the author </w:t>
      </w:r>
      <w:r w:rsidR="00A2790B" w:rsidRPr="00A8135E">
        <w:t xml:space="preserve">provided substantiation for </w:t>
      </w:r>
      <w:r w:rsidR="006B2053" w:rsidRPr="00A8135E">
        <w:t xml:space="preserve">the reasons </w:t>
      </w:r>
      <w:r w:rsidR="00BC2BC5" w:rsidRPr="00A8135E">
        <w:t xml:space="preserve">as to </w:t>
      </w:r>
      <w:r w:rsidR="006B2053" w:rsidRPr="00A8135E">
        <w:t xml:space="preserve">why she wished </w:t>
      </w:r>
      <w:r w:rsidR="003828ED" w:rsidRPr="00A8135E">
        <w:t xml:space="preserve">not to have her name disclosed in </w:t>
      </w:r>
      <w:r w:rsidR="00A13961" w:rsidRPr="00A8135E">
        <w:t xml:space="preserve">the context of </w:t>
      </w:r>
      <w:r w:rsidR="003828ED" w:rsidRPr="00A8135E">
        <w:t>the present</w:t>
      </w:r>
      <w:r w:rsidR="00A13961" w:rsidRPr="00A8135E">
        <w:t xml:space="preserve"> communication</w:t>
      </w:r>
      <w:r w:rsidR="00D03FCA" w:rsidRPr="00A8135E">
        <w:t xml:space="preserve"> and the appeal proceedings in the State party. The Committee notes that article 14, paragraph 5, of the Covenant does not protect the right of parties to litigation to remain anonymous. </w:t>
      </w:r>
      <w:r w:rsidR="00F82F8D" w:rsidRPr="00A8135E">
        <w:t>On</w:t>
      </w:r>
      <w:r w:rsidR="00D03FCA" w:rsidRPr="00A8135E">
        <w:t xml:space="preserve"> the contrary, </w:t>
      </w:r>
      <w:r w:rsidR="00F82F8D" w:rsidRPr="00A8135E">
        <w:t xml:space="preserve">under article 14 of the Covenant, </w:t>
      </w:r>
      <w:r w:rsidR="00D03FCA" w:rsidRPr="00A8135E">
        <w:t xml:space="preserve">in the absence of special circumstances </w:t>
      </w:r>
      <w:r w:rsidR="00A36D58" w:rsidRPr="00A8135E">
        <w:t xml:space="preserve">a </w:t>
      </w:r>
      <w:r w:rsidR="00D03FCA" w:rsidRPr="00A8135E">
        <w:t>trial and an appea</w:t>
      </w:r>
      <w:r w:rsidR="00581790" w:rsidRPr="00A8135E">
        <w:t xml:space="preserve">l must be held </w:t>
      </w:r>
      <w:r w:rsidR="00D03FCA" w:rsidRPr="00A8135E">
        <w:t>in public.</w:t>
      </w:r>
    </w:p>
    <w:p w:rsidR="004D3936" w:rsidRPr="00A8135E" w:rsidRDefault="004D3936" w:rsidP="006B2053">
      <w:pPr>
        <w:pStyle w:val="SingleTxtG"/>
      </w:pPr>
      <w:r w:rsidRPr="00A8135E">
        <w:lastRenderedPageBreak/>
        <w:t xml:space="preserve">6.4 </w:t>
      </w:r>
      <w:r w:rsidR="00D85049" w:rsidRPr="00A8135E">
        <w:tab/>
      </w:r>
      <w:r w:rsidRPr="00A8135E">
        <w:t xml:space="preserve">In light of </w:t>
      </w:r>
      <w:r w:rsidR="003828ED" w:rsidRPr="00A8135E">
        <w:t xml:space="preserve">the </w:t>
      </w:r>
      <w:r w:rsidRPr="00A8135E">
        <w:t>above</w:t>
      </w:r>
      <w:r w:rsidR="003828ED" w:rsidRPr="00A8135E">
        <w:t>,</w:t>
      </w:r>
      <w:r w:rsidR="00A13961" w:rsidRPr="00A8135E">
        <w:t xml:space="preserve"> and in the absence of any further pertinent information on </w:t>
      </w:r>
      <w:r w:rsidR="003828ED" w:rsidRPr="00A8135E">
        <w:t>f</w:t>
      </w:r>
      <w:r w:rsidR="00A13961" w:rsidRPr="00A8135E">
        <w:t>ile,</w:t>
      </w:r>
      <w:r w:rsidRPr="00A8135E">
        <w:t xml:space="preserve"> the Committee conclude</w:t>
      </w:r>
      <w:r w:rsidR="00A13961" w:rsidRPr="00A8135E">
        <w:t>s</w:t>
      </w:r>
      <w:r w:rsidRPr="00A8135E">
        <w:t xml:space="preserve"> that the author has</w:t>
      </w:r>
      <w:r w:rsidR="00A13961" w:rsidRPr="00A8135E">
        <w:t xml:space="preserve"> failed to </w:t>
      </w:r>
      <w:r w:rsidRPr="00A8135E">
        <w:t>sufficiently sub</w:t>
      </w:r>
      <w:r w:rsidR="00A13961" w:rsidRPr="00A8135E">
        <w:t>stantiate</w:t>
      </w:r>
      <w:r w:rsidRPr="00A8135E">
        <w:t xml:space="preserve"> </w:t>
      </w:r>
      <w:r w:rsidR="00BC2BC5" w:rsidRPr="00A8135E">
        <w:t>her claim</w:t>
      </w:r>
      <w:r w:rsidRPr="00A8135E">
        <w:t xml:space="preserve">, for purposes of admissibility, and therefore declares </w:t>
      </w:r>
      <w:r w:rsidR="00BC2BC5" w:rsidRPr="00A8135E">
        <w:t>it</w:t>
      </w:r>
      <w:r w:rsidRPr="00A8135E">
        <w:t xml:space="preserve"> inadmissible under article 2</w:t>
      </w:r>
      <w:r w:rsidR="003828ED" w:rsidRPr="00A8135E">
        <w:t xml:space="preserve">, </w:t>
      </w:r>
      <w:r w:rsidRPr="00A8135E">
        <w:t>of the Optional Protocol.</w:t>
      </w:r>
    </w:p>
    <w:p w:rsidR="003828ED" w:rsidRPr="00A8135E" w:rsidRDefault="007030AD" w:rsidP="003828ED">
      <w:pPr>
        <w:pStyle w:val="SingleTxtG"/>
      </w:pPr>
      <w:r w:rsidRPr="00A8135E">
        <w:t>7</w:t>
      </w:r>
      <w:r w:rsidR="00DE1088" w:rsidRPr="00A8135E">
        <w:t>.</w:t>
      </w:r>
      <w:r w:rsidR="00DE1088" w:rsidRPr="00A8135E">
        <w:tab/>
      </w:r>
      <w:r w:rsidR="003828ED" w:rsidRPr="00A8135E">
        <w:t>The Human Rights Committee therefore decides:</w:t>
      </w:r>
    </w:p>
    <w:p w:rsidR="00D85049" w:rsidRPr="00A8135E" w:rsidRDefault="003828ED" w:rsidP="00D85049">
      <w:pPr>
        <w:pStyle w:val="Bullet1G"/>
        <w:numPr>
          <w:ilvl w:val="0"/>
          <w:numId w:val="0"/>
        </w:numPr>
        <w:ind w:left="1134" w:firstLine="567"/>
      </w:pPr>
      <w:r w:rsidRPr="00A8135E">
        <w:t xml:space="preserve">(a) </w:t>
      </w:r>
      <w:r w:rsidR="00D85049" w:rsidRPr="00A8135E">
        <w:tab/>
      </w:r>
      <w:r w:rsidRPr="00A8135E">
        <w:t>That the communication is inadmissible under article 2</w:t>
      </w:r>
      <w:r w:rsidR="00D03FCA" w:rsidRPr="00A8135E">
        <w:t>,</w:t>
      </w:r>
      <w:r w:rsidRPr="00A8135E">
        <w:t xml:space="preserve"> of the Optional Protocol;</w:t>
      </w:r>
    </w:p>
    <w:p w:rsidR="004D3936" w:rsidRPr="00A8135E" w:rsidRDefault="003828ED" w:rsidP="00D85049">
      <w:pPr>
        <w:pStyle w:val="Bullet1G"/>
        <w:numPr>
          <w:ilvl w:val="0"/>
          <w:numId w:val="0"/>
        </w:numPr>
        <w:ind w:left="1134" w:firstLine="567"/>
      </w:pPr>
      <w:r w:rsidRPr="00A8135E">
        <w:t xml:space="preserve">(b) </w:t>
      </w:r>
      <w:r w:rsidR="00D85049" w:rsidRPr="00A8135E">
        <w:tab/>
      </w:r>
      <w:r w:rsidRPr="00A8135E">
        <w:t>That the decision be transmitted to the State party and to the author.</w:t>
      </w:r>
    </w:p>
    <w:p w:rsidR="00991350" w:rsidRDefault="00991350" w:rsidP="00991350">
      <w:pPr>
        <w:ind w:left="1134" w:right="1133"/>
        <w:jc w:val="both"/>
      </w:pPr>
      <w:r w:rsidRPr="00A8135E">
        <w:t>[Adopted in English, French and Spanish, the English text being the original version. Subsequently to be issued also in Arabic, Chinese and Russian as part of the Committee’s annual report to the General Assembly.]</w:t>
      </w:r>
    </w:p>
    <w:p w:rsidR="00D85049" w:rsidRPr="00944279" w:rsidRDefault="00D85049" w:rsidP="00991350">
      <w:pPr>
        <w:ind w:left="1134" w:right="1133"/>
        <w:jc w:val="both"/>
      </w:pPr>
    </w:p>
    <w:p w:rsidR="00D37098" w:rsidRPr="005A0312" w:rsidRDefault="005A0312" w:rsidP="005A0312">
      <w:pPr>
        <w:pStyle w:val="SingleTxtG"/>
        <w:spacing w:before="240" w:after="0"/>
        <w:jc w:val="center"/>
        <w:rPr>
          <w:u w:val="single"/>
        </w:rPr>
      </w:pPr>
      <w:r>
        <w:rPr>
          <w:u w:val="single"/>
        </w:rPr>
        <w:tab/>
      </w:r>
      <w:r>
        <w:rPr>
          <w:u w:val="single"/>
        </w:rPr>
        <w:tab/>
      </w:r>
      <w:r>
        <w:rPr>
          <w:u w:val="single"/>
        </w:rPr>
        <w:tab/>
      </w:r>
    </w:p>
    <w:sectPr w:rsidR="00D37098" w:rsidRPr="005A0312" w:rsidSect="000E359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B8" w:rsidRDefault="008F3FB8"/>
  </w:endnote>
  <w:endnote w:type="continuationSeparator" w:id="0">
    <w:p w:rsidR="008F3FB8" w:rsidRDefault="008F3FB8"/>
  </w:endnote>
  <w:endnote w:type="continuationNotice" w:id="1">
    <w:p w:rsidR="008F3FB8" w:rsidRDefault="008F3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02" w:rsidRPr="000E3598" w:rsidRDefault="00595D02" w:rsidP="000E3598">
    <w:pPr>
      <w:pStyle w:val="Footer"/>
      <w:tabs>
        <w:tab w:val="right" w:pos="9638"/>
      </w:tabs>
    </w:pPr>
    <w:r w:rsidRPr="000E3598">
      <w:rPr>
        <w:b/>
        <w:sz w:val="18"/>
      </w:rPr>
      <w:fldChar w:fldCharType="begin"/>
    </w:r>
    <w:r w:rsidRPr="000E3598">
      <w:rPr>
        <w:b/>
        <w:sz w:val="18"/>
      </w:rPr>
      <w:instrText xml:space="preserve"> PAGE  \* MERGEFORMAT </w:instrText>
    </w:r>
    <w:r w:rsidRPr="000E3598">
      <w:rPr>
        <w:b/>
        <w:sz w:val="18"/>
      </w:rPr>
      <w:fldChar w:fldCharType="separate"/>
    </w:r>
    <w:r w:rsidR="00355B77">
      <w:rPr>
        <w:b/>
        <w:noProof/>
        <w:sz w:val="18"/>
      </w:rPr>
      <w:t>2</w:t>
    </w:r>
    <w:r w:rsidRPr="000E359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02" w:rsidRPr="000E3598" w:rsidRDefault="00595D02" w:rsidP="000E3598">
    <w:pPr>
      <w:pStyle w:val="Footer"/>
      <w:tabs>
        <w:tab w:val="right" w:pos="9638"/>
      </w:tabs>
      <w:rPr>
        <w:b/>
        <w:sz w:val="18"/>
      </w:rPr>
    </w:pPr>
    <w:r>
      <w:tab/>
    </w:r>
    <w:r w:rsidRPr="000E3598">
      <w:rPr>
        <w:b/>
        <w:sz w:val="18"/>
      </w:rPr>
      <w:fldChar w:fldCharType="begin"/>
    </w:r>
    <w:r w:rsidRPr="000E3598">
      <w:rPr>
        <w:b/>
        <w:sz w:val="18"/>
      </w:rPr>
      <w:instrText xml:space="preserve"> PAGE  \* MERGEFORMAT </w:instrText>
    </w:r>
    <w:r w:rsidRPr="000E3598">
      <w:rPr>
        <w:b/>
        <w:sz w:val="18"/>
      </w:rPr>
      <w:fldChar w:fldCharType="separate"/>
    </w:r>
    <w:r w:rsidR="00355B77">
      <w:rPr>
        <w:b/>
        <w:noProof/>
        <w:sz w:val="18"/>
      </w:rPr>
      <w:t>3</w:t>
    </w:r>
    <w:r w:rsidRPr="000E359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02" w:rsidRPr="000E3598" w:rsidRDefault="008F3FB8">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595D02">
      <w:t>GE.13</w:t>
    </w:r>
    <w:r w:rsidR="00307FBD">
      <w:t>-43497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B8" w:rsidRPr="000B175B" w:rsidRDefault="008F3FB8" w:rsidP="000B175B">
      <w:pPr>
        <w:tabs>
          <w:tab w:val="right" w:pos="2155"/>
        </w:tabs>
        <w:spacing w:after="80"/>
        <w:ind w:left="680"/>
        <w:rPr>
          <w:u w:val="single"/>
        </w:rPr>
      </w:pPr>
      <w:r>
        <w:rPr>
          <w:u w:val="single"/>
        </w:rPr>
        <w:tab/>
      </w:r>
    </w:p>
  </w:footnote>
  <w:footnote w:type="continuationSeparator" w:id="0">
    <w:p w:rsidR="008F3FB8" w:rsidRPr="00FC68B7" w:rsidRDefault="008F3FB8" w:rsidP="00FC68B7">
      <w:pPr>
        <w:tabs>
          <w:tab w:val="left" w:pos="2155"/>
        </w:tabs>
        <w:spacing w:after="80"/>
        <w:ind w:left="680"/>
        <w:rPr>
          <w:u w:val="single"/>
        </w:rPr>
      </w:pPr>
      <w:r>
        <w:rPr>
          <w:u w:val="single"/>
        </w:rPr>
        <w:tab/>
      </w:r>
    </w:p>
  </w:footnote>
  <w:footnote w:type="continuationNotice" w:id="1">
    <w:p w:rsidR="008F3FB8" w:rsidRDefault="008F3FB8"/>
  </w:footnote>
  <w:footnote w:id="2">
    <w:p w:rsidR="00595D02" w:rsidRPr="00A8135E" w:rsidRDefault="00595D02" w:rsidP="00555A70">
      <w:pPr>
        <w:pStyle w:val="FootnoteText"/>
        <w:ind w:hanging="141"/>
        <w:jc w:val="both"/>
        <w:rPr>
          <w:bCs/>
          <w:szCs w:val="18"/>
        </w:rPr>
      </w:pPr>
      <w:r w:rsidRPr="00A8135E">
        <w:rPr>
          <w:rStyle w:val="FootnoteReference"/>
        </w:rPr>
        <w:t>*</w:t>
      </w:r>
      <w:r w:rsidRPr="00A8135E">
        <w:t xml:space="preserve"> </w:t>
      </w:r>
      <w:r w:rsidRPr="00A8135E">
        <w:tab/>
      </w:r>
      <w:r w:rsidRPr="00A8135E">
        <w:rPr>
          <w:szCs w:val="18"/>
        </w:rPr>
        <w:t xml:space="preserve">The following members of the Committee participated in the examination of the present communication: Mr. Yadh Ben Achour, </w:t>
      </w:r>
      <w:r w:rsidRPr="00A8135E">
        <w:rPr>
          <w:bCs/>
          <w:szCs w:val="18"/>
        </w:rPr>
        <w:t xml:space="preserve">Mr. Lazhari Bouzid, </w:t>
      </w:r>
      <w:r w:rsidRPr="00A8135E">
        <w:rPr>
          <w:szCs w:val="18"/>
        </w:rPr>
        <w:t xml:space="preserve">Mr. Yuji Iwasawa, </w:t>
      </w:r>
      <w:r w:rsidRPr="00A8135E">
        <w:rPr>
          <w:bCs/>
          <w:szCs w:val="18"/>
        </w:rPr>
        <w:t xml:space="preserve">Ms. Zonke Zanele Majodina, </w:t>
      </w:r>
      <w:r w:rsidRPr="00A8135E">
        <w:rPr>
          <w:szCs w:val="18"/>
        </w:rPr>
        <w:t>Mr. Kheshoe Parsad Matadeen, Ms. Iulia Antoanella Motoc</w:t>
      </w:r>
      <w:r w:rsidRPr="00A8135E">
        <w:rPr>
          <w:bCs/>
          <w:szCs w:val="18"/>
          <w:lang w:val="en-US"/>
        </w:rPr>
        <w:t xml:space="preserve">, </w:t>
      </w:r>
      <w:r w:rsidRPr="00A8135E">
        <w:rPr>
          <w:szCs w:val="18"/>
        </w:rPr>
        <w:t xml:space="preserve">Mr. Gerald L. Neuman, </w:t>
      </w:r>
      <w:r w:rsidRPr="00A8135E">
        <w:rPr>
          <w:bCs/>
          <w:szCs w:val="18"/>
          <w:lang w:val="en-US"/>
        </w:rPr>
        <w:t xml:space="preserve">Sir Nigel Rodley, </w:t>
      </w:r>
      <w:r w:rsidRPr="00A8135E">
        <w:rPr>
          <w:szCs w:val="18"/>
        </w:rPr>
        <w:t xml:space="preserve">Mr. Victor Manuel Rodríguez-Rescia, </w:t>
      </w:r>
      <w:r w:rsidRPr="00A8135E">
        <w:rPr>
          <w:bCs/>
          <w:szCs w:val="18"/>
          <w:lang w:val="en-US"/>
        </w:rPr>
        <w:t xml:space="preserve">Mr. Fabián Omar Salvioli, </w:t>
      </w:r>
      <w:r w:rsidRPr="00A8135E">
        <w:rPr>
          <w:szCs w:val="18"/>
        </w:rPr>
        <w:t>Ms. Anja Seibert-Fohr, Mr. Yuval Shany, Mr. Konstantine Vardzelashvili</w:t>
      </w:r>
      <w:r w:rsidRPr="00A8135E">
        <w:rPr>
          <w:bCs/>
          <w:szCs w:val="18"/>
        </w:rPr>
        <w:t xml:space="preserve"> </w:t>
      </w:r>
      <w:r w:rsidRPr="00A8135E">
        <w:rPr>
          <w:bCs/>
          <w:szCs w:val="18"/>
          <w:lang w:val="en-US"/>
        </w:rPr>
        <w:t xml:space="preserve">and </w:t>
      </w:r>
      <w:r w:rsidRPr="00A8135E">
        <w:rPr>
          <w:bCs/>
          <w:szCs w:val="18"/>
        </w:rPr>
        <w:t>Ms. Margo Waterval.</w:t>
      </w:r>
    </w:p>
    <w:p w:rsidR="00595D02" w:rsidRPr="00A8135E" w:rsidRDefault="00595D02" w:rsidP="007E0A27">
      <w:pPr>
        <w:pStyle w:val="FootnoteText"/>
        <w:jc w:val="both"/>
      </w:pPr>
      <w:r w:rsidRPr="00A8135E">
        <w:rPr>
          <w:bCs/>
          <w:szCs w:val="18"/>
        </w:rPr>
        <w:tab/>
      </w:r>
      <w:r w:rsidRPr="00A8135E">
        <w:rPr>
          <w:bCs/>
          <w:szCs w:val="18"/>
        </w:rPr>
        <w:tab/>
      </w:r>
      <w:r w:rsidRPr="00A8135E">
        <w:t>Pursuant to rule 90 of the Committee’s rules of procedure, Committee member Mr. Cornelis Flinterman did not participate in the adoption of the present decision.</w:t>
      </w:r>
    </w:p>
  </w:footnote>
  <w:footnote w:id="3">
    <w:p w:rsidR="00595D02" w:rsidRPr="00A8135E" w:rsidRDefault="00595D02" w:rsidP="00312003">
      <w:pPr>
        <w:pStyle w:val="FootnoteText"/>
        <w:jc w:val="both"/>
      </w:pPr>
      <w:r w:rsidRPr="00A8135E">
        <w:tab/>
      </w:r>
      <w:r w:rsidRPr="00A8135E">
        <w:rPr>
          <w:rStyle w:val="FootnoteReference"/>
        </w:rPr>
        <w:footnoteRef/>
      </w:r>
      <w:r w:rsidRPr="00A8135E">
        <w:tab/>
        <w:t>The author claims that she was sentenced in criminal proceedings Nr. 13/410898-05; she refuses to disclose her identity in the present communication, as, in her opinion, the criminal case file reference number is sufficient for the authorities to identify her. She subsequently provided the Committee with her name, on a strictly confidential basis (see also paragraphs 2.4 and 2.5 below).</w:t>
      </w:r>
    </w:p>
  </w:footnote>
  <w:footnote w:id="4">
    <w:p w:rsidR="00595D02" w:rsidRPr="00A8135E" w:rsidRDefault="00595D02" w:rsidP="00131279">
      <w:pPr>
        <w:pStyle w:val="FootnoteText"/>
        <w:jc w:val="both"/>
      </w:pPr>
      <w:r w:rsidRPr="00A8135E">
        <w:tab/>
      </w:r>
      <w:r w:rsidRPr="00A8135E">
        <w:rPr>
          <w:rStyle w:val="FootnoteReference"/>
        </w:rPr>
        <w:footnoteRef/>
      </w:r>
      <w:r w:rsidRPr="00A8135E">
        <w:tab/>
        <w:t xml:space="preserve">The Optional Protocol entered into force for the </w:t>
      </w:r>
      <w:smartTag w:uri="urn:schemas-microsoft-com:office:smarttags" w:element="place">
        <w:smartTag w:uri="urn:schemas-microsoft-com:office:smarttags" w:element="country-region">
          <w:r w:rsidRPr="00A8135E">
            <w:t>Netherlands</w:t>
          </w:r>
        </w:smartTag>
      </w:smartTag>
      <w:r w:rsidRPr="00A8135E">
        <w:t xml:space="preserve"> on 11 March 1979.</w:t>
      </w:r>
    </w:p>
  </w:footnote>
  <w:footnote w:id="5">
    <w:p w:rsidR="00595D02" w:rsidRPr="00A8135E" w:rsidRDefault="00595D02" w:rsidP="00131279">
      <w:pPr>
        <w:pStyle w:val="FootnoteText"/>
        <w:jc w:val="both"/>
      </w:pPr>
      <w:r w:rsidRPr="00A8135E">
        <w:tab/>
      </w:r>
      <w:r w:rsidRPr="00A8135E">
        <w:rPr>
          <w:rStyle w:val="FootnoteReference"/>
        </w:rPr>
        <w:footnoteRef/>
      </w:r>
      <w:r w:rsidRPr="00A8135E">
        <w:tab/>
        <w:t>The author presented her initial submission on 22 October 2005, and provided additional submissions on 28 October, 8 and 17 November and 2 December 2005, 16 February and 9 June 2006, 30 January 2007 and 12 April 2009.</w:t>
      </w:r>
    </w:p>
  </w:footnote>
  <w:footnote w:id="6">
    <w:p w:rsidR="00A37AB8" w:rsidRPr="00307FBD" w:rsidRDefault="00A37AB8">
      <w:pPr>
        <w:pStyle w:val="FootnoteText"/>
        <w:rPr>
          <w:lang w:val="en-US"/>
        </w:rPr>
      </w:pPr>
      <w:r>
        <w:tab/>
      </w:r>
      <w:r>
        <w:rPr>
          <w:rStyle w:val="FootnoteReference"/>
        </w:rPr>
        <w:footnoteRef/>
      </w:r>
      <w:r>
        <w:t xml:space="preserve"> </w:t>
      </w:r>
      <w:r>
        <w:tab/>
      </w:r>
      <w:r w:rsidRPr="00A8135E">
        <w:t>The author provides no information on the charges brought against her or on the court which convicted and sentenced her; she merely specifies that the judgement was delivered orally.</w:t>
      </w:r>
    </w:p>
  </w:footnote>
  <w:footnote w:id="7">
    <w:p w:rsidR="00595D02" w:rsidRPr="00A8135E" w:rsidRDefault="00595D02" w:rsidP="00131279">
      <w:pPr>
        <w:pStyle w:val="FootnoteText"/>
        <w:jc w:val="both"/>
      </w:pPr>
      <w:r w:rsidRPr="00A8135E">
        <w:tab/>
      </w:r>
      <w:r w:rsidRPr="00A8135E">
        <w:rPr>
          <w:rStyle w:val="FootnoteReference"/>
        </w:rPr>
        <w:footnoteRef/>
      </w:r>
      <w:r w:rsidRPr="00A8135E">
        <w:tab/>
        <w:t>See para. 2.3 above.</w:t>
      </w:r>
    </w:p>
  </w:footnote>
  <w:footnote w:id="8">
    <w:p w:rsidR="00595D02" w:rsidRPr="00A8135E" w:rsidRDefault="00595D02" w:rsidP="00131279">
      <w:pPr>
        <w:pStyle w:val="FootnoteText"/>
        <w:jc w:val="both"/>
      </w:pPr>
      <w:r w:rsidRPr="00A8135E">
        <w:tab/>
      </w:r>
      <w:r w:rsidRPr="00A8135E">
        <w:rPr>
          <w:rStyle w:val="FootnoteReference"/>
        </w:rPr>
        <w:footnoteRef/>
      </w:r>
      <w:r w:rsidRPr="00A8135E">
        <w:tab/>
        <w:t xml:space="preserve">The author refers to </w:t>
      </w:r>
      <w:r w:rsidRPr="00A8135E">
        <w:rPr>
          <w:i/>
        </w:rPr>
        <w:t>Shamayev and Others</w:t>
      </w:r>
      <w:r w:rsidRPr="00A8135E">
        <w:t xml:space="preserve"> v. </w:t>
      </w:r>
      <w:r w:rsidRPr="00A8135E">
        <w:rPr>
          <w:i/>
        </w:rPr>
        <w:t>Georgia and Russia</w:t>
      </w:r>
      <w:r w:rsidRPr="00A8135E">
        <w:t xml:space="preserve">, (application No.36378/02), judgement of 16 September 2003. It appears that she is referring to paragraph 275 of the judgement: “The Court notes at the outset that it has already dismissed the Russian Government’s preliminary objections that the application was anonymous and amounted to an abuse of process (see </w:t>
      </w:r>
      <w:r w:rsidRPr="00A8135E">
        <w:rPr>
          <w:i/>
        </w:rPr>
        <w:t>Shamayev and Others</w:t>
      </w:r>
      <w:r w:rsidRPr="00A8135E">
        <w:t xml:space="preserve"> v. </w:t>
      </w:r>
      <w:r w:rsidRPr="00A8135E">
        <w:rPr>
          <w:i/>
        </w:rPr>
        <w:t>Georgia and Russia</w:t>
      </w:r>
      <w:r w:rsidRPr="00A8135E">
        <w:t xml:space="preserve"> (dec.), no. 36378/02, 16 September 2003). In particular, it found that the present application concerned real, specific and identifiable individuals and that their complaints, relating to alleged violations of the rights guaranteed to them under the Convention, were based on actual events, including some that were not contested by either of the two respondent Governments. The Court does not perceive any “special circumstance” at this stage which would entail a fresh examination of the arguments that the present case was abstract in nature and amounted to an abuse of process (see </w:t>
      </w:r>
      <w:r w:rsidRPr="00A8135E">
        <w:rPr>
          <w:i/>
        </w:rPr>
        <w:t>Stankov and United Macedonian Organisation Ilinden</w:t>
      </w:r>
      <w:r w:rsidRPr="00A8135E">
        <w:t xml:space="preserve"> v. </w:t>
      </w:r>
      <w:r w:rsidRPr="00A8135E">
        <w:rPr>
          <w:i/>
        </w:rPr>
        <w:t>Bulgaria</w:t>
      </w:r>
      <w:r w:rsidRPr="00A8135E">
        <w:t>, nos. 29221/95 and 29225/95, §§ 55 and 57, ECHR 2001</w:t>
      </w:r>
      <w:r w:rsidRPr="00A8135E">
        <w:rPr>
          <w:rFonts w:ascii="MS Mincho" w:eastAsia="MS Mincho" w:hAnsi="MS Mincho" w:cs="MS Mincho" w:hint="eastAsia"/>
        </w:rPr>
        <w:t>‑</w:t>
      </w:r>
      <w:r w:rsidRPr="00A8135E">
        <w:t>IX)”.</w:t>
      </w:r>
    </w:p>
  </w:footnote>
  <w:footnote w:id="9">
    <w:p w:rsidR="00595D02" w:rsidRPr="00555A70" w:rsidRDefault="00595D02" w:rsidP="00A36D58">
      <w:pPr>
        <w:pStyle w:val="FootnoteText"/>
        <w:jc w:val="both"/>
        <w:rPr>
          <w:lang w:val="fr-CH"/>
        </w:rPr>
      </w:pPr>
      <w:r w:rsidRPr="00A8135E">
        <w:tab/>
      </w:r>
      <w:r w:rsidRPr="00A8135E">
        <w:rPr>
          <w:rStyle w:val="FootnoteReference"/>
        </w:rPr>
        <w:footnoteRef/>
      </w:r>
      <w:r w:rsidRPr="00A8135E">
        <w:tab/>
      </w:r>
      <w:r w:rsidRPr="00A8135E">
        <w:rPr>
          <w:lang w:val="fr-CH"/>
        </w:rPr>
        <w:t>See Note 1 above.</w:t>
      </w:r>
      <w:r w:rsidRPr="00555A70">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02" w:rsidRPr="000E3598" w:rsidRDefault="00595D02" w:rsidP="008C7770">
    <w:pPr>
      <w:pStyle w:val="Header"/>
      <w:tabs>
        <w:tab w:val="right" w:pos="9639"/>
      </w:tabs>
    </w:pPr>
    <w:r>
      <w:t>CCPR/C/107/D/1886/2009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02" w:rsidRPr="000E3598" w:rsidRDefault="00595D02" w:rsidP="008C7770">
    <w:pPr>
      <w:pStyle w:val="Header"/>
      <w:tabs>
        <w:tab w:val="right" w:pos="9639"/>
      </w:tabs>
    </w:pPr>
    <w:r>
      <w:tab/>
      <w:t>CCPR/C/107/D/1886/2009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BD" w:rsidRDefault="00307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6804"/>
        </w:tabs>
        <w:ind w:left="6804" w:hanging="170"/>
      </w:pPr>
      <w:rPr>
        <w:rFonts w:ascii="Times New Roman" w:hAnsi="Times New Roman" w:cs="Times New Roman" w:hint="default"/>
      </w:rPr>
    </w:lvl>
    <w:lvl w:ilvl="1" w:tplc="040C0003" w:tentative="1">
      <w:start w:val="1"/>
      <w:numFmt w:val="bullet"/>
      <w:lvlText w:val="o"/>
      <w:lvlJc w:val="left"/>
      <w:pPr>
        <w:tabs>
          <w:tab w:val="num" w:pos="6543"/>
        </w:tabs>
        <w:ind w:left="6543" w:hanging="360"/>
      </w:pPr>
      <w:rPr>
        <w:rFonts w:ascii="Courier New" w:hAnsi="Courier New" w:cs="Courier New" w:hint="default"/>
      </w:rPr>
    </w:lvl>
    <w:lvl w:ilvl="2" w:tplc="040C0005" w:tentative="1">
      <w:start w:val="1"/>
      <w:numFmt w:val="bullet"/>
      <w:lvlText w:val=""/>
      <w:lvlJc w:val="left"/>
      <w:pPr>
        <w:tabs>
          <w:tab w:val="num" w:pos="7263"/>
        </w:tabs>
        <w:ind w:left="7263" w:hanging="360"/>
      </w:pPr>
      <w:rPr>
        <w:rFonts w:ascii="Wingdings" w:hAnsi="Wingdings" w:hint="default"/>
      </w:rPr>
    </w:lvl>
    <w:lvl w:ilvl="3" w:tplc="040C0001" w:tentative="1">
      <w:start w:val="1"/>
      <w:numFmt w:val="bullet"/>
      <w:lvlText w:val=""/>
      <w:lvlJc w:val="left"/>
      <w:pPr>
        <w:tabs>
          <w:tab w:val="num" w:pos="7983"/>
        </w:tabs>
        <w:ind w:left="7983" w:hanging="360"/>
      </w:pPr>
      <w:rPr>
        <w:rFonts w:ascii="Symbol" w:hAnsi="Symbol" w:hint="default"/>
      </w:rPr>
    </w:lvl>
    <w:lvl w:ilvl="4" w:tplc="040C0003" w:tentative="1">
      <w:start w:val="1"/>
      <w:numFmt w:val="bullet"/>
      <w:lvlText w:val="o"/>
      <w:lvlJc w:val="left"/>
      <w:pPr>
        <w:tabs>
          <w:tab w:val="num" w:pos="8703"/>
        </w:tabs>
        <w:ind w:left="8703" w:hanging="360"/>
      </w:pPr>
      <w:rPr>
        <w:rFonts w:ascii="Courier New" w:hAnsi="Courier New" w:cs="Courier New" w:hint="default"/>
      </w:rPr>
    </w:lvl>
    <w:lvl w:ilvl="5" w:tplc="040C0005" w:tentative="1">
      <w:start w:val="1"/>
      <w:numFmt w:val="bullet"/>
      <w:lvlText w:val=""/>
      <w:lvlJc w:val="left"/>
      <w:pPr>
        <w:tabs>
          <w:tab w:val="num" w:pos="9423"/>
        </w:tabs>
        <w:ind w:left="9423" w:hanging="360"/>
      </w:pPr>
      <w:rPr>
        <w:rFonts w:ascii="Wingdings" w:hAnsi="Wingdings" w:hint="default"/>
      </w:rPr>
    </w:lvl>
    <w:lvl w:ilvl="6" w:tplc="040C0001" w:tentative="1">
      <w:start w:val="1"/>
      <w:numFmt w:val="bullet"/>
      <w:lvlText w:val=""/>
      <w:lvlJc w:val="left"/>
      <w:pPr>
        <w:tabs>
          <w:tab w:val="num" w:pos="10143"/>
        </w:tabs>
        <w:ind w:left="10143" w:hanging="360"/>
      </w:pPr>
      <w:rPr>
        <w:rFonts w:ascii="Symbol" w:hAnsi="Symbol" w:hint="default"/>
      </w:rPr>
    </w:lvl>
    <w:lvl w:ilvl="7" w:tplc="040C0003" w:tentative="1">
      <w:start w:val="1"/>
      <w:numFmt w:val="bullet"/>
      <w:lvlText w:val="o"/>
      <w:lvlJc w:val="left"/>
      <w:pPr>
        <w:tabs>
          <w:tab w:val="num" w:pos="10863"/>
        </w:tabs>
        <w:ind w:left="10863" w:hanging="360"/>
      </w:pPr>
      <w:rPr>
        <w:rFonts w:ascii="Courier New" w:hAnsi="Courier New" w:cs="Courier New" w:hint="default"/>
      </w:rPr>
    </w:lvl>
    <w:lvl w:ilvl="8" w:tplc="040C0005" w:tentative="1">
      <w:start w:val="1"/>
      <w:numFmt w:val="bullet"/>
      <w:lvlText w:val=""/>
      <w:lvlJc w:val="left"/>
      <w:pPr>
        <w:tabs>
          <w:tab w:val="num" w:pos="11583"/>
        </w:tabs>
        <w:ind w:left="11583" w:hanging="360"/>
      </w:pPr>
      <w:rPr>
        <w:rFonts w:ascii="Wingdings" w:hAnsi="Wingdings" w:hint="default"/>
      </w:rPr>
    </w:lvl>
  </w:abstractNum>
  <w:abstractNum w:abstractNumId="1" w15:restartNumberingAfterBreak="0">
    <w:nsid w:val="18F36AAC"/>
    <w:multiLevelType w:val="hybridMultilevel"/>
    <w:tmpl w:val="378A1908"/>
    <w:lvl w:ilvl="0" w:tplc="3C7AA3AA">
      <w:start w:val="3"/>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28435BF1"/>
    <w:multiLevelType w:val="multilevel"/>
    <w:tmpl w:val="F19CB54E"/>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B65438"/>
    <w:multiLevelType w:val="hybridMultilevel"/>
    <w:tmpl w:val="FF2621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72335AE1"/>
    <w:multiLevelType w:val="multilevel"/>
    <w:tmpl w:val="426EC2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72852FA5"/>
    <w:multiLevelType w:val="multilevel"/>
    <w:tmpl w:val="E68C146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68D"/>
    <w:rsid w:val="00004551"/>
    <w:rsid w:val="000119D4"/>
    <w:rsid w:val="000120D4"/>
    <w:rsid w:val="000272B3"/>
    <w:rsid w:val="00043D51"/>
    <w:rsid w:val="00050F6B"/>
    <w:rsid w:val="00052009"/>
    <w:rsid w:val="00057E97"/>
    <w:rsid w:val="00060C3A"/>
    <w:rsid w:val="000719EF"/>
    <w:rsid w:val="00072C8C"/>
    <w:rsid w:val="000733B5"/>
    <w:rsid w:val="00074B61"/>
    <w:rsid w:val="00081815"/>
    <w:rsid w:val="000931C0"/>
    <w:rsid w:val="00094DA9"/>
    <w:rsid w:val="000A077C"/>
    <w:rsid w:val="000A7B11"/>
    <w:rsid w:val="000B175B"/>
    <w:rsid w:val="000B3A0F"/>
    <w:rsid w:val="000B4D35"/>
    <w:rsid w:val="000B4EF7"/>
    <w:rsid w:val="000B75F5"/>
    <w:rsid w:val="000C13EF"/>
    <w:rsid w:val="000C2C03"/>
    <w:rsid w:val="000C2D2E"/>
    <w:rsid w:val="000D2609"/>
    <w:rsid w:val="000D35A0"/>
    <w:rsid w:val="000E0415"/>
    <w:rsid w:val="000E3598"/>
    <w:rsid w:val="000E5F6C"/>
    <w:rsid w:val="000F49C8"/>
    <w:rsid w:val="00100B32"/>
    <w:rsid w:val="00107855"/>
    <w:rsid w:val="001103AA"/>
    <w:rsid w:val="0013051E"/>
    <w:rsid w:val="00131279"/>
    <w:rsid w:val="001325BC"/>
    <w:rsid w:val="00132850"/>
    <w:rsid w:val="001328C1"/>
    <w:rsid w:val="00132E3E"/>
    <w:rsid w:val="0015088B"/>
    <w:rsid w:val="0015310A"/>
    <w:rsid w:val="00165F3A"/>
    <w:rsid w:val="00182495"/>
    <w:rsid w:val="00183968"/>
    <w:rsid w:val="00187B08"/>
    <w:rsid w:val="00195E7F"/>
    <w:rsid w:val="001A6686"/>
    <w:rsid w:val="001B3ECA"/>
    <w:rsid w:val="001B4B04"/>
    <w:rsid w:val="001C6663"/>
    <w:rsid w:val="001C7895"/>
    <w:rsid w:val="001D0C8C"/>
    <w:rsid w:val="001D26DF"/>
    <w:rsid w:val="001D3A03"/>
    <w:rsid w:val="001D5E3B"/>
    <w:rsid w:val="00200A41"/>
    <w:rsid w:val="00200BBE"/>
    <w:rsid w:val="00202DA8"/>
    <w:rsid w:val="00203BBD"/>
    <w:rsid w:val="00203BE0"/>
    <w:rsid w:val="00204745"/>
    <w:rsid w:val="00205F72"/>
    <w:rsid w:val="00211E0B"/>
    <w:rsid w:val="0021709B"/>
    <w:rsid w:val="00223E1F"/>
    <w:rsid w:val="002252B9"/>
    <w:rsid w:val="00226A5E"/>
    <w:rsid w:val="00231DE2"/>
    <w:rsid w:val="0023210C"/>
    <w:rsid w:val="00235083"/>
    <w:rsid w:val="0024133E"/>
    <w:rsid w:val="00241E10"/>
    <w:rsid w:val="0024202A"/>
    <w:rsid w:val="00247323"/>
    <w:rsid w:val="00254604"/>
    <w:rsid w:val="00254B4C"/>
    <w:rsid w:val="002631AB"/>
    <w:rsid w:val="00267F5F"/>
    <w:rsid w:val="0027113E"/>
    <w:rsid w:val="0027302A"/>
    <w:rsid w:val="00273CD6"/>
    <w:rsid w:val="002774EB"/>
    <w:rsid w:val="00280138"/>
    <w:rsid w:val="00280492"/>
    <w:rsid w:val="00286B4D"/>
    <w:rsid w:val="0029008E"/>
    <w:rsid w:val="0029645A"/>
    <w:rsid w:val="002972DB"/>
    <w:rsid w:val="00297818"/>
    <w:rsid w:val="002B799C"/>
    <w:rsid w:val="002C16DE"/>
    <w:rsid w:val="002C7D8E"/>
    <w:rsid w:val="002E1746"/>
    <w:rsid w:val="002E4045"/>
    <w:rsid w:val="002E5EEE"/>
    <w:rsid w:val="002F175C"/>
    <w:rsid w:val="002F202F"/>
    <w:rsid w:val="002F228A"/>
    <w:rsid w:val="002F3C90"/>
    <w:rsid w:val="00307676"/>
    <w:rsid w:val="00307FBD"/>
    <w:rsid w:val="00311113"/>
    <w:rsid w:val="00311764"/>
    <w:rsid w:val="00312003"/>
    <w:rsid w:val="003138F0"/>
    <w:rsid w:val="0031560E"/>
    <w:rsid w:val="00317DB2"/>
    <w:rsid w:val="003229D8"/>
    <w:rsid w:val="00326DC2"/>
    <w:rsid w:val="00336968"/>
    <w:rsid w:val="00341408"/>
    <w:rsid w:val="0034524A"/>
    <w:rsid w:val="00347BB2"/>
    <w:rsid w:val="00352473"/>
    <w:rsid w:val="00352709"/>
    <w:rsid w:val="00355B77"/>
    <w:rsid w:val="00364A55"/>
    <w:rsid w:val="00366B3E"/>
    <w:rsid w:val="00367567"/>
    <w:rsid w:val="00371178"/>
    <w:rsid w:val="003728D6"/>
    <w:rsid w:val="00376CBD"/>
    <w:rsid w:val="003807E0"/>
    <w:rsid w:val="003828ED"/>
    <w:rsid w:val="0038336C"/>
    <w:rsid w:val="00384F25"/>
    <w:rsid w:val="003A28F0"/>
    <w:rsid w:val="003A29F4"/>
    <w:rsid w:val="003A47BD"/>
    <w:rsid w:val="003A5ABD"/>
    <w:rsid w:val="003A615B"/>
    <w:rsid w:val="003A6810"/>
    <w:rsid w:val="003A686E"/>
    <w:rsid w:val="003A756A"/>
    <w:rsid w:val="003B12B0"/>
    <w:rsid w:val="003B360D"/>
    <w:rsid w:val="003C2CC4"/>
    <w:rsid w:val="003C7074"/>
    <w:rsid w:val="003D4B23"/>
    <w:rsid w:val="003F1804"/>
    <w:rsid w:val="003F389C"/>
    <w:rsid w:val="003F6BBC"/>
    <w:rsid w:val="003F6DAB"/>
    <w:rsid w:val="00403E03"/>
    <w:rsid w:val="00410393"/>
    <w:rsid w:val="00410C89"/>
    <w:rsid w:val="004124F0"/>
    <w:rsid w:val="00425E73"/>
    <w:rsid w:val="00426B9B"/>
    <w:rsid w:val="00430CBF"/>
    <w:rsid w:val="00431BB9"/>
    <w:rsid w:val="004325CB"/>
    <w:rsid w:val="0043571B"/>
    <w:rsid w:val="00436B33"/>
    <w:rsid w:val="00442441"/>
    <w:rsid w:val="00442A83"/>
    <w:rsid w:val="0045495B"/>
    <w:rsid w:val="004614FA"/>
    <w:rsid w:val="00462C4B"/>
    <w:rsid w:val="00484710"/>
    <w:rsid w:val="00486E91"/>
    <w:rsid w:val="00487488"/>
    <w:rsid w:val="00494714"/>
    <w:rsid w:val="00497CBA"/>
    <w:rsid w:val="004A52E6"/>
    <w:rsid w:val="004B5795"/>
    <w:rsid w:val="004B5ABE"/>
    <w:rsid w:val="004C1B8B"/>
    <w:rsid w:val="004C35BC"/>
    <w:rsid w:val="004C38E0"/>
    <w:rsid w:val="004C501C"/>
    <w:rsid w:val="004D3936"/>
    <w:rsid w:val="004E2766"/>
    <w:rsid w:val="004F1C8C"/>
    <w:rsid w:val="004F332C"/>
    <w:rsid w:val="004F3A51"/>
    <w:rsid w:val="004F5296"/>
    <w:rsid w:val="004F5441"/>
    <w:rsid w:val="00510B87"/>
    <w:rsid w:val="00510DF6"/>
    <w:rsid w:val="0052136D"/>
    <w:rsid w:val="0052775E"/>
    <w:rsid w:val="00533423"/>
    <w:rsid w:val="005420F2"/>
    <w:rsid w:val="00555662"/>
    <w:rsid w:val="00555A70"/>
    <w:rsid w:val="00560650"/>
    <w:rsid w:val="005628B6"/>
    <w:rsid w:val="00581790"/>
    <w:rsid w:val="00581A60"/>
    <w:rsid w:val="00582985"/>
    <w:rsid w:val="005848B3"/>
    <w:rsid w:val="00595834"/>
    <w:rsid w:val="00595D02"/>
    <w:rsid w:val="005A0312"/>
    <w:rsid w:val="005B14A5"/>
    <w:rsid w:val="005B2569"/>
    <w:rsid w:val="005B3DB3"/>
    <w:rsid w:val="005B4472"/>
    <w:rsid w:val="005B6CAA"/>
    <w:rsid w:val="005C0735"/>
    <w:rsid w:val="005C5032"/>
    <w:rsid w:val="005C5950"/>
    <w:rsid w:val="005D2D96"/>
    <w:rsid w:val="005D7AA7"/>
    <w:rsid w:val="005E60E0"/>
    <w:rsid w:val="005F0B13"/>
    <w:rsid w:val="005F3ED2"/>
    <w:rsid w:val="005F7717"/>
    <w:rsid w:val="005F7B75"/>
    <w:rsid w:val="006001EE"/>
    <w:rsid w:val="006045EA"/>
    <w:rsid w:val="00605042"/>
    <w:rsid w:val="006107D4"/>
    <w:rsid w:val="00611FC4"/>
    <w:rsid w:val="006176FB"/>
    <w:rsid w:val="00640B26"/>
    <w:rsid w:val="00652D0A"/>
    <w:rsid w:val="00656CC1"/>
    <w:rsid w:val="00662BB6"/>
    <w:rsid w:val="00684C21"/>
    <w:rsid w:val="006932EE"/>
    <w:rsid w:val="00696C70"/>
    <w:rsid w:val="006A0BF4"/>
    <w:rsid w:val="006A187C"/>
    <w:rsid w:val="006B2053"/>
    <w:rsid w:val="006C0CA6"/>
    <w:rsid w:val="006C1702"/>
    <w:rsid w:val="006C7D32"/>
    <w:rsid w:val="006D37AF"/>
    <w:rsid w:val="006D51D0"/>
    <w:rsid w:val="006E098A"/>
    <w:rsid w:val="006E564B"/>
    <w:rsid w:val="006E7191"/>
    <w:rsid w:val="006E7CCA"/>
    <w:rsid w:val="006F1C67"/>
    <w:rsid w:val="006F3EAF"/>
    <w:rsid w:val="007030AD"/>
    <w:rsid w:val="00703577"/>
    <w:rsid w:val="00705474"/>
    <w:rsid w:val="00706C2E"/>
    <w:rsid w:val="00707D02"/>
    <w:rsid w:val="00714753"/>
    <w:rsid w:val="007156E9"/>
    <w:rsid w:val="00716367"/>
    <w:rsid w:val="007244DD"/>
    <w:rsid w:val="0072632A"/>
    <w:rsid w:val="007327D5"/>
    <w:rsid w:val="007416A3"/>
    <w:rsid w:val="007461AD"/>
    <w:rsid w:val="0075040F"/>
    <w:rsid w:val="00751EB0"/>
    <w:rsid w:val="00757D97"/>
    <w:rsid w:val="007629C8"/>
    <w:rsid w:val="007649EF"/>
    <w:rsid w:val="00780FED"/>
    <w:rsid w:val="00790E7A"/>
    <w:rsid w:val="007967B0"/>
    <w:rsid w:val="007A3C65"/>
    <w:rsid w:val="007A6176"/>
    <w:rsid w:val="007B06D3"/>
    <w:rsid w:val="007B45F4"/>
    <w:rsid w:val="007B6BA5"/>
    <w:rsid w:val="007C1AD9"/>
    <w:rsid w:val="007C3390"/>
    <w:rsid w:val="007C4F4B"/>
    <w:rsid w:val="007C784F"/>
    <w:rsid w:val="007D1BD5"/>
    <w:rsid w:val="007D652E"/>
    <w:rsid w:val="007E0A27"/>
    <w:rsid w:val="007E0B2D"/>
    <w:rsid w:val="007F5790"/>
    <w:rsid w:val="007F6611"/>
    <w:rsid w:val="008017E2"/>
    <w:rsid w:val="008105B8"/>
    <w:rsid w:val="008242D7"/>
    <w:rsid w:val="008257B1"/>
    <w:rsid w:val="00826836"/>
    <w:rsid w:val="0083117C"/>
    <w:rsid w:val="008340BC"/>
    <w:rsid w:val="00843767"/>
    <w:rsid w:val="0085755D"/>
    <w:rsid w:val="0086231E"/>
    <w:rsid w:val="008679D9"/>
    <w:rsid w:val="0087119B"/>
    <w:rsid w:val="008729BB"/>
    <w:rsid w:val="00874CFC"/>
    <w:rsid w:val="008862F0"/>
    <w:rsid w:val="008904A6"/>
    <w:rsid w:val="008925AC"/>
    <w:rsid w:val="008935AA"/>
    <w:rsid w:val="008979B1"/>
    <w:rsid w:val="008A141E"/>
    <w:rsid w:val="008A1DB2"/>
    <w:rsid w:val="008A65D7"/>
    <w:rsid w:val="008A6B25"/>
    <w:rsid w:val="008A6C4F"/>
    <w:rsid w:val="008B2335"/>
    <w:rsid w:val="008B2743"/>
    <w:rsid w:val="008B5F2F"/>
    <w:rsid w:val="008C7770"/>
    <w:rsid w:val="008D09FB"/>
    <w:rsid w:val="008D318D"/>
    <w:rsid w:val="008E0678"/>
    <w:rsid w:val="008E4335"/>
    <w:rsid w:val="008E4B7B"/>
    <w:rsid w:val="008F2E8B"/>
    <w:rsid w:val="008F335E"/>
    <w:rsid w:val="008F3FB8"/>
    <w:rsid w:val="008F56A0"/>
    <w:rsid w:val="0090576C"/>
    <w:rsid w:val="00910F40"/>
    <w:rsid w:val="00912C08"/>
    <w:rsid w:val="009223B4"/>
    <w:rsid w:val="009223CA"/>
    <w:rsid w:val="0092746F"/>
    <w:rsid w:val="00940F93"/>
    <w:rsid w:val="00941ADF"/>
    <w:rsid w:val="00945518"/>
    <w:rsid w:val="00945638"/>
    <w:rsid w:val="0095347F"/>
    <w:rsid w:val="00961A76"/>
    <w:rsid w:val="0096522A"/>
    <w:rsid w:val="00966B2E"/>
    <w:rsid w:val="0097472F"/>
    <w:rsid w:val="009760F3"/>
    <w:rsid w:val="009766D3"/>
    <w:rsid w:val="00977D62"/>
    <w:rsid w:val="0098051B"/>
    <w:rsid w:val="0098294A"/>
    <w:rsid w:val="009861CE"/>
    <w:rsid w:val="009909F5"/>
    <w:rsid w:val="00990B08"/>
    <w:rsid w:val="00991350"/>
    <w:rsid w:val="009A0E8D"/>
    <w:rsid w:val="009A173F"/>
    <w:rsid w:val="009A1A05"/>
    <w:rsid w:val="009A59B7"/>
    <w:rsid w:val="009B26E7"/>
    <w:rsid w:val="009B76AC"/>
    <w:rsid w:val="009F4AB0"/>
    <w:rsid w:val="009F7611"/>
    <w:rsid w:val="00A00A3F"/>
    <w:rsid w:val="00A01489"/>
    <w:rsid w:val="00A06535"/>
    <w:rsid w:val="00A104F4"/>
    <w:rsid w:val="00A11250"/>
    <w:rsid w:val="00A12D4A"/>
    <w:rsid w:val="00A13961"/>
    <w:rsid w:val="00A2790B"/>
    <w:rsid w:val="00A338F1"/>
    <w:rsid w:val="00A36D58"/>
    <w:rsid w:val="00A37AB8"/>
    <w:rsid w:val="00A40245"/>
    <w:rsid w:val="00A44615"/>
    <w:rsid w:val="00A5368D"/>
    <w:rsid w:val="00A63D9E"/>
    <w:rsid w:val="00A64147"/>
    <w:rsid w:val="00A67556"/>
    <w:rsid w:val="00A67ABD"/>
    <w:rsid w:val="00A7127A"/>
    <w:rsid w:val="00A72F22"/>
    <w:rsid w:val="00A7360F"/>
    <w:rsid w:val="00A748A6"/>
    <w:rsid w:val="00A769F4"/>
    <w:rsid w:val="00A776B4"/>
    <w:rsid w:val="00A7796C"/>
    <w:rsid w:val="00A8029B"/>
    <w:rsid w:val="00A803F2"/>
    <w:rsid w:val="00A808E5"/>
    <w:rsid w:val="00A8135E"/>
    <w:rsid w:val="00A83130"/>
    <w:rsid w:val="00A8731F"/>
    <w:rsid w:val="00A91339"/>
    <w:rsid w:val="00A92DAC"/>
    <w:rsid w:val="00A938A2"/>
    <w:rsid w:val="00A94361"/>
    <w:rsid w:val="00AA1F55"/>
    <w:rsid w:val="00AA293C"/>
    <w:rsid w:val="00AA5493"/>
    <w:rsid w:val="00AB3198"/>
    <w:rsid w:val="00AB4658"/>
    <w:rsid w:val="00AB7709"/>
    <w:rsid w:val="00AC7830"/>
    <w:rsid w:val="00AF04A5"/>
    <w:rsid w:val="00AF0DA2"/>
    <w:rsid w:val="00B02689"/>
    <w:rsid w:val="00B03A2F"/>
    <w:rsid w:val="00B07B13"/>
    <w:rsid w:val="00B108F9"/>
    <w:rsid w:val="00B11B94"/>
    <w:rsid w:val="00B127D9"/>
    <w:rsid w:val="00B13E9B"/>
    <w:rsid w:val="00B266B0"/>
    <w:rsid w:val="00B30179"/>
    <w:rsid w:val="00B32BB1"/>
    <w:rsid w:val="00B339A7"/>
    <w:rsid w:val="00B3523C"/>
    <w:rsid w:val="00B4421F"/>
    <w:rsid w:val="00B46558"/>
    <w:rsid w:val="00B51BA0"/>
    <w:rsid w:val="00B51ED6"/>
    <w:rsid w:val="00B52D31"/>
    <w:rsid w:val="00B56E4A"/>
    <w:rsid w:val="00B56E9C"/>
    <w:rsid w:val="00B633C1"/>
    <w:rsid w:val="00B63F67"/>
    <w:rsid w:val="00B64B1F"/>
    <w:rsid w:val="00B6553F"/>
    <w:rsid w:val="00B66E5E"/>
    <w:rsid w:val="00B729A7"/>
    <w:rsid w:val="00B75F65"/>
    <w:rsid w:val="00B77D05"/>
    <w:rsid w:val="00B81206"/>
    <w:rsid w:val="00B81393"/>
    <w:rsid w:val="00B81E12"/>
    <w:rsid w:val="00B904C6"/>
    <w:rsid w:val="00B9067B"/>
    <w:rsid w:val="00BA1629"/>
    <w:rsid w:val="00BA6BCC"/>
    <w:rsid w:val="00BB27AF"/>
    <w:rsid w:val="00BC2BC5"/>
    <w:rsid w:val="00BC2C23"/>
    <w:rsid w:val="00BC5E63"/>
    <w:rsid w:val="00BC74E9"/>
    <w:rsid w:val="00BE22F9"/>
    <w:rsid w:val="00BF0685"/>
    <w:rsid w:val="00BF68A8"/>
    <w:rsid w:val="00C051EC"/>
    <w:rsid w:val="00C11A03"/>
    <w:rsid w:val="00C15F86"/>
    <w:rsid w:val="00C41107"/>
    <w:rsid w:val="00C444EB"/>
    <w:rsid w:val="00C463DD"/>
    <w:rsid w:val="00C4724C"/>
    <w:rsid w:val="00C61681"/>
    <w:rsid w:val="00C629A0"/>
    <w:rsid w:val="00C745C3"/>
    <w:rsid w:val="00C755E8"/>
    <w:rsid w:val="00C759E3"/>
    <w:rsid w:val="00C77721"/>
    <w:rsid w:val="00C82C84"/>
    <w:rsid w:val="00C8571C"/>
    <w:rsid w:val="00C8769D"/>
    <w:rsid w:val="00C87ADC"/>
    <w:rsid w:val="00C91225"/>
    <w:rsid w:val="00C912C9"/>
    <w:rsid w:val="00CA5908"/>
    <w:rsid w:val="00CE3F54"/>
    <w:rsid w:val="00CE41EA"/>
    <w:rsid w:val="00CE4A8F"/>
    <w:rsid w:val="00D038C6"/>
    <w:rsid w:val="00D03FCA"/>
    <w:rsid w:val="00D078A8"/>
    <w:rsid w:val="00D07A58"/>
    <w:rsid w:val="00D1271F"/>
    <w:rsid w:val="00D14453"/>
    <w:rsid w:val="00D17BBC"/>
    <w:rsid w:val="00D2031B"/>
    <w:rsid w:val="00D22B22"/>
    <w:rsid w:val="00D25FE2"/>
    <w:rsid w:val="00D37098"/>
    <w:rsid w:val="00D4067A"/>
    <w:rsid w:val="00D4110A"/>
    <w:rsid w:val="00D43252"/>
    <w:rsid w:val="00D45FFE"/>
    <w:rsid w:val="00D46E94"/>
    <w:rsid w:val="00D47EEA"/>
    <w:rsid w:val="00D508BE"/>
    <w:rsid w:val="00D51485"/>
    <w:rsid w:val="00D85049"/>
    <w:rsid w:val="00D923DA"/>
    <w:rsid w:val="00D95303"/>
    <w:rsid w:val="00D978C6"/>
    <w:rsid w:val="00DA3111"/>
    <w:rsid w:val="00DA3C1C"/>
    <w:rsid w:val="00DB0C79"/>
    <w:rsid w:val="00DD32D8"/>
    <w:rsid w:val="00DD7A76"/>
    <w:rsid w:val="00DE1088"/>
    <w:rsid w:val="00DE2D48"/>
    <w:rsid w:val="00DF04C8"/>
    <w:rsid w:val="00E25C27"/>
    <w:rsid w:val="00E27346"/>
    <w:rsid w:val="00E33323"/>
    <w:rsid w:val="00E422E4"/>
    <w:rsid w:val="00E42DC7"/>
    <w:rsid w:val="00E44A3A"/>
    <w:rsid w:val="00E47C56"/>
    <w:rsid w:val="00E508BC"/>
    <w:rsid w:val="00E604A3"/>
    <w:rsid w:val="00E60C0B"/>
    <w:rsid w:val="00E6223C"/>
    <w:rsid w:val="00E67048"/>
    <w:rsid w:val="00E71BC8"/>
    <w:rsid w:val="00E7260F"/>
    <w:rsid w:val="00E76D54"/>
    <w:rsid w:val="00E779FC"/>
    <w:rsid w:val="00E94F3C"/>
    <w:rsid w:val="00E96630"/>
    <w:rsid w:val="00EA0317"/>
    <w:rsid w:val="00EB219A"/>
    <w:rsid w:val="00EB2581"/>
    <w:rsid w:val="00EB2856"/>
    <w:rsid w:val="00EC1248"/>
    <w:rsid w:val="00EC27EC"/>
    <w:rsid w:val="00EC3D67"/>
    <w:rsid w:val="00EC7DA4"/>
    <w:rsid w:val="00ED7A2A"/>
    <w:rsid w:val="00EE68D2"/>
    <w:rsid w:val="00EF1D7F"/>
    <w:rsid w:val="00EF31DC"/>
    <w:rsid w:val="00EF3DB7"/>
    <w:rsid w:val="00EF4018"/>
    <w:rsid w:val="00EF64D7"/>
    <w:rsid w:val="00F01FFA"/>
    <w:rsid w:val="00F074D6"/>
    <w:rsid w:val="00F20C3D"/>
    <w:rsid w:val="00F32B41"/>
    <w:rsid w:val="00F3665B"/>
    <w:rsid w:val="00F43E9E"/>
    <w:rsid w:val="00F449FC"/>
    <w:rsid w:val="00F62ABE"/>
    <w:rsid w:val="00F7039D"/>
    <w:rsid w:val="00F73D43"/>
    <w:rsid w:val="00F77EAD"/>
    <w:rsid w:val="00F82F8D"/>
    <w:rsid w:val="00F858F6"/>
    <w:rsid w:val="00F9057C"/>
    <w:rsid w:val="00F906D7"/>
    <w:rsid w:val="00F93781"/>
    <w:rsid w:val="00F93E98"/>
    <w:rsid w:val="00FA78A2"/>
    <w:rsid w:val="00FB4503"/>
    <w:rsid w:val="00FB54DC"/>
    <w:rsid w:val="00FB613B"/>
    <w:rsid w:val="00FC0D5E"/>
    <w:rsid w:val="00FC68B7"/>
    <w:rsid w:val="00FC736B"/>
    <w:rsid w:val="00FD14FA"/>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D7D2F4FF-1C43-4C3F-A3A4-996D7448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Footnote Text Char Char Char Char Char Cha"/>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A5368D"/>
    <w:rPr>
      <w:lang w:val="en-GB" w:eastAsia="en-US" w:bidi="ar-SA"/>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w:link w:val="FootnoteText"/>
    <w:locked/>
    <w:rsid w:val="00A5368D"/>
    <w:rPr>
      <w:sz w:val="18"/>
      <w:lang w:val="en-GB" w:eastAsia="en-US" w:bidi="ar-SA"/>
    </w:rPr>
  </w:style>
  <w:style w:type="paragraph" w:styleId="BalloonText">
    <w:name w:val="Balloon Text"/>
    <w:basedOn w:val="Normal"/>
    <w:link w:val="BalloonTextChar"/>
    <w:rsid w:val="00052009"/>
    <w:pPr>
      <w:spacing w:line="240" w:lineRule="auto"/>
    </w:pPr>
    <w:rPr>
      <w:rFonts w:ascii="Tahoma" w:hAnsi="Tahoma"/>
      <w:sz w:val="16"/>
      <w:szCs w:val="16"/>
    </w:rPr>
  </w:style>
  <w:style w:type="character" w:customStyle="1" w:styleId="BalloonTextChar">
    <w:name w:val="Balloon Text Char"/>
    <w:link w:val="BalloonText"/>
    <w:rsid w:val="00052009"/>
    <w:rPr>
      <w:rFonts w:ascii="Tahoma" w:hAnsi="Tahoma" w:cs="Tahoma"/>
      <w:sz w:val="16"/>
      <w:szCs w:val="16"/>
      <w:lang w:eastAsia="en-US"/>
    </w:rPr>
  </w:style>
  <w:style w:type="character" w:styleId="CommentReference">
    <w:name w:val="annotation reference"/>
    <w:rsid w:val="00B63F67"/>
    <w:rPr>
      <w:sz w:val="16"/>
      <w:szCs w:val="16"/>
    </w:rPr>
  </w:style>
  <w:style w:type="paragraph" w:styleId="CommentText">
    <w:name w:val="annotation text"/>
    <w:basedOn w:val="Normal"/>
    <w:link w:val="CommentTextChar"/>
    <w:rsid w:val="00B63F67"/>
  </w:style>
  <w:style w:type="character" w:customStyle="1" w:styleId="CommentTextChar">
    <w:name w:val="Comment Text Char"/>
    <w:link w:val="CommentText"/>
    <w:rsid w:val="00B63F67"/>
    <w:rPr>
      <w:lang w:eastAsia="en-US"/>
    </w:rPr>
  </w:style>
  <w:style w:type="paragraph" w:styleId="CommentSubject">
    <w:name w:val="annotation subject"/>
    <w:basedOn w:val="CommentText"/>
    <w:next w:val="CommentText"/>
    <w:link w:val="CommentSubjectChar"/>
    <w:rsid w:val="00B63F67"/>
    <w:rPr>
      <w:b/>
      <w:bCs/>
    </w:rPr>
  </w:style>
  <w:style w:type="character" w:customStyle="1" w:styleId="CommentSubjectChar">
    <w:name w:val="Comment Subject Char"/>
    <w:link w:val="CommentSubject"/>
    <w:rsid w:val="00B63F6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2013-05-10T10:19:00Z</cp:lastPrinted>
  <dcterms:created xsi:type="dcterms:W3CDTF">2017-01-24T23:58:00Z</dcterms:created>
  <dcterms:modified xsi:type="dcterms:W3CDTF">2017-01-24T23:58:00Z</dcterms:modified>
</cp:coreProperties>
</file>