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3521FD" w:rsidRPr="0086784B">
        <w:trPr>
          <w:cantSplit/>
          <w:trHeight w:hRule="exact" w:val="851"/>
        </w:trPr>
        <w:tc>
          <w:tcPr>
            <w:tcW w:w="1276" w:type="dxa"/>
            <w:tcBorders>
              <w:bottom w:val="single" w:sz="4" w:space="0" w:color="auto"/>
            </w:tcBorders>
            <w:vAlign w:val="bottom"/>
          </w:tcPr>
          <w:p w:rsidR="003521FD" w:rsidRDefault="003521FD" w:rsidP="003521FD">
            <w:pPr>
              <w:spacing w:after="80"/>
            </w:pPr>
            <w:bookmarkStart w:id="0" w:name="_GoBack"/>
            <w:bookmarkEnd w:id="0"/>
          </w:p>
        </w:tc>
        <w:tc>
          <w:tcPr>
            <w:tcW w:w="2268" w:type="dxa"/>
            <w:tcBorders>
              <w:bottom w:val="single" w:sz="4" w:space="0" w:color="auto"/>
            </w:tcBorders>
            <w:vAlign w:val="bottom"/>
          </w:tcPr>
          <w:p w:rsidR="003521FD" w:rsidRPr="0086784B" w:rsidRDefault="003521FD" w:rsidP="003521FD">
            <w:pPr>
              <w:spacing w:after="80" w:line="300" w:lineRule="exact"/>
              <w:rPr>
                <w:b/>
                <w:sz w:val="24"/>
                <w:szCs w:val="24"/>
              </w:rPr>
            </w:pPr>
            <w:r w:rsidRPr="0086784B">
              <w:rPr>
                <w:sz w:val="28"/>
                <w:szCs w:val="28"/>
              </w:rPr>
              <w:t>United Nations</w:t>
            </w:r>
          </w:p>
        </w:tc>
        <w:tc>
          <w:tcPr>
            <w:tcW w:w="6095" w:type="dxa"/>
            <w:gridSpan w:val="2"/>
            <w:tcBorders>
              <w:bottom w:val="single" w:sz="4" w:space="0" w:color="auto"/>
            </w:tcBorders>
            <w:vAlign w:val="bottom"/>
          </w:tcPr>
          <w:p w:rsidR="003521FD" w:rsidRPr="0086784B" w:rsidRDefault="003521FD" w:rsidP="00E0196A">
            <w:pPr>
              <w:jc w:val="right"/>
            </w:pPr>
            <w:r w:rsidRPr="0086784B">
              <w:rPr>
                <w:sz w:val="40"/>
              </w:rPr>
              <w:t>CCPR</w:t>
            </w:r>
            <w:r w:rsidRPr="0086784B">
              <w:t>/C/11</w:t>
            </w:r>
            <w:r w:rsidR="00F71FEB" w:rsidRPr="0086784B">
              <w:t>3</w:t>
            </w:r>
            <w:r w:rsidRPr="0086784B">
              <w:t>/D/</w:t>
            </w:r>
            <w:r w:rsidR="00F71FEB" w:rsidRPr="0086784B">
              <w:t>2050</w:t>
            </w:r>
            <w:r w:rsidRPr="0086784B">
              <w:t>/201</w:t>
            </w:r>
            <w:r w:rsidR="00F71FEB" w:rsidRPr="0086784B">
              <w:t>1</w:t>
            </w:r>
          </w:p>
        </w:tc>
      </w:tr>
      <w:tr w:rsidR="003521FD" w:rsidRPr="0086784B">
        <w:trPr>
          <w:cantSplit/>
          <w:trHeight w:hRule="exact" w:val="2835"/>
        </w:trPr>
        <w:tc>
          <w:tcPr>
            <w:tcW w:w="1276" w:type="dxa"/>
            <w:tcBorders>
              <w:top w:val="single" w:sz="4" w:space="0" w:color="auto"/>
              <w:bottom w:val="single" w:sz="12" w:space="0" w:color="auto"/>
            </w:tcBorders>
          </w:tcPr>
          <w:p w:rsidR="003521FD" w:rsidRPr="0086784B" w:rsidRDefault="00A935C0" w:rsidP="00045B82">
            <w:pPr>
              <w:spacing w:before="120"/>
            </w:pPr>
            <w:r>
              <w:rPr>
                <w:noProof/>
                <w:lang w:val="en-US"/>
              </w:rPr>
              <w:drawing>
                <wp:inline distT="0" distB="0" distL="0" distR="0">
                  <wp:extent cx="716280" cy="594360"/>
                  <wp:effectExtent l="0" t="0" r="7620"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280" cy="59436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E0196A" w:rsidRPr="0086784B" w:rsidRDefault="003521FD" w:rsidP="003521FD">
            <w:pPr>
              <w:spacing w:before="120" w:line="380" w:lineRule="exact"/>
              <w:rPr>
                <w:sz w:val="34"/>
              </w:rPr>
            </w:pPr>
            <w:r w:rsidRPr="0086784B">
              <w:rPr>
                <w:b/>
                <w:sz w:val="34"/>
                <w:szCs w:val="40"/>
              </w:rPr>
              <w:t>International Covenant on</w:t>
            </w:r>
            <w:r w:rsidRPr="0086784B">
              <w:rPr>
                <w:b/>
                <w:sz w:val="34"/>
                <w:szCs w:val="40"/>
              </w:rPr>
              <w:br/>
              <w:t>Civil and Political Rights</w:t>
            </w:r>
          </w:p>
          <w:p w:rsidR="003521FD" w:rsidRPr="0086784B" w:rsidRDefault="003521FD" w:rsidP="00E0196A">
            <w:pPr>
              <w:spacing w:before="120" w:line="380" w:lineRule="exact"/>
              <w:rPr>
                <w:sz w:val="34"/>
              </w:rPr>
            </w:pPr>
          </w:p>
        </w:tc>
        <w:tc>
          <w:tcPr>
            <w:tcW w:w="2835" w:type="dxa"/>
            <w:tcBorders>
              <w:top w:val="single" w:sz="4" w:space="0" w:color="auto"/>
              <w:bottom w:val="single" w:sz="12" w:space="0" w:color="auto"/>
            </w:tcBorders>
          </w:tcPr>
          <w:p w:rsidR="003521FD" w:rsidRPr="0086784B" w:rsidRDefault="003521FD" w:rsidP="003521FD">
            <w:pPr>
              <w:spacing w:before="240" w:line="240" w:lineRule="exact"/>
            </w:pPr>
            <w:r w:rsidRPr="0086784B">
              <w:t xml:space="preserve">Distr.: </w:t>
            </w:r>
            <w:r w:rsidR="00E0196A" w:rsidRPr="0086784B">
              <w:t>General</w:t>
            </w:r>
          </w:p>
          <w:p w:rsidR="003521FD" w:rsidRPr="0086784B" w:rsidRDefault="009E484E" w:rsidP="00E42824">
            <w:pPr>
              <w:spacing w:line="240" w:lineRule="exact"/>
            </w:pPr>
            <w:r w:rsidRPr="0086784B">
              <w:t>1</w:t>
            </w:r>
            <w:r w:rsidR="00263231" w:rsidRPr="0086784B">
              <w:t>2</w:t>
            </w:r>
            <w:r w:rsidRPr="0086784B">
              <w:t xml:space="preserve"> May</w:t>
            </w:r>
            <w:r w:rsidR="001B30EB" w:rsidRPr="0086784B">
              <w:t xml:space="preserve"> 2015</w:t>
            </w:r>
          </w:p>
          <w:p w:rsidR="003521FD" w:rsidRPr="0086784B" w:rsidRDefault="003521FD" w:rsidP="003521FD">
            <w:pPr>
              <w:spacing w:line="240" w:lineRule="exact"/>
            </w:pPr>
          </w:p>
          <w:p w:rsidR="003521FD" w:rsidRPr="0086784B" w:rsidRDefault="003521FD" w:rsidP="003521FD">
            <w:pPr>
              <w:spacing w:line="240" w:lineRule="exact"/>
            </w:pPr>
            <w:r w:rsidRPr="0086784B">
              <w:t>Original: English</w:t>
            </w:r>
          </w:p>
          <w:p w:rsidR="00C47C99" w:rsidRPr="0086784B" w:rsidRDefault="00C47C99" w:rsidP="003521FD">
            <w:pPr>
              <w:spacing w:line="240" w:lineRule="exact"/>
            </w:pPr>
          </w:p>
        </w:tc>
      </w:tr>
    </w:tbl>
    <w:p w:rsidR="003521FD" w:rsidRPr="0086784B" w:rsidRDefault="003521FD" w:rsidP="003521FD">
      <w:pPr>
        <w:spacing w:before="120"/>
        <w:rPr>
          <w:b/>
          <w:sz w:val="24"/>
          <w:szCs w:val="24"/>
        </w:rPr>
      </w:pPr>
      <w:r w:rsidRPr="0086784B">
        <w:rPr>
          <w:b/>
          <w:sz w:val="24"/>
          <w:szCs w:val="24"/>
        </w:rPr>
        <w:t>Human Rights Committee</w:t>
      </w:r>
    </w:p>
    <w:p w:rsidR="003521FD" w:rsidRPr="0086784B" w:rsidRDefault="003521FD" w:rsidP="003521FD">
      <w:pPr>
        <w:pStyle w:val="HChG"/>
      </w:pPr>
      <w:r w:rsidRPr="0086784B">
        <w:tab/>
      </w:r>
      <w:r w:rsidRPr="0086784B">
        <w:tab/>
        <w:t xml:space="preserve">Communication </w:t>
      </w:r>
      <w:r w:rsidR="0034593D" w:rsidRPr="0086784B">
        <w:t>No. </w:t>
      </w:r>
      <w:r w:rsidR="00F71FEB" w:rsidRPr="0086784B">
        <w:t>2050/2011</w:t>
      </w:r>
    </w:p>
    <w:p w:rsidR="003521FD" w:rsidRPr="0086784B" w:rsidRDefault="003521FD" w:rsidP="003521FD">
      <w:pPr>
        <w:pStyle w:val="H1G"/>
      </w:pPr>
      <w:r w:rsidRPr="0086784B">
        <w:tab/>
      </w:r>
      <w:r w:rsidRPr="0086784B">
        <w:tab/>
      </w:r>
      <w:r w:rsidR="00E0196A" w:rsidRPr="0086784B">
        <w:t xml:space="preserve">Decision adopted by the Committee at its 113th session </w:t>
      </w:r>
      <w:r w:rsidR="00142515" w:rsidRPr="0086784B">
        <w:br/>
      </w:r>
      <w:r w:rsidR="00E0196A" w:rsidRPr="0086784B">
        <w:t>(</w:t>
      </w:r>
      <w:r w:rsidR="00E0196A" w:rsidRPr="0086784B">
        <w:rPr>
          <w:bCs/>
          <w:lang w:val="en-US"/>
        </w:rPr>
        <w:t>16 March–2 April 2015)</w:t>
      </w:r>
    </w:p>
    <w:p w:rsidR="003521FD" w:rsidRPr="0086784B" w:rsidRDefault="003521FD" w:rsidP="0086784B">
      <w:pPr>
        <w:pStyle w:val="SingleTxtG"/>
        <w:ind w:left="4536" w:hanging="3402"/>
        <w:jc w:val="left"/>
      </w:pPr>
      <w:r w:rsidRPr="0086784B">
        <w:rPr>
          <w:i/>
        </w:rPr>
        <w:t>Submitted by:</w:t>
      </w:r>
      <w:r w:rsidRPr="0086784B">
        <w:tab/>
      </w:r>
      <w:r w:rsidR="00F71FEB" w:rsidRPr="0086784B">
        <w:t>E</w:t>
      </w:r>
      <w:r w:rsidR="00C101F0" w:rsidRPr="0086784B">
        <w:t>.L.K.</w:t>
      </w:r>
      <w:r w:rsidR="00F71FEB" w:rsidRPr="0086784B">
        <w:t xml:space="preserve"> (</w:t>
      </w:r>
      <w:r w:rsidRPr="0086784B">
        <w:t xml:space="preserve">represented by </w:t>
      </w:r>
      <w:r w:rsidR="00F71FEB" w:rsidRPr="0086784B">
        <w:t>Willem A. Venema</w:t>
      </w:r>
      <w:r w:rsidRPr="0086784B">
        <w:t>)</w:t>
      </w:r>
    </w:p>
    <w:p w:rsidR="003521FD" w:rsidRPr="0086784B" w:rsidRDefault="003521FD" w:rsidP="0086784B">
      <w:pPr>
        <w:pStyle w:val="SingleTxtG"/>
        <w:ind w:left="4536" w:hanging="3402"/>
        <w:jc w:val="left"/>
      </w:pPr>
      <w:r w:rsidRPr="0086784B">
        <w:rPr>
          <w:i/>
        </w:rPr>
        <w:t>Alleged victim:</w:t>
      </w:r>
      <w:r w:rsidRPr="0086784B">
        <w:tab/>
        <w:t>Th</w:t>
      </w:r>
      <w:r w:rsidR="00F71FEB" w:rsidRPr="0086784B">
        <w:t>e author</w:t>
      </w:r>
    </w:p>
    <w:p w:rsidR="003521FD" w:rsidRPr="0086784B" w:rsidRDefault="003521FD" w:rsidP="0086784B">
      <w:pPr>
        <w:pStyle w:val="SingleTxtG"/>
        <w:ind w:left="4536" w:hanging="3402"/>
        <w:jc w:val="left"/>
        <w:rPr>
          <w:lang w:val="en-US"/>
        </w:rPr>
      </w:pPr>
      <w:r w:rsidRPr="0086784B">
        <w:rPr>
          <w:i/>
        </w:rPr>
        <w:t>State Party:</w:t>
      </w:r>
      <w:r w:rsidRPr="0086784B">
        <w:tab/>
      </w:r>
      <w:r w:rsidR="006B075F" w:rsidRPr="0086784B">
        <w:t>T</w:t>
      </w:r>
      <w:r w:rsidR="00F71FEB" w:rsidRPr="0086784B">
        <w:t>he Netherlands</w:t>
      </w:r>
    </w:p>
    <w:p w:rsidR="003521FD" w:rsidRPr="0086784B" w:rsidRDefault="003521FD" w:rsidP="0086784B">
      <w:pPr>
        <w:pStyle w:val="SingleTxtG"/>
        <w:ind w:left="4536" w:hanging="3402"/>
        <w:jc w:val="left"/>
      </w:pPr>
      <w:r w:rsidRPr="0086784B">
        <w:rPr>
          <w:i/>
        </w:rPr>
        <w:t>Date of communication:</w:t>
      </w:r>
      <w:r w:rsidRPr="0086784B">
        <w:tab/>
      </w:r>
      <w:r w:rsidR="00F71FEB" w:rsidRPr="0086784B">
        <w:t>25 February 2011</w:t>
      </w:r>
    </w:p>
    <w:p w:rsidR="003521FD" w:rsidRPr="0086784B" w:rsidRDefault="003521FD" w:rsidP="0086784B">
      <w:pPr>
        <w:pStyle w:val="SingleTxtG"/>
        <w:ind w:left="4536" w:hanging="3402"/>
        <w:jc w:val="left"/>
      </w:pPr>
      <w:r w:rsidRPr="0086784B">
        <w:rPr>
          <w:i/>
        </w:rPr>
        <w:t>Document references:</w:t>
      </w:r>
      <w:r w:rsidRPr="0086784B">
        <w:tab/>
        <w:t xml:space="preserve">Special Rapporteur’s rule 97 decision, transmitted to the State party on </w:t>
      </w:r>
      <w:r w:rsidR="00227516" w:rsidRPr="0086784B">
        <w:t>20 April 2011</w:t>
      </w:r>
      <w:r w:rsidRPr="0086784B">
        <w:t xml:space="preserve"> (not issued in document form)</w:t>
      </w:r>
    </w:p>
    <w:p w:rsidR="003521FD" w:rsidRPr="0086784B" w:rsidRDefault="003521FD" w:rsidP="0086784B">
      <w:pPr>
        <w:pStyle w:val="SingleTxtG"/>
        <w:ind w:left="4536" w:hanging="3402"/>
        <w:jc w:val="left"/>
        <w:rPr>
          <w:lang w:val="en-US"/>
        </w:rPr>
      </w:pPr>
      <w:r w:rsidRPr="0086784B">
        <w:rPr>
          <w:i/>
        </w:rPr>
        <w:t xml:space="preserve">Date of adoption of </w:t>
      </w:r>
      <w:r w:rsidR="00496C56" w:rsidRPr="0086784B">
        <w:rPr>
          <w:i/>
        </w:rPr>
        <w:t>Decision</w:t>
      </w:r>
      <w:r w:rsidRPr="0086784B">
        <w:rPr>
          <w:i/>
        </w:rPr>
        <w:t>:</w:t>
      </w:r>
      <w:r w:rsidRPr="0086784B">
        <w:tab/>
      </w:r>
      <w:r w:rsidR="00E0196A" w:rsidRPr="0086784B">
        <w:t>30</w:t>
      </w:r>
      <w:r w:rsidR="00227516" w:rsidRPr="0086784B">
        <w:t xml:space="preserve"> March</w:t>
      </w:r>
      <w:r w:rsidRPr="0086784B">
        <w:rPr>
          <w:lang w:val="en-US"/>
        </w:rPr>
        <w:t xml:space="preserve"> 201</w:t>
      </w:r>
      <w:r w:rsidR="00227516" w:rsidRPr="0086784B">
        <w:rPr>
          <w:lang w:val="en-US"/>
        </w:rPr>
        <w:t>5</w:t>
      </w:r>
    </w:p>
    <w:p w:rsidR="00E35BCC" w:rsidRPr="0086784B" w:rsidRDefault="00E35BCC" w:rsidP="0086784B">
      <w:pPr>
        <w:pStyle w:val="SingleTxtG"/>
        <w:ind w:left="4536" w:hanging="3402"/>
        <w:jc w:val="left"/>
        <w:rPr>
          <w:lang w:val="en-US"/>
        </w:rPr>
      </w:pPr>
      <w:r w:rsidRPr="0086784B">
        <w:rPr>
          <w:i/>
          <w:iCs/>
        </w:rPr>
        <w:t xml:space="preserve">Subject matter: </w:t>
      </w:r>
      <w:r w:rsidRPr="0086784B">
        <w:rPr>
          <w:i/>
          <w:iCs/>
        </w:rPr>
        <w:tab/>
      </w:r>
      <w:r w:rsidRPr="0086784B">
        <w:rPr>
          <w:iCs/>
        </w:rPr>
        <w:t xml:space="preserve">Expulsion of the author to his country of origin </w:t>
      </w:r>
    </w:p>
    <w:p w:rsidR="00B3389D" w:rsidRPr="0086784B" w:rsidRDefault="003521FD" w:rsidP="0086784B">
      <w:pPr>
        <w:pStyle w:val="SingleTxtG"/>
        <w:ind w:left="4536" w:hanging="3402"/>
        <w:jc w:val="left"/>
        <w:rPr>
          <w:lang w:val="en-US"/>
        </w:rPr>
      </w:pPr>
      <w:r w:rsidRPr="0086784B">
        <w:rPr>
          <w:i/>
          <w:iCs/>
          <w:lang w:val="en-US"/>
        </w:rPr>
        <w:t>Procedural issues</w:t>
      </w:r>
      <w:r w:rsidRPr="0086784B">
        <w:rPr>
          <w:lang w:val="en-US"/>
        </w:rPr>
        <w:t xml:space="preserve">: </w:t>
      </w:r>
      <w:r w:rsidRPr="0086784B">
        <w:rPr>
          <w:lang w:val="en-US"/>
        </w:rPr>
        <w:tab/>
        <w:t xml:space="preserve">Level of substantiation of claims </w:t>
      </w:r>
    </w:p>
    <w:p w:rsidR="003521FD" w:rsidRPr="0086784B" w:rsidRDefault="003521FD" w:rsidP="004A0CD9">
      <w:pPr>
        <w:pStyle w:val="SingleTxtG"/>
        <w:ind w:left="4536" w:hanging="3402"/>
        <w:rPr>
          <w:lang w:val="en-US"/>
        </w:rPr>
      </w:pPr>
      <w:r w:rsidRPr="0086784B">
        <w:rPr>
          <w:i/>
          <w:lang w:val="en-US"/>
        </w:rPr>
        <w:t>Substantive issues:</w:t>
      </w:r>
      <w:r w:rsidRPr="0086784B">
        <w:rPr>
          <w:i/>
          <w:lang w:val="en-US"/>
        </w:rPr>
        <w:tab/>
      </w:r>
      <w:r w:rsidR="00B3389D" w:rsidRPr="0086784B">
        <w:rPr>
          <w:lang w:val="en-US"/>
        </w:rPr>
        <w:t>Arbitrary interference with right to priva</w:t>
      </w:r>
      <w:r w:rsidR="00DF7E82" w:rsidRPr="0086784B">
        <w:rPr>
          <w:lang w:val="en-US"/>
        </w:rPr>
        <w:t>te life</w:t>
      </w:r>
    </w:p>
    <w:p w:rsidR="003521FD" w:rsidRPr="0086784B" w:rsidRDefault="003521FD" w:rsidP="0086784B">
      <w:pPr>
        <w:pStyle w:val="SingleTxtG"/>
        <w:ind w:left="4536" w:hanging="3402"/>
        <w:jc w:val="left"/>
      </w:pPr>
      <w:r w:rsidRPr="0086784B">
        <w:rPr>
          <w:i/>
          <w:iCs/>
        </w:rPr>
        <w:t>Articles of the Covenant:</w:t>
      </w:r>
      <w:r w:rsidR="0034593D" w:rsidRPr="0086784B">
        <w:rPr>
          <w:i/>
          <w:iCs/>
        </w:rPr>
        <w:t xml:space="preserve"> </w:t>
      </w:r>
      <w:r w:rsidRPr="0086784B">
        <w:rPr>
          <w:i/>
          <w:iCs/>
        </w:rPr>
        <w:tab/>
      </w:r>
      <w:r w:rsidR="00B3389D" w:rsidRPr="0086784B">
        <w:rPr>
          <w:iCs/>
        </w:rPr>
        <w:t>17</w:t>
      </w:r>
    </w:p>
    <w:p w:rsidR="003521FD" w:rsidRPr="0086784B" w:rsidRDefault="003521FD" w:rsidP="0086784B">
      <w:pPr>
        <w:pStyle w:val="SingleTxtG"/>
        <w:ind w:left="4536" w:hanging="3402"/>
        <w:jc w:val="left"/>
      </w:pPr>
      <w:r w:rsidRPr="0086784B">
        <w:rPr>
          <w:i/>
          <w:iCs/>
        </w:rPr>
        <w:t xml:space="preserve">Articles of the Optional Protocol: </w:t>
      </w:r>
      <w:r w:rsidRPr="0086784B">
        <w:rPr>
          <w:i/>
          <w:iCs/>
        </w:rPr>
        <w:tab/>
      </w:r>
      <w:r w:rsidR="00E35BCC" w:rsidRPr="0086784B">
        <w:t>2</w:t>
      </w:r>
    </w:p>
    <w:p w:rsidR="003521FD" w:rsidRPr="0086784B" w:rsidRDefault="003521FD" w:rsidP="0086784B">
      <w:pPr>
        <w:pStyle w:val="SingleTxtG"/>
        <w:rPr>
          <w:b/>
        </w:rPr>
      </w:pPr>
    </w:p>
    <w:p w:rsidR="003521FD" w:rsidRPr="0086784B" w:rsidRDefault="001F687B" w:rsidP="003521FD">
      <w:pPr>
        <w:pStyle w:val="HChG"/>
      </w:pPr>
      <w:r>
        <w:rPr>
          <w:noProof/>
          <w:lang w:val="en-US"/>
        </w:rPr>
        <w:drawing>
          <wp:anchor distT="0" distB="0" distL="114300" distR="114300" simplePos="0" relativeHeight="251658240" behindDoc="0" locked="0" layoutInCell="1" allowOverlap="1" wp14:anchorId="68C48215" wp14:editId="55BF49CD">
            <wp:simplePos x="0" y="0"/>
            <wp:positionH relativeFrom="margin">
              <wp:posOffset>5493270</wp:posOffset>
            </wp:positionH>
            <wp:positionV relativeFrom="margin">
              <wp:posOffset>8029864</wp:posOffset>
            </wp:positionV>
            <wp:extent cx="636905" cy="636905"/>
            <wp:effectExtent l="0" t="0" r="0" b="0"/>
            <wp:wrapNone/>
            <wp:docPr id="2" name="Picture 2" descr="http://undocs.org/m2/QRCode.ashx?DS=CCPR/C/113/D/2050/201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CCPR/C/113/D/2050/2011&amp;Size=2 &amp;La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6905" cy="636905"/>
                    </a:xfrm>
                    <a:prstGeom prst="rect">
                      <a:avLst/>
                    </a:prstGeom>
                    <a:noFill/>
                    <a:ln>
                      <a:noFill/>
                    </a:ln>
                  </pic:spPr>
                </pic:pic>
              </a:graphicData>
            </a:graphic>
            <wp14:sizeRelH relativeFrom="page">
              <wp14:pctWidth>0</wp14:pctWidth>
            </wp14:sizeRelH>
            <wp14:sizeRelV relativeFrom="page">
              <wp14:pctHeight>0</wp14:pctHeight>
            </wp14:sizeRelV>
          </wp:anchor>
        </w:drawing>
      </w:r>
      <w:r w:rsidR="003521FD" w:rsidRPr="0086784B">
        <w:br w:type="page"/>
      </w:r>
      <w:r w:rsidR="003521FD" w:rsidRPr="0086784B">
        <w:lastRenderedPageBreak/>
        <w:t>Annex</w:t>
      </w:r>
    </w:p>
    <w:p w:rsidR="003521FD" w:rsidRPr="0086784B" w:rsidRDefault="003521FD" w:rsidP="003521FD">
      <w:pPr>
        <w:pStyle w:val="HChG"/>
        <w:rPr>
          <w:bCs/>
        </w:rPr>
      </w:pPr>
      <w:r w:rsidRPr="0086784B">
        <w:tab/>
      </w:r>
      <w:r w:rsidRPr="0086784B">
        <w:tab/>
        <w:t xml:space="preserve">Decision of the Human Rights Committee under </w:t>
      </w:r>
      <w:r w:rsidR="00E35BCC" w:rsidRPr="0086784B">
        <w:br/>
      </w:r>
      <w:r w:rsidRPr="0086784B">
        <w:t xml:space="preserve">the Optional Protocol to the International Covenant </w:t>
      </w:r>
      <w:r w:rsidR="00E35BCC" w:rsidRPr="0086784B">
        <w:br/>
      </w:r>
      <w:r w:rsidRPr="0086784B">
        <w:t>on Civil and Political Rights (11</w:t>
      </w:r>
      <w:r w:rsidR="00227516" w:rsidRPr="0086784B">
        <w:t>3</w:t>
      </w:r>
      <w:r w:rsidRPr="0086784B">
        <w:t xml:space="preserve">th </w:t>
      </w:r>
      <w:r w:rsidRPr="0086784B">
        <w:rPr>
          <w:bCs/>
        </w:rPr>
        <w:t>session)</w:t>
      </w:r>
    </w:p>
    <w:p w:rsidR="003521FD" w:rsidRPr="0086784B" w:rsidRDefault="003521FD" w:rsidP="003521FD">
      <w:pPr>
        <w:pStyle w:val="SingleTxtG"/>
      </w:pPr>
      <w:r w:rsidRPr="0086784B">
        <w:t>concerning</w:t>
      </w:r>
    </w:p>
    <w:p w:rsidR="00E0196A" w:rsidRPr="0086784B" w:rsidRDefault="003521FD" w:rsidP="0086784B">
      <w:pPr>
        <w:pStyle w:val="H1G"/>
        <w:rPr>
          <w:szCs w:val="24"/>
          <w:lang w:eastAsia="en-GB"/>
        </w:rPr>
      </w:pPr>
      <w:r w:rsidRPr="0086784B">
        <w:tab/>
      </w:r>
      <w:r w:rsidRPr="0086784B">
        <w:tab/>
        <w:t xml:space="preserve">Communication </w:t>
      </w:r>
      <w:r w:rsidR="0034593D" w:rsidRPr="0086784B">
        <w:t>No. </w:t>
      </w:r>
      <w:r w:rsidR="00227516" w:rsidRPr="0086784B">
        <w:t>2050</w:t>
      </w:r>
      <w:r w:rsidRPr="0086784B">
        <w:t>/201</w:t>
      </w:r>
      <w:r w:rsidR="00227516" w:rsidRPr="0086784B">
        <w:t>1</w:t>
      </w:r>
      <w:r w:rsidR="00E0196A" w:rsidRPr="0086784B">
        <w:rPr>
          <w:rStyle w:val="FootnoteReference"/>
          <w:rFonts w:eastAsia="Calibri"/>
          <w:b w:val="0"/>
          <w:bCs/>
          <w:sz w:val="20"/>
          <w:vertAlign w:val="baseline"/>
        </w:rPr>
        <w:footnoteReference w:customMarkFollows="1" w:id="2"/>
        <w:t>*</w:t>
      </w:r>
    </w:p>
    <w:p w:rsidR="003521FD" w:rsidRPr="0086784B" w:rsidRDefault="003521FD" w:rsidP="0086784B">
      <w:pPr>
        <w:pStyle w:val="SingleTxtG"/>
        <w:ind w:left="4536" w:hanging="3402"/>
        <w:jc w:val="left"/>
      </w:pPr>
      <w:r w:rsidRPr="0086784B">
        <w:rPr>
          <w:i/>
        </w:rPr>
        <w:t>Submitted by:</w:t>
      </w:r>
      <w:r w:rsidRPr="0086784B">
        <w:tab/>
      </w:r>
      <w:r w:rsidRPr="0086784B">
        <w:tab/>
      </w:r>
      <w:r w:rsidR="00C101F0" w:rsidRPr="0086784B">
        <w:t>E.L.K.</w:t>
      </w:r>
      <w:r w:rsidR="00227516" w:rsidRPr="0086784B">
        <w:t xml:space="preserve"> (represented by Willem A. Venema)</w:t>
      </w:r>
    </w:p>
    <w:p w:rsidR="003521FD" w:rsidRPr="0086784B" w:rsidRDefault="003521FD" w:rsidP="0086784B">
      <w:pPr>
        <w:pStyle w:val="SingleTxtG"/>
        <w:ind w:left="4536" w:hanging="3402"/>
        <w:jc w:val="left"/>
      </w:pPr>
      <w:r w:rsidRPr="0086784B">
        <w:rPr>
          <w:i/>
        </w:rPr>
        <w:t>Alleged victim:</w:t>
      </w:r>
      <w:r w:rsidRPr="0086784B">
        <w:tab/>
      </w:r>
      <w:r w:rsidR="00227516" w:rsidRPr="0086784B">
        <w:t>The author</w:t>
      </w:r>
    </w:p>
    <w:p w:rsidR="003521FD" w:rsidRPr="0086784B" w:rsidRDefault="003521FD" w:rsidP="0086784B">
      <w:pPr>
        <w:pStyle w:val="SingleTxtG"/>
        <w:ind w:left="4536" w:hanging="3402"/>
        <w:jc w:val="left"/>
        <w:rPr>
          <w:lang w:val="en-US"/>
        </w:rPr>
      </w:pPr>
      <w:r w:rsidRPr="0086784B">
        <w:rPr>
          <w:i/>
        </w:rPr>
        <w:t>State Party:</w:t>
      </w:r>
      <w:r w:rsidRPr="0086784B">
        <w:tab/>
      </w:r>
      <w:r w:rsidR="006B075F" w:rsidRPr="0086784B">
        <w:t>T</w:t>
      </w:r>
      <w:r w:rsidR="00227516" w:rsidRPr="0086784B">
        <w:t>he Netherlands</w:t>
      </w:r>
    </w:p>
    <w:p w:rsidR="003521FD" w:rsidRPr="0086784B" w:rsidRDefault="003521FD" w:rsidP="0086784B">
      <w:pPr>
        <w:pStyle w:val="SingleTxtG"/>
        <w:ind w:left="4536" w:hanging="3402"/>
        <w:jc w:val="left"/>
      </w:pPr>
      <w:r w:rsidRPr="0086784B">
        <w:rPr>
          <w:i/>
        </w:rPr>
        <w:t>Date of communication</w:t>
      </w:r>
      <w:r w:rsidRPr="0086784B">
        <w:t>:</w:t>
      </w:r>
      <w:r w:rsidRPr="0086784B">
        <w:tab/>
      </w:r>
      <w:r w:rsidR="00227516" w:rsidRPr="0086784B">
        <w:t>25 February 2011</w:t>
      </w:r>
    </w:p>
    <w:p w:rsidR="003521FD" w:rsidRPr="0086784B" w:rsidRDefault="003521FD" w:rsidP="0086784B">
      <w:pPr>
        <w:pStyle w:val="SingleTxtG"/>
        <w:spacing w:before="240"/>
      </w:pPr>
      <w:r w:rsidRPr="0086784B">
        <w:tab/>
      </w:r>
      <w:r w:rsidRPr="0086784B">
        <w:rPr>
          <w:i/>
        </w:rPr>
        <w:t>The Human Rights Committee</w:t>
      </w:r>
      <w:r w:rsidRPr="0086784B">
        <w:t xml:space="preserve">, established under </w:t>
      </w:r>
      <w:r w:rsidR="0034593D" w:rsidRPr="0086784B">
        <w:t>article </w:t>
      </w:r>
      <w:r w:rsidRPr="0086784B">
        <w:t xml:space="preserve">28 of the International Covenant on Civil and Political Rights, </w:t>
      </w:r>
    </w:p>
    <w:p w:rsidR="003521FD" w:rsidRPr="0086784B" w:rsidRDefault="003521FD" w:rsidP="003521FD">
      <w:pPr>
        <w:pStyle w:val="SingleTxtG"/>
      </w:pPr>
      <w:r w:rsidRPr="0086784B">
        <w:tab/>
      </w:r>
      <w:r w:rsidRPr="0086784B">
        <w:rPr>
          <w:i/>
        </w:rPr>
        <w:t>Meeting on</w:t>
      </w:r>
      <w:r w:rsidRPr="0086784B">
        <w:t xml:space="preserve"> </w:t>
      </w:r>
      <w:r w:rsidR="00E0196A" w:rsidRPr="0086784B">
        <w:t>30</w:t>
      </w:r>
      <w:r w:rsidR="006B075F" w:rsidRPr="0086784B">
        <w:t xml:space="preserve"> </w:t>
      </w:r>
      <w:r w:rsidR="00227516" w:rsidRPr="0086784B">
        <w:t>March 2015</w:t>
      </w:r>
      <w:r w:rsidRPr="0086784B">
        <w:t>,</w:t>
      </w:r>
    </w:p>
    <w:p w:rsidR="003521FD" w:rsidRPr="0086784B" w:rsidRDefault="003521FD" w:rsidP="00E94C81">
      <w:pPr>
        <w:pStyle w:val="SingleTxtG"/>
        <w:rPr>
          <w:i/>
        </w:rPr>
      </w:pPr>
      <w:r w:rsidRPr="0086784B">
        <w:rPr>
          <w:i/>
        </w:rPr>
        <w:tab/>
        <w:t xml:space="preserve">Having concluded </w:t>
      </w:r>
      <w:r w:rsidRPr="0086784B">
        <w:t xml:space="preserve">its consideration of communication </w:t>
      </w:r>
      <w:r w:rsidR="0034593D" w:rsidRPr="0086784B">
        <w:t>No. </w:t>
      </w:r>
      <w:r w:rsidR="00227516" w:rsidRPr="0086784B">
        <w:t>2050/2011</w:t>
      </w:r>
      <w:r w:rsidRPr="0086784B">
        <w:t xml:space="preserve">, submitted to the Human Rights Committee by </w:t>
      </w:r>
      <w:r w:rsidR="0034593D" w:rsidRPr="0086784B">
        <w:t> </w:t>
      </w:r>
      <w:r w:rsidR="00C101F0" w:rsidRPr="0086784B">
        <w:t>E.L.K.</w:t>
      </w:r>
      <w:r w:rsidR="00227516" w:rsidRPr="0086784B">
        <w:t xml:space="preserve"> </w:t>
      </w:r>
      <w:r w:rsidRPr="0086784B">
        <w:t>under the Optional Protocol to the International Covenant on Civil and Political Rights,</w:t>
      </w:r>
    </w:p>
    <w:p w:rsidR="003521FD" w:rsidRPr="0086784B" w:rsidRDefault="003521FD" w:rsidP="003521FD">
      <w:pPr>
        <w:pStyle w:val="SingleTxtG"/>
        <w:rPr>
          <w:i/>
        </w:rPr>
      </w:pPr>
      <w:r w:rsidRPr="0086784B">
        <w:rPr>
          <w:i/>
        </w:rPr>
        <w:tab/>
        <w:t xml:space="preserve">Having taken into account </w:t>
      </w:r>
      <w:r w:rsidRPr="0086784B">
        <w:t>all written information made available to it by the author of the communication and the State party,</w:t>
      </w:r>
    </w:p>
    <w:p w:rsidR="003521FD" w:rsidRPr="0086784B" w:rsidRDefault="003521FD" w:rsidP="003521FD">
      <w:pPr>
        <w:pStyle w:val="SingleTxtG"/>
        <w:rPr>
          <w:bCs/>
        </w:rPr>
      </w:pPr>
      <w:r w:rsidRPr="0086784B">
        <w:rPr>
          <w:bCs/>
        </w:rPr>
        <w:tab/>
      </w:r>
      <w:r w:rsidRPr="0086784B">
        <w:rPr>
          <w:bCs/>
          <w:i/>
        </w:rPr>
        <w:t>Adopts the following</w:t>
      </w:r>
      <w:r w:rsidRPr="0086784B">
        <w:rPr>
          <w:bCs/>
        </w:rPr>
        <w:t>:</w:t>
      </w:r>
    </w:p>
    <w:p w:rsidR="003521FD" w:rsidRPr="0086784B" w:rsidRDefault="003521FD" w:rsidP="003521FD">
      <w:pPr>
        <w:pStyle w:val="H1G"/>
      </w:pPr>
      <w:r w:rsidRPr="0086784B">
        <w:tab/>
      </w:r>
      <w:r w:rsidRPr="0086784B">
        <w:tab/>
        <w:t xml:space="preserve">Decision on admissibility </w:t>
      </w:r>
    </w:p>
    <w:p w:rsidR="003521FD" w:rsidRPr="0086784B" w:rsidRDefault="003521FD" w:rsidP="00E94C81">
      <w:pPr>
        <w:pStyle w:val="SingleTxtG"/>
      </w:pPr>
      <w:r w:rsidRPr="0086784B">
        <w:t>1.</w:t>
      </w:r>
      <w:r w:rsidRPr="0086784B">
        <w:tab/>
        <w:t xml:space="preserve">The author of the communication is </w:t>
      </w:r>
      <w:r w:rsidR="00C101F0" w:rsidRPr="0086784B">
        <w:t>E.L.K.</w:t>
      </w:r>
      <w:r w:rsidRPr="0086784B">
        <w:t xml:space="preserve">, </w:t>
      </w:r>
      <w:r w:rsidR="00227516" w:rsidRPr="0086784B">
        <w:t>a national of Angola,</w:t>
      </w:r>
      <w:r w:rsidR="000647D6" w:rsidRPr="0086784B">
        <w:t xml:space="preserve"> allegedly </w:t>
      </w:r>
      <w:r w:rsidR="00227516" w:rsidRPr="0086784B">
        <w:t>born on 20 May 1985</w:t>
      </w:r>
      <w:r w:rsidR="00E1714F" w:rsidRPr="0086784B">
        <w:t>.</w:t>
      </w:r>
      <w:r w:rsidR="00BF2768" w:rsidRPr="0086784B">
        <w:rPr>
          <w:rStyle w:val="FootnoteReference"/>
        </w:rPr>
        <w:footnoteReference w:id="3"/>
      </w:r>
      <w:r w:rsidR="00227516" w:rsidRPr="0086784B">
        <w:t xml:space="preserve"> He claims to be a victim of a violation by the Netherlands of </w:t>
      </w:r>
      <w:r w:rsidR="00DF7E82" w:rsidRPr="0086784B">
        <w:t xml:space="preserve">his </w:t>
      </w:r>
      <w:r w:rsidR="00227516" w:rsidRPr="0086784B">
        <w:t xml:space="preserve">rights under </w:t>
      </w:r>
      <w:r w:rsidR="0034593D" w:rsidRPr="0086784B">
        <w:t>article </w:t>
      </w:r>
      <w:r w:rsidR="00227516" w:rsidRPr="0086784B">
        <w:t>17 of the Covenant. He</w:t>
      </w:r>
      <w:r w:rsidRPr="0086784B">
        <w:t xml:space="preserve"> is represented by counsel. </w:t>
      </w:r>
    </w:p>
    <w:p w:rsidR="003521FD" w:rsidRPr="0086784B" w:rsidRDefault="003521FD" w:rsidP="006358CB">
      <w:pPr>
        <w:pStyle w:val="H23G"/>
        <w:spacing w:line="240" w:lineRule="auto"/>
      </w:pPr>
      <w:r w:rsidRPr="0086784B">
        <w:tab/>
      </w:r>
      <w:r w:rsidRPr="0086784B">
        <w:tab/>
      </w:r>
      <w:r w:rsidR="00F040E3" w:rsidRPr="0086784B">
        <w:t>Factual background</w:t>
      </w:r>
    </w:p>
    <w:p w:rsidR="000B4F14" w:rsidRPr="0086784B" w:rsidRDefault="003521FD" w:rsidP="008D16E1">
      <w:pPr>
        <w:pStyle w:val="SingleTxtG"/>
      </w:pPr>
      <w:r w:rsidRPr="0086784B">
        <w:t>2.1</w:t>
      </w:r>
      <w:r w:rsidRPr="0086784B">
        <w:tab/>
      </w:r>
      <w:r w:rsidR="00461E68" w:rsidRPr="0086784B">
        <w:t xml:space="preserve">The author used to live in </w:t>
      </w:r>
      <w:r w:rsidR="00BF2768" w:rsidRPr="0086784B">
        <w:t xml:space="preserve">Angola. </w:t>
      </w:r>
      <w:r w:rsidR="00461E68" w:rsidRPr="0086784B">
        <w:t xml:space="preserve">He arrived in the State party on 6 July 2001. On 17 July 2001, he filed an application for </w:t>
      </w:r>
      <w:r w:rsidR="000647D6" w:rsidRPr="0086784B">
        <w:t>asylum</w:t>
      </w:r>
      <w:r w:rsidR="00E1714F" w:rsidRPr="0086784B">
        <w:t>.</w:t>
      </w:r>
      <w:r w:rsidR="000647D6" w:rsidRPr="0086784B">
        <w:t xml:space="preserve"> </w:t>
      </w:r>
      <w:r w:rsidR="00EE78B5" w:rsidRPr="0086784B">
        <w:t xml:space="preserve">On 22 July 2001, the </w:t>
      </w:r>
      <w:r w:rsidR="00CD7A0A" w:rsidRPr="0086784B">
        <w:t>Immigration</w:t>
      </w:r>
      <w:r w:rsidR="004A593B" w:rsidRPr="0086784B">
        <w:t xml:space="preserve"> and Naturalisation Service (</w:t>
      </w:r>
      <w:r w:rsidR="004A593B" w:rsidRPr="0086784B">
        <w:rPr>
          <w:i/>
        </w:rPr>
        <w:t>Immigratie- en Naturalisatiedienst</w:t>
      </w:r>
      <w:r w:rsidR="004A593B" w:rsidRPr="0086784B">
        <w:rPr>
          <w:i/>
          <w:iCs/>
        </w:rPr>
        <w:t>-IND</w:t>
      </w:r>
      <w:r w:rsidR="004A593B" w:rsidRPr="0086784B">
        <w:t>)</w:t>
      </w:r>
      <w:r w:rsidR="00EE78B5" w:rsidRPr="0086784B">
        <w:t xml:space="preserve"> rejected the author’s application</w:t>
      </w:r>
      <w:r w:rsidR="000647D6" w:rsidRPr="0086784B">
        <w:t xml:space="preserve">. </w:t>
      </w:r>
      <w:r w:rsidR="000B4F14" w:rsidRPr="0086784B">
        <w:t>On 8 August 2001, the District Court of The Hague</w:t>
      </w:r>
      <w:r w:rsidR="00FF22BB" w:rsidRPr="0086784B">
        <w:t xml:space="preserve"> (the District Court)</w:t>
      </w:r>
      <w:r w:rsidR="000B4F14" w:rsidRPr="0086784B">
        <w:t xml:space="preserve"> declared the author’s appeal founded and quashed the </w:t>
      </w:r>
      <w:r w:rsidR="00ED44E0" w:rsidRPr="0086784B">
        <w:t xml:space="preserve">Immigration and Naturalisation </w:t>
      </w:r>
      <w:r w:rsidR="00ED44E0" w:rsidRPr="0086784B">
        <w:lastRenderedPageBreak/>
        <w:t>Service</w:t>
      </w:r>
      <w:r w:rsidR="000B4F14" w:rsidRPr="0086784B">
        <w:t xml:space="preserve"> decision of 22 July 2001.</w:t>
      </w:r>
      <w:r w:rsidR="00FE4415" w:rsidRPr="0086784B">
        <w:t xml:space="preserve"> </w:t>
      </w:r>
      <w:r w:rsidR="00E94C81" w:rsidRPr="0086784B">
        <w:t xml:space="preserve">Subsequently </w:t>
      </w:r>
      <w:r w:rsidR="00AC2349" w:rsidRPr="0086784B">
        <w:t xml:space="preserve">his </w:t>
      </w:r>
      <w:r w:rsidR="000647D6" w:rsidRPr="0086784B">
        <w:t xml:space="preserve">application </w:t>
      </w:r>
      <w:r w:rsidR="005A4DD5" w:rsidRPr="0086784B">
        <w:t xml:space="preserve">for asylum </w:t>
      </w:r>
      <w:r w:rsidR="000647D6" w:rsidRPr="0086784B">
        <w:t xml:space="preserve">was </w:t>
      </w:r>
      <w:r w:rsidR="00AC2349" w:rsidRPr="0086784B">
        <w:t xml:space="preserve">again </w:t>
      </w:r>
      <w:r w:rsidR="000647D6" w:rsidRPr="0086784B">
        <w:t>rejected by the</w:t>
      </w:r>
      <w:r w:rsidR="003E7A58" w:rsidRPr="0086784B">
        <w:t xml:space="preserve"> </w:t>
      </w:r>
      <w:r w:rsidR="004A593B" w:rsidRPr="0086784B">
        <w:t>immigration</w:t>
      </w:r>
      <w:r w:rsidR="003E7A58" w:rsidRPr="0086784B">
        <w:t xml:space="preserve"> authorities</w:t>
      </w:r>
      <w:r w:rsidR="00ED44E0" w:rsidRPr="0086784B">
        <w:t>,</w:t>
      </w:r>
      <w:r w:rsidR="003E7A58" w:rsidRPr="0086784B">
        <w:t xml:space="preserve"> </w:t>
      </w:r>
      <w:r w:rsidR="00E94C81" w:rsidRPr="0086784B">
        <w:t xml:space="preserve">twice </w:t>
      </w:r>
      <w:r w:rsidR="005A4DD5" w:rsidRPr="0086784B">
        <w:t>overturned by the District Court</w:t>
      </w:r>
      <w:r w:rsidR="00261D5A" w:rsidRPr="0086784B">
        <w:t xml:space="preserve"> </w:t>
      </w:r>
      <w:r w:rsidR="004A593B" w:rsidRPr="0086784B">
        <w:t xml:space="preserve">and withdrawn by </w:t>
      </w:r>
      <w:r w:rsidR="00ED44E0" w:rsidRPr="0086784B">
        <w:t>the Immigration and Naturalisation Service</w:t>
      </w:r>
      <w:r w:rsidR="00E1714F" w:rsidRPr="0086784B">
        <w:t>.</w:t>
      </w:r>
      <w:r w:rsidR="005A4DD5" w:rsidRPr="0086784B">
        <w:t xml:space="preserve"> </w:t>
      </w:r>
      <w:r w:rsidR="004A593B" w:rsidRPr="0086784B">
        <w:t xml:space="preserve">On 4 January 2007, the </w:t>
      </w:r>
      <w:r w:rsidR="00F45560" w:rsidRPr="0086784B">
        <w:t xml:space="preserve">Immigration and Naturalisation </w:t>
      </w:r>
      <w:r w:rsidR="00ED44E0" w:rsidRPr="0086784B">
        <w:t>Service</w:t>
      </w:r>
      <w:r w:rsidR="004A593B" w:rsidRPr="0086784B">
        <w:t xml:space="preserve"> rejected his asylum request for the fifth time and o</w:t>
      </w:r>
      <w:r w:rsidR="00A8389B" w:rsidRPr="0086784B">
        <w:t xml:space="preserve">n 19 July 2007 the </w:t>
      </w:r>
      <w:r w:rsidR="00261D5A" w:rsidRPr="0086784B">
        <w:t xml:space="preserve">District </w:t>
      </w:r>
      <w:r w:rsidR="00A8389B" w:rsidRPr="0086784B">
        <w:t xml:space="preserve">Court dismissed the author’s appeal. On </w:t>
      </w:r>
      <w:r w:rsidR="00FF22BB" w:rsidRPr="0086784B">
        <w:t>5 September 2007, the Administrative Jurisdiction Division of the Council of State (</w:t>
      </w:r>
      <w:r w:rsidR="00FF22BB" w:rsidRPr="0086784B">
        <w:rPr>
          <w:i/>
        </w:rPr>
        <w:t>Afdeling bestuursrechtspraak van de raad van State</w:t>
      </w:r>
      <w:r w:rsidR="00FF22BB" w:rsidRPr="0086784B">
        <w:t xml:space="preserve"> – AJD)</w:t>
      </w:r>
      <w:r w:rsidR="00A8389B" w:rsidRPr="0086784B">
        <w:t xml:space="preserve"> </w:t>
      </w:r>
      <w:r w:rsidR="00FF22BB" w:rsidRPr="0086784B">
        <w:t>upheld the District Court’s decision</w:t>
      </w:r>
      <w:r w:rsidR="00E1714F" w:rsidRPr="0086784B">
        <w:t>.</w:t>
      </w:r>
      <w:r w:rsidR="00FF22BB" w:rsidRPr="0086784B">
        <w:t xml:space="preserve"> </w:t>
      </w:r>
    </w:p>
    <w:p w:rsidR="007A7CFE" w:rsidRPr="0086784B" w:rsidRDefault="00B1664E" w:rsidP="00274548">
      <w:pPr>
        <w:pStyle w:val="SingleTxtG"/>
        <w:rPr>
          <w:lang w:val="en-US"/>
        </w:rPr>
      </w:pPr>
      <w:r w:rsidRPr="0086784B">
        <w:rPr>
          <w:lang w:val="en-US"/>
        </w:rPr>
        <w:t>2.</w:t>
      </w:r>
      <w:r w:rsidR="00261D5A" w:rsidRPr="0086784B">
        <w:rPr>
          <w:lang w:val="en-US"/>
        </w:rPr>
        <w:t>2</w:t>
      </w:r>
      <w:r w:rsidR="007E137A" w:rsidRPr="0086784B">
        <w:rPr>
          <w:lang w:val="en-US"/>
        </w:rPr>
        <w:tab/>
        <w:t>On 6</w:t>
      </w:r>
      <w:r w:rsidR="004D3321" w:rsidRPr="0086784B">
        <w:rPr>
          <w:lang w:val="en-US"/>
        </w:rPr>
        <w:t xml:space="preserve"> or 12</w:t>
      </w:r>
      <w:r w:rsidR="007E137A" w:rsidRPr="0086784B">
        <w:rPr>
          <w:lang w:val="en-US"/>
        </w:rPr>
        <w:t xml:space="preserve"> March 2008, the author submitted a request </w:t>
      </w:r>
      <w:r w:rsidR="00ED44E0" w:rsidRPr="0086784B">
        <w:rPr>
          <w:lang w:val="en-US"/>
        </w:rPr>
        <w:t xml:space="preserve">to </w:t>
      </w:r>
      <w:r w:rsidR="00ED44E0" w:rsidRPr="0086784B">
        <w:t xml:space="preserve">the Immigration and Naturalisation Service </w:t>
      </w:r>
      <w:r w:rsidR="007E137A" w:rsidRPr="0086784B">
        <w:rPr>
          <w:lang w:val="en-US"/>
        </w:rPr>
        <w:t xml:space="preserve">for </w:t>
      </w:r>
      <w:r w:rsidR="00FE4415" w:rsidRPr="0086784B">
        <w:rPr>
          <w:lang w:val="en-US"/>
        </w:rPr>
        <w:t>a temporary</w:t>
      </w:r>
      <w:r w:rsidR="00661370" w:rsidRPr="0086784B">
        <w:rPr>
          <w:lang w:val="en-US"/>
        </w:rPr>
        <w:t xml:space="preserve"> </w:t>
      </w:r>
      <w:r w:rsidR="007F2DAC" w:rsidRPr="0086784B">
        <w:rPr>
          <w:lang w:val="en-US"/>
        </w:rPr>
        <w:t xml:space="preserve">regular </w:t>
      </w:r>
      <w:r w:rsidR="007E137A" w:rsidRPr="0086784B">
        <w:rPr>
          <w:lang w:val="en-US"/>
        </w:rPr>
        <w:t>residence permit</w:t>
      </w:r>
      <w:r w:rsidRPr="0086784B">
        <w:rPr>
          <w:lang w:val="en-US"/>
        </w:rPr>
        <w:t xml:space="preserve"> with </w:t>
      </w:r>
      <w:r w:rsidR="00ED44E0" w:rsidRPr="0086784B">
        <w:rPr>
          <w:lang w:val="en-US"/>
        </w:rPr>
        <w:t xml:space="preserve">a </w:t>
      </w:r>
      <w:r w:rsidRPr="0086784B">
        <w:rPr>
          <w:lang w:val="en-US"/>
        </w:rPr>
        <w:t xml:space="preserve">restriction </w:t>
      </w:r>
      <w:r w:rsidR="00ED44E0" w:rsidRPr="0086784B">
        <w:rPr>
          <w:lang w:val="en-US"/>
        </w:rPr>
        <w:t>“</w:t>
      </w:r>
      <w:r w:rsidR="00F174E1" w:rsidRPr="0086784B">
        <w:rPr>
          <w:lang w:val="en-US"/>
        </w:rPr>
        <w:t>subject to the</w:t>
      </w:r>
      <w:r w:rsidRPr="0086784B">
        <w:rPr>
          <w:lang w:val="en-US"/>
        </w:rPr>
        <w:t xml:space="preserve"> discretion of the State Secretary</w:t>
      </w:r>
      <w:r w:rsidR="00ED44E0" w:rsidRPr="0086784B">
        <w:rPr>
          <w:lang w:val="en-US"/>
        </w:rPr>
        <w:t>”</w:t>
      </w:r>
      <w:r w:rsidR="00FE4415" w:rsidRPr="0086784B">
        <w:rPr>
          <w:lang w:val="en-US"/>
        </w:rPr>
        <w:t>.</w:t>
      </w:r>
      <w:r w:rsidR="00261D5A" w:rsidRPr="0086784B">
        <w:rPr>
          <w:lang w:val="en-US"/>
        </w:rPr>
        <w:t xml:space="preserve"> </w:t>
      </w:r>
      <w:r w:rsidR="00F174E1" w:rsidRPr="0086784B">
        <w:rPr>
          <w:shd w:val="clear" w:color="auto" w:fill="FFFFFF"/>
          <w:lang w:val="en-US"/>
        </w:rPr>
        <w:t xml:space="preserve">He alleged </w:t>
      </w:r>
      <w:r w:rsidR="00F174E1" w:rsidRPr="0086784B">
        <w:rPr>
          <w:lang w:val="en-US"/>
        </w:rPr>
        <w:t>that the proceedings that considered his original request for asylum had lasted six years</w:t>
      </w:r>
      <w:r w:rsidR="00DF7E82" w:rsidRPr="0086784B">
        <w:rPr>
          <w:lang w:val="en-US"/>
        </w:rPr>
        <w:t>;</w:t>
      </w:r>
      <w:r w:rsidR="00F174E1" w:rsidRPr="0086784B">
        <w:rPr>
          <w:lang w:val="en-US"/>
        </w:rPr>
        <w:t xml:space="preserve"> that </w:t>
      </w:r>
      <w:r w:rsidR="00ED44E0" w:rsidRPr="0086784B">
        <w:rPr>
          <w:lang w:val="en-US"/>
        </w:rPr>
        <w:t xml:space="preserve">the </w:t>
      </w:r>
      <w:r w:rsidR="00F174E1" w:rsidRPr="0086784B">
        <w:rPr>
          <w:lang w:val="en-US"/>
        </w:rPr>
        <w:t>delay was attribut</w:t>
      </w:r>
      <w:r w:rsidR="00ED44E0" w:rsidRPr="0086784B">
        <w:rPr>
          <w:lang w:val="en-US"/>
        </w:rPr>
        <w:t>able</w:t>
      </w:r>
      <w:r w:rsidR="00F174E1" w:rsidRPr="0086784B">
        <w:rPr>
          <w:lang w:val="en-US"/>
        </w:rPr>
        <w:t xml:space="preserve"> to the State party; and that the length of the proceedings </w:t>
      </w:r>
      <w:r w:rsidR="00ED44E0" w:rsidRPr="0086784B">
        <w:rPr>
          <w:lang w:val="en-US"/>
        </w:rPr>
        <w:t xml:space="preserve">had </w:t>
      </w:r>
      <w:r w:rsidR="00F174E1" w:rsidRPr="0086784B">
        <w:rPr>
          <w:lang w:val="en-US"/>
        </w:rPr>
        <w:t xml:space="preserve">enabled him to develop personal and social ties in the country. During </w:t>
      </w:r>
      <w:r w:rsidR="00ED44E0" w:rsidRPr="0086784B">
        <w:rPr>
          <w:lang w:val="en-US"/>
        </w:rPr>
        <w:t xml:space="preserve">that </w:t>
      </w:r>
      <w:r w:rsidR="00F174E1" w:rsidRPr="0086784B">
        <w:rPr>
          <w:lang w:val="en-US"/>
        </w:rPr>
        <w:t xml:space="preserve">period, he had </w:t>
      </w:r>
      <w:r w:rsidR="00ED44E0" w:rsidRPr="0086784B">
        <w:rPr>
          <w:lang w:val="en-US"/>
        </w:rPr>
        <w:t>done a</w:t>
      </w:r>
      <w:r w:rsidR="007A7CFE" w:rsidRPr="0086784B">
        <w:rPr>
          <w:lang w:val="en-US"/>
        </w:rPr>
        <w:t xml:space="preserve"> year </w:t>
      </w:r>
      <w:r w:rsidR="00ED44E0" w:rsidRPr="0086784B">
        <w:rPr>
          <w:lang w:val="en-US"/>
        </w:rPr>
        <w:t xml:space="preserve">of </w:t>
      </w:r>
      <w:r w:rsidR="007A7CFE" w:rsidRPr="0086784B">
        <w:rPr>
          <w:lang w:val="en-US"/>
        </w:rPr>
        <w:t xml:space="preserve">studies in </w:t>
      </w:r>
      <w:r w:rsidR="007A7CFE" w:rsidRPr="0086784B">
        <w:t>electrical</w:t>
      </w:r>
      <w:r w:rsidR="007A7CFE" w:rsidRPr="0086784B">
        <w:rPr>
          <w:lang w:val="en-US"/>
        </w:rPr>
        <w:t xml:space="preserve"> engineering</w:t>
      </w:r>
      <w:r w:rsidR="00F174E1" w:rsidRPr="0086784B">
        <w:rPr>
          <w:lang w:val="en-US"/>
        </w:rPr>
        <w:t xml:space="preserve"> at the Drenthe College; joined the Jehovah</w:t>
      </w:r>
      <w:r w:rsidR="007A7CFE" w:rsidRPr="0086784B">
        <w:rPr>
          <w:lang w:val="en-US"/>
        </w:rPr>
        <w:t>’s</w:t>
      </w:r>
      <w:r w:rsidR="00F174E1" w:rsidRPr="0086784B">
        <w:rPr>
          <w:lang w:val="en-US"/>
        </w:rPr>
        <w:t xml:space="preserve"> Witnesses church, where he worked; bec</w:t>
      </w:r>
      <w:r w:rsidR="00AD33EF" w:rsidRPr="0086784B">
        <w:rPr>
          <w:lang w:val="en-US"/>
        </w:rPr>
        <w:t>o</w:t>
      </w:r>
      <w:r w:rsidR="00F174E1" w:rsidRPr="0086784B">
        <w:rPr>
          <w:lang w:val="en-US"/>
        </w:rPr>
        <w:t xml:space="preserve">me </w:t>
      </w:r>
      <w:r w:rsidR="00ED44E0" w:rsidRPr="0086784B">
        <w:rPr>
          <w:lang w:val="en-US"/>
        </w:rPr>
        <w:t xml:space="preserve">a </w:t>
      </w:r>
      <w:r w:rsidR="00F174E1" w:rsidRPr="0086784B">
        <w:rPr>
          <w:lang w:val="en-US"/>
        </w:rPr>
        <w:t>member of the Bargeres football club</w:t>
      </w:r>
      <w:r w:rsidR="007248A3" w:rsidRPr="0086784B">
        <w:rPr>
          <w:lang w:val="en-US"/>
        </w:rPr>
        <w:t>;</w:t>
      </w:r>
      <w:r w:rsidR="00F174E1" w:rsidRPr="0086784B">
        <w:rPr>
          <w:lang w:val="en-US"/>
        </w:rPr>
        <w:t xml:space="preserve"> and formed a group of friends. He claimed that he had </w:t>
      </w:r>
      <w:r w:rsidR="00ED44E0" w:rsidRPr="0086784B">
        <w:rPr>
          <w:lang w:val="en-US"/>
        </w:rPr>
        <w:t xml:space="preserve">thereby </w:t>
      </w:r>
      <w:r w:rsidR="00F174E1" w:rsidRPr="0086784B">
        <w:rPr>
          <w:lang w:val="en-US"/>
        </w:rPr>
        <w:t xml:space="preserve">established a private life in the State party, and that </w:t>
      </w:r>
      <w:r w:rsidR="00274548" w:rsidRPr="0086784B">
        <w:rPr>
          <w:lang w:val="en-US"/>
        </w:rPr>
        <w:t xml:space="preserve">in order to respect </w:t>
      </w:r>
      <w:r w:rsidR="00F174E1" w:rsidRPr="0086784B">
        <w:rPr>
          <w:lang w:val="en-US"/>
        </w:rPr>
        <w:t xml:space="preserve">his right to </w:t>
      </w:r>
      <w:r w:rsidR="00E42824" w:rsidRPr="0086784B">
        <w:rPr>
          <w:lang w:val="en-US"/>
        </w:rPr>
        <w:t xml:space="preserve">a </w:t>
      </w:r>
      <w:r w:rsidR="00F174E1" w:rsidRPr="0086784B">
        <w:rPr>
          <w:lang w:val="en-US"/>
        </w:rPr>
        <w:t>private life</w:t>
      </w:r>
      <w:r w:rsidR="00274548" w:rsidRPr="0086784B">
        <w:rPr>
          <w:lang w:val="en-US"/>
        </w:rPr>
        <w:t>,</w:t>
      </w:r>
      <w:r w:rsidR="00F174E1" w:rsidRPr="0086784B">
        <w:rPr>
          <w:lang w:val="en-US"/>
        </w:rPr>
        <w:t xml:space="preserve"> </w:t>
      </w:r>
      <w:r w:rsidR="00274548" w:rsidRPr="0086784B">
        <w:rPr>
          <w:lang w:val="en-US"/>
        </w:rPr>
        <w:t xml:space="preserve">he </w:t>
      </w:r>
      <w:r w:rsidR="00F174E1" w:rsidRPr="0086784B">
        <w:rPr>
          <w:lang w:val="en-US"/>
        </w:rPr>
        <w:t>should be grant</w:t>
      </w:r>
      <w:r w:rsidR="00274548" w:rsidRPr="0086784B">
        <w:rPr>
          <w:lang w:val="en-US"/>
        </w:rPr>
        <w:t>ed</w:t>
      </w:r>
      <w:r w:rsidR="00F174E1" w:rsidRPr="0086784B">
        <w:rPr>
          <w:lang w:val="en-US"/>
        </w:rPr>
        <w:t xml:space="preserve"> a residence permit</w:t>
      </w:r>
      <w:r w:rsidR="00E1714F" w:rsidRPr="0086784B">
        <w:rPr>
          <w:lang w:val="en-US"/>
        </w:rPr>
        <w:t>.</w:t>
      </w:r>
    </w:p>
    <w:p w:rsidR="00E44DC9" w:rsidRPr="0086784B" w:rsidRDefault="00BB6C0F" w:rsidP="002E401B">
      <w:pPr>
        <w:pStyle w:val="SingleTxtG"/>
        <w:rPr>
          <w:lang w:val="en-US"/>
        </w:rPr>
      </w:pPr>
      <w:r w:rsidRPr="0086784B">
        <w:rPr>
          <w:lang w:val="en-US"/>
        </w:rPr>
        <w:t>2.</w:t>
      </w:r>
      <w:r w:rsidR="00484DEF" w:rsidRPr="0086784B">
        <w:rPr>
          <w:lang w:val="en-US"/>
        </w:rPr>
        <w:t>3</w:t>
      </w:r>
      <w:r w:rsidRPr="0086784B">
        <w:rPr>
          <w:lang w:val="en-US"/>
        </w:rPr>
        <w:tab/>
        <w:t xml:space="preserve">On 13 March 2008, the </w:t>
      </w:r>
      <w:r w:rsidR="00ED44E0" w:rsidRPr="0086784B">
        <w:t xml:space="preserve">Immigration and Naturalisation Service </w:t>
      </w:r>
      <w:r w:rsidRPr="0086784B">
        <w:rPr>
          <w:lang w:val="en-US"/>
        </w:rPr>
        <w:t xml:space="preserve">rejected the author’s application for </w:t>
      </w:r>
      <w:r w:rsidR="00ED44E0" w:rsidRPr="0086784B">
        <w:rPr>
          <w:lang w:val="en-US"/>
        </w:rPr>
        <w:t xml:space="preserve">a </w:t>
      </w:r>
      <w:r w:rsidRPr="0086784B">
        <w:rPr>
          <w:lang w:val="en-US"/>
        </w:rPr>
        <w:t>res</w:t>
      </w:r>
      <w:r w:rsidR="003F5D49" w:rsidRPr="0086784B">
        <w:rPr>
          <w:lang w:val="en-US"/>
        </w:rPr>
        <w:t xml:space="preserve">idence permit pursuant to </w:t>
      </w:r>
      <w:r w:rsidR="007A7CFE" w:rsidRPr="0086784B">
        <w:rPr>
          <w:lang w:val="en-US"/>
        </w:rPr>
        <w:t>section</w:t>
      </w:r>
      <w:r w:rsidR="003F5D49" w:rsidRPr="0086784B">
        <w:rPr>
          <w:lang w:val="en-US"/>
        </w:rPr>
        <w:t xml:space="preserve"> 16</w:t>
      </w:r>
      <w:r w:rsidR="002E401B" w:rsidRPr="0086784B">
        <w:rPr>
          <w:lang w:val="en-US"/>
        </w:rPr>
        <w:t> (</w:t>
      </w:r>
      <w:r w:rsidR="003F5D49" w:rsidRPr="0086784B">
        <w:rPr>
          <w:lang w:val="en-US"/>
        </w:rPr>
        <w:t>1</w:t>
      </w:r>
      <w:r w:rsidR="002E401B" w:rsidRPr="0086784B">
        <w:rPr>
          <w:lang w:val="en-US"/>
        </w:rPr>
        <w:t>)</w:t>
      </w:r>
      <w:r w:rsidR="007A7CFE" w:rsidRPr="0086784B">
        <w:rPr>
          <w:lang w:val="en-US"/>
        </w:rPr>
        <w:t>,</w:t>
      </w:r>
      <w:r w:rsidR="003F5D49" w:rsidRPr="0086784B">
        <w:rPr>
          <w:lang w:val="en-US"/>
        </w:rPr>
        <w:t xml:space="preserve"> of the Aliens Act since he did not </w:t>
      </w:r>
      <w:r w:rsidR="006F336E" w:rsidRPr="0086784B">
        <w:rPr>
          <w:lang w:val="en-US"/>
        </w:rPr>
        <w:t>hold a</w:t>
      </w:r>
      <w:r w:rsidR="003F5D49" w:rsidRPr="0086784B">
        <w:rPr>
          <w:lang w:val="en-US"/>
        </w:rPr>
        <w:t xml:space="preserve"> </w:t>
      </w:r>
      <w:r w:rsidR="007F7855" w:rsidRPr="0086784B">
        <w:rPr>
          <w:lang w:val="en-US"/>
        </w:rPr>
        <w:t>provisional residence permit</w:t>
      </w:r>
      <w:r w:rsidR="003F5D49" w:rsidRPr="0086784B">
        <w:rPr>
          <w:lang w:val="en-US"/>
        </w:rPr>
        <w:t xml:space="preserve"> </w:t>
      </w:r>
      <w:r w:rsidR="008A6350" w:rsidRPr="0086784B">
        <w:rPr>
          <w:lang w:val="en-US"/>
        </w:rPr>
        <w:t xml:space="preserve">(MVV) </w:t>
      </w:r>
      <w:r w:rsidR="00AF3F37" w:rsidRPr="0086784B">
        <w:rPr>
          <w:lang w:val="en-US"/>
        </w:rPr>
        <w:t xml:space="preserve">as required for an application for </w:t>
      </w:r>
      <w:r w:rsidR="003A2A3F" w:rsidRPr="0086784B">
        <w:rPr>
          <w:lang w:val="en-US"/>
        </w:rPr>
        <w:t xml:space="preserve">a </w:t>
      </w:r>
      <w:r w:rsidR="006F336E" w:rsidRPr="0086784B">
        <w:rPr>
          <w:shd w:val="clear" w:color="auto" w:fill="FFFFFF"/>
          <w:lang w:val="en-US"/>
        </w:rPr>
        <w:t>residence permit</w:t>
      </w:r>
      <w:r w:rsidR="0034593D" w:rsidRPr="0086784B">
        <w:rPr>
          <w:shd w:val="clear" w:color="auto" w:fill="FFFFFF"/>
          <w:lang w:val="en-US"/>
        </w:rPr>
        <w:t xml:space="preserve"> </w:t>
      </w:r>
      <w:r w:rsidR="008A6350" w:rsidRPr="0086784B">
        <w:rPr>
          <w:lang w:val="en-US"/>
        </w:rPr>
        <w:t xml:space="preserve">(also known as </w:t>
      </w:r>
      <w:r w:rsidR="007F7855" w:rsidRPr="0086784B">
        <w:rPr>
          <w:lang w:val="en-US"/>
        </w:rPr>
        <w:t xml:space="preserve">the </w:t>
      </w:r>
      <w:r w:rsidR="003A2A3F" w:rsidRPr="0086784B">
        <w:rPr>
          <w:lang w:val="en-US"/>
        </w:rPr>
        <w:t>“</w:t>
      </w:r>
      <w:r w:rsidR="008A6350" w:rsidRPr="0086784B">
        <w:rPr>
          <w:lang w:val="en-US"/>
        </w:rPr>
        <w:t>MVV requirement</w:t>
      </w:r>
      <w:r w:rsidR="003A2A3F" w:rsidRPr="0086784B">
        <w:rPr>
          <w:lang w:val="en-US"/>
        </w:rPr>
        <w:t>”</w:t>
      </w:r>
      <w:r w:rsidR="008A6350" w:rsidRPr="0086784B">
        <w:rPr>
          <w:lang w:val="en-US"/>
        </w:rPr>
        <w:t>)</w:t>
      </w:r>
      <w:r w:rsidR="00410917" w:rsidRPr="0086784B">
        <w:rPr>
          <w:shd w:val="clear" w:color="auto" w:fill="FFFFFF"/>
          <w:lang w:val="en-US"/>
        </w:rPr>
        <w:t>.</w:t>
      </w:r>
      <w:r w:rsidR="009F071D" w:rsidRPr="0086784B">
        <w:rPr>
          <w:shd w:val="clear" w:color="auto" w:fill="FFFFFF"/>
          <w:lang w:val="en-US"/>
        </w:rPr>
        <w:t xml:space="preserve"> </w:t>
      </w:r>
      <w:r w:rsidR="003F5D49" w:rsidRPr="0086784B">
        <w:rPr>
          <w:shd w:val="clear" w:color="auto" w:fill="FFFFFF"/>
          <w:lang w:val="en-US"/>
        </w:rPr>
        <w:t>It also stated that he did</w:t>
      </w:r>
      <w:r w:rsidR="009F071D" w:rsidRPr="0086784B">
        <w:rPr>
          <w:lang w:val="en-US"/>
        </w:rPr>
        <w:t xml:space="preserve"> not qualify </w:t>
      </w:r>
      <w:r w:rsidR="003A2A3F" w:rsidRPr="0086784B">
        <w:rPr>
          <w:lang w:val="en-US"/>
        </w:rPr>
        <w:t xml:space="preserve">under </w:t>
      </w:r>
      <w:r w:rsidR="009F071D" w:rsidRPr="0086784B">
        <w:rPr>
          <w:lang w:val="en-US"/>
        </w:rPr>
        <w:t xml:space="preserve">any of the exceptions established by </w:t>
      </w:r>
      <w:r w:rsidR="007A7CFE" w:rsidRPr="0086784B">
        <w:rPr>
          <w:lang w:val="en-US"/>
        </w:rPr>
        <w:t>section</w:t>
      </w:r>
      <w:r w:rsidR="009F071D" w:rsidRPr="0086784B">
        <w:rPr>
          <w:lang w:val="en-US"/>
        </w:rPr>
        <w:t xml:space="preserve"> 17 of the Act and </w:t>
      </w:r>
      <w:r w:rsidR="0034593D" w:rsidRPr="0086784B">
        <w:rPr>
          <w:lang w:val="en-US"/>
        </w:rPr>
        <w:t>article </w:t>
      </w:r>
      <w:r w:rsidR="009F071D" w:rsidRPr="0086784B">
        <w:rPr>
          <w:lang w:val="en-US"/>
        </w:rPr>
        <w:t>3.71 of the Aliens Decree</w:t>
      </w:r>
      <w:r w:rsidR="00484DEF" w:rsidRPr="0086784B">
        <w:rPr>
          <w:lang w:val="en-US"/>
        </w:rPr>
        <w:t xml:space="preserve">; that the </w:t>
      </w:r>
      <w:r w:rsidR="00410917" w:rsidRPr="0086784B">
        <w:rPr>
          <w:lang w:val="en-US"/>
        </w:rPr>
        <w:t xml:space="preserve">so-called </w:t>
      </w:r>
      <w:r w:rsidR="003A2A3F" w:rsidRPr="0086784B">
        <w:rPr>
          <w:lang w:val="en-US"/>
        </w:rPr>
        <w:t>“</w:t>
      </w:r>
      <w:r w:rsidR="00410917" w:rsidRPr="0086784B">
        <w:rPr>
          <w:lang w:val="en-US"/>
        </w:rPr>
        <w:t>hardship clause</w:t>
      </w:r>
      <w:r w:rsidR="003A2A3F" w:rsidRPr="0086784B">
        <w:rPr>
          <w:lang w:val="en-US"/>
        </w:rPr>
        <w:t>”</w:t>
      </w:r>
      <w:r w:rsidR="00410917" w:rsidRPr="0086784B">
        <w:rPr>
          <w:lang w:val="en-US"/>
        </w:rPr>
        <w:t xml:space="preserve"> in </w:t>
      </w:r>
      <w:r w:rsidR="0034593D" w:rsidRPr="0086784B">
        <w:rPr>
          <w:lang w:val="en-US"/>
        </w:rPr>
        <w:t>article </w:t>
      </w:r>
      <w:r w:rsidR="00410917" w:rsidRPr="0086784B">
        <w:rPr>
          <w:lang w:val="en-US"/>
        </w:rPr>
        <w:t>3.71</w:t>
      </w:r>
      <w:r w:rsidR="007F7855" w:rsidRPr="0086784B">
        <w:rPr>
          <w:lang w:val="en-US"/>
        </w:rPr>
        <w:t> </w:t>
      </w:r>
      <w:r w:rsidR="003A2A3F" w:rsidRPr="0086784B">
        <w:rPr>
          <w:lang w:val="en-US"/>
        </w:rPr>
        <w:t>(</w:t>
      </w:r>
      <w:r w:rsidR="00410917" w:rsidRPr="0086784B">
        <w:rPr>
          <w:lang w:val="en-US"/>
        </w:rPr>
        <w:t>4</w:t>
      </w:r>
      <w:r w:rsidR="003A2A3F" w:rsidRPr="0086784B">
        <w:rPr>
          <w:lang w:val="en-US"/>
        </w:rPr>
        <w:t>)</w:t>
      </w:r>
      <w:r w:rsidR="00484DEF" w:rsidRPr="0086784B">
        <w:rPr>
          <w:lang w:val="en-US"/>
        </w:rPr>
        <w:t xml:space="preserve"> was not applicable since</w:t>
      </w:r>
      <w:r w:rsidR="006F336E" w:rsidRPr="0086784B">
        <w:rPr>
          <w:lang w:val="en-US"/>
        </w:rPr>
        <w:t xml:space="preserve"> there was no evidence that the application of the MVV requirement would </w:t>
      </w:r>
      <w:r w:rsidR="003A2A3F" w:rsidRPr="0086784B">
        <w:rPr>
          <w:lang w:val="en-US"/>
        </w:rPr>
        <w:t>give rise to</w:t>
      </w:r>
      <w:r w:rsidR="006F336E" w:rsidRPr="0086784B">
        <w:rPr>
          <w:lang w:val="en-US"/>
        </w:rPr>
        <w:t xml:space="preserve"> an exceptional case of unfairness</w:t>
      </w:r>
      <w:r w:rsidR="00DA5A64" w:rsidRPr="0086784B">
        <w:rPr>
          <w:lang w:val="en-US"/>
        </w:rPr>
        <w:t>; and t</w:t>
      </w:r>
      <w:r w:rsidR="003F5D49" w:rsidRPr="0086784B">
        <w:rPr>
          <w:lang w:val="en-US"/>
        </w:rPr>
        <w:t xml:space="preserve">hat </w:t>
      </w:r>
      <w:r w:rsidR="003F5D49" w:rsidRPr="0086784B">
        <w:rPr>
          <w:shd w:val="clear" w:color="auto" w:fill="FFFFFF"/>
          <w:lang w:val="en-US"/>
        </w:rPr>
        <w:t>the length of his</w:t>
      </w:r>
      <w:r w:rsidR="00572084" w:rsidRPr="0086784B">
        <w:rPr>
          <w:lang w:val="en-US"/>
        </w:rPr>
        <w:t xml:space="preserve"> residence in the State party and his alleged integration into </w:t>
      </w:r>
      <w:r w:rsidR="003A2A3F" w:rsidRPr="0086784B">
        <w:rPr>
          <w:lang w:val="en-US"/>
        </w:rPr>
        <w:t xml:space="preserve">Netherlands </w:t>
      </w:r>
      <w:r w:rsidR="00572084" w:rsidRPr="0086784B">
        <w:rPr>
          <w:lang w:val="en-US"/>
        </w:rPr>
        <w:t>society did not exempt him</w:t>
      </w:r>
      <w:r w:rsidRPr="0086784B">
        <w:rPr>
          <w:lang w:val="en-US"/>
        </w:rPr>
        <w:t xml:space="preserve"> from </w:t>
      </w:r>
      <w:r w:rsidR="003A2A3F" w:rsidRPr="0086784B">
        <w:rPr>
          <w:lang w:val="en-US"/>
        </w:rPr>
        <w:t xml:space="preserve">that </w:t>
      </w:r>
      <w:r w:rsidRPr="0086784B">
        <w:rPr>
          <w:lang w:val="en-US"/>
        </w:rPr>
        <w:t>requirement</w:t>
      </w:r>
      <w:r w:rsidR="00572084" w:rsidRPr="0086784B">
        <w:rPr>
          <w:lang w:val="en-US"/>
        </w:rPr>
        <w:t xml:space="preserve">. </w:t>
      </w:r>
      <w:r w:rsidR="003F5D49" w:rsidRPr="0086784B">
        <w:rPr>
          <w:lang w:val="en-US"/>
        </w:rPr>
        <w:t xml:space="preserve">Moreover, </w:t>
      </w:r>
      <w:r w:rsidRPr="0086784B">
        <w:rPr>
          <w:lang w:val="en-US"/>
        </w:rPr>
        <w:t xml:space="preserve">it was </w:t>
      </w:r>
      <w:r w:rsidR="003F5D49" w:rsidRPr="0086784B">
        <w:rPr>
          <w:lang w:val="en-US"/>
        </w:rPr>
        <w:t>his</w:t>
      </w:r>
      <w:r w:rsidRPr="0086784B">
        <w:rPr>
          <w:lang w:val="en-US"/>
        </w:rPr>
        <w:t xml:space="preserve"> own choice to stay in </w:t>
      </w:r>
      <w:r w:rsidRPr="0086784B">
        <w:t>the</w:t>
      </w:r>
      <w:r w:rsidRPr="0086784B">
        <w:rPr>
          <w:lang w:val="en-US"/>
        </w:rPr>
        <w:t xml:space="preserve"> </w:t>
      </w:r>
      <w:r w:rsidR="00572084" w:rsidRPr="0086784B">
        <w:rPr>
          <w:lang w:val="en-US"/>
        </w:rPr>
        <w:t>State party</w:t>
      </w:r>
      <w:r w:rsidRPr="0086784B">
        <w:rPr>
          <w:lang w:val="en-US"/>
        </w:rPr>
        <w:t xml:space="preserve"> without having a valid residence permit</w:t>
      </w:r>
      <w:r w:rsidR="003F5D49" w:rsidRPr="0086784B">
        <w:rPr>
          <w:lang w:val="en-US"/>
        </w:rPr>
        <w:t xml:space="preserve"> and to submit a new application </w:t>
      </w:r>
      <w:r w:rsidR="007A7CFE" w:rsidRPr="0086784B">
        <w:rPr>
          <w:lang w:val="en-US"/>
        </w:rPr>
        <w:t>for</w:t>
      </w:r>
      <w:r w:rsidR="003F5D49" w:rsidRPr="0086784B">
        <w:rPr>
          <w:lang w:val="en-US"/>
        </w:rPr>
        <w:t xml:space="preserve"> </w:t>
      </w:r>
      <w:r w:rsidR="003A2A3F" w:rsidRPr="0086784B">
        <w:rPr>
          <w:lang w:val="en-US"/>
        </w:rPr>
        <w:t xml:space="preserve">a </w:t>
      </w:r>
      <w:r w:rsidR="003F5D49" w:rsidRPr="0086784B">
        <w:rPr>
          <w:lang w:val="en-US"/>
        </w:rPr>
        <w:t xml:space="preserve">residence permit under </w:t>
      </w:r>
      <w:r w:rsidR="007A7CFE" w:rsidRPr="0086784B">
        <w:rPr>
          <w:lang w:val="en-US"/>
        </w:rPr>
        <w:t>section</w:t>
      </w:r>
      <w:r w:rsidR="003F5D49" w:rsidRPr="0086784B">
        <w:rPr>
          <w:lang w:val="en-US"/>
        </w:rPr>
        <w:t xml:space="preserve"> 14 of the Act</w:t>
      </w:r>
      <w:r w:rsidR="00484DEF" w:rsidRPr="0086784B">
        <w:rPr>
          <w:lang w:val="en-US"/>
        </w:rPr>
        <w:t xml:space="preserve"> after his asylum request </w:t>
      </w:r>
      <w:r w:rsidR="007A7CFE" w:rsidRPr="0086784B">
        <w:rPr>
          <w:lang w:val="en-US"/>
        </w:rPr>
        <w:t>had been</w:t>
      </w:r>
      <w:r w:rsidR="00484DEF" w:rsidRPr="0086784B">
        <w:rPr>
          <w:lang w:val="en-US"/>
        </w:rPr>
        <w:t xml:space="preserve"> rejected</w:t>
      </w:r>
      <w:r w:rsidR="00F45849" w:rsidRPr="0086784B">
        <w:rPr>
          <w:lang w:val="en-US"/>
        </w:rPr>
        <w:t xml:space="preserve">. </w:t>
      </w:r>
      <w:r w:rsidR="000B3796" w:rsidRPr="0086784B">
        <w:rPr>
          <w:lang w:val="en-US"/>
        </w:rPr>
        <w:t xml:space="preserve">Finally, it </w:t>
      </w:r>
      <w:r w:rsidR="007A7CFE" w:rsidRPr="0086784B">
        <w:rPr>
          <w:lang w:val="en-US"/>
        </w:rPr>
        <w:t>stated</w:t>
      </w:r>
      <w:r w:rsidR="000B3796" w:rsidRPr="0086784B">
        <w:rPr>
          <w:lang w:val="en-US"/>
        </w:rPr>
        <w:t xml:space="preserve"> that the refusal of a </w:t>
      </w:r>
      <w:r w:rsidR="00572084" w:rsidRPr="0086784B">
        <w:rPr>
          <w:lang w:val="en-US"/>
        </w:rPr>
        <w:t xml:space="preserve">residence permit did not </w:t>
      </w:r>
      <w:r w:rsidR="000B3796" w:rsidRPr="0086784B">
        <w:rPr>
          <w:lang w:val="en-US"/>
        </w:rPr>
        <w:t xml:space="preserve">violate the author’s right </w:t>
      </w:r>
      <w:r w:rsidRPr="0086784B">
        <w:rPr>
          <w:lang w:val="en-US"/>
        </w:rPr>
        <w:t xml:space="preserve">to </w:t>
      </w:r>
      <w:r w:rsidR="004E3A91" w:rsidRPr="0086784B">
        <w:rPr>
          <w:lang w:val="en-US"/>
        </w:rPr>
        <w:t xml:space="preserve">a </w:t>
      </w:r>
      <w:r w:rsidRPr="0086784B">
        <w:rPr>
          <w:lang w:val="en-US"/>
        </w:rPr>
        <w:t>private and family life</w:t>
      </w:r>
      <w:r w:rsidR="00F96A62" w:rsidRPr="0086784B">
        <w:rPr>
          <w:lang w:val="en-US"/>
        </w:rPr>
        <w:t xml:space="preserve">. </w:t>
      </w:r>
      <w:r w:rsidR="00946229" w:rsidRPr="0086784B">
        <w:rPr>
          <w:lang w:val="en-US"/>
        </w:rPr>
        <w:t xml:space="preserve">The </w:t>
      </w:r>
      <w:r w:rsidR="007F7855" w:rsidRPr="0086784B">
        <w:t>Immigration and Naturalisation Service</w:t>
      </w:r>
      <w:r w:rsidR="00484DEF" w:rsidRPr="0086784B">
        <w:rPr>
          <w:lang w:val="en-US"/>
        </w:rPr>
        <w:t xml:space="preserve"> ordered </w:t>
      </w:r>
      <w:r w:rsidR="00946229" w:rsidRPr="0086784B">
        <w:rPr>
          <w:lang w:val="en-US"/>
        </w:rPr>
        <w:t xml:space="preserve">the author </w:t>
      </w:r>
      <w:r w:rsidR="00484DEF" w:rsidRPr="0086784B">
        <w:rPr>
          <w:lang w:val="en-US"/>
        </w:rPr>
        <w:t>to</w:t>
      </w:r>
      <w:r w:rsidR="00946229" w:rsidRPr="0086784B">
        <w:rPr>
          <w:lang w:val="en-US"/>
        </w:rPr>
        <w:t xml:space="preserve"> immediately leave the State party as he was no longer a lawful resident. </w:t>
      </w:r>
    </w:p>
    <w:p w:rsidR="008A6350" w:rsidRPr="0086784B" w:rsidRDefault="00E1714F" w:rsidP="002E664D">
      <w:pPr>
        <w:pStyle w:val="SingleTxtG"/>
        <w:rPr>
          <w:lang w:val="en-US"/>
        </w:rPr>
      </w:pPr>
      <w:r w:rsidRPr="0086784B">
        <w:rPr>
          <w:lang w:val="en-US"/>
        </w:rPr>
        <w:t>2.4</w:t>
      </w:r>
      <w:r w:rsidR="00484DEF" w:rsidRPr="0086784B">
        <w:rPr>
          <w:lang w:val="en-US"/>
        </w:rPr>
        <w:tab/>
      </w:r>
      <w:r w:rsidR="00466E98" w:rsidRPr="0086784B">
        <w:rPr>
          <w:lang w:val="en-US"/>
        </w:rPr>
        <w:t xml:space="preserve">On </w:t>
      </w:r>
      <w:r w:rsidR="00E44DC9" w:rsidRPr="0086784B">
        <w:rPr>
          <w:lang w:val="en-US"/>
        </w:rPr>
        <w:t xml:space="preserve">13 </w:t>
      </w:r>
      <w:r w:rsidR="00484DEF" w:rsidRPr="0086784B">
        <w:rPr>
          <w:lang w:val="en-US"/>
        </w:rPr>
        <w:t>and 31</w:t>
      </w:r>
      <w:r w:rsidR="008A6350" w:rsidRPr="0086784B">
        <w:rPr>
          <w:lang w:val="en-US"/>
        </w:rPr>
        <w:t xml:space="preserve"> </w:t>
      </w:r>
      <w:r w:rsidR="00E44DC9" w:rsidRPr="0086784B">
        <w:rPr>
          <w:lang w:val="en-US"/>
        </w:rPr>
        <w:t xml:space="preserve">March 2008, </w:t>
      </w:r>
      <w:r w:rsidR="00466E98" w:rsidRPr="0086784B">
        <w:rPr>
          <w:lang w:val="en-US"/>
        </w:rPr>
        <w:t>t</w:t>
      </w:r>
      <w:r w:rsidR="00843C8B" w:rsidRPr="0086784B">
        <w:rPr>
          <w:lang w:val="en-US"/>
        </w:rPr>
        <w:t xml:space="preserve">he author </w:t>
      </w:r>
      <w:r w:rsidR="007F2DAC" w:rsidRPr="0086784B">
        <w:t>submitted</w:t>
      </w:r>
      <w:r w:rsidR="007F2DAC" w:rsidRPr="0086784B">
        <w:rPr>
          <w:lang w:val="en-US"/>
        </w:rPr>
        <w:t xml:space="preserve"> an objection to the </w:t>
      </w:r>
      <w:r w:rsidR="007F7855" w:rsidRPr="0086784B">
        <w:t>Immigration and Naturalisation Service</w:t>
      </w:r>
      <w:r w:rsidR="00CD724B" w:rsidRPr="0086784B">
        <w:rPr>
          <w:lang w:val="en-US"/>
        </w:rPr>
        <w:t>.</w:t>
      </w:r>
      <w:r w:rsidR="00843C8B" w:rsidRPr="0086784B">
        <w:rPr>
          <w:lang w:val="en-US"/>
        </w:rPr>
        <w:t xml:space="preserve"> </w:t>
      </w:r>
      <w:r w:rsidR="00484DEF" w:rsidRPr="0086784B">
        <w:rPr>
          <w:lang w:val="en-US"/>
        </w:rPr>
        <w:t>H</w:t>
      </w:r>
      <w:r w:rsidR="00DA5A64" w:rsidRPr="0086784B">
        <w:rPr>
          <w:lang w:val="en-US"/>
        </w:rPr>
        <w:t xml:space="preserve">e claimed that the decision of 13 March 2008 was arbitrary and violated his right to private life as established in </w:t>
      </w:r>
      <w:r w:rsidR="0034593D" w:rsidRPr="0086784B">
        <w:rPr>
          <w:lang w:val="en-US"/>
        </w:rPr>
        <w:t>article </w:t>
      </w:r>
      <w:r w:rsidR="00DA5A64" w:rsidRPr="0086784B">
        <w:rPr>
          <w:lang w:val="en-US"/>
        </w:rPr>
        <w:t xml:space="preserve">8 of the European Convention </w:t>
      </w:r>
      <w:r w:rsidR="008D16E1" w:rsidRPr="0086784B">
        <w:rPr>
          <w:lang w:val="en-US"/>
        </w:rPr>
        <w:t xml:space="preserve">on </w:t>
      </w:r>
      <w:r w:rsidR="00DA5A64" w:rsidRPr="0086784B">
        <w:rPr>
          <w:lang w:val="en-US"/>
        </w:rPr>
        <w:t>Human Rights</w:t>
      </w:r>
      <w:r w:rsidR="004269BD" w:rsidRPr="0086784B">
        <w:rPr>
          <w:lang w:val="en-US"/>
        </w:rPr>
        <w:t>; and that</w:t>
      </w:r>
      <w:r w:rsidR="00880464" w:rsidRPr="0086784B">
        <w:rPr>
          <w:lang w:val="en-US"/>
        </w:rPr>
        <w:t xml:space="preserve"> the </w:t>
      </w:r>
      <w:r w:rsidR="009D27F7" w:rsidRPr="0086784B">
        <w:rPr>
          <w:lang w:val="en-US"/>
        </w:rPr>
        <w:t xml:space="preserve">application of </w:t>
      </w:r>
      <w:r w:rsidR="00DF7E82" w:rsidRPr="0086784B">
        <w:rPr>
          <w:lang w:val="en-US"/>
        </w:rPr>
        <w:t xml:space="preserve">the </w:t>
      </w:r>
      <w:r w:rsidR="00880464" w:rsidRPr="0086784B">
        <w:rPr>
          <w:lang w:val="en-US"/>
        </w:rPr>
        <w:t xml:space="preserve">MVV requirement </w:t>
      </w:r>
      <w:r w:rsidR="004269BD" w:rsidRPr="0086784B">
        <w:rPr>
          <w:lang w:val="en-US"/>
        </w:rPr>
        <w:t xml:space="preserve">in practice </w:t>
      </w:r>
      <w:r w:rsidR="00880464" w:rsidRPr="0086784B">
        <w:rPr>
          <w:lang w:val="en-US"/>
        </w:rPr>
        <w:t>amounted to discrimination on grounds of nationality and financial resource</w:t>
      </w:r>
      <w:r w:rsidR="009D27F7" w:rsidRPr="0086784B">
        <w:rPr>
          <w:lang w:val="en-US"/>
        </w:rPr>
        <w:t>s,</w:t>
      </w:r>
      <w:r w:rsidR="00880464" w:rsidRPr="0086784B">
        <w:rPr>
          <w:lang w:val="en-US"/>
        </w:rPr>
        <w:t xml:space="preserve"> in violation of </w:t>
      </w:r>
      <w:r w:rsidR="0034593D" w:rsidRPr="0086784B">
        <w:rPr>
          <w:lang w:val="en-US"/>
        </w:rPr>
        <w:t>articles </w:t>
      </w:r>
      <w:r w:rsidR="00880464" w:rsidRPr="0086784B">
        <w:rPr>
          <w:lang w:val="en-US"/>
        </w:rPr>
        <w:t>2 and 26 of the Covenant</w:t>
      </w:r>
      <w:r w:rsidR="007F7855" w:rsidRPr="0086784B">
        <w:rPr>
          <w:lang w:val="en-US"/>
        </w:rPr>
        <w:t>,</w:t>
      </w:r>
      <w:r w:rsidR="008A6350" w:rsidRPr="0086784B">
        <w:rPr>
          <w:lang w:val="en-US"/>
        </w:rPr>
        <w:t xml:space="preserve"> since</w:t>
      </w:r>
      <w:r w:rsidR="009D27F7" w:rsidRPr="0086784B">
        <w:rPr>
          <w:lang w:val="en-US"/>
        </w:rPr>
        <w:t xml:space="preserve"> </w:t>
      </w:r>
      <w:r w:rsidR="00936BF3" w:rsidRPr="0086784B">
        <w:rPr>
          <w:lang w:val="en-US"/>
        </w:rPr>
        <w:t>aliens from</w:t>
      </w:r>
      <w:r w:rsidR="00880464" w:rsidRPr="0086784B">
        <w:rPr>
          <w:lang w:val="en-US"/>
        </w:rPr>
        <w:t xml:space="preserve"> certain countries</w:t>
      </w:r>
      <w:r w:rsidR="00CC354F" w:rsidRPr="0086784B">
        <w:rPr>
          <w:lang w:val="en-US"/>
        </w:rPr>
        <w:t>—</w:t>
      </w:r>
      <w:r w:rsidR="007F7855" w:rsidRPr="0086784B">
        <w:rPr>
          <w:lang w:val="en-US"/>
        </w:rPr>
        <w:t>not including</w:t>
      </w:r>
      <w:r w:rsidR="00880464" w:rsidRPr="0086784B">
        <w:rPr>
          <w:lang w:val="en-US"/>
        </w:rPr>
        <w:t xml:space="preserve"> </w:t>
      </w:r>
      <w:r w:rsidR="004269BD" w:rsidRPr="0086784B">
        <w:rPr>
          <w:lang w:val="en-US"/>
        </w:rPr>
        <w:t>Angola</w:t>
      </w:r>
      <w:r w:rsidR="00CC354F" w:rsidRPr="0086784B">
        <w:rPr>
          <w:lang w:val="en-US"/>
        </w:rPr>
        <w:t>—</w:t>
      </w:r>
      <w:r w:rsidR="00880464" w:rsidRPr="0086784B">
        <w:rPr>
          <w:lang w:val="en-US"/>
        </w:rPr>
        <w:t>could be</w:t>
      </w:r>
      <w:r w:rsidR="000C25B2" w:rsidRPr="0086784B">
        <w:rPr>
          <w:lang w:val="en-US"/>
        </w:rPr>
        <w:t xml:space="preserve"> permitted to reside in the State party </w:t>
      </w:r>
      <w:r w:rsidR="00E401DC" w:rsidRPr="0086784B">
        <w:rPr>
          <w:lang w:val="en-US"/>
        </w:rPr>
        <w:t>provided they were in possession</w:t>
      </w:r>
      <w:r w:rsidR="000C25B2" w:rsidRPr="0086784B">
        <w:rPr>
          <w:lang w:val="en-US"/>
        </w:rPr>
        <w:t xml:space="preserve"> of a residence permit, without meeting the MVV requirement</w:t>
      </w:r>
      <w:r w:rsidRPr="0086784B">
        <w:rPr>
          <w:lang w:val="en-US"/>
        </w:rPr>
        <w:t>.</w:t>
      </w:r>
      <w:r w:rsidR="00880464" w:rsidRPr="0086784B">
        <w:rPr>
          <w:lang w:val="en-US"/>
        </w:rPr>
        <w:t xml:space="preserve"> </w:t>
      </w:r>
      <w:r w:rsidR="004269BD" w:rsidRPr="0086784B">
        <w:rPr>
          <w:lang w:val="en-US"/>
        </w:rPr>
        <w:t xml:space="preserve">He </w:t>
      </w:r>
      <w:r w:rsidR="009D27F7" w:rsidRPr="0086784B">
        <w:rPr>
          <w:lang w:val="en-US"/>
        </w:rPr>
        <w:t xml:space="preserve">also </w:t>
      </w:r>
      <w:r w:rsidR="004269BD" w:rsidRPr="0086784B">
        <w:rPr>
          <w:lang w:val="en-US"/>
        </w:rPr>
        <w:t xml:space="preserve">reiterated his </w:t>
      </w:r>
      <w:r w:rsidR="008A6350" w:rsidRPr="0086784B">
        <w:rPr>
          <w:lang w:val="en-US"/>
        </w:rPr>
        <w:t>arguments</w:t>
      </w:r>
      <w:r w:rsidR="008A6350" w:rsidRPr="0086784B" w:rsidDel="008A6350">
        <w:rPr>
          <w:lang w:val="en-US"/>
        </w:rPr>
        <w:t xml:space="preserve"> </w:t>
      </w:r>
      <w:r w:rsidR="004269BD" w:rsidRPr="0086784B">
        <w:rPr>
          <w:lang w:val="en-US"/>
        </w:rPr>
        <w:t xml:space="preserve">concerning the ties developed in the State party and argued that he no </w:t>
      </w:r>
      <w:r w:rsidR="00233842" w:rsidRPr="0086784B">
        <w:rPr>
          <w:lang w:val="en-US"/>
        </w:rPr>
        <w:t xml:space="preserve">longer had any </w:t>
      </w:r>
      <w:r w:rsidR="004269BD" w:rsidRPr="0086784B">
        <w:rPr>
          <w:lang w:val="en-US"/>
        </w:rPr>
        <w:t xml:space="preserve">ties with family </w:t>
      </w:r>
      <w:r w:rsidR="00A51BC7" w:rsidRPr="0086784B">
        <w:rPr>
          <w:lang w:val="en-US"/>
        </w:rPr>
        <w:t xml:space="preserve">or </w:t>
      </w:r>
      <w:r w:rsidR="004269BD" w:rsidRPr="0086784B">
        <w:rPr>
          <w:lang w:val="en-US"/>
        </w:rPr>
        <w:t xml:space="preserve">friends in Angola. </w:t>
      </w:r>
      <w:r w:rsidR="00CB1810" w:rsidRPr="0086784B">
        <w:rPr>
          <w:lang w:val="en-US"/>
        </w:rPr>
        <w:t>In view of the above</w:t>
      </w:r>
      <w:r w:rsidR="004269BD" w:rsidRPr="0086784B">
        <w:rPr>
          <w:lang w:val="en-US"/>
        </w:rPr>
        <w:t xml:space="preserve">, he </w:t>
      </w:r>
      <w:r w:rsidR="009D27F7" w:rsidRPr="0086784B">
        <w:rPr>
          <w:lang w:val="en-US"/>
        </w:rPr>
        <w:t xml:space="preserve">requested </w:t>
      </w:r>
      <w:r w:rsidR="00A51BC7" w:rsidRPr="0086784B">
        <w:rPr>
          <w:lang w:val="en-US"/>
        </w:rPr>
        <w:t xml:space="preserve">that he </w:t>
      </w:r>
      <w:r w:rsidR="00301D34" w:rsidRPr="0086784B">
        <w:rPr>
          <w:lang w:val="en-US"/>
        </w:rPr>
        <w:t xml:space="preserve">be </w:t>
      </w:r>
      <w:r w:rsidR="002E664D" w:rsidRPr="0086784B">
        <w:rPr>
          <w:lang w:val="en-US"/>
        </w:rPr>
        <w:t xml:space="preserve">treated in accordance with </w:t>
      </w:r>
      <w:r w:rsidR="00301D34" w:rsidRPr="0086784B">
        <w:rPr>
          <w:lang w:val="en-US"/>
        </w:rPr>
        <w:t xml:space="preserve">the treatment </w:t>
      </w:r>
      <w:r w:rsidR="00CC354F" w:rsidRPr="0086784B">
        <w:rPr>
          <w:lang w:val="en-US"/>
        </w:rPr>
        <w:t xml:space="preserve">of </w:t>
      </w:r>
      <w:r w:rsidR="00457329" w:rsidRPr="0086784B">
        <w:rPr>
          <w:lang w:val="en-US"/>
        </w:rPr>
        <w:t xml:space="preserve">aliens </w:t>
      </w:r>
      <w:r w:rsidR="00A51BC7" w:rsidRPr="0086784B">
        <w:rPr>
          <w:lang w:val="en-US"/>
        </w:rPr>
        <w:t xml:space="preserve">as </w:t>
      </w:r>
      <w:r w:rsidR="00457329" w:rsidRPr="0086784B">
        <w:rPr>
          <w:lang w:val="en-US"/>
        </w:rPr>
        <w:t xml:space="preserve">provided </w:t>
      </w:r>
      <w:r w:rsidR="00E401DC" w:rsidRPr="0086784B">
        <w:rPr>
          <w:lang w:val="en-US"/>
        </w:rPr>
        <w:t xml:space="preserve">for </w:t>
      </w:r>
      <w:r w:rsidR="00457329" w:rsidRPr="0086784B">
        <w:rPr>
          <w:lang w:val="en-US"/>
        </w:rPr>
        <w:t xml:space="preserve">in </w:t>
      </w:r>
      <w:r w:rsidR="0034593D" w:rsidRPr="0086784B">
        <w:rPr>
          <w:lang w:val="en-US"/>
        </w:rPr>
        <w:t>article </w:t>
      </w:r>
      <w:r w:rsidR="00457329" w:rsidRPr="0086784B">
        <w:rPr>
          <w:lang w:val="en-US"/>
        </w:rPr>
        <w:t xml:space="preserve">3.52 of the Aliens Decree. </w:t>
      </w:r>
    </w:p>
    <w:p w:rsidR="008A6350" w:rsidRPr="0086784B" w:rsidRDefault="003D53DD" w:rsidP="00A51BC7">
      <w:pPr>
        <w:pStyle w:val="SingleTxtG"/>
        <w:rPr>
          <w:lang w:val="en-US"/>
        </w:rPr>
      </w:pPr>
      <w:r w:rsidRPr="0086784B">
        <w:rPr>
          <w:lang w:val="en-US"/>
        </w:rPr>
        <w:t>2.</w:t>
      </w:r>
      <w:r w:rsidR="004269BD" w:rsidRPr="0086784B">
        <w:rPr>
          <w:lang w:val="en-US"/>
        </w:rPr>
        <w:t>5</w:t>
      </w:r>
      <w:r w:rsidRPr="0086784B">
        <w:rPr>
          <w:lang w:val="en-US"/>
        </w:rPr>
        <w:tab/>
        <w:t xml:space="preserve">On 15 August 2008, the author’s </w:t>
      </w:r>
      <w:r w:rsidR="00A1481D" w:rsidRPr="0086784B">
        <w:rPr>
          <w:lang w:val="en-US"/>
        </w:rPr>
        <w:t>objection</w:t>
      </w:r>
      <w:r w:rsidRPr="0086784B">
        <w:rPr>
          <w:lang w:val="en-US"/>
        </w:rPr>
        <w:t xml:space="preserve"> was rejected by </w:t>
      </w:r>
      <w:r w:rsidR="00466E98" w:rsidRPr="0086784B">
        <w:rPr>
          <w:lang w:val="en-US"/>
        </w:rPr>
        <w:t xml:space="preserve">the </w:t>
      </w:r>
      <w:r w:rsidR="007F7855" w:rsidRPr="0086784B">
        <w:t>Immigration and Naturalisation Service</w:t>
      </w:r>
      <w:r w:rsidR="00B56A4D" w:rsidRPr="0086784B">
        <w:rPr>
          <w:lang w:val="en-US"/>
        </w:rPr>
        <w:t xml:space="preserve"> pursuant to </w:t>
      </w:r>
      <w:r w:rsidR="009D27F7" w:rsidRPr="0086784B">
        <w:rPr>
          <w:lang w:val="en-US"/>
        </w:rPr>
        <w:t xml:space="preserve">section </w:t>
      </w:r>
      <w:r w:rsidR="00B56A4D" w:rsidRPr="0086784B">
        <w:rPr>
          <w:lang w:val="en-US"/>
        </w:rPr>
        <w:t>16</w:t>
      </w:r>
      <w:r w:rsidR="00E401DC" w:rsidRPr="0086784B">
        <w:rPr>
          <w:lang w:val="en-US"/>
        </w:rPr>
        <w:t> (</w:t>
      </w:r>
      <w:r w:rsidR="00B56A4D" w:rsidRPr="0086784B">
        <w:rPr>
          <w:lang w:val="en-US"/>
        </w:rPr>
        <w:t>1</w:t>
      </w:r>
      <w:r w:rsidR="00E401DC" w:rsidRPr="0086784B">
        <w:rPr>
          <w:lang w:val="en-US"/>
        </w:rPr>
        <w:t>)</w:t>
      </w:r>
      <w:r w:rsidR="00B56A4D" w:rsidRPr="0086784B">
        <w:rPr>
          <w:lang w:val="en-US"/>
        </w:rPr>
        <w:t xml:space="preserve"> of the Act</w:t>
      </w:r>
      <w:r w:rsidRPr="0086784B">
        <w:rPr>
          <w:lang w:val="en-US"/>
        </w:rPr>
        <w:t>.</w:t>
      </w:r>
      <w:r w:rsidR="00D93808" w:rsidRPr="0086784B">
        <w:rPr>
          <w:lang w:val="en-US"/>
        </w:rPr>
        <w:t xml:space="preserve"> It </w:t>
      </w:r>
      <w:r w:rsidR="00D626D7" w:rsidRPr="0086784B">
        <w:rPr>
          <w:lang w:val="en-US"/>
        </w:rPr>
        <w:t xml:space="preserve">stated that the refusal </w:t>
      </w:r>
      <w:r w:rsidR="007A130B" w:rsidRPr="0086784B">
        <w:rPr>
          <w:lang w:val="en-US"/>
        </w:rPr>
        <w:t>of his residence permit request</w:t>
      </w:r>
      <w:r w:rsidR="00D626D7" w:rsidRPr="0086784B">
        <w:rPr>
          <w:lang w:val="en-US"/>
        </w:rPr>
        <w:t xml:space="preserve"> did not constitute a violation of his right to </w:t>
      </w:r>
      <w:r w:rsidR="00A51BC7" w:rsidRPr="0086784B">
        <w:rPr>
          <w:lang w:val="en-US"/>
        </w:rPr>
        <w:t xml:space="preserve">a </w:t>
      </w:r>
      <w:r w:rsidR="00D626D7" w:rsidRPr="0086784B">
        <w:rPr>
          <w:lang w:val="en-US"/>
        </w:rPr>
        <w:t xml:space="preserve">private and family life </w:t>
      </w:r>
      <w:r w:rsidR="00233842" w:rsidRPr="0086784B">
        <w:rPr>
          <w:lang w:val="en-US"/>
        </w:rPr>
        <w:t xml:space="preserve">as </w:t>
      </w:r>
      <w:r w:rsidR="00D626D7" w:rsidRPr="0086784B">
        <w:rPr>
          <w:lang w:val="en-US"/>
        </w:rPr>
        <w:t xml:space="preserve">enshrined in </w:t>
      </w:r>
      <w:r w:rsidR="0034593D" w:rsidRPr="0086784B">
        <w:rPr>
          <w:lang w:val="en-US"/>
        </w:rPr>
        <w:t>article </w:t>
      </w:r>
      <w:r w:rsidR="00D626D7" w:rsidRPr="0086784B">
        <w:rPr>
          <w:lang w:val="en-US"/>
        </w:rPr>
        <w:t xml:space="preserve">8 of the </w:t>
      </w:r>
      <w:r w:rsidR="003E0D4A" w:rsidRPr="0086784B">
        <w:rPr>
          <w:lang w:val="en-US"/>
        </w:rPr>
        <w:t>European Convention on Human Rights</w:t>
      </w:r>
      <w:r w:rsidR="007547EF" w:rsidRPr="0086784B">
        <w:rPr>
          <w:lang w:val="en-US"/>
        </w:rPr>
        <w:t>, and that the exceptions to th</w:t>
      </w:r>
      <w:r w:rsidR="008A6350" w:rsidRPr="0086784B">
        <w:rPr>
          <w:lang w:val="en-US"/>
        </w:rPr>
        <w:t xml:space="preserve">e MVV </w:t>
      </w:r>
      <w:r w:rsidR="007547EF" w:rsidRPr="0086784B">
        <w:rPr>
          <w:lang w:val="en-US"/>
        </w:rPr>
        <w:t xml:space="preserve">requirement were not a violation of </w:t>
      </w:r>
      <w:r w:rsidR="0034593D" w:rsidRPr="0086784B">
        <w:rPr>
          <w:lang w:val="en-US"/>
        </w:rPr>
        <w:t>articles </w:t>
      </w:r>
      <w:r w:rsidR="007547EF" w:rsidRPr="0086784B">
        <w:rPr>
          <w:lang w:val="en-US"/>
        </w:rPr>
        <w:t>2 and 26 of the Covenant</w:t>
      </w:r>
      <w:r w:rsidR="003E0D4A" w:rsidRPr="0086784B">
        <w:rPr>
          <w:lang w:val="en-US"/>
        </w:rPr>
        <w:t>,</w:t>
      </w:r>
      <w:r w:rsidR="007547EF" w:rsidRPr="0086784B">
        <w:rPr>
          <w:lang w:val="en-US"/>
        </w:rPr>
        <w:t xml:space="preserve"> since they sought to protect the State party’s economic order, which was a reasonable and objective justification. It </w:t>
      </w:r>
      <w:r w:rsidR="00D93808" w:rsidRPr="0086784B">
        <w:rPr>
          <w:lang w:val="en-US"/>
        </w:rPr>
        <w:t>pointed out</w:t>
      </w:r>
      <w:r w:rsidR="004269BD" w:rsidRPr="0086784B">
        <w:rPr>
          <w:lang w:val="en-US"/>
        </w:rPr>
        <w:t>,</w:t>
      </w:r>
      <w:r w:rsidR="00D93808" w:rsidRPr="0086784B">
        <w:rPr>
          <w:lang w:val="en-US"/>
        </w:rPr>
        <w:t xml:space="preserve"> </w:t>
      </w:r>
      <w:r w:rsidR="004269BD" w:rsidRPr="0086784B">
        <w:rPr>
          <w:lang w:val="en-US"/>
        </w:rPr>
        <w:t xml:space="preserve">inter alia, </w:t>
      </w:r>
      <w:r w:rsidR="00EB5DC6" w:rsidRPr="0086784B">
        <w:rPr>
          <w:shd w:val="clear" w:color="auto" w:fill="FFFFFF"/>
          <w:lang w:val="en-US"/>
        </w:rPr>
        <w:t xml:space="preserve">that the mere fact that </w:t>
      </w:r>
      <w:r w:rsidR="007A130B" w:rsidRPr="0086784B">
        <w:rPr>
          <w:shd w:val="clear" w:color="auto" w:fill="FFFFFF"/>
          <w:lang w:val="en-US"/>
        </w:rPr>
        <w:t>the author</w:t>
      </w:r>
      <w:r w:rsidR="00EB5DC6" w:rsidRPr="0086784B">
        <w:rPr>
          <w:shd w:val="clear" w:color="auto" w:fill="FFFFFF"/>
          <w:lang w:val="en-US"/>
        </w:rPr>
        <w:t xml:space="preserve"> </w:t>
      </w:r>
      <w:r w:rsidR="003E0D4A" w:rsidRPr="0086784B">
        <w:rPr>
          <w:shd w:val="clear" w:color="auto" w:fill="FFFFFF"/>
          <w:lang w:val="en-US"/>
        </w:rPr>
        <w:t xml:space="preserve">had </w:t>
      </w:r>
      <w:r w:rsidR="00EB5DC6" w:rsidRPr="0086784B">
        <w:rPr>
          <w:shd w:val="clear" w:color="auto" w:fill="FFFFFF"/>
          <w:lang w:val="en-US"/>
        </w:rPr>
        <w:t xml:space="preserve">developed ties and built a life in the State party during the period in which his </w:t>
      </w:r>
      <w:r w:rsidR="00EB5DC6" w:rsidRPr="0086784B">
        <w:rPr>
          <w:shd w:val="clear" w:color="auto" w:fill="FFFFFF"/>
          <w:lang w:val="en-US"/>
        </w:rPr>
        <w:lastRenderedPageBreak/>
        <w:t xml:space="preserve">asylum request was </w:t>
      </w:r>
      <w:r w:rsidR="003E0D4A" w:rsidRPr="0086784B">
        <w:rPr>
          <w:shd w:val="clear" w:color="auto" w:fill="FFFFFF"/>
          <w:lang w:val="en-US"/>
        </w:rPr>
        <w:t xml:space="preserve">being </w:t>
      </w:r>
      <w:r w:rsidR="00515EC0" w:rsidRPr="0086784B">
        <w:rPr>
          <w:shd w:val="clear" w:color="auto" w:fill="FFFFFF"/>
          <w:lang w:val="en-US"/>
        </w:rPr>
        <w:t>examined</w:t>
      </w:r>
      <w:r w:rsidR="00EB5DC6" w:rsidRPr="0086784B">
        <w:rPr>
          <w:shd w:val="clear" w:color="auto" w:fill="FFFFFF"/>
          <w:lang w:val="en-US"/>
        </w:rPr>
        <w:t xml:space="preserve"> did not </w:t>
      </w:r>
      <w:r w:rsidR="003E0D4A" w:rsidRPr="0086784B">
        <w:rPr>
          <w:shd w:val="clear" w:color="auto" w:fill="FFFFFF"/>
          <w:lang w:val="en-US"/>
        </w:rPr>
        <w:t xml:space="preserve">of itself </w:t>
      </w:r>
      <w:r w:rsidR="00EB5DC6" w:rsidRPr="0086784B">
        <w:rPr>
          <w:shd w:val="clear" w:color="auto" w:fill="FFFFFF"/>
          <w:lang w:val="en-US"/>
        </w:rPr>
        <w:t>exempt him from the MVV requirement</w:t>
      </w:r>
      <w:r w:rsidR="004269BD" w:rsidRPr="0086784B">
        <w:rPr>
          <w:shd w:val="clear" w:color="auto" w:fill="FFFFFF"/>
          <w:lang w:val="en-US"/>
        </w:rPr>
        <w:t>;</w:t>
      </w:r>
      <w:r w:rsidR="00515EC0" w:rsidRPr="0086784B">
        <w:rPr>
          <w:lang w:val="en-US"/>
        </w:rPr>
        <w:t xml:space="preserve"> that he </w:t>
      </w:r>
      <w:r w:rsidR="003E0D4A" w:rsidRPr="0086784B">
        <w:rPr>
          <w:lang w:val="en-US"/>
        </w:rPr>
        <w:t xml:space="preserve">had </w:t>
      </w:r>
      <w:r w:rsidR="00515EC0" w:rsidRPr="0086784B">
        <w:rPr>
          <w:lang w:val="en-US"/>
        </w:rPr>
        <w:t xml:space="preserve">lived most of his life in Angola; </w:t>
      </w:r>
      <w:r w:rsidR="00E41625" w:rsidRPr="0086784B">
        <w:rPr>
          <w:lang w:val="en-US"/>
        </w:rPr>
        <w:t xml:space="preserve">and </w:t>
      </w:r>
      <w:r w:rsidR="00515EC0" w:rsidRPr="0086784B">
        <w:rPr>
          <w:lang w:val="en-US"/>
        </w:rPr>
        <w:t xml:space="preserve">that he </w:t>
      </w:r>
      <w:r w:rsidR="003E0D4A" w:rsidRPr="0086784B">
        <w:rPr>
          <w:lang w:val="en-US"/>
        </w:rPr>
        <w:t xml:space="preserve">had </w:t>
      </w:r>
      <w:r w:rsidR="00515EC0" w:rsidRPr="0086784B">
        <w:rPr>
          <w:lang w:val="en-US"/>
        </w:rPr>
        <w:t xml:space="preserve">never </w:t>
      </w:r>
      <w:r w:rsidR="003E0D4A" w:rsidRPr="0086784B">
        <w:rPr>
          <w:lang w:val="en-US"/>
        </w:rPr>
        <w:t xml:space="preserve">been </w:t>
      </w:r>
      <w:r w:rsidR="00515EC0" w:rsidRPr="0086784B">
        <w:rPr>
          <w:lang w:val="en-US"/>
        </w:rPr>
        <w:t>entitled to residence in the State party</w:t>
      </w:r>
      <w:r w:rsidR="00E41625" w:rsidRPr="0086784B">
        <w:rPr>
          <w:lang w:val="en-US"/>
        </w:rPr>
        <w:t xml:space="preserve">. As to his </w:t>
      </w:r>
      <w:r w:rsidR="003E0D4A" w:rsidRPr="0086784B">
        <w:rPr>
          <w:lang w:val="en-US"/>
        </w:rPr>
        <w:t>contention that he had</w:t>
      </w:r>
      <w:r w:rsidR="00E41625" w:rsidRPr="0086784B">
        <w:rPr>
          <w:lang w:val="en-US"/>
        </w:rPr>
        <w:t xml:space="preserve"> </w:t>
      </w:r>
      <w:r w:rsidR="00E41625" w:rsidRPr="0086784B">
        <w:t>integrat</w:t>
      </w:r>
      <w:r w:rsidR="003E0D4A" w:rsidRPr="0086784B">
        <w:t>ed</w:t>
      </w:r>
      <w:r w:rsidR="00E41625" w:rsidRPr="0086784B">
        <w:rPr>
          <w:lang w:val="en-US"/>
        </w:rPr>
        <w:t xml:space="preserve"> into </w:t>
      </w:r>
      <w:r w:rsidR="003E0D4A" w:rsidRPr="0086784B">
        <w:rPr>
          <w:lang w:val="en-US"/>
        </w:rPr>
        <w:t>Netherlands</w:t>
      </w:r>
      <w:r w:rsidR="00E41625" w:rsidRPr="0086784B">
        <w:rPr>
          <w:lang w:val="en-US"/>
        </w:rPr>
        <w:t xml:space="preserve"> society, the </w:t>
      </w:r>
      <w:r w:rsidR="007F7855" w:rsidRPr="0086784B">
        <w:t>Immigration and Naturalisation Service</w:t>
      </w:r>
      <w:r w:rsidR="00E41625" w:rsidRPr="0086784B">
        <w:rPr>
          <w:lang w:val="en-US"/>
        </w:rPr>
        <w:t xml:space="preserve"> noted that</w:t>
      </w:r>
      <w:r w:rsidR="00515EC0" w:rsidRPr="0086784B">
        <w:rPr>
          <w:lang w:val="en-US"/>
        </w:rPr>
        <w:t xml:space="preserve"> in 2004 he </w:t>
      </w:r>
      <w:r w:rsidR="003E0D4A" w:rsidRPr="0086784B">
        <w:rPr>
          <w:lang w:val="en-US"/>
        </w:rPr>
        <w:t xml:space="preserve">had been </w:t>
      </w:r>
      <w:r w:rsidR="00515EC0" w:rsidRPr="0086784B">
        <w:rPr>
          <w:lang w:val="en-US"/>
        </w:rPr>
        <w:t xml:space="preserve">found guilty of handling stolen property under </w:t>
      </w:r>
      <w:r w:rsidR="0034593D" w:rsidRPr="0086784B">
        <w:rPr>
          <w:lang w:val="en-US"/>
        </w:rPr>
        <w:t>article </w:t>
      </w:r>
      <w:r w:rsidR="00515EC0" w:rsidRPr="0086784B">
        <w:rPr>
          <w:lang w:val="en-US"/>
        </w:rPr>
        <w:t>46</w:t>
      </w:r>
      <w:r w:rsidR="0034593D" w:rsidRPr="0086784B">
        <w:rPr>
          <w:lang w:val="en-US"/>
        </w:rPr>
        <w:t> </w:t>
      </w:r>
      <w:r w:rsidR="003E0D4A" w:rsidRPr="0086784B">
        <w:rPr>
          <w:lang w:val="en-US"/>
        </w:rPr>
        <w:t>(</w:t>
      </w:r>
      <w:r w:rsidR="00515EC0" w:rsidRPr="0086784B">
        <w:rPr>
          <w:lang w:val="en-US"/>
        </w:rPr>
        <w:t>1</w:t>
      </w:r>
      <w:r w:rsidR="003E0D4A" w:rsidRPr="0086784B">
        <w:rPr>
          <w:lang w:val="en-US"/>
        </w:rPr>
        <w:t>)</w:t>
      </w:r>
      <w:r w:rsidR="00515EC0" w:rsidRPr="0086784B">
        <w:rPr>
          <w:lang w:val="en-US"/>
        </w:rPr>
        <w:t xml:space="preserve"> of the Criminal Code and </w:t>
      </w:r>
      <w:r w:rsidR="003E0D4A" w:rsidRPr="0086784B">
        <w:rPr>
          <w:lang w:val="en-US"/>
        </w:rPr>
        <w:t xml:space="preserve">that </w:t>
      </w:r>
      <w:r w:rsidR="00515EC0" w:rsidRPr="0086784B">
        <w:rPr>
          <w:lang w:val="en-US"/>
        </w:rPr>
        <w:t xml:space="preserve">in 2006 he </w:t>
      </w:r>
      <w:r w:rsidR="003E0D4A" w:rsidRPr="0086784B">
        <w:rPr>
          <w:lang w:val="en-US"/>
        </w:rPr>
        <w:t xml:space="preserve">had been </w:t>
      </w:r>
      <w:r w:rsidR="00515EC0" w:rsidRPr="0086784B">
        <w:rPr>
          <w:lang w:val="en-US"/>
        </w:rPr>
        <w:t xml:space="preserve">in breach of </w:t>
      </w:r>
      <w:r w:rsidR="0034593D" w:rsidRPr="0086784B">
        <w:rPr>
          <w:lang w:val="en-US"/>
        </w:rPr>
        <w:t>article </w:t>
      </w:r>
      <w:r w:rsidR="00515EC0" w:rsidRPr="0086784B">
        <w:rPr>
          <w:lang w:val="en-US"/>
        </w:rPr>
        <w:t>30</w:t>
      </w:r>
      <w:r w:rsidR="0034593D" w:rsidRPr="0086784B">
        <w:rPr>
          <w:lang w:val="en-US"/>
        </w:rPr>
        <w:t> </w:t>
      </w:r>
      <w:r w:rsidR="003E0D4A" w:rsidRPr="0086784B">
        <w:rPr>
          <w:lang w:val="en-US"/>
        </w:rPr>
        <w:t>(</w:t>
      </w:r>
      <w:r w:rsidR="00515EC0" w:rsidRPr="0086784B">
        <w:rPr>
          <w:lang w:val="en-US"/>
        </w:rPr>
        <w:t>4</w:t>
      </w:r>
      <w:r w:rsidR="003E0D4A" w:rsidRPr="0086784B">
        <w:rPr>
          <w:lang w:val="en-US"/>
        </w:rPr>
        <w:t>)</w:t>
      </w:r>
      <w:r w:rsidR="00515EC0" w:rsidRPr="0086784B">
        <w:rPr>
          <w:lang w:val="en-US"/>
        </w:rPr>
        <w:t xml:space="preserve"> of the Motor Insurance Liability Act</w:t>
      </w:r>
      <w:r w:rsidR="00E1714F" w:rsidRPr="0086784B">
        <w:rPr>
          <w:lang w:val="en-US"/>
        </w:rPr>
        <w:t>.</w:t>
      </w:r>
      <w:r w:rsidR="006E37BE" w:rsidRPr="0086784B">
        <w:rPr>
          <w:lang w:val="en-US"/>
        </w:rPr>
        <w:t xml:space="preserve"> </w:t>
      </w:r>
      <w:r w:rsidR="007547EF" w:rsidRPr="0086784B">
        <w:rPr>
          <w:lang w:val="en-US"/>
        </w:rPr>
        <w:t>Accordingly, t</w:t>
      </w:r>
      <w:r w:rsidR="00ED0B9F" w:rsidRPr="0086784B">
        <w:rPr>
          <w:lang w:val="en-US"/>
        </w:rPr>
        <w:t xml:space="preserve">he </w:t>
      </w:r>
      <w:r w:rsidR="007F7855" w:rsidRPr="0086784B">
        <w:t>Immigration and Naturalisation Service</w:t>
      </w:r>
      <w:r w:rsidR="00ED0B9F" w:rsidRPr="0086784B">
        <w:rPr>
          <w:lang w:val="en-US"/>
        </w:rPr>
        <w:t xml:space="preserve"> </w:t>
      </w:r>
      <w:r w:rsidR="00085F87" w:rsidRPr="0086784B">
        <w:rPr>
          <w:lang w:val="en-US"/>
        </w:rPr>
        <w:t xml:space="preserve">stated that the author was no longer lawfully resident in the State party and </w:t>
      </w:r>
      <w:r w:rsidR="00ED0B9F" w:rsidRPr="0086784B">
        <w:rPr>
          <w:lang w:val="en-US"/>
        </w:rPr>
        <w:t xml:space="preserve">ordered him to leave </w:t>
      </w:r>
      <w:r w:rsidR="003E0D4A" w:rsidRPr="0086784B">
        <w:rPr>
          <w:lang w:val="en-US"/>
        </w:rPr>
        <w:t xml:space="preserve">the country </w:t>
      </w:r>
      <w:r w:rsidR="00ED0B9F" w:rsidRPr="0086784B">
        <w:rPr>
          <w:lang w:val="en-US"/>
        </w:rPr>
        <w:t>within 28 days.</w:t>
      </w:r>
    </w:p>
    <w:p w:rsidR="009667F1" w:rsidRPr="0086784B" w:rsidRDefault="00ED0B9F" w:rsidP="005A3EE3">
      <w:pPr>
        <w:pStyle w:val="SingleTxtG"/>
        <w:rPr>
          <w:lang w:val="en-US"/>
        </w:rPr>
      </w:pPr>
      <w:r w:rsidRPr="0086784B">
        <w:rPr>
          <w:lang w:val="en-US"/>
        </w:rPr>
        <w:t>2.</w:t>
      </w:r>
      <w:r w:rsidR="007547EF" w:rsidRPr="0086784B">
        <w:rPr>
          <w:lang w:val="en-US"/>
        </w:rPr>
        <w:t>6</w:t>
      </w:r>
      <w:r w:rsidRPr="0086784B">
        <w:rPr>
          <w:lang w:val="en-US"/>
        </w:rPr>
        <w:tab/>
        <w:t xml:space="preserve">On 11 September 2008, the author lodged an appeal </w:t>
      </w:r>
      <w:r w:rsidR="009667F1" w:rsidRPr="0086784B">
        <w:rPr>
          <w:lang w:val="en-US"/>
        </w:rPr>
        <w:t xml:space="preserve">for judicial review </w:t>
      </w:r>
      <w:r w:rsidR="000F54A0" w:rsidRPr="0086784B">
        <w:rPr>
          <w:lang w:val="en-US"/>
        </w:rPr>
        <w:t xml:space="preserve">against </w:t>
      </w:r>
      <w:r w:rsidR="003E0D4A" w:rsidRPr="0086784B">
        <w:rPr>
          <w:lang w:val="en-US"/>
        </w:rPr>
        <w:t xml:space="preserve">that </w:t>
      </w:r>
      <w:r w:rsidR="000F54A0" w:rsidRPr="0086784B">
        <w:rPr>
          <w:lang w:val="en-US"/>
        </w:rPr>
        <w:t>decision before</w:t>
      </w:r>
      <w:r w:rsidRPr="0086784B">
        <w:rPr>
          <w:lang w:val="en-US"/>
        </w:rPr>
        <w:t xml:space="preserve"> the District Court</w:t>
      </w:r>
      <w:r w:rsidR="009667F1" w:rsidRPr="0086784B">
        <w:rPr>
          <w:lang w:val="en-US"/>
        </w:rPr>
        <w:t>. He reiterated that</w:t>
      </w:r>
      <w:r w:rsidRPr="0086784B">
        <w:rPr>
          <w:lang w:val="en-US"/>
        </w:rPr>
        <w:t xml:space="preserve"> the denial of </w:t>
      </w:r>
      <w:r w:rsidR="009667F1" w:rsidRPr="0086784B">
        <w:rPr>
          <w:lang w:val="en-US"/>
        </w:rPr>
        <w:t xml:space="preserve">his request for </w:t>
      </w:r>
      <w:r w:rsidR="00233842" w:rsidRPr="0086784B">
        <w:rPr>
          <w:lang w:val="en-US"/>
        </w:rPr>
        <w:t xml:space="preserve">a </w:t>
      </w:r>
      <w:r w:rsidRPr="0086784B">
        <w:rPr>
          <w:lang w:val="en-US"/>
        </w:rPr>
        <w:t xml:space="preserve">residence permit was arbitrary and violated his right to private </w:t>
      </w:r>
      <w:r w:rsidRPr="0086784B">
        <w:t>and</w:t>
      </w:r>
      <w:r w:rsidRPr="0086784B">
        <w:rPr>
          <w:lang w:val="en-US"/>
        </w:rPr>
        <w:t xml:space="preserve"> family life</w:t>
      </w:r>
      <w:r w:rsidR="009667F1" w:rsidRPr="0086784B">
        <w:rPr>
          <w:lang w:val="en-US"/>
        </w:rPr>
        <w:t xml:space="preserve">, and that the exemption from the MVV requirement </w:t>
      </w:r>
      <w:r w:rsidR="007A130B" w:rsidRPr="0086784B">
        <w:rPr>
          <w:lang w:val="en-US"/>
        </w:rPr>
        <w:t>for</w:t>
      </w:r>
      <w:r w:rsidR="009667F1" w:rsidRPr="0086784B">
        <w:rPr>
          <w:lang w:val="en-US"/>
        </w:rPr>
        <w:t xml:space="preserve"> aliens who had the nationality of one of the countries designated by the Minister for Foreign Affairs created an unjustified distinction </w:t>
      </w:r>
      <w:r w:rsidR="005A3EE3" w:rsidRPr="0086784B">
        <w:rPr>
          <w:lang w:val="en-US"/>
        </w:rPr>
        <w:t>on the basis of</w:t>
      </w:r>
      <w:r w:rsidR="009667F1" w:rsidRPr="0086784B">
        <w:rPr>
          <w:lang w:val="en-US"/>
        </w:rPr>
        <w:t xml:space="preserve"> nationality and financial resources, in breach of </w:t>
      </w:r>
      <w:r w:rsidR="0034593D" w:rsidRPr="0086784B">
        <w:rPr>
          <w:lang w:val="en-US"/>
        </w:rPr>
        <w:t>articles </w:t>
      </w:r>
      <w:r w:rsidR="009667F1" w:rsidRPr="0086784B">
        <w:rPr>
          <w:lang w:val="en-US"/>
        </w:rPr>
        <w:t>2 and 26 of the Covenant.</w:t>
      </w:r>
    </w:p>
    <w:p w:rsidR="008A6350" w:rsidRPr="0086784B" w:rsidRDefault="00ED0B9F" w:rsidP="002E401B">
      <w:pPr>
        <w:pStyle w:val="SingleTxtG"/>
        <w:rPr>
          <w:lang w:val="en-US"/>
        </w:rPr>
      </w:pPr>
      <w:r w:rsidRPr="0086784B">
        <w:rPr>
          <w:lang w:val="en-US"/>
        </w:rPr>
        <w:t>2.</w:t>
      </w:r>
      <w:r w:rsidR="00E1714F" w:rsidRPr="0086784B">
        <w:rPr>
          <w:lang w:val="en-US"/>
        </w:rPr>
        <w:t>7</w:t>
      </w:r>
      <w:r w:rsidR="009667F1" w:rsidRPr="0086784B">
        <w:rPr>
          <w:lang w:val="en-US"/>
        </w:rPr>
        <w:tab/>
      </w:r>
      <w:r w:rsidRPr="0086784B">
        <w:rPr>
          <w:lang w:val="en-US"/>
        </w:rPr>
        <w:t xml:space="preserve">By decision of 8 January 2009, </w:t>
      </w:r>
      <w:r w:rsidR="00C302BF" w:rsidRPr="0086784B">
        <w:rPr>
          <w:lang w:val="en-US"/>
        </w:rPr>
        <w:t xml:space="preserve">in an interlocutory proceeding, </w:t>
      </w:r>
      <w:r w:rsidRPr="0086784B">
        <w:rPr>
          <w:lang w:val="en-US"/>
        </w:rPr>
        <w:t>the District Court</w:t>
      </w:r>
      <w:r w:rsidR="00C302BF" w:rsidRPr="0086784B">
        <w:rPr>
          <w:lang w:val="en-US"/>
        </w:rPr>
        <w:t xml:space="preserve"> </w:t>
      </w:r>
      <w:r w:rsidRPr="0086784B">
        <w:rPr>
          <w:lang w:val="en-US"/>
        </w:rPr>
        <w:t xml:space="preserve">declared the </w:t>
      </w:r>
      <w:r w:rsidR="00085F87" w:rsidRPr="0086784B">
        <w:rPr>
          <w:lang w:val="en-US"/>
        </w:rPr>
        <w:t>application for judicial review</w:t>
      </w:r>
      <w:r w:rsidRPr="0086784B">
        <w:rPr>
          <w:lang w:val="en-US"/>
        </w:rPr>
        <w:t xml:space="preserve"> </w:t>
      </w:r>
      <w:r w:rsidR="008A6350" w:rsidRPr="0086784B">
        <w:rPr>
          <w:lang w:val="en-US"/>
        </w:rPr>
        <w:t xml:space="preserve">partly </w:t>
      </w:r>
      <w:r w:rsidRPr="0086784B">
        <w:rPr>
          <w:lang w:val="en-US"/>
        </w:rPr>
        <w:t xml:space="preserve">founded and quashed the contested decision of 15 August 2008 on procedural </w:t>
      </w:r>
      <w:r w:rsidRPr="0086784B">
        <w:t>grounds</w:t>
      </w:r>
      <w:r w:rsidRPr="0086784B">
        <w:rPr>
          <w:lang w:val="en-US"/>
        </w:rPr>
        <w:t xml:space="preserve">, while maintaining </w:t>
      </w:r>
      <w:r w:rsidR="006E39F9" w:rsidRPr="0086784B">
        <w:rPr>
          <w:lang w:val="en-US"/>
        </w:rPr>
        <w:t xml:space="preserve">its </w:t>
      </w:r>
      <w:r w:rsidRPr="0086784B">
        <w:rPr>
          <w:lang w:val="en-US"/>
        </w:rPr>
        <w:t xml:space="preserve">legal consequences. </w:t>
      </w:r>
      <w:r w:rsidR="00082B88" w:rsidRPr="0086784B">
        <w:rPr>
          <w:lang w:val="en-US"/>
        </w:rPr>
        <w:t>The</w:t>
      </w:r>
      <w:r w:rsidR="000B5E58" w:rsidRPr="0086784B">
        <w:rPr>
          <w:lang w:val="en-US"/>
        </w:rPr>
        <w:t xml:space="preserve"> District</w:t>
      </w:r>
      <w:r w:rsidR="00082B88" w:rsidRPr="0086784B">
        <w:rPr>
          <w:lang w:val="en-US"/>
        </w:rPr>
        <w:t xml:space="preserve"> Court </w:t>
      </w:r>
      <w:r w:rsidR="000B5E58" w:rsidRPr="0086784B">
        <w:rPr>
          <w:lang w:val="en-US"/>
        </w:rPr>
        <w:t>found that the appealed decision omitted to examine</w:t>
      </w:r>
      <w:r w:rsidR="00AF3F37" w:rsidRPr="0086784B">
        <w:rPr>
          <w:lang w:val="en-US"/>
        </w:rPr>
        <w:t xml:space="preserve"> one aspect of</w:t>
      </w:r>
      <w:r w:rsidR="000B5E58" w:rsidRPr="0086784B">
        <w:rPr>
          <w:lang w:val="en-US"/>
        </w:rPr>
        <w:t xml:space="preserve"> the author’s allegation of a breach of </w:t>
      </w:r>
      <w:r w:rsidR="0034593D" w:rsidRPr="0086784B">
        <w:rPr>
          <w:lang w:val="en-US"/>
        </w:rPr>
        <w:t>article </w:t>
      </w:r>
      <w:r w:rsidR="000B5E58" w:rsidRPr="0086784B">
        <w:rPr>
          <w:lang w:val="en-US"/>
        </w:rPr>
        <w:t>26 of the Covenant. However, after considering all his allegations, it concluded that the MVV requirement and the exceptions established in section 17</w:t>
      </w:r>
      <w:r w:rsidR="002E401B" w:rsidRPr="0086784B">
        <w:rPr>
          <w:lang w:val="en-US"/>
        </w:rPr>
        <w:t> (</w:t>
      </w:r>
      <w:r w:rsidR="000B5E58" w:rsidRPr="0086784B">
        <w:rPr>
          <w:lang w:val="en-US"/>
        </w:rPr>
        <w:t>1</w:t>
      </w:r>
      <w:r w:rsidR="002E401B" w:rsidRPr="0086784B">
        <w:rPr>
          <w:lang w:val="en-US"/>
        </w:rPr>
        <w:t>)</w:t>
      </w:r>
      <w:r w:rsidR="000B5E58" w:rsidRPr="0086784B">
        <w:rPr>
          <w:lang w:val="en-US"/>
        </w:rPr>
        <w:t xml:space="preserve"> of the Act, did not constitute a violation of </w:t>
      </w:r>
      <w:r w:rsidR="0034593D" w:rsidRPr="0086784B">
        <w:rPr>
          <w:lang w:val="en-US"/>
        </w:rPr>
        <w:t>article </w:t>
      </w:r>
      <w:r w:rsidR="000B5E58" w:rsidRPr="0086784B">
        <w:rPr>
          <w:lang w:val="en-US"/>
        </w:rPr>
        <w:t xml:space="preserve">8 of the </w:t>
      </w:r>
      <w:r w:rsidR="003E0D4A" w:rsidRPr="0086784B">
        <w:rPr>
          <w:lang w:val="en-US"/>
        </w:rPr>
        <w:t>European Convention on Human Rights</w:t>
      </w:r>
      <w:r w:rsidR="000B5E58" w:rsidRPr="0086784B">
        <w:rPr>
          <w:lang w:val="en-US"/>
        </w:rPr>
        <w:t xml:space="preserve">, </w:t>
      </w:r>
      <w:r w:rsidR="003E0D4A" w:rsidRPr="0086784B">
        <w:rPr>
          <w:lang w:val="en-US"/>
        </w:rPr>
        <w:t xml:space="preserve">or </w:t>
      </w:r>
      <w:r w:rsidR="0038595F" w:rsidRPr="0086784B">
        <w:rPr>
          <w:lang w:val="en-US"/>
        </w:rPr>
        <w:t xml:space="preserve">articles </w:t>
      </w:r>
      <w:r w:rsidR="000B5E58" w:rsidRPr="0086784B">
        <w:rPr>
          <w:lang w:val="en-US"/>
        </w:rPr>
        <w:t xml:space="preserve">2 and 26 of the Covenant. Accordingly, it confirmed the legal consequences </w:t>
      </w:r>
      <w:r w:rsidR="007F7855" w:rsidRPr="0086784B">
        <w:rPr>
          <w:lang w:val="en-US"/>
        </w:rPr>
        <w:t xml:space="preserve">of the decision </w:t>
      </w:r>
      <w:r w:rsidR="000B5E58" w:rsidRPr="0086784B">
        <w:rPr>
          <w:lang w:val="en-US"/>
        </w:rPr>
        <w:t xml:space="preserve">of the </w:t>
      </w:r>
      <w:r w:rsidR="007F7855" w:rsidRPr="0086784B">
        <w:t>Immigration and Naturalisation Service</w:t>
      </w:r>
      <w:r w:rsidR="00F94A19" w:rsidRPr="0086784B">
        <w:rPr>
          <w:lang w:val="en-US"/>
        </w:rPr>
        <w:t xml:space="preserve"> of 15 August 2008.</w:t>
      </w:r>
      <w:r w:rsidR="008A6350" w:rsidRPr="0086784B">
        <w:rPr>
          <w:lang w:val="en-US"/>
        </w:rPr>
        <w:t xml:space="preserve"> </w:t>
      </w:r>
    </w:p>
    <w:p w:rsidR="00454F5B" w:rsidRPr="0086784B" w:rsidRDefault="00E1714F" w:rsidP="005A3EE3">
      <w:pPr>
        <w:pStyle w:val="SingleTxtG"/>
        <w:rPr>
          <w:lang w:val="en-US"/>
        </w:rPr>
      </w:pPr>
      <w:r w:rsidRPr="0086784B">
        <w:rPr>
          <w:lang w:val="en-US"/>
        </w:rPr>
        <w:t>2.8</w:t>
      </w:r>
      <w:r w:rsidR="00454F5B" w:rsidRPr="0086784B">
        <w:rPr>
          <w:lang w:val="en-US"/>
        </w:rPr>
        <w:tab/>
      </w:r>
      <w:r w:rsidR="00ED0B9F" w:rsidRPr="0086784B">
        <w:rPr>
          <w:lang w:val="en-US"/>
        </w:rPr>
        <w:t xml:space="preserve">On 5 February 2009, the author appealed against </w:t>
      </w:r>
      <w:r w:rsidR="0038595F" w:rsidRPr="0086784B">
        <w:rPr>
          <w:lang w:val="en-US"/>
        </w:rPr>
        <w:t xml:space="preserve">the </w:t>
      </w:r>
      <w:r w:rsidR="00ED0B9F" w:rsidRPr="0086784B">
        <w:rPr>
          <w:lang w:val="en-US"/>
        </w:rPr>
        <w:t xml:space="preserve">decision to the Administrative </w:t>
      </w:r>
      <w:r w:rsidR="00C302BF" w:rsidRPr="0086784B">
        <w:rPr>
          <w:lang w:val="en-US"/>
        </w:rPr>
        <w:t xml:space="preserve">Jurisdiction </w:t>
      </w:r>
      <w:r w:rsidR="00ED0B9F" w:rsidRPr="0086784B">
        <w:rPr>
          <w:lang w:val="en-US"/>
        </w:rPr>
        <w:t>Division of the Council of State</w:t>
      </w:r>
      <w:r w:rsidR="00330FCC" w:rsidRPr="0086784B">
        <w:rPr>
          <w:lang w:val="en-US"/>
        </w:rPr>
        <w:t xml:space="preserve">. He held </w:t>
      </w:r>
      <w:r w:rsidR="007248A3" w:rsidRPr="0086784B">
        <w:rPr>
          <w:lang w:val="en-US"/>
        </w:rPr>
        <w:t xml:space="preserve">that </w:t>
      </w:r>
      <w:r w:rsidR="00330FCC" w:rsidRPr="0086784B">
        <w:rPr>
          <w:lang w:val="en-US"/>
        </w:rPr>
        <w:t xml:space="preserve">the District Court </w:t>
      </w:r>
      <w:r w:rsidR="0038595F" w:rsidRPr="0086784B">
        <w:rPr>
          <w:lang w:val="en-US"/>
        </w:rPr>
        <w:t xml:space="preserve">had </w:t>
      </w:r>
      <w:r w:rsidR="00330FCC" w:rsidRPr="0086784B">
        <w:rPr>
          <w:lang w:val="en-US"/>
        </w:rPr>
        <w:t xml:space="preserve">failed to sufficiently substantiate its decision and </w:t>
      </w:r>
      <w:r w:rsidR="00082B88" w:rsidRPr="0086784B">
        <w:rPr>
          <w:lang w:val="en-US"/>
        </w:rPr>
        <w:t xml:space="preserve">challenged </w:t>
      </w:r>
      <w:r w:rsidR="00330FCC" w:rsidRPr="0086784B">
        <w:rPr>
          <w:lang w:val="en-US"/>
        </w:rPr>
        <w:t xml:space="preserve">its findings, inter alia, </w:t>
      </w:r>
      <w:r w:rsidR="00082B88" w:rsidRPr="0086784B">
        <w:rPr>
          <w:lang w:val="en-US"/>
        </w:rPr>
        <w:t xml:space="preserve">with regard to </w:t>
      </w:r>
      <w:r w:rsidR="0038595F" w:rsidRPr="0086784B">
        <w:rPr>
          <w:lang w:val="en-US"/>
        </w:rPr>
        <w:t xml:space="preserve">the </w:t>
      </w:r>
      <w:r w:rsidR="00082B88" w:rsidRPr="0086784B">
        <w:rPr>
          <w:lang w:val="en-US"/>
        </w:rPr>
        <w:t xml:space="preserve">reasonableness and objectivity of the MVV requirement and the exception </w:t>
      </w:r>
      <w:r w:rsidR="005A3EE3" w:rsidRPr="0086784B">
        <w:rPr>
          <w:lang w:val="en-US"/>
        </w:rPr>
        <w:t xml:space="preserve">set out </w:t>
      </w:r>
      <w:r w:rsidR="00082B88" w:rsidRPr="0086784B">
        <w:rPr>
          <w:lang w:val="en-US"/>
        </w:rPr>
        <w:t xml:space="preserve">in </w:t>
      </w:r>
      <w:r w:rsidR="00ED394B" w:rsidRPr="0086784B">
        <w:rPr>
          <w:lang w:val="en-US"/>
        </w:rPr>
        <w:t>section</w:t>
      </w:r>
      <w:r w:rsidR="00082B88" w:rsidRPr="0086784B">
        <w:rPr>
          <w:lang w:val="en-US"/>
        </w:rPr>
        <w:t xml:space="preserve"> 17</w:t>
      </w:r>
      <w:r w:rsidR="0038595F" w:rsidRPr="0086784B">
        <w:rPr>
          <w:lang w:val="en-US"/>
        </w:rPr>
        <w:t> (</w:t>
      </w:r>
      <w:r w:rsidR="00082B88" w:rsidRPr="0086784B">
        <w:rPr>
          <w:lang w:val="en-US"/>
        </w:rPr>
        <w:t>1</w:t>
      </w:r>
      <w:r w:rsidR="0038595F" w:rsidRPr="0086784B">
        <w:rPr>
          <w:lang w:val="en-US"/>
        </w:rPr>
        <w:t>) </w:t>
      </w:r>
      <w:r w:rsidR="00ED394B" w:rsidRPr="0086784B">
        <w:rPr>
          <w:lang w:val="en-US"/>
        </w:rPr>
        <w:t>(</w:t>
      </w:r>
      <w:r w:rsidR="00082B88" w:rsidRPr="0086784B">
        <w:rPr>
          <w:lang w:val="en-US"/>
        </w:rPr>
        <w:t>a) of the Act</w:t>
      </w:r>
      <w:r w:rsidR="00454F5B" w:rsidRPr="0086784B">
        <w:rPr>
          <w:lang w:val="en-US"/>
        </w:rPr>
        <w:t xml:space="preserve">. He reiterated that they </w:t>
      </w:r>
      <w:r w:rsidR="0038595F" w:rsidRPr="0086784B">
        <w:rPr>
          <w:lang w:val="en-US"/>
        </w:rPr>
        <w:t xml:space="preserve">had </w:t>
      </w:r>
      <w:r w:rsidR="00454F5B" w:rsidRPr="0086784B">
        <w:rPr>
          <w:lang w:val="en-US"/>
        </w:rPr>
        <w:t>violated</w:t>
      </w:r>
      <w:r w:rsidR="00082B88" w:rsidRPr="0086784B">
        <w:rPr>
          <w:lang w:val="en-US"/>
        </w:rPr>
        <w:t xml:space="preserve"> </w:t>
      </w:r>
      <w:r w:rsidR="0034593D" w:rsidRPr="0086784B">
        <w:rPr>
          <w:lang w:val="en-US"/>
        </w:rPr>
        <w:t>articles </w:t>
      </w:r>
      <w:r w:rsidR="00082B88" w:rsidRPr="0086784B">
        <w:rPr>
          <w:lang w:val="en-US"/>
        </w:rPr>
        <w:t xml:space="preserve">2 and 26 of the Covenant. Furthermore, </w:t>
      </w:r>
      <w:r w:rsidR="00DC5D4E" w:rsidRPr="0086784B">
        <w:rPr>
          <w:lang w:val="en-US"/>
        </w:rPr>
        <w:t xml:space="preserve">he pointed out that </w:t>
      </w:r>
      <w:r w:rsidR="00DC5D4E" w:rsidRPr="0086784B">
        <w:t>the</w:t>
      </w:r>
      <w:r w:rsidR="00DC5D4E" w:rsidRPr="0086784B">
        <w:rPr>
          <w:lang w:val="en-US"/>
        </w:rPr>
        <w:t xml:space="preserve"> exemption to the MVV requirement was discriminatory on </w:t>
      </w:r>
      <w:r w:rsidR="0038595F" w:rsidRPr="0086784B">
        <w:rPr>
          <w:lang w:val="en-US"/>
        </w:rPr>
        <w:t xml:space="preserve">the grounds of </w:t>
      </w:r>
      <w:r w:rsidR="00DC5D4E" w:rsidRPr="0086784B">
        <w:rPr>
          <w:lang w:val="en-US"/>
        </w:rPr>
        <w:t>nationality and financial resource</w:t>
      </w:r>
      <w:r w:rsidR="0038595F" w:rsidRPr="0086784B">
        <w:rPr>
          <w:lang w:val="en-US"/>
        </w:rPr>
        <w:t>s</w:t>
      </w:r>
      <w:r w:rsidR="00DC5D4E" w:rsidRPr="0086784B">
        <w:rPr>
          <w:lang w:val="en-US"/>
        </w:rPr>
        <w:t>, since the Court itself accepted that its purpose was to protect the State party’s economic order.</w:t>
      </w:r>
      <w:r w:rsidR="00330FCC" w:rsidRPr="0086784B">
        <w:rPr>
          <w:lang w:val="en-US"/>
        </w:rPr>
        <w:t xml:space="preserve"> </w:t>
      </w:r>
      <w:r w:rsidR="005A2EE0" w:rsidRPr="0086784B">
        <w:rPr>
          <w:lang w:val="en-US"/>
        </w:rPr>
        <w:t xml:space="preserve">He also maintained that the District Court </w:t>
      </w:r>
      <w:r w:rsidR="0038595F" w:rsidRPr="0086784B">
        <w:rPr>
          <w:lang w:val="en-US"/>
        </w:rPr>
        <w:t xml:space="preserve">had </w:t>
      </w:r>
      <w:r w:rsidR="005A2EE0" w:rsidRPr="0086784B">
        <w:rPr>
          <w:lang w:val="en-US"/>
        </w:rPr>
        <w:t xml:space="preserve">limited its examination of </w:t>
      </w:r>
      <w:r w:rsidR="005A3EE3" w:rsidRPr="0086784B">
        <w:rPr>
          <w:lang w:val="en-US"/>
        </w:rPr>
        <w:t xml:space="preserve">the </w:t>
      </w:r>
      <w:r w:rsidR="005A2EE0" w:rsidRPr="0086784B">
        <w:rPr>
          <w:lang w:val="en-US"/>
        </w:rPr>
        <w:t xml:space="preserve">violation of his right to family and private life by stating </w:t>
      </w:r>
      <w:r w:rsidR="007248A3" w:rsidRPr="0086784B">
        <w:rPr>
          <w:lang w:val="en-US"/>
        </w:rPr>
        <w:t xml:space="preserve">in general </w:t>
      </w:r>
      <w:r w:rsidR="005A2EE0" w:rsidRPr="0086784B">
        <w:rPr>
          <w:lang w:val="en-US"/>
        </w:rPr>
        <w:t xml:space="preserve">that the MVV requirement did not constitute a breach of </w:t>
      </w:r>
      <w:r w:rsidR="005A3EE3" w:rsidRPr="0086784B">
        <w:rPr>
          <w:lang w:val="en-US"/>
        </w:rPr>
        <w:t xml:space="preserve">that </w:t>
      </w:r>
      <w:r w:rsidR="007248A3" w:rsidRPr="0086784B">
        <w:rPr>
          <w:lang w:val="en-US"/>
        </w:rPr>
        <w:t>rig</w:t>
      </w:r>
      <w:r w:rsidR="005A2EE0" w:rsidRPr="0086784B">
        <w:rPr>
          <w:lang w:val="en-US"/>
        </w:rPr>
        <w:t xml:space="preserve">ht, without assessing whether his deportation would constitute </w:t>
      </w:r>
      <w:r w:rsidR="007248A3" w:rsidRPr="0086784B">
        <w:rPr>
          <w:lang w:val="en-US"/>
        </w:rPr>
        <w:t xml:space="preserve">arbitrary interference </w:t>
      </w:r>
      <w:r w:rsidR="005A3EE3" w:rsidRPr="0086784B">
        <w:rPr>
          <w:lang w:val="en-US"/>
        </w:rPr>
        <w:t xml:space="preserve">with </w:t>
      </w:r>
      <w:r w:rsidR="007248A3" w:rsidRPr="0086784B">
        <w:rPr>
          <w:lang w:val="en-US"/>
        </w:rPr>
        <w:t>his private life</w:t>
      </w:r>
      <w:r w:rsidR="005A2EE0" w:rsidRPr="0086784B">
        <w:rPr>
          <w:lang w:val="en-US"/>
        </w:rPr>
        <w:t>.</w:t>
      </w:r>
      <w:r w:rsidR="00454F5B" w:rsidRPr="0086784B">
        <w:rPr>
          <w:lang w:val="en-US"/>
        </w:rPr>
        <w:t xml:space="preserve"> </w:t>
      </w:r>
      <w:r w:rsidR="00ED0B9F" w:rsidRPr="0086784B">
        <w:rPr>
          <w:lang w:val="en-US"/>
        </w:rPr>
        <w:t xml:space="preserve">On 15 June 2009, the </w:t>
      </w:r>
      <w:r w:rsidR="00454F5B" w:rsidRPr="0086784B">
        <w:rPr>
          <w:lang w:val="en-US"/>
        </w:rPr>
        <w:t>Administrative Jurisdiction Division</w:t>
      </w:r>
      <w:r w:rsidR="00ED0B9F" w:rsidRPr="0086784B">
        <w:rPr>
          <w:lang w:val="en-US"/>
        </w:rPr>
        <w:t xml:space="preserve"> dismissed the author’s appeal</w:t>
      </w:r>
      <w:r w:rsidR="00454F5B" w:rsidRPr="0086784B">
        <w:rPr>
          <w:lang w:val="en-US"/>
        </w:rPr>
        <w:t>.</w:t>
      </w:r>
    </w:p>
    <w:p w:rsidR="00ED0B9F" w:rsidRPr="0086784B" w:rsidRDefault="00E1714F" w:rsidP="00034B3A">
      <w:pPr>
        <w:pStyle w:val="SingleTxtG"/>
        <w:rPr>
          <w:lang w:val="en-US"/>
        </w:rPr>
      </w:pPr>
      <w:r w:rsidRPr="0086784B">
        <w:rPr>
          <w:lang w:val="en-US"/>
        </w:rPr>
        <w:t>2.9</w:t>
      </w:r>
      <w:r w:rsidR="00454F5B" w:rsidRPr="0086784B">
        <w:rPr>
          <w:lang w:val="en-US"/>
        </w:rPr>
        <w:tab/>
      </w:r>
      <w:r w:rsidR="00ED0B9F" w:rsidRPr="0086784B">
        <w:rPr>
          <w:lang w:val="en-US"/>
        </w:rPr>
        <w:t>On</w:t>
      </w:r>
      <w:r w:rsidR="00F94A19" w:rsidRPr="0086784B">
        <w:rPr>
          <w:lang w:val="en-US"/>
        </w:rPr>
        <w:t xml:space="preserve"> </w:t>
      </w:r>
      <w:r w:rsidR="00ED0B9F" w:rsidRPr="0086784B">
        <w:rPr>
          <w:lang w:val="en-US"/>
        </w:rPr>
        <w:t>14</w:t>
      </w:r>
      <w:r w:rsidR="00454F5B" w:rsidRPr="0086784B">
        <w:rPr>
          <w:lang w:val="en-US"/>
        </w:rPr>
        <w:t xml:space="preserve"> </w:t>
      </w:r>
      <w:r w:rsidR="00ED0B9F" w:rsidRPr="0086784B">
        <w:rPr>
          <w:lang w:val="en-US"/>
        </w:rPr>
        <w:t>December 2009, the author lodged an application before the European Court of Human Rights. By decision of 1 June 2010</w:t>
      </w:r>
      <w:r w:rsidR="00034B3A" w:rsidRPr="0086784B">
        <w:rPr>
          <w:lang w:val="en-US"/>
        </w:rPr>
        <w:t>,</w:t>
      </w:r>
      <w:r w:rsidR="00ED0B9F" w:rsidRPr="0086784B">
        <w:rPr>
          <w:lang w:val="en-US"/>
        </w:rPr>
        <w:t xml:space="preserve"> his applic</w:t>
      </w:r>
      <w:r w:rsidR="00FB181D" w:rsidRPr="0086784B">
        <w:rPr>
          <w:lang w:val="en-US"/>
        </w:rPr>
        <w:t xml:space="preserve">ation was declared inadmissible by the </w:t>
      </w:r>
      <w:r w:rsidR="0038595F" w:rsidRPr="0086784B">
        <w:rPr>
          <w:lang w:val="en-US"/>
        </w:rPr>
        <w:t>Court</w:t>
      </w:r>
      <w:r w:rsidR="005A3EE3" w:rsidRPr="0086784B">
        <w:rPr>
          <w:lang w:val="en-US"/>
        </w:rPr>
        <w:t>,</w:t>
      </w:r>
      <w:r w:rsidR="00FB181D" w:rsidRPr="0086784B">
        <w:rPr>
          <w:lang w:val="en-US"/>
        </w:rPr>
        <w:t xml:space="preserve"> </w:t>
      </w:r>
      <w:r w:rsidR="0038595F" w:rsidRPr="0086784B">
        <w:rPr>
          <w:lang w:val="en-US"/>
        </w:rPr>
        <w:t xml:space="preserve">since </w:t>
      </w:r>
      <w:r w:rsidR="00ED394B" w:rsidRPr="0086784B">
        <w:rPr>
          <w:lang w:val="en-US"/>
        </w:rPr>
        <w:t>it</w:t>
      </w:r>
      <w:r w:rsidR="00FB181D" w:rsidRPr="0086784B">
        <w:rPr>
          <w:lang w:val="en-US"/>
        </w:rPr>
        <w:t xml:space="preserve"> </w:t>
      </w:r>
      <w:r w:rsidR="0038595F" w:rsidRPr="0086784B">
        <w:rPr>
          <w:lang w:val="en-US"/>
        </w:rPr>
        <w:t xml:space="preserve">had </w:t>
      </w:r>
      <w:r w:rsidR="00FB181D" w:rsidRPr="0086784B">
        <w:rPr>
          <w:lang w:val="en-US"/>
        </w:rPr>
        <w:t xml:space="preserve">not </w:t>
      </w:r>
      <w:r w:rsidR="0038595F" w:rsidRPr="0086784B">
        <w:rPr>
          <w:lang w:val="en-US"/>
        </w:rPr>
        <w:t xml:space="preserve">been </w:t>
      </w:r>
      <w:r w:rsidR="00ED394B" w:rsidRPr="0086784B">
        <w:rPr>
          <w:lang w:val="en-US"/>
        </w:rPr>
        <w:t>submitted</w:t>
      </w:r>
      <w:r w:rsidR="00FB181D" w:rsidRPr="0086784B">
        <w:rPr>
          <w:lang w:val="en-US"/>
        </w:rPr>
        <w:t xml:space="preserve"> to </w:t>
      </w:r>
      <w:r w:rsidR="00DF7E82" w:rsidRPr="0086784B">
        <w:rPr>
          <w:lang w:val="en-US"/>
        </w:rPr>
        <w:t xml:space="preserve">it </w:t>
      </w:r>
      <w:r w:rsidR="00FB181D" w:rsidRPr="0086784B">
        <w:rPr>
          <w:lang w:val="en-US"/>
        </w:rPr>
        <w:t>within the prescribed time</w:t>
      </w:r>
      <w:r w:rsidR="0038595F" w:rsidRPr="0086784B">
        <w:rPr>
          <w:lang w:val="en-US"/>
        </w:rPr>
        <w:t xml:space="preserve"> </w:t>
      </w:r>
      <w:r w:rsidR="00FB181D" w:rsidRPr="0086784B">
        <w:rPr>
          <w:lang w:val="en-US"/>
        </w:rPr>
        <w:t>limit</w:t>
      </w:r>
      <w:r w:rsidRPr="0086784B">
        <w:rPr>
          <w:lang w:val="en-US"/>
        </w:rPr>
        <w:t>.</w:t>
      </w:r>
      <w:r w:rsidR="00FB181D" w:rsidRPr="0086784B">
        <w:rPr>
          <w:lang w:val="en-US"/>
        </w:rPr>
        <w:t xml:space="preserve"> </w:t>
      </w:r>
    </w:p>
    <w:p w:rsidR="003521FD" w:rsidRPr="0086784B" w:rsidRDefault="003521FD" w:rsidP="006358CB">
      <w:pPr>
        <w:pStyle w:val="H23G"/>
        <w:spacing w:line="240" w:lineRule="auto"/>
      </w:pPr>
      <w:r w:rsidRPr="0086784B">
        <w:tab/>
      </w:r>
      <w:r w:rsidRPr="0086784B">
        <w:tab/>
        <w:t>The complaint</w:t>
      </w:r>
    </w:p>
    <w:p w:rsidR="00B52262" w:rsidRPr="0086784B" w:rsidRDefault="003521FD" w:rsidP="00E1714F">
      <w:pPr>
        <w:pStyle w:val="SingleTxtG"/>
      </w:pPr>
      <w:r w:rsidRPr="0086784B">
        <w:t>3.1</w:t>
      </w:r>
      <w:r w:rsidRPr="0086784B">
        <w:tab/>
        <w:t xml:space="preserve">The author claims that </w:t>
      </w:r>
      <w:r w:rsidR="00B52262" w:rsidRPr="0086784B">
        <w:t>he has developed</w:t>
      </w:r>
      <w:r w:rsidR="00ED394B" w:rsidRPr="0086784B">
        <w:t xml:space="preserve"> personal and</w:t>
      </w:r>
      <w:r w:rsidR="00B52262" w:rsidRPr="0086784B">
        <w:t xml:space="preserve"> social ties in the State party and that his return to his country of origin by the State party would constitute a violation of his rights under </w:t>
      </w:r>
      <w:r w:rsidR="0034593D" w:rsidRPr="0086784B">
        <w:t>article </w:t>
      </w:r>
      <w:r w:rsidR="00B52262" w:rsidRPr="0086784B">
        <w:t>17 of the Covenant</w:t>
      </w:r>
      <w:r w:rsidR="00E1714F" w:rsidRPr="0086784B">
        <w:t>.</w:t>
      </w:r>
      <w:r w:rsidR="00B52262" w:rsidRPr="0086784B">
        <w:t xml:space="preserve"> </w:t>
      </w:r>
    </w:p>
    <w:p w:rsidR="003521FD" w:rsidRPr="0086784B" w:rsidRDefault="00E1714F" w:rsidP="00CB1810">
      <w:pPr>
        <w:pStyle w:val="SingleTxtG"/>
      </w:pPr>
      <w:r w:rsidRPr="0086784B">
        <w:t>3.2</w:t>
      </w:r>
      <w:r w:rsidR="00B52262" w:rsidRPr="0086784B">
        <w:tab/>
        <w:t>H</w:t>
      </w:r>
      <w:r w:rsidR="00F41C28" w:rsidRPr="0086784B">
        <w:t xml:space="preserve">e </w:t>
      </w:r>
      <w:r w:rsidR="00B52262" w:rsidRPr="0086784B">
        <w:t xml:space="preserve">claims that he lived in the State party </w:t>
      </w:r>
      <w:r w:rsidR="00034B3A" w:rsidRPr="0086784B">
        <w:t xml:space="preserve">for six years </w:t>
      </w:r>
      <w:r w:rsidR="00B52262" w:rsidRPr="0086784B">
        <w:t>awaiting a final decision concerning his asylum request, and that the length of the proce</w:t>
      </w:r>
      <w:r w:rsidR="00ED394B" w:rsidRPr="0086784B">
        <w:t>dure</w:t>
      </w:r>
      <w:r w:rsidR="00B52262" w:rsidRPr="0086784B">
        <w:t xml:space="preserve"> is attribut</w:t>
      </w:r>
      <w:r w:rsidR="00A97CD4" w:rsidRPr="0086784B">
        <w:t>able</w:t>
      </w:r>
      <w:r w:rsidR="00B52262" w:rsidRPr="0086784B">
        <w:t xml:space="preserve"> to the State party. During </w:t>
      </w:r>
      <w:r w:rsidR="00A97CD4" w:rsidRPr="0086784B">
        <w:t xml:space="preserve">that </w:t>
      </w:r>
      <w:r w:rsidR="00B52262" w:rsidRPr="0086784B">
        <w:t>period</w:t>
      </w:r>
      <w:r w:rsidR="00ED394B" w:rsidRPr="0086784B">
        <w:t>,</w:t>
      </w:r>
      <w:r w:rsidR="00B52262" w:rsidRPr="0086784B">
        <w:t xml:space="preserve"> he developed personal and social ties. Notably</w:t>
      </w:r>
      <w:r w:rsidR="00A97CD4" w:rsidRPr="0086784B">
        <w:t>,</w:t>
      </w:r>
      <w:r w:rsidR="00B52262" w:rsidRPr="0086784B">
        <w:t xml:space="preserve"> he </w:t>
      </w:r>
      <w:r w:rsidR="00ED394B" w:rsidRPr="0086784B">
        <w:t xml:space="preserve">studied </w:t>
      </w:r>
      <w:r w:rsidR="00A97CD4" w:rsidRPr="0086784B">
        <w:t>at</w:t>
      </w:r>
      <w:r w:rsidR="00B52262" w:rsidRPr="0086784B">
        <w:t xml:space="preserve"> Drenthe College</w:t>
      </w:r>
      <w:r w:rsidR="00ED394B" w:rsidRPr="0086784B">
        <w:t xml:space="preserve"> until 2005</w:t>
      </w:r>
      <w:r w:rsidR="00B52262" w:rsidRPr="0086784B">
        <w:t>, beca</w:t>
      </w:r>
      <w:r w:rsidR="007248A3" w:rsidRPr="0086784B">
        <w:t xml:space="preserve">me </w:t>
      </w:r>
      <w:r w:rsidR="00B21E99" w:rsidRPr="0086784B">
        <w:t xml:space="preserve">a </w:t>
      </w:r>
      <w:r w:rsidR="007248A3" w:rsidRPr="0086784B">
        <w:t>member of a football club,</w:t>
      </w:r>
      <w:r w:rsidR="00B52262" w:rsidRPr="0086784B">
        <w:t xml:space="preserve"> joined the Jehovah</w:t>
      </w:r>
      <w:r w:rsidR="00ED394B" w:rsidRPr="0086784B">
        <w:t>’s</w:t>
      </w:r>
      <w:r w:rsidR="00B52262" w:rsidRPr="0086784B">
        <w:t xml:space="preserve"> </w:t>
      </w:r>
      <w:r w:rsidR="00B52262" w:rsidRPr="0086784B">
        <w:lastRenderedPageBreak/>
        <w:t xml:space="preserve">Witnesses </w:t>
      </w:r>
      <w:r w:rsidR="00ED394B" w:rsidRPr="0086784B">
        <w:t>c</w:t>
      </w:r>
      <w:r w:rsidR="00B52262" w:rsidRPr="0086784B">
        <w:t>hurch</w:t>
      </w:r>
      <w:r w:rsidR="007248A3" w:rsidRPr="0086784B">
        <w:t>, and formed a group of friends</w:t>
      </w:r>
      <w:r w:rsidR="00B52262" w:rsidRPr="0086784B">
        <w:t xml:space="preserve">. </w:t>
      </w:r>
      <w:r w:rsidR="00A97CD4" w:rsidRPr="0086784B">
        <w:t xml:space="preserve">In </w:t>
      </w:r>
      <w:r w:rsidR="00CB1810" w:rsidRPr="0086784B">
        <w:t>view</w:t>
      </w:r>
      <w:r w:rsidR="00A97CD4" w:rsidRPr="0086784B">
        <w:t xml:space="preserve"> of the above</w:t>
      </w:r>
      <w:r w:rsidR="00B52262" w:rsidRPr="0086784B">
        <w:t xml:space="preserve">, he claimed that he should be entitled to </w:t>
      </w:r>
      <w:r w:rsidR="00ED5EAA" w:rsidRPr="0086784B">
        <w:t>a residence permit and that his removal from the State party would constitute arbitrary interference with his right</w:t>
      </w:r>
      <w:r w:rsidR="00A12AE1" w:rsidRPr="0086784B">
        <w:t>s</w:t>
      </w:r>
      <w:r w:rsidR="007C5CE6" w:rsidRPr="0086784B">
        <w:t xml:space="preserve"> </w:t>
      </w:r>
      <w:r w:rsidR="00CB1810" w:rsidRPr="0086784B">
        <w:t xml:space="preserve">as </w:t>
      </w:r>
      <w:r w:rsidR="00F94A19" w:rsidRPr="0086784B">
        <w:t xml:space="preserve">enshrined in </w:t>
      </w:r>
      <w:r w:rsidR="0034593D" w:rsidRPr="0086784B">
        <w:t>article </w:t>
      </w:r>
      <w:r w:rsidR="00F94A19" w:rsidRPr="0086784B">
        <w:t>17 of the Covenant</w:t>
      </w:r>
      <w:r w:rsidR="007C5CE6" w:rsidRPr="0086784B">
        <w:t>.</w:t>
      </w:r>
      <w:r w:rsidR="00ED5EAA" w:rsidRPr="0086784B">
        <w:t xml:space="preserve"> </w:t>
      </w:r>
    </w:p>
    <w:p w:rsidR="003521FD" w:rsidRPr="0086784B" w:rsidRDefault="003521FD" w:rsidP="006358CB">
      <w:pPr>
        <w:pStyle w:val="H23G"/>
        <w:spacing w:line="240" w:lineRule="auto"/>
      </w:pPr>
      <w:r w:rsidRPr="0086784B">
        <w:tab/>
      </w:r>
      <w:r w:rsidRPr="0086784B">
        <w:tab/>
        <w:t>State party’s observations on admissibility and merits</w:t>
      </w:r>
    </w:p>
    <w:p w:rsidR="00CB6FDB" w:rsidRPr="0086784B" w:rsidRDefault="003521FD" w:rsidP="00E1714F">
      <w:pPr>
        <w:pStyle w:val="SingleTxtG"/>
      </w:pPr>
      <w:r w:rsidRPr="0086784B">
        <w:t>4.1</w:t>
      </w:r>
      <w:r w:rsidRPr="0086784B">
        <w:tab/>
        <w:t xml:space="preserve">By a </w:t>
      </w:r>
      <w:r w:rsidR="00CB6FDB" w:rsidRPr="0086784B">
        <w:t>n</w:t>
      </w:r>
      <w:r w:rsidRPr="0086784B">
        <w:t xml:space="preserve">ote </w:t>
      </w:r>
      <w:r w:rsidR="00CB6FDB" w:rsidRPr="0086784B">
        <w:t>v</w:t>
      </w:r>
      <w:r w:rsidRPr="0086784B">
        <w:t xml:space="preserve">erbale of </w:t>
      </w:r>
      <w:r w:rsidR="00CB6FDB" w:rsidRPr="0086784B">
        <w:t>28 November 2011</w:t>
      </w:r>
      <w:r w:rsidRPr="0086784B">
        <w:t xml:space="preserve">, the State party submitted its observations on admissibility and merits. </w:t>
      </w:r>
    </w:p>
    <w:p w:rsidR="00CB6FDB" w:rsidRPr="0086784B" w:rsidRDefault="00CB6FDB" w:rsidP="00CB1810">
      <w:pPr>
        <w:pStyle w:val="SingleTxtG"/>
      </w:pPr>
      <w:r w:rsidRPr="0086784B">
        <w:t>4.2</w:t>
      </w:r>
      <w:r w:rsidRPr="0086784B">
        <w:tab/>
        <w:t xml:space="preserve">The State party informs the Committee that the admission, residence and expulsion of aliens are regulated by the Aliens Act 2000, the Aliens Decree 2000, the Regulation on Aliens 2000 and the Aliens Act 2000 Implementation Guidelines. The State party carries out a restrictive admission policy and aliens are eligible for admission </w:t>
      </w:r>
      <w:r w:rsidR="00A97CD4" w:rsidRPr="0086784B">
        <w:t xml:space="preserve">only </w:t>
      </w:r>
      <w:r w:rsidRPr="0086784B">
        <w:t xml:space="preserve">on the basis of the criteria established by </w:t>
      </w:r>
      <w:r w:rsidR="00BC4196" w:rsidRPr="0086784B">
        <w:t>section</w:t>
      </w:r>
      <w:r w:rsidRPr="0086784B">
        <w:t xml:space="preserve"> 13 of the Act</w:t>
      </w:r>
      <w:r w:rsidR="00A97CD4" w:rsidRPr="0086784B">
        <w:t>;</w:t>
      </w:r>
      <w:r w:rsidRPr="0086784B">
        <w:t xml:space="preserve"> </w:t>
      </w:r>
      <w:r w:rsidR="00A97CD4" w:rsidRPr="0086784B">
        <w:t>o</w:t>
      </w:r>
      <w:r w:rsidRPr="0086784B">
        <w:t>n the basis of obligations under international law</w:t>
      </w:r>
      <w:r w:rsidR="00BC4196" w:rsidRPr="0086784B">
        <w:t>;</w:t>
      </w:r>
      <w:r w:rsidRPr="0086784B">
        <w:t xml:space="preserve"> if the alien’s presence </w:t>
      </w:r>
      <w:r w:rsidR="00CB1810" w:rsidRPr="0086784B">
        <w:t>is of</w:t>
      </w:r>
      <w:r w:rsidRPr="0086784B">
        <w:t xml:space="preserve"> essential interest</w:t>
      </w:r>
      <w:r w:rsidR="00CB1810" w:rsidRPr="0086784B">
        <w:t xml:space="preserve"> for the Netherlands</w:t>
      </w:r>
      <w:r w:rsidR="00BC4196" w:rsidRPr="0086784B">
        <w:t>;</w:t>
      </w:r>
      <w:r w:rsidRPr="0086784B">
        <w:t xml:space="preserve"> or for compelling reasons of </w:t>
      </w:r>
      <w:r w:rsidR="00A97CD4" w:rsidRPr="0086784B">
        <w:t xml:space="preserve">a </w:t>
      </w:r>
      <w:r w:rsidRPr="0086784B">
        <w:t xml:space="preserve">humanitarian nature. No admission can be derived from illegal residence in the State party’s territory, that is, residence without a residence permit. </w:t>
      </w:r>
    </w:p>
    <w:p w:rsidR="00CB6FDB" w:rsidRPr="0086784B" w:rsidRDefault="00E1714F" w:rsidP="00694A17">
      <w:pPr>
        <w:pStyle w:val="SingleTxtG"/>
      </w:pPr>
      <w:r w:rsidRPr="0086784B">
        <w:t>4.3</w:t>
      </w:r>
      <w:r w:rsidR="00CB6FDB" w:rsidRPr="0086784B">
        <w:tab/>
      </w:r>
      <w:r w:rsidR="004514F6" w:rsidRPr="0086784B">
        <w:t xml:space="preserve">A </w:t>
      </w:r>
      <w:r w:rsidR="00CB6FDB" w:rsidRPr="0086784B">
        <w:t xml:space="preserve">request for </w:t>
      </w:r>
      <w:r w:rsidR="00A97CD4" w:rsidRPr="0086784B">
        <w:t xml:space="preserve">a </w:t>
      </w:r>
      <w:r w:rsidR="00CB6FDB" w:rsidRPr="0086784B">
        <w:t xml:space="preserve">residence permit </w:t>
      </w:r>
      <w:r w:rsidR="00B21E99" w:rsidRPr="0086784B">
        <w:t xml:space="preserve">will </w:t>
      </w:r>
      <w:r w:rsidR="004514F6" w:rsidRPr="0086784B">
        <w:t>be</w:t>
      </w:r>
      <w:r w:rsidR="00CB6FDB" w:rsidRPr="0086784B">
        <w:t xml:space="preserve"> rejected</w:t>
      </w:r>
      <w:r w:rsidR="004514F6" w:rsidRPr="0086784B">
        <w:t xml:space="preserve"> in accordance with </w:t>
      </w:r>
      <w:r w:rsidR="00CB6FDB" w:rsidRPr="0086784B">
        <w:t>section 16</w:t>
      </w:r>
      <w:r w:rsidR="00FC374E" w:rsidRPr="0086784B">
        <w:t> </w:t>
      </w:r>
      <w:r w:rsidR="00CB6FDB" w:rsidRPr="0086784B">
        <w:t>1</w:t>
      </w:r>
      <w:r w:rsidR="00FC374E" w:rsidRPr="0086784B">
        <w:t> </w:t>
      </w:r>
      <w:r w:rsidR="00CB6FDB" w:rsidRPr="0086784B">
        <w:t>(a) of the Act</w:t>
      </w:r>
      <w:r w:rsidR="004514F6" w:rsidRPr="0086784B">
        <w:t xml:space="preserve"> and </w:t>
      </w:r>
      <w:r w:rsidR="0034593D" w:rsidRPr="0086784B">
        <w:t>article </w:t>
      </w:r>
      <w:r w:rsidR="004514F6" w:rsidRPr="0086784B">
        <w:t>3.71 of the Aliens Decree, if the alien does</w:t>
      </w:r>
      <w:r w:rsidR="00CB6FDB" w:rsidRPr="0086784B">
        <w:t xml:space="preserve"> not possess a valid </w:t>
      </w:r>
      <w:r w:rsidR="00A97CD4" w:rsidRPr="0086784B">
        <w:t>provisional residence permit</w:t>
      </w:r>
      <w:r w:rsidR="00CB6FDB" w:rsidRPr="0086784B">
        <w:t xml:space="preserve"> (MVV</w:t>
      </w:r>
      <w:r w:rsidR="006F673D" w:rsidRPr="0086784B">
        <w:t xml:space="preserve">) </w:t>
      </w:r>
      <w:r w:rsidR="00A97CD4" w:rsidRPr="0086784B">
        <w:t>for</w:t>
      </w:r>
      <w:r w:rsidR="004514F6" w:rsidRPr="0086784B">
        <w:t xml:space="preserve"> the </w:t>
      </w:r>
      <w:r w:rsidR="00A97CD4" w:rsidRPr="0086784B">
        <w:t xml:space="preserve">same </w:t>
      </w:r>
      <w:r w:rsidR="004514F6" w:rsidRPr="0086784B">
        <w:t xml:space="preserve">purpose </w:t>
      </w:r>
      <w:r w:rsidR="00A97CD4" w:rsidRPr="0086784B">
        <w:t xml:space="preserve">as that </w:t>
      </w:r>
      <w:r w:rsidR="004514F6" w:rsidRPr="0086784B">
        <w:t xml:space="preserve">for which the residence permit was </w:t>
      </w:r>
      <w:r w:rsidR="00A97CD4" w:rsidRPr="0086784B">
        <w:t>requested</w:t>
      </w:r>
      <w:r w:rsidR="00CB6FDB" w:rsidRPr="0086784B">
        <w:t>.</w:t>
      </w:r>
      <w:r w:rsidR="004514F6" w:rsidRPr="0086784B">
        <w:t xml:space="preserve"> Under the system established by the Act and the Aliens Decree, the MVV requirement applies only to an application for an initial residence permit. An application that must reasonably be seen as an application for continued residence </w:t>
      </w:r>
      <w:r w:rsidR="00B21E99" w:rsidRPr="0086784B">
        <w:t xml:space="preserve">will </w:t>
      </w:r>
      <w:r w:rsidR="004514F6" w:rsidRPr="0086784B">
        <w:t xml:space="preserve">not </w:t>
      </w:r>
      <w:r w:rsidR="00B21E99" w:rsidRPr="0086784B">
        <w:t xml:space="preserve">be </w:t>
      </w:r>
      <w:r w:rsidR="004514F6" w:rsidRPr="0086784B">
        <w:t xml:space="preserve">rejected because the applicant does not possess a valid MVV. </w:t>
      </w:r>
      <w:r w:rsidR="0034593D" w:rsidRPr="0086784B">
        <w:t>Article </w:t>
      </w:r>
      <w:r w:rsidR="004514F6" w:rsidRPr="0086784B">
        <w:t>3.71</w:t>
      </w:r>
      <w:r w:rsidR="0034593D" w:rsidRPr="0086784B">
        <w:t> </w:t>
      </w:r>
      <w:r w:rsidR="00BB71EB" w:rsidRPr="0086784B">
        <w:t>(</w:t>
      </w:r>
      <w:r w:rsidR="004514F6" w:rsidRPr="0086784B">
        <w:t>2</w:t>
      </w:r>
      <w:r w:rsidR="00BB71EB" w:rsidRPr="0086784B">
        <w:t>)</w:t>
      </w:r>
      <w:r w:rsidR="004514F6" w:rsidRPr="0086784B">
        <w:t>, opening words and (l)</w:t>
      </w:r>
      <w:r w:rsidR="00B21E99" w:rsidRPr="0086784B">
        <w:t>,</w:t>
      </w:r>
      <w:r w:rsidR="004514F6" w:rsidRPr="0086784B">
        <w:t xml:space="preserve"> of the Aliens Decree exempts from this requirement aliens whose expulsion would conflict with </w:t>
      </w:r>
      <w:r w:rsidR="0034593D" w:rsidRPr="0086784B">
        <w:t>article </w:t>
      </w:r>
      <w:r w:rsidR="004514F6" w:rsidRPr="0086784B">
        <w:t xml:space="preserve">8 of the </w:t>
      </w:r>
      <w:r w:rsidR="00787972" w:rsidRPr="0086784B">
        <w:t>European Convention on Human Rights</w:t>
      </w:r>
      <w:r w:rsidR="004514F6" w:rsidRPr="0086784B">
        <w:t xml:space="preserve">. When </w:t>
      </w:r>
      <w:r w:rsidR="001C168B" w:rsidRPr="0086784B">
        <w:t xml:space="preserve">assessing </w:t>
      </w:r>
      <w:r w:rsidR="00787972" w:rsidRPr="0086784B">
        <w:t>a request</w:t>
      </w:r>
      <w:r w:rsidR="004514F6" w:rsidRPr="0086784B">
        <w:t xml:space="preserve">, the authorities take into account the nature and strength of the social ties made in the State party, the length of the alien’s stay and the level of uncertainty </w:t>
      </w:r>
      <w:r w:rsidR="00B21E99" w:rsidRPr="0086784B">
        <w:t xml:space="preserve">as to </w:t>
      </w:r>
      <w:r w:rsidR="004514F6" w:rsidRPr="0086784B">
        <w:t xml:space="preserve">his </w:t>
      </w:r>
      <w:r w:rsidR="00BB71EB" w:rsidRPr="0086784B">
        <w:t xml:space="preserve">or her </w:t>
      </w:r>
      <w:r w:rsidR="004514F6" w:rsidRPr="0086784B">
        <w:t xml:space="preserve">residence status. </w:t>
      </w:r>
      <w:r w:rsidR="001C168B" w:rsidRPr="0086784B">
        <w:t xml:space="preserve">In addition, </w:t>
      </w:r>
      <w:r w:rsidR="0034593D" w:rsidRPr="0086784B">
        <w:t>article </w:t>
      </w:r>
      <w:r w:rsidR="001C168B" w:rsidRPr="0086784B">
        <w:t>3.71</w:t>
      </w:r>
      <w:r w:rsidR="0034593D" w:rsidRPr="0086784B">
        <w:t> </w:t>
      </w:r>
      <w:r w:rsidR="00787972" w:rsidRPr="0086784B">
        <w:t>(</w:t>
      </w:r>
      <w:r w:rsidR="001C168B" w:rsidRPr="0086784B">
        <w:t>4</w:t>
      </w:r>
      <w:r w:rsidR="00787972" w:rsidRPr="0086784B">
        <w:t>)</w:t>
      </w:r>
      <w:r w:rsidR="001C168B" w:rsidRPr="0086784B">
        <w:t xml:space="preserve"> of the Aliens Decree contains a so-called </w:t>
      </w:r>
      <w:r w:rsidR="00787972" w:rsidRPr="0086784B">
        <w:t>“</w:t>
      </w:r>
      <w:r w:rsidR="001C168B" w:rsidRPr="0086784B">
        <w:t>hardship clause</w:t>
      </w:r>
      <w:r w:rsidR="00787972" w:rsidRPr="0086784B">
        <w:t>”</w:t>
      </w:r>
      <w:r w:rsidR="001C168B" w:rsidRPr="0086784B">
        <w:t xml:space="preserve"> that allows </w:t>
      </w:r>
      <w:r w:rsidR="00787972" w:rsidRPr="0086784B">
        <w:t xml:space="preserve">for </w:t>
      </w:r>
      <w:r w:rsidR="001C168B" w:rsidRPr="0086784B">
        <w:t xml:space="preserve">exemptions from the MVV requirement if </w:t>
      </w:r>
      <w:r w:rsidR="00DF7E82" w:rsidRPr="0086784B">
        <w:t>its</w:t>
      </w:r>
      <w:r w:rsidR="001C168B" w:rsidRPr="0086784B">
        <w:t xml:space="preserve"> application </w:t>
      </w:r>
      <w:r w:rsidR="00BC4196" w:rsidRPr="0086784B">
        <w:t xml:space="preserve">in a particular case </w:t>
      </w:r>
      <w:r w:rsidR="001C168B" w:rsidRPr="0086784B">
        <w:t xml:space="preserve">may result in an exceptional case of unfairness. </w:t>
      </w:r>
    </w:p>
    <w:p w:rsidR="00985016" w:rsidRPr="0086784B" w:rsidRDefault="00E1714F" w:rsidP="00BB71EB">
      <w:pPr>
        <w:pStyle w:val="SingleTxtG"/>
      </w:pPr>
      <w:r w:rsidRPr="0086784B">
        <w:t>4.4</w:t>
      </w:r>
      <w:r w:rsidR="00985016" w:rsidRPr="0086784B">
        <w:tab/>
        <w:t xml:space="preserve">As to the facts of the communication, the State party notes that the author’s age </w:t>
      </w:r>
      <w:r w:rsidR="00787972" w:rsidRPr="0086784B">
        <w:t xml:space="preserve">as </w:t>
      </w:r>
      <w:r w:rsidR="00985016" w:rsidRPr="0086784B">
        <w:t xml:space="preserve">indicated in his communication is not correct; that an age analysis, carried out </w:t>
      </w:r>
      <w:r w:rsidR="00BB71EB" w:rsidRPr="0086784B">
        <w:t>in the course</w:t>
      </w:r>
      <w:r w:rsidR="00787972" w:rsidRPr="0086784B">
        <w:t xml:space="preserve"> of </w:t>
      </w:r>
      <w:r w:rsidR="00985016" w:rsidRPr="0086784B">
        <w:t xml:space="preserve">the asylum proceedings, revealed that he was born </w:t>
      </w:r>
      <w:r w:rsidR="00787972" w:rsidRPr="0086784B">
        <w:t>prior to the date stated</w:t>
      </w:r>
      <w:r w:rsidR="00985016" w:rsidRPr="0086784B">
        <w:t>; and that he was assigned 1</w:t>
      </w:r>
      <w:r w:rsidR="00BC4196" w:rsidRPr="0086784B">
        <w:t xml:space="preserve"> </w:t>
      </w:r>
      <w:r w:rsidR="00985016" w:rsidRPr="0086784B">
        <w:t>January 1981</w:t>
      </w:r>
      <w:r w:rsidR="00787972" w:rsidRPr="0086784B">
        <w:t xml:space="preserve"> as his date of birth</w:t>
      </w:r>
      <w:r w:rsidR="002B2E9E" w:rsidRPr="0086784B">
        <w:t>. On 4 January 2006</w:t>
      </w:r>
      <w:r w:rsidR="00BB71EB" w:rsidRPr="0086784B">
        <w:t>,</w:t>
      </w:r>
      <w:r w:rsidR="002B2E9E" w:rsidRPr="0086784B">
        <w:t xml:space="preserve"> the author acknowledged the outcome of </w:t>
      </w:r>
      <w:r w:rsidR="00BB71EB" w:rsidRPr="0086784B">
        <w:t xml:space="preserve">the </w:t>
      </w:r>
      <w:r w:rsidR="002B2E9E" w:rsidRPr="0086784B">
        <w:t xml:space="preserve">age analysis. In the District Court’s judgment of 19 July 2007, the </w:t>
      </w:r>
      <w:r w:rsidR="00787972" w:rsidRPr="0086784B">
        <w:t>C</w:t>
      </w:r>
      <w:r w:rsidR="002B2E9E" w:rsidRPr="0086784B">
        <w:t xml:space="preserve">ourt established that the author’s age was no longer in dispute and that he was </w:t>
      </w:r>
      <w:r w:rsidR="00C946AE" w:rsidRPr="0086784B">
        <w:t>over</w:t>
      </w:r>
      <w:r w:rsidR="002B2E9E" w:rsidRPr="0086784B">
        <w:t xml:space="preserve"> 20 years </w:t>
      </w:r>
      <w:r w:rsidR="00C946AE" w:rsidRPr="0086784B">
        <w:t xml:space="preserve">of age </w:t>
      </w:r>
      <w:r w:rsidR="002B2E9E" w:rsidRPr="0086784B">
        <w:t xml:space="preserve">when he submitted his asylum application. </w:t>
      </w:r>
    </w:p>
    <w:p w:rsidR="002B2E9E" w:rsidRPr="0086784B" w:rsidRDefault="00E1714F" w:rsidP="00694A17">
      <w:pPr>
        <w:pStyle w:val="SingleTxtG"/>
      </w:pPr>
      <w:r w:rsidRPr="0086784B">
        <w:t>4.5</w:t>
      </w:r>
      <w:r w:rsidR="002B2E9E" w:rsidRPr="0086784B">
        <w:tab/>
      </w:r>
      <w:r w:rsidR="007B7EBF" w:rsidRPr="0086784B">
        <w:t xml:space="preserve">With regard </w:t>
      </w:r>
      <w:r w:rsidR="002B2E9E" w:rsidRPr="0086784B">
        <w:t>to the length of the asylum procedure, the State party maintained that</w:t>
      </w:r>
      <w:r w:rsidR="00694A17" w:rsidRPr="0086784B">
        <w:t>,</w:t>
      </w:r>
      <w:r w:rsidR="002B2E9E" w:rsidRPr="0086784B">
        <w:t xml:space="preserve"> although it</w:t>
      </w:r>
      <w:r w:rsidR="007248A3" w:rsidRPr="0086784B">
        <w:t xml:space="preserve"> was not expeditious</w:t>
      </w:r>
      <w:r w:rsidR="002B2E9E" w:rsidRPr="0086784B">
        <w:t xml:space="preserve">, the author’s request for asylum </w:t>
      </w:r>
      <w:r w:rsidR="007B7EBF" w:rsidRPr="0086784B">
        <w:t xml:space="preserve">had been </w:t>
      </w:r>
      <w:r w:rsidR="002B2E9E" w:rsidRPr="0086784B">
        <w:t xml:space="preserve">examined in depth and that effective legal protection </w:t>
      </w:r>
      <w:r w:rsidR="007B7EBF" w:rsidRPr="0086784B">
        <w:t xml:space="preserve">had been </w:t>
      </w:r>
      <w:r w:rsidR="002B2E9E" w:rsidRPr="0086784B">
        <w:t xml:space="preserve">provided. </w:t>
      </w:r>
      <w:r w:rsidR="00E65BE9" w:rsidRPr="0086784B">
        <w:t>D</w:t>
      </w:r>
      <w:r w:rsidR="0019222B" w:rsidRPr="0086784B">
        <w:t xml:space="preserve">uring the </w:t>
      </w:r>
      <w:r w:rsidR="00E65BE9" w:rsidRPr="0086784B">
        <w:t>p</w:t>
      </w:r>
      <w:r w:rsidR="0019222B" w:rsidRPr="0086784B">
        <w:t>rocedure</w:t>
      </w:r>
      <w:r w:rsidR="00E65BE9" w:rsidRPr="0086784B">
        <w:t>,</w:t>
      </w:r>
      <w:r w:rsidR="0019222B" w:rsidRPr="0086784B">
        <w:t xml:space="preserve"> it was established that </w:t>
      </w:r>
      <w:r w:rsidR="00E65BE9" w:rsidRPr="0086784B">
        <w:t xml:space="preserve">the </w:t>
      </w:r>
      <w:r w:rsidR="00C13C92" w:rsidRPr="0086784B">
        <w:t>author’s</w:t>
      </w:r>
      <w:r w:rsidR="0019222B" w:rsidRPr="0086784B">
        <w:t xml:space="preserve"> account and reasons for seeking asylum were implausible. He </w:t>
      </w:r>
      <w:r w:rsidR="00787972" w:rsidRPr="0086784B">
        <w:t xml:space="preserve">had </w:t>
      </w:r>
      <w:r w:rsidR="0019222B" w:rsidRPr="0086784B">
        <w:t xml:space="preserve">failed to submit any documents, </w:t>
      </w:r>
      <w:r w:rsidR="00787972" w:rsidRPr="0086784B">
        <w:t xml:space="preserve">given </w:t>
      </w:r>
      <w:r w:rsidR="0019222B" w:rsidRPr="0086784B">
        <w:t>an incorrect date of birth</w:t>
      </w:r>
      <w:r w:rsidR="007248A3" w:rsidRPr="0086784B">
        <w:t>,</w:t>
      </w:r>
      <w:r w:rsidR="0019222B" w:rsidRPr="0086784B">
        <w:t xml:space="preserve"> and provided very vague and general statements about his reasons for fleeing Angola. </w:t>
      </w:r>
    </w:p>
    <w:p w:rsidR="00625A04" w:rsidRPr="0086784B" w:rsidRDefault="00E1714F" w:rsidP="00BB71EB">
      <w:pPr>
        <w:pStyle w:val="SingleTxtG"/>
      </w:pPr>
      <w:r w:rsidRPr="0086784B">
        <w:t>4.6</w:t>
      </w:r>
      <w:r w:rsidR="002B2E9E" w:rsidRPr="0086784B">
        <w:tab/>
      </w:r>
      <w:r w:rsidR="00A53310" w:rsidRPr="0086784B">
        <w:t>The State party maintains that t</w:t>
      </w:r>
      <w:r w:rsidR="002B2E9E" w:rsidRPr="0086784B">
        <w:t xml:space="preserve">he ties that an alien builds up in the State party do not necessarily mean </w:t>
      </w:r>
      <w:r w:rsidR="00AB1626" w:rsidRPr="0086784B">
        <w:t xml:space="preserve">that </w:t>
      </w:r>
      <w:r w:rsidR="002B2E9E" w:rsidRPr="0086784B">
        <w:t xml:space="preserve">he will ultimately be entitled to residence or that his right to a private life would be violated if </w:t>
      </w:r>
      <w:r w:rsidR="00AB1626" w:rsidRPr="0086784B">
        <w:t xml:space="preserve">he were </w:t>
      </w:r>
      <w:r w:rsidR="002B2E9E" w:rsidRPr="0086784B">
        <w:t>deported. In th</w:t>
      </w:r>
      <w:r w:rsidR="00A53310" w:rsidRPr="0086784B">
        <w:t>e author’s case,</w:t>
      </w:r>
      <w:r w:rsidR="002B2E9E" w:rsidRPr="0086784B">
        <w:t xml:space="preserve"> </w:t>
      </w:r>
      <w:r w:rsidR="00A53310" w:rsidRPr="0086784B">
        <w:t>he</w:t>
      </w:r>
      <w:r w:rsidR="002B2E9E" w:rsidRPr="0086784B">
        <w:t xml:space="preserve"> had been living </w:t>
      </w:r>
      <w:r w:rsidR="00C946AE" w:rsidRPr="0086784B">
        <w:t xml:space="preserve">for </w:t>
      </w:r>
      <w:r w:rsidR="00E575CB" w:rsidRPr="0086784B">
        <w:t>more than six</w:t>
      </w:r>
      <w:r w:rsidR="002B2E9E" w:rsidRPr="0086784B">
        <w:t xml:space="preserve"> years in</w:t>
      </w:r>
      <w:r w:rsidR="007C5CE6" w:rsidRPr="0086784B">
        <w:t xml:space="preserve"> </w:t>
      </w:r>
      <w:r w:rsidR="00F94A19" w:rsidRPr="0086784B">
        <w:t xml:space="preserve">the Netherlands </w:t>
      </w:r>
      <w:r w:rsidR="002B2E9E" w:rsidRPr="0086784B">
        <w:t xml:space="preserve">when he submitted his request for </w:t>
      </w:r>
      <w:r w:rsidR="00C946AE" w:rsidRPr="0086784B">
        <w:t xml:space="preserve">a </w:t>
      </w:r>
      <w:r w:rsidR="002B2E9E" w:rsidRPr="0086784B">
        <w:t>regular residence permit</w:t>
      </w:r>
      <w:r w:rsidR="00E575CB" w:rsidRPr="0086784B">
        <w:t>.</w:t>
      </w:r>
      <w:r w:rsidR="00A53310" w:rsidRPr="0086784B">
        <w:t xml:space="preserve"> However, he failed to show that he had close ties with </w:t>
      </w:r>
      <w:r w:rsidR="00C946AE" w:rsidRPr="0086784B">
        <w:t>the country</w:t>
      </w:r>
      <w:r w:rsidR="00A53310" w:rsidRPr="0086784B">
        <w:t>. According to the State party, he did not further substantiate his claim to have joined the Jehovah’s Witnesses</w:t>
      </w:r>
      <w:r w:rsidR="00E575CB" w:rsidRPr="0086784B">
        <w:t xml:space="preserve"> church</w:t>
      </w:r>
      <w:r w:rsidR="00A53310" w:rsidRPr="0086784B">
        <w:t xml:space="preserve">, for instance, </w:t>
      </w:r>
      <w:r w:rsidR="00DF7E82" w:rsidRPr="0086784B">
        <w:t xml:space="preserve">by </w:t>
      </w:r>
      <w:r w:rsidR="00A53310" w:rsidRPr="0086784B">
        <w:t>providing information on the role this belief play</w:t>
      </w:r>
      <w:r w:rsidR="007248A3" w:rsidRPr="0086784B">
        <w:t xml:space="preserve">s </w:t>
      </w:r>
      <w:r w:rsidR="00A53310" w:rsidRPr="0086784B">
        <w:t xml:space="preserve">in his life and the form it takes. Nor did he give further information regarding his </w:t>
      </w:r>
      <w:r w:rsidR="00A53310" w:rsidRPr="0086784B">
        <w:lastRenderedPageBreak/>
        <w:t xml:space="preserve">football club membership. The author had studied electrical engineering for </w:t>
      </w:r>
      <w:r w:rsidR="00BB71EB" w:rsidRPr="0086784B">
        <w:t xml:space="preserve">only </w:t>
      </w:r>
      <w:r w:rsidR="00A53310" w:rsidRPr="0086784B">
        <w:t xml:space="preserve">18 months and did not complete </w:t>
      </w:r>
      <w:r w:rsidR="00614CA7" w:rsidRPr="0086784B">
        <w:t>his studies</w:t>
      </w:r>
      <w:r w:rsidR="00625A04" w:rsidRPr="0086784B">
        <w:t>.</w:t>
      </w:r>
    </w:p>
    <w:p w:rsidR="00CB6FDB" w:rsidRPr="0086784B" w:rsidRDefault="00E1714F" w:rsidP="00AB1626">
      <w:pPr>
        <w:pStyle w:val="SingleTxtG"/>
      </w:pPr>
      <w:r w:rsidRPr="0086784B">
        <w:t>4.7</w:t>
      </w:r>
      <w:r w:rsidR="00625A04" w:rsidRPr="0086784B">
        <w:tab/>
      </w:r>
      <w:r w:rsidR="00E575CB" w:rsidRPr="0086784B">
        <w:t>The author</w:t>
      </w:r>
      <w:r w:rsidR="0019222B" w:rsidRPr="0086784B">
        <w:t xml:space="preserve"> has lived </w:t>
      </w:r>
      <w:r w:rsidR="00DF7E82" w:rsidRPr="0086784B">
        <w:t>most</w:t>
      </w:r>
      <w:r w:rsidR="0019222B" w:rsidRPr="0086784B">
        <w:t xml:space="preserve"> of his life in his country of origin. His ties with </w:t>
      </w:r>
      <w:r w:rsidR="00E575CB" w:rsidRPr="0086784B">
        <w:t>Angola</w:t>
      </w:r>
      <w:r w:rsidR="00625A04" w:rsidRPr="0086784B">
        <w:t>, where he was born, brought up and spent his formative years, are stronger tha</w:t>
      </w:r>
      <w:r w:rsidR="00AB1626" w:rsidRPr="0086784B">
        <w:t>n</w:t>
      </w:r>
      <w:r w:rsidR="00625A04" w:rsidRPr="0086784B">
        <w:t xml:space="preserve"> his ties </w:t>
      </w:r>
      <w:r w:rsidR="00F94A19" w:rsidRPr="0086784B">
        <w:t>with the Netherlands</w:t>
      </w:r>
      <w:r w:rsidR="0019222B" w:rsidRPr="0086784B">
        <w:t xml:space="preserve">. The State party points out that he was </w:t>
      </w:r>
      <w:r w:rsidR="00AB1626" w:rsidRPr="0086784B">
        <w:t xml:space="preserve">20 </w:t>
      </w:r>
      <w:r w:rsidR="0019222B" w:rsidRPr="0086784B">
        <w:t xml:space="preserve">years old when he arrived in the </w:t>
      </w:r>
      <w:r w:rsidR="00F94A19" w:rsidRPr="0086784B">
        <w:t>Netherlands</w:t>
      </w:r>
      <w:r w:rsidR="0019222B" w:rsidRPr="0086784B">
        <w:t>, that his mother tongue is Portuguese, and that there is no evidence that his ties with Angola ha</w:t>
      </w:r>
      <w:r w:rsidR="00F94A19" w:rsidRPr="0086784B">
        <w:t>ve</w:t>
      </w:r>
      <w:r w:rsidR="0019222B" w:rsidRPr="0086784B">
        <w:t xml:space="preserve"> been broken. </w:t>
      </w:r>
      <w:r w:rsidR="00AB1626" w:rsidRPr="0086784B">
        <w:t>T</w:t>
      </w:r>
      <w:r w:rsidR="0019222B" w:rsidRPr="0086784B">
        <w:t xml:space="preserve">here is </w:t>
      </w:r>
      <w:r w:rsidR="00AB1626" w:rsidRPr="0086784B">
        <w:t xml:space="preserve">therefore </w:t>
      </w:r>
      <w:r w:rsidR="0019222B" w:rsidRPr="0086784B">
        <w:t xml:space="preserve">no reason why the author would not be able to resume his life in </w:t>
      </w:r>
      <w:r w:rsidR="00E575CB" w:rsidRPr="0086784B">
        <w:t>his country of origin</w:t>
      </w:r>
      <w:r w:rsidR="0019222B" w:rsidRPr="0086784B">
        <w:t xml:space="preserve">. </w:t>
      </w:r>
    </w:p>
    <w:p w:rsidR="005E014B" w:rsidRPr="0086784B" w:rsidRDefault="00E1714F" w:rsidP="00AB1626">
      <w:pPr>
        <w:pStyle w:val="SingleTxtG"/>
      </w:pPr>
      <w:r w:rsidRPr="0086784B">
        <w:t>4.8</w:t>
      </w:r>
      <w:r w:rsidR="005E014B" w:rsidRPr="0086784B">
        <w:tab/>
        <w:t xml:space="preserve">The State party points out </w:t>
      </w:r>
      <w:r w:rsidR="00AB1626" w:rsidRPr="0086784B">
        <w:t xml:space="preserve">finally </w:t>
      </w:r>
      <w:r w:rsidR="005E014B" w:rsidRPr="0086784B">
        <w:t>that the author has never been issued a residence permit;</w:t>
      </w:r>
      <w:r w:rsidR="00F94A19" w:rsidRPr="0086784B">
        <w:t xml:space="preserve"> </w:t>
      </w:r>
      <w:r w:rsidR="005E014B" w:rsidRPr="0086784B">
        <w:t xml:space="preserve">and that the fact </w:t>
      </w:r>
      <w:r w:rsidR="00DF7E82" w:rsidRPr="0086784B">
        <w:t xml:space="preserve">that </w:t>
      </w:r>
      <w:r w:rsidR="005E014B" w:rsidRPr="0086784B">
        <w:t>the asylum decision</w:t>
      </w:r>
      <w:r w:rsidR="006D2D35" w:rsidRPr="0086784B">
        <w:t>s</w:t>
      </w:r>
      <w:r w:rsidR="005E014B" w:rsidRPr="0086784B">
        <w:t xml:space="preserve"> were overturned by the court does not mean that the author could reasonably expect to be granted residence</w:t>
      </w:r>
      <w:r w:rsidR="00AB1626" w:rsidRPr="0086784B">
        <w:t xml:space="preserve"> on that basis</w:t>
      </w:r>
      <w:r w:rsidR="005E014B" w:rsidRPr="0086784B">
        <w:t>.</w:t>
      </w:r>
    </w:p>
    <w:p w:rsidR="003521FD" w:rsidRPr="0086784B" w:rsidRDefault="003521FD" w:rsidP="006358CB">
      <w:pPr>
        <w:pStyle w:val="H23G"/>
        <w:spacing w:line="240" w:lineRule="auto"/>
      </w:pPr>
      <w:r w:rsidRPr="0086784B">
        <w:tab/>
      </w:r>
      <w:r w:rsidRPr="0086784B">
        <w:tab/>
        <w:t>Author’s comments on the State party’s observations</w:t>
      </w:r>
    </w:p>
    <w:p w:rsidR="003521FD" w:rsidRPr="0086784B" w:rsidRDefault="003521FD" w:rsidP="006358CB">
      <w:pPr>
        <w:pStyle w:val="SingleTxtG"/>
        <w:spacing w:line="240" w:lineRule="auto"/>
      </w:pPr>
      <w:r w:rsidRPr="0086784B">
        <w:t>5.1</w:t>
      </w:r>
      <w:r w:rsidRPr="0086784B">
        <w:tab/>
        <w:t xml:space="preserve">On </w:t>
      </w:r>
      <w:r w:rsidR="005E014B" w:rsidRPr="0086784B">
        <w:t>6 February 2012</w:t>
      </w:r>
      <w:r w:rsidRPr="0086784B">
        <w:t>, the author submitted h</w:t>
      </w:r>
      <w:r w:rsidR="005E014B" w:rsidRPr="0086784B">
        <w:t>is</w:t>
      </w:r>
      <w:r w:rsidRPr="0086784B">
        <w:t xml:space="preserve"> comments on the State party’</w:t>
      </w:r>
      <w:r w:rsidR="005E014B" w:rsidRPr="0086784B">
        <w:t xml:space="preserve">s observations and reiterated his allegations of </w:t>
      </w:r>
      <w:r w:rsidR="004D65C4" w:rsidRPr="0086784B">
        <w:t xml:space="preserve">a </w:t>
      </w:r>
      <w:r w:rsidR="005E014B" w:rsidRPr="0086784B">
        <w:t xml:space="preserve">violation of his rights under </w:t>
      </w:r>
      <w:r w:rsidR="0034593D" w:rsidRPr="0086784B">
        <w:t>article </w:t>
      </w:r>
      <w:r w:rsidR="005E014B" w:rsidRPr="0086784B">
        <w:t xml:space="preserve">17 </w:t>
      </w:r>
      <w:r w:rsidRPr="0086784B">
        <w:t>of the Covenant.</w:t>
      </w:r>
    </w:p>
    <w:p w:rsidR="007022BA" w:rsidRPr="0086784B" w:rsidRDefault="00E1714F" w:rsidP="00BB71EB">
      <w:pPr>
        <w:pStyle w:val="SingleTxtG"/>
        <w:spacing w:line="240" w:lineRule="auto"/>
      </w:pPr>
      <w:r w:rsidRPr="0086784B">
        <w:t>5.2</w:t>
      </w:r>
      <w:r w:rsidR="003521FD" w:rsidRPr="0086784B">
        <w:tab/>
        <w:t xml:space="preserve">The author </w:t>
      </w:r>
      <w:r w:rsidR="005E014B" w:rsidRPr="0086784B">
        <w:t>holds that the State party’s observation</w:t>
      </w:r>
      <w:r w:rsidR="007022BA" w:rsidRPr="0086784B">
        <w:t>s</w:t>
      </w:r>
      <w:r w:rsidR="005E014B" w:rsidRPr="0086784B">
        <w:t xml:space="preserve"> regarding </w:t>
      </w:r>
      <w:r w:rsidR="007022BA" w:rsidRPr="0086784B">
        <w:t xml:space="preserve">his age and his acknowledgment </w:t>
      </w:r>
      <w:r w:rsidR="00787972" w:rsidRPr="0086784B">
        <w:t xml:space="preserve">thereof </w:t>
      </w:r>
      <w:r w:rsidR="00BB71EB" w:rsidRPr="0086784B">
        <w:t>in the course of</w:t>
      </w:r>
      <w:r w:rsidR="00787972" w:rsidRPr="0086784B">
        <w:t xml:space="preserve"> </w:t>
      </w:r>
      <w:r w:rsidR="007022BA" w:rsidRPr="0086784B">
        <w:t>the domestic proceeding</w:t>
      </w:r>
      <w:r w:rsidR="00787972" w:rsidRPr="0086784B">
        <w:t>s,</w:t>
      </w:r>
      <w:r w:rsidR="007022BA" w:rsidRPr="0086784B">
        <w:t xml:space="preserve"> on 4 January 2006</w:t>
      </w:r>
      <w:r w:rsidR="00787972" w:rsidRPr="0086784B">
        <w:t>,</w:t>
      </w:r>
      <w:r w:rsidR="007022BA" w:rsidRPr="0086784B">
        <w:t xml:space="preserve"> are correct. However, in later decisions the immigration authorities always mentioned 20 May 1985 as his date of birth. </w:t>
      </w:r>
      <w:r w:rsidR="00CB1810" w:rsidRPr="0086784B">
        <w:t>In view of the above</w:t>
      </w:r>
      <w:r w:rsidR="007022BA" w:rsidRPr="0086784B">
        <w:t xml:space="preserve">, he claims that the State party cannot maintain before the Committee that he was older than 16 years when he entered its territory. </w:t>
      </w:r>
    </w:p>
    <w:p w:rsidR="007022BA" w:rsidRPr="0086784B" w:rsidRDefault="00E1714F" w:rsidP="00BB71EB">
      <w:pPr>
        <w:pStyle w:val="SingleTxtG"/>
        <w:spacing w:line="240" w:lineRule="auto"/>
      </w:pPr>
      <w:r w:rsidRPr="0086784B">
        <w:t>5.3</w:t>
      </w:r>
      <w:r w:rsidR="007022BA" w:rsidRPr="0086784B">
        <w:tab/>
      </w:r>
      <w:r w:rsidR="008A69EB" w:rsidRPr="0086784B">
        <w:t xml:space="preserve">The author claims that the length of his stay in the </w:t>
      </w:r>
      <w:r w:rsidR="00C946AE" w:rsidRPr="0086784B">
        <w:t>Netherlands,</w:t>
      </w:r>
      <w:r w:rsidR="008A69EB" w:rsidRPr="0086784B">
        <w:t xml:space="preserve"> seven years</w:t>
      </w:r>
      <w:r w:rsidR="00C946AE" w:rsidRPr="0086784B">
        <w:t>,</w:t>
      </w:r>
      <w:r w:rsidR="008A69EB" w:rsidRPr="0086784B">
        <w:t xml:space="preserve"> is sufficient evidence that he has developed </w:t>
      </w:r>
      <w:r w:rsidR="0073701A" w:rsidRPr="0086784B">
        <w:t xml:space="preserve">ties with </w:t>
      </w:r>
      <w:r w:rsidR="00C946AE" w:rsidRPr="0086784B">
        <w:t>the country</w:t>
      </w:r>
      <w:r w:rsidR="0073701A" w:rsidRPr="0086784B">
        <w:t xml:space="preserve">, in particular </w:t>
      </w:r>
      <w:r w:rsidR="00C946AE" w:rsidRPr="0086784B">
        <w:t xml:space="preserve">since </w:t>
      </w:r>
      <w:r w:rsidR="0073701A" w:rsidRPr="0086784B">
        <w:t>it result</w:t>
      </w:r>
      <w:r w:rsidR="00BB71EB" w:rsidRPr="0086784B">
        <w:t>s</w:t>
      </w:r>
      <w:r w:rsidR="0073701A" w:rsidRPr="0086784B">
        <w:t xml:space="preserve"> </w:t>
      </w:r>
      <w:r w:rsidR="00BB71EB" w:rsidRPr="0086784B">
        <w:t xml:space="preserve">from </w:t>
      </w:r>
      <w:r w:rsidR="0073701A" w:rsidRPr="0086784B">
        <w:t xml:space="preserve">the undue delay in the proceedings </w:t>
      </w:r>
      <w:r w:rsidR="00BB71EB" w:rsidRPr="0086784B">
        <w:t xml:space="preserve">during which </w:t>
      </w:r>
      <w:r w:rsidR="0073701A" w:rsidRPr="0086784B">
        <w:t>his asylum request</w:t>
      </w:r>
      <w:r w:rsidR="00BB71EB" w:rsidRPr="0086784B">
        <w:t xml:space="preserve"> was examined</w:t>
      </w:r>
      <w:r w:rsidR="0073701A" w:rsidRPr="0086784B">
        <w:t xml:space="preserve">. </w:t>
      </w:r>
      <w:r w:rsidR="008A69EB" w:rsidRPr="0086784B">
        <w:t xml:space="preserve">The activities </w:t>
      </w:r>
      <w:r w:rsidR="004D65C4" w:rsidRPr="0086784B">
        <w:t>in which he has engaged</w:t>
      </w:r>
      <w:r w:rsidR="008A69EB" w:rsidRPr="0086784B">
        <w:t xml:space="preserve"> in </w:t>
      </w:r>
      <w:r w:rsidR="0073701A" w:rsidRPr="0086784B">
        <w:t>the State party</w:t>
      </w:r>
      <w:r w:rsidR="008A69EB" w:rsidRPr="0086784B">
        <w:t xml:space="preserve"> ar</w:t>
      </w:r>
      <w:r w:rsidR="00DF7E82" w:rsidRPr="0086784B">
        <w:t>e to be considered</w:t>
      </w:r>
      <w:r w:rsidR="0073701A" w:rsidRPr="0086784B">
        <w:t xml:space="preserve"> complementary evidence of his ties. </w:t>
      </w:r>
    </w:p>
    <w:p w:rsidR="003521FD" w:rsidRPr="0086784B" w:rsidRDefault="003521FD" w:rsidP="006358CB">
      <w:pPr>
        <w:pStyle w:val="H23G"/>
        <w:spacing w:line="240" w:lineRule="auto"/>
      </w:pPr>
      <w:r w:rsidRPr="0086784B">
        <w:tab/>
      </w:r>
      <w:r w:rsidRPr="0086784B">
        <w:tab/>
        <w:t>Issues and proceedings before the Committee</w:t>
      </w:r>
    </w:p>
    <w:p w:rsidR="003521FD" w:rsidRPr="0086784B" w:rsidRDefault="003521FD" w:rsidP="006358CB">
      <w:pPr>
        <w:pStyle w:val="H4G"/>
        <w:spacing w:line="240" w:lineRule="auto"/>
        <w:rPr>
          <w:lang w:val="en-US"/>
        </w:rPr>
      </w:pPr>
      <w:r w:rsidRPr="0086784B">
        <w:rPr>
          <w:lang w:val="en-US"/>
        </w:rPr>
        <w:tab/>
      </w:r>
      <w:r w:rsidRPr="0086784B">
        <w:rPr>
          <w:lang w:val="en-US"/>
        </w:rPr>
        <w:tab/>
        <w:t>Consideration of admissibility</w:t>
      </w:r>
    </w:p>
    <w:p w:rsidR="003521FD" w:rsidRPr="0086784B" w:rsidRDefault="00E1714F" w:rsidP="006358CB">
      <w:pPr>
        <w:pStyle w:val="SingleTxtG"/>
        <w:spacing w:line="240" w:lineRule="auto"/>
        <w:rPr>
          <w:lang w:val="en-US"/>
        </w:rPr>
      </w:pPr>
      <w:r w:rsidRPr="0086784B">
        <w:rPr>
          <w:lang w:val="en-US"/>
        </w:rPr>
        <w:t>6</w:t>
      </w:r>
      <w:r w:rsidR="003521FD" w:rsidRPr="0086784B">
        <w:rPr>
          <w:lang w:val="en-US"/>
        </w:rPr>
        <w:t>.1</w:t>
      </w:r>
      <w:r w:rsidR="003521FD" w:rsidRPr="0086784B">
        <w:rPr>
          <w:lang w:val="en-US"/>
        </w:rPr>
        <w:tab/>
        <w:t>Before considering any claims contained in a communication, the Human Rights Committee must, in accordance with rule 93 of its rules of procedure, decide whether or not it is admissible under the Optional Protocol to the Covenant.</w:t>
      </w:r>
    </w:p>
    <w:p w:rsidR="003521FD" w:rsidRPr="0086784B" w:rsidRDefault="00E1714F" w:rsidP="00865EB9">
      <w:pPr>
        <w:pStyle w:val="SingleTxtG"/>
      </w:pPr>
      <w:r w:rsidRPr="0086784B">
        <w:rPr>
          <w:lang w:val="en-US"/>
        </w:rPr>
        <w:t>6.2</w:t>
      </w:r>
      <w:r w:rsidR="003521FD" w:rsidRPr="0086784B">
        <w:rPr>
          <w:lang w:val="en-US"/>
        </w:rPr>
        <w:tab/>
      </w:r>
      <w:r w:rsidR="003521FD" w:rsidRPr="0086784B">
        <w:t xml:space="preserve">The Committee </w:t>
      </w:r>
      <w:r w:rsidR="00E60D9F" w:rsidRPr="0086784B">
        <w:t>observes</w:t>
      </w:r>
      <w:r w:rsidR="002B2ECD" w:rsidRPr="0086784B">
        <w:t xml:space="preserve"> that</w:t>
      </w:r>
      <w:r w:rsidR="00CC0F21" w:rsidRPr="0086784B">
        <w:t>,</w:t>
      </w:r>
      <w:r w:rsidR="002B2ECD" w:rsidRPr="0086784B">
        <w:t xml:space="preserve"> on 14 December 2009, the author lodged an application before the European Court of Human Rights. On 1 June 2010, the Court declared </w:t>
      </w:r>
      <w:r w:rsidR="00CC0F21" w:rsidRPr="0086784B">
        <w:t xml:space="preserve">the application </w:t>
      </w:r>
      <w:r w:rsidR="002B2ECD" w:rsidRPr="0086784B">
        <w:t xml:space="preserve">inadmissible since it was not submitted within the prescribed time-limit. </w:t>
      </w:r>
      <w:r w:rsidR="00CC0F21" w:rsidRPr="0086784B">
        <w:rPr>
          <w:rFonts w:eastAsia="SimSun"/>
          <w:color w:val="000000"/>
          <w:lang w:eastAsia="zh-CN"/>
        </w:rPr>
        <w:t>Under a</w:t>
      </w:r>
      <w:r w:rsidR="0034593D" w:rsidRPr="0086784B">
        <w:rPr>
          <w:rFonts w:eastAsia="SimSun"/>
          <w:color w:val="000000"/>
          <w:lang w:eastAsia="zh-CN"/>
        </w:rPr>
        <w:t>rticle </w:t>
      </w:r>
      <w:r w:rsidR="002B2ECD" w:rsidRPr="0086784B">
        <w:rPr>
          <w:rFonts w:eastAsia="SimSun"/>
          <w:color w:val="000000"/>
          <w:lang w:eastAsia="zh-CN"/>
        </w:rPr>
        <w:t xml:space="preserve">5 </w:t>
      </w:r>
      <w:r w:rsidR="00CC0F21" w:rsidRPr="0086784B">
        <w:rPr>
          <w:rFonts w:eastAsia="SimSun"/>
          <w:color w:val="000000"/>
          <w:lang w:eastAsia="zh-CN"/>
        </w:rPr>
        <w:t>(</w:t>
      </w:r>
      <w:r w:rsidR="002B2ECD" w:rsidRPr="0086784B">
        <w:rPr>
          <w:rFonts w:eastAsia="SimSun"/>
          <w:color w:val="000000"/>
          <w:lang w:eastAsia="zh-CN"/>
        </w:rPr>
        <w:t>2</w:t>
      </w:r>
      <w:r w:rsidR="00CC0F21" w:rsidRPr="0086784B">
        <w:rPr>
          <w:rFonts w:eastAsia="SimSun"/>
          <w:color w:val="000000"/>
          <w:lang w:eastAsia="zh-CN"/>
        </w:rPr>
        <w:t>) </w:t>
      </w:r>
      <w:r w:rsidR="002B2ECD" w:rsidRPr="0086784B">
        <w:rPr>
          <w:rFonts w:eastAsia="SimSun"/>
          <w:color w:val="000000"/>
          <w:lang w:eastAsia="zh-CN"/>
        </w:rPr>
        <w:t>(a) of the Optional Protocol</w:t>
      </w:r>
      <w:r w:rsidRPr="0086784B">
        <w:rPr>
          <w:rFonts w:eastAsia="SimSun"/>
          <w:color w:val="000000"/>
          <w:lang w:eastAsia="zh-CN"/>
        </w:rPr>
        <w:t>,</w:t>
      </w:r>
      <w:r w:rsidR="00E726BE" w:rsidRPr="0086784B">
        <w:rPr>
          <w:rFonts w:eastAsia="SimSun"/>
          <w:color w:val="000000"/>
          <w:lang w:eastAsia="zh-CN"/>
        </w:rPr>
        <w:t xml:space="preserve"> </w:t>
      </w:r>
      <w:r w:rsidR="002B2ECD" w:rsidRPr="0086784B">
        <w:rPr>
          <w:rFonts w:eastAsia="SimSun"/>
          <w:color w:val="000000"/>
          <w:lang w:eastAsia="zh-CN"/>
        </w:rPr>
        <w:t xml:space="preserve">however, the Committee </w:t>
      </w:r>
      <w:r w:rsidR="00CC0F21" w:rsidRPr="0086784B">
        <w:rPr>
          <w:rFonts w:eastAsia="SimSun"/>
          <w:color w:val="000000"/>
          <w:lang w:eastAsia="zh-CN"/>
        </w:rPr>
        <w:t xml:space="preserve">is not precluded </w:t>
      </w:r>
      <w:r w:rsidR="002B2ECD" w:rsidRPr="0086784B">
        <w:rPr>
          <w:rFonts w:eastAsia="SimSun"/>
          <w:color w:val="000000"/>
          <w:lang w:eastAsia="zh-CN"/>
        </w:rPr>
        <w:t xml:space="preserve">from examining the present </w:t>
      </w:r>
      <w:r w:rsidR="002B2ECD" w:rsidRPr="0086784B">
        <w:rPr>
          <w:rFonts w:eastAsia="SimSun"/>
        </w:rPr>
        <w:t>communication</w:t>
      </w:r>
      <w:r w:rsidR="00CC0F21" w:rsidRPr="0086784B">
        <w:rPr>
          <w:rFonts w:eastAsia="SimSun"/>
        </w:rPr>
        <w:t>,</w:t>
      </w:r>
      <w:r w:rsidR="002B2ECD" w:rsidRPr="0086784B">
        <w:rPr>
          <w:rFonts w:eastAsia="SimSun"/>
          <w:color w:val="000000"/>
          <w:lang w:eastAsia="zh-CN"/>
        </w:rPr>
        <w:t xml:space="preserve"> as the issue is no longer being examined by the Court</w:t>
      </w:r>
      <w:r w:rsidR="00982C12" w:rsidRPr="0086784B">
        <w:rPr>
          <w:rFonts w:eastAsia="SimSun"/>
          <w:color w:val="000000"/>
          <w:lang w:eastAsia="zh-CN"/>
        </w:rPr>
        <w:t>.</w:t>
      </w:r>
      <w:r w:rsidR="002B2ECD" w:rsidRPr="0086784B">
        <w:rPr>
          <w:rFonts w:eastAsia="SimSun"/>
          <w:color w:val="000000"/>
          <w:lang w:eastAsia="zh-CN"/>
        </w:rPr>
        <w:t xml:space="preserve"> </w:t>
      </w:r>
      <w:r w:rsidR="00982C12" w:rsidRPr="0086784B">
        <w:rPr>
          <w:rFonts w:eastAsia="SimSun"/>
          <w:color w:val="000000"/>
          <w:lang w:eastAsia="zh-CN"/>
        </w:rPr>
        <w:t xml:space="preserve">Accordingly, the Committee considers that it is not precluded from considering the present communication under </w:t>
      </w:r>
      <w:r w:rsidR="0034593D" w:rsidRPr="0086784B">
        <w:rPr>
          <w:rFonts w:eastAsia="SimSun"/>
          <w:color w:val="000000"/>
          <w:lang w:eastAsia="zh-CN"/>
        </w:rPr>
        <w:t>article </w:t>
      </w:r>
      <w:r w:rsidR="00982C12" w:rsidRPr="0086784B">
        <w:rPr>
          <w:rFonts w:eastAsia="SimSun"/>
          <w:color w:val="000000"/>
          <w:lang w:eastAsia="zh-CN"/>
        </w:rPr>
        <w:t>5</w:t>
      </w:r>
      <w:r w:rsidR="0034593D" w:rsidRPr="0086784B">
        <w:rPr>
          <w:rFonts w:eastAsia="SimSun"/>
          <w:color w:val="000000"/>
          <w:lang w:eastAsia="zh-CN"/>
        </w:rPr>
        <w:t> </w:t>
      </w:r>
      <w:r w:rsidR="00CC0F21" w:rsidRPr="0086784B">
        <w:rPr>
          <w:rFonts w:eastAsia="SimSun"/>
          <w:color w:val="000000"/>
          <w:lang w:eastAsia="zh-CN"/>
        </w:rPr>
        <w:t>(</w:t>
      </w:r>
      <w:r w:rsidR="00982C12" w:rsidRPr="0086784B">
        <w:rPr>
          <w:rFonts w:eastAsia="SimSun"/>
          <w:color w:val="000000"/>
          <w:lang w:eastAsia="zh-CN"/>
        </w:rPr>
        <w:t>2</w:t>
      </w:r>
      <w:r w:rsidR="00CC0F21" w:rsidRPr="0086784B">
        <w:rPr>
          <w:rFonts w:eastAsia="SimSun"/>
          <w:color w:val="000000"/>
          <w:lang w:eastAsia="zh-CN"/>
        </w:rPr>
        <w:t>) </w:t>
      </w:r>
      <w:r w:rsidR="00982C12" w:rsidRPr="0086784B">
        <w:rPr>
          <w:rFonts w:eastAsia="SimSun"/>
          <w:color w:val="000000"/>
          <w:lang w:eastAsia="zh-CN"/>
        </w:rPr>
        <w:t xml:space="preserve">(a) of the Optional Protocol. </w:t>
      </w:r>
    </w:p>
    <w:p w:rsidR="00EB13E1" w:rsidRPr="0086784B" w:rsidRDefault="00E1714F" w:rsidP="00BB71EB">
      <w:pPr>
        <w:pStyle w:val="SingleTxtG"/>
      </w:pPr>
      <w:r w:rsidRPr="0086784B">
        <w:t>6</w:t>
      </w:r>
      <w:r w:rsidR="003521FD" w:rsidRPr="0086784B">
        <w:t>.3</w:t>
      </w:r>
      <w:r w:rsidR="003521FD" w:rsidRPr="0086784B">
        <w:tab/>
      </w:r>
      <w:r w:rsidR="00D74147" w:rsidRPr="0086784B">
        <w:t>The Committee notes the author’s allegations that he has developed personal and social ties in the State party during the six years that his request for asylum was pending before the immigration authorities</w:t>
      </w:r>
      <w:r w:rsidR="00E60D9F" w:rsidRPr="0086784B">
        <w:t xml:space="preserve">, and that his removal to his country of origin would constitute a violation of his rights under </w:t>
      </w:r>
      <w:r w:rsidR="0034593D" w:rsidRPr="0086784B">
        <w:t>article </w:t>
      </w:r>
      <w:r w:rsidR="00E60D9F" w:rsidRPr="0086784B">
        <w:t xml:space="preserve">17 of the Covenant. To illustrate his ties with the State party, the author </w:t>
      </w:r>
      <w:r w:rsidR="00CC0F21" w:rsidRPr="0086784B">
        <w:t xml:space="preserve">refers </w:t>
      </w:r>
      <w:r w:rsidR="00E60D9F" w:rsidRPr="0086784B">
        <w:t>mainly to</w:t>
      </w:r>
      <w:r w:rsidR="00D74147" w:rsidRPr="0086784B">
        <w:t xml:space="preserve"> the length of the </w:t>
      </w:r>
      <w:r w:rsidR="006D2D35" w:rsidRPr="0086784B">
        <w:t xml:space="preserve">asylum </w:t>
      </w:r>
      <w:r w:rsidR="00D74147" w:rsidRPr="0086784B">
        <w:t>procedure</w:t>
      </w:r>
      <w:r w:rsidR="00CC0F21" w:rsidRPr="0086784B">
        <w:t>,</w:t>
      </w:r>
      <w:r w:rsidR="00D74147" w:rsidRPr="0086784B">
        <w:t xml:space="preserve"> allegedly attribut</w:t>
      </w:r>
      <w:r w:rsidR="00DC1916" w:rsidRPr="0086784B">
        <w:t>able</w:t>
      </w:r>
      <w:r w:rsidR="00D74147" w:rsidRPr="0086784B">
        <w:t xml:space="preserve"> to the State party. </w:t>
      </w:r>
      <w:r w:rsidR="00CC0F21" w:rsidRPr="0086784B">
        <w:t>H</w:t>
      </w:r>
      <w:r w:rsidR="00E60D9F" w:rsidRPr="0086784B">
        <w:t>e</w:t>
      </w:r>
      <w:r w:rsidR="00D74147" w:rsidRPr="0086784B">
        <w:t xml:space="preserve"> notes </w:t>
      </w:r>
      <w:r w:rsidR="00CC0F21" w:rsidRPr="0086784B">
        <w:t xml:space="preserve">in addition </w:t>
      </w:r>
      <w:r w:rsidR="00D74147" w:rsidRPr="0086784B">
        <w:t xml:space="preserve">that during this period he </w:t>
      </w:r>
      <w:r w:rsidR="00CC0F21" w:rsidRPr="0086784B">
        <w:t xml:space="preserve">studied </w:t>
      </w:r>
      <w:r w:rsidR="00D74147" w:rsidRPr="0086784B">
        <w:t xml:space="preserve">electrical </w:t>
      </w:r>
      <w:r w:rsidR="00CC0F21" w:rsidRPr="0086784B">
        <w:t>engineering</w:t>
      </w:r>
      <w:r w:rsidR="00D74147" w:rsidRPr="0086784B">
        <w:t>, joined the Jehovah’s Witnesses church</w:t>
      </w:r>
      <w:r w:rsidR="00E60D9F" w:rsidRPr="0086784B">
        <w:t>,</w:t>
      </w:r>
      <w:r w:rsidR="00D74147" w:rsidRPr="0086784B">
        <w:t xml:space="preserve"> became </w:t>
      </w:r>
      <w:r w:rsidR="00DC1916" w:rsidRPr="0086784B">
        <w:t xml:space="preserve">a </w:t>
      </w:r>
      <w:r w:rsidR="00D74147" w:rsidRPr="0086784B">
        <w:t>member of a football club</w:t>
      </w:r>
      <w:r w:rsidR="00E60D9F" w:rsidRPr="0086784B">
        <w:t xml:space="preserve"> and formed a group of friends</w:t>
      </w:r>
      <w:r w:rsidR="00D74147" w:rsidRPr="0086784B">
        <w:t>.</w:t>
      </w:r>
      <w:r w:rsidR="004171BE" w:rsidRPr="0086784B">
        <w:t xml:space="preserve"> The Committee </w:t>
      </w:r>
      <w:r w:rsidR="00163940" w:rsidRPr="0086784B">
        <w:t xml:space="preserve">observes that </w:t>
      </w:r>
      <w:r w:rsidR="00E60D9F" w:rsidRPr="0086784B">
        <w:t>t</w:t>
      </w:r>
      <w:r w:rsidR="00163940" w:rsidRPr="0086784B">
        <w:t>he author</w:t>
      </w:r>
      <w:r w:rsidR="00E60D9F" w:rsidRPr="0086784B">
        <w:t>’s</w:t>
      </w:r>
      <w:r w:rsidR="00163940" w:rsidRPr="0086784B">
        <w:rPr>
          <w:lang w:val="en-US"/>
        </w:rPr>
        <w:t xml:space="preserve"> request for a temporary regular residence permit </w:t>
      </w:r>
      <w:r w:rsidR="00163940" w:rsidRPr="0086784B">
        <w:t xml:space="preserve">was rejected </w:t>
      </w:r>
      <w:r w:rsidR="00163940" w:rsidRPr="0086784B">
        <w:rPr>
          <w:lang w:val="en-US"/>
        </w:rPr>
        <w:t>pursuant to section 16</w:t>
      </w:r>
      <w:r w:rsidR="00BB71EB" w:rsidRPr="0086784B">
        <w:rPr>
          <w:lang w:val="en-US"/>
        </w:rPr>
        <w:t> (</w:t>
      </w:r>
      <w:r w:rsidR="00163940" w:rsidRPr="0086784B">
        <w:rPr>
          <w:lang w:val="en-US"/>
        </w:rPr>
        <w:t>1</w:t>
      </w:r>
      <w:r w:rsidR="00BB71EB" w:rsidRPr="0086784B">
        <w:rPr>
          <w:lang w:val="en-US"/>
        </w:rPr>
        <w:t>)</w:t>
      </w:r>
      <w:r w:rsidR="00163940" w:rsidRPr="0086784B">
        <w:rPr>
          <w:lang w:val="en-US"/>
        </w:rPr>
        <w:t xml:space="preserve"> of </w:t>
      </w:r>
      <w:r w:rsidR="00163940" w:rsidRPr="0086784B">
        <w:rPr>
          <w:lang w:val="en-US"/>
        </w:rPr>
        <w:lastRenderedPageBreak/>
        <w:t>the Aliens Act</w:t>
      </w:r>
      <w:r w:rsidR="00EB13E1" w:rsidRPr="0086784B">
        <w:rPr>
          <w:lang w:val="en-US"/>
        </w:rPr>
        <w:t>,</w:t>
      </w:r>
      <w:r w:rsidR="00163940" w:rsidRPr="0086784B">
        <w:rPr>
          <w:lang w:val="en-US"/>
        </w:rPr>
        <w:t xml:space="preserve"> since he did not hold a valid </w:t>
      </w:r>
      <w:r w:rsidR="00BB71EB" w:rsidRPr="0086784B">
        <w:rPr>
          <w:lang w:val="en-US"/>
        </w:rPr>
        <w:t>temporary regular residence permit</w:t>
      </w:r>
      <w:r w:rsidR="00163940" w:rsidRPr="0086784B">
        <w:rPr>
          <w:lang w:val="en-US"/>
        </w:rPr>
        <w:t xml:space="preserve"> (MVV)</w:t>
      </w:r>
      <w:r w:rsidR="00E60D9F" w:rsidRPr="0086784B">
        <w:rPr>
          <w:lang w:val="en-US"/>
        </w:rPr>
        <w:t xml:space="preserve">; and that he was never </w:t>
      </w:r>
      <w:r w:rsidR="007248A3" w:rsidRPr="0086784B">
        <w:rPr>
          <w:lang w:val="en-US"/>
        </w:rPr>
        <w:t>granted a residence permit</w:t>
      </w:r>
      <w:r w:rsidR="00E60D9F" w:rsidRPr="0086784B">
        <w:rPr>
          <w:lang w:val="en-US"/>
        </w:rPr>
        <w:t xml:space="preserve"> in the State party</w:t>
      </w:r>
      <w:r w:rsidR="00163940" w:rsidRPr="0086784B">
        <w:rPr>
          <w:shd w:val="clear" w:color="auto" w:fill="FFFFFF"/>
          <w:lang w:val="en-US"/>
        </w:rPr>
        <w:t xml:space="preserve">. In </w:t>
      </w:r>
      <w:r w:rsidR="00DC1916" w:rsidRPr="0086784B">
        <w:rPr>
          <w:shd w:val="clear" w:color="auto" w:fill="FFFFFF"/>
          <w:lang w:val="en-US"/>
        </w:rPr>
        <w:t xml:space="preserve">view of </w:t>
      </w:r>
      <w:r w:rsidR="00163940" w:rsidRPr="0086784B">
        <w:rPr>
          <w:shd w:val="clear" w:color="auto" w:fill="FFFFFF"/>
          <w:lang w:val="en-US"/>
        </w:rPr>
        <w:t xml:space="preserve">the circumstances of the present case, the </w:t>
      </w:r>
      <w:r w:rsidR="00163940" w:rsidRPr="0086784B">
        <w:t>Committee</w:t>
      </w:r>
      <w:r w:rsidR="00163940" w:rsidRPr="0086784B">
        <w:rPr>
          <w:shd w:val="clear" w:color="auto" w:fill="FFFFFF"/>
          <w:lang w:val="en-US"/>
        </w:rPr>
        <w:t xml:space="preserve"> considers that the author’s allegations rem</w:t>
      </w:r>
      <w:r w:rsidR="004A326B" w:rsidRPr="0086784B">
        <w:rPr>
          <w:shd w:val="clear" w:color="auto" w:fill="FFFFFF"/>
          <w:lang w:val="en-US"/>
        </w:rPr>
        <w:t xml:space="preserve">ain general and that he has failed to explain </w:t>
      </w:r>
      <w:r w:rsidR="00BC66CA" w:rsidRPr="0086784B">
        <w:rPr>
          <w:shd w:val="clear" w:color="auto" w:fill="FFFFFF"/>
          <w:lang w:val="en-US"/>
        </w:rPr>
        <w:t xml:space="preserve">before the Committee </w:t>
      </w:r>
      <w:r w:rsidR="004A326B" w:rsidRPr="0086784B">
        <w:rPr>
          <w:shd w:val="clear" w:color="auto" w:fill="FFFFFF"/>
          <w:lang w:val="en-US"/>
        </w:rPr>
        <w:t>why his removal to his country of origin w</w:t>
      </w:r>
      <w:r w:rsidR="00BC66CA" w:rsidRPr="0086784B">
        <w:rPr>
          <w:shd w:val="clear" w:color="auto" w:fill="FFFFFF"/>
          <w:lang w:val="en-US"/>
        </w:rPr>
        <w:t>ould</w:t>
      </w:r>
      <w:r w:rsidR="004A326B" w:rsidRPr="0086784B">
        <w:rPr>
          <w:shd w:val="clear" w:color="auto" w:fill="FFFFFF"/>
          <w:lang w:val="en-US"/>
        </w:rPr>
        <w:t xml:space="preserve"> </w:t>
      </w:r>
      <w:r w:rsidR="007248A3" w:rsidRPr="0086784B">
        <w:rPr>
          <w:shd w:val="clear" w:color="auto" w:fill="FFFFFF"/>
          <w:lang w:val="en-US"/>
        </w:rPr>
        <w:t>be a disproportionate measure</w:t>
      </w:r>
      <w:r w:rsidR="00CC0F21" w:rsidRPr="0086784B">
        <w:rPr>
          <w:shd w:val="clear" w:color="auto" w:fill="FFFFFF"/>
          <w:lang w:val="en-US"/>
        </w:rPr>
        <w:t>,</w:t>
      </w:r>
      <w:r w:rsidR="007248A3" w:rsidRPr="0086784B">
        <w:rPr>
          <w:shd w:val="clear" w:color="auto" w:fill="FFFFFF"/>
          <w:lang w:val="en-US"/>
        </w:rPr>
        <w:t xml:space="preserve"> result</w:t>
      </w:r>
      <w:r w:rsidR="00DC1916" w:rsidRPr="0086784B">
        <w:rPr>
          <w:shd w:val="clear" w:color="auto" w:fill="FFFFFF"/>
          <w:lang w:val="en-US"/>
        </w:rPr>
        <w:t>ing</w:t>
      </w:r>
      <w:r w:rsidR="008F6B3E" w:rsidRPr="0086784B">
        <w:rPr>
          <w:shd w:val="clear" w:color="auto" w:fill="FFFFFF"/>
          <w:lang w:val="en-US"/>
        </w:rPr>
        <w:t xml:space="preserve"> in</w:t>
      </w:r>
      <w:r w:rsidR="004A326B" w:rsidRPr="0086784B">
        <w:rPr>
          <w:shd w:val="clear" w:color="auto" w:fill="FFFFFF"/>
          <w:lang w:val="en-US"/>
        </w:rPr>
        <w:t xml:space="preserve"> </w:t>
      </w:r>
      <w:r w:rsidR="00EB13E1" w:rsidRPr="0086784B">
        <w:rPr>
          <w:shd w:val="clear" w:color="auto" w:fill="FFFFFF"/>
          <w:lang w:val="en-US"/>
        </w:rPr>
        <w:t xml:space="preserve">arbitrary interference </w:t>
      </w:r>
      <w:r w:rsidR="00DC1916" w:rsidRPr="0086784B">
        <w:rPr>
          <w:shd w:val="clear" w:color="auto" w:fill="FFFFFF"/>
          <w:lang w:val="en-US"/>
        </w:rPr>
        <w:t xml:space="preserve">with </w:t>
      </w:r>
      <w:r w:rsidR="00BC66CA" w:rsidRPr="0086784B">
        <w:rPr>
          <w:shd w:val="clear" w:color="auto" w:fill="FFFFFF"/>
          <w:lang w:val="en-US"/>
        </w:rPr>
        <w:t>his right</w:t>
      </w:r>
      <w:r w:rsidR="006D2D35" w:rsidRPr="0086784B">
        <w:rPr>
          <w:shd w:val="clear" w:color="auto" w:fill="FFFFFF"/>
          <w:lang w:val="en-US"/>
        </w:rPr>
        <w:t xml:space="preserve">s under </w:t>
      </w:r>
      <w:r w:rsidR="0034593D" w:rsidRPr="0086784B">
        <w:rPr>
          <w:shd w:val="clear" w:color="auto" w:fill="FFFFFF"/>
          <w:lang w:val="en-US"/>
        </w:rPr>
        <w:t>article </w:t>
      </w:r>
      <w:r w:rsidR="006D2D35" w:rsidRPr="0086784B">
        <w:rPr>
          <w:shd w:val="clear" w:color="auto" w:fill="FFFFFF"/>
          <w:lang w:val="en-US"/>
        </w:rPr>
        <w:t>17</w:t>
      </w:r>
      <w:r w:rsidR="00EB13E1" w:rsidRPr="0086784B">
        <w:rPr>
          <w:shd w:val="clear" w:color="auto" w:fill="FFFFFF"/>
          <w:lang w:val="en-US"/>
        </w:rPr>
        <w:t xml:space="preserve">. Accordingly, </w:t>
      </w:r>
      <w:r w:rsidR="00EB13E1" w:rsidRPr="0086784B">
        <w:t xml:space="preserve">the Committee considers that the author has failed to sufficiently substantiate his claims of violation of </w:t>
      </w:r>
      <w:r w:rsidR="0034593D" w:rsidRPr="0086784B">
        <w:t>article </w:t>
      </w:r>
      <w:r w:rsidR="00EB13E1" w:rsidRPr="0086784B">
        <w:t xml:space="preserve">17 </w:t>
      </w:r>
      <w:r w:rsidR="00982C12" w:rsidRPr="0086784B">
        <w:t xml:space="preserve">for </w:t>
      </w:r>
      <w:r w:rsidR="00DC1916" w:rsidRPr="0086784B">
        <w:t xml:space="preserve">the </w:t>
      </w:r>
      <w:r w:rsidR="00982C12" w:rsidRPr="0086784B">
        <w:t>purpose</w:t>
      </w:r>
      <w:r w:rsidR="006D2D35" w:rsidRPr="0086784B">
        <w:t>s</w:t>
      </w:r>
      <w:r w:rsidR="00982C12" w:rsidRPr="0086784B">
        <w:t xml:space="preserve"> of admissibility </w:t>
      </w:r>
      <w:r w:rsidR="00EB13E1" w:rsidRPr="0086784B">
        <w:t xml:space="preserve">and </w:t>
      </w:r>
      <w:r w:rsidR="00982C12" w:rsidRPr="0086784B">
        <w:t>finds them</w:t>
      </w:r>
      <w:r w:rsidR="00EB13E1" w:rsidRPr="0086784B">
        <w:t xml:space="preserve"> inadmissible </w:t>
      </w:r>
      <w:r w:rsidR="00982C12" w:rsidRPr="0086784B">
        <w:t>pursuant to</w:t>
      </w:r>
      <w:r w:rsidR="00EB13E1" w:rsidRPr="0086784B">
        <w:t xml:space="preserve"> </w:t>
      </w:r>
      <w:r w:rsidR="0034593D" w:rsidRPr="0086784B">
        <w:t>article </w:t>
      </w:r>
      <w:r w:rsidR="00EB13E1" w:rsidRPr="0086784B">
        <w:t xml:space="preserve">2 of the Optional Protocol. </w:t>
      </w:r>
    </w:p>
    <w:p w:rsidR="00EB13E1" w:rsidRPr="0086784B" w:rsidRDefault="00E1714F" w:rsidP="00E1714F">
      <w:pPr>
        <w:pStyle w:val="SingleTxtG"/>
      </w:pPr>
      <w:r w:rsidRPr="0086784B">
        <w:t>7</w:t>
      </w:r>
      <w:r w:rsidR="00EB13E1" w:rsidRPr="0086784B">
        <w:t>.</w:t>
      </w:r>
      <w:r w:rsidR="00EB13E1" w:rsidRPr="0086784B">
        <w:tab/>
        <w:t>The Human Rights Committee therefore decides:</w:t>
      </w:r>
    </w:p>
    <w:p w:rsidR="00EB13E1" w:rsidRPr="0086784B" w:rsidRDefault="00E1714F" w:rsidP="00E1714F">
      <w:pPr>
        <w:pStyle w:val="SingleTxtG"/>
      </w:pPr>
      <w:r w:rsidRPr="0086784B">
        <w:tab/>
      </w:r>
      <w:r w:rsidR="00EB13E1" w:rsidRPr="0086784B">
        <w:t>(a)</w:t>
      </w:r>
      <w:r w:rsidR="00EB13E1" w:rsidRPr="0086784B">
        <w:tab/>
        <w:t xml:space="preserve">That the communication is inadmissible under </w:t>
      </w:r>
      <w:r w:rsidR="0034593D" w:rsidRPr="0086784B">
        <w:t>article </w:t>
      </w:r>
      <w:r w:rsidR="00EB13E1" w:rsidRPr="0086784B">
        <w:t>2 of the Optional Protocol;</w:t>
      </w:r>
    </w:p>
    <w:p w:rsidR="00EB13E1" w:rsidRPr="00196729" w:rsidRDefault="00E1714F" w:rsidP="00E1714F">
      <w:pPr>
        <w:pStyle w:val="SingleTxtG"/>
      </w:pPr>
      <w:r w:rsidRPr="0086784B">
        <w:tab/>
      </w:r>
      <w:r w:rsidR="00EB13E1" w:rsidRPr="0086784B">
        <w:t>(b)</w:t>
      </w:r>
      <w:r w:rsidR="00EB13E1" w:rsidRPr="0086784B">
        <w:tab/>
        <w:t>That the decision be transmitted to the State party and to the author.</w:t>
      </w:r>
    </w:p>
    <w:p w:rsidR="003521FD" w:rsidRPr="00A36331" w:rsidRDefault="003521FD" w:rsidP="003521FD">
      <w:pPr>
        <w:pStyle w:val="SingleTxtG"/>
        <w:spacing w:before="240" w:after="0" w:line="480" w:lineRule="auto"/>
        <w:jc w:val="center"/>
        <w:rPr>
          <w:u w:val="single"/>
        </w:rPr>
      </w:pPr>
      <w:r>
        <w:rPr>
          <w:u w:val="single"/>
        </w:rPr>
        <w:tab/>
      </w:r>
      <w:r>
        <w:rPr>
          <w:u w:val="single"/>
        </w:rPr>
        <w:tab/>
      </w:r>
      <w:r>
        <w:rPr>
          <w:u w:val="single"/>
        </w:rPr>
        <w:tab/>
      </w:r>
    </w:p>
    <w:sectPr w:rsidR="003521FD" w:rsidRPr="00A36331" w:rsidSect="00E35BCC">
      <w:headerReference w:type="even" r:id="rId10"/>
      <w:headerReference w:type="default" r:id="rId11"/>
      <w:footerReference w:type="even" r:id="rId12"/>
      <w:footerReference w:type="default" r:id="rId13"/>
      <w:footerReference w:type="first" r:id="rId14"/>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0C3" w:rsidRDefault="00E700C3"/>
  </w:endnote>
  <w:endnote w:type="continuationSeparator" w:id="0">
    <w:p w:rsidR="00E700C3" w:rsidRDefault="00E700C3"/>
  </w:endnote>
  <w:endnote w:type="continuationNotice" w:id="1">
    <w:p w:rsidR="00E700C3" w:rsidRDefault="00E70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FD" w:rsidRPr="00A36331" w:rsidRDefault="003521FD" w:rsidP="003521FD">
    <w:pPr>
      <w:pStyle w:val="Footer"/>
      <w:tabs>
        <w:tab w:val="right" w:pos="9638"/>
      </w:tabs>
    </w:pPr>
    <w:r w:rsidRPr="00A36331">
      <w:rPr>
        <w:b/>
        <w:sz w:val="18"/>
      </w:rPr>
      <w:fldChar w:fldCharType="begin"/>
    </w:r>
    <w:r w:rsidRPr="00A36331">
      <w:rPr>
        <w:b/>
        <w:sz w:val="18"/>
      </w:rPr>
      <w:instrText xml:space="preserve"> </w:instrText>
    </w:r>
    <w:r w:rsidR="00954186">
      <w:rPr>
        <w:b/>
        <w:sz w:val="18"/>
      </w:rPr>
      <w:instrText>PAGE</w:instrText>
    </w:r>
    <w:r w:rsidRPr="00A36331">
      <w:rPr>
        <w:b/>
        <w:sz w:val="18"/>
      </w:rPr>
      <w:instrText xml:space="preserve">  \* MERGEFORMAT </w:instrText>
    </w:r>
    <w:r w:rsidRPr="00A36331">
      <w:rPr>
        <w:b/>
        <w:sz w:val="18"/>
      </w:rPr>
      <w:fldChar w:fldCharType="separate"/>
    </w:r>
    <w:r w:rsidR="001B2D4D">
      <w:rPr>
        <w:b/>
        <w:noProof/>
        <w:sz w:val="18"/>
      </w:rPr>
      <w:t>2</w:t>
    </w:r>
    <w:r w:rsidRPr="00A36331">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FD" w:rsidRPr="00E1714F" w:rsidRDefault="003521FD" w:rsidP="00E1714F">
    <w:pPr>
      <w:pStyle w:val="Footer"/>
      <w:tabs>
        <w:tab w:val="left" w:pos="8054"/>
        <w:tab w:val="right" w:pos="9638"/>
      </w:tabs>
      <w:rPr>
        <w:b/>
        <w:sz w:val="18"/>
      </w:rPr>
    </w:pPr>
    <w:r>
      <w:rPr>
        <w:b/>
        <w:sz w:val="18"/>
      </w:rPr>
      <w:tab/>
    </w:r>
    <w:r w:rsidR="00E1714F">
      <w:rPr>
        <w:b/>
        <w:sz w:val="18"/>
      </w:rPr>
      <w:tab/>
    </w:r>
    <w:r w:rsidRPr="00E1714F">
      <w:rPr>
        <w:b/>
        <w:sz w:val="18"/>
      </w:rPr>
      <w:fldChar w:fldCharType="begin"/>
    </w:r>
    <w:r w:rsidRPr="00E1714F">
      <w:rPr>
        <w:b/>
        <w:sz w:val="18"/>
      </w:rPr>
      <w:instrText xml:space="preserve"> </w:instrText>
    </w:r>
    <w:r w:rsidR="00954186" w:rsidRPr="00E1714F">
      <w:rPr>
        <w:b/>
        <w:sz w:val="18"/>
      </w:rPr>
      <w:instrText>PAGE</w:instrText>
    </w:r>
    <w:r w:rsidRPr="00E1714F">
      <w:rPr>
        <w:b/>
        <w:sz w:val="18"/>
      </w:rPr>
      <w:instrText xml:space="preserve">  \* MERGEFORMAT </w:instrText>
    </w:r>
    <w:r w:rsidRPr="00E1714F">
      <w:rPr>
        <w:b/>
        <w:sz w:val="18"/>
      </w:rPr>
      <w:fldChar w:fldCharType="separate"/>
    </w:r>
    <w:r w:rsidR="001B2D4D">
      <w:rPr>
        <w:b/>
        <w:noProof/>
        <w:sz w:val="18"/>
      </w:rPr>
      <w:t>3</w:t>
    </w:r>
    <w:r w:rsidRPr="00E1714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48A" w:rsidRPr="0049666A" w:rsidRDefault="001F687B">
    <w:pPr>
      <w:pStyle w:val="Footer"/>
      <w:rPr>
        <w:sz w:val="20"/>
      </w:rPr>
    </w:pPr>
    <w:r>
      <w:rPr>
        <w:noProof/>
        <w:sz w:val="20"/>
        <w:lang w:val="en-US"/>
      </w:rPr>
      <w:drawing>
        <wp:anchor distT="0" distB="0" distL="114300" distR="114300" simplePos="0" relativeHeight="251659264" behindDoc="0" locked="0" layoutInCell="1" allowOverlap="1" wp14:anchorId="64F676F0" wp14:editId="5E3DB911">
          <wp:simplePos x="0" y="0"/>
          <wp:positionH relativeFrom="margin">
            <wp:posOffset>4283710</wp:posOffset>
          </wp:positionH>
          <wp:positionV relativeFrom="margin">
            <wp:posOffset>8207375</wp:posOffset>
          </wp:positionV>
          <wp:extent cx="930275" cy="230505"/>
          <wp:effectExtent l="0" t="0" r="3175" b="0"/>
          <wp:wrapNone/>
          <wp:docPr id="3" name="Picture 3"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08448A" w:rsidRPr="0049666A">
      <w:rPr>
        <w:sz w:val="20"/>
      </w:rPr>
      <w:t>GE.15-</w:t>
    </w:r>
    <w:r w:rsidR="008C765E">
      <w:rPr>
        <w:sz w:val="20"/>
      </w:rPr>
      <w:t>09532</w:t>
    </w:r>
    <w:r>
      <w:rPr>
        <w:sz w:val="20"/>
      </w:rPr>
      <w:t xml:space="preserve">  (E)</w:t>
    </w:r>
    <w:r w:rsidR="005327B3">
      <w:rPr>
        <w:sz w:val="20"/>
      </w:rPr>
      <w:br/>
    </w:r>
    <w:r w:rsidR="005327B3" w:rsidRPr="005327B3">
      <w:rPr>
        <w:rFonts w:ascii="C39T30Lfz" w:hAnsi="C39T30Lfz"/>
        <w:sz w:val="56"/>
      </w:rPr>
      <w:t></w:t>
    </w:r>
    <w:r w:rsidR="005327B3" w:rsidRPr="005327B3">
      <w:rPr>
        <w:rFonts w:ascii="C39T30Lfz" w:hAnsi="C39T30Lfz"/>
        <w:sz w:val="56"/>
      </w:rPr>
      <w:t></w:t>
    </w:r>
    <w:r w:rsidR="005327B3" w:rsidRPr="005327B3">
      <w:rPr>
        <w:rFonts w:ascii="C39T30Lfz" w:hAnsi="C39T30Lfz"/>
        <w:sz w:val="56"/>
      </w:rPr>
      <w:t></w:t>
    </w:r>
    <w:r w:rsidR="005327B3" w:rsidRPr="005327B3">
      <w:rPr>
        <w:rFonts w:ascii="C39T30Lfz" w:hAnsi="C39T30Lfz"/>
        <w:sz w:val="56"/>
      </w:rPr>
      <w:t></w:t>
    </w:r>
    <w:r w:rsidR="005327B3" w:rsidRPr="005327B3">
      <w:rPr>
        <w:rFonts w:ascii="C39T30Lfz" w:hAnsi="C39T30Lfz"/>
        <w:sz w:val="56"/>
      </w:rPr>
      <w:t></w:t>
    </w:r>
    <w:r w:rsidR="005327B3" w:rsidRPr="005327B3">
      <w:rPr>
        <w:rFonts w:ascii="C39T30Lfz" w:hAnsi="C39T30Lfz"/>
        <w:sz w:val="56"/>
      </w:rPr>
      <w:t></w:t>
    </w:r>
    <w:r w:rsidR="005327B3" w:rsidRPr="005327B3">
      <w:rPr>
        <w:rFonts w:ascii="C39T30Lfz" w:hAnsi="C39T30Lfz"/>
        <w:sz w:val="56"/>
      </w:rPr>
      <w:t></w:t>
    </w:r>
    <w:r w:rsidR="005327B3" w:rsidRPr="005327B3">
      <w:rPr>
        <w:rFonts w:ascii="C39T30Lfz" w:hAnsi="C39T30Lfz"/>
        <w:sz w:val="56"/>
      </w:rPr>
      <w:t></w:t>
    </w:r>
    <w:r w:rsidR="005327B3" w:rsidRPr="005327B3">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0C3" w:rsidRPr="000B175B" w:rsidRDefault="00E700C3" w:rsidP="003521FD">
      <w:pPr>
        <w:tabs>
          <w:tab w:val="right" w:pos="2155"/>
        </w:tabs>
        <w:spacing w:after="80"/>
        <w:ind w:left="680"/>
        <w:rPr>
          <w:u w:val="single"/>
        </w:rPr>
      </w:pPr>
      <w:r>
        <w:rPr>
          <w:u w:val="single"/>
        </w:rPr>
        <w:tab/>
      </w:r>
    </w:p>
  </w:footnote>
  <w:footnote w:type="continuationSeparator" w:id="0">
    <w:p w:rsidR="00E700C3" w:rsidRPr="00FC68B7" w:rsidRDefault="00E700C3" w:rsidP="003521FD">
      <w:pPr>
        <w:tabs>
          <w:tab w:val="left" w:pos="2155"/>
        </w:tabs>
        <w:spacing w:after="80"/>
        <w:ind w:left="680"/>
        <w:rPr>
          <w:u w:val="single"/>
        </w:rPr>
      </w:pPr>
      <w:r>
        <w:rPr>
          <w:u w:val="single"/>
        </w:rPr>
        <w:tab/>
      </w:r>
    </w:p>
  </w:footnote>
  <w:footnote w:type="continuationNotice" w:id="1">
    <w:p w:rsidR="00E700C3" w:rsidRDefault="00E700C3"/>
  </w:footnote>
  <w:footnote w:id="2">
    <w:p w:rsidR="00E0196A" w:rsidRPr="00F1637E" w:rsidRDefault="00E0196A" w:rsidP="000F7040">
      <w:pPr>
        <w:pStyle w:val="FootnoteText"/>
        <w:rPr>
          <w:lang w:val="fr-CH"/>
        </w:rPr>
      </w:pPr>
      <w:r>
        <w:rPr>
          <w:rStyle w:val="FootnoteReference"/>
        </w:rPr>
        <w:tab/>
      </w:r>
      <w:r w:rsidRPr="00F1637E">
        <w:rPr>
          <w:rStyle w:val="FootnoteReference"/>
          <w:sz w:val="20"/>
          <w:vertAlign w:val="baseline"/>
        </w:rPr>
        <w:t>*</w:t>
      </w:r>
      <w:r w:rsidRPr="00F1637E">
        <w:rPr>
          <w:rStyle w:val="FootnoteReference"/>
          <w:sz w:val="20"/>
        </w:rPr>
        <w:tab/>
      </w:r>
      <w:r w:rsidRPr="00F1637E">
        <w:t xml:space="preserve">The following members of the </w:t>
      </w:r>
      <w:r w:rsidRPr="00F1637E">
        <w:rPr>
          <w:lang w:val="fr-CH"/>
        </w:rPr>
        <w:t>Committee p</w:t>
      </w:r>
      <w:r w:rsidRPr="00F1637E">
        <w:t xml:space="preserve">articipated in the examination of the present communication: Yadh Ben Achour, Lazhari Bouzid, Sarah Cleveland, Olivier </w:t>
      </w:r>
      <w:r w:rsidR="00E94C81" w:rsidRPr="00F1637E">
        <w:rPr>
          <w:lang w:val="en-US"/>
        </w:rPr>
        <w:t>d</w:t>
      </w:r>
      <w:r w:rsidRPr="00F1637E">
        <w:t>e Frouville, Yuji Iwasawa, Ivana Jeli</w:t>
      </w:r>
      <w:r w:rsidR="00E94C81" w:rsidRPr="00F1637E">
        <w:t>ć</w:t>
      </w:r>
      <w:r w:rsidRPr="00F1637E">
        <w:t xml:space="preserve">, Duncan </w:t>
      </w:r>
      <w:r w:rsidR="000F7040" w:rsidRPr="00F1637E">
        <w:t>Laki</w:t>
      </w:r>
      <w:r w:rsidR="000F7040" w:rsidRPr="00F1637E">
        <w:rPr>
          <w:lang w:val="en-US"/>
        </w:rPr>
        <w:t xml:space="preserve"> </w:t>
      </w:r>
      <w:r w:rsidRPr="00F1637E">
        <w:t>Muhumuza, Photini Pazartzis, Mauro Politi, Sir Nigel Rodley, V</w:t>
      </w:r>
      <w:r w:rsidR="00E94C81" w:rsidRPr="00F1637E">
        <w:rPr>
          <w:lang w:val="en-US"/>
        </w:rPr>
        <w:t>í</w:t>
      </w:r>
      <w:r w:rsidRPr="00F1637E">
        <w:t>ctor Manuel Rodr</w:t>
      </w:r>
      <w:r w:rsidR="00E94C81" w:rsidRPr="00F1637E">
        <w:rPr>
          <w:lang w:val="en-US"/>
        </w:rPr>
        <w:t>í</w:t>
      </w:r>
      <w:r w:rsidRPr="00F1637E">
        <w:t xml:space="preserve">guez-Rescia, Fabián Omar Salvioli, Dheerujlall Seetulsingh, Anja Seibert-Fohr, Yuval Shany, Konstantine Vardzelashvili </w:t>
      </w:r>
      <w:r w:rsidRPr="00F1637E">
        <w:rPr>
          <w:lang w:val="en-US"/>
        </w:rPr>
        <w:t>and</w:t>
      </w:r>
      <w:r w:rsidR="00E35BCC" w:rsidRPr="00F1637E">
        <w:rPr>
          <w:lang w:val="en-US"/>
        </w:rPr>
        <w:t xml:space="preserve"> </w:t>
      </w:r>
      <w:r w:rsidRPr="00F1637E">
        <w:t>Margo Waterval.</w:t>
      </w:r>
    </w:p>
  </w:footnote>
  <w:footnote w:id="3">
    <w:p w:rsidR="00BF2768" w:rsidRPr="00E46239" w:rsidRDefault="00E1714F" w:rsidP="00E1714F">
      <w:pPr>
        <w:pStyle w:val="FootnoteText"/>
        <w:rPr>
          <w:lang w:val="en-GB"/>
        </w:rPr>
      </w:pPr>
      <w:r w:rsidRPr="00F1637E">
        <w:rPr>
          <w:lang w:val="en-GB"/>
        </w:rPr>
        <w:tab/>
      </w:r>
      <w:r w:rsidR="00BF2768" w:rsidRPr="00F1637E">
        <w:rPr>
          <w:rStyle w:val="FootnoteReference"/>
          <w:szCs w:val="18"/>
        </w:rPr>
        <w:footnoteRef/>
      </w:r>
      <w:r w:rsidRPr="00F1637E">
        <w:rPr>
          <w:lang w:val="en-GB"/>
        </w:rPr>
        <w:tab/>
      </w:r>
      <w:r w:rsidR="00BF2768" w:rsidRPr="00F1637E">
        <w:rPr>
          <w:lang w:val="en-GB"/>
        </w:rPr>
        <w:t>The Committee notes the State party’s observation</w:t>
      </w:r>
      <w:r w:rsidR="000647D6" w:rsidRPr="00F1637E">
        <w:rPr>
          <w:lang w:val="en-GB"/>
        </w:rPr>
        <w:t>s</w:t>
      </w:r>
      <w:r w:rsidR="00BF2768" w:rsidRPr="00F1637E">
        <w:rPr>
          <w:lang w:val="en-GB"/>
        </w:rPr>
        <w:t xml:space="preserve"> that</w:t>
      </w:r>
      <w:r w:rsidR="000647D6" w:rsidRPr="00F1637E">
        <w:rPr>
          <w:lang w:val="en-GB"/>
        </w:rPr>
        <w:t xml:space="preserve"> the</w:t>
      </w:r>
      <w:r w:rsidR="00BF2768" w:rsidRPr="00F1637E">
        <w:rPr>
          <w:lang w:val="en-GB"/>
        </w:rPr>
        <w:t xml:space="preserve"> author’s age indicated in h</w:t>
      </w:r>
      <w:r w:rsidR="000647D6" w:rsidRPr="00F1637E">
        <w:rPr>
          <w:lang w:val="en-GB"/>
        </w:rPr>
        <w:t>is communication is not correct and that he was assigned as date of birth 1</w:t>
      </w:r>
      <w:r w:rsidR="00C47C99" w:rsidRPr="00F1637E">
        <w:rPr>
          <w:lang w:val="en-GB"/>
        </w:rPr>
        <w:t xml:space="preserve"> </w:t>
      </w:r>
      <w:r w:rsidR="000647D6" w:rsidRPr="00F1637E">
        <w:rPr>
          <w:lang w:val="en-GB"/>
        </w:rPr>
        <w:t>January 1981</w:t>
      </w:r>
      <w:r w:rsidR="00985016" w:rsidRPr="00F1637E">
        <w:rPr>
          <w:lang w:val="en-GB"/>
        </w:rPr>
        <w:t xml:space="preserve"> (see </w:t>
      </w:r>
      <w:r w:rsidR="0034593D" w:rsidRPr="00F1637E">
        <w:rPr>
          <w:lang w:val="en-GB"/>
        </w:rPr>
        <w:t>para. </w:t>
      </w:r>
      <w:r w:rsidR="00985016" w:rsidRPr="00F1637E">
        <w:rPr>
          <w:lang w:val="en-GB"/>
        </w:rPr>
        <w:t>4.4</w:t>
      </w:r>
      <w:r w:rsidR="00AF6062" w:rsidRPr="00F1637E">
        <w:rPr>
          <w:lang w:val="en-GB"/>
        </w:rPr>
        <w:t xml:space="preserve"> below</w:t>
      </w:r>
      <w:r w:rsidR="00985016" w:rsidRPr="00F1637E">
        <w:rPr>
          <w:lang w:val="en-GB"/>
        </w:rPr>
        <w:t>)</w:t>
      </w:r>
      <w:r w:rsidR="000647D6" w:rsidRPr="00F1637E">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FD" w:rsidRPr="00A36331" w:rsidRDefault="003521FD" w:rsidP="003521FD">
    <w:pPr>
      <w:pStyle w:val="Header"/>
    </w:pPr>
    <w:r>
      <w:t>CCPR/C/11</w:t>
    </w:r>
    <w:r w:rsidR="00227516">
      <w:t>3</w:t>
    </w:r>
    <w:r>
      <w:t>/D/</w:t>
    </w:r>
    <w:r w:rsidR="00227516">
      <w:t>2050</w:t>
    </w:r>
    <w:r>
      <w:t>/201</w:t>
    </w:r>
    <w:r w:rsidR="00227516">
      <w:t>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1FD" w:rsidRPr="00A36331" w:rsidRDefault="003521FD" w:rsidP="003521FD">
    <w:pPr>
      <w:pStyle w:val="Header"/>
      <w:jc w:val="right"/>
    </w:pPr>
    <w:r>
      <w:t>CCPR/C/11</w:t>
    </w:r>
    <w:r w:rsidR="00227516">
      <w:t>3</w:t>
    </w:r>
    <w:r>
      <w:t>/D/</w:t>
    </w:r>
    <w:r w:rsidR="00227516">
      <w:t>2050</w:t>
    </w:r>
    <w:r>
      <w:t>/201</w:t>
    </w:r>
    <w:r w:rsidR="00227516">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DE0037"/>
    <w:multiLevelType w:val="hybridMultilevel"/>
    <w:tmpl w:val="F93044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331"/>
    <w:rsid w:val="00034B3A"/>
    <w:rsid w:val="00045B82"/>
    <w:rsid w:val="00053402"/>
    <w:rsid w:val="000647D6"/>
    <w:rsid w:val="00074F5C"/>
    <w:rsid w:val="0007777E"/>
    <w:rsid w:val="00082B88"/>
    <w:rsid w:val="0008448A"/>
    <w:rsid w:val="00085F87"/>
    <w:rsid w:val="0008640C"/>
    <w:rsid w:val="000A4038"/>
    <w:rsid w:val="000A5125"/>
    <w:rsid w:val="000B3796"/>
    <w:rsid w:val="000B4F14"/>
    <w:rsid w:val="000B5E58"/>
    <w:rsid w:val="000B7E50"/>
    <w:rsid w:val="000C02F4"/>
    <w:rsid w:val="000C25B2"/>
    <w:rsid w:val="000C614A"/>
    <w:rsid w:val="000D3D53"/>
    <w:rsid w:val="000E7F30"/>
    <w:rsid w:val="000F54A0"/>
    <w:rsid w:val="000F6923"/>
    <w:rsid w:val="000F7040"/>
    <w:rsid w:val="00101C5A"/>
    <w:rsid w:val="00105DEB"/>
    <w:rsid w:val="001118BC"/>
    <w:rsid w:val="00116C39"/>
    <w:rsid w:val="00132D6B"/>
    <w:rsid w:val="00142515"/>
    <w:rsid w:val="00142885"/>
    <w:rsid w:val="00150CC2"/>
    <w:rsid w:val="00160847"/>
    <w:rsid w:val="00163940"/>
    <w:rsid w:val="00180257"/>
    <w:rsid w:val="001808A2"/>
    <w:rsid w:val="0019222B"/>
    <w:rsid w:val="00193BB8"/>
    <w:rsid w:val="00193E25"/>
    <w:rsid w:val="001A1341"/>
    <w:rsid w:val="001B0B2A"/>
    <w:rsid w:val="001B2D4D"/>
    <w:rsid w:val="001B30EB"/>
    <w:rsid w:val="001C168B"/>
    <w:rsid w:val="001C1F57"/>
    <w:rsid w:val="001F6867"/>
    <w:rsid w:val="001F687B"/>
    <w:rsid w:val="00200BE4"/>
    <w:rsid w:val="0020482B"/>
    <w:rsid w:val="00213ABF"/>
    <w:rsid w:val="00220996"/>
    <w:rsid w:val="0022261C"/>
    <w:rsid w:val="00227516"/>
    <w:rsid w:val="00233842"/>
    <w:rsid w:val="00234406"/>
    <w:rsid w:val="00242301"/>
    <w:rsid w:val="00261D5A"/>
    <w:rsid w:val="00263231"/>
    <w:rsid w:val="00264595"/>
    <w:rsid w:val="00274548"/>
    <w:rsid w:val="00285A55"/>
    <w:rsid w:val="00286040"/>
    <w:rsid w:val="002B2E9E"/>
    <w:rsid w:val="002B2ECD"/>
    <w:rsid w:val="002C2931"/>
    <w:rsid w:val="002C6551"/>
    <w:rsid w:val="002E401B"/>
    <w:rsid w:val="002E664D"/>
    <w:rsid w:val="002F7A2B"/>
    <w:rsid w:val="00301D34"/>
    <w:rsid w:val="00303C65"/>
    <w:rsid w:val="003140C8"/>
    <w:rsid w:val="00330FCC"/>
    <w:rsid w:val="0034593D"/>
    <w:rsid w:val="00346004"/>
    <w:rsid w:val="003521FD"/>
    <w:rsid w:val="00360060"/>
    <w:rsid w:val="00363C65"/>
    <w:rsid w:val="00375392"/>
    <w:rsid w:val="0038032C"/>
    <w:rsid w:val="003853F0"/>
    <w:rsid w:val="0038595F"/>
    <w:rsid w:val="00391F31"/>
    <w:rsid w:val="00392406"/>
    <w:rsid w:val="003A2A3F"/>
    <w:rsid w:val="003C279E"/>
    <w:rsid w:val="003D53DD"/>
    <w:rsid w:val="003D704C"/>
    <w:rsid w:val="003E0D4A"/>
    <w:rsid w:val="003E7A58"/>
    <w:rsid w:val="003F3297"/>
    <w:rsid w:val="003F5D49"/>
    <w:rsid w:val="003F74C0"/>
    <w:rsid w:val="0040273E"/>
    <w:rsid w:val="00410917"/>
    <w:rsid w:val="004150DE"/>
    <w:rsid w:val="004171BE"/>
    <w:rsid w:val="004269BD"/>
    <w:rsid w:val="0043026B"/>
    <w:rsid w:val="00430737"/>
    <w:rsid w:val="0045055A"/>
    <w:rsid w:val="004514F6"/>
    <w:rsid w:val="00454F5B"/>
    <w:rsid w:val="004554FD"/>
    <w:rsid w:val="00457329"/>
    <w:rsid w:val="00461235"/>
    <w:rsid w:val="00461E68"/>
    <w:rsid w:val="00466E98"/>
    <w:rsid w:val="00484DEF"/>
    <w:rsid w:val="0049666A"/>
    <w:rsid w:val="00496C56"/>
    <w:rsid w:val="004A0CD9"/>
    <w:rsid w:val="004A326B"/>
    <w:rsid w:val="004A593B"/>
    <w:rsid w:val="004C3710"/>
    <w:rsid w:val="004C4D3E"/>
    <w:rsid w:val="004C6B44"/>
    <w:rsid w:val="004D3321"/>
    <w:rsid w:val="004D4938"/>
    <w:rsid w:val="004D65C4"/>
    <w:rsid w:val="004D6C66"/>
    <w:rsid w:val="004E031F"/>
    <w:rsid w:val="004E3A91"/>
    <w:rsid w:val="004E4E36"/>
    <w:rsid w:val="004E5C13"/>
    <w:rsid w:val="005014F4"/>
    <w:rsid w:val="0050180D"/>
    <w:rsid w:val="00513689"/>
    <w:rsid w:val="00515CB0"/>
    <w:rsid w:val="00515EC0"/>
    <w:rsid w:val="00520A9E"/>
    <w:rsid w:val="0052450C"/>
    <w:rsid w:val="005303D4"/>
    <w:rsid w:val="005327B3"/>
    <w:rsid w:val="00560E2A"/>
    <w:rsid w:val="00571962"/>
    <w:rsid w:val="00572084"/>
    <w:rsid w:val="00573931"/>
    <w:rsid w:val="0057556D"/>
    <w:rsid w:val="00583A8C"/>
    <w:rsid w:val="0059048E"/>
    <w:rsid w:val="00593CB6"/>
    <w:rsid w:val="005A2EE0"/>
    <w:rsid w:val="005A3EE3"/>
    <w:rsid w:val="005A4DD5"/>
    <w:rsid w:val="005C19E3"/>
    <w:rsid w:val="005C5A67"/>
    <w:rsid w:val="005D1DB0"/>
    <w:rsid w:val="005E014B"/>
    <w:rsid w:val="0060200A"/>
    <w:rsid w:val="00603AA3"/>
    <w:rsid w:val="00607CF5"/>
    <w:rsid w:val="00614CA7"/>
    <w:rsid w:val="00614FF1"/>
    <w:rsid w:val="0062096E"/>
    <w:rsid w:val="00625A04"/>
    <w:rsid w:val="0063486D"/>
    <w:rsid w:val="0063496C"/>
    <w:rsid w:val="006358CB"/>
    <w:rsid w:val="00640E68"/>
    <w:rsid w:val="00647E2B"/>
    <w:rsid w:val="00652DEA"/>
    <w:rsid w:val="00661370"/>
    <w:rsid w:val="0067029F"/>
    <w:rsid w:val="00675CB6"/>
    <w:rsid w:val="006911C4"/>
    <w:rsid w:val="00694A17"/>
    <w:rsid w:val="006A7D8B"/>
    <w:rsid w:val="006B075F"/>
    <w:rsid w:val="006B5433"/>
    <w:rsid w:val="006C0A80"/>
    <w:rsid w:val="006D2C8D"/>
    <w:rsid w:val="006D2D35"/>
    <w:rsid w:val="006D4CCC"/>
    <w:rsid w:val="006D66C6"/>
    <w:rsid w:val="006E37BE"/>
    <w:rsid w:val="006E39F9"/>
    <w:rsid w:val="006F1B59"/>
    <w:rsid w:val="006F2B9E"/>
    <w:rsid w:val="006F336E"/>
    <w:rsid w:val="006F673D"/>
    <w:rsid w:val="007022BA"/>
    <w:rsid w:val="00711170"/>
    <w:rsid w:val="0071216F"/>
    <w:rsid w:val="007165EE"/>
    <w:rsid w:val="007248A3"/>
    <w:rsid w:val="007270AC"/>
    <w:rsid w:val="0073701A"/>
    <w:rsid w:val="007547EF"/>
    <w:rsid w:val="007604A0"/>
    <w:rsid w:val="00760A71"/>
    <w:rsid w:val="007632F5"/>
    <w:rsid w:val="007737EC"/>
    <w:rsid w:val="00773FF1"/>
    <w:rsid w:val="00787972"/>
    <w:rsid w:val="007A06CB"/>
    <w:rsid w:val="007A130B"/>
    <w:rsid w:val="007A32EC"/>
    <w:rsid w:val="007A7CFE"/>
    <w:rsid w:val="007B0F55"/>
    <w:rsid w:val="007B0FBB"/>
    <w:rsid w:val="007B4AFF"/>
    <w:rsid w:val="007B7EBF"/>
    <w:rsid w:val="007C38CE"/>
    <w:rsid w:val="007C455C"/>
    <w:rsid w:val="007C5CE6"/>
    <w:rsid w:val="007E0247"/>
    <w:rsid w:val="007E137A"/>
    <w:rsid w:val="007F0737"/>
    <w:rsid w:val="007F2DAC"/>
    <w:rsid w:val="007F7855"/>
    <w:rsid w:val="007F7F0C"/>
    <w:rsid w:val="00805DA7"/>
    <w:rsid w:val="00820D59"/>
    <w:rsid w:val="00825083"/>
    <w:rsid w:val="00831A5C"/>
    <w:rsid w:val="00835AED"/>
    <w:rsid w:val="00843C8B"/>
    <w:rsid w:val="0084546C"/>
    <w:rsid w:val="0085411F"/>
    <w:rsid w:val="00860C5A"/>
    <w:rsid w:val="00865800"/>
    <w:rsid w:val="00865EB9"/>
    <w:rsid w:val="00866765"/>
    <w:rsid w:val="0086784B"/>
    <w:rsid w:val="00875162"/>
    <w:rsid w:val="00880464"/>
    <w:rsid w:val="0088132E"/>
    <w:rsid w:val="00882E4B"/>
    <w:rsid w:val="00890DB8"/>
    <w:rsid w:val="00890EB7"/>
    <w:rsid w:val="00891380"/>
    <w:rsid w:val="008938FC"/>
    <w:rsid w:val="008A6350"/>
    <w:rsid w:val="008A69EB"/>
    <w:rsid w:val="008B50E3"/>
    <w:rsid w:val="008C63FE"/>
    <w:rsid w:val="008C765E"/>
    <w:rsid w:val="008D16E1"/>
    <w:rsid w:val="008F350C"/>
    <w:rsid w:val="008F6B3E"/>
    <w:rsid w:val="00901BBC"/>
    <w:rsid w:val="00905759"/>
    <w:rsid w:val="00907421"/>
    <w:rsid w:val="00911297"/>
    <w:rsid w:val="00936BF3"/>
    <w:rsid w:val="0094343E"/>
    <w:rsid w:val="009449EA"/>
    <w:rsid w:val="00946229"/>
    <w:rsid w:val="00954186"/>
    <w:rsid w:val="00957840"/>
    <w:rsid w:val="00962793"/>
    <w:rsid w:val="00965487"/>
    <w:rsid w:val="009667F1"/>
    <w:rsid w:val="00967C70"/>
    <w:rsid w:val="00970D52"/>
    <w:rsid w:val="00976687"/>
    <w:rsid w:val="00981ADD"/>
    <w:rsid w:val="00982C12"/>
    <w:rsid w:val="00985016"/>
    <w:rsid w:val="00990ACC"/>
    <w:rsid w:val="009A2B9F"/>
    <w:rsid w:val="009B159E"/>
    <w:rsid w:val="009B7C46"/>
    <w:rsid w:val="009C50D4"/>
    <w:rsid w:val="009C7F9A"/>
    <w:rsid w:val="009D27F7"/>
    <w:rsid w:val="009D6F4F"/>
    <w:rsid w:val="009E484E"/>
    <w:rsid w:val="009F071D"/>
    <w:rsid w:val="00A12AE1"/>
    <w:rsid w:val="00A1481D"/>
    <w:rsid w:val="00A32505"/>
    <w:rsid w:val="00A33BA3"/>
    <w:rsid w:val="00A36331"/>
    <w:rsid w:val="00A44388"/>
    <w:rsid w:val="00A456FA"/>
    <w:rsid w:val="00A51BC7"/>
    <w:rsid w:val="00A53310"/>
    <w:rsid w:val="00A736D5"/>
    <w:rsid w:val="00A834AD"/>
    <w:rsid w:val="00A8389B"/>
    <w:rsid w:val="00A935C0"/>
    <w:rsid w:val="00A97CD4"/>
    <w:rsid w:val="00AA4700"/>
    <w:rsid w:val="00AA7702"/>
    <w:rsid w:val="00AB1626"/>
    <w:rsid w:val="00AC2349"/>
    <w:rsid w:val="00AD33EF"/>
    <w:rsid w:val="00AE5214"/>
    <w:rsid w:val="00AF1E45"/>
    <w:rsid w:val="00AF3F37"/>
    <w:rsid w:val="00AF6062"/>
    <w:rsid w:val="00B013C3"/>
    <w:rsid w:val="00B04148"/>
    <w:rsid w:val="00B06899"/>
    <w:rsid w:val="00B1664E"/>
    <w:rsid w:val="00B21E99"/>
    <w:rsid w:val="00B3389D"/>
    <w:rsid w:val="00B34B2F"/>
    <w:rsid w:val="00B4597C"/>
    <w:rsid w:val="00B52262"/>
    <w:rsid w:val="00B56A4D"/>
    <w:rsid w:val="00B86826"/>
    <w:rsid w:val="00BA0B78"/>
    <w:rsid w:val="00BA1AD3"/>
    <w:rsid w:val="00BA4B73"/>
    <w:rsid w:val="00BB5747"/>
    <w:rsid w:val="00BB6C0F"/>
    <w:rsid w:val="00BB71EB"/>
    <w:rsid w:val="00BC4196"/>
    <w:rsid w:val="00BC66CA"/>
    <w:rsid w:val="00BD2C1C"/>
    <w:rsid w:val="00BF2768"/>
    <w:rsid w:val="00BF7E8A"/>
    <w:rsid w:val="00C06826"/>
    <w:rsid w:val="00C101F0"/>
    <w:rsid w:val="00C13C92"/>
    <w:rsid w:val="00C179E6"/>
    <w:rsid w:val="00C257D7"/>
    <w:rsid w:val="00C302BF"/>
    <w:rsid w:val="00C47C99"/>
    <w:rsid w:val="00C522A5"/>
    <w:rsid w:val="00C61CEB"/>
    <w:rsid w:val="00C665FC"/>
    <w:rsid w:val="00C818F5"/>
    <w:rsid w:val="00C828B3"/>
    <w:rsid w:val="00C946AE"/>
    <w:rsid w:val="00C95525"/>
    <w:rsid w:val="00CB0C33"/>
    <w:rsid w:val="00CB1810"/>
    <w:rsid w:val="00CB2C22"/>
    <w:rsid w:val="00CB6FDB"/>
    <w:rsid w:val="00CC0F21"/>
    <w:rsid w:val="00CC354F"/>
    <w:rsid w:val="00CC6717"/>
    <w:rsid w:val="00CD1EFF"/>
    <w:rsid w:val="00CD724B"/>
    <w:rsid w:val="00CD7A0A"/>
    <w:rsid w:val="00CF181C"/>
    <w:rsid w:val="00CF6A8F"/>
    <w:rsid w:val="00D0373F"/>
    <w:rsid w:val="00D0745E"/>
    <w:rsid w:val="00D1653F"/>
    <w:rsid w:val="00D21B0B"/>
    <w:rsid w:val="00D22541"/>
    <w:rsid w:val="00D22B11"/>
    <w:rsid w:val="00D31896"/>
    <w:rsid w:val="00D44AA2"/>
    <w:rsid w:val="00D60E57"/>
    <w:rsid w:val="00D626D7"/>
    <w:rsid w:val="00D74147"/>
    <w:rsid w:val="00D7694F"/>
    <w:rsid w:val="00D90C35"/>
    <w:rsid w:val="00D933AF"/>
    <w:rsid w:val="00D93808"/>
    <w:rsid w:val="00DA3222"/>
    <w:rsid w:val="00DA5771"/>
    <w:rsid w:val="00DA5A64"/>
    <w:rsid w:val="00DB2DB9"/>
    <w:rsid w:val="00DC0CD3"/>
    <w:rsid w:val="00DC1916"/>
    <w:rsid w:val="00DC5D4E"/>
    <w:rsid w:val="00DD391E"/>
    <w:rsid w:val="00DD57CB"/>
    <w:rsid w:val="00DE11CB"/>
    <w:rsid w:val="00DE3B58"/>
    <w:rsid w:val="00DF4BD3"/>
    <w:rsid w:val="00DF7E82"/>
    <w:rsid w:val="00E0196A"/>
    <w:rsid w:val="00E1714F"/>
    <w:rsid w:val="00E31D5E"/>
    <w:rsid w:val="00E35BCC"/>
    <w:rsid w:val="00E35E4B"/>
    <w:rsid w:val="00E401DC"/>
    <w:rsid w:val="00E41625"/>
    <w:rsid w:val="00E42824"/>
    <w:rsid w:val="00E44D25"/>
    <w:rsid w:val="00E44DC9"/>
    <w:rsid w:val="00E46239"/>
    <w:rsid w:val="00E575CB"/>
    <w:rsid w:val="00E60D9F"/>
    <w:rsid w:val="00E65BE9"/>
    <w:rsid w:val="00E700C3"/>
    <w:rsid w:val="00E726BE"/>
    <w:rsid w:val="00E76393"/>
    <w:rsid w:val="00E93473"/>
    <w:rsid w:val="00E94C81"/>
    <w:rsid w:val="00EA0218"/>
    <w:rsid w:val="00EB13E1"/>
    <w:rsid w:val="00EB5DC6"/>
    <w:rsid w:val="00EC049F"/>
    <w:rsid w:val="00EC273C"/>
    <w:rsid w:val="00ED0B9F"/>
    <w:rsid w:val="00ED394B"/>
    <w:rsid w:val="00ED44E0"/>
    <w:rsid w:val="00ED5EAA"/>
    <w:rsid w:val="00EE78B5"/>
    <w:rsid w:val="00EF6ADA"/>
    <w:rsid w:val="00F040E3"/>
    <w:rsid w:val="00F1637E"/>
    <w:rsid w:val="00F17110"/>
    <w:rsid w:val="00F174E1"/>
    <w:rsid w:val="00F3690C"/>
    <w:rsid w:val="00F36C18"/>
    <w:rsid w:val="00F41C28"/>
    <w:rsid w:val="00F45560"/>
    <w:rsid w:val="00F45849"/>
    <w:rsid w:val="00F511F2"/>
    <w:rsid w:val="00F6094E"/>
    <w:rsid w:val="00F637AC"/>
    <w:rsid w:val="00F655CA"/>
    <w:rsid w:val="00F71FEB"/>
    <w:rsid w:val="00F7533C"/>
    <w:rsid w:val="00F91204"/>
    <w:rsid w:val="00F91221"/>
    <w:rsid w:val="00F94A19"/>
    <w:rsid w:val="00F96A62"/>
    <w:rsid w:val="00FB181D"/>
    <w:rsid w:val="00FB3BE0"/>
    <w:rsid w:val="00FB705E"/>
    <w:rsid w:val="00FC374E"/>
    <w:rsid w:val="00FD1A98"/>
    <w:rsid w:val="00FE4415"/>
    <w:rsid w:val="00FF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A236A6-9A90-439A-9117-F4F27192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Char"/>
    <w:basedOn w:val="Normal"/>
    <w:link w:val="FootnoteTextChar"/>
    <w:rsid w:val="000272B3"/>
    <w:pPr>
      <w:tabs>
        <w:tab w:val="right" w:pos="1021"/>
      </w:tabs>
      <w:spacing w:line="220" w:lineRule="exact"/>
      <w:ind w:left="1134" w:right="1134" w:hanging="1134"/>
    </w:pPr>
    <w:rPr>
      <w:sz w:val="18"/>
      <w:lang w:val="x-none"/>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Footnote number,ftref"/>
    <w:rsid w:val="000272B3"/>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Char Char"/>
    <w:link w:val="FootnoteText"/>
    <w:rsid w:val="00A36331"/>
    <w:rPr>
      <w:sz w:val="18"/>
      <w:lang w:eastAsia="en-US"/>
    </w:rPr>
  </w:style>
  <w:style w:type="paragraph" w:styleId="BalloonText">
    <w:name w:val="Balloon Text"/>
    <w:basedOn w:val="Normal"/>
    <w:link w:val="BalloonTextChar"/>
    <w:rsid w:val="00E11B5E"/>
    <w:pPr>
      <w:spacing w:line="240" w:lineRule="auto"/>
    </w:pPr>
    <w:rPr>
      <w:rFonts w:ascii="Tahoma" w:hAnsi="Tahoma"/>
      <w:sz w:val="16"/>
      <w:szCs w:val="16"/>
      <w:lang w:val="x-none"/>
    </w:rPr>
  </w:style>
  <w:style w:type="character" w:customStyle="1" w:styleId="BalloonTextChar">
    <w:name w:val="Balloon Text Char"/>
    <w:link w:val="BalloonText"/>
    <w:rsid w:val="00E11B5E"/>
    <w:rPr>
      <w:rFonts w:ascii="Tahoma" w:hAnsi="Tahoma" w:cs="Tahoma"/>
      <w:sz w:val="16"/>
      <w:szCs w:val="16"/>
      <w:lang w:eastAsia="en-US"/>
    </w:rPr>
  </w:style>
  <w:style w:type="character" w:customStyle="1" w:styleId="SingleTxtGChar">
    <w:name w:val="_ Single Txt_G Char"/>
    <w:link w:val="SingleTxtG"/>
    <w:rsid w:val="00A21D91"/>
    <w:rPr>
      <w:lang w:val="en-GB" w:eastAsia="en-US"/>
    </w:rPr>
  </w:style>
  <w:style w:type="character" w:styleId="CommentReference">
    <w:name w:val="annotation reference"/>
    <w:rsid w:val="004C4D3E"/>
    <w:rPr>
      <w:sz w:val="16"/>
      <w:szCs w:val="16"/>
    </w:rPr>
  </w:style>
  <w:style w:type="paragraph" w:styleId="CommentText">
    <w:name w:val="annotation text"/>
    <w:basedOn w:val="Normal"/>
    <w:link w:val="CommentTextChar"/>
    <w:rsid w:val="004C4D3E"/>
  </w:style>
  <w:style w:type="character" w:customStyle="1" w:styleId="CommentTextChar">
    <w:name w:val="Comment Text Char"/>
    <w:link w:val="CommentText"/>
    <w:rsid w:val="004C4D3E"/>
    <w:rPr>
      <w:lang w:eastAsia="en-US"/>
    </w:rPr>
  </w:style>
  <w:style w:type="paragraph" w:styleId="CommentSubject">
    <w:name w:val="annotation subject"/>
    <w:basedOn w:val="CommentText"/>
    <w:next w:val="CommentText"/>
    <w:link w:val="CommentSubjectChar"/>
    <w:rsid w:val="004C4D3E"/>
    <w:rPr>
      <w:b/>
      <w:bCs/>
    </w:rPr>
  </w:style>
  <w:style w:type="character" w:customStyle="1" w:styleId="CommentSubjectChar">
    <w:name w:val="Comment Subject Char"/>
    <w:link w:val="CommentSubject"/>
    <w:rsid w:val="004C4D3E"/>
    <w:rPr>
      <w:b/>
      <w:bCs/>
      <w:lang w:eastAsia="en-US"/>
    </w:rPr>
  </w:style>
  <w:style w:type="paragraph" w:styleId="Revision">
    <w:name w:val="Revision"/>
    <w:hidden/>
    <w:uiPriority w:val="99"/>
    <w:semiHidden/>
    <w:rsid w:val="007F785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2782">
      <w:bodyDiv w:val="1"/>
      <w:marLeft w:val="0"/>
      <w:marRight w:val="0"/>
      <w:marTop w:val="0"/>
      <w:marBottom w:val="0"/>
      <w:divBdr>
        <w:top w:val="none" w:sz="0" w:space="0" w:color="auto"/>
        <w:left w:val="none" w:sz="0" w:space="0" w:color="auto"/>
        <w:bottom w:val="none" w:sz="0" w:space="0" w:color="auto"/>
        <w:right w:val="none" w:sz="0" w:space="0" w:color="auto"/>
      </w:divBdr>
    </w:div>
    <w:div w:id="657809017">
      <w:bodyDiv w:val="1"/>
      <w:marLeft w:val="0"/>
      <w:marRight w:val="0"/>
      <w:marTop w:val="0"/>
      <w:marBottom w:val="0"/>
      <w:divBdr>
        <w:top w:val="none" w:sz="0" w:space="0" w:color="auto"/>
        <w:left w:val="none" w:sz="0" w:space="0" w:color="auto"/>
        <w:bottom w:val="none" w:sz="0" w:space="0" w:color="auto"/>
        <w:right w:val="none" w:sz="0" w:space="0" w:color="auto"/>
      </w:divBdr>
    </w:div>
    <w:div w:id="901863733">
      <w:bodyDiv w:val="1"/>
      <w:marLeft w:val="0"/>
      <w:marRight w:val="0"/>
      <w:marTop w:val="0"/>
      <w:marBottom w:val="0"/>
      <w:divBdr>
        <w:top w:val="none" w:sz="0" w:space="0" w:color="auto"/>
        <w:left w:val="none" w:sz="0" w:space="0" w:color="auto"/>
        <w:bottom w:val="none" w:sz="0" w:space="0" w:color="auto"/>
        <w:right w:val="none" w:sz="0" w:space="0" w:color="auto"/>
      </w:divBdr>
    </w:div>
    <w:div w:id="1288387947">
      <w:bodyDiv w:val="1"/>
      <w:marLeft w:val="0"/>
      <w:marRight w:val="0"/>
      <w:marTop w:val="0"/>
      <w:marBottom w:val="0"/>
      <w:divBdr>
        <w:top w:val="none" w:sz="0" w:space="0" w:color="auto"/>
        <w:left w:val="none" w:sz="0" w:space="0" w:color="auto"/>
        <w:bottom w:val="none" w:sz="0" w:space="0" w:color="auto"/>
        <w:right w:val="none" w:sz="0" w:space="0" w:color="auto"/>
      </w:divBdr>
    </w:div>
    <w:div w:id="1316572651">
      <w:bodyDiv w:val="1"/>
      <w:marLeft w:val="0"/>
      <w:marRight w:val="0"/>
      <w:marTop w:val="0"/>
      <w:marBottom w:val="0"/>
      <w:divBdr>
        <w:top w:val="none" w:sz="0" w:space="0" w:color="auto"/>
        <w:left w:val="none" w:sz="0" w:space="0" w:color="auto"/>
        <w:bottom w:val="none" w:sz="0" w:space="0" w:color="auto"/>
        <w:right w:val="none" w:sz="0" w:space="0" w:color="auto"/>
      </w:divBdr>
    </w:div>
    <w:div w:id="14887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C301-AFB1-4037-B5F1-7B0B1E82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7</Pages>
  <Words>2958</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19783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temp Neogi</dc:creator>
  <cp:keywords/>
  <cp:lastModifiedBy>Sarah Willig</cp:lastModifiedBy>
  <cp:revision>2</cp:revision>
  <cp:lastPrinted>2015-03-11T09:47:00Z</cp:lastPrinted>
  <dcterms:created xsi:type="dcterms:W3CDTF">2017-04-05T19:23:00Z</dcterms:created>
  <dcterms:modified xsi:type="dcterms:W3CDTF">2017-04-05T19:23:00Z</dcterms:modified>
</cp:coreProperties>
</file>