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EC1FEE" w14:paraId="28FED514" w14:textId="77777777" w:rsidTr="00B6553F">
        <w:trPr>
          <w:cantSplit/>
          <w:trHeight w:hRule="exact" w:val="851"/>
        </w:trPr>
        <w:tc>
          <w:tcPr>
            <w:tcW w:w="1276" w:type="dxa"/>
            <w:tcBorders>
              <w:bottom w:val="single" w:sz="4" w:space="0" w:color="auto"/>
            </w:tcBorders>
            <w:vAlign w:val="bottom"/>
          </w:tcPr>
          <w:p w14:paraId="0BDA1962" w14:textId="77777777" w:rsidR="00B56E9C" w:rsidRPr="00EC1FEE" w:rsidRDefault="00B56E9C" w:rsidP="00B6553F">
            <w:pPr>
              <w:spacing w:after="80"/>
            </w:pPr>
            <w:bookmarkStart w:id="0" w:name="_GoBack"/>
            <w:bookmarkEnd w:id="0"/>
          </w:p>
        </w:tc>
        <w:tc>
          <w:tcPr>
            <w:tcW w:w="2268" w:type="dxa"/>
            <w:tcBorders>
              <w:bottom w:val="single" w:sz="4" w:space="0" w:color="auto"/>
            </w:tcBorders>
            <w:vAlign w:val="bottom"/>
          </w:tcPr>
          <w:p w14:paraId="490C7A7A" w14:textId="77777777" w:rsidR="00B56E9C" w:rsidRPr="00EC1FEE" w:rsidRDefault="00B56E9C" w:rsidP="00B6553F">
            <w:pPr>
              <w:spacing w:after="80" w:line="300" w:lineRule="exact"/>
              <w:rPr>
                <w:b/>
              </w:rPr>
            </w:pPr>
            <w:r w:rsidRPr="00EC1FEE">
              <w:rPr>
                <w:sz w:val="28"/>
                <w:szCs w:val="28"/>
              </w:rPr>
              <w:t>United Nations</w:t>
            </w:r>
          </w:p>
        </w:tc>
        <w:tc>
          <w:tcPr>
            <w:tcW w:w="6095" w:type="dxa"/>
            <w:gridSpan w:val="2"/>
            <w:tcBorders>
              <w:bottom w:val="single" w:sz="4" w:space="0" w:color="auto"/>
            </w:tcBorders>
            <w:vAlign w:val="bottom"/>
          </w:tcPr>
          <w:p w14:paraId="7EC364CC" w14:textId="56B21124" w:rsidR="00B56E9C" w:rsidRPr="00EC1FEE" w:rsidRDefault="00E152A1" w:rsidP="00DF4A0D">
            <w:pPr>
              <w:jc w:val="right"/>
            </w:pPr>
            <w:r w:rsidRPr="00EC1FEE">
              <w:rPr>
                <w:sz w:val="40"/>
              </w:rPr>
              <w:t>CCPR</w:t>
            </w:r>
            <w:r w:rsidRPr="00EC1FEE">
              <w:t>/</w:t>
            </w:r>
            <w:r w:rsidRPr="00F15147">
              <w:rPr>
                <w:sz w:val="20"/>
                <w:szCs w:val="20"/>
              </w:rPr>
              <w:t>C/11</w:t>
            </w:r>
            <w:r w:rsidR="006F4BB3" w:rsidRPr="00F15147">
              <w:rPr>
                <w:sz w:val="20"/>
                <w:szCs w:val="20"/>
              </w:rPr>
              <w:t>7</w:t>
            </w:r>
            <w:r w:rsidRPr="00F15147">
              <w:rPr>
                <w:sz w:val="20"/>
                <w:szCs w:val="20"/>
              </w:rPr>
              <w:t>/D/2124/2011</w:t>
            </w:r>
          </w:p>
        </w:tc>
      </w:tr>
      <w:tr w:rsidR="00B56E9C" w:rsidRPr="00EC1FEE" w14:paraId="72165428" w14:textId="77777777" w:rsidTr="00ED1F1D">
        <w:trPr>
          <w:cantSplit/>
          <w:trHeight w:hRule="exact" w:val="2556"/>
        </w:trPr>
        <w:tc>
          <w:tcPr>
            <w:tcW w:w="1276" w:type="dxa"/>
            <w:tcBorders>
              <w:top w:val="single" w:sz="4" w:space="0" w:color="auto"/>
              <w:bottom w:val="single" w:sz="12" w:space="0" w:color="auto"/>
            </w:tcBorders>
          </w:tcPr>
          <w:p w14:paraId="53413A8E" w14:textId="77777777" w:rsidR="00B56E9C" w:rsidRPr="00EC1FEE" w:rsidRDefault="003204B4" w:rsidP="00B6553F">
            <w:pPr>
              <w:spacing w:before="120"/>
            </w:pPr>
            <w:r w:rsidRPr="00EC1FEE">
              <w:rPr>
                <w:noProof/>
                <w:lang w:val="en-US"/>
              </w:rPr>
              <w:drawing>
                <wp:inline distT="0" distB="0" distL="0" distR="0" wp14:anchorId="102737F4" wp14:editId="4B9A56CB">
                  <wp:extent cx="715010" cy="591820"/>
                  <wp:effectExtent l="0" t="0" r="889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010" cy="59182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8702EB5" w14:textId="77777777" w:rsidR="00B56E9C" w:rsidRPr="00EC1FEE" w:rsidRDefault="00B56E9C" w:rsidP="00267F5F">
            <w:pPr>
              <w:spacing w:before="120" w:line="380" w:lineRule="exact"/>
              <w:rPr>
                <w:sz w:val="34"/>
              </w:rPr>
            </w:pPr>
            <w:r w:rsidRPr="00EC1FEE">
              <w:rPr>
                <w:b/>
                <w:sz w:val="34"/>
                <w:szCs w:val="40"/>
              </w:rPr>
              <w:t xml:space="preserve">International </w:t>
            </w:r>
            <w:r w:rsidR="00060C3A" w:rsidRPr="00EC1FEE">
              <w:rPr>
                <w:b/>
                <w:sz w:val="34"/>
                <w:szCs w:val="40"/>
              </w:rPr>
              <w:t>Covenant on</w:t>
            </w:r>
            <w:r w:rsidR="00060C3A" w:rsidRPr="00EC1FEE">
              <w:rPr>
                <w:b/>
                <w:sz w:val="34"/>
                <w:szCs w:val="40"/>
              </w:rPr>
              <w:br/>
              <w:t>Civil and Political R</w:t>
            </w:r>
            <w:r w:rsidR="00703577" w:rsidRPr="00EC1FEE">
              <w:rPr>
                <w:b/>
                <w:sz w:val="34"/>
                <w:szCs w:val="40"/>
              </w:rPr>
              <w:t>ights</w:t>
            </w:r>
          </w:p>
        </w:tc>
        <w:tc>
          <w:tcPr>
            <w:tcW w:w="2835" w:type="dxa"/>
            <w:tcBorders>
              <w:top w:val="single" w:sz="4" w:space="0" w:color="auto"/>
              <w:bottom w:val="single" w:sz="12" w:space="0" w:color="auto"/>
            </w:tcBorders>
          </w:tcPr>
          <w:p w14:paraId="52BC966B" w14:textId="611BFEDB" w:rsidR="00EB0DA4" w:rsidRPr="00EC1FEE" w:rsidRDefault="00EB0DA4" w:rsidP="00EB0DA4">
            <w:pPr>
              <w:spacing w:before="240" w:line="240" w:lineRule="exact"/>
              <w:rPr>
                <w:sz w:val="20"/>
                <w:szCs w:val="20"/>
              </w:rPr>
            </w:pPr>
            <w:r w:rsidRPr="00EC1FEE">
              <w:rPr>
                <w:sz w:val="20"/>
                <w:szCs w:val="20"/>
              </w:rPr>
              <w:t xml:space="preserve">Distr.: </w:t>
            </w:r>
            <w:r w:rsidR="00DF4A0D" w:rsidRPr="00EC1FEE">
              <w:rPr>
                <w:sz w:val="20"/>
                <w:szCs w:val="20"/>
              </w:rPr>
              <w:t>General</w:t>
            </w:r>
          </w:p>
          <w:p w14:paraId="27E35759" w14:textId="313A0215" w:rsidR="00EB0DA4" w:rsidRPr="00EC1FEE" w:rsidRDefault="00B32638" w:rsidP="00AE793E">
            <w:pPr>
              <w:spacing w:line="240" w:lineRule="exact"/>
              <w:rPr>
                <w:sz w:val="20"/>
                <w:szCs w:val="20"/>
              </w:rPr>
            </w:pPr>
            <w:r>
              <w:rPr>
                <w:sz w:val="20"/>
                <w:szCs w:val="20"/>
              </w:rPr>
              <w:t>29</w:t>
            </w:r>
            <w:r w:rsidR="004E0DD3" w:rsidRPr="00EC1FEE">
              <w:rPr>
                <w:sz w:val="20"/>
                <w:szCs w:val="20"/>
              </w:rPr>
              <w:t xml:space="preserve"> </w:t>
            </w:r>
            <w:r w:rsidR="00046AFA" w:rsidRPr="00EC1FEE">
              <w:rPr>
                <w:sz w:val="20"/>
                <w:szCs w:val="20"/>
              </w:rPr>
              <w:t>March</w:t>
            </w:r>
            <w:r w:rsidR="000F24C4" w:rsidRPr="00EC1FEE">
              <w:rPr>
                <w:sz w:val="20"/>
                <w:szCs w:val="20"/>
              </w:rPr>
              <w:t xml:space="preserve"> </w:t>
            </w:r>
            <w:r w:rsidR="00EB0DA4" w:rsidRPr="00EC1FEE">
              <w:rPr>
                <w:sz w:val="20"/>
                <w:szCs w:val="20"/>
              </w:rPr>
              <w:t>201</w:t>
            </w:r>
            <w:r w:rsidR="004E0DD3" w:rsidRPr="00EC1FEE">
              <w:rPr>
                <w:sz w:val="20"/>
                <w:szCs w:val="20"/>
              </w:rPr>
              <w:t>7</w:t>
            </w:r>
          </w:p>
          <w:p w14:paraId="579AA7F4" w14:textId="77777777" w:rsidR="00EB0DA4" w:rsidRPr="00EC1FEE" w:rsidRDefault="00EB0DA4" w:rsidP="00EB0DA4">
            <w:pPr>
              <w:spacing w:line="240" w:lineRule="exact"/>
            </w:pPr>
          </w:p>
          <w:p w14:paraId="632A2570" w14:textId="77777777" w:rsidR="00EB0DA4" w:rsidRPr="00EC1FEE" w:rsidRDefault="00EB0DA4" w:rsidP="00EB0DA4">
            <w:pPr>
              <w:spacing w:line="240" w:lineRule="exact"/>
              <w:rPr>
                <w:sz w:val="20"/>
                <w:szCs w:val="20"/>
              </w:rPr>
            </w:pPr>
            <w:r w:rsidRPr="00EC1FEE">
              <w:rPr>
                <w:sz w:val="20"/>
                <w:szCs w:val="20"/>
              </w:rPr>
              <w:t xml:space="preserve">Original: </w:t>
            </w:r>
            <w:r w:rsidRPr="00572C5D">
              <w:rPr>
                <w:sz w:val="20"/>
                <w:szCs w:val="20"/>
              </w:rPr>
              <w:t>English</w:t>
            </w:r>
          </w:p>
          <w:p w14:paraId="62EB25CF" w14:textId="0B97EF18" w:rsidR="00E152A1" w:rsidRPr="00EC1FEE" w:rsidRDefault="00E152A1" w:rsidP="00EB0DA4">
            <w:pPr>
              <w:spacing w:line="240" w:lineRule="exact"/>
            </w:pPr>
          </w:p>
        </w:tc>
      </w:tr>
    </w:tbl>
    <w:p w14:paraId="5DA77A31" w14:textId="77777777" w:rsidR="00EB0DA4" w:rsidRPr="00EC1FEE" w:rsidRDefault="00EB0DA4" w:rsidP="00EB0DA4">
      <w:pPr>
        <w:spacing w:before="120"/>
        <w:rPr>
          <w:b/>
        </w:rPr>
      </w:pPr>
      <w:r w:rsidRPr="00EC1FEE">
        <w:rPr>
          <w:b/>
        </w:rPr>
        <w:t>Human Rights Committee</w:t>
      </w:r>
    </w:p>
    <w:p w14:paraId="421FA9C0" w14:textId="6F1487CB" w:rsidR="00E152A1" w:rsidRPr="00F15147" w:rsidRDefault="00E152A1" w:rsidP="00F15147">
      <w:pPr>
        <w:pStyle w:val="HChG"/>
      </w:pPr>
      <w:r w:rsidRPr="00EC1FEE">
        <w:tab/>
      </w:r>
      <w:r w:rsidRPr="00EC1FEE">
        <w:tab/>
      </w:r>
      <w:r w:rsidR="004A2A77" w:rsidRPr="00EC1FEE">
        <w:t>Views adopted by the Committee under article 5</w:t>
      </w:r>
      <w:r w:rsidR="00046AFA" w:rsidRPr="00EC1FEE">
        <w:t xml:space="preserve"> </w:t>
      </w:r>
      <w:r w:rsidR="004A2A77" w:rsidRPr="00EC1FEE">
        <w:t>(4) of the Optional Protocol, concerning communication No.</w:t>
      </w:r>
      <w:r w:rsidR="001E7F2D">
        <w:t> </w:t>
      </w:r>
      <w:r w:rsidR="004A2A77" w:rsidRPr="00EC1FEE">
        <w:t>2124/2011</w:t>
      </w:r>
      <w:r w:rsidR="004A2A77" w:rsidRPr="00F15147">
        <w:rPr>
          <w:rStyle w:val="FootnoteReference"/>
          <w:b w:val="0"/>
          <w:bCs/>
          <w:sz w:val="20"/>
          <w:szCs w:val="20"/>
          <w:vertAlign w:val="baseline"/>
        </w:rPr>
        <w:footnoteReference w:customMarkFollows="1" w:id="2"/>
        <w:t>*</w:t>
      </w:r>
      <w:r w:rsidR="004A2A77" w:rsidRPr="00F15147">
        <w:rPr>
          <w:b w:val="0"/>
          <w:position w:val="4"/>
          <w:sz w:val="20"/>
          <w:szCs w:val="20"/>
        </w:rPr>
        <w:t>,</w:t>
      </w:r>
      <w:r w:rsidR="004A2A77" w:rsidRPr="00F15147">
        <w:rPr>
          <w:b w:val="0"/>
          <w:sz w:val="20"/>
          <w:szCs w:val="20"/>
        </w:rPr>
        <w:t xml:space="preserve"> </w:t>
      </w:r>
      <w:r w:rsidR="004A2A77" w:rsidRPr="00F15147">
        <w:rPr>
          <w:rStyle w:val="FootnoteReference"/>
          <w:b w:val="0"/>
          <w:sz w:val="20"/>
          <w:szCs w:val="20"/>
          <w:vertAlign w:val="baseline"/>
        </w:rPr>
        <w:footnoteReference w:customMarkFollows="1" w:id="3"/>
        <w:t>**</w:t>
      </w:r>
      <w:r w:rsidR="00AF107C" w:rsidRPr="00F15147">
        <w:rPr>
          <w:b w:val="0"/>
          <w:position w:val="4"/>
          <w:sz w:val="20"/>
          <w:szCs w:val="20"/>
        </w:rPr>
        <w:t>,</w:t>
      </w:r>
      <w:r w:rsidR="00AF107C" w:rsidRPr="00F15147">
        <w:rPr>
          <w:b w:val="0"/>
          <w:sz w:val="20"/>
          <w:szCs w:val="20"/>
        </w:rPr>
        <w:t xml:space="preserve"> </w:t>
      </w:r>
      <w:r w:rsidR="00AF107C" w:rsidRPr="00F15147">
        <w:rPr>
          <w:rStyle w:val="FootnoteReference"/>
          <w:b w:val="0"/>
          <w:sz w:val="20"/>
          <w:szCs w:val="20"/>
          <w:vertAlign w:val="baseline"/>
        </w:rPr>
        <w:footnoteReference w:customMarkFollows="1" w:id="4"/>
        <w:t>***</w:t>
      </w:r>
      <w:r w:rsidR="0033228B">
        <w:rPr>
          <w:b w:val="0"/>
          <w:sz w:val="20"/>
          <w:szCs w:val="20"/>
        </w:rPr>
        <w:t xml:space="preserve"> </w:t>
      </w:r>
    </w:p>
    <w:p w14:paraId="53BFF4A1" w14:textId="0409955F" w:rsidR="00E152A1" w:rsidRPr="00F15147" w:rsidRDefault="00A7441D" w:rsidP="00F15147">
      <w:pPr>
        <w:pStyle w:val="SingleTxtG"/>
        <w:spacing w:line="220" w:lineRule="atLeast"/>
        <w:ind w:left="4536" w:hanging="3402"/>
        <w:jc w:val="left"/>
        <w:rPr>
          <w:i/>
          <w:sz w:val="20"/>
          <w:lang w:val="en-GB"/>
        </w:rPr>
      </w:pPr>
      <w:r w:rsidRPr="00EC1FEE">
        <w:rPr>
          <w:i/>
          <w:sz w:val="20"/>
          <w:lang w:val="en-GB"/>
        </w:rPr>
        <w:t>Communication s</w:t>
      </w:r>
      <w:r w:rsidR="00E152A1" w:rsidRPr="00F15147">
        <w:rPr>
          <w:i/>
          <w:sz w:val="20"/>
          <w:lang w:val="en-GB"/>
        </w:rPr>
        <w:t>ubmitted by:</w:t>
      </w:r>
      <w:r w:rsidR="00E152A1" w:rsidRPr="00F15147">
        <w:rPr>
          <w:sz w:val="20"/>
          <w:lang w:val="en-GB"/>
        </w:rPr>
        <w:tab/>
        <w:t>Mohamed Rabbae</w:t>
      </w:r>
      <w:r w:rsidR="00597F7D" w:rsidRPr="00F15147">
        <w:rPr>
          <w:sz w:val="20"/>
          <w:lang w:val="en-GB"/>
        </w:rPr>
        <w:t>,</w:t>
      </w:r>
      <w:r w:rsidR="00E152A1" w:rsidRPr="00F15147">
        <w:rPr>
          <w:sz w:val="20"/>
          <w:lang w:val="en-GB"/>
        </w:rPr>
        <w:t xml:space="preserve"> A.B.S and N.A. (represented by counsel</w:t>
      </w:r>
      <w:r w:rsidR="00136694" w:rsidRPr="00F15147">
        <w:rPr>
          <w:sz w:val="20"/>
          <w:lang w:val="en-GB"/>
        </w:rPr>
        <w:t>s</w:t>
      </w:r>
      <w:r w:rsidR="00E152A1" w:rsidRPr="00F15147">
        <w:rPr>
          <w:sz w:val="20"/>
          <w:lang w:val="en-GB"/>
        </w:rPr>
        <w:t>, Ettina Prakken and Michiel</w:t>
      </w:r>
      <w:r w:rsidR="0033228B">
        <w:rPr>
          <w:sz w:val="20"/>
          <w:lang w:val="en-GB"/>
        </w:rPr>
        <w:t> </w:t>
      </w:r>
      <w:r w:rsidR="00E152A1" w:rsidRPr="00F15147">
        <w:rPr>
          <w:sz w:val="20"/>
          <w:lang w:val="en-GB"/>
        </w:rPr>
        <w:t>Pestman)</w:t>
      </w:r>
    </w:p>
    <w:p w14:paraId="0618A214" w14:textId="77777777" w:rsidR="00E152A1" w:rsidRPr="00F15147" w:rsidRDefault="00E152A1" w:rsidP="00F15147">
      <w:pPr>
        <w:pStyle w:val="SingleTxtG"/>
        <w:spacing w:line="220" w:lineRule="atLeast"/>
        <w:ind w:left="4536" w:hanging="3402"/>
        <w:jc w:val="left"/>
        <w:rPr>
          <w:i/>
          <w:sz w:val="20"/>
          <w:lang w:val="en-GB"/>
        </w:rPr>
      </w:pPr>
      <w:r w:rsidRPr="00F15147">
        <w:rPr>
          <w:i/>
          <w:sz w:val="20"/>
          <w:lang w:val="en-GB"/>
        </w:rPr>
        <w:t>Alleged victims:</w:t>
      </w:r>
      <w:r w:rsidRPr="00F15147">
        <w:rPr>
          <w:sz w:val="20"/>
          <w:lang w:val="en-GB"/>
        </w:rPr>
        <w:tab/>
        <w:t>The authors</w:t>
      </w:r>
    </w:p>
    <w:p w14:paraId="7A0E87B8" w14:textId="77777777" w:rsidR="00E152A1" w:rsidRPr="00F15147" w:rsidRDefault="00E152A1" w:rsidP="00F15147">
      <w:pPr>
        <w:pStyle w:val="SingleTxtG"/>
        <w:spacing w:line="220" w:lineRule="atLeast"/>
        <w:ind w:left="4536" w:hanging="3402"/>
        <w:jc w:val="left"/>
        <w:rPr>
          <w:i/>
          <w:sz w:val="20"/>
          <w:lang w:val="en-GB"/>
        </w:rPr>
      </w:pPr>
      <w:r w:rsidRPr="00F15147">
        <w:rPr>
          <w:i/>
          <w:sz w:val="20"/>
          <w:lang w:val="en-GB"/>
        </w:rPr>
        <w:t>State party:</w:t>
      </w:r>
      <w:r w:rsidRPr="00F15147">
        <w:rPr>
          <w:sz w:val="20"/>
          <w:lang w:val="en-GB"/>
        </w:rPr>
        <w:tab/>
        <w:t>The Netherlands</w:t>
      </w:r>
    </w:p>
    <w:p w14:paraId="1A798F5D" w14:textId="77777777" w:rsidR="00E152A1" w:rsidRPr="00F15147" w:rsidRDefault="00E152A1" w:rsidP="00F15147">
      <w:pPr>
        <w:pStyle w:val="SingleTxtG"/>
        <w:spacing w:line="220" w:lineRule="atLeast"/>
        <w:ind w:left="4536" w:hanging="3402"/>
        <w:jc w:val="left"/>
        <w:rPr>
          <w:i/>
          <w:sz w:val="20"/>
          <w:lang w:val="en-GB"/>
        </w:rPr>
      </w:pPr>
      <w:r w:rsidRPr="00F15147">
        <w:rPr>
          <w:i/>
          <w:sz w:val="20"/>
          <w:lang w:val="en-GB"/>
        </w:rPr>
        <w:t>Date of communication:</w:t>
      </w:r>
      <w:r w:rsidRPr="00F15147">
        <w:rPr>
          <w:sz w:val="20"/>
          <w:lang w:val="en-GB"/>
        </w:rPr>
        <w:tab/>
        <w:t>15 November 2011 (initial submission)</w:t>
      </w:r>
    </w:p>
    <w:p w14:paraId="447D9D74" w14:textId="77777777" w:rsidR="00E152A1" w:rsidRPr="00F15147" w:rsidRDefault="00E152A1" w:rsidP="00F15147">
      <w:pPr>
        <w:pStyle w:val="SingleTxtG"/>
        <w:spacing w:line="220" w:lineRule="atLeast"/>
        <w:ind w:left="4536" w:hanging="3402"/>
        <w:jc w:val="left"/>
        <w:rPr>
          <w:i/>
          <w:sz w:val="20"/>
          <w:lang w:val="en-GB"/>
        </w:rPr>
      </w:pPr>
      <w:r w:rsidRPr="00F15147">
        <w:rPr>
          <w:i/>
          <w:sz w:val="20"/>
          <w:lang w:val="en-GB"/>
        </w:rPr>
        <w:t>Document references:</w:t>
      </w:r>
      <w:r w:rsidRPr="00F15147">
        <w:rPr>
          <w:sz w:val="20"/>
          <w:lang w:val="en-GB"/>
        </w:rPr>
        <w:tab/>
      </w:r>
      <w:r w:rsidR="00EB0DA4" w:rsidRPr="00F15147">
        <w:rPr>
          <w:sz w:val="20"/>
          <w:lang w:val="en-GB"/>
        </w:rPr>
        <w:t>Decision taken pursuant to rule 97 of the Committee’s rules of procedure</w:t>
      </w:r>
      <w:r w:rsidRPr="00F15147">
        <w:rPr>
          <w:sz w:val="20"/>
          <w:lang w:val="en-GB"/>
        </w:rPr>
        <w:t>, transmitted to the State party on 20 December 2011 (not issued in document form)</w:t>
      </w:r>
    </w:p>
    <w:p w14:paraId="220E4D99" w14:textId="7EB41C9A" w:rsidR="00136694" w:rsidRPr="00F15147" w:rsidRDefault="00E152A1" w:rsidP="00F15147">
      <w:pPr>
        <w:pStyle w:val="SingleTxtG"/>
        <w:spacing w:line="220" w:lineRule="atLeast"/>
        <w:ind w:left="4536" w:hanging="3402"/>
        <w:rPr>
          <w:i/>
          <w:sz w:val="20"/>
          <w:lang w:val="en-GB"/>
        </w:rPr>
      </w:pPr>
      <w:r w:rsidRPr="00F15147">
        <w:rPr>
          <w:i/>
          <w:sz w:val="20"/>
          <w:lang w:val="en-GB"/>
        </w:rPr>
        <w:t xml:space="preserve">Date of adoption of </w:t>
      </w:r>
      <w:r w:rsidR="00EC1FEE" w:rsidRPr="00EC1FEE">
        <w:rPr>
          <w:i/>
          <w:sz w:val="20"/>
          <w:lang w:val="en-GB"/>
        </w:rPr>
        <w:t>Views</w:t>
      </w:r>
      <w:r w:rsidRPr="00F15147">
        <w:rPr>
          <w:i/>
          <w:sz w:val="20"/>
          <w:lang w:val="en-GB"/>
        </w:rPr>
        <w:t>:</w:t>
      </w:r>
      <w:r w:rsidRPr="00F15147">
        <w:rPr>
          <w:sz w:val="20"/>
          <w:lang w:val="en-GB"/>
        </w:rPr>
        <w:tab/>
      </w:r>
      <w:r w:rsidR="00FB5B34" w:rsidRPr="00F15147">
        <w:rPr>
          <w:sz w:val="20"/>
          <w:lang w:val="en-GB"/>
        </w:rPr>
        <w:t>14 July</w:t>
      </w:r>
      <w:r w:rsidRPr="00F15147">
        <w:rPr>
          <w:sz w:val="20"/>
          <w:lang w:val="en-GB"/>
        </w:rPr>
        <w:t xml:space="preserve"> 201</w:t>
      </w:r>
      <w:r w:rsidR="00EB0DA4" w:rsidRPr="00F15147">
        <w:rPr>
          <w:sz w:val="20"/>
          <w:lang w:val="en-GB"/>
        </w:rPr>
        <w:t>6</w:t>
      </w:r>
    </w:p>
    <w:p w14:paraId="19C3B3FC" w14:textId="3A4F05A5" w:rsidR="00E152A1" w:rsidRPr="00F15147" w:rsidRDefault="00EB0DA4" w:rsidP="00F15147">
      <w:pPr>
        <w:pStyle w:val="SingleTxtG"/>
        <w:spacing w:line="220" w:lineRule="atLeast"/>
        <w:ind w:left="4536" w:hanging="3402"/>
        <w:jc w:val="left"/>
        <w:rPr>
          <w:sz w:val="20"/>
          <w:lang w:val="en-GB"/>
        </w:rPr>
      </w:pPr>
      <w:r w:rsidRPr="00F15147">
        <w:rPr>
          <w:i/>
          <w:sz w:val="20"/>
          <w:lang w:val="en-GB"/>
        </w:rPr>
        <w:t>Subject matter:</w:t>
      </w:r>
      <w:r w:rsidR="00E152A1" w:rsidRPr="00F15147">
        <w:rPr>
          <w:i/>
          <w:sz w:val="20"/>
          <w:lang w:val="en-GB"/>
        </w:rPr>
        <w:tab/>
      </w:r>
      <w:r w:rsidR="00E152A1" w:rsidRPr="00F15147">
        <w:rPr>
          <w:sz w:val="20"/>
          <w:lang w:val="en-GB"/>
        </w:rPr>
        <w:t xml:space="preserve">Incitement to </w:t>
      </w:r>
      <w:r w:rsidR="009A361A">
        <w:rPr>
          <w:sz w:val="20"/>
          <w:lang w:val="en-GB"/>
        </w:rPr>
        <w:t>racial or religious hatred by a </w:t>
      </w:r>
      <w:r w:rsidR="00E152A1" w:rsidRPr="00F15147">
        <w:rPr>
          <w:sz w:val="20"/>
          <w:lang w:val="en-GB"/>
        </w:rPr>
        <w:t>politician</w:t>
      </w:r>
    </w:p>
    <w:p w14:paraId="5096B32A" w14:textId="279813DD" w:rsidR="00EC1FEE" w:rsidRPr="00EC1FEE" w:rsidRDefault="00EC1FEE" w:rsidP="00F15147">
      <w:pPr>
        <w:pStyle w:val="SingleTxtG"/>
        <w:spacing w:line="220" w:lineRule="atLeast"/>
        <w:ind w:left="4536" w:hanging="3402"/>
        <w:jc w:val="left"/>
        <w:rPr>
          <w:lang w:val="en-GB"/>
        </w:rPr>
      </w:pPr>
      <w:r w:rsidRPr="00D02D59">
        <w:rPr>
          <w:i/>
          <w:sz w:val="20"/>
          <w:lang w:val="en-GB"/>
        </w:rPr>
        <w:t>Procedural issue</w:t>
      </w:r>
      <w:r>
        <w:rPr>
          <w:i/>
          <w:sz w:val="20"/>
          <w:lang w:val="en-GB"/>
        </w:rPr>
        <w:t>s</w:t>
      </w:r>
      <w:r w:rsidRPr="00D02D59">
        <w:rPr>
          <w:i/>
          <w:sz w:val="20"/>
          <w:lang w:val="en-GB"/>
        </w:rPr>
        <w:t>:</w:t>
      </w:r>
      <w:r w:rsidRPr="00EC1FEE">
        <w:rPr>
          <w:i/>
          <w:lang w:val="en-GB"/>
        </w:rPr>
        <w:tab/>
      </w:r>
      <w:r w:rsidRPr="00D02D59">
        <w:rPr>
          <w:sz w:val="20"/>
          <w:lang w:val="en-GB"/>
        </w:rPr>
        <w:t xml:space="preserve">Victim standing; preclusion </w:t>
      </w:r>
      <w:r w:rsidRPr="00D02D59">
        <w:rPr>
          <w:i/>
          <w:sz w:val="20"/>
          <w:lang w:val="en-GB"/>
        </w:rPr>
        <w:t>ratione materiae</w:t>
      </w:r>
      <w:r w:rsidRPr="00D02D59">
        <w:rPr>
          <w:sz w:val="20"/>
          <w:lang w:val="en-GB"/>
        </w:rPr>
        <w:t>; exhaustion of domestic remedies</w:t>
      </w:r>
    </w:p>
    <w:p w14:paraId="03DC9661" w14:textId="555093D3" w:rsidR="00E152A1" w:rsidRPr="00F15147" w:rsidRDefault="00E152A1" w:rsidP="00F15147">
      <w:pPr>
        <w:pStyle w:val="SingleTxtG"/>
        <w:spacing w:line="220" w:lineRule="atLeast"/>
        <w:ind w:left="4536" w:hanging="3402"/>
        <w:jc w:val="left"/>
        <w:rPr>
          <w:sz w:val="20"/>
          <w:lang w:val="en-GB"/>
        </w:rPr>
      </w:pPr>
      <w:r w:rsidRPr="00F15147">
        <w:rPr>
          <w:i/>
          <w:sz w:val="20"/>
          <w:lang w:val="en-GB"/>
        </w:rPr>
        <w:t>Substantive issues:</w:t>
      </w:r>
      <w:r w:rsidRPr="00F15147">
        <w:rPr>
          <w:i/>
          <w:sz w:val="20"/>
          <w:lang w:val="en-GB"/>
        </w:rPr>
        <w:tab/>
      </w:r>
      <w:r w:rsidRPr="00F15147">
        <w:rPr>
          <w:sz w:val="20"/>
          <w:lang w:val="en-GB"/>
        </w:rPr>
        <w:t xml:space="preserve">Right to an effective remedy; right to a fair hearing; incitement to racial or religious hatred; right to equality before the law and equal </w:t>
      </w:r>
      <w:r w:rsidRPr="00F15147">
        <w:rPr>
          <w:sz w:val="20"/>
          <w:lang w:val="en-GB"/>
        </w:rPr>
        <w:lastRenderedPageBreak/>
        <w:t>protection of the law without discrimination; protection of minorities</w:t>
      </w:r>
    </w:p>
    <w:p w14:paraId="4ADC5C0D" w14:textId="26DA8EC2" w:rsidR="00E152A1" w:rsidRPr="00F15147" w:rsidRDefault="00E152A1" w:rsidP="00F15147">
      <w:pPr>
        <w:pStyle w:val="SingleTxtG"/>
        <w:spacing w:line="220" w:lineRule="atLeast"/>
        <w:ind w:left="4536" w:hanging="3402"/>
        <w:jc w:val="left"/>
        <w:rPr>
          <w:sz w:val="20"/>
          <w:lang w:val="en-GB"/>
        </w:rPr>
      </w:pPr>
      <w:r w:rsidRPr="00F15147">
        <w:rPr>
          <w:i/>
          <w:sz w:val="20"/>
          <w:lang w:val="en-GB"/>
        </w:rPr>
        <w:t>Articles of the Covenant:</w:t>
      </w:r>
      <w:r w:rsidRPr="00F15147">
        <w:rPr>
          <w:sz w:val="20"/>
          <w:lang w:val="en-GB"/>
        </w:rPr>
        <w:tab/>
        <w:t>2</w:t>
      </w:r>
      <w:r w:rsidR="00EC1FEE">
        <w:rPr>
          <w:sz w:val="20"/>
          <w:lang w:val="en-GB"/>
        </w:rPr>
        <w:t xml:space="preserve"> </w:t>
      </w:r>
      <w:r w:rsidR="00EB0DA4" w:rsidRPr="00F15147">
        <w:rPr>
          <w:sz w:val="20"/>
          <w:lang w:val="en-GB"/>
        </w:rPr>
        <w:t>(3)</w:t>
      </w:r>
      <w:r w:rsidR="00EC1FEE">
        <w:rPr>
          <w:sz w:val="20"/>
          <w:lang w:val="en-GB"/>
        </w:rPr>
        <w:t>,</w:t>
      </w:r>
      <w:r w:rsidR="00EB0DA4" w:rsidRPr="00F15147">
        <w:rPr>
          <w:sz w:val="20"/>
          <w:lang w:val="en-GB"/>
        </w:rPr>
        <w:t xml:space="preserve"> 14</w:t>
      </w:r>
      <w:r w:rsidR="00EC1FEE">
        <w:rPr>
          <w:sz w:val="20"/>
          <w:lang w:val="en-GB"/>
        </w:rPr>
        <w:t xml:space="preserve"> </w:t>
      </w:r>
      <w:r w:rsidR="00EB0DA4" w:rsidRPr="00F15147">
        <w:rPr>
          <w:sz w:val="20"/>
          <w:lang w:val="en-GB"/>
        </w:rPr>
        <w:t>(1)</w:t>
      </w:r>
      <w:r w:rsidR="00EC1FEE">
        <w:rPr>
          <w:sz w:val="20"/>
          <w:lang w:val="en-GB"/>
        </w:rPr>
        <w:t>,</w:t>
      </w:r>
      <w:r w:rsidR="00D0014F" w:rsidRPr="00F15147">
        <w:rPr>
          <w:sz w:val="20"/>
          <w:lang w:val="en-GB"/>
        </w:rPr>
        <w:t xml:space="preserve"> </w:t>
      </w:r>
      <w:r w:rsidR="00607DFC" w:rsidRPr="00F15147">
        <w:rPr>
          <w:sz w:val="20"/>
          <w:lang w:val="en-GB"/>
        </w:rPr>
        <w:t>17</w:t>
      </w:r>
      <w:r w:rsidR="00EC1FEE">
        <w:rPr>
          <w:sz w:val="20"/>
          <w:lang w:val="en-GB"/>
        </w:rPr>
        <w:t>,</w:t>
      </w:r>
      <w:r w:rsidR="00EB0DA4" w:rsidRPr="00F15147">
        <w:rPr>
          <w:sz w:val="20"/>
          <w:lang w:val="en-GB"/>
        </w:rPr>
        <w:t xml:space="preserve"> 20</w:t>
      </w:r>
      <w:r w:rsidR="00EC1FEE">
        <w:rPr>
          <w:sz w:val="20"/>
          <w:lang w:val="en-GB"/>
        </w:rPr>
        <w:t xml:space="preserve"> </w:t>
      </w:r>
      <w:r w:rsidRPr="00F15147">
        <w:rPr>
          <w:sz w:val="20"/>
          <w:lang w:val="en-GB"/>
        </w:rPr>
        <w:t>(2)</w:t>
      </w:r>
      <w:r w:rsidR="00EC1FEE">
        <w:rPr>
          <w:sz w:val="20"/>
          <w:lang w:val="en-GB"/>
        </w:rPr>
        <w:t>,</w:t>
      </w:r>
      <w:r w:rsidRPr="00F15147">
        <w:rPr>
          <w:sz w:val="20"/>
          <w:lang w:val="en-GB"/>
        </w:rPr>
        <w:t xml:space="preserve"> 26 and 27</w:t>
      </w:r>
    </w:p>
    <w:p w14:paraId="66A34750" w14:textId="29A37B0D" w:rsidR="00824E9A" w:rsidRDefault="00E152A1" w:rsidP="00F15147">
      <w:pPr>
        <w:pStyle w:val="SingleTxtG"/>
        <w:spacing w:line="220" w:lineRule="atLeast"/>
        <w:ind w:left="4536" w:hanging="3402"/>
        <w:jc w:val="left"/>
        <w:rPr>
          <w:sz w:val="20"/>
          <w:lang w:val="en-GB"/>
        </w:rPr>
      </w:pPr>
      <w:r w:rsidRPr="00F15147">
        <w:rPr>
          <w:i/>
          <w:sz w:val="20"/>
          <w:lang w:val="en-GB"/>
        </w:rPr>
        <w:t>Article</w:t>
      </w:r>
      <w:r w:rsidR="00EC1FEE">
        <w:rPr>
          <w:i/>
          <w:sz w:val="20"/>
          <w:lang w:val="en-GB"/>
        </w:rPr>
        <w:t>s</w:t>
      </w:r>
      <w:r w:rsidRPr="00F15147">
        <w:rPr>
          <w:i/>
          <w:sz w:val="20"/>
          <w:lang w:val="en-GB"/>
        </w:rPr>
        <w:t xml:space="preserve"> of the Opt</w:t>
      </w:r>
      <w:r w:rsidR="00396D82" w:rsidRPr="00F15147">
        <w:rPr>
          <w:i/>
          <w:sz w:val="20"/>
          <w:lang w:val="en-GB"/>
        </w:rPr>
        <w:t>ional Protocol:</w:t>
      </w:r>
      <w:r w:rsidRPr="00F15147">
        <w:rPr>
          <w:i/>
          <w:sz w:val="20"/>
          <w:lang w:val="en-GB"/>
        </w:rPr>
        <w:tab/>
      </w:r>
      <w:r w:rsidR="00EB0DA4" w:rsidRPr="00F15147">
        <w:rPr>
          <w:sz w:val="20"/>
          <w:lang w:val="en-GB"/>
        </w:rPr>
        <w:t>1</w:t>
      </w:r>
      <w:r w:rsidR="00EC1FEE">
        <w:rPr>
          <w:sz w:val="20"/>
          <w:lang w:val="en-GB"/>
        </w:rPr>
        <w:t>,</w:t>
      </w:r>
      <w:r w:rsidR="00EB0DA4" w:rsidRPr="00F15147">
        <w:rPr>
          <w:sz w:val="20"/>
          <w:lang w:val="en-GB"/>
        </w:rPr>
        <w:t xml:space="preserve"> 3 and 5</w:t>
      </w:r>
      <w:r w:rsidR="00EC1FEE">
        <w:rPr>
          <w:sz w:val="20"/>
          <w:lang w:val="en-GB"/>
        </w:rPr>
        <w:t xml:space="preserve"> </w:t>
      </w:r>
      <w:r w:rsidRPr="00F15147">
        <w:rPr>
          <w:sz w:val="20"/>
          <w:lang w:val="en-GB"/>
        </w:rPr>
        <w:t>(2</w:t>
      </w:r>
      <w:r w:rsidR="00DB3F1A" w:rsidRPr="00F15147">
        <w:rPr>
          <w:sz w:val="20"/>
          <w:lang w:val="en-GB"/>
        </w:rPr>
        <w:t>)</w:t>
      </w:r>
      <w:r w:rsidR="00EC1FEE">
        <w:rPr>
          <w:sz w:val="20"/>
          <w:lang w:val="en-GB"/>
        </w:rPr>
        <w:t xml:space="preserve"> </w:t>
      </w:r>
      <w:r w:rsidR="00DB3F1A" w:rsidRPr="00F15147">
        <w:rPr>
          <w:sz w:val="20"/>
          <w:lang w:val="en-GB"/>
        </w:rPr>
        <w:t>(</w:t>
      </w:r>
      <w:r w:rsidRPr="00F15147">
        <w:rPr>
          <w:sz w:val="20"/>
          <w:lang w:val="en-GB"/>
        </w:rPr>
        <w:t>b)</w:t>
      </w:r>
    </w:p>
    <w:p w14:paraId="35364009" w14:textId="7B7728E6" w:rsidR="00E152A1" w:rsidRPr="00F15147" w:rsidRDefault="00E152A1" w:rsidP="006837AA">
      <w:pPr>
        <w:pStyle w:val="SingleTxtG"/>
        <w:rPr>
          <w:sz w:val="20"/>
          <w:lang w:val="en-GB"/>
        </w:rPr>
      </w:pPr>
      <w:r w:rsidRPr="00F15147">
        <w:rPr>
          <w:sz w:val="20"/>
          <w:lang w:val="en-GB"/>
        </w:rPr>
        <w:t>1.</w:t>
      </w:r>
      <w:r w:rsidRPr="00F15147">
        <w:rPr>
          <w:sz w:val="20"/>
          <w:lang w:val="en-GB"/>
        </w:rPr>
        <w:tab/>
        <w:t>The authors of the communication are Mohamed Rabbae</w:t>
      </w:r>
      <w:r w:rsidR="00EB0DA4" w:rsidRPr="00F15147">
        <w:rPr>
          <w:sz w:val="20"/>
          <w:lang w:val="en-GB"/>
        </w:rPr>
        <w:t xml:space="preserve">, </w:t>
      </w:r>
      <w:r w:rsidRPr="00F15147">
        <w:rPr>
          <w:sz w:val="20"/>
          <w:lang w:val="en-GB"/>
        </w:rPr>
        <w:t>A.B.S. and</w:t>
      </w:r>
      <w:r w:rsidR="00ED1575" w:rsidRPr="00F15147">
        <w:rPr>
          <w:sz w:val="20"/>
          <w:lang w:val="en-GB"/>
        </w:rPr>
        <w:t xml:space="preserve"> </w:t>
      </w:r>
      <w:r w:rsidRPr="00F15147">
        <w:rPr>
          <w:sz w:val="20"/>
          <w:lang w:val="en-GB"/>
        </w:rPr>
        <w:t>N.A.</w:t>
      </w:r>
      <w:r w:rsidR="00D220A8" w:rsidRPr="00F15147">
        <w:rPr>
          <w:sz w:val="20"/>
          <w:lang w:val="en-GB"/>
        </w:rPr>
        <w:t>,</w:t>
      </w:r>
      <w:r w:rsidR="00396D82" w:rsidRPr="00F15147">
        <w:rPr>
          <w:sz w:val="20"/>
          <w:lang w:val="en-GB"/>
        </w:rPr>
        <w:t xml:space="preserve"> </w:t>
      </w:r>
      <w:r w:rsidRPr="00F15147">
        <w:rPr>
          <w:sz w:val="20"/>
          <w:lang w:val="en-GB"/>
        </w:rPr>
        <w:t>all</w:t>
      </w:r>
      <w:r w:rsidR="00ED1575" w:rsidRPr="00F15147">
        <w:rPr>
          <w:sz w:val="20"/>
          <w:lang w:val="en-GB"/>
        </w:rPr>
        <w:t xml:space="preserve"> </w:t>
      </w:r>
      <w:r w:rsidRPr="00F15147">
        <w:rPr>
          <w:sz w:val="20"/>
          <w:lang w:val="en-GB"/>
        </w:rPr>
        <w:t xml:space="preserve">dual </w:t>
      </w:r>
      <w:r w:rsidR="006837AA" w:rsidRPr="00A12688">
        <w:rPr>
          <w:sz w:val="20"/>
          <w:lang w:val="en-GB"/>
        </w:rPr>
        <w:t>nationals</w:t>
      </w:r>
      <w:r w:rsidR="006837AA" w:rsidRPr="006837AA">
        <w:rPr>
          <w:sz w:val="20"/>
          <w:lang w:val="en-GB"/>
        </w:rPr>
        <w:t xml:space="preserve"> </w:t>
      </w:r>
      <w:r w:rsidR="006837AA">
        <w:rPr>
          <w:sz w:val="20"/>
          <w:lang w:val="en-GB"/>
        </w:rPr>
        <w:t xml:space="preserve">of the Netherlands and </w:t>
      </w:r>
      <w:r w:rsidRPr="00F15147">
        <w:rPr>
          <w:sz w:val="20"/>
          <w:lang w:val="en-GB"/>
        </w:rPr>
        <w:t>Morocc</w:t>
      </w:r>
      <w:r w:rsidR="006837AA">
        <w:rPr>
          <w:sz w:val="20"/>
          <w:lang w:val="en-GB"/>
        </w:rPr>
        <w:t>o</w:t>
      </w:r>
      <w:r w:rsidRPr="00F15147">
        <w:rPr>
          <w:sz w:val="20"/>
          <w:lang w:val="en-GB"/>
        </w:rPr>
        <w:t>. They claim to be victims of violation</w:t>
      </w:r>
      <w:r w:rsidR="00771FE6" w:rsidRPr="00F15147">
        <w:rPr>
          <w:sz w:val="20"/>
          <w:lang w:val="en-GB"/>
        </w:rPr>
        <w:t>s</w:t>
      </w:r>
      <w:r w:rsidRPr="00F15147">
        <w:rPr>
          <w:sz w:val="20"/>
          <w:lang w:val="en-GB"/>
        </w:rPr>
        <w:t xml:space="preserve"> by the Netherlands of their rights under articles 2</w:t>
      </w:r>
      <w:r w:rsidR="001B64C0">
        <w:rPr>
          <w:sz w:val="20"/>
          <w:lang w:val="en-GB"/>
        </w:rPr>
        <w:t xml:space="preserve"> </w:t>
      </w:r>
      <w:r w:rsidR="00D220A8" w:rsidRPr="00F15147">
        <w:rPr>
          <w:sz w:val="20"/>
          <w:lang w:val="en-GB"/>
        </w:rPr>
        <w:t>(</w:t>
      </w:r>
      <w:r w:rsidRPr="00F15147">
        <w:rPr>
          <w:sz w:val="20"/>
          <w:lang w:val="en-GB"/>
        </w:rPr>
        <w:t>3</w:t>
      </w:r>
      <w:r w:rsidR="00DB3F1A" w:rsidRPr="00F15147">
        <w:rPr>
          <w:sz w:val="20"/>
          <w:lang w:val="en-GB"/>
        </w:rPr>
        <w:t>)</w:t>
      </w:r>
      <w:r w:rsidR="001B64C0">
        <w:rPr>
          <w:sz w:val="20"/>
          <w:lang w:val="en-GB"/>
        </w:rPr>
        <w:t>,</w:t>
      </w:r>
      <w:r w:rsidRPr="00F15147">
        <w:rPr>
          <w:sz w:val="20"/>
          <w:lang w:val="en-GB"/>
        </w:rPr>
        <w:t xml:space="preserve"> 14</w:t>
      </w:r>
      <w:r w:rsidR="001B64C0">
        <w:rPr>
          <w:sz w:val="20"/>
          <w:lang w:val="en-GB"/>
        </w:rPr>
        <w:t xml:space="preserve"> </w:t>
      </w:r>
      <w:r w:rsidR="00CC62A0" w:rsidRPr="00F15147">
        <w:rPr>
          <w:sz w:val="20"/>
          <w:lang w:val="en-GB"/>
        </w:rPr>
        <w:t>(</w:t>
      </w:r>
      <w:r w:rsidRPr="00F15147">
        <w:rPr>
          <w:sz w:val="20"/>
          <w:lang w:val="en-GB"/>
        </w:rPr>
        <w:t>1</w:t>
      </w:r>
      <w:r w:rsidR="00CC62A0" w:rsidRPr="00F15147">
        <w:rPr>
          <w:sz w:val="20"/>
          <w:lang w:val="en-GB"/>
        </w:rPr>
        <w:t>)</w:t>
      </w:r>
      <w:r w:rsidR="001B64C0">
        <w:rPr>
          <w:sz w:val="20"/>
          <w:lang w:val="en-GB"/>
        </w:rPr>
        <w:t>,</w:t>
      </w:r>
      <w:r w:rsidRPr="00F15147">
        <w:rPr>
          <w:sz w:val="20"/>
          <w:lang w:val="en-GB"/>
        </w:rPr>
        <w:t xml:space="preserve"> </w:t>
      </w:r>
      <w:r w:rsidR="007E3E31" w:rsidRPr="00F15147">
        <w:rPr>
          <w:sz w:val="20"/>
          <w:lang w:val="en-GB"/>
        </w:rPr>
        <w:t>17</w:t>
      </w:r>
      <w:r w:rsidR="001B64C0">
        <w:rPr>
          <w:sz w:val="20"/>
          <w:lang w:val="en-GB"/>
        </w:rPr>
        <w:t>,</w:t>
      </w:r>
      <w:r w:rsidR="007E3E31" w:rsidRPr="00F15147">
        <w:rPr>
          <w:sz w:val="20"/>
          <w:lang w:val="en-GB"/>
        </w:rPr>
        <w:t xml:space="preserve"> </w:t>
      </w:r>
      <w:r w:rsidRPr="00F15147">
        <w:rPr>
          <w:sz w:val="20"/>
          <w:lang w:val="en-GB"/>
        </w:rPr>
        <w:t>20</w:t>
      </w:r>
      <w:r w:rsidR="001B64C0">
        <w:rPr>
          <w:sz w:val="20"/>
          <w:lang w:val="en-GB"/>
        </w:rPr>
        <w:t>,</w:t>
      </w:r>
      <w:r w:rsidRPr="00F15147">
        <w:rPr>
          <w:sz w:val="20"/>
          <w:lang w:val="en-GB"/>
        </w:rPr>
        <w:t xml:space="preserve"> 26 and 27 of the Covenant. </w:t>
      </w:r>
      <w:r w:rsidR="00F570DA" w:rsidRPr="00F15147">
        <w:rPr>
          <w:sz w:val="20"/>
          <w:lang w:val="en-GB"/>
        </w:rPr>
        <w:t>The Optional Protocol entered into force for the Netherlands on 11 March 1979.</w:t>
      </w:r>
      <w:r w:rsidR="001B64C0">
        <w:rPr>
          <w:sz w:val="20"/>
          <w:lang w:val="en-GB"/>
        </w:rPr>
        <w:t xml:space="preserve"> </w:t>
      </w:r>
      <w:r w:rsidR="001B64C0" w:rsidRPr="001B64C0">
        <w:rPr>
          <w:sz w:val="20"/>
          <w:lang w:val="en-GB"/>
        </w:rPr>
        <w:t xml:space="preserve">The authors </w:t>
      </w:r>
      <w:r w:rsidR="001B64C0">
        <w:rPr>
          <w:sz w:val="20"/>
          <w:lang w:val="en-GB"/>
        </w:rPr>
        <w:t xml:space="preserve">are </w:t>
      </w:r>
      <w:r w:rsidR="001B64C0" w:rsidRPr="001B64C0">
        <w:rPr>
          <w:sz w:val="20"/>
          <w:lang w:val="en-GB"/>
        </w:rPr>
        <w:t>represented by counsel</w:t>
      </w:r>
      <w:r w:rsidR="001B64C0">
        <w:rPr>
          <w:sz w:val="20"/>
          <w:lang w:val="en-GB"/>
        </w:rPr>
        <w:t>.</w:t>
      </w:r>
    </w:p>
    <w:p w14:paraId="7D435E46" w14:textId="2568EDED" w:rsidR="00E152A1" w:rsidRPr="00F15147" w:rsidRDefault="00496E66" w:rsidP="001B64C0">
      <w:pPr>
        <w:pStyle w:val="H23G"/>
        <w:rPr>
          <w:sz w:val="20"/>
        </w:rPr>
      </w:pPr>
      <w:r w:rsidRPr="00F15147">
        <w:rPr>
          <w:sz w:val="20"/>
        </w:rPr>
        <w:tab/>
      </w:r>
      <w:r w:rsidRPr="00F15147">
        <w:rPr>
          <w:sz w:val="20"/>
        </w:rPr>
        <w:tab/>
      </w:r>
      <w:r w:rsidR="00E152A1" w:rsidRPr="00F15147">
        <w:rPr>
          <w:sz w:val="20"/>
        </w:rPr>
        <w:t xml:space="preserve">The facts as </w:t>
      </w:r>
      <w:r w:rsidR="001B64C0">
        <w:rPr>
          <w:sz w:val="20"/>
        </w:rPr>
        <w:t>submitted</w:t>
      </w:r>
      <w:r w:rsidR="00E152A1" w:rsidRPr="00F15147">
        <w:rPr>
          <w:sz w:val="20"/>
        </w:rPr>
        <w:t xml:space="preserve"> by the authors</w:t>
      </w:r>
    </w:p>
    <w:p w14:paraId="1C84AECC" w14:textId="5BBAD451" w:rsidR="007F6892" w:rsidRPr="00F15147" w:rsidRDefault="00E152A1" w:rsidP="006837AA">
      <w:pPr>
        <w:pStyle w:val="SingleTxtG"/>
        <w:rPr>
          <w:sz w:val="20"/>
          <w:lang w:val="en-GB"/>
        </w:rPr>
      </w:pPr>
      <w:r w:rsidRPr="00F15147">
        <w:rPr>
          <w:sz w:val="20"/>
          <w:lang w:val="en-GB"/>
        </w:rPr>
        <w:t>2.1</w:t>
      </w:r>
      <w:r w:rsidRPr="00F15147">
        <w:rPr>
          <w:sz w:val="20"/>
          <w:lang w:val="en-GB"/>
        </w:rPr>
        <w:tab/>
        <w:t xml:space="preserve">Between 2006 and 2009, </w:t>
      </w:r>
      <w:r w:rsidR="00364F56" w:rsidRPr="00904476">
        <w:rPr>
          <w:sz w:val="20"/>
          <w:lang w:val="en-GB"/>
        </w:rPr>
        <w:t>the police</w:t>
      </w:r>
      <w:r w:rsidR="00364F56" w:rsidRPr="00B93A39">
        <w:rPr>
          <w:sz w:val="20"/>
          <w:lang w:val="en-GB"/>
        </w:rPr>
        <w:t xml:space="preserve"> </w:t>
      </w:r>
      <w:r w:rsidR="00364F56">
        <w:rPr>
          <w:sz w:val="20"/>
          <w:lang w:val="en-GB"/>
        </w:rPr>
        <w:t xml:space="preserve">received </w:t>
      </w:r>
      <w:r w:rsidR="002A4685" w:rsidRPr="00F15147">
        <w:rPr>
          <w:sz w:val="20"/>
          <w:lang w:val="en-GB"/>
        </w:rPr>
        <w:t xml:space="preserve">hundreds of </w:t>
      </w:r>
      <w:r w:rsidR="00364F56" w:rsidRPr="003774F2">
        <w:rPr>
          <w:sz w:val="20"/>
          <w:lang w:val="en-GB"/>
        </w:rPr>
        <w:t>report</w:t>
      </w:r>
      <w:r w:rsidR="00364F56">
        <w:rPr>
          <w:sz w:val="20"/>
          <w:lang w:val="en-GB"/>
        </w:rPr>
        <w:t xml:space="preserve">s from </w:t>
      </w:r>
      <w:r w:rsidR="002A4685" w:rsidRPr="00F15147">
        <w:rPr>
          <w:sz w:val="20"/>
          <w:lang w:val="en-GB"/>
        </w:rPr>
        <w:t>individuals and organi</w:t>
      </w:r>
      <w:r w:rsidR="00364F56">
        <w:rPr>
          <w:sz w:val="20"/>
          <w:lang w:val="en-GB"/>
        </w:rPr>
        <w:t>z</w:t>
      </w:r>
      <w:r w:rsidR="002A4685" w:rsidRPr="00F15147">
        <w:rPr>
          <w:sz w:val="20"/>
          <w:lang w:val="en-GB"/>
        </w:rPr>
        <w:t xml:space="preserve">ations </w:t>
      </w:r>
      <w:r w:rsidR="00364F56">
        <w:rPr>
          <w:sz w:val="20"/>
          <w:lang w:val="en-GB"/>
        </w:rPr>
        <w:t xml:space="preserve">concerning </w:t>
      </w:r>
      <w:r w:rsidR="002A4685" w:rsidRPr="00F15147">
        <w:rPr>
          <w:sz w:val="20"/>
          <w:lang w:val="en-GB"/>
        </w:rPr>
        <w:t xml:space="preserve">insults and incitement </w:t>
      </w:r>
      <w:r w:rsidR="00364F56">
        <w:rPr>
          <w:sz w:val="20"/>
          <w:lang w:val="en-GB"/>
        </w:rPr>
        <w:t>t</w:t>
      </w:r>
      <w:r w:rsidR="002A4685" w:rsidRPr="00F15147">
        <w:rPr>
          <w:sz w:val="20"/>
          <w:lang w:val="en-GB"/>
        </w:rPr>
        <w:t>o discrimination, violence and hatred by</w:t>
      </w:r>
      <w:r w:rsidR="00ED1575" w:rsidRPr="00F15147">
        <w:rPr>
          <w:sz w:val="20"/>
          <w:lang w:val="en-GB"/>
        </w:rPr>
        <w:t xml:space="preserve"> </w:t>
      </w:r>
      <w:r w:rsidRPr="00F15147">
        <w:rPr>
          <w:sz w:val="20"/>
          <w:lang w:val="en-GB"/>
        </w:rPr>
        <w:t xml:space="preserve">Geert </w:t>
      </w:r>
      <w:r w:rsidR="00696F9C">
        <w:rPr>
          <w:sz w:val="20"/>
          <w:lang w:val="en-GB"/>
        </w:rPr>
        <w:t>Wilders</w:t>
      </w:r>
      <w:r w:rsidRPr="00F15147">
        <w:rPr>
          <w:sz w:val="20"/>
          <w:lang w:val="en-GB"/>
        </w:rPr>
        <w:t xml:space="preserve">, </w:t>
      </w:r>
      <w:r w:rsidR="00364F56">
        <w:rPr>
          <w:sz w:val="20"/>
          <w:lang w:val="en-GB"/>
        </w:rPr>
        <w:t xml:space="preserve">a </w:t>
      </w:r>
      <w:r w:rsidR="006837AA">
        <w:rPr>
          <w:sz w:val="20"/>
          <w:lang w:val="en-GB"/>
        </w:rPr>
        <w:t>M</w:t>
      </w:r>
      <w:r w:rsidRPr="00F15147">
        <w:rPr>
          <w:sz w:val="20"/>
          <w:lang w:val="en-GB"/>
        </w:rPr>
        <w:t xml:space="preserve">ember of </w:t>
      </w:r>
      <w:r w:rsidR="006837AA">
        <w:rPr>
          <w:sz w:val="20"/>
          <w:lang w:val="en-GB"/>
        </w:rPr>
        <w:t>P</w:t>
      </w:r>
      <w:r w:rsidRPr="00F15147">
        <w:rPr>
          <w:sz w:val="20"/>
          <w:lang w:val="en-GB"/>
        </w:rPr>
        <w:t xml:space="preserve">arliament and </w:t>
      </w:r>
      <w:r w:rsidR="00364F56">
        <w:rPr>
          <w:sz w:val="20"/>
          <w:lang w:val="en-GB"/>
        </w:rPr>
        <w:t xml:space="preserve">the </w:t>
      </w:r>
      <w:r w:rsidRPr="00F15147">
        <w:rPr>
          <w:sz w:val="20"/>
          <w:lang w:val="en-GB"/>
        </w:rPr>
        <w:t>founder of the extreme right</w:t>
      </w:r>
      <w:r w:rsidR="00D27D27">
        <w:rPr>
          <w:sz w:val="20"/>
          <w:lang w:val="en-GB"/>
        </w:rPr>
        <w:t>-</w:t>
      </w:r>
      <w:r w:rsidRPr="00F15147">
        <w:rPr>
          <w:sz w:val="20"/>
          <w:lang w:val="en-GB"/>
        </w:rPr>
        <w:t xml:space="preserve">wing political </w:t>
      </w:r>
      <w:r w:rsidR="008851CB" w:rsidRPr="007B39E0">
        <w:rPr>
          <w:sz w:val="20"/>
          <w:lang w:val="en-GB"/>
        </w:rPr>
        <w:t>Party</w:t>
      </w:r>
      <w:r w:rsidR="008851CB" w:rsidRPr="00B93A39" w:rsidDel="008851CB">
        <w:rPr>
          <w:sz w:val="20"/>
          <w:lang w:val="en-GB"/>
        </w:rPr>
        <w:t xml:space="preserve"> </w:t>
      </w:r>
      <w:r w:rsidR="008851CB">
        <w:rPr>
          <w:sz w:val="20"/>
          <w:lang w:val="en-GB"/>
        </w:rPr>
        <w:t xml:space="preserve">for </w:t>
      </w:r>
      <w:r w:rsidRPr="00F15147">
        <w:rPr>
          <w:sz w:val="20"/>
          <w:lang w:val="en-GB"/>
        </w:rPr>
        <w:t xml:space="preserve">Freedom. However, the public prosecutor decided not to </w:t>
      </w:r>
      <w:r w:rsidR="002A4685" w:rsidRPr="00F15147">
        <w:rPr>
          <w:sz w:val="20"/>
          <w:lang w:val="en-GB"/>
        </w:rPr>
        <w:t xml:space="preserve">prosecute </w:t>
      </w:r>
      <w:r w:rsidR="006837AA">
        <w:rPr>
          <w:sz w:val="20"/>
          <w:lang w:val="en-GB"/>
        </w:rPr>
        <w:t>Mr. </w:t>
      </w:r>
      <w:r w:rsidR="00696F9C">
        <w:rPr>
          <w:sz w:val="20"/>
          <w:lang w:val="en-GB"/>
        </w:rPr>
        <w:t>Wilders</w:t>
      </w:r>
      <w:r w:rsidR="002A4685" w:rsidRPr="00F15147">
        <w:rPr>
          <w:sz w:val="20"/>
          <w:lang w:val="en-GB"/>
        </w:rPr>
        <w:t>, arguing that h</w:t>
      </w:r>
      <w:r w:rsidR="006837AA">
        <w:rPr>
          <w:sz w:val="20"/>
          <w:lang w:val="en-GB"/>
        </w:rPr>
        <w:t>is</w:t>
      </w:r>
      <w:r w:rsidR="002A4685" w:rsidRPr="00F15147">
        <w:rPr>
          <w:sz w:val="20"/>
          <w:lang w:val="en-GB"/>
        </w:rPr>
        <w:t xml:space="preserve"> statements were not criminal but </w:t>
      </w:r>
      <w:r w:rsidR="006837AA">
        <w:rPr>
          <w:sz w:val="20"/>
          <w:lang w:val="en-GB"/>
        </w:rPr>
        <w:t xml:space="preserve">fell </w:t>
      </w:r>
      <w:r w:rsidR="002A4685" w:rsidRPr="00F15147">
        <w:rPr>
          <w:sz w:val="20"/>
          <w:lang w:val="en-GB"/>
        </w:rPr>
        <w:t>within the space granted</w:t>
      </w:r>
      <w:r w:rsidR="00ED1575" w:rsidRPr="00F15147">
        <w:rPr>
          <w:sz w:val="20"/>
          <w:lang w:val="en-GB"/>
        </w:rPr>
        <w:t xml:space="preserve"> </w:t>
      </w:r>
      <w:r w:rsidR="002A4685" w:rsidRPr="00F15147">
        <w:rPr>
          <w:sz w:val="20"/>
          <w:lang w:val="en-GB"/>
        </w:rPr>
        <w:t>by freedom of expression in public debate.</w:t>
      </w:r>
      <w:r w:rsidR="00ED1575" w:rsidRPr="00F15147">
        <w:rPr>
          <w:sz w:val="20"/>
          <w:lang w:val="en-GB"/>
        </w:rPr>
        <w:t xml:space="preserve"> </w:t>
      </w:r>
      <w:r w:rsidR="002C0B4C" w:rsidRPr="00F15147">
        <w:rPr>
          <w:sz w:val="20"/>
          <w:lang w:val="en-GB"/>
        </w:rPr>
        <w:t xml:space="preserve">The prosecutor issued a letter to all those who </w:t>
      </w:r>
      <w:r w:rsidR="006837AA">
        <w:rPr>
          <w:sz w:val="20"/>
          <w:lang w:val="en-GB"/>
        </w:rPr>
        <w:t xml:space="preserve">had </w:t>
      </w:r>
      <w:r w:rsidR="002C0B4C" w:rsidRPr="00F15147">
        <w:rPr>
          <w:sz w:val="20"/>
          <w:lang w:val="en-GB"/>
        </w:rPr>
        <w:t xml:space="preserve">reported </w:t>
      </w:r>
      <w:r w:rsidR="006837AA">
        <w:rPr>
          <w:sz w:val="20"/>
          <w:lang w:val="en-GB"/>
        </w:rPr>
        <w:t>Mr. </w:t>
      </w:r>
      <w:r w:rsidR="00696F9C">
        <w:rPr>
          <w:sz w:val="20"/>
          <w:lang w:val="en-GB"/>
        </w:rPr>
        <w:t>Wilders</w:t>
      </w:r>
      <w:r w:rsidR="002C0B4C" w:rsidRPr="00F15147">
        <w:rPr>
          <w:sz w:val="20"/>
          <w:lang w:val="en-GB"/>
        </w:rPr>
        <w:t xml:space="preserve">’ statements to the police explaining that no prosecution would take place because the reported facts were not liable to punishment under the </w:t>
      </w:r>
      <w:r w:rsidR="008851CB">
        <w:rPr>
          <w:sz w:val="20"/>
          <w:lang w:val="en-GB"/>
        </w:rPr>
        <w:t>C</w:t>
      </w:r>
      <w:r w:rsidR="002C0B4C" w:rsidRPr="00F15147">
        <w:rPr>
          <w:sz w:val="20"/>
          <w:lang w:val="en-GB"/>
        </w:rPr>
        <w:t xml:space="preserve">riminal </w:t>
      </w:r>
      <w:r w:rsidR="008851CB">
        <w:rPr>
          <w:sz w:val="20"/>
          <w:lang w:val="en-GB"/>
        </w:rPr>
        <w:t>C</w:t>
      </w:r>
      <w:r w:rsidR="002C0B4C" w:rsidRPr="00F15147">
        <w:rPr>
          <w:sz w:val="20"/>
          <w:lang w:val="en-GB"/>
        </w:rPr>
        <w:t>ode.</w:t>
      </w:r>
    </w:p>
    <w:p w14:paraId="29329C41" w14:textId="482A9FFF" w:rsidR="0061681F" w:rsidRPr="00F15147" w:rsidRDefault="00F80C64" w:rsidP="002262C0">
      <w:pPr>
        <w:pStyle w:val="SingleTxtG"/>
        <w:rPr>
          <w:sz w:val="20"/>
          <w:lang w:val="en-GB"/>
        </w:rPr>
      </w:pPr>
      <w:r w:rsidRPr="00F15147">
        <w:rPr>
          <w:sz w:val="20"/>
          <w:lang w:val="en-GB"/>
        </w:rPr>
        <w:t>2.2</w:t>
      </w:r>
      <w:r w:rsidRPr="00F15147">
        <w:rPr>
          <w:sz w:val="20"/>
          <w:lang w:val="en-GB"/>
        </w:rPr>
        <w:tab/>
      </w:r>
      <w:r w:rsidR="00582801" w:rsidRPr="00F15147">
        <w:rPr>
          <w:sz w:val="20"/>
          <w:lang w:val="en-GB"/>
        </w:rPr>
        <w:t xml:space="preserve">Under </w:t>
      </w:r>
      <w:r w:rsidR="002262C0">
        <w:rPr>
          <w:sz w:val="20"/>
          <w:lang w:val="en-GB"/>
        </w:rPr>
        <w:t>domestic</w:t>
      </w:r>
      <w:r w:rsidR="00582801" w:rsidRPr="00F15147">
        <w:rPr>
          <w:sz w:val="20"/>
          <w:lang w:val="en-GB"/>
        </w:rPr>
        <w:t xml:space="preserve"> law, c</w:t>
      </w:r>
      <w:r w:rsidR="007F6892" w:rsidRPr="00F15147">
        <w:rPr>
          <w:sz w:val="20"/>
          <w:lang w:val="en-GB"/>
        </w:rPr>
        <w:t xml:space="preserve">itizens who consider themselves victims of a crime have no right to have the alleged perpetrator prosecuted. They depend on the decision of the public prosecutor. However, a citizen who has a direct interest in a prosecution can lodge a complaint with </w:t>
      </w:r>
      <w:r w:rsidR="000214BD">
        <w:rPr>
          <w:sz w:val="20"/>
          <w:lang w:val="en-GB"/>
        </w:rPr>
        <w:t>a</w:t>
      </w:r>
      <w:r w:rsidR="007F6892" w:rsidRPr="00F15147">
        <w:rPr>
          <w:sz w:val="20"/>
          <w:lang w:val="en-GB"/>
        </w:rPr>
        <w:t xml:space="preserve"> court of appeal against a decision not to prosecute</w:t>
      </w:r>
      <w:r w:rsidR="00F570DA" w:rsidRPr="00F15147">
        <w:rPr>
          <w:sz w:val="20"/>
          <w:lang w:val="en-GB"/>
        </w:rPr>
        <w:t>.</w:t>
      </w:r>
      <w:r w:rsidR="00607DFC" w:rsidRPr="003710BE">
        <w:rPr>
          <w:rStyle w:val="FootnoteReference"/>
        </w:rPr>
        <w:footnoteReference w:id="5"/>
      </w:r>
      <w:r w:rsidR="007F6892" w:rsidRPr="00F15147">
        <w:rPr>
          <w:sz w:val="20"/>
          <w:lang w:val="en-GB"/>
        </w:rPr>
        <w:t xml:space="preserve"> Th</w:t>
      </w:r>
      <w:r w:rsidR="00757ADB">
        <w:rPr>
          <w:sz w:val="20"/>
          <w:lang w:val="en-GB"/>
        </w:rPr>
        <w:t>at</w:t>
      </w:r>
      <w:r w:rsidR="007F6892" w:rsidRPr="00F15147">
        <w:rPr>
          <w:sz w:val="20"/>
          <w:lang w:val="en-GB"/>
        </w:rPr>
        <w:t xml:space="preserve"> is what a number of victims and </w:t>
      </w:r>
      <w:r w:rsidR="00757ADB">
        <w:rPr>
          <w:sz w:val="20"/>
          <w:lang w:val="en-GB"/>
        </w:rPr>
        <w:t xml:space="preserve">other </w:t>
      </w:r>
      <w:r w:rsidR="007F6892" w:rsidRPr="00F15147">
        <w:rPr>
          <w:sz w:val="20"/>
          <w:lang w:val="en-GB"/>
        </w:rPr>
        <w:t>interested p</w:t>
      </w:r>
      <w:r w:rsidR="00757ADB">
        <w:rPr>
          <w:sz w:val="20"/>
          <w:lang w:val="en-GB"/>
        </w:rPr>
        <w:t>arties</w:t>
      </w:r>
      <w:r w:rsidR="007F6892" w:rsidRPr="00F15147">
        <w:rPr>
          <w:sz w:val="20"/>
          <w:lang w:val="en-GB"/>
        </w:rPr>
        <w:t xml:space="preserve"> did in the present case. As a result, the Amsterdam Court of Appeal, on 21 November 2009, ordered the prosecutor to prosecute </w:t>
      </w:r>
      <w:r w:rsidR="006837AA">
        <w:rPr>
          <w:sz w:val="20"/>
          <w:lang w:val="en-GB"/>
        </w:rPr>
        <w:t>Mr. </w:t>
      </w:r>
      <w:r w:rsidR="00696F9C">
        <w:rPr>
          <w:sz w:val="20"/>
          <w:lang w:val="en-GB"/>
        </w:rPr>
        <w:t>Wilders</w:t>
      </w:r>
      <w:r w:rsidR="007F6892" w:rsidRPr="00F15147">
        <w:rPr>
          <w:sz w:val="20"/>
          <w:lang w:val="en-GB"/>
        </w:rPr>
        <w:t xml:space="preserve"> before the Amsterdam District Court. Pursuant to th</w:t>
      </w:r>
      <w:r w:rsidR="00757ADB">
        <w:rPr>
          <w:sz w:val="20"/>
          <w:lang w:val="en-GB"/>
        </w:rPr>
        <w:t>at</w:t>
      </w:r>
      <w:r w:rsidR="007F6892" w:rsidRPr="00F15147">
        <w:rPr>
          <w:sz w:val="20"/>
          <w:lang w:val="en-GB"/>
        </w:rPr>
        <w:t xml:space="preserve"> order</w:t>
      </w:r>
      <w:r w:rsidR="00757ADB">
        <w:rPr>
          <w:sz w:val="20"/>
          <w:lang w:val="en-GB"/>
        </w:rPr>
        <w:t>,</w:t>
      </w:r>
      <w:r w:rsidR="002A4685" w:rsidRPr="00F15147">
        <w:rPr>
          <w:sz w:val="20"/>
          <w:lang w:val="en-GB"/>
        </w:rPr>
        <w:t xml:space="preserve"> the </w:t>
      </w:r>
      <w:r w:rsidR="002C0B4C" w:rsidRPr="00F15147">
        <w:rPr>
          <w:sz w:val="20"/>
          <w:lang w:val="en-GB"/>
        </w:rPr>
        <w:t>p</w:t>
      </w:r>
      <w:r w:rsidR="002A4685" w:rsidRPr="00F15147">
        <w:rPr>
          <w:sz w:val="20"/>
          <w:lang w:val="en-GB"/>
        </w:rPr>
        <w:t>rosecutor issued a summons</w:t>
      </w:r>
      <w:r w:rsidR="00161ECA" w:rsidRPr="00F15147">
        <w:rPr>
          <w:sz w:val="20"/>
          <w:lang w:val="en-GB"/>
        </w:rPr>
        <w:t xml:space="preserve"> in which </w:t>
      </w:r>
      <w:r w:rsidR="006837AA">
        <w:rPr>
          <w:sz w:val="20"/>
          <w:lang w:val="en-GB"/>
        </w:rPr>
        <w:t>Mr. </w:t>
      </w:r>
      <w:r w:rsidR="00696F9C">
        <w:rPr>
          <w:sz w:val="20"/>
          <w:lang w:val="en-GB"/>
        </w:rPr>
        <w:t>Wilders</w:t>
      </w:r>
      <w:r w:rsidR="00161ECA" w:rsidRPr="00F15147">
        <w:rPr>
          <w:sz w:val="20"/>
          <w:lang w:val="en-GB"/>
        </w:rPr>
        <w:t xml:space="preserve"> was invited to defend himself on charges of insult</w:t>
      </w:r>
      <w:r w:rsidR="00214B6E">
        <w:rPr>
          <w:sz w:val="20"/>
          <w:lang w:val="en-GB"/>
        </w:rPr>
        <w:t>ing</w:t>
      </w:r>
      <w:r w:rsidR="00161ECA" w:rsidRPr="00F15147">
        <w:rPr>
          <w:sz w:val="20"/>
          <w:lang w:val="en-GB"/>
        </w:rPr>
        <w:t xml:space="preserve"> a group fo</w:t>
      </w:r>
      <w:r w:rsidR="0061681F" w:rsidRPr="00F15147">
        <w:rPr>
          <w:sz w:val="20"/>
          <w:lang w:val="en-GB"/>
        </w:rPr>
        <w:t>r reasons of race or religion</w:t>
      </w:r>
      <w:r w:rsidR="000214BD">
        <w:rPr>
          <w:sz w:val="20"/>
          <w:lang w:val="en-GB"/>
        </w:rPr>
        <w:t>,</w:t>
      </w:r>
      <w:r w:rsidR="0061681F" w:rsidRPr="00F15147">
        <w:rPr>
          <w:sz w:val="20"/>
          <w:lang w:val="en-GB"/>
        </w:rPr>
        <w:t xml:space="preserve"> under </w:t>
      </w:r>
      <w:r w:rsidR="00161ECA" w:rsidRPr="00F15147">
        <w:rPr>
          <w:sz w:val="20"/>
          <w:lang w:val="en-GB"/>
        </w:rPr>
        <w:t>section 137c</w:t>
      </w:r>
      <w:r w:rsidR="0061681F" w:rsidRPr="00F15147">
        <w:rPr>
          <w:sz w:val="20"/>
          <w:lang w:val="en-GB"/>
        </w:rPr>
        <w:t xml:space="preserve"> of the </w:t>
      </w:r>
      <w:r w:rsidR="006A16E4" w:rsidRPr="00F15147">
        <w:rPr>
          <w:sz w:val="20"/>
          <w:lang w:val="en-GB"/>
        </w:rPr>
        <w:t>C</w:t>
      </w:r>
      <w:r w:rsidR="0061681F" w:rsidRPr="00F15147">
        <w:rPr>
          <w:sz w:val="20"/>
          <w:lang w:val="en-GB"/>
        </w:rPr>
        <w:t xml:space="preserve">riminal </w:t>
      </w:r>
      <w:r w:rsidR="006A16E4" w:rsidRPr="00F15147">
        <w:rPr>
          <w:sz w:val="20"/>
          <w:lang w:val="en-GB"/>
        </w:rPr>
        <w:t>C</w:t>
      </w:r>
      <w:r w:rsidR="0061681F" w:rsidRPr="00F15147">
        <w:rPr>
          <w:sz w:val="20"/>
          <w:lang w:val="en-GB"/>
        </w:rPr>
        <w:t>ode</w:t>
      </w:r>
      <w:r w:rsidR="00757ADB">
        <w:rPr>
          <w:sz w:val="20"/>
          <w:lang w:val="en-GB"/>
        </w:rPr>
        <w:t>,</w:t>
      </w:r>
      <w:r w:rsidR="00DB3F1A" w:rsidRPr="003710BE">
        <w:rPr>
          <w:rStyle w:val="FootnoteReference"/>
        </w:rPr>
        <w:footnoteReference w:id="6"/>
      </w:r>
      <w:r w:rsidR="00161ECA" w:rsidRPr="00F15147">
        <w:rPr>
          <w:sz w:val="20"/>
          <w:lang w:val="en-GB"/>
        </w:rPr>
        <w:t xml:space="preserve"> and for incitement to hatred and discrimination on grounds of religion or race</w:t>
      </w:r>
      <w:r w:rsidR="000214BD">
        <w:rPr>
          <w:sz w:val="20"/>
          <w:lang w:val="en-GB"/>
        </w:rPr>
        <w:t>,</w:t>
      </w:r>
      <w:r w:rsidR="00161ECA" w:rsidRPr="00F15147">
        <w:rPr>
          <w:sz w:val="20"/>
          <w:lang w:val="en-GB"/>
        </w:rPr>
        <w:t xml:space="preserve"> </w:t>
      </w:r>
      <w:r w:rsidR="0061681F" w:rsidRPr="00F15147">
        <w:rPr>
          <w:sz w:val="20"/>
          <w:lang w:val="en-GB"/>
        </w:rPr>
        <w:t xml:space="preserve">under </w:t>
      </w:r>
      <w:r w:rsidR="00161ECA" w:rsidRPr="00F15147">
        <w:rPr>
          <w:sz w:val="20"/>
          <w:lang w:val="en-GB"/>
        </w:rPr>
        <w:t>section 137d</w:t>
      </w:r>
      <w:r w:rsidR="00F570DA" w:rsidRPr="00F15147">
        <w:rPr>
          <w:sz w:val="20"/>
          <w:lang w:val="en-GB"/>
        </w:rPr>
        <w:t>.</w:t>
      </w:r>
      <w:r w:rsidR="00161ECA" w:rsidRPr="003710BE">
        <w:rPr>
          <w:rStyle w:val="FootnoteReference"/>
        </w:rPr>
        <w:footnoteReference w:id="7"/>
      </w:r>
    </w:p>
    <w:p w14:paraId="15A142C8" w14:textId="31614A5F" w:rsidR="00E152A1" w:rsidRPr="00F15147" w:rsidRDefault="00F80C64" w:rsidP="00A55FAD">
      <w:pPr>
        <w:pStyle w:val="SingleTxtG"/>
        <w:rPr>
          <w:sz w:val="20"/>
          <w:lang w:val="en-GB"/>
        </w:rPr>
      </w:pPr>
      <w:r w:rsidRPr="00F15147">
        <w:rPr>
          <w:sz w:val="20"/>
          <w:lang w:val="en-GB"/>
        </w:rPr>
        <w:t>2.3</w:t>
      </w:r>
      <w:r w:rsidRPr="00F15147">
        <w:rPr>
          <w:sz w:val="20"/>
          <w:lang w:val="en-GB"/>
        </w:rPr>
        <w:tab/>
      </w:r>
      <w:r w:rsidR="006D7C49" w:rsidRPr="00F15147">
        <w:rPr>
          <w:sz w:val="20"/>
          <w:lang w:val="en-GB"/>
        </w:rPr>
        <w:t>Under section 51</w:t>
      </w:r>
      <w:r w:rsidR="00214B6E">
        <w:rPr>
          <w:sz w:val="20"/>
          <w:lang w:val="en-GB"/>
        </w:rPr>
        <w:t xml:space="preserve"> </w:t>
      </w:r>
      <w:r w:rsidR="006D7C49" w:rsidRPr="00F15147">
        <w:rPr>
          <w:sz w:val="20"/>
          <w:lang w:val="en-GB"/>
        </w:rPr>
        <w:t>(a)</w:t>
      </w:r>
      <w:r w:rsidR="00924F7F" w:rsidRPr="00F15147">
        <w:rPr>
          <w:sz w:val="20"/>
          <w:lang w:val="en-GB"/>
        </w:rPr>
        <w:t xml:space="preserve"> and (f)</w:t>
      </w:r>
      <w:r w:rsidR="006D7C49" w:rsidRPr="00F15147">
        <w:rPr>
          <w:sz w:val="20"/>
          <w:lang w:val="en-GB"/>
        </w:rPr>
        <w:t xml:space="preserve"> of the </w:t>
      </w:r>
      <w:r w:rsidR="00771FE6" w:rsidRPr="00F15147">
        <w:rPr>
          <w:sz w:val="20"/>
          <w:lang w:val="en-GB"/>
        </w:rPr>
        <w:t xml:space="preserve">Code of </w:t>
      </w:r>
      <w:r w:rsidR="006D7C49" w:rsidRPr="00F15147">
        <w:rPr>
          <w:sz w:val="20"/>
          <w:lang w:val="en-GB"/>
        </w:rPr>
        <w:t>Criminal Procedure, anyone who has suffered direct damage as a result of a criminal offence may join the criminal proceedings as an aggrieved party and claim compensation</w:t>
      </w:r>
      <w:r w:rsidR="00F570DA" w:rsidRPr="00F15147">
        <w:rPr>
          <w:sz w:val="20"/>
          <w:lang w:val="en-GB"/>
        </w:rPr>
        <w:t>.</w:t>
      </w:r>
      <w:r w:rsidR="00ED1575" w:rsidRPr="00F15147">
        <w:rPr>
          <w:sz w:val="20"/>
          <w:lang w:val="en-GB"/>
        </w:rPr>
        <w:t xml:space="preserve"> </w:t>
      </w:r>
      <w:r w:rsidR="00136694" w:rsidRPr="00F15147">
        <w:rPr>
          <w:sz w:val="20"/>
          <w:lang w:val="en-GB"/>
        </w:rPr>
        <w:t>T</w:t>
      </w:r>
      <w:r w:rsidR="00C90B7F" w:rsidRPr="00F15147">
        <w:rPr>
          <w:sz w:val="20"/>
          <w:lang w:val="en-GB"/>
        </w:rPr>
        <w:t xml:space="preserve">he injured party has a right to be informed about the proceedings and to access the </w:t>
      </w:r>
      <w:r w:rsidR="000214BD">
        <w:rPr>
          <w:sz w:val="20"/>
          <w:lang w:val="en-GB"/>
        </w:rPr>
        <w:t>case documents</w:t>
      </w:r>
      <w:r w:rsidR="00C90B7F" w:rsidRPr="00F15147">
        <w:rPr>
          <w:sz w:val="20"/>
          <w:lang w:val="en-GB"/>
        </w:rPr>
        <w:t>. Under article</w:t>
      </w:r>
      <w:r w:rsidR="00BF15B9" w:rsidRPr="00F15147">
        <w:rPr>
          <w:sz w:val="20"/>
          <w:lang w:val="en-GB"/>
        </w:rPr>
        <w:t xml:space="preserve"> </w:t>
      </w:r>
      <w:r w:rsidR="00C90B7F" w:rsidRPr="00F15147">
        <w:rPr>
          <w:sz w:val="20"/>
          <w:lang w:val="en-GB"/>
        </w:rPr>
        <w:t>33</w:t>
      </w:r>
      <w:r w:rsidR="004B040C" w:rsidRPr="00F15147">
        <w:rPr>
          <w:sz w:val="20"/>
          <w:lang w:val="en-GB"/>
        </w:rPr>
        <w:t>4</w:t>
      </w:r>
      <w:r w:rsidR="00B93A39" w:rsidRPr="00B93A39">
        <w:rPr>
          <w:sz w:val="20"/>
          <w:lang w:val="en-GB"/>
        </w:rPr>
        <w:t xml:space="preserve"> </w:t>
      </w:r>
      <w:r w:rsidR="00B93A39" w:rsidRPr="008E6C6C">
        <w:rPr>
          <w:sz w:val="20"/>
          <w:lang w:val="en-GB"/>
        </w:rPr>
        <w:t>of th</w:t>
      </w:r>
      <w:r w:rsidR="00A55FAD">
        <w:rPr>
          <w:sz w:val="20"/>
          <w:lang w:val="en-GB"/>
        </w:rPr>
        <w:t>at</w:t>
      </w:r>
      <w:r w:rsidR="00B93A39" w:rsidRPr="008E6C6C">
        <w:rPr>
          <w:sz w:val="20"/>
          <w:lang w:val="en-GB"/>
        </w:rPr>
        <w:t xml:space="preserve"> Code</w:t>
      </w:r>
      <w:r w:rsidR="00A55FAD">
        <w:rPr>
          <w:sz w:val="20"/>
          <w:lang w:val="en-GB"/>
        </w:rPr>
        <w:t xml:space="preserve">, </w:t>
      </w:r>
      <w:r w:rsidR="00C90B7F" w:rsidRPr="00F15147">
        <w:rPr>
          <w:sz w:val="20"/>
          <w:lang w:val="en-GB"/>
        </w:rPr>
        <w:lastRenderedPageBreak/>
        <w:t>injured part</w:t>
      </w:r>
      <w:r w:rsidR="00411E45">
        <w:rPr>
          <w:sz w:val="20"/>
          <w:lang w:val="en-GB"/>
        </w:rPr>
        <w:t>ies</w:t>
      </w:r>
      <w:r w:rsidR="00C90B7F" w:rsidRPr="00F15147">
        <w:rPr>
          <w:sz w:val="20"/>
          <w:lang w:val="en-GB"/>
        </w:rPr>
        <w:t xml:space="preserve"> may </w:t>
      </w:r>
      <w:r w:rsidR="004B040C" w:rsidRPr="00F15147">
        <w:rPr>
          <w:sz w:val="20"/>
          <w:lang w:val="en-GB"/>
        </w:rPr>
        <w:t xml:space="preserve">submit evidence in support of </w:t>
      </w:r>
      <w:r w:rsidR="00411E45">
        <w:rPr>
          <w:sz w:val="20"/>
          <w:lang w:val="en-GB"/>
        </w:rPr>
        <w:t>their</w:t>
      </w:r>
      <w:r w:rsidR="00C90B7F" w:rsidRPr="00F15147">
        <w:rPr>
          <w:sz w:val="20"/>
          <w:lang w:val="en-GB"/>
        </w:rPr>
        <w:t xml:space="preserve"> civil claim</w:t>
      </w:r>
      <w:r w:rsidR="00411E45">
        <w:rPr>
          <w:sz w:val="20"/>
          <w:lang w:val="en-GB"/>
        </w:rPr>
        <w:t>,</w:t>
      </w:r>
      <w:r w:rsidR="00C90B7F" w:rsidRPr="00F15147">
        <w:rPr>
          <w:sz w:val="20"/>
          <w:lang w:val="en-GB"/>
        </w:rPr>
        <w:t xml:space="preserve"> but may not </w:t>
      </w:r>
      <w:r w:rsidR="004B040C" w:rsidRPr="00F15147">
        <w:rPr>
          <w:sz w:val="20"/>
          <w:lang w:val="en-GB"/>
        </w:rPr>
        <w:t xml:space="preserve">present witnesses or </w:t>
      </w:r>
      <w:r w:rsidR="00C90B7F" w:rsidRPr="00F15147">
        <w:rPr>
          <w:sz w:val="20"/>
          <w:lang w:val="en-GB"/>
        </w:rPr>
        <w:t xml:space="preserve">give </w:t>
      </w:r>
      <w:r w:rsidR="00411E45">
        <w:rPr>
          <w:sz w:val="20"/>
          <w:lang w:val="en-GB"/>
        </w:rPr>
        <w:t>their</w:t>
      </w:r>
      <w:r w:rsidR="00C90B7F" w:rsidRPr="00F15147">
        <w:rPr>
          <w:sz w:val="20"/>
          <w:lang w:val="en-GB"/>
        </w:rPr>
        <w:t xml:space="preserve"> opinion on the merits</w:t>
      </w:r>
      <w:r w:rsidR="00ED1575" w:rsidRPr="00F15147">
        <w:rPr>
          <w:sz w:val="20"/>
          <w:lang w:val="en-GB"/>
        </w:rPr>
        <w:t xml:space="preserve"> of the criminal case</w:t>
      </w:r>
      <w:r w:rsidR="00F570DA" w:rsidRPr="00F15147">
        <w:rPr>
          <w:sz w:val="20"/>
          <w:lang w:val="en-GB"/>
        </w:rPr>
        <w:t>.</w:t>
      </w:r>
      <w:r w:rsidR="00457292" w:rsidRPr="003710BE">
        <w:rPr>
          <w:rStyle w:val="FootnoteReference"/>
        </w:rPr>
        <w:footnoteReference w:id="8"/>
      </w:r>
    </w:p>
    <w:p w14:paraId="668BABF9" w14:textId="423ABDE2" w:rsidR="00E152A1" w:rsidRPr="00F15147" w:rsidRDefault="00E152A1" w:rsidP="00696F9C">
      <w:pPr>
        <w:pStyle w:val="SingleTxtG"/>
        <w:rPr>
          <w:sz w:val="20"/>
          <w:lang w:val="en-GB"/>
        </w:rPr>
      </w:pPr>
      <w:r w:rsidRPr="00F15147">
        <w:rPr>
          <w:sz w:val="20"/>
          <w:lang w:val="en-GB"/>
        </w:rPr>
        <w:t>2.</w:t>
      </w:r>
      <w:r w:rsidR="00F80C64" w:rsidRPr="00F15147">
        <w:rPr>
          <w:sz w:val="20"/>
          <w:lang w:val="en-GB"/>
        </w:rPr>
        <w:t>4</w:t>
      </w:r>
      <w:r w:rsidRPr="00F15147">
        <w:rPr>
          <w:sz w:val="20"/>
          <w:lang w:val="en-GB"/>
        </w:rPr>
        <w:tab/>
      </w:r>
      <w:r w:rsidR="00457292" w:rsidRPr="00F15147">
        <w:rPr>
          <w:sz w:val="20"/>
          <w:lang w:val="en-GB"/>
        </w:rPr>
        <w:t>T</w:t>
      </w:r>
      <w:r w:rsidRPr="00F15147">
        <w:rPr>
          <w:sz w:val="20"/>
          <w:lang w:val="en-GB"/>
        </w:rPr>
        <w:t xml:space="preserve">he authors </w:t>
      </w:r>
      <w:r w:rsidR="00457292" w:rsidRPr="00F15147">
        <w:rPr>
          <w:sz w:val="20"/>
          <w:lang w:val="en-GB"/>
        </w:rPr>
        <w:t xml:space="preserve">and </w:t>
      </w:r>
      <w:r w:rsidR="00411E45">
        <w:rPr>
          <w:sz w:val="20"/>
          <w:lang w:val="en-GB"/>
        </w:rPr>
        <w:t>several</w:t>
      </w:r>
      <w:r w:rsidR="00457292" w:rsidRPr="00F15147">
        <w:rPr>
          <w:sz w:val="20"/>
          <w:lang w:val="en-GB"/>
        </w:rPr>
        <w:t xml:space="preserve"> other individuals and organi</w:t>
      </w:r>
      <w:r w:rsidR="00364F56">
        <w:rPr>
          <w:sz w:val="20"/>
          <w:lang w:val="en-GB"/>
        </w:rPr>
        <w:t>z</w:t>
      </w:r>
      <w:r w:rsidR="00457292" w:rsidRPr="00F15147">
        <w:rPr>
          <w:sz w:val="20"/>
          <w:lang w:val="en-GB"/>
        </w:rPr>
        <w:t xml:space="preserve">ations of </w:t>
      </w:r>
      <w:r w:rsidR="00DB3F1A" w:rsidRPr="00F15147">
        <w:rPr>
          <w:sz w:val="20"/>
          <w:lang w:val="en-GB"/>
        </w:rPr>
        <w:t>M</w:t>
      </w:r>
      <w:r w:rsidR="00457292" w:rsidRPr="00F15147">
        <w:rPr>
          <w:sz w:val="20"/>
          <w:lang w:val="en-GB"/>
        </w:rPr>
        <w:t>uslims and migrants</w:t>
      </w:r>
      <w:r w:rsidR="00ED1575" w:rsidRPr="00F15147">
        <w:rPr>
          <w:sz w:val="20"/>
          <w:lang w:val="en-GB"/>
        </w:rPr>
        <w:t xml:space="preserve"> </w:t>
      </w:r>
      <w:r w:rsidRPr="00F15147">
        <w:rPr>
          <w:sz w:val="20"/>
          <w:lang w:val="en-GB"/>
        </w:rPr>
        <w:t>join</w:t>
      </w:r>
      <w:r w:rsidR="00FC3970" w:rsidRPr="00F15147">
        <w:rPr>
          <w:sz w:val="20"/>
          <w:lang w:val="en-GB"/>
        </w:rPr>
        <w:t>ed</w:t>
      </w:r>
      <w:r w:rsidRPr="00F15147">
        <w:rPr>
          <w:sz w:val="20"/>
          <w:lang w:val="en-GB"/>
        </w:rPr>
        <w:t xml:space="preserve"> the criminal proceedings as </w:t>
      </w:r>
      <w:r w:rsidR="00457292" w:rsidRPr="00F15147">
        <w:rPr>
          <w:sz w:val="20"/>
          <w:lang w:val="en-GB"/>
        </w:rPr>
        <w:t>injured</w:t>
      </w:r>
      <w:r w:rsidRPr="00F15147">
        <w:rPr>
          <w:sz w:val="20"/>
          <w:lang w:val="en-GB"/>
        </w:rPr>
        <w:t xml:space="preserve"> part</w:t>
      </w:r>
      <w:r w:rsidR="00DB3F1A" w:rsidRPr="00F15147">
        <w:rPr>
          <w:sz w:val="20"/>
          <w:lang w:val="en-GB"/>
        </w:rPr>
        <w:t>ies</w:t>
      </w:r>
      <w:r w:rsidR="00411E45">
        <w:rPr>
          <w:sz w:val="20"/>
          <w:lang w:val="en-GB"/>
        </w:rPr>
        <w:t>,</w:t>
      </w:r>
      <w:r w:rsidRPr="00F15147">
        <w:rPr>
          <w:sz w:val="20"/>
          <w:lang w:val="en-GB"/>
        </w:rPr>
        <w:t xml:space="preserve"> claiming </w:t>
      </w:r>
      <w:r w:rsidR="00457292" w:rsidRPr="00F15147">
        <w:rPr>
          <w:sz w:val="20"/>
          <w:lang w:val="en-GB"/>
        </w:rPr>
        <w:t xml:space="preserve">from </w:t>
      </w:r>
      <w:r w:rsidR="006837AA">
        <w:rPr>
          <w:sz w:val="20"/>
          <w:lang w:val="en-GB"/>
        </w:rPr>
        <w:t>Mr. </w:t>
      </w:r>
      <w:r w:rsidR="00696F9C">
        <w:rPr>
          <w:sz w:val="20"/>
          <w:lang w:val="en-GB"/>
        </w:rPr>
        <w:t>Wilders</w:t>
      </w:r>
      <w:r w:rsidR="00457292" w:rsidRPr="00F15147">
        <w:rPr>
          <w:sz w:val="20"/>
          <w:lang w:val="en-GB"/>
        </w:rPr>
        <w:t xml:space="preserve"> </w:t>
      </w:r>
      <w:r w:rsidRPr="00F15147">
        <w:rPr>
          <w:sz w:val="20"/>
          <w:lang w:val="en-GB"/>
        </w:rPr>
        <w:t xml:space="preserve">symbolic compensation of </w:t>
      </w:r>
      <w:r w:rsidR="00411E45">
        <w:rPr>
          <w:sz w:val="20"/>
          <w:lang w:val="en-GB"/>
        </w:rPr>
        <w:t>€</w:t>
      </w:r>
      <w:r w:rsidRPr="00F15147">
        <w:rPr>
          <w:sz w:val="20"/>
          <w:lang w:val="en-GB"/>
        </w:rPr>
        <w:t>1 each</w:t>
      </w:r>
      <w:r w:rsidR="00457292" w:rsidRPr="00F15147">
        <w:rPr>
          <w:sz w:val="20"/>
          <w:lang w:val="en-GB"/>
        </w:rPr>
        <w:t>, with the aim of influenc</w:t>
      </w:r>
      <w:r w:rsidR="00496EAD">
        <w:rPr>
          <w:sz w:val="20"/>
          <w:lang w:val="en-GB"/>
        </w:rPr>
        <w:t>ing</w:t>
      </w:r>
      <w:r w:rsidR="00457292" w:rsidRPr="00F15147">
        <w:rPr>
          <w:sz w:val="20"/>
          <w:lang w:val="en-GB"/>
        </w:rPr>
        <w:t xml:space="preserve"> the judicial decision by arguing that </w:t>
      </w:r>
      <w:r w:rsidR="006837AA">
        <w:rPr>
          <w:sz w:val="20"/>
          <w:lang w:val="en-GB"/>
        </w:rPr>
        <w:t>Mr. </w:t>
      </w:r>
      <w:r w:rsidR="00696F9C">
        <w:rPr>
          <w:sz w:val="20"/>
          <w:lang w:val="en-GB"/>
        </w:rPr>
        <w:t>Wilders</w:t>
      </w:r>
      <w:r w:rsidR="00457292" w:rsidRPr="00F15147">
        <w:rPr>
          <w:sz w:val="20"/>
          <w:lang w:val="en-GB"/>
        </w:rPr>
        <w:t>’ statements fell within the definition of criminal incitement</w:t>
      </w:r>
      <w:r w:rsidRPr="00F15147">
        <w:rPr>
          <w:sz w:val="20"/>
          <w:lang w:val="en-GB"/>
        </w:rPr>
        <w:t>.</w:t>
      </w:r>
      <w:r w:rsidR="00ED1575" w:rsidRPr="00F15147">
        <w:rPr>
          <w:sz w:val="20"/>
          <w:lang w:val="en-GB"/>
        </w:rPr>
        <w:t xml:space="preserve"> </w:t>
      </w:r>
      <w:r w:rsidR="00496EAD">
        <w:rPr>
          <w:sz w:val="20"/>
          <w:lang w:val="en-GB"/>
        </w:rPr>
        <w:t>T</w:t>
      </w:r>
      <w:r w:rsidR="00457292" w:rsidRPr="00F15147">
        <w:rPr>
          <w:sz w:val="20"/>
          <w:lang w:val="en-GB"/>
        </w:rPr>
        <w:t xml:space="preserve">heir purpose </w:t>
      </w:r>
      <w:r w:rsidR="00496EAD">
        <w:rPr>
          <w:sz w:val="20"/>
          <w:lang w:val="en-GB"/>
        </w:rPr>
        <w:t xml:space="preserve">was </w:t>
      </w:r>
      <w:r w:rsidR="00457292" w:rsidRPr="00F15147">
        <w:rPr>
          <w:sz w:val="20"/>
          <w:lang w:val="en-GB"/>
        </w:rPr>
        <w:t xml:space="preserve">to </w:t>
      </w:r>
      <w:r w:rsidR="00DB3F1A" w:rsidRPr="00F15147">
        <w:rPr>
          <w:sz w:val="20"/>
          <w:lang w:val="en-GB"/>
        </w:rPr>
        <w:t xml:space="preserve">clarify </w:t>
      </w:r>
      <w:r w:rsidR="00457292" w:rsidRPr="00F15147">
        <w:rPr>
          <w:sz w:val="20"/>
          <w:lang w:val="en-GB"/>
        </w:rPr>
        <w:t>the limits of what</w:t>
      </w:r>
      <w:r w:rsidR="0031705C" w:rsidRPr="00F15147">
        <w:rPr>
          <w:sz w:val="20"/>
          <w:lang w:val="en-GB"/>
        </w:rPr>
        <w:t xml:space="preserve"> can be said in political debate</w:t>
      </w:r>
      <w:r w:rsidR="00457292" w:rsidRPr="00F15147">
        <w:rPr>
          <w:sz w:val="20"/>
          <w:lang w:val="en-GB"/>
        </w:rPr>
        <w:t xml:space="preserve"> and to establish the practical meaning of their right to be protected from incitement to hatred, discrimination and violence.</w:t>
      </w:r>
      <w:r w:rsidR="00ED1575" w:rsidRPr="00F15147">
        <w:rPr>
          <w:sz w:val="20"/>
          <w:lang w:val="en-GB"/>
        </w:rPr>
        <w:t xml:space="preserve"> </w:t>
      </w:r>
      <w:r w:rsidR="008B73EA" w:rsidRPr="00F15147">
        <w:rPr>
          <w:sz w:val="20"/>
          <w:lang w:val="en-GB"/>
        </w:rPr>
        <w:t xml:space="preserve">The claim for symbolic compensation was </w:t>
      </w:r>
      <w:r w:rsidR="00DB3F1A" w:rsidRPr="00F15147">
        <w:rPr>
          <w:sz w:val="20"/>
          <w:lang w:val="en-GB"/>
        </w:rPr>
        <w:t>intended</w:t>
      </w:r>
      <w:r w:rsidR="008B73EA" w:rsidRPr="00F15147">
        <w:rPr>
          <w:sz w:val="20"/>
          <w:lang w:val="en-GB"/>
        </w:rPr>
        <w:t xml:space="preserve"> to convince the judge that </w:t>
      </w:r>
      <w:r w:rsidR="006837AA">
        <w:rPr>
          <w:sz w:val="20"/>
          <w:lang w:val="en-GB"/>
        </w:rPr>
        <w:t>Mr. </w:t>
      </w:r>
      <w:r w:rsidR="00696F9C">
        <w:rPr>
          <w:sz w:val="20"/>
          <w:lang w:val="en-GB"/>
        </w:rPr>
        <w:t>Wilders</w:t>
      </w:r>
      <w:r w:rsidR="008B73EA" w:rsidRPr="00F15147">
        <w:rPr>
          <w:sz w:val="20"/>
          <w:lang w:val="en-GB"/>
        </w:rPr>
        <w:t xml:space="preserve"> had crossed the boundaries between what is acceptable in a democratic society and what </w:t>
      </w:r>
      <w:r w:rsidR="00DB3F1A" w:rsidRPr="00F15147">
        <w:rPr>
          <w:sz w:val="20"/>
          <w:lang w:val="en-GB"/>
        </w:rPr>
        <w:t>is</w:t>
      </w:r>
      <w:r w:rsidR="00ED1575" w:rsidRPr="00F15147">
        <w:rPr>
          <w:sz w:val="20"/>
          <w:lang w:val="en-GB"/>
        </w:rPr>
        <w:t xml:space="preserve"> </w:t>
      </w:r>
      <w:r w:rsidR="008B73EA" w:rsidRPr="00F15147">
        <w:rPr>
          <w:sz w:val="20"/>
          <w:lang w:val="en-GB"/>
        </w:rPr>
        <w:t xml:space="preserve">liable to punishment because of the harm it causes to society as a whole, to ethnic and religious minorities and to the authors personally. </w:t>
      </w:r>
      <w:r w:rsidR="00DB3F1A" w:rsidRPr="00F15147">
        <w:rPr>
          <w:sz w:val="20"/>
          <w:lang w:val="en-GB"/>
        </w:rPr>
        <w:t>Such a</w:t>
      </w:r>
      <w:r w:rsidR="008B73EA" w:rsidRPr="00F15147">
        <w:rPr>
          <w:sz w:val="20"/>
          <w:lang w:val="en-GB"/>
        </w:rPr>
        <w:t xml:space="preserve"> pronouncement </w:t>
      </w:r>
      <w:r w:rsidR="00DB3F1A" w:rsidRPr="00F15147">
        <w:rPr>
          <w:sz w:val="20"/>
          <w:lang w:val="en-GB"/>
        </w:rPr>
        <w:t>from</w:t>
      </w:r>
      <w:r w:rsidR="00ED1575" w:rsidRPr="00F15147">
        <w:rPr>
          <w:sz w:val="20"/>
          <w:lang w:val="en-GB"/>
        </w:rPr>
        <w:t xml:space="preserve"> </w:t>
      </w:r>
      <w:r w:rsidR="008B73EA" w:rsidRPr="00F15147">
        <w:rPr>
          <w:sz w:val="20"/>
          <w:lang w:val="en-GB"/>
        </w:rPr>
        <w:t>the court would not have been possible in civil proceedings.</w:t>
      </w:r>
    </w:p>
    <w:p w14:paraId="17516DF0" w14:textId="73B98D6A" w:rsidR="00B45623" w:rsidRPr="00F15147" w:rsidRDefault="00F80C64" w:rsidP="001572F0">
      <w:pPr>
        <w:pStyle w:val="SingleTxtG"/>
        <w:rPr>
          <w:sz w:val="20"/>
          <w:vertAlign w:val="superscript"/>
          <w:lang w:val="en-GB"/>
        </w:rPr>
      </w:pPr>
      <w:r w:rsidRPr="00F15147">
        <w:rPr>
          <w:sz w:val="20"/>
          <w:lang w:val="en-GB"/>
        </w:rPr>
        <w:t>2.5</w:t>
      </w:r>
      <w:r w:rsidRPr="00F15147">
        <w:rPr>
          <w:sz w:val="20"/>
          <w:lang w:val="en-GB"/>
        </w:rPr>
        <w:tab/>
      </w:r>
      <w:r w:rsidR="006A1D63" w:rsidRPr="00F15147">
        <w:rPr>
          <w:sz w:val="20"/>
          <w:lang w:val="en-GB"/>
        </w:rPr>
        <w:t>During t</w:t>
      </w:r>
      <w:r w:rsidR="002C0B4C" w:rsidRPr="00F15147">
        <w:rPr>
          <w:sz w:val="20"/>
          <w:lang w:val="en-GB"/>
        </w:rPr>
        <w:t>he courtroom debate</w:t>
      </w:r>
      <w:r w:rsidR="001572F0">
        <w:rPr>
          <w:sz w:val="20"/>
          <w:lang w:val="en-GB"/>
        </w:rPr>
        <w:t>,</w:t>
      </w:r>
      <w:r w:rsidR="002C0B4C" w:rsidRPr="00F15147">
        <w:rPr>
          <w:sz w:val="20"/>
          <w:lang w:val="en-GB"/>
        </w:rPr>
        <w:t xml:space="preserve"> </w:t>
      </w:r>
      <w:r w:rsidR="006A1D63" w:rsidRPr="00F15147">
        <w:rPr>
          <w:sz w:val="20"/>
          <w:lang w:val="en-GB"/>
        </w:rPr>
        <w:t>t</w:t>
      </w:r>
      <w:r w:rsidR="0003298D" w:rsidRPr="00F15147">
        <w:rPr>
          <w:sz w:val="20"/>
          <w:lang w:val="en-GB"/>
        </w:rPr>
        <w:t xml:space="preserve">he prosecutor asked for the dismissal of the </w:t>
      </w:r>
      <w:r w:rsidR="004B040C" w:rsidRPr="00F15147">
        <w:rPr>
          <w:sz w:val="20"/>
          <w:lang w:val="en-GB"/>
        </w:rPr>
        <w:t xml:space="preserve">authors’ </w:t>
      </w:r>
      <w:r w:rsidR="0003298D" w:rsidRPr="00F15147">
        <w:rPr>
          <w:sz w:val="20"/>
          <w:lang w:val="en-GB"/>
        </w:rPr>
        <w:t>claim on the grounds that the</w:t>
      </w:r>
      <w:r w:rsidR="006A1D63" w:rsidRPr="00F15147">
        <w:rPr>
          <w:sz w:val="20"/>
          <w:lang w:val="en-GB"/>
        </w:rPr>
        <w:t>y</w:t>
      </w:r>
      <w:r w:rsidR="004B040C" w:rsidRPr="00F15147">
        <w:rPr>
          <w:sz w:val="20"/>
          <w:lang w:val="en-GB"/>
        </w:rPr>
        <w:t xml:space="preserve"> had not suffered direct</w:t>
      </w:r>
      <w:r w:rsidR="0003298D" w:rsidRPr="00F15147">
        <w:rPr>
          <w:sz w:val="20"/>
          <w:lang w:val="en-GB"/>
        </w:rPr>
        <w:t xml:space="preserve"> damage </w:t>
      </w:r>
      <w:r w:rsidR="004B040C" w:rsidRPr="00F15147">
        <w:rPr>
          <w:sz w:val="20"/>
          <w:lang w:val="en-GB"/>
        </w:rPr>
        <w:t xml:space="preserve">as a result </w:t>
      </w:r>
      <w:r w:rsidR="0003298D" w:rsidRPr="00F15147">
        <w:rPr>
          <w:sz w:val="20"/>
          <w:lang w:val="en-GB"/>
        </w:rPr>
        <w:t>of a violation of article</w:t>
      </w:r>
      <w:r w:rsidR="00AC3BCF" w:rsidRPr="00F15147">
        <w:rPr>
          <w:sz w:val="20"/>
          <w:lang w:val="en-GB"/>
        </w:rPr>
        <w:t>s</w:t>
      </w:r>
      <w:r w:rsidR="006A7C59" w:rsidRPr="00F15147">
        <w:rPr>
          <w:sz w:val="20"/>
          <w:lang w:val="en-GB"/>
        </w:rPr>
        <w:t xml:space="preserve"> 137c and </w:t>
      </w:r>
      <w:r w:rsidR="0003298D" w:rsidRPr="00F15147">
        <w:rPr>
          <w:sz w:val="20"/>
          <w:lang w:val="en-GB"/>
        </w:rPr>
        <w:t>137d</w:t>
      </w:r>
      <w:r w:rsidR="008D2A17" w:rsidRPr="008D2A17">
        <w:rPr>
          <w:sz w:val="20"/>
          <w:lang w:val="en-GB"/>
        </w:rPr>
        <w:t xml:space="preserve"> </w:t>
      </w:r>
      <w:r w:rsidR="008D2A17" w:rsidRPr="008E6C6C">
        <w:rPr>
          <w:sz w:val="20"/>
          <w:lang w:val="en-GB"/>
        </w:rPr>
        <w:t>of the Criminal Code</w:t>
      </w:r>
      <w:r w:rsidR="0003298D" w:rsidRPr="00F15147">
        <w:rPr>
          <w:sz w:val="20"/>
          <w:lang w:val="en-GB"/>
        </w:rPr>
        <w:t xml:space="preserve">. </w:t>
      </w:r>
      <w:r w:rsidR="006837AA">
        <w:rPr>
          <w:sz w:val="20"/>
          <w:lang w:val="en-GB"/>
        </w:rPr>
        <w:t>Mr. </w:t>
      </w:r>
      <w:r w:rsidR="00696F9C">
        <w:rPr>
          <w:sz w:val="20"/>
          <w:lang w:val="en-GB"/>
        </w:rPr>
        <w:t>Wilders</w:t>
      </w:r>
      <w:r w:rsidR="00B45623" w:rsidRPr="00F15147">
        <w:rPr>
          <w:sz w:val="20"/>
          <w:lang w:val="en-GB"/>
        </w:rPr>
        <w:t xml:space="preserve"> asked for s</w:t>
      </w:r>
      <w:r w:rsidR="00332D27">
        <w:rPr>
          <w:sz w:val="20"/>
          <w:lang w:val="en-GB"/>
        </w:rPr>
        <w:t>everal</w:t>
      </w:r>
      <w:r w:rsidR="00B45623" w:rsidRPr="00F15147">
        <w:rPr>
          <w:sz w:val="20"/>
          <w:lang w:val="en-GB"/>
        </w:rPr>
        <w:t xml:space="preserve"> experts to be heard</w:t>
      </w:r>
      <w:r w:rsidR="00332D27">
        <w:rPr>
          <w:sz w:val="20"/>
          <w:lang w:val="en-GB"/>
        </w:rPr>
        <w:t>,</w:t>
      </w:r>
      <w:r w:rsidR="00B45623" w:rsidRPr="00F15147">
        <w:rPr>
          <w:sz w:val="20"/>
          <w:lang w:val="en-GB"/>
        </w:rPr>
        <w:t xml:space="preserve"> </w:t>
      </w:r>
      <w:r w:rsidR="00332D27">
        <w:rPr>
          <w:sz w:val="20"/>
          <w:lang w:val="en-GB"/>
        </w:rPr>
        <w:t>s</w:t>
      </w:r>
      <w:r w:rsidR="00B45623" w:rsidRPr="00F15147">
        <w:rPr>
          <w:sz w:val="20"/>
          <w:lang w:val="en-GB"/>
        </w:rPr>
        <w:t xml:space="preserve">ome of </w:t>
      </w:r>
      <w:r w:rsidR="00332D27">
        <w:rPr>
          <w:sz w:val="20"/>
          <w:lang w:val="en-GB"/>
        </w:rPr>
        <w:t>whom</w:t>
      </w:r>
      <w:r w:rsidR="00B45623" w:rsidRPr="00F15147">
        <w:rPr>
          <w:sz w:val="20"/>
          <w:lang w:val="en-GB"/>
        </w:rPr>
        <w:t xml:space="preserve"> were refused by the court and others were </w:t>
      </w:r>
      <w:r w:rsidR="00332D27">
        <w:rPr>
          <w:sz w:val="20"/>
          <w:lang w:val="en-GB"/>
        </w:rPr>
        <w:t>questioned</w:t>
      </w:r>
      <w:r w:rsidR="00B45623" w:rsidRPr="00F15147">
        <w:rPr>
          <w:sz w:val="20"/>
          <w:lang w:val="en-GB"/>
        </w:rPr>
        <w:t xml:space="preserve"> by a</w:t>
      </w:r>
      <w:r w:rsidR="0003298D" w:rsidRPr="00F15147">
        <w:rPr>
          <w:sz w:val="20"/>
          <w:lang w:val="en-GB"/>
        </w:rPr>
        <w:t>n investigating</w:t>
      </w:r>
      <w:r w:rsidR="00B45623" w:rsidRPr="00F15147">
        <w:rPr>
          <w:sz w:val="20"/>
          <w:lang w:val="en-GB"/>
        </w:rPr>
        <w:t xml:space="preserve"> judge. The authors’ lawyers were not allowed to attend the </w:t>
      </w:r>
      <w:r w:rsidR="00332D27">
        <w:rPr>
          <w:sz w:val="20"/>
          <w:lang w:val="en-GB"/>
        </w:rPr>
        <w:t>questionning</w:t>
      </w:r>
      <w:r w:rsidR="00B45623" w:rsidRPr="00F15147">
        <w:rPr>
          <w:sz w:val="20"/>
          <w:lang w:val="en-GB"/>
        </w:rPr>
        <w:t>. Initially, the court wanted to restrict the</w:t>
      </w:r>
      <w:r w:rsidR="007C3DF6" w:rsidRPr="00F15147">
        <w:rPr>
          <w:sz w:val="20"/>
          <w:lang w:val="en-GB"/>
        </w:rPr>
        <w:t xml:space="preserve"> </w:t>
      </w:r>
      <w:r w:rsidR="001572F0" w:rsidRPr="00BE5683">
        <w:rPr>
          <w:sz w:val="20"/>
          <w:lang w:val="en-GB"/>
        </w:rPr>
        <w:t>authors’ lawyers</w:t>
      </w:r>
      <w:r w:rsidR="001572F0">
        <w:rPr>
          <w:sz w:val="20"/>
          <w:lang w:val="en-GB"/>
        </w:rPr>
        <w:t>’</w:t>
      </w:r>
      <w:r w:rsidR="001572F0" w:rsidRPr="00BE5683">
        <w:rPr>
          <w:sz w:val="20"/>
          <w:lang w:val="en-GB"/>
        </w:rPr>
        <w:t xml:space="preserve"> </w:t>
      </w:r>
      <w:r w:rsidR="007C3DF6" w:rsidRPr="00F15147">
        <w:rPr>
          <w:sz w:val="20"/>
          <w:lang w:val="en-GB"/>
        </w:rPr>
        <w:t xml:space="preserve">oral </w:t>
      </w:r>
      <w:r w:rsidR="00B45623" w:rsidRPr="00F15147">
        <w:rPr>
          <w:sz w:val="20"/>
          <w:lang w:val="en-GB"/>
        </w:rPr>
        <w:t xml:space="preserve">intervention to a strict explanation of their damages, but in the end </w:t>
      </w:r>
      <w:r w:rsidR="005E70E9" w:rsidRPr="00F15147">
        <w:rPr>
          <w:sz w:val="20"/>
          <w:lang w:val="en-GB"/>
        </w:rPr>
        <w:t>it</w:t>
      </w:r>
      <w:r w:rsidR="00B45623" w:rsidRPr="00F15147">
        <w:rPr>
          <w:sz w:val="20"/>
          <w:lang w:val="en-GB"/>
        </w:rPr>
        <w:t xml:space="preserve"> allowed them to speak about whether the facts of the charge were </w:t>
      </w:r>
      <w:r w:rsidR="00DB3F1A" w:rsidRPr="00F15147">
        <w:rPr>
          <w:sz w:val="20"/>
          <w:lang w:val="en-GB"/>
        </w:rPr>
        <w:t xml:space="preserve">subject </w:t>
      </w:r>
      <w:r w:rsidR="00B45623" w:rsidRPr="00F15147">
        <w:rPr>
          <w:sz w:val="20"/>
          <w:lang w:val="en-GB"/>
        </w:rPr>
        <w:t>to punishment</w:t>
      </w:r>
      <w:r w:rsidR="00F42C64" w:rsidRPr="00F15147">
        <w:rPr>
          <w:sz w:val="20"/>
          <w:lang w:val="en-GB"/>
        </w:rPr>
        <w:t>,</w:t>
      </w:r>
      <w:r w:rsidR="00931542" w:rsidRPr="00F15147">
        <w:rPr>
          <w:sz w:val="20"/>
          <w:lang w:val="en-GB"/>
        </w:rPr>
        <w:t xml:space="preserve"> </w:t>
      </w:r>
      <w:r w:rsidR="000E7D7B" w:rsidRPr="00F15147">
        <w:rPr>
          <w:sz w:val="20"/>
          <w:lang w:val="en-GB"/>
        </w:rPr>
        <w:t xml:space="preserve">since </w:t>
      </w:r>
      <w:r w:rsidR="00B45623" w:rsidRPr="00F15147">
        <w:rPr>
          <w:sz w:val="20"/>
          <w:lang w:val="en-GB"/>
        </w:rPr>
        <w:t xml:space="preserve">that was the basis of their civil claim for compensation </w:t>
      </w:r>
      <w:r w:rsidR="000E7D7B" w:rsidRPr="00F15147">
        <w:rPr>
          <w:sz w:val="20"/>
          <w:lang w:val="en-GB"/>
        </w:rPr>
        <w:t>under</w:t>
      </w:r>
      <w:r w:rsidR="00B45623" w:rsidRPr="00F15147">
        <w:rPr>
          <w:sz w:val="20"/>
          <w:lang w:val="en-GB"/>
        </w:rPr>
        <w:t xml:space="preserve"> tort law, which supposes an </w:t>
      </w:r>
      <w:r w:rsidR="000E7D7B" w:rsidRPr="00F15147">
        <w:rPr>
          <w:sz w:val="20"/>
          <w:lang w:val="en-GB"/>
        </w:rPr>
        <w:t xml:space="preserve">unlawful </w:t>
      </w:r>
      <w:r w:rsidR="00B45623" w:rsidRPr="00F15147">
        <w:rPr>
          <w:sz w:val="20"/>
          <w:lang w:val="en-GB"/>
        </w:rPr>
        <w:t xml:space="preserve">act. </w:t>
      </w:r>
      <w:r w:rsidR="006A1D63" w:rsidRPr="00F15147">
        <w:rPr>
          <w:sz w:val="20"/>
          <w:lang w:val="en-GB"/>
        </w:rPr>
        <w:t>T</w:t>
      </w:r>
      <w:r w:rsidR="00B45623" w:rsidRPr="00F15147">
        <w:rPr>
          <w:sz w:val="20"/>
          <w:lang w:val="en-GB"/>
        </w:rPr>
        <w:t>he lawyers plead</w:t>
      </w:r>
      <w:r w:rsidR="005E70E9" w:rsidRPr="00F15147">
        <w:rPr>
          <w:sz w:val="20"/>
          <w:lang w:val="en-GB"/>
        </w:rPr>
        <w:t>ed</w:t>
      </w:r>
      <w:r w:rsidR="00B45623" w:rsidRPr="00F15147">
        <w:rPr>
          <w:sz w:val="20"/>
          <w:lang w:val="en-GB"/>
        </w:rPr>
        <w:t xml:space="preserve"> that </w:t>
      </w:r>
      <w:r w:rsidR="006837AA">
        <w:rPr>
          <w:sz w:val="20"/>
          <w:lang w:val="en-GB"/>
        </w:rPr>
        <w:t>Mr. </w:t>
      </w:r>
      <w:r w:rsidR="00696F9C">
        <w:rPr>
          <w:sz w:val="20"/>
          <w:lang w:val="en-GB"/>
        </w:rPr>
        <w:t>Wilders</w:t>
      </w:r>
      <w:r w:rsidR="00136694" w:rsidRPr="00F15147">
        <w:rPr>
          <w:sz w:val="20"/>
          <w:lang w:val="en-GB"/>
        </w:rPr>
        <w:t>’</w:t>
      </w:r>
      <w:r w:rsidR="00A54586" w:rsidRPr="00F15147">
        <w:rPr>
          <w:sz w:val="20"/>
          <w:lang w:val="en-GB"/>
        </w:rPr>
        <w:t xml:space="preserve"> statements</w:t>
      </w:r>
      <w:r w:rsidR="00B45623" w:rsidRPr="00F15147">
        <w:rPr>
          <w:sz w:val="20"/>
          <w:lang w:val="en-GB"/>
        </w:rPr>
        <w:t xml:space="preserve"> violated article</w:t>
      </w:r>
      <w:r w:rsidR="000E7D7B" w:rsidRPr="00F15147">
        <w:rPr>
          <w:sz w:val="20"/>
          <w:lang w:val="en-GB"/>
        </w:rPr>
        <w:t>s 137c and</w:t>
      </w:r>
      <w:r w:rsidR="00B45623" w:rsidRPr="00F15147">
        <w:rPr>
          <w:sz w:val="20"/>
          <w:lang w:val="en-GB"/>
        </w:rPr>
        <w:t xml:space="preserve"> 137d</w:t>
      </w:r>
      <w:r w:rsidR="005E70E9" w:rsidRPr="00F15147">
        <w:rPr>
          <w:sz w:val="20"/>
          <w:lang w:val="en-GB"/>
        </w:rPr>
        <w:t>,</w:t>
      </w:r>
      <w:r w:rsidR="00332D27">
        <w:rPr>
          <w:sz w:val="20"/>
          <w:lang w:val="en-GB"/>
        </w:rPr>
        <w:t xml:space="preserve"> </w:t>
      </w:r>
      <w:r w:rsidR="005E70E9" w:rsidRPr="00F15147">
        <w:rPr>
          <w:sz w:val="20"/>
          <w:lang w:val="en-GB"/>
        </w:rPr>
        <w:t>but</w:t>
      </w:r>
      <w:r w:rsidR="00B45623" w:rsidRPr="00F15147">
        <w:rPr>
          <w:sz w:val="20"/>
          <w:lang w:val="en-GB"/>
        </w:rPr>
        <w:t xml:space="preserve"> </w:t>
      </w:r>
      <w:r w:rsidR="00332D27">
        <w:rPr>
          <w:sz w:val="20"/>
          <w:lang w:val="en-GB"/>
        </w:rPr>
        <w:t xml:space="preserve">they </w:t>
      </w:r>
      <w:r w:rsidR="00B45623" w:rsidRPr="00F15147">
        <w:rPr>
          <w:sz w:val="20"/>
          <w:lang w:val="en-GB"/>
        </w:rPr>
        <w:t xml:space="preserve">were not allowed to </w:t>
      </w:r>
      <w:r w:rsidR="00F42C64" w:rsidRPr="00F15147">
        <w:rPr>
          <w:sz w:val="20"/>
          <w:lang w:val="en-GB"/>
        </w:rPr>
        <w:t>address</w:t>
      </w:r>
      <w:r w:rsidR="00B45623" w:rsidRPr="00F15147">
        <w:rPr>
          <w:sz w:val="20"/>
          <w:lang w:val="en-GB"/>
        </w:rPr>
        <w:t xml:space="preserve"> the </w:t>
      </w:r>
      <w:r w:rsidR="00332D27" w:rsidRPr="00960924">
        <w:rPr>
          <w:sz w:val="20"/>
          <w:lang w:val="en-GB"/>
        </w:rPr>
        <w:t>prosecutor</w:t>
      </w:r>
      <w:r w:rsidR="00332D27">
        <w:rPr>
          <w:sz w:val="20"/>
          <w:lang w:val="en-GB"/>
        </w:rPr>
        <w:t>’s</w:t>
      </w:r>
      <w:r w:rsidR="00332D27" w:rsidRPr="00332D27">
        <w:rPr>
          <w:sz w:val="20"/>
          <w:lang w:val="en-GB"/>
        </w:rPr>
        <w:t xml:space="preserve"> </w:t>
      </w:r>
      <w:r w:rsidR="00B45623" w:rsidRPr="00F15147">
        <w:rPr>
          <w:sz w:val="20"/>
          <w:lang w:val="en-GB"/>
        </w:rPr>
        <w:t>unwillingness to prosecute</w:t>
      </w:r>
      <w:r w:rsidR="00CF506F" w:rsidRPr="00F15147">
        <w:rPr>
          <w:sz w:val="20"/>
          <w:lang w:val="en-GB"/>
        </w:rPr>
        <w:t xml:space="preserve"> or to argue that the charge should lead to a conviction. </w:t>
      </w:r>
      <w:r w:rsidR="00332D27">
        <w:rPr>
          <w:sz w:val="20"/>
          <w:lang w:val="en-GB"/>
        </w:rPr>
        <w:t>Subsequently</w:t>
      </w:r>
      <w:r w:rsidR="00F42C64" w:rsidRPr="00F15147">
        <w:rPr>
          <w:sz w:val="20"/>
          <w:lang w:val="en-GB"/>
        </w:rPr>
        <w:t>, after</w:t>
      </w:r>
      <w:r w:rsidR="00A65701" w:rsidRPr="00F15147">
        <w:rPr>
          <w:sz w:val="20"/>
          <w:lang w:val="en-GB"/>
        </w:rPr>
        <w:t xml:space="preserve"> the composition of the court </w:t>
      </w:r>
      <w:r w:rsidR="00332D27">
        <w:rPr>
          <w:sz w:val="20"/>
          <w:lang w:val="en-GB"/>
        </w:rPr>
        <w:t xml:space="preserve">had </w:t>
      </w:r>
      <w:r w:rsidR="00A65701" w:rsidRPr="00F15147">
        <w:rPr>
          <w:sz w:val="20"/>
          <w:lang w:val="en-GB"/>
        </w:rPr>
        <w:t>change</w:t>
      </w:r>
      <w:r w:rsidR="00A54586" w:rsidRPr="00F15147">
        <w:rPr>
          <w:sz w:val="20"/>
          <w:lang w:val="en-GB"/>
        </w:rPr>
        <w:t>d</w:t>
      </w:r>
      <w:r w:rsidR="00A65701" w:rsidRPr="00F15147">
        <w:rPr>
          <w:sz w:val="20"/>
          <w:lang w:val="en-GB"/>
        </w:rPr>
        <w:t xml:space="preserve">, </w:t>
      </w:r>
      <w:r w:rsidR="00CF506F" w:rsidRPr="00F15147">
        <w:rPr>
          <w:sz w:val="20"/>
          <w:lang w:val="en-GB"/>
        </w:rPr>
        <w:t xml:space="preserve">the authors were not allowed to </w:t>
      </w:r>
      <w:r w:rsidR="00332D27">
        <w:rPr>
          <w:sz w:val="20"/>
          <w:lang w:val="en-GB"/>
        </w:rPr>
        <w:t>present arguments</w:t>
      </w:r>
      <w:r w:rsidR="00CF506F" w:rsidRPr="00F15147">
        <w:rPr>
          <w:sz w:val="20"/>
          <w:lang w:val="en-GB"/>
        </w:rPr>
        <w:t xml:space="preserve"> </w:t>
      </w:r>
      <w:r w:rsidR="00332D27">
        <w:rPr>
          <w:sz w:val="20"/>
          <w:lang w:val="en-GB"/>
        </w:rPr>
        <w:t>c</w:t>
      </w:r>
      <w:r w:rsidR="00CF506F" w:rsidRPr="00F15147">
        <w:rPr>
          <w:sz w:val="20"/>
          <w:lang w:val="en-GB"/>
        </w:rPr>
        <w:t>on</w:t>
      </w:r>
      <w:r w:rsidR="00332D27">
        <w:rPr>
          <w:sz w:val="20"/>
          <w:lang w:val="en-GB"/>
        </w:rPr>
        <w:t>cerning</w:t>
      </w:r>
      <w:r w:rsidR="00ED1575" w:rsidRPr="00F15147">
        <w:rPr>
          <w:sz w:val="20"/>
          <w:lang w:val="en-GB"/>
        </w:rPr>
        <w:t xml:space="preserve"> </w:t>
      </w:r>
      <w:r w:rsidR="00CF506F" w:rsidRPr="00F15147">
        <w:rPr>
          <w:sz w:val="20"/>
          <w:lang w:val="en-GB"/>
        </w:rPr>
        <w:t xml:space="preserve">whether </w:t>
      </w:r>
      <w:r w:rsidR="006837AA">
        <w:rPr>
          <w:sz w:val="20"/>
          <w:lang w:val="en-GB"/>
        </w:rPr>
        <w:t>Mr. </w:t>
      </w:r>
      <w:r w:rsidR="00696F9C">
        <w:rPr>
          <w:sz w:val="20"/>
          <w:lang w:val="en-GB"/>
        </w:rPr>
        <w:t>Wilders</w:t>
      </w:r>
      <w:r w:rsidR="00CF506F" w:rsidRPr="00F15147">
        <w:rPr>
          <w:sz w:val="20"/>
          <w:lang w:val="en-GB"/>
        </w:rPr>
        <w:t xml:space="preserve">’ </w:t>
      </w:r>
      <w:r w:rsidR="00ED1575" w:rsidRPr="00F15147">
        <w:rPr>
          <w:sz w:val="20"/>
          <w:lang w:val="en-GB"/>
        </w:rPr>
        <w:t>statements were against the law</w:t>
      </w:r>
      <w:r w:rsidR="0088197D" w:rsidRPr="00F15147">
        <w:rPr>
          <w:sz w:val="20"/>
          <w:lang w:val="en-GB"/>
        </w:rPr>
        <w:t>.</w:t>
      </w:r>
    </w:p>
    <w:p w14:paraId="29F35B0B" w14:textId="2C2F924C" w:rsidR="00806646" w:rsidRPr="00F15147" w:rsidRDefault="00F80C64" w:rsidP="00332D27">
      <w:pPr>
        <w:pStyle w:val="SingleTxtG"/>
        <w:rPr>
          <w:sz w:val="20"/>
          <w:lang w:val="en-GB"/>
        </w:rPr>
      </w:pPr>
      <w:r w:rsidRPr="00F15147">
        <w:rPr>
          <w:sz w:val="20"/>
          <w:lang w:val="en-GB"/>
        </w:rPr>
        <w:t>2.6</w:t>
      </w:r>
      <w:r w:rsidRPr="00F15147">
        <w:rPr>
          <w:sz w:val="20"/>
          <w:lang w:val="en-GB"/>
        </w:rPr>
        <w:tab/>
      </w:r>
      <w:r w:rsidR="004B0C7C" w:rsidRPr="00F15147">
        <w:rPr>
          <w:sz w:val="20"/>
          <w:lang w:val="en-GB"/>
        </w:rPr>
        <w:t>In its verdict of</w:t>
      </w:r>
      <w:r w:rsidR="00806646" w:rsidRPr="00F15147">
        <w:rPr>
          <w:sz w:val="20"/>
          <w:lang w:val="en-GB"/>
        </w:rPr>
        <w:t xml:space="preserve"> 23 June 2011, the </w:t>
      </w:r>
      <w:r w:rsidR="00290F9B" w:rsidRPr="00F15147">
        <w:rPr>
          <w:sz w:val="20"/>
          <w:lang w:val="en-GB"/>
        </w:rPr>
        <w:t>court</w:t>
      </w:r>
      <w:r w:rsidR="004B0C7C" w:rsidRPr="00F15147">
        <w:rPr>
          <w:sz w:val="20"/>
          <w:lang w:val="en-GB"/>
        </w:rPr>
        <w:t>, after examining each of the statements</w:t>
      </w:r>
      <w:r w:rsidR="000E7D7B" w:rsidRPr="00F15147">
        <w:rPr>
          <w:sz w:val="20"/>
          <w:lang w:val="en-GB"/>
        </w:rPr>
        <w:t xml:space="preserve"> set forth</w:t>
      </w:r>
      <w:r w:rsidR="004B0C7C" w:rsidRPr="00F15147">
        <w:rPr>
          <w:sz w:val="20"/>
          <w:lang w:val="en-GB"/>
        </w:rPr>
        <w:t xml:space="preserve"> in the indictment,</w:t>
      </w:r>
      <w:r w:rsidR="00ED1575" w:rsidRPr="00F15147">
        <w:rPr>
          <w:sz w:val="20"/>
          <w:lang w:val="en-GB"/>
        </w:rPr>
        <w:t xml:space="preserve"> </w:t>
      </w:r>
      <w:r w:rsidR="004B0C7C" w:rsidRPr="00F15147">
        <w:rPr>
          <w:sz w:val="20"/>
          <w:lang w:val="en-GB"/>
        </w:rPr>
        <w:t xml:space="preserve">decided that the </w:t>
      </w:r>
      <w:r w:rsidR="000E7D7B" w:rsidRPr="00F15147">
        <w:rPr>
          <w:sz w:val="20"/>
          <w:lang w:val="en-GB"/>
        </w:rPr>
        <w:t xml:space="preserve">elements </w:t>
      </w:r>
      <w:r w:rsidR="004B0C7C" w:rsidRPr="00F15147">
        <w:rPr>
          <w:sz w:val="20"/>
          <w:lang w:val="en-GB"/>
        </w:rPr>
        <w:t xml:space="preserve">of the indictment could not be proven and </w:t>
      </w:r>
      <w:r w:rsidR="00806646" w:rsidRPr="00F15147">
        <w:rPr>
          <w:sz w:val="20"/>
          <w:lang w:val="en-GB"/>
        </w:rPr>
        <w:t xml:space="preserve">acquitted </w:t>
      </w:r>
      <w:r w:rsidR="006837AA">
        <w:rPr>
          <w:sz w:val="20"/>
          <w:lang w:val="en-GB"/>
        </w:rPr>
        <w:t>Mr. </w:t>
      </w:r>
      <w:r w:rsidR="00696F9C">
        <w:rPr>
          <w:sz w:val="20"/>
          <w:lang w:val="en-GB"/>
        </w:rPr>
        <w:t>Wilders</w:t>
      </w:r>
      <w:r w:rsidR="00806646" w:rsidRPr="00F15147">
        <w:rPr>
          <w:sz w:val="20"/>
          <w:lang w:val="en-GB"/>
        </w:rPr>
        <w:t xml:space="preserve"> of all charges</w:t>
      </w:r>
      <w:r w:rsidR="004B0C7C" w:rsidRPr="00F15147">
        <w:rPr>
          <w:sz w:val="20"/>
          <w:lang w:val="en-GB"/>
        </w:rPr>
        <w:t>.</w:t>
      </w:r>
      <w:r w:rsidR="00ED1575" w:rsidRPr="00F15147">
        <w:rPr>
          <w:sz w:val="20"/>
          <w:lang w:val="en-GB"/>
        </w:rPr>
        <w:t xml:space="preserve"> </w:t>
      </w:r>
      <w:r w:rsidR="004B0C7C" w:rsidRPr="00F15147">
        <w:rPr>
          <w:sz w:val="20"/>
          <w:lang w:val="en-GB"/>
        </w:rPr>
        <w:t>C</w:t>
      </w:r>
      <w:r w:rsidR="00806646" w:rsidRPr="00F15147">
        <w:rPr>
          <w:sz w:val="20"/>
          <w:lang w:val="en-GB"/>
        </w:rPr>
        <w:t xml:space="preserve">onsequently, the authors’ claims as </w:t>
      </w:r>
      <w:r w:rsidR="00290F9B" w:rsidRPr="00F15147">
        <w:rPr>
          <w:sz w:val="20"/>
          <w:lang w:val="en-GB"/>
        </w:rPr>
        <w:t>injured</w:t>
      </w:r>
      <w:r w:rsidR="00806646" w:rsidRPr="00F15147">
        <w:rPr>
          <w:sz w:val="20"/>
          <w:lang w:val="en-GB"/>
        </w:rPr>
        <w:t xml:space="preserve"> parties were declared inadmissible.</w:t>
      </w:r>
      <w:r w:rsidR="00ED1575" w:rsidRPr="00F15147">
        <w:rPr>
          <w:sz w:val="20"/>
          <w:lang w:val="en-GB"/>
        </w:rPr>
        <w:t xml:space="preserve"> </w:t>
      </w:r>
      <w:r w:rsidR="00AE1557" w:rsidRPr="00F15147">
        <w:rPr>
          <w:sz w:val="20"/>
          <w:lang w:val="en-GB"/>
        </w:rPr>
        <w:t>N</w:t>
      </w:r>
      <w:r w:rsidR="00806646" w:rsidRPr="00F15147">
        <w:rPr>
          <w:sz w:val="20"/>
          <w:lang w:val="en-GB"/>
        </w:rPr>
        <w:t xml:space="preserve">either the prosecutor nor </w:t>
      </w:r>
      <w:r w:rsidR="006837AA">
        <w:rPr>
          <w:sz w:val="20"/>
          <w:lang w:val="en-GB"/>
        </w:rPr>
        <w:t>Mr. </w:t>
      </w:r>
      <w:r w:rsidR="00696F9C">
        <w:rPr>
          <w:sz w:val="20"/>
          <w:lang w:val="en-GB"/>
        </w:rPr>
        <w:t>Wilders</w:t>
      </w:r>
      <w:r w:rsidR="00806646" w:rsidRPr="00F15147">
        <w:rPr>
          <w:sz w:val="20"/>
          <w:lang w:val="en-GB"/>
        </w:rPr>
        <w:t xml:space="preserve"> appealed the judgment. </w:t>
      </w:r>
      <w:r w:rsidR="0031705C" w:rsidRPr="00F15147">
        <w:rPr>
          <w:sz w:val="20"/>
          <w:lang w:val="en-GB"/>
        </w:rPr>
        <w:t>The authors d</w:t>
      </w:r>
      <w:r w:rsidR="000E7D7B" w:rsidRPr="00F15147">
        <w:rPr>
          <w:sz w:val="20"/>
          <w:lang w:val="en-GB"/>
        </w:rPr>
        <w:t>id</w:t>
      </w:r>
      <w:r w:rsidR="0031705C" w:rsidRPr="00F15147">
        <w:rPr>
          <w:sz w:val="20"/>
          <w:lang w:val="en-GB"/>
        </w:rPr>
        <w:t xml:space="preserve"> not have a right to appeal and therefore have no further </w:t>
      </w:r>
      <w:r w:rsidR="006A1D63" w:rsidRPr="00F15147">
        <w:rPr>
          <w:sz w:val="20"/>
          <w:lang w:val="en-GB"/>
        </w:rPr>
        <w:t xml:space="preserve">domestic </w:t>
      </w:r>
      <w:r w:rsidR="0031705C" w:rsidRPr="00F15147">
        <w:rPr>
          <w:sz w:val="20"/>
          <w:lang w:val="en-GB"/>
        </w:rPr>
        <w:t>remedies to exhaust.</w:t>
      </w:r>
    </w:p>
    <w:p w14:paraId="77F87A14" w14:textId="6F156637" w:rsidR="00BF15B9" w:rsidRPr="00F15147" w:rsidRDefault="00E152A1" w:rsidP="002B50CE">
      <w:pPr>
        <w:pStyle w:val="SingleTxtG"/>
        <w:rPr>
          <w:sz w:val="20"/>
          <w:lang w:val="en-GB"/>
        </w:rPr>
      </w:pPr>
      <w:r w:rsidRPr="00F15147">
        <w:rPr>
          <w:sz w:val="20"/>
          <w:lang w:val="en-GB"/>
        </w:rPr>
        <w:t>2.</w:t>
      </w:r>
      <w:r w:rsidR="00F80C64" w:rsidRPr="00F15147">
        <w:rPr>
          <w:sz w:val="20"/>
          <w:lang w:val="en-GB"/>
        </w:rPr>
        <w:t>7</w:t>
      </w:r>
      <w:r w:rsidRPr="00F15147">
        <w:rPr>
          <w:sz w:val="20"/>
          <w:lang w:val="en-GB"/>
        </w:rPr>
        <w:tab/>
        <w:t xml:space="preserve">The authors’ claims in the domestic proceedings and before the Committee relate to </w:t>
      </w:r>
      <w:r w:rsidR="006837AA">
        <w:rPr>
          <w:sz w:val="20"/>
          <w:lang w:val="en-GB"/>
        </w:rPr>
        <w:t>Mr. </w:t>
      </w:r>
      <w:r w:rsidR="00696F9C">
        <w:rPr>
          <w:sz w:val="20"/>
          <w:lang w:val="en-GB"/>
        </w:rPr>
        <w:t>Wilders</w:t>
      </w:r>
      <w:r w:rsidRPr="00F15147">
        <w:rPr>
          <w:sz w:val="20"/>
          <w:lang w:val="en-GB"/>
        </w:rPr>
        <w:t>’</w:t>
      </w:r>
      <w:r w:rsidR="00ED1575" w:rsidRPr="00F15147">
        <w:rPr>
          <w:sz w:val="20"/>
          <w:lang w:val="en-GB"/>
        </w:rPr>
        <w:t xml:space="preserve"> </w:t>
      </w:r>
      <w:r w:rsidRPr="00F15147">
        <w:rPr>
          <w:sz w:val="20"/>
          <w:lang w:val="en-GB"/>
        </w:rPr>
        <w:t>statements</w:t>
      </w:r>
      <w:r w:rsidR="002B50CE">
        <w:rPr>
          <w:sz w:val="20"/>
          <w:lang w:val="en-GB"/>
        </w:rPr>
        <w:t>, which</w:t>
      </w:r>
      <w:r w:rsidR="00AE1557" w:rsidRPr="00F15147">
        <w:rPr>
          <w:sz w:val="20"/>
          <w:lang w:val="en-GB"/>
        </w:rPr>
        <w:t xml:space="preserve"> in the</w:t>
      </w:r>
      <w:r w:rsidR="005E70E9" w:rsidRPr="00F15147">
        <w:rPr>
          <w:sz w:val="20"/>
          <w:lang w:val="en-GB"/>
        </w:rPr>
        <w:t>ir</w:t>
      </w:r>
      <w:r w:rsidR="00AE1557" w:rsidRPr="00F15147">
        <w:rPr>
          <w:sz w:val="20"/>
          <w:lang w:val="en-GB"/>
        </w:rPr>
        <w:t xml:space="preserve"> view,</w:t>
      </w:r>
      <w:r w:rsidRPr="00F15147">
        <w:rPr>
          <w:sz w:val="20"/>
          <w:lang w:val="en-GB"/>
        </w:rPr>
        <w:t xml:space="preserve"> go beyond being insulting and amount to incitement to hatred, discrimination and violence</w:t>
      </w:r>
      <w:r w:rsidR="00332D27">
        <w:rPr>
          <w:sz w:val="20"/>
          <w:lang w:val="en-GB"/>
        </w:rPr>
        <w:t>. They are</w:t>
      </w:r>
      <w:r w:rsidR="004D2807" w:rsidRPr="00F15147">
        <w:rPr>
          <w:sz w:val="20"/>
          <w:lang w:val="en-GB"/>
        </w:rPr>
        <w:t xml:space="preserve"> </w:t>
      </w:r>
      <w:r w:rsidRPr="00F15147">
        <w:rPr>
          <w:sz w:val="20"/>
          <w:lang w:val="en-GB"/>
        </w:rPr>
        <w:t>statements</w:t>
      </w:r>
      <w:r w:rsidR="00ED1575" w:rsidRPr="00F15147">
        <w:rPr>
          <w:sz w:val="20"/>
          <w:lang w:val="en-GB"/>
        </w:rPr>
        <w:t xml:space="preserve"> </w:t>
      </w:r>
      <w:r w:rsidR="00F87D30" w:rsidRPr="00F15147">
        <w:rPr>
          <w:sz w:val="20"/>
          <w:lang w:val="en-GB"/>
        </w:rPr>
        <w:t>that</w:t>
      </w:r>
      <w:r w:rsidR="00ED1575" w:rsidRPr="00F15147">
        <w:rPr>
          <w:sz w:val="20"/>
          <w:lang w:val="en-GB"/>
        </w:rPr>
        <w:t xml:space="preserve"> </w:t>
      </w:r>
      <w:r w:rsidRPr="00F15147">
        <w:rPr>
          <w:sz w:val="20"/>
          <w:lang w:val="en-GB"/>
        </w:rPr>
        <w:t>are not directed against Islam as a religion but against Muslims as human beings or against non-</w:t>
      </w:r>
      <w:r w:rsidR="00332D27">
        <w:rPr>
          <w:sz w:val="20"/>
          <w:lang w:val="en-GB"/>
        </w:rPr>
        <w:t>W</w:t>
      </w:r>
      <w:r w:rsidRPr="00F15147">
        <w:rPr>
          <w:sz w:val="20"/>
          <w:lang w:val="en-GB"/>
        </w:rPr>
        <w:t>estern migrants</w:t>
      </w:r>
      <w:r w:rsidR="002B50CE">
        <w:rPr>
          <w:sz w:val="20"/>
          <w:lang w:val="en-GB"/>
        </w:rPr>
        <w:t>,</w:t>
      </w:r>
      <w:r w:rsidRPr="00F15147">
        <w:rPr>
          <w:sz w:val="20"/>
          <w:lang w:val="en-GB"/>
        </w:rPr>
        <w:t xml:space="preserve"> although the distinction between attacking Islam and attacking Muslims is hard to </w:t>
      </w:r>
      <w:r w:rsidR="00F87D30" w:rsidRPr="00F15147">
        <w:rPr>
          <w:sz w:val="20"/>
          <w:lang w:val="en-GB"/>
        </w:rPr>
        <w:t>draw</w:t>
      </w:r>
      <w:r w:rsidRPr="00F15147">
        <w:rPr>
          <w:sz w:val="20"/>
          <w:lang w:val="en-GB"/>
        </w:rPr>
        <w:t xml:space="preserve">. </w:t>
      </w:r>
      <w:r w:rsidR="00BF15B9" w:rsidRPr="00F15147">
        <w:rPr>
          <w:sz w:val="20"/>
          <w:lang w:val="en-GB"/>
        </w:rPr>
        <w:t>The statements in question are as follows:</w:t>
      </w:r>
    </w:p>
    <w:p w14:paraId="12703D3E" w14:textId="4CF3C679" w:rsidR="00BF15B9" w:rsidRPr="00F15147" w:rsidRDefault="00BF15B9">
      <w:pPr>
        <w:pStyle w:val="SingleTxtG"/>
        <w:rPr>
          <w:sz w:val="20"/>
          <w:lang w:val="en-GB"/>
        </w:rPr>
      </w:pPr>
      <w:r w:rsidRPr="00F15147">
        <w:rPr>
          <w:sz w:val="20"/>
          <w:lang w:val="en-GB"/>
        </w:rPr>
        <w:tab/>
        <w:t>(a)</w:t>
      </w:r>
      <w:r w:rsidRPr="00F15147">
        <w:rPr>
          <w:sz w:val="20"/>
          <w:lang w:val="en-GB"/>
        </w:rPr>
        <w:tab/>
      </w:r>
      <w:r w:rsidR="00332D27">
        <w:rPr>
          <w:sz w:val="20"/>
          <w:lang w:val="en-GB"/>
        </w:rPr>
        <w:t xml:space="preserve">In an interview in </w:t>
      </w:r>
      <w:r w:rsidR="00332D27">
        <w:rPr>
          <w:i/>
          <w:iCs/>
          <w:sz w:val="20"/>
          <w:lang w:val="en-GB"/>
        </w:rPr>
        <w:t>d</w:t>
      </w:r>
      <w:r w:rsidRPr="00F15147">
        <w:rPr>
          <w:i/>
          <w:iCs/>
          <w:sz w:val="20"/>
          <w:lang w:val="en-GB"/>
        </w:rPr>
        <w:t>e Volkskrant</w:t>
      </w:r>
      <w:r w:rsidRPr="00F15147">
        <w:rPr>
          <w:sz w:val="20"/>
          <w:lang w:val="en-GB"/>
        </w:rPr>
        <w:t xml:space="preserve"> of 7 October 2006</w:t>
      </w:r>
      <w:r w:rsidR="00332D27">
        <w:rPr>
          <w:sz w:val="20"/>
          <w:lang w:val="en-GB"/>
        </w:rPr>
        <w:t>, responding to</w:t>
      </w:r>
      <w:r w:rsidRPr="00F15147">
        <w:rPr>
          <w:sz w:val="20"/>
          <w:lang w:val="en-GB"/>
        </w:rPr>
        <w:t xml:space="preserve"> </w:t>
      </w:r>
      <w:r w:rsidR="00332D27">
        <w:rPr>
          <w:sz w:val="20"/>
          <w:lang w:val="en-GB"/>
        </w:rPr>
        <w:t>a</w:t>
      </w:r>
      <w:r w:rsidRPr="00F15147">
        <w:rPr>
          <w:sz w:val="20"/>
          <w:lang w:val="en-GB"/>
        </w:rPr>
        <w:t xml:space="preserve"> question </w:t>
      </w:r>
      <w:r w:rsidR="00332D27">
        <w:rPr>
          <w:sz w:val="20"/>
          <w:lang w:val="en-GB"/>
        </w:rPr>
        <w:t>about</w:t>
      </w:r>
      <w:r w:rsidR="002B50CE">
        <w:rPr>
          <w:sz w:val="20"/>
          <w:lang w:val="en-GB"/>
        </w:rPr>
        <w:t xml:space="preserve"> </w:t>
      </w:r>
      <w:r w:rsidRPr="00F15147">
        <w:rPr>
          <w:sz w:val="20"/>
          <w:lang w:val="en-GB"/>
        </w:rPr>
        <w:t xml:space="preserve">what </w:t>
      </w:r>
      <w:r w:rsidR="002B50CE">
        <w:rPr>
          <w:sz w:val="20"/>
          <w:lang w:val="en-GB"/>
        </w:rPr>
        <w:t xml:space="preserve">he </w:t>
      </w:r>
      <w:r w:rsidRPr="00F15147">
        <w:rPr>
          <w:sz w:val="20"/>
          <w:lang w:val="en-GB"/>
        </w:rPr>
        <w:t>would change if he were in power</w:t>
      </w:r>
      <w:r w:rsidR="002B50CE">
        <w:rPr>
          <w:sz w:val="20"/>
          <w:lang w:val="en-GB"/>
        </w:rPr>
        <w:t xml:space="preserve"> the following day</w:t>
      </w:r>
      <w:r w:rsidRPr="00F15147">
        <w:rPr>
          <w:sz w:val="20"/>
          <w:lang w:val="en-GB"/>
        </w:rPr>
        <w:t xml:space="preserve">, </w:t>
      </w:r>
      <w:r w:rsidR="006837AA">
        <w:rPr>
          <w:sz w:val="20"/>
          <w:lang w:val="en-GB"/>
        </w:rPr>
        <w:t>Mr. </w:t>
      </w:r>
      <w:r w:rsidR="00332D27">
        <w:rPr>
          <w:sz w:val="20"/>
          <w:lang w:val="en-GB"/>
        </w:rPr>
        <w:t>Wilders</w:t>
      </w:r>
      <w:r w:rsidRPr="00F15147">
        <w:rPr>
          <w:sz w:val="20"/>
          <w:lang w:val="en-GB"/>
        </w:rPr>
        <w:t xml:space="preserve"> answered:</w:t>
      </w:r>
    </w:p>
    <w:p w14:paraId="76EA1D41" w14:textId="1E068D79" w:rsidR="00BF15B9" w:rsidRPr="00F15147" w:rsidRDefault="008B6CE5" w:rsidP="008B6CE5">
      <w:pPr>
        <w:pStyle w:val="SingleTxtG"/>
        <w:ind w:left="1854" w:hanging="144"/>
        <w:rPr>
          <w:sz w:val="20"/>
          <w:lang w:val="en-GB"/>
        </w:rPr>
      </w:pPr>
      <w:r w:rsidRPr="00F15147">
        <w:rPr>
          <w:sz w:val="20"/>
          <w:lang w:val="en-GB"/>
        </w:rPr>
        <w:t>(i)</w:t>
      </w:r>
      <w:r w:rsidRPr="00F15147">
        <w:rPr>
          <w:sz w:val="20"/>
          <w:lang w:val="en-GB"/>
        </w:rPr>
        <w:tab/>
      </w:r>
      <w:r w:rsidR="002B50CE">
        <w:rPr>
          <w:sz w:val="20"/>
          <w:lang w:val="en-GB"/>
        </w:rPr>
        <w:t>“</w:t>
      </w:r>
      <w:r w:rsidR="00BF15B9" w:rsidRPr="00F15147">
        <w:rPr>
          <w:sz w:val="20"/>
          <w:lang w:val="en-GB"/>
        </w:rPr>
        <w:t xml:space="preserve">The borders </w:t>
      </w:r>
      <w:r w:rsidR="002B50CE">
        <w:rPr>
          <w:sz w:val="20"/>
          <w:lang w:val="en-GB"/>
        </w:rPr>
        <w:t xml:space="preserve">will be </w:t>
      </w:r>
      <w:r w:rsidR="00BF15B9" w:rsidRPr="00F15147">
        <w:rPr>
          <w:sz w:val="20"/>
          <w:lang w:val="en-GB"/>
        </w:rPr>
        <w:t>close</w:t>
      </w:r>
      <w:r w:rsidR="002B50CE">
        <w:rPr>
          <w:sz w:val="20"/>
          <w:lang w:val="en-GB"/>
        </w:rPr>
        <w:t>d</w:t>
      </w:r>
      <w:r w:rsidR="00BF15B9" w:rsidRPr="00F15147">
        <w:rPr>
          <w:sz w:val="20"/>
          <w:lang w:val="en-GB"/>
        </w:rPr>
        <w:t xml:space="preserve"> th</w:t>
      </w:r>
      <w:r w:rsidR="002B50CE">
        <w:rPr>
          <w:sz w:val="20"/>
          <w:lang w:val="en-GB"/>
        </w:rPr>
        <w:t>e very</w:t>
      </w:r>
      <w:r w:rsidR="00BF15B9" w:rsidRPr="00F15147">
        <w:rPr>
          <w:sz w:val="20"/>
          <w:lang w:val="en-GB"/>
        </w:rPr>
        <w:t xml:space="preserve"> same day for all non-Western residents</w:t>
      </w:r>
      <w:r w:rsidR="002B50CE">
        <w:rPr>
          <w:sz w:val="20"/>
          <w:lang w:val="en-GB"/>
        </w:rPr>
        <w:t>”</w:t>
      </w:r>
      <w:r w:rsidR="00BF15B9" w:rsidRPr="00F15147">
        <w:rPr>
          <w:sz w:val="20"/>
          <w:lang w:val="en-GB"/>
        </w:rPr>
        <w:t>.</w:t>
      </w:r>
    </w:p>
    <w:p w14:paraId="0F77443E" w14:textId="1E8920A6" w:rsidR="00BF15B9" w:rsidRPr="00F15147" w:rsidRDefault="00ED4FFA" w:rsidP="00F15147">
      <w:pPr>
        <w:pStyle w:val="SingleTxtG"/>
        <w:ind w:left="1701"/>
        <w:rPr>
          <w:sz w:val="20"/>
          <w:lang w:val="en-GB"/>
        </w:rPr>
      </w:pPr>
      <w:r>
        <w:rPr>
          <w:sz w:val="20"/>
          <w:lang w:val="en-GB"/>
        </w:rPr>
        <w:lastRenderedPageBreak/>
        <w:t>“</w:t>
      </w:r>
      <w:r w:rsidR="00BF15B9" w:rsidRPr="00F15147">
        <w:rPr>
          <w:sz w:val="20"/>
          <w:lang w:val="en-GB"/>
        </w:rPr>
        <w:t xml:space="preserve">The demographic composition of the population is the </w:t>
      </w:r>
      <w:r w:rsidR="00BB6FBE">
        <w:rPr>
          <w:sz w:val="20"/>
          <w:lang w:val="en-GB"/>
        </w:rPr>
        <w:t>bigg</w:t>
      </w:r>
      <w:r w:rsidR="00BF15B9" w:rsidRPr="00F15147">
        <w:rPr>
          <w:sz w:val="20"/>
          <w:lang w:val="en-GB"/>
        </w:rPr>
        <w:t xml:space="preserve">est problem in the Netherlands. I am talking about what comes to the Netherlands and what multiplies here. If you look at the figures </w:t>
      </w:r>
      <w:r w:rsidR="00BF15B9" w:rsidRPr="00F15147">
        <w:rPr>
          <w:sz w:val="20"/>
          <w:szCs w:val="20"/>
        </w:rPr>
        <w:t>and its development</w:t>
      </w:r>
      <w:r w:rsidR="00BF15B9" w:rsidRPr="00F15147">
        <w:rPr>
          <w:sz w:val="20"/>
          <w:lang w:val="en-GB"/>
        </w:rPr>
        <w:t xml:space="preserve">. Muslims will move from the big cities to the countryside. We have to stop the tsunami of </w:t>
      </w:r>
      <w:r w:rsidR="008851CB">
        <w:rPr>
          <w:sz w:val="20"/>
          <w:lang w:val="en-GB"/>
        </w:rPr>
        <w:t>I</w:t>
      </w:r>
      <w:r w:rsidR="00BF15B9" w:rsidRPr="00F15147">
        <w:rPr>
          <w:sz w:val="20"/>
          <w:lang w:val="en-GB"/>
        </w:rPr>
        <w:t>slami</w:t>
      </w:r>
      <w:r w:rsidR="008851CB">
        <w:rPr>
          <w:sz w:val="20"/>
          <w:lang w:val="en-GB"/>
        </w:rPr>
        <w:t>z</w:t>
      </w:r>
      <w:r w:rsidR="00BF15B9" w:rsidRPr="00F15147">
        <w:rPr>
          <w:sz w:val="20"/>
          <w:lang w:val="en-GB"/>
        </w:rPr>
        <w:t>ation. That stabs us in the heart, in our identity, in our culture. If we do not defend ourselves, then all other items from my programme will prove to be worthless</w:t>
      </w:r>
      <w:r>
        <w:rPr>
          <w:sz w:val="20"/>
          <w:lang w:val="en-GB"/>
        </w:rPr>
        <w:t>”</w:t>
      </w:r>
      <w:r w:rsidR="00BF15B9" w:rsidRPr="00F15147">
        <w:rPr>
          <w:sz w:val="20"/>
          <w:lang w:val="en-GB"/>
        </w:rPr>
        <w:t xml:space="preserve">. </w:t>
      </w:r>
    </w:p>
    <w:p w14:paraId="6D81C7BA" w14:textId="104C0913" w:rsidR="00BF15B9" w:rsidRPr="00F15147" w:rsidRDefault="00BB6FBE" w:rsidP="00F15147">
      <w:pPr>
        <w:pStyle w:val="SingleTxtG"/>
        <w:keepNext/>
        <w:ind w:firstLine="567"/>
        <w:rPr>
          <w:sz w:val="20"/>
          <w:lang w:val="en-GB"/>
        </w:rPr>
      </w:pPr>
      <w:r>
        <w:rPr>
          <w:sz w:val="20"/>
          <w:lang w:val="en-GB"/>
        </w:rPr>
        <w:t>(ii)</w:t>
      </w:r>
      <w:r w:rsidR="0033228B">
        <w:rPr>
          <w:sz w:val="20"/>
          <w:lang w:val="en-GB"/>
        </w:rPr>
        <w:tab/>
      </w:r>
      <w:r w:rsidR="00BF15B9" w:rsidRPr="00F15147">
        <w:rPr>
          <w:sz w:val="20"/>
          <w:lang w:val="en-GB"/>
        </w:rPr>
        <w:t xml:space="preserve">Questioned about </w:t>
      </w:r>
      <w:r w:rsidR="00ED4FFA">
        <w:rPr>
          <w:sz w:val="20"/>
          <w:lang w:val="en-GB"/>
        </w:rPr>
        <w:t>whether</w:t>
      </w:r>
      <w:r w:rsidR="00BF15B9" w:rsidRPr="00F15147">
        <w:rPr>
          <w:sz w:val="20"/>
          <w:lang w:val="en-GB"/>
        </w:rPr>
        <w:t xml:space="preserve"> Islam and crim</w:t>
      </w:r>
      <w:r w:rsidR="00015056">
        <w:rPr>
          <w:sz w:val="20"/>
          <w:lang w:val="en-GB"/>
        </w:rPr>
        <w:t>e</w:t>
      </w:r>
      <w:r w:rsidR="00ED4FFA">
        <w:rPr>
          <w:sz w:val="20"/>
          <w:lang w:val="en-GB"/>
        </w:rPr>
        <w:t xml:space="preserve"> were related</w:t>
      </w:r>
      <w:r w:rsidR="00BF15B9" w:rsidRPr="00F15147">
        <w:rPr>
          <w:sz w:val="20"/>
          <w:lang w:val="en-GB"/>
        </w:rPr>
        <w:t>, he answered:</w:t>
      </w:r>
    </w:p>
    <w:p w14:paraId="26D8162B" w14:textId="7E15BEC3" w:rsidR="00BF15B9" w:rsidRPr="00F15147" w:rsidRDefault="00A313C0" w:rsidP="00F15147">
      <w:pPr>
        <w:pStyle w:val="SingleTxtG"/>
        <w:ind w:left="1701"/>
        <w:rPr>
          <w:sz w:val="20"/>
          <w:lang w:val="en-GB"/>
        </w:rPr>
      </w:pPr>
      <w:r>
        <w:rPr>
          <w:sz w:val="20"/>
          <w:lang w:val="en-GB"/>
        </w:rPr>
        <w:t>“</w:t>
      </w:r>
      <w:r w:rsidR="00BF15B9" w:rsidRPr="00F15147">
        <w:rPr>
          <w:sz w:val="20"/>
          <w:lang w:val="en-GB"/>
        </w:rPr>
        <w:t xml:space="preserve">Absolutely. The figures are proving so. One out of five Moroccan youngsters has a police record. Their behaviour arises from their religion and culture. You can’t look at that detachedly. The Pope was completely right when he </w:t>
      </w:r>
      <w:r w:rsidR="00BF15B9" w:rsidRPr="00F15147">
        <w:rPr>
          <w:sz w:val="20"/>
          <w:szCs w:val="20"/>
        </w:rPr>
        <w:t xml:space="preserve">was saying </w:t>
      </w:r>
      <w:r w:rsidR="00BF15B9" w:rsidRPr="00F15147">
        <w:rPr>
          <w:sz w:val="20"/>
          <w:lang w:val="en-GB"/>
        </w:rPr>
        <w:t>that Islam is a violent religion. Islam means submission and conversion of non-Muslims. That interpretation applies in the living rooms of those delinquents and in the mosques. It is in the communities themselves</w:t>
      </w:r>
      <w:r>
        <w:rPr>
          <w:sz w:val="20"/>
          <w:lang w:val="en-GB"/>
        </w:rPr>
        <w:t>”</w:t>
      </w:r>
      <w:r w:rsidR="00BF15B9" w:rsidRPr="00F15147">
        <w:rPr>
          <w:sz w:val="20"/>
          <w:lang w:val="en-GB"/>
        </w:rPr>
        <w:t>.</w:t>
      </w:r>
    </w:p>
    <w:p w14:paraId="3F389067" w14:textId="442F0D3B" w:rsidR="00BF15B9" w:rsidRPr="00F15147" w:rsidRDefault="00CD7568" w:rsidP="00F15147">
      <w:pPr>
        <w:pStyle w:val="SingleTxtG"/>
        <w:ind w:left="1701"/>
        <w:rPr>
          <w:sz w:val="20"/>
          <w:lang w:val="en-GB"/>
        </w:rPr>
      </w:pPr>
      <w:r>
        <w:rPr>
          <w:sz w:val="20"/>
          <w:lang w:val="en-GB"/>
        </w:rPr>
        <w:t>(i</w:t>
      </w:r>
      <w:r w:rsidR="00A92A05">
        <w:rPr>
          <w:sz w:val="20"/>
          <w:lang w:val="en-GB"/>
        </w:rPr>
        <w:t>ii</w:t>
      </w:r>
      <w:r>
        <w:rPr>
          <w:sz w:val="20"/>
          <w:lang w:val="en-GB"/>
        </w:rPr>
        <w:t>)</w:t>
      </w:r>
      <w:r w:rsidR="0033228B">
        <w:rPr>
          <w:sz w:val="20"/>
          <w:lang w:val="en-GB"/>
        </w:rPr>
        <w:tab/>
      </w:r>
      <w:r w:rsidR="00A313C0">
        <w:rPr>
          <w:sz w:val="20"/>
          <w:lang w:val="en-GB"/>
        </w:rPr>
        <w:t>“</w:t>
      </w:r>
      <w:r w:rsidR="00BF15B9" w:rsidRPr="00F15147">
        <w:rPr>
          <w:sz w:val="20"/>
          <w:lang w:val="en-GB"/>
        </w:rPr>
        <w:t xml:space="preserve">Everyone adopts our dominant culture. Those who will not do so won’t be here anymore in </w:t>
      </w:r>
      <w:r w:rsidR="00ED4FFA">
        <w:rPr>
          <w:sz w:val="20"/>
          <w:lang w:val="en-GB"/>
        </w:rPr>
        <w:t>20</w:t>
      </w:r>
      <w:r w:rsidR="00BF15B9" w:rsidRPr="00F15147">
        <w:rPr>
          <w:sz w:val="20"/>
          <w:lang w:val="en-GB"/>
        </w:rPr>
        <w:t xml:space="preserve"> years. They will be expelled</w:t>
      </w:r>
      <w:r w:rsidR="00A313C0">
        <w:rPr>
          <w:sz w:val="20"/>
          <w:lang w:val="en-GB"/>
        </w:rPr>
        <w:t>”</w:t>
      </w:r>
      <w:r w:rsidR="00BF15B9" w:rsidRPr="00F15147">
        <w:rPr>
          <w:sz w:val="20"/>
          <w:lang w:val="en-GB"/>
        </w:rPr>
        <w:t>.</w:t>
      </w:r>
    </w:p>
    <w:p w14:paraId="7CFD89DE" w14:textId="7D3A9A50" w:rsidR="00BF15B9" w:rsidRPr="00F15147" w:rsidRDefault="00CD7568" w:rsidP="00F15147">
      <w:pPr>
        <w:pStyle w:val="SingleTxtG"/>
        <w:ind w:left="1701"/>
        <w:rPr>
          <w:sz w:val="20"/>
          <w:lang w:val="en-GB"/>
        </w:rPr>
      </w:pPr>
      <w:r>
        <w:rPr>
          <w:sz w:val="20"/>
          <w:lang w:val="en-GB"/>
        </w:rPr>
        <w:t>(</w:t>
      </w:r>
      <w:r w:rsidR="00A92A05">
        <w:rPr>
          <w:sz w:val="20"/>
          <w:lang w:val="en-GB"/>
        </w:rPr>
        <w:t>i</w:t>
      </w:r>
      <w:r>
        <w:rPr>
          <w:sz w:val="20"/>
          <w:lang w:val="en-GB"/>
        </w:rPr>
        <w:t>v)</w:t>
      </w:r>
      <w:r w:rsidR="0033228B">
        <w:rPr>
          <w:sz w:val="20"/>
          <w:lang w:val="en-GB"/>
        </w:rPr>
        <w:tab/>
      </w:r>
      <w:r w:rsidR="00A313C0">
        <w:rPr>
          <w:sz w:val="20"/>
          <w:lang w:val="en-GB"/>
        </w:rPr>
        <w:t>“</w:t>
      </w:r>
      <w:r w:rsidR="00BF15B9" w:rsidRPr="00F15147">
        <w:rPr>
          <w:sz w:val="20"/>
          <w:lang w:val="en-GB"/>
        </w:rPr>
        <w:t>Those Moroccan guys are truly violent. They beat up people based on their sexual origin</w:t>
      </w:r>
      <w:r w:rsidR="00A313C0">
        <w:rPr>
          <w:sz w:val="20"/>
          <w:lang w:val="en-GB"/>
        </w:rPr>
        <w:t>”</w:t>
      </w:r>
      <w:r w:rsidR="00BF15B9" w:rsidRPr="00F15147">
        <w:rPr>
          <w:sz w:val="20"/>
          <w:lang w:val="en-GB"/>
        </w:rPr>
        <w:t>.</w:t>
      </w:r>
    </w:p>
    <w:p w14:paraId="259F170A" w14:textId="34A74151" w:rsidR="00BF15B9" w:rsidRPr="00F15147" w:rsidRDefault="00BF15B9">
      <w:pPr>
        <w:pStyle w:val="SingleTxtG"/>
        <w:rPr>
          <w:sz w:val="20"/>
          <w:lang w:val="en-GB"/>
        </w:rPr>
      </w:pPr>
      <w:r w:rsidRPr="00F15147">
        <w:rPr>
          <w:sz w:val="20"/>
          <w:lang w:val="en-GB"/>
        </w:rPr>
        <w:tab/>
        <w:t>(b)</w:t>
      </w:r>
      <w:r w:rsidRPr="00F15147">
        <w:rPr>
          <w:sz w:val="20"/>
          <w:lang w:val="en-GB"/>
        </w:rPr>
        <w:tab/>
      </w:r>
      <w:r w:rsidR="00ED4FFA">
        <w:rPr>
          <w:sz w:val="20"/>
          <w:lang w:val="en-GB"/>
        </w:rPr>
        <w:t>In a</w:t>
      </w:r>
      <w:r w:rsidRPr="00F15147">
        <w:rPr>
          <w:sz w:val="20"/>
          <w:lang w:val="en-GB"/>
        </w:rPr>
        <w:t xml:space="preserve">n </w:t>
      </w:r>
      <w:r w:rsidR="00ED4FFA">
        <w:rPr>
          <w:sz w:val="20"/>
          <w:lang w:val="en-GB"/>
        </w:rPr>
        <w:t>I</w:t>
      </w:r>
      <w:r w:rsidRPr="00F15147">
        <w:rPr>
          <w:sz w:val="20"/>
          <w:lang w:val="en-GB"/>
        </w:rPr>
        <w:t>nternet column of 6 February 2007</w:t>
      </w:r>
      <w:r w:rsidR="00ED4FFA">
        <w:rPr>
          <w:sz w:val="20"/>
          <w:lang w:val="en-GB"/>
        </w:rPr>
        <w:t>,</w:t>
      </w:r>
      <w:r w:rsidRPr="00F15147">
        <w:rPr>
          <w:sz w:val="20"/>
          <w:lang w:val="en-GB"/>
        </w:rPr>
        <w:t xml:space="preserve"> at </w:t>
      </w:r>
      <w:hyperlink r:id="rId9" w:history="1">
        <w:r w:rsidRPr="00F15147">
          <w:rPr>
            <w:rStyle w:val="Hyperlink"/>
            <w:sz w:val="20"/>
            <w:lang w:val="en-GB"/>
          </w:rPr>
          <w:t>www.geenstijl.nl</w:t>
        </w:r>
      </w:hyperlink>
      <w:r w:rsidRPr="00F15147">
        <w:rPr>
          <w:sz w:val="20"/>
          <w:lang w:val="en-GB"/>
        </w:rPr>
        <w:t xml:space="preserve"> or at </w:t>
      </w:r>
      <w:hyperlink r:id="rId10" w:history="1">
        <w:r w:rsidRPr="00F15147">
          <w:rPr>
            <w:rStyle w:val="Hyperlink"/>
            <w:sz w:val="20"/>
            <w:lang w:val="en-GB"/>
          </w:rPr>
          <w:t>www.pvv.nl</w:t>
        </w:r>
      </w:hyperlink>
      <w:r w:rsidRPr="00F15147">
        <w:rPr>
          <w:sz w:val="20"/>
          <w:lang w:val="en-GB"/>
        </w:rPr>
        <w:t xml:space="preserve"> (the website of </w:t>
      </w:r>
      <w:r w:rsidR="006837AA">
        <w:rPr>
          <w:sz w:val="20"/>
          <w:lang w:val="en-GB"/>
        </w:rPr>
        <w:t>Mr. </w:t>
      </w:r>
      <w:r w:rsidR="00696F9C">
        <w:rPr>
          <w:sz w:val="20"/>
          <w:lang w:val="en-GB"/>
        </w:rPr>
        <w:t>Wilders</w:t>
      </w:r>
      <w:r w:rsidRPr="00F15147">
        <w:rPr>
          <w:sz w:val="20"/>
          <w:lang w:val="en-GB"/>
        </w:rPr>
        <w:t>’ party)</w:t>
      </w:r>
      <w:r w:rsidR="00ED4FFA">
        <w:rPr>
          <w:sz w:val="20"/>
          <w:lang w:val="en-GB"/>
        </w:rPr>
        <w:t>, he noted that</w:t>
      </w:r>
      <w:r w:rsidRPr="00F15147">
        <w:rPr>
          <w:sz w:val="20"/>
          <w:lang w:val="en-GB"/>
        </w:rPr>
        <w:t xml:space="preserve">: </w:t>
      </w:r>
    </w:p>
    <w:p w14:paraId="6343AB2E" w14:textId="09EB3CE4" w:rsidR="00BF15B9" w:rsidRPr="00F15147" w:rsidRDefault="00A313C0" w:rsidP="00F15147">
      <w:pPr>
        <w:pStyle w:val="SingleTxtG"/>
        <w:ind w:left="1701"/>
        <w:rPr>
          <w:sz w:val="20"/>
          <w:lang w:val="en-GB"/>
        </w:rPr>
      </w:pPr>
      <w:r>
        <w:rPr>
          <w:sz w:val="20"/>
          <w:lang w:val="en-GB"/>
        </w:rPr>
        <w:t>“</w:t>
      </w:r>
      <w:r w:rsidR="00BF15B9" w:rsidRPr="00F15147">
        <w:rPr>
          <w:sz w:val="20"/>
          <w:lang w:val="en-GB"/>
        </w:rPr>
        <w:t xml:space="preserve">In last Saturday’s Nederlands Dagblad, Professor Raphael Israeli </w:t>
      </w:r>
      <w:r w:rsidR="00ED4FFA">
        <w:rPr>
          <w:sz w:val="20"/>
          <w:lang w:val="en-GB"/>
        </w:rPr>
        <w:t>w</w:t>
      </w:r>
      <w:r w:rsidR="00BF15B9" w:rsidRPr="00F15147">
        <w:rPr>
          <w:sz w:val="20"/>
          <w:lang w:val="en-GB"/>
        </w:rPr>
        <w:t>as quoted predicting a ‘</w:t>
      </w:r>
      <w:r w:rsidR="00ED4FFA">
        <w:rPr>
          <w:sz w:val="20"/>
          <w:lang w:val="en-GB"/>
        </w:rPr>
        <w:t>t</w:t>
      </w:r>
      <w:r w:rsidR="00BF15B9" w:rsidRPr="00F15147">
        <w:rPr>
          <w:sz w:val="20"/>
          <w:lang w:val="en-GB"/>
        </w:rPr>
        <w:t xml:space="preserve">hird Islamic </w:t>
      </w:r>
      <w:r w:rsidR="00ED4FFA">
        <w:rPr>
          <w:sz w:val="20"/>
          <w:lang w:val="en-GB"/>
        </w:rPr>
        <w:t>i</w:t>
      </w:r>
      <w:r w:rsidR="00BF15B9" w:rsidRPr="00F15147">
        <w:rPr>
          <w:sz w:val="20"/>
          <w:lang w:val="en-GB"/>
        </w:rPr>
        <w:t xml:space="preserve">nvasion of Europe’ by means of ‘penetration, propaganda, conversion and demographic change’. According to him, Europeans are committing demographic suicide with the marching of Islam. The first Islamic invasion </w:t>
      </w:r>
      <w:r w:rsidR="00ED4FFA">
        <w:rPr>
          <w:sz w:val="20"/>
          <w:lang w:val="en-GB"/>
        </w:rPr>
        <w:t>w</w:t>
      </w:r>
      <w:r w:rsidR="00BF15B9" w:rsidRPr="00F15147">
        <w:rPr>
          <w:sz w:val="20"/>
          <w:lang w:val="en-GB"/>
        </w:rPr>
        <w:t xml:space="preserve">as stopped in the year 732 at Poitiers after the conquest of Spain, Portugal and </w:t>
      </w:r>
      <w:r w:rsidR="00ED4FFA">
        <w:rPr>
          <w:sz w:val="20"/>
          <w:lang w:val="en-GB"/>
        </w:rPr>
        <w:t>s</w:t>
      </w:r>
      <w:r w:rsidR="00BF15B9" w:rsidRPr="00F15147">
        <w:rPr>
          <w:sz w:val="20"/>
          <w:lang w:val="en-GB"/>
        </w:rPr>
        <w:t xml:space="preserve">outhern France and the second attempted invasion by the Ottoman Turks </w:t>
      </w:r>
      <w:r w:rsidR="00ED4FFA">
        <w:rPr>
          <w:sz w:val="20"/>
          <w:lang w:val="en-GB"/>
        </w:rPr>
        <w:t>w</w:t>
      </w:r>
      <w:r w:rsidR="00BF15B9" w:rsidRPr="00F15147">
        <w:rPr>
          <w:sz w:val="20"/>
          <w:lang w:val="en-GB"/>
        </w:rPr>
        <w:t>as turned back from the city gates of Vienna</w:t>
      </w:r>
      <w:r w:rsidR="00ED4FFA">
        <w:rPr>
          <w:sz w:val="20"/>
          <w:lang w:val="en-GB"/>
        </w:rPr>
        <w:t>,</w:t>
      </w:r>
      <w:r w:rsidR="00BF15B9" w:rsidRPr="00F15147">
        <w:rPr>
          <w:sz w:val="20"/>
          <w:lang w:val="en-GB"/>
        </w:rPr>
        <w:t xml:space="preserve"> when they </w:t>
      </w:r>
      <w:r w:rsidR="00ED4FFA">
        <w:rPr>
          <w:sz w:val="20"/>
          <w:lang w:val="en-GB"/>
        </w:rPr>
        <w:t xml:space="preserve">were </w:t>
      </w:r>
      <w:r w:rsidR="00BF15B9" w:rsidRPr="00F15147">
        <w:rPr>
          <w:sz w:val="20"/>
          <w:lang w:val="en-GB"/>
        </w:rPr>
        <w:t>fortunately wiped out over there in 1683. According to Prof</w:t>
      </w:r>
      <w:r w:rsidR="00DB1EC9" w:rsidRPr="003F37BA">
        <w:rPr>
          <w:sz w:val="20"/>
          <w:lang w:val="en-GB"/>
        </w:rPr>
        <w:t>essor</w:t>
      </w:r>
      <w:r w:rsidR="00BF15B9" w:rsidRPr="00F15147">
        <w:rPr>
          <w:sz w:val="20"/>
          <w:lang w:val="en-GB"/>
        </w:rPr>
        <w:t xml:space="preserve"> Israeli</w:t>
      </w:r>
      <w:r w:rsidR="00A92A05">
        <w:rPr>
          <w:sz w:val="20"/>
          <w:lang w:val="en-GB"/>
        </w:rPr>
        <w:t>,</w:t>
      </w:r>
      <w:r w:rsidR="00BF15B9" w:rsidRPr="00F15147">
        <w:rPr>
          <w:sz w:val="20"/>
          <w:lang w:val="en-GB"/>
        </w:rPr>
        <w:t xml:space="preserve"> the third attempt that is now going on in Europe has much more chance o</w:t>
      </w:r>
      <w:r w:rsidR="00ED4FFA">
        <w:rPr>
          <w:sz w:val="20"/>
          <w:lang w:val="en-GB"/>
        </w:rPr>
        <w:t>f</w:t>
      </w:r>
      <w:r w:rsidR="00BF15B9" w:rsidRPr="00F15147">
        <w:rPr>
          <w:sz w:val="20"/>
          <w:lang w:val="en-GB"/>
        </w:rPr>
        <w:t xml:space="preserve"> succeed</w:t>
      </w:r>
      <w:r w:rsidR="00ED4FFA">
        <w:rPr>
          <w:sz w:val="20"/>
          <w:lang w:val="en-GB"/>
        </w:rPr>
        <w:t>ing</w:t>
      </w:r>
      <w:r w:rsidR="00BF15B9" w:rsidRPr="00F15147">
        <w:rPr>
          <w:sz w:val="20"/>
          <w:lang w:val="en-GB"/>
        </w:rPr>
        <w:t>. The man is perfectly right</w:t>
      </w:r>
      <w:r>
        <w:rPr>
          <w:sz w:val="20"/>
          <w:lang w:val="en-GB"/>
        </w:rPr>
        <w:t>”</w:t>
      </w:r>
      <w:r w:rsidR="00BF15B9" w:rsidRPr="00F15147">
        <w:rPr>
          <w:sz w:val="20"/>
          <w:lang w:val="en-GB"/>
        </w:rPr>
        <w:t>.</w:t>
      </w:r>
    </w:p>
    <w:p w14:paraId="360AE7AB" w14:textId="208B9EC4" w:rsidR="00BF15B9" w:rsidRPr="00F15147" w:rsidRDefault="00BF15B9">
      <w:pPr>
        <w:pStyle w:val="SingleTxtG"/>
        <w:rPr>
          <w:sz w:val="20"/>
          <w:lang w:val="en-GB"/>
        </w:rPr>
      </w:pPr>
      <w:r w:rsidRPr="00F15147">
        <w:rPr>
          <w:sz w:val="20"/>
          <w:lang w:val="en-GB"/>
        </w:rPr>
        <w:tab/>
        <w:t>(c)</w:t>
      </w:r>
      <w:r w:rsidRPr="00F15147">
        <w:rPr>
          <w:sz w:val="20"/>
          <w:lang w:val="en-GB"/>
        </w:rPr>
        <w:tab/>
      </w:r>
      <w:r w:rsidR="00ED4FFA">
        <w:rPr>
          <w:sz w:val="20"/>
          <w:lang w:val="en-GB"/>
        </w:rPr>
        <w:t xml:space="preserve">In </w:t>
      </w:r>
      <w:r w:rsidRPr="00F15147">
        <w:rPr>
          <w:i/>
          <w:iCs/>
          <w:sz w:val="20"/>
          <w:lang w:val="en-GB"/>
        </w:rPr>
        <w:t>De Pers</w:t>
      </w:r>
      <w:r w:rsidRPr="00F15147">
        <w:rPr>
          <w:sz w:val="20"/>
          <w:lang w:val="en-GB"/>
        </w:rPr>
        <w:t xml:space="preserve"> o</w:t>
      </w:r>
      <w:r w:rsidR="00ED4FFA">
        <w:rPr>
          <w:sz w:val="20"/>
          <w:lang w:val="en-GB"/>
        </w:rPr>
        <w:t>n</w:t>
      </w:r>
      <w:r w:rsidRPr="00F15147">
        <w:rPr>
          <w:sz w:val="20"/>
          <w:lang w:val="en-GB"/>
        </w:rPr>
        <w:t xml:space="preserve"> 13 February 2007</w:t>
      </w:r>
      <w:r w:rsidR="00ED4FFA">
        <w:rPr>
          <w:sz w:val="20"/>
          <w:lang w:val="en-GB"/>
        </w:rPr>
        <w:t>, he stated</w:t>
      </w:r>
      <w:r w:rsidRPr="00F15147">
        <w:rPr>
          <w:sz w:val="20"/>
          <w:lang w:val="en-GB"/>
        </w:rPr>
        <w:t>:</w:t>
      </w:r>
    </w:p>
    <w:p w14:paraId="5B664A6F" w14:textId="1139A7A0" w:rsidR="00BF15B9" w:rsidRPr="00F15147" w:rsidRDefault="00CD7568" w:rsidP="00F15147">
      <w:pPr>
        <w:pStyle w:val="SingleTxtG"/>
        <w:ind w:left="1701"/>
        <w:rPr>
          <w:sz w:val="20"/>
          <w:lang w:val="en-GB"/>
        </w:rPr>
      </w:pPr>
      <w:r>
        <w:rPr>
          <w:sz w:val="20"/>
          <w:lang w:val="en-GB"/>
        </w:rPr>
        <w:t>(i)</w:t>
      </w:r>
      <w:r w:rsidR="00462DE6">
        <w:rPr>
          <w:sz w:val="20"/>
          <w:lang w:val="en-GB"/>
        </w:rPr>
        <w:tab/>
      </w:r>
      <w:r w:rsidR="00A313C0">
        <w:rPr>
          <w:sz w:val="20"/>
          <w:lang w:val="en-GB"/>
        </w:rPr>
        <w:t>“</w:t>
      </w:r>
      <w:r w:rsidR="00BF15B9" w:rsidRPr="00F15147">
        <w:rPr>
          <w:sz w:val="20"/>
          <w:lang w:val="en-GB"/>
        </w:rPr>
        <w:t>We had enough. The borders are closed, no more Islamic people coming to the Netherlands, a lot of Muslims exiting the Netherlands, denaturali</w:t>
      </w:r>
      <w:r w:rsidR="00ED4FFA">
        <w:rPr>
          <w:sz w:val="20"/>
          <w:lang w:val="en-GB"/>
        </w:rPr>
        <w:t>z</w:t>
      </w:r>
      <w:r w:rsidR="00BF15B9" w:rsidRPr="00F15147">
        <w:rPr>
          <w:sz w:val="20"/>
          <w:lang w:val="en-GB"/>
        </w:rPr>
        <w:t>ation of Islamic criminals</w:t>
      </w:r>
      <w:r w:rsidR="00A313C0">
        <w:rPr>
          <w:sz w:val="20"/>
          <w:lang w:val="en-GB"/>
        </w:rPr>
        <w:t>”.</w:t>
      </w:r>
    </w:p>
    <w:p w14:paraId="55EF02BA" w14:textId="5FD28068" w:rsidR="00BF15B9" w:rsidRPr="00F15147" w:rsidRDefault="00CD7568" w:rsidP="00F15147">
      <w:pPr>
        <w:pStyle w:val="SingleTxtG"/>
        <w:ind w:left="1701"/>
        <w:rPr>
          <w:sz w:val="20"/>
          <w:lang w:val="en-GB"/>
        </w:rPr>
      </w:pPr>
      <w:r>
        <w:rPr>
          <w:sz w:val="20"/>
          <w:lang w:val="en-GB"/>
        </w:rPr>
        <w:t>(ii)</w:t>
      </w:r>
      <w:r w:rsidR="00462DE6">
        <w:rPr>
          <w:sz w:val="20"/>
          <w:lang w:val="en-GB"/>
        </w:rPr>
        <w:tab/>
      </w:r>
      <w:r w:rsidR="00A313C0">
        <w:rPr>
          <w:sz w:val="20"/>
          <w:lang w:val="en-GB"/>
        </w:rPr>
        <w:t>“</w:t>
      </w:r>
      <w:r w:rsidR="00ED4FFA">
        <w:rPr>
          <w:sz w:val="20"/>
          <w:lang w:val="en-GB"/>
        </w:rPr>
        <w:t>The f</w:t>
      </w:r>
      <w:r w:rsidR="00BF15B9" w:rsidRPr="00F15147">
        <w:rPr>
          <w:sz w:val="20"/>
          <w:lang w:val="en-GB"/>
        </w:rPr>
        <w:t>ormer chief of Mossad, Efraim Halevy, says that the Third World War has begun. I am not using those words, but it is correct</w:t>
      </w:r>
      <w:r w:rsidR="00A313C0">
        <w:rPr>
          <w:sz w:val="20"/>
          <w:lang w:val="en-GB"/>
        </w:rPr>
        <w:t>”</w:t>
      </w:r>
      <w:r w:rsidR="00DB1EC9">
        <w:rPr>
          <w:sz w:val="20"/>
          <w:lang w:val="en-GB"/>
        </w:rPr>
        <w:t>.</w:t>
      </w:r>
    </w:p>
    <w:p w14:paraId="70E4C4C7" w14:textId="22BD8E82" w:rsidR="00BF15B9" w:rsidRPr="00F15147" w:rsidRDefault="00CD7568" w:rsidP="00F15147">
      <w:pPr>
        <w:pStyle w:val="SingleTxtG"/>
        <w:ind w:left="1701"/>
        <w:rPr>
          <w:sz w:val="20"/>
          <w:lang w:val="en-GB"/>
        </w:rPr>
      </w:pPr>
      <w:r>
        <w:rPr>
          <w:sz w:val="20"/>
          <w:lang w:val="en-GB"/>
        </w:rPr>
        <w:t>(iii)</w:t>
      </w:r>
      <w:r w:rsidR="00462DE6">
        <w:rPr>
          <w:sz w:val="20"/>
          <w:lang w:val="en-GB"/>
        </w:rPr>
        <w:tab/>
      </w:r>
      <w:r w:rsidR="00A313C0">
        <w:rPr>
          <w:sz w:val="20"/>
          <w:lang w:val="en-GB"/>
        </w:rPr>
        <w:t>“</w:t>
      </w:r>
      <w:r w:rsidR="00BF15B9" w:rsidRPr="00F15147">
        <w:rPr>
          <w:sz w:val="20"/>
          <w:lang w:val="en-GB"/>
        </w:rPr>
        <w:t>I have good intentions. We allow something to happen as a result of which this turns into a completely different society. I do know that there is no Islamic majority in a couple of decades. However, the number is growing. With aggressive elements, imperialism. Walk in the street and see where this ends. You feel that you are no longer living in your own country. A conflict is going on and we have to defend ourselves. In due time, there will be more mosques than churches!</w:t>
      </w:r>
      <w:r w:rsidR="00A313C0">
        <w:rPr>
          <w:sz w:val="20"/>
          <w:lang w:val="en-GB"/>
        </w:rPr>
        <w:t>”</w:t>
      </w:r>
    </w:p>
    <w:p w14:paraId="135DF9C3" w14:textId="67C445A6" w:rsidR="00BF15B9" w:rsidRPr="00F15147" w:rsidRDefault="00BF15B9">
      <w:pPr>
        <w:pStyle w:val="SingleTxtG"/>
        <w:ind w:right="1089"/>
        <w:rPr>
          <w:sz w:val="20"/>
          <w:lang w:val="en-GB"/>
        </w:rPr>
      </w:pPr>
      <w:r w:rsidRPr="00F15147">
        <w:rPr>
          <w:sz w:val="20"/>
          <w:lang w:val="en-GB"/>
        </w:rPr>
        <w:tab/>
        <w:t>(d)</w:t>
      </w:r>
      <w:r w:rsidRPr="00F15147">
        <w:rPr>
          <w:sz w:val="20"/>
          <w:lang w:val="en-GB"/>
        </w:rPr>
        <w:tab/>
      </w:r>
      <w:r w:rsidR="003D7B84">
        <w:rPr>
          <w:sz w:val="20"/>
          <w:lang w:val="en-GB"/>
        </w:rPr>
        <w:t xml:space="preserve">In </w:t>
      </w:r>
      <w:r w:rsidR="003D7B84" w:rsidRPr="00F15147">
        <w:rPr>
          <w:i/>
          <w:iCs/>
          <w:sz w:val="20"/>
          <w:lang w:val="en-GB"/>
        </w:rPr>
        <w:t>d</w:t>
      </w:r>
      <w:r w:rsidRPr="00F15147">
        <w:rPr>
          <w:i/>
          <w:iCs/>
          <w:sz w:val="20"/>
          <w:lang w:val="en-GB"/>
        </w:rPr>
        <w:t>e Volkskrant</w:t>
      </w:r>
      <w:r w:rsidRPr="00F15147">
        <w:rPr>
          <w:sz w:val="20"/>
          <w:lang w:val="en-GB"/>
        </w:rPr>
        <w:t xml:space="preserve"> o</w:t>
      </w:r>
      <w:r w:rsidR="003D7B84">
        <w:rPr>
          <w:sz w:val="20"/>
          <w:lang w:val="en-GB"/>
        </w:rPr>
        <w:t>n</w:t>
      </w:r>
      <w:r w:rsidRPr="00F15147">
        <w:rPr>
          <w:sz w:val="20"/>
          <w:lang w:val="en-GB"/>
        </w:rPr>
        <w:t xml:space="preserve"> 8 August 2007</w:t>
      </w:r>
      <w:r w:rsidR="003D7B84">
        <w:rPr>
          <w:sz w:val="20"/>
          <w:lang w:val="en-GB"/>
        </w:rPr>
        <w:t>, he said</w:t>
      </w:r>
      <w:r w:rsidRPr="00F15147">
        <w:rPr>
          <w:sz w:val="20"/>
          <w:lang w:val="en-GB"/>
        </w:rPr>
        <w:t>:</w:t>
      </w:r>
    </w:p>
    <w:p w14:paraId="17435DDF" w14:textId="6AA955EB" w:rsidR="00BF15B9" w:rsidRPr="00F15147" w:rsidRDefault="00462DE6" w:rsidP="00F15147">
      <w:pPr>
        <w:pStyle w:val="SingleTxtG"/>
        <w:ind w:left="1701"/>
        <w:rPr>
          <w:sz w:val="20"/>
          <w:lang w:val="en-GB"/>
        </w:rPr>
      </w:pPr>
      <w:r>
        <w:rPr>
          <w:sz w:val="20"/>
          <w:lang w:val="en-GB"/>
        </w:rPr>
        <w:t>(i)</w:t>
      </w:r>
      <w:r>
        <w:rPr>
          <w:sz w:val="20"/>
          <w:lang w:val="en-GB"/>
        </w:rPr>
        <w:tab/>
      </w:r>
      <w:r w:rsidR="00A313C0">
        <w:rPr>
          <w:sz w:val="20"/>
          <w:lang w:val="en-GB"/>
        </w:rPr>
        <w:t>“</w:t>
      </w:r>
      <w:r w:rsidR="00BF15B9" w:rsidRPr="00F15147">
        <w:rPr>
          <w:sz w:val="20"/>
          <w:lang w:val="en-GB"/>
        </w:rPr>
        <w:t>How ashamed I feel for all those within and outside of Government or Parliament who are refusing to stop the Islamic invasion in the Netherlands</w:t>
      </w:r>
      <w:r w:rsidR="003D7B84">
        <w:rPr>
          <w:sz w:val="20"/>
          <w:lang w:val="en-GB"/>
        </w:rPr>
        <w:t>!</w:t>
      </w:r>
      <w:r w:rsidR="00BF15B9" w:rsidRPr="00F15147">
        <w:rPr>
          <w:sz w:val="20"/>
          <w:lang w:val="en-GB"/>
        </w:rPr>
        <w:t xml:space="preserve"> How ashamed I feel for Dutch politicians who are accepting day after day the overrepresentation of aliens in delinquency and crime and don’t have an answer to that</w:t>
      </w:r>
      <w:r w:rsidR="003D7B84">
        <w:rPr>
          <w:sz w:val="20"/>
          <w:lang w:val="en-GB"/>
        </w:rPr>
        <w:t>!</w:t>
      </w:r>
      <w:r w:rsidR="00A313C0">
        <w:rPr>
          <w:sz w:val="20"/>
          <w:lang w:val="en-GB"/>
        </w:rPr>
        <w:t>”</w:t>
      </w:r>
    </w:p>
    <w:p w14:paraId="385CBB80" w14:textId="02913AC6" w:rsidR="00BF15B9" w:rsidRPr="00F15147" w:rsidRDefault="00A313C0" w:rsidP="00F15147">
      <w:pPr>
        <w:pStyle w:val="SingleTxtG"/>
        <w:ind w:left="1701"/>
        <w:rPr>
          <w:sz w:val="20"/>
          <w:lang w:val="en-GB"/>
        </w:rPr>
      </w:pPr>
      <w:r>
        <w:rPr>
          <w:sz w:val="20"/>
          <w:lang w:val="en-GB"/>
        </w:rPr>
        <w:t>“</w:t>
      </w:r>
      <w:r w:rsidR="00BF15B9" w:rsidRPr="00F15147">
        <w:rPr>
          <w:sz w:val="20"/>
          <w:lang w:val="en-GB"/>
        </w:rPr>
        <w:t xml:space="preserve">The Hague is full of cowards. Frightened people who </w:t>
      </w:r>
      <w:r w:rsidR="003D7B84">
        <w:rPr>
          <w:sz w:val="20"/>
          <w:lang w:val="en-GB"/>
        </w:rPr>
        <w:t>were</w:t>
      </w:r>
      <w:r w:rsidR="00BF15B9" w:rsidRPr="00F15147">
        <w:rPr>
          <w:sz w:val="20"/>
          <w:lang w:val="en-GB"/>
        </w:rPr>
        <w:t xml:space="preserve"> born cowardly and who will die cowardly. They are of the opinion and they will encourage that the Dutch </w:t>
      </w:r>
      <w:r w:rsidR="00BF15B9" w:rsidRPr="00F15147">
        <w:rPr>
          <w:sz w:val="20"/>
          <w:lang w:val="en-GB"/>
        </w:rPr>
        <w:lastRenderedPageBreak/>
        <w:t>culture be based upon a Jewish-Christian-Muslim tradition. They pardon liars and criminals</w:t>
      </w:r>
      <w:r>
        <w:rPr>
          <w:sz w:val="20"/>
          <w:lang w:val="en-GB"/>
        </w:rPr>
        <w:t>”</w:t>
      </w:r>
      <w:r w:rsidR="00BF15B9" w:rsidRPr="00F15147">
        <w:rPr>
          <w:sz w:val="20"/>
          <w:lang w:val="en-GB"/>
        </w:rPr>
        <w:t>.</w:t>
      </w:r>
    </w:p>
    <w:p w14:paraId="7437A5DA" w14:textId="5BF75026" w:rsidR="00BF15B9" w:rsidRPr="00F15147" w:rsidRDefault="00CD7568" w:rsidP="00F15147">
      <w:pPr>
        <w:pStyle w:val="SingleTxtG"/>
        <w:ind w:left="1701" w:right="1361"/>
        <w:rPr>
          <w:sz w:val="20"/>
          <w:lang w:val="en-GB"/>
        </w:rPr>
      </w:pPr>
      <w:r>
        <w:rPr>
          <w:sz w:val="20"/>
          <w:lang w:val="en-GB"/>
        </w:rPr>
        <w:t>(iii)</w:t>
      </w:r>
      <w:r w:rsidR="00462DE6">
        <w:rPr>
          <w:sz w:val="20"/>
          <w:lang w:val="en-GB"/>
        </w:rPr>
        <w:tab/>
      </w:r>
      <w:r w:rsidR="00A313C0">
        <w:rPr>
          <w:sz w:val="20"/>
          <w:lang w:val="en-GB"/>
        </w:rPr>
        <w:t>“</w:t>
      </w:r>
      <w:r w:rsidR="00BF15B9" w:rsidRPr="00F15147">
        <w:rPr>
          <w:sz w:val="20"/>
          <w:lang w:val="en-GB"/>
        </w:rPr>
        <w:t>They damn the interests of the Dutch citizen and they help transform the Netherlands into Netherabia as a province of the Islamic super state Eurabia</w:t>
      </w:r>
      <w:r w:rsidR="00A313C0">
        <w:rPr>
          <w:sz w:val="20"/>
          <w:lang w:val="en-GB"/>
        </w:rPr>
        <w:t>”</w:t>
      </w:r>
      <w:r w:rsidR="00BF15B9" w:rsidRPr="00F15147">
        <w:rPr>
          <w:sz w:val="20"/>
          <w:lang w:val="en-GB"/>
        </w:rPr>
        <w:t>.</w:t>
      </w:r>
    </w:p>
    <w:p w14:paraId="2DD3D20D" w14:textId="1792710D" w:rsidR="00BF15B9" w:rsidRPr="00F15147" w:rsidRDefault="00CD7568" w:rsidP="00F15147">
      <w:pPr>
        <w:pStyle w:val="SingleTxtG"/>
        <w:ind w:left="1701" w:right="1361"/>
        <w:rPr>
          <w:sz w:val="20"/>
          <w:lang w:val="en-GB"/>
        </w:rPr>
      </w:pPr>
      <w:r>
        <w:rPr>
          <w:sz w:val="20"/>
          <w:lang w:val="en-GB"/>
        </w:rPr>
        <w:t>(iv)</w:t>
      </w:r>
      <w:r w:rsidR="00462DE6">
        <w:rPr>
          <w:sz w:val="20"/>
          <w:lang w:val="en-GB"/>
        </w:rPr>
        <w:tab/>
      </w:r>
      <w:r w:rsidR="00A313C0">
        <w:rPr>
          <w:sz w:val="20"/>
          <w:lang w:val="en-GB"/>
        </w:rPr>
        <w:t>“</w:t>
      </w:r>
      <w:r w:rsidR="00BF15B9" w:rsidRPr="00F15147">
        <w:rPr>
          <w:sz w:val="20"/>
          <w:lang w:val="en-GB"/>
        </w:rPr>
        <w:t>I get sick of Islam in the Netherlands: no more Muslim migrant</w:t>
      </w:r>
      <w:r w:rsidR="00DB1EC9">
        <w:rPr>
          <w:sz w:val="20"/>
          <w:lang w:val="en-GB"/>
        </w:rPr>
        <w:t>s</w:t>
      </w:r>
      <w:r w:rsidR="00BF15B9" w:rsidRPr="00F15147">
        <w:rPr>
          <w:sz w:val="20"/>
          <w:lang w:val="en-GB"/>
        </w:rPr>
        <w:t xml:space="preserve"> any</w:t>
      </w:r>
      <w:r w:rsidR="00DB1EC9">
        <w:rPr>
          <w:sz w:val="20"/>
          <w:lang w:val="en-GB"/>
        </w:rPr>
        <w:t xml:space="preserve"> </w:t>
      </w:r>
      <w:r w:rsidR="00BF15B9" w:rsidRPr="00F15147">
        <w:rPr>
          <w:sz w:val="20"/>
          <w:lang w:val="en-GB"/>
        </w:rPr>
        <w:t>more</w:t>
      </w:r>
      <w:r w:rsidR="00A313C0">
        <w:rPr>
          <w:sz w:val="20"/>
          <w:lang w:val="en-GB"/>
        </w:rPr>
        <w:t>”</w:t>
      </w:r>
      <w:r w:rsidR="00BF15B9" w:rsidRPr="00F15147">
        <w:rPr>
          <w:sz w:val="20"/>
          <w:lang w:val="en-GB"/>
        </w:rPr>
        <w:t>.</w:t>
      </w:r>
    </w:p>
    <w:p w14:paraId="322E1597" w14:textId="73805B0B" w:rsidR="00BF15B9" w:rsidRPr="00F15147" w:rsidRDefault="00BF15B9" w:rsidP="00F15147">
      <w:pPr>
        <w:pStyle w:val="SingleTxtG"/>
        <w:ind w:left="1168" w:right="1361" w:firstLine="539"/>
        <w:rPr>
          <w:sz w:val="20"/>
          <w:lang w:val="en-GB"/>
        </w:rPr>
      </w:pPr>
      <w:r w:rsidRPr="00F15147">
        <w:rPr>
          <w:sz w:val="20"/>
          <w:lang w:val="en-GB"/>
        </w:rPr>
        <w:t>(e)</w:t>
      </w:r>
      <w:r w:rsidR="00462DE6">
        <w:rPr>
          <w:sz w:val="20"/>
          <w:lang w:val="en-GB"/>
        </w:rPr>
        <w:tab/>
      </w:r>
      <w:r w:rsidR="003C139D">
        <w:rPr>
          <w:sz w:val="20"/>
          <w:lang w:val="en-GB"/>
        </w:rPr>
        <w:t>A</w:t>
      </w:r>
      <w:r w:rsidRPr="00F15147">
        <w:rPr>
          <w:sz w:val="20"/>
          <w:lang w:val="en-GB"/>
        </w:rPr>
        <w:t xml:space="preserve"> film </w:t>
      </w:r>
      <w:r w:rsidR="003C139D">
        <w:rPr>
          <w:sz w:val="20"/>
          <w:lang w:val="en-GB"/>
        </w:rPr>
        <w:t xml:space="preserve">entitled </w:t>
      </w:r>
      <w:r w:rsidRPr="00F15147">
        <w:rPr>
          <w:i/>
          <w:iCs/>
          <w:sz w:val="20"/>
          <w:lang w:val="en-GB"/>
        </w:rPr>
        <w:t>Fitna</w:t>
      </w:r>
      <w:r w:rsidR="003C139D">
        <w:rPr>
          <w:sz w:val="20"/>
          <w:lang w:val="en-GB"/>
        </w:rPr>
        <w:t xml:space="preserve">, </w:t>
      </w:r>
      <w:r w:rsidR="003C139D" w:rsidRPr="00DB37F9">
        <w:rPr>
          <w:sz w:val="20"/>
          <w:lang w:val="en-GB"/>
        </w:rPr>
        <w:t xml:space="preserve">on </w:t>
      </w:r>
      <w:r w:rsidR="003C139D">
        <w:rPr>
          <w:sz w:val="20"/>
          <w:lang w:val="en-GB"/>
        </w:rPr>
        <w:t xml:space="preserve">the issue of </w:t>
      </w:r>
      <w:r w:rsidR="003C139D" w:rsidRPr="00DB37F9">
        <w:rPr>
          <w:sz w:val="20"/>
          <w:lang w:val="en-GB"/>
        </w:rPr>
        <w:t>Islam and Muslims</w:t>
      </w:r>
      <w:r w:rsidR="003C139D">
        <w:rPr>
          <w:sz w:val="20"/>
          <w:lang w:val="en-GB"/>
        </w:rPr>
        <w:t>,</w:t>
      </w:r>
      <w:r w:rsidR="003C139D" w:rsidRPr="00EC1FEE" w:rsidDel="003C139D">
        <w:rPr>
          <w:sz w:val="20"/>
          <w:lang w:val="en-GB"/>
        </w:rPr>
        <w:t xml:space="preserve"> </w:t>
      </w:r>
      <w:r w:rsidR="003C139D">
        <w:rPr>
          <w:sz w:val="20"/>
          <w:lang w:val="en-GB"/>
        </w:rPr>
        <w:t xml:space="preserve">was </w:t>
      </w:r>
      <w:r w:rsidRPr="00F15147">
        <w:rPr>
          <w:sz w:val="20"/>
          <w:lang w:val="en-GB"/>
        </w:rPr>
        <w:t xml:space="preserve">produced by </w:t>
      </w:r>
      <w:r w:rsidR="006837AA">
        <w:rPr>
          <w:sz w:val="20"/>
          <w:lang w:val="en-GB"/>
        </w:rPr>
        <w:t>Mr. </w:t>
      </w:r>
      <w:r w:rsidR="00696F9C">
        <w:rPr>
          <w:sz w:val="20"/>
          <w:lang w:val="en-GB"/>
        </w:rPr>
        <w:t>Wilders</w:t>
      </w:r>
      <w:r w:rsidR="00A92A05">
        <w:rPr>
          <w:sz w:val="20"/>
          <w:lang w:val="en-GB"/>
        </w:rPr>
        <w:t xml:space="preserve"> and is described in the following terms</w:t>
      </w:r>
      <w:r w:rsidR="003C139D">
        <w:rPr>
          <w:sz w:val="20"/>
          <w:lang w:val="en-GB"/>
        </w:rPr>
        <w:t>.</w:t>
      </w:r>
    </w:p>
    <w:p w14:paraId="4E89335B" w14:textId="7CF1B023" w:rsidR="00E152A1" w:rsidRPr="00F15147" w:rsidRDefault="00BF15B9" w:rsidP="00F15147">
      <w:pPr>
        <w:pStyle w:val="SingleTxtG"/>
        <w:ind w:left="1710" w:right="1719"/>
        <w:rPr>
          <w:sz w:val="20"/>
          <w:lang w:val="en-GB"/>
        </w:rPr>
      </w:pPr>
      <w:r w:rsidRPr="00F15147">
        <w:rPr>
          <w:sz w:val="20"/>
          <w:lang w:val="en-GB"/>
        </w:rPr>
        <w:t xml:space="preserve">The film is described in the indictment. It combines images of the attack on the </w:t>
      </w:r>
      <w:r w:rsidR="003D7B84">
        <w:rPr>
          <w:sz w:val="20"/>
          <w:lang w:val="en-GB"/>
        </w:rPr>
        <w:t>t</w:t>
      </w:r>
      <w:r w:rsidRPr="00F15147">
        <w:rPr>
          <w:sz w:val="20"/>
          <w:lang w:val="en-GB"/>
        </w:rPr>
        <w:t xml:space="preserve">win </w:t>
      </w:r>
      <w:r w:rsidR="003D7B84">
        <w:rPr>
          <w:sz w:val="20"/>
          <w:lang w:val="en-GB"/>
        </w:rPr>
        <w:t>t</w:t>
      </w:r>
      <w:r w:rsidRPr="00F15147">
        <w:rPr>
          <w:sz w:val="20"/>
          <w:lang w:val="en-GB"/>
        </w:rPr>
        <w:t>owers in New York and Atocha railway station in Madrid with images of ordinary Muslims walking on the streets, and shows apartment buildings with satellite dishes. The suggestion appears to be that the more Muslims and satellite dishes there are, the more terrorist attacks the Netherlands will have to suffer. The images are accompanied by aggressive music.</w:t>
      </w:r>
    </w:p>
    <w:p w14:paraId="008419C8" w14:textId="0AE19805" w:rsidR="00290F9B" w:rsidRPr="00F15147" w:rsidRDefault="00F80C64" w:rsidP="002262C0">
      <w:pPr>
        <w:pStyle w:val="SingleTxtG"/>
        <w:rPr>
          <w:sz w:val="20"/>
          <w:lang w:val="en-GB"/>
        </w:rPr>
      </w:pPr>
      <w:r w:rsidRPr="00F15147">
        <w:rPr>
          <w:sz w:val="20"/>
          <w:lang w:val="en-GB"/>
        </w:rPr>
        <w:t>2.8</w:t>
      </w:r>
      <w:r w:rsidRPr="00F15147">
        <w:rPr>
          <w:sz w:val="20"/>
          <w:lang w:val="en-GB"/>
        </w:rPr>
        <w:tab/>
      </w:r>
      <w:r w:rsidR="00290F9B" w:rsidRPr="00F15147">
        <w:rPr>
          <w:sz w:val="20"/>
          <w:lang w:val="en-GB"/>
        </w:rPr>
        <w:t>M</w:t>
      </w:r>
      <w:r w:rsidR="00F33CF9">
        <w:rPr>
          <w:sz w:val="20"/>
          <w:lang w:val="en-GB"/>
        </w:rPr>
        <w:t>r.</w:t>
      </w:r>
      <w:r w:rsidR="00290F9B" w:rsidRPr="00F15147">
        <w:rPr>
          <w:sz w:val="20"/>
          <w:lang w:val="en-GB"/>
        </w:rPr>
        <w:t xml:space="preserve"> Rabbae arrived in the Netherlands in 1966 as a refugee and was a </w:t>
      </w:r>
      <w:r w:rsidR="006837AA">
        <w:rPr>
          <w:sz w:val="20"/>
          <w:lang w:val="en-GB"/>
        </w:rPr>
        <w:t>M</w:t>
      </w:r>
      <w:r w:rsidR="00290F9B" w:rsidRPr="00F15147">
        <w:rPr>
          <w:sz w:val="20"/>
          <w:lang w:val="en-GB"/>
        </w:rPr>
        <w:t xml:space="preserve">ember of </w:t>
      </w:r>
      <w:r w:rsidR="006837AA">
        <w:rPr>
          <w:sz w:val="20"/>
          <w:lang w:val="en-GB"/>
        </w:rPr>
        <w:t>P</w:t>
      </w:r>
      <w:r w:rsidR="00290F9B" w:rsidRPr="00F15147">
        <w:rPr>
          <w:sz w:val="20"/>
          <w:lang w:val="en-GB"/>
        </w:rPr>
        <w:t xml:space="preserve">arliament for the </w:t>
      </w:r>
      <w:r w:rsidR="003D7B84">
        <w:rPr>
          <w:sz w:val="20"/>
          <w:lang w:val="en-GB"/>
        </w:rPr>
        <w:t>G</w:t>
      </w:r>
      <w:r w:rsidR="00290F9B" w:rsidRPr="00F15147">
        <w:rPr>
          <w:sz w:val="20"/>
          <w:lang w:val="en-GB"/>
        </w:rPr>
        <w:t xml:space="preserve">reen </w:t>
      </w:r>
      <w:r w:rsidR="003D7B84">
        <w:rPr>
          <w:sz w:val="20"/>
          <w:lang w:val="en-GB"/>
        </w:rPr>
        <w:t>P</w:t>
      </w:r>
      <w:r w:rsidR="00290F9B" w:rsidRPr="00F15147">
        <w:rPr>
          <w:sz w:val="20"/>
          <w:lang w:val="en-GB"/>
        </w:rPr>
        <w:t>arty from 1994 to 2002. He chairs the national consultation body of Moroccans in the Netherlands. He complained about</w:t>
      </w:r>
      <w:r w:rsidR="00ED1575" w:rsidRPr="00F15147">
        <w:rPr>
          <w:sz w:val="20"/>
          <w:lang w:val="en-GB"/>
        </w:rPr>
        <w:t xml:space="preserve"> </w:t>
      </w:r>
      <w:r w:rsidR="006837AA">
        <w:rPr>
          <w:sz w:val="20"/>
          <w:lang w:val="en-GB"/>
        </w:rPr>
        <w:t>Mr. </w:t>
      </w:r>
      <w:r w:rsidR="00696F9C">
        <w:rPr>
          <w:sz w:val="20"/>
          <w:lang w:val="en-GB"/>
        </w:rPr>
        <w:t>Wilders</w:t>
      </w:r>
      <w:r w:rsidR="00290F9B" w:rsidRPr="00F15147">
        <w:rPr>
          <w:sz w:val="20"/>
          <w:lang w:val="en-GB"/>
        </w:rPr>
        <w:t xml:space="preserve">’ statements to the police. Before the court, he </w:t>
      </w:r>
      <w:r w:rsidR="00694D3E" w:rsidRPr="00F15147">
        <w:rPr>
          <w:sz w:val="20"/>
          <w:lang w:val="en-GB"/>
        </w:rPr>
        <w:t>spoke about</w:t>
      </w:r>
      <w:r w:rsidR="00290F9B" w:rsidRPr="00F15147">
        <w:rPr>
          <w:sz w:val="20"/>
          <w:lang w:val="en-GB"/>
        </w:rPr>
        <w:t xml:space="preserve"> research data on intolerance and racism and the position of Moroccans in</w:t>
      </w:r>
      <w:r w:rsidR="00ED1575" w:rsidRPr="00F15147">
        <w:rPr>
          <w:sz w:val="20"/>
          <w:lang w:val="en-GB"/>
        </w:rPr>
        <w:t xml:space="preserve"> </w:t>
      </w:r>
      <w:r w:rsidR="002262C0">
        <w:rPr>
          <w:sz w:val="20"/>
          <w:lang w:val="en-GB"/>
        </w:rPr>
        <w:t>Netherlands</w:t>
      </w:r>
      <w:r w:rsidR="00290F9B" w:rsidRPr="00F15147">
        <w:rPr>
          <w:sz w:val="20"/>
          <w:lang w:val="en-GB"/>
        </w:rPr>
        <w:t xml:space="preserve"> society. </w:t>
      </w:r>
    </w:p>
    <w:p w14:paraId="66DDBA76" w14:textId="78BEF54E" w:rsidR="00290F9B" w:rsidRPr="00F15147" w:rsidRDefault="00F80C64" w:rsidP="003D7B84">
      <w:pPr>
        <w:pStyle w:val="SingleTxtG"/>
        <w:rPr>
          <w:sz w:val="20"/>
          <w:lang w:val="en-GB"/>
        </w:rPr>
      </w:pPr>
      <w:r w:rsidRPr="00F15147">
        <w:rPr>
          <w:sz w:val="20"/>
          <w:lang w:val="en-GB"/>
        </w:rPr>
        <w:t>2.9</w:t>
      </w:r>
      <w:r w:rsidRPr="00F15147">
        <w:rPr>
          <w:sz w:val="20"/>
          <w:lang w:val="en-GB"/>
        </w:rPr>
        <w:tab/>
      </w:r>
      <w:r w:rsidR="00290F9B" w:rsidRPr="00F15147">
        <w:rPr>
          <w:sz w:val="20"/>
          <w:lang w:val="en-GB"/>
        </w:rPr>
        <w:t xml:space="preserve">A.B.S. is the daughter of Moroccan </w:t>
      </w:r>
      <w:r w:rsidR="00F65BE5" w:rsidRPr="00F15147">
        <w:rPr>
          <w:sz w:val="20"/>
          <w:lang w:val="en-GB"/>
        </w:rPr>
        <w:t>im</w:t>
      </w:r>
      <w:r w:rsidR="00290F9B" w:rsidRPr="00F15147">
        <w:rPr>
          <w:sz w:val="20"/>
          <w:lang w:val="en-GB"/>
        </w:rPr>
        <w:t xml:space="preserve">migrants. </w:t>
      </w:r>
      <w:r w:rsidR="00031060" w:rsidRPr="00F15147">
        <w:rPr>
          <w:sz w:val="20"/>
          <w:lang w:val="en-GB"/>
        </w:rPr>
        <w:t>She gave evidence before the court and</w:t>
      </w:r>
      <w:r w:rsidR="00694D3E" w:rsidRPr="00F15147">
        <w:rPr>
          <w:sz w:val="20"/>
          <w:lang w:val="en-GB"/>
        </w:rPr>
        <w:t xml:space="preserve"> reported that i</w:t>
      </w:r>
      <w:r w:rsidR="00290F9B" w:rsidRPr="00F15147">
        <w:rPr>
          <w:sz w:val="20"/>
          <w:lang w:val="en-GB"/>
        </w:rPr>
        <w:t xml:space="preserve">n 2010, during the election campaign, </w:t>
      </w:r>
      <w:r w:rsidR="00EB612D" w:rsidRPr="00F15147">
        <w:rPr>
          <w:sz w:val="20"/>
          <w:lang w:val="en-GB"/>
        </w:rPr>
        <w:t xml:space="preserve">while she was walking in the street </w:t>
      </w:r>
      <w:r w:rsidR="00290F9B" w:rsidRPr="00F15147">
        <w:rPr>
          <w:sz w:val="20"/>
          <w:lang w:val="en-GB"/>
        </w:rPr>
        <w:t xml:space="preserve">she was driven into by a young man riding his bike who was screaming </w:t>
      </w:r>
      <w:r w:rsidR="003D7B84">
        <w:rPr>
          <w:sz w:val="20"/>
          <w:szCs w:val="20"/>
          <w:lang w:val="en-US"/>
        </w:rPr>
        <w:t>“</w:t>
      </w:r>
      <w:r w:rsidR="00290F9B" w:rsidRPr="00696F9C">
        <w:rPr>
          <w:sz w:val="20"/>
          <w:szCs w:val="20"/>
        </w:rPr>
        <w:t>Wilders</w:t>
      </w:r>
      <w:r w:rsidR="00290F9B" w:rsidRPr="00696F9C">
        <w:t xml:space="preserve"> </w:t>
      </w:r>
      <w:r w:rsidR="00290F9B" w:rsidRPr="00F15147">
        <w:rPr>
          <w:sz w:val="20"/>
          <w:lang w:val="en-GB"/>
        </w:rPr>
        <w:t>is right, piss off from here!</w:t>
      </w:r>
      <w:r w:rsidR="003D7B84">
        <w:rPr>
          <w:sz w:val="20"/>
          <w:lang w:val="en-GB"/>
        </w:rPr>
        <w:t>”</w:t>
      </w:r>
    </w:p>
    <w:p w14:paraId="63473288" w14:textId="3B03393D" w:rsidR="00931DB7" w:rsidRPr="00F15147" w:rsidRDefault="00F80C64" w:rsidP="002262C0">
      <w:pPr>
        <w:pStyle w:val="SingleTxtG"/>
        <w:rPr>
          <w:sz w:val="20"/>
          <w:lang w:val="en-GB"/>
        </w:rPr>
      </w:pPr>
      <w:r w:rsidRPr="00F15147">
        <w:rPr>
          <w:sz w:val="20"/>
          <w:lang w:val="en-GB"/>
        </w:rPr>
        <w:t>2.10</w:t>
      </w:r>
      <w:r w:rsidRPr="00F15147">
        <w:rPr>
          <w:sz w:val="20"/>
          <w:lang w:val="en-GB"/>
        </w:rPr>
        <w:tab/>
      </w:r>
      <w:r w:rsidR="00290F9B" w:rsidRPr="00F15147">
        <w:rPr>
          <w:sz w:val="20"/>
          <w:lang w:val="en-GB"/>
        </w:rPr>
        <w:t>N.A. was born in the Netherlands</w:t>
      </w:r>
      <w:r w:rsidR="002262C0">
        <w:rPr>
          <w:sz w:val="20"/>
          <w:lang w:val="en-GB"/>
        </w:rPr>
        <w:t xml:space="preserve">. His </w:t>
      </w:r>
      <w:r w:rsidR="00290F9B" w:rsidRPr="00F15147">
        <w:rPr>
          <w:sz w:val="20"/>
          <w:lang w:val="en-GB"/>
        </w:rPr>
        <w:t xml:space="preserve">mother </w:t>
      </w:r>
      <w:r w:rsidR="002262C0">
        <w:rPr>
          <w:sz w:val="20"/>
          <w:lang w:val="en-GB"/>
        </w:rPr>
        <w:t xml:space="preserve">is a national of the Netherlands </w:t>
      </w:r>
      <w:r w:rsidR="00290F9B" w:rsidRPr="00F15147">
        <w:rPr>
          <w:sz w:val="20"/>
          <w:lang w:val="en-GB"/>
        </w:rPr>
        <w:t xml:space="preserve">and </w:t>
      </w:r>
      <w:r w:rsidR="002262C0">
        <w:rPr>
          <w:sz w:val="20"/>
          <w:lang w:val="en-GB"/>
        </w:rPr>
        <w:t xml:space="preserve">his </w:t>
      </w:r>
      <w:r w:rsidR="00290F9B" w:rsidRPr="00F15147">
        <w:rPr>
          <w:sz w:val="20"/>
          <w:lang w:val="en-GB"/>
        </w:rPr>
        <w:t>father</w:t>
      </w:r>
      <w:r w:rsidR="002262C0" w:rsidRPr="002262C0">
        <w:rPr>
          <w:sz w:val="20"/>
          <w:lang w:val="en-GB"/>
        </w:rPr>
        <w:t xml:space="preserve"> </w:t>
      </w:r>
      <w:r w:rsidR="002262C0" w:rsidRPr="003D3FFC">
        <w:rPr>
          <w:sz w:val="20"/>
          <w:lang w:val="en-GB"/>
        </w:rPr>
        <w:t>a</w:t>
      </w:r>
      <w:r w:rsidR="002262C0" w:rsidRPr="00097C23">
        <w:rPr>
          <w:sz w:val="20"/>
          <w:lang w:val="en-GB"/>
        </w:rPr>
        <w:t xml:space="preserve"> </w:t>
      </w:r>
      <w:r w:rsidR="002262C0">
        <w:rPr>
          <w:sz w:val="20"/>
          <w:lang w:val="en-GB"/>
        </w:rPr>
        <w:t xml:space="preserve">national of </w:t>
      </w:r>
      <w:r w:rsidR="002262C0" w:rsidRPr="00097C23">
        <w:rPr>
          <w:sz w:val="20"/>
          <w:lang w:val="en-GB"/>
        </w:rPr>
        <w:t>Morocc</w:t>
      </w:r>
      <w:r w:rsidR="002262C0">
        <w:rPr>
          <w:sz w:val="20"/>
          <w:lang w:val="en-GB"/>
        </w:rPr>
        <w:t>o</w:t>
      </w:r>
      <w:r w:rsidR="00290F9B" w:rsidRPr="00F15147">
        <w:rPr>
          <w:sz w:val="20"/>
          <w:lang w:val="en-GB"/>
        </w:rPr>
        <w:t xml:space="preserve">. She spoke before the first composition of the court on the impact of </w:t>
      </w:r>
      <w:r w:rsidR="006837AA">
        <w:rPr>
          <w:sz w:val="20"/>
          <w:lang w:val="en-GB"/>
        </w:rPr>
        <w:t>Mr. </w:t>
      </w:r>
      <w:r w:rsidR="00696F9C">
        <w:rPr>
          <w:sz w:val="20"/>
          <w:lang w:val="en-GB"/>
        </w:rPr>
        <w:t>Wilders</w:t>
      </w:r>
      <w:r w:rsidR="00290F9B" w:rsidRPr="00F15147">
        <w:rPr>
          <w:sz w:val="20"/>
          <w:lang w:val="en-GB"/>
        </w:rPr>
        <w:t xml:space="preserve">’ language on those whom it concerns. </w:t>
      </w:r>
      <w:r w:rsidR="00F65BE5" w:rsidRPr="00F15147">
        <w:rPr>
          <w:sz w:val="20"/>
          <w:lang w:val="en-GB"/>
        </w:rPr>
        <w:t>As a result she received</w:t>
      </w:r>
      <w:r w:rsidR="00290F9B" w:rsidRPr="00F15147">
        <w:rPr>
          <w:sz w:val="20"/>
          <w:lang w:val="en-GB"/>
        </w:rPr>
        <w:t xml:space="preserve"> a </w:t>
      </w:r>
      <w:r w:rsidR="003D7B84">
        <w:rPr>
          <w:sz w:val="20"/>
          <w:lang w:val="en-GB"/>
        </w:rPr>
        <w:t>huge</w:t>
      </w:r>
      <w:r w:rsidR="00290F9B" w:rsidRPr="00F15147">
        <w:rPr>
          <w:sz w:val="20"/>
          <w:lang w:val="en-GB"/>
        </w:rPr>
        <w:t xml:space="preserve"> amount of aggressive and threatening e-mails, tweets and other hate messages</w:t>
      </w:r>
      <w:r w:rsidR="00F65BE5" w:rsidRPr="00F15147">
        <w:rPr>
          <w:sz w:val="20"/>
          <w:lang w:val="en-GB"/>
        </w:rPr>
        <w:t xml:space="preserve"> and decided</w:t>
      </w:r>
      <w:r w:rsidR="00290F9B" w:rsidRPr="00F15147">
        <w:rPr>
          <w:sz w:val="20"/>
          <w:lang w:val="en-GB"/>
        </w:rPr>
        <w:t xml:space="preserve"> not</w:t>
      </w:r>
      <w:r w:rsidR="00F65BE5" w:rsidRPr="00F15147">
        <w:rPr>
          <w:sz w:val="20"/>
          <w:lang w:val="en-GB"/>
        </w:rPr>
        <w:t xml:space="preserve"> to</w:t>
      </w:r>
      <w:r w:rsidR="00290F9B" w:rsidRPr="00F15147">
        <w:rPr>
          <w:sz w:val="20"/>
          <w:lang w:val="en-GB"/>
        </w:rPr>
        <w:t xml:space="preserve"> testify before the second composition of the </w:t>
      </w:r>
      <w:r w:rsidR="00101E60" w:rsidRPr="00F15147">
        <w:rPr>
          <w:sz w:val="20"/>
          <w:lang w:val="en-GB"/>
        </w:rPr>
        <w:t>c</w:t>
      </w:r>
      <w:r w:rsidR="00290F9B" w:rsidRPr="00F15147">
        <w:rPr>
          <w:sz w:val="20"/>
          <w:lang w:val="en-GB"/>
        </w:rPr>
        <w:t xml:space="preserve">ourt. She </w:t>
      </w:r>
      <w:r w:rsidR="003D7B84">
        <w:rPr>
          <w:sz w:val="20"/>
          <w:lang w:val="en-GB"/>
        </w:rPr>
        <w:t>restricted</w:t>
      </w:r>
      <w:r w:rsidR="00290F9B" w:rsidRPr="00F15147">
        <w:rPr>
          <w:sz w:val="20"/>
          <w:lang w:val="en-GB"/>
        </w:rPr>
        <w:t xml:space="preserve"> herself to writing a letter to the court, in which she noted that t</w:t>
      </w:r>
      <w:r w:rsidR="00694D3E" w:rsidRPr="00F15147">
        <w:rPr>
          <w:sz w:val="20"/>
          <w:lang w:val="en-GB"/>
        </w:rPr>
        <w:t xml:space="preserve">he </w:t>
      </w:r>
      <w:r w:rsidR="00290F9B" w:rsidRPr="00F15147">
        <w:rPr>
          <w:sz w:val="20"/>
          <w:lang w:val="en-GB"/>
        </w:rPr>
        <w:t xml:space="preserve">expressions used by </w:t>
      </w:r>
      <w:r w:rsidR="006837AA">
        <w:rPr>
          <w:sz w:val="20"/>
          <w:lang w:val="en-GB"/>
        </w:rPr>
        <w:t>Mr. </w:t>
      </w:r>
      <w:r w:rsidR="00696F9C">
        <w:rPr>
          <w:sz w:val="20"/>
          <w:lang w:val="en-GB"/>
        </w:rPr>
        <w:t>Wilders</w:t>
      </w:r>
      <w:r w:rsidR="00290F9B" w:rsidRPr="00F15147">
        <w:rPr>
          <w:sz w:val="20"/>
          <w:lang w:val="en-GB"/>
        </w:rPr>
        <w:t xml:space="preserve">, such as “kopvoddentax” (tax for wearing a headscarf) and the comparison between the </w:t>
      </w:r>
      <w:r w:rsidR="000B2672">
        <w:rPr>
          <w:sz w:val="20"/>
          <w:lang w:val="en-GB"/>
        </w:rPr>
        <w:t>Qur’</w:t>
      </w:r>
      <w:r w:rsidR="00290F9B" w:rsidRPr="00F15147">
        <w:rPr>
          <w:sz w:val="20"/>
          <w:lang w:val="en-GB"/>
        </w:rPr>
        <w:t xml:space="preserve">an and </w:t>
      </w:r>
      <w:r w:rsidR="00290F9B" w:rsidRPr="00F15147">
        <w:rPr>
          <w:i/>
          <w:iCs/>
          <w:sz w:val="20"/>
          <w:lang w:val="en-GB"/>
        </w:rPr>
        <w:t>Mein Kampf</w:t>
      </w:r>
      <w:r w:rsidR="00290F9B" w:rsidRPr="00F15147">
        <w:rPr>
          <w:sz w:val="20"/>
          <w:lang w:val="en-GB"/>
        </w:rPr>
        <w:t xml:space="preserve"> were replicated by those who sent her hate messages.</w:t>
      </w:r>
    </w:p>
    <w:p w14:paraId="3D6A85C4" w14:textId="240C587A" w:rsidR="00E152A1" w:rsidRPr="00F15147" w:rsidRDefault="004E289D" w:rsidP="003D7B84">
      <w:pPr>
        <w:pStyle w:val="SingleTxtG"/>
        <w:rPr>
          <w:sz w:val="20"/>
          <w:lang w:val="en-GB"/>
        </w:rPr>
      </w:pPr>
      <w:r w:rsidRPr="00F15147">
        <w:rPr>
          <w:sz w:val="20"/>
          <w:lang w:val="en-GB"/>
        </w:rPr>
        <w:t>2.11</w:t>
      </w:r>
      <w:r w:rsidRPr="00F15147">
        <w:rPr>
          <w:sz w:val="20"/>
          <w:lang w:val="en-GB"/>
        </w:rPr>
        <w:tab/>
      </w:r>
      <w:r w:rsidR="005E70E9" w:rsidRPr="00F15147">
        <w:rPr>
          <w:sz w:val="20"/>
          <w:lang w:val="en-GB"/>
        </w:rPr>
        <w:t>A</w:t>
      </w:r>
      <w:r w:rsidR="00E152A1" w:rsidRPr="00F15147">
        <w:rPr>
          <w:sz w:val="20"/>
          <w:lang w:val="en-GB"/>
        </w:rPr>
        <w:t xml:space="preserve">s </w:t>
      </w:r>
      <w:r w:rsidR="00EB612D" w:rsidRPr="00F15147">
        <w:rPr>
          <w:sz w:val="20"/>
          <w:lang w:val="en-GB"/>
        </w:rPr>
        <w:t>Moroccans and</w:t>
      </w:r>
      <w:r w:rsidR="00ED1575" w:rsidRPr="00F15147">
        <w:rPr>
          <w:sz w:val="20"/>
          <w:lang w:val="en-GB"/>
        </w:rPr>
        <w:t xml:space="preserve"> </w:t>
      </w:r>
      <w:r w:rsidR="00E152A1" w:rsidRPr="00F15147">
        <w:rPr>
          <w:sz w:val="20"/>
          <w:lang w:val="en-GB"/>
        </w:rPr>
        <w:t>Muslims, the</w:t>
      </w:r>
      <w:r w:rsidR="005E70E9" w:rsidRPr="00F15147">
        <w:rPr>
          <w:sz w:val="20"/>
          <w:lang w:val="en-GB"/>
        </w:rPr>
        <w:t xml:space="preserve"> authors feel</w:t>
      </w:r>
      <w:r w:rsidR="00E152A1" w:rsidRPr="00F15147">
        <w:rPr>
          <w:sz w:val="20"/>
          <w:lang w:val="en-GB"/>
        </w:rPr>
        <w:t xml:space="preserve"> personally and directly </w:t>
      </w:r>
      <w:r w:rsidR="006138AC" w:rsidRPr="00F15147">
        <w:rPr>
          <w:sz w:val="20"/>
          <w:lang w:val="en-GB"/>
        </w:rPr>
        <w:t xml:space="preserve">affected by </w:t>
      </w:r>
      <w:r w:rsidR="006837AA">
        <w:rPr>
          <w:sz w:val="20"/>
          <w:lang w:val="en-GB"/>
        </w:rPr>
        <w:t>Mr. </w:t>
      </w:r>
      <w:r w:rsidR="00696F9C">
        <w:rPr>
          <w:sz w:val="20"/>
          <w:lang w:val="en-GB"/>
        </w:rPr>
        <w:t>Wilders</w:t>
      </w:r>
      <w:r w:rsidR="00E152A1" w:rsidRPr="00F15147">
        <w:rPr>
          <w:sz w:val="20"/>
          <w:lang w:val="en-GB"/>
        </w:rPr>
        <w:t>’ hate speech and suffer</w:t>
      </w:r>
      <w:r w:rsidR="00101E60" w:rsidRPr="00F15147">
        <w:rPr>
          <w:sz w:val="20"/>
          <w:lang w:val="en-GB"/>
        </w:rPr>
        <w:t xml:space="preserve"> </w:t>
      </w:r>
      <w:r w:rsidR="003D7B84">
        <w:rPr>
          <w:sz w:val="20"/>
          <w:lang w:val="en-GB"/>
        </w:rPr>
        <w:t>its</w:t>
      </w:r>
      <w:r w:rsidR="00101E60" w:rsidRPr="00F15147">
        <w:rPr>
          <w:sz w:val="20"/>
          <w:lang w:val="en-GB"/>
        </w:rPr>
        <w:t xml:space="preserve"> </w:t>
      </w:r>
      <w:r w:rsidR="00E152A1" w:rsidRPr="00F15147">
        <w:rPr>
          <w:sz w:val="20"/>
          <w:lang w:val="en-GB"/>
        </w:rPr>
        <w:t xml:space="preserve">effects in their daily lives. They have been either personally attacked or threatened and humiliated </w:t>
      </w:r>
      <w:r w:rsidR="003D7B84">
        <w:rPr>
          <w:sz w:val="20"/>
          <w:lang w:val="en-GB"/>
        </w:rPr>
        <w:t>through</w:t>
      </w:r>
      <w:r w:rsidR="00E152A1" w:rsidRPr="00F15147">
        <w:rPr>
          <w:sz w:val="20"/>
          <w:lang w:val="en-GB"/>
        </w:rPr>
        <w:t xml:space="preserve"> the </w:t>
      </w:r>
      <w:r w:rsidR="003D7B84">
        <w:rPr>
          <w:sz w:val="20"/>
          <w:lang w:val="en-GB"/>
        </w:rPr>
        <w:t>I</w:t>
      </w:r>
      <w:r w:rsidR="00E152A1" w:rsidRPr="00F15147">
        <w:rPr>
          <w:sz w:val="20"/>
          <w:lang w:val="en-GB"/>
        </w:rPr>
        <w:t>nternet. They</w:t>
      </w:r>
      <w:r w:rsidR="00ED1575" w:rsidRPr="00F15147">
        <w:rPr>
          <w:sz w:val="20"/>
          <w:lang w:val="en-GB"/>
        </w:rPr>
        <w:t xml:space="preserve"> </w:t>
      </w:r>
      <w:r w:rsidR="00E152A1" w:rsidRPr="00F15147">
        <w:rPr>
          <w:sz w:val="20"/>
          <w:lang w:val="en-GB"/>
        </w:rPr>
        <w:t>are</w:t>
      </w:r>
      <w:r w:rsidR="006C518F" w:rsidRPr="00F15147">
        <w:rPr>
          <w:sz w:val="20"/>
          <w:lang w:val="en-GB"/>
        </w:rPr>
        <w:t xml:space="preserve"> also</w:t>
      </w:r>
      <w:r w:rsidR="00E152A1" w:rsidRPr="00F15147">
        <w:rPr>
          <w:sz w:val="20"/>
          <w:lang w:val="en-GB"/>
        </w:rPr>
        <w:t xml:space="preserve"> affected by the </w:t>
      </w:r>
      <w:r w:rsidR="006C518F" w:rsidRPr="00F15147">
        <w:rPr>
          <w:sz w:val="20"/>
          <w:lang w:val="en-GB"/>
        </w:rPr>
        <w:t xml:space="preserve">State party’s failure </w:t>
      </w:r>
      <w:r w:rsidR="00E152A1" w:rsidRPr="00F15147">
        <w:rPr>
          <w:sz w:val="20"/>
          <w:lang w:val="en-GB"/>
        </w:rPr>
        <w:t xml:space="preserve">to convict </w:t>
      </w:r>
      <w:r w:rsidR="006837AA">
        <w:rPr>
          <w:sz w:val="20"/>
          <w:lang w:val="en-GB"/>
        </w:rPr>
        <w:t>Mr. </w:t>
      </w:r>
      <w:r w:rsidR="00696F9C">
        <w:rPr>
          <w:sz w:val="20"/>
          <w:lang w:val="en-GB"/>
        </w:rPr>
        <w:t>Wilders</w:t>
      </w:r>
      <w:r w:rsidR="00E152A1" w:rsidRPr="00F15147">
        <w:rPr>
          <w:sz w:val="20"/>
          <w:lang w:val="en-GB"/>
        </w:rPr>
        <w:t xml:space="preserve"> for hate speech</w:t>
      </w:r>
      <w:r w:rsidR="006C518F" w:rsidRPr="00F15147">
        <w:rPr>
          <w:sz w:val="20"/>
          <w:lang w:val="en-GB"/>
        </w:rPr>
        <w:t xml:space="preserve"> and the</w:t>
      </w:r>
      <w:r w:rsidR="00E152A1" w:rsidRPr="00F15147">
        <w:rPr>
          <w:sz w:val="20"/>
          <w:lang w:val="en-GB"/>
        </w:rPr>
        <w:t xml:space="preserve"> signal </w:t>
      </w:r>
      <w:r w:rsidR="006C518F" w:rsidRPr="00F15147">
        <w:rPr>
          <w:sz w:val="20"/>
          <w:lang w:val="en-GB"/>
        </w:rPr>
        <w:t xml:space="preserve">given </w:t>
      </w:r>
      <w:r w:rsidR="00E152A1" w:rsidRPr="00F15147">
        <w:rPr>
          <w:sz w:val="20"/>
          <w:lang w:val="en-GB"/>
        </w:rPr>
        <w:t xml:space="preserve">to the public that </w:t>
      </w:r>
      <w:r w:rsidR="00101E60" w:rsidRPr="00F15147">
        <w:rPr>
          <w:sz w:val="20"/>
          <w:lang w:val="en-GB"/>
        </w:rPr>
        <w:t xml:space="preserve">his conduct </w:t>
      </w:r>
      <w:r w:rsidR="00E152A1" w:rsidRPr="00F15147">
        <w:rPr>
          <w:sz w:val="20"/>
          <w:lang w:val="en-GB"/>
        </w:rPr>
        <w:t xml:space="preserve">is not criminal. That signal makes the authors anxious about their future in the Netherlands. </w:t>
      </w:r>
    </w:p>
    <w:p w14:paraId="3A9A7B6F" w14:textId="77777777" w:rsidR="00101E60" w:rsidRPr="00F15147" w:rsidRDefault="004E289D" w:rsidP="00101E60">
      <w:pPr>
        <w:pStyle w:val="H23G"/>
        <w:rPr>
          <w:sz w:val="20"/>
        </w:rPr>
      </w:pPr>
      <w:r w:rsidRPr="00EC1FEE">
        <w:tab/>
      </w:r>
      <w:r w:rsidRPr="00EC1FEE">
        <w:tab/>
      </w:r>
      <w:r w:rsidR="00101E60" w:rsidRPr="00F15147">
        <w:rPr>
          <w:sz w:val="20"/>
        </w:rPr>
        <w:t>The complaint</w:t>
      </w:r>
    </w:p>
    <w:p w14:paraId="537E12E3" w14:textId="117CE40F" w:rsidR="00E152A1" w:rsidRPr="00F15147" w:rsidRDefault="00396D82" w:rsidP="00DB1EC9">
      <w:pPr>
        <w:pStyle w:val="SingleTxtG"/>
        <w:rPr>
          <w:sz w:val="20"/>
          <w:lang w:val="en-GB"/>
        </w:rPr>
      </w:pPr>
      <w:r w:rsidRPr="00F15147">
        <w:rPr>
          <w:sz w:val="20"/>
          <w:lang w:val="en-GB"/>
        </w:rPr>
        <w:t>3.</w:t>
      </w:r>
      <w:r w:rsidR="00BF15B9" w:rsidRPr="00F15147">
        <w:rPr>
          <w:sz w:val="20"/>
          <w:lang w:val="en-GB"/>
        </w:rPr>
        <w:t>1</w:t>
      </w:r>
      <w:r w:rsidR="004E289D" w:rsidRPr="00F15147">
        <w:rPr>
          <w:sz w:val="20"/>
          <w:lang w:val="en-GB"/>
        </w:rPr>
        <w:tab/>
      </w:r>
      <w:r w:rsidR="003F3C4D" w:rsidRPr="00F15147">
        <w:rPr>
          <w:sz w:val="20"/>
          <w:lang w:val="en-GB"/>
        </w:rPr>
        <w:t xml:space="preserve">The authors claim that </w:t>
      </w:r>
      <w:r w:rsidR="006837AA">
        <w:rPr>
          <w:sz w:val="20"/>
          <w:lang w:val="en-GB"/>
        </w:rPr>
        <w:t>Mr. </w:t>
      </w:r>
      <w:r w:rsidR="003D7B84">
        <w:rPr>
          <w:sz w:val="20"/>
          <w:lang w:val="en-GB"/>
        </w:rPr>
        <w:t>Wilders’</w:t>
      </w:r>
      <w:r w:rsidR="003F3C4D" w:rsidRPr="00F15147">
        <w:rPr>
          <w:sz w:val="20"/>
          <w:lang w:val="en-GB"/>
        </w:rPr>
        <w:t xml:space="preserve"> acquittal is </w:t>
      </w:r>
      <w:r w:rsidR="0053311E" w:rsidRPr="00F15147">
        <w:rPr>
          <w:sz w:val="20"/>
          <w:lang w:val="en-GB"/>
        </w:rPr>
        <w:t>contrary to</w:t>
      </w:r>
      <w:r w:rsidR="003F3C4D" w:rsidRPr="00F15147">
        <w:rPr>
          <w:sz w:val="20"/>
          <w:lang w:val="en-GB"/>
        </w:rPr>
        <w:t xml:space="preserve"> article 20</w:t>
      </w:r>
      <w:r w:rsidR="00A313C0">
        <w:rPr>
          <w:sz w:val="20"/>
          <w:lang w:val="en-GB"/>
        </w:rPr>
        <w:t xml:space="preserve"> </w:t>
      </w:r>
      <w:r w:rsidR="00031060" w:rsidRPr="00F15147">
        <w:rPr>
          <w:sz w:val="20"/>
          <w:lang w:val="en-GB"/>
        </w:rPr>
        <w:t>(2)</w:t>
      </w:r>
      <w:r w:rsidR="003F3C4D" w:rsidRPr="00F15147">
        <w:rPr>
          <w:sz w:val="20"/>
          <w:lang w:val="en-GB"/>
        </w:rPr>
        <w:t xml:space="preserve"> of the Covenant</w:t>
      </w:r>
      <w:r w:rsidR="0088485F" w:rsidRPr="00F15147">
        <w:rPr>
          <w:sz w:val="20"/>
          <w:lang w:val="en-GB"/>
        </w:rPr>
        <w:t xml:space="preserve"> and that the reasoning in the judgment contains</w:t>
      </w:r>
      <w:r w:rsidR="00C655FC" w:rsidRPr="00F15147">
        <w:rPr>
          <w:sz w:val="20"/>
          <w:lang w:val="en-GB"/>
        </w:rPr>
        <w:t>, inter alia,</w:t>
      </w:r>
      <w:r w:rsidR="0088485F" w:rsidRPr="00F15147">
        <w:rPr>
          <w:sz w:val="20"/>
          <w:lang w:val="en-GB"/>
        </w:rPr>
        <w:t xml:space="preserve"> the following mistakes: (a) </w:t>
      </w:r>
      <w:r w:rsidR="003D7B84">
        <w:rPr>
          <w:sz w:val="20"/>
          <w:lang w:val="en-GB"/>
        </w:rPr>
        <w:t>i</w:t>
      </w:r>
      <w:r w:rsidR="0088485F" w:rsidRPr="00F15147">
        <w:rPr>
          <w:sz w:val="20"/>
          <w:lang w:val="en-GB"/>
        </w:rPr>
        <w:t xml:space="preserve">t treated the different utterances separately, instead of looking at their cumulative effect. The offence of criminal incitement can only be judged by taking into account the successive </w:t>
      </w:r>
      <w:r w:rsidR="000C2050" w:rsidRPr="00F15147">
        <w:rPr>
          <w:sz w:val="20"/>
          <w:lang w:val="en-GB"/>
        </w:rPr>
        <w:t>statements</w:t>
      </w:r>
      <w:r w:rsidR="0088485F" w:rsidRPr="00F15147">
        <w:rPr>
          <w:sz w:val="20"/>
          <w:lang w:val="en-GB"/>
        </w:rPr>
        <w:t xml:space="preserve"> in their sequence and connection</w:t>
      </w:r>
      <w:r w:rsidR="00562B53" w:rsidRPr="00F15147">
        <w:rPr>
          <w:sz w:val="20"/>
          <w:lang w:val="en-GB"/>
        </w:rPr>
        <w:t>. The essence of the crime of incitement needs an element of agitation</w:t>
      </w:r>
      <w:r w:rsidR="0088485F" w:rsidRPr="00F15147">
        <w:rPr>
          <w:sz w:val="20"/>
          <w:lang w:val="en-GB"/>
        </w:rPr>
        <w:t xml:space="preserve">; (b) </w:t>
      </w:r>
      <w:r w:rsidR="003D7B84">
        <w:rPr>
          <w:sz w:val="20"/>
          <w:lang w:val="en-GB"/>
        </w:rPr>
        <w:t>i</w:t>
      </w:r>
      <w:r w:rsidR="0088485F" w:rsidRPr="00F15147">
        <w:rPr>
          <w:sz w:val="20"/>
          <w:lang w:val="en-GB"/>
        </w:rPr>
        <w:t>t accentuated the artificial distinction between criticism o</w:t>
      </w:r>
      <w:r w:rsidR="00031060" w:rsidRPr="00F15147">
        <w:rPr>
          <w:sz w:val="20"/>
          <w:lang w:val="en-GB"/>
        </w:rPr>
        <w:t>f</w:t>
      </w:r>
      <w:r w:rsidR="0088485F" w:rsidRPr="00F15147">
        <w:rPr>
          <w:sz w:val="20"/>
          <w:lang w:val="en-GB"/>
        </w:rPr>
        <w:t xml:space="preserve"> Islam and humiliating Muslims.</w:t>
      </w:r>
      <w:r w:rsidR="00C655FC" w:rsidRPr="00F15147">
        <w:rPr>
          <w:sz w:val="20"/>
          <w:lang w:val="en-GB"/>
        </w:rPr>
        <w:t xml:space="preserve"> The connection </w:t>
      </w:r>
      <w:r w:rsidR="00031060" w:rsidRPr="00F15147">
        <w:rPr>
          <w:sz w:val="20"/>
          <w:lang w:val="en-GB"/>
        </w:rPr>
        <w:t xml:space="preserve">between </w:t>
      </w:r>
      <w:r w:rsidR="00C655FC" w:rsidRPr="00F15147">
        <w:rPr>
          <w:sz w:val="20"/>
          <w:lang w:val="en-GB"/>
        </w:rPr>
        <w:t xml:space="preserve">criticism of Islam </w:t>
      </w:r>
      <w:r w:rsidR="00031060" w:rsidRPr="00F15147">
        <w:rPr>
          <w:sz w:val="20"/>
          <w:lang w:val="en-GB"/>
        </w:rPr>
        <w:t xml:space="preserve">and </w:t>
      </w:r>
      <w:r w:rsidR="00C655FC" w:rsidRPr="00F15147">
        <w:rPr>
          <w:sz w:val="20"/>
          <w:lang w:val="en-GB"/>
        </w:rPr>
        <w:t>labelling Muslims as undesirable people</w:t>
      </w:r>
      <w:r w:rsidR="00562B53" w:rsidRPr="00F15147">
        <w:rPr>
          <w:sz w:val="20"/>
          <w:lang w:val="en-GB"/>
        </w:rPr>
        <w:t xml:space="preserve">, as for example in </w:t>
      </w:r>
      <w:r w:rsidR="00E11782">
        <w:rPr>
          <w:sz w:val="20"/>
          <w:lang w:val="en-GB"/>
        </w:rPr>
        <w:t xml:space="preserve">his </w:t>
      </w:r>
      <w:r w:rsidR="00562B53" w:rsidRPr="00F15147">
        <w:rPr>
          <w:sz w:val="20"/>
          <w:lang w:val="en-GB"/>
        </w:rPr>
        <w:t xml:space="preserve">statement </w:t>
      </w:r>
      <w:r w:rsidR="00E11782">
        <w:rPr>
          <w:sz w:val="20"/>
          <w:lang w:val="en-GB"/>
        </w:rPr>
        <w:t xml:space="preserve">about being </w:t>
      </w:r>
      <w:r w:rsidR="00E11782" w:rsidRPr="008E6C6C">
        <w:rPr>
          <w:sz w:val="20"/>
          <w:lang w:val="en-GB"/>
        </w:rPr>
        <w:t>sick of Islam in the Netherlands</w:t>
      </w:r>
      <w:r w:rsidR="00E11782">
        <w:rPr>
          <w:sz w:val="20"/>
          <w:lang w:val="en-GB"/>
        </w:rPr>
        <w:t xml:space="preserve"> and wanting </w:t>
      </w:r>
      <w:r w:rsidR="00E11782" w:rsidRPr="008E6C6C">
        <w:rPr>
          <w:sz w:val="20"/>
          <w:lang w:val="en-GB"/>
        </w:rPr>
        <w:t>no more Muslim migrant</w:t>
      </w:r>
      <w:r w:rsidR="00E11782">
        <w:rPr>
          <w:sz w:val="20"/>
          <w:lang w:val="en-GB"/>
        </w:rPr>
        <w:t>s</w:t>
      </w:r>
      <w:r w:rsidR="00562B53" w:rsidRPr="00F15147">
        <w:rPr>
          <w:sz w:val="20"/>
          <w:lang w:val="en-GB"/>
        </w:rPr>
        <w:t>,</w:t>
      </w:r>
      <w:r w:rsidR="00C655FC" w:rsidRPr="00F15147">
        <w:rPr>
          <w:sz w:val="20"/>
          <w:lang w:val="en-GB"/>
        </w:rPr>
        <w:t xml:space="preserve"> is common in Wilder’s s</w:t>
      </w:r>
      <w:r w:rsidR="00E11782">
        <w:rPr>
          <w:sz w:val="20"/>
          <w:lang w:val="en-GB"/>
        </w:rPr>
        <w:t>tatements</w:t>
      </w:r>
      <w:r w:rsidR="00C655FC" w:rsidRPr="00F15147">
        <w:rPr>
          <w:sz w:val="20"/>
          <w:lang w:val="en-GB"/>
        </w:rPr>
        <w:t xml:space="preserve"> and makes it impossible to separate the two; </w:t>
      </w:r>
      <w:r w:rsidR="00562B53" w:rsidRPr="00F15147">
        <w:rPr>
          <w:sz w:val="20"/>
          <w:lang w:val="en-GB"/>
        </w:rPr>
        <w:t xml:space="preserve">(c) </w:t>
      </w:r>
      <w:r w:rsidR="003D7B84">
        <w:rPr>
          <w:sz w:val="20"/>
          <w:lang w:val="en-GB"/>
        </w:rPr>
        <w:t>i</w:t>
      </w:r>
      <w:r w:rsidR="00C655FC" w:rsidRPr="00F15147">
        <w:rPr>
          <w:sz w:val="20"/>
          <w:lang w:val="en-GB"/>
        </w:rPr>
        <w:t xml:space="preserve">t </w:t>
      </w:r>
      <w:r w:rsidR="00031060" w:rsidRPr="00F15147">
        <w:rPr>
          <w:sz w:val="20"/>
          <w:lang w:val="en-GB"/>
        </w:rPr>
        <w:t xml:space="preserve">rejected </w:t>
      </w:r>
      <w:r w:rsidR="00C655FC" w:rsidRPr="00F15147">
        <w:rPr>
          <w:sz w:val="20"/>
          <w:lang w:val="en-GB"/>
        </w:rPr>
        <w:t xml:space="preserve">the counts of incitement on grounds of race because ‘Moroccans and non-Western migrants’ are not </w:t>
      </w:r>
      <w:r w:rsidR="00C655FC" w:rsidRPr="00F15147">
        <w:rPr>
          <w:sz w:val="20"/>
          <w:lang w:val="en-GB"/>
        </w:rPr>
        <w:lastRenderedPageBreak/>
        <w:t xml:space="preserve">races; and (d) </w:t>
      </w:r>
      <w:r w:rsidR="003D7B84">
        <w:rPr>
          <w:sz w:val="20"/>
          <w:lang w:val="en-GB"/>
        </w:rPr>
        <w:t>i</w:t>
      </w:r>
      <w:r w:rsidR="00C655FC" w:rsidRPr="00F15147">
        <w:rPr>
          <w:sz w:val="20"/>
          <w:lang w:val="en-GB"/>
        </w:rPr>
        <w:t>t create</w:t>
      </w:r>
      <w:r w:rsidR="00FB09DB" w:rsidRPr="00F15147">
        <w:rPr>
          <w:sz w:val="20"/>
          <w:lang w:val="en-GB"/>
        </w:rPr>
        <w:t>d</w:t>
      </w:r>
      <w:r w:rsidR="00C655FC" w:rsidRPr="00F15147">
        <w:rPr>
          <w:sz w:val="20"/>
          <w:lang w:val="en-GB"/>
        </w:rPr>
        <w:t xml:space="preserve"> a kind of general and absolute exception (“the public debate”) to the crime of incitement to discrimination or hatred. As </w:t>
      </w:r>
      <w:r w:rsidR="00E11782">
        <w:rPr>
          <w:sz w:val="20"/>
          <w:lang w:val="en-GB"/>
        </w:rPr>
        <w:t>for</w:t>
      </w:r>
      <w:r w:rsidR="00C655FC" w:rsidRPr="00F15147">
        <w:rPr>
          <w:sz w:val="20"/>
          <w:lang w:val="en-GB"/>
        </w:rPr>
        <w:t xml:space="preserve"> the film </w:t>
      </w:r>
      <w:r w:rsidR="00C655FC" w:rsidRPr="00F15147">
        <w:rPr>
          <w:i/>
          <w:iCs/>
          <w:sz w:val="20"/>
          <w:lang w:val="en-GB"/>
        </w:rPr>
        <w:t>Fitna</w:t>
      </w:r>
      <w:r w:rsidR="00C655FC" w:rsidRPr="00F15147">
        <w:rPr>
          <w:sz w:val="20"/>
          <w:lang w:val="en-GB"/>
        </w:rPr>
        <w:t xml:space="preserve">, the court </w:t>
      </w:r>
      <w:r w:rsidR="002D75B2" w:rsidRPr="00F15147">
        <w:rPr>
          <w:sz w:val="20"/>
          <w:lang w:val="en-GB"/>
        </w:rPr>
        <w:t xml:space="preserve">considered that “the movie viewed as a whole does not incite to hatred, in the context of the public debate, in which the necessary warning, in the view of the defendant, against Islam as </w:t>
      </w:r>
      <w:r w:rsidR="00E11782">
        <w:rPr>
          <w:sz w:val="20"/>
          <w:lang w:val="en-GB"/>
        </w:rPr>
        <w:t xml:space="preserve">a </w:t>
      </w:r>
      <w:r w:rsidR="002D75B2" w:rsidRPr="00F15147">
        <w:rPr>
          <w:sz w:val="20"/>
          <w:lang w:val="en-GB"/>
        </w:rPr>
        <w:t>religion is stressed”. The court made th</w:t>
      </w:r>
      <w:r w:rsidR="00E11782">
        <w:rPr>
          <w:sz w:val="20"/>
          <w:lang w:val="en-GB"/>
        </w:rPr>
        <w:t>at</w:t>
      </w:r>
      <w:r w:rsidR="002D75B2" w:rsidRPr="00F15147">
        <w:rPr>
          <w:sz w:val="20"/>
          <w:lang w:val="en-GB"/>
        </w:rPr>
        <w:t xml:space="preserve"> finding</w:t>
      </w:r>
      <w:r w:rsidR="00ED1575" w:rsidRPr="00F15147">
        <w:rPr>
          <w:sz w:val="20"/>
          <w:lang w:val="en-GB"/>
        </w:rPr>
        <w:t xml:space="preserve"> </w:t>
      </w:r>
      <w:r w:rsidR="00C655FC" w:rsidRPr="00F15147">
        <w:rPr>
          <w:sz w:val="20"/>
          <w:lang w:val="en-GB"/>
        </w:rPr>
        <w:t xml:space="preserve">despite the future Netherlands </w:t>
      </w:r>
      <w:r w:rsidR="00031060" w:rsidRPr="00F15147">
        <w:rPr>
          <w:sz w:val="20"/>
          <w:lang w:val="en-GB"/>
        </w:rPr>
        <w:t xml:space="preserve">it </w:t>
      </w:r>
      <w:r w:rsidR="00C655FC" w:rsidRPr="00F15147">
        <w:rPr>
          <w:sz w:val="20"/>
          <w:lang w:val="en-GB"/>
        </w:rPr>
        <w:t xml:space="preserve">depicted, with people hanged because of their homosexuality and women killed for not obeying the laws of </w:t>
      </w:r>
      <w:r w:rsidR="00C655FC" w:rsidRPr="0090036F">
        <w:rPr>
          <w:sz w:val="20"/>
          <w:szCs w:val="20"/>
        </w:rPr>
        <w:t>Allah</w:t>
      </w:r>
      <w:r w:rsidR="00C655FC" w:rsidRPr="00F15147">
        <w:rPr>
          <w:sz w:val="20"/>
          <w:lang w:val="en-GB"/>
        </w:rPr>
        <w:t>.</w:t>
      </w:r>
    </w:p>
    <w:p w14:paraId="26A765D5" w14:textId="36FEAFDB" w:rsidR="00BF15B9" w:rsidRPr="00F15147" w:rsidRDefault="00BF15B9" w:rsidP="005A6755">
      <w:pPr>
        <w:pStyle w:val="SingleTxtG"/>
        <w:rPr>
          <w:sz w:val="20"/>
          <w:lang w:val="en-GB"/>
        </w:rPr>
      </w:pPr>
      <w:r w:rsidRPr="00F15147">
        <w:rPr>
          <w:sz w:val="20"/>
          <w:lang w:val="en-GB"/>
        </w:rPr>
        <w:t>3.2</w:t>
      </w:r>
      <w:r w:rsidRPr="00F15147">
        <w:rPr>
          <w:sz w:val="20"/>
          <w:lang w:val="en-GB"/>
        </w:rPr>
        <w:tab/>
        <w:t>The acquittal deprived article 137d</w:t>
      </w:r>
      <w:r w:rsidR="005E70E9" w:rsidRPr="00F15147">
        <w:rPr>
          <w:sz w:val="20"/>
          <w:lang w:val="en-GB"/>
        </w:rPr>
        <w:t xml:space="preserve"> </w:t>
      </w:r>
      <w:r w:rsidR="008851CB">
        <w:rPr>
          <w:sz w:val="20"/>
          <w:lang w:val="en-GB"/>
        </w:rPr>
        <w:t xml:space="preserve">of the </w:t>
      </w:r>
      <w:r w:rsidR="008851CB" w:rsidRPr="008E6C6C">
        <w:rPr>
          <w:sz w:val="20"/>
          <w:lang w:val="en-GB"/>
        </w:rPr>
        <w:t>Criminal Code</w:t>
      </w:r>
      <w:r w:rsidRPr="00F15147">
        <w:rPr>
          <w:sz w:val="20"/>
          <w:lang w:val="en-GB"/>
        </w:rPr>
        <w:t xml:space="preserve"> of its meaning and effectiveness, </w:t>
      </w:r>
      <w:r w:rsidR="00E11782">
        <w:rPr>
          <w:sz w:val="20"/>
          <w:lang w:val="en-GB"/>
        </w:rPr>
        <w:t>al</w:t>
      </w:r>
      <w:r w:rsidRPr="00F15147">
        <w:rPr>
          <w:sz w:val="20"/>
          <w:lang w:val="en-GB"/>
        </w:rPr>
        <w:t xml:space="preserve">though it was intended to implement article 4 of the </w:t>
      </w:r>
      <w:r w:rsidR="00E11782" w:rsidRPr="00E11782">
        <w:rPr>
          <w:sz w:val="20"/>
          <w:lang w:val="en-GB"/>
        </w:rPr>
        <w:t xml:space="preserve">International </w:t>
      </w:r>
      <w:r w:rsidRPr="00F15147">
        <w:rPr>
          <w:sz w:val="20"/>
          <w:lang w:val="en-GB"/>
        </w:rPr>
        <w:t xml:space="preserve">Convention on the Elimination of All Forms of Racial Discrimination and article 20 of the Covenant. The acquittal </w:t>
      </w:r>
      <w:r w:rsidR="00E11782">
        <w:rPr>
          <w:sz w:val="20"/>
          <w:lang w:val="en-GB"/>
        </w:rPr>
        <w:t xml:space="preserve">is </w:t>
      </w:r>
      <w:r w:rsidRPr="00F15147">
        <w:rPr>
          <w:sz w:val="20"/>
          <w:lang w:val="en-GB"/>
        </w:rPr>
        <w:t xml:space="preserve">also not </w:t>
      </w:r>
      <w:r w:rsidR="0053311E" w:rsidRPr="00F15147">
        <w:rPr>
          <w:sz w:val="20"/>
          <w:lang w:val="en-GB"/>
        </w:rPr>
        <w:t>consistent</w:t>
      </w:r>
      <w:r w:rsidRPr="00F15147">
        <w:rPr>
          <w:sz w:val="20"/>
          <w:lang w:val="en-GB"/>
        </w:rPr>
        <w:t xml:space="preserve"> with other judgments of </w:t>
      </w:r>
      <w:r w:rsidR="002234DD">
        <w:rPr>
          <w:sz w:val="20"/>
          <w:lang w:val="en-GB"/>
        </w:rPr>
        <w:t>national</w:t>
      </w:r>
      <w:r w:rsidRPr="00F15147">
        <w:rPr>
          <w:sz w:val="20"/>
          <w:lang w:val="en-GB"/>
        </w:rPr>
        <w:t xml:space="preserve"> courts in relation to hate speech. Because of </w:t>
      </w:r>
      <w:r w:rsidR="006837AA">
        <w:rPr>
          <w:sz w:val="20"/>
          <w:lang w:val="en-GB"/>
        </w:rPr>
        <w:t>Mr. </w:t>
      </w:r>
      <w:r w:rsidR="00696F9C">
        <w:rPr>
          <w:sz w:val="20"/>
          <w:lang w:val="en-GB"/>
        </w:rPr>
        <w:t>Wilders</w:t>
      </w:r>
      <w:r w:rsidR="0053311E" w:rsidRPr="00F15147">
        <w:rPr>
          <w:sz w:val="20"/>
          <w:lang w:val="en-GB"/>
        </w:rPr>
        <w:t>’</w:t>
      </w:r>
      <w:r w:rsidRPr="00F15147">
        <w:rPr>
          <w:sz w:val="20"/>
          <w:lang w:val="en-GB"/>
        </w:rPr>
        <w:t xml:space="preserve"> position as a politician and </w:t>
      </w:r>
      <w:r w:rsidR="00E11782">
        <w:rPr>
          <w:sz w:val="20"/>
          <w:lang w:val="en-GB"/>
        </w:rPr>
        <w:t xml:space="preserve">his </w:t>
      </w:r>
      <w:r w:rsidRPr="00F15147">
        <w:rPr>
          <w:sz w:val="20"/>
          <w:lang w:val="en-GB"/>
        </w:rPr>
        <w:t xml:space="preserve">role in the public debate, the Court gave priority to freedom of expression and failed to protect the authors from increasing racism and hatred against Muslims. While article 20 </w:t>
      </w:r>
      <w:r w:rsidR="00E11782" w:rsidRPr="008E6C6C">
        <w:rPr>
          <w:sz w:val="20"/>
          <w:lang w:val="en-GB"/>
        </w:rPr>
        <w:t>of the Covenant</w:t>
      </w:r>
      <w:r w:rsidR="00E11782" w:rsidRPr="00E11782">
        <w:rPr>
          <w:sz w:val="20"/>
          <w:lang w:val="en-GB"/>
        </w:rPr>
        <w:t xml:space="preserve"> </w:t>
      </w:r>
      <w:r w:rsidRPr="00F15147">
        <w:rPr>
          <w:sz w:val="20"/>
          <w:lang w:val="en-GB"/>
        </w:rPr>
        <w:t xml:space="preserve">is couched in terms of </w:t>
      </w:r>
      <w:r w:rsidR="00E11782" w:rsidRPr="000815DF">
        <w:rPr>
          <w:sz w:val="20"/>
          <w:lang w:val="en-GB"/>
        </w:rPr>
        <w:t>the State</w:t>
      </w:r>
      <w:r w:rsidR="00E11782">
        <w:rPr>
          <w:sz w:val="20"/>
          <w:lang w:val="en-GB"/>
        </w:rPr>
        <w:t>’s</w:t>
      </w:r>
      <w:r w:rsidR="00E11782" w:rsidRPr="000815DF">
        <w:rPr>
          <w:sz w:val="20"/>
          <w:lang w:val="en-GB"/>
        </w:rPr>
        <w:t xml:space="preserve"> </w:t>
      </w:r>
      <w:r w:rsidRPr="00F15147">
        <w:rPr>
          <w:sz w:val="20"/>
          <w:lang w:val="en-GB"/>
        </w:rPr>
        <w:t xml:space="preserve">obligations rather than </w:t>
      </w:r>
      <w:r w:rsidR="00E11782">
        <w:rPr>
          <w:sz w:val="20"/>
          <w:lang w:val="en-GB"/>
        </w:rPr>
        <w:t xml:space="preserve">the </w:t>
      </w:r>
      <w:r w:rsidRPr="00F15147">
        <w:rPr>
          <w:sz w:val="20"/>
          <w:lang w:val="en-GB"/>
        </w:rPr>
        <w:t>rights of individuals, th</w:t>
      </w:r>
      <w:r w:rsidR="00E11782">
        <w:rPr>
          <w:sz w:val="20"/>
          <w:lang w:val="en-GB"/>
        </w:rPr>
        <w:t>at</w:t>
      </w:r>
      <w:r w:rsidRPr="00F15147">
        <w:rPr>
          <w:sz w:val="20"/>
          <w:lang w:val="en-GB"/>
        </w:rPr>
        <w:t xml:space="preserve"> does not imply that th</w:t>
      </w:r>
      <w:r w:rsidR="00E11782">
        <w:rPr>
          <w:sz w:val="20"/>
          <w:lang w:val="en-GB"/>
        </w:rPr>
        <w:t>o</w:t>
      </w:r>
      <w:r w:rsidRPr="00F15147">
        <w:rPr>
          <w:sz w:val="20"/>
          <w:lang w:val="en-GB"/>
        </w:rPr>
        <w:t>se matters are left to the internal jurisdiction of States and are, as such, immune from review under the Optional Protocol. If th</w:t>
      </w:r>
      <w:r w:rsidR="00E11782">
        <w:rPr>
          <w:sz w:val="20"/>
          <w:lang w:val="en-GB"/>
        </w:rPr>
        <w:t>at</w:t>
      </w:r>
      <w:r w:rsidRPr="00F15147">
        <w:rPr>
          <w:sz w:val="20"/>
          <w:lang w:val="en-GB"/>
        </w:rPr>
        <w:t xml:space="preserve"> </w:t>
      </w:r>
      <w:r w:rsidR="0053311E" w:rsidRPr="00F15147">
        <w:rPr>
          <w:sz w:val="20"/>
          <w:lang w:val="en-GB"/>
        </w:rPr>
        <w:t>were</w:t>
      </w:r>
      <w:r w:rsidRPr="00F15147">
        <w:rPr>
          <w:sz w:val="20"/>
          <w:lang w:val="en-GB"/>
        </w:rPr>
        <w:t xml:space="preserve"> the case, the protection regime established by the Covenant would be significantly weakened.</w:t>
      </w:r>
    </w:p>
    <w:p w14:paraId="7EFA6E46" w14:textId="1E08AAF2" w:rsidR="00BF15B9" w:rsidRPr="00F15147" w:rsidRDefault="00BF15B9" w:rsidP="00E11782">
      <w:pPr>
        <w:pStyle w:val="SingleTxtG"/>
        <w:rPr>
          <w:sz w:val="20"/>
          <w:lang w:val="en-GB"/>
        </w:rPr>
      </w:pPr>
      <w:r w:rsidRPr="00F15147">
        <w:rPr>
          <w:sz w:val="20"/>
          <w:lang w:val="en-GB"/>
        </w:rPr>
        <w:t>3.3</w:t>
      </w:r>
      <w:r w:rsidRPr="00F15147">
        <w:rPr>
          <w:sz w:val="20"/>
          <w:lang w:val="en-GB"/>
        </w:rPr>
        <w:tab/>
        <w:t xml:space="preserve">Given the link between article 20 and articles 26 and 27 of the Covenant, the authors, as members of a minority in the Netherlands, are also victims of a violation of </w:t>
      </w:r>
      <w:r w:rsidR="0053311E" w:rsidRPr="00F15147">
        <w:rPr>
          <w:sz w:val="20"/>
          <w:lang w:val="en-GB"/>
        </w:rPr>
        <w:t>those</w:t>
      </w:r>
      <w:r w:rsidRPr="00F15147">
        <w:rPr>
          <w:sz w:val="20"/>
          <w:lang w:val="en-GB"/>
        </w:rPr>
        <w:t xml:space="preserve"> provisions, as they have been deprived of the</w:t>
      </w:r>
      <w:r w:rsidR="00E11782">
        <w:rPr>
          <w:sz w:val="20"/>
          <w:lang w:val="en-GB"/>
        </w:rPr>
        <w:t xml:space="preserve"> </w:t>
      </w:r>
      <w:r w:rsidRPr="00F15147">
        <w:rPr>
          <w:sz w:val="20"/>
          <w:lang w:val="en-GB"/>
        </w:rPr>
        <w:t>r</w:t>
      </w:r>
      <w:r w:rsidR="00E11782">
        <w:rPr>
          <w:sz w:val="20"/>
          <w:lang w:val="en-GB"/>
        </w:rPr>
        <w:t>ight to live their lives</w:t>
      </w:r>
      <w:r w:rsidRPr="00F15147">
        <w:rPr>
          <w:sz w:val="20"/>
          <w:lang w:val="en-GB"/>
        </w:rPr>
        <w:t xml:space="preserve"> as members of the Muslim community </w:t>
      </w:r>
      <w:r w:rsidR="00E11782" w:rsidRPr="00107665">
        <w:rPr>
          <w:sz w:val="20"/>
          <w:lang w:val="en-GB"/>
        </w:rPr>
        <w:t>undisturbed</w:t>
      </w:r>
      <w:r w:rsidR="00E11782" w:rsidRPr="00E11782">
        <w:rPr>
          <w:sz w:val="20"/>
          <w:lang w:val="en-GB"/>
        </w:rPr>
        <w:t xml:space="preserve"> </w:t>
      </w:r>
      <w:r w:rsidR="00E11782">
        <w:rPr>
          <w:sz w:val="20"/>
          <w:lang w:val="en-GB"/>
        </w:rPr>
        <w:t>owing</w:t>
      </w:r>
      <w:r w:rsidRPr="00F15147">
        <w:rPr>
          <w:sz w:val="20"/>
          <w:lang w:val="en-GB"/>
        </w:rPr>
        <w:t xml:space="preserve"> to increased intolerance, racism, xenophobia and anti-Muslim violence. The </w:t>
      </w:r>
      <w:r w:rsidR="00997447" w:rsidRPr="00F15147">
        <w:rPr>
          <w:sz w:val="20"/>
          <w:lang w:val="en-GB"/>
        </w:rPr>
        <w:t>judgment</w:t>
      </w:r>
      <w:r w:rsidRPr="00F15147">
        <w:rPr>
          <w:sz w:val="20"/>
          <w:lang w:val="en-GB"/>
        </w:rPr>
        <w:t xml:space="preserve"> did not balance their interests against </w:t>
      </w:r>
      <w:r w:rsidR="006837AA">
        <w:rPr>
          <w:sz w:val="20"/>
          <w:lang w:val="en-GB"/>
        </w:rPr>
        <w:t>Mr. </w:t>
      </w:r>
      <w:r w:rsidR="00696F9C">
        <w:rPr>
          <w:sz w:val="20"/>
          <w:lang w:val="en-GB"/>
        </w:rPr>
        <w:t>Wilders</w:t>
      </w:r>
      <w:r w:rsidRPr="00F15147">
        <w:rPr>
          <w:sz w:val="20"/>
          <w:lang w:val="en-GB"/>
        </w:rPr>
        <w:t xml:space="preserve">’ freedom of expression. </w:t>
      </w:r>
    </w:p>
    <w:p w14:paraId="1462DE6F" w14:textId="5817FFE3" w:rsidR="00BF15B9" w:rsidRPr="00F15147" w:rsidRDefault="00BF15B9" w:rsidP="005A6755">
      <w:pPr>
        <w:pStyle w:val="SingleTxtG"/>
        <w:rPr>
          <w:sz w:val="20"/>
          <w:lang w:val="en-GB"/>
        </w:rPr>
      </w:pPr>
      <w:r w:rsidRPr="00F15147">
        <w:rPr>
          <w:sz w:val="20"/>
          <w:lang w:val="en-GB"/>
        </w:rPr>
        <w:t>3.</w:t>
      </w:r>
      <w:r w:rsidR="00D81085" w:rsidRPr="00F15147">
        <w:rPr>
          <w:sz w:val="20"/>
          <w:lang w:val="en-GB"/>
        </w:rPr>
        <w:t>4</w:t>
      </w:r>
      <w:r w:rsidRPr="00F15147">
        <w:rPr>
          <w:sz w:val="20"/>
          <w:lang w:val="en-GB"/>
        </w:rPr>
        <w:tab/>
        <w:t xml:space="preserve">Victims of a crime have a poor legal position under </w:t>
      </w:r>
      <w:r w:rsidR="002262C0">
        <w:rPr>
          <w:sz w:val="20"/>
          <w:lang w:val="en-GB"/>
        </w:rPr>
        <w:t xml:space="preserve">domestic </w:t>
      </w:r>
      <w:r w:rsidRPr="00F15147">
        <w:rPr>
          <w:sz w:val="20"/>
          <w:lang w:val="en-GB"/>
        </w:rPr>
        <w:t>law. They do not have the right to have witnesses heard and to discuss the facts and merits of the criminal case</w:t>
      </w:r>
      <w:r w:rsidR="00997447" w:rsidRPr="00F15147">
        <w:rPr>
          <w:sz w:val="20"/>
          <w:lang w:val="en-GB"/>
        </w:rPr>
        <w:t xml:space="preserve"> as such</w:t>
      </w:r>
      <w:r w:rsidRPr="00F15147">
        <w:rPr>
          <w:sz w:val="20"/>
          <w:lang w:val="en-GB"/>
        </w:rPr>
        <w:t xml:space="preserve">. They are allowed </w:t>
      </w:r>
      <w:r w:rsidR="005A6755" w:rsidRPr="00B2428C">
        <w:rPr>
          <w:sz w:val="20"/>
          <w:lang w:val="en-GB"/>
        </w:rPr>
        <w:t xml:space="preserve">only </w:t>
      </w:r>
      <w:r w:rsidRPr="00F15147">
        <w:rPr>
          <w:sz w:val="20"/>
          <w:lang w:val="en-GB"/>
        </w:rPr>
        <w:t xml:space="preserve">to explain their claim for damages. </w:t>
      </w:r>
      <w:r w:rsidR="00E11782">
        <w:rPr>
          <w:sz w:val="20"/>
          <w:lang w:val="en-GB"/>
        </w:rPr>
        <w:t>As</w:t>
      </w:r>
      <w:r w:rsidRPr="00F15147">
        <w:rPr>
          <w:sz w:val="20"/>
          <w:lang w:val="en-GB"/>
        </w:rPr>
        <w:t xml:space="preserve"> the issue at stake in the present case was whether </w:t>
      </w:r>
      <w:r w:rsidR="006837AA">
        <w:rPr>
          <w:sz w:val="20"/>
          <w:lang w:val="en-GB"/>
        </w:rPr>
        <w:t>Mr. </w:t>
      </w:r>
      <w:r w:rsidR="00696F9C">
        <w:rPr>
          <w:sz w:val="20"/>
          <w:lang w:val="en-GB"/>
        </w:rPr>
        <w:t>Wilders</w:t>
      </w:r>
      <w:r w:rsidRPr="00F15147">
        <w:rPr>
          <w:sz w:val="20"/>
          <w:lang w:val="en-GB"/>
        </w:rPr>
        <w:t>’ statements constituted hate speech within the meaning of the law, and the authors were excluded from litigation of th</w:t>
      </w:r>
      <w:r w:rsidR="00E11782">
        <w:rPr>
          <w:sz w:val="20"/>
          <w:lang w:val="en-GB"/>
        </w:rPr>
        <w:t>at</w:t>
      </w:r>
      <w:r w:rsidRPr="00F15147">
        <w:rPr>
          <w:sz w:val="20"/>
          <w:lang w:val="en-GB"/>
        </w:rPr>
        <w:t xml:space="preserve"> issue in the courtroom, they have not been provided with an effective remedy </w:t>
      </w:r>
      <w:r w:rsidR="00784C41" w:rsidRPr="00F15147">
        <w:rPr>
          <w:sz w:val="20"/>
          <w:lang w:val="en-GB"/>
        </w:rPr>
        <w:t>pursuant to</w:t>
      </w:r>
      <w:r w:rsidRPr="00F15147">
        <w:rPr>
          <w:sz w:val="20"/>
          <w:lang w:val="en-GB"/>
        </w:rPr>
        <w:t xml:space="preserve"> article 2</w:t>
      </w:r>
      <w:r w:rsidR="00E11782">
        <w:rPr>
          <w:sz w:val="20"/>
          <w:lang w:val="en-GB"/>
        </w:rPr>
        <w:t xml:space="preserve"> </w:t>
      </w:r>
      <w:r w:rsidRPr="00F15147">
        <w:rPr>
          <w:sz w:val="20"/>
          <w:lang w:val="en-GB"/>
        </w:rPr>
        <w:t>(3</w:t>
      </w:r>
      <w:r w:rsidR="00E11782">
        <w:rPr>
          <w:sz w:val="20"/>
          <w:lang w:val="en-GB"/>
        </w:rPr>
        <w:t>)</w:t>
      </w:r>
      <w:r w:rsidR="00E11782" w:rsidRPr="00E11782">
        <w:rPr>
          <w:sz w:val="20"/>
          <w:lang w:val="en-GB"/>
        </w:rPr>
        <w:t xml:space="preserve"> </w:t>
      </w:r>
      <w:r w:rsidR="00E11782" w:rsidRPr="00350A55">
        <w:rPr>
          <w:sz w:val="20"/>
          <w:lang w:val="en-GB"/>
        </w:rPr>
        <w:t>of the Covenant</w:t>
      </w:r>
      <w:r w:rsidRPr="00F15147">
        <w:rPr>
          <w:sz w:val="20"/>
          <w:lang w:val="en-GB"/>
        </w:rPr>
        <w:t xml:space="preserve">, nor have they had a fair hearing </w:t>
      </w:r>
      <w:r w:rsidR="0053311E" w:rsidRPr="00F15147">
        <w:rPr>
          <w:sz w:val="20"/>
          <w:lang w:val="en-GB"/>
        </w:rPr>
        <w:t>regarding</w:t>
      </w:r>
      <w:r w:rsidRPr="00F15147">
        <w:rPr>
          <w:sz w:val="20"/>
          <w:lang w:val="en-GB"/>
        </w:rPr>
        <w:t xml:space="preserve"> their claim for compensation within the criminal case, in accordance with article 14</w:t>
      </w:r>
      <w:r w:rsidR="00E11782">
        <w:rPr>
          <w:sz w:val="20"/>
          <w:lang w:val="en-GB"/>
        </w:rPr>
        <w:t xml:space="preserve"> </w:t>
      </w:r>
      <w:r w:rsidRPr="00F15147">
        <w:rPr>
          <w:sz w:val="20"/>
          <w:lang w:val="en-GB"/>
        </w:rPr>
        <w:t xml:space="preserve">(1). The violation of their right to a fair hearing was amplified by the fact that the prosecutor requested </w:t>
      </w:r>
      <w:r w:rsidR="006837AA">
        <w:rPr>
          <w:sz w:val="20"/>
          <w:lang w:val="en-GB"/>
        </w:rPr>
        <w:t>Mr. </w:t>
      </w:r>
      <w:r w:rsidR="00696F9C">
        <w:rPr>
          <w:sz w:val="20"/>
          <w:lang w:val="en-GB"/>
        </w:rPr>
        <w:t>Wilders</w:t>
      </w:r>
      <w:r w:rsidRPr="00F15147">
        <w:rPr>
          <w:sz w:val="20"/>
          <w:lang w:val="en-GB"/>
        </w:rPr>
        <w:t xml:space="preserve">’ acquittal and, therefore, did not argue the case against him. </w:t>
      </w:r>
    </w:p>
    <w:p w14:paraId="2FFC1534" w14:textId="77777777" w:rsidR="00E152A1" w:rsidRPr="00F15147" w:rsidRDefault="00496E66" w:rsidP="00496E66">
      <w:pPr>
        <w:pStyle w:val="H23G"/>
        <w:rPr>
          <w:sz w:val="20"/>
        </w:rPr>
      </w:pPr>
      <w:r w:rsidRPr="00F15147">
        <w:rPr>
          <w:sz w:val="20"/>
        </w:rPr>
        <w:tab/>
      </w:r>
      <w:r w:rsidRPr="00F15147">
        <w:rPr>
          <w:sz w:val="20"/>
        </w:rPr>
        <w:tab/>
      </w:r>
      <w:r w:rsidR="00E152A1" w:rsidRPr="00F15147">
        <w:rPr>
          <w:sz w:val="20"/>
        </w:rPr>
        <w:t>State party’s observations on admissibility</w:t>
      </w:r>
    </w:p>
    <w:p w14:paraId="74C62D4D" w14:textId="5BA08C39" w:rsidR="00E152A1" w:rsidRPr="00F15147" w:rsidRDefault="00E152A1" w:rsidP="00993F8D">
      <w:pPr>
        <w:pStyle w:val="SingleTxtG"/>
        <w:rPr>
          <w:sz w:val="20"/>
          <w:lang w:val="en-GB"/>
        </w:rPr>
      </w:pPr>
      <w:r w:rsidRPr="00F15147">
        <w:rPr>
          <w:sz w:val="20"/>
          <w:lang w:val="en-GB"/>
        </w:rPr>
        <w:t>4.1</w:t>
      </w:r>
      <w:r w:rsidRPr="00F15147">
        <w:rPr>
          <w:sz w:val="20"/>
          <w:lang w:val="en-GB"/>
        </w:rPr>
        <w:tab/>
      </w:r>
      <w:r w:rsidR="00B815D8" w:rsidRPr="00F15147">
        <w:rPr>
          <w:sz w:val="20"/>
          <w:lang w:val="en-GB"/>
        </w:rPr>
        <w:t>The State party submitted observations on admissibility o</w:t>
      </w:r>
      <w:r w:rsidRPr="00F15147">
        <w:rPr>
          <w:sz w:val="20"/>
          <w:lang w:val="en-GB"/>
        </w:rPr>
        <w:t>n 24 February 2012</w:t>
      </w:r>
      <w:r w:rsidR="00A74A0B" w:rsidRPr="00F15147">
        <w:rPr>
          <w:sz w:val="20"/>
          <w:lang w:val="en-GB"/>
        </w:rPr>
        <w:t xml:space="preserve"> and </w:t>
      </w:r>
      <w:r w:rsidR="009775D3">
        <w:rPr>
          <w:sz w:val="20"/>
          <w:lang w:val="en-GB"/>
        </w:rPr>
        <w:t>28 </w:t>
      </w:r>
      <w:r w:rsidR="00A276C0" w:rsidRPr="00F15147">
        <w:rPr>
          <w:sz w:val="20"/>
          <w:lang w:val="en-GB"/>
        </w:rPr>
        <w:t>May 2015</w:t>
      </w:r>
      <w:r w:rsidR="00F04DBF" w:rsidRPr="00F15147">
        <w:rPr>
          <w:sz w:val="20"/>
          <w:lang w:val="en-GB"/>
        </w:rPr>
        <w:t>.</w:t>
      </w:r>
      <w:r w:rsidRPr="00F15147">
        <w:rPr>
          <w:sz w:val="20"/>
          <w:lang w:val="en-GB"/>
        </w:rPr>
        <w:t xml:space="preserve"> </w:t>
      </w:r>
      <w:r w:rsidR="00784C41" w:rsidRPr="00F15147">
        <w:rPr>
          <w:sz w:val="20"/>
          <w:lang w:val="en-GB"/>
        </w:rPr>
        <w:t>It</w:t>
      </w:r>
      <w:r w:rsidRPr="00F15147">
        <w:rPr>
          <w:sz w:val="20"/>
          <w:lang w:val="en-GB"/>
        </w:rPr>
        <w:t xml:space="preserve"> disputes the admissibility of the communication </w:t>
      </w:r>
      <w:r w:rsidR="002721DF" w:rsidRPr="00F15147">
        <w:rPr>
          <w:sz w:val="20"/>
          <w:lang w:val="en-GB"/>
        </w:rPr>
        <w:t>for</w:t>
      </w:r>
      <w:r w:rsidRPr="00F15147">
        <w:rPr>
          <w:sz w:val="20"/>
          <w:lang w:val="en-GB"/>
        </w:rPr>
        <w:t xml:space="preserve"> fail</w:t>
      </w:r>
      <w:r w:rsidR="002721DF" w:rsidRPr="00F15147">
        <w:rPr>
          <w:sz w:val="20"/>
          <w:lang w:val="en-GB"/>
        </w:rPr>
        <w:t>ure</w:t>
      </w:r>
      <w:r w:rsidRPr="00F15147">
        <w:rPr>
          <w:sz w:val="20"/>
          <w:lang w:val="en-GB"/>
        </w:rPr>
        <w:t xml:space="preserve"> to exhaust domestic remedies</w:t>
      </w:r>
      <w:r w:rsidR="002721DF" w:rsidRPr="00F15147">
        <w:rPr>
          <w:sz w:val="20"/>
          <w:lang w:val="en-GB"/>
        </w:rPr>
        <w:t>, lack of victim status and</w:t>
      </w:r>
      <w:r w:rsidR="00ED1575" w:rsidRPr="00F15147">
        <w:rPr>
          <w:sz w:val="20"/>
          <w:lang w:val="en-GB"/>
        </w:rPr>
        <w:t xml:space="preserve"> </w:t>
      </w:r>
      <w:r w:rsidRPr="00F15147">
        <w:rPr>
          <w:i/>
          <w:sz w:val="20"/>
          <w:lang w:val="en-GB"/>
        </w:rPr>
        <w:t>ratione materiae</w:t>
      </w:r>
      <w:r w:rsidR="00D15623" w:rsidRPr="00F15147">
        <w:rPr>
          <w:sz w:val="20"/>
          <w:lang w:val="en-GB"/>
        </w:rPr>
        <w:t>.</w:t>
      </w:r>
    </w:p>
    <w:p w14:paraId="71C4D2C3" w14:textId="7F3AB883" w:rsidR="00E152A1" w:rsidRPr="00F15147" w:rsidRDefault="00E152A1" w:rsidP="00E11782">
      <w:pPr>
        <w:pStyle w:val="SingleTxtG"/>
        <w:rPr>
          <w:sz w:val="20"/>
          <w:lang w:val="en-GB"/>
        </w:rPr>
      </w:pPr>
      <w:r w:rsidRPr="00F15147">
        <w:rPr>
          <w:sz w:val="20"/>
          <w:lang w:val="en-GB"/>
        </w:rPr>
        <w:t>4.2</w:t>
      </w:r>
      <w:r w:rsidRPr="00F15147">
        <w:rPr>
          <w:sz w:val="20"/>
          <w:lang w:val="en-GB"/>
        </w:rPr>
        <w:tab/>
      </w:r>
      <w:r w:rsidR="00350473" w:rsidRPr="00F15147">
        <w:rPr>
          <w:sz w:val="20"/>
          <w:lang w:val="en-GB"/>
        </w:rPr>
        <w:t>O</w:t>
      </w:r>
      <w:r w:rsidRPr="00F15147">
        <w:rPr>
          <w:sz w:val="20"/>
          <w:lang w:val="en-GB"/>
        </w:rPr>
        <w:t xml:space="preserve">n 31 March 2008, </w:t>
      </w:r>
      <w:r w:rsidR="006837AA">
        <w:rPr>
          <w:sz w:val="20"/>
          <w:lang w:val="en-GB"/>
        </w:rPr>
        <w:t>Mr. </w:t>
      </w:r>
      <w:r w:rsidRPr="00F15147">
        <w:rPr>
          <w:sz w:val="20"/>
          <w:lang w:val="en-GB"/>
        </w:rPr>
        <w:t xml:space="preserve">Rabbae lodged a criminal complaint against </w:t>
      </w:r>
      <w:r w:rsidR="006837AA">
        <w:rPr>
          <w:sz w:val="20"/>
          <w:lang w:val="en-GB"/>
        </w:rPr>
        <w:t>Mr. </w:t>
      </w:r>
      <w:r w:rsidR="00696F9C">
        <w:rPr>
          <w:sz w:val="20"/>
          <w:lang w:val="en-GB"/>
        </w:rPr>
        <w:t>Wilders</w:t>
      </w:r>
      <w:r w:rsidR="006D7C49" w:rsidRPr="00F15147">
        <w:rPr>
          <w:sz w:val="20"/>
          <w:lang w:val="en-GB"/>
        </w:rPr>
        <w:t>, but</w:t>
      </w:r>
      <w:r w:rsidRPr="00F15147">
        <w:rPr>
          <w:sz w:val="20"/>
          <w:lang w:val="en-GB"/>
        </w:rPr>
        <w:t xml:space="preserve"> the prosecutor decided not to institute proceedings. On 21 September 2009, following a complaint by other parties (none of whom are</w:t>
      </w:r>
      <w:r w:rsidR="00ED1575" w:rsidRPr="00F15147">
        <w:rPr>
          <w:sz w:val="20"/>
          <w:lang w:val="en-GB"/>
        </w:rPr>
        <w:t xml:space="preserve"> </w:t>
      </w:r>
      <w:r w:rsidRPr="00F15147">
        <w:rPr>
          <w:sz w:val="20"/>
          <w:lang w:val="en-GB"/>
        </w:rPr>
        <w:t>authors of the present communication)</w:t>
      </w:r>
      <w:r w:rsidR="004B4102" w:rsidRPr="00F15147">
        <w:rPr>
          <w:sz w:val="20"/>
          <w:lang w:val="en-GB"/>
        </w:rPr>
        <w:t>, the Amsterdam Court of Appeal</w:t>
      </w:r>
      <w:r w:rsidRPr="00F15147">
        <w:rPr>
          <w:sz w:val="20"/>
          <w:lang w:val="en-GB"/>
        </w:rPr>
        <w:t xml:space="preserve"> ordered the</w:t>
      </w:r>
      <w:r w:rsidR="00ED1575" w:rsidRPr="00F15147">
        <w:rPr>
          <w:sz w:val="20"/>
          <w:lang w:val="en-GB"/>
        </w:rPr>
        <w:t xml:space="preserve"> </w:t>
      </w:r>
      <w:r w:rsidRPr="00F15147">
        <w:rPr>
          <w:sz w:val="20"/>
          <w:lang w:val="en-GB"/>
        </w:rPr>
        <w:t>prosecutor to start proceedings against</w:t>
      </w:r>
      <w:r w:rsidR="00ED1575" w:rsidRPr="00F15147">
        <w:rPr>
          <w:sz w:val="20"/>
          <w:lang w:val="en-GB"/>
        </w:rPr>
        <w:t xml:space="preserve"> </w:t>
      </w:r>
      <w:r w:rsidR="006837AA">
        <w:rPr>
          <w:sz w:val="20"/>
          <w:lang w:val="en-GB"/>
        </w:rPr>
        <w:t>Mr. </w:t>
      </w:r>
      <w:r w:rsidR="00696F9C">
        <w:rPr>
          <w:sz w:val="20"/>
          <w:lang w:val="en-GB"/>
        </w:rPr>
        <w:t>Wilders</w:t>
      </w:r>
      <w:r w:rsidRPr="00F15147">
        <w:rPr>
          <w:sz w:val="20"/>
          <w:lang w:val="en-GB"/>
        </w:rPr>
        <w:t xml:space="preserve"> for discrimination and incitement to hatred. On 21 February 2010, the authors joined the proceedings as aggrieved parties</w:t>
      </w:r>
      <w:r w:rsidR="00D15623" w:rsidRPr="00F15147">
        <w:rPr>
          <w:sz w:val="20"/>
          <w:lang w:val="en-GB"/>
        </w:rPr>
        <w:t>.</w:t>
      </w:r>
      <w:r w:rsidR="003204B4" w:rsidRPr="00F15147">
        <w:rPr>
          <w:sz w:val="20"/>
          <w:lang w:val="en-GB"/>
        </w:rPr>
        <w:t xml:space="preserve"> On 23 June 2011, </w:t>
      </w:r>
      <w:r w:rsidR="006837AA">
        <w:rPr>
          <w:sz w:val="20"/>
          <w:lang w:val="en-GB"/>
        </w:rPr>
        <w:t>Mr. </w:t>
      </w:r>
      <w:r w:rsidR="00696F9C">
        <w:rPr>
          <w:sz w:val="20"/>
          <w:lang w:val="en-GB"/>
        </w:rPr>
        <w:t>Wilders</w:t>
      </w:r>
      <w:r w:rsidR="005301FC" w:rsidRPr="00F15147">
        <w:rPr>
          <w:sz w:val="20"/>
          <w:lang w:val="en-GB"/>
        </w:rPr>
        <w:t xml:space="preserve"> was acquitted</w:t>
      </w:r>
      <w:r w:rsidR="00350473" w:rsidRPr="00F15147">
        <w:rPr>
          <w:sz w:val="20"/>
          <w:lang w:val="en-GB"/>
        </w:rPr>
        <w:t>. T</w:t>
      </w:r>
      <w:r w:rsidR="00FA244E" w:rsidRPr="00F15147">
        <w:rPr>
          <w:sz w:val="20"/>
          <w:lang w:val="en-GB"/>
        </w:rPr>
        <w:t>he authors’ claims were</w:t>
      </w:r>
      <w:r w:rsidR="00ED1575" w:rsidRPr="00F15147">
        <w:rPr>
          <w:sz w:val="20"/>
          <w:lang w:val="en-GB"/>
        </w:rPr>
        <w:t xml:space="preserve"> </w:t>
      </w:r>
      <w:r w:rsidR="00491BC3" w:rsidRPr="00F15147">
        <w:rPr>
          <w:sz w:val="20"/>
          <w:lang w:val="en-GB"/>
        </w:rPr>
        <w:t>therefore</w:t>
      </w:r>
      <w:r w:rsidR="00FA244E" w:rsidRPr="00F15147">
        <w:rPr>
          <w:sz w:val="20"/>
          <w:lang w:val="en-GB"/>
        </w:rPr>
        <w:t xml:space="preserve"> declared inadmissible</w:t>
      </w:r>
      <w:r w:rsidRPr="00F15147">
        <w:rPr>
          <w:sz w:val="20"/>
          <w:lang w:val="en-GB"/>
        </w:rPr>
        <w:t>.</w:t>
      </w:r>
    </w:p>
    <w:p w14:paraId="26D68358" w14:textId="47AA4A3B" w:rsidR="00AB4A69" w:rsidRPr="00F15147" w:rsidRDefault="004E289D" w:rsidP="00F33CF9">
      <w:pPr>
        <w:pStyle w:val="SingleTxtG"/>
        <w:rPr>
          <w:sz w:val="20"/>
          <w:lang w:val="en-GB"/>
        </w:rPr>
      </w:pPr>
      <w:r w:rsidRPr="00F15147">
        <w:rPr>
          <w:sz w:val="20"/>
          <w:lang w:val="en-GB"/>
        </w:rPr>
        <w:t>4.3</w:t>
      </w:r>
      <w:r w:rsidRPr="00F15147">
        <w:rPr>
          <w:sz w:val="20"/>
          <w:lang w:val="en-GB"/>
        </w:rPr>
        <w:tab/>
      </w:r>
      <w:r w:rsidR="0087189B" w:rsidRPr="00F15147">
        <w:rPr>
          <w:sz w:val="20"/>
          <w:lang w:val="en-GB"/>
        </w:rPr>
        <w:t>A</w:t>
      </w:r>
      <w:r w:rsidR="00AB4A69" w:rsidRPr="00F15147">
        <w:rPr>
          <w:sz w:val="20"/>
          <w:lang w:val="en-GB"/>
        </w:rPr>
        <w:t xml:space="preserve">rticle 20 </w:t>
      </w:r>
      <w:r w:rsidR="005A6755">
        <w:rPr>
          <w:sz w:val="20"/>
          <w:lang w:val="en-GB"/>
        </w:rPr>
        <w:t xml:space="preserve">of the Covenant </w:t>
      </w:r>
      <w:r w:rsidR="00AB4A69" w:rsidRPr="00F15147">
        <w:rPr>
          <w:sz w:val="20"/>
          <w:lang w:val="en-GB"/>
        </w:rPr>
        <w:t>is cast not in the form of a human right, but as an obligation on States</w:t>
      </w:r>
      <w:r w:rsidR="00ED1575" w:rsidRPr="00F15147">
        <w:rPr>
          <w:sz w:val="20"/>
          <w:lang w:val="en-GB"/>
        </w:rPr>
        <w:t xml:space="preserve"> </w:t>
      </w:r>
      <w:r w:rsidR="00AB4A69" w:rsidRPr="00F15147">
        <w:rPr>
          <w:sz w:val="20"/>
          <w:lang w:val="en-GB"/>
        </w:rPr>
        <w:t>to put in place legislation prohibiting</w:t>
      </w:r>
      <w:r w:rsidR="00230588" w:rsidRPr="00F15147">
        <w:rPr>
          <w:sz w:val="20"/>
          <w:lang w:val="en-GB"/>
        </w:rPr>
        <w:t xml:space="preserve"> the conduct described. </w:t>
      </w:r>
      <w:r w:rsidR="001F1CEF" w:rsidRPr="00F15147">
        <w:rPr>
          <w:sz w:val="20"/>
          <w:lang w:val="en-GB"/>
        </w:rPr>
        <w:t>Other articles use terms such as “all persons”</w:t>
      </w:r>
      <w:r w:rsidR="00F33CF9">
        <w:rPr>
          <w:sz w:val="20"/>
          <w:lang w:val="en-GB"/>
        </w:rPr>
        <w:t xml:space="preserve"> and</w:t>
      </w:r>
      <w:r w:rsidR="001F1CEF" w:rsidRPr="00F15147">
        <w:rPr>
          <w:sz w:val="20"/>
          <w:lang w:val="en-GB"/>
        </w:rPr>
        <w:t xml:space="preserve"> “everyone”. </w:t>
      </w:r>
      <w:r w:rsidR="00230588" w:rsidRPr="00F15147">
        <w:rPr>
          <w:sz w:val="20"/>
          <w:lang w:val="en-GB"/>
        </w:rPr>
        <w:t>Reading article 20 in terms of a justiciable human right would, in essence, result in a human right to specific legislation, and no such right is recogni</w:t>
      </w:r>
      <w:r w:rsidR="00F33CF9">
        <w:rPr>
          <w:sz w:val="20"/>
          <w:lang w:val="en-GB"/>
        </w:rPr>
        <w:t>z</w:t>
      </w:r>
      <w:r w:rsidR="00230588" w:rsidRPr="00F15147">
        <w:rPr>
          <w:sz w:val="20"/>
          <w:lang w:val="en-GB"/>
        </w:rPr>
        <w:t xml:space="preserve">ed. </w:t>
      </w:r>
      <w:r w:rsidR="008B5B26" w:rsidRPr="00F15147">
        <w:rPr>
          <w:sz w:val="20"/>
          <w:lang w:val="en-GB"/>
        </w:rPr>
        <w:t>P</w:t>
      </w:r>
      <w:r w:rsidR="00230588" w:rsidRPr="00F15147">
        <w:rPr>
          <w:sz w:val="20"/>
          <w:lang w:val="en-GB"/>
        </w:rPr>
        <w:t xml:space="preserve">aragraph 2 has been duly implemented in the Netherlands </w:t>
      </w:r>
      <w:r w:rsidR="00784C41" w:rsidRPr="00F15147">
        <w:rPr>
          <w:sz w:val="20"/>
          <w:lang w:val="en-GB"/>
        </w:rPr>
        <w:t>through</w:t>
      </w:r>
      <w:r w:rsidR="00230588" w:rsidRPr="00F15147">
        <w:rPr>
          <w:sz w:val="20"/>
          <w:lang w:val="en-GB"/>
        </w:rPr>
        <w:t xml:space="preserve"> legislation </w:t>
      </w:r>
      <w:r w:rsidR="00F33CF9">
        <w:rPr>
          <w:sz w:val="20"/>
          <w:lang w:val="en-GB"/>
        </w:rPr>
        <w:t>that</w:t>
      </w:r>
      <w:r w:rsidR="00230588" w:rsidRPr="00F15147">
        <w:rPr>
          <w:sz w:val="20"/>
          <w:lang w:val="en-GB"/>
        </w:rPr>
        <w:t xml:space="preserve"> prohibits any advocacy of national, racial or religious hatred that </w:t>
      </w:r>
      <w:r w:rsidR="00230588" w:rsidRPr="00F15147">
        <w:rPr>
          <w:sz w:val="20"/>
          <w:lang w:val="en-GB"/>
        </w:rPr>
        <w:lastRenderedPageBreak/>
        <w:t xml:space="preserve">constitutes incitement to discrimination, hostility or violence. </w:t>
      </w:r>
      <w:r w:rsidR="005301FC" w:rsidRPr="00F15147">
        <w:rPr>
          <w:sz w:val="20"/>
          <w:lang w:val="en-GB"/>
        </w:rPr>
        <w:t>T</w:t>
      </w:r>
      <w:r w:rsidR="00230588" w:rsidRPr="00F15147">
        <w:rPr>
          <w:sz w:val="20"/>
          <w:lang w:val="en-GB"/>
        </w:rPr>
        <w:t>he Committee</w:t>
      </w:r>
      <w:r w:rsidR="005301FC" w:rsidRPr="00F15147">
        <w:rPr>
          <w:sz w:val="20"/>
          <w:lang w:val="en-GB"/>
        </w:rPr>
        <w:t>’s case</w:t>
      </w:r>
      <w:r w:rsidR="00F33CF9">
        <w:rPr>
          <w:sz w:val="20"/>
          <w:lang w:val="en-GB"/>
        </w:rPr>
        <w:t xml:space="preserve"> </w:t>
      </w:r>
      <w:r w:rsidR="005301FC" w:rsidRPr="00F15147">
        <w:rPr>
          <w:sz w:val="20"/>
          <w:lang w:val="en-GB"/>
        </w:rPr>
        <w:t>law</w:t>
      </w:r>
      <w:r w:rsidR="00ED1575" w:rsidRPr="00F15147">
        <w:rPr>
          <w:sz w:val="20"/>
          <w:lang w:val="en-GB"/>
        </w:rPr>
        <w:t xml:space="preserve"> </w:t>
      </w:r>
      <w:r w:rsidR="00784C41" w:rsidRPr="00F15147">
        <w:rPr>
          <w:sz w:val="20"/>
          <w:lang w:val="en-GB"/>
        </w:rPr>
        <w:t xml:space="preserve">also </w:t>
      </w:r>
      <w:r w:rsidR="00230588" w:rsidRPr="00F15147">
        <w:rPr>
          <w:sz w:val="20"/>
          <w:lang w:val="en-GB"/>
        </w:rPr>
        <w:t>suggests that article 20</w:t>
      </w:r>
      <w:r w:rsidR="00F33CF9">
        <w:rPr>
          <w:sz w:val="20"/>
          <w:lang w:val="en-GB"/>
        </w:rPr>
        <w:t xml:space="preserve"> </w:t>
      </w:r>
      <w:r w:rsidR="00230588" w:rsidRPr="00F15147">
        <w:rPr>
          <w:sz w:val="20"/>
          <w:lang w:val="en-GB"/>
        </w:rPr>
        <w:t>(2) cannot be invo</w:t>
      </w:r>
      <w:r w:rsidR="00ED1575" w:rsidRPr="00F15147">
        <w:rPr>
          <w:sz w:val="20"/>
          <w:lang w:val="en-GB"/>
        </w:rPr>
        <w:t>ked under the Optional Protocol</w:t>
      </w:r>
      <w:r w:rsidR="00F33CF9">
        <w:rPr>
          <w:sz w:val="20"/>
          <w:lang w:val="en-GB"/>
        </w:rPr>
        <w:t>.</w:t>
      </w:r>
      <w:r w:rsidR="00230588" w:rsidRPr="003710BE">
        <w:rPr>
          <w:rStyle w:val="FootnoteReference"/>
        </w:rPr>
        <w:footnoteReference w:id="9"/>
      </w:r>
    </w:p>
    <w:p w14:paraId="0E798E3B" w14:textId="17380EDD" w:rsidR="00E152A1" w:rsidRPr="00F15147" w:rsidRDefault="00E152A1" w:rsidP="00F33CF9">
      <w:pPr>
        <w:pStyle w:val="SingleTxtG"/>
        <w:rPr>
          <w:sz w:val="20"/>
          <w:lang w:val="en-GB"/>
        </w:rPr>
      </w:pPr>
      <w:r w:rsidRPr="00F15147">
        <w:rPr>
          <w:sz w:val="20"/>
          <w:lang w:val="en-GB"/>
        </w:rPr>
        <w:t>4.</w:t>
      </w:r>
      <w:r w:rsidR="004E289D" w:rsidRPr="00F15147">
        <w:rPr>
          <w:sz w:val="20"/>
          <w:lang w:val="en-GB"/>
        </w:rPr>
        <w:t>4</w:t>
      </w:r>
      <w:r w:rsidR="00EB0DA4" w:rsidRPr="00F15147">
        <w:rPr>
          <w:sz w:val="20"/>
          <w:lang w:val="en-GB"/>
        </w:rPr>
        <w:tab/>
      </w:r>
      <w:r w:rsidR="008B5B26" w:rsidRPr="00F15147">
        <w:rPr>
          <w:sz w:val="20"/>
          <w:lang w:val="en-GB"/>
        </w:rPr>
        <w:t>J</w:t>
      </w:r>
      <w:r w:rsidR="007D24AD" w:rsidRPr="00F15147">
        <w:rPr>
          <w:sz w:val="20"/>
          <w:lang w:val="en-GB"/>
        </w:rPr>
        <w:t xml:space="preserve">oining the criminal proceedings against </w:t>
      </w:r>
      <w:r w:rsidR="006837AA">
        <w:rPr>
          <w:sz w:val="20"/>
          <w:lang w:val="en-GB"/>
        </w:rPr>
        <w:t>Mr. </w:t>
      </w:r>
      <w:r w:rsidR="00696F9C">
        <w:rPr>
          <w:sz w:val="20"/>
          <w:lang w:val="en-GB"/>
        </w:rPr>
        <w:t>Wilders</w:t>
      </w:r>
      <w:r w:rsidR="007D24AD" w:rsidRPr="00F15147">
        <w:rPr>
          <w:sz w:val="20"/>
          <w:lang w:val="en-GB"/>
        </w:rPr>
        <w:t xml:space="preserve"> as aggrieved part</w:t>
      </w:r>
      <w:r w:rsidR="00784C41" w:rsidRPr="00F15147">
        <w:rPr>
          <w:sz w:val="20"/>
          <w:lang w:val="en-GB"/>
        </w:rPr>
        <w:t>ies</w:t>
      </w:r>
      <w:r w:rsidR="007D24AD" w:rsidRPr="00F15147">
        <w:rPr>
          <w:sz w:val="20"/>
          <w:lang w:val="en-GB"/>
        </w:rPr>
        <w:t xml:space="preserve"> amounted to bringing a civil action in the context of a criminal case. </w:t>
      </w:r>
      <w:r w:rsidR="00957613" w:rsidRPr="00F15147">
        <w:rPr>
          <w:sz w:val="20"/>
          <w:lang w:val="en-GB"/>
        </w:rPr>
        <w:t xml:space="preserve">Since </w:t>
      </w:r>
      <w:r w:rsidR="006837AA">
        <w:rPr>
          <w:sz w:val="20"/>
          <w:lang w:val="en-GB"/>
        </w:rPr>
        <w:t>Mr. </w:t>
      </w:r>
      <w:r w:rsidR="00696F9C">
        <w:rPr>
          <w:sz w:val="20"/>
          <w:lang w:val="en-GB"/>
        </w:rPr>
        <w:t>Wilders</w:t>
      </w:r>
      <w:r w:rsidR="00604FBC" w:rsidRPr="00F15147">
        <w:rPr>
          <w:sz w:val="20"/>
          <w:lang w:val="en-GB"/>
        </w:rPr>
        <w:t xml:space="preserve"> was not convicted</w:t>
      </w:r>
      <w:r w:rsidR="00784C41" w:rsidRPr="00F15147">
        <w:rPr>
          <w:sz w:val="20"/>
          <w:lang w:val="en-GB"/>
        </w:rPr>
        <w:t>,</w:t>
      </w:r>
      <w:r w:rsidR="00ED1575" w:rsidRPr="00F15147">
        <w:rPr>
          <w:sz w:val="20"/>
          <w:lang w:val="en-GB"/>
        </w:rPr>
        <w:t xml:space="preserve"> </w:t>
      </w:r>
      <w:r w:rsidR="00CD4EC6" w:rsidRPr="00F15147">
        <w:rPr>
          <w:sz w:val="20"/>
          <w:lang w:val="en-GB"/>
        </w:rPr>
        <w:t>the civil claim could not be examined</w:t>
      </w:r>
      <w:r w:rsidR="00604FBC" w:rsidRPr="00F15147">
        <w:rPr>
          <w:sz w:val="20"/>
          <w:lang w:val="en-GB"/>
        </w:rPr>
        <w:t>.</w:t>
      </w:r>
      <w:r w:rsidR="00ED1575" w:rsidRPr="00F15147">
        <w:rPr>
          <w:sz w:val="20"/>
          <w:lang w:val="en-GB"/>
        </w:rPr>
        <w:t xml:space="preserve"> </w:t>
      </w:r>
      <w:r w:rsidR="00CD4EC6" w:rsidRPr="00F15147">
        <w:rPr>
          <w:sz w:val="20"/>
          <w:lang w:val="en-GB"/>
        </w:rPr>
        <w:t>However,</w:t>
      </w:r>
      <w:r w:rsidR="00ED1575" w:rsidRPr="00F15147">
        <w:rPr>
          <w:sz w:val="20"/>
          <w:lang w:val="en-GB"/>
        </w:rPr>
        <w:t xml:space="preserve"> </w:t>
      </w:r>
      <w:r w:rsidRPr="00F15147">
        <w:rPr>
          <w:sz w:val="20"/>
          <w:lang w:val="en-GB"/>
        </w:rPr>
        <w:t xml:space="preserve">the authors could have brought a </w:t>
      </w:r>
      <w:r w:rsidR="00957613" w:rsidRPr="00F15147">
        <w:rPr>
          <w:sz w:val="20"/>
          <w:lang w:val="en-GB"/>
        </w:rPr>
        <w:t xml:space="preserve">separate </w:t>
      </w:r>
      <w:r w:rsidRPr="00F15147">
        <w:rPr>
          <w:sz w:val="20"/>
          <w:lang w:val="en-GB"/>
        </w:rPr>
        <w:t xml:space="preserve">civil action against </w:t>
      </w:r>
      <w:r w:rsidR="006837AA">
        <w:rPr>
          <w:sz w:val="20"/>
          <w:lang w:val="en-GB"/>
        </w:rPr>
        <w:t>Mr. </w:t>
      </w:r>
      <w:r w:rsidR="00696F9C">
        <w:rPr>
          <w:sz w:val="20"/>
          <w:lang w:val="en-GB"/>
        </w:rPr>
        <w:t>Wilders</w:t>
      </w:r>
      <w:r w:rsidR="007D24AD" w:rsidRPr="00F15147">
        <w:rPr>
          <w:sz w:val="20"/>
          <w:lang w:val="en-GB"/>
        </w:rPr>
        <w:t xml:space="preserve"> before a civil court</w:t>
      </w:r>
      <w:r w:rsidRPr="00F15147">
        <w:rPr>
          <w:sz w:val="20"/>
          <w:lang w:val="en-GB"/>
        </w:rPr>
        <w:t xml:space="preserve"> pursuant to article 6:162 of the Civil Code</w:t>
      </w:r>
      <w:r w:rsidR="0088197D" w:rsidRPr="00F15147">
        <w:rPr>
          <w:sz w:val="20"/>
          <w:lang w:val="en-GB"/>
        </w:rPr>
        <w:t>.</w:t>
      </w:r>
      <w:r w:rsidRPr="003710BE">
        <w:rPr>
          <w:rStyle w:val="FootnoteReference"/>
        </w:rPr>
        <w:footnoteReference w:id="10"/>
      </w:r>
      <w:r w:rsidRPr="00F15147">
        <w:rPr>
          <w:sz w:val="20"/>
          <w:lang w:val="en-GB"/>
        </w:rPr>
        <w:t xml:space="preserve"> A person is liable under th</w:t>
      </w:r>
      <w:r w:rsidR="00F33CF9">
        <w:rPr>
          <w:sz w:val="20"/>
          <w:lang w:val="en-GB"/>
        </w:rPr>
        <w:t>at</w:t>
      </w:r>
      <w:r w:rsidRPr="00F15147">
        <w:rPr>
          <w:sz w:val="20"/>
          <w:lang w:val="en-GB"/>
        </w:rPr>
        <w:t xml:space="preserve"> article if an unlawful act was committed, the perpetrator is at fault, there is pecuniary or non-pecuniary damage and there is a causal link between the act</w:t>
      </w:r>
      <w:r w:rsidR="00ED1575" w:rsidRPr="00F15147">
        <w:rPr>
          <w:sz w:val="20"/>
          <w:lang w:val="en-GB"/>
        </w:rPr>
        <w:t xml:space="preserve"> </w:t>
      </w:r>
      <w:r w:rsidRPr="00F15147">
        <w:rPr>
          <w:sz w:val="20"/>
          <w:lang w:val="en-GB"/>
        </w:rPr>
        <w:t>and the damage done. An unlawful act or omission is committed if a right is violated, the act or omission is contrary to a statutory duty or the act or omission is contrary to a rule of unwritten law pertaining to proper social conduct.</w:t>
      </w:r>
      <w:r w:rsidR="00ED1575" w:rsidRPr="00F15147">
        <w:rPr>
          <w:sz w:val="20"/>
          <w:lang w:val="en-GB"/>
        </w:rPr>
        <w:t xml:space="preserve"> </w:t>
      </w:r>
      <w:r w:rsidR="00957613" w:rsidRPr="00F15147">
        <w:rPr>
          <w:sz w:val="20"/>
          <w:lang w:val="en-GB"/>
        </w:rPr>
        <w:t>Statutory duties include treaty provisions with direct effect, including most provisions of the Covenant. A civil suit on the grounds of an unlawful act can be effective even after an acquittal in a criminal proceeding, and some cases to determine whether statements are lawful have been successful.</w:t>
      </w:r>
      <w:r w:rsidR="002B797B" w:rsidRPr="00F15147">
        <w:rPr>
          <w:sz w:val="20"/>
          <w:lang w:val="en-GB"/>
        </w:rPr>
        <w:t xml:space="preserve"> </w:t>
      </w:r>
      <w:r w:rsidRPr="00F15147">
        <w:rPr>
          <w:sz w:val="20"/>
          <w:lang w:val="en-GB"/>
        </w:rPr>
        <w:t>Even if the authors do not seek compensation, a successful civil action could give them the opportunity to ask for a ban o</w:t>
      </w:r>
      <w:r w:rsidR="00F33CF9">
        <w:rPr>
          <w:sz w:val="20"/>
          <w:lang w:val="en-GB"/>
        </w:rPr>
        <w:t>n</w:t>
      </w:r>
      <w:r w:rsidRPr="00F15147">
        <w:rPr>
          <w:sz w:val="20"/>
          <w:lang w:val="en-GB"/>
        </w:rPr>
        <w:t xml:space="preserve"> future statements by</w:t>
      </w:r>
      <w:r w:rsidR="00ED1575" w:rsidRPr="00F15147">
        <w:rPr>
          <w:sz w:val="20"/>
          <w:lang w:val="en-GB"/>
        </w:rPr>
        <w:t xml:space="preserve"> </w:t>
      </w:r>
      <w:r w:rsidR="006837AA">
        <w:rPr>
          <w:sz w:val="20"/>
          <w:lang w:val="en-GB"/>
        </w:rPr>
        <w:t>Mr. </w:t>
      </w:r>
      <w:r w:rsidR="00696F9C">
        <w:rPr>
          <w:sz w:val="20"/>
          <w:lang w:val="en-GB"/>
        </w:rPr>
        <w:t>Wilders</w:t>
      </w:r>
      <w:r w:rsidRPr="00F15147">
        <w:rPr>
          <w:sz w:val="20"/>
          <w:lang w:val="en-GB"/>
        </w:rPr>
        <w:t xml:space="preserve"> or to request a declaratory </w:t>
      </w:r>
      <w:r w:rsidR="00957613" w:rsidRPr="00F15147">
        <w:rPr>
          <w:sz w:val="20"/>
          <w:lang w:val="en-GB"/>
        </w:rPr>
        <w:t>judgment</w:t>
      </w:r>
      <w:r w:rsidR="00ED1575" w:rsidRPr="00F15147">
        <w:rPr>
          <w:sz w:val="20"/>
          <w:lang w:val="en-GB"/>
        </w:rPr>
        <w:t xml:space="preserve"> </w:t>
      </w:r>
      <w:r w:rsidRPr="00F15147">
        <w:rPr>
          <w:sz w:val="20"/>
          <w:lang w:val="en-GB"/>
        </w:rPr>
        <w:t>that</w:t>
      </w:r>
      <w:r w:rsidR="00ED1575" w:rsidRPr="00F15147">
        <w:rPr>
          <w:sz w:val="20"/>
          <w:lang w:val="en-GB"/>
        </w:rPr>
        <w:t xml:space="preserve"> </w:t>
      </w:r>
      <w:r w:rsidR="006837AA">
        <w:rPr>
          <w:sz w:val="20"/>
          <w:lang w:val="en-GB"/>
        </w:rPr>
        <w:t>Mr. </w:t>
      </w:r>
      <w:r w:rsidR="00696F9C">
        <w:rPr>
          <w:sz w:val="20"/>
          <w:lang w:val="en-GB"/>
        </w:rPr>
        <w:t>Wilders</w:t>
      </w:r>
      <w:r w:rsidRPr="00F15147">
        <w:rPr>
          <w:sz w:val="20"/>
          <w:lang w:val="en-GB"/>
        </w:rPr>
        <w:t>’ statements were unlawful.</w:t>
      </w:r>
      <w:r w:rsidR="00604FBC" w:rsidRPr="00F15147">
        <w:rPr>
          <w:sz w:val="20"/>
          <w:lang w:val="en-GB"/>
        </w:rPr>
        <w:t xml:space="preserve"> A decision of a civil court is open to appeal.</w:t>
      </w:r>
      <w:r w:rsidRPr="00F15147">
        <w:rPr>
          <w:sz w:val="20"/>
          <w:lang w:val="en-GB"/>
        </w:rPr>
        <w:t xml:space="preserve"> The authors still have the possibility o</w:t>
      </w:r>
      <w:r w:rsidR="00F33CF9">
        <w:rPr>
          <w:sz w:val="20"/>
          <w:lang w:val="en-GB"/>
        </w:rPr>
        <w:t>f</w:t>
      </w:r>
      <w:r w:rsidRPr="00F15147">
        <w:rPr>
          <w:sz w:val="20"/>
          <w:lang w:val="en-GB"/>
        </w:rPr>
        <w:t xml:space="preserve"> bring</w:t>
      </w:r>
      <w:r w:rsidR="00F33CF9">
        <w:rPr>
          <w:sz w:val="20"/>
          <w:lang w:val="en-GB"/>
        </w:rPr>
        <w:t>ing</w:t>
      </w:r>
      <w:r w:rsidRPr="00F15147">
        <w:rPr>
          <w:sz w:val="20"/>
          <w:lang w:val="en-GB"/>
        </w:rPr>
        <w:t xml:space="preserve"> a civil action against</w:t>
      </w:r>
      <w:r w:rsidR="00ED1575" w:rsidRPr="00F15147">
        <w:rPr>
          <w:sz w:val="20"/>
          <w:lang w:val="en-GB"/>
        </w:rPr>
        <w:t xml:space="preserve"> </w:t>
      </w:r>
      <w:r w:rsidR="006837AA">
        <w:rPr>
          <w:sz w:val="20"/>
          <w:lang w:val="en-GB"/>
        </w:rPr>
        <w:t>Mr. </w:t>
      </w:r>
      <w:r w:rsidR="00696F9C">
        <w:rPr>
          <w:sz w:val="20"/>
          <w:lang w:val="en-GB"/>
        </w:rPr>
        <w:t>Wilders</w:t>
      </w:r>
      <w:r w:rsidRPr="00F15147">
        <w:rPr>
          <w:sz w:val="20"/>
          <w:lang w:val="en-GB"/>
        </w:rPr>
        <w:t>.</w:t>
      </w:r>
    </w:p>
    <w:p w14:paraId="685216F1" w14:textId="5C46F2AE" w:rsidR="00E152A1" w:rsidRPr="00F15147" w:rsidRDefault="00E152A1" w:rsidP="005A6755">
      <w:pPr>
        <w:pStyle w:val="SingleTxtG"/>
        <w:rPr>
          <w:sz w:val="20"/>
          <w:lang w:val="en-GB"/>
        </w:rPr>
      </w:pPr>
      <w:r w:rsidRPr="00F15147">
        <w:rPr>
          <w:sz w:val="20"/>
          <w:lang w:val="en-GB"/>
        </w:rPr>
        <w:t>4.</w:t>
      </w:r>
      <w:r w:rsidR="004E289D" w:rsidRPr="00F15147">
        <w:rPr>
          <w:sz w:val="20"/>
          <w:lang w:val="en-GB"/>
        </w:rPr>
        <w:t>5</w:t>
      </w:r>
      <w:r w:rsidRPr="00F15147">
        <w:rPr>
          <w:sz w:val="20"/>
          <w:lang w:val="en-GB"/>
        </w:rPr>
        <w:tab/>
      </w:r>
      <w:r w:rsidR="00D15623" w:rsidRPr="00F15147">
        <w:rPr>
          <w:sz w:val="20"/>
          <w:lang w:val="en-GB"/>
        </w:rPr>
        <w:t>M</w:t>
      </w:r>
      <w:r w:rsidR="00F33CF9">
        <w:rPr>
          <w:sz w:val="20"/>
          <w:lang w:val="en-GB"/>
        </w:rPr>
        <w:t>r.</w:t>
      </w:r>
      <w:r w:rsidR="00D15623" w:rsidRPr="00F15147">
        <w:rPr>
          <w:sz w:val="20"/>
          <w:lang w:val="en-GB"/>
        </w:rPr>
        <w:t xml:space="preserve"> Rabbae</w:t>
      </w:r>
      <w:r w:rsidRPr="00F15147">
        <w:rPr>
          <w:sz w:val="20"/>
          <w:lang w:val="en-GB"/>
        </w:rPr>
        <w:t xml:space="preserve"> has not </w:t>
      </w:r>
      <w:r w:rsidR="00D0072F" w:rsidRPr="00F15147">
        <w:rPr>
          <w:sz w:val="20"/>
          <w:lang w:val="en-GB"/>
        </w:rPr>
        <w:t>shown</w:t>
      </w:r>
      <w:r w:rsidRPr="00F15147">
        <w:rPr>
          <w:sz w:val="20"/>
          <w:lang w:val="en-GB"/>
        </w:rPr>
        <w:t xml:space="preserve"> that he is a victim of a violation of the Covenant. </w:t>
      </w:r>
      <w:r w:rsidR="00784C41" w:rsidRPr="00F15147">
        <w:rPr>
          <w:sz w:val="20"/>
          <w:lang w:val="en-GB"/>
        </w:rPr>
        <w:t>H</w:t>
      </w:r>
      <w:r w:rsidR="002E26DD" w:rsidRPr="00F15147">
        <w:rPr>
          <w:sz w:val="20"/>
          <w:lang w:val="en-GB"/>
        </w:rPr>
        <w:t>e</w:t>
      </w:r>
      <w:r w:rsidR="00784C41" w:rsidRPr="00F15147">
        <w:rPr>
          <w:sz w:val="20"/>
          <w:lang w:val="en-GB"/>
        </w:rPr>
        <w:t xml:space="preserve"> </w:t>
      </w:r>
      <w:r w:rsidR="002E26DD" w:rsidRPr="00F15147">
        <w:rPr>
          <w:sz w:val="20"/>
          <w:lang w:val="en-GB"/>
        </w:rPr>
        <w:t>simply</w:t>
      </w:r>
      <w:r w:rsidRPr="00F15147">
        <w:rPr>
          <w:sz w:val="20"/>
          <w:lang w:val="en-GB"/>
        </w:rPr>
        <w:t xml:space="preserve"> state</w:t>
      </w:r>
      <w:r w:rsidR="00350473" w:rsidRPr="00F15147">
        <w:rPr>
          <w:sz w:val="20"/>
          <w:lang w:val="en-GB"/>
        </w:rPr>
        <w:t>s</w:t>
      </w:r>
      <w:r w:rsidRPr="00F15147">
        <w:rPr>
          <w:sz w:val="20"/>
          <w:lang w:val="en-GB"/>
        </w:rPr>
        <w:t xml:space="preserve"> that he chairs a national consultative body of Moroccans and that he spoke at </w:t>
      </w:r>
      <w:r w:rsidR="006837AA">
        <w:rPr>
          <w:sz w:val="20"/>
          <w:lang w:val="en-GB"/>
        </w:rPr>
        <w:t>Mr. </w:t>
      </w:r>
      <w:r w:rsidR="00696F9C">
        <w:rPr>
          <w:sz w:val="20"/>
          <w:lang w:val="en-GB"/>
        </w:rPr>
        <w:t>Wilders</w:t>
      </w:r>
      <w:r w:rsidRPr="00F15147">
        <w:rPr>
          <w:sz w:val="20"/>
          <w:lang w:val="en-GB"/>
        </w:rPr>
        <w:t>’ trial. The</w:t>
      </w:r>
      <w:r w:rsidR="00ED1575" w:rsidRPr="00F15147">
        <w:rPr>
          <w:sz w:val="20"/>
          <w:lang w:val="en-GB"/>
        </w:rPr>
        <w:t xml:space="preserve"> </w:t>
      </w:r>
      <w:r w:rsidRPr="00F15147">
        <w:rPr>
          <w:sz w:val="20"/>
          <w:lang w:val="en-GB"/>
        </w:rPr>
        <w:t>second and third author</w:t>
      </w:r>
      <w:r w:rsidR="002E26DD" w:rsidRPr="00F15147">
        <w:rPr>
          <w:sz w:val="20"/>
          <w:lang w:val="en-GB"/>
        </w:rPr>
        <w:t>s</w:t>
      </w:r>
      <w:r w:rsidRPr="00F15147">
        <w:rPr>
          <w:sz w:val="20"/>
          <w:lang w:val="en-GB"/>
        </w:rPr>
        <w:t xml:space="preserve"> claim that they have been deprived of their undisturbed li</w:t>
      </w:r>
      <w:r w:rsidR="00F33CF9">
        <w:rPr>
          <w:sz w:val="20"/>
          <w:lang w:val="en-GB"/>
        </w:rPr>
        <w:t>ves</w:t>
      </w:r>
      <w:r w:rsidRPr="00F15147">
        <w:rPr>
          <w:sz w:val="20"/>
          <w:lang w:val="en-GB"/>
        </w:rPr>
        <w:t xml:space="preserve"> as members of the Muslim community without any protection by the State party. Nevertheless, the</w:t>
      </w:r>
      <w:r w:rsidR="00D0072F" w:rsidRPr="00F15147">
        <w:rPr>
          <w:sz w:val="20"/>
          <w:lang w:val="en-GB"/>
        </w:rPr>
        <w:t>y</w:t>
      </w:r>
      <w:r w:rsidR="002E26DD" w:rsidRPr="00F15147">
        <w:rPr>
          <w:sz w:val="20"/>
          <w:lang w:val="en-GB"/>
        </w:rPr>
        <w:t xml:space="preserve"> have</w:t>
      </w:r>
      <w:r w:rsidRPr="00F15147">
        <w:rPr>
          <w:sz w:val="20"/>
          <w:lang w:val="en-GB"/>
        </w:rPr>
        <w:t xml:space="preserve"> failed to establish that the statements </w:t>
      </w:r>
      <w:r w:rsidR="008B5B26" w:rsidRPr="00F15147">
        <w:rPr>
          <w:sz w:val="20"/>
          <w:lang w:val="en-GB"/>
        </w:rPr>
        <w:t>in question</w:t>
      </w:r>
      <w:r w:rsidRPr="00F15147">
        <w:rPr>
          <w:sz w:val="20"/>
          <w:lang w:val="en-GB"/>
        </w:rPr>
        <w:t xml:space="preserve"> had specific consequences for them</w:t>
      </w:r>
      <w:r w:rsidR="00307900" w:rsidRPr="00F15147">
        <w:rPr>
          <w:sz w:val="20"/>
          <w:lang w:val="en-GB"/>
        </w:rPr>
        <w:t>,</w:t>
      </w:r>
      <w:r w:rsidRPr="00F15147">
        <w:rPr>
          <w:sz w:val="20"/>
          <w:lang w:val="en-GB"/>
        </w:rPr>
        <w:t xml:space="preserve"> or that such consequences were imminent</w:t>
      </w:r>
      <w:r w:rsidR="008B5B26" w:rsidRPr="00F15147">
        <w:rPr>
          <w:sz w:val="20"/>
          <w:lang w:val="en-GB"/>
        </w:rPr>
        <w:t>,</w:t>
      </w:r>
      <w:r w:rsidRPr="00F15147">
        <w:rPr>
          <w:sz w:val="20"/>
          <w:lang w:val="en-GB"/>
        </w:rPr>
        <w:t xml:space="preserve"> would personally affect them and th</w:t>
      </w:r>
      <w:r w:rsidR="000C2050" w:rsidRPr="00F15147">
        <w:rPr>
          <w:sz w:val="20"/>
          <w:lang w:val="en-GB"/>
        </w:rPr>
        <w:t>at</w:t>
      </w:r>
      <w:r w:rsidRPr="00F15147">
        <w:rPr>
          <w:sz w:val="20"/>
          <w:lang w:val="en-GB"/>
        </w:rPr>
        <w:t xml:space="preserve"> </w:t>
      </w:r>
      <w:r w:rsidR="00E3456A" w:rsidRPr="00F15147">
        <w:rPr>
          <w:sz w:val="20"/>
          <w:lang w:val="en-GB"/>
        </w:rPr>
        <w:t xml:space="preserve">they </w:t>
      </w:r>
      <w:r w:rsidRPr="00F15147">
        <w:rPr>
          <w:sz w:val="20"/>
          <w:lang w:val="en-GB"/>
        </w:rPr>
        <w:t xml:space="preserve">needed the State’s protection. Had they needed such protection, they </w:t>
      </w:r>
      <w:r w:rsidR="006D5622" w:rsidRPr="00F15147">
        <w:rPr>
          <w:sz w:val="20"/>
          <w:lang w:val="en-GB"/>
        </w:rPr>
        <w:t>c</w:t>
      </w:r>
      <w:r w:rsidRPr="00F15147">
        <w:rPr>
          <w:sz w:val="20"/>
          <w:lang w:val="en-GB"/>
        </w:rPr>
        <w:t xml:space="preserve">ould have lodged a criminal complaint. </w:t>
      </w:r>
      <w:r w:rsidR="00931542" w:rsidRPr="00EC1FEE">
        <w:rPr>
          <w:sz w:val="20"/>
          <w:szCs w:val="20"/>
          <w:lang w:val="en-GB"/>
        </w:rPr>
        <w:t>The understanding of a victim by</w:t>
      </w:r>
      <w:r w:rsidR="00931542" w:rsidRPr="00F15147">
        <w:rPr>
          <w:sz w:val="20"/>
          <w:lang w:val="en-GB"/>
        </w:rPr>
        <w:t xml:space="preserve"> </w:t>
      </w:r>
      <w:r w:rsidR="002F5250">
        <w:rPr>
          <w:sz w:val="20"/>
          <w:lang w:val="en-GB"/>
        </w:rPr>
        <w:t xml:space="preserve">the </w:t>
      </w:r>
      <w:r w:rsidR="002F5250" w:rsidRPr="002F5250">
        <w:rPr>
          <w:rStyle w:val="Emphasis"/>
          <w:i w:val="0"/>
          <w:iCs w:val="0"/>
          <w:sz w:val="20"/>
          <w:szCs w:val="20"/>
        </w:rPr>
        <w:t>Committee</w:t>
      </w:r>
      <w:r w:rsidR="002F5250" w:rsidRPr="002F5250">
        <w:rPr>
          <w:rStyle w:val="preferred"/>
          <w:i/>
          <w:sz w:val="20"/>
          <w:szCs w:val="20"/>
        </w:rPr>
        <w:t xml:space="preserve"> </w:t>
      </w:r>
      <w:r w:rsidR="002F5250" w:rsidRPr="002F5250">
        <w:rPr>
          <w:rStyle w:val="Emphasis"/>
          <w:i w:val="0"/>
          <w:iCs w:val="0"/>
          <w:sz w:val="20"/>
          <w:szCs w:val="20"/>
        </w:rPr>
        <w:t>on</w:t>
      </w:r>
      <w:r w:rsidR="002F5250" w:rsidRPr="002F5250">
        <w:rPr>
          <w:rStyle w:val="preferred"/>
          <w:i/>
          <w:sz w:val="20"/>
          <w:szCs w:val="20"/>
        </w:rPr>
        <w:t xml:space="preserve"> </w:t>
      </w:r>
      <w:r w:rsidR="002F5250" w:rsidRPr="002F5250">
        <w:rPr>
          <w:rStyle w:val="Emphasis"/>
          <w:i w:val="0"/>
          <w:iCs w:val="0"/>
          <w:sz w:val="20"/>
          <w:szCs w:val="20"/>
        </w:rPr>
        <w:t>the</w:t>
      </w:r>
      <w:r w:rsidR="002F5250" w:rsidRPr="002F5250">
        <w:rPr>
          <w:rStyle w:val="preferred"/>
          <w:i/>
          <w:sz w:val="20"/>
          <w:szCs w:val="20"/>
        </w:rPr>
        <w:t xml:space="preserve"> </w:t>
      </w:r>
      <w:r w:rsidR="002F5250" w:rsidRPr="002F5250">
        <w:rPr>
          <w:rStyle w:val="Emphasis"/>
          <w:i w:val="0"/>
          <w:iCs w:val="0"/>
          <w:sz w:val="20"/>
          <w:szCs w:val="20"/>
        </w:rPr>
        <w:t>Elimination</w:t>
      </w:r>
      <w:r w:rsidR="002F5250" w:rsidRPr="002F5250">
        <w:rPr>
          <w:rStyle w:val="preferred"/>
          <w:i/>
          <w:sz w:val="20"/>
          <w:szCs w:val="20"/>
        </w:rPr>
        <w:t xml:space="preserve"> </w:t>
      </w:r>
      <w:r w:rsidR="002F5250" w:rsidRPr="002F5250">
        <w:rPr>
          <w:rStyle w:val="Emphasis"/>
          <w:i w:val="0"/>
          <w:iCs w:val="0"/>
          <w:sz w:val="20"/>
          <w:szCs w:val="20"/>
        </w:rPr>
        <w:t>of</w:t>
      </w:r>
      <w:r w:rsidR="002F5250" w:rsidRPr="002F5250">
        <w:rPr>
          <w:rStyle w:val="preferred"/>
          <w:i/>
          <w:sz w:val="20"/>
          <w:szCs w:val="20"/>
        </w:rPr>
        <w:t xml:space="preserve"> </w:t>
      </w:r>
      <w:r w:rsidR="002F5250" w:rsidRPr="002F5250">
        <w:rPr>
          <w:rStyle w:val="Emphasis"/>
          <w:i w:val="0"/>
          <w:iCs w:val="0"/>
          <w:sz w:val="20"/>
          <w:szCs w:val="20"/>
        </w:rPr>
        <w:t>Racial</w:t>
      </w:r>
      <w:r w:rsidR="002F5250" w:rsidRPr="002F5250">
        <w:rPr>
          <w:rStyle w:val="preferred"/>
          <w:i/>
          <w:sz w:val="20"/>
          <w:szCs w:val="20"/>
        </w:rPr>
        <w:t xml:space="preserve"> </w:t>
      </w:r>
      <w:r w:rsidR="002F5250" w:rsidRPr="002F5250">
        <w:rPr>
          <w:rStyle w:val="Emphasis"/>
          <w:i w:val="0"/>
          <w:iCs w:val="0"/>
          <w:sz w:val="20"/>
          <w:szCs w:val="20"/>
        </w:rPr>
        <w:t>Discrimination</w:t>
      </w:r>
      <w:r w:rsidR="002F5250">
        <w:rPr>
          <w:rStyle w:val="preferred"/>
        </w:rPr>
        <w:t xml:space="preserve"> </w:t>
      </w:r>
      <w:r w:rsidRPr="00F15147">
        <w:rPr>
          <w:sz w:val="20"/>
          <w:lang w:val="en-GB"/>
        </w:rPr>
        <w:t>is not comparable to the definition of a victim by the Human Rights Committee, particular</w:t>
      </w:r>
      <w:r w:rsidR="0060110D" w:rsidRPr="00F15147">
        <w:rPr>
          <w:sz w:val="20"/>
          <w:lang w:val="en-GB"/>
        </w:rPr>
        <w:t>ly</w:t>
      </w:r>
      <w:r w:rsidRPr="00F15147">
        <w:rPr>
          <w:sz w:val="20"/>
          <w:lang w:val="en-GB"/>
        </w:rPr>
        <w:t xml:space="preserve"> </w:t>
      </w:r>
      <w:r w:rsidR="006D5622" w:rsidRPr="00F15147">
        <w:rPr>
          <w:sz w:val="20"/>
          <w:lang w:val="en-GB"/>
        </w:rPr>
        <w:t>since</w:t>
      </w:r>
      <w:r w:rsidR="00ED1575" w:rsidRPr="00F15147">
        <w:rPr>
          <w:sz w:val="20"/>
          <w:lang w:val="en-GB"/>
        </w:rPr>
        <w:t xml:space="preserve"> </w:t>
      </w:r>
      <w:r w:rsidRPr="00F15147">
        <w:rPr>
          <w:sz w:val="20"/>
          <w:lang w:val="en-GB"/>
        </w:rPr>
        <w:t xml:space="preserve">the authors </w:t>
      </w:r>
      <w:r w:rsidR="00817E97">
        <w:rPr>
          <w:sz w:val="20"/>
          <w:lang w:val="en-GB"/>
        </w:rPr>
        <w:t xml:space="preserve">of the </w:t>
      </w:r>
      <w:r w:rsidR="00817E97" w:rsidRPr="001D0FFF">
        <w:rPr>
          <w:sz w:val="20"/>
          <w:lang w:val="en-GB"/>
        </w:rPr>
        <w:t>communication</w:t>
      </w:r>
      <w:r w:rsidR="00817E97" w:rsidRPr="00EC1FEE">
        <w:rPr>
          <w:sz w:val="20"/>
          <w:lang w:val="en-GB"/>
        </w:rPr>
        <w:t xml:space="preserve"> </w:t>
      </w:r>
      <w:r w:rsidR="005A6755">
        <w:rPr>
          <w:sz w:val="20"/>
          <w:lang w:val="en-GB"/>
        </w:rPr>
        <w:t xml:space="preserve">that was </w:t>
      </w:r>
      <w:r w:rsidR="00817E97">
        <w:rPr>
          <w:sz w:val="20"/>
          <w:lang w:val="en-GB"/>
        </w:rPr>
        <w:t xml:space="preserve">brought before </w:t>
      </w:r>
      <w:r w:rsidR="00817E97" w:rsidRPr="00CA1289">
        <w:rPr>
          <w:sz w:val="20"/>
          <w:lang w:val="en-GB"/>
        </w:rPr>
        <w:t xml:space="preserve">the </w:t>
      </w:r>
      <w:r w:rsidR="00817E97" w:rsidRPr="002F5250">
        <w:rPr>
          <w:rStyle w:val="Emphasis"/>
          <w:i w:val="0"/>
          <w:iCs w:val="0"/>
          <w:sz w:val="20"/>
          <w:szCs w:val="20"/>
        </w:rPr>
        <w:t>Committee</w:t>
      </w:r>
      <w:r w:rsidR="00817E97" w:rsidRPr="002F5250">
        <w:rPr>
          <w:rStyle w:val="preferred"/>
          <w:i/>
          <w:sz w:val="20"/>
          <w:szCs w:val="20"/>
        </w:rPr>
        <w:t xml:space="preserve"> </w:t>
      </w:r>
      <w:r w:rsidR="00817E97" w:rsidRPr="002F5250">
        <w:rPr>
          <w:rStyle w:val="Emphasis"/>
          <w:i w:val="0"/>
          <w:iCs w:val="0"/>
          <w:sz w:val="20"/>
          <w:szCs w:val="20"/>
        </w:rPr>
        <w:t>on</w:t>
      </w:r>
      <w:r w:rsidR="00817E97" w:rsidRPr="002F5250">
        <w:rPr>
          <w:rStyle w:val="preferred"/>
          <w:i/>
          <w:sz w:val="20"/>
          <w:szCs w:val="20"/>
        </w:rPr>
        <w:t xml:space="preserve"> </w:t>
      </w:r>
      <w:r w:rsidR="00817E97" w:rsidRPr="002F5250">
        <w:rPr>
          <w:rStyle w:val="Emphasis"/>
          <w:i w:val="0"/>
          <w:iCs w:val="0"/>
          <w:sz w:val="20"/>
          <w:szCs w:val="20"/>
        </w:rPr>
        <w:t>the</w:t>
      </w:r>
      <w:r w:rsidR="00817E97" w:rsidRPr="002F5250">
        <w:rPr>
          <w:rStyle w:val="preferred"/>
          <w:i/>
          <w:sz w:val="20"/>
          <w:szCs w:val="20"/>
        </w:rPr>
        <w:t xml:space="preserve"> </w:t>
      </w:r>
      <w:r w:rsidR="00817E97" w:rsidRPr="002F5250">
        <w:rPr>
          <w:rStyle w:val="Emphasis"/>
          <w:i w:val="0"/>
          <w:iCs w:val="0"/>
          <w:sz w:val="20"/>
          <w:szCs w:val="20"/>
        </w:rPr>
        <w:t>Elimination</w:t>
      </w:r>
      <w:r w:rsidR="00817E97" w:rsidRPr="002F5250">
        <w:rPr>
          <w:rStyle w:val="preferred"/>
          <w:i/>
          <w:sz w:val="20"/>
          <w:szCs w:val="20"/>
        </w:rPr>
        <w:t xml:space="preserve"> </w:t>
      </w:r>
      <w:r w:rsidR="00817E97" w:rsidRPr="002F5250">
        <w:rPr>
          <w:rStyle w:val="Emphasis"/>
          <w:i w:val="0"/>
          <w:iCs w:val="0"/>
          <w:sz w:val="20"/>
          <w:szCs w:val="20"/>
        </w:rPr>
        <w:t>of</w:t>
      </w:r>
      <w:r w:rsidR="00817E97" w:rsidRPr="002F5250">
        <w:rPr>
          <w:rStyle w:val="preferred"/>
          <w:i/>
          <w:sz w:val="20"/>
          <w:szCs w:val="20"/>
        </w:rPr>
        <w:t xml:space="preserve"> </w:t>
      </w:r>
      <w:r w:rsidR="00817E97" w:rsidRPr="002F5250">
        <w:rPr>
          <w:rStyle w:val="Emphasis"/>
          <w:i w:val="0"/>
          <w:iCs w:val="0"/>
          <w:sz w:val="20"/>
          <w:szCs w:val="20"/>
        </w:rPr>
        <w:t>Racial</w:t>
      </w:r>
      <w:r w:rsidR="00817E97" w:rsidRPr="002F5250">
        <w:rPr>
          <w:rStyle w:val="preferred"/>
          <w:i/>
          <w:sz w:val="20"/>
          <w:szCs w:val="20"/>
        </w:rPr>
        <w:t xml:space="preserve"> </w:t>
      </w:r>
      <w:r w:rsidR="00817E97" w:rsidRPr="002F5250">
        <w:rPr>
          <w:rStyle w:val="Emphasis"/>
          <w:i w:val="0"/>
          <w:iCs w:val="0"/>
          <w:sz w:val="20"/>
          <w:szCs w:val="20"/>
        </w:rPr>
        <w:t>Discrimination</w:t>
      </w:r>
      <w:r w:rsidR="005A6755">
        <w:rPr>
          <w:rStyle w:val="Emphasis"/>
          <w:i w:val="0"/>
          <w:iCs w:val="0"/>
          <w:sz w:val="20"/>
          <w:szCs w:val="20"/>
          <w:lang w:val="en-US"/>
        </w:rPr>
        <w:t>,</w:t>
      </w:r>
      <w:r w:rsidR="00817E97" w:rsidRPr="00EC1FEE" w:rsidDel="00817E97">
        <w:rPr>
          <w:sz w:val="20"/>
          <w:lang w:val="en-GB"/>
        </w:rPr>
        <w:t xml:space="preserve"> </w:t>
      </w:r>
      <w:r w:rsidR="003C139D" w:rsidRPr="00F15147">
        <w:rPr>
          <w:i/>
          <w:iCs/>
          <w:sz w:val="20"/>
          <w:lang w:val="en-GB"/>
        </w:rPr>
        <w:t>The</w:t>
      </w:r>
      <w:r w:rsidR="003C139D" w:rsidRPr="003C139D">
        <w:rPr>
          <w:sz w:val="20"/>
          <w:lang w:val="en-GB"/>
        </w:rPr>
        <w:t xml:space="preserve"> </w:t>
      </w:r>
      <w:r w:rsidRPr="00F15147">
        <w:rPr>
          <w:i/>
          <w:sz w:val="20"/>
          <w:lang w:val="en-GB"/>
        </w:rPr>
        <w:t xml:space="preserve">Jewish Community </w:t>
      </w:r>
      <w:r w:rsidRPr="00817E97">
        <w:rPr>
          <w:i/>
          <w:sz w:val="20"/>
          <w:szCs w:val="20"/>
        </w:rPr>
        <w:t>of Oslo et al. v. Norway</w:t>
      </w:r>
      <w:r w:rsidR="005A6755">
        <w:rPr>
          <w:iCs/>
          <w:sz w:val="20"/>
          <w:szCs w:val="20"/>
          <w:lang w:val="en-US"/>
        </w:rPr>
        <w:t>,</w:t>
      </w:r>
      <w:r w:rsidR="00A455E6" w:rsidRPr="003710BE">
        <w:rPr>
          <w:rStyle w:val="FootnoteReference"/>
        </w:rPr>
        <w:footnoteReference w:id="11"/>
      </w:r>
      <w:r w:rsidRPr="00F15147">
        <w:rPr>
          <w:iCs/>
          <w:sz w:val="20"/>
          <w:lang w:val="en-GB"/>
        </w:rPr>
        <w:t xml:space="preserve"> </w:t>
      </w:r>
      <w:r w:rsidR="00633EFC" w:rsidRPr="00F15147">
        <w:rPr>
          <w:sz w:val="20"/>
          <w:lang w:val="en-GB"/>
        </w:rPr>
        <w:t>were not</w:t>
      </w:r>
      <w:r w:rsidRPr="00F15147">
        <w:rPr>
          <w:sz w:val="20"/>
          <w:lang w:val="en-GB"/>
        </w:rPr>
        <w:t xml:space="preserve"> permitted to join the criminal proceedings and had no remedy in that State party.</w:t>
      </w:r>
      <w:r w:rsidR="00ED1575" w:rsidRPr="00F15147">
        <w:rPr>
          <w:sz w:val="20"/>
          <w:lang w:val="en-GB"/>
        </w:rPr>
        <w:t xml:space="preserve"> </w:t>
      </w:r>
      <w:r w:rsidR="00633EFC" w:rsidRPr="00F15147">
        <w:rPr>
          <w:sz w:val="20"/>
          <w:lang w:val="en-GB"/>
        </w:rPr>
        <w:t>T</w:t>
      </w:r>
      <w:r w:rsidRPr="00F15147">
        <w:rPr>
          <w:sz w:val="20"/>
          <w:lang w:val="en-GB"/>
        </w:rPr>
        <w:t xml:space="preserve">he fact that the authors joined the criminal proceedings as aggrieved parties </w:t>
      </w:r>
      <w:r w:rsidR="00633EFC" w:rsidRPr="00F15147">
        <w:rPr>
          <w:sz w:val="20"/>
          <w:lang w:val="en-GB"/>
        </w:rPr>
        <w:t xml:space="preserve">also </w:t>
      </w:r>
      <w:r w:rsidRPr="00F15147">
        <w:rPr>
          <w:sz w:val="20"/>
          <w:lang w:val="en-GB"/>
        </w:rPr>
        <w:t xml:space="preserve">cannot be equated with recognition of victim status by the </w:t>
      </w:r>
      <w:r w:rsidR="00341DB5" w:rsidRPr="00F15147">
        <w:rPr>
          <w:sz w:val="20"/>
          <w:lang w:val="en-GB"/>
        </w:rPr>
        <w:t>domestic</w:t>
      </w:r>
      <w:r w:rsidRPr="00F15147">
        <w:rPr>
          <w:sz w:val="20"/>
          <w:lang w:val="en-GB"/>
        </w:rPr>
        <w:t xml:space="preserve"> court</w:t>
      </w:r>
      <w:r w:rsidR="00307900" w:rsidRPr="00F15147">
        <w:rPr>
          <w:sz w:val="20"/>
          <w:lang w:val="en-GB"/>
        </w:rPr>
        <w:t xml:space="preserve">. </w:t>
      </w:r>
      <w:r w:rsidR="00633EFC" w:rsidRPr="00F15147">
        <w:rPr>
          <w:sz w:val="20"/>
          <w:lang w:val="en-GB"/>
        </w:rPr>
        <w:t>In that proceeding, t</w:t>
      </w:r>
      <w:r w:rsidR="006D5622" w:rsidRPr="00F15147">
        <w:rPr>
          <w:sz w:val="20"/>
          <w:lang w:val="en-GB"/>
        </w:rPr>
        <w:t xml:space="preserve">heir victim status </w:t>
      </w:r>
      <w:r w:rsidR="0060110D" w:rsidRPr="00F15147">
        <w:rPr>
          <w:sz w:val="20"/>
          <w:lang w:val="en-GB"/>
        </w:rPr>
        <w:t>would be</w:t>
      </w:r>
      <w:r w:rsidR="00633EFC" w:rsidRPr="00F15147">
        <w:rPr>
          <w:sz w:val="20"/>
          <w:lang w:val="en-GB"/>
        </w:rPr>
        <w:t xml:space="preserve"> </w:t>
      </w:r>
      <w:r w:rsidR="0060110D" w:rsidRPr="00F15147">
        <w:rPr>
          <w:sz w:val="20"/>
          <w:lang w:val="en-GB"/>
        </w:rPr>
        <w:t>assessed</w:t>
      </w:r>
      <w:r w:rsidR="006D5622" w:rsidRPr="00F15147">
        <w:rPr>
          <w:sz w:val="20"/>
          <w:lang w:val="en-GB"/>
        </w:rPr>
        <w:t xml:space="preserve"> only after the defendant was convicted. </w:t>
      </w:r>
      <w:r w:rsidR="00633EFC" w:rsidRPr="00F15147">
        <w:rPr>
          <w:sz w:val="20"/>
          <w:lang w:val="en-GB"/>
        </w:rPr>
        <w:t>T</w:t>
      </w:r>
      <w:r w:rsidR="006D5622" w:rsidRPr="00F15147">
        <w:rPr>
          <w:sz w:val="20"/>
          <w:lang w:val="en-GB"/>
        </w:rPr>
        <w:t xml:space="preserve">he trial court </w:t>
      </w:r>
      <w:r w:rsidR="00633EFC" w:rsidRPr="00F15147">
        <w:rPr>
          <w:sz w:val="20"/>
          <w:lang w:val="en-GB"/>
        </w:rPr>
        <w:t xml:space="preserve">thus </w:t>
      </w:r>
      <w:r w:rsidR="006D5622" w:rsidRPr="00F15147">
        <w:rPr>
          <w:sz w:val="20"/>
          <w:lang w:val="en-GB"/>
        </w:rPr>
        <w:t>did not have the opportunity to assess</w:t>
      </w:r>
      <w:r w:rsidR="002B797B" w:rsidRPr="00F15147">
        <w:rPr>
          <w:sz w:val="20"/>
          <w:lang w:val="en-GB"/>
        </w:rPr>
        <w:t xml:space="preserve"> </w:t>
      </w:r>
      <w:r w:rsidR="006138AC" w:rsidRPr="00F15147">
        <w:rPr>
          <w:sz w:val="20"/>
          <w:lang w:val="en-GB"/>
        </w:rPr>
        <w:t xml:space="preserve">their victim </w:t>
      </w:r>
      <w:r w:rsidR="000C0E49" w:rsidRPr="00F15147">
        <w:rPr>
          <w:sz w:val="20"/>
          <w:lang w:val="en-GB"/>
        </w:rPr>
        <w:t>status under domestic law</w:t>
      </w:r>
      <w:r w:rsidR="00307900" w:rsidRPr="00F15147">
        <w:rPr>
          <w:sz w:val="20"/>
          <w:lang w:val="en-GB"/>
        </w:rPr>
        <w:t>.</w:t>
      </w:r>
    </w:p>
    <w:p w14:paraId="30470D85" w14:textId="044667ED" w:rsidR="00E152A1" w:rsidRPr="00F15147" w:rsidRDefault="00E152A1" w:rsidP="00A455E6">
      <w:pPr>
        <w:pStyle w:val="SingleTxtG"/>
        <w:rPr>
          <w:sz w:val="20"/>
          <w:lang w:val="en-GB"/>
        </w:rPr>
      </w:pPr>
      <w:r w:rsidRPr="00F15147">
        <w:rPr>
          <w:sz w:val="20"/>
          <w:lang w:val="en-GB"/>
        </w:rPr>
        <w:t>4.</w:t>
      </w:r>
      <w:r w:rsidR="004E289D" w:rsidRPr="00F15147">
        <w:rPr>
          <w:sz w:val="20"/>
          <w:lang w:val="en-GB"/>
        </w:rPr>
        <w:t>6</w:t>
      </w:r>
      <w:r w:rsidR="00EB0DA4" w:rsidRPr="00F15147">
        <w:rPr>
          <w:sz w:val="20"/>
          <w:lang w:val="en-GB"/>
        </w:rPr>
        <w:tab/>
        <w:t xml:space="preserve">The </w:t>
      </w:r>
      <w:r w:rsidRPr="00F15147">
        <w:rPr>
          <w:sz w:val="20"/>
          <w:lang w:val="en-GB"/>
        </w:rPr>
        <w:t xml:space="preserve">communication is in essence an </w:t>
      </w:r>
      <w:r w:rsidRPr="00F15147">
        <w:rPr>
          <w:i/>
          <w:sz w:val="20"/>
          <w:lang w:val="en-GB"/>
        </w:rPr>
        <w:t>actio popularis</w:t>
      </w:r>
      <w:r w:rsidR="0088197D" w:rsidRPr="00F15147">
        <w:rPr>
          <w:sz w:val="20"/>
          <w:lang w:val="en-GB"/>
        </w:rPr>
        <w:t>,</w:t>
      </w:r>
      <w:r w:rsidR="0060110D" w:rsidRPr="003710BE">
        <w:rPr>
          <w:rStyle w:val="FootnoteReference"/>
        </w:rPr>
        <w:footnoteReference w:id="12"/>
      </w:r>
      <w:r w:rsidR="0060110D" w:rsidRPr="00F15147">
        <w:rPr>
          <w:sz w:val="20"/>
          <w:lang w:val="en-GB"/>
        </w:rPr>
        <w:t xml:space="preserve"> </w:t>
      </w:r>
      <w:r w:rsidRPr="00F15147">
        <w:rPr>
          <w:sz w:val="20"/>
          <w:lang w:val="en-GB"/>
        </w:rPr>
        <w:t>as the authors failed to establish that the statements</w:t>
      </w:r>
      <w:r w:rsidR="00ED1575" w:rsidRPr="00F15147">
        <w:rPr>
          <w:sz w:val="20"/>
          <w:lang w:val="en-GB"/>
        </w:rPr>
        <w:t xml:space="preserve"> </w:t>
      </w:r>
      <w:r w:rsidRPr="00F15147">
        <w:rPr>
          <w:sz w:val="20"/>
          <w:lang w:val="en-GB"/>
        </w:rPr>
        <w:t>would personally affect them. The</w:t>
      </w:r>
      <w:r w:rsidR="0060110D" w:rsidRPr="00F15147">
        <w:rPr>
          <w:sz w:val="20"/>
          <w:lang w:val="en-GB"/>
        </w:rPr>
        <w:t xml:space="preserve"> authors sought only </w:t>
      </w:r>
      <w:r w:rsidR="00A455E6">
        <w:rPr>
          <w:sz w:val="20"/>
          <w:lang w:val="en-GB"/>
        </w:rPr>
        <w:t>€1</w:t>
      </w:r>
      <w:r w:rsidR="0060110D" w:rsidRPr="00F15147">
        <w:rPr>
          <w:sz w:val="20"/>
          <w:lang w:val="en-GB"/>
        </w:rPr>
        <w:t xml:space="preserve"> each </w:t>
      </w:r>
      <w:r w:rsidR="0060110D" w:rsidRPr="00F15147">
        <w:rPr>
          <w:sz w:val="20"/>
          <w:lang w:val="en-GB"/>
        </w:rPr>
        <w:lastRenderedPageBreak/>
        <w:t>and</w:t>
      </w:r>
      <w:r w:rsidRPr="00F15147">
        <w:rPr>
          <w:sz w:val="20"/>
          <w:lang w:val="en-GB"/>
        </w:rPr>
        <w:t xml:space="preserve"> sought a general declaratory statement rather than compensation for a specific violation. </w:t>
      </w:r>
      <w:r w:rsidR="003204B4" w:rsidRPr="00F15147">
        <w:rPr>
          <w:sz w:val="20"/>
          <w:lang w:val="en-GB"/>
        </w:rPr>
        <w:t>According to its</w:t>
      </w:r>
      <w:r w:rsidRPr="00F15147">
        <w:rPr>
          <w:sz w:val="20"/>
          <w:lang w:val="en-GB"/>
        </w:rPr>
        <w:t xml:space="preserve"> jurisprudence</w:t>
      </w:r>
      <w:r w:rsidR="000C0E49" w:rsidRPr="00F15147">
        <w:rPr>
          <w:sz w:val="20"/>
          <w:lang w:val="en-GB"/>
        </w:rPr>
        <w:t>,</w:t>
      </w:r>
      <w:r w:rsidR="005C0B63" w:rsidRPr="00F15147">
        <w:rPr>
          <w:sz w:val="20"/>
          <w:lang w:val="en-GB"/>
        </w:rPr>
        <w:t xml:space="preserve"> the Committee does not assess</w:t>
      </w:r>
      <w:r w:rsidRPr="00F15147">
        <w:rPr>
          <w:sz w:val="20"/>
          <w:lang w:val="en-GB"/>
        </w:rPr>
        <w:t xml:space="preserve"> hypothetical </w:t>
      </w:r>
      <w:r w:rsidR="005C0B63" w:rsidRPr="00F15147">
        <w:rPr>
          <w:sz w:val="20"/>
          <w:lang w:val="en-GB"/>
        </w:rPr>
        <w:t>or</w:t>
      </w:r>
      <w:r w:rsidRPr="00F15147">
        <w:rPr>
          <w:sz w:val="20"/>
          <w:lang w:val="en-GB"/>
        </w:rPr>
        <w:t xml:space="preserve"> potential violations</w:t>
      </w:r>
      <w:r w:rsidR="005C0B63" w:rsidRPr="00F15147">
        <w:rPr>
          <w:sz w:val="20"/>
          <w:lang w:val="en-GB"/>
        </w:rPr>
        <w:t xml:space="preserve"> of the Covenant</w:t>
      </w:r>
      <w:r w:rsidR="0088197D" w:rsidRPr="00F15147">
        <w:rPr>
          <w:sz w:val="20"/>
          <w:lang w:val="en-GB"/>
        </w:rPr>
        <w:t>.</w:t>
      </w:r>
    </w:p>
    <w:p w14:paraId="30DE655C" w14:textId="1C0DB29C" w:rsidR="00E152A1" w:rsidRPr="00F15147" w:rsidRDefault="00E152A1" w:rsidP="00A455E6">
      <w:pPr>
        <w:pStyle w:val="SingleTxtG"/>
        <w:rPr>
          <w:sz w:val="20"/>
          <w:lang w:val="en-GB"/>
        </w:rPr>
      </w:pPr>
      <w:r w:rsidRPr="00F15147">
        <w:rPr>
          <w:sz w:val="20"/>
          <w:lang w:val="en-GB"/>
        </w:rPr>
        <w:t>4.</w:t>
      </w:r>
      <w:r w:rsidR="004E289D" w:rsidRPr="00F15147">
        <w:rPr>
          <w:sz w:val="20"/>
          <w:lang w:val="en-GB"/>
        </w:rPr>
        <w:t>7</w:t>
      </w:r>
      <w:r w:rsidRPr="00F15147">
        <w:rPr>
          <w:sz w:val="20"/>
          <w:lang w:val="en-GB"/>
        </w:rPr>
        <w:tab/>
      </w:r>
      <w:r w:rsidR="00155958" w:rsidRPr="00F15147">
        <w:rPr>
          <w:sz w:val="20"/>
          <w:lang w:val="en-GB"/>
        </w:rPr>
        <w:t>T</w:t>
      </w:r>
      <w:r w:rsidRPr="00F15147">
        <w:rPr>
          <w:sz w:val="20"/>
          <w:lang w:val="en-GB"/>
        </w:rPr>
        <w:t xml:space="preserve">he communication falls outside the scope of the Covenant </w:t>
      </w:r>
      <w:r w:rsidR="000C0E49" w:rsidRPr="00F15147">
        <w:rPr>
          <w:sz w:val="20"/>
          <w:lang w:val="en-GB"/>
        </w:rPr>
        <w:t>since</w:t>
      </w:r>
      <w:r w:rsidR="00931951" w:rsidRPr="00F15147">
        <w:rPr>
          <w:sz w:val="20"/>
          <w:lang w:val="en-GB"/>
        </w:rPr>
        <w:t xml:space="preserve">, according to </w:t>
      </w:r>
      <w:r w:rsidRPr="00F15147">
        <w:rPr>
          <w:sz w:val="20"/>
          <w:lang w:val="en-GB"/>
        </w:rPr>
        <w:t>the Committee</w:t>
      </w:r>
      <w:r w:rsidR="00931951" w:rsidRPr="00F15147">
        <w:rPr>
          <w:sz w:val="20"/>
          <w:lang w:val="en-GB"/>
        </w:rPr>
        <w:t>’s</w:t>
      </w:r>
      <w:r w:rsidRPr="00F15147">
        <w:rPr>
          <w:sz w:val="20"/>
          <w:lang w:val="en-GB"/>
        </w:rPr>
        <w:t xml:space="preserve"> jurisprudence</w:t>
      </w:r>
      <w:r w:rsidR="00931951" w:rsidRPr="00F15147">
        <w:rPr>
          <w:sz w:val="20"/>
          <w:lang w:val="en-GB"/>
        </w:rPr>
        <w:t>,</w:t>
      </w:r>
      <w:r w:rsidRPr="00F15147">
        <w:rPr>
          <w:sz w:val="20"/>
          <w:lang w:val="en-GB"/>
        </w:rPr>
        <w:t xml:space="preserve"> an individual cannot compel the State to commence criminal proceedings against a third pers</w:t>
      </w:r>
      <w:r w:rsidR="00ED1575" w:rsidRPr="00F15147">
        <w:rPr>
          <w:sz w:val="20"/>
          <w:lang w:val="en-GB"/>
        </w:rPr>
        <w:t>on</w:t>
      </w:r>
      <w:r w:rsidR="00341DB5" w:rsidRPr="00F15147">
        <w:rPr>
          <w:sz w:val="20"/>
          <w:lang w:val="en-GB"/>
        </w:rPr>
        <w:t xml:space="preserve"> or </w:t>
      </w:r>
      <w:r w:rsidRPr="00F15147">
        <w:rPr>
          <w:sz w:val="20"/>
          <w:lang w:val="en-GB"/>
        </w:rPr>
        <w:t>to impose punishment</w:t>
      </w:r>
      <w:r w:rsidR="0040360B" w:rsidRPr="00F15147">
        <w:rPr>
          <w:sz w:val="20"/>
          <w:lang w:val="en-GB"/>
        </w:rPr>
        <w:t>.</w:t>
      </w:r>
    </w:p>
    <w:p w14:paraId="5EE33D2E" w14:textId="7AF6F9A7" w:rsidR="00155958" w:rsidRPr="00F15147" w:rsidRDefault="004E289D" w:rsidP="004611B6">
      <w:pPr>
        <w:pStyle w:val="SingleTxtG"/>
        <w:rPr>
          <w:sz w:val="20"/>
          <w:lang w:val="en-GB"/>
        </w:rPr>
      </w:pPr>
      <w:r w:rsidRPr="00F15147">
        <w:rPr>
          <w:sz w:val="20"/>
          <w:lang w:val="en-GB"/>
        </w:rPr>
        <w:t>4.8</w:t>
      </w:r>
      <w:r w:rsidRPr="00F15147">
        <w:rPr>
          <w:sz w:val="20"/>
          <w:lang w:val="en-GB"/>
        </w:rPr>
        <w:tab/>
      </w:r>
      <w:r w:rsidR="00A455E6">
        <w:rPr>
          <w:sz w:val="20"/>
          <w:lang w:val="en-GB"/>
        </w:rPr>
        <w:t>T</w:t>
      </w:r>
      <w:r w:rsidR="007D5975" w:rsidRPr="00F15147">
        <w:rPr>
          <w:sz w:val="20"/>
          <w:lang w:val="en-GB"/>
        </w:rPr>
        <w:t xml:space="preserve">he State party </w:t>
      </w:r>
      <w:r w:rsidR="00A455E6">
        <w:rPr>
          <w:sz w:val="20"/>
          <w:lang w:val="en-GB"/>
        </w:rPr>
        <w:t>not</w:t>
      </w:r>
      <w:r w:rsidR="007D5975" w:rsidRPr="00F15147">
        <w:rPr>
          <w:sz w:val="20"/>
          <w:lang w:val="en-GB"/>
        </w:rPr>
        <w:t>ed</w:t>
      </w:r>
      <w:r w:rsidR="00633EFC" w:rsidRPr="00F15147">
        <w:rPr>
          <w:sz w:val="20"/>
          <w:lang w:val="en-GB"/>
        </w:rPr>
        <w:t xml:space="preserve"> that </w:t>
      </w:r>
      <w:r w:rsidR="00D15623" w:rsidRPr="00F15147">
        <w:rPr>
          <w:sz w:val="20"/>
          <w:lang w:val="en-GB"/>
        </w:rPr>
        <w:t>i</w:t>
      </w:r>
      <w:r w:rsidR="00155958" w:rsidRPr="00F15147">
        <w:rPr>
          <w:sz w:val="20"/>
          <w:lang w:val="en-GB"/>
        </w:rPr>
        <w:t>n December 2014, the Public Prosecution Service initiate</w:t>
      </w:r>
      <w:r w:rsidR="00633EFC" w:rsidRPr="00F15147">
        <w:rPr>
          <w:sz w:val="20"/>
          <w:lang w:val="en-GB"/>
        </w:rPr>
        <w:t>d</w:t>
      </w:r>
      <w:r w:rsidR="00155958" w:rsidRPr="00F15147">
        <w:rPr>
          <w:sz w:val="20"/>
          <w:lang w:val="en-GB"/>
        </w:rPr>
        <w:t xml:space="preserve"> criminal proceedings against </w:t>
      </w:r>
      <w:r w:rsidR="006837AA">
        <w:rPr>
          <w:sz w:val="20"/>
          <w:lang w:val="en-GB"/>
        </w:rPr>
        <w:t>Mr. </w:t>
      </w:r>
      <w:r w:rsidR="00696F9C">
        <w:rPr>
          <w:sz w:val="20"/>
          <w:lang w:val="en-GB"/>
        </w:rPr>
        <w:t>Wilders</w:t>
      </w:r>
      <w:r w:rsidR="00155958" w:rsidRPr="00F15147">
        <w:rPr>
          <w:sz w:val="20"/>
          <w:lang w:val="en-GB"/>
        </w:rPr>
        <w:t xml:space="preserve"> </w:t>
      </w:r>
      <w:r w:rsidR="007D5975" w:rsidRPr="00F15147">
        <w:rPr>
          <w:sz w:val="20"/>
          <w:lang w:val="en-GB"/>
        </w:rPr>
        <w:t>for</w:t>
      </w:r>
      <w:r w:rsidR="00155958" w:rsidRPr="00F15147">
        <w:rPr>
          <w:sz w:val="20"/>
          <w:lang w:val="en-GB"/>
        </w:rPr>
        <w:t xml:space="preserve"> </w:t>
      </w:r>
      <w:r w:rsidR="00633EFC" w:rsidRPr="00F15147">
        <w:rPr>
          <w:sz w:val="20"/>
          <w:lang w:val="en-GB"/>
        </w:rPr>
        <w:t xml:space="preserve">insulting a group of persons and </w:t>
      </w:r>
      <w:r w:rsidR="00155958" w:rsidRPr="00F15147">
        <w:rPr>
          <w:sz w:val="20"/>
          <w:lang w:val="en-GB"/>
        </w:rPr>
        <w:t xml:space="preserve">inciting discrimination and hatred </w:t>
      </w:r>
      <w:r w:rsidR="00633EFC" w:rsidRPr="00F15147">
        <w:rPr>
          <w:sz w:val="20"/>
          <w:lang w:val="en-GB"/>
        </w:rPr>
        <w:t xml:space="preserve">against </w:t>
      </w:r>
      <w:r w:rsidR="00155958" w:rsidRPr="00F15147">
        <w:rPr>
          <w:sz w:val="20"/>
          <w:lang w:val="en-GB"/>
        </w:rPr>
        <w:t>persons on account of their race</w:t>
      </w:r>
      <w:r w:rsidR="007D5975" w:rsidRPr="00F15147">
        <w:rPr>
          <w:sz w:val="20"/>
          <w:lang w:val="en-GB"/>
        </w:rPr>
        <w:t>, for</w:t>
      </w:r>
      <w:r w:rsidR="00155958" w:rsidRPr="00F15147">
        <w:rPr>
          <w:sz w:val="20"/>
          <w:lang w:val="en-GB"/>
        </w:rPr>
        <w:t xml:space="preserve"> statements by </w:t>
      </w:r>
      <w:r w:rsidR="00A455E6">
        <w:rPr>
          <w:sz w:val="20"/>
          <w:lang w:val="en-GB"/>
        </w:rPr>
        <w:t>him</w:t>
      </w:r>
      <w:r w:rsidR="00155958" w:rsidRPr="00F15147">
        <w:rPr>
          <w:sz w:val="20"/>
          <w:lang w:val="en-GB"/>
        </w:rPr>
        <w:t xml:space="preserve"> concerning persons of Moroccan descent made in The Hague on 12 and 19 March 2014</w:t>
      </w:r>
      <w:r w:rsidR="003601C6" w:rsidRPr="00F15147">
        <w:rPr>
          <w:sz w:val="20"/>
          <w:lang w:val="en-GB"/>
        </w:rPr>
        <w:t>.</w:t>
      </w:r>
    </w:p>
    <w:p w14:paraId="4EAF07D8" w14:textId="77777777" w:rsidR="00E152A1" w:rsidRPr="00F15147" w:rsidRDefault="00496E66" w:rsidP="00496E66">
      <w:pPr>
        <w:pStyle w:val="H23G"/>
        <w:rPr>
          <w:sz w:val="20"/>
        </w:rPr>
      </w:pPr>
      <w:r w:rsidRPr="00F15147">
        <w:rPr>
          <w:sz w:val="20"/>
        </w:rPr>
        <w:tab/>
      </w:r>
      <w:r w:rsidRPr="00F15147">
        <w:rPr>
          <w:sz w:val="20"/>
        </w:rPr>
        <w:tab/>
      </w:r>
      <w:r w:rsidR="00E152A1" w:rsidRPr="00F15147">
        <w:rPr>
          <w:sz w:val="20"/>
        </w:rPr>
        <w:t xml:space="preserve">Authors’ comments on </w:t>
      </w:r>
      <w:r w:rsidR="00F87B7B" w:rsidRPr="00F15147">
        <w:rPr>
          <w:sz w:val="20"/>
        </w:rPr>
        <w:t xml:space="preserve">the State party’s observations on </w:t>
      </w:r>
      <w:r w:rsidR="00E152A1" w:rsidRPr="00F15147">
        <w:rPr>
          <w:sz w:val="20"/>
        </w:rPr>
        <w:t>admissibility</w:t>
      </w:r>
    </w:p>
    <w:p w14:paraId="69DABA74" w14:textId="7CAD6318" w:rsidR="00E152A1" w:rsidRPr="00F15147" w:rsidRDefault="00E152A1" w:rsidP="00574788">
      <w:pPr>
        <w:pStyle w:val="SingleTxtG"/>
        <w:rPr>
          <w:sz w:val="20"/>
          <w:lang w:val="en-GB"/>
        </w:rPr>
      </w:pPr>
      <w:r w:rsidRPr="00F15147">
        <w:rPr>
          <w:sz w:val="20"/>
          <w:lang w:val="en-GB"/>
        </w:rPr>
        <w:t>5.1</w:t>
      </w:r>
      <w:r w:rsidRPr="00F15147">
        <w:rPr>
          <w:sz w:val="20"/>
          <w:lang w:val="en-GB"/>
        </w:rPr>
        <w:tab/>
      </w:r>
      <w:r w:rsidR="00075C24" w:rsidRPr="00F15147">
        <w:rPr>
          <w:sz w:val="20"/>
          <w:lang w:val="en-GB"/>
        </w:rPr>
        <w:t>The authors submitted comments on the State party’s observations on admissibility o</w:t>
      </w:r>
      <w:r w:rsidR="00A104BD" w:rsidRPr="00F15147">
        <w:rPr>
          <w:sz w:val="20"/>
          <w:lang w:val="en-GB"/>
        </w:rPr>
        <w:t xml:space="preserve">n </w:t>
      </w:r>
      <w:r w:rsidR="00075C24" w:rsidRPr="00F15147">
        <w:rPr>
          <w:sz w:val="20"/>
          <w:lang w:val="en-GB"/>
        </w:rPr>
        <w:t>20 March 2012 and 30 November 2015.</w:t>
      </w:r>
      <w:r w:rsidR="007D5975" w:rsidRPr="00F15147">
        <w:rPr>
          <w:sz w:val="20"/>
          <w:lang w:val="en-GB"/>
        </w:rPr>
        <w:t xml:space="preserve"> </w:t>
      </w:r>
      <w:r w:rsidR="00686FC0" w:rsidRPr="00F15147">
        <w:rPr>
          <w:sz w:val="20"/>
          <w:lang w:val="en-GB"/>
        </w:rPr>
        <w:t>Regarding</w:t>
      </w:r>
      <w:r w:rsidRPr="00F15147">
        <w:rPr>
          <w:sz w:val="20"/>
          <w:lang w:val="en-GB"/>
        </w:rPr>
        <w:t xml:space="preserve"> </w:t>
      </w:r>
      <w:r w:rsidR="004611B6">
        <w:rPr>
          <w:sz w:val="20"/>
          <w:lang w:val="en-GB"/>
        </w:rPr>
        <w:t xml:space="preserve">the </w:t>
      </w:r>
      <w:r w:rsidRPr="00F15147">
        <w:rPr>
          <w:sz w:val="20"/>
          <w:lang w:val="en-GB"/>
        </w:rPr>
        <w:t>exhaust</w:t>
      </w:r>
      <w:r w:rsidR="00686FC0" w:rsidRPr="00F15147">
        <w:rPr>
          <w:sz w:val="20"/>
          <w:lang w:val="en-GB"/>
        </w:rPr>
        <w:t>ion of</w:t>
      </w:r>
      <w:r w:rsidRPr="00F15147">
        <w:rPr>
          <w:sz w:val="20"/>
          <w:lang w:val="en-GB"/>
        </w:rPr>
        <w:t xml:space="preserve"> domestic remedies, the</w:t>
      </w:r>
      <w:r w:rsidR="008C726B" w:rsidRPr="00F15147">
        <w:rPr>
          <w:sz w:val="20"/>
          <w:lang w:val="en-GB"/>
        </w:rPr>
        <w:t>y</w:t>
      </w:r>
      <w:r w:rsidRPr="00F15147">
        <w:rPr>
          <w:sz w:val="20"/>
          <w:lang w:val="en-GB"/>
        </w:rPr>
        <w:t xml:space="preserve"> argue that </w:t>
      </w:r>
      <w:r w:rsidR="00DE1022" w:rsidRPr="00F15147">
        <w:rPr>
          <w:sz w:val="20"/>
          <w:lang w:val="en-GB"/>
        </w:rPr>
        <w:t xml:space="preserve">a civil proceeding </w:t>
      </w:r>
      <w:r w:rsidR="007D5975" w:rsidRPr="00F15147">
        <w:rPr>
          <w:sz w:val="20"/>
          <w:lang w:val="en-GB"/>
        </w:rPr>
        <w:t xml:space="preserve">must be considered ineffective. The Netherlands implemented </w:t>
      </w:r>
      <w:r w:rsidRPr="00F15147">
        <w:rPr>
          <w:sz w:val="20"/>
          <w:lang w:val="en-GB"/>
        </w:rPr>
        <w:t>article 20</w:t>
      </w:r>
      <w:r w:rsidR="00574788">
        <w:rPr>
          <w:sz w:val="20"/>
          <w:lang w:val="en-GB"/>
        </w:rPr>
        <w:t xml:space="preserve"> </w:t>
      </w:r>
      <w:r w:rsidR="00931DB7" w:rsidRPr="00F15147">
        <w:rPr>
          <w:sz w:val="20"/>
          <w:lang w:val="en-GB"/>
        </w:rPr>
        <w:t>(2)</w:t>
      </w:r>
      <w:r w:rsidRPr="00F15147">
        <w:rPr>
          <w:sz w:val="20"/>
          <w:lang w:val="en-GB"/>
        </w:rPr>
        <w:t xml:space="preserve"> of the Covenant </w:t>
      </w:r>
      <w:r w:rsidR="000C0E49" w:rsidRPr="00F15147">
        <w:rPr>
          <w:sz w:val="20"/>
          <w:lang w:val="en-GB"/>
        </w:rPr>
        <w:t>through</w:t>
      </w:r>
      <w:r w:rsidR="002B797B" w:rsidRPr="00F15147">
        <w:rPr>
          <w:sz w:val="20"/>
          <w:lang w:val="en-GB"/>
        </w:rPr>
        <w:t xml:space="preserve"> </w:t>
      </w:r>
      <w:r w:rsidR="00574788" w:rsidRPr="007B31B7">
        <w:rPr>
          <w:sz w:val="20"/>
          <w:lang w:val="en-GB"/>
        </w:rPr>
        <w:t>article 137d</w:t>
      </w:r>
      <w:r w:rsidR="00574788" w:rsidRPr="00EC1FEE">
        <w:rPr>
          <w:sz w:val="20"/>
          <w:lang w:val="en-GB"/>
        </w:rPr>
        <w:t xml:space="preserve"> </w:t>
      </w:r>
      <w:r w:rsidR="00574788">
        <w:rPr>
          <w:sz w:val="20"/>
          <w:lang w:val="en-GB"/>
        </w:rPr>
        <w:t xml:space="preserve">of </w:t>
      </w:r>
      <w:r w:rsidR="007D5975" w:rsidRPr="00F15147">
        <w:rPr>
          <w:sz w:val="20"/>
          <w:lang w:val="en-GB"/>
        </w:rPr>
        <w:t xml:space="preserve">the </w:t>
      </w:r>
      <w:r w:rsidR="008851CB">
        <w:rPr>
          <w:sz w:val="20"/>
          <w:lang w:val="en-GB"/>
        </w:rPr>
        <w:t>C</w:t>
      </w:r>
      <w:r w:rsidR="007D5975" w:rsidRPr="00F15147">
        <w:rPr>
          <w:sz w:val="20"/>
          <w:lang w:val="en-GB"/>
        </w:rPr>
        <w:t xml:space="preserve">riminal </w:t>
      </w:r>
      <w:r w:rsidR="008851CB">
        <w:rPr>
          <w:sz w:val="20"/>
          <w:lang w:val="en-GB"/>
        </w:rPr>
        <w:t>C</w:t>
      </w:r>
      <w:r w:rsidR="007D5975" w:rsidRPr="00F15147">
        <w:rPr>
          <w:sz w:val="20"/>
          <w:lang w:val="en-GB"/>
        </w:rPr>
        <w:t>ode</w:t>
      </w:r>
      <w:r w:rsidR="00075C24" w:rsidRPr="00F15147">
        <w:rPr>
          <w:sz w:val="20"/>
          <w:lang w:val="en-GB"/>
        </w:rPr>
        <w:t xml:space="preserve">. </w:t>
      </w:r>
      <w:r w:rsidR="006A1D63" w:rsidRPr="00F15147">
        <w:rPr>
          <w:sz w:val="20"/>
          <w:lang w:val="en-GB"/>
        </w:rPr>
        <w:t>T</w:t>
      </w:r>
      <w:r w:rsidR="007D5975" w:rsidRPr="00F15147">
        <w:rPr>
          <w:sz w:val="20"/>
          <w:lang w:val="en-GB"/>
        </w:rPr>
        <w:t xml:space="preserve">he authors </w:t>
      </w:r>
      <w:r w:rsidR="00574788">
        <w:rPr>
          <w:sz w:val="20"/>
          <w:lang w:val="en-GB"/>
        </w:rPr>
        <w:t>are</w:t>
      </w:r>
      <w:r w:rsidR="007D5975" w:rsidRPr="00F15147">
        <w:rPr>
          <w:sz w:val="20"/>
          <w:lang w:val="en-GB"/>
        </w:rPr>
        <w:t xml:space="preserve"> not seek</w:t>
      </w:r>
      <w:r w:rsidR="00574788">
        <w:rPr>
          <w:sz w:val="20"/>
          <w:lang w:val="en-GB"/>
        </w:rPr>
        <w:t>ing</w:t>
      </w:r>
      <w:r w:rsidR="007D5975" w:rsidRPr="00F15147">
        <w:rPr>
          <w:sz w:val="20"/>
          <w:lang w:val="en-GB"/>
        </w:rPr>
        <w:t xml:space="preserve"> compensation; t</w:t>
      </w:r>
      <w:r w:rsidR="006409D5" w:rsidRPr="00F15147">
        <w:rPr>
          <w:sz w:val="20"/>
          <w:lang w:val="en-GB"/>
        </w:rPr>
        <w:t>he</w:t>
      </w:r>
      <w:r w:rsidR="007D5975" w:rsidRPr="00F15147">
        <w:rPr>
          <w:sz w:val="20"/>
          <w:lang w:val="en-GB"/>
        </w:rPr>
        <w:t>y sought</w:t>
      </w:r>
      <w:r w:rsidR="006409D5" w:rsidRPr="00F15147">
        <w:rPr>
          <w:sz w:val="20"/>
          <w:lang w:val="en-GB"/>
        </w:rPr>
        <w:t xml:space="preserve"> </w:t>
      </w:r>
      <w:r w:rsidRPr="00F15147">
        <w:rPr>
          <w:sz w:val="20"/>
          <w:lang w:val="en-GB"/>
        </w:rPr>
        <w:t>a judgment against</w:t>
      </w:r>
      <w:r w:rsidR="002B797B" w:rsidRPr="00F15147">
        <w:rPr>
          <w:sz w:val="20"/>
          <w:lang w:val="en-GB"/>
        </w:rPr>
        <w:t xml:space="preserve"> </w:t>
      </w:r>
      <w:r w:rsidR="006837AA">
        <w:rPr>
          <w:sz w:val="20"/>
          <w:lang w:val="en-GB"/>
        </w:rPr>
        <w:t>Mr. </w:t>
      </w:r>
      <w:r w:rsidR="00696F9C">
        <w:rPr>
          <w:sz w:val="20"/>
          <w:lang w:val="en-GB"/>
        </w:rPr>
        <w:t>Wilders</w:t>
      </w:r>
      <w:r w:rsidRPr="00F15147">
        <w:rPr>
          <w:sz w:val="20"/>
          <w:lang w:val="en-GB"/>
        </w:rPr>
        <w:t xml:space="preserve"> by a criminal court </w:t>
      </w:r>
      <w:r w:rsidR="007D5975" w:rsidRPr="00F15147">
        <w:rPr>
          <w:sz w:val="20"/>
          <w:lang w:val="en-GB"/>
        </w:rPr>
        <w:t>for</w:t>
      </w:r>
      <w:r w:rsidRPr="00F15147">
        <w:rPr>
          <w:sz w:val="20"/>
          <w:lang w:val="en-GB"/>
        </w:rPr>
        <w:t xml:space="preserve"> the </w:t>
      </w:r>
      <w:r w:rsidR="00B06D08" w:rsidRPr="00F15147">
        <w:rPr>
          <w:sz w:val="20"/>
          <w:lang w:val="en-GB"/>
        </w:rPr>
        <w:t>impor</w:t>
      </w:r>
      <w:r w:rsidR="00686FC0" w:rsidRPr="00F15147">
        <w:rPr>
          <w:sz w:val="20"/>
          <w:lang w:val="en-GB"/>
        </w:rPr>
        <w:t>t</w:t>
      </w:r>
      <w:r w:rsidR="00B06D08" w:rsidRPr="00F15147">
        <w:rPr>
          <w:sz w:val="20"/>
          <w:lang w:val="en-GB"/>
        </w:rPr>
        <w:t xml:space="preserve">ant </w:t>
      </w:r>
      <w:r w:rsidR="006409D5" w:rsidRPr="00F15147">
        <w:rPr>
          <w:sz w:val="20"/>
          <w:lang w:val="en-GB"/>
        </w:rPr>
        <w:t xml:space="preserve">and distinct </w:t>
      </w:r>
      <w:r w:rsidRPr="00F15147">
        <w:rPr>
          <w:sz w:val="20"/>
          <w:lang w:val="en-GB"/>
        </w:rPr>
        <w:t xml:space="preserve">public force of a verdict establishing guilt or innocence. </w:t>
      </w:r>
    </w:p>
    <w:p w14:paraId="072FF0C0" w14:textId="1C4938FA" w:rsidR="00E152A1" w:rsidRPr="00F15147" w:rsidRDefault="002B797B" w:rsidP="00574788">
      <w:pPr>
        <w:pStyle w:val="SingleTxtG"/>
        <w:rPr>
          <w:sz w:val="20"/>
          <w:lang w:val="en-GB"/>
        </w:rPr>
      </w:pPr>
      <w:r w:rsidRPr="00F15147">
        <w:rPr>
          <w:sz w:val="20"/>
          <w:lang w:val="en-GB"/>
        </w:rPr>
        <w:t>5.</w:t>
      </w:r>
      <w:r w:rsidR="007D5975" w:rsidRPr="00F15147">
        <w:rPr>
          <w:sz w:val="20"/>
          <w:lang w:val="en-GB"/>
        </w:rPr>
        <w:t>2</w:t>
      </w:r>
      <w:r w:rsidRPr="00F15147">
        <w:rPr>
          <w:sz w:val="20"/>
          <w:lang w:val="en-GB"/>
        </w:rPr>
        <w:tab/>
      </w:r>
      <w:r w:rsidR="006837AA">
        <w:rPr>
          <w:sz w:val="20"/>
          <w:lang w:val="en-GB"/>
        </w:rPr>
        <w:t>Mr. </w:t>
      </w:r>
      <w:r w:rsidR="00E152A1" w:rsidRPr="00F15147">
        <w:rPr>
          <w:sz w:val="20"/>
          <w:lang w:val="en-GB"/>
        </w:rPr>
        <w:t>Rabbae</w:t>
      </w:r>
      <w:r w:rsidR="00686FC0" w:rsidRPr="00F15147">
        <w:rPr>
          <w:sz w:val="20"/>
          <w:lang w:val="en-GB"/>
        </w:rPr>
        <w:t xml:space="preserve"> argues </w:t>
      </w:r>
      <w:r w:rsidR="00E152A1" w:rsidRPr="00F15147">
        <w:rPr>
          <w:sz w:val="20"/>
          <w:lang w:val="en-GB"/>
        </w:rPr>
        <w:t xml:space="preserve">that he is </w:t>
      </w:r>
      <w:r w:rsidR="00686FC0" w:rsidRPr="00F15147">
        <w:rPr>
          <w:sz w:val="20"/>
          <w:lang w:val="en-GB"/>
        </w:rPr>
        <w:t xml:space="preserve">a direct victim of </w:t>
      </w:r>
      <w:r w:rsidR="006837AA">
        <w:rPr>
          <w:sz w:val="20"/>
          <w:lang w:val="en-GB"/>
        </w:rPr>
        <w:t>Mr. </w:t>
      </w:r>
      <w:r w:rsidR="00696F9C">
        <w:rPr>
          <w:sz w:val="20"/>
          <w:lang w:val="en-GB"/>
        </w:rPr>
        <w:t>Wilders</w:t>
      </w:r>
      <w:r w:rsidR="00686FC0" w:rsidRPr="00F15147">
        <w:rPr>
          <w:sz w:val="20"/>
          <w:lang w:val="en-GB"/>
        </w:rPr>
        <w:t xml:space="preserve">’ hate speech because he is </w:t>
      </w:r>
      <w:r w:rsidR="00E152A1" w:rsidRPr="00F15147">
        <w:rPr>
          <w:sz w:val="20"/>
          <w:lang w:val="en-GB"/>
        </w:rPr>
        <w:t xml:space="preserve">affected as a Muslim, </w:t>
      </w:r>
      <w:r w:rsidR="005409E9" w:rsidRPr="00F15147">
        <w:rPr>
          <w:sz w:val="20"/>
          <w:lang w:val="en-GB"/>
        </w:rPr>
        <w:t xml:space="preserve">a </w:t>
      </w:r>
      <w:r w:rsidR="00E152A1" w:rsidRPr="00F15147">
        <w:rPr>
          <w:sz w:val="20"/>
          <w:lang w:val="en-GB"/>
        </w:rPr>
        <w:t xml:space="preserve">Moroccan and incidentally, </w:t>
      </w:r>
      <w:r w:rsidR="00574788">
        <w:rPr>
          <w:sz w:val="20"/>
          <w:lang w:val="en-GB"/>
        </w:rPr>
        <w:t xml:space="preserve">as </w:t>
      </w:r>
      <w:r w:rsidR="00E152A1" w:rsidRPr="00F15147">
        <w:rPr>
          <w:sz w:val="20"/>
          <w:lang w:val="en-GB"/>
        </w:rPr>
        <w:t>the chairman of a national consultative body</w:t>
      </w:r>
      <w:r w:rsidR="0088197D" w:rsidRPr="00F15147">
        <w:rPr>
          <w:sz w:val="20"/>
          <w:lang w:val="en-GB"/>
        </w:rPr>
        <w:t>.</w:t>
      </w:r>
      <w:r w:rsidR="00E152A1" w:rsidRPr="00F15147">
        <w:rPr>
          <w:sz w:val="20"/>
          <w:lang w:val="en-GB"/>
        </w:rPr>
        <w:t xml:space="preserve"> With regar</w:t>
      </w:r>
      <w:r w:rsidR="006138AC" w:rsidRPr="00F15147">
        <w:rPr>
          <w:sz w:val="20"/>
          <w:lang w:val="en-GB"/>
        </w:rPr>
        <w:t xml:space="preserve">d to the impact of </w:t>
      </w:r>
      <w:r w:rsidR="006837AA">
        <w:rPr>
          <w:sz w:val="20"/>
          <w:lang w:val="en-GB"/>
        </w:rPr>
        <w:t>Mr. </w:t>
      </w:r>
      <w:r w:rsidR="00696F9C">
        <w:rPr>
          <w:sz w:val="20"/>
          <w:lang w:val="en-GB"/>
        </w:rPr>
        <w:t>Wilders</w:t>
      </w:r>
      <w:r w:rsidR="00E152A1" w:rsidRPr="00F15147">
        <w:rPr>
          <w:sz w:val="20"/>
          <w:lang w:val="en-GB"/>
        </w:rPr>
        <w:t xml:space="preserve">’ hate speech on their personal lives, the authors reiterate that N.A. </w:t>
      </w:r>
      <w:r w:rsidR="006138AC" w:rsidRPr="00F15147">
        <w:rPr>
          <w:sz w:val="20"/>
          <w:lang w:val="en-GB"/>
        </w:rPr>
        <w:t xml:space="preserve">and </w:t>
      </w:r>
      <w:r w:rsidR="00E152A1" w:rsidRPr="00F15147">
        <w:rPr>
          <w:sz w:val="20"/>
          <w:lang w:val="en-GB"/>
        </w:rPr>
        <w:t>A.B.S.</w:t>
      </w:r>
      <w:r w:rsidR="00ED1575" w:rsidRPr="00F15147">
        <w:rPr>
          <w:sz w:val="20"/>
          <w:lang w:val="en-GB"/>
        </w:rPr>
        <w:t xml:space="preserve"> </w:t>
      </w:r>
      <w:r w:rsidR="00E152A1" w:rsidRPr="00F15147">
        <w:rPr>
          <w:sz w:val="20"/>
          <w:lang w:val="en-GB"/>
        </w:rPr>
        <w:t>re</w:t>
      </w:r>
      <w:r w:rsidR="00574788">
        <w:rPr>
          <w:sz w:val="20"/>
          <w:lang w:val="en-GB"/>
        </w:rPr>
        <w:t>por</w:t>
      </w:r>
      <w:r w:rsidR="00E152A1" w:rsidRPr="00F15147">
        <w:rPr>
          <w:sz w:val="20"/>
          <w:lang w:val="en-GB"/>
        </w:rPr>
        <w:t xml:space="preserve">ted their experiences </w:t>
      </w:r>
      <w:r w:rsidR="00CB0FDC" w:rsidRPr="00F15147">
        <w:rPr>
          <w:sz w:val="20"/>
          <w:lang w:val="en-GB"/>
        </w:rPr>
        <w:t>during</w:t>
      </w:r>
      <w:r w:rsidR="00E152A1" w:rsidRPr="00F15147">
        <w:rPr>
          <w:sz w:val="20"/>
          <w:lang w:val="en-GB"/>
        </w:rPr>
        <w:t xml:space="preserve"> the domes</w:t>
      </w:r>
      <w:r w:rsidR="003204B4" w:rsidRPr="00F15147">
        <w:rPr>
          <w:sz w:val="20"/>
          <w:lang w:val="en-GB"/>
        </w:rPr>
        <w:t xml:space="preserve">tic proceedings and </w:t>
      </w:r>
      <w:r w:rsidR="006837AA">
        <w:rPr>
          <w:sz w:val="20"/>
          <w:lang w:val="en-GB"/>
        </w:rPr>
        <w:t>Mr. </w:t>
      </w:r>
      <w:r w:rsidR="003204B4" w:rsidRPr="00F15147">
        <w:rPr>
          <w:sz w:val="20"/>
          <w:lang w:val="en-GB"/>
        </w:rPr>
        <w:t xml:space="preserve">Rabbae </w:t>
      </w:r>
      <w:r w:rsidR="00E152A1" w:rsidRPr="00F15147">
        <w:rPr>
          <w:sz w:val="20"/>
          <w:lang w:val="en-GB"/>
        </w:rPr>
        <w:t xml:space="preserve">reported the hate speech directed against him to the police. </w:t>
      </w:r>
      <w:r w:rsidR="0060110D" w:rsidRPr="00F15147">
        <w:rPr>
          <w:sz w:val="20"/>
          <w:lang w:val="en-GB"/>
        </w:rPr>
        <w:t>The</w:t>
      </w:r>
      <w:r w:rsidR="00ED1575" w:rsidRPr="00F15147">
        <w:rPr>
          <w:sz w:val="20"/>
          <w:lang w:val="en-GB"/>
        </w:rPr>
        <w:t xml:space="preserve"> </w:t>
      </w:r>
      <w:r w:rsidR="00E152A1" w:rsidRPr="00F15147">
        <w:rPr>
          <w:sz w:val="20"/>
          <w:lang w:val="en-GB"/>
        </w:rPr>
        <w:t xml:space="preserve">communication is </w:t>
      </w:r>
      <w:r w:rsidR="0060110D" w:rsidRPr="00F15147">
        <w:rPr>
          <w:sz w:val="20"/>
          <w:lang w:val="en-GB"/>
        </w:rPr>
        <w:t xml:space="preserve">not </w:t>
      </w:r>
      <w:r w:rsidR="00E152A1" w:rsidRPr="00F15147">
        <w:rPr>
          <w:sz w:val="20"/>
          <w:lang w:val="en-GB"/>
        </w:rPr>
        <w:t xml:space="preserve">an </w:t>
      </w:r>
      <w:r w:rsidR="00E152A1" w:rsidRPr="00F15147">
        <w:rPr>
          <w:i/>
          <w:sz w:val="20"/>
          <w:lang w:val="en-GB"/>
        </w:rPr>
        <w:t>actio popularis</w:t>
      </w:r>
      <w:r w:rsidR="00E152A1" w:rsidRPr="00F15147">
        <w:rPr>
          <w:sz w:val="20"/>
          <w:lang w:val="en-GB"/>
        </w:rPr>
        <w:t>.</w:t>
      </w:r>
    </w:p>
    <w:p w14:paraId="5533ABD9" w14:textId="6A8B4A33" w:rsidR="00E33CC1" w:rsidRPr="00F15147" w:rsidRDefault="00E152A1" w:rsidP="00993F8D">
      <w:pPr>
        <w:pStyle w:val="SingleTxtG"/>
        <w:rPr>
          <w:sz w:val="20"/>
          <w:lang w:val="en-GB"/>
        </w:rPr>
      </w:pPr>
      <w:r w:rsidRPr="00F15147">
        <w:rPr>
          <w:sz w:val="20"/>
          <w:lang w:val="en-GB"/>
        </w:rPr>
        <w:t>5.</w:t>
      </w:r>
      <w:r w:rsidR="007D5975" w:rsidRPr="00F15147">
        <w:rPr>
          <w:sz w:val="20"/>
          <w:lang w:val="en-GB"/>
        </w:rPr>
        <w:t>3</w:t>
      </w:r>
      <w:r w:rsidRPr="00F15147">
        <w:rPr>
          <w:sz w:val="20"/>
          <w:lang w:val="en-GB"/>
        </w:rPr>
        <w:tab/>
      </w:r>
      <w:r w:rsidR="00780E3A" w:rsidRPr="00F15147">
        <w:rPr>
          <w:sz w:val="20"/>
          <w:lang w:val="en-GB"/>
        </w:rPr>
        <w:t>T</w:t>
      </w:r>
      <w:r w:rsidRPr="00F15147">
        <w:rPr>
          <w:sz w:val="20"/>
          <w:lang w:val="en-GB"/>
        </w:rPr>
        <w:t xml:space="preserve">he communication </w:t>
      </w:r>
      <w:r w:rsidR="00780E3A" w:rsidRPr="00F15147">
        <w:rPr>
          <w:sz w:val="20"/>
          <w:lang w:val="en-GB"/>
        </w:rPr>
        <w:t>is not</w:t>
      </w:r>
      <w:r w:rsidRPr="00F15147">
        <w:rPr>
          <w:sz w:val="20"/>
          <w:lang w:val="en-GB"/>
        </w:rPr>
        <w:t xml:space="preserve"> inadmissible </w:t>
      </w:r>
      <w:r w:rsidRPr="00F15147">
        <w:rPr>
          <w:i/>
          <w:sz w:val="20"/>
          <w:lang w:val="en-GB"/>
        </w:rPr>
        <w:t>ratione materiae</w:t>
      </w:r>
      <w:r w:rsidR="00634DCB" w:rsidRPr="00F15147">
        <w:rPr>
          <w:i/>
          <w:sz w:val="20"/>
          <w:lang w:val="en-GB"/>
        </w:rPr>
        <w:t>.</w:t>
      </w:r>
      <w:r w:rsidRPr="00F15147">
        <w:rPr>
          <w:sz w:val="20"/>
          <w:lang w:val="en-GB"/>
        </w:rPr>
        <w:t xml:space="preserve"> </w:t>
      </w:r>
      <w:r w:rsidR="00634DCB" w:rsidRPr="00F15147">
        <w:rPr>
          <w:sz w:val="20"/>
          <w:lang w:val="en-GB"/>
        </w:rPr>
        <w:t>T</w:t>
      </w:r>
      <w:r w:rsidRPr="00F15147">
        <w:rPr>
          <w:sz w:val="20"/>
          <w:lang w:val="en-GB"/>
        </w:rPr>
        <w:t>he</w:t>
      </w:r>
      <w:r w:rsidR="00780E3A" w:rsidRPr="00F15147">
        <w:rPr>
          <w:sz w:val="20"/>
          <w:lang w:val="en-GB"/>
        </w:rPr>
        <w:t xml:space="preserve"> authors</w:t>
      </w:r>
      <w:r w:rsidRPr="00F15147">
        <w:rPr>
          <w:sz w:val="20"/>
          <w:lang w:val="en-GB"/>
        </w:rPr>
        <w:t xml:space="preserve"> invoked articles 20</w:t>
      </w:r>
      <w:r w:rsidR="00A455E6">
        <w:rPr>
          <w:sz w:val="20"/>
          <w:lang w:val="en-GB"/>
        </w:rPr>
        <w:t xml:space="preserve"> </w:t>
      </w:r>
      <w:r w:rsidR="00B06D08" w:rsidRPr="00F15147">
        <w:rPr>
          <w:sz w:val="20"/>
          <w:lang w:val="en-GB"/>
        </w:rPr>
        <w:t>(2)</w:t>
      </w:r>
      <w:r w:rsidRPr="00F15147">
        <w:rPr>
          <w:sz w:val="20"/>
          <w:lang w:val="en-GB"/>
        </w:rPr>
        <w:t>, 26 and 27 of the Covenant</w:t>
      </w:r>
      <w:r w:rsidR="00780E3A" w:rsidRPr="00F15147">
        <w:rPr>
          <w:sz w:val="20"/>
          <w:lang w:val="en-GB"/>
        </w:rPr>
        <w:t>. T</w:t>
      </w:r>
      <w:r w:rsidR="00634DCB" w:rsidRPr="00F15147">
        <w:rPr>
          <w:sz w:val="20"/>
          <w:lang w:val="en-GB"/>
        </w:rPr>
        <w:t xml:space="preserve">heir </w:t>
      </w:r>
      <w:r w:rsidR="00780E3A" w:rsidRPr="00F15147">
        <w:rPr>
          <w:sz w:val="20"/>
          <w:lang w:val="en-GB"/>
        </w:rPr>
        <w:t>communication</w:t>
      </w:r>
      <w:r w:rsidR="00634DCB" w:rsidRPr="00F15147">
        <w:rPr>
          <w:sz w:val="20"/>
          <w:lang w:val="en-GB"/>
        </w:rPr>
        <w:t xml:space="preserve"> </w:t>
      </w:r>
      <w:r w:rsidR="00780E3A" w:rsidRPr="00F15147">
        <w:rPr>
          <w:sz w:val="20"/>
          <w:lang w:val="en-GB"/>
        </w:rPr>
        <w:t xml:space="preserve">thus clearly falls within </w:t>
      </w:r>
      <w:r w:rsidRPr="00F15147">
        <w:rPr>
          <w:sz w:val="20"/>
          <w:lang w:val="en-GB"/>
        </w:rPr>
        <w:t>the scope of the Covenant.</w:t>
      </w:r>
    </w:p>
    <w:p w14:paraId="3A548337" w14:textId="25F3D8B1" w:rsidR="00CB6DE1" w:rsidRPr="00F15147" w:rsidRDefault="00D0014F" w:rsidP="00574788">
      <w:pPr>
        <w:pStyle w:val="SingleTxtG"/>
        <w:rPr>
          <w:sz w:val="20"/>
          <w:lang w:val="en-GB"/>
        </w:rPr>
      </w:pPr>
      <w:r w:rsidRPr="00F15147">
        <w:rPr>
          <w:sz w:val="20"/>
          <w:lang w:val="en-GB"/>
        </w:rPr>
        <w:t>5.</w:t>
      </w:r>
      <w:r w:rsidR="007D5975" w:rsidRPr="00F15147">
        <w:rPr>
          <w:sz w:val="20"/>
          <w:lang w:val="en-GB"/>
        </w:rPr>
        <w:t>4</w:t>
      </w:r>
      <w:r w:rsidRPr="00F15147">
        <w:rPr>
          <w:sz w:val="20"/>
          <w:lang w:val="en-GB"/>
        </w:rPr>
        <w:tab/>
      </w:r>
      <w:r w:rsidR="00634DCB" w:rsidRPr="00F15147">
        <w:rPr>
          <w:sz w:val="20"/>
          <w:lang w:val="en-GB"/>
        </w:rPr>
        <w:t>A</w:t>
      </w:r>
      <w:r w:rsidRPr="00F15147">
        <w:rPr>
          <w:sz w:val="20"/>
          <w:lang w:val="en-GB"/>
        </w:rPr>
        <w:t>rticle 20</w:t>
      </w:r>
      <w:r w:rsidR="00A455E6">
        <w:rPr>
          <w:sz w:val="20"/>
          <w:lang w:val="en-GB"/>
        </w:rPr>
        <w:t xml:space="preserve"> </w:t>
      </w:r>
      <w:r w:rsidRPr="00F15147">
        <w:rPr>
          <w:sz w:val="20"/>
          <w:lang w:val="en-GB"/>
        </w:rPr>
        <w:t xml:space="preserve">(2) not only imposes an obligation on </w:t>
      </w:r>
      <w:r w:rsidR="006A1D63" w:rsidRPr="00F15147">
        <w:rPr>
          <w:sz w:val="20"/>
          <w:lang w:val="en-GB"/>
        </w:rPr>
        <w:t>S</w:t>
      </w:r>
      <w:r w:rsidRPr="00F15147">
        <w:rPr>
          <w:sz w:val="20"/>
          <w:lang w:val="en-GB"/>
        </w:rPr>
        <w:t xml:space="preserve">tates to </w:t>
      </w:r>
      <w:r w:rsidR="006A1D63" w:rsidRPr="00F15147">
        <w:rPr>
          <w:sz w:val="20"/>
          <w:lang w:val="en-GB"/>
        </w:rPr>
        <w:t xml:space="preserve">legislate </w:t>
      </w:r>
      <w:r w:rsidR="000E70EB" w:rsidRPr="00F15147">
        <w:rPr>
          <w:sz w:val="20"/>
          <w:lang w:val="en-GB"/>
        </w:rPr>
        <w:t xml:space="preserve">against hate speech, but must also give individuals the right to be protected from it. </w:t>
      </w:r>
      <w:r w:rsidR="00634DCB" w:rsidRPr="00F15147">
        <w:rPr>
          <w:sz w:val="20"/>
          <w:lang w:val="en-GB"/>
        </w:rPr>
        <w:t>A</w:t>
      </w:r>
      <w:r w:rsidR="000E70EB" w:rsidRPr="00F15147">
        <w:rPr>
          <w:sz w:val="20"/>
          <w:lang w:val="en-GB"/>
        </w:rPr>
        <w:t xml:space="preserve">rticle 4 </w:t>
      </w:r>
      <w:r w:rsidR="002F5250">
        <w:rPr>
          <w:sz w:val="20"/>
          <w:lang w:val="en-GB"/>
        </w:rPr>
        <w:t xml:space="preserve">of the </w:t>
      </w:r>
      <w:r w:rsidR="002F5250" w:rsidRPr="002F5250">
        <w:rPr>
          <w:sz w:val="20"/>
          <w:lang w:val="en-GB"/>
        </w:rPr>
        <w:t>the International Convention on the Elimination</w:t>
      </w:r>
      <w:r w:rsidR="002F5250">
        <w:rPr>
          <w:sz w:val="20"/>
          <w:lang w:val="en-GB"/>
        </w:rPr>
        <w:t xml:space="preserve"> </w:t>
      </w:r>
      <w:r w:rsidR="002F5250" w:rsidRPr="002F5250">
        <w:rPr>
          <w:sz w:val="20"/>
          <w:lang w:val="en-GB"/>
        </w:rPr>
        <w:t>of All Forms of Racial Discrimination</w:t>
      </w:r>
      <w:r w:rsidR="00634DCB" w:rsidRPr="00F15147">
        <w:rPr>
          <w:sz w:val="20"/>
          <w:lang w:val="en-GB"/>
        </w:rPr>
        <w:t xml:space="preserve"> </w:t>
      </w:r>
      <w:r w:rsidR="000E70EB" w:rsidRPr="00F15147">
        <w:rPr>
          <w:sz w:val="20"/>
          <w:lang w:val="en-GB"/>
        </w:rPr>
        <w:t xml:space="preserve">is also couched in terms of </w:t>
      </w:r>
      <w:r w:rsidR="002F5250">
        <w:rPr>
          <w:sz w:val="20"/>
          <w:lang w:val="en-GB"/>
        </w:rPr>
        <w:t>S</w:t>
      </w:r>
      <w:r w:rsidR="000E70EB" w:rsidRPr="00F15147">
        <w:rPr>
          <w:sz w:val="20"/>
          <w:lang w:val="en-GB"/>
        </w:rPr>
        <w:t xml:space="preserve">tates’ obligations rather than </w:t>
      </w:r>
      <w:r w:rsidR="00574788" w:rsidRPr="00A34328">
        <w:rPr>
          <w:sz w:val="20"/>
          <w:lang w:val="en-GB"/>
        </w:rPr>
        <w:t>individuals</w:t>
      </w:r>
      <w:r w:rsidR="00574788">
        <w:rPr>
          <w:sz w:val="20"/>
          <w:lang w:val="en-GB"/>
        </w:rPr>
        <w:t>’</w:t>
      </w:r>
      <w:r w:rsidR="00574788" w:rsidRPr="00EC1FEE">
        <w:rPr>
          <w:sz w:val="20"/>
          <w:lang w:val="en-GB"/>
        </w:rPr>
        <w:t xml:space="preserve"> </w:t>
      </w:r>
      <w:r w:rsidR="00240121" w:rsidRPr="00F15147">
        <w:rPr>
          <w:sz w:val="20"/>
          <w:lang w:val="en-GB"/>
        </w:rPr>
        <w:t>rights</w:t>
      </w:r>
      <w:r w:rsidR="000E70EB" w:rsidRPr="00F15147">
        <w:rPr>
          <w:sz w:val="20"/>
          <w:lang w:val="en-GB"/>
        </w:rPr>
        <w:t xml:space="preserve">, but </w:t>
      </w:r>
      <w:r w:rsidR="00240121" w:rsidRPr="00F15147">
        <w:rPr>
          <w:sz w:val="20"/>
          <w:lang w:val="en-GB"/>
        </w:rPr>
        <w:t>th</w:t>
      </w:r>
      <w:r w:rsidR="00574788">
        <w:rPr>
          <w:sz w:val="20"/>
          <w:lang w:val="en-GB"/>
        </w:rPr>
        <w:t>at</w:t>
      </w:r>
      <w:r w:rsidR="00240121" w:rsidRPr="00F15147">
        <w:rPr>
          <w:sz w:val="20"/>
          <w:lang w:val="en-GB"/>
        </w:rPr>
        <w:t xml:space="preserve"> has not prevented </w:t>
      </w:r>
      <w:r w:rsidR="002F5250">
        <w:rPr>
          <w:sz w:val="20"/>
          <w:lang w:val="en-GB"/>
        </w:rPr>
        <w:t xml:space="preserve">the </w:t>
      </w:r>
      <w:r w:rsidR="002F5250" w:rsidRPr="002F5250">
        <w:rPr>
          <w:rStyle w:val="Emphasis"/>
          <w:i w:val="0"/>
          <w:iCs w:val="0"/>
          <w:sz w:val="20"/>
          <w:szCs w:val="20"/>
        </w:rPr>
        <w:t>Committee</w:t>
      </w:r>
      <w:r w:rsidR="002F5250" w:rsidRPr="002F5250">
        <w:rPr>
          <w:rStyle w:val="preferred"/>
          <w:i/>
          <w:sz w:val="20"/>
          <w:szCs w:val="20"/>
        </w:rPr>
        <w:t xml:space="preserve"> </w:t>
      </w:r>
      <w:r w:rsidR="002F5250" w:rsidRPr="002F5250">
        <w:rPr>
          <w:rStyle w:val="Emphasis"/>
          <w:i w:val="0"/>
          <w:iCs w:val="0"/>
          <w:sz w:val="20"/>
          <w:szCs w:val="20"/>
        </w:rPr>
        <w:t>on</w:t>
      </w:r>
      <w:r w:rsidR="002F5250" w:rsidRPr="002F5250">
        <w:rPr>
          <w:rStyle w:val="preferred"/>
          <w:i/>
          <w:sz w:val="20"/>
          <w:szCs w:val="20"/>
        </w:rPr>
        <w:t xml:space="preserve"> </w:t>
      </w:r>
      <w:r w:rsidR="002F5250" w:rsidRPr="002F5250">
        <w:rPr>
          <w:rStyle w:val="Emphasis"/>
          <w:i w:val="0"/>
          <w:iCs w:val="0"/>
          <w:sz w:val="20"/>
          <w:szCs w:val="20"/>
        </w:rPr>
        <w:t>the</w:t>
      </w:r>
      <w:r w:rsidR="002F5250" w:rsidRPr="002F5250">
        <w:rPr>
          <w:rStyle w:val="preferred"/>
          <w:i/>
          <w:sz w:val="20"/>
          <w:szCs w:val="20"/>
        </w:rPr>
        <w:t xml:space="preserve"> </w:t>
      </w:r>
      <w:r w:rsidR="002F5250" w:rsidRPr="002F5250">
        <w:rPr>
          <w:rStyle w:val="Emphasis"/>
          <w:i w:val="0"/>
          <w:iCs w:val="0"/>
          <w:sz w:val="20"/>
          <w:szCs w:val="20"/>
        </w:rPr>
        <w:t>Elimination</w:t>
      </w:r>
      <w:r w:rsidR="002F5250" w:rsidRPr="002F5250">
        <w:rPr>
          <w:rStyle w:val="preferred"/>
          <w:i/>
          <w:sz w:val="20"/>
          <w:szCs w:val="20"/>
        </w:rPr>
        <w:t xml:space="preserve"> </w:t>
      </w:r>
      <w:r w:rsidR="002F5250" w:rsidRPr="002F5250">
        <w:rPr>
          <w:rStyle w:val="Emphasis"/>
          <w:i w:val="0"/>
          <w:iCs w:val="0"/>
          <w:sz w:val="20"/>
          <w:szCs w:val="20"/>
        </w:rPr>
        <w:t>of</w:t>
      </w:r>
      <w:r w:rsidR="002F5250" w:rsidRPr="002F5250">
        <w:rPr>
          <w:rStyle w:val="preferred"/>
          <w:i/>
          <w:sz w:val="20"/>
          <w:szCs w:val="20"/>
        </w:rPr>
        <w:t xml:space="preserve"> </w:t>
      </w:r>
      <w:r w:rsidR="002F5250" w:rsidRPr="002F5250">
        <w:rPr>
          <w:rStyle w:val="Emphasis"/>
          <w:i w:val="0"/>
          <w:iCs w:val="0"/>
          <w:sz w:val="20"/>
          <w:szCs w:val="20"/>
        </w:rPr>
        <w:t>Racial</w:t>
      </w:r>
      <w:r w:rsidR="002F5250" w:rsidRPr="002F5250">
        <w:rPr>
          <w:rStyle w:val="preferred"/>
          <w:i/>
          <w:sz w:val="20"/>
          <w:szCs w:val="20"/>
        </w:rPr>
        <w:t xml:space="preserve"> </w:t>
      </w:r>
      <w:r w:rsidR="002F5250" w:rsidRPr="002F5250">
        <w:rPr>
          <w:rStyle w:val="Emphasis"/>
          <w:i w:val="0"/>
          <w:iCs w:val="0"/>
          <w:sz w:val="20"/>
          <w:szCs w:val="20"/>
        </w:rPr>
        <w:t>Discrimination</w:t>
      </w:r>
      <w:r w:rsidR="00A54517" w:rsidRPr="00F15147">
        <w:rPr>
          <w:sz w:val="20"/>
          <w:lang w:val="en-GB"/>
        </w:rPr>
        <w:t xml:space="preserve"> from declaring admissible claims invoking violations of th</w:t>
      </w:r>
      <w:r w:rsidR="00574788">
        <w:rPr>
          <w:sz w:val="20"/>
          <w:lang w:val="en-GB"/>
        </w:rPr>
        <w:t>at</w:t>
      </w:r>
      <w:r w:rsidR="00A54517" w:rsidRPr="00F15147">
        <w:rPr>
          <w:sz w:val="20"/>
          <w:lang w:val="en-GB"/>
        </w:rPr>
        <w:t xml:space="preserve"> provision. </w:t>
      </w:r>
      <w:r w:rsidR="00FB24FB" w:rsidRPr="00F15147">
        <w:rPr>
          <w:sz w:val="20"/>
          <w:lang w:val="en-GB"/>
        </w:rPr>
        <w:t xml:space="preserve">If the Committee nevertheless finds that such individual protection is not given under article 20, it should be interpreted to be provided by article 17. </w:t>
      </w:r>
      <w:r w:rsidR="00612024" w:rsidRPr="00F15147">
        <w:rPr>
          <w:sz w:val="20"/>
          <w:lang w:val="en-GB"/>
        </w:rPr>
        <w:t>The</w:t>
      </w:r>
      <w:r w:rsidR="00574788">
        <w:rPr>
          <w:sz w:val="20"/>
          <w:lang w:val="en-GB"/>
        </w:rPr>
        <w:t xml:space="preserve"> authors</w:t>
      </w:r>
      <w:r w:rsidR="00612024" w:rsidRPr="00F15147">
        <w:rPr>
          <w:sz w:val="20"/>
          <w:lang w:val="en-GB"/>
        </w:rPr>
        <w:t xml:space="preserve"> argue that they have emphasized their collective right to identity by invoking article 20 in connection with articles 26 and 27. However, an infringement on one’s individual identity</w:t>
      </w:r>
      <w:r w:rsidR="00574788">
        <w:rPr>
          <w:sz w:val="20"/>
          <w:lang w:val="en-GB"/>
        </w:rPr>
        <w:t>,</w:t>
      </w:r>
      <w:r w:rsidR="00612024" w:rsidRPr="00F15147">
        <w:rPr>
          <w:sz w:val="20"/>
          <w:lang w:val="en-GB"/>
        </w:rPr>
        <w:t xml:space="preserve"> </w:t>
      </w:r>
      <w:r w:rsidR="00574788">
        <w:rPr>
          <w:sz w:val="20"/>
          <w:lang w:val="en-GB"/>
        </w:rPr>
        <w:t>such as</w:t>
      </w:r>
      <w:r w:rsidR="00612024" w:rsidRPr="00F15147">
        <w:rPr>
          <w:sz w:val="20"/>
          <w:lang w:val="en-GB"/>
        </w:rPr>
        <w:t xml:space="preserve"> racial defamation</w:t>
      </w:r>
      <w:r w:rsidR="00574788">
        <w:rPr>
          <w:sz w:val="20"/>
          <w:lang w:val="en-GB"/>
        </w:rPr>
        <w:t>,</w:t>
      </w:r>
      <w:r w:rsidR="00612024" w:rsidRPr="00F15147">
        <w:rPr>
          <w:sz w:val="20"/>
          <w:lang w:val="en-GB"/>
        </w:rPr>
        <w:t xml:space="preserve"> </w:t>
      </w:r>
      <w:r w:rsidR="00780E3A" w:rsidRPr="00F15147">
        <w:rPr>
          <w:sz w:val="20"/>
          <w:lang w:val="en-GB"/>
        </w:rPr>
        <w:t xml:space="preserve">also </w:t>
      </w:r>
      <w:r w:rsidR="00612024" w:rsidRPr="00F15147">
        <w:rPr>
          <w:sz w:val="20"/>
          <w:lang w:val="en-GB"/>
        </w:rPr>
        <w:t>influences one’s capacity and freedom to enjoy one’s collective identity</w:t>
      </w:r>
      <w:r w:rsidR="00780E3A" w:rsidRPr="00F15147">
        <w:rPr>
          <w:sz w:val="20"/>
          <w:lang w:val="en-GB"/>
        </w:rPr>
        <w:t>, and vice versa</w:t>
      </w:r>
      <w:r w:rsidR="00612024" w:rsidRPr="00F15147">
        <w:rPr>
          <w:sz w:val="20"/>
          <w:lang w:val="en-GB"/>
        </w:rPr>
        <w:t xml:space="preserve">. Accordingly, the State party’s actions also violate article 17, interpreted in </w:t>
      </w:r>
      <w:r w:rsidR="00574788">
        <w:rPr>
          <w:sz w:val="20"/>
          <w:lang w:val="en-GB"/>
        </w:rPr>
        <w:t xml:space="preserve">the </w:t>
      </w:r>
      <w:r w:rsidR="00612024" w:rsidRPr="00F15147">
        <w:rPr>
          <w:sz w:val="20"/>
          <w:lang w:val="en-GB"/>
        </w:rPr>
        <w:t>light of article 20</w:t>
      </w:r>
      <w:r w:rsidR="00574788">
        <w:rPr>
          <w:sz w:val="20"/>
          <w:lang w:val="en-GB"/>
        </w:rPr>
        <w:t xml:space="preserve"> </w:t>
      </w:r>
      <w:r w:rsidR="00612024" w:rsidRPr="00F15147">
        <w:rPr>
          <w:sz w:val="20"/>
          <w:lang w:val="en-GB"/>
        </w:rPr>
        <w:t>(2).</w:t>
      </w:r>
    </w:p>
    <w:p w14:paraId="573AB796" w14:textId="2CADFCCD" w:rsidR="003601C6" w:rsidRPr="00F15147" w:rsidRDefault="004E289D" w:rsidP="005B3F93">
      <w:pPr>
        <w:pStyle w:val="SingleTxtG"/>
        <w:rPr>
          <w:sz w:val="20"/>
          <w:lang w:val="en-GB"/>
        </w:rPr>
      </w:pPr>
      <w:r w:rsidRPr="00F15147">
        <w:rPr>
          <w:sz w:val="20"/>
          <w:lang w:val="en-GB"/>
        </w:rPr>
        <w:t>5.</w:t>
      </w:r>
      <w:r w:rsidR="00A54517" w:rsidRPr="00F15147">
        <w:rPr>
          <w:sz w:val="20"/>
          <w:lang w:val="en-GB"/>
        </w:rPr>
        <w:t>5</w:t>
      </w:r>
      <w:r w:rsidRPr="00F15147">
        <w:rPr>
          <w:sz w:val="20"/>
          <w:lang w:val="en-GB"/>
        </w:rPr>
        <w:tab/>
      </w:r>
      <w:r w:rsidR="003601C6" w:rsidRPr="00F15147">
        <w:rPr>
          <w:sz w:val="20"/>
          <w:lang w:val="en-GB"/>
        </w:rPr>
        <w:t>Regarding the proceedings initiated against</w:t>
      </w:r>
      <w:r w:rsidR="00ED1575" w:rsidRPr="00F15147">
        <w:rPr>
          <w:sz w:val="20"/>
          <w:lang w:val="en-GB"/>
        </w:rPr>
        <w:t xml:space="preserve"> </w:t>
      </w:r>
      <w:r w:rsidR="006837AA">
        <w:rPr>
          <w:sz w:val="20"/>
          <w:lang w:val="en-GB"/>
        </w:rPr>
        <w:t>Mr. </w:t>
      </w:r>
      <w:r w:rsidR="00696F9C">
        <w:rPr>
          <w:sz w:val="20"/>
          <w:lang w:val="en-GB"/>
        </w:rPr>
        <w:t>Wilders</w:t>
      </w:r>
      <w:r w:rsidR="003601C6" w:rsidRPr="00F15147">
        <w:rPr>
          <w:sz w:val="20"/>
          <w:lang w:val="en-GB"/>
        </w:rPr>
        <w:t xml:space="preserve"> in December 2014, the</w:t>
      </w:r>
      <w:r w:rsidR="00ED1575" w:rsidRPr="00F15147">
        <w:rPr>
          <w:sz w:val="20"/>
          <w:lang w:val="en-GB"/>
        </w:rPr>
        <w:t xml:space="preserve"> </w:t>
      </w:r>
      <w:r w:rsidR="005B3F93">
        <w:rPr>
          <w:sz w:val="20"/>
          <w:lang w:val="en-GB"/>
        </w:rPr>
        <w:t>p</w:t>
      </w:r>
      <w:r w:rsidR="003601C6" w:rsidRPr="00F15147">
        <w:rPr>
          <w:sz w:val="20"/>
          <w:lang w:val="en-GB"/>
        </w:rPr>
        <w:t>rosecutor decided to prosecute</w:t>
      </w:r>
      <w:r w:rsidR="00ED1575" w:rsidRPr="00F15147">
        <w:rPr>
          <w:sz w:val="20"/>
          <w:lang w:val="en-GB"/>
        </w:rPr>
        <w:t xml:space="preserve"> </w:t>
      </w:r>
      <w:r w:rsidR="006837AA">
        <w:rPr>
          <w:sz w:val="20"/>
          <w:lang w:val="en-GB"/>
        </w:rPr>
        <w:t>Mr. </w:t>
      </w:r>
      <w:r w:rsidR="00696F9C">
        <w:rPr>
          <w:sz w:val="20"/>
          <w:lang w:val="en-GB"/>
        </w:rPr>
        <w:t>Wilders</w:t>
      </w:r>
      <w:r w:rsidR="003601C6" w:rsidRPr="00F15147">
        <w:rPr>
          <w:sz w:val="20"/>
          <w:lang w:val="en-GB"/>
        </w:rPr>
        <w:t xml:space="preserve"> again </w:t>
      </w:r>
      <w:r w:rsidR="00574788" w:rsidRPr="003A69AA">
        <w:rPr>
          <w:sz w:val="20"/>
          <w:lang w:val="en-GB"/>
        </w:rPr>
        <w:t xml:space="preserve">only </w:t>
      </w:r>
      <w:r w:rsidR="003601C6" w:rsidRPr="00F15147">
        <w:rPr>
          <w:sz w:val="20"/>
          <w:lang w:val="en-GB"/>
        </w:rPr>
        <w:t xml:space="preserve">after </w:t>
      </w:r>
      <w:r w:rsidR="005B3F93">
        <w:rPr>
          <w:sz w:val="20"/>
          <w:lang w:val="en-GB"/>
        </w:rPr>
        <w:t xml:space="preserve">there was </w:t>
      </w:r>
      <w:r w:rsidR="003601C6" w:rsidRPr="00F15147">
        <w:rPr>
          <w:sz w:val="20"/>
          <w:lang w:val="en-GB"/>
        </w:rPr>
        <w:t>public outcry over his behaviour</w:t>
      </w:r>
      <w:r w:rsidR="005057A1" w:rsidRPr="00F15147">
        <w:rPr>
          <w:sz w:val="20"/>
          <w:lang w:val="en-GB"/>
        </w:rPr>
        <w:t>.</w:t>
      </w:r>
    </w:p>
    <w:p w14:paraId="02A1D0D5" w14:textId="1B9BD484" w:rsidR="00E33CC1" w:rsidRPr="00F15147" w:rsidRDefault="003204B4" w:rsidP="003204B4">
      <w:pPr>
        <w:pStyle w:val="H23G"/>
        <w:rPr>
          <w:sz w:val="20"/>
        </w:rPr>
      </w:pPr>
      <w:r w:rsidRPr="00F15147">
        <w:rPr>
          <w:sz w:val="20"/>
        </w:rPr>
        <w:tab/>
      </w:r>
      <w:r w:rsidRPr="00F15147">
        <w:rPr>
          <w:sz w:val="20"/>
        </w:rPr>
        <w:tab/>
      </w:r>
      <w:r w:rsidR="00F87B7B" w:rsidRPr="00F15147">
        <w:rPr>
          <w:sz w:val="20"/>
        </w:rPr>
        <w:t xml:space="preserve">State party’s observations on </w:t>
      </w:r>
      <w:r w:rsidR="001B64C0">
        <w:rPr>
          <w:sz w:val="20"/>
        </w:rPr>
        <w:t xml:space="preserve">the </w:t>
      </w:r>
      <w:r w:rsidR="00F87B7B" w:rsidRPr="00F15147">
        <w:rPr>
          <w:sz w:val="20"/>
        </w:rPr>
        <w:t>merits</w:t>
      </w:r>
    </w:p>
    <w:p w14:paraId="14D53EF8" w14:textId="482023A5" w:rsidR="002840EC" w:rsidRPr="00F15147" w:rsidRDefault="004E289D" w:rsidP="005B3F93">
      <w:pPr>
        <w:pStyle w:val="SingleTxtG"/>
        <w:rPr>
          <w:sz w:val="20"/>
          <w:lang w:val="en-GB"/>
        </w:rPr>
      </w:pPr>
      <w:r w:rsidRPr="00F15147">
        <w:rPr>
          <w:sz w:val="20"/>
          <w:lang w:val="en-GB"/>
        </w:rPr>
        <w:t>6.1</w:t>
      </w:r>
      <w:r w:rsidRPr="00F15147">
        <w:rPr>
          <w:sz w:val="20"/>
          <w:lang w:val="en-GB"/>
        </w:rPr>
        <w:tab/>
      </w:r>
      <w:r w:rsidR="005B3F93">
        <w:rPr>
          <w:sz w:val="20"/>
          <w:lang w:val="en-GB"/>
        </w:rPr>
        <w:t>T</w:t>
      </w:r>
      <w:r w:rsidR="005B3F93" w:rsidRPr="00F3590E">
        <w:rPr>
          <w:sz w:val="20"/>
          <w:lang w:val="en-GB"/>
        </w:rPr>
        <w:t xml:space="preserve">he State party </w:t>
      </w:r>
      <w:r w:rsidR="005B3F93" w:rsidRPr="006D6A2C">
        <w:rPr>
          <w:sz w:val="20"/>
          <w:lang w:val="en-GB"/>
        </w:rPr>
        <w:t xml:space="preserve">submitted </w:t>
      </w:r>
      <w:r w:rsidR="00991886" w:rsidRPr="00F15147">
        <w:rPr>
          <w:sz w:val="20"/>
          <w:lang w:val="en-GB"/>
        </w:rPr>
        <w:t xml:space="preserve">its observations </w:t>
      </w:r>
      <w:r w:rsidR="005B3F93" w:rsidRPr="005B3F93">
        <w:rPr>
          <w:sz w:val="20"/>
          <w:lang w:val="en-GB"/>
        </w:rPr>
        <w:t xml:space="preserve">on the merits </w:t>
      </w:r>
      <w:r w:rsidR="00991886" w:rsidRPr="00F15147">
        <w:rPr>
          <w:sz w:val="20"/>
          <w:lang w:val="en-GB"/>
        </w:rPr>
        <w:t>o</w:t>
      </w:r>
      <w:r w:rsidR="005B3F93">
        <w:rPr>
          <w:sz w:val="20"/>
          <w:lang w:val="en-GB"/>
        </w:rPr>
        <w:t>n</w:t>
      </w:r>
      <w:r w:rsidR="00991886" w:rsidRPr="00F15147">
        <w:rPr>
          <w:sz w:val="20"/>
          <w:lang w:val="en-GB"/>
        </w:rPr>
        <w:t xml:space="preserve"> 28 May 2015</w:t>
      </w:r>
      <w:r w:rsidR="005B3F93">
        <w:rPr>
          <w:sz w:val="20"/>
          <w:lang w:val="en-GB"/>
        </w:rPr>
        <w:t>. It</w:t>
      </w:r>
      <w:r w:rsidR="00991886" w:rsidRPr="00F15147">
        <w:rPr>
          <w:sz w:val="20"/>
          <w:lang w:val="en-GB"/>
        </w:rPr>
        <w:t xml:space="preserve"> rejects </w:t>
      </w:r>
      <w:r w:rsidR="00E33CC1" w:rsidRPr="00F15147">
        <w:rPr>
          <w:sz w:val="20"/>
          <w:lang w:val="en-GB"/>
        </w:rPr>
        <w:t xml:space="preserve">the authors’ contention </w:t>
      </w:r>
      <w:r w:rsidR="005057A1" w:rsidRPr="00F15147">
        <w:rPr>
          <w:sz w:val="20"/>
          <w:lang w:val="en-GB"/>
        </w:rPr>
        <w:t>under article 2</w:t>
      </w:r>
      <w:r w:rsidR="005B3F93">
        <w:rPr>
          <w:sz w:val="20"/>
          <w:lang w:val="en-GB"/>
        </w:rPr>
        <w:t xml:space="preserve"> </w:t>
      </w:r>
      <w:r w:rsidR="005057A1" w:rsidRPr="00F15147">
        <w:rPr>
          <w:sz w:val="20"/>
          <w:lang w:val="en-GB"/>
        </w:rPr>
        <w:t xml:space="preserve">(3) </w:t>
      </w:r>
      <w:r w:rsidR="005B3F93">
        <w:rPr>
          <w:sz w:val="20"/>
          <w:lang w:val="en-GB"/>
        </w:rPr>
        <w:t xml:space="preserve">of the Covenant </w:t>
      </w:r>
      <w:r w:rsidR="00E33CC1" w:rsidRPr="00F15147">
        <w:rPr>
          <w:sz w:val="20"/>
          <w:lang w:val="en-GB"/>
        </w:rPr>
        <w:t xml:space="preserve">that </w:t>
      </w:r>
      <w:r w:rsidR="006837AA">
        <w:rPr>
          <w:sz w:val="20"/>
          <w:lang w:val="en-GB"/>
        </w:rPr>
        <w:t>Mr. </w:t>
      </w:r>
      <w:r w:rsidR="00696F9C">
        <w:rPr>
          <w:sz w:val="20"/>
          <w:lang w:val="en-GB"/>
        </w:rPr>
        <w:t>Wilders</w:t>
      </w:r>
      <w:r w:rsidR="00CB0FDC" w:rsidRPr="00F15147">
        <w:rPr>
          <w:sz w:val="20"/>
          <w:lang w:val="en-GB"/>
        </w:rPr>
        <w:t>’</w:t>
      </w:r>
      <w:r w:rsidR="00E33CC1" w:rsidRPr="00F15147">
        <w:rPr>
          <w:sz w:val="20"/>
          <w:lang w:val="en-GB"/>
        </w:rPr>
        <w:t xml:space="preserve"> acquittal did not constitute effective enforcement of legislation. The authors had the opportunity to lodge a complaint against the </w:t>
      </w:r>
      <w:r w:rsidR="00CB0FDC" w:rsidRPr="00F15147">
        <w:rPr>
          <w:sz w:val="20"/>
          <w:lang w:val="en-GB"/>
        </w:rPr>
        <w:t>p</w:t>
      </w:r>
      <w:r w:rsidR="00E33CC1" w:rsidRPr="00F15147">
        <w:rPr>
          <w:sz w:val="20"/>
          <w:lang w:val="en-GB"/>
        </w:rPr>
        <w:t>rosecut</w:t>
      </w:r>
      <w:r w:rsidR="00CB0FDC" w:rsidRPr="00F15147">
        <w:rPr>
          <w:sz w:val="20"/>
          <w:lang w:val="en-GB"/>
        </w:rPr>
        <w:t>or’s</w:t>
      </w:r>
      <w:r w:rsidR="00E33CC1" w:rsidRPr="00F15147">
        <w:rPr>
          <w:sz w:val="20"/>
          <w:lang w:val="en-GB"/>
        </w:rPr>
        <w:t xml:space="preserve"> decision not to investigate</w:t>
      </w:r>
      <w:r w:rsidR="00991886" w:rsidRPr="00F15147">
        <w:rPr>
          <w:sz w:val="20"/>
          <w:lang w:val="en-GB"/>
        </w:rPr>
        <w:t xml:space="preserve"> and </w:t>
      </w:r>
      <w:r w:rsidR="00E33CC1" w:rsidRPr="00F15147">
        <w:rPr>
          <w:sz w:val="20"/>
          <w:lang w:val="en-GB"/>
        </w:rPr>
        <w:t xml:space="preserve">the various legal arguments relevant to the </w:t>
      </w:r>
      <w:r w:rsidR="00CB0FDC" w:rsidRPr="00F15147">
        <w:rPr>
          <w:sz w:val="20"/>
          <w:lang w:val="en-GB"/>
        </w:rPr>
        <w:t>criminality of</w:t>
      </w:r>
      <w:r w:rsidR="00E33CC1" w:rsidRPr="00F15147">
        <w:rPr>
          <w:sz w:val="20"/>
          <w:lang w:val="en-GB"/>
        </w:rPr>
        <w:t xml:space="preserve"> </w:t>
      </w:r>
      <w:r w:rsidR="006837AA">
        <w:rPr>
          <w:sz w:val="20"/>
          <w:lang w:val="en-GB"/>
        </w:rPr>
        <w:t>Mr. </w:t>
      </w:r>
      <w:r w:rsidR="00696F9C">
        <w:rPr>
          <w:sz w:val="20"/>
          <w:lang w:val="en-GB"/>
        </w:rPr>
        <w:t>Wilders</w:t>
      </w:r>
      <w:r w:rsidR="00E33CC1" w:rsidRPr="00F15147">
        <w:rPr>
          <w:sz w:val="20"/>
          <w:lang w:val="en-GB"/>
        </w:rPr>
        <w:t xml:space="preserve">’ statements were addressed at length </w:t>
      </w:r>
      <w:r w:rsidR="00E33CC1" w:rsidRPr="00F15147">
        <w:rPr>
          <w:sz w:val="20"/>
          <w:lang w:val="en-GB"/>
        </w:rPr>
        <w:lastRenderedPageBreak/>
        <w:t xml:space="preserve">during the </w:t>
      </w:r>
      <w:r w:rsidR="00CB0FDC" w:rsidRPr="00F15147">
        <w:rPr>
          <w:sz w:val="20"/>
          <w:lang w:val="en-GB"/>
        </w:rPr>
        <w:t>proceedings.</w:t>
      </w:r>
      <w:r w:rsidR="00D537D5" w:rsidRPr="00F15147">
        <w:rPr>
          <w:sz w:val="20"/>
          <w:lang w:val="en-GB"/>
        </w:rPr>
        <w:t xml:space="preserve"> </w:t>
      </w:r>
      <w:r w:rsidR="001F1CEF" w:rsidRPr="00F15147">
        <w:rPr>
          <w:sz w:val="20"/>
          <w:lang w:val="en-GB"/>
        </w:rPr>
        <w:t>The authors claim that their aim was to clarify the boundaries of the law, and the court</w:t>
      </w:r>
      <w:r w:rsidR="005B3F93">
        <w:rPr>
          <w:sz w:val="20"/>
          <w:lang w:val="en-GB"/>
        </w:rPr>
        <w:t>’s</w:t>
      </w:r>
      <w:r w:rsidR="001F1CEF" w:rsidRPr="00F15147">
        <w:rPr>
          <w:sz w:val="20"/>
          <w:lang w:val="en-GB"/>
        </w:rPr>
        <w:t xml:space="preserve"> </w:t>
      </w:r>
      <w:r w:rsidR="005B3F93" w:rsidRPr="00E02ACA">
        <w:rPr>
          <w:sz w:val="20"/>
          <w:lang w:val="en-GB"/>
        </w:rPr>
        <w:t xml:space="preserve">judgment </w:t>
      </w:r>
      <w:r w:rsidR="001F1CEF" w:rsidRPr="00F15147">
        <w:rPr>
          <w:sz w:val="20"/>
          <w:lang w:val="en-GB"/>
        </w:rPr>
        <w:t xml:space="preserve">means that they succeeded. </w:t>
      </w:r>
      <w:r w:rsidR="00E33CC1" w:rsidRPr="00F15147">
        <w:rPr>
          <w:sz w:val="20"/>
          <w:lang w:val="en-GB"/>
        </w:rPr>
        <w:t>The fact that the ultimate outcome of the court’s assessment was not in the authors’ favour does not constitute ineffective enforcement of legislation</w:t>
      </w:r>
      <w:r w:rsidR="008E4A19" w:rsidRPr="00F15147">
        <w:rPr>
          <w:sz w:val="20"/>
          <w:lang w:val="en-GB"/>
        </w:rPr>
        <w:t>. Article 2</w:t>
      </w:r>
      <w:r w:rsidR="005B3F93">
        <w:rPr>
          <w:sz w:val="20"/>
          <w:lang w:val="en-GB"/>
        </w:rPr>
        <w:t xml:space="preserve"> </w:t>
      </w:r>
      <w:r w:rsidR="008E4A19" w:rsidRPr="00F15147">
        <w:rPr>
          <w:sz w:val="20"/>
          <w:lang w:val="en-GB"/>
        </w:rPr>
        <w:t>(3) does not guarantee the authors a favourable outcome of the available remedy</w:t>
      </w:r>
      <w:r w:rsidR="005057A1" w:rsidRPr="00F15147">
        <w:rPr>
          <w:sz w:val="20"/>
          <w:lang w:val="en-GB"/>
        </w:rPr>
        <w:t xml:space="preserve">, let alone </w:t>
      </w:r>
      <w:r w:rsidR="005B3F93">
        <w:rPr>
          <w:sz w:val="20"/>
          <w:lang w:val="en-GB"/>
        </w:rPr>
        <w:t>the</w:t>
      </w:r>
      <w:r w:rsidR="005057A1" w:rsidRPr="00F15147">
        <w:rPr>
          <w:sz w:val="20"/>
          <w:lang w:val="en-GB"/>
        </w:rPr>
        <w:t xml:space="preserve"> right to a conviction. </w:t>
      </w:r>
      <w:r w:rsidR="008E4A19" w:rsidRPr="00F15147">
        <w:rPr>
          <w:sz w:val="20"/>
          <w:lang w:val="en-GB"/>
        </w:rPr>
        <w:t>Any guarantee of a conviction would be incompatible with</w:t>
      </w:r>
      <w:r w:rsidR="003204B4" w:rsidRPr="00F15147">
        <w:rPr>
          <w:sz w:val="20"/>
          <w:lang w:val="en-GB"/>
        </w:rPr>
        <w:t xml:space="preserve"> the fundamental principle </w:t>
      </w:r>
      <w:r w:rsidR="009B545E">
        <w:rPr>
          <w:sz w:val="20"/>
          <w:lang w:val="en-GB"/>
        </w:rPr>
        <w:t xml:space="preserve">of </w:t>
      </w:r>
      <w:r w:rsidR="005057A1" w:rsidRPr="00F15147">
        <w:rPr>
          <w:sz w:val="20"/>
          <w:lang w:val="en-GB"/>
        </w:rPr>
        <w:t>the</w:t>
      </w:r>
      <w:r w:rsidR="008E4A19" w:rsidRPr="00F15147">
        <w:rPr>
          <w:sz w:val="20"/>
          <w:lang w:val="en-GB"/>
        </w:rPr>
        <w:t xml:space="preserve"> right to a fair trial. </w:t>
      </w:r>
      <w:r w:rsidR="005057A1" w:rsidRPr="00F15147">
        <w:rPr>
          <w:sz w:val="20"/>
          <w:lang w:val="en-GB"/>
        </w:rPr>
        <w:t>Thus</w:t>
      </w:r>
      <w:r w:rsidR="008E4A19" w:rsidRPr="00F15147">
        <w:rPr>
          <w:sz w:val="20"/>
          <w:lang w:val="en-GB"/>
        </w:rPr>
        <w:t xml:space="preserve"> there has been no violation of article 2</w:t>
      </w:r>
      <w:r w:rsidR="005B3F93">
        <w:rPr>
          <w:sz w:val="20"/>
          <w:lang w:val="en-GB"/>
        </w:rPr>
        <w:t xml:space="preserve"> </w:t>
      </w:r>
      <w:r w:rsidR="008E4A19" w:rsidRPr="00F15147">
        <w:rPr>
          <w:sz w:val="20"/>
          <w:lang w:val="en-GB"/>
        </w:rPr>
        <w:t>(3).</w:t>
      </w:r>
    </w:p>
    <w:p w14:paraId="53DD5D6D" w14:textId="12796801" w:rsidR="009F65C9" w:rsidRPr="00F15147" w:rsidRDefault="004E289D" w:rsidP="009A361A">
      <w:pPr>
        <w:pStyle w:val="SingleTxtG"/>
        <w:rPr>
          <w:sz w:val="20"/>
          <w:lang w:val="en-GB"/>
        </w:rPr>
      </w:pPr>
      <w:r w:rsidRPr="00F15147">
        <w:rPr>
          <w:sz w:val="20"/>
          <w:lang w:val="en-GB"/>
        </w:rPr>
        <w:t>6.2</w:t>
      </w:r>
      <w:r w:rsidRPr="00F15147">
        <w:rPr>
          <w:sz w:val="20"/>
          <w:lang w:val="en-GB"/>
        </w:rPr>
        <w:tab/>
      </w:r>
      <w:r w:rsidR="005057A1" w:rsidRPr="00F15147">
        <w:rPr>
          <w:sz w:val="20"/>
          <w:lang w:val="en-GB"/>
        </w:rPr>
        <w:t>With respect to article 14</w:t>
      </w:r>
      <w:r w:rsidR="005B3F93">
        <w:rPr>
          <w:sz w:val="20"/>
          <w:lang w:val="en-GB"/>
        </w:rPr>
        <w:t xml:space="preserve"> </w:t>
      </w:r>
      <w:r w:rsidR="005057A1" w:rsidRPr="00F15147">
        <w:rPr>
          <w:sz w:val="20"/>
          <w:lang w:val="en-GB"/>
        </w:rPr>
        <w:t xml:space="preserve">(1), </w:t>
      </w:r>
      <w:r w:rsidR="002262C0">
        <w:rPr>
          <w:sz w:val="20"/>
          <w:lang w:val="en-GB"/>
        </w:rPr>
        <w:t>national</w:t>
      </w:r>
      <w:r w:rsidR="002840EC" w:rsidRPr="00F15147">
        <w:rPr>
          <w:sz w:val="20"/>
          <w:lang w:val="en-GB"/>
        </w:rPr>
        <w:t xml:space="preserve"> criminal law allows anyone who has suffered direct damage as a result of a criminal offence to join the criminal proceedings as an aggrieved party to claim compensation.</w:t>
      </w:r>
      <w:r w:rsidR="004527FE" w:rsidRPr="00F15147">
        <w:rPr>
          <w:sz w:val="20"/>
          <w:lang w:val="en-GB"/>
        </w:rPr>
        <w:t xml:space="preserve"> </w:t>
      </w:r>
      <w:r w:rsidR="001F1CEF" w:rsidRPr="00F15147">
        <w:rPr>
          <w:sz w:val="20"/>
          <w:lang w:val="en-GB"/>
        </w:rPr>
        <w:t xml:space="preserve">Article 14 does not require greater protection for the rights of an aggrieved party in criminal proceedings than </w:t>
      </w:r>
      <w:r w:rsidR="00CA1DE2">
        <w:rPr>
          <w:sz w:val="20"/>
          <w:lang w:val="en-GB"/>
        </w:rPr>
        <w:t xml:space="preserve">the </w:t>
      </w:r>
      <w:r w:rsidR="00137629">
        <w:rPr>
          <w:sz w:val="20"/>
          <w:lang w:val="en-GB"/>
        </w:rPr>
        <w:t>rights</w:t>
      </w:r>
      <w:r w:rsidR="001F1CEF" w:rsidRPr="00F15147">
        <w:rPr>
          <w:sz w:val="20"/>
          <w:lang w:val="en-GB"/>
        </w:rPr>
        <w:t xml:space="preserve"> recognized under domestic law. </w:t>
      </w:r>
      <w:r w:rsidR="005057A1" w:rsidRPr="00F15147">
        <w:rPr>
          <w:sz w:val="20"/>
          <w:lang w:val="en-GB"/>
        </w:rPr>
        <w:t xml:space="preserve">Those rights under </w:t>
      </w:r>
      <w:r w:rsidR="002262C0">
        <w:rPr>
          <w:sz w:val="20"/>
          <w:lang w:val="en-GB"/>
        </w:rPr>
        <w:t>domestic</w:t>
      </w:r>
      <w:r w:rsidR="005057A1" w:rsidRPr="00F15147">
        <w:rPr>
          <w:sz w:val="20"/>
          <w:lang w:val="en-GB"/>
        </w:rPr>
        <w:t xml:space="preserve"> law </w:t>
      </w:r>
      <w:r w:rsidR="00B80E2D" w:rsidRPr="00F15147">
        <w:rPr>
          <w:sz w:val="20"/>
          <w:lang w:val="en-GB"/>
        </w:rPr>
        <w:t>include</w:t>
      </w:r>
      <w:r w:rsidR="004527FE" w:rsidRPr="00F15147">
        <w:rPr>
          <w:sz w:val="20"/>
          <w:lang w:val="en-GB"/>
        </w:rPr>
        <w:t xml:space="preserve"> </w:t>
      </w:r>
      <w:r w:rsidR="00C607F0" w:rsidRPr="00F15147">
        <w:rPr>
          <w:sz w:val="20"/>
          <w:lang w:val="en-GB"/>
        </w:rPr>
        <w:t>the right</w:t>
      </w:r>
      <w:r w:rsidR="00B80E2D" w:rsidRPr="00F15147">
        <w:rPr>
          <w:sz w:val="20"/>
          <w:lang w:val="en-GB"/>
        </w:rPr>
        <w:t>s</w:t>
      </w:r>
      <w:r w:rsidR="00C607F0" w:rsidRPr="00F15147">
        <w:rPr>
          <w:sz w:val="20"/>
          <w:lang w:val="en-GB"/>
        </w:rPr>
        <w:t xml:space="preserve"> to submit evidence of damage suffered,</w:t>
      </w:r>
      <w:r w:rsidR="004527FE" w:rsidRPr="00F15147">
        <w:rPr>
          <w:sz w:val="20"/>
          <w:lang w:val="en-GB"/>
        </w:rPr>
        <w:t xml:space="preserve"> </w:t>
      </w:r>
      <w:r w:rsidR="00C607F0" w:rsidRPr="00F15147">
        <w:rPr>
          <w:sz w:val="20"/>
          <w:lang w:val="en-GB"/>
        </w:rPr>
        <w:t xml:space="preserve">to question witnesses and experts in relation to compensation and to explain the claim. </w:t>
      </w:r>
      <w:r w:rsidR="00B80E2D" w:rsidRPr="00F15147">
        <w:rPr>
          <w:sz w:val="20"/>
          <w:lang w:val="en-GB"/>
        </w:rPr>
        <w:t>T</w:t>
      </w:r>
      <w:r w:rsidR="00C607F0" w:rsidRPr="00F15147">
        <w:rPr>
          <w:sz w:val="20"/>
          <w:lang w:val="en-GB"/>
        </w:rPr>
        <w:t xml:space="preserve">he authors’ aim was to influence the criminal proceedings and convince the court that </w:t>
      </w:r>
      <w:r w:rsidR="006837AA">
        <w:rPr>
          <w:sz w:val="20"/>
          <w:lang w:val="en-GB"/>
        </w:rPr>
        <w:t>Mr. </w:t>
      </w:r>
      <w:r w:rsidR="00696F9C">
        <w:rPr>
          <w:sz w:val="20"/>
          <w:lang w:val="en-GB"/>
        </w:rPr>
        <w:t>Wilders</w:t>
      </w:r>
      <w:r w:rsidR="00C607F0" w:rsidRPr="00F15147">
        <w:rPr>
          <w:sz w:val="20"/>
          <w:lang w:val="en-GB"/>
        </w:rPr>
        <w:t xml:space="preserve"> had exceeded the limits of what is permissible in public debate. </w:t>
      </w:r>
      <w:r w:rsidR="000B6EE9" w:rsidRPr="00F15147">
        <w:rPr>
          <w:sz w:val="20"/>
          <w:lang w:val="en-GB"/>
        </w:rPr>
        <w:t>However,</w:t>
      </w:r>
      <w:r w:rsidR="005057A1" w:rsidRPr="00F15147">
        <w:rPr>
          <w:sz w:val="20"/>
          <w:lang w:val="en-GB"/>
        </w:rPr>
        <w:t xml:space="preserve"> t</w:t>
      </w:r>
      <w:r w:rsidR="00C607F0" w:rsidRPr="00F15147">
        <w:rPr>
          <w:sz w:val="20"/>
          <w:lang w:val="en-GB"/>
        </w:rPr>
        <w:t xml:space="preserve">he norm </w:t>
      </w:r>
      <w:r w:rsidR="005B3F93">
        <w:rPr>
          <w:sz w:val="20"/>
          <w:lang w:val="en-GB"/>
        </w:rPr>
        <w:t>that</w:t>
      </w:r>
      <w:r w:rsidR="00C607F0" w:rsidRPr="00F15147">
        <w:rPr>
          <w:sz w:val="20"/>
          <w:lang w:val="en-GB"/>
        </w:rPr>
        <w:t xml:space="preserve"> the legislator aimed to protect </w:t>
      </w:r>
      <w:r w:rsidR="005409E9" w:rsidRPr="00F15147">
        <w:rPr>
          <w:sz w:val="20"/>
          <w:lang w:val="en-GB"/>
        </w:rPr>
        <w:t>through th</w:t>
      </w:r>
      <w:r w:rsidR="005B3F93">
        <w:rPr>
          <w:sz w:val="20"/>
          <w:lang w:val="en-GB"/>
        </w:rPr>
        <w:t>e</w:t>
      </w:r>
      <w:r w:rsidR="005409E9" w:rsidRPr="00F15147">
        <w:rPr>
          <w:sz w:val="20"/>
          <w:lang w:val="en-GB"/>
        </w:rPr>
        <w:t xml:space="preserve"> proceeding</w:t>
      </w:r>
      <w:r w:rsidR="004527FE" w:rsidRPr="00F15147">
        <w:rPr>
          <w:sz w:val="20"/>
          <w:lang w:val="en-GB"/>
        </w:rPr>
        <w:t xml:space="preserve"> </w:t>
      </w:r>
      <w:r w:rsidR="00C607F0" w:rsidRPr="00F15147">
        <w:rPr>
          <w:sz w:val="20"/>
          <w:lang w:val="en-GB"/>
        </w:rPr>
        <w:t xml:space="preserve">was the right to compensation for damage suffered. </w:t>
      </w:r>
      <w:r w:rsidR="009F65C9" w:rsidRPr="00F15147">
        <w:rPr>
          <w:sz w:val="20"/>
          <w:lang w:val="en-GB"/>
        </w:rPr>
        <w:t xml:space="preserve">Under </w:t>
      </w:r>
      <w:r w:rsidR="002262C0">
        <w:rPr>
          <w:sz w:val="20"/>
          <w:lang w:val="en-GB"/>
        </w:rPr>
        <w:t>domestic</w:t>
      </w:r>
      <w:r w:rsidR="009F65C9" w:rsidRPr="00F15147">
        <w:rPr>
          <w:sz w:val="20"/>
          <w:lang w:val="en-GB"/>
        </w:rPr>
        <w:t xml:space="preserve"> </w:t>
      </w:r>
      <w:r w:rsidR="00741DEB" w:rsidRPr="00F15147">
        <w:rPr>
          <w:sz w:val="20"/>
          <w:lang w:val="en-GB"/>
        </w:rPr>
        <w:t>law</w:t>
      </w:r>
      <w:r w:rsidR="009F65C9" w:rsidRPr="00F15147">
        <w:rPr>
          <w:sz w:val="20"/>
          <w:lang w:val="en-GB"/>
        </w:rPr>
        <w:t xml:space="preserve"> t</w:t>
      </w:r>
      <w:r w:rsidR="00C607F0" w:rsidRPr="00F15147">
        <w:rPr>
          <w:sz w:val="20"/>
          <w:lang w:val="en-GB"/>
        </w:rPr>
        <w:t>he authors</w:t>
      </w:r>
      <w:r w:rsidR="009F65C9" w:rsidRPr="00F15147">
        <w:rPr>
          <w:sz w:val="20"/>
          <w:lang w:val="en-GB"/>
        </w:rPr>
        <w:t xml:space="preserve"> are not permitted to play any other role, such as influencing the </w:t>
      </w:r>
      <w:r w:rsidR="005409E9" w:rsidRPr="00F15147">
        <w:rPr>
          <w:sz w:val="20"/>
          <w:lang w:val="en-GB"/>
        </w:rPr>
        <w:t xml:space="preserve">criminal </w:t>
      </w:r>
      <w:r w:rsidR="009F65C9" w:rsidRPr="00F15147">
        <w:rPr>
          <w:sz w:val="20"/>
          <w:lang w:val="en-GB"/>
        </w:rPr>
        <w:t>proceedings.</w:t>
      </w:r>
    </w:p>
    <w:p w14:paraId="6E560B51" w14:textId="5C85D86E" w:rsidR="00D537D5" w:rsidRPr="00F15147" w:rsidRDefault="004E289D" w:rsidP="005B3F93">
      <w:pPr>
        <w:pStyle w:val="SingleTxtG"/>
        <w:rPr>
          <w:sz w:val="20"/>
          <w:lang w:val="en-GB"/>
        </w:rPr>
      </w:pPr>
      <w:r w:rsidRPr="00F15147">
        <w:rPr>
          <w:sz w:val="20"/>
          <w:lang w:val="en-GB"/>
        </w:rPr>
        <w:t>6.3</w:t>
      </w:r>
      <w:r w:rsidRPr="00F15147">
        <w:rPr>
          <w:sz w:val="20"/>
          <w:lang w:val="en-GB"/>
        </w:rPr>
        <w:tab/>
      </w:r>
      <w:r w:rsidR="004306B7" w:rsidRPr="00F15147">
        <w:rPr>
          <w:sz w:val="20"/>
          <w:lang w:val="en-GB"/>
        </w:rPr>
        <w:t>The authors</w:t>
      </w:r>
      <w:r w:rsidR="005B3F93">
        <w:rPr>
          <w:sz w:val="20"/>
          <w:lang w:val="en-GB"/>
        </w:rPr>
        <w:t>’ contention</w:t>
      </w:r>
      <w:r w:rsidR="004306B7" w:rsidRPr="00F15147">
        <w:rPr>
          <w:sz w:val="20"/>
          <w:lang w:val="en-GB"/>
        </w:rPr>
        <w:t xml:space="preserve"> that no arguments in favour of conviction were presented to the court</w:t>
      </w:r>
      <w:r w:rsidR="00634DCB" w:rsidRPr="00F15147">
        <w:rPr>
          <w:sz w:val="20"/>
          <w:lang w:val="en-GB"/>
        </w:rPr>
        <w:t xml:space="preserve"> </w:t>
      </w:r>
      <w:r w:rsidR="005B3F93">
        <w:rPr>
          <w:sz w:val="20"/>
          <w:lang w:val="en-GB"/>
        </w:rPr>
        <w:t>is</w:t>
      </w:r>
      <w:r w:rsidR="005B3F93" w:rsidRPr="00861CD6">
        <w:rPr>
          <w:sz w:val="20"/>
          <w:lang w:val="en-GB"/>
        </w:rPr>
        <w:t xml:space="preserve"> incorrect </w:t>
      </w:r>
      <w:r w:rsidR="00634DCB" w:rsidRPr="00F15147">
        <w:rPr>
          <w:sz w:val="20"/>
          <w:lang w:val="en-GB"/>
        </w:rPr>
        <w:t>and</w:t>
      </w:r>
      <w:r w:rsidR="004306B7" w:rsidRPr="00F15147">
        <w:rPr>
          <w:sz w:val="20"/>
          <w:lang w:val="en-GB"/>
        </w:rPr>
        <w:t xml:space="preserve"> </w:t>
      </w:r>
      <w:r w:rsidR="005B3F93">
        <w:rPr>
          <w:sz w:val="20"/>
          <w:lang w:val="en-GB"/>
        </w:rPr>
        <w:t xml:space="preserve">they </w:t>
      </w:r>
      <w:r w:rsidR="004306B7" w:rsidRPr="00F15147">
        <w:rPr>
          <w:sz w:val="20"/>
          <w:lang w:val="en-GB"/>
        </w:rPr>
        <w:t>ignore the central role of the court in criminal proceedings. A criminal court seeks to independently establish the truth and is responsible for ensuring a full examination at the trial. The submissions of the prosecution and the defen</w:t>
      </w:r>
      <w:r w:rsidR="008851CB">
        <w:rPr>
          <w:sz w:val="20"/>
          <w:lang w:val="en-GB"/>
        </w:rPr>
        <w:t>c</w:t>
      </w:r>
      <w:r w:rsidR="004306B7" w:rsidRPr="00F15147">
        <w:rPr>
          <w:sz w:val="20"/>
          <w:lang w:val="en-GB"/>
        </w:rPr>
        <w:t>e are not decisive.</w:t>
      </w:r>
      <w:r w:rsidR="002B797B" w:rsidRPr="00F15147">
        <w:rPr>
          <w:sz w:val="20"/>
          <w:lang w:val="en-GB"/>
        </w:rPr>
        <w:t xml:space="preserve"> </w:t>
      </w:r>
      <w:r w:rsidR="004306B7" w:rsidRPr="00F15147">
        <w:rPr>
          <w:sz w:val="20"/>
          <w:lang w:val="en-GB"/>
        </w:rPr>
        <w:t>The judge presides over the hearing, questions the defendant, examines witnesses, enters into discussions with parties and responds to all th</w:t>
      </w:r>
      <w:r w:rsidR="005B3F93">
        <w:rPr>
          <w:sz w:val="20"/>
          <w:lang w:val="en-GB"/>
        </w:rPr>
        <w:t>o</w:t>
      </w:r>
      <w:r w:rsidR="004306B7" w:rsidRPr="00F15147">
        <w:rPr>
          <w:sz w:val="20"/>
          <w:lang w:val="en-GB"/>
        </w:rPr>
        <w:t>se factors in the judgment.</w:t>
      </w:r>
    </w:p>
    <w:p w14:paraId="75FD11C4" w14:textId="61B22952" w:rsidR="00F87B7B" w:rsidRPr="00F15147" w:rsidRDefault="00D537D5" w:rsidP="00993F8D">
      <w:pPr>
        <w:pStyle w:val="SingleTxtG"/>
        <w:rPr>
          <w:sz w:val="20"/>
          <w:lang w:val="en-GB"/>
        </w:rPr>
      </w:pPr>
      <w:r w:rsidRPr="00F15147">
        <w:rPr>
          <w:sz w:val="20"/>
          <w:lang w:val="en-GB"/>
        </w:rPr>
        <w:t>6.4</w:t>
      </w:r>
      <w:r w:rsidRPr="00F15147">
        <w:rPr>
          <w:sz w:val="20"/>
          <w:lang w:val="en-GB"/>
        </w:rPr>
        <w:tab/>
      </w:r>
      <w:r w:rsidR="00741DEB" w:rsidRPr="00F15147">
        <w:rPr>
          <w:sz w:val="20"/>
          <w:lang w:val="en-GB"/>
        </w:rPr>
        <w:t>I</w:t>
      </w:r>
      <w:r w:rsidR="00875D2F" w:rsidRPr="00F15147">
        <w:rPr>
          <w:sz w:val="20"/>
          <w:lang w:val="en-GB"/>
        </w:rPr>
        <w:t>n 2008, three legal academics issued separate reports on the legal merits of prosecution in order to assist the Public Prosecution Service in deciding whether or not to prosecute. The reports were added to the case file</w:t>
      </w:r>
      <w:r w:rsidR="000B6EE9" w:rsidRPr="00F15147">
        <w:rPr>
          <w:sz w:val="20"/>
          <w:lang w:val="en-GB"/>
        </w:rPr>
        <w:t>. A</w:t>
      </w:r>
      <w:r w:rsidR="00474E4B" w:rsidRPr="00F15147">
        <w:rPr>
          <w:sz w:val="20"/>
          <w:lang w:val="en-GB"/>
        </w:rPr>
        <w:t xml:space="preserve"> full examination subsequently took place at the trial and witnesses were questioned.</w:t>
      </w:r>
      <w:r w:rsidR="004527FE" w:rsidRPr="00F15147">
        <w:rPr>
          <w:sz w:val="20"/>
          <w:lang w:val="en-GB"/>
        </w:rPr>
        <w:t xml:space="preserve"> </w:t>
      </w:r>
      <w:r w:rsidR="00E376BC" w:rsidRPr="00F15147">
        <w:rPr>
          <w:sz w:val="20"/>
          <w:lang w:val="en-GB"/>
        </w:rPr>
        <w:t xml:space="preserve">Everything that the authors wished to put forward </w:t>
      </w:r>
      <w:r w:rsidR="000B6EE9" w:rsidRPr="00F15147">
        <w:rPr>
          <w:sz w:val="20"/>
          <w:lang w:val="en-GB"/>
        </w:rPr>
        <w:t>came</w:t>
      </w:r>
      <w:r w:rsidR="00E376BC" w:rsidRPr="00F15147">
        <w:rPr>
          <w:sz w:val="20"/>
          <w:lang w:val="en-GB"/>
        </w:rPr>
        <w:t xml:space="preserve"> before the court. </w:t>
      </w:r>
      <w:r w:rsidR="000B6EE9" w:rsidRPr="00F15147">
        <w:rPr>
          <w:sz w:val="20"/>
          <w:lang w:val="en-GB"/>
        </w:rPr>
        <w:t>Thus t</w:t>
      </w:r>
      <w:r w:rsidR="00E376BC" w:rsidRPr="00F15147">
        <w:rPr>
          <w:sz w:val="20"/>
          <w:lang w:val="en-GB"/>
        </w:rPr>
        <w:t>here has been no violation of article 14.</w:t>
      </w:r>
    </w:p>
    <w:p w14:paraId="089F8969" w14:textId="46705CFB" w:rsidR="006907C5" w:rsidRPr="00F15147" w:rsidRDefault="004E289D" w:rsidP="00015056">
      <w:pPr>
        <w:pStyle w:val="SingleTxtG"/>
        <w:rPr>
          <w:sz w:val="20"/>
          <w:lang w:val="en-GB"/>
        </w:rPr>
      </w:pPr>
      <w:r w:rsidRPr="00F15147">
        <w:rPr>
          <w:sz w:val="20"/>
          <w:lang w:val="en-GB"/>
        </w:rPr>
        <w:t>6.</w:t>
      </w:r>
      <w:r w:rsidR="00D537D5" w:rsidRPr="00F15147">
        <w:rPr>
          <w:sz w:val="20"/>
          <w:lang w:val="en-GB"/>
        </w:rPr>
        <w:t>5</w:t>
      </w:r>
      <w:r w:rsidRPr="00F15147">
        <w:rPr>
          <w:sz w:val="20"/>
          <w:lang w:val="en-GB"/>
        </w:rPr>
        <w:tab/>
      </w:r>
      <w:r w:rsidR="006907C5" w:rsidRPr="00F15147">
        <w:rPr>
          <w:sz w:val="20"/>
          <w:lang w:val="en-GB"/>
        </w:rPr>
        <w:t xml:space="preserve">Regarding the </w:t>
      </w:r>
      <w:r w:rsidR="00C052F9" w:rsidRPr="00F15147">
        <w:rPr>
          <w:sz w:val="20"/>
          <w:lang w:val="en-GB"/>
        </w:rPr>
        <w:t>claim under article 20</w:t>
      </w:r>
      <w:r w:rsidR="00D0072F" w:rsidRPr="00F15147">
        <w:rPr>
          <w:sz w:val="20"/>
          <w:lang w:val="en-GB"/>
        </w:rPr>
        <w:t xml:space="preserve">, </w:t>
      </w:r>
      <w:r w:rsidR="004306B7" w:rsidRPr="00F15147">
        <w:rPr>
          <w:sz w:val="20"/>
          <w:lang w:val="en-GB"/>
        </w:rPr>
        <w:t xml:space="preserve">it is not disputed that </w:t>
      </w:r>
      <w:r w:rsidR="00C052F9" w:rsidRPr="00F15147">
        <w:rPr>
          <w:sz w:val="20"/>
          <w:lang w:val="en-GB"/>
        </w:rPr>
        <w:t>th</w:t>
      </w:r>
      <w:r w:rsidR="005B3F93">
        <w:rPr>
          <w:sz w:val="20"/>
          <w:lang w:val="en-GB"/>
        </w:rPr>
        <w:t>at</w:t>
      </w:r>
      <w:r w:rsidR="00C052F9" w:rsidRPr="00F15147">
        <w:rPr>
          <w:sz w:val="20"/>
          <w:lang w:val="en-GB"/>
        </w:rPr>
        <w:t xml:space="preserve"> provision has been implemented correctly </w:t>
      </w:r>
      <w:r w:rsidR="005B3F93">
        <w:rPr>
          <w:sz w:val="20"/>
          <w:lang w:val="en-GB"/>
        </w:rPr>
        <w:t>through</w:t>
      </w:r>
      <w:r w:rsidR="005B3F93" w:rsidRPr="00F15147">
        <w:rPr>
          <w:sz w:val="20"/>
          <w:lang w:val="en-GB"/>
        </w:rPr>
        <w:t xml:space="preserve"> </w:t>
      </w:r>
      <w:r w:rsidR="00C052F9" w:rsidRPr="00F15147">
        <w:rPr>
          <w:sz w:val="20"/>
          <w:lang w:val="en-GB"/>
        </w:rPr>
        <w:t xml:space="preserve">section 137d </w:t>
      </w:r>
      <w:r w:rsidR="008851CB">
        <w:rPr>
          <w:sz w:val="20"/>
          <w:lang w:val="en-GB"/>
        </w:rPr>
        <w:t xml:space="preserve">of the </w:t>
      </w:r>
      <w:r w:rsidR="008851CB" w:rsidRPr="008E6C6C">
        <w:rPr>
          <w:sz w:val="20"/>
          <w:lang w:val="en-GB"/>
        </w:rPr>
        <w:t>Criminal Code</w:t>
      </w:r>
      <w:r w:rsidR="00C052F9" w:rsidRPr="00F15147">
        <w:rPr>
          <w:sz w:val="20"/>
          <w:lang w:val="en-GB"/>
        </w:rPr>
        <w:t xml:space="preserve">. The aim of both </w:t>
      </w:r>
      <w:r w:rsidR="00EF236B" w:rsidRPr="00F15147">
        <w:rPr>
          <w:sz w:val="20"/>
          <w:lang w:val="en-GB"/>
        </w:rPr>
        <w:t xml:space="preserve">article 20 </w:t>
      </w:r>
      <w:r w:rsidR="005B3F93">
        <w:rPr>
          <w:sz w:val="20"/>
          <w:lang w:val="en-GB"/>
        </w:rPr>
        <w:t xml:space="preserve">of the Covenant </w:t>
      </w:r>
      <w:r w:rsidR="00EF236B" w:rsidRPr="00F15147">
        <w:rPr>
          <w:sz w:val="20"/>
          <w:lang w:val="en-GB"/>
        </w:rPr>
        <w:t xml:space="preserve">and section 137d </w:t>
      </w:r>
      <w:r w:rsidR="008851CB">
        <w:rPr>
          <w:sz w:val="20"/>
          <w:lang w:val="en-GB"/>
        </w:rPr>
        <w:t xml:space="preserve">of the </w:t>
      </w:r>
      <w:r w:rsidR="008851CB" w:rsidRPr="008E6C6C">
        <w:rPr>
          <w:sz w:val="20"/>
          <w:lang w:val="en-GB"/>
        </w:rPr>
        <w:t>Criminal Code</w:t>
      </w:r>
      <w:r w:rsidR="008851CB">
        <w:rPr>
          <w:sz w:val="20"/>
          <w:lang w:val="en-GB"/>
        </w:rPr>
        <w:t xml:space="preserve"> </w:t>
      </w:r>
      <w:r w:rsidR="00C052F9" w:rsidRPr="00F15147">
        <w:rPr>
          <w:sz w:val="20"/>
          <w:lang w:val="en-GB"/>
        </w:rPr>
        <w:t xml:space="preserve">is to outlaw incitement to hatred, but it is for the national courts to decide whether incitement to hatred has actually </w:t>
      </w:r>
      <w:r w:rsidR="00112A21" w:rsidRPr="00F15147">
        <w:rPr>
          <w:sz w:val="20"/>
          <w:lang w:val="en-GB"/>
        </w:rPr>
        <w:t>occurred</w:t>
      </w:r>
      <w:r w:rsidR="00C052F9" w:rsidRPr="00F15147">
        <w:rPr>
          <w:sz w:val="20"/>
          <w:lang w:val="en-GB"/>
        </w:rPr>
        <w:t xml:space="preserve">. </w:t>
      </w:r>
      <w:r w:rsidR="004306B7" w:rsidRPr="00F15147">
        <w:rPr>
          <w:sz w:val="20"/>
          <w:lang w:val="en-GB"/>
        </w:rPr>
        <w:t xml:space="preserve">Article 20 has been highly controversial among </w:t>
      </w:r>
      <w:r w:rsidR="00C96A10">
        <w:rPr>
          <w:sz w:val="20"/>
          <w:lang w:val="en-GB"/>
        </w:rPr>
        <w:t>S</w:t>
      </w:r>
      <w:r w:rsidR="004306B7" w:rsidRPr="00F15147">
        <w:rPr>
          <w:sz w:val="20"/>
          <w:lang w:val="en-GB"/>
        </w:rPr>
        <w:t xml:space="preserve">tates, resulting in very different </w:t>
      </w:r>
      <w:r w:rsidR="00015056">
        <w:rPr>
          <w:sz w:val="20"/>
          <w:lang w:val="en-GB"/>
        </w:rPr>
        <w:t>forms</w:t>
      </w:r>
      <w:r w:rsidR="004306B7" w:rsidRPr="00F15147">
        <w:rPr>
          <w:sz w:val="20"/>
          <w:lang w:val="en-GB"/>
        </w:rPr>
        <w:t xml:space="preserve"> of implementation. </w:t>
      </w:r>
      <w:r w:rsidR="00BA6FF6" w:rsidRPr="00F15147">
        <w:rPr>
          <w:sz w:val="20"/>
          <w:lang w:val="en-GB"/>
        </w:rPr>
        <w:t>Domestic courts are best p</w:t>
      </w:r>
      <w:r w:rsidR="00015056">
        <w:rPr>
          <w:sz w:val="20"/>
          <w:lang w:val="en-GB"/>
        </w:rPr>
        <w:t>laced</w:t>
      </w:r>
      <w:r w:rsidR="00BA6FF6" w:rsidRPr="00F15147">
        <w:rPr>
          <w:sz w:val="20"/>
          <w:lang w:val="en-GB"/>
        </w:rPr>
        <w:t xml:space="preserve"> to assess whether </w:t>
      </w:r>
      <w:r w:rsidR="00015056">
        <w:rPr>
          <w:sz w:val="20"/>
          <w:lang w:val="en-GB"/>
        </w:rPr>
        <w:t>specific</w:t>
      </w:r>
      <w:r w:rsidR="00BA6FF6" w:rsidRPr="00F15147">
        <w:rPr>
          <w:sz w:val="20"/>
          <w:lang w:val="en-GB"/>
        </w:rPr>
        <w:t xml:space="preserve"> utterances are punishable, as they possess the entire case file and can fully assess the criminality of the acts</w:t>
      </w:r>
      <w:r w:rsidR="00015056">
        <w:rPr>
          <w:sz w:val="20"/>
          <w:lang w:val="en-GB"/>
        </w:rPr>
        <w:t xml:space="preserve"> concerned</w:t>
      </w:r>
      <w:r w:rsidR="00BA6FF6" w:rsidRPr="00F15147">
        <w:rPr>
          <w:sz w:val="20"/>
          <w:lang w:val="en-GB"/>
        </w:rPr>
        <w:t>.</w:t>
      </w:r>
      <w:r w:rsidR="004527FE" w:rsidRPr="00F15147">
        <w:rPr>
          <w:sz w:val="20"/>
          <w:lang w:val="en-GB"/>
        </w:rPr>
        <w:t xml:space="preserve"> </w:t>
      </w:r>
      <w:r w:rsidR="00C052F9" w:rsidRPr="00F15147">
        <w:rPr>
          <w:sz w:val="20"/>
          <w:lang w:val="en-GB"/>
        </w:rPr>
        <w:t xml:space="preserve">If review by the Committee is possible, </w:t>
      </w:r>
      <w:r w:rsidR="00015056">
        <w:rPr>
          <w:sz w:val="20"/>
          <w:lang w:val="en-GB"/>
        </w:rPr>
        <w:t>it</w:t>
      </w:r>
      <w:r w:rsidR="00C052F9" w:rsidRPr="00F15147">
        <w:rPr>
          <w:sz w:val="20"/>
          <w:lang w:val="en-GB"/>
        </w:rPr>
        <w:t xml:space="preserve"> must be restricted</w:t>
      </w:r>
      <w:r w:rsidR="00015056">
        <w:rPr>
          <w:sz w:val="20"/>
          <w:lang w:val="en-GB"/>
        </w:rPr>
        <w:t>;</w:t>
      </w:r>
      <w:r w:rsidR="00C052F9" w:rsidRPr="00F15147">
        <w:rPr>
          <w:sz w:val="20"/>
          <w:lang w:val="en-GB"/>
        </w:rPr>
        <w:t xml:space="preserve"> </w:t>
      </w:r>
      <w:r w:rsidR="00015056">
        <w:rPr>
          <w:sz w:val="20"/>
          <w:lang w:val="en-GB"/>
        </w:rPr>
        <w:t>i</w:t>
      </w:r>
      <w:r w:rsidR="00C052F9" w:rsidRPr="00F15147">
        <w:rPr>
          <w:sz w:val="20"/>
          <w:lang w:val="en-GB"/>
        </w:rPr>
        <w:t xml:space="preserve">t is not for the Committee to re-evaluate the findings of the court on whether </w:t>
      </w:r>
      <w:r w:rsidR="006837AA">
        <w:rPr>
          <w:sz w:val="20"/>
          <w:lang w:val="en-GB"/>
        </w:rPr>
        <w:t>Mr. </w:t>
      </w:r>
      <w:r w:rsidR="00696F9C">
        <w:rPr>
          <w:sz w:val="20"/>
          <w:lang w:val="en-GB"/>
        </w:rPr>
        <w:t>Wilders</w:t>
      </w:r>
      <w:r w:rsidR="00C052F9" w:rsidRPr="00F15147">
        <w:rPr>
          <w:sz w:val="20"/>
          <w:lang w:val="en-GB"/>
        </w:rPr>
        <w:t>’ acts and statements are punishable under criminal law. Th</w:t>
      </w:r>
      <w:r w:rsidR="00015056">
        <w:rPr>
          <w:sz w:val="20"/>
          <w:lang w:val="en-GB"/>
        </w:rPr>
        <w:t>at</w:t>
      </w:r>
      <w:r w:rsidR="00C052F9" w:rsidRPr="00F15147">
        <w:rPr>
          <w:sz w:val="20"/>
          <w:lang w:val="en-GB"/>
        </w:rPr>
        <w:t xml:space="preserve"> is </w:t>
      </w:r>
      <w:r w:rsidR="00112A21" w:rsidRPr="00F15147">
        <w:rPr>
          <w:sz w:val="20"/>
          <w:lang w:val="en-GB"/>
        </w:rPr>
        <w:t>particularly</w:t>
      </w:r>
      <w:r w:rsidR="00C052F9" w:rsidRPr="00F15147">
        <w:rPr>
          <w:sz w:val="20"/>
          <w:lang w:val="en-GB"/>
        </w:rPr>
        <w:t xml:space="preserve"> pertinent since article 20 does not </w:t>
      </w:r>
      <w:r w:rsidR="00015056">
        <w:rPr>
          <w:sz w:val="20"/>
          <w:lang w:val="en-GB"/>
        </w:rPr>
        <w:t>provide for</w:t>
      </w:r>
      <w:r w:rsidR="00015056" w:rsidRPr="00F15147">
        <w:rPr>
          <w:sz w:val="20"/>
          <w:lang w:val="en-GB"/>
        </w:rPr>
        <w:t xml:space="preserve"> </w:t>
      </w:r>
      <w:r w:rsidR="00C052F9" w:rsidRPr="00F15147">
        <w:rPr>
          <w:sz w:val="20"/>
          <w:lang w:val="en-GB"/>
        </w:rPr>
        <w:t>individual rights</w:t>
      </w:r>
      <w:r w:rsidR="00444EDE" w:rsidRPr="00F15147">
        <w:rPr>
          <w:sz w:val="20"/>
          <w:lang w:val="en-GB"/>
        </w:rPr>
        <w:t>.</w:t>
      </w:r>
    </w:p>
    <w:p w14:paraId="6B6748B3" w14:textId="21FBB3DD" w:rsidR="00444EDE" w:rsidRPr="00F15147" w:rsidRDefault="004E289D" w:rsidP="008C27C6">
      <w:pPr>
        <w:pStyle w:val="SingleTxtG"/>
        <w:rPr>
          <w:sz w:val="20"/>
          <w:lang w:val="en-GB"/>
        </w:rPr>
      </w:pPr>
      <w:r w:rsidRPr="00F15147">
        <w:rPr>
          <w:sz w:val="20"/>
          <w:lang w:val="en-GB"/>
        </w:rPr>
        <w:t>6.</w:t>
      </w:r>
      <w:r w:rsidR="00D537D5" w:rsidRPr="00F15147">
        <w:rPr>
          <w:sz w:val="20"/>
          <w:lang w:val="en-GB"/>
        </w:rPr>
        <w:t>6</w:t>
      </w:r>
      <w:r w:rsidRPr="00F15147">
        <w:rPr>
          <w:sz w:val="20"/>
          <w:lang w:val="en-GB"/>
        </w:rPr>
        <w:tab/>
      </w:r>
      <w:r w:rsidR="00444EDE" w:rsidRPr="00F15147">
        <w:rPr>
          <w:sz w:val="20"/>
          <w:lang w:val="en-GB"/>
        </w:rPr>
        <w:t>Article 20</w:t>
      </w:r>
      <w:r w:rsidR="007A125B">
        <w:rPr>
          <w:sz w:val="20"/>
          <w:lang w:val="en-GB"/>
        </w:rPr>
        <w:t xml:space="preserve"> </w:t>
      </w:r>
      <w:r w:rsidR="00444EDE" w:rsidRPr="00F15147">
        <w:rPr>
          <w:sz w:val="20"/>
          <w:lang w:val="en-GB"/>
        </w:rPr>
        <w:t xml:space="preserve">(2) does not prohibit all negative statements concerning national groups, races or religions. </w:t>
      </w:r>
      <w:r w:rsidR="00015056">
        <w:rPr>
          <w:sz w:val="20"/>
          <w:lang w:val="en-GB"/>
        </w:rPr>
        <w:t>However,</w:t>
      </w:r>
      <w:r w:rsidR="00444EDE" w:rsidRPr="00F15147">
        <w:rPr>
          <w:sz w:val="20"/>
          <w:lang w:val="en-GB"/>
        </w:rPr>
        <w:t xml:space="preserve"> a statement </w:t>
      </w:r>
      <w:r w:rsidR="000B6EE9" w:rsidRPr="00F15147">
        <w:rPr>
          <w:sz w:val="20"/>
          <w:lang w:val="en-GB"/>
        </w:rPr>
        <w:t xml:space="preserve">that </w:t>
      </w:r>
      <w:r w:rsidR="00444EDE" w:rsidRPr="00F15147">
        <w:rPr>
          <w:sz w:val="20"/>
          <w:lang w:val="en-GB"/>
        </w:rPr>
        <w:t>constitutes incitement to discrimination, hostility or violence must be banned. Th</w:t>
      </w:r>
      <w:r w:rsidR="008C27C6">
        <w:rPr>
          <w:sz w:val="20"/>
          <w:lang w:val="en-GB"/>
        </w:rPr>
        <w:t>at</w:t>
      </w:r>
      <w:r w:rsidR="00444EDE" w:rsidRPr="00F15147">
        <w:rPr>
          <w:sz w:val="20"/>
          <w:lang w:val="en-GB"/>
        </w:rPr>
        <w:t xml:space="preserve"> provision is</w:t>
      </w:r>
      <w:r w:rsidR="00192827" w:rsidRPr="00F15147">
        <w:rPr>
          <w:sz w:val="20"/>
          <w:lang w:val="en-GB"/>
        </w:rPr>
        <w:t xml:space="preserve"> </w:t>
      </w:r>
      <w:r w:rsidR="00444EDE" w:rsidRPr="00F15147">
        <w:rPr>
          <w:sz w:val="20"/>
          <w:lang w:val="en-GB"/>
        </w:rPr>
        <w:t>controversial</w:t>
      </w:r>
      <w:r w:rsidR="00192827" w:rsidRPr="00F15147">
        <w:rPr>
          <w:sz w:val="20"/>
          <w:lang w:val="en-GB"/>
        </w:rPr>
        <w:t xml:space="preserve"> </w:t>
      </w:r>
      <w:r w:rsidR="008C27C6">
        <w:rPr>
          <w:sz w:val="20"/>
          <w:lang w:val="en-GB"/>
        </w:rPr>
        <w:t>owing</w:t>
      </w:r>
      <w:r w:rsidR="00444EDE" w:rsidRPr="00F15147">
        <w:rPr>
          <w:sz w:val="20"/>
          <w:lang w:val="en-GB"/>
        </w:rPr>
        <w:t xml:space="preserve"> to the underlying fear that a broad ban will be abused by governments or will discourage citizens from engaging in legitimate democratic debate. The distinction between articles 19 and 20 is that </w:t>
      </w:r>
      <w:r w:rsidR="000B6EE9" w:rsidRPr="00F15147">
        <w:rPr>
          <w:sz w:val="20"/>
          <w:lang w:val="en-GB"/>
        </w:rPr>
        <w:t>it</w:t>
      </w:r>
      <w:r w:rsidR="00444EDE" w:rsidRPr="00F15147">
        <w:rPr>
          <w:sz w:val="20"/>
          <w:lang w:val="en-GB"/>
        </w:rPr>
        <w:t xml:space="preserve"> is only the specific forms of expression indicated in article 20 that States </w:t>
      </w:r>
      <w:r w:rsidR="000B6EE9" w:rsidRPr="00F15147">
        <w:rPr>
          <w:sz w:val="20"/>
          <w:lang w:val="en-GB"/>
        </w:rPr>
        <w:t>must</w:t>
      </w:r>
      <w:r w:rsidR="00444EDE" w:rsidRPr="00F15147">
        <w:rPr>
          <w:sz w:val="20"/>
          <w:lang w:val="en-GB"/>
        </w:rPr>
        <w:t xml:space="preserve"> prohibit by law. </w:t>
      </w:r>
      <w:r w:rsidR="000B6EE9" w:rsidRPr="00F15147">
        <w:rPr>
          <w:sz w:val="20"/>
          <w:lang w:val="en-GB"/>
        </w:rPr>
        <w:t xml:space="preserve">Under </w:t>
      </w:r>
      <w:r w:rsidR="00EF236B" w:rsidRPr="00F15147">
        <w:rPr>
          <w:sz w:val="20"/>
          <w:lang w:val="en-GB"/>
        </w:rPr>
        <w:t xml:space="preserve">the jurisprudence of the European Court of Human Rights </w:t>
      </w:r>
      <w:r w:rsidR="000B6EE9" w:rsidRPr="00F15147">
        <w:rPr>
          <w:sz w:val="20"/>
          <w:lang w:val="en-GB"/>
        </w:rPr>
        <w:t>regarding</w:t>
      </w:r>
      <w:r w:rsidR="00444EDE" w:rsidRPr="00F15147">
        <w:rPr>
          <w:sz w:val="20"/>
          <w:lang w:val="en-GB"/>
        </w:rPr>
        <w:t xml:space="preserve"> freedom of expression</w:t>
      </w:r>
      <w:r w:rsidR="000B6EE9" w:rsidRPr="00F15147">
        <w:rPr>
          <w:sz w:val="20"/>
          <w:lang w:val="en-GB"/>
        </w:rPr>
        <w:t>,</w:t>
      </w:r>
      <w:r w:rsidR="00444EDE" w:rsidRPr="00F15147">
        <w:rPr>
          <w:sz w:val="20"/>
          <w:lang w:val="en-GB"/>
        </w:rPr>
        <w:t xml:space="preserve"> even statements that offend, shock or disturb are permissible. In principle</w:t>
      </w:r>
      <w:r w:rsidR="009B545E">
        <w:rPr>
          <w:sz w:val="20"/>
          <w:lang w:val="en-GB"/>
        </w:rPr>
        <w:t>,</w:t>
      </w:r>
      <w:r w:rsidR="00444EDE" w:rsidRPr="00F15147">
        <w:rPr>
          <w:sz w:val="20"/>
          <w:lang w:val="en-GB"/>
        </w:rPr>
        <w:t xml:space="preserve"> great value should be attached to statements</w:t>
      </w:r>
      <w:r w:rsidR="00192836" w:rsidRPr="00F15147">
        <w:rPr>
          <w:sz w:val="20"/>
          <w:lang w:val="en-GB"/>
        </w:rPr>
        <w:t xml:space="preserve"> by politicians, parliamentarians, trade union leaders or other public figures, but it is </w:t>
      </w:r>
      <w:r w:rsidR="000B6EE9" w:rsidRPr="00F15147">
        <w:rPr>
          <w:sz w:val="20"/>
          <w:lang w:val="en-GB"/>
        </w:rPr>
        <w:t xml:space="preserve">also </w:t>
      </w:r>
      <w:r w:rsidR="00192836" w:rsidRPr="00F15147">
        <w:rPr>
          <w:sz w:val="20"/>
          <w:lang w:val="en-GB"/>
        </w:rPr>
        <w:t xml:space="preserve">vital that elected representatives avoid public utterances that could foster intolerance. Inciting the exclusion of foreigners fundamentally undermines human rights and </w:t>
      </w:r>
      <w:r w:rsidR="00F96147" w:rsidRPr="00F15147">
        <w:rPr>
          <w:sz w:val="20"/>
          <w:lang w:val="en-GB"/>
        </w:rPr>
        <w:t>thus</w:t>
      </w:r>
      <w:r w:rsidR="00192836" w:rsidRPr="00F15147">
        <w:rPr>
          <w:sz w:val="20"/>
          <w:lang w:val="en-GB"/>
        </w:rPr>
        <w:t xml:space="preserve"> everyone, including parliamentarians, should be extremely cautious in their utterances. At the same time, those who choose to </w:t>
      </w:r>
      <w:r w:rsidR="00192836" w:rsidRPr="00F15147">
        <w:rPr>
          <w:sz w:val="20"/>
          <w:lang w:val="en-GB"/>
        </w:rPr>
        <w:lastRenderedPageBreak/>
        <w:t>manifest their religion cannot reasonably expect to be exempt from all criticism. They must tolerate and accept the denial by others of their religious beliefs and even the propagation by others of doctrines hostile to their faith.</w:t>
      </w:r>
    </w:p>
    <w:p w14:paraId="745CE6C5" w14:textId="3970828F" w:rsidR="00A05E72" w:rsidRPr="00F15147" w:rsidRDefault="004E289D" w:rsidP="00CE1152">
      <w:pPr>
        <w:pStyle w:val="SingleTxtG"/>
        <w:rPr>
          <w:sz w:val="20"/>
          <w:lang w:val="en-GB"/>
        </w:rPr>
      </w:pPr>
      <w:r w:rsidRPr="00F15147">
        <w:rPr>
          <w:sz w:val="20"/>
          <w:lang w:val="en-GB"/>
        </w:rPr>
        <w:t>6.</w:t>
      </w:r>
      <w:r w:rsidR="00D537D5" w:rsidRPr="00F15147">
        <w:rPr>
          <w:sz w:val="20"/>
          <w:lang w:val="en-GB"/>
        </w:rPr>
        <w:t>7</w:t>
      </w:r>
      <w:r w:rsidRPr="00F15147">
        <w:rPr>
          <w:sz w:val="20"/>
          <w:lang w:val="en-GB"/>
        </w:rPr>
        <w:tab/>
      </w:r>
      <w:r w:rsidR="00BA6FF6" w:rsidRPr="00F15147">
        <w:rPr>
          <w:sz w:val="20"/>
          <w:lang w:val="en-GB"/>
        </w:rPr>
        <w:t>The U</w:t>
      </w:r>
      <w:r w:rsidR="00015056">
        <w:rPr>
          <w:sz w:val="20"/>
          <w:lang w:val="en-GB"/>
        </w:rPr>
        <w:t xml:space="preserve">nited </w:t>
      </w:r>
      <w:r w:rsidR="00BA6FF6" w:rsidRPr="00F15147">
        <w:rPr>
          <w:sz w:val="20"/>
          <w:lang w:val="en-GB"/>
        </w:rPr>
        <w:t>N</w:t>
      </w:r>
      <w:r w:rsidR="00015056">
        <w:rPr>
          <w:sz w:val="20"/>
          <w:lang w:val="en-GB"/>
        </w:rPr>
        <w:t>ations</w:t>
      </w:r>
      <w:r w:rsidR="00BA6FF6" w:rsidRPr="00F15147">
        <w:rPr>
          <w:sz w:val="20"/>
          <w:lang w:val="en-GB"/>
        </w:rPr>
        <w:t xml:space="preserve">, </w:t>
      </w:r>
      <w:r w:rsidR="00015056">
        <w:rPr>
          <w:sz w:val="20"/>
          <w:lang w:val="en-GB"/>
        </w:rPr>
        <w:t xml:space="preserve">the </w:t>
      </w:r>
      <w:r w:rsidR="00015056" w:rsidRPr="00015056">
        <w:rPr>
          <w:sz w:val="20"/>
          <w:lang w:val="en-GB"/>
        </w:rPr>
        <w:t>Organization for Security and Cooperation in Europe</w:t>
      </w:r>
      <w:r w:rsidR="00BA6FF6" w:rsidRPr="00F15147">
        <w:rPr>
          <w:sz w:val="20"/>
          <w:lang w:val="en-GB"/>
        </w:rPr>
        <w:t xml:space="preserve"> and </w:t>
      </w:r>
      <w:r w:rsidR="00015056">
        <w:rPr>
          <w:sz w:val="20"/>
          <w:lang w:val="en-GB"/>
        </w:rPr>
        <w:t xml:space="preserve">the </w:t>
      </w:r>
      <w:r w:rsidR="00015056" w:rsidRPr="00015056">
        <w:rPr>
          <w:sz w:val="20"/>
          <w:lang w:val="en-GB"/>
        </w:rPr>
        <w:t>Organization of American States</w:t>
      </w:r>
      <w:r w:rsidR="00BA6FF6" w:rsidRPr="00F15147">
        <w:rPr>
          <w:sz w:val="20"/>
          <w:lang w:val="en-GB"/>
        </w:rPr>
        <w:t xml:space="preserve"> have indicated that no one should be pen</w:t>
      </w:r>
      <w:r w:rsidR="00D537D5" w:rsidRPr="00F15147">
        <w:rPr>
          <w:sz w:val="20"/>
          <w:lang w:val="en-GB"/>
        </w:rPr>
        <w:t>a</w:t>
      </w:r>
      <w:r w:rsidR="00BA6FF6" w:rsidRPr="00F15147">
        <w:rPr>
          <w:sz w:val="20"/>
          <w:lang w:val="en-GB"/>
        </w:rPr>
        <w:t>li</w:t>
      </w:r>
      <w:r w:rsidR="008C27C6">
        <w:rPr>
          <w:sz w:val="20"/>
          <w:lang w:val="en-GB"/>
        </w:rPr>
        <w:t>z</w:t>
      </w:r>
      <w:r w:rsidR="00BA6FF6" w:rsidRPr="00F15147">
        <w:rPr>
          <w:sz w:val="20"/>
          <w:lang w:val="en-GB"/>
        </w:rPr>
        <w:t>ed for the dissemination of hate speech unless it has been shown that they did so with the intention of inciting discrimination, hostility or violence</w:t>
      </w:r>
      <w:r w:rsidR="00F570DA" w:rsidRPr="00F15147">
        <w:rPr>
          <w:sz w:val="20"/>
          <w:lang w:val="en-GB"/>
        </w:rPr>
        <w:t>.</w:t>
      </w:r>
      <w:r w:rsidR="00F96147" w:rsidRPr="00F15147">
        <w:rPr>
          <w:sz w:val="20"/>
          <w:lang w:val="en-GB"/>
        </w:rPr>
        <w:t xml:space="preserve"> </w:t>
      </w:r>
      <w:r w:rsidR="00A05E72" w:rsidRPr="00A42D4B">
        <w:rPr>
          <w:sz w:val="20"/>
          <w:szCs w:val="20"/>
        </w:rPr>
        <w:t>The Parliamentary Assembly of the Council of Europe</w:t>
      </w:r>
      <w:r w:rsidR="00A05E72" w:rsidRPr="00F15147">
        <w:rPr>
          <w:sz w:val="20"/>
          <w:lang w:val="en-GB"/>
        </w:rPr>
        <w:t xml:space="preserve"> </w:t>
      </w:r>
      <w:r w:rsidR="00686A73" w:rsidRPr="00F15147">
        <w:rPr>
          <w:sz w:val="20"/>
          <w:lang w:val="en-GB"/>
        </w:rPr>
        <w:t xml:space="preserve">considers that acts </w:t>
      </w:r>
      <w:r w:rsidR="00E30A20" w:rsidRPr="00F15147">
        <w:rPr>
          <w:sz w:val="20"/>
          <w:lang w:val="en-GB"/>
        </w:rPr>
        <w:t xml:space="preserve">that </w:t>
      </w:r>
      <w:r w:rsidR="00686A73" w:rsidRPr="00F15147">
        <w:rPr>
          <w:sz w:val="20"/>
          <w:lang w:val="en-GB"/>
        </w:rPr>
        <w:t xml:space="preserve">intentionally and severely disturb public order and call for public violence by reference to religious matters should be prohibited, as far as necessary in a democratic society, in accordance with article 10 of the </w:t>
      </w:r>
      <w:r w:rsidR="00015056" w:rsidRPr="00015056">
        <w:rPr>
          <w:sz w:val="20"/>
          <w:lang w:val="en-GB"/>
        </w:rPr>
        <w:t xml:space="preserve">Convention for the Protection of Human Rights and Fundamental Freedoms </w:t>
      </w:r>
      <w:r w:rsidR="00015056">
        <w:rPr>
          <w:sz w:val="20"/>
          <w:lang w:val="en-GB"/>
        </w:rPr>
        <w:t xml:space="preserve">(the </w:t>
      </w:r>
      <w:r w:rsidR="00686A73" w:rsidRPr="00F15147">
        <w:rPr>
          <w:sz w:val="20"/>
          <w:lang w:val="en-GB"/>
        </w:rPr>
        <w:t>Euro</w:t>
      </w:r>
      <w:r w:rsidR="004527FE" w:rsidRPr="00F15147">
        <w:rPr>
          <w:sz w:val="20"/>
          <w:lang w:val="en-GB"/>
        </w:rPr>
        <w:t>pean Convention on Human Rights</w:t>
      </w:r>
      <w:r w:rsidR="00015056">
        <w:rPr>
          <w:sz w:val="20"/>
          <w:lang w:val="en-GB"/>
        </w:rPr>
        <w:t>)</w:t>
      </w:r>
      <w:r w:rsidR="00F570DA" w:rsidRPr="00F15147">
        <w:rPr>
          <w:sz w:val="20"/>
          <w:lang w:val="en-GB"/>
        </w:rPr>
        <w:t>.</w:t>
      </w:r>
      <w:r w:rsidR="004527FE" w:rsidRPr="00F15147">
        <w:rPr>
          <w:sz w:val="20"/>
          <w:lang w:val="en-GB"/>
        </w:rPr>
        <w:t xml:space="preserve"> </w:t>
      </w:r>
      <w:r w:rsidR="00CE1152">
        <w:rPr>
          <w:sz w:val="20"/>
          <w:lang w:val="en-GB"/>
        </w:rPr>
        <w:t>In or</w:t>
      </w:r>
      <w:r w:rsidR="009B545E">
        <w:rPr>
          <w:sz w:val="20"/>
          <w:lang w:val="en-GB"/>
        </w:rPr>
        <w:t>d</w:t>
      </w:r>
      <w:r w:rsidR="00CE1152">
        <w:rPr>
          <w:sz w:val="20"/>
          <w:lang w:val="en-GB"/>
        </w:rPr>
        <w:t>er t</w:t>
      </w:r>
      <w:r w:rsidR="00686A73" w:rsidRPr="00F15147">
        <w:rPr>
          <w:sz w:val="20"/>
          <w:lang w:val="en-GB"/>
        </w:rPr>
        <w:t>o be restricted, it is not sufficient that expressions merely disturb public order; they must also call for public violence.</w:t>
      </w:r>
    </w:p>
    <w:p w14:paraId="2B0E1B90" w14:textId="2803C673" w:rsidR="00686A73" w:rsidRPr="00F15147" w:rsidRDefault="004E289D" w:rsidP="00CE1152">
      <w:pPr>
        <w:pStyle w:val="SingleTxtG"/>
        <w:rPr>
          <w:sz w:val="20"/>
          <w:lang w:val="en-GB"/>
        </w:rPr>
      </w:pPr>
      <w:r w:rsidRPr="00F15147">
        <w:rPr>
          <w:sz w:val="20"/>
          <w:lang w:val="en-GB"/>
        </w:rPr>
        <w:t>6.</w:t>
      </w:r>
      <w:r w:rsidR="00D537D5" w:rsidRPr="00F15147">
        <w:rPr>
          <w:sz w:val="20"/>
          <w:lang w:val="en-GB"/>
        </w:rPr>
        <w:t>8</w:t>
      </w:r>
      <w:r w:rsidRPr="00F15147">
        <w:rPr>
          <w:sz w:val="20"/>
          <w:lang w:val="en-GB"/>
        </w:rPr>
        <w:tab/>
      </w:r>
      <w:r w:rsidR="00686A73" w:rsidRPr="00F15147">
        <w:rPr>
          <w:sz w:val="20"/>
          <w:lang w:val="en-GB"/>
        </w:rPr>
        <w:t>Defining which acts fall within article 20 remains difficult. No clear line</w:t>
      </w:r>
      <w:r w:rsidR="002B1466" w:rsidRPr="00F15147">
        <w:rPr>
          <w:sz w:val="20"/>
          <w:lang w:val="en-GB"/>
        </w:rPr>
        <w:t xml:space="preserve"> c</w:t>
      </w:r>
      <w:r w:rsidR="003204B4" w:rsidRPr="00F15147">
        <w:rPr>
          <w:sz w:val="20"/>
          <w:lang w:val="en-GB"/>
        </w:rPr>
        <w:t>an be drawn between criticism</w:t>
      </w:r>
      <w:r w:rsidR="00A42D4B">
        <w:rPr>
          <w:sz w:val="20"/>
          <w:lang w:val="en-GB"/>
        </w:rPr>
        <w:t xml:space="preserve">, </w:t>
      </w:r>
      <w:r w:rsidR="002B1466" w:rsidRPr="00F15147">
        <w:rPr>
          <w:sz w:val="20"/>
          <w:lang w:val="en-GB"/>
        </w:rPr>
        <w:t>even if deemed offensive</w:t>
      </w:r>
      <w:r w:rsidR="00A42D4B">
        <w:rPr>
          <w:sz w:val="20"/>
          <w:lang w:val="en-GB"/>
        </w:rPr>
        <w:t xml:space="preserve">, </w:t>
      </w:r>
      <w:r w:rsidR="002B1466" w:rsidRPr="00F15147">
        <w:rPr>
          <w:sz w:val="20"/>
          <w:lang w:val="en-GB"/>
        </w:rPr>
        <w:t xml:space="preserve">and incitement to violence, hostility or discrimination. Nor is there a universally accepted definition of hate speech. Each set of facts is particular and can only be assessed and adjudicated according to </w:t>
      </w:r>
      <w:r w:rsidR="00CE1152">
        <w:rPr>
          <w:sz w:val="20"/>
          <w:lang w:val="en-GB"/>
        </w:rPr>
        <w:t>the specific</w:t>
      </w:r>
      <w:r w:rsidR="002B1466" w:rsidRPr="00F15147">
        <w:rPr>
          <w:sz w:val="20"/>
          <w:lang w:val="en-GB"/>
        </w:rPr>
        <w:t xml:space="preserve"> circumstances and context. Th</w:t>
      </w:r>
      <w:r w:rsidR="00CE1152">
        <w:rPr>
          <w:sz w:val="20"/>
          <w:lang w:val="en-GB"/>
        </w:rPr>
        <w:t>at</w:t>
      </w:r>
      <w:r w:rsidR="002B1466" w:rsidRPr="00F15147">
        <w:rPr>
          <w:sz w:val="20"/>
          <w:lang w:val="en-GB"/>
        </w:rPr>
        <w:t xml:space="preserve"> was the difficult task performed by the court. The authors are incorrect in assuming that</w:t>
      </w:r>
      <w:r w:rsidR="004527FE" w:rsidRPr="00F15147">
        <w:rPr>
          <w:sz w:val="20"/>
          <w:lang w:val="en-GB"/>
        </w:rPr>
        <w:t xml:space="preserve"> </w:t>
      </w:r>
      <w:r w:rsidR="006837AA">
        <w:rPr>
          <w:sz w:val="20"/>
          <w:lang w:val="en-GB"/>
        </w:rPr>
        <w:t>Mr. </w:t>
      </w:r>
      <w:r w:rsidR="00696F9C">
        <w:rPr>
          <w:sz w:val="20"/>
          <w:lang w:val="en-GB"/>
        </w:rPr>
        <w:t>Wilders</w:t>
      </w:r>
      <w:r w:rsidR="002B1466" w:rsidRPr="00F15147">
        <w:rPr>
          <w:sz w:val="20"/>
          <w:lang w:val="en-GB"/>
        </w:rPr>
        <w:t xml:space="preserve">’ statements are covered by article 20 almost by definition. That must be decided by a court </w:t>
      </w:r>
      <w:r w:rsidR="00E30A20" w:rsidRPr="00F15147">
        <w:rPr>
          <w:sz w:val="20"/>
          <w:lang w:val="en-GB"/>
        </w:rPr>
        <w:t>for</w:t>
      </w:r>
      <w:r w:rsidR="002B1466" w:rsidRPr="00F15147">
        <w:rPr>
          <w:sz w:val="20"/>
          <w:lang w:val="en-GB"/>
        </w:rPr>
        <w:t xml:space="preserve"> each specific statement. Any other approach would infringe a defendant’s right to a fair trial. </w:t>
      </w:r>
    </w:p>
    <w:p w14:paraId="574430DD" w14:textId="55001A3C" w:rsidR="003725FF" w:rsidRPr="00F15147" w:rsidRDefault="004E289D" w:rsidP="005543E5">
      <w:pPr>
        <w:pStyle w:val="SingleTxtG"/>
        <w:rPr>
          <w:sz w:val="20"/>
          <w:lang w:val="en-GB"/>
        </w:rPr>
      </w:pPr>
      <w:r w:rsidRPr="00F15147">
        <w:rPr>
          <w:sz w:val="20"/>
          <w:lang w:val="en-GB"/>
        </w:rPr>
        <w:t>6.</w:t>
      </w:r>
      <w:r w:rsidR="00D537D5" w:rsidRPr="00F15147">
        <w:rPr>
          <w:sz w:val="20"/>
          <w:lang w:val="en-GB"/>
        </w:rPr>
        <w:t>9</w:t>
      </w:r>
      <w:r w:rsidRPr="00F15147">
        <w:rPr>
          <w:sz w:val="20"/>
          <w:lang w:val="en-GB"/>
        </w:rPr>
        <w:tab/>
      </w:r>
      <w:r w:rsidR="00636720" w:rsidRPr="00F15147">
        <w:rPr>
          <w:sz w:val="20"/>
          <w:lang w:val="en-GB"/>
        </w:rPr>
        <w:t xml:space="preserve">The legislative history of section 137d </w:t>
      </w:r>
      <w:r w:rsidR="008851CB">
        <w:rPr>
          <w:sz w:val="20"/>
          <w:lang w:val="en-GB"/>
        </w:rPr>
        <w:t xml:space="preserve">of the </w:t>
      </w:r>
      <w:r w:rsidR="008851CB" w:rsidRPr="008E6C6C">
        <w:rPr>
          <w:sz w:val="20"/>
          <w:lang w:val="en-GB"/>
        </w:rPr>
        <w:t>Criminal Code</w:t>
      </w:r>
      <w:r w:rsidR="008851CB">
        <w:rPr>
          <w:sz w:val="20"/>
          <w:lang w:val="en-GB"/>
        </w:rPr>
        <w:t xml:space="preserve"> </w:t>
      </w:r>
      <w:r w:rsidR="00636720" w:rsidRPr="00F15147">
        <w:rPr>
          <w:sz w:val="20"/>
          <w:lang w:val="en-GB"/>
        </w:rPr>
        <w:t>shows that the intention was to criminali</w:t>
      </w:r>
      <w:r w:rsidR="00CE1152">
        <w:rPr>
          <w:sz w:val="20"/>
          <w:lang w:val="en-GB"/>
        </w:rPr>
        <w:t>z</w:t>
      </w:r>
      <w:r w:rsidR="00636720" w:rsidRPr="00F15147">
        <w:rPr>
          <w:sz w:val="20"/>
          <w:lang w:val="en-GB"/>
        </w:rPr>
        <w:t>e incitement to hatred or discrimination against persons, not religions. Criticism of the most deeply</w:t>
      </w:r>
      <w:r w:rsidR="00CE1152">
        <w:rPr>
          <w:sz w:val="20"/>
          <w:lang w:val="en-GB"/>
        </w:rPr>
        <w:t xml:space="preserve"> </w:t>
      </w:r>
      <w:r w:rsidR="00636720" w:rsidRPr="00F15147">
        <w:rPr>
          <w:sz w:val="20"/>
          <w:lang w:val="en-GB"/>
        </w:rPr>
        <w:t>held convictions of the adherent of a religion, of the faith itself and of the institutions and organi</w:t>
      </w:r>
      <w:r w:rsidR="00364F56">
        <w:rPr>
          <w:sz w:val="20"/>
          <w:lang w:val="en-GB"/>
        </w:rPr>
        <w:t>z</w:t>
      </w:r>
      <w:r w:rsidR="00636720" w:rsidRPr="00F15147">
        <w:rPr>
          <w:sz w:val="20"/>
          <w:lang w:val="en-GB"/>
        </w:rPr>
        <w:t>ations based thereon is acceptable.</w:t>
      </w:r>
      <w:r w:rsidR="007A6D7B" w:rsidRPr="00F15147">
        <w:rPr>
          <w:sz w:val="20"/>
          <w:lang w:val="en-GB"/>
        </w:rPr>
        <w:t xml:space="preserve"> Freedom of expression played a role in the decision to keep such criticism beyond the reach of section 137d</w:t>
      </w:r>
      <w:r w:rsidR="00BA6FF6" w:rsidRPr="00F15147">
        <w:rPr>
          <w:sz w:val="20"/>
          <w:lang w:val="en-GB"/>
        </w:rPr>
        <w:t>, since criticism of religion or belief must be allowed as much scope as possible, even where that criticism touches the most deeply</w:t>
      </w:r>
      <w:r w:rsidR="005543E5">
        <w:rPr>
          <w:sz w:val="20"/>
          <w:lang w:val="en-GB"/>
        </w:rPr>
        <w:t xml:space="preserve"> </w:t>
      </w:r>
      <w:r w:rsidR="00BA6FF6" w:rsidRPr="00F15147">
        <w:rPr>
          <w:sz w:val="20"/>
          <w:lang w:val="en-GB"/>
        </w:rPr>
        <w:t>held convictions of the believers and</w:t>
      </w:r>
      <w:r w:rsidR="004527FE" w:rsidRPr="00F15147">
        <w:rPr>
          <w:sz w:val="20"/>
          <w:lang w:val="en-GB"/>
        </w:rPr>
        <w:t xml:space="preserve"> </w:t>
      </w:r>
      <w:r w:rsidR="00BA6FF6" w:rsidRPr="00F15147">
        <w:rPr>
          <w:sz w:val="20"/>
          <w:lang w:val="en-GB"/>
        </w:rPr>
        <w:t>the institutions or organizations based on the religion or belief</w:t>
      </w:r>
      <w:r w:rsidR="007A6D7B" w:rsidRPr="00F15147">
        <w:rPr>
          <w:sz w:val="20"/>
          <w:lang w:val="en-GB"/>
        </w:rPr>
        <w:t xml:space="preserve">. Criticism is a criminal offence, however, if it is unequivocally directed at persons themselves and not simply at their opinions, convictions and behaviours. </w:t>
      </w:r>
      <w:r w:rsidR="000940C6" w:rsidRPr="00F15147">
        <w:rPr>
          <w:sz w:val="20"/>
          <w:lang w:val="en-GB"/>
        </w:rPr>
        <w:t>A</w:t>
      </w:r>
      <w:r w:rsidR="007A6D7B" w:rsidRPr="00F15147">
        <w:rPr>
          <w:sz w:val="20"/>
          <w:lang w:val="en-GB"/>
        </w:rPr>
        <w:t xml:space="preserve">n insulting attack on a belief </w:t>
      </w:r>
      <w:r w:rsidR="000940C6" w:rsidRPr="00F15147">
        <w:rPr>
          <w:sz w:val="20"/>
          <w:lang w:val="en-GB"/>
        </w:rPr>
        <w:t xml:space="preserve">does not </w:t>
      </w:r>
      <w:r w:rsidR="007A6D7B" w:rsidRPr="00F15147">
        <w:rPr>
          <w:sz w:val="20"/>
          <w:lang w:val="en-GB"/>
        </w:rPr>
        <w:t>automatically constitute an attack on those who adhere to that belief</w:t>
      </w:r>
      <w:r w:rsidR="000940C6" w:rsidRPr="00F15147">
        <w:rPr>
          <w:sz w:val="20"/>
          <w:lang w:val="en-GB"/>
        </w:rPr>
        <w:t>;</w:t>
      </w:r>
      <w:r w:rsidR="007A6D7B" w:rsidRPr="00F15147">
        <w:rPr>
          <w:sz w:val="20"/>
          <w:lang w:val="en-GB"/>
        </w:rPr>
        <w:t xml:space="preserve"> </w:t>
      </w:r>
      <w:r w:rsidR="000940C6" w:rsidRPr="00F15147">
        <w:rPr>
          <w:sz w:val="20"/>
          <w:lang w:val="en-GB"/>
        </w:rPr>
        <w:t xml:space="preserve">under the law an </w:t>
      </w:r>
      <w:r w:rsidR="003725FF" w:rsidRPr="00F15147">
        <w:rPr>
          <w:sz w:val="20"/>
          <w:lang w:val="en-GB"/>
        </w:rPr>
        <w:t xml:space="preserve">insulting description of a belief </w:t>
      </w:r>
      <w:r w:rsidR="000940C6" w:rsidRPr="00F15147">
        <w:rPr>
          <w:sz w:val="20"/>
          <w:lang w:val="en-GB"/>
        </w:rPr>
        <w:t xml:space="preserve">is </w:t>
      </w:r>
      <w:r w:rsidR="003725FF" w:rsidRPr="00F15147">
        <w:rPr>
          <w:sz w:val="20"/>
          <w:lang w:val="en-GB"/>
        </w:rPr>
        <w:t xml:space="preserve">only insulting to persons if </w:t>
      </w:r>
      <w:r w:rsidR="000940C6" w:rsidRPr="00F15147">
        <w:rPr>
          <w:sz w:val="20"/>
          <w:lang w:val="en-GB"/>
        </w:rPr>
        <w:t xml:space="preserve">it </w:t>
      </w:r>
      <w:r w:rsidR="003725FF" w:rsidRPr="00F15147">
        <w:rPr>
          <w:sz w:val="20"/>
          <w:lang w:val="en-GB"/>
        </w:rPr>
        <w:t>involves drawing conclusions about those persons. Th</w:t>
      </w:r>
      <w:r w:rsidR="005543E5">
        <w:rPr>
          <w:sz w:val="20"/>
          <w:lang w:val="en-GB"/>
        </w:rPr>
        <w:t>at</w:t>
      </w:r>
      <w:r w:rsidR="003725FF" w:rsidRPr="00F15147">
        <w:rPr>
          <w:sz w:val="20"/>
          <w:lang w:val="en-GB"/>
        </w:rPr>
        <w:t xml:space="preserve"> distinction </w:t>
      </w:r>
      <w:r w:rsidR="000940C6" w:rsidRPr="00F15147">
        <w:rPr>
          <w:sz w:val="20"/>
          <w:lang w:val="en-GB"/>
        </w:rPr>
        <w:t xml:space="preserve">applies </w:t>
      </w:r>
      <w:r w:rsidR="005543E5" w:rsidRPr="008F0CA7">
        <w:rPr>
          <w:sz w:val="20"/>
          <w:lang w:val="en-GB"/>
        </w:rPr>
        <w:t xml:space="preserve">only </w:t>
      </w:r>
      <w:r w:rsidR="000940C6" w:rsidRPr="00F15147">
        <w:rPr>
          <w:sz w:val="20"/>
          <w:lang w:val="en-GB"/>
        </w:rPr>
        <w:t>with</w:t>
      </w:r>
      <w:r w:rsidR="003725FF" w:rsidRPr="00F15147">
        <w:rPr>
          <w:sz w:val="20"/>
          <w:lang w:val="en-GB"/>
        </w:rPr>
        <w:t xml:space="preserve"> respect </w:t>
      </w:r>
      <w:r w:rsidR="000940C6" w:rsidRPr="00F15147">
        <w:rPr>
          <w:sz w:val="20"/>
          <w:lang w:val="en-GB"/>
        </w:rPr>
        <w:t xml:space="preserve">to </w:t>
      </w:r>
      <w:r w:rsidR="003725FF" w:rsidRPr="00F15147">
        <w:rPr>
          <w:sz w:val="20"/>
          <w:lang w:val="en-GB"/>
        </w:rPr>
        <w:t xml:space="preserve">the grounds </w:t>
      </w:r>
      <w:r w:rsidR="005543E5">
        <w:rPr>
          <w:sz w:val="20"/>
          <w:lang w:val="en-GB"/>
        </w:rPr>
        <w:t xml:space="preserve">of </w:t>
      </w:r>
      <w:r w:rsidR="003725FF" w:rsidRPr="00F15147">
        <w:rPr>
          <w:sz w:val="20"/>
          <w:lang w:val="en-GB"/>
        </w:rPr>
        <w:t>religion or belief, not race or ethnic origin.</w:t>
      </w:r>
      <w:r w:rsidR="004527FE" w:rsidRPr="00F15147">
        <w:rPr>
          <w:sz w:val="20"/>
          <w:lang w:val="en-GB"/>
        </w:rPr>
        <w:t xml:space="preserve"> </w:t>
      </w:r>
      <w:r w:rsidR="000940C6" w:rsidRPr="00F15147">
        <w:rPr>
          <w:sz w:val="20"/>
          <w:lang w:val="en-GB"/>
        </w:rPr>
        <w:t>T</w:t>
      </w:r>
      <w:r w:rsidR="003725FF" w:rsidRPr="00F15147">
        <w:rPr>
          <w:sz w:val="20"/>
          <w:lang w:val="en-GB"/>
        </w:rPr>
        <w:t xml:space="preserve">he legislative history </w:t>
      </w:r>
      <w:r w:rsidR="000940C6" w:rsidRPr="00F15147">
        <w:rPr>
          <w:sz w:val="20"/>
          <w:lang w:val="en-GB"/>
        </w:rPr>
        <w:t xml:space="preserve">establishes that </w:t>
      </w:r>
      <w:r w:rsidR="003725FF" w:rsidRPr="00F15147">
        <w:rPr>
          <w:sz w:val="20"/>
          <w:lang w:val="en-GB"/>
        </w:rPr>
        <w:t xml:space="preserve">in interpreting </w:t>
      </w:r>
      <w:r w:rsidR="005543E5">
        <w:rPr>
          <w:sz w:val="20"/>
          <w:lang w:val="en-GB"/>
        </w:rPr>
        <w:t>the term “</w:t>
      </w:r>
      <w:r w:rsidR="003725FF" w:rsidRPr="00F15147">
        <w:rPr>
          <w:sz w:val="20"/>
          <w:lang w:val="en-GB"/>
        </w:rPr>
        <w:t>incitement to</w:t>
      </w:r>
      <w:r w:rsidR="005543E5">
        <w:rPr>
          <w:sz w:val="20"/>
          <w:lang w:val="en-GB"/>
        </w:rPr>
        <w:t>”</w:t>
      </w:r>
      <w:r w:rsidR="000940C6" w:rsidRPr="00F15147">
        <w:rPr>
          <w:sz w:val="20"/>
          <w:lang w:val="en-GB"/>
        </w:rPr>
        <w:t>,</w:t>
      </w:r>
      <w:r w:rsidR="003725FF" w:rsidRPr="00F15147">
        <w:rPr>
          <w:sz w:val="20"/>
          <w:lang w:val="en-GB"/>
        </w:rPr>
        <w:t xml:space="preserve"> the legislator sought a connection with the offence defined in section 131 </w:t>
      </w:r>
      <w:r w:rsidR="008851CB">
        <w:rPr>
          <w:sz w:val="20"/>
          <w:lang w:val="en-GB"/>
        </w:rPr>
        <w:t xml:space="preserve">of the </w:t>
      </w:r>
      <w:r w:rsidR="008851CB" w:rsidRPr="008E6C6C">
        <w:rPr>
          <w:sz w:val="20"/>
          <w:lang w:val="en-GB"/>
        </w:rPr>
        <w:t>Criminal Code</w:t>
      </w:r>
      <w:r w:rsidR="003725FF" w:rsidRPr="00F15147">
        <w:rPr>
          <w:sz w:val="20"/>
          <w:lang w:val="en-GB"/>
        </w:rPr>
        <w:t>, namely inflammatory behaviour that incites the commission of criminal offences or acts of violence.</w:t>
      </w:r>
    </w:p>
    <w:p w14:paraId="798B856C" w14:textId="1F4B4A9B" w:rsidR="00B37788" w:rsidRPr="00F15147" w:rsidRDefault="004E289D" w:rsidP="005543E5">
      <w:pPr>
        <w:pStyle w:val="SingleTxtG"/>
        <w:rPr>
          <w:sz w:val="20"/>
          <w:lang w:val="en-GB"/>
        </w:rPr>
      </w:pPr>
      <w:r w:rsidRPr="00F15147">
        <w:rPr>
          <w:sz w:val="20"/>
          <w:lang w:val="en-GB"/>
        </w:rPr>
        <w:t>6.1</w:t>
      </w:r>
      <w:r w:rsidR="001A0DBA" w:rsidRPr="00F15147">
        <w:rPr>
          <w:sz w:val="20"/>
          <w:lang w:val="en-GB"/>
        </w:rPr>
        <w:t>0</w:t>
      </w:r>
      <w:r w:rsidRPr="00F15147">
        <w:rPr>
          <w:sz w:val="20"/>
          <w:lang w:val="en-GB"/>
        </w:rPr>
        <w:tab/>
      </w:r>
      <w:r w:rsidR="00BA6FF6" w:rsidRPr="00F15147">
        <w:rPr>
          <w:sz w:val="20"/>
          <w:lang w:val="en-GB"/>
        </w:rPr>
        <w:t xml:space="preserve">Section 137d </w:t>
      </w:r>
      <w:r w:rsidR="005543E5">
        <w:rPr>
          <w:sz w:val="20"/>
          <w:lang w:val="en-GB"/>
        </w:rPr>
        <w:t xml:space="preserve">of the </w:t>
      </w:r>
      <w:r w:rsidR="005543E5" w:rsidRPr="008E6C6C">
        <w:rPr>
          <w:sz w:val="20"/>
          <w:lang w:val="en-GB"/>
        </w:rPr>
        <w:t>Criminal Code</w:t>
      </w:r>
      <w:r w:rsidR="005543E5">
        <w:rPr>
          <w:sz w:val="20"/>
          <w:lang w:val="en-GB"/>
        </w:rPr>
        <w:t xml:space="preserve"> </w:t>
      </w:r>
      <w:r w:rsidR="00BA6FF6" w:rsidRPr="00F15147">
        <w:rPr>
          <w:sz w:val="20"/>
          <w:lang w:val="en-GB"/>
        </w:rPr>
        <w:t xml:space="preserve">was drafted in compliance with the </w:t>
      </w:r>
      <w:r w:rsidR="002F5250" w:rsidRPr="002F5250">
        <w:rPr>
          <w:sz w:val="20"/>
          <w:lang w:val="en-GB"/>
        </w:rPr>
        <w:t>International Convention on the Elimination</w:t>
      </w:r>
      <w:r w:rsidR="002F5250">
        <w:rPr>
          <w:sz w:val="20"/>
          <w:lang w:val="en-GB"/>
        </w:rPr>
        <w:t xml:space="preserve"> </w:t>
      </w:r>
      <w:r w:rsidR="002F5250" w:rsidRPr="002F5250">
        <w:rPr>
          <w:sz w:val="20"/>
          <w:lang w:val="en-GB"/>
        </w:rPr>
        <w:t>of All Forms of Racial Discrimination</w:t>
      </w:r>
      <w:r w:rsidR="00BA6FF6" w:rsidRPr="00F15147">
        <w:rPr>
          <w:sz w:val="20"/>
          <w:lang w:val="en-GB"/>
        </w:rPr>
        <w:t xml:space="preserve">. </w:t>
      </w:r>
      <w:r w:rsidR="00B37788" w:rsidRPr="00F15147">
        <w:rPr>
          <w:sz w:val="20"/>
          <w:lang w:val="en-GB"/>
        </w:rPr>
        <w:t>The discrimination element in section 137d is based on the defin</w:t>
      </w:r>
      <w:r w:rsidR="003204B4" w:rsidRPr="00F15147">
        <w:rPr>
          <w:sz w:val="20"/>
          <w:lang w:val="en-GB"/>
        </w:rPr>
        <w:t>ition of the term in section 90</w:t>
      </w:r>
      <w:r w:rsidR="005543E5">
        <w:rPr>
          <w:sz w:val="20"/>
          <w:lang w:val="en-GB"/>
        </w:rPr>
        <w:t>, which reads as follws</w:t>
      </w:r>
      <w:r w:rsidR="00B37788" w:rsidRPr="00F15147">
        <w:rPr>
          <w:sz w:val="20"/>
          <w:lang w:val="en-GB"/>
        </w:rPr>
        <w:t xml:space="preserve">: </w:t>
      </w:r>
      <w:r w:rsidR="005543E5">
        <w:rPr>
          <w:sz w:val="20"/>
          <w:lang w:val="en-GB"/>
        </w:rPr>
        <w:t>“</w:t>
      </w:r>
      <w:r w:rsidR="00B37788" w:rsidRPr="00F15147">
        <w:rPr>
          <w:sz w:val="20"/>
          <w:lang w:val="en-GB"/>
        </w:rPr>
        <w:t xml:space="preserve">any distinction, exclusion, restriction or preference </w:t>
      </w:r>
      <w:r w:rsidR="005543E5">
        <w:rPr>
          <w:sz w:val="20"/>
          <w:lang w:val="en-GB"/>
        </w:rPr>
        <w:t>that</w:t>
      </w:r>
      <w:r w:rsidR="00B37788" w:rsidRPr="00F15147">
        <w:rPr>
          <w:sz w:val="20"/>
          <w:lang w:val="en-GB"/>
        </w:rPr>
        <w:t xml:space="preserve"> has the purpose or effect of nullifying or impairing the recognition, enjoyment or exercise, on an equal footing, of human rights and fundamental freedoms in the field of politics or economics, in social or cultural matters or any other area of social life</w:t>
      </w:r>
      <w:r w:rsidR="005543E5">
        <w:rPr>
          <w:sz w:val="20"/>
          <w:lang w:val="en-GB"/>
        </w:rPr>
        <w:t>”</w:t>
      </w:r>
      <w:r w:rsidR="00B37788" w:rsidRPr="00F15147">
        <w:rPr>
          <w:sz w:val="20"/>
          <w:lang w:val="en-GB"/>
        </w:rPr>
        <w:t>. Discrimination is a specifically defined behaviour. In contrast to incitement to hatred (an extreme emotion), incitement to discrimination does not require an intensifying element.</w:t>
      </w:r>
    </w:p>
    <w:p w14:paraId="56FCF7C0" w14:textId="0D6AE140" w:rsidR="00D814C6" w:rsidRPr="00F15147" w:rsidRDefault="004E289D" w:rsidP="00922E05">
      <w:pPr>
        <w:pStyle w:val="SingleTxtG"/>
        <w:rPr>
          <w:sz w:val="20"/>
          <w:lang w:val="en-GB"/>
        </w:rPr>
      </w:pPr>
      <w:r w:rsidRPr="00F15147">
        <w:rPr>
          <w:sz w:val="20"/>
          <w:lang w:val="en-GB"/>
        </w:rPr>
        <w:t>6.1</w:t>
      </w:r>
      <w:r w:rsidR="001A0DBA" w:rsidRPr="00F15147">
        <w:rPr>
          <w:sz w:val="20"/>
          <w:lang w:val="en-GB"/>
        </w:rPr>
        <w:t>1</w:t>
      </w:r>
      <w:r w:rsidRPr="00F15147">
        <w:rPr>
          <w:sz w:val="20"/>
          <w:lang w:val="en-GB"/>
        </w:rPr>
        <w:tab/>
      </w:r>
      <w:r w:rsidR="00D814C6" w:rsidRPr="00F15147">
        <w:rPr>
          <w:sz w:val="20"/>
          <w:lang w:val="en-GB"/>
        </w:rPr>
        <w:t xml:space="preserve">The judgment cannot be described as a departure from existing domestic case law. </w:t>
      </w:r>
      <w:r w:rsidR="002653C1" w:rsidRPr="00F15147">
        <w:rPr>
          <w:sz w:val="20"/>
          <w:lang w:val="en-GB"/>
        </w:rPr>
        <w:t>Cases establish that p</w:t>
      </w:r>
      <w:r w:rsidR="00D814C6" w:rsidRPr="00F15147">
        <w:rPr>
          <w:sz w:val="20"/>
          <w:lang w:val="en-GB"/>
        </w:rPr>
        <w:t xml:space="preserve">rosecutions on the basis of discrimination </w:t>
      </w:r>
      <w:r w:rsidR="00861E8D" w:rsidRPr="00F15147">
        <w:rPr>
          <w:sz w:val="20"/>
          <w:lang w:val="en-GB"/>
        </w:rPr>
        <w:t>require a case-by-case as</w:t>
      </w:r>
      <w:r w:rsidR="008851CB">
        <w:rPr>
          <w:sz w:val="20"/>
          <w:lang w:val="en-GB"/>
        </w:rPr>
        <w:t>s</w:t>
      </w:r>
      <w:r w:rsidR="00861E8D" w:rsidRPr="00F15147">
        <w:rPr>
          <w:sz w:val="20"/>
          <w:lang w:val="en-GB"/>
        </w:rPr>
        <w:t>essment</w:t>
      </w:r>
      <w:r w:rsidR="0063597D" w:rsidRPr="00F15147">
        <w:rPr>
          <w:sz w:val="20"/>
          <w:lang w:val="en-GB"/>
        </w:rPr>
        <w:t xml:space="preserve"> </w:t>
      </w:r>
      <w:r w:rsidR="002653C1" w:rsidRPr="00F15147">
        <w:rPr>
          <w:sz w:val="20"/>
          <w:lang w:val="en-GB"/>
        </w:rPr>
        <w:t>of</w:t>
      </w:r>
      <w:r w:rsidR="0063597D" w:rsidRPr="00F15147">
        <w:rPr>
          <w:sz w:val="20"/>
          <w:lang w:val="en-GB"/>
        </w:rPr>
        <w:t xml:space="preserve"> the particular statements as well as their context.</w:t>
      </w:r>
      <w:r w:rsidR="00D814C6" w:rsidRPr="00F15147">
        <w:rPr>
          <w:sz w:val="20"/>
          <w:lang w:val="en-GB"/>
        </w:rPr>
        <w:t xml:space="preserve"> </w:t>
      </w:r>
      <w:r w:rsidR="0063597D" w:rsidRPr="00F15147">
        <w:rPr>
          <w:sz w:val="20"/>
          <w:lang w:val="en-GB"/>
        </w:rPr>
        <w:t>Cases</w:t>
      </w:r>
      <w:r w:rsidR="00D814C6" w:rsidRPr="00F15147">
        <w:rPr>
          <w:sz w:val="20"/>
          <w:lang w:val="en-GB"/>
        </w:rPr>
        <w:t xml:space="preserve"> often result in convictions </w:t>
      </w:r>
      <w:r w:rsidR="00861E8D" w:rsidRPr="00F15147">
        <w:rPr>
          <w:sz w:val="20"/>
          <w:lang w:val="en-GB"/>
        </w:rPr>
        <w:t>but also often result in</w:t>
      </w:r>
      <w:r w:rsidR="00D814C6" w:rsidRPr="00F15147">
        <w:rPr>
          <w:sz w:val="20"/>
          <w:lang w:val="en-GB"/>
        </w:rPr>
        <w:t xml:space="preserve"> acquittals.</w:t>
      </w:r>
      <w:r w:rsidR="00551E2A" w:rsidRPr="00F15147">
        <w:rPr>
          <w:sz w:val="20"/>
          <w:lang w:val="en-GB"/>
        </w:rPr>
        <w:t xml:space="preserve"> </w:t>
      </w:r>
      <w:r w:rsidR="00D814C6" w:rsidRPr="00F15147">
        <w:rPr>
          <w:sz w:val="20"/>
          <w:lang w:val="en-GB"/>
        </w:rPr>
        <w:t>In</w:t>
      </w:r>
      <w:r w:rsidR="00551E2A" w:rsidRPr="00F15147">
        <w:rPr>
          <w:sz w:val="20"/>
          <w:lang w:val="en-GB"/>
        </w:rPr>
        <w:t xml:space="preserve"> its judgment, t</w:t>
      </w:r>
      <w:r w:rsidR="00861E8D" w:rsidRPr="00F15147">
        <w:rPr>
          <w:sz w:val="20"/>
          <w:lang w:val="en-GB"/>
        </w:rPr>
        <w:t>he c</w:t>
      </w:r>
      <w:r w:rsidR="00D814C6" w:rsidRPr="00F15147">
        <w:rPr>
          <w:sz w:val="20"/>
          <w:lang w:val="en-GB"/>
        </w:rPr>
        <w:t xml:space="preserve">ourt held that it would “assess the various statements in terms of their wording as such, their connections with the rest of the interview or article of which they are a part, the other statements made by the </w:t>
      </w:r>
      <w:r w:rsidR="00D814C6" w:rsidRPr="00F15147">
        <w:rPr>
          <w:sz w:val="20"/>
          <w:lang w:val="en-GB"/>
        </w:rPr>
        <w:lastRenderedPageBreak/>
        <w:t>defendant on this subject and included in the case file, and the context in which the statements were made</w:t>
      </w:r>
      <w:r w:rsidR="005543E5">
        <w:rPr>
          <w:sz w:val="20"/>
          <w:lang w:val="en-GB"/>
        </w:rPr>
        <w:t>”</w:t>
      </w:r>
      <w:r w:rsidR="00D814C6" w:rsidRPr="00F15147">
        <w:rPr>
          <w:sz w:val="20"/>
          <w:lang w:val="en-GB"/>
        </w:rPr>
        <w:t>.</w:t>
      </w:r>
      <w:r w:rsidR="00551E2A" w:rsidRPr="00F15147">
        <w:rPr>
          <w:sz w:val="20"/>
          <w:lang w:val="en-GB"/>
        </w:rPr>
        <w:t xml:space="preserve"> </w:t>
      </w:r>
      <w:r w:rsidR="002653C1" w:rsidRPr="00F15147">
        <w:rPr>
          <w:sz w:val="20"/>
          <w:lang w:val="en-GB"/>
        </w:rPr>
        <w:t>The indictment did not c</w:t>
      </w:r>
      <w:r w:rsidR="00922E05">
        <w:rPr>
          <w:sz w:val="20"/>
          <w:lang w:val="en-GB"/>
        </w:rPr>
        <w:t>oncern</w:t>
      </w:r>
      <w:r w:rsidR="002653C1" w:rsidRPr="00F15147">
        <w:rPr>
          <w:sz w:val="20"/>
          <w:lang w:val="en-GB"/>
        </w:rPr>
        <w:t xml:space="preserve"> individual statements; </w:t>
      </w:r>
      <w:r w:rsidR="00922E05">
        <w:rPr>
          <w:sz w:val="20"/>
          <w:lang w:val="en-GB"/>
        </w:rPr>
        <w:t xml:space="preserve">the second and third </w:t>
      </w:r>
      <w:r w:rsidR="002653C1" w:rsidRPr="00F15147">
        <w:rPr>
          <w:sz w:val="20"/>
          <w:lang w:val="en-GB"/>
        </w:rPr>
        <w:t xml:space="preserve">counts </w:t>
      </w:r>
      <w:r w:rsidR="00922E05">
        <w:rPr>
          <w:sz w:val="20"/>
          <w:lang w:val="en-GB"/>
        </w:rPr>
        <w:t>in the indictment</w:t>
      </w:r>
      <w:r w:rsidR="002653C1" w:rsidRPr="00F15147">
        <w:rPr>
          <w:sz w:val="20"/>
          <w:lang w:val="en-GB"/>
        </w:rPr>
        <w:t xml:space="preserve"> </w:t>
      </w:r>
      <w:r w:rsidR="009739A0" w:rsidRPr="00F15147">
        <w:rPr>
          <w:sz w:val="20"/>
          <w:lang w:val="en-GB"/>
        </w:rPr>
        <w:t>listed 28 statements</w:t>
      </w:r>
      <w:r w:rsidR="00861E8D" w:rsidRPr="00F15147">
        <w:rPr>
          <w:sz w:val="20"/>
          <w:lang w:val="en-GB"/>
        </w:rPr>
        <w:t xml:space="preserve"> </w:t>
      </w:r>
      <w:r w:rsidR="002653C1" w:rsidRPr="00F15147">
        <w:rPr>
          <w:sz w:val="20"/>
          <w:lang w:val="en-GB"/>
        </w:rPr>
        <w:t>together</w:t>
      </w:r>
      <w:r w:rsidR="009739A0" w:rsidRPr="00F15147">
        <w:rPr>
          <w:sz w:val="20"/>
          <w:lang w:val="en-GB"/>
        </w:rPr>
        <w:t xml:space="preserve">. </w:t>
      </w:r>
      <w:r w:rsidR="0063597D" w:rsidRPr="00F15147">
        <w:rPr>
          <w:sz w:val="20"/>
          <w:lang w:val="en-GB"/>
        </w:rPr>
        <w:t>Thus, the authors</w:t>
      </w:r>
      <w:r w:rsidR="00D814C6" w:rsidRPr="00F15147">
        <w:rPr>
          <w:sz w:val="20"/>
          <w:lang w:val="en-GB"/>
        </w:rPr>
        <w:t xml:space="preserve"> </w:t>
      </w:r>
      <w:r w:rsidR="0063597D" w:rsidRPr="00F15147">
        <w:rPr>
          <w:sz w:val="20"/>
          <w:lang w:val="en-GB"/>
        </w:rPr>
        <w:t>are incorrect</w:t>
      </w:r>
      <w:r w:rsidR="00D814C6" w:rsidRPr="00F15147">
        <w:rPr>
          <w:sz w:val="20"/>
          <w:lang w:val="en-GB"/>
        </w:rPr>
        <w:t xml:space="preserve"> that the court did not consider the </w:t>
      </w:r>
      <w:r w:rsidR="002653C1" w:rsidRPr="00F15147">
        <w:rPr>
          <w:sz w:val="20"/>
          <w:lang w:val="en-GB"/>
        </w:rPr>
        <w:t xml:space="preserve">statements in context and their </w:t>
      </w:r>
      <w:r w:rsidR="00D814C6" w:rsidRPr="00F15147">
        <w:rPr>
          <w:sz w:val="20"/>
          <w:lang w:val="en-GB"/>
        </w:rPr>
        <w:t>cumulative effect.</w:t>
      </w:r>
    </w:p>
    <w:p w14:paraId="14BA31C4" w14:textId="584FFF68" w:rsidR="009B5820" w:rsidRPr="00F15147" w:rsidRDefault="004E289D" w:rsidP="009A361A">
      <w:pPr>
        <w:pStyle w:val="SingleTxtG"/>
        <w:rPr>
          <w:sz w:val="20"/>
          <w:lang w:val="en-GB"/>
        </w:rPr>
      </w:pPr>
      <w:r w:rsidRPr="00F15147">
        <w:rPr>
          <w:sz w:val="20"/>
          <w:lang w:val="en-GB"/>
        </w:rPr>
        <w:t>6.1</w:t>
      </w:r>
      <w:r w:rsidR="006D0364" w:rsidRPr="00F15147">
        <w:rPr>
          <w:sz w:val="20"/>
          <w:lang w:val="en-GB"/>
        </w:rPr>
        <w:t>2</w:t>
      </w:r>
      <w:r w:rsidRPr="00F15147">
        <w:rPr>
          <w:sz w:val="20"/>
          <w:lang w:val="en-GB"/>
        </w:rPr>
        <w:tab/>
      </w:r>
      <w:r w:rsidR="009B5820" w:rsidRPr="00F15147">
        <w:rPr>
          <w:sz w:val="20"/>
          <w:lang w:val="en-GB"/>
        </w:rPr>
        <w:t xml:space="preserve">The court </w:t>
      </w:r>
      <w:r w:rsidR="002653C1" w:rsidRPr="00F15147">
        <w:rPr>
          <w:sz w:val="20"/>
          <w:lang w:val="en-GB"/>
        </w:rPr>
        <w:t>did not draw</w:t>
      </w:r>
      <w:r w:rsidR="00861E8D" w:rsidRPr="00F15147">
        <w:rPr>
          <w:sz w:val="20"/>
          <w:lang w:val="en-GB"/>
        </w:rPr>
        <w:t xml:space="preserve"> </w:t>
      </w:r>
      <w:r w:rsidR="009B5820" w:rsidRPr="00F15147">
        <w:rPr>
          <w:sz w:val="20"/>
          <w:lang w:val="en-GB"/>
        </w:rPr>
        <w:t xml:space="preserve">an artificial distinction between criticism of Islam and criticism of Muslims. </w:t>
      </w:r>
      <w:r w:rsidR="0063597D" w:rsidRPr="00F15147">
        <w:rPr>
          <w:sz w:val="20"/>
          <w:lang w:val="en-GB"/>
        </w:rPr>
        <w:t>F</w:t>
      </w:r>
      <w:r w:rsidR="00861E8D" w:rsidRPr="00F15147">
        <w:rPr>
          <w:sz w:val="20"/>
          <w:lang w:val="en-GB"/>
        </w:rPr>
        <w:t xml:space="preserve">or </w:t>
      </w:r>
      <w:r w:rsidR="009B5820" w:rsidRPr="00F15147">
        <w:rPr>
          <w:sz w:val="20"/>
          <w:lang w:val="en-GB"/>
        </w:rPr>
        <w:t xml:space="preserve">incitement to </w:t>
      </w:r>
      <w:r w:rsidR="002653C1" w:rsidRPr="00F15147">
        <w:rPr>
          <w:sz w:val="20"/>
          <w:lang w:val="en-GB"/>
        </w:rPr>
        <w:t>either</w:t>
      </w:r>
      <w:r w:rsidR="00861E8D" w:rsidRPr="00F15147">
        <w:rPr>
          <w:sz w:val="20"/>
          <w:lang w:val="en-GB"/>
        </w:rPr>
        <w:t xml:space="preserve"> </w:t>
      </w:r>
      <w:r w:rsidR="009B5820" w:rsidRPr="00F15147">
        <w:rPr>
          <w:sz w:val="20"/>
          <w:lang w:val="en-GB"/>
        </w:rPr>
        <w:t xml:space="preserve">hatred </w:t>
      </w:r>
      <w:r w:rsidR="002653C1" w:rsidRPr="00F15147">
        <w:rPr>
          <w:sz w:val="20"/>
          <w:lang w:val="en-GB"/>
        </w:rPr>
        <w:t xml:space="preserve">or </w:t>
      </w:r>
      <w:r w:rsidR="009B5820" w:rsidRPr="00F15147">
        <w:rPr>
          <w:sz w:val="20"/>
          <w:lang w:val="en-GB"/>
        </w:rPr>
        <w:t xml:space="preserve">discrimination, </w:t>
      </w:r>
      <w:r w:rsidR="005543E5">
        <w:rPr>
          <w:sz w:val="20"/>
          <w:lang w:val="en-GB"/>
        </w:rPr>
        <w:t>s</w:t>
      </w:r>
      <w:r w:rsidR="0063597D" w:rsidRPr="00F15147">
        <w:rPr>
          <w:sz w:val="20"/>
          <w:lang w:val="en-GB"/>
        </w:rPr>
        <w:t xml:space="preserve">ection 137d requires </w:t>
      </w:r>
      <w:r w:rsidR="009B5820" w:rsidRPr="00F15147">
        <w:rPr>
          <w:sz w:val="20"/>
          <w:lang w:val="en-GB"/>
        </w:rPr>
        <w:t>that a statement refer unequivocally to a specific group of persons who are characterized</w:t>
      </w:r>
      <w:r w:rsidR="002653C1" w:rsidRPr="00F15147">
        <w:rPr>
          <w:sz w:val="20"/>
          <w:lang w:val="en-GB"/>
        </w:rPr>
        <w:t xml:space="preserve"> by their religion</w:t>
      </w:r>
      <w:r w:rsidR="009B5820" w:rsidRPr="00F15147">
        <w:rPr>
          <w:sz w:val="20"/>
          <w:lang w:val="en-GB"/>
        </w:rPr>
        <w:t xml:space="preserve"> and distinguish themselves</w:t>
      </w:r>
      <w:r w:rsidR="002653C1" w:rsidRPr="00F15147">
        <w:rPr>
          <w:sz w:val="20"/>
          <w:lang w:val="en-GB"/>
        </w:rPr>
        <w:t xml:space="preserve"> from others</w:t>
      </w:r>
      <w:r w:rsidR="009B5820" w:rsidRPr="00F15147">
        <w:rPr>
          <w:sz w:val="20"/>
          <w:lang w:val="en-GB"/>
        </w:rPr>
        <w:t xml:space="preserve"> by their religion.</w:t>
      </w:r>
      <w:r w:rsidR="008F3C93" w:rsidRPr="00F15147">
        <w:rPr>
          <w:sz w:val="20"/>
          <w:lang w:val="en-GB"/>
        </w:rPr>
        <w:t xml:space="preserve"> The judgment also shows that the distinction between criticism of Islam and criticism of Muslims should not be taken literally in every case.</w:t>
      </w:r>
    </w:p>
    <w:p w14:paraId="4613E48D" w14:textId="2073715A" w:rsidR="002D5215" w:rsidRPr="00F15147" w:rsidRDefault="004E289D" w:rsidP="002234DD">
      <w:pPr>
        <w:pStyle w:val="SingleTxtG"/>
        <w:rPr>
          <w:sz w:val="20"/>
          <w:lang w:val="en-GB"/>
        </w:rPr>
      </w:pPr>
      <w:r w:rsidRPr="00F15147">
        <w:rPr>
          <w:sz w:val="20"/>
          <w:lang w:val="en-GB"/>
        </w:rPr>
        <w:t>6.1</w:t>
      </w:r>
      <w:r w:rsidR="006D0364" w:rsidRPr="00F15147">
        <w:rPr>
          <w:sz w:val="20"/>
          <w:lang w:val="en-GB"/>
        </w:rPr>
        <w:t>3</w:t>
      </w:r>
      <w:r w:rsidRPr="00F15147">
        <w:rPr>
          <w:sz w:val="20"/>
          <w:lang w:val="en-GB"/>
        </w:rPr>
        <w:tab/>
      </w:r>
      <w:r w:rsidR="002D5215" w:rsidRPr="00F15147">
        <w:rPr>
          <w:sz w:val="20"/>
          <w:lang w:val="en-GB"/>
        </w:rPr>
        <w:t>The authors critici</w:t>
      </w:r>
      <w:r w:rsidR="005B3F93">
        <w:rPr>
          <w:sz w:val="20"/>
          <w:lang w:val="en-GB"/>
        </w:rPr>
        <w:t>z</w:t>
      </w:r>
      <w:r w:rsidR="002D5215" w:rsidRPr="00F15147">
        <w:rPr>
          <w:sz w:val="20"/>
          <w:lang w:val="en-GB"/>
        </w:rPr>
        <w:t xml:space="preserve">e </w:t>
      </w:r>
      <w:r w:rsidR="006837AA">
        <w:rPr>
          <w:sz w:val="20"/>
          <w:lang w:val="en-GB"/>
        </w:rPr>
        <w:t>Mr. </w:t>
      </w:r>
      <w:r w:rsidR="005543E5">
        <w:rPr>
          <w:sz w:val="20"/>
          <w:lang w:val="en-GB"/>
        </w:rPr>
        <w:t>Wilders’</w:t>
      </w:r>
      <w:r w:rsidR="005543E5" w:rsidRPr="00101420">
        <w:rPr>
          <w:sz w:val="20"/>
          <w:lang w:val="en-GB"/>
        </w:rPr>
        <w:t xml:space="preserve"> </w:t>
      </w:r>
      <w:r w:rsidR="002D5215" w:rsidRPr="00F15147">
        <w:rPr>
          <w:sz w:val="20"/>
          <w:lang w:val="en-GB"/>
        </w:rPr>
        <w:t xml:space="preserve">acquittal of incitement to hatred and discrimination on account of race because, according to the </w:t>
      </w:r>
      <w:r w:rsidR="00E33C8B" w:rsidRPr="00F15147">
        <w:rPr>
          <w:sz w:val="20"/>
          <w:lang w:val="en-GB"/>
        </w:rPr>
        <w:t>c</w:t>
      </w:r>
      <w:r w:rsidR="002D5215" w:rsidRPr="00F15147">
        <w:rPr>
          <w:sz w:val="20"/>
          <w:lang w:val="en-GB"/>
        </w:rPr>
        <w:t xml:space="preserve">ourt, the </w:t>
      </w:r>
      <w:r w:rsidR="005543E5">
        <w:rPr>
          <w:sz w:val="20"/>
          <w:lang w:val="en-GB"/>
        </w:rPr>
        <w:t>“</w:t>
      </w:r>
      <w:r w:rsidR="002D5215" w:rsidRPr="00F15147">
        <w:rPr>
          <w:sz w:val="20"/>
          <w:lang w:val="en-GB"/>
        </w:rPr>
        <w:t>race</w:t>
      </w:r>
      <w:r w:rsidR="005543E5">
        <w:rPr>
          <w:sz w:val="20"/>
          <w:lang w:val="en-GB"/>
        </w:rPr>
        <w:t>”</w:t>
      </w:r>
      <w:r w:rsidR="002D5215" w:rsidRPr="00F15147">
        <w:rPr>
          <w:sz w:val="20"/>
          <w:lang w:val="en-GB"/>
        </w:rPr>
        <w:t xml:space="preserve"> ground could not apply to Moroccans and non-Western immigrants. The </w:t>
      </w:r>
      <w:r w:rsidR="00E33C8B" w:rsidRPr="00F15147">
        <w:rPr>
          <w:sz w:val="20"/>
          <w:lang w:val="en-GB"/>
        </w:rPr>
        <w:t>c</w:t>
      </w:r>
      <w:r w:rsidR="002D5215" w:rsidRPr="00F15147">
        <w:rPr>
          <w:sz w:val="20"/>
          <w:lang w:val="en-GB"/>
        </w:rPr>
        <w:t>ourt did hold that the race component of the charge could not be proven. However, th</w:t>
      </w:r>
      <w:r w:rsidR="005543E5">
        <w:rPr>
          <w:sz w:val="20"/>
          <w:lang w:val="en-GB"/>
        </w:rPr>
        <w:t>at</w:t>
      </w:r>
      <w:r w:rsidR="002D5215" w:rsidRPr="00F15147">
        <w:rPr>
          <w:sz w:val="20"/>
          <w:lang w:val="en-GB"/>
        </w:rPr>
        <w:t xml:space="preserve"> does not mean the </w:t>
      </w:r>
      <w:r w:rsidR="00E33C8B" w:rsidRPr="00F15147">
        <w:rPr>
          <w:sz w:val="20"/>
          <w:lang w:val="en-GB"/>
        </w:rPr>
        <w:t>c</w:t>
      </w:r>
      <w:r w:rsidR="002D5215" w:rsidRPr="00F15147">
        <w:rPr>
          <w:sz w:val="20"/>
          <w:lang w:val="en-GB"/>
        </w:rPr>
        <w:t>ourt</w:t>
      </w:r>
      <w:r w:rsidR="002653C1" w:rsidRPr="00F15147">
        <w:rPr>
          <w:sz w:val="20"/>
          <w:lang w:val="en-GB"/>
        </w:rPr>
        <w:t xml:space="preserve"> believed</w:t>
      </w:r>
      <w:r w:rsidR="002D5215" w:rsidRPr="00F15147">
        <w:rPr>
          <w:sz w:val="20"/>
          <w:lang w:val="en-GB"/>
        </w:rPr>
        <w:t xml:space="preserve"> </w:t>
      </w:r>
      <w:r w:rsidR="002653C1" w:rsidRPr="00F15147">
        <w:rPr>
          <w:sz w:val="20"/>
          <w:lang w:val="en-GB"/>
        </w:rPr>
        <w:t xml:space="preserve">that </w:t>
      </w:r>
      <w:r w:rsidR="002D5215" w:rsidRPr="00F15147">
        <w:rPr>
          <w:sz w:val="20"/>
          <w:lang w:val="en-GB"/>
        </w:rPr>
        <w:t>th</w:t>
      </w:r>
      <w:r w:rsidR="005543E5">
        <w:rPr>
          <w:sz w:val="20"/>
          <w:lang w:val="en-GB"/>
        </w:rPr>
        <w:t>at</w:t>
      </w:r>
      <w:r w:rsidR="002D5215" w:rsidRPr="00F15147">
        <w:rPr>
          <w:sz w:val="20"/>
          <w:lang w:val="en-GB"/>
        </w:rPr>
        <w:t xml:space="preserve"> ground can never apply to Moroccans and non-Western immigrants. Nor would such a conclusion correspond to existing </w:t>
      </w:r>
      <w:r w:rsidR="002234DD">
        <w:rPr>
          <w:sz w:val="20"/>
          <w:lang w:val="en-GB"/>
        </w:rPr>
        <w:t>domestic</w:t>
      </w:r>
      <w:r w:rsidR="00552099" w:rsidRPr="00F15147">
        <w:rPr>
          <w:sz w:val="20"/>
          <w:lang w:val="en-GB"/>
        </w:rPr>
        <w:t xml:space="preserve"> jurisprudence</w:t>
      </w:r>
      <w:r w:rsidR="002D5215" w:rsidRPr="00F15147">
        <w:rPr>
          <w:sz w:val="20"/>
          <w:lang w:val="en-GB"/>
        </w:rPr>
        <w:t xml:space="preserve">, which holds that the definition of race also covers descent </w:t>
      </w:r>
      <w:r w:rsidR="005543E5">
        <w:rPr>
          <w:sz w:val="20"/>
          <w:lang w:val="en-GB"/>
        </w:rPr>
        <w:t>and</w:t>
      </w:r>
      <w:r w:rsidR="002D5215" w:rsidRPr="00F15147">
        <w:rPr>
          <w:sz w:val="20"/>
          <w:lang w:val="en-GB"/>
        </w:rPr>
        <w:t xml:space="preserve"> national </w:t>
      </w:r>
      <w:r w:rsidR="005543E5">
        <w:rPr>
          <w:sz w:val="20"/>
          <w:lang w:val="en-GB"/>
        </w:rPr>
        <w:t>and</w:t>
      </w:r>
      <w:r w:rsidR="002D5215" w:rsidRPr="00F15147">
        <w:rPr>
          <w:sz w:val="20"/>
          <w:lang w:val="en-GB"/>
        </w:rPr>
        <w:t xml:space="preserve"> ethnic origin.</w:t>
      </w:r>
    </w:p>
    <w:p w14:paraId="0433BF7B" w14:textId="1C5BFC77" w:rsidR="00D51EDA" w:rsidRPr="00F15147" w:rsidRDefault="004E289D" w:rsidP="005543E5">
      <w:pPr>
        <w:pStyle w:val="SingleTxtG"/>
        <w:rPr>
          <w:sz w:val="20"/>
          <w:lang w:val="en-GB"/>
        </w:rPr>
      </w:pPr>
      <w:r w:rsidRPr="00F15147">
        <w:rPr>
          <w:sz w:val="20"/>
          <w:lang w:val="en-GB"/>
        </w:rPr>
        <w:t>6.1</w:t>
      </w:r>
      <w:r w:rsidR="006D0364" w:rsidRPr="00F15147">
        <w:rPr>
          <w:sz w:val="20"/>
          <w:lang w:val="en-GB"/>
        </w:rPr>
        <w:t>4</w:t>
      </w:r>
      <w:r w:rsidRPr="00F15147">
        <w:rPr>
          <w:sz w:val="20"/>
          <w:lang w:val="en-GB"/>
        </w:rPr>
        <w:tab/>
      </w:r>
      <w:r w:rsidR="002653C1" w:rsidRPr="00F15147">
        <w:rPr>
          <w:sz w:val="20"/>
          <w:lang w:val="en-GB"/>
        </w:rPr>
        <w:t>For</w:t>
      </w:r>
      <w:r w:rsidR="004D7224" w:rsidRPr="00F15147">
        <w:rPr>
          <w:sz w:val="20"/>
          <w:lang w:val="en-GB"/>
        </w:rPr>
        <w:t xml:space="preserve"> some of the</w:t>
      </w:r>
      <w:r w:rsidR="00D51EDA" w:rsidRPr="00F15147">
        <w:rPr>
          <w:sz w:val="20"/>
          <w:lang w:val="en-GB"/>
        </w:rPr>
        <w:t xml:space="preserve"> statements</w:t>
      </w:r>
      <w:r w:rsidR="002653C1" w:rsidRPr="00F15147">
        <w:rPr>
          <w:sz w:val="20"/>
          <w:lang w:val="en-GB"/>
        </w:rPr>
        <w:t>,</w:t>
      </w:r>
      <w:r w:rsidR="00D51EDA" w:rsidRPr="00F15147">
        <w:rPr>
          <w:sz w:val="20"/>
          <w:lang w:val="en-GB"/>
        </w:rPr>
        <w:t xml:space="preserve"> the importance of public debate </w:t>
      </w:r>
      <w:r w:rsidR="00001C77" w:rsidRPr="00F15147">
        <w:rPr>
          <w:sz w:val="20"/>
          <w:lang w:val="en-GB"/>
        </w:rPr>
        <w:t xml:space="preserve">informed </w:t>
      </w:r>
      <w:r w:rsidR="00D51EDA" w:rsidRPr="00F15147">
        <w:rPr>
          <w:sz w:val="20"/>
          <w:lang w:val="en-GB"/>
        </w:rPr>
        <w:t xml:space="preserve">the court’s decision to </w:t>
      </w:r>
      <w:r w:rsidR="00001C77" w:rsidRPr="00F15147">
        <w:rPr>
          <w:sz w:val="20"/>
          <w:lang w:val="en-GB"/>
        </w:rPr>
        <w:t xml:space="preserve">find </w:t>
      </w:r>
      <w:r w:rsidR="005543E5">
        <w:rPr>
          <w:sz w:val="20"/>
          <w:lang w:val="en-GB"/>
        </w:rPr>
        <w:t>“</w:t>
      </w:r>
      <w:r w:rsidR="00D51EDA" w:rsidRPr="00F15147">
        <w:rPr>
          <w:sz w:val="20"/>
          <w:lang w:val="en-GB"/>
        </w:rPr>
        <w:t>incitement to discrimination</w:t>
      </w:r>
      <w:r w:rsidR="005543E5">
        <w:rPr>
          <w:sz w:val="20"/>
          <w:lang w:val="en-GB"/>
        </w:rPr>
        <w:t>”</w:t>
      </w:r>
      <w:r w:rsidR="00D51EDA" w:rsidRPr="00F15147">
        <w:rPr>
          <w:sz w:val="20"/>
          <w:lang w:val="en-GB"/>
        </w:rPr>
        <w:t xml:space="preserve"> not proven. Th</w:t>
      </w:r>
      <w:r w:rsidR="005543E5">
        <w:rPr>
          <w:sz w:val="20"/>
          <w:lang w:val="en-GB"/>
        </w:rPr>
        <w:t>at</w:t>
      </w:r>
      <w:r w:rsidR="00D51EDA" w:rsidRPr="00F15147">
        <w:rPr>
          <w:sz w:val="20"/>
          <w:lang w:val="en-GB"/>
        </w:rPr>
        <w:t xml:space="preserve"> assessment is in line with </w:t>
      </w:r>
      <w:r w:rsidR="005543E5">
        <w:rPr>
          <w:sz w:val="20"/>
          <w:lang w:val="en-GB"/>
        </w:rPr>
        <w:t>the</w:t>
      </w:r>
      <w:r w:rsidR="005543E5" w:rsidRPr="00F15147">
        <w:rPr>
          <w:sz w:val="20"/>
          <w:lang w:val="en-GB"/>
        </w:rPr>
        <w:t xml:space="preserve"> </w:t>
      </w:r>
      <w:r w:rsidR="00001C77" w:rsidRPr="00F15147">
        <w:rPr>
          <w:sz w:val="20"/>
          <w:lang w:val="en-GB"/>
        </w:rPr>
        <w:t xml:space="preserve">jurisprudence </w:t>
      </w:r>
      <w:r w:rsidR="005543E5" w:rsidRPr="006D6A2C">
        <w:rPr>
          <w:sz w:val="20"/>
          <w:lang w:val="en-GB"/>
        </w:rPr>
        <w:t xml:space="preserve">of the European Court of Human Rights </w:t>
      </w:r>
      <w:r w:rsidR="00001C77" w:rsidRPr="00F15147">
        <w:rPr>
          <w:sz w:val="20"/>
          <w:lang w:val="en-GB"/>
        </w:rPr>
        <w:t>under</w:t>
      </w:r>
      <w:r w:rsidR="00D51EDA" w:rsidRPr="00F15147">
        <w:rPr>
          <w:sz w:val="20"/>
          <w:lang w:val="en-GB"/>
        </w:rPr>
        <w:t xml:space="preserve"> article 10</w:t>
      </w:r>
      <w:r w:rsidR="005543E5">
        <w:rPr>
          <w:sz w:val="20"/>
          <w:lang w:val="en-GB"/>
        </w:rPr>
        <w:t xml:space="preserve"> </w:t>
      </w:r>
      <w:r w:rsidR="00D51EDA" w:rsidRPr="00F15147">
        <w:rPr>
          <w:sz w:val="20"/>
          <w:lang w:val="en-GB"/>
        </w:rPr>
        <w:t>(2) of the European Convention</w:t>
      </w:r>
      <w:r w:rsidR="00001C77" w:rsidRPr="00F15147">
        <w:rPr>
          <w:sz w:val="20"/>
          <w:lang w:val="en-GB"/>
        </w:rPr>
        <w:t>, which</w:t>
      </w:r>
      <w:r w:rsidR="00D51EDA" w:rsidRPr="00F15147">
        <w:rPr>
          <w:sz w:val="20"/>
          <w:lang w:val="en-GB"/>
        </w:rPr>
        <w:t xml:space="preserve"> </w:t>
      </w:r>
      <w:r w:rsidR="00E33C8B" w:rsidRPr="00F15147">
        <w:rPr>
          <w:sz w:val="20"/>
          <w:lang w:val="en-GB"/>
        </w:rPr>
        <w:t>considers</w:t>
      </w:r>
      <w:r w:rsidR="00D51EDA" w:rsidRPr="00F15147">
        <w:rPr>
          <w:sz w:val="20"/>
          <w:lang w:val="en-GB"/>
        </w:rPr>
        <w:t xml:space="preserve"> that </w:t>
      </w:r>
      <w:r w:rsidR="00001C77" w:rsidRPr="00F15147">
        <w:rPr>
          <w:sz w:val="20"/>
          <w:lang w:val="en-GB"/>
        </w:rPr>
        <w:t xml:space="preserve">it is essential to allow scope for political debate and that </w:t>
      </w:r>
      <w:r w:rsidR="00D51EDA" w:rsidRPr="00F15147">
        <w:rPr>
          <w:sz w:val="20"/>
          <w:lang w:val="en-GB"/>
        </w:rPr>
        <w:t>restrictions on political utterances may be imposed</w:t>
      </w:r>
      <w:r w:rsidR="00EF1070" w:rsidRPr="00F15147">
        <w:rPr>
          <w:sz w:val="20"/>
          <w:lang w:val="en-GB"/>
        </w:rPr>
        <w:t xml:space="preserve"> only for extremely compelling reasons. </w:t>
      </w:r>
    </w:p>
    <w:p w14:paraId="77A55A64" w14:textId="68187F52" w:rsidR="00001C77" w:rsidRPr="00F15147" w:rsidRDefault="004E289D" w:rsidP="005543E5">
      <w:pPr>
        <w:pStyle w:val="SingleTxtG"/>
        <w:rPr>
          <w:sz w:val="20"/>
          <w:lang w:val="en-GB"/>
        </w:rPr>
      </w:pPr>
      <w:r w:rsidRPr="00F15147">
        <w:rPr>
          <w:sz w:val="20"/>
          <w:lang w:val="en-GB"/>
        </w:rPr>
        <w:t>6.1</w:t>
      </w:r>
      <w:r w:rsidR="006D0364" w:rsidRPr="00F15147">
        <w:rPr>
          <w:sz w:val="20"/>
          <w:lang w:val="en-GB"/>
        </w:rPr>
        <w:t>5</w:t>
      </w:r>
      <w:r w:rsidRPr="00F15147">
        <w:rPr>
          <w:sz w:val="20"/>
          <w:lang w:val="en-GB"/>
        </w:rPr>
        <w:tab/>
      </w:r>
      <w:r w:rsidR="00EF1070" w:rsidRPr="00F15147">
        <w:rPr>
          <w:sz w:val="20"/>
          <w:lang w:val="en-GB"/>
        </w:rPr>
        <w:t xml:space="preserve">The </w:t>
      </w:r>
      <w:r w:rsidR="00E33C8B" w:rsidRPr="00F15147">
        <w:rPr>
          <w:sz w:val="20"/>
          <w:lang w:val="en-GB"/>
        </w:rPr>
        <w:t>c</w:t>
      </w:r>
      <w:r w:rsidR="00EF1070" w:rsidRPr="00F15147">
        <w:rPr>
          <w:sz w:val="20"/>
          <w:lang w:val="en-GB"/>
        </w:rPr>
        <w:t>ourt found that</w:t>
      </w:r>
      <w:r w:rsidR="005543E5">
        <w:rPr>
          <w:sz w:val="20"/>
          <w:lang w:val="en-GB"/>
        </w:rPr>
        <w:t>, at</w:t>
      </w:r>
      <w:r w:rsidR="00EF1070" w:rsidRPr="00F15147">
        <w:rPr>
          <w:sz w:val="20"/>
          <w:lang w:val="en-GB"/>
        </w:rPr>
        <w:t xml:space="preserve"> the </w:t>
      </w:r>
      <w:r w:rsidR="005543E5">
        <w:rPr>
          <w:sz w:val="20"/>
          <w:lang w:val="en-GB"/>
        </w:rPr>
        <w:t>time</w:t>
      </w:r>
      <w:r w:rsidR="00EF1070" w:rsidRPr="00F15147">
        <w:rPr>
          <w:sz w:val="20"/>
          <w:lang w:val="en-GB"/>
        </w:rPr>
        <w:t xml:space="preserve"> the statements were made</w:t>
      </w:r>
      <w:r w:rsidR="00001C77" w:rsidRPr="00F15147">
        <w:rPr>
          <w:sz w:val="20"/>
          <w:lang w:val="en-GB"/>
        </w:rPr>
        <w:t>,</w:t>
      </w:r>
      <w:r w:rsidR="00EF1070" w:rsidRPr="00F15147">
        <w:rPr>
          <w:sz w:val="20"/>
          <w:lang w:val="en-GB"/>
        </w:rPr>
        <w:t xml:space="preserve"> multicultural society and immigration were major topics of public debate. The fiercer the debate, the more scope for freedom of expression is needed, and in such circumstances statements may even offend, shock or disturb. The </w:t>
      </w:r>
      <w:r w:rsidR="00E33C8B" w:rsidRPr="00F15147">
        <w:rPr>
          <w:sz w:val="20"/>
          <w:lang w:val="en-GB"/>
        </w:rPr>
        <w:t>c</w:t>
      </w:r>
      <w:r w:rsidR="00EF1070" w:rsidRPr="00F15147">
        <w:rPr>
          <w:sz w:val="20"/>
          <w:lang w:val="en-GB"/>
        </w:rPr>
        <w:t xml:space="preserve">ourt held that </w:t>
      </w:r>
      <w:r w:rsidR="006837AA">
        <w:rPr>
          <w:sz w:val="20"/>
          <w:lang w:val="en-GB"/>
        </w:rPr>
        <w:t>Mr. </w:t>
      </w:r>
      <w:r w:rsidR="00696F9C">
        <w:rPr>
          <w:sz w:val="20"/>
          <w:lang w:val="en-GB"/>
        </w:rPr>
        <w:t>Wilders</w:t>
      </w:r>
      <w:r w:rsidR="00EF1070" w:rsidRPr="00F15147">
        <w:rPr>
          <w:sz w:val="20"/>
          <w:lang w:val="en-GB"/>
        </w:rPr>
        <w:t xml:space="preserve">’ statements were not of a nature that they should be deemed criminal </w:t>
      </w:r>
      <w:r w:rsidR="00A64D74" w:rsidRPr="00F15147">
        <w:rPr>
          <w:sz w:val="20"/>
          <w:lang w:val="en-GB"/>
        </w:rPr>
        <w:t>as</w:t>
      </w:r>
      <w:r w:rsidR="002B797B" w:rsidRPr="00F15147">
        <w:rPr>
          <w:sz w:val="20"/>
          <w:lang w:val="en-GB"/>
        </w:rPr>
        <w:t xml:space="preserve"> </w:t>
      </w:r>
      <w:r w:rsidR="00EF1070" w:rsidRPr="00F15147">
        <w:rPr>
          <w:sz w:val="20"/>
          <w:lang w:val="en-GB"/>
        </w:rPr>
        <w:t xml:space="preserve">excessive and hence excluded from public debate. Thus, the </w:t>
      </w:r>
      <w:r w:rsidR="00E33C8B" w:rsidRPr="00F15147">
        <w:rPr>
          <w:sz w:val="20"/>
          <w:lang w:val="en-GB"/>
        </w:rPr>
        <w:t>c</w:t>
      </w:r>
      <w:r w:rsidR="00EF1070" w:rsidRPr="00F15147">
        <w:rPr>
          <w:sz w:val="20"/>
          <w:lang w:val="en-GB"/>
        </w:rPr>
        <w:t>ourt did not make public debate an absolute exception, but indicated in general terms the boundaries of when incitement to hatred and discrimination may arise.</w:t>
      </w:r>
      <w:r w:rsidR="00001C77" w:rsidRPr="00F15147">
        <w:rPr>
          <w:sz w:val="20"/>
          <w:lang w:val="en-GB"/>
        </w:rPr>
        <w:t xml:space="preserve"> The authors also do not accurately describe the film </w:t>
      </w:r>
      <w:r w:rsidR="00001C77" w:rsidRPr="00F15147">
        <w:rPr>
          <w:i/>
          <w:sz w:val="20"/>
          <w:lang w:val="en-GB"/>
        </w:rPr>
        <w:t>Fi</w:t>
      </w:r>
      <w:r w:rsidR="007C44FD" w:rsidRPr="00F15147">
        <w:rPr>
          <w:i/>
          <w:sz w:val="20"/>
          <w:lang w:val="en-GB"/>
        </w:rPr>
        <w:t>t</w:t>
      </w:r>
      <w:r w:rsidR="00001C77" w:rsidRPr="00F15147">
        <w:rPr>
          <w:i/>
          <w:sz w:val="20"/>
          <w:lang w:val="en-GB"/>
        </w:rPr>
        <w:t>na</w:t>
      </w:r>
      <w:r w:rsidR="00001C77" w:rsidRPr="00F15147">
        <w:rPr>
          <w:sz w:val="20"/>
          <w:lang w:val="en-GB"/>
        </w:rPr>
        <w:t>.</w:t>
      </w:r>
    </w:p>
    <w:p w14:paraId="21239CBD" w14:textId="0ED95D8F" w:rsidR="00C9761A" w:rsidRPr="00F15147" w:rsidRDefault="004E289D" w:rsidP="005543E5">
      <w:pPr>
        <w:pStyle w:val="SingleTxtG"/>
        <w:rPr>
          <w:sz w:val="20"/>
          <w:lang w:val="en-GB"/>
        </w:rPr>
      </w:pPr>
      <w:r w:rsidRPr="00F15147">
        <w:rPr>
          <w:sz w:val="20"/>
          <w:lang w:val="en-GB"/>
        </w:rPr>
        <w:t>6.</w:t>
      </w:r>
      <w:r w:rsidR="001A0DBA" w:rsidRPr="00F15147">
        <w:rPr>
          <w:sz w:val="20"/>
          <w:lang w:val="en-GB"/>
        </w:rPr>
        <w:t>1</w:t>
      </w:r>
      <w:r w:rsidR="006D0364" w:rsidRPr="00F15147">
        <w:rPr>
          <w:sz w:val="20"/>
          <w:lang w:val="en-GB"/>
        </w:rPr>
        <w:t>6</w:t>
      </w:r>
      <w:r w:rsidRPr="00F15147">
        <w:rPr>
          <w:sz w:val="20"/>
          <w:lang w:val="en-GB"/>
        </w:rPr>
        <w:tab/>
      </w:r>
      <w:r w:rsidR="00001C77" w:rsidRPr="00F15147">
        <w:rPr>
          <w:sz w:val="20"/>
          <w:lang w:val="en-GB"/>
        </w:rPr>
        <w:t>For th</w:t>
      </w:r>
      <w:r w:rsidR="005543E5">
        <w:rPr>
          <w:sz w:val="20"/>
          <w:lang w:val="en-GB"/>
        </w:rPr>
        <w:t>os</w:t>
      </w:r>
      <w:r w:rsidR="00001C77" w:rsidRPr="00F15147">
        <w:rPr>
          <w:sz w:val="20"/>
          <w:lang w:val="en-GB"/>
        </w:rPr>
        <w:t>e reasons</w:t>
      </w:r>
      <w:r w:rsidR="00A8461F" w:rsidRPr="00F15147">
        <w:rPr>
          <w:sz w:val="20"/>
          <w:lang w:val="en-GB"/>
        </w:rPr>
        <w:t>,</w:t>
      </w:r>
      <w:r w:rsidR="00C56126" w:rsidRPr="00F15147">
        <w:rPr>
          <w:sz w:val="20"/>
          <w:lang w:val="en-GB"/>
        </w:rPr>
        <w:t xml:space="preserve"> the State party </w:t>
      </w:r>
      <w:r w:rsidR="00A64D74" w:rsidRPr="00F15147">
        <w:rPr>
          <w:sz w:val="20"/>
          <w:lang w:val="en-GB"/>
        </w:rPr>
        <w:t>believes</w:t>
      </w:r>
      <w:r w:rsidR="00C56126" w:rsidRPr="00F15147">
        <w:rPr>
          <w:sz w:val="20"/>
          <w:lang w:val="en-GB"/>
        </w:rPr>
        <w:t xml:space="preserve"> that the communication does not </w:t>
      </w:r>
      <w:r w:rsidR="00A64D74" w:rsidRPr="00F15147">
        <w:rPr>
          <w:sz w:val="20"/>
          <w:lang w:val="en-GB"/>
        </w:rPr>
        <w:t>violate</w:t>
      </w:r>
      <w:r w:rsidR="00C56126" w:rsidRPr="00F15147">
        <w:rPr>
          <w:sz w:val="20"/>
          <w:lang w:val="en-GB"/>
        </w:rPr>
        <w:t xml:space="preserve"> article 20</w:t>
      </w:r>
      <w:r w:rsidR="0076267B">
        <w:rPr>
          <w:sz w:val="20"/>
          <w:lang w:val="en-GB"/>
        </w:rPr>
        <w:t xml:space="preserve"> of the Covenant</w:t>
      </w:r>
      <w:r w:rsidR="00C56126" w:rsidRPr="00F15147">
        <w:rPr>
          <w:sz w:val="20"/>
          <w:lang w:val="en-GB"/>
        </w:rPr>
        <w:t xml:space="preserve">. </w:t>
      </w:r>
      <w:r w:rsidR="0079747F" w:rsidRPr="00F15147">
        <w:rPr>
          <w:sz w:val="20"/>
          <w:lang w:val="en-GB"/>
        </w:rPr>
        <w:t>Given</w:t>
      </w:r>
      <w:r w:rsidR="00C56126" w:rsidRPr="00F15147">
        <w:rPr>
          <w:sz w:val="20"/>
          <w:lang w:val="en-GB"/>
        </w:rPr>
        <w:t xml:space="preserve"> the close connection between the authors’ reference</w:t>
      </w:r>
      <w:r w:rsidR="0079747F" w:rsidRPr="00F15147">
        <w:rPr>
          <w:sz w:val="20"/>
          <w:lang w:val="en-GB"/>
        </w:rPr>
        <w:t>s</w:t>
      </w:r>
      <w:r w:rsidR="00C56126" w:rsidRPr="00F15147">
        <w:rPr>
          <w:sz w:val="20"/>
          <w:lang w:val="en-GB"/>
        </w:rPr>
        <w:t xml:space="preserve"> to articles 26 and 27 and article 20, and given that </w:t>
      </w:r>
      <w:r w:rsidR="0079747F" w:rsidRPr="00F15147">
        <w:rPr>
          <w:sz w:val="20"/>
          <w:lang w:val="en-GB"/>
        </w:rPr>
        <w:t>they</w:t>
      </w:r>
      <w:r w:rsidR="00C56126" w:rsidRPr="00F15147">
        <w:rPr>
          <w:sz w:val="20"/>
          <w:lang w:val="en-GB"/>
        </w:rPr>
        <w:t xml:space="preserve"> have not </w:t>
      </w:r>
      <w:r w:rsidR="0079747F" w:rsidRPr="00F15147">
        <w:rPr>
          <w:sz w:val="20"/>
          <w:lang w:val="en-GB"/>
        </w:rPr>
        <w:t>offered</w:t>
      </w:r>
      <w:r w:rsidR="00C56126" w:rsidRPr="00F15147">
        <w:rPr>
          <w:sz w:val="20"/>
          <w:lang w:val="en-GB"/>
        </w:rPr>
        <w:t xml:space="preserve"> any separate grounds </w:t>
      </w:r>
      <w:r w:rsidR="00A8461F" w:rsidRPr="00F15147">
        <w:rPr>
          <w:sz w:val="20"/>
          <w:lang w:val="en-GB"/>
        </w:rPr>
        <w:t>regarding</w:t>
      </w:r>
      <w:r w:rsidR="00C56126" w:rsidRPr="00F15147">
        <w:rPr>
          <w:sz w:val="20"/>
          <w:lang w:val="en-GB"/>
        </w:rPr>
        <w:t xml:space="preserve"> articles 26 and 27, the State party confines its observations </w:t>
      </w:r>
      <w:r w:rsidR="0079747F" w:rsidRPr="00F15147">
        <w:rPr>
          <w:sz w:val="20"/>
          <w:lang w:val="en-GB"/>
        </w:rPr>
        <w:t>to</w:t>
      </w:r>
      <w:r w:rsidR="00C56126" w:rsidRPr="00F15147">
        <w:rPr>
          <w:sz w:val="20"/>
          <w:lang w:val="en-GB"/>
        </w:rPr>
        <w:t xml:space="preserve"> article 20.</w:t>
      </w:r>
      <w:r w:rsidR="00C9761A" w:rsidRPr="00F15147">
        <w:rPr>
          <w:sz w:val="20"/>
          <w:lang w:val="en-GB"/>
        </w:rPr>
        <w:t xml:space="preserve"> </w:t>
      </w:r>
    </w:p>
    <w:p w14:paraId="6E40CE02" w14:textId="05F64AA3" w:rsidR="00C9761A" w:rsidRPr="00432AF9" w:rsidRDefault="00432AF9" w:rsidP="00432AF9">
      <w:pPr>
        <w:pStyle w:val="H23G"/>
        <w:rPr>
          <w:sz w:val="20"/>
        </w:rPr>
      </w:pPr>
      <w:r>
        <w:rPr>
          <w:sz w:val="20"/>
        </w:rPr>
        <w:tab/>
      </w:r>
      <w:r>
        <w:rPr>
          <w:sz w:val="20"/>
        </w:rPr>
        <w:tab/>
      </w:r>
      <w:r w:rsidR="00C9761A" w:rsidRPr="00432AF9">
        <w:rPr>
          <w:sz w:val="20"/>
        </w:rPr>
        <w:t>Authors’ comments on the State party’s observations on the merits</w:t>
      </w:r>
    </w:p>
    <w:p w14:paraId="472C0A47" w14:textId="22C475A5" w:rsidR="00C9761A" w:rsidRPr="00F15147" w:rsidRDefault="00C9761A" w:rsidP="00BF1247">
      <w:pPr>
        <w:pStyle w:val="SingleTxtG"/>
        <w:rPr>
          <w:sz w:val="20"/>
          <w:lang w:val="en-GB"/>
        </w:rPr>
      </w:pPr>
      <w:r w:rsidRPr="00F15147">
        <w:rPr>
          <w:sz w:val="20"/>
          <w:lang w:val="en-GB"/>
        </w:rPr>
        <w:t>7.1</w:t>
      </w:r>
      <w:r w:rsidRPr="00F15147">
        <w:rPr>
          <w:sz w:val="20"/>
          <w:lang w:val="en-GB"/>
        </w:rPr>
        <w:tab/>
        <w:t xml:space="preserve">The authors submitted </w:t>
      </w:r>
      <w:r w:rsidR="00922E05">
        <w:rPr>
          <w:sz w:val="20"/>
          <w:lang w:val="en-GB"/>
        </w:rPr>
        <w:t xml:space="preserve">their </w:t>
      </w:r>
      <w:r w:rsidRPr="00F15147">
        <w:rPr>
          <w:sz w:val="20"/>
          <w:lang w:val="en-GB"/>
        </w:rPr>
        <w:t>comments on 30 November 2015. They argue that</w:t>
      </w:r>
      <w:r w:rsidR="00BF1247">
        <w:rPr>
          <w:sz w:val="20"/>
          <w:lang w:val="en-GB"/>
        </w:rPr>
        <w:t>, in its</w:t>
      </w:r>
      <w:r w:rsidR="00BF1247" w:rsidRPr="005E381C">
        <w:rPr>
          <w:sz w:val="20"/>
          <w:lang w:val="en-GB"/>
        </w:rPr>
        <w:t xml:space="preserve"> </w:t>
      </w:r>
      <w:r w:rsidR="00BF1247" w:rsidRPr="00922E05">
        <w:rPr>
          <w:sz w:val="20"/>
          <w:lang w:val="en-GB"/>
        </w:rPr>
        <w:t>report of</w:t>
      </w:r>
      <w:r w:rsidR="00BF1247">
        <w:rPr>
          <w:sz w:val="20"/>
          <w:lang w:val="en-GB"/>
        </w:rPr>
        <w:t xml:space="preserve"> </w:t>
      </w:r>
      <w:r w:rsidR="00BF1247" w:rsidRPr="005E381C">
        <w:rPr>
          <w:sz w:val="20"/>
          <w:lang w:val="en-GB"/>
        </w:rPr>
        <w:t xml:space="preserve">20 June 2013 </w:t>
      </w:r>
      <w:r w:rsidR="00BF1247" w:rsidRPr="00922E05">
        <w:rPr>
          <w:sz w:val="20"/>
          <w:lang w:val="en-GB"/>
        </w:rPr>
        <w:t xml:space="preserve">on </w:t>
      </w:r>
      <w:r w:rsidR="00BF1247" w:rsidRPr="005E381C">
        <w:rPr>
          <w:sz w:val="20"/>
          <w:lang w:val="en-GB"/>
        </w:rPr>
        <w:t>the Netherlands</w:t>
      </w:r>
      <w:r w:rsidR="00BF1247">
        <w:rPr>
          <w:sz w:val="20"/>
          <w:lang w:val="en-GB"/>
        </w:rPr>
        <w:t>,</w:t>
      </w:r>
      <w:r w:rsidRPr="00CA1DE2">
        <w:rPr>
          <w:lang w:val="en-GB"/>
        </w:rPr>
        <w:t xml:space="preserve"> </w:t>
      </w:r>
      <w:r w:rsidR="0076267B" w:rsidRPr="00922E05">
        <w:rPr>
          <w:sz w:val="20"/>
          <w:lang w:val="en-GB"/>
        </w:rPr>
        <w:t xml:space="preserve">the </w:t>
      </w:r>
      <w:r w:rsidR="00CA1DE2" w:rsidRPr="00CA1DE2">
        <w:rPr>
          <w:sz w:val="20"/>
          <w:lang w:val="en-GB"/>
        </w:rPr>
        <w:t>European Commission against Racism and Intolerance</w:t>
      </w:r>
      <w:r w:rsidR="0065424F" w:rsidRPr="00F15147">
        <w:rPr>
          <w:sz w:val="20"/>
          <w:lang w:val="en-GB"/>
        </w:rPr>
        <w:t xml:space="preserve"> </w:t>
      </w:r>
      <w:r w:rsidRPr="00F15147">
        <w:rPr>
          <w:sz w:val="20"/>
          <w:lang w:val="en-GB"/>
        </w:rPr>
        <w:t>welcome</w:t>
      </w:r>
      <w:r w:rsidR="0079747F" w:rsidRPr="00F15147">
        <w:rPr>
          <w:sz w:val="20"/>
          <w:lang w:val="en-GB"/>
        </w:rPr>
        <w:t>d</w:t>
      </w:r>
      <w:r w:rsidRPr="00F15147">
        <w:rPr>
          <w:sz w:val="20"/>
          <w:lang w:val="en-GB"/>
        </w:rPr>
        <w:t xml:space="preserve"> </w:t>
      </w:r>
      <w:r w:rsidR="0079747F" w:rsidRPr="00F15147">
        <w:rPr>
          <w:sz w:val="20"/>
          <w:lang w:val="en-GB"/>
        </w:rPr>
        <w:t xml:space="preserve">the </w:t>
      </w:r>
      <w:r w:rsidR="00C67E38">
        <w:rPr>
          <w:sz w:val="20"/>
          <w:lang w:val="en-GB"/>
        </w:rPr>
        <w:t>Amsterdam District Court</w:t>
      </w:r>
      <w:r w:rsidR="00C67E38" w:rsidRPr="002B55C4">
        <w:rPr>
          <w:sz w:val="20"/>
          <w:szCs w:val="20"/>
        </w:rPr>
        <w:t>’s discussion</w:t>
      </w:r>
      <w:r w:rsidR="00C67E38">
        <w:rPr>
          <w:sz w:val="20"/>
          <w:lang w:val="en-GB"/>
        </w:rPr>
        <w:t xml:space="preserve"> during its consideration of</w:t>
      </w:r>
      <w:r w:rsidR="00C67E38" w:rsidRPr="00C67E38">
        <w:rPr>
          <w:sz w:val="20"/>
          <w:szCs w:val="20"/>
        </w:rPr>
        <w:t xml:space="preserve"> </w:t>
      </w:r>
      <w:r w:rsidR="006837AA">
        <w:rPr>
          <w:sz w:val="20"/>
          <w:szCs w:val="20"/>
          <w:lang w:val="en-US"/>
        </w:rPr>
        <w:t>Mr. </w:t>
      </w:r>
      <w:r w:rsidR="00C67E38" w:rsidRPr="00946C5C">
        <w:rPr>
          <w:sz w:val="20"/>
          <w:szCs w:val="20"/>
        </w:rPr>
        <w:t>Widlers’</w:t>
      </w:r>
      <w:r w:rsidR="00C67E38">
        <w:rPr>
          <w:sz w:val="20"/>
          <w:szCs w:val="20"/>
          <w:lang w:val="en-US"/>
        </w:rPr>
        <w:t xml:space="preserve"> case </w:t>
      </w:r>
      <w:r w:rsidR="0079747F" w:rsidRPr="00F15147">
        <w:rPr>
          <w:sz w:val="20"/>
          <w:szCs w:val="20"/>
        </w:rPr>
        <w:t xml:space="preserve">of </w:t>
      </w:r>
      <w:r w:rsidR="00C67E38">
        <w:rPr>
          <w:sz w:val="20"/>
          <w:szCs w:val="20"/>
          <w:lang w:val="en-US"/>
        </w:rPr>
        <w:t xml:space="preserve">the </w:t>
      </w:r>
      <w:r w:rsidRPr="00F15147">
        <w:rPr>
          <w:sz w:val="20"/>
          <w:szCs w:val="20"/>
        </w:rPr>
        <w:t>case law</w:t>
      </w:r>
      <w:r w:rsidR="00287D09" w:rsidRPr="00F15147">
        <w:rPr>
          <w:sz w:val="20"/>
          <w:szCs w:val="20"/>
        </w:rPr>
        <w:t xml:space="preserve"> </w:t>
      </w:r>
      <w:r w:rsidR="00C67E38">
        <w:rPr>
          <w:sz w:val="20"/>
          <w:szCs w:val="20"/>
          <w:lang w:val="en-US"/>
        </w:rPr>
        <w:t xml:space="preserve">of the </w:t>
      </w:r>
      <w:r w:rsidR="00C67E38" w:rsidRPr="002039D0">
        <w:rPr>
          <w:sz w:val="20"/>
          <w:lang w:val="en-GB"/>
        </w:rPr>
        <w:t>European Court</w:t>
      </w:r>
      <w:r w:rsidR="00C67E38" w:rsidRPr="00DC447F">
        <w:rPr>
          <w:sz w:val="20"/>
          <w:szCs w:val="20"/>
        </w:rPr>
        <w:t xml:space="preserve"> </w:t>
      </w:r>
      <w:r w:rsidR="00C67E38">
        <w:rPr>
          <w:sz w:val="20"/>
          <w:szCs w:val="20"/>
          <w:lang w:val="en-US"/>
        </w:rPr>
        <w:t xml:space="preserve">of Human Rights </w:t>
      </w:r>
      <w:r w:rsidR="00287D09" w:rsidRPr="00F15147">
        <w:rPr>
          <w:sz w:val="20"/>
          <w:szCs w:val="20"/>
        </w:rPr>
        <w:t>on freedom of political expression</w:t>
      </w:r>
      <w:r w:rsidRPr="00F15147">
        <w:rPr>
          <w:sz w:val="20"/>
          <w:szCs w:val="20"/>
        </w:rPr>
        <w:t xml:space="preserve">, but </w:t>
      </w:r>
      <w:r w:rsidR="00287D09" w:rsidRPr="00F15147">
        <w:rPr>
          <w:sz w:val="20"/>
          <w:szCs w:val="20"/>
        </w:rPr>
        <w:t>n</w:t>
      </w:r>
      <w:r w:rsidR="00287D09" w:rsidRPr="00F15147">
        <w:rPr>
          <w:sz w:val="20"/>
          <w:lang w:val="en-GB"/>
        </w:rPr>
        <w:t>oted</w:t>
      </w:r>
      <w:r w:rsidRPr="00F15147">
        <w:rPr>
          <w:sz w:val="20"/>
          <w:lang w:val="en-GB"/>
        </w:rPr>
        <w:t xml:space="preserve"> </w:t>
      </w:r>
      <w:r w:rsidR="0079747F" w:rsidRPr="00F15147">
        <w:rPr>
          <w:sz w:val="20"/>
          <w:lang w:val="en-GB"/>
        </w:rPr>
        <w:t xml:space="preserve">that </w:t>
      </w:r>
      <w:r w:rsidR="00FC4BB3" w:rsidRPr="00F15147">
        <w:rPr>
          <w:sz w:val="20"/>
          <w:lang w:val="en-GB"/>
        </w:rPr>
        <w:t xml:space="preserve">in </w:t>
      </w:r>
      <w:r w:rsidR="00FC4BB3" w:rsidRPr="00F15147">
        <w:rPr>
          <w:i/>
          <w:sz w:val="20"/>
          <w:lang w:val="en-GB"/>
        </w:rPr>
        <w:t>Féret v. Belgium</w:t>
      </w:r>
      <w:r w:rsidR="00922E05">
        <w:rPr>
          <w:iCs/>
          <w:sz w:val="20"/>
          <w:lang w:val="en-GB"/>
        </w:rPr>
        <w:t>,</w:t>
      </w:r>
      <w:r w:rsidR="00FC4BB3" w:rsidRPr="00F15147">
        <w:rPr>
          <w:sz w:val="20"/>
          <w:lang w:val="en-GB"/>
        </w:rPr>
        <w:t xml:space="preserve"> the </w:t>
      </w:r>
      <w:r w:rsidR="00922E05" w:rsidRPr="00F15147">
        <w:rPr>
          <w:sz w:val="20"/>
          <w:lang w:val="en-GB"/>
        </w:rPr>
        <w:t>European Court</w:t>
      </w:r>
      <w:r w:rsidR="00FC4BB3" w:rsidRPr="00F15147">
        <w:rPr>
          <w:sz w:val="20"/>
          <w:lang w:val="en-GB"/>
        </w:rPr>
        <w:t xml:space="preserve"> indicated that </w:t>
      </w:r>
      <w:r w:rsidR="0079747F" w:rsidRPr="00F15147">
        <w:rPr>
          <w:sz w:val="20"/>
          <w:lang w:val="en-GB"/>
        </w:rPr>
        <w:t>in principle, limiting hate</w:t>
      </w:r>
      <w:r w:rsidR="00287D09" w:rsidRPr="00F15147">
        <w:rPr>
          <w:sz w:val="20"/>
          <w:lang w:val="en-GB"/>
        </w:rPr>
        <w:t>ful</w:t>
      </w:r>
      <w:r w:rsidR="0079747F" w:rsidRPr="00F15147">
        <w:rPr>
          <w:sz w:val="20"/>
          <w:lang w:val="en-GB"/>
        </w:rPr>
        <w:t xml:space="preserve"> expression that justifies </w:t>
      </w:r>
      <w:r w:rsidRPr="00F15147">
        <w:rPr>
          <w:sz w:val="20"/>
          <w:lang w:val="en-GB"/>
        </w:rPr>
        <w:t xml:space="preserve">intolerance can be considered necessary in democratic societies if the </w:t>
      </w:r>
      <w:r w:rsidR="0079747F" w:rsidRPr="00F15147">
        <w:rPr>
          <w:sz w:val="20"/>
          <w:lang w:val="en-GB"/>
        </w:rPr>
        <w:t>restrictions</w:t>
      </w:r>
      <w:r w:rsidR="00287D09" w:rsidRPr="00F15147">
        <w:rPr>
          <w:sz w:val="20"/>
          <w:lang w:val="en-GB"/>
        </w:rPr>
        <w:t xml:space="preserve"> </w:t>
      </w:r>
      <w:r w:rsidRPr="00F15147">
        <w:rPr>
          <w:sz w:val="20"/>
          <w:lang w:val="en-GB"/>
        </w:rPr>
        <w:t>are proportionate to the legitimate aim pursued</w:t>
      </w:r>
      <w:r w:rsidR="00287D09" w:rsidRPr="00F15147">
        <w:rPr>
          <w:sz w:val="20"/>
          <w:lang w:val="en-GB"/>
        </w:rPr>
        <w:t>. A</w:t>
      </w:r>
      <w:r w:rsidR="0079747F" w:rsidRPr="00F15147">
        <w:rPr>
          <w:sz w:val="20"/>
          <w:lang w:val="en-GB"/>
        </w:rPr>
        <w:t xml:space="preserve">n appeal </w:t>
      </w:r>
      <w:r w:rsidR="00287D09" w:rsidRPr="00F15147">
        <w:rPr>
          <w:sz w:val="20"/>
          <w:lang w:val="en-GB"/>
        </w:rPr>
        <w:t xml:space="preserve">in </w:t>
      </w:r>
      <w:r w:rsidR="006837AA">
        <w:rPr>
          <w:sz w:val="20"/>
          <w:lang w:val="en-GB"/>
        </w:rPr>
        <w:t>Mr. </w:t>
      </w:r>
      <w:r w:rsidR="00696F9C" w:rsidRPr="00922E05">
        <w:rPr>
          <w:sz w:val="20"/>
          <w:lang w:val="en-GB"/>
        </w:rPr>
        <w:t>Wilders</w:t>
      </w:r>
      <w:r w:rsidR="00287D09" w:rsidRPr="00F15147">
        <w:rPr>
          <w:sz w:val="20"/>
          <w:lang w:val="en-GB"/>
        </w:rPr>
        <w:t xml:space="preserve">’ case to accurately reflect </w:t>
      </w:r>
      <w:r w:rsidR="00922E05" w:rsidRPr="00F15147">
        <w:rPr>
          <w:sz w:val="20"/>
          <w:lang w:val="en-GB"/>
        </w:rPr>
        <w:t>European Court</w:t>
      </w:r>
      <w:r w:rsidR="00287D09" w:rsidRPr="00F15147">
        <w:rPr>
          <w:sz w:val="20"/>
          <w:lang w:val="en-GB"/>
        </w:rPr>
        <w:t xml:space="preserve"> case</w:t>
      </w:r>
      <w:r w:rsidR="00922E05">
        <w:rPr>
          <w:sz w:val="20"/>
          <w:lang w:val="en-GB"/>
        </w:rPr>
        <w:t xml:space="preserve"> </w:t>
      </w:r>
      <w:r w:rsidR="00287D09" w:rsidRPr="00F15147">
        <w:rPr>
          <w:sz w:val="20"/>
          <w:lang w:val="en-GB"/>
        </w:rPr>
        <w:t xml:space="preserve">law </w:t>
      </w:r>
      <w:r w:rsidR="00922E05" w:rsidRPr="008D5F9E">
        <w:rPr>
          <w:sz w:val="20"/>
          <w:lang w:val="en-GB"/>
        </w:rPr>
        <w:t>would</w:t>
      </w:r>
      <w:r w:rsidR="00922E05">
        <w:rPr>
          <w:sz w:val="20"/>
          <w:lang w:val="en-GB"/>
        </w:rPr>
        <w:t>,</w:t>
      </w:r>
      <w:r w:rsidR="00922E05" w:rsidRPr="00922E05">
        <w:rPr>
          <w:sz w:val="20"/>
          <w:lang w:val="en-GB"/>
        </w:rPr>
        <w:t xml:space="preserve"> </w:t>
      </w:r>
      <w:r w:rsidR="00287D09" w:rsidRPr="00F15147">
        <w:rPr>
          <w:sz w:val="20"/>
          <w:lang w:val="en-GB"/>
        </w:rPr>
        <w:t>therefore</w:t>
      </w:r>
      <w:r w:rsidR="00922E05">
        <w:rPr>
          <w:sz w:val="20"/>
          <w:lang w:val="en-GB"/>
        </w:rPr>
        <w:t>,</w:t>
      </w:r>
      <w:r w:rsidR="00287D09" w:rsidRPr="00F15147">
        <w:rPr>
          <w:sz w:val="20"/>
          <w:lang w:val="en-GB"/>
        </w:rPr>
        <w:t xml:space="preserve"> </w:t>
      </w:r>
      <w:r w:rsidRPr="00F15147">
        <w:rPr>
          <w:sz w:val="20"/>
          <w:lang w:val="en-GB"/>
        </w:rPr>
        <w:t xml:space="preserve">have been warranted. </w:t>
      </w:r>
    </w:p>
    <w:p w14:paraId="7F9320D4" w14:textId="2E041092" w:rsidR="00C9761A" w:rsidRPr="00F15147" w:rsidRDefault="00C9761A" w:rsidP="00BF1247">
      <w:pPr>
        <w:pStyle w:val="SingleTxtG"/>
        <w:rPr>
          <w:sz w:val="20"/>
          <w:lang w:val="en-GB"/>
        </w:rPr>
      </w:pPr>
      <w:r w:rsidRPr="00F15147">
        <w:rPr>
          <w:sz w:val="20"/>
          <w:lang w:val="en-GB"/>
        </w:rPr>
        <w:t>7.2</w:t>
      </w:r>
      <w:r w:rsidRPr="00F15147">
        <w:rPr>
          <w:sz w:val="20"/>
          <w:lang w:val="en-GB"/>
        </w:rPr>
        <w:tab/>
      </w:r>
      <w:r w:rsidR="0017400A" w:rsidRPr="00F15147">
        <w:rPr>
          <w:sz w:val="20"/>
          <w:lang w:val="en-GB"/>
        </w:rPr>
        <w:t>With respect to article</w:t>
      </w:r>
      <w:r w:rsidR="007C44FD" w:rsidRPr="00F15147">
        <w:rPr>
          <w:sz w:val="20"/>
          <w:lang w:val="en-GB"/>
        </w:rPr>
        <w:t>s 2</w:t>
      </w:r>
      <w:r w:rsidR="003A73C6">
        <w:rPr>
          <w:sz w:val="20"/>
          <w:lang w:val="en-GB"/>
        </w:rPr>
        <w:t xml:space="preserve"> </w:t>
      </w:r>
      <w:r w:rsidR="007C44FD" w:rsidRPr="00F15147">
        <w:rPr>
          <w:sz w:val="20"/>
          <w:lang w:val="en-GB"/>
        </w:rPr>
        <w:t>(3) and</w:t>
      </w:r>
      <w:r w:rsidR="0017400A" w:rsidRPr="00F15147">
        <w:rPr>
          <w:sz w:val="20"/>
          <w:lang w:val="en-GB"/>
        </w:rPr>
        <w:t xml:space="preserve"> 14</w:t>
      </w:r>
      <w:r w:rsidR="003A73C6">
        <w:rPr>
          <w:sz w:val="20"/>
          <w:lang w:val="en-GB"/>
        </w:rPr>
        <w:t xml:space="preserve"> </w:t>
      </w:r>
      <w:r w:rsidR="0017400A" w:rsidRPr="00F15147">
        <w:rPr>
          <w:sz w:val="20"/>
          <w:lang w:val="en-GB"/>
        </w:rPr>
        <w:t>(1), t</w:t>
      </w:r>
      <w:r w:rsidRPr="00F15147">
        <w:rPr>
          <w:sz w:val="20"/>
          <w:lang w:val="en-GB"/>
        </w:rPr>
        <w:t xml:space="preserve">he authors </w:t>
      </w:r>
      <w:r w:rsidR="0017400A" w:rsidRPr="00F15147">
        <w:rPr>
          <w:sz w:val="20"/>
          <w:lang w:val="en-GB"/>
        </w:rPr>
        <w:t>deny</w:t>
      </w:r>
      <w:r w:rsidRPr="00F15147">
        <w:rPr>
          <w:sz w:val="20"/>
          <w:lang w:val="en-GB"/>
        </w:rPr>
        <w:t xml:space="preserve"> that they claim a right to have </w:t>
      </w:r>
      <w:r w:rsidR="006837AA">
        <w:rPr>
          <w:sz w:val="20"/>
          <w:lang w:val="en-GB"/>
        </w:rPr>
        <w:t>Mr. </w:t>
      </w:r>
      <w:r w:rsidR="00696F9C">
        <w:rPr>
          <w:sz w:val="20"/>
          <w:lang w:val="en-GB"/>
        </w:rPr>
        <w:t>Wilders</w:t>
      </w:r>
      <w:r w:rsidRPr="00F15147">
        <w:rPr>
          <w:sz w:val="20"/>
          <w:lang w:val="en-GB"/>
        </w:rPr>
        <w:t xml:space="preserve"> convicted. </w:t>
      </w:r>
      <w:r w:rsidR="0017400A" w:rsidRPr="00F15147">
        <w:rPr>
          <w:sz w:val="20"/>
          <w:lang w:val="en-GB"/>
        </w:rPr>
        <w:t>T</w:t>
      </w:r>
      <w:r w:rsidRPr="00F15147">
        <w:rPr>
          <w:sz w:val="20"/>
          <w:lang w:val="en-GB"/>
        </w:rPr>
        <w:t>he</w:t>
      </w:r>
      <w:r w:rsidR="003A73C6">
        <w:rPr>
          <w:sz w:val="20"/>
          <w:lang w:val="en-GB"/>
        </w:rPr>
        <w:t>ir</w:t>
      </w:r>
      <w:r w:rsidRPr="00F15147">
        <w:rPr>
          <w:sz w:val="20"/>
          <w:lang w:val="en-GB"/>
        </w:rPr>
        <w:t xml:space="preserve"> claim </w:t>
      </w:r>
      <w:r w:rsidR="003A73C6">
        <w:rPr>
          <w:sz w:val="20"/>
          <w:lang w:val="en-GB"/>
        </w:rPr>
        <w:t>concerns</w:t>
      </w:r>
      <w:r w:rsidRPr="00F15147">
        <w:rPr>
          <w:sz w:val="20"/>
          <w:lang w:val="en-GB"/>
        </w:rPr>
        <w:t xml:space="preserve"> the lack of an effective prosecution. The prosecutor did little to make the prosecution effective</w:t>
      </w:r>
      <w:r w:rsidR="001A0DBA" w:rsidRPr="00F15147">
        <w:rPr>
          <w:sz w:val="20"/>
          <w:lang w:val="en-GB"/>
        </w:rPr>
        <w:t xml:space="preserve">, as shown by the </w:t>
      </w:r>
      <w:r w:rsidRPr="00F15147">
        <w:rPr>
          <w:sz w:val="20"/>
          <w:lang w:val="en-GB"/>
        </w:rPr>
        <w:t xml:space="preserve">decision to entrust the prosecution to the same individuals who initially decided </w:t>
      </w:r>
      <w:r w:rsidR="0017400A" w:rsidRPr="00F15147">
        <w:rPr>
          <w:sz w:val="20"/>
          <w:lang w:val="en-GB"/>
        </w:rPr>
        <w:t>a</w:t>
      </w:r>
      <w:r w:rsidRPr="00F15147">
        <w:rPr>
          <w:sz w:val="20"/>
          <w:lang w:val="en-GB"/>
        </w:rPr>
        <w:t xml:space="preserve"> prosecution was not warranted. Th</w:t>
      </w:r>
      <w:r w:rsidR="003A73C6">
        <w:rPr>
          <w:sz w:val="20"/>
          <w:lang w:val="en-GB"/>
        </w:rPr>
        <w:t>at</w:t>
      </w:r>
      <w:r w:rsidRPr="00F15147">
        <w:rPr>
          <w:sz w:val="20"/>
          <w:lang w:val="en-GB"/>
        </w:rPr>
        <w:t xml:space="preserve">, </w:t>
      </w:r>
      <w:r w:rsidR="003A73C6">
        <w:rPr>
          <w:sz w:val="20"/>
          <w:lang w:val="en-GB"/>
        </w:rPr>
        <w:t>in addition to</w:t>
      </w:r>
      <w:r w:rsidRPr="00F15147">
        <w:rPr>
          <w:sz w:val="20"/>
          <w:lang w:val="en-GB"/>
        </w:rPr>
        <w:t xml:space="preserve"> the</w:t>
      </w:r>
      <w:r w:rsidR="0017400A" w:rsidRPr="00F15147">
        <w:rPr>
          <w:sz w:val="20"/>
          <w:lang w:val="en-GB"/>
        </w:rPr>
        <w:t>ir</w:t>
      </w:r>
      <w:r w:rsidRPr="00F15147">
        <w:rPr>
          <w:sz w:val="20"/>
          <w:lang w:val="en-GB"/>
        </w:rPr>
        <w:t xml:space="preserve"> half-hearted attempts to secure a conviction and the </w:t>
      </w:r>
      <w:r w:rsidRPr="00F15147">
        <w:rPr>
          <w:sz w:val="20"/>
          <w:lang w:val="en-GB"/>
        </w:rPr>
        <w:lastRenderedPageBreak/>
        <w:t xml:space="preserve">weak legal position of victims in </w:t>
      </w:r>
      <w:r w:rsidR="002262C0">
        <w:rPr>
          <w:sz w:val="20"/>
          <w:lang w:val="en-GB"/>
        </w:rPr>
        <w:t>national</w:t>
      </w:r>
      <w:r w:rsidRPr="00F15147">
        <w:rPr>
          <w:sz w:val="20"/>
          <w:lang w:val="en-GB"/>
        </w:rPr>
        <w:t xml:space="preserve"> criminal proceedings, resulted in a </w:t>
      </w:r>
      <w:r w:rsidRPr="00F15147">
        <w:rPr>
          <w:iCs/>
          <w:sz w:val="20"/>
          <w:lang w:val="en-GB"/>
        </w:rPr>
        <w:t>de facto</w:t>
      </w:r>
      <w:r w:rsidRPr="00F15147">
        <w:rPr>
          <w:sz w:val="20"/>
          <w:lang w:val="en-GB"/>
        </w:rPr>
        <w:t xml:space="preserve"> alignment of the prosecutor with the defence. </w:t>
      </w:r>
      <w:r w:rsidR="0065424F" w:rsidRPr="00F15147">
        <w:rPr>
          <w:sz w:val="20"/>
          <w:lang w:val="en-GB"/>
        </w:rPr>
        <w:t>I</w:t>
      </w:r>
      <w:r w:rsidRPr="00F15147">
        <w:rPr>
          <w:sz w:val="20"/>
          <w:lang w:val="en-GB"/>
        </w:rPr>
        <w:t xml:space="preserve">n </w:t>
      </w:r>
      <w:r w:rsidR="00BF1247">
        <w:rPr>
          <w:sz w:val="20"/>
          <w:lang w:val="en-GB"/>
        </w:rPr>
        <w:t>domestic</w:t>
      </w:r>
      <w:r w:rsidRPr="00F15147">
        <w:rPr>
          <w:sz w:val="20"/>
          <w:lang w:val="en-GB"/>
        </w:rPr>
        <w:t xml:space="preserve"> criminal proceedings</w:t>
      </w:r>
      <w:r w:rsidR="00BF1247">
        <w:rPr>
          <w:sz w:val="20"/>
          <w:lang w:val="en-GB"/>
        </w:rPr>
        <w:t>,</w:t>
      </w:r>
      <w:r w:rsidRPr="00F15147">
        <w:rPr>
          <w:sz w:val="20"/>
          <w:lang w:val="en-GB"/>
        </w:rPr>
        <w:t xml:space="preserve"> the victim is fully dependant on the judge and the prosecutor. An example is the prosecutor’s hiring of three legal academics for advice on whether to prosecute </w:t>
      </w:r>
      <w:r w:rsidR="006837AA">
        <w:rPr>
          <w:sz w:val="20"/>
          <w:lang w:val="en-GB"/>
        </w:rPr>
        <w:t>Mr. </w:t>
      </w:r>
      <w:r w:rsidR="00696F9C">
        <w:rPr>
          <w:sz w:val="20"/>
          <w:lang w:val="en-GB"/>
        </w:rPr>
        <w:t>Wilders</w:t>
      </w:r>
      <w:r w:rsidRPr="00F15147">
        <w:rPr>
          <w:sz w:val="20"/>
          <w:lang w:val="en-GB"/>
        </w:rPr>
        <w:t xml:space="preserve">. The authors did not agree with most of their opinions, but were not allowed to </w:t>
      </w:r>
      <w:r w:rsidR="008978F8" w:rsidRPr="00F15147">
        <w:rPr>
          <w:sz w:val="20"/>
          <w:lang w:val="en-GB"/>
        </w:rPr>
        <w:t xml:space="preserve">comment on them or </w:t>
      </w:r>
      <w:r w:rsidRPr="00F15147">
        <w:rPr>
          <w:sz w:val="20"/>
          <w:lang w:val="en-GB"/>
        </w:rPr>
        <w:t xml:space="preserve">call their own experts. </w:t>
      </w:r>
    </w:p>
    <w:p w14:paraId="4A5F5974" w14:textId="44107110" w:rsidR="00C9761A" w:rsidRPr="00F15147" w:rsidRDefault="00C9761A" w:rsidP="00BF1247">
      <w:pPr>
        <w:pStyle w:val="SingleTxtG"/>
        <w:rPr>
          <w:sz w:val="20"/>
          <w:lang w:val="en-GB"/>
        </w:rPr>
      </w:pPr>
      <w:r w:rsidRPr="00F15147">
        <w:rPr>
          <w:sz w:val="20"/>
          <w:lang w:val="en-GB"/>
        </w:rPr>
        <w:t>7.</w:t>
      </w:r>
      <w:r w:rsidR="00DD6D06" w:rsidRPr="00F15147">
        <w:rPr>
          <w:sz w:val="20"/>
          <w:lang w:val="en-GB"/>
        </w:rPr>
        <w:t>3</w:t>
      </w:r>
      <w:r w:rsidRPr="00F15147">
        <w:rPr>
          <w:sz w:val="20"/>
          <w:lang w:val="en-GB"/>
        </w:rPr>
        <w:tab/>
      </w:r>
      <w:r w:rsidR="0065424F" w:rsidRPr="00F15147">
        <w:rPr>
          <w:sz w:val="20"/>
          <w:lang w:val="en-GB"/>
        </w:rPr>
        <w:t>T</w:t>
      </w:r>
      <w:r w:rsidRPr="00F15147">
        <w:rPr>
          <w:sz w:val="20"/>
          <w:lang w:val="en-GB"/>
        </w:rPr>
        <w:t>he authors agree that the State party has implemented article 20</w:t>
      </w:r>
      <w:r w:rsidR="003A73C6">
        <w:rPr>
          <w:sz w:val="20"/>
          <w:lang w:val="en-GB"/>
        </w:rPr>
        <w:t xml:space="preserve"> </w:t>
      </w:r>
      <w:r w:rsidRPr="00F15147">
        <w:rPr>
          <w:sz w:val="20"/>
          <w:lang w:val="en-GB"/>
        </w:rPr>
        <w:t xml:space="preserve">(2) sufficiently in its legislation. The problem lies in the application of the law in the </w:t>
      </w:r>
      <w:r w:rsidR="0065424F" w:rsidRPr="00F15147">
        <w:rPr>
          <w:sz w:val="20"/>
          <w:lang w:val="en-GB"/>
        </w:rPr>
        <w:t>present case</w:t>
      </w:r>
      <w:r w:rsidRPr="00F15147">
        <w:rPr>
          <w:sz w:val="20"/>
          <w:lang w:val="en-GB"/>
        </w:rPr>
        <w:t xml:space="preserve">. The judgment deviates from domestic jurisprudence </w:t>
      </w:r>
      <w:r w:rsidR="00BF1247">
        <w:rPr>
          <w:sz w:val="20"/>
          <w:lang w:val="en-GB"/>
        </w:rPr>
        <w:t xml:space="preserve">that </w:t>
      </w:r>
      <w:r w:rsidR="00DD6D06" w:rsidRPr="00F15147">
        <w:rPr>
          <w:sz w:val="20"/>
          <w:lang w:val="en-GB"/>
        </w:rPr>
        <w:t>s</w:t>
      </w:r>
      <w:r w:rsidRPr="00F15147">
        <w:rPr>
          <w:sz w:val="20"/>
          <w:lang w:val="en-GB"/>
        </w:rPr>
        <w:t>how</w:t>
      </w:r>
      <w:r w:rsidR="00BF1247">
        <w:rPr>
          <w:sz w:val="20"/>
          <w:lang w:val="en-GB"/>
        </w:rPr>
        <w:t>s</w:t>
      </w:r>
      <w:r w:rsidRPr="00F15147">
        <w:rPr>
          <w:sz w:val="20"/>
          <w:lang w:val="en-GB"/>
        </w:rPr>
        <w:t xml:space="preserve"> a less tolerant approach to hate speech. </w:t>
      </w:r>
    </w:p>
    <w:p w14:paraId="46F79B78" w14:textId="45CE4A2E" w:rsidR="00C9761A" w:rsidRPr="00F15147" w:rsidRDefault="00C9761A" w:rsidP="00CD7568">
      <w:pPr>
        <w:pStyle w:val="SingleTxtG"/>
        <w:rPr>
          <w:sz w:val="20"/>
          <w:lang w:val="en-GB"/>
        </w:rPr>
      </w:pPr>
      <w:r w:rsidRPr="00F15147">
        <w:rPr>
          <w:sz w:val="20"/>
          <w:lang w:val="en-GB"/>
        </w:rPr>
        <w:t>7.</w:t>
      </w:r>
      <w:r w:rsidR="00DD6D06" w:rsidRPr="00F15147">
        <w:rPr>
          <w:sz w:val="20"/>
          <w:lang w:val="en-GB"/>
        </w:rPr>
        <w:t>4</w:t>
      </w:r>
      <w:r w:rsidRPr="00F15147">
        <w:rPr>
          <w:sz w:val="20"/>
          <w:lang w:val="en-GB"/>
        </w:rPr>
        <w:tab/>
        <w:t xml:space="preserve">As to the relationship between articles 19 and 20, the authors maintain that freedom of speech cannot be used to legitimize hate speech. In </w:t>
      </w:r>
      <w:r w:rsidR="0017400A" w:rsidRPr="00F15147">
        <w:rPr>
          <w:sz w:val="20"/>
          <w:lang w:val="en-GB"/>
        </w:rPr>
        <w:t xml:space="preserve">very similar </w:t>
      </w:r>
      <w:r w:rsidRPr="00F15147">
        <w:rPr>
          <w:sz w:val="20"/>
          <w:lang w:val="en-GB"/>
        </w:rPr>
        <w:t xml:space="preserve">cases, the </w:t>
      </w:r>
      <w:r w:rsidR="00CD7568" w:rsidRPr="00922E05">
        <w:rPr>
          <w:sz w:val="20"/>
          <w:lang w:val="en-GB"/>
        </w:rPr>
        <w:t>European Court of Human Rights</w:t>
      </w:r>
      <w:r w:rsidRPr="00F15147">
        <w:rPr>
          <w:sz w:val="20"/>
          <w:lang w:val="en-GB"/>
        </w:rPr>
        <w:t xml:space="preserve"> has drawn clear boundaries when free speech is used for hate speech. </w:t>
      </w:r>
    </w:p>
    <w:p w14:paraId="24142CC0" w14:textId="73E5DC2B" w:rsidR="00C9761A" w:rsidRPr="00F15147" w:rsidRDefault="00DD6D06" w:rsidP="002262C0">
      <w:pPr>
        <w:pStyle w:val="SingleTxtG"/>
        <w:rPr>
          <w:sz w:val="20"/>
          <w:lang w:val="en-GB"/>
        </w:rPr>
      </w:pPr>
      <w:r w:rsidRPr="00F15147">
        <w:rPr>
          <w:sz w:val="20"/>
          <w:lang w:val="en-GB"/>
        </w:rPr>
        <w:t>7.5</w:t>
      </w:r>
      <w:r w:rsidR="00C9761A" w:rsidRPr="00F15147">
        <w:rPr>
          <w:sz w:val="20"/>
          <w:lang w:val="en-GB"/>
        </w:rPr>
        <w:tab/>
        <w:t xml:space="preserve">The </w:t>
      </w:r>
      <w:r w:rsidR="002262C0">
        <w:rPr>
          <w:sz w:val="20"/>
          <w:lang w:val="en-GB"/>
        </w:rPr>
        <w:t>national</w:t>
      </w:r>
      <w:r w:rsidR="00CD7568" w:rsidRPr="00CD7568">
        <w:rPr>
          <w:sz w:val="20"/>
          <w:lang w:val="en-GB"/>
        </w:rPr>
        <w:t xml:space="preserve"> </w:t>
      </w:r>
      <w:r w:rsidR="0017400A" w:rsidRPr="00F15147">
        <w:rPr>
          <w:sz w:val="20"/>
          <w:lang w:val="en-GB"/>
        </w:rPr>
        <w:t>c</w:t>
      </w:r>
      <w:r w:rsidR="00C9761A" w:rsidRPr="00F15147">
        <w:rPr>
          <w:sz w:val="20"/>
          <w:lang w:val="en-GB"/>
        </w:rPr>
        <w:t xml:space="preserve">ourt failed to take into account the cumulative effect of </w:t>
      </w:r>
      <w:r w:rsidR="006837AA">
        <w:rPr>
          <w:sz w:val="20"/>
          <w:lang w:val="en-GB"/>
        </w:rPr>
        <w:t>Mr. </w:t>
      </w:r>
      <w:r w:rsidR="00696F9C">
        <w:rPr>
          <w:sz w:val="20"/>
          <w:lang w:val="en-GB"/>
        </w:rPr>
        <w:t>Wilders</w:t>
      </w:r>
      <w:r w:rsidR="00C9761A" w:rsidRPr="00F15147">
        <w:rPr>
          <w:sz w:val="20"/>
          <w:lang w:val="en-GB"/>
        </w:rPr>
        <w:t xml:space="preserve">’ </w:t>
      </w:r>
      <w:r w:rsidR="0017400A" w:rsidRPr="00F15147">
        <w:rPr>
          <w:sz w:val="20"/>
          <w:lang w:val="en-GB"/>
        </w:rPr>
        <w:t>statements</w:t>
      </w:r>
      <w:r w:rsidR="00C9761A" w:rsidRPr="00F15147">
        <w:rPr>
          <w:sz w:val="20"/>
          <w:lang w:val="en-GB"/>
        </w:rPr>
        <w:t>, despite acknowledging the rulings of the Supreme Court</w:t>
      </w:r>
      <w:r w:rsidR="00CD7568">
        <w:rPr>
          <w:sz w:val="20"/>
          <w:lang w:val="en-GB"/>
        </w:rPr>
        <w:t>,</w:t>
      </w:r>
      <w:r w:rsidR="00C9761A" w:rsidRPr="00F15147">
        <w:rPr>
          <w:sz w:val="20"/>
          <w:lang w:val="en-GB"/>
        </w:rPr>
        <w:t xml:space="preserve"> which emphasi</w:t>
      </w:r>
      <w:r w:rsidR="00CD7568">
        <w:rPr>
          <w:sz w:val="20"/>
          <w:lang w:val="en-GB"/>
        </w:rPr>
        <w:t>z</w:t>
      </w:r>
      <w:r w:rsidR="00C9761A" w:rsidRPr="00F15147">
        <w:rPr>
          <w:sz w:val="20"/>
          <w:lang w:val="en-GB"/>
        </w:rPr>
        <w:t>e the importance of context in judging the criminal character of certain s</w:t>
      </w:r>
      <w:r w:rsidR="00CD7568">
        <w:rPr>
          <w:sz w:val="20"/>
          <w:lang w:val="en-GB"/>
        </w:rPr>
        <w:t>tatements</w:t>
      </w:r>
      <w:r w:rsidR="00C9761A" w:rsidRPr="00F15147">
        <w:rPr>
          <w:sz w:val="20"/>
          <w:lang w:val="en-GB"/>
        </w:rPr>
        <w:t xml:space="preserve">. </w:t>
      </w:r>
    </w:p>
    <w:p w14:paraId="350599A4" w14:textId="6E48A7F5" w:rsidR="00C9761A" w:rsidRPr="00F15147" w:rsidRDefault="00C9761A" w:rsidP="009D2668">
      <w:pPr>
        <w:pStyle w:val="SingleTxtG"/>
        <w:rPr>
          <w:sz w:val="20"/>
          <w:lang w:val="en-GB"/>
        </w:rPr>
      </w:pPr>
      <w:r w:rsidRPr="00F15147">
        <w:rPr>
          <w:sz w:val="20"/>
          <w:lang w:val="en-GB"/>
        </w:rPr>
        <w:t>7.</w:t>
      </w:r>
      <w:r w:rsidR="00DD6D06" w:rsidRPr="00F15147">
        <w:rPr>
          <w:sz w:val="20"/>
          <w:lang w:val="en-GB"/>
        </w:rPr>
        <w:t>6</w:t>
      </w:r>
      <w:r w:rsidRPr="00F15147">
        <w:rPr>
          <w:sz w:val="20"/>
          <w:lang w:val="en-GB"/>
        </w:rPr>
        <w:tab/>
        <w:t xml:space="preserve">In principle, religious criticism should not be criminally sanctioned because it does not amount to defamation of a group. The court failed to acknowledge the distinction between defamation and hate speech, while </w:t>
      </w:r>
      <w:r w:rsidR="006837AA">
        <w:rPr>
          <w:sz w:val="20"/>
          <w:lang w:val="en-GB"/>
        </w:rPr>
        <w:t>Mr. </w:t>
      </w:r>
      <w:r w:rsidR="00696F9C">
        <w:rPr>
          <w:sz w:val="20"/>
          <w:lang w:val="en-GB"/>
        </w:rPr>
        <w:t>Wilders</w:t>
      </w:r>
      <w:r w:rsidRPr="00F15147">
        <w:rPr>
          <w:sz w:val="20"/>
          <w:lang w:val="en-GB"/>
        </w:rPr>
        <w:t xml:space="preserve"> repeatedly confuse</w:t>
      </w:r>
      <w:r w:rsidR="00851CC2" w:rsidRPr="00F15147">
        <w:rPr>
          <w:sz w:val="20"/>
          <w:lang w:val="en-GB"/>
        </w:rPr>
        <w:t>s</w:t>
      </w:r>
      <w:r w:rsidRPr="00F15147">
        <w:rPr>
          <w:sz w:val="20"/>
          <w:lang w:val="en-GB"/>
        </w:rPr>
        <w:t xml:space="preserve"> the two. For instance, with respect to </w:t>
      </w:r>
      <w:r w:rsidR="00815066">
        <w:rPr>
          <w:sz w:val="20"/>
          <w:lang w:val="en-GB"/>
        </w:rPr>
        <w:t xml:space="preserve">the </w:t>
      </w:r>
      <w:r w:rsidRPr="00F15147">
        <w:rPr>
          <w:sz w:val="20"/>
          <w:lang w:val="en-GB"/>
        </w:rPr>
        <w:t xml:space="preserve">utterance </w:t>
      </w:r>
      <w:r w:rsidR="00815066">
        <w:rPr>
          <w:sz w:val="20"/>
          <w:lang w:val="en-GB"/>
        </w:rPr>
        <w:t>cited in paragraph 2.7 (c) (iii) above</w:t>
      </w:r>
      <w:r w:rsidRPr="00F15147">
        <w:rPr>
          <w:sz w:val="20"/>
          <w:lang w:val="en-GB"/>
        </w:rPr>
        <w:t xml:space="preserve">, the court admitted that it was used against Muslims and that the use of the words </w:t>
      </w:r>
      <w:r w:rsidR="009D2668">
        <w:rPr>
          <w:sz w:val="20"/>
          <w:lang w:val="en-GB"/>
        </w:rPr>
        <w:t>“</w:t>
      </w:r>
      <w:r w:rsidRPr="00F15147">
        <w:rPr>
          <w:sz w:val="20"/>
          <w:lang w:val="en-GB"/>
        </w:rPr>
        <w:t>to defend ourselves</w:t>
      </w:r>
      <w:r w:rsidR="009D2668">
        <w:rPr>
          <w:sz w:val="20"/>
          <w:lang w:val="en-GB"/>
        </w:rPr>
        <w:t>”</w:t>
      </w:r>
      <w:r w:rsidRPr="00F15147">
        <w:rPr>
          <w:sz w:val="20"/>
          <w:lang w:val="en-GB"/>
        </w:rPr>
        <w:t xml:space="preserve"> was provocative. It even found that </w:t>
      </w:r>
      <w:r w:rsidR="006837AA">
        <w:rPr>
          <w:sz w:val="20"/>
          <w:lang w:val="en-GB"/>
        </w:rPr>
        <w:t>Mr. </w:t>
      </w:r>
      <w:r w:rsidR="00696F9C">
        <w:rPr>
          <w:sz w:val="20"/>
          <w:lang w:val="en-GB"/>
        </w:rPr>
        <w:t>Wilders</w:t>
      </w:r>
      <w:r w:rsidRPr="00F15147">
        <w:rPr>
          <w:sz w:val="20"/>
          <w:lang w:val="en-GB"/>
        </w:rPr>
        <w:t xml:space="preserve"> was on the edge of criminal activity, but then noted that </w:t>
      </w:r>
      <w:r w:rsidR="009D2668">
        <w:rPr>
          <w:sz w:val="20"/>
          <w:lang w:val="en-GB"/>
        </w:rPr>
        <w:t>“</w:t>
      </w:r>
      <w:r w:rsidRPr="00F15147">
        <w:rPr>
          <w:sz w:val="20"/>
          <w:lang w:val="en-GB"/>
        </w:rPr>
        <w:t>the defendant says in the interview that he is not against Muslims but against Islam</w:t>
      </w:r>
      <w:r w:rsidR="009D2668">
        <w:rPr>
          <w:sz w:val="20"/>
          <w:lang w:val="en-GB"/>
        </w:rPr>
        <w:t>”</w:t>
      </w:r>
      <w:r w:rsidRPr="00F15147">
        <w:rPr>
          <w:sz w:val="20"/>
          <w:lang w:val="en-GB"/>
        </w:rPr>
        <w:t xml:space="preserve">. </w:t>
      </w:r>
      <w:r w:rsidR="00851CC2" w:rsidRPr="00F15147">
        <w:rPr>
          <w:sz w:val="20"/>
          <w:lang w:val="en-GB"/>
        </w:rPr>
        <w:t>T</w:t>
      </w:r>
      <w:r w:rsidRPr="00F15147">
        <w:rPr>
          <w:sz w:val="20"/>
          <w:lang w:val="en-GB"/>
        </w:rPr>
        <w:t xml:space="preserve">he court </w:t>
      </w:r>
      <w:r w:rsidR="00851CC2" w:rsidRPr="00F15147">
        <w:rPr>
          <w:sz w:val="20"/>
          <w:lang w:val="en-GB"/>
        </w:rPr>
        <w:t xml:space="preserve">therefore </w:t>
      </w:r>
      <w:r w:rsidRPr="00F15147">
        <w:rPr>
          <w:sz w:val="20"/>
          <w:lang w:val="en-GB"/>
        </w:rPr>
        <w:t xml:space="preserve">decided there was no incitement to racial hatred. </w:t>
      </w:r>
      <w:r w:rsidR="006837AA">
        <w:rPr>
          <w:sz w:val="20"/>
          <w:lang w:val="en-GB"/>
        </w:rPr>
        <w:t>Mr. </w:t>
      </w:r>
      <w:r w:rsidR="00696F9C">
        <w:rPr>
          <w:sz w:val="20"/>
          <w:lang w:val="en-GB"/>
        </w:rPr>
        <w:t>Wilders</w:t>
      </w:r>
      <w:r w:rsidRPr="00F15147">
        <w:rPr>
          <w:sz w:val="20"/>
          <w:lang w:val="en-GB"/>
        </w:rPr>
        <w:t>’ emphasis on Islam, as opposed to Muslims, shows that he took legal advice</w:t>
      </w:r>
      <w:r w:rsidR="00851CC2" w:rsidRPr="00F15147">
        <w:rPr>
          <w:sz w:val="20"/>
          <w:lang w:val="en-GB"/>
        </w:rPr>
        <w:t xml:space="preserve">, but </w:t>
      </w:r>
      <w:r w:rsidRPr="00F15147">
        <w:rPr>
          <w:sz w:val="20"/>
          <w:lang w:val="en-GB"/>
        </w:rPr>
        <w:t xml:space="preserve">does not alter the essence and the effect of his utterances. </w:t>
      </w:r>
    </w:p>
    <w:p w14:paraId="32E404E4" w14:textId="5B68E802" w:rsidR="00C9761A" w:rsidRPr="00F15147" w:rsidRDefault="00C9761A" w:rsidP="009D2668">
      <w:pPr>
        <w:pStyle w:val="SingleTxtG"/>
        <w:rPr>
          <w:sz w:val="20"/>
          <w:lang w:val="en-GB"/>
        </w:rPr>
      </w:pPr>
      <w:r w:rsidRPr="00F15147">
        <w:rPr>
          <w:sz w:val="20"/>
          <w:lang w:val="en-GB"/>
        </w:rPr>
        <w:t>7.</w:t>
      </w:r>
      <w:r w:rsidR="00DD6D06" w:rsidRPr="00F15147">
        <w:rPr>
          <w:sz w:val="20"/>
          <w:lang w:val="en-GB"/>
        </w:rPr>
        <w:t>7</w:t>
      </w:r>
      <w:r w:rsidRPr="00F15147">
        <w:rPr>
          <w:sz w:val="20"/>
          <w:lang w:val="en-GB"/>
        </w:rPr>
        <w:tab/>
      </w:r>
      <w:r w:rsidR="006837AA">
        <w:rPr>
          <w:sz w:val="20"/>
          <w:lang w:val="en-GB"/>
        </w:rPr>
        <w:t>Mr. </w:t>
      </w:r>
      <w:r w:rsidR="00696F9C">
        <w:rPr>
          <w:sz w:val="20"/>
          <w:lang w:val="en-GB"/>
        </w:rPr>
        <w:t>Wilders</w:t>
      </w:r>
      <w:r w:rsidRPr="00F15147">
        <w:rPr>
          <w:sz w:val="20"/>
          <w:lang w:val="en-GB"/>
        </w:rPr>
        <w:t xml:space="preserve"> repeatedly used the words </w:t>
      </w:r>
      <w:r w:rsidR="009D2668">
        <w:rPr>
          <w:sz w:val="20"/>
          <w:lang w:val="en-GB"/>
        </w:rPr>
        <w:t>“</w:t>
      </w:r>
      <w:r w:rsidRPr="00F15147">
        <w:rPr>
          <w:sz w:val="20"/>
          <w:lang w:val="en-GB"/>
        </w:rPr>
        <w:t>Moroccans</w:t>
      </w:r>
      <w:r w:rsidR="009D2668">
        <w:rPr>
          <w:sz w:val="20"/>
          <w:lang w:val="en-GB"/>
        </w:rPr>
        <w:t>”</w:t>
      </w:r>
      <w:r w:rsidRPr="00F15147">
        <w:rPr>
          <w:sz w:val="20"/>
          <w:lang w:val="en-GB"/>
        </w:rPr>
        <w:t xml:space="preserve"> and </w:t>
      </w:r>
      <w:r w:rsidR="009D2668">
        <w:rPr>
          <w:sz w:val="20"/>
          <w:lang w:val="en-GB"/>
        </w:rPr>
        <w:t>“</w:t>
      </w:r>
      <w:r w:rsidRPr="00F15147">
        <w:rPr>
          <w:sz w:val="20"/>
          <w:lang w:val="en-GB"/>
        </w:rPr>
        <w:t>non-</w:t>
      </w:r>
      <w:r w:rsidR="009D2668">
        <w:rPr>
          <w:sz w:val="20"/>
          <w:lang w:val="en-GB"/>
        </w:rPr>
        <w:t>W</w:t>
      </w:r>
      <w:r w:rsidRPr="00F15147">
        <w:rPr>
          <w:sz w:val="20"/>
          <w:lang w:val="en-GB"/>
        </w:rPr>
        <w:t>estern immigrants</w:t>
      </w:r>
      <w:r w:rsidR="009D2668">
        <w:rPr>
          <w:sz w:val="20"/>
          <w:lang w:val="en-GB"/>
        </w:rPr>
        <w:t>”</w:t>
      </w:r>
      <w:r w:rsidRPr="00F15147">
        <w:rPr>
          <w:sz w:val="20"/>
          <w:lang w:val="en-GB"/>
        </w:rPr>
        <w:t xml:space="preserve">. The court’s decision that the element of race could not be established suggests that </w:t>
      </w:r>
      <w:r w:rsidR="00851CC2" w:rsidRPr="00F15147">
        <w:rPr>
          <w:sz w:val="20"/>
          <w:lang w:val="en-GB"/>
        </w:rPr>
        <w:t>it</w:t>
      </w:r>
      <w:r w:rsidRPr="00F15147">
        <w:rPr>
          <w:sz w:val="20"/>
          <w:lang w:val="en-GB"/>
        </w:rPr>
        <w:t xml:space="preserve"> applied a definition of race contrary to </w:t>
      </w:r>
      <w:r w:rsidR="00851CC2" w:rsidRPr="00F15147">
        <w:rPr>
          <w:sz w:val="20"/>
          <w:lang w:val="en-GB"/>
        </w:rPr>
        <w:t>that</w:t>
      </w:r>
      <w:r w:rsidRPr="00F15147">
        <w:rPr>
          <w:sz w:val="20"/>
          <w:lang w:val="en-GB"/>
        </w:rPr>
        <w:t xml:space="preserve"> of the Supreme Court and the definition used by the </w:t>
      </w:r>
      <w:r w:rsidR="002F5250">
        <w:rPr>
          <w:sz w:val="20"/>
          <w:lang w:val="en-GB"/>
        </w:rPr>
        <w:t xml:space="preserve">the </w:t>
      </w:r>
      <w:r w:rsidR="002F5250" w:rsidRPr="002F5250">
        <w:rPr>
          <w:rStyle w:val="Emphasis"/>
          <w:i w:val="0"/>
          <w:iCs w:val="0"/>
          <w:sz w:val="20"/>
          <w:szCs w:val="20"/>
        </w:rPr>
        <w:t>Committee</w:t>
      </w:r>
      <w:r w:rsidR="002F5250" w:rsidRPr="002F5250">
        <w:rPr>
          <w:rStyle w:val="preferred"/>
          <w:i/>
          <w:sz w:val="20"/>
          <w:szCs w:val="20"/>
        </w:rPr>
        <w:t xml:space="preserve"> </w:t>
      </w:r>
      <w:r w:rsidR="002F5250" w:rsidRPr="002F5250">
        <w:rPr>
          <w:rStyle w:val="Emphasis"/>
          <w:i w:val="0"/>
          <w:iCs w:val="0"/>
          <w:sz w:val="20"/>
          <w:szCs w:val="20"/>
        </w:rPr>
        <w:t>on</w:t>
      </w:r>
      <w:r w:rsidR="002F5250" w:rsidRPr="002F5250">
        <w:rPr>
          <w:rStyle w:val="preferred"/>
          <w:i/>
          <w:sz w:val="20"/>
          <w:szCs w:val="20"/>
        </w:rPr>
        <w:t xml:space="preserve"> </w:t>
      </w:r>
      <w:r w:rsidR="002F5250" w:rsidRPr="002F5250">
        <w:rPr>
          <w:rStyle w:val="Emphasis"/>
          <w:i w:val="0"/>
          <w:iCs w:val="0"/>
          <w:sz w:val="20"/>
          <w:szCs w:val="20"/>
        </w:rPr>
        <w:t>the</w:t>
      </w:r>
      <w:r w:rsidR="002F5250" w:rsidRPr="002F5250">
        <w:rPr>
          <w:rStyle w:val="preferred"/>
          <w:i/>
          <w:sz w:val="20"/>
          <w:szCs w:val="20"/>
        </w:rPr>
        <w:t xml:space="preserve"> </w:t>
      </w:r>
      <w:r w:rsidR="002F5250" w:rsidRPr="002F5250">
        <w:rPr>
          <w:rStyle w:val="Emphasis"/>
          <w:i w:val="0"/>
          <w:iCs w:val="0"/>
          <w:sz w:val="20"/>
          <w:szCs w:val="20"/>
        </w:rPr>
        <w:t>Elimination</w:t>
      </w:r>
      <w:r w:rsidR="002F5250" w:rsidRPr="002F5250">
        <w:rPr>
          <w:rStyle w:val="preferred"/>
          <w:i/>
          <w:sz w:val="20"/>
          <w:szCs w:val="20"/>
        </w:rPr>
        <w:t xml:space="preserve"> </w:t>
      </w:r>
      <w:r w:rsidR="002F5250" w:rsidRPr="002F5250">
        <w:rPr>
          <w:rStyle w:val="Emphasis"/>
          <w:i w:val="0"/>
          <w:iCs w:val="0"/>
          <w:sz w:val="20"/>
          <w:szCs w:val="20"/>
        </w:rPr>
        <w:t>of</w:t>
      </w:r>
      <w:r w:rsidR="002F5250" w:rsidRPr="002F5250">
        <w:rPr>
          <w:rStyle w:val="preferred"/>
          <w:i/>
          <w:sz w:val="20"/>
          <w:szCs w:val="20"/>
        </w:rPr>
        <w:t xml:space="preserve"> </w:t>
      </w:r>
      <w:r w:rsidR="002F5250" w:rsidRPr="002F5250">
        <w:rPr>
          <w:rStyle w:val="Emphasis"/>
          <w:i w:val="0"/>
          <w:iCs w:val="0"/>
          <w:sz w:val="20"/>
          <w:szCs w:val="20"/>
        </w:rPr>
        <w:t>Racial</w:t>
      </w:r>
      <w:r w:rsidR="002F5250" w:rsidRPr="002F5250">
        <w:rPr>
          <w:rStyle w:val="preferred"/>
          <w:i/>
          <w:sz w:val="20"/>
          <w:szCs w:val="20"/>
        </w:rPr>
        <w:t xml:space="preserve"> </w:t>
      </w:r>
      <w:r w:rsidR="002F5250" w:rsidRPr="002F5250">
        <w:rPr>
          <w:rStyle w:val="Emphasis"/>
          <w:i w:val="0"/>
          <w:iCs w:val="0"/>
          <w:sz w:val="20"/>
          <w:szCs w:val="20"/>
        </w:rPr>
        <w:t>Discrimination</w:t>
      </w:r>
      <w:r w:rsidRPr="00F15147">
        <w:rPr>
          <w:sz w:val="20"/>
          <w:lang w:val="en-GB"/>
        </w:rPr>
        <w:t xml:space="preserve"> and the </w:t>
      </w:r>
      <w:r w:rsidR="009D2668" w:rsidRPr="009D2668">
        <w:rPr>
          <w:sz w:val="20"/>
          <w:lang w:val="en-GB"/>
        </w:rPr>
        <w:t>European Commission against Racism and Intolerance</w:t>
      </w:r>
      <w:r w:rsidRPr="00F15147">
        <w:rPr>
          <w:sz w:val="20"/>
          <w:lang w:val="en-GB"/>
        </w:rPr>
        <w:t xml:space="preserve">. </w:t>
      </w:r>
    </w:p>
    <w:p w14:paraId="4F14D7F9" w14:textId="3302A48C" w:rsidR="00C9761A" w:rsidRPr="00F15147" w:rsidRDefault="00C9761A" w:rsidP="009D2668">
      <w:pPr>
        <w:pStyle w:val="SingleTxtG"/>
        <w:rPr>
          <w:sz w:val="20"/>
          <w:lang w:val="en-GB"/>
        </w:rPr>
      </w:pPr>
      <w:r w:rsidRPr="00F15147">
        <w:rPr>
          <w:sz w:val="20"/>
          <w:lang w:val="en-GB"/>
        </w:rPr>
        <w:t>7.</w:t>
      </w:r>
      <w:r w:rsidR="00DD6D06" w:rsidRPr="00F15147">
        <w:rPr>
          <w:sz w:val="20"/>
          <w:lang w:val="en-GB"/>
        </w:rPr>
        <w:t>8</w:t>
      </w:r>
      <w:r w:rsidRPr="00F15147">
        <w:rPr>
          <w:sz w:val="20"/>
          <w:lang w:val="en-GB"/>
        </w:rPr>
        <w:tab/>
        <w:t xml:space="preserve">The authors object </w:t>
      </w:r>
      <w:r w:rsidR="00851CC2" w:rsidRPr="00F15147">
        <w:rPr>
          <w:sz w:val="20"/>
          <w:lang w:val="en-GB"/>
        </w:rPr>
        <w:t>to the</w:t>
      </w:r>
      <w:r w:rsidRPr="00F15147">
        <w:rPr>
          <w:sz w:val="20"/>
          <w:lang w:val="en-GB"/>
        </w:rPr>
        <w:t xml:space="preserve"> use of public debate as an excuse for hate speech, </w:t>
      </w:r>
      <w:r w:rsidR="00851CC2" w:rsidRPr="00F15147">
        <w:rPr>
          <w:sz w:val="20"/>
          <w:lang w:val="en-GB"/>
        </w:rPr>
        <w:t>and</w:t>
      </w:r>
      <w:r w:rsidRPr="00F15147">
        <w:rPr>
          <w:sz w:val="20"/>
          <w:lang w:val="en-GB"/>
        </w:rPr>
        <w:t xml:space="preserve"> to the court’s emphasis on the importance of the public debate without referencing the responsibilities of politicians to the integrity of that debate. The way a statement is perceived by the average citizen is crucial to </w:t>
      </w:r>
      <w:r w:rsidR="00356C44" w:rsidRPr="00F15147">
        <w:rPr>
          <w:sz w:val="20"/>
          <w:lang w:val="en-GB"/>
        </w:rPr>
        <w:t>assessing</w:t>
      </w:r>
      <w:r w:rsidRPr="00F15147">
        <w:rPr>
          <w:sz w:val="20"/>
          <w:lang w:val="en-GB"/>
        </w:rPr>
        <w:t xml:space="preserve"> whether it </w:t>
      </w:r>
      <w:r w:rsidR="00356C44" w:rsidRPr="00F15147">
        <w:rPr>
          <w:sz w:val="20"/>
          <w:lang w:val="en-GB"/>
        </w:rPr>
        <w:t>constitutes</w:t>
      </w:r>
      <w:r w:rsidRPr="00F15147">
        <w:rPr>
          <w:sz w:val="20"/>
          <w:lang w:val="en-GB"/>
        </w:rPr>
        <w:t xml:space="preserve"> hate speech, as hate speech is a crime that always involves both a sender and a receiver.</w:t>
      </w:r>
    </w:p>
    <w:p w14:paraId="6DAE39C1" w14:textId="56FF58FC" w:rsidR="00C63C94" w:rsidRPr="00F15147" w:rsidRDefault="003204B4" w:rsidP="001B64C0">
      <w:pPr>
        <w:pStyle w:val="H23G"/>
        <w:rPr>
          <w:sz w:val="20"/>
        </w:rPr>
      </w:pPr>
      <w:r w:rsidRPr="00F15147">
        <w:rPr>
          <w:sz w:val="20"/>
        </w:rPr>
        <w:tab/>
      </w:r>
      <w:r w:rsidRPr="00F15147">
        <w:rPr>
          <w:sz w:val="20"/>
        </w:rPr>
        <w:tab/>
      </w:r>
      <w:r w:rsidR="001B64C0" w:rsidRPr="000B2672">
        <w:rPr>
          <w:sz w:val="20"/>
        </w:rPr>
        <w:t xml:space="preserve">State party’s </w:t>
      </w:r>
      <w:r w:rsidR="001B64C0" w:rsidRPr="00F15147">
        <w:rPr>
          <w:sz w:val="20"/>
          <w:szCs w:val="20"/>
        </w:rPr>
        <w:t>a</w:t>
      </w:r>
      <w:r w:rsidR="00C63C94" w:rsidRPr="00F15147">
        <w:rPr>
          <w:sz w:val="20"/>
          <w:szCs w:val="20"/>
        </w:rPr>
        <w:t>dditional observations</w:t>
      </w:r>
    </w:p>
    <w:p w14:paraId="4FEA9A32" w14:textId="24345E35" w:rsidR="00C63C94" w:rsidRPr="00F15147" w:rsidRDefault="00C9761A" w:rsidP="00CA1FCA">
      <w:pPr>
        <w:pStyle w:val="SingleTxtG"/>
        <w:rPr>
          <w:sz w:val="20"/>
          <w:lang w:val="en-GB"/>
        </w:rPr>
      </w:pPr>
      <w:r w:rsidRPr="00F15147">
        <w:rPr>
          <w:sz w:val="20"/>
          <w:lang w:val="en-GB"/>
        </w:rPr>
        <w:t>8</w:t>
      </w:r>
      <w:r w:rsidR="004E289D" w:rsidRPr="00F15147">
        <w:rPr>
          <w:sz w:val="20"/>
          <w:lang w:val="en-GB"/>
        </w:rPr>
        <w:t>.1</w:t>
      </w:r>
      <w:r w:rsidR="004E289D" w:rsidRPr="00F15147">
        <w:rPr>
          <w:sz w:val="20"/>
          <w:lang w:val="en-GB"/>
        </w:rPr>
        <w:tab/>
      </w:r>
      <w:r w:rsidR="00C63C94" w:rsidRPr="00F15147">
        <w:rPr>
          <w:sz w:val="20"/>
          <w:lang w:val="en-GB"/>
        </w:rPr>
        <w:t>On 2 February 2016</w:t>
      </w:r>
      <w:r w:rsidR="000B2672">
        <w:rPr>
          <w:sz w:val="20"/>
          <w:lang w:val="en-GB"/>
        </w:rPr>
        <w:t>,</w:t>
      </w:r>
      <w:r w:rsidR="00C63C94" w:rsidRPr="00F15147">
        <w:rPr>
          <w:sz w:val="20"/>
          <w:lang w:val="en-GB"/>
        </w:rPr>
        <w:t xml:space="preserve"> the State party </w:t>
      </w:r>
      <w:r w:rsidR="000B2672">
        <w:rPr>
          <w:sz w:val="20"/>
          <w:lang w:val="en-GB"/>
        </w:rPr>
        <w:t>submitted</w:t>
      </w:r>
      <w:r w:rsidR="00C63C94" w:rsidRPr="00F15147">
        <w:rPr>
          <w:sz w:val="20"/>
          <w:lang w:val="en-GB"/>
        </w:rPr>
        <w:t xml:space="preserve"> additional observations</w:t>
      </w:r>
      <w:r w:rsidR="00617F64" w:rsidRPr="00F15147">
        <w:rPr>
          <w:sz w:val="20"/>
          <w:lang w:val="en-GB"/>
        </w:rPr>
        <w:t>. It note</w:t>
      </w:r>
      <w:r w:rsidR="00CA1FCA">
        <w:rPr>
          <w:sz w:val="20"/>
          <w:lang w:val="en-GB"/>
        </w:rPr>
        <w:t>d</w:t>
      </w:r>
      <w:r w:rsidR="00617F64" w:rsidRPr="00F15147">
        <w:rPr>
          <w:sz w:val="20"/>
          <w:lang w:val="en-GB"/>
        </w:rPr>
        <w:t xml:space="preserve"> that the first hearing in</w:t>
      </w:r>
      <w:r w:rsidR="00C63C94" w:rsidRPr="00F15147">
        <w:rPr>
          <w:sz w:val="20"/>
          <w:lang w:val="en-GB"/>
        </w:rPr>
        <w:t xml:space="preserve"> the second criminal case against </w:t>
      </w:r>
      <w:r w:rsidR="006837AA">
        <w:rPr>
          <w:sz w:val="20"/>
          <w:lang w:val="en-GB"/>
        </w:rPr>
        <w:t>Mr. </w:t>
      </w:r>
      <w:r w:rsidR="00696F9C">
        <w:rPr>
          <w:sz w:val="20"/>
          <w:lang w:val="en-GB"/>
        </w:rPr>
        <w:t>Wilders</w:t>
      </w:r>
      <w:r w:rsidR="00D34466" w:rsidRPr="00F15147">
        <w:rPr>
          <w:sz w:val="20"/>
          <w:lang w:val="en-GB"/>
        </w:rPr>
        <w:t>,</w:t>
      </w:r>
      <w:r w:rsidR="00A74A0B" w:rsidRPr="00F15147">
        <w:rPr>
          <w:sz w:val="20"/>
          <w:lang w:val="en-GB"/>
        </w:rPr>
        <w:t xml:space="preserve"> </w:t>
      </w:r>
      <w:r w:rsidR="000B2672">
        <w:rPr>
          <w:sz w:val="20"/>
          <w:lang w:val="en-GB"/>
        </w:rPr>
        <w:t>which began</w:t>
      </w:r>
      <w:r w:rsidR="00A74A0B" w:rsidRPr="00F15147">
        <w:rPr>
          <w:sz w:val="20"/>
          <w:lang w:val="en-GB"/>
        </w:rPr>
        <w:t xml:space="preserve"> in 2014,</w:t>
      </w:r>
      <w:r w:rsidR="00C63C94" w:rsidRPr="00F15147">
        <w:rPr>
          <w:sz w:val="20"/>
          <w:lang w:val="en-GB"/>
        </w:rPr>
        <w:t xml:space="preserve"> </w:t>
      </w:r>
      <w:r w:rsidR="002B797B" w:rsidRPr="00F15147">
        <w:rPr>
          <w:sz w:val="20"/>
          <w:lang w:val="en-GB"/>
        </w:rPr>
        <w:t>w</w:t>
      </w:r>
      <w:r w:rsidR="00CA1FCA">
        <w:rPr>
          <w:sz w:val="20"/>
          <w:lang w:val="en-GB"/>
        </w:rPr>
        <w:t>ould</w:t>
      </w:r>
      <w:r w:rsidR="002B797B" w:rsidRPr="00F15147">
        <w:rPr>
          <w:sz w:val="20"/>
          <w:lang w:val="en-GB"/>
        </w:rPr>
        <w:t xml:space="preserve"> take place in March 2016.</w:t>
      </w:r>
      <w:r w:rsidR="0072490A" w:rsidRPr="00F15147">
        <w:rPr>
          <w:sz w:val="20"/>
          <w:lang w:val="en-GB"/>
        </w:rPr>
        <w:t xml:space="preserve"> </w:t>
      </w:r>
    </w:p>
    <w:p w14:paraId="762A5E61" w14:textId="0EE44183" w:rsidR="00D05A31" w:rsidRPr="00F15147" w:rsidRDefault="00DA2256" w:rsidP="00C67E38">
      <w:pPr>
        <w:pStyle w:val="SingleTxtG"/>
        <w:rPr>
          <w:sz w:val="20"/>
          <w:lang w:val="en-GB"/>
        </w:rPr>
      </w:pPr>
      <w:r w:rsidRPr="00F15147">
        <w:rPr>
          <w:sz w:val="20"/>
          <w:lang w:val="en-GB"/>
        </w:rPr>
        <w:t>8</w:t>
      </w:r>
      <w:r w:rsidR="004E289D" w:rsidRPr="00F15147">
        <w:rPr>
          <w:sz w:val="20"/>
          <w:lang w:val="en-GB"/>
        </w:rPr>
        <w:t>.2</w:t>
      </w:r>
      <w:r w:rsidR="004E289D" w:rsidRPr="00F15147">
        <w:rPr>
          <w:sz w:val="20"/>
          <w:lang w:val="en-GB"/>
        </w:rPr>
        <w:tab/>
      </w:r>
      <w:r w:rsidR="00D05A31" w:rsidRPr="00F15147">
        <w:rPr>
          <w:sz w:val="20"/>
          <w:lang w:val="en-GB"/>
        </w:rPr>
        <w:t xml:space="preserve">Regarding the present case, the </w:t>
      </w:r>
      <w:r w:rsidR="00D34466" w:rsidRPr="00F15147">
        <w:rPr>
          <w:sz w:val="20"/>
          <w:lang w:val="en-GB"/>
        </w:rPr>
        <w:t>prosecutor</w:t>
      </w:r>
      <w:r w:rsidR="00D05A31" w:rsidRPr="00F15147">
        <w:rPr>
          <w:sz w:val="20"/>
          <w:lang w:val="en-GB"/>
        </w:rPr>
        <w:t xml:space="preserve"> complied </w:t>
      </w:r>
      <w:r w:rsidR="000B2672" w:rsidRPr="00ED5A96">
        <w:rPr>
          <w:sz w:val="20"/>
          <w:lang w:val="en-GB"/>
        </w:rPr>
        <w:t>fully</w:t>
      </w:r>
      <w:r w:rsidR="000B2672" w:rsidRPr="000B2672">
        <w:rPr>
          <w:sz w:val="20"/>
          <w:lang w:val="en-GB"/>
        </w:rPr>
        <w:t xml:space="preserve"> </w:t>
      </w:r>
      <w:r w:rsidR="000B2672" w:rsidRPr="00F3618E">
        <w:rPr>
          <w:sz w:val="20"/>
          <w:lang w:val="en-GB"/>
        </w:rPr>
        <w:t>and without reservation</w:t>
      </w:r>
      <w:r w:rsidR="000B2672" w:rsidRPr="000B2672">
        <w:rPr>
          <w:sz w:val="20"/>
          <w:lang w:val="en-GB"/>
        </w:rPr>
        <w:t xml:space="preserve"> </w:t>
      </w:r>
      <w:r w:rsidR="00D05A31" w:rsidRPr="00F15147">
        <w:rPr>
          <w:sz w:val="20"/>
          <w:lang w:val="en-GB"/>
        </w:rPr>
        <w:t xml:space="preserve">with the order </w:t>
      </w:r>
      <w:r w:rsidR="000B2672">
        <w:rPr>
          <w:sz w:val="20"/>
          <w:lang w:val="en-GB"/>
        </w:rPr>
        <w:t>from</w:t>
      </w:r>
      <w:r w:rsidR="00D05A31" w:rsidRPr="00F15147">
        <w:rPr>
          <w:sz w:val="20"/>
          <w:lang w:val="en-GB"/>
        </w:rPr>
        <w:t xml:space="preserve"> the Amsterdam Court of Appeal, </w:t>
      </w:r>
      <w:r w:rsidR="007C180B" w:rsidRPr="00F15147">
        <w:rPr>
          <w:sz w:val="20"/>
          <w:lang w:val="en-GB"/>
        </w:rPr>
        <w:t xml:space="preserve">presented detailed legal and factual arguments, </w:t>
      </w:r>
      <w:r w:rsidR="00D05A31" w:rsidRPr="00F15147">
        <w:rPr>
          <w:sz w:val="20"/>
          <w:lang w:val="en-GB"/>
        </w:rPr>
        <w:t xml:space="preserve">based </w:t>
      </w:r>
      <w:r w:rsidR="00C67E38">
        <w:rPr>
          <w:sz w:val="20"/>
          <w:lang w:val="en-GB"/>
        </w:rPr>
        <w:t>the</w:t>
      </w:r>
      <w:r w:rsidR="00D05A31" w:rsidRPr="00F15147">
        <w:rPr>
          <w:sz w:val="20"/>
          <w:lang w:val="en-GB"/>
        </w:rPr>
        <w:t xml:space="preserve"> opinion on purely legal grounds and did not follow the line taken by </w:t>
      </w:r>
      <w:r w:rsidR="006837AA">
        <w:rPr>
          <w:sz w:val="20"/>
          <w:lang w:val="en-GB"/>
        </w:rPr>
        <w:t>Mr. </w:t>
      </w:r>
      <w:r w:rsidR="00696F9C">
        <w:rPr>
          <w:sz w:val="20"/>
          <w:lang w:val="en-GB"/>
        </w:rPr>
        <w:t>Wilders</w:t>
      </w:r>
      <w:r w:rsidR="00D05A31" w:rsidRPr="00F15147">
        <w:rPr>
          <w:sz w:val="20"/>
          <w:lang w:val="en-GB"/>
        </w:rPr>
        <w:t xml:space="preserve">’ defence. </w:t>
      </w:r>
      <w:r w:rsidR="007C180B" w:rsidRPr="00F15147">
        <w:rPr>
          <w:sz w:val="20"/>
          <w:lang w:val="en-GB"/>
        </w:rPr>
        <w:t xml:space="preserve">The </w:t>
      </w:r>
      <w:r w:rsidR="00A8349E" w:rsidRPr="00454814">
        <w:rPr>
          <w:sz w:val="20"/>
          <w:lang w:val="en-GB"/>
        </w:rPr>
        <w:t>decision</w:t>
      </w:r>
      <w:r w:rsidR="00A8349E" w:rsidRPr="00A8349E">
        <w:rPr>
          <w:sz w:val="20"/>
          <w:lang w:val="en-GB"/>
        </w:rPr>
        <w:t xml:space="preserve"> </w:t>
      </w:r>
      <w:r w:rsidR="00A8349E">
        <w:rPr>
          <w:sz w:val="20"/>
          <w:lang w:val="en-GB"/>
        </w:rPr>
        <w:t xml:space="preserve">of the </w:t>
      </w:r>
      <w:r w:rsidR="007C180B" w:rsidRPr="00F15147">
        <w:rPr>
          <w:sz w:val="20"/>
          <w:lang w:val="en-GB"/>
        </w:rPr>
        <w:t xml:space="preserve">Court of Appeal also formed part of the case file. </w:t>
      </w:r>
      <w:r w:rsidR="00D05A31" w:rsidRPr="00F15147">
        <w:rPr>
          <w:sz w:val="20"/>
          <w:lang w:val="en-GB"/>
        </w:rPr>
        <w:t xml:space="preserve">The fact that the case was being prosecuted by the Public Prosecution Service partly through a public prosecutor who had been involved in the decision not to prosecute did not mean that the </w:t>
      </w:r>
      <w:r w:rsidR="00FC3970" w:rsidRPr="00F15147">
        <w:rPr>
          <w:sz w:val="20"/>
          <w:lang w:val="en-GB"/>
        </w:rPr>
        <w:t>C</w:t>
      </w:r>
      <w:r w:rsidR="00D05A31" w:rsidRPr="00F15147">
        <w:rPr>
          <w:sz w:val="20"/>
          <w:lang w:val="en-GB"/>
        </w:rPr>
        <w:t xml:space="preserve">ourt of </w:t>
      </w:r>
      <w:r w:rsidR="00FC3970" w:rsidRPr="00F15147">
        <w:rPr>
          <w:sz w:val="20"/>
          <w:lang w:val="en-GB"/>
        </w:rPr>
        <w:t>A</w:t>
      </w:r>
      <w:r w:rsidR="00D05A31" w:rsidRPr="00F15147">
        <w:rPr>
          <w:sz w:val="20"/>
          <w:lang w:val="en-GB"/>
        </w:rPr>
        <w:t>ppeal’s order for prosecution was complied with half-heartedly.</w:t>
      </w:r>
      <w:r w:rsidR="004527FE" w:rsidRPr="00F15147">
        <w:rPr>
          <w:sz w:val="20"/>
          <w:lang w:val="en-GB"/>
        </w:rPr>
        <w:t xml:space="preserve"> </w:t>
      </w:r>
      <w:r w:rsidR="00617F64" w:rsidRPr="00F15147">
        <w:rPr>
          <w:sz w:val="20"/>
          <w:lang w:val="en-GB"/>
        </w:rPr>
        <w:t xml:space="preserve">The prosecutor represents the Public Prosecution Service. </w:t>
      </w:r>
      <w:r w:rsidR="007C180B" w:rsidRPr="00F15147">
        <w:rPr>
          <w:sz w:val="20"/>
          <w:lang w:val="en-GB"/>
        </w:rPr>
        <w:t xml:space="preserve">The interim relief judge held that the prosecutor complied with the </w:t>
      </w:r>
      <w:r w:rsidR="00617F64" w:rsidRPr="00F15147">
        <w:rPr>
          <w:sz w:val="20"/>
          <w:lang w:val="en-GB"/>
        </w:rPr>
        <w:t xml:space="preserve">Court of Appeal’s </w:t>
      </w:r>
      <w:r w:rsidR="007C180B" w:rsidRPr="00F15147">
        <w:rPr>
          <w:sz w:val="20"/>
          <w:lang w:val="en-GB"/>
        </w:rPr>
        <w:t>order in full.</w:t>
      </w:r>
      <w:r w:rsidR="004527FE" w:rsidRPr="00F15147">
        <w:rPr>
          <w:sz w:val="20"/>
          <w:lang w:val="en-GB"/>
        </w:rPr>
        <w:t xml:space="preserve"> </w:t>
      </w:r>
      <w:r w:rsidR="007C180B" w:rsidRPr="00F15147">
        <w:rPr>
          <w:sz w:val="20"/>
          <w:lang w:val="en-GB"/>
        </w:rPr>
        <w:t xml:space="preserve">The acquittal was not </w:t>
      </w:r>
      <w:r w:rsidR="007C180B" w:rsidRPr="00F15147">
        <w:rPr>
          <w:sz w:val="20"/>
          <w:lang w:val="en-GB"/>
        </w:rPr>
        <w:lastRenderedPageBreak/>
        <w:t>appealed because the Procurator General concluded that the case was not suitable for such an application.</w:t>
      </w:r>
    </w:p>
    <w:p w14:paraId="5273B6DC" w14:textId="366F3F40" w:rsidR="009F3D9D" w:rsidRPr="00F15147" w:rsidRDefault="00C9761A" w:rsidP="002262C0">
      <w:pPr>
        <w:pStyle w:val="SingleTxtG"/>
        <w:rPr>
          <w:sz w:val="20"/>
          <w:lang w:val="en-GB"/>
        </w:rPr>
      </w:pPr>
      <w:r w:rsidRPr="00F15147">
        <w:rPr>
          <w:sz w:val="20"/>
          <w:lang w:val="en-GB"/>
        </w:rPr>
        <w:t>8</w:t>
      </w:r>
      <w:r w:rsidR="004E289D" w:rsidRPr="00F15147">
        <w:rPr>
          <w:sz w:val="20"/>
          <w:lang w:val="en-GB"/>
        </w:rPr>
        <w:t>.3</w:t>
      </w:r>
      <w:r w:rsidR="004E289D" w:rsidRPr="00F15147">
        <w:rPr>
          <w:sz w:val="20"/>
          <w:lang w:val="en-GB"/>
        </w:rPr>
        <w:tab/>
      </w:r>
      <w:r w:rsidR="007C180B" w:rsidRPr="00F15147">
        <w:rPr>
          <w:sz w:val="20"/>
          <w:lang w:val="en-GB"/>
        </w:rPr>
        <w:t xml:space="preserve">In </w:t>
      </w:r>
      <w:r w:rsidR="002262C0">
        <w:rPr>
          <w:sz w:val="20"/>
          <w:lang w:val="en-GB"/>
        </w:rPr>
        <w:t>national</w:t>
      </w:r>
      <w:r w:rsidR="007C180B" w:rsidRPr="00F15147">
        <w:rPr>
          <w:sz w:val="20"/>
          <w:lang w:val="en-GB"/>
        </w:rPr>
        <w:t xml:space="preserve"> criminal proceedings, the victim does not have a status equivalent to the defendant</w:t>
      </w:r>
      <w:r w:rsidR="00FC3970" w:rsidRPr="00F15147">
        <w:rPr>
          <w:sz w:val="20"/>
          <w:lang w:val="en-GB"/>
        </w:rPr>
        <w:t xml:space="preserve"> and </w:t>
      </w:r>
      <w:r w:rsidR="007C180B" w:rsidRPr="00F15147">
        <w:rPr>
          <w:sz w:val="20"/>
          <w:lang w:val="en-GB"/>
        </w:rPr>
        <w:t>is not a party to the proceedings. T</w:t>
      </w:r>
      <w:r w:rsidR="009F3D9D" w:rsidRPr="00F15147">
        <w:rPr>
          <w:sz w:val="20"/>
          <w:lang w:val="en-GB"/>
        </w:rPr>
        <w:t xml:space="preserve">here is no obligation under </w:t>
      </w:r>
      <w:r w:rsidR="00617F64" w:rsidRPr="00F15147">
        <w:rPr>
          <w:sz w:val="20"/>
          <w:lang w:val="en-GB"/>
        </w:rPr>
        <w:t>the Covenant</w:t>
      </w:r>
      <w:r w:rsidR="009F3D9D" w:rsidRPr="00F15147">
        <w:rPr>
          <w:sz w:val="20"/>
          <w:lang w:val="en-GB"/>
        </w:rPr>
        <w:t xml:space="preserve"> to </w:t>
      </w:r>
      <w:r w:rsidR="00617F64" w:rsidRPr="00F15147">
        <w:rPr>
          <w:sz w:val="20"/>
          <w:lang w:val="en-GB"/>
        </w:rPr>
        <w:t>make</w:t>
      </w:r>
      <w:r w:rsidR="009F3D9D" w:rsidRPr="00F15147">
        <w:rPr>
          <w:sz w:val="20"/>
          <w:lang w:val="en-GB"/>
        </w:rPr>
        <w:t xml:space="preserve"> victims </w:t>
      </w:r>
      <w:r w:rsidR="00617F64" w:rsidRPr="00F15147">
        <w:rPr>
          <w:sz w:val="20"/>
          <w:lang w:val="en-GB"/>
        </w:rPr>
        <w:t xml:space="preserve">equivalent </w:t>
      </w:r>
      <w:r w:rsidR="009F3D9D" w:rsidRPr="00F15147">
        <w:rPr>
          <w:sz w:val="20"/>
          <w:lang w:val="en-GB"/>
        </w:rPr>
        <w:t>parties to criminal proceedings. Giv</w:t>
      </w:r>
      <w:r w:rsidR="007C180B" w:rsidRPr="00F15147">
        <w:rPr>
          <w:sz w:val="20"/>
          <w:lang w:val="en-GB"/>
        </w:rPr>
        <w:t>ing</w:t>
      </w:r>
      <w:r w:rsidR="002B797B" w:rsidRPr="00F15147">
        <w:rPr>
          <w:sz w:val="20"/>
          <w:lang w:val="en-GB"/>
        </w:rPr>
        <w:t xml:space="preserve"> </w:t>
      </w:r>
      <w:r w:rsidR="009F3D9D" w:rsidRPr="00F15147">
        <w:rPr>
          <w:sz w:val="20"/>
          <w:lang w:val="en-GB"/>
        </w:rPr>
        <w:t xml:space="preserve">victims </w:t>
      </w:r>
      <w:r w:rsidR="007C180B" w:rsidRPr="00F15147">
        <w:rPr>
          <w:sz w:val="20"/>
          <w:lang w:val="en-GB"/>
        </w:rPr>
        <w:t>a</w:t>
      </w:r>
      <w:r w:rsidR="009F3D9D" w:rsidRPr="00F15147">
        <w:rPr>
          <w:sz w:val="20"/>
          <w:lang w:val="en-GB"/>
        </w:rPr>
        <w:t xml:space="preserve"> separate right to prosecute</w:t>
      </w:r>
      <w:r w:rsidR="007C180B" w:rsidRPr="00F15147">
        <w:rPr>
          <w:sz w:val="20"/>
          <w:lang w:val="en-GB"/>
        </w:rPr>
        <w:t xml:space="preserve"> would undermine the prosecutor’s monopoly </w:t>
      </w:r>
      <w:r w:rsidR="000713D7" w:rsidRPr="00F15147">
        <w:rPr>
          <w:sz w:val="20"/>
          <w:lang w:val="en-GB"/>
        </w:rPr>
        <w:t>on</w:t>
      </w:r>
      <w:r w:rsidR="007C180B" w:rsidRPr="00F15147">
        <w:rPr>
          <w:sz w:val="20"/>
          <w:lang w:val="en-GB"/>
        </w:rPr>
        <w:t xml:space="preserve"> prosecution</w:t>
      </w:r>
      <w:r w:rsidR="000713D7" w:rsidRPr="00F15147">
        <w:rPr>
          <w:sz w:val="20"/>
          <w:lang w:val="en-GB"/>
        </w:rPr>
        <w:t xml:space="preserve">s and </w:t>
      </w:r>
      <w:r w:rsidR="00A009B0">
        <w:rPr>
          <w:sz w:val="20"/>
          <w:lang w:val="en-GB"/>
        </w:rPr>
        <w:t xml:space="preserve">the </w:t>
      </w:r>
      <w:r w:rsidR="000713D7" w:rsidRPr="00F15147">
        <w:rPr>
          <w:sz w:val="20"/>
          <w:lang w:val="en-GB"/>
        </w:rPr>
        <w:t>pursu</w:t>
      </w:r>
      <w:r w:rsidR="00A009B0">
        <w:rPr>
          <w:sz w:val="20"/>
          <w:lang w:val="en-GB"/>
        </w:rPr>
        <w:t>it of</w:t>
      </w:r>
      <w:r w:rsidR="000713D7" w:rsidRPr="00F15147">
        <w:rPr>
          <w:sz w:val="20"/>
          <w:lang w:val="en-GB"/>
        </w:rPr>
        <w:t xml:space="preserve"> prosecutions in the public interest</w:t>
      </w:r>
      <w:r w:rsidR="007C180B" w:rsidRPr="00F15147">
        <w:rPr>
          <w:sz w:val="20"/>
          <w:lang w:val="en-GB"/>
        </w:rPr>
        <w:t xml:space="preserve">. Accordingly </w:t>
      </w:r>
      <w:r w:rsidR="009F3D9D" w:rsidRPr="00F15147">
        <w:rPr>
          <w:sz w:val="20"/>
          <w:lang w:val="en-GB"/>
        </w:rPr>
        <w:t>a victim cannot</w:t>
      </w:r>
      <w:r w:rsidR="00617F64" w:rsidRPr="00F15147">
        <w:rPr>
          <w:sz w:val="20"/>
          <w:lang w:val="en-GB"/>
        </w:rPr>
        <w:t xml:space="preserve"> </w:t>
      </w:r>
      <w:r w:rsidR="009F3D9D" w:rsidRPr="00F15147">
        <w:rPr>
          <w:sz w:val="20"/>
          <w:lang w:val="en-GB"/>
        </w:rPr>
        <w:t>produce witnesses at trial</w:t>
      </w:r>
      <w:r w:rsidR="00617F64" w:rsidRPr="00F15147">
        <w:rPr>
          <w:sz w:val="20"/>
          <w:lang w:val="en-GB"/>
        </w:rPr>
        <w:t>,</w:t>
      </w:r>
      <w:r w:rsidR="009F3D9D" w:rsidRPr="00F15147">
        <w:rPr>
          <w:sz w:val="20"/>
          <w:lang w:val="en-GB"/>
        </w:rPr>
        <w:t xml:space="preserve"> question them or have them questioned. However, victims can make their views known to the public prosecutor before the trial and can request that a particular witness be summoned.</w:t>
      </w:r>
    </w:p>
    <w:p w14:paraId="3C3AE712" w14:textId="14D786F7" w:rsidR="00524E51" w:rsidRPr="00F15147" w:rsidRDefault="00C9761A" w:rsidP="00137629">
      <w:pPr>
        <w:pStyle w:val="SingleTxtG"/>
        <w:rPr>
          <w:sz w:val="20"/>
          <w:lang w:val="en-GB"/>
        </w:rPr>
      </w:pPr>
      <w:r w:rsidRPr="00F15147">
        <w:rPr>
          <w:sz w:val="20"/>
          <w:lang w:val="en-GB"/>
        </w:rPr>
        <w:t>8</w:t>
      </w:r>
      <w:r w:rsidR="004E289D" w:rsidRPr="00F15147">
        <w:rPr>
          <w:sz w:val="20"/>
          <w:lang w:val="en-GB"/>
        </w:rPr>
        <w:t>.4</w:t>
      </w:r>
      <w:r w:rsidR="004E289D" w:rsidRPr="00F15147">
        <w:rPr>
          <w:sz w:val="20"/>
          <w:lang w:val="en-GB"/>
        </w:rPr>
        <w:tab/>
      </w:r>
      <w:r w:rsidR="000713D7" w:rsidRPr="00F15147">
        <w:rPr>
          <w:sz w:val="20"/>
          <w:lang w:val="en-GB"/>
        </w:rPr>
        <w:t xml:space="preserve">There is no clear dividing line between social criticism and incitement to violence, hostility and discrimination. </w:t>
      </w:r>
      <w:r w:rsidR="00A000C3" w:rsidRPr="00F15147">
        <w:rPr>
          <w:sz w:val="20"/>
          <w:lang w:val="en-GB"/>
        </w:rPr>
        <w:t xml:space="preserve">Under </w:t>
      </w:r>
      <w:r w:rsidR="009D2668" w:rsidRPr="009D2668">
        <w:rPr>
          <w:sz w:val="20"/>
          <w:lang w:val="en-GB"/>
        </w:rPr>
        <w:t>European Court of Human Rights</w:t>
      </w:r>
      <w:r w:rsidR="00A000C3" w:rsidRPr="00F15147">
        <w:rPr>
          <w:sz w:val="20"/>
          <w:lang w:val="en-GB"/>
        </w:rPr>
        <w:t xml:space="preserve"> jurisprudence</w:t>
      </w:r>
      <w:r w:rsidR="00FC4BB3" w:rsidRPr="00F15147">
        <w:rPr>
          <w:sz w:val="20"/>
          <w:lang w:val="en-GB"/>
        </w:rPr>
        <w:t xml:space="preserve"> in </w:t>
      </w:r>
      <w:r w:rsidR="00FC4BB3" w:rsidRPr="00F15147">
        <w:rPr>
          <w:i/>
          <w:sz w:val="20"/>
          <w:lang w:val="en-GB"/>
        </w:rPr>
        <w:t>Perinçek v. Switzerland</w:t>
      </w:r>
      <w:r w:rsidR="00A000C3" w:rsidRPr="00F15147">
        <w:rPr>
          <w:sz w:val="20"/>
          <w:lang w:val="en-GB"/>
        </w:rPr>
        <w:t>, e</w:t>
      </w:r>
      <w:r w:rsidR="00524E51" w:rsidRPr="00F15147">
        <w:rPr>
          <w:sz w:val="20"/>
          <w:lang w:val="en-GB"/>
        </w:rPr>
        <w:t>stablishing whether certain statements constitute incitement to hatred or violence requires a case</w:t>
      </w:r>
      <w:r w:rsidR="00A009B0">
        <w:rPr>
          <w:sz w:val="20"/>
          <w:lang w:val="en-GB"/>
        </w:rPr>
        <w:t>-</w:t>
      </w:r>
      <w:r w:rsidR="00524E51" w:rsidRPr="00F15147">
        <w:rPr>
          <w:sz w:val="20"/>
          <w:lang w:val="en-GB"/>
        </w:rPr>
        <w:t>by</w:t>
      </w:r>
      <w:r w:rsidR="00A009B0">
        <w:rPr>
          <w:sz w:val="20"/>
          <w:lang w:val="en-GB"/>
        </w:rPr>
        <w:t>-</w:t>
      </w:r>
      <w:r w:rsidR="00524E51" w:rsidRPr="00F15147">
        <w:rPr>
          <w:sz w:val="20"/>
          <w:lang w:val="en-GB"/>
        </w:rPr>
        <w:t>case approach based on the nature and the potential effects of the statements and the context in which they are made</w:t>
      </w:r>
      <w:r w:rsidR="00FC3970" w:rsidRPr="00F15147">
        <w:rPr>
          <w:sz w:val="20"/>
          <w:lang w:val="en-GB"/>
        </w:rPr>
        <w:t>. S</w:t>
      </w:r>
      <w:r w:rsidR="001507D6" w:rsidRPr="00F15147">
        <w:rPr>
          <w:sz w:val="20"/>
          <w:lang w:val="en-GB"/>
        </w:rPr>
        <w:t>tatements made in the context of public debat</w:t>
      </w:r>
      <w:r w:rsidR="00A74A0B" w:rsidRPr="00F15147">
        <w:rPr>
          <w:sz w:val="20"/>
          <w:lang w:val="en-GB"/>
        </w:rPr>
        <w:t>e</w:t>
      </w:r>
      <w:r w:rsidR="001507D6" w:rsidRPr="00F15147">
        <w:rPr>
          <w:sz w:val="20"/>
          <w:lang w:val="en-GB"/>
        </w:rPr>
        <w:t xml:space="preserve"> are entitled to a large measure of protection</w:t>
      </w:r>
      <w:r w:rsidR="00524E51" w:rsidRPr="00F15147">
        <w:rPr>
          <w:sz w:val="20"/>
          <w:lang w:val="en-GB"/>
        </w:rPr>
        <w:t>.</w:t>
      </w:r>
    </w:p>
    <w:p w14:paraId="3ABF6C84" w14:textId="2B616EB9" w:rsidR="000713D7" w:rsidRPr="00F15147" w:rsidRDefault="00C9761A" w:rsidP="00A009B0">
      <w:pPr>
        <w:pStyle w:val="SingleTxtG"/>
        <w:rPr>
          <w:sz w:val="20"/>
          <w:lang w:val="en-GB"/>
        </w:rPr>
      </w:pPr>
      <w:r w:rsidRPr="00F15147">
        <w:rPr>
          <w:sz w:val="20"/>
          <w:lang w:val="en-GB"/>
        </w:rPr>
        <w:t>8</w:t>
      </w:r>
      <w:r w:rsidR="004E289D" w:rsidRPr="00F15147">
        <w:rPr>
          <w:sz w:val="20"/>
          <w:lang w:val="en-GB"/>
        </w:rPr>
        <w:t>.5</w:t>
      </w:r>
      <w:r w:rsidR="004E289D" w:rsidRPr="00F15147">
        <w:rPr>
          <w:sz w:val="20"/>
          <w:lang w:val="en-GB"/>
        </w:rPr>
        <w:tab/>
      </w:r>
      <w:r w:rsidR="00FB57C3" w:rsidRPr="00F15147">
        <w:rPr>
          <w:sz w:val="20"/>
          <w:lang w:val="en-GB"/>
        </w:rPr>
        <w:t>The assessment of a statement must be objective and cannot depend on the perception or degree of injury, since the</w:t>
      </w:r>
      <w:r w:rsidR="00A009B0">
        <w:rPr>
          <w:sz w:val="20"/>
          <w:lang w:val="en-GB"/>
        </w:rPr>
        <w:t>y</w:t>
      </w:r>
      <w:r w:rsidR="00FB57C3" w:rsidRPr="00F15147">
        <w:rPr>
          <w:sz w:val="20"/>
          <w:lang w:val="en-GB"/>
        </w:rPr>
        <w:t xml:space="preserve"> differ from one person or group to another</w:t>
      </w:r>
      <w:r w:rsidR="007F7B86" w:rsidRPr="00F15147">
        <w:rPr>
          <w:sz w:val="20"/>
          <w:lang w:val="en-GB"/>
        </w:rPr>
        <w:t xml:space="preserve">. The assessment is made on the basis of the meaning of the words on their own and the meaning of the statement in conjunction with the rest of the utterance. Possible recipients of the message are also taken into account, because to interpret statements it may be necessary to view them within the circumstances of the case and in </w:t>
      </w:r>
      <w:r w:rsidR="00A009B0">
        <w:rPr>
          <w:sz w:val="20"/>
          <w:lang w:val="en-GB"/>
        </w:rPr>
        <w:t xml:space="preserve">the </w:t>
      </w:r>
      <w:r w:rsidR="007F7B86" w:rsidRPr="00F15147">
        <w:rPr>
          <w:sz w:val="20"/>
          <w:lang w:val="en-GB"/>
        </w:rPr>
        <w:t>light of the associations they evoke.</w:t>
      </w:r>
    </w:p>
    <w:p w14:paraId="5CB2C8A9" w14:textId="0798445C" w:rsidR="007F7B86" w:rsidRPr="00F15147" w:rsidRDefault="00C9761A" w:rsidP="00A009B0">
      <w:pPr>
        <w:pStyle w:val="SingleTxtG"/>
        <w:rPr>
          <w:sz w:val="20"/>
          <w:lang w:val="en-GB"/>
        </w:rPr>
      </w:pPr>
      <w:r w:rsidRPr="00F15147">
        <w:rPr>
          <w:sz w:val="20"/>
          <w:lang w:val="en-GB"/>
        </w:rPr>
        <w:t>8</w:t>
      </w:r>
      <w:r w:rsidR="004E289D" w:rsidRPr="00F15147">
        <w:rPr>
          <w:sz w:val="20"/>
          <w:lang w:val="en-GB"/>
        </w:rPr>
        <w:t>.6</w:t>
      </w:r>
      <w:r w:rsidR="004E289D" w:rsidRPr="00F15147">
        <w:rPr>
          <w:sz w:val="20"/>
          <w:lang w:val="en-GB"/>
        </w:rPr>
        <w:tab/>
      </w:r>
      <w:r w:rsidR="000713D7" w:rsidRPr="00F15147">
        <w:rPr>
          <w:sz w:val="20"/>
          <w:lang w:val="en-GB"/>
        </w:rPr>
        <w:t xml:space="preserve">The distinction between statements relating to persons and statements relating to a religion is essential, inter alia, for freedom of expression to </w:t>
      </w:r>
      <w:r w:rsidR="00A000C3" w:rsidRPr="00F15147">
        <w:rPr>
          <w:sz w:val="20"/>
          <w:lang w:val="en-GB"/>
        </w:rPr>
        <w:t xml:space="preserve">allow </w:t>
      </w:r>
      <w:r w:rsidR="000713D7" w:rsidRPr="00F15147">
        <w:rPr>
          <w:sz w:val="20"/>
          <w:lang w:val="en-GB"/>
        </w:rPr>
        <w:t>criticism</w:t>
      </w:r>
      <w:r w:rsidR="004527FE" w:rsidRPr="00F15147">
        <w:rPr>
          <w:sz w:val="20"/>
          <w:lang w:val="en-GB"/>
        </w:rPr>
        <w:t xml:space="preserve"> </w:t>
      </w:r>
      <w:r w:rsidR="000713D7" w:rsidRPr="00F15147">
        <w:rPr>
          <w:sz w:val="20"/>
          <w:lang w:val="en-GB"/>
        </w:rPr>
        <w:t>of religions or the behaviour of individuals. Moreover, a</w:t>
      </w:r>
      <w:r w:rsidR="007F7B86" w:rsidRPr="00F15147">
        <w:rPr>
          <w:sz w:val="20"/>
          <w:lang w:val="en-GB"/>
        </w:rPr>
        <w:t>lthough the district court gave no further reasons for its decision that the race component of the charge could not be proven</w:t>
      </w:r>
      <w:r w:rsidR="00C9351E" w:rsidRPr="00F15147">
        <w:rPr>
          <w:sz w:val="20"/>
          <w:lang w:val="en-GB"/>
        </w:rPr>
        <w:t>,</w:t>
      </w:r>
      <w:r w:rsidR="007F7B86" w:rsidRPr="00F15147">
        <w:rPr>
          <w:sz w:val="20"/>
          <w:lang w:val="en-GB"/>
        </w:rPr>
        <w:t xml:space="preserve"> th</w:t>
      </w:r>
      <w:r w:rsidR="00A009B0">
        <w:rPr>
          <w:sz w:val="20"/>
          <w:lang w:val="en-GB"/>
        </w:rPr>
        <w:t>at</w:t>
      </w:r>
      <w:r w:rsidR="007F7B86" w:rsidRPr="00F15147">
        <w:rPr>
          <w:sz w:val="20"/>
          <w:lang w:val="en-GB"/>
        </w:rPr>
        <w:t xml:space="preserve"> does not mean that the court disregarded the definition employed by the Supreme Court, </w:t>
      </w:r>
      <w:r w:rsidR="002F5250">
        <w:rPr>
          <w:sz w:val="20"/>
          <w:lang w:val="en-GB"/>
        </w:rPr>
        <w:t xml:space="preserve">the </w:t>
      </w:r>
      <w:r w:rsidR="002F5250" w:rsidRPr="002F5250">
        <w:rPr>
          <w:rStyle w:val="Emphasis"/>
          <w:i w:val="0"/>
          <w:iCs w:val="0"/>
          <w:sz w:val="20"/>
          <w:szCs w:val="20"/>
        </w:rPr>
        <w:t>Committee</w:t>
      </w:r>
      <w:r w:rsidR="002F5250" w:rsidRPr="002F5250">
        <w:rPr>
          <w:rStyle w:val="preferred"/>
          <w:i/>
          <w:sz w:val="20"/>
          <w:szCs w:val="20"/>
        </w:rPr>
        <w:t xml:space="preserve"> </w:t>
      </w:r>
      <w:r w:rsidR="002F5250" w:rsidRPr="002F5250">
        <w:rPr>
          <w:rStyle w:val="Emphasis"/>
          <w:i w:val="0"/>
          <w:iCs w:val="0"/>
          <w:sz w:val="20"/>
          <w:szCs w:val="20"/>
        </w:rPr>
        <w:t>on</w:t>
      </w:r>
      <w:r w:rsidR="002F5250" w:rsidRPr="002F5250">
        <w:rPr>
          <w:rStyle w:val="preferred"/>
          <w:i/>
          <w:sz w:val="20"/>
          <w:szCs w:val="20"/>
        </w:rPr>
        <w:t xml:space="preserve"> </w:t>
      </w:r>
      <w:r w:rsidR="002F5250" w:rsidRPr="002F5250">
        <w:rPr>
          <w:rStyle w:val="Emphasis"/>
          <w:i w:val="0"/>
          <w:iCs w:val="0"/>
          <w:sz w:val="20"/>
          <w:szCs w:val="20"/>
        </w:rPr>
        <w:t>the</w:t>
      </w:r>
      <w:r w:rsidR="002F5250" w:rsidRPr="002F5250">
        <w:rPr>
          <w:rStyle w:val="preferred"/>
          <w:i/>
          <w:sz w:val="20"/>
          <w:szCs w:val="20"/>
        </w:rPr>
        <w:t xml:space="preserve"> </w:t>
      </w:r>
      <w:r w:rsidR="002F5250" w:rsidRPr="002F5250">
        <w:rPr>
          <w:rStyle w:val="Emphasis"/>
          <w:i w:val="0"/>
          <w:iCs w:val="0"/>
          <w:sz w:val="20"/>
          <w:szCs w:val="20"/>
        </w:rPr>
        <w:t>Elimination</w:t>
      </w:r>
      <w:r w:rsidR="002F5250" w:rsidRPr="002F5250">
        <w:rPr>
          <w:rStyle w:val="preferred"/>
          <w:i/>
          <w:sz w:val="20"/>
          <w:szCs w:val="20"/>
        </w:rPr>
        <w:t xml:space="preserve"> </w:t>
      </w:r>
      <w:r w:rsidR="002F5250" w:rsidRPr="002F5250">
        <w:rPr>
          <w:rStyle w:val="Emphasis"/>
          <w:i w:val="0"/>
          <w:iCs w:val="0"/>
          <w:sz w:val="20"/>
          <w:szCs w:val="20"/>
        </w:rPr>
        <w:t>of</w:t>
      </w:r>
      <w:r w:rsidR="002F5250" w:rsidRPr="002F5250">
        <w:rPr>
          <w:rStyle w:val="preferred"/>
          <w:i/>
          <w:sz w:val="20"/>
          <w:szCs w:val="20"/>
        </w:rPr>
        <w:t xml:space="preserve"> </w:t>
      </w:r>
      <w:r w:rsidR="002F5250" w:rsidRPr="002F5250">
        <w:rPr>
          <w:rStyle w:val="Emphasis"/>
          <w:i w:val="0"/>
          <w:iCs w:val="0"/>
          <w:sz w:val="20"/>
          <w:szCs w:val="20"/>
        </w:rPr>
        <w:t>Racial</w:t>
      </w:r>
      <w:r w:rsidR="002F5250" w:rsidRPr="002F5250">
        <w:rPr>
          <w:rStyle w:val="preferred"/>
          <w:i/>
          <w:sz w:val="20"/>
          <w:szCs w:val="20"/>
        </w:rPr>
        <w:t xml:space="preserve"> </w:t>
      </w:r>
      <w:r w:rsidR="002F5250" w:rsidRPr="002F5250">
        <w:rPr>
          <w:rStyle w:val="Emphasis"/>
          <w:i w:val="0"/>
          <w:iCs w:val="0"/>
          <w:sz w:val="20"/>
          <w:szCs w:val="20"/>
        </w:rPr>
        <w:t>Discrimination</w:t>
      </w:r>
      <w:r w:rsidR="007F7B86" w:rsidRPr="00F15147">
        <w:rPr>
          <w:sz w:val="20"/>
          <w:lang w:val="en-GB"/>
        </w:rPr>
        <w:t xml:space="preserve"> and </w:t>
      </w:r>
      <w:r w:rsidR="009D2668">
        <w:rPr>
          <w:sz w:val="20"/>
          <w:lang w:val="en-GB"/>
        </w:rPr>
        <w:t xml:space="preserve">the </w:t>
      </w:r>
      <w:r w:rsidR="009D2668" w:rsidRPr="009D2668">
        <w:rPr>
          <w:sz w:val="20"/>
          <w:lang w:val="en-GB"/>
        </w:rPr>
        <w:t>European Commission against Racism and Intolerance</w:t>
      </w:r>
      <w:r w:rsidR="007C180B" w:rsidRPr="00F15147">
        <w:rPr>
          <w:sz w:val="20"/>
          <w:lang w:val="en-GB"/>
        </w:rPr>
        <w:t xml:space="preserve">, </w:t>
      </w:r>
      <w:r w:rsidR="009D2668">
        <w:rPr>
          <w:sz w:val="20"/>
          <w:lang w:val="en-GB"/>
        </w:rPr>
        <w:t xml:space="preserve">on </w:t>
      </w:r>
      <w:r w:rsidR="007C180B" w:rsidRPr="00F15147">
        <w:rPr>
          <w:sz w:val="20"/>
          <w:lang w:val="en-GB"/>
        </w:rPr>
        <w:t>which the prosecutor relied</w:t>
      </w:r>
      <w:r w:rsidR="007F7B86" w:rsidRPr="00F15147">
        <w:rPr>
          <w:sz w:val="20"/>
          <w:lang w:val="en-GB"/>
        </w:rPr>
        <w:t>.</w:t>
      </w:r>
      <w:r w:rsidR="007C180B" w:rsidRPr="00F15147">
        <w:rPr>
          <w:sz w:val="20"/>
          <w:lang w:val="en-GB"/>
        </w:rPr>
        <w:t xml:space="preserve"> </w:t>
      </w:r>
      <w:r w:rsidR="00A009B0">
        <w:rPr>
          <w:sz w:val="20"/>
          <w:lang w:val="en-GB"/>
        </w:rPr>
        <w:t xml:space="preserve">It is </w:t>
      </w:r>
      <w:r w:rsidR="00A009B0" w:rsidRPr="00886B16">
        <w:rPr>
          <w:sz w:val="20"/>
          <w:lang w:val="en-GB"/>
        </w:rPr>
        <w:t>likely</w:t>
      </w:r>
      <w:r w:rsidR="00A009B0" w:rsidRPr="00A009B0">
        <w:rPr>
          <w:sz w:val="20"/>
          <w:lang w:val="en-GB"/>
        </w:rPr>
        <w:t xml:space="preserve"> </w:t>
      </w:r>
      <w:r w:rsidR="00A009B0">
        <w:rPr>
          <w:sz w:val="20"/>
          <w:lang w:val="en-GB"/>
        </w:rPr>
        <w:t>that t</w:t>
      </w:r>
      <w:r w:rsidR="007C180B" w:rsidRPr="00F15147">
        <w:rPr>
          <w:sz w:val="20"/>
          <w:lang w:val="en-GB"/>
        </w:rPr>
        <w:t xml:space="preserve">he court concluded that the component </w:t>
      </w:r>
      <w:r w:rsidR="00A009B0">
        <w:rPr>
          <w:sz w:val="20"/>
          <w:lang w:val="en-GB"/>
        </w:rPr>
        <w:t>“</w:t>
      </w:r>
      <w:r w:rsidR="007C180B" w:rsidRPr="00F15147">
        <w:rPr>
          <w:sz w:val="20"/>
          <w:lang w:val="en-GB"/>
        </w:rPr>
        <w:t>on account of their race</w:t>
      </w:r>
      <w:r w:rsidR="00A009B0">
        <w:rPr>
          <w:sz w:val="20"/>
          <w:lang w:val="en-GB"/>
        </w:rPr>
        <w:t>”</w:t>
      </w:r>
      <w:r w:rsidR="007C180B" w:rsidRPr="00F15147">
        <w:rPr>
          <w:sz w:val="20"/>
          <w:lang w:val="en-GB"/>
        </w:rPr>
        <w:t xml:space="preserve"> was not proven. </w:t>
      </w:r>
    </w:p>
    <w:p w14:paraId="51C8EAE3" w14:textId="18555916" w:rsidR="00FB57C3" w:rsidRPr="00F15147" w:rsidRDefault="00C9761A" w:rsidP="00A009B0">
      <w:pPr>
        <w:pStyle w:val="SingleTxtG"/>
        <w:rPr>
          <w:sz w:val="20"/>
          <w:lang w:val="en-GB"/>
        </w:rPr>
      </w:pPr>
      <w:r w:rsidRPr="00F15147">
        <w:rPr>
          <w:sz w:val="20"/>
          <w:lang w:val="en-GB"/>
        </w:rPr>
        <w:t>8</w:t>
      </w:r>
      <w:r w:rsidR="004E289D" w:rsidRPr="00F15147">
        <w:rPr>
          <w:sz w:val="20"/>
          <w:lang w:val="en-GB"/>
        </w:rPr>
        <w:t>.7</w:t>
      </w:r>
      <w:r w:rsidR="004E289D" w:rsidRPr="00F15147">
        <w:rPr>
          <w:sz w:val="20"/>
          <w:lang w:val="en-GB"/>
        </w:rPr>
        <w:tab/>
      </w:r>
      <w:r w:rsidR="007F7B86" w:rsidRPr="00F15147">
        <w:rPr>
          <w:sz w:val="20"/>
          <w:lang w:val="en-GB"/>
        </w:rPr>
        <w:t xml:space="preserve">The authors </w:t>
      </w:r>
      <w:r w:rsidR="00FC3970" w:rsidRPr="00F15147">
        <w:rPr>
          <w:sz w:val="20"/>
          <w:lang w:val="en-GB"/>
        </w:rPr>
        <w:t xml:space="preserve">do not substantiate </w:t>
      </w:r>
      <w:r w:rsidR="007F7B86" w:rsidRPr="00F15147">
        <w:rPr>
          <w:sz w:val="20"/>
          <w:lang w:val="en-GB"/>
        </w:rPr>
        <w:t xml:space="preserve">their claim under article 17. </w:t>
      </w:r>
      <w:r w:rsidR="00D34466" w:rsidRPr="00F15147">
        <w:rPr>
          <w:sz w:val="20"/>
          <w:lang w:val="en-GB"/>
        </w:rPr>
        <w:t>Their view</w:t>
      </w:r>
      <w:r w:rsidR="007F7B86" w:rsidRPr="00F15147">
        <w:rPr>
          <w:sz w:val="20"/>
          <w:lang w:val="en-GB"/>
        </w:rPr>
        <w:t xml:space="preserve"> that article 17 protects the right to collective identity</w:t>
      </w:r>
      <w:r w:rsidR="004527FE" w:rsidRPr="00F15147">
        <w:rPr>
          <w:sz w:val="20"/>
          <w:lang w:val="en-GB"/>
        </w:rPr>
        <w:t xml:space="preserve"> </w:t>
      </w:r>
      <w:r w:rsidR="00A000C3" w:rsidRPr="00F15147">
        <w:rPr>
          <w:sz w:val="20"/>
          <w:lang w:val="en-GB"/>
        </w:rPr>
        <w:t>is not supported.</w:t>
      </w:r>
      <w:r w:rsidR="008A3FA4" w:rsidRPr="00F15147">
        <w:rPr>
          <w:sz w:val="20"/>
          <w:lang w:val="en-GB"/>
        </w:rPr>
        <w:t xml:space="preserve"> </w:t>
      </w:r>
      <w:r w:rsidR="00A009B0">
        <w:rPr>
          <w:sz w:val="20"/>
          <w:lang w:val="en-GB"/>
        </w:rPr>
        <w:t>In addition, t</w:t>
      </w:r>
      <w:r w:rsidR="007F7B86" w:rsidRPr="00F15147">
        <w:rPr>
          <w:sz w:val="20"/>
          <w:lang w:val="en-GB"/>
        </w:rPr>
        <w:t xml:space="preserve">he authors have not demonstrated that </w:t>
      </w:r>
      <w:r w:rsidR="006837AA">
        <w:rPr>
          <w:sz w:val="20"/>
          <w:lang w:val="en-GB"/>
        </w:rPr>
        <w:t>Mr. </w:t>
      </w:r>
      <w:r w:rsidR="00696F9C">
        <w:rPr>
          <w:sz w:val="20"/>
          <w:lang w:val="en-GB"/>
        </w:rPr>
        <w:t>Wilders</w:t>
      </w:r>
      <w:r w:rsidR="007F7B86" w:rsidRPr="00F15147">
        <w:rPr>
          <w:sz w:val="20"/>
          <w:lang w:val="en-GB"/>
        </w:rPr>
        <w:t>’ utterances hindered them in the enjoyment of their religion or cultural customs and traditions in community with others.</w:t>
      </w:r>
    </w:p>
    <w:p w14:paraId="23E7EB18" w14:textId="77777777" w:rsidR="00E152A1" w:rsidRPr="00F15147" w:rsidRDefault="003204B4" w:rsidP="003204B4">
      <w:pPr>
        <w:pStyle w:val="H23G"/>
        <w:rPr>
          <w:sz w:val="20"/>
        </w:rPr>
      </w:pPr>
      <w:r w:rsidRPr="00F15147">
        <w:rPr>
          <w:sz w:val="20"/>
        </w:rPr>
        <w:tab/>
      </w:r>
      <w:r w:rsidRPr="00F15147">
        <w:rPr>
          <w:sz w:val="20"/>
        </w:rPr>
        <w:tab/>
      </w:r>
      <w:r w:rsidR="00E152A1" w:rsidRPr="00F15147">
        <w:rPr>
          <w:sz w:val="20"/>
        </w:rPr>
        <w:t>Issues and proceedings before the Committee</w:t>
      </w:r>
    </w:p>
    <w:p w14:paraId="1332CF63" w14:textId="77777777" w:rsidR="00E152A1" w:rsidRPr="00F15147" w:rsidRDefault="00E152A1" w:rsidP="00496E66">
      <w:pPr>
        <w:pStyle w:val="H4G"/>
        <w:rPr>
          <w:sz w:val="20"/>
        </w:rPr>
      </w:pPr>
      <w:r w:rsidRPr="00F15147">
        <w:rPr>
          <w:sz w:val="20"/>
        </w:rPr>
        <w:tab/>
      </w:r>
      <w:r w:rsidRPr="00F15147">
        <w:rPr>
          <w:sz w:val="20"/>
        </w:rPr>
        <w:tab/>
        <w:t>Consideration of admissibility</w:t>
      </w:r>
    </w:p>
    <w:p w14:paraId="1F4AD060" w14:textId="26079069" w:rsidR="00E152A1" w:rsidRPr="00F15147" w:rsidRDefault="00D81085" w:rsidP="003976FE">
      <w:pPr>
        <w:pStyle w:val="SingleTxtG"/>
        <w:rPr>
          <w:sz w:val="20"/>
          <w:lang w:val="en-GB"/>
        </w:rPr>
      </w:pPr>
      <w:r w:rsidRPr="00F15147">
        <w:rPr>
          <w:sz w:val="20"/>
          <w:lang w:val="en-GB"/>
        </w:rPr>
        <w:t>9</w:t>
      </w:r>
      <w:r w:rsidR="00E152A1" w:rsidRPr="00F15147">
        <w:rPr>
          <w:sz w:val="20"/>
          <w:lang w:val="en-GB"/>
        </w:rPr>
        <w:t>.1</w:t>
      </w:r>
      <w:r w:rsidR="00E152A1" w:rsidRPr="00F15147">
        <w:rPr>
          <w:sz w:val="20"/>
          <w:lang w:val="en-GB"/>
        </w:rPr>
        <w:tab/>
        <w:t>Before considering any claim contained in a communication, the Committee must</w:t>
      </w:r>
      <w:r w:rsidR="003976FE" w:rsidRPr="003976FE">
        <w:rPr>
          <w:sz w:val="20"/>
          <w:lang w:val="en-GB"/>
        </w:rPr>
        <w:t xml:space="preserve"> </w:t>
      </w:r>
      <w:r w:rsidR="003976FE" w:rsidRPr="00C520BA">
        <w:rPr>
          <w:sz w:val="20"/>
          <w:lang w:val="en-GB"/>
        </w:rPr>
        <w:t>decide</w:t>
      </w:r>
      <w:r w:rsidR="00E152A1" w:rsidRPr="00F15147">
        <w:rPr>
          <w:sz w:val="20"/>
          <w:lang w:val="en-GB"/>
        </w:rPr>
        <w:t xml:space="preserve">, in accordance with article 93 of its </w:t>
      </w:r>
      <w:r w:rsidR="009D2668">
        <w:rPr>
          <w:sz w:val="20"/>
          <w:lang w:val="en-GB"/>
        </w:rPr>
        <w:t>r</w:t>
      </w:r>
      <w:r w:rsidR="00E152A1" w:rsidRPr="00F15147">
        <w:rPr>
          <w:sz w:val="20"/>
          <w:lang w:val="en-GB"/>
        </w:rPr>
        <w:t xml:space="preserve">ules of </w:t>
      </w:r>
      <w:r w:rsidR="009D2668">
        <w:rPr>
          <w:sz w:val="20"/>
          <w:lang w:val="en-GB"/>
        </w:rPr>
        <w:t>p</w:t>
      </w:r>
      <w:r w:rsidR="00E152A1" w:rsidRPr="00F15147">
        <w:rPr>
          <w:sz w:val="20"/>
          <w:lang w:val="en-GB"/>
        </w:rPr>
        <w:t xml:space="preserve">rocedure, whether it is admissible under the Optional Protocol to the Covenant. </w:t>
      </w:r>
    </w:p>
    <w:p w14:paraId="1428AA53" w14:textId="2CD5BF8E" w:rsidR="00964FFD" w:rsidRPr="00F15147" w:rsidRDefault="00D81085" w:rsidP="00CB7B74">
      <w:pPr>
        <w:pStyle w:val="SingleTxtG"/>
        <w:rPr>
          <w:sz w:val="20"/>
          <w:lang w:val="en-GB"/>
        </w:rPr>
      </w:pPr>
      <w:r w:rsidRPr="00F15147">
        <w:rPr>
          <w:sz w:val="20"/>
          <w:lang w:val="en-GB"/>
        </w:rPr>
        <w:t>9</w:t>
      </w:r>
      <w:r w:rsidR="00E152A1" w:rsidRPr="00F15147">
        <w:rPr>
          <w:sz w:val="20"/>
          <w:lang w:val="en-GB"/>
        </w:rPr>
        <w:t>.2</w:t>
      </w:r>
      <w:r w:rsidR="00E152A1" w:rsidRPr="00F15147">
        <w:rPr>
          <w:sz w:val="20"/>
          <w:lang w:val="en-GB"/>
        </w:rPr>
        <w:tab/>
      </w:r>
      <w:r w:rsidR="003976FE">
        <w:rPr>
          <w:sz w:val="20"/>
          <w:lang w:val="en-GB"/>
        </w:rPr>
        <w:t>T</w:t>
      </w:r>
      <w:r w:rsidR="003976FE" w:rsidRPr="00921835">
        <w:rPr>
          <w:sz w:val="20"/>
          <w:lang w:val="en-GB"/>
        </w:rPr>
        <w:t>he Committee has ascertained</w:t>
      </w:r>
      <w:r w:rsidR="003976FE">
        <w:rPr>
          <w:sz w:val="20"/>
          <w:lang w:val="en-GB"/>
        </w:rPr>
        <w:t>,</w:t>
      </w:r>
      <w:r w:rsidR="003976FE" w:rsidRPr="003976FE">
        <w:rPr>
          <w:sz w:val="20"/>
          <w:lang w:val="en-GB"/>
        </w:rPr>
        <w:t xml:space="preserve"> </w:t>
      </w:r>
      <w:r w:rsidR="003976FE">
        <w:rPr>
          <w:sz w:val="20"/>
          <w:lang w:val="en-GB"/>
        </w:rPr>
        <w:t>a</w:t>
      </w:r>
      <w:r w:rsidR="00E152A1" w:rsidRPr="00F15147">
        <w:rPr>
          <w:sz w:val="20"/>
          <w:lang w:val="en-GB"/>
        </w:rPr>
        <w:t>s required under article 5</w:t>
      </w:r>
      <w:r w:rsidR="009D2668">
        <w:rPr>
          <w:sz w:val="20"/>
          <w:lang w:val="en-GB"/>
        </w:rPr>
        <w:t xml:space="preserve"> </w:t>
      </w:r>
      <w:r w:rsidR="00FF6AFD" w:rsidRPr="00F15147">
        <w:rPr>
          <w:sz w:val="20"/>
          <w:lang w:val="en-GB"/>
        </w:rPr>
        <w:t>(</w:t>
      </w:r>
      <w:r w:rsidR="00E152A1" w:rsidRPr="00F15147">
        <w:rPr>
          <w:sz w:val="20"/>
          <w:lang w:val="en-GB"/>
        </w:rPr>
        <w:t>2</w:t>
      </w:r>
      <w:r w:rsidR="00FF6AFD" w:rsidRPr="00F15147">
        <w:rPr>
          <w:sz w:val="20"/>
          <w:lang w:val="en-GB"/>
        </w:rPr>
        <w:t>)</w:t>
      </w:r>
      <w:r w:rsidR="009D2668">
        <w:rPr>
          <w:sz w:val="20"/>
          <w:lang w:val="en-GB"/>
        </w:rPr>
        <w:t xml:space="preserve"> </w:t>
      </w:r>
      <w:r w:rsidR="00E152A1" w:rsidRPr="00F15147">
        <w:rPr>
          <w:sz w:val="20"/>
          <w:lang w:val="en-GB"/>
        </w:rPr>
        <w:t>(a) of the Optional Protocol, that the same matter is not being examined under another procedure of international investigation or settlement.</w:t>
      </w:r>
      <w:r w:rsidR="00EB2533" w:rsidRPr="00F15147">
        <w:rPr>
          <w:sz w:val="20"/>
          <w:lang w:val="en-GB"/>
        </w:rPr>
        <w:tab/>
      </w:r>
    </w:p>
    <w:p w14:paraId="771AF583" w14:textId="02FC5DEF" w:rsidR="00816CF2" w:rsidRPr="00F15147" w:rsidRDefault="00D81085" w:rsidP="003976FE">
      <w:pPr>
        <w:pStyle w:val="SingleTxtG"/>
        <w:rPr>
          <w:sz w:val="20"/>
          <w:lang w:val="en-GB"/>
        </w:rPr>
      </w:pPr>
      <w:r w:rsidRPr="00F15147">
        <w:rPr>
          <w:sz w:val="20"/>
          <w:lang w:val="en-GB"/>
        </w:rPr>
        <w:t>9</w:t>
      </w:r>
      <w:r w:rsidR="00816CF2" w:rsidRPr="00F15147">
        <w:rPr>
          <w:sz w:val="20"/>
          <w:lang w:val="en-GB"/>
        </w:rPr>
        <w:t>.3</w:t>
      </w:r>
      <w:r w:rsidR="00816CF2" w:rsidRPr="00F15147">
        <w:rPr>
          <w:sz w:val="20"/>
          <w:lang w:val="en-GB"/>
        </w:rPr>
        <w:tab/>
        <w:t>With regard to the exhaustion of domestic remedies under article 5</w:t>
      </w:r>
      <w:r w:rsidR="009D2668">
        <w:rPr>
          <w:sz w:val="20"/>
          <w:lang w:val="en-GB"/>
        </w:rPr>
        <w:t xml:space="preserve"> </w:t>
      </w:r>
      <w:r w:rsidR="00C9351E" w:rsidRPr="00F15147">
        <w:rPr>
          <w:sz w:val="20"/>
          <w:lang w:val="en-GB"/>
        </w:rPr>
        <w:t>(</w:t>
      </w:r>
      <w:r w:rsidR="00816CF2" w:rsidRPr="00F15147">
        <w:rPr>
          <w:sz w:val="20"/>
          <w:lang w:val="en-GB"/>
        </w:rPr>
        <w:t>2</w:t>
      </w:r>
      <w:r w:rsidR="00C9351E" w:rsidRPr="00F15147">
        <w:rPr>
          <w:sz w:val="20"/>
          <w:lang w:val="en-GB"/>
        </w:rPr>
        <w:t>)</w:t>
      </w:r>
      <w:r w:rsidR="009D2668">
        <w:rPr>
          <w:sz w:val="20"/>
          <w:lang w:val="en-GB"/>
        </w:rPr>
        <w:t xml:space="preserve"> </w:t>
      </w:r>
      <w:r w:rsidR="00816CF2" w:rsidRPr="00F15147">
        <w:rPr>
          <w:sz w:val="20"/>
          <w:lang w:val="en-GB"/>
        </w:rPr>
        <w:t xml:space="preserve">(b) of the Optional Protocol, the Committee notes the State party’s contention that </w:t>
      </w:r>
      <w:r w:rsidR="00C9351E" w:rsidRPr="00F15147">
        <w:rPr>
          <w:sz w:val="20"/>
          <w:lang w:val="en-GB"/>
        </w:rPr>
        <w:t>because</w:t>
      </w:r>
      <w:r w:rsidR="004527FE" w:rsidRPr="00F15147">
        <w:rPr>
          <w:sz w:val="20"/>
          <w:lang w:val="en-GB"/>
        </w:rPr>
        <w:t xml:space="preserve"> </w:t>
      </w:r>
      <w:r w:rsidR="006837AA">
        <w:rPr>
          <w:sz w:val="20"/>
          <w:lang w:val="en-GB"/>
        </w:rPr>
        <w:t>Mr. </w:t>
      </w:r>
      <w:r w:rsidR="006B0C3C" w:rsidRPr="00696F9C">
        <w:rPr>
          <w:sz w:val="20"/>
          <w:szCs w:val="20"/>
        </w:rPr>
        <w:t>Wilders was not convicted</w:t>
      </w:r>
      <w:r w:rsidR="00C9351E" w:rsidRPr="00696F9C">
        <w:rPr>
          <w:sz w:val="20"/>
          <w:szCs w:val="20"/>
        </w:rPr>
        <w:t>,</w:t>
      </w:r>
      <w:r w:rsidR="006B0C3C" w:rsidRPr="00696F9C">
        <w:rPr>
          <w:sz w:val="20"/>
          <w:szCs w:val="20"/>
        </w:rPr>
        <w:t xml:space="preserve"> the authors</w:t>
      </w:r>
      <w:r w:rsidR="00C9351E" w:rsidRPr="00696F9C">
        <w:rPr>
          <w:sz w:val="20"/>
          <w:szCs w:val="20"/>
        </w:rPr>
        <w:t>’</w:t>
      </w:r>
      <w:r w:rsidR="006B0C3C" w:rsidRPr="00696F9C">
        <w:rPr>
          <w:sz w:val="20"/>
          <w:szCs w:val="20"/>
        </w:rPr>
        <w:t xml:space="preserve"> civil claim within the criminal proceedings could not be examined. </w:t>
      </w:r>
      <w:r w:rsidR="00BD3908" w:rsidRPr="00696F9C">
        <w:rPr>
          <w:sz w:val="20"/>
          <w:szCs w:val="20"/>
        </w:rPr>
        <w:t>Moreover</w:t>
      </w:r>
      <w:r w:rsidR="00910454" w:rsidRPr="00696F9C">
        <w:rPr>
          <w:sz w:val="20"/>
          <w:szCs w:val="20"/>
        </w:rPr>
        <w:t>,</w:t>
      </w:r>
      <w:r w:rsidR="00F570DA" w:rsidRPr="00696F9C">
        <w:rPr>
          <w:sz w:val="20"/>
          <w:szCs w:val="20"/>
          <w:lang w:val="en-GB"/>
        </w:rPr>
        <w:t xml:space="preserve"> </w:t>
      </w:r>
      <w:r w:rsidR="00A3238E" w:rsidRPr="00696F9C">
        <w:rPr>
          <w:sz w:val="20"/>
          <w:szCs w:val="20"/>
        </w:rPr>
        <w:t xml:space="preserve">it is uncontested that </w:t>
      </w:r>
      <w:r w:rsidR="00816CF2" w:rsidRPr="00696F9C">
        <w:rPr>
          <w:sz w:val="20"/>
          <w:szCs w:val="20"/>
        </w:rPr>
        <w:t xml:space="preserve">the authors </w:t>
      </w:r>
      <w:r w:rsidR="006B0C3C" w:rsidRPr="00696F9C">
        <w:rPr>
          <w:sz w:val="20"/>
          <w:szCs w:val="20"/>
        </w:rPr>
        <w:t xml:space="preserve">can still bring </w:t>
      </w:r>
      <w:r w:rsidR="00816CF2" w:rsidRPr="00696F9C">
        <w:rPr>
          <w:sz w:val="20"/>
          <w:szCs w:val="20"/>
        </w:rPr>
        <w:t xml:space="preserve">a </w:t>
      </w:r>
      <w:r w:rsidR="00A3238E" w:rsidRPr="00696F9C">
        <w:rPr>
          <w:sz w:val="20"/>
          <w:szCs w:val="20"/>
        </w:rPr>
        <w:t xml:space="preserve">separate </w:t>
      </w:r>
      <w:r w:rsidR="00816CF2" w:rsidRPr="00696F9C">
        <w:rPr>
          <w:sz w:val="20"/>
          <w:szCs w:val="20"/>
        </w:rPr>
        <w:t xml:space="preserve">civil action against </w:t>
      </w:r>
      <w:r w:rsidR="006837AA">
        <w:rPr>
          <w:sz w:val="20"/>
          <w:szCs w:val="20"/>
        </w:rPr>
        <w:t>Mr. </w:t>
      </w:r>
      <w:r w:rsidR="00816CF2" w:rsidRPr="00696F9C">
        <w:rPr>
          <w:sz w:val="20"/>
          <w:szCs w:val="20"/>
        </w:rPr>
        <w:t xml:space="preserve">Wilders </w:t>
      </w:r>
      <w:r w:rsidR="006B0C3C" w:rsidRPr="00696F9C">
        <w:rPr>
          <w:sz w:val="20"/>
          <w:szCs w:val="20"/>
        </w:rPr>
        <w:t xml:space="preserve">before a civil court </w:t>
      </w:r>
      <w:r w:rsidR="00816CF2" w:rsidRPr="00696F9C">
        <w:rPr>
          <w:sz w:val="20"/>
          <w:szCs w:val="20"/>
        </w:rPr>
        <w:t>on the grounds of an unlawful act</w:t>
      </w:r>
      <w:r w:rsidR="006B0C3C" w:rsidRPr="00696F9C">
        <w:rPr>
          <w:sz w:val="20"/>
          <w:szCs w:val="20"/>
        </w:rPr>
        <w:t>,</w:t>
      </w:r>
      <w:r w:rsidR="00816CF2" w:rsidRPr="00696F9C">
        <w:rPr>
          <w:sz w:val="20"/>
          <w:szCs w:val="20"/>
        </w:rPr>
        <w:t xml:space="preserve"> pursuant to article 6:162 of the Civil Code, even if they </w:t>
      </w:r>
      <w:r w:rsidR="00C9351E" w:rsidRPr="00696F9C">
        <w:rPr>
          <w:sz w:val="20"/>
          <w:szCs w:val="20"/>
        </w:rPr>
        <w:t>do</w:t>
      </w:r>
      <w:r w:rsidR="004527FE" w:rsidRPr="00696F9C">
        <w:rPr>
          <w:sz w:val="20"/>
          <w:szCs w:val="20"/>
        </w:rPr>
        <w:t xml:space="preserve"> </w:t>
      </w:r>
      <w:r w:rsidR="00816CF2" w:rsidRPr="00696F9C">
        <w:rPr>
          <w:sz w:val="20"/>
          <w:szCs w:val="20"/>
        </w:rPr>
        <w:t xml:space="preserve">not seek compensation. </w:t>
      </w:r>
      <w:r w:rsidR="00910454" w:rsidRPr="00696F9C">
        <w:rPr>
          <w:sz w:val="20"/>
          <w:szCs w:val="20"/>
        </w:rPr>
        <w:t>A</w:t>
      </w:r>
      <w:r w:rsidR="00816CF2" w:rsidRPr="00696F9C">
        <w:rPr>
          <w:sz w:val="20"/>
          <w:szCs w:val="20"/>
        </w:rPr>
        <w:t xml:space="preserve"> </w:t>
      </w:r>
      <w:r w:rsidR="00816CF2" w:rsidRPr="00696F9C">
        <w:rPr>
          <w:sz w:val="20"/>
          <w:szCs w:val="20"/>
        </w:rPr>
        <w:lastRenderedPageBreak/>
        <w:t>successful civil action would enable the authors to ask for a ban o</w:t>
      </w:r>
      <w:r w:rsidR="003976FE">
        <w:rPr>
          <w:sz w:val="20"/>
          <w:szCs w:val="20"/>
          <w:lang w:val="en-US"/>
        </w:rPr>
        <w:t>n</w:t>
      </w:r>
      <w:r w:rsidR="00816CF2" w:rsidRPr="00696F9C">
        <w:rPr>
          <w:sz w:val="20"/>
          <w:szCs w:val="20"/>
        </w:rPr>
        <w:t xml:space="preserve"> future statements by </w:t>
      </w:r>
      <w:r w:rsidR="006837AA">
        <w:rPr>
          <w:sz w:val="20"/>
          <w:szCs w:val="20"/>
        </w:rPr>
        <w:t>Mr. </w:t>
      </w:r>
      <w:r w:rsidR="00816CF2" w:rsidRPr="00696F9C">
        <w:rPr>
          <w:sz w:val="20"/>
          <w:szCs w:val="20"/>
        </w:rPr>
        <w:t xml:space="preserve">Wilders or to request a declaratory decision that </w:t>
      </w:r>
      <w:r w:rsidR="006837AA">
        <w:rPr>
          <w:sz w:val="20"/>
          <w:szCs w:val="20"/>
        </w:rPr>
        <w:t>Mr. </w:t>
      </w:r>
      <w:r w:rsidR="00816CF2" w:rsidRPr="00696F9C">
        <w:rPr>
          <w:sz w:val="20"/>
          <w:szCs w:val="20"/>
        </w:rPr>
        <w:t>Wilders’ statements</w:t>
      </w:r>
      <w:r w:rsidR="00816CF2" w:rsidRPr="00696F9C">
        <w:t xml:space="preserve"> </w:t>
      </w:r>
      <w:r w:rsidR="00816CF2" w:rsidRPr="00F15147">
        <w:rPr>
          <w:sz w:val="20"/>
          <w:lang w:val="en-GB"/>
        </w:rPr>
        <w:t>were unlawful. The Committee also notes the authors’ argument</w:t>
      </w:r>
      <w:r w:rsidR="00322BD1" w:rsidRPr="00F15147">
        <w:rPr>
          <w:sz w:val="20"/>
          <w:lang w:val="en-GB"/>
        </w:rPr>
        <w:t>s</w:t>
      </w:r>
      <w:r w:rsidR="00816CF2" w:rsidRPr="00F15147">
        <w:rPr>
          <w:sz w:val="20"/>
          <w:lang w:val="en-GB"/>
        </w:rPr>
        <w:t xml:space="preserve"> that </w:t>
      </w:r>
      <w:r w:rsidR="00A3238E" w:rsidRPr="00F15147">
        <w:rPr>
          <w:sz w:val="20"/>
          <w:lang w:val="en-GB"/>
        </w:rPr>
        <w:t xml:space="preserve">such </w:t>
      </w:r>
      <w:r w:rsidR="006B0C3C" w:rsidRPr="00F15147">
        <w:rPr>
          <w:sz w:val="20"/>
          <w:lang w:val="en-GB"/>
        </w:rPr>
        <w:t>a civil action in th</w:t>
      </w:r>
      <w:r w:rsidR="003976FE">
        <w:rPr>
          <w:sz w:val="20"/>
          <w:lang w:val="en-GB"/>
        </w:rPr>
        <w:t>e present</w:t>
      </w:r>
      <w:r w:rsidR="006B0C3C" w:rsidRPr="00F15147">
        <w:rPr>
          <w:sz w:val="20"/>
          <w:lang w:val="en-GB"/>
        </w:rPr>
        <w:t xml:space="preserve"> case is not an effective remedy because their aim was not to seek compensation</w:t>
      </w:r>
      <w:r w:rsidR="00910454" w:rsidRPr="00F15147">
        <w:rPr>
          <w:sz w:val="20"/>
          <w:lang w:val="en-GB"/>
        </w:rPr>
        <w:t>,</w:t>
      </w:r>
      <w:r w:rsidR="006B0C3C" w:rsidRPr="00F15147">
        <w:rPr>
          <w:sz w:val="20"/>
          <w:lang w:val="en-GB"/>
        </w:rPr>
        <w:t xml:space="preserve"> but to have a determination as to </w:t>
      </w:r>
      <w:r w:rsidR="00672D75" w:rsidRPr="00F15147">
        <w:rPr>
          <w:sz w:val="20"/>
          <w:lang w:val="en-GB"/>
        </w:rPr>
        <w:t>whether an offence under article 137d of the Criminal Co</w:t>
      </w:r>
      <w:r w:rsidR="009B5303" w:rsidRPr="00F15147">
        <w:rPr>
          <w:sz w:val="20"/>
          <w:lang w:val="en-GB"/>
        </w:rPr>
        <w:t>de</w:t>
      </w:r>
      <w:r w:rsidR="00672D75" w:rsidRPr="00F15147">
        <w:rPr>
          <w:sz w:val="20"/>
          <w:lang w:val="en-GB"/>
        </w:rPr>
        <w:t xml:space="preserve"> had been committed. </w:t>
      </w:r>
    </w:p>
    <w:p w14:paraId="604987BE" w14:textId="7DC868FC" w:rsidR="00816CF2" w:rsidRPr="00F15147" w:rsidRDefault="00D81085" w:rsidP="009A361A">
      <w:pPr>
        <w:pStyle w:val="SingleTxtG"/>
        <w:rPr>
          <w:sz w:val="20"/>
          <w:lang w:val="en-GB"/>
        </w:rPr>
      </w:pPr>
      <w:r w:rsidRPr="00F15147">
        <w:rPr>
          <w:sz w:val="20"/>
          <w:lang w:val="en-GB"/>
        </w:rPr>
        <w:t>9</w:t>
      </w:r>
      <w:r w:rsidR="00816CF2" w:rsidRPr="00F15147">
        <w:rPr>
          <w:sz w:val="20"/>
          <w:lang w:val="en-GB"/>
        </w:rPr>
        <w:t>.4</w:t>
      </w:r>
      <w:r w:rsidR="00816CF2" w:rsidRPr="00F15147">
        <w:rPr>
          <w:sz w:val="20"/>
          <w:lang w:val="en-GB"/>
        </w:rPr>
        <w:tab/>
        <w:t>The Committee recalls its jurisprudence that under article 5</w:t>
      </w:r>
      <w:r w:rsidR="009D2668">
        <w:rPr>
          <w:sz w:val="20"/>
          <w:lang w:val="en-GB"/>
        </w:rPr>
        <w:t xml:space="preserve"> </w:t>
      </w:r>
      <w:r w:rsidR="00C9351E" w:rsidRPr="00F15147">
        <w:rPr>
          <w:sz w:val="20"/>
          <w:lang w:val="en-GB"/>
        </w:rPr>
        <w:t>(</w:t>
      </w:r>
      <w:r w:rsidR="00816CF2" w:rsidRPr="00F15147">
        <w:rPr>
          <w:sz w:val="20"/>
          <w:lang w:val="en-GB"/>
        </w:rPr>
        <w:t>2</w:t>
      </w:r>
      <w:r w:rsidR="00C9351E" w:rsidRPr="00F15147">
        <w:rPr>
          <w:sz w:val="20"/>
          <w:lang w:val="en-GB"/>
        </w:rPr>
        <w:t>)</w:t>
      </w:r>
      <w:r w:rsidR="009D2668">
        <w:rPr>
          <w:sz w:val="20"/>
          <w:lang w:val="en-GB"/>
        </w:rPr>
        <w:t xml:space="preserve"> </w:t>
      </w:r>
      <w:r w:rsidR="00816CF2" w:rsidRPr="00F15147">
        <w:rPr>
          <w:sz w:val="20"/>
          <w:lang w:val="en-GB"/>
        </w:rPr>
        <w:t>(b) of the Optional Protocol, the author must make use of all judicial or administrative avenues that offer him a reasonable prospect of redress.</w:t>
      </w:r>
      <w:r w:rsidR="00816CF2" w:rsidRPr="003710BE">
        <w:rPr>
          <w:rStyle w:val="FootnoteReference"/>
        </w:rPr>
        <w:footnoteReference w:id="13"/>
      </w:r>
      <w:r w:rsidR="00816CF2" w:rsidRPr="00F15147">
        <w:rPr>
          <w:sz w:val="20"/>
          <w:lang w:val="en-GB"/>
        </w:rPr>
        <w:t xml:space="preserve"> It observes that a civil action under article 6:162 of the Civil Code would have </w:t>
      </w:r>
      <w:r w:rsidR="003C7FC2" w:rsidRPr="00F15147">
        <w:rPr>
          <w:sz w:val="20"/>
          <w:lang w:val="en-GB"/>
        </w:rPr>
        <w:t xml:space="preserve">allowed </w:t>
      </w:r>
      <w:r w:rsidR="00816CF2" w:rsidRPr="00F15147">
        <w:rPr>
          <w:sz w:val="20"/>
          <w:lang w:val="en-GB"/>
        </w:rPr>
        <w:t xml:space="preserve">the authors to seek pecuniary or non-pecuniary damages for a tort </w:t>
      </w:r>
      <w:r w:rsidR="008E2459" w:rsidRPr="00F15147">
        <w:rPr>
          <w:sz w:val="20"/>
          <w:lang w:val="en-GB"/>
        </w:rPr>
        <w:t xml:space="preserve">for unlawful acts </w:t>
      </w:r>
      <w:r w:rsidR="00816CF2" w:rsidRPr="00F15147">
        <w:rPr>
          <w:sz w:val="20"/>
          <w:lang w:val="en-GB"/>
        </w:rPr>
        <w:t xml:space="preserve">committed by </w:t>
      </w:r>
      <w:r w:rsidR="006837AA">
        <w:rPr>
          <w:sz w:val="20"/>
          <w:lang w:val="en-GB"/>
        </w:rPr>
        <w:t>Mr. </w:t>
      </w:r>
      <w:r w:rsidR="00816CF2" w:rsidRPr="00F15147">
        <w:rPr>
          <w:sz w:val="20"/>
          <w:lang w:val="en-GB"/>
        </w:rPr>
        <w:t>Wilders</w:t>
      </w:r>
      <w:r w:rsidR="00A3238E" w:rsidRPr="00F15147">
        <w:rPr>
          <w:sz w:val="20"/>
          <w:lang w:val="en-GB"/>
        </w:rPr>
        <w:t>, as well as declaratory relief</w:t>
      </w:r>
      <w:r w:rsidR="00816CF2" w:rsidRPr="00F15147">
        <w:rPr>
          <w:sz w:val="20"/>
          <w:lang w:val="en-GB"/>
        </w:rPr>
        <w:t xml:space="preserve">. However, the Committee </w:t>
      </w:r>
      <w:r w:rsidR="00672D75" w:rsidRPr="00F15147">
        <w:rPr>
          <w:sz w:val="20"/>
          <w:lang w:val="en-GB"/>
        </w:rPr>
        <w:t xml:space="preserve">also </w:t>
      </w:r>
      <w:r w:rsidR="00816CF2" w:rsidRPr="00F15147">
        <w:rPr>
          <w:sz w:val="20"/>
          <w:lang w:val="en-GB"/>
        </w:rPr>
        <w:t xml:space="preserve">observes </w:t>
      </w:r>
      <w:r w:rsidR="00672D75" w:rsidRPr="00F15147">
        <w:rPr>
          <w:sz w:val="20"/>
          <w:lang w:val="en-GB"/>
        </w:rPr>
        <w:t xml:space="preserve">that </w:t>
      </w:r>
      <w:r w:rsidR="0029044D" w:rsidRPr="00F15147">
        <w:rPr>
          <w:sz w:val="20"/>
          <w:lang w:val="en-GB"/>
        </w:rPr>
        <w:t>the authors</w:t>
      </w:r>
      <w:r w:rsidR="00672D75" w:rsidRPr="00F15147">
        <w:rPr>
          <w:sz w:val="20"/>
          <w:lang w:val="en-GB"/>
        </w:rPr>
        <w:t xml:space="preserve"> d</w:t>
      </w:r>
      <w:r w:rsidR="0029044D" w:rsidRPr="00F15147">
        <w:rPr>
          <w:sz w:val="20"/>
          <w:lang w:val="en-GB"/>
        </w:rPr>
        <w:t xml:space="preserve">id not seek </w:t>
      </w:r>
      <w:r w:rsidR="00672D75" w:rsidRPr="00F15147">
        <w:rPr>
          <w:sz w:val="20"/>
          <w:lang w:val="en-GB"/>
        </w:rPr>
        <w:t xml:space="preserve">to obtain civil compensation for any tort committed by </w:t>
      </w:r>
      <w:r w:rsidR="006837AA">
        <w:rPr>
          <w:sz w:val="20"/>
          <w:lang w:val="en-GB"/>
        </w:rPr>
        <w:t>Mr. </w:t>
      </w:r>
      <w:r w:rsidR="00672D75" w:rsidRPr="00F15147">
        <w:rPr>
          <w:sz w:val="20"/>
          <w:lang w:val="en-GB"/>
        </w:rPr>
        <w:t>Wilders</w:t>
      </w:r>
      <w:r w:rsidR="0029044D" w:rsidRPr="00F15147">
        <w:rPr>
          <w:sz w:val="20"/>
          <w:lang w:val="en-GB"/>
        </w:rPr>
        <w:t>. What they sought</w:t>
      </w:r>
      <w:r w:rsidR="00513599" w:rsidRPr="00F15147">
        <w:rPr>
          <w:sz w:val="20"/>
          <w:lang w:val="en-GB"/>
        </w:rPr>
        <w:t>, through their participation in the national judicial proceedings,</w:t>
      </w:r>
      <w:r w:rsidR="004527FE" w:rsidRPr="00F15147">
        <w:rPr>
          <w:sz w:val="20"/>
          <w:lang w:val="en-GB"/>
        </w:rPr>
        <w:t xml:space="preserve"> </w:t>
      </w:r>
      <w:r w:rsidR="00910454" w:rsidRPr="00F15147">
        <w:rPr>
          <w:sz w:val="20"/>
          <w:lang w:val="en-GB"/>
        </w:rPr>
        <w:t>wa</w:t>
      </w:r>
      <w:r w:rsidR="00513599" w:rsidRPr="00F15147">
        <w:rPr>
          <w:sz w:val="20"/>
          <w:lang w:val="en-GB"/>
        </w:rPr>
        <w:t>s</w:t>
      </w:r>
      <w:r w:rsidR="00005F43" w:rsidRPr="00F15147">
        <w:rPr>
          <w:sz w:val="20"/>
          <w:lang w:val="en-GB"/>
        </w:rPr>
        <w:t xml:space="preserve"> </w:t>
      </w:r>
      <w:r w:rsidR="00005F43" w:rsidRPr="00EC1FEE">
        <w:rPr>
          <w:sz w:val="20"/>
          <w:szCs w:val="20"/>
          <w:lang w:val="en-GB"/>
        </w:rPr>
        <w:t>a judgment against him by a</w:t>
      </w:r>
      <w:r w:rsidR="00005F43" w:rsidRPr="00F15147">
        <w:rPr>
          <w:sz w:val="20"/>
          <w:lang w:val="en-GB"/>
        </w:rPr>
        <w:t xml:space="preserve"> criminal </w:t>
      </w:r>
      <w:r w:rsidR="00005F43" w:rsidRPr="00EC1FEE">
        <w:rPr>
          <w:sz w:val="20"/>
          <w:szCs w:val="20"/>
          <w:lang w:val="en-GB"/>
        </w:rPr>
        <w:t>court for</w:t>
      </w:r>
      <w:r w:rsidR="00005F43" w:rsidRPr="00F15147">
        <w:rPr>
          <w:sz w:val="20"/>
          <w:lang w:val="en-GB"/>
        </w:rPr>
        <w:t xml:space="preserve"> the </w:t>
      </w:r>
      <w:r w:rsidR="00005F43" w:rsidRPr="00EC1FEE">
        <w:rPr>
          <w:sz w:val="20"/>
          <w:szCs w:val="20"/>
          <w:lang w:val="en-GB"/>
        </w:rPr>
        <w:t xml:space="preserve">important and distinct public force of a verdict establishing guilt or innocence under </w:t>
      </w:r>
      <w:r w:rsidR="0029044D" w:rsidRPr="00F15147">
        <w:rPr>
          <w:sz w:val="20"/>
          <w:lang w:val="en-GB"/>
        </w:rPr>
        <w:t xml:space="preserve">section 137d </w:t>
      </w:r>
      <w:r w:rsidR="008851CB">
        <w:rPr>
          <w:sz w:val="20"/>
          <w:lang w:val="en-GB"/>
        </w:rPr>
        <w:t xml:space="preserve">of the </w:t>
      </w:r>
      <w:r w:rsidR="008851CB" w:rsidRPr="008E6C6C">
        <w:rPr>
          <w:sz w:val="20"/>
          <w:lang w:val="en-GB"/>
        </w:rPr>
        <w:t>Criminal Code</w:t>
      </w:r>
      <w:r w:rsidR="0029044D" w:rsidRPr="00F15147">
        <w:rPr>
          <w:sz w:val="20"/>
          <w:lang w:val="en-GB"/>
        </w:rPr>
        <w:t>, a provision intended to implement the State party’s obligation under article 20</w:t>
      </w:r>
      <w:r w:rsidR="003A7B49">
        <w:rPr>
          <w:sz w:val="20"/>
          <w:lang w:val="en-GB"/>
        </w:rPr>
        <w:t xml:space="preserve"> </w:t>
      </w:r>
      <w:r w:rsidR="0029044D" w:rsidRPr="00F15147">
        <w:rPr>
          <w:sz w:val="20"/>
          <w:lang w:val="en-GB"/>
        </w:rPr>
        <w:t xml:space="preserve">(2) of the Covenant. </w:t>
      </w:r>
      <w:r w:rsidR="00513599" w:rsidRPr="00F15147">
        <w:rPr>
          <w:sz w:val="20"/>
          <w:lang w:val="en-GB"/>
        </w:rPr>
        <w:t xml:space="preserve">Accordingly, the </w:t>
      </w:r>
      <w:r w:rsidR="00A3238E" w:rsidRPr="00F15147">
        <w:rPr>
          <w:sz w:val="20"/>
          <w:lang w:val="en-GB"/>
        </w:rPr>
        <w:t>authors chose the remedy afforded by the State party that was most specifically tailored to their aim</w:t>
      </w:r>
      <w:r w:rsidR="006D40D2" w:rsidRPr="00F15147">
        <w:rPr>
          <w:sz w:val="20"/>
          <w:lang w:val="en-GB"/>
        </w:rPr>
        <w:t>.</w:t>
      </w:r>
      <w:r w:rsidR="009B5303" w:rsidRPr="003710BE">
        <w:rPr>
          <w:rStyle w:val="FootnoteReference"/>
        </w:rPr>
        <w:footnoteReference w:id="14"/>
      </w:r>
      <w:r w:rsidR="006D40D2" w:rsidRPr="00F15147">
        <w:rPr>
          <w:sz w:val="20"/>
          <w:lang w:val="en-GB"/>
        </w:rPr>
        <w:t xml:space="preserve"> </w:t>
      </w:r>
      <w:r w:rsidR="00A0010D" w:rsidRPr="00F15147">
        <w:rPr>
          <w:sz w:val="20"/>
          <w:lang w:val="en-GB"/>
        </w:rPr>
        <w:t xml:space="preserve">The Committee considers that </w:t>
      </w:r>
      <w:r w:rsidR="00CE35B9" w:rsidRPr="00F15147">
        <w:rPr>
          <w:sz w:val="20"/>
          <w:lang w:val="en-GB"/>
        </w:rPr>
        <w:t>th</w:t>
      </w:r>
      <w:r w:rsidR="003A7B49">
        <w:rPr>
          <w:sz w:val="20"/>
          <w:lang w:val="en-GB"/>
        </w:rPr>
        <w:t>at</w:t>
      </w:r>
      <w:r w:rsidR="00CE35B9" w:rsidRPr="00F15147">
        <w:rPr>
          <w:sz w:val="20"/>
          <w:lang w:val="en-GB"/>
        </w:rPr>
        <w:t xml:space="preserve"> determination could be ob</w:t>
      </w:r>
      <w:r w:rsidR="009B5303" w:rsidRPr="00F15147">
        <w:rPr>
          <w:sz w:val="20"/>
          <w:lang w:val="en-GB"/>
        </w:rPr>
        <w:t xml:space="preserve">tained </w:t>
      </w:r>
      <w:r w:rsidR="00637A7D" w:rsidRPr="00EC1FEE">
        <w:rPr>
          <w:sz w:val="20"/>
          <w:szCs w:val="20"/>
          <w:lang w:val="en-GB"/>
        </w:rPr>
        <w:t>only</w:t>
      </w:r>
      <w:r w:rsidR="00637A7D" w:rsidRPr="0021609B">
        <w:rPr>
          <w:sz w:val="20"/>
          <w:lang w:val="en-GB"/>
        </w:rPr>
        <w:t xml:space="preserve"> </w:t>
      </w:r>
      <w:r w:rsidR="009B5303" w:rsidRPr="00F15147">
        <w:rPr>
          <w:sz w:val="20"/>
          <w:lang w:val="en-GB"/>
        </w:rPr>
        <w:t>in criminal proceedings.</w:t>
      </w:r>
      <w:r w:rsidR="003A7B49">
        <w:rPr>
          <w:sz w:val="20"/>
          <w:lang w:val="en-GB"/>
        </w:rPr>
        <w:t xml:space="preserve"> </w:t>
      </w:r>
      <w:r w:rsidR="00A0010D" w:rsidRPr="00F15147">
        <w:rPr>
          <w:sz w:val="20"/>
          <w:lang w:val="en-GB"/>
        </w:rPr>
        <w:t xml:space="preserve">The </w:t>
      </w:r>
      <w:r w:rsidR="006D40D2" w:rsidRPr="00F15147">
        <w:rPr>
          <w:sz w:val="20"/>
          <w:lang w:val="en-GB"/>
        </w:rPr>
        <w:t>Committee th</w:t>
      </w:r>
      <w:r w:rsidR="00D900B0" w:rsidRPr="00F15147">
        <w:rPr>
          <w:sz w:val="20"/>
          <w:lang w:val="en-GB"/>
        </w:rPr>
        <w:t>erefore</w:t>
      </w:r>
      <w:r w:rsidR="006D40D2" w:rsidRPr="00F15147">
        <w:rPr>
          <w:sz w:val="20"/>
          <w:lang w:val="en-GB"/>
        </w:rPr>
        <w:t xml:space="preserve"> considers that it is</w:t>
      </w:r>
      <w:r w:rsidR="00D900B0" w:rsidRPr="00F15147">
        <w:rPr>
          <w:sz w:val="20"/>
          <w:lang w:val="en-GB"/>
        </w:rPr>
        <w:t xml:space="preserve"> not prevented, under article 5</w:t>
      </w:r>
      <w:r w:rsidR="009D2668">
        <w:rPr>
          <w:sz w:val="20"/>
          <w:lang w:val="en-GB"/>
        </w:rPr>
        <w:t xml:space="preserve"> </w:t>
      </w:r>
      <w:r w:rsidR="00FF6AFD" w:rsidRPr="00F15147">
        <w:rPr>
          <w:sz w:val="20"/>
          <w:lang w:val="en-GB"/>
        </w:rPr>
        <w:t>(</w:t>
      </w:r>
      <w:r w:rsidR="00D900B0" w:rsidRPr="00F15147">
        <w:rPr>
          <w:sz w:val="20"/>
          <w:lang w:val="en-GB"/>
        </w:rPr>
        <w:t>2</w:t>
      </w:r>
      <w:r w:rsidR="00FF6AFD" w:rsidRPr="00F15147">
        <w:rPr>
          <w:sz w:val="20"/>
          <w:lang w:val="en-GB"/>
        </w:rPr>
        <w:t>)</w:t>
      </w:r>
      <w:r w:rsidR="009D2668">
        <w:rPr>
          <w:sz w:val="20"/>
          <w:lang w:val="en-GB"/>
        </w:rPr>
        <w:t xml:space="preserve"> </w:t>
      </w:r>
      <w:r w:rsidR="00D900B0" w:rsidRPr="00F15147">
        <w:rPr>
          <w:sz w:val="20"/>
          <w:lang w:val="en-GB"/>
        </w:rPr>
        <w:t>(b), fro</w:t>
      </w:r>
      <w:r w:rsidR="003204B4" w:rsidRPr="00F15147">
        <w:rPr>
          <w:sz w:val="20"/>
          <w:lang w:val="en-GB"/>
        </w:rPr>
        <w:t>m examining the communication.</w:t>
      </w:r>
    </w:p>
    <w:p w14:paraId="7FE96640" w14:textId="3DA6CDD2" w:rsidR="00A5551F" w:rsidRPr="00F15147" w:rsidRDefault="00D81085" w:rsidP="00CB7B74">
      <w:pPr>
        <w:pStyle w:val="SingleTxtG"/>
        <w:rPr>
          <w:sz w:val="20"/>
          <w:lang w:val="en-GB"/>
        </w:rPr>
      </w:pPr>
      <w:r w:rsidRPr="00F15147">
        <w:rPr>
          <w:sz w:val="20"/>
          <w:lang w:val="en-GB"/>
        </w:rPr>
        <w:t>9</w:t>
      </w:r>
      <w:r w:rsidR="00816CF2" w:rsidRPr="00F15147">
        <w:rPr>
          <w:sz w:val="20"/>
          <w:lang w:val="en-GB"/>
        </w:rPr>
        <w:t>.5</w:t>
      </w:r>
      <w:r w:rsidR="00816CF2" w:rsidRPr="00F15147">
        <w:rPr>
          <w:sz w:val="20"/>
          <w:lang w:val="en-GB"/>
        </w:rPr>
        <w:tab/>
      </w:r>
      <w:r w:rsidR="00816CF2" w:rsidRPr="009C439C">
        <w:rPr>
          <w:sz w:val="20"/>
          <w:lang w:val="en-GB"/>
        </w:rPr>
        <w:t>The Committee notes the State party’s objection to admissibility on the grounds</w:t>
      </w:r>
      <w:r w:rsidR="00816CF2" w:rsidRPr="00F15147">
        <w:rPr>
          <w:sz w:val="20"/>
          <w:lang w:val="en-GB"/>
        </w:rPr>
        <w:t xml:space="preserve"> that the</w:t>
      </w:r>
      <w:r w:rsidR="002053F4" w:rsidRPr="00F15147">
        <w:rPr>
          <w:sz w:val="20"/>
          <w:lang w:val="en-GB"/>
        </w:rPr>
        <w:t xml:space="preserve"> authors lack victim status and that the</w:t>
      </w:r>
      <w:r w:rsidR="00816CF2" w:rsidRPr="00F15147">
        <w:rPr>
          <w:sz w:val="20"/>
          <w:lang w:val="en-GB"/>
        </w:rPr>
        <w:t xml:space="preserve"> communication is in essence an </w:t>
      </w:r>
      <w:r w:rsidR="00816CF2" w:rsidRPr="00F15147">
        <w:rPr>
          <w:i/>
          <w:sz w:val="20"/>
          <w:lang w:val="en-GB"/>
        </w:rPr>
        <w:t>actio popularis</w:t>
      </w:r>
      <w:r w:rsidR="00816CF2" w:rsidRPr="00F15147">
        <w:rPr>
          <w:sz w:val="20"/>
          <w:lang w:val="en-GB"/>
        </w:rPr>
        <w:t xml:space="preserve">, as the authors failed to establish that </w:t>
      </w:r>
      <w:r w:rsidR="006837AA">
        <w:rPr>
          <w:sz w:val="20"/>
          <w:lang w:val="en-GB"/>
        </w:rPr>
        <w:t>Mr. </w:t>
      </w:r>
      <w:r w:rsidR="009C439C" w:rsidRPr="008845B3">
        <w:rPr>
          <w:sz w:val="20"/>
          <w:lang w:val="en-GB"/>
        </w:rPr>
        <w:t>Wilders</w:t>
      </w:r>
      <w:r w:rsidR="009C439C">
        <w:rPr>
          <w:sz w:val="20"/>
          <w:lang w:val="en-GB"/>
        </w:rPr>
        <w:t>’</w:t>
      </w:r>
      <w:r w:rsidR="00816CF2" w:rsidRPr="00F15147">
        <w:rPr>
          <w:sz w:val="20"/>
          <w:lang w:val="en-GB"/>
        </w:rPr>
        <w:t xml:space="preserve"> statements would personally affect them. </w:t>
      </w:r>
      <w:r w:rsidR="00A5551F" w:rsidRPr="00F15147">
        <w:rPr>
          <w:sz w:val="20"/>
          <w:lang w:val="en-GB"/>
        </w:rPr>
        <w:t>In this respect</w:t>
      </w:r>
      <w:r w:rsidR="009C439C">
        <w:rPr>
          <w:sz w:val="20"/>
          <w:lang w:val="en-GB"/>
        </w:rPr>
        <w:t>,</w:t>
      </w:r>
      <w:r w:rsidR="00A5551F" w:rsidRPr="00F15147">
        <w:rPr>
          <w:sz w:val="20"/>
          <w:lang w:val="en-GB"/>
        </w:rPr>
        <w:t xml:space="preserve"> the Committee recalls its jurisprudence that </w:t>
      </w:r>
      <w:r w:rsidR="00DC6C18" w:rsidRPr="00F15147">
        <w:rPr>
          <w:sz w:val="20"/>
          <w:lang w:val="en-GB"/>
        </w:rPr>
        <w:t>“a person can only claim to be a victim in the sense of article 1 of the Optional Protocol if he or she is actually affected.</w:t>
      </w:r>
      <w:r w:rsidR="002B797B" w:rsidRPr="00F15147">
        <w:rPr>
          <w:sz w:val="20"/>
          <w:lang w:val="en-GB"/>
        </w:rPr>
        <w:t xml:space="preserve"> </w:t>
      </w:r>
      <w:r w:rsidR="00DC6C18" w:rsidRPr="00F15147">
        <w:rPr>
          <w:sz w:val="20"/>
          <w:lang w:val="en-GB"/>
        </w:rPr>
        <w:t>It is a matter of degree how concretely this requirement should be taken.</w:t>
      </w:r>
      <w:r w:rsidR="002B797B" w:rsidRPr="00F15147">
        <w:rPr>
          <w:sz w:val="20"/>
          <w:lang w:val="en-GB"/>
        </w:rPr>
        <w:t xml:space="preserve"> </w:t>
      </w:r>
      <w:r w:rsidR="00DC6C18" w:rsidRPr="00F15147">
        <w:rPr>
          <w:sz w:val="20"/>
          <w:lang w:val="en-GB"/>
        </w:rPr>
        <w:t xml:space="preserve">However, no individual can, in the abstract, by way of an </w:t>
      </w:r>
      <w:r w:rsidR="00DC6C18" w:rsidRPr="00F15147">
        <w:rPr>
          <w:i/>
          <w:sz w:val="20"/>
          <w:lang w:val="en-GB"/>
        </w:rPr>
        <w:t>actio popularis</w:t>
      </w:r>
      <w:r w:rsidR="00DC6C18" w:rsidRPr="00F15147">
        <w:rPr>
          <w:sz w:val="20"/>
          <w:lang w:val="en-GB"/>
        </w:rPr>
        <w:t>, challenge a law or practice claimed to be contrary to the Covenant</w:t>
      </w:r>
      <w:r w:rsidR="00197419" w:rsidRPr="00F15147">
        <w:rPr>
          <w:sz w:val="20"/>
          <w:lang w:val="en-GB"/>
        </w:rPr>
        <w:t>”</w:t>
      </w:r>
      <w:r w:rsidR="002B797B" w:rsidRPr="00F15147">
        <w:rPr>
          <w:sz w:val="20"/>
          <w:lang w:val="en-GB"/>
        </w:rPr>
        <w:t>.</w:t>
      </w:r>
      <w:r w:rsidR="00DC6C18" w:rsidRPr="003710BE">
        <w:rPr>
          <w:rStyle w:val="FootnoteReference"/>
        </w:rPr>
        <w:footnoteReference w:id="15"/>
      </w:r>
      <w:r w:rsidR="002B797B" w:rsidRPr="00F15147">
        <w:rPr>
          <w:sz w:val="20"/>
          <w:lang w:val="en-GB"/>
        </w:rPr>
        <w:t xml:space="preserve"> </w:t>
      </w:r>
      <w:r w:rsidR="00DC6C18" w:rsidRPr="00F15147">
        <w:rPr>
          <w:sz w:val="20"/>
          <w:lang w:val="en-GB"/>
        </w:rPr>
        <w:t>Accordingly, a</w:t>
      </w:r>
      <w:r w:rsidR="00A5551F" w:rsidRPr="00F15147">
        <w:rPr>
          <w:sz w:val="20"/>
          <w:lang w:val="en-GB"/>
        </w:rPr>
        <w:t xml:space="preserve">ny person claiming to be a victim of a violation of a right protected </w:t>
      </w:r>
      <w:r w:rsidR="00CB3D01">
        <w:rPr>
          <w:sz w:val="20"/>
          <w:lang w:val="en-GB"/>
        </w:rPr>
        <w:t>under</w:t>
      </w:r>
      <w:r w:rsidR="00A5551F" w:rsidRPr="00F15147">
        <w:rPr>
          <w:sz w:val="20"/>
          <w:lang w:val="en-GB"/>
        </w:rPr>
        <w:t xml:space="preserve"> the Covenant must demonstrate either that a State party has</w:t>
      </w:r>
      <w:r w:rsidR="00CB3D01">
        <w:rPr>
          <w:sz w:val="20"/>
          <w:lang w:val="en-GB"/>
        </w:rPr>
        <w:t>,</w:t>
      </w:r>
      <w:r w:rsidR="00A5551F" w:rsidRPr="00F15147">
        <w:rPr>
          <w:sz w:val="20"/>
          <w:lang w:val="en-GB"/>
        </w:rPr>
        <w:t xml:space="preserve"> by act or omission</w:t>
      </w:r>
      <w:r w:rsidR="00CB3D01">
        <w:rPr>
          <w:sz w:val="20"/>
          <w:lang w:val="en-GB"/>
        </w:rPr>
        <w:t>,</w:t>
      </w:r>
      <w:r w:rsidR="00A5551F" w:rsidRPr="00F15147">
        <w:rPr>
          <w:sz w:val="20"/>
          <w:lang w:val="en-GB"/>
        </w:rPr>
        <w:t xml:space="preserve"> already impaired the exercise of his right or that such impairment is imminent, basing his arguments for example on legislation in force or on a judicial or administrative decision or practice</w:t>
      </w:r>
      <w:r w:rsidR="00F570DA" w:rsidRPr="00F15147">
        <w:rPr>
          <w:sz w:val="20"/>
          <w:lang w:val="en-GB"/>
        </w:rPr>
        <w:t>.</w:t>
      </w:r>
      <w:r w:rsidR="00DC6C18" w:rsidRPr="003710BE">
        <w:rPr>
          <w:rStyle w:val="FootnoteReference"/>
        </w:rPr>
        <w:footnoteReference w:id="16"/>
      </w:r>
      <w:r w:rsidR="004527FE" w:rsidRPr="00F15147">
        <w:rPr>
          <w:sz w:val="20"/>
          <w:lang w:val="en-GB"/>
        </w:rPr>
        <w:t xml:space="preserve"> </w:t>
      </w:r>
      <w:r w:rsidR="00197419" w:rsidRPr="00F15147">
        <w:rPr>
          <w:sz w:val="20"/>
          <w:lang w:val="en-GB"/>
        </w:rPr>
        <w:t>In applying this principle, t</w:t>
      </w:r>
      <w:r w:rsidR="00DC6C18" w:rsidRPr="00F15147">
        <w:rPr>
          <w:sz w:val="20"/>
          <w:lang w:val="en-GB"/>
        </w:rPr>
        <w:t>he Committee has recognized</w:t>
      </w:r>
      <w:r w:rsidR="004527FE" w:rsidRPr="00F15147">
        <w:rPr>
          <w:sz w:val="20"/>
          <w:lang w:val="en-GB"/>
        </w:rPr>
        <w:t xml:space="preserve"> </w:t>
      </w:r>
      <w:r w:rsidR="00DC6C18" w:rsidRPr="00F15147">
        <w:rPr>
          <w:sz w:val="20"/>
          <w:lang w:val="en-GB"/>
        </w:rPr>
        <w:t xml:space="preserve">that </w:t>
      </w:r>
      <w:r w:rsidR="00197419" w:rsidRPr="00F15147">
        <w:rPr>
          <w:sz w:val="20"/>
          <w:lang w:val="en-GB"/>
        </w:rPr>
        <w:t>“</w:t>
      </w:r>
      <w:r w:rsidR="00DC6C18" w:rsidRPr="00F15147">
        <w:rPr>
          <w:sz w:val="20"/>
          <w:lang w:val="en-GB"/>
        </w:rPr>
        <w:t>where an individual is in a category of persons whose activities are, by virtue of the relevant legislation, regarded as contrary to law, th</w:t>
      </w:r>
      <w:r w:rsidR="00197419" w:rsidRPr="00F15147">
        <w:rPr>
          <w:sz w:val="20"/>
          <w:lang w:val="en-GB"/>
        </w:rPr>
        <w:t>ey may have a claim as ‘victims’”</w:t>
      </w:r>
      <w:r w:rsidR="00F570DA" w:rsidRPr="00F15147">
        <w:rPr>
          <w:sz w:val="20"/>
          <w:lang w:val="en-GB"/>
        </w:rPr>
        <w:t>.</w:t>
      </w:r>
      <w:r w:rsidR="00DC6C18" w:rsidRPr="003710BE">
        <w:rPr>
          <w:rStyle w:val="FootnoteReference"/>
        </w:rPr>
        <w:footnoteReference w:id="17"/>
      </w:r>
      <w:r w:rsidR="004527FE" w:rsidRPr="00F15147">
        <w:rPr>
          <w:sz w:val="20"/>
          <w:lang w:val="en-GB"/>
        </w:rPr>
        <w:t xml:space="preserve"> </w:t>
      </w:r>
      <w:r w:rsidR="00DC6C18" w:rsidRPr="00F15147">
        <w:rPr>
          <w:sz w:val="20"/>
          <w:lang w:val="en-GB"/>
        </w:rPr>
        <w:t xml:space="preserve">Moreover, in </w:t>
      </w:r>
      <w:r w:rsidR="00A5551F" w:rsidRPr="00F15147">
        <w:rPr>
          <w:i/>
          <w:sz w:val="20"/>
          <w:lang w:val="en-GB"/>
        </w:rPr>
        <w:t>Toonen v. Australia</w:t>
      </w:r>
      <w:r w:rsidR="00A5551F" w:rsidRPr="00F15147">
        <w:rPr>
          <w:sz w:val="20"/>
          <w:lang w:val="en-GB"/>
        </w:rPr>
        <w:t xml:space="preserve">, </w:t>
      </w:r>
      <w:r w:rsidR="00197419" w:rsidRPr="00F15147">
        <w:rPr>
          <w:sz w:val="20"/>
          <w:lang w:val="en-GB"/>
        </w:rPr>
        <w:t>although</w:t>
      </w:r>
      <w:r w:rsidR="00DC6C18" w:rsidRPr="00F15147">
        <w:rPr>
          <w:sz w:val="20"/>
          <w:lang w:val="en-GB"/>
        </w:rPr>
        <w:t xml:space="preserve"> the legislative provisions challenged by the author had not been enforced by the </w:t>
      </w:r>
      <w:r w:rsidR="00197419" w:rsidRPr="00F15147">
        <w:rPr>
          <w:sz w:val="20"/>
          <w:lang w:val="en-GB"/>
        </w:rPr>
        <w:t xml:space="preserve">authorities for a number of years, </w:t>
      </w:r>
      <w:r w:rsidR="00DC6C18" w:rsidRPr="00F15147">
        <w:rPr>
          <w:sz w:val="20"/>
          <w:lang w:val="en-GB"/>
        </w:rPr>
        <w:t>the author</w:t>
      </w:r>
      <w:r w:rsidR="004527FE" w:rsidRPr="00F15147">
        <w:rPr>
          <w:sz w:val="20"/>
          <w:lang w:val="en-GB"/>
        </w:rPr>
        <w:t xml:space="preserve"> </w:t>
      </w:r>
      <w:r w:rsidR="00197419" w:rsidRPr="00F15147">
        <w:rPr>
          <w:sz w:val="20"/>
          <w:lang w:val="en-GB"/>
        </w:rPr>
        <w:t xml:space="preserve">pointed, inter alia, to derogatory and insulting remarks </w:t>
      </w:r>
      <w:r w:rsidR="00576AD7" w:rsidRPr="00F15147">
        <w:rPr>
          <w:sz w:val="20"/>
          <w:lang w:val="en-GB"/>
        </w:rPr>
        <w:t xml:space="preserve">and a “campaign of official and unofficial hatred” </w:t>
      </w:r>
      <w:r w:rsidR="000170BD" w:rsidRPr="00F15147">
        <w:rPr>
          <w:sz w:val="20"/>
          <w:lang w:val="en-GB"/>
        </w:rPr>
        <w:t>directe</w:t>
      </w:r>
      <w:r w:rsidR="00576AD7" w:rsidRPr="00F15147">
        <w:rPr>
          <w:sz w:val="20"/>
          <w:lang w:val="en-GB"/>
        </w:rPr>
        <w:t>d at</w:t>
      </w:r>
      <w:r w:rsidR="004527FE" w:rsidRPr="00F15147">
        <w:rPr>
          <w:sz w:val="20"/>
          <w:lang w:val="en-GB"/>
        </w:rPr>
        <w:t xml:space="preserve"> </w:t>
      </w:r>
      <w:r w:rsidR="00197419" w:rsidRPr="00F15147">
        <w:rPr>
          <w:sz w:val="20"/>
          <w:lang w:val="en-GB"/>
        </w:rPr>
        <w:t xml:space="preserve">homosexual </w:t>
      </w:r>
      <w:r w:rsidR="00576AD7" w:rsidRPr="00F15147">
        <w:rPr>
          <w:sz w:val="20"/>
          <w:lang w:val="en-GB"/>
        </w:rPr>
        <w:t>persons</w:t>
      </w:r>
      <w:r w:rsidR="00197419" w:rsidRPr="00F15147">
        <w:rPr>
          <w:sz w:val="20"/>
          <w:lang w:val="en-GB"/>
        </w:rPr>
        <w:t xml:space="preserve">, </w:t>
      </w:r>
      <w:r w:rsidR="00576AD7" w:rsidRPr="00F15147">
        <w:rPr>
          <w:sz w:val="20"/>
          <w:lang w:val="en-GB"/>
        </w:rPr>
        <w:t>and claimed that the mere existence of the legislation fuel</w:t>
      </w:r>
      <w:r w:rsidR="00CB3D01">
        <w:rPr>
          <w:sz w:val="20"/>
          <w:lang w:val="en-GB"/>
        </w:rPr>
        <w:t>l</w:t>
      </w:r>
      <w:r w:rsidR="00576AD7" w:rsidRPr="00F15147">
        <w:rPr>
          <w:sz w:val="20"/>
          <w:lang w:val="en-GB"/>
        </w:rPr>
        <w:t xml:space="preserve">ed </w:t>
      </w:r>
      <w:r w:rsidR="00161D3B" w:rsidRPr="00001FE6">
        <w:rPr>
          <w:sz w:val="20"/>
          <w:lang w:val="en-GB"/>
        </w:rPr>
        <w:t xml:space="preserve">harassment of, </w:t>
      </w:r>
      <w:r w:rsidR="00161D3B">
        <w:rPr>
          <w:sz w:val="20"/>
          <w:lang w:val="en-GB"/>
        </w:rPr>
        <w:t xml:space="preserve">and </w:t>
      </w:r>
      <w:r w:rsidR="00576AD7" w:rsidRPr="00F15147">
        <w:rPr>
          <w:sz w:val="20"/>
          <w:lang w:val="en-GB"/>
        </w:rPr>
        <w:t>discrimination and violence against, the homosexual community. The Committee concluded that the author “</w:t>
      </w:r>
      <w:r w:rsidR="00DC6C18" w:rsidRPr="00F15147">
        <w:rPr>
          <w:sz w:val="20"/>
          <w:lang w:val="en-GB"/>
        </w:rPr>
        <w:t xml:space="preserve">had made reasonable efforts to demonstrate that the threat of enforcement and the pervasive impact of the continued existence of these provisions on administrative practices and public opinion had </w:t>
      </w:r>
      <w:r w:rsidR="00DC6C18" w:rsidRPr="00F15147">
        <w:rPr>
          <w:sz w:val="20"/>
          <w:lang w:val="en-GB"/>
        </w:rPr>
        <w:lastRenderedPageBreak/>
        <w:t>affected him and continued to affect him personally</w:t>
      </w:r>
      <w:r w:rsidR="00576AD7" w:rsidRPr="00F15147">
        <w:rPr>
          <w:sz w:val="20"/>
          <w:lang w:val="en-GB"/>
        </w:rPr>
        <w:t>”</w:t>
      </w:r>
      <w:r w:rsidR="00161D3B">
        <w:rPr>
          <w:sz w:val="20"/>
          <w:lang w:val="en-GB"/>
        </w:rPr>
        <w:t xml:space="preserve"> to a </w:t>
      </w:r>
      <w:r w:rsidR="00161D3B" w:rsidRPr="00710C91">
        <w:rPr>
          <w:sz w:val="20"/>
          <w:lang w:val="en-GB"/>
        </w:rPr>
        <w:t xml:space="preserve">sufficient </w:t>
      </w:r>
      <w:r w:rsidR="00161D3B">
        <w:rPr>
          <w:sz w:val="20"/>
          <w:lang w:val="en-GB"/>
        </w:rPr>
        <w:t xml:space="preserve">degree </w:t>
      </w:r>
      <w:r w:rsidR="00161D3B" w:rsidRPr="00710C91">
        <w:rPr>
          <w:sz w:val="20"/>
          <w:lang w:val="en-GB"/>
        </w:rPr>
        <w:t>to establish his status as a victim</w:t>
      </w:r>
      <w:r w:rsidR="00161D3B">
        <w:rPr>
          <w:sz w:val="20"/>
          <w:lang w:val="en-GB"/>
        </w:rPr>
        <w:t>.</w:t>
      </w:r>
      <w:r w:rsidR="00711D51" w:rsidRPr="003710BE">
        <w:rPr>
          <w:rStyle w:val="FootnoteReference"/>
        </w:rPr>
        <w:footnoteReference w:id="18"/>
      </w:r>
    </w:p>
    <w:p w14:paraId="3804AA79" w14:textId="44852F13" w:rsidR="002053F4" w:rsidRPr="00F15147" w:rsidRDefault="00D81085" w:rsidP="009D2668">
      <w:pPr>
        <w:pStyle w:val="SingleTxtG"/>
        <w:rPr>
          <w:sz w:val="20"/>
          <w:lang w:val="en-GB"/>
        </w:rPr>
      </w:pPr>
      <w:r w:rsidRPr="00F15147">
        <w:rPr>
          <w:sz w:val="20"/>
          <w:lang w:val="en-GB"/>
        </w:rPr>
        <w:t>9</w:t>
      </w:r>
      <w:r w:rsidR="00714A7B" w:rsidRPr="00F15147">
        <w:rPr>
          <w:sz w:val="20"/>
          <w:lang w:val="en-GB"/>
        </w:rPr>
        <w:t>.</w:t>
      </w:r>
      <w:r w:rsidR="00792175" w:rsidRPr="00F15147">
        <w:rPr>
          <w:sz w:val="20"/>
          <w:lang w:val="en-GB"/>
        </w:rPr>
        <w:t>6</w:t>
      </w:r>
      <w:r w:rsidR="00F570DA" w:rsidRPr="00F15147">
        <w:rPr>
          <w:sz w:val="20"/>
          <w:lang w:val="en-GB"/>
        </w:rPr>
        <w:tab/>
      </w:r>
      <w:r w:rsidR="00A5551F" w:rsidRPr="00F15147">
        <w:rPr>
          <w:sz w:val="20"/>
          <w:lang w:val="en-GB"/>
        </w:rPr>
        <w:t>In the present case</w:t>
      </w:r>
      <w:r w:rsidR="00161D3B">
        <w:rPr>
          <w:sz w:val="20"/>
          <w:lang w:val="en-GB"/>
        </w:rPr>
        <w:t>,</w:t>
      </w:r>
      <w:r w:rsidR="00A5551F" w:rsidRPr="00F15147">
        <w:rPr>
          <w:sz w:val="20"/>
          <w:lang w:val="en-GB"/>
        </w:rPr>
        <w:t xml:space="preserve"> t</w:t>
      </w:r>
      <w:r w:rsidR="00816CF2" w:rsidRPr="00F15147">
        <w:rPr>
          <w:sz w:val="20"/>
          <w:lang w:val="en-GB"/>
        </w:rPr>
        <w:t>he Committee notes</w:t>
      </w:r>
      <w:r w:rsidR="002B797B" w:rsidRPr="00F15147">
        <w:rPr>
          <w:sz w:val="20"/>
          <w:lang w:val="en-GB"/>
        </w:rPr>
        <w:t xml:space="preserve"> </w:t>
      </w:r>
      <w:r w:rsidR="00711D51" w:rsidRPr="00F15147">
        <w:rPr>
          <w:sz w:val="20"/>
          <w:lang w:val="en-GB"/>
        </w:rPr>
        <w:t xml:space="preserve">that the authors do not bring </w:t>
      </w:r>
      <w:r w:rsidR="000170BD" w:rsidRPr="00F15147">
        <w:rPr>
          <w:sz w:val="20"/>
          <w:lang w:val="en-GB"/>
        </w:rPr>
        <w:t xml:space="preserve">abstract </w:t>
      </w:r>
      <w:r w:rsidR="00711D51" w:rsidRPr="00F15147">
        <w:rPr>
          <w:sz w:val="20"/>
          <w:lang w:val="en-GB"/>
        </w:rPr>
        <w:t>claims as members of the general population of the State party. T</w:t>
      </w:r>
      <w:r w:rsidR="0020395C" w:rsidRPr="00F15147">
        <w:rPr>
          <w:sz w:val="20"/>
          <w:lang w:val="en-GB"/>
        </w:rPr>
        <w:t>he authors</w:t>
      </w:r>
      <w:r w:rsidR="00E77FB0" w:rsidRPr="00F15147">
        <w:rPr>
          <w:sz w:val="20"/>
          <w:lang w:val="en-GB"/>
        </w:rPr>
        <w:t xml:space="preserve"> are Muslims and Moroccan nationals, and</w:t>
      </w:r>
      <w:r w:rsidR="002B797B" w:rsidRPr="00F15147">
        <w:rPr>
          <w:sz w:val="20"/>
          <w:lang w:val="en-GB"/>
        </w:rPr>
        <w:t xml:space="preserve"> </w:t>
      </w:r>
      <w:r w:rsidR="0020395C" w:rsidRPr="00F15147">
        <w:rPr>
          <w:sz w:val="20"/>
          <w:lang w:val="en-GB"/>
        </w:rPr>
        <w:t>alleg</w:t>
      </w:r>
      <w:r w:rsidR="00711D51" w:rsidRPr="00F15147">
        <w:rPr>
          <w:sz w:val="20"/>
          <w:lang w:val="en-GB"/>
        </w:rPr>
        <w:t>e</w:t>
      </w:r>
      <w:r w:rsidR="0020395C" w:rsidRPr="00F15147">
        <w:rPr>
          <w:sz w:val="20"/>
          <w:lang w:val="en-GB"/>
        </w:rPr>
        <w:t xml:space="preserve"> that</w:t>
      </w:r>
      <w:r w:rsidR="005C5E6D" w:rsidRPr="00F15147">
        <w:rPr>
          <w:sz w:val="20"/>
          <w:lang w:val="en-GB"/>
        </w:rPr>
        <w:t xml:space="preserve"> </w:t>
      </w:r>
      <w:r w:rsidR="006837AA">
        <w:rPr>
          <w:sz w:val="20"/>
          <w:lang w:val="en-GB"/>
        </w:rPr>
        <w:t>Mr. </w:t>
      </w:r>
      <w:r w:rsidR="005C5E6D" w:rsidRPr="00F15147">
        <w:rPr>
          <w:sz w:val="20"/>
          <w:lang w:val="en-GB"/>
        </w:rPr>
        <w:t xml:space="preserve">Wilders’ statements specifically target Muslims, </w:t>
      </w:r>
      <w:r w:rsidR="00711D51" w:rsidRPr="00F15147">
        <w:rPr>
          <w:sz w:val="20"/>
          <w:lang w:val="en-GB"/>
        </w:rPr>
        <w:t xml:space="preserve">Moroccans, </w:t>
      </w:r>
      <w:r w:rsidR="005C5E6D" w:rsidRPr="00F15147">
        <w:rPr>
          <w:sz w:val="20"/>
          <w:lang w:val="en-GB"/>
        </w:rPr>
        <w:t>non-Western immigrants</w:t>
      </w:r>
      <w:r w:rsidR="000170BD" w:rsidRPr="00F15147">
        <w:rPr>
          <w:sz w:val="20"/>
          <w:lang w:val="en-GB"/>
        </w:rPr>
        <w:t xml:space="preserve"> and Islam</w:t>
      </w:r>
      <w:r w:rsidR="00E77FB0" w:rsidRPr="00F15147">
        <w:rPr>
          <w:sz w:val="20"/>
          <w:lang w:val="en-GB"/>
        </w:rPr>
        <w:t xml:space="preserve">. The authors are </w:t>
      </w:r>
      <w:r w:rsidR="00161D3B">
        <w:rPr>
          <w:sz w:val="20"/>
          <w:lang w:val="en-GB"/>
        </w:rPr>
        <w:t xml:space="preserve">therefore </w:t>
      </w:r>
      <w:r w:rsidR="00E77FB0" w:rsidRPr="00F15147">
        <w:rPr>
          <w:sz w:val="20"/>
          <w:lang w:val="en-GB"/>
        </w:rPr>
        <w:t>members o</w:t>
      </w:r>
      <w:r w:rsidR="000170BD" w:rsidRPr="00F15147">
        <w:rPr>
          <w:sz w:val="20"/>
          <w:lang w:val="en-GB"/>
        </w:rPr>
        <w:t xml:space="preserve">f the category of persons who </w:t>
      </w:r>
      <w:r w:rsidR="00E77FB0" w:rsidRPr="00F15147">
        <w:rPr>
          <w:sz w:val="20"/>
          <w:lang w:val="en-GB"/>
        </w:rPr>
        <w:t xml:space="preserve">were </w:t>
      </w:r>
      <w:r w:rsidR="002C4033" w:rsidRPr="00F15147">
        <w:rPr>
          <w:sz w:val="20"/>
          <w:lang w:val="en-GB"/>
        </w:rPr>
        <w:t xml:space="preserve">the </w:t>
      </w:r>
      <w:r w:rsidR="00E77FB0" w:rsidRPr="00F15147">
        <w:rPr>
          <w:sz w:val="20"/>
          <w:lang w:val="en-GB"/>
        </w:rPr>
        <w:t xml:space="preserve">specific </w:t>
      </w:r>
      <w:r w:rsidR="002C4033" w:rsidRPr="00F15147">
        <w:rPr>
          <w:sz w:val="20"/>
          <w:lang w:val="en-GB"/>
        </w:rPr>
        <w:t>focus of</w:t>
      </w:r>
      <w:r w:rsidR="00E77FB0" w:rsidRPr="00F15147">
        <w:rPr>
          <w:sz w:val="20"/>
          <w:lang w:val="en-GB"/>
        </w:rPr>
        <w:t xml:space="preserve"> </w:t>
      </w:r>
      <w:r w:rsidR="006837AA">
        <w:rPr>
          <w:sz w:val="20"/>
          <w:lang w:val="en-GB"/>
        </w:rPr>
        <w:t>Mr. </w:t>
      </w:r>
      <w:r w:rsidR="00E77FB0" w:rsidRPr="00F15147">
        <w:rPr>
          <w:sz w:val="20"/>
          <w:lang w:val="en-GB"/>
        </w:rPr>
        <w:t>Wilders’ statements.</w:t>
      </w:r>
      <w:r w:rsidR="002B797B" w:rsidRPr="00F15147">
        <w:rPr>
          <w:sz w:val="20"/>
          <w:lang w:val="en-GB"/>
        </w:rPr>
        <w:t xml:space="preserve"> </w:t>
      </w:r>
      <w:r w:rsidR="00E77FB0" w:rsidRPr="00F15147">
        <w:rPr>
          <w:sz w:val="20"/>
          <w:lang w:val="en-GB"/>
        </w:rPr>
        <w:t xml:space="preserve">They </w:t>
      </w:r>
      <w:r w:rsidR="00161D3B">
        <w:rPr>
          <w:sz w:val="20"/>
          <w:lang w:val="en-GB"/>
        </w:rPr>
        <w:t>also</w:t>
      </w:r>
      <w:r w:rsidR="000F0A62" w:rsidRPr="00F15147">
        <w:rPr>
          <w:sz w:val="20"/>
          <w:lang w:val="en-GB"/>
        </w:rPr>
        <w:t xml:space="preserve"> </w:t>
      </w:r>
      <w:r w:rsidR="00E77FB0" w:rsidRPr="00F15147">
        <w:rPr>
          <w:sz w:val="20"/>
          <w:lang w:val="en-GB"/>
        </w:rPr>
        <w:t xml:space="preserve">allege that they </w:t>
      </w:r>
      <w:r w:rsidR="0020395C" w:rsidRPr="00F15147">
        <w:rPr>
          <w:sz w:val="20"/>
          <w:lang w:val="en-GB"/>
        </w:rPr>
        <w:t xml:space="preserve">feel </w:t>
      </w:r>
      <w:r w:rsidR="00E77FB0" w:rsidRPr="00F15147">
        <w:rPr>
          <w:sz w:val="20"/>
          <w:lang w:val="en-GB"/>
        </w:rPr>
        <w:t xml:space="preserve">personally and </w:t>
      </w:r>
      <w:r w:rsidR="0020395C" w:rsidRPr="00F15147">
        <w:rPr>
          <w:sz w:val="20"/>
          <w:lang w:val="en-GB"/>
        </w:rPr>
        <w:t xml:space="preserve">directly affected by </w:t>
      </w:r>
      <w:r w:rsidR="006837AA">
        <w:rPr>
          <w:sz w:val="20"/>
          <w:lang w:val="en-GB"/>
        </w:rPr>
        <w:t>Mr. </w:t>
      </w:r>
      <w:r w:rsidR="0020395C" w:rsidRPr="00F15147">
        <w:rPr>
          <w:sz w:val="20"/>
          <w:lang w:val="en-GB"/>
        </w:rPr>
        <w:t>Wilders’ hate speech</w:t>
      </w:r>
      <w:r w:rsidR="00E77FB0" w:rsidRPr="00F15147">
        <w:rPr>
          <w:sz w:val="20"/>
          <w:lang w:val="en-GB"/>
        </w:rPr>
        <w:t xml:space="preserve"> and</w:t>
      </w:r>
      <w:r w:rsidR="004527FE" w:rsidRPr="00F15147">
        <w:rPr>
          <w:sz w:val="20"/>
          <w:lang w:val="en-GB"/>
        </w:rPr>
        <w:t xml:space="preserve"> </w:t>
      </w:r>
      <w:r w:rsidR="00E77FB0" w:rsidRPr="00F15147">
        <w:rPr>
          <w:sz w:val="20"/>
          <w:lang w:val="en-GB"/>
        </w:rPr>
        <w:t xml:space="preserve">suffer the effects of it in their daily lives, including through attacks on the </w:t>
      </w:r>
      <w:r w:rsidR="00161D3B">
        <w:rPr>
          <w:sz w:val="20"/>
          <w:lang w:val="en-GB"/>
        </w:rPr>
        <w:t>I</w:t>
      </w:r>
      <w:r w:rsidR="00E77FB0" w:rsidRPr="00F15147">
        <w:rPr>
          <w:sz w:val="20"/>
          <w:lang w:val="en-GB"/>
        </w:rPr>
        <w:t xml:space="preserve">nternet, </w:t>
      </w:r>
      <w:r w:rsidR="000170BD" w:rsidRPr="00F15147">
        <w:rPr>
          <w:sz w:val="20"/>
          <w:lang w:val="en-GB"/>
        </w:rPr>
        <w:t xml:space="preserve">and that they have been adversely affected </w:t>
      </w:r>
      <w:r w:rsidR="0020395C" w:rsidRPr="00F15147">
        <w:rPr>
          <w:sz w:val="20"/>
          <w:lang w:val="en-GB"/>
        </w:rPr>
        <w:t xml:space="preserve">by the signal given to the </w:t>
      </w:r>
      <w:r w:rsidR="00DF09DE" w:rsidRPr="00F15147">
        <w:rPr>
          <w:sz w:val="20"/>
          <w:lang w:val="en-GB"/>
        </w:rPr>
        <w:t xml:space="preserve">public, through the acquittal, that </w:t>
      </w:r>
      <w:r w:rsidR="006837AA">
        <w:rPr>
          <w:sz w:val="20"/>
          <w:lang w:val="en-GB"/>
        </w:rPr>
        <w:t>Mr. </w:t>
      </w:r>
      <w:r w:rsidR="00DF09DE" w:rsidRPr="00F15147">
        <w:rPr>
          <w:sz w:val="20"/>
          <w:lang w:val="en-GB"/>
        </w:rPr>
        <w:t xml:space="preserve">Wilders’ conduct is not criminal. </w:t>
      </w:r>
      <w:r w:rsidR="00767ABC" w:rsidRPr="00F15147">
        <w:rPr>
          <w:sz w:val="20"/>
          <w:lang w:val="en-GB"/>
        </w:rPr>
        <w:t xml:space="preserve">The </w:t>
      </w:r>
      <w:r w:rsidR="00711D51" w:rsidRPr="00F15147">
        <w:rPr>
          <w:sz w:val="20"/>
          <w:lang w:val="en-GB"/>
        </w:rPr>
        <w:t xml:space="preserve">authors </w:t>
      </w:r>
      <w:r w:rsidR="00767ABC" w:rsidRPr="00F15147">
        <w:rPr>
          <w:sz w:val="20"/>
          <w:lang w:val="en-GB"/>
        </w:rPr>
        <w:t xml:space="preserve">joined the criminal proceedings as </w:t>
      </w:r>
      <w:r w:rsidR="00711D51" w:rsidRPr="00F15147">
        <w:rPr>
          <w:sz w:val="20"/>
          <w:lang w:val="en-GB"/>
        </w:rPr>
        <w:t xml:space="preserve">alleged </w:t>
      </w:r>
      <w:r w:rsidR="00767ABC" w:rsidRPr="00F15147">
        <w:rPr>
          <w:sz w:val="20"/>
          <w:lang w:val="en-GB"/>
        </w:rPr>
        <w:t>injured parties</w:t>
      </w:r>
      <w:r w:rsidR="00711D51" w:rsidRPr="00F15147">
        <w:rPr>
          <w:sz w:val="20"/>
          <w:lang w:val="en-GB"/>
        </w:rPr>
        <w:t xml:space="preserve"> pursuant to section 51</w:t>
      </w:r>
      <w:r w:rsidR="00CB7B74">
        <w:rPr>
          <w:sz w:val="20"/>
          <w:lang w:val="en-GB"/>
        </w:rPr>
        <w:t xml:space="preserve"> </w:t>
      </w:r>
      <w:r w:rsidR="00711D51" w:rsidRPr="00F15147">
        <w:rPr>
          <w:sz w:val="20"/>
          <w:lang w:val="en-GB"/>
        </w:rPr>
        <w:t xml:space="preserve">(a) </w:t>
      </w:r>
      <w:r w:rsidR="00B93A39" w:rsidRPr="008E6C6C">
        <w:rPr>
          <w:sz w:val="20"/>
          <w:lang w:val="en-GB"/>
        </w:rPr>
        <w:t>of the Code of Criminal Procedure</w:t>
      </w:r>
      <w:r w:rsidR="00767ABC" w:rsidRPr="00F15147">
        <w:rPr>
          <w:sz w:val="20"/>
          <w:lang w:val="en-GB"/>
        </w:rPr>
        <w:t xml:space="preserve">. The Committee </w:t>
      </w:r>
      <w:r w:rsidR="007F61EC">
        <w:rPr>
          <w:sz w:val="20"/>
          <w:lang w:val="en-GB"/>
        </w:rPr>
        <w:t xml:space="preserve">also </w:t>
      </w:r>
      <w:r w:rsidR="00767ABC" w:rsidRPr="00F15147">
        <w:rPr>
          <w:sz w:val="20"/>
          <w:lang w:val="en-GB"/>
        </w:rPr>
        <w:t xml:space="preserve">notes that </w:t>
      </w:r>
      <w:r w:rsidR="006837AA">
        <w:rPr>
          <w:sz w:val="20"/>
          <w:lang w:val="en-GB"/>
        </w:rPr>
        <w:t>Mr. </w:t>
      </w:r>
      <w:r w:rsidR="00767ABC" w:rsidRPr="00F15147">
        <w:rPr>
          <w:sz w:val="20"/>
          <w:lang w:val="en-GB"/>
        </w:rPr>
        <w:t xml:space="preserve">Rabbae chairs the national consultation body of Moroccans in the Netherlands, complained about </w:t>
      </w:r>
      <w:r w:rsidR="006837AA">
        <w:rPr>
          <w:sz w:val="20"/>
          <w:lang w:val="en-GB"/>
        </w:rPr>
        <w:t>Mr. </w:t>
      </w:r>
      <w:r w:rsidR="00767ABC" w:rsidRPr="00696F9C">
        <w:rPr>
          <w:sz w:val="20"/>
          <w:szCs w:val="20"/>
        </w:rPr>
        <w:t xml:space="preserve">Wilders’ statements to the police and spoke in court </w:t>
      </w:r>
      <w:r w:rsidR="00F04DA9" w:rsidRPr="00696F9C">
        <w:rPr>
          <w:sz w:val="20"/>
          <w:szCs w:val="20"/>
        </w:rPr>
        <w:t xml:space="preserve">about research data on intolerance and racism </w:t>
      </w:r>
      <w:r w:rsidR="00711D51" w:rsidRPr="00696F9C">
        <w:rPr>
          <w:sz w:val="20"/>
          <w:szCs w:val="20"/>
        </w:rPr>
        <w:t xml:space="preserve">and the position of Moroccans </w:t>
      </w:r>
      <w:r w:rsidR="00F04DA9" w:rsidRPr="00696F9C">
        <w:rPr>
          <w:sz w:val="20"/>
          <w:szCs w:val="20"/>
        </w:rPr>
        <w:t>in the State party.</w:t>
      </w:r>
      <w:r w:rsidR="004527FE" w:rsidRPr="00696F9C">
        <w:rPr>
          <w:sz w:val="20"/>
          <w:szCs w:val="20"/>
        </w:rPr>
        <w:t xml:space="preserve"> </w:t>
      </w:r>
      <w:r w:rsidR="005C5E6D" w:rsidRPr="00696F9C">
        <w:rPr>
          <w:sz w:val="20"/>
          <w:szCs w:val="20"/>
        </w:rPr>
        <w:t xml:space="preserve">A.B.S. </w:t>
      </w:r>
      <w:r w:rsidR="00F04DA9" w:rsidRPr="00696F9C">
        <w:rPr>
          <w:sz w:val="20"/>
          <w:szCs w:val="20"/>
        </w:rPr>
        <w:t xml:space="preserve">testified before the court </w:t>
      </w:r>
      <w:r w:rsidR="005C5E6D" w:rsidRPr="00696F9C">
        <w:rPr>
          <w:sz w:val="20"/>
          <w:szCs w:val="20"/>
        </w:rPr>
        <w:t xml:space="preserve">that </w:t>
      </w:r>
      <w:r w:rsidR="00F04DA9" w:rsidRPr="00696F9C">
        <w:rPr>
          <w:sz w:val="20"/>
          <w:szCs w:val="20"/>
        </w:rPr>
        <w:t>in 2010</w:t>
      </w:r>
      <w:r w:rsidR="00711D51" w:rsidRPr="00696F9C">
        <w:rPr>
          <w:sz w:val="20"/>
          <w:szCs w:val="20"/>
        </w:rPr>
        <w:t>,</w:t>
      </w:r>
      <w:r w:rsidR="005C5E6D" w:rsidRPr="00696F9C">
        <w:rPr>
          <w:sz w:val="20"/>
          <w:szCs w:val="20"/>
        </w:rPr>
        <w:t xml:space="preserve"> she </w:t>
      </w:r>
      <w:r w:rsidR="003355B0" w:rsidRPr="00696F9C">
        <w:rPr>
          <w:sz w:val="20"/>
          <w:szCs w:val="20"/>
        </w:rPr>
        <w:t xml:space="preserve">had been </w:t>
      </w:r>
      <w:r w:rsidR="007F61EC">
        <w:rPr>
          <w:sz w:val="20"/>
          <w:szCs w:val="20"/>
          <w:lang w:val="en-GB"/>
        </w:rPr>
        <w:t>run</w:t>
      </w:r>
      <w:r w:rsidR="003355B0" w:rsidRPr="00696F9C">
        <w:rPr>
          <w:sz w:val="20"/>
          <w:szCs w:val="20"/>
        </w:rPr>
        <w:t xml:space="preserve"> into</w:t>
      </w:r>
      <w:r w:rsidR="005C5E6D" w:rsidRPr="00696F9C">
        <w:rPr>
          <w:sz w:val="20"/>
          <w:szCs w:val="20"/>
        </w:rPr>
        <w:t xml:space="preserve"> by a bicyclist who </w:t>
      </w:r>
      <w:r w:rsidR="007F61EC">
        <w:rPr>
          <w:sz w:val="20"/>
          <w:szCs w:val="20"/>
          <w:lang w:val="en-GB"/>
        </w:rPr>
        <w:t xml:space="preserve">had </w:t>
      </w:r>
      <w:r w:rsidR="005C5E6D" w:rsidRPr="00696F9C">
        <w:rPr>
          <w:sz w:val="20"/>
          <w:szCs w:val="20"/>
        </w:rPr>
        <w:t xml:space="preserve">screamed at her making </w:t>
      </w:r>
      <w:r w:rsidR="003355B0" w:rsidRPr="00696F9C">
        <w:rPr>
          <w:sz w:val="20"/>
          <w:szCs w:val="20"/>
        </w:rPr>
        <w:t xml:space="preserve">explicit </w:t>
      </w:r>
      <w:r w:rsidR="005C5E6D" w:rsidRPr="00696F9C">
        <w:rPr>
          <w:sz w:val="20"/>
          <w:szCs w:val="20"/>
        </w:rPr>
        <w:t xml:space="preserve">reference to </w:t>
      </w:r>
      <w:r w:rsidR="006837AA">
        <w:rPr>
          <w:sz w:val="20"/>
          <w:szCs w:val="20"/>
          <w:lang w:val="en-US"/>
        </w:rPr>
        <w:t>Mr. </w:t>
      </w:r>
      <w:r w:rsidR="005C5E6D" w:rsidRPr="00696F9C">
        <w:rPr>
          <w:sz w:val="20"/>
          <w:szCs w:val="20"/>
        </w:rPr>
        <w:t>Wilders’ statements</w:t>
      </w:r>
      <w:r w:rsidR="003355B0" w:rsidRPr="00696F9C">
        <w:rPr>
          <w:sz w:val="20"/>
          <w:szCs w:val="20"/>
        </w:rPr>
        <w:t xml:space="preserve">. </w:t>
      </w:r>
      <w:r w:rsidR="00711D51" w:rsidRPr="00696F9C">
        <w:rPr>
          <w:sz w:val="20"/>
          <w:szCs w:val="20"/>
        </w:rPr>
        <w:t xml:space="preserve">The third author, </w:t>
      </w:r>
      <w:r w:rsidR="003355B0" w:rsidRPr="00696F9C">
        <w:rPr>
          <w:sz w:val="20"/>
          <w:szCs w:val="20"/>
        </w:rPr>
        <w:t>N.A., after testif</w:t>
      </w:r>
      <w:r w:rsidR="00711D51" w:rsidRPr="00696F9C">
        <w:rPr>
          <w:sz w:val="20"/>
          <w:szCs w:val="20"/>
        </w:rPr>
        <w:t>ying</w:t>
      </w:r>
      <w:r w:rsidR="003355B0" w:rsidRPr="00696F9C">
        <w:t xml:space="preserve"> </w:t>
      </w:r>
      <w:r w:rsidR="003355B0" w:rsidRPr="00F15147">
        <w:rPr>
          <w:sz w:val="20"/>
          <w:lang w:val="en-GB"/>
        </w:rPr>
        <w:t xml:space="preserve">before the court on the impact of </w:t>
      </w:r>
      <w:r w:rsidR="006837AA">
        <w:rPr>
          <w:sz w:val="20"/>
          <w:lang w:val="en-GB"/>
        </w:rPr>
        <w:t>Mr. </w:t>
      </w:r>
      <w:r w:rsidR="003355B0" w:rsidRPr="00696F9C">
        <w:rPr>
          <w:sz w:val="20"/>
          <w:szCs w:val="20"/>
        </w:rPr>
        <w:t xml:space="preserve">Wilders’ statements, received </w:t>
      </w:r>
      <w:r w:rsidR="007A3A4C" w:rsidRPr="00696F9C">
        <w:rPr>
          <w:sz w:val="20"/>
          <w:szCs w:val="20"/>
        </w:rPr>
        <w:t>numerous</w:t>
      </w:r>
      <w:r w:rsidR="002B797B" w:rsidRPr="00696F9C">
        <w:rPr>
          <w:sz w:val="20"/>
          <w:szCs w:val="20"/>
          <w:lang w:val="en-GB"/>
        </w:rPr>
        <w:t xml:space="preserve"> </w:t>
      </w:r>
      <w:r w:rsidR="003355B0" w:rsidRPr="00696F9C">
        <w:rPr>
          <w:sz w:val="20"/>
          <w:szCs w:val="20"/>
        </w:rPr>
        <w:t xml:space="preserve">threatening messages, as a result of which she decided not to testify </w:t>
      </w:r>
      <w:r w:rsidR="007A3A4C" w:rsidRPr="00696F9C">
        <w:rPr>
          <w:sz w:val="20"/>
          <w:szCs w:val="20"/>
        </w:rPr>
        <w:t>again</w:t>
      </w:r>
      <w:r w:rsidR="005C5E6D" w:rsidRPr="00696F9C">
        <w:rPr>
          <w:sz w:val="20"/>
          <w:szCs w:val="20"/>
        </w:rPr>
        <w:t xml:space="preserve">. </w:t>
      </w:r>
      <w:r w:rsidR="00DF09DE" w:rsidRPr="00696F9C">
        <w:rPr>
          <w:sz w:val="20"/>
          <w:szCs w:val="20"/>
        </w:rPr>
        <w:t>In view of the foregoing</w:t>
      </w:r>
      <w:r w:rsidR="000F0A62" w:rsidRPr="00696F9C">
        <w:rPr>
          <w:sz w:val="20"/>
          <w:szCs w:val="20"/>
        </w:rPr>
        <w:t xml:space="preserve">, the Committee considers that the authors are members of the particular group targeted by </w:t>
      </w:r>
      <w:r w:rsidR="006837AA">
        <w:rPr>
          <w:sz w:val="20"/>
          <w:szCs w:val="20"/>
        </w:rPr>
        <w:t>Mr. </w:t>
      </w:r>
      <w:r w:rsidR="000F0A62" w:rsidRPr="00696F9C">
        <w:rPr>
          <w:sz w:val="20"/>
          <w:szCs w:val="20"/>
        </w:rPr>
        <w:t>Wilders’ statements and thus persons whom article 20</w:t>
      </w:r>
      <w:r w:rsidR="00D402F6">
        <w:rPr>
          <w:sz w:val="20"/>
          <w:szCs w:val="20"/>
          <w:lang w:val="en-US"/>
        </w:rPr>
        <w:t xml:space="preserve"> </w:t>
      </w:r>
      <w:r w:rsidR="000F0A62" w:rsidRPr="00696F9C">
        <w:rPr>
          <w:sz w:val="20"/>
          <w:szCs w:val="20"/>
        </w:rPr>
        <w:t xml:space="preserve">(2) is intended to protect, and that </w:t>
      </w:r>
      <w:r w:rsidR="006837AA">
        <w:rPr>
          <w:sz w:val="20"/>
          <w:szCs w:val="20"/>
        </w:rPr>
        <w:t>Mr. </w:t>
      </w:r>
      <w:r w:rsidR="000F0A62" w:rsidRPr="00696F9C">
        <w:rPr>
          <w:sz w:val="20"/>
          <w:szCs w:val="20"/>
        </w:rPr>
        <w:t>Wilders’</w:t>
      </w:r>
      <w:r w:rsidR="000F0A62" w:rsidRPr="00696F9C">
        <w:t xml:space="preserve"> </w:t>
      </w:r>
      <w:r w:rsidR="000F0A62" w:rsidRPr="00F15147">
        <w:rPr>
          <w:sz w:val="20"/>
          <w:lang w:val="en-GB"/>
        </w:rPr>
        <w:t>statements had specific consequences for them, including in creating discriminatory social attitudes against the group and against them as members of the group. T</w:t>
      </w:r>
      <w:r w:rsidR="00DF09DE" w:rsidRPr="00F15147">
        <w:rPr>
          <w:sz w:val="20"/>
          <w:lang w:val="en-GB"/>
        </w:rPr>
        <w:t xml:space="preserve">he Committee </w:t>
      </w:r>
      <w:r w:rsidR="007F61EC">
        <w:rPr>
          <w:sz w:val="20"/>
          <w:lang w:val="en-GB"/>
        </w:rPr>
        <w:t>therefore</w:t>
      </w:r>
      <w:r w:rsidR="000F0A62" w:rsidRPr="00F15147">
        <w:rPr>
          <w:sz w:val="20"/>
          <w:lang w:val="en-GB"/>
        </w:rPr>
        <w:t xml:space="preserve"> </w:t>
      </w:r>
      <w:r w:rsidR="00DF09DE" w:rsidRPr="00F15147">
        <w:rPr>
          <w:sz w:val="20"/>
          <w:lang w:val="en-GB"/>
        </w:rPr>
        <w:t xml:space="preserve">considers that the authors have sufficiently substantiated, for </w:t>
      </w:r>
      <w:r w:rsidR="00CB7B74">
        <w:rPr>
          <w:sz w:val="20"/>
          <w:lang w:val="en-GB"/>
        </w:rPr>
        <w:t xml:space="preserve">the </w:t>
      </w:r>
      <w:r w:rsidR="00DF09DE" w:rsidRPr="00F15147">
        <w:rPr>
          <w:sz w:val="20"/>
          <w:lang w:val="en-GB"/>
        </w:rPr>
        <w:t>purposes of admissibility</w:t>
      </w:r>
      <w:r w:rsidR="004F27B6" w:rsidRPr="00F15147">
        <w:rPr>
          <w:sz w:val="20"/>
          <w:lang w:val="en-GB"/>
        </w:rPr>
        <w:t xml:space="preserve">, that </w:t>
      </w:r>
      <w:r w:rsidR="00433D69" w:rsidRPr="00F15147">
        <w:rPr>
          <w:sz w:val="20"/>
          <w:lang w:val="en-GB"/>
        </w:rPr>
        <w:t>their</w:t>
      </w:r>
      <w:r w:rsidR="004F27B6" w:rsidRPr="00F15147">
        <w:rPr>
          <w:sz w:val="20"/>
          <w:lang w:val="en-GB"/>
        </w:rPr>
        <w:t xml:space="preserve"> claims are not merely hypothetical</w:t>
      </w:r>
      <w:r w:rsidR="00765E14" w:rsidRPr="00F15147">
        <w:rPr>
          <w:sz w:val="20"/>
          <w:lang w:val="en-GB"/>
        </w:rPr>
        <w:t>.</w:t>
      </w:r>
    </w:p>
    <w:p w14:paraId="260CBC4D" w14:textId="3B8308B5" w:rsidR="00EB166A" w:rsidRPr="00F15147" w:rsidRDefault="00D81085" w:rsidP="00816CF2">
      <w:pPr>
        <w:pStyle w:val="SingleTxtG"/>
        <w:rPr>
          <w:sz w:val="20"/>
          <w:lang w:val="en-GB"/>
        </w:rPr>
      </w:pPr>
      <w:r w:rsidRPr="00F15147">
        <w:rPr>
          <w:sz w:val="20"/>
          <w:lang w:val="en-GB"/>
        </w:rPr>
        <w:t>9</w:t>
      </w:r>
      <w:r w:rsidR="00803ABB" w:rsidRPr="00F15147">
        <w:rPr>
          <w:sz w:val="20"/>
          <w:lang w:val="en-GB"/>
        </w:rPr>
        <w:t>.</w:t>
      </w:r>
      <w:r w:rsidR="00792175" w:rsidRPr="00F15147">
        <w:rPr>
          <w:sz w:val="20"/>
          <w:lang w:val="en-GB"/>
        </w:rPr>
        <w:t>7</w:t>
      </w:r>
      <w:r w:rsidR="00803ABB" w:rsidRPr="00F15147">
        <w:rPr>
          <w:sz w:val="20"/>
          <w:lang w:val="en-GB"/>
        </w:rPr>
        <w:tab/>
      </w:r>
      <w:r w:rsidR="00B95D37" w:rsidRPr="00F15147">
        <w:rPr>
          <w:sz w:val="20"/>
          <w:lang w:val="en-GB"/>
        </w:rPr>
        <w:t>The Committee note</w:t>
      </w:r>
      <w:r w:rsidR="007A3A4C" w:rsidRPr="00F15147">
        <w:rPr>
          <w:sz w:val="20"/>
          <w:lang w:val="en-GB"/>
        </w:rPr>
        <w:t>s</w:t>
      </w:r>
      <w:r w:rsidR="00B95D37" w:rsidRPr="00F15147">
        <w:rPr>
          <w:sz w:val="20"/>
          <w:lang w:val="en-GB"/>
        </w:rPr>
        <w:t xml:space="preserve"> </w:t>
      </w:r>
      <w:r w:rsidR="00EB166A" w:rsidRPr="00F15147">
        <w:rPr>
          <w:sz w:val="20"/>
          <w:lang w:val="en-GB"/>
        </w:rPr>
        <w:t>the State party’s argument that article 20 of the Covenant is not cast in terms of a justiciable right</w:t>
      </w:r>
      <w:r w:rsidR="00B95D37" w:rsidRPr="00F15147">
        <w:rPr>
          <w:sz w:val="20"/>
          <w:lang w:val="en-GB"/>
        </w:rPr>
        <w:t>. However</w:t>
      </w:r>
      <w:r w:rsidR="00EB166A" w:rsidRPr="00F15147">
        <w:rPr>
          <w:sz w:val="20"/>
          <w:lang w:val="en-GB"/>
        </w:rPr>
        <w:t xml:space="preserve">, the Committee considers that </w:t>
      </w:r>
      <w:r w:rsidR="00B95D37" w:rsidRPr="00F15147">
        <w:rPr>
          <w:sz w:val="20"/>
          <w:lang w:val="en-GB"/>
        </w:rPr>
        <w:t>in stating that “any advocacy of national, racial or religious hatred that constitutes incitement to discrimination, hostility or violence shall be prohibited by law”, article 20</w:t>
      </w:r>
      <w:r w:rsidR="00D402F6">
        <w:rPr>
          <w:sz w:val="20"/>
          <w:lang w:val="en-GB"/>
        </w:rPr>
        <w:t xml:space="preserve"> </w:t>
      </w:r>
      <w:r w:rsidR="00B95D37" w:rsidRPr="00F15147">
        <w:rPr>
          <w:sz w:val="20"/>
          <w:lang w:val="en-GB"/>
        </w:rPr>
        <w:t>(2)</w:t>
      </w:r>
      <w:r w:rsidR="007A3A4C" w:rsidRPr="00F15147">
        <w:rPr>
          <w:sz w:val="20"/>
          <w:lang w:val="en-GB"/>
        </w:rPr>
        <w:t xml:space="preserve"> </w:t>
      </w:r>
      <w:r w:rsidR="00B95D37" w:rsidRPr="00F15147">
        <w:rPr>
          <w:sz w:val="20"/>
          <w:lang w:val="en-GB"/>
        </w:rPr>
        <w:t xml:space="preserve">provides protection for </w:t>
      </w:r>
      <w:r w:rsidR="00CE35B9" w:rsidRPr="00F15147">
        <w:rPr>
          <w:sz w:val="20"/>
          <w:lang w:val="en-GB"/>
        </w:rPr>
        <w:t xml:space="preserve">people as </w:t>
      </w:r>
      <w:r w:rsidR="00B95D37" w:rsidRPr="00F15147">
        <w:rPr>
          <w:sz w:val="20"/>
          <w:lang w:val="en-GB"/>
        </w:rPr>
        <w:t xml:space="preserve">individuals and </w:t>
      </w:r>
      <w:r w:rsidR="00CE35B9" w:rsidRPr="00F15147">
        <w:rPr>
          <w:sz w:val="20"/>
          <w:lang w:val="en-GB"/>
        </w:rPr>
        <w:t xml:space="preserve">as members of </w:t>
      </w:r>
      <w:r w:rsidR="00B95D37" w:rsidRPr="00F15147">
        <w:rPr>
          <w:sz w:val="20"/>
          <w:lang w:val="en-GB"/>
        </w:rPr>
        <w:t>groups against th</w:t>
      </w:r>
      <w:r w:rsidR="007F61EC">
        <w:rPr>
          <w:sz w:val="20"/>
          <w:lang w:val="en-GB"/>
        </w:rPr>
        <w:t>at</w:t>
      </w:r>
      <w:r w:rsidR="00B95D37" w:rsidRPr="00F15147">
        <w:rPr>
          <w:sz w:val="20"/>
          <w:lang w:val="en-GB"/>
        </w:rPr>
        <w:t xml:space="preserve"> type of discrimination. </w:t>
      </w:r>
      <w:r w:rsidR="00BC4EFA" w:rsidRPr="00F15147">
        <w:rPr>
          <w:sz w:val="20"/>
          <w:lang w:val="en-GB"/>
        </w:rPr>
        <w:t xml:space="preserve">The article is designed to give specific recognition to the </w:t>
      </w:r>
      <w:r w:rsidR="00F678A2" w:rsidRPr="00F15147">
        <w:rPr>
          <w:sz w:val="20"/>
          <w:lang w:val="en-GB"/>
        </w:rPr>
        <w:t>prohi</w:t>
      </w:r>
      <w:r w:rsidR="00CE35B9" w:rsidRPr="00F15147">
        <w:rPr>
          <w:sz w:val="20"/>
          <w:lang w:val="en-GB"/>
        </w:rPr>
        <w:t>bi</w:t>
      </w:r>
      <w:r w:rsidR="00F678A2" w:rsidRPr="00F15147">
        <w:rPr>
          <w:sz w:val="20"/>
          <w:lang w:val="en-GB"/>
        </w:rPr>
        <w:t>tion o</w:t>
      </w:r>
      <w:r w:rsidR="007F61EC">
        <w:rPr>
          <w:sz w:val="20"/>
          <w:lang w:val="en-GB"/>
        </w:rPr>
        <w:t>f</w:t>
      </w:r>
      <w:r w:rsidR="00F678A2" w:rsidRPr="00F15147">
        <w:rPr>
          <w:sz w:val="20"/>
          <w:lang w:val="en-GB"/>
        </w:rPr>
        <w:t xml:space="preserve"> </w:t>
      </w:r>
      <w:r w:rsidR="00BC4EFA" w:rsidRPr="00F15147">
        <w:rPr>
          <w:sz w:val="20"/>
          <w:lang w:val="en-GB"/>
        </w:rPr>
        <w:t xml:space="preserve">discrimination set forth in </w:t>
      </w:r>
      <w:r w:rsidR="007D70BE" w:rsidRPr="00F15147">
        <w:rPr>
          <w:sz w:val="20"/>
          <w:lang w:val="en-GB"/>
        </w:rPr>
        <w:t xml:space="preserve">article 26 of </w:t>
      </w:r>
      <w:r w:rsidR="00BC4EFA" w:rsidRPr="00F15147">
        <w:rPr>
          <w:sz w:val="20"/>
          <w:lang w:val="en-GB"/>
        </w:rPr>
        <w:t>the Covenant</w:t>
      </w:r>
      <w:r w:rsidR="007A3A4C" w:rsidRPr="00F15147">
        <w:rPr>
          <w:sz w:val="20"/>
          <w:lang w:val="en-GB"/>
        </w:rPr>
        <w:t>,</w:t>
      </w:r>
      <w:r w:rsidR="00BC4EFA" w:rsidRPr="00F15147">
        <w:rPr>
          <w:sz w:val="20"/>
          <w:lang w:val="en-GB"/>
        </w:rPr>
        <w:t xml:space="preserve"> by identifying a </w:t>
      </w:r>
      <w:r w:rsidR="00F678A2" w:rsidRPr="00F15147">
        <w:rPr>
          <w:sz w:val="20"/>
          <w:lang w:val="en-GB"/>
        </w:rPr>
        <w:t>limitation</w:t>
      </w:r>
      <w:r w:rsidR="00F570DA" w:rsidRPr="00F15147">
        <w:rPr>
          <w:sz w:val="20"/>
          <w:lang w:val="en-GB"/>
        </w:rPr>
        <w:t xml:space="preserve"> </w:t>
      </w:r>
      <w:r w:rsidR="00F678A2" w:rsidRPr="00F15147">
        <w:rPr>
          <w:sz w:val="20"/>
          <w:lang w:val="en-GB"/>
        </w:rPr>
        <w:t>t</w:t>
      </w:r>
      <w:r w:rsidR="00D0014F" w:rsidRPr="00F15147">
        <w:rPr>
          <w:sz w:val="20"/>
          <w:lang w:val="en-GB"/>
        </w:rPr>
        <w:t>h</w:t>
      </w:r>
      <w:r w:rsidR="00F678A2" w:rsidRPr="00F15147">
        <w:rPr>
          <w:sz w:val="20"/>
          <w:lang w:val="en-GB"/>
        </w:rPr>
        <w:t>at</w:t>
      </w:r>
      <w:r w:rsidR="004527FE" w:rsidRPr="00F15147">
        <w:rPr>
          <w:sz w:val="20"/>
          <w:lang w:val="en-GB"/>
        </w:rPr>
        <w:t xml:space="preserve"> </w:t>
      </w:r>
      <w:r w:rsidR="00BC4EFA" w:rsidRPr="00F15147">
        <w:rPr>
          <w:sz w:val="20"/>
          <w:lang w:val="en-GB"/>
        </w:rPr>
        <w:t xml:space="preserve">States parties </w:t>
      </w:r>
      <w:r w:rsidR="00F678A2" w:rsidRPr="00F15147">
        <w:rPr>
          <w:sz w:val="20"/>
          <w:lang w:val="en-GB"/>
        </w:rPr>
        <w:t>must impose on</w:t>
      </w:r>
      <w:r w:rsidR="004527FE" w:rsidRPr="00F15147">
        <w:rPr>
          <w:sz w:val="20"/>
          <w:lang w:val="en-GB"/>
        </w:rPr>
        <w:t xml:space="preserve"> </w:t>
      </w:r>
      <w:r w:rsidR="00BC4EFA" w:rsidRPr="00F15147">
        <w:rPr>
          <w:sz w:val="20"/>
          <w:lang w:val="en-GB"/>
        </w:rPr>
        <w:t xml:space="preserve">other </w:t>
      </w:r>
      <w:r w:rsidR="000170BD" w:rsidRPr="00F15147">
        <w:rPr>
          <w:sz w:val="20"/>
          <w:lang w:val="en-GB"/>
        </w:rPr>
        <w:t xml:space="preserve">enforceable </w:t>
      </w:r>
      <w:r w:rsidR="00BC4EFA" w:rsidRPr="00F15147">
        <w:rPr>
          <w:sz w:val="20"/>
          <w:lang w:val="en-GB"/>
        </w:rPr>
        <w:t>Covenant rights, including the principle of freedom of expression</w:t>
      </w:r>
      <w:r w:rsidR="000170BD" w:rsidRPr="00F15147">
        <w:rPr>
          <w:sz w:val="20"/>
          <w:lang w:val="en-GB"/>
        </w:rPr>
        <w:t xml:space="preserve"> under article 19</w:t>
      </w:r>
      <w:r w:rsidR="00F570DA" w:rsidRPr="00F15147">
        <w:rPr>
          <w:sz w:val="20"/>
          <w:lang w:val="en-GB"/>
        </w:rPr>
        <w:t>.</w:t>
      </w:r>
      <w:r w:rsidR="00A1723A" w:rsidRPr="003710BE">
        <w:rPr>
          <w:rStyle w:val="FootnoteReference"/>
        </w:rPr>
        <w:footnoteReference w:id="19"/>
      </w:r>
      <w:r w:rsidR="007A3A4C" w:rsidRPr="00F15147">
        <w:rPr>
          <w:sz w:val="20"/>
          <w:lang w:val="en-GB"/>
        </w:rPr>
        <w:t xml:space="preserve"> </w:t>
      </w:r>
      <w:r w:rsidR="00EA086B" w:rsidRPr="00F15147">
        <w:rPr>
          <w:sz w:val="20"/>
          <w:lang w:val="en-GB"/>
        </w:rPr>
        <w:t>The Committee considers that article 20</w:t>
      </w:r>
      <w:r w:rsidR="00D402F6">
        <w:rPr>
          <w:sz w:val="20"/>
          <w:lang w:val="en-GB"/>
        </w:rPr>
        <w:t xml:space="preserve"> </w:t>
      </w:r>
      <w:r w:rsidR="00EA086B" w:rsidRPr="00F15147">
        <w:rPr>
          <w:sz w:val="20"/>
          <w:lang w:val="en-GB"/>
        </w:rPr>
        <w:t xml:space="preserve">(2) does not merely impose a formal obligation on States parties to adopt legislation prohibiting such conduct. </w:t>
      </w:r>
      <w:r w:rsidR="00B95D37" w:rsidRPr="00F15147">
        <w:rPr>
          <w:sz w:val="20"/>
          <w:lang w:val="en-GB"/>
        </w:rPr>
        <w:t xml:space="preserve">Such a law would be ineffective without procedures for complaints and </w:t>
      </w:r>
      <w:r w:rsidR="007D70BE" w:rsidRPr="00F15147">
        <w:rPr>
          <w:sz w:val="20"/>
          <w:lang w:val="en-GB"/>
        </w:rPr>
        <w:t>appropriate sanctions</w:t>
      </w:r>
      <w:r w:rsidR="00B95D37" w:rsidRPr="00F15147">
        <w:rPr>
          <w:sz w:val="20"/>
          <w:lang w:val="en-GB"/>
        </w:rPr>
        <w:t>. The invocation of article 20</w:t>
      </w:r>
      <w:r w:rsidR="00D402F6">
        <w:rPr>
          <w:sz w:val="20"/>
          <w:lang w:val="en-GB"/>
        </w:rPr>
        <w:t xml:space="preserve"> </w:t>
      </w:r>
      <w:r w:rsidR="00B95D37" w:rsidRPr="00F15147">
        <w:rPr>
          <w:sz w:val="20"/>
          <w:lang w:val="en-GB"/>
        </w:rPr>
        <w:t xml:space="preserve">(2) by individuals who have been wronged </w:t>
      </w:r>
      <w:r w:rsidR="001A55A6">
        <w:rPr>
          <w:sz w:val="20"/>
          <w:lang w:val="en-GB"/>
        </w:rPr>
        <w:t>therefore</w:t>
      </w:r>
      <w:r w:rsidR="001A55A6" w:rsidRPr="00F15147">
        <w:rPr>
          <w:sz w:val="20"/>
          <w:lang w:val="en-GB"/>
        </w:rPr>
        <w:t xml:space="preserve"> </w:t>
      </w:r>
      <w:r w:rsidR="00B95D37" w:rsidRPr="00F15147">
        <w:rPr>
          <w:sz w:val="20"/>
          <w:lang w:val="en-GB"/>
        </w:rPr>
        <w:t>follows the logic of protection that underlies the entire Covenant</w:t>
      </w:r>
      <w:r w:rsidR="00F570DA" w:rsidRPr="00F15147">
        <w:rPr>
          <w:sz w:val="20"/>
          <w:lang w:val="en-GB"/>
        </w:rPr>
        <w:t>.</w:t>
      </w:r>
      <w:r w:rsidR="00BD7309" w:rsidRPr="003710BE">
        <w:rPr>
          <w:rStyle w:val="FootnoteReference"/>
        </w:rPr>
        <w:footnoteReference w:id="20"/>
      </w:r>
    </w:p>
    <w:p w14:paraId="51A08F5E" w14:textId="6001F2BF" w:rsidR="00816CF2" w:rsidRPr="00F15147" w:rsidRDefault="00D81085" w:rsidP="00E518DA">
      <w:pPr>
        <w:pStyle w:val="SingleTxtG"/>
        <w:rPr>
          <w:sz w:val="20"/>
          <w:lang w:val="en-GB"/>
        </w:rPr>
      </w:pPr>
      <w:r w:rsidRPr="00F15147">
        <w:rPr>
          <w:sz w:val="20"/>
          <w:lang w:val="en-GB"/>
        </w:rPr>
        <w:t>9</w:t>
      </w:r>
      <w:r w:rsidR="00803ABB" w:rsidRPr="00F15147">
        <w:rPr>
          <w:sz w:val="20"/>
          <w:lang w:val="en-GB"/>
        </w:rPr>
        <w:t>.</w:t>
      </w:r>
      <w:r w:rsidR="00792175" w:rsidRPr="00F15147">
        <w:rPr>
          <w:sz w:val="20"/>
          <w:lang w:val="en-GB"/>
        </w:rPr>
        <w:t>8</w:t>
      </w:r>
      <w:r w:rsidR="00803ABB" w:rsidRPr="00F15147">
        <w:rPr>
          <w:sz w:val="20"/>
          <w:lang w:val="en-GB"/>
        </w:rPr>
        <w:tab/>
      </w:r>
      <w:r w:rsidR="004F27B6" w:rsidRPr="00F15147">
        <w:rPr>
          <w:sz w:val="20"/>
          <w:lang w:val="en-GB"/>
        </w:rPr>
        <w:t>The State party</w:t>
      </w:r>
      <w:r w:rsidR="00346218" w:rsidRPr="00F15147">
        <w:rPr>
          <w:sz w:val="20"/>
          <w:lang w:val="en-GB"/>
        </w:rPr>
        <w:t xml:space="preserve"> argues</w:t>
      </w:r>
      <w:r w:rsidR="004F27B6" w:rsidRPr="00F15147">
        <w:rPr>
          <w:sz w:val="20"/>
          <w:lang w:val="en-GB"/>
        </w:rPr>
        <w:t xml:space="preserve"> that the communication falls outside the scope of the Covenant </w:t>
      </w:r>
      <w:r w:rsidR="007A3A4C" w:rsidRPr="00F15147">
        <w:rPr>
          <w:sz w:val="20"/>
          <w:lang w:val="en-GB"/>
        </w:rPr>
        <w:t>since</w:t>
      </w:r>
      <w:r w:rsidR="004F27B6" w:rsidRPr="00F15147">
        <w:rPr>
          <w:sz w:val="20"/>
          <w:lang w:val="en-GB"/>
        </w:rPr>
        <w:t>, according to the Committee’s jurisprudence, an individual cannot compel the State to commence criminal proceedings against a third person</w:t>
      </w:r>
      <w:r w:rsidR="007E3E31" w:rsidRPr="00F15147">
        <w:rPr>
          <w:sz w:val="20"/>
          <w:lang w:val="en-GB"/>
        </w:rPr>
        <w:t xml:space="preserve"> or to impose punishment. </w:t>
      </w:r>
      <w:r w:rsidR="00346218" w:rsidRPr="00F15147">
        <w:rPr>
          <w:sz w:val="20"/>
          <w:lang w:val="en-GB"/>
        </w:rPr>
        <w:t>The Committee notes the authors’ comments in this respect that their claim is about the lack of an effective prosecution. The Committee also</w:t>
      </w:r>
      <w:r w:rsidR="00816CF2" w:rsidRPr="00F15147">
        <w:rPr>
          <w:sz w:val="20"/>
          <w:lang w:val="en-GB"/>
        </w:rPr>
        <w:t xml:space="preserve"> notes the authors’ allegations </w:t>
      </w:r>
      <w:r w:rsidR="00346218" w:rsidRPr="00F15147">
        <w:rPr>
          <w:sz w:val="20"/>
          <w:lang w:val="en-GB"/>
        </w:rPr>
        <w:t xml:space="preserve">about the limited role given to them, as injured parties, in the criminal proceedings, </w:t>
      </w:r>
      <w:r w:rsidR="00816CF2" w:rsidRPr="00F15147">
        <w:rPr>
          <w:sz w:val="20"/>
          <w:lang w:val="en-GB"/>
        </w:rPr>
        <w:t>as they could not</w:t>
      </w:r>
      <w:r w:rsidR="006227C4" w:rsidRPr="00F15147">
        <w:rPr>
          <w:sz w:val="20"/>
          <w:lang w:val="en-GB"/>
        </w:rPr>
        <w:t>, for instance,</w:t>
      </w:r>
      <w:r w:rsidR="004527FE" w:rsidRPr="00F15147">
        <w:rPr>
          <w:sz w:val="20"/>
          <w:lang w:val="en-GB"/>
        </w:rPr>
        <w:t xml:space="preserve"> </w:t>
      </w:r>
      <w:r w:rsidR="00816CF2" w:rsidRPr="00F15147">
        <w:rPr>
          <w:sz w:val="20"/>
          <w:lang w:val="en-GB"/>
        </w:rPr>
        <w:t>call on witnesses</w:t>
      </w:r>
      <w:r w:rsidR="00F24D46">
        <w:rPr>
          <w:sz w:val="20"/>
          <w:lang w:val="en-GB"/>
        </w:rPr>
        <w:t>,</w:t>
      </w:r>
      <w:r w:rsidR="00816CF2" w:rsidRPr="00F15147">
        <w:rPr>
          <w:sz w:val="20"/>
          <w:lang w:val="en-GB"/>
        </w:rPr>
        <w:t xml:space="preserve"> participate or provide </w:t>
      </w:r>
      <w:r w:rsidR="00816CF2" w:rsidRPr="00F15147">
        <w:rPr>
          <w:sz w:val="20"/>
          <w:lang w:val="en-GB"/>
        </w:rPr>
        <w:lastRenderedPageBreak/>
        <w:t xml:space="preserve">arguments during the examination of the facts and merits of the case on whether </w:t>
      </w:r>
      <w:r w:rsidR="006837AA">
        <w:rPr>
          <w:sz w:val="20"/>
          <w:lang w:val="en-GB"/>
        </w:rPr>
        <w:t>Mr. </w:t>
      </w:r>
      <w:r w:rsidR="00696F9C">
        <w:rPr>
          <w:sz w:val="20"/>
          <w:lang w:val="en-GB"/>
        </w:rPr>
        <w:t>Wilders</w:t>
      </w:r>
      <w:r w:rsidR="00816CF2" w:rsidRPr="00F15147">
        <w:rPr>
          <w:sz w:val="20"/>
          <w:lang w:val="en-GB"/>
        </w:rPr>
        <w:t>’ statements amounted to incitement to hatred, discrimination or violence</w:t>
      </w:r>
      <w:r w:rsidR="00F24D46">
        <w:rPr>
          <w:sz w:val="20"/>
          <w:lang w:val="en-GB"/>
        </w:rPr>
        <w:t>,</w:t>
      </w:r>
      <w:r w:rsidR="004527FE" w:rsidRPr="00F15147">
        <w:rPr>
          <w:sz w:val="20"/>
          <w:lang w:val="en-GB"/>
        </w:rPr>
        <w:t xml:space="preserve"> </w:t>
      </w:r>
      <w:r w:rsidR="00A05091" w:rsidRPr="00F15147">
        <w:rPr>
          <w:sz w:val="20"/>
          <w:lang w:val="en-GB"/>
        </w:rPr>
        <w:t>or appeal</w:t>
      </w:r>
      <w:r w:rsidR="00816CF2" w:rsidRPr="00F15147">
        <w:rPr>
          <w:sz w:val="20"/>
          <w:lang w:val="en-GB"/>
        </w:rPr>
        <w:t xml:space="preserve"> the Court’s judgment. </w:t>
      </w:r>
      <w:r w:rsidR="006227C4" w:rsidRPr="00F15147">
        <w:rPr>
          <w:sz w:val="20"/>
          <w:lang w:val="en-GB"/>
        </w:rPr>
        <w:t>In this respect</w:t>
      </w:r>
      <w:r w:rsidR="00F24D46">
        <w:rPr>
          <w:sz w:val="20"/>
          <w:lang w:val="en-GB"/>
        </w:rPr>
        <w:t>,</w:t>
      </w:r>
      <w:r w:rsidR="006227C4" w:rsidRPr="00F15147">
        <w:rPr>
          <w:sz w:val="20"/>
          <w:lang w:val="en-GB"/>
        </w:rPr>
        <w:t xml:space="preserve"> t</w:t>
      </w:r>
      <w:r w:rsidR="00816CF2" w:rsidRPr="00F15147">
        <w:rPr>
          <w:sz w:val="20"/>
          <w:lang w:val="en-GB"/>
        </w:rPr>
        <w:t>he Committee considers that, for the purpose of admissibility</w:t>
      </w:r>
      <w:r w:rsidR="006227C4" w:rsidRPr="00F15147">
        <w:rPr>
          <w:sz w:val="20"/>
          <w:lang w:val="en-GB"/>
        </w:rPr>
        <w:t>,</w:t>
      </w:r>
      <w:r w:rsidR="00816CF2" w:rsidRPr="00F15147">
        <w:rPr>
          <w:sz w:val="20"/>
          <w:lang w:val="en-GB"/>
        </w:rPr>
        <w:t xml:space="preserve"> the authors </w:t>
      </w:r>
      <w:r w:rsidR="00A05091" w:rsidRPr="00F15147">
        <w:rPr>
          <w:sz w:val="20"/>
          <w:lang w:val="en-GB"/>
        </w:rPr>
        <w:t>have sufficiently</w:t>
      </w:r>
      <w:r w:rsidR="00816CF2" w:rsidRPr="00F15147">
        <w:rPr>
          <w:sz w:val="20"/>
          <w:lang w:val="en-GB"/>
        </w:rPr>
        <w:t xml:space="preserve"> substantiated their claims </w:t>
      </w:r>
      <w:r w:rsidR="00EB166A" w:rsidRPr="00F15147">
        <w:rPr>
          <w:sz w:val="20"/>
          <w:lang w:val="en-GB"/>
        </w:rPr>
        <w:t>under article</w:t>
      </w:r>
      <w:r w:rsidR="006227C4" w:rsidRPr="00F15147">
        <w:rPr>
          <w:sz w:val="20"/>
          <w:lang w:val="en-GB"/>
        </w:rPr>
        <w:t xml:space="preserve"> 14</w:t>
      </w:r>
      <w:r w:rsidR="00D402F6">
        <w:rPr>
          <w:sz w:val="20"/>
          <w:lang w:val="en-GB"/>
        </w:rPr>
        <w:t xml:space="preserve"> </w:t>
      </w:r>
      <w:r w:rsidR="006227C4" w:rsidRPr="00F15147">
        <w:rPr>
          <w:sz w:val="20"/>
          <w:lang w:val="en-GB"/>
        </w:rPr>
        <w:t>(1)</w:t>
      </w:r>
      <w:r w:rsidR="00E518DA">
        <w:rPr>
          <w:sz w:val="20"/>
          <w:lang w:val="en-GB"/>
        </w:rPr>
        <w:t>,</w:t>
      </w:r>
      <w:r w:rsidR="006227C4" w:rsidRPr="00F15147">
        <w:rPr>
          <w:sz w:val="20"/>
          <w:lang w:val="en-GB"/>
        </w:rPr>
        <w:t xml:space="preserve"> and article 2</w:t>
      </w:r>
      <w:r w:rsidR="00D402F6">
        <w:rPr>
          <w:sz w:val="20"/>
          <w:lang w:val="en-GB"/>
        </w:rPr>
        <w:t xml:space="preserve"> </w:t>
      </w:r>
      <w:r w:rsidR="006227C4" w:rsidRPr="00F15147">
        <w:rPr>
          <w:sz w:val="20"/>
          <w:lang w:val="en-GB"/>
        </w:rPr>
        <w:t xml:space="preserve">(3) </w:t>
      </w:r>
      <w:r w:rsidR="00F24D46">
        <w:rPr>
          <w:sz w:val="20"/>
          <w:lang w:val="en-GB"/>
        </w:rPr>
        <w:t xml:space="preserve">read </w:t>
      </w:r>
      <w:r w:rsidR="006227C4" w:rsidRPr="00F15147">
        <w:rPr>
          <w:sz w:val="20"/>
          <w:lang w:val="en-GB"/>
        </w:rPr>
        <w:t>in</w:t>
      </w:r>
      <w:r w:rsidR="003204B4" w:rsidRPr="00F15147">
        <w:rPr>
          <w:sz w:val="20"/>
          <w:lang w:val="en-GB"/>
        </w:rPr>
        <w:t xml:space="preserve"> con</w:t>
      </w:r>
      <w:r w:rsidR="00DA2256" w:rsidRPr="00F15147">
        <w:rPr>
          <w:sz w:val="20"/>
          <w:lang w:val="en-GB"/>
        </w:rPr>
        <w:t>junction</w:t>
      </w:r>
      <w:r w:rsidR="003204B4" w:rsidRPr="00F15147">
        <w:rPr>
          <w:sz w:val="20"/>
          <w:lang w:val="en-GB"/>
        </w:rPr>
        <w:t xml:space="preserve"> with article</w:t>
      </w:r>
      <w:r w:rsidR="00E60DD8" w:rsidRPr="00F15147">
        <w:rPr>
          <w:sz w:val="20"/>
          <w:lang w:val="en-GB"/>
        </w:rPr>
        <w:t>s</w:t>
      </w:r>
      <w:r w:rsidR="003204B4" w:rsidRPr="00F15147">
        <w:rPr>
          <w:sz w:val="20"/>
          <w:lang w:val="en-GB"/>
        </w:rPr>
        <w:t xml:space="preserve"> 20</w:t>
      </w:r>
      <w:r w:rsidR="00D402F6">
        <w:rPr>
          <w:sz w:val="20"/>
          <w:lang w:val="en-GB"/>
        </w:rPr>
        <w:t xml:space="preserve"> </w:t>
      </w:r>
      <w:r w:rsidR="003204B4" w:rsidRPr="00F15147">
        <w:rPr>
          <w:sz w:val="20"/>
          <w:lang w:val="en-GB"/>
        </w:rPr>
        <w:t>(2)</w:t>
      </w:r>
      <w:r w:rsidR="00792175" w:rsidRPr="00F15147">
        <w:rPr>
          <w:sz w:val="20"/>
          <w:lang w:val="en-GB"/>
        </w:rPr>
        <w:t xml:space="preserve"> and 26</w:t>
      </w:r>
      <w:r w:rsidR="003204B4" w:rsidRPr="00F15147">
        <w:rPr>
          <w:sz w:val="20"/>
          <w:lang w:val="en-GB"/>
        </w:rPr>
        <w:t>.</w:t>
      </w:r>
    </w:p>
    <w:p w14:paraId="17A8E83C" w14:textId="2F7530AD" w:rsidR="009773CB" w:rsidRPr="00F15147" w:rsidRDefault="00D81085" w:rsidP="009A361A">
      <w:pPr>
        <w:pStyle w:val="SingleTxtG"/>
        <w:rPr>
          <w:sz w:val="20"/>
          <w:lang w:val="en-GB"/>
        </w:rPr>
      </w:pPr>
      <w:r w:rsidRPr="00F15147">
        <w:rPr>
          <w:sz w:val="20"/>
          <w:lang w:val="en-GB"/>
        </w:rPr>
        <w:t>9</w:t>
      </w:r>
      <w:r w:rsidR="00803ABB" w:rsidRPr="00F15147">
        <w:rPr>
          <w:sz w:val="20"/>
          <w:lang w:val="en-GB"/>
        </w:rPr>
        <w:t>.</w:t>
      </w:r>
      <w:r w:rsidR="00792175" w:rsidRPr="00F15147">
        <w:rPr>
          <w:sz w:val="20"/>
          <w:lang w:val="en-GB"/>
        </w:rPr>
        <w:t>9</w:t>
      </w:r>
      <w:r w:rsidR="00803ABB" w:rsidRPr="00F15147">
        <w:rPr>
          <w:sz w:val="20"/>
          <w:lang w:val="en-GB"/>
        </w:rPr>
        <w:tab/>
      </w:r>
      <w:r w:rsidR="007A3A4C" w:rsidRPr="00F15147">
        <w:rPr>
          <w:sz w:val="20"/>
          <w:lang w:val="en-GB"/>
        </w:rPr>
        <w:t>Regarding</w:t>
      </w:r>
      <w:r w:rsidR="009773CB" w:rsidRPr="00F15147">
        <w:rPr>
          <w:sz w:val="20"/>
          <w:lang w:val="en-GB"/>
        </w:rPr>
        <w:t xml:space="preserve"> the authors’ allegations under articles </w:t>
      </w:r>
      <w:r w:rsidR="006227C4" w:rsidRPr="00F15147">
        <w:rPr>
          <w:sz w:val="20"/>
          <w:lang w:val="en-GB"/>
        </w:rPr>
        <w:t>17</w:t>
      </w:r>
      <w:r w:rsidR="009773CB" w:rsidRPr="00F15147">
        <w:rPr>
          <w:sz w:val="20"/>
          <w:lang w:val="en-GB"/>
        </w:rPr>
        <w:t xml:space="preserve"> and 27 of the Covenant, the Committee considers that the authors have </w:t>
      </w:r>
      <w:r w:rsidR="006227C4" w:rsidRPr="00F15147">
        <w:rPr>
          <w:sz w:val="20"/>
          <w:lang w:val="en-GB"/>
        </w:rPr>
        <w:t xml:space="preserve">not </w:t>
      </w:r>
      <w:r w:rsidR="009773CB" w:rsidRPr="00F15147">
        <w:rPr>
          <w:sz w:val="20"/>
          <w:lang w:val="en-GB"/>
        </w:rPr>
        <w:t>adduce</w:t>
      </w:r>
      <w:r w:rsidR="006227C4" w:rsidRPr="00F15147">
        <w:rPr>
          <w:sz w:val="20"/>
          <w:lang w:val="en-GB"/>
        </w:rPr>
        <w:t xml:space="preserve">d specific </w:t>
      </w:r>
      <w:r w:rsidR="009773CB" w:rsidRPr="00F15147">
        <w:rPr>
          <w:sz w:val="20"/>
          <w:lang w:val="en-GB"/>
        </w:rPr>
        <w:t>arguments in support of their claims under these provisions</w:t>
      </w:r>
      <w:r w:rsidR="006227C4" w:rsidRPr="00F15147">
        <w:rPr>
          <w:sz w:val="20"/>
          <w:lang w:val="en-GB"/>
        </w:rPr>
        <w:t>, distinct from their claim</w:t>
      </w:r>
      <w:r w:rsidR="00DE3917" w:rsidRPr="00F15147">
        <w:rPr>
          <w:sz w:val="20"/>
          <w:lang w:val="en-GB"/>
        </w:rPr>
        <w:t>s under</w:t>
      </w:r>
      <w:r w:rsidR="002B797B" w:rsidRPr="00F15147">
        <w:rPr>
          <w:sz w:val="20"/>
          <w:lang w:val="en-GB"/>
        </w:rPr>
        <w:t xml:space="preserve"> </w:t>
      </w:r>
      <w:r w:rsidR="00AD2460" w:rsidRPr="00F15147">
        <w:rPr>
          <w:sz w:val="20"/>
          <w:lang w:val="en-GB"/>
        </w:rPr>
        <w:t>article</w:t>
      </w:r>
      <w:r w:rsidR="00DE3917" w:rsidRPr="00F15147">
        <w:rPr>
          <w:sz w:val="20"/>
          <w:lang w:val="en-GB"/>
        </w:rPr>
        <w:t>s</w:t>
      </w:r>
      <w:r w:rsidR="00AD2460" w:rsidRPr="00F15147">
        <w:rPr>
          <w:sz w:val="20"/>
          <w:lang w:val="en-GB"/>
        </w:rPr>
        <w:t xml:space="preserve"> 20</w:t>
      </w:r>
      <w:r w:rsidR="00D402F6">
        <w:rPr>
          <w:sz w:val="20"/>
          <w:lang w:val="en-GB"/>
        </w:rPr>
        <w:t xml:space="preserve"> </w:t>
      </w:r>
      <w:r w:rsidR="00AD2460" w:rsidRPr="00F15147">
        <w:rPr>
          <w:sz w:val="20"/>
          <w:lang w:val="en-GB"/>
        </w:rPr>
        <w:t>(2)</w:t>
      </w:r>
      <w:r w:rsidR="00DE3917" w:rsidRPr="00F15147">
        <w:rPr>
          <w:sz w:val="20"/>
          <w:lang w:val="en-GB"/>
        </w:rPr>
        <w:t xml:space="preserve"> and 26</w:t>
      </w:r>
      <w:r w:rsidR="009773CB" w:rsidRPr="00F15147">
        <w:rPr>
          <w:sz w:val="20"/>
          <w:lang w:val="en-GB"/>
        </w:rPr>
        <w:t xml:space="preserve">. Accordingly, the Committee </w:t>
      </w:r>
      <w:r w:rsidR="00AD2460" w:rsidRPr="00F15147">
        <w:rPr>
          <w:sz w:val="20"/>
          <w:lang w:val="en-GB"/>
        </w:rPr>
        <w:t xml:space="preserve">considers this part of the communication as insufficiently substantiated and </w:t>
      </w:r>
      <w:r w:rsidR="009773CB" w:rsidRPr="00F15147">
        <w:rPr>
          <w:sz w:val="20"/>
          <w:lang w:val="en-GB"/>
        </w:rPr>
        <w:t xml:space="preserve">declares </w:t>
      </w:r>
      <w:r w:rsidR="00AD2460" w:rsidRPr="00F15147">
        <w:rPr>
          <w:sz w:val="20"/>
          <w:lang w:val="en-GB"/>
        </w:rPr>
        <w:t xml:space="preserve">it </w:t>
      </w:r>
      <w:r w:rsidR="009773CB" w:rsidRPr="00F15147">
        <w:rPr>
          <w:sz w:val="20"/>
          <w:lang w:val="en-GB"/>
        </w:rPr>
        <w:t>inadmissible under article 2 of the Optional Protocol.</w:t>
      </w:r>
    </w:p>
    <w:p w14:paraId="45E20C87" w14:textId="24DCCE8C" w:rsidR="00AD2460" w:rsidRPr="00F15147" w:rsidRDefault="00D81085" w:rsidP="009773CB">
      <w:pPr>
        <w:pStyle w:val="SingleTxtG"/>
        <w:rPr>
          <w:sz w:val="20"/>
          <w:lang w:val="en-GB"/>
        </w:rPr>
      </w:pPr>
      <w:r w:rsidRPr="00F15147">
        <w:rPr>
          <w:sz w:val="20"/>
          <w:lang w:val="en-GB"/>
        </w:rPr>
        <w:t>9</w:t>
      </w:r>
      <w:r w:rsidR="00803ABB" w:rsidRPr="00F15147">
        <w:rPr>
          <w:sz w:val="20"/>
          <w:lang w:val="en-GB"/>
        </w:rPr>
        <w:t>.</w:t>
      </w:r>
      <w:r w:rsidR="00792175" w:rsidRPr="00F15147">
        <w:rPr>
          <w:sz w:val="20"/>
          <w:lang w:val="en-GB"/>
        </w:rPr>
        <w:t>10</w:t>
      </w:r>
      <w:r w:rsidR="00803ABB" w:rsidRPr="00F15147">
        <w:rPr>
          <w:sz w:val="20"/>
          <w:lang w:val="en-GB"/>
        </w:rPr>
        <w:tab/>
        <w:t>In view of the foregoing</w:t>
      </w:r>
      <w:r w:rsidR="00F24D46">
        <w:rPr>
          <w:sz w:val="20"/>
          <w:lang w:val="en-GB"/>
        </w:rPr>
        <w:t>,</w:t>
      </w:r>
      <w:r w:rsidR="00803ABB" w:rsidRPr="00F15147">
        <w:rPr>
          <w:sz w:val="20"/>
          <w:lang w:val="en-GB"/>
        </w:rPr>
        <w:t xml:space="preserve"> </w:t>
      </w:r>
      <w:r w:rsidR="00AD2460" w:rsidRPr="00F15147">
        <w:rPr>
          <w:sz w:val="20"/>
          <w:lang w:val="en-GB"/>
        </w:rPr>
        <w:t>the Committee decides that the communication is admissible insofar as it raises issues with respect to article 14</w:t>
      </w:r>
      <w:r w:rsidR="00D402F6">
        <w:rPr>
          <w:sz w:val="20"/>
          <w:lang w:val="en-GB"/>
        </w:rPr>
        <w:t xml:space="preserve"> </w:t>
      </w:r>
      <w:r w:rsidR="00AD2460" w:rsidRPr="00F15147">
        <w:rPr>
          <w:sz w:val="20"/>
          <w:lang w:val="en-GB"/>
        </w:rPr>
        <w:t>(1)</w:t>
      </w:r>
      <w:r w:rsidR="00792175" w:rsidRPr="00F15147">
        <w:rPr>
          <w:sz w:val="20"/>
          <w:lang w:val="en-GB"/>
        </w:rPr>
        <w:t>,</w:t>
      </w:r>
      <w:r w:rsidR="00AD2460" w:rsidRPr="00F15147">
        <w:rPr>
          <w:sz w:val="20"/>
          <w:lang w:val="en-GB"/>
        </w:rPr>
        <w:t xml:space="preserve"> and article 2</w:t>
      </w:r>
      <w:r w:rsidR="00D402F6">
        <w:rPr>
          <w:sz w:val="20"/>
          <w:lang w:val="en-GB"/>
        </w:rPr>
        <w:t xml:space="preserve"> </w:t>
      </w:r>
      <w:r w:rsidR="00AD2460" w:rsidRPr="00F15147">
        <w:rPr>
          <w:sz w:val="20"/>
          <w:lang w:val="en-GB"/>
        </w:rPr>
        <w:t xml:space="preserve">(3) </w:t>
      </w:r>
      <w:r w:rsidR="00F24D46">
        <w:rPr>
          <w:sz w:val="20"/>
          <w:lang w:val="en-GB"/>
        </w:rPr>
        <w:t xml:space="preserve">read </w:t>
      </w:r>
      <w:r w:rsidR="00AD2460" w:rsidRPr="00F15147">
        <w:rPr>
          <w:sz w:val="20"/>
          <w:lang w:val="en-GB"/>
        </w:rPr>
        <w:t>in con</w:t>
      </w:r>
      <w:r w:rsidR="00DA2256" w:rsidRPr="00F15147">
        <w:rPr>
          <w:sz w:val="20"/>
          <w:lang w:val="en-GB"/>
        </w:rPr>
        <w:t>junction</w:t>
      </w:r>
      <w:r w:rsidR="00AD2460" w:rsidRPr="00F15147">
        <w:rPr>
          <w:sz w:val="20"/>
          <w:lang w:val="en-GB"/>
        </w:rPr>
        <w:t xml:space="preserve"> with article</w:t>
      </w:r>
      <w:r w:rsidR="00792175" w:rsidRPr="00F15147">
        <w:rPr>
          <w:sz w:val="20"/>
          <w:lang w:val="en-GB"/>
        </w:rPr>
        <w:t>s</w:t>
      </w:r>
      <w:r w:rsidR="00AD2460" w:rsidRPr="00F15147">
        <w:rPr>
          <w:sz w:val="20"/>
          <w:lang w:val="en-GB"/>
        </w:rPr>
        <w:t xml:space="preserve"> 20</w:t>
      </w:r>
      <w:r w:rsidR="00D402F6">
        <w:rPr>
          <w:sz w:val="20"/>
          <w:lang w:val="en-GB"/>
        </w:rPr>
        <w:t xml:space="preserve"> </w:t>
      </w:r>
      <w:r w:rsidR="00AD2460" w:rsidRPr="00F15147">
        <w:rPr>
          <w:sz w:val="20"/>
          <w:lang w:val="en-GB"/>
        </w:rPr>
        <w:t>(2)</w:t>
      </w:r>
      <w:r w:rsidR="000F0A62" w:rsidRPr="00F15147">
        <w:rPr>
          <w:sz w:val="20"/>
          <w:lang w:val="en-GB"/>
        </w:rPr>
        <w:t xml:space="preserve"> and 26</w:t>
      </w:r>
      <w:r w:rsidR="00AD2460" w:rsidRPr="00F15147">
        <w:rPr>
          <w:sz w:val="20"/>
          <w:lang w:val="en-GB"/>
        </w:rPr>
        <w:t xml:space="preserve"> of the Covenant</w:t>
      </w:r>
      <w:r w:rsidR="00803ABB" w:rsidRPr="00F15147">
        <w:rPr>
          <w:sz w:val="20"/>
          <w:lang w:val="en-GB"/>
        </w:rPr>
        <w:t>,</w:t>
      </w:r>
      <w:r w:rsidR="00AD2460" w:rsidRPr="00F15147">
        <w:rPr>
          <w:sz w:val="20"/>
          <w:lang w:val="en-GB"/>
        </w:rPr>
        <w:t xml:space="preserve"> and proceeds to </w:t>
      </w:r>
      <w:r w:rsidR="007A3A4C" w:rsidRPr="00F15147">
        <w:rPr>
          <w:sz w:val="20"/>
          <w:lang w:val="en-GB"/>
        </w:rPr>
        <w:t>examine</w:t>
      </w:r>
      <w:r w:rsidR="007F5702" w:rsidRPr="00F15147">
        <w:rPr>
          <w:sz w:val="20"/>
          <w:lang w:val="en-GB"/>
        </w:rPr>
        <w:t xml:space="preserve"> </w:t>
      </w:r>
      <w:r w:rsidR="00BB4356" w:rsidRPr="00F15147">
        <w:rPr>
          <w:sz w:val="20"/>
          <w:lang w:val="en-GB"/>
        </w:rPr>
        <w:t xml:space="preserve">these claims </w:t>
      </w:r>
      <w:r w:rsidR="00AD2460" w:rsidRPr="00F15147">
        <w:rPr>
          <w:sz w:val="20"/>
          <w:lang w:val="en-GB"/>
        </w:rPr>
        <w:t>on the merits.</w:t>
      </w:r>
    </w:p>
    <w:p w14:paraId="0C0782DE" w14:textId="77777777" w:rsidR="00BA24D2" w:rsidRPr="00F15147" w:rsidRDefault="003204B4" w:rsidP="003204B4">
      <w:pPr>
        <w:pStyle w:val="H23G"/>
        <w:rPr>
          <w:b w:val="0"/>
          <w:bCs/>
          <w:i/>
          <w:iCs/>
          <w:sz w:val="20"/>
        </w:rPr>
      </w:pPr>
      <w:r w:rsidRPr="00F15147">
        <w:rPr>
          <w:sz w:val="20"/>
        </w:rPr>
        <w:tab/>
      </w:r>
      <w:r w:rsidRPr="00F15147">
        <w:rPr>
          <w:sz w:val="20"/>
        </w:rPr>
        <w:tab/>
      </w:r>
      <w:r w:rsidR="00BA24D2" w:rsidRPr="00F15147">
        <w:rPr>
          <w:b w:val="0"/>
          <w:bCs/>
          <w:i/>
          <w:iCs/>
          <w:sz w:val="20"/>
        </w:rPr>
        <w:t>Consideration of the merits</w:t>
      </w:r>
    </w:p>
    <w:p w14:paraId="173440BD" w14:textId="04D98C7D" w:rsidR="00A92911" w:rsidRPr="00F15147" w:rsidRDefault="00D81085" w:rsidP="00A92911">
      <w:pPr>
        <w:pStyle w:val="SingleTxtG"/>
        <w:rPr>
          <w:sz w:val="20"/>
          <w:lang w:val="en-GB"/>
        </w:rPr>
      </w:pPr>
      <w:r w:rsidRPr="00F15147">
        <w:rPr>
          <w:sz w:val="20"/>
          <w:lang w:val="en-GB"/>
        </w:rPr>
        <w:t>10</w:t>
      </w:r>
      <w:r w:rsidR="00803ABB" w:rsidRPr="00F15147">
        <w:rPr>
          <w:sz w:val="20"/>
          <w:lang w:val="en-GB"/>
        </w:rPr>
        <w:t>.1</w:t>
      </w:r>
      <w:r w:rsidR="00803ABB" w:rsidRPr="00F15147">
        <w:rPr>
          <w:sz w:val="20"/>
          <w:lang w:val="en-GB"/>
        </w:rPr>
        <w:tab/>
      </w:r>
      <w:r w:rsidR="00A92911" w:rsidRPr="00F15147">
        <w:rPr>
          <w:sz w:val="20"/>
          <w:lang w:val="en-GB"/>
        </w:rPr>
        <w:t xml:space="preserve">The Committee has considered the communication in </w:t>
      </w:r>
      <w:r w:rsidR="00F24D46">
        <w:rPr>
          <w:sz w:val="20"/>
          <w:lang w:val="en-GB"/>
        </w:rPr>
        <w:t xml:space="preserve">the </w:t>
      </w:r>
      <w:r w:rsidR="00A92911" w:rsidRPr="00F15147">
        <w:rPr>
          <w:sz w:val="20"/>
          <w:lang w:val="en-GB"/>
        </w:rPr>
        <w:t xml:space="preserve">light of all the information </w:t>
      </w:r>
      <w:r w:rsidR="00F24D46">
        <w:rPr>
          <w:sz w:val="20"/>
          <w:lang w:val="en-GB"/>
        </w:rPr>
        <w:t>submitted to it</w:t>
      </w:r>
      <w:r w:rsidR="00A92911" w:rsidRPr="00F15147">
        <w:rPr>
          <w:sz w:val="20"/>
          <w:lang w:val="en-GB"/>
        </w:rPr>
        <w:t xml:space="preserve"> by the parties, </w:t>
      </w:r>
      <w:r w:rsidR="0062365E">
        <w:rPr>
          <w:sz w:val="20"/>
          <w:lang w:val="en-GB"/>
        </w:rPr>
        <w:t>in accordance with</w:t>
      </w:r>
      <w:r w:rsidR="00A92911" w:rsidRPr="00F15147">
        <w:rPr>
          <w:sz w:val="20"/>
          <w:lang w:val="en-GB"/>
        </w:rPr>
        <w:t xml:space="preserve"> article 5</w:t>
      </w:r>
      <w:r w:rsidR="00D402F6">
        <w:rPr>
          <w:sz w:val="20"/>
          <w:lang w:val="en-GB"/>
        </w:rPr>
        <w:t xml:space="preserve"> </w:t>
      </w:r>
      <w:r w:rsidR="00A92911" w:rsidRPr="00F15147">
        <w:rPr>
          <w:sz w:val="20"/>
          <w:lang w:val="en-GB"/>
        </w:rPr>
        <w:t>(1) of the Optional Protocol.</w:t>
      </w:r>
    </w:p>
    <w:p w14:paraId="4AA44E14" w14:textId="589EF07F" w:rsidR="00426462" w:rsidRPr="00F15147" w:rsidRDefault="00D81085" w:rsidP="00E518DA">
      <w:pPr>
        <w:pStyle w:val="SingleTxtG"/>
        <w:rPr>
          <w:sz w:val="20"/>
          <w:lang w:val="en-GB"/>
        </w:rPr>
      </w:pPr>
      <w:r w:rsidRPr="00F15147">
        <w:rPr>
          <w:sz w:val="20"/>
          <w:lang w:val="en-GB"/>
        </w:rPr>
        <w:t>10</w:t>
      </w:r>
      <w:r w:rsidR="00A92911" w:rsidRPr="00F15147">
        <w:rPr>
          <w:sz w:val="20"/>
          <w:lang w:val="en-GB"/>
        </w:rPr>
        <w:t>.2</w:t>
      </w:r>
      <w:r w:rsidR="00A92911" w:rsidRPr="00F15147">
        <w:rPr>
          <w:sz w:val="20"/>
          <w:lang w:val="en-GB"/>
        </w:rPr>
        <w:tab/>
        <w:t xml:space="preserve">The </w:t>
      </w:r>
      <w:r w:rsidR="00070A16" w:rsidRPr="00F15147">
        <w:rPr>
          <w:sz w:val="20"/>
          <w:lang w:val="en-GB"/>
        </w:rPr>
        <w:t xml:space="preserve">Committee notes the </w:t>
      </w:r>
      <w:r w:rsidR="00A92911" w:rsidRPr="00F15147">
        <w:rPr>
          <w:sz w:val="20"/>
          <w:lang w:val="en-GB"/>
        </w:rPr>
        <w:t>authors</w:t>
      </w:r>
      <w:r w:rsidR="004637F3" w:rsidRPr="00F15147">
        <w:rPr>
          <w:sz w:val="20"/>
          <w:lang w:val="en-GB"/>
        </w:rPr>
        <w:t>’</w:t>
      </w:r>
      <w:r w:rsidR="00A92911" w:rsidRPr="00F15147">
        <w:rPr>
          <w:sz w:val="20"/>
          <w:lang w:val="en-GB"/>
        </w:rPr>
        <w:t xml:space="preserve"> claim that</w:t>
      </w:r>
      <w:r w:rsidR="00070A16" w:rsidRPr="00F15147">
        <w:rPr>
          <w:sz w:val="20"/>
          <w:lang w:val="en-GB"/>
        </w:rPr>
        <w:t xml:space="preserve"> in the criminal proceedings </w:t>
      </w:r>
      <w:r w:rsidR="007F5702" w:rsidRPr="00F15147">
        <w:rPr>
          <w:sz w:val="20"/>
          <w:lang w:val="en-GB"/>
        </w:rPr>
        <w:t>pursued</w:t>
      </w:r>
      <w:r w:rsidR="004527FE" w:rsidRPr="00F15147">
        <w:rPr>
          <w:sz w:val="20"/>
          <w:lang w:val="en-GB"/>
        </w:rPr>
        <w:t xml:space="preserve"> </w:t>
      </w:r>
      <w:r w:rsidR="00070A16" w:rsidRPr="00F15147">
        <w:rPr>
          <w:sz w:val="20"/>
          <w:lang w:val="en-GB"/>
        </w:rPr>
        <w:t xml:space="preserve">against </w:t>
      </w:r>
      <w:r w:rsidR="006837AA">
        <w:rPr>
          <w:sz w:val="20"/>
          <w:lang w:val="en-GB"/>
        </w:rPr>
        <w:t>Mr. </w:t>
      </w:r>
      <w:r w:rsidR="00070A16" w:rsidRPr="00F15147">
        <w:rPr>
          <w:sz w:val="20"/>
          <w:lang w:val="en-GB"/>
        </w:rPr>
        <w:t xml:space="preserve">Wilders under </w:t>
      </w:r>
      <w:r w:rsidR="00D0014F" w:rsidRPr="00F15147">
        <w:rPr>
          <w:sz w:val="20"/>
          <w:lang w:val="en-GB"/>
        </w:rPr>
        <w:t>article 137d</w:t>
      </w:r>
      <w:r w:rsidR="00E518DA">
        <w:rPr>
          <w:sz w:val="20"/>
          <w:lang w:val="en-GB"/>
        </w:rPr>
        <w:t xml:space="preserve"> of the </w:t>
      </w:r>
      <w:r w:rsidR="00E518DA" w:rsidRPr="008E6C6C">
        <w:rPr>
          <w:sz w:val="20"/>
          <w:lang w:val="en-GB"/>
        </w:rPr>
        <w:t>Criminal Code</w:t>
      </w:r>
      <w:r w:rsidR="00070A16" w:rsidRPr="00F15147">
        <w:rPr>
          <w:sz w:val="20"/>
          <w:lang w:val="en-GB"/>
        </w:rPr>
        <w:t>, a provision intended to implement the State party’s obligations under article 20</w:t>
      </w:r>
      <w:r w:rsidR="00D402F6">
        <w:rPr>
          <w:sz w:val="20"/>
          <w:lang w:val="en-GB"/>
        </w:rPr>
        <w:t xml:space="preserve"> </w:t>
      </w:r>
      <w:r w:rsidR="00070A16" w:rsidRPr="00F15147">
        <w:rPr>
          <w:sz w:val="20"/>
          <w:lang w:val="en-GB"/>
        </w:rPr>
        <w:t>(2)</w:t>
      </w:r>
      <w:r w:rsidR="003204B4" w:rsidRPr="00F15147">
        <w:rPr>
          <w:sz w:val="20"/>
          <w:lang w:val="en-GB"/>
        </w:rPr>
        <w:t xml:space="preserve"> of the Covenant, their rights </w:t>
      </w:r>
      <w:r w:rsidR="00070A16" w:rsidRPr="00F15147">
        <w:rPr>
          <w:sz w:val="20"/>
          <w:lang w:val="en-GB"/>
        </w:rPr>
        <w:t xml:space="preserve">were not respected </w:t>
      </w:r>
      <w:r w:rsidR="0062365E">
        <w:rPr>
          <w:sz w:val="20"/>
          <w:lang w:val="en-GB"/>
        </w:rPr>
        <w:t>owing</w:t>
      </w:r>
      <w:r w:rsidR="00070A16" w:rsidRPr="00F15147">
        <w:rPr>
          <w:sz w:val="20"/>
          <w:lang w:val="en-GB"/>
        </w:rPr>
        <w:t xml:space="preserve"> to the</w:t>
      </w:r>
      <w:r w:rsidR="00C108E3" w:rsidRPr="00F15147">
        <w:rPr>
          <w:sz w:val="20"/>
          <w:lang w:val="en-GB"/>
        </w:rPr>
        <w:t xml:space="preserve"> limited role they had as injured parties and the lack of an effective prosecution. </w:t>
      </w:r>
    </w:p>
    <w:p w14:paraId="1C5430AE" w14:textId="01D6402B" w:rsidR="00880F4A" w:rsidRPr="00F15147" w:rsidRDefault="00D81085" w:rsidP="00807420">
      <w:pPr>
        <w:pStyle w:val="SingleTxtG"/>
        <w:rPr>
          <w:sz w:val="20"/>
          <w:lang w:val="en-GB"/>
        </w:rPr>
      </w:pPr>
      <w:r w:rsidRPr="00F15147">
        <w:rPr>
          <w:sz w:val="20"/>
          <w:lang w:val="en-GB"/>
        </w:rPr>
        <w:t>10</w:t>
      </w:r>
      <w:r w:rsidR="00803ABB" w:rsidRPr="00F15147">
        <w:rPr>
          <w:sz w:val="20"/>
          <w:lang w:val="en-GB"/>
        </w:rPr>
        <w:t>.3</w:t>
      </w:r>
      <w:r w:rsidR="00803ABB" w:rsidRPr="00F15147">
        <w:rPr>
          <w:sz w:val="20"/>
          <w:lang w:val="en-GB"/>
        </w:rPr>
        <w:tab/>
      </w:r>
      <w:r w:rsidR="00CC1D3F" w:rsidRPr="00F15147">
        <w:rPr>
          <w:sz w:val="20"/>
          <w:lang w:val="en-GB"/>
        </w:rPr>
        <w:t xml:space="preserve">The Committee </w:t>
      </w:r>
      <w:r w:rsidR="00F80ACD" w:rsidRPr="00F15147">
        <w:rPr>
          <w:sz w:val="20"/>
          <w:lang w:val="en-GB"/>
        </w:rPr>
        <w:t>recalls its jurisprudence</w:t>
      </w:r>
      <w:r w:rsidR="0040598F" w:rsidRPr="00F15147">
        <w:rPr>
          <w:sz w:val="20"/>
          <w:lang w:val="en-GB"/>
        </w:rPr>
        <w:t xml:space="preserve"> that article 14 do</w:t>
      </w:r>
      <w:r w:rsidR="00765E14" w:rsidRPr="00F15147">
        <w:rPr>
          <w:sz w:val="20"/>
          <w:lang w:val="en-GB"/>
        </w:rPr>
        <w:t>es</w:t>
      </w:r>
      <w:r w:rsidR="0040598F" w:rsidRPr="00F15147">
        <w:rPr>
          <w:sz w:val="20"/>
          <w:lang w:val="en-GB"/>
        </w:rPr>
        <w:t xml:space="preserve"> not provide individuals with a right to have other individuals prosecuted or punished.</w:t>
      </w:r>
      <w:r w:rsidR="00E60DD8" w:rsidRPr="003710BE">
        <w:rPr>
          <w:rStyle w:val="FootnoteReference"/>
        </w:rPr>
        <w:footnoteReference w:id="21"/>
      </w:r>
      <w:r w:rsidR="0040598F" w:rsidRPr="00F15147">
        <w:rPr>
          <w:sz w:val="20"/>
          <w:lang w:val="en-GB"/>
        </w:rPr>
        <w:t xml:space="preserve"> However, individuals can, under article 14</w:t>
      </w:r>
      <w:r w:rsidR="00D402F6">
        <w:rPr>
          <w:sz w:val="20"/>
          <w:lang w:val="en-GB"/>
        </w:rPr>
        <w:t xml:space="preserve"> </w:t>
      </w:r>
      <w:r w:rsidR="0040598F" w:rsidRPr="00F15147">
        <w:rPr>
          <w:sz w:val="20"/>
          <w:lang w:val="en-GB"/>
        </w:rPr>
        <w:t xml:space="preserve">(1), claim their right to a fair hearing in the determination of their rights and obligations in a suit at law. </w:t>
      </w:r>
      <w:r w:rsidR="004D2C20" w:rsidRPr="00F15147">
        <w:rPr>
          <w:sz w:val="20"/>
          <w:lang w:val="en-GB"/>
        </w:rPr>
        <w:t>In the present case, the authors’ claims as injured parties within the criminal proceedings are of</w:t>
      </w:r>
      <w:r w:rsidR="00E60DD8" w:rsidRPr="00F15147">
        <w:rPr>
          <w:sz w:val="20"/>
          <w:lang w:val="en-GB"/>
        </w:rPr>
        <w:t xml:space="preserve"> a</w:t>
      </w:r>
      <w:r w:rsidR="004D2C20" w:rsidRPr="00F15147">
        <w:rPr>
          <w:sz w:val="20"/>
          <w:lang w:val="en-GB"/>
        </w:rPr>
        <w:t xml:space="preserve"> civil nature and therefore their rights and obligations</w:t>
      </w:r>
      <w:r w:rsidR="00911811" w:rsidRPr="00F15147">
        <w:rPr>
          <w:sz w:val="20"/>
          <w:lang w:val="en-GB"/>
        </w:rPr>
        <w:t xml:space="preserve"> regarding their </w:t>
      </w:r>
      <w:r w:rsidR="00E60DD8" w:rsidRPr="00F15147">
        <w:rPr>
          <w:sz w:val="20"/>
          <w:lang w:val="en-GB"/>
        </w:rPr>
        <w:t xml:space="preserve">civil </w:t>
      </w:r>
      <w:r w:rsidR="00911811" w:rsidRPr="00F15147">
        <w:rPr>
          <w:sz w:val="20"/>
          <w:lang w:val="en-GB"/>
        </w:rPr>
        <w:t>claim</w:t>
      </w:r>
      <w:r w:rsidR="00E60DD8" w:rsidRPr="00F15147">
        <w:rPr>
          <w:sz w:val="20"/>
          <w:lang w:val="en-GB"/>
        </w:rPr>
        <w:t>s</w:t>
      </w:r>
      <w:r w:rsidR="00911811" w:rsidRPr="00F15147">
        <w:rPr>
          <w:sz w:val="20"/>
          <w:lang w:val="en-GB"/>
        </w:rPr>
        <w:t xml:space="preserve"> for compensation in case the accused person is found guilty </w:t>
      </w:r>
      <w:r w:rsidR="004D2C20" w:rsidRPr="00F15147">
        <w:rPr>
          <w:sz w:val="20"/>
          <w:lang w:val="en-GB"/>
        </w:rPr>
        <w:t>are to be protected.</w:t>
      </w:r>
      <w:r w:rsidR="004527FE" w:rsidRPr="00F15147">
        <w:rPr>
          <w:sz w:val="20"/>
          <w:lang w:val="en-GB"/>
        </w:rPr>
        <w:t xml:space="preserve"> </w:t>
      </w:r>
      <w:r w:rsidR="00911811" w:rsidRPr="00F15147">
        <w:rPr>
          <w:sz w:val="20"/>
          <w:lang w:val="en-GB"/>
        </w:rPr>
        <w:t xml:space="preserve">In this respect, the Committee </w:t>
      </w:r>
      <w:r w:rsidR="00CC1D3F" w:rsidRPr="00F15147">
        <w:rPr>
          <w:sz w:val="20"/>
          <w:lang w:val="en-GB"/>
        </w:rPr>
        <w:t>notes that</w:t>
      </w:r>
      <w:r w:rsidR="00911811" w:rsidRPr="00F15147">
        <w:rPr>
          <w:sz w:val="20"/>
          <w:lang w:val="en-GB"/>
        </w:rPr>
        <w:t xml:space="preserve">, before the Amsterdam District Court, </w:t>
      </w:r>
      <w:r w:rsidR="00CC1D3F" w:rsidRPr="00F15147">
        <w:rPr>
          <w:sz w:val="20"/>
          <w:lang w:val="en-GB"/>
        </w:rPr>
        <w:t xml:space="preserve">the authors </w:t>
      </w:r>
      <w:r w:rsidR="004637F3" w:rsidRPr="00F15147">
        <w:rPr>
          <w:sz w:val="20"/>
          <w:lang w:val="en-GB"/>
        </w:rPr>
        <w:t>chose</w:t>
      </w:r>
      <w:r w:rsidR="003204B4" w:rsidRPr="00F15147">
        <w:rPr>
          <w:sz w:val="20"/>
          <w:lang w:val="en-GB"/>
        </w:rPr>
        <w:t xml:space="preserve"> to exercise their rights </w:t>
      </w:r>
      <w:r w:rsidR="004637F3" w:rsidRPr="00F15147">
        <w:rPr>
          <w:sz w:val="20"/>
          <w:lang w:val="en-GB"/>
        </w:rPr>
        <w:t xml:space="preserve">by bringing a civil claim </w:t>
      </w:r>
      <w:r w:rsidR="00CC1D3F" w:rsidRPr="00F15147">
        <w:rPr>
          <w:sz w:val="20"/>
          <w:lang w:val="en-GB"/>
        </w:rPr>
        <w:t xml:space="preserve">under section 51 </w:t>
      </w:r>
      <w:r w:rsidR="00B93A39" w:rsidRPr="008E6C6C">
        <w:rPr>
          <w:sz w:val="20"/>
          <w:lang w:val="en-GB"/>
        </w:rPr>
        <w:t>of the Code of Criminal Procedure</w:t>
      </w:r>
      <w:r w:rsidR="00911811" w:rsidRPr="00F15147">
        <w:rPr>
          <w:sz w:val="20"/>
          <w:lang w:val="en-GB"/>
        </w:rPr>
        <w:t xml:space="preserve"> as injured parties</w:t>
      </w:r>
      <w:r w:rsidR="004637F3" w:rsidRPr="00F15147">
        <w:rPr>
          <w:sz w:val="20"/>
          <w:lang w:val="en-GB"/>
        </w:rPr>
        <w:t xml:space="preserve">, a mechanism that is not required by the Covenant but is available under </w:t>
      </w:r>
      <w:r w:rsidR="00BF4791" w:rsidRPr="00F15147">
        <w:rPr>
          <w:sz w:val="20"/>
          <w:lang w:val="en-GB"/>
        </w:rPr>
        <w:t>domestic</w:t>
      </w:r>
      <w:r w:rsidR="004637F3" w:rsidRPr="00F15147">
        <w:rPr>
          <w:sz w:val="20"/>
          <w:lang w:val="en-GB"/>
        </w:rPr>
        <w:t xml:space="preserve"> law</w:t>
      </w:r>
      <w:r w:rsidR="00911811" w:rsidRPr="00F15147">
        <w:rPr>
          <w:sz w:val="20"/>
          <w:lang w:val="en-GB"/>
        </w:rPr>
        <w:t xml:space="preserve">. </w:t>
      </w:r>
      <w:r w:rsidR="004637F3" w:rsidRPr="00F15147">
        <w:rPr>
          <w:sz w:val="20"/>
          <w:lang w:val="en-GB"/>
        </w:rPr>
        <w:t xml:space="preserve">The Committee </w:t>
      </w:r>
      <w:r w:rsidR="0062365E">
        <w:rPr>
          <w:sz w:val="20"/>
          <w:lang w:val="en-GB"/>
        </w:rPr>
        <w:t>also</w:t>
      </w:r>
      <w:r w:rsidR="004637F3" w:rsidRPr="00F15147">
        <w:rPr>
          <w:sz w:val="20"/>
          <w:lang w:val="en-GB"/>
        </w:rPr>
        <w:t xml:space="preserve"> notes that </w:t>
      </w:r>
      <w:r w:rsidR="00E60DD8" w:rsidRPr="00F15147">
        <w:rPr>
          <w:sz w:val="20"/>
          <w:lang w:val="en-GB"/>
        </w:rPr>
        <w:t>pursuant to this procedure</w:t>
      </w:r>
      <w:r w:rsidR="004637F3" w:rsidRPr="00F15147">
        <w:rPr>
          <w:sz w:val="20"/>
          <w:lang w:val="en-GB"/>
        </w:rPr>
        <w:t>,</w:t>
      </w:r>
      <w:r w:rsidR="00F018B6" w:rsidRPr="00F15147">
        <w:rPr>
          <w:sz w:val="20"/>
          <w:lang w:val="en-GB"/>
        </w:rPr>
        <w:t xml:space="preserve"> their lawyers</w:t>
      </w:r>
      <w:r w:rsidR="00AE5AD2" w:rsidRPr="00F15147">
        <w:rPr>
          <w:sz w:val="20"/>
          <w:lang w:val="en-GB"/>
        </w:rPr>
        <w:t xml:space="preserve"> were</w:t>
      </w:r>
      <w:r w:rsidR="00F018B6" w:rsidRPr="00F15147">
        <w:rPr>
          <w:sz w:val="20"/>
          <w:lang w:val="en-GB"/>
        </w:rPr>
        <w:t xml:space="preserve"> allowed to speak about whether </w:t>
      </w:r>
      <w:r w:rsidR="00AE5AD2" w:rsidRPr="00F15147">
        <w:rPr>
          <w:sz w:val="20"/>
          <w:lang w:val="en-GB"/>
        </w:rPr>
        <w:t xml:space="preserve">the facts of the charge were liable to punishment and to plead that </w:t>
      </w:r>
      <w:r w:rsidR="006837AA">
        <w:rPr>
          <w:sz w:val="20"/>
          <w:lang w:val="en-GB"/>
        </w:rPr>
        <w:t>Mr. </w:t>
      </w:r>
      <w:r w:rsidR="00C913C3" w:rsidRPr="00F15147">
        <w:rPr>
          <w:sz w:val="20"/>
          <w:lang w:val="en-GB"/>
        </w:rPr>
        <w:t xml:space="preserve">Wilders’ statements </w:t>
      </w:r>
      <w:r w:rsidR="00AE5AD2" w:rsidRPr="00F15147">
        <w:rPr>
          <w:sz w:val="20"/>
          <w:lang w:val="en-GB"/>
        </w:rPr>
        <w:t xml:space="preserve">violated article 137d. The Committee </w:t>
      </w:r>
      <w:r w:rsidR="0062365E">
        <w:rPr>
          <w:sz w:val="20"/>
          <w:lang w:val="en-GB"/>
        </w:rPr>
        <w:t>further</w:t>
      </w:r>
      <w:r w:rsidR="00AE5AD2" w:rsidRPr="00F15147">
        <w:rPr>
          <w:sz w:val="20"/>
          <w:lang w:val="en-GB"/>
        </w:rPr>
        <w:t xml:space="preserve"> notes that the authors were allowed to </w:t>
      </w:r>
      <w:r w:rsidR="00803ABB" w:rsidRPr="00F15147">
        <w:rPr>
          <w:sz w:val="20"/>
          <w:lang w:val="en-GB"/>
        </w:rPr>
        <w:t xml:space="preserve">submit documentation and </w:t>
      </w:r>
      <w:r w:rsidR="00AE5AD2" w:rsidRPr="00F15147">
        <w:rPr>
          <w:sz w:val="20"/>
          <w:lang w:val="en-GB"/>
        </w:rPr>
        <w:t xml:space="preserve">testify before the court. </w:t>
      </w:r>
      <w:r w:rsidR="0043031C" w:rsidRPr="00F15147">
        <w:rPr>
          <w:sz w:val="20"/>
          <w:lang w:val="en-GB"/>
        </w:rPr>
        <w:t>Accordingly</w:t>
      </w:r>
      <w:r w:rsidR="00911811" w:rsidRPr="00F15147">
        <w:rPr>
          <w:sz w:val="20"/>
          <w:lang w:val="en-GB"/>
        </w:rPr>
        <w:t>,</w:t>
      </w:r>
      <w:r w:rsidR="0043031C" w:rsidRPr="00F15147">
        <w:rPr>
          <w:sz w:val="20"/>
          <w:lang w:val="en-GB"/>
        </w:rPr>
        <w:t xml:space="preserve"> the Committee considers that the facts before it do not reveal a violation of the authors’ rights under article 14</w:t>
      </w:r>
      <w:r w:rsidR="00D402F6">
        <w:rPr>
          <w:sz w:val="20"/>
          <w:lang w:val="en-GB"/>
        </w:rPr>
        <w:t xml:space="preserve"> </w:t>
      </w:r>
      <w:r w:rsidR="0043031C" w:rsidRPr="00F15147">
        <w:rPr>
          <w:sz w:val="20"/>
          <w:lang w:val="en-GB"/>
        </w:rPr>
        <w:t>(1) in con</w:t>
      </w:r>
      <w:r w:rsidR="00F67A57" w:rsidRPr="00F15147">
        <w:rPr>
          <w:sz w:val="20"/>
          <w:lang w:val="en-GB"/>
        </w:rPr>
        <w:t>junction</w:t>
      </w:r>
      <w:r w:rsidR="0043031C" w:rsidRPr="00F15147">
        <w:rPr>
          <w:sz w:val="20"/>
          <w:lang w:val="en-GB"/>
        </w:rPr>
        <w:t xml:space="preserve"> with the determination of their rights and obligations in a suit at law. </w:t>
      </w:r>
    </w:p>
    <w:p w14:paraId="64DC4DC3" w14:textId="7F7AC3F2" w:rsidR="00517A00" w:rsidRPr="00F15147" w:rsidRDefault="00D81085" w:rsidP="00CE47D5">
      <w:pPr>
        <w:pStyle w:val="SingleTxtG"/>
        <w:rPr>
          <w:sz w:val="20"/>
          <w:lang w:val="en-GB"/>
        </w:rPr>
      </w:pPr>
      <w:r w:rsidRPr="00F15147">
        <w:rPr>
          <w:sz w:val="20"/>
          <w:lang w:val="en-GB"/>
        </w:rPr>
        <w:t>10</w:t>
      </w:r>
      <w:r w:rsidR="00803ABB" w:rsidRPr="00F15147">
        <w:rPr>
          <w:sz w:val="20"/>
          <w:lang w:val="en-GB"/>
        </w:rPr>
        <w:t>.4</w:t>
      </w:r>
      <w:r w:rsidR="00803ABB" w:rsidRPr="00F15147">
        <w:rPr>
          <w:sz w:val="20"/>
          <w:lang w:val="en-GB"/>
        </w:rPr>
        <w:tab/>
      </w:r>
      <w:r w:rsidR="0043031C" w:rsidRPr="00F15147">
        <w:rPr>
          <w:sz w:val="20"/>
          <w:lang w:val="en-GB"/>
        </w:rPr>
        <w:t xml:space="preserve">Regarding the authors’ claims </w:t>
      </w:r>
      <w:r w:rsidR="00880F4A" w:rsidRPr="00F15147">
        <w:rPr>
          <w:sz w:val="20"/>
          <w:lang w:val="en-GB"/>
        </w:rPr>
        <w:t xml:space="preserve">that </w:t>
      </w:r>
      <w:r w:rsidR="006837AA">
        <w:rPr>
          <w:sz w:val="20"/>
          <w:lang w:val="en-GB"/>
        </w:rPr>
        <w:t>Mr. </w:t>
      </w:r>
      <w:r w:rsidR="00880F4A" w:rsidRPr="00F15147">
        <w:rPr>
          <w:sz w:val="20"/>
          <w:lang w:val="en-GB"/>
        </w:rPr>
        <w:t xml:space="preserve">Wilders’ acquittal breached their rights under </w:t>
      </w:r>
      <w:r w:rsidR="004637F3" w:rsidRPr="00F15147">
        <w:rPr>
          <w:sz w:val="20"/>
          <w:lang w:val="en-GB"/>
        </w:rPr>
        <w:t>articles 2</w:t>
      </w:r>
      <w:r w:rsidR="00D402F6">
        <w:rPr>
          <w:sz w:val="20"/>
          <w:lang w:val="en-GB"/>
        </w:rPr>
        <w:t xml:space="preserve"> </w:t>
      </w:r>
      <w:r w:rsidR="004637F3" w:rsidRPr="00F15147">
        <w:rPr>
          <w:sz w:val="20"/>
          <w:lang w:val="en-GB"/>
        </w:rPr>
        <w:t>(3)</w:t>
      </w:r>
      <w:r w:rsidR="00C64FFF" w:rsidRPr="00F15147">
        <w:rPr>
          <w:sz w:val="20"/>
          <w:lang w:val="en-GB"/>
        </w:rPr>
        <w:t>,</w:t>
      </w:r>
      <w:r w:rsidR="002B797B" w:rsidRPr="00F15147">
        <w:rPr>
          <w:sz w:val="20"/>
          <w:lang w:val="en-GB"/>
        </w:rPr>
        <w:t xml:space="preserve"> </w:t>
      </w:r>
      <w:r w:rsidR="00880F4A" w:rsidRPr="00F15147">
        <w:rPr>
          <w:sz w:val="20"/>
          <w:lang w:val="en-GB"/>
        </w:rPr>
        <w:t>20</w:t>
      </w:r>
      <w:r w:rsidR="00D402F6">
        <w:rPr>
          <w:sz w:val="20"/>
          <w:lang w:val="en-GB"/>
        </w:rPr>
        <w:t xml:space="preserve"> </w:t>
      </w:r>
      <w:r w:rsidR="00880F4A" w:rsidRPr="00F15147">
        <w:rPr>
          <w:sz w:val="20"/>
          <w:lang w:val="en-GB"/>
        </w:rPr>
        <w:t>(2) and 26</w:t>
      </w:r>
      <w:r w:rsidR="00C64FFF" w:rsidRPr="00F15147">
        <w:rPr>
          <w:sz w:val="20"/>
          <w:lang w:val="en-GB"/>
        </w:rPr>
        <w:t>,</w:t>
      </w:r>
      <w:r w:rsidR="00BF4791" w:rsidRPr="00F15147">
        <w:rPr>
          <w:sz w:val="20"/>
          <w:lang w:val="en-GB"/>
        </w:rPr>
        <w:t xml:space="preserve"> the Committee </w:t>
      </w:r>
      <w:r w:rsidR="00627F99" w:rsidRPr="00F15147">
        <w:rPr>
          <w:sz w:val="20"/>
          <w:lang w:val="en-GB"/>
        </w:rPr>
        <w:t>notes</w:t>
      </w:r>
      <w:r w:rsidR="00BF4791" w:rsidRPr="00F15147">
        <w:rPr>
          <w:sz w:val="20"/>
          <w:lang w:val="en-GB"/>
        </w:rPr>
        <w:t xml:space="preserve"> </w:t>
      </w:r>
      <w:r w:rsidR="00DE4F41" w:rsidRPr="00F15147">
        <w:rPr>
          <w:sz w:val="20"/>
          <w:lang w:val="en-GB"/>
        </w:rPr>
        <w:t>that article 20</w:t>
      </w:r>
      <w:r w:rsidR="00D402F6">
        <w:rPr>
          <w:sz w:val="20"/>
          <w:lang w:val="en-GB"/>
        </w:rPr>
        <w:t xml:space="preserve"> </w:t>
      </w:r>
      <w:r w:rsidR="00DE4F41" w:rsidRPr="00F15147">
        <w:rPr>
          <w:sz w:val="20"/>
          <w:lang w:val="en-GB"/>
        </w:rPr>
        <w:t xml:space="preserve">(2) </w:t>
      </w:r>
      <w:r w:rsidR="00517A00" w:rsidRPr="00F15147">
        <w:rPr>
          <w:sz w:val="20"/>
          <w:lang w:val="en-GB"/>
        </w:rPr>
        <w:t xml:space="preserve">secures the right of people </w:t>
      </w:r>
      <w:r w:rsidR="007D70BE" w:rsidRPr="00F15147">
        <w:rPr>
          <w:sz w:val="20"/>
          <w:lang w:val="en-GB"/>
        </w:rPr>
        <w:t xml:space="preserve">as individuals </w:t>
      </w:r>
      <w:r w:rsidR="00517A00" w:rsidRPr="00F15147">
        <w:rPr>
          <w:sz w:val="20"/>
          <w:lang w:val="en-GB"/>
        </w:rPr>
        <w:t>and</w:t>
      </w:r>
      <w:r w:rsidR="007D70BE" w:rsidRPr="00F15147">
        <w:rPr>
          <w:sz w:val="20"/>
          <w:lang w:val="en-GB"/>
        </w:rPr>
        <w:t xml:space="preserve"> as members of </w:t>
      </w:r>
      <w:r w:rsidR="00517A00" w:rsidRPr="00F15147">
        <w:rPr>
          <w:sz w:val="20"/>
          <w:lang w:val="en-GB"/>
        </w:rPr>
        <w:t xml:space="preserve">groups to be free from hatred and discrimination </w:t>
      </w:r>
      <w:r w:rsidR="00E058F8" w:rsidRPr="00F15147">
        <w:rPr>
          <w:sz w:val="20"/>
          <w:lang w:val="en-GB"/>
        </w:rPr>
        <w:t xml:space="preserve">under article 26 </w:t>
      </w:r>
      <w:r w:rsidR="00517A00" w:rsidRPr="00F15147">
        <w:rPr>
          <w:sz w:val="20"/>
          <w:lang w:val="en-GB"/>
        </w:rPr>
        <w:t xml:space="preserve">by </w:t>
      </w:r>
      <w:r w:rsidR="00627F99" w:rsidRPr="00F15147">
        <w:rPr>
          <w:sz w:val="20"/>
          <w:lang w:val="en-GB"/>
        </w:rPr>
        <w:t>requiring</w:t>
      </w:r>
      <w:r w:rsidR="00517A00" w:rsidRPr="00F15147">
        <w:rPr>
          <w:sz w:val="20"/>
          <w:lang w:val="en-GB"/>
        </w:rPr>
        <w:t xml:space="preserve"> States to prohibit</w:t>
      </w:r>
      <w:r w:rsidR="00970378" w:rsidRPr="00F15147">
        <w:rPr>
          <w:sz w:val="20"/>
          <w:lang w:val="en-GB"/>
        </w:rPr>
        <w:t xml:space="preserve"> certain </w:t>
      </w:r>
      <w:r w:rsidR="000170BD" w:rsidRPr="00F15147">
        <w:rPr>
          <w:sz w:val="20"/>
          <w:lang w:val="en-GB"/>
        </w:rPr>
        <w:t>conduct and expression</w:t>
      </w:r>
      <w:r w:rsidR="00627F99" w:rsidRPr="00F15147">
        <w:rPr>
          <w:sz w:val="20"/>
          <w:lang w:val="en-GB"/>
        </w:rPr>
        <w:t xml:space="preserve"> by law</w:t>
      </w:r>
      <w:r w:rsidR="00970378" w:rsidRPr="00F15147">
        <w:rPr>
          <w:sz w:val="20"/>
          <w:lang w:val="en-GB"/>
        </w:rPr>
        <w:t>.</w:t>
      </w:r>
      <w:r w:rsidR="00627F99" w:rsidRPr="003710BE">
        <w:rPr>
          <w:rStyle w:val="FootnoteReference"/>
        </w:rPr>
        <w:footnoteReference w:id="22"/>
      </w:r>
      <w:r w:rsidR="00970378" w:rsidRPr="00F15147">
        <w:rPr>
          <w:sz w:val="20"/>
          <w:lang w:val="en-GB"/>
        </w:rPr>
        <w:t xml:space="preserve"> </w:t>
      </w:r>
      <w:r w:rsidR="00627F99" w:rsidRPr="00F15147">
        <w:rPr>
          <w:sz w:val="20"/>
          <w:lang w:val="en-GB"/>
        </w:rPr>
        <w:t>It is only with regard to the specific forms of expression indicated in article 20 that States parties are obliged to have legal prohibitions.</w:t>
      </w:r>
      <w:r w:rsidR="00627F99" w:rsidRPr="003710BE">
        <w:rPr>
          <w:rStyle w:val="FootnoteReference"/>
        </w:rPr>
        <w:footnoteReference w:id="23"/>
      </w:r>
      <w:r w:rsidR="00490B5E">
        <w:rPr>
          <w:sz w:val="20"/>
          <w:lang w:val="en-GB"/>
        </w:rPr>
        <w:t xml:space="preserve"> </w:t>
      </w:r>
      <w:r w:rsidR="00C64FFF" w:rsidRPr="00F15147">
        <w:rPr>
          <w:sz w:val="20"/>
          <w:lang w:val="en-GB"/>
        </w:rPr>
        <w:t>Article 20</w:t>
      </w:r>
      <w:r w:rsidR="00D402F6">
        <w:rPr>
          <w:sz w:val="20"/>
          <w:lang w:val="en-GB"/>
        </w:rPr>
        <w:t xml:space="preserve"> </w:t>
      </w:r>
      <w:r w:rsidR="00C64FFF" w:rsidRPr="00F15147">
        <w:rPr>
          <w:sz w:val="20"/>
          <w:lang w:val="en-GB"/>
        </w:rPr>
        <w:t>(2) is</w:t>
      </w:r>
      <w:r w:rsidR="004527FE" w:rsidRPr="00F15147">
        <w:rPr>
          <w:sz w:val="20"/>
          <w:lang w:val="en-GB"/>
        </w:rPr>
        <w:t xml:space="preserve"> </w:t>
      </w:r>
      <w:r w:rsidR="00C64FFF" w:rsidRPr="00F15147">
        <w:rPr>
          <w:sz w:val="20"/>
          <w:lang w:val="en-GB"/>
        </w:rPr>
        <w:t>crafted narrowly in order to ensure that other equally fundamental Covenant rights, including freedom of expression</w:t>
      </w:r>
      <w:r w:rsidR="00627F99" w:rsidRPr="00F15147">
        <w:rPr>
          <w:sz w:val="20"/>
          <w:lang w:val="en-GB"/>
        </w:rPr>
        <w:t xml:space="preserve"> </w:t>
      </w:r>
      <w:r w:rsidR="00627F99" w:rsidRPr="00F15147">
        <w:rPr>
          <w:sz w:val="20"/>
          <w:lang w:val="en-GB"/>
        </w:rPr>
        <w:lastRenderedPageBreak/>
        <w:t>under article 19</w:t>
      </w:r>
      <w:r w:rsidR="00C64FFF" w:rsidRPr="00F15147">
        <w:rPr>
          <w:sz w:val="20"/>
          <w:lang w:val="en-GB"/>
        </w:rPr>
        <w:t xml:space="preserve">, are not infringed. The Committee </w:t>
      </w:r>
      <w:r w:rsidR="00627F99" w:rsidRPr="00F15147">
        <w:rPr>
          <w:sz w:val="20"/>
          <w:lang w:val="en-GB"/>
        </w:rPr>
        <w:t xml:space="preserve">recalls in this regard </w:t>
      </w:r>
      <w:r w:rsidR="000170BD" w:rsidRPr="00F15147">
        <w:rPr>
          <w:sz w:val="20"/>
          <w:lang w:val="en-GB"/>
        </w:rPr>
        <w:t>that freedom of expression</w:t>
      </w:r>
      <w:r w:rsidR="00C64FFF" w:rsidRPr="00F15147">
        <w:rPr>
          <w:sz w:val="20"/>
          <w:lang w:val="en-GB"/>
        </w:rPr>
        <w:t xml:space="preserve"> embraces even expression that may be regarded as deeply offensive</w:t>
      </w:r>
      <w:r w:rsidR="00F570DA" w:rsidRPr="00F15147">
        <w:rPr>
          <w:sz w:val="20"/>
          <w:lang w:val="en-GB"/>
        </w:rPr>
        <w:t>.</w:t>
      </w:r>
      <w:r w:rsidR="00C64FFF" w:rsidRPr="003710BE">
        <w:rPr>
          <w:rStyle w:val="FootnoteReference"/>
        </w:rPr>
        <w:footnoteReference w:id="24"/>
      </w:r>
      <w:r w:rsidR="00625B28" w:rsidRPr="00F15147">
        <w:rPr>
          <w:sz w:val="20"/>
          <w:lang w:val="en-GB"/>
        </w:rPr>
        <w:t xml:space="preserve"> Moreover, the free communication of information and ideas about public and political issues between citizens, candidates and elected representatives is essential to the promotion and protection of free expression.</w:t>
      </w:r>
      <w:r w:rsidR="00625B28" w:rsidRPr="003710BE">
        <w:rPr>
          <w:rStyle w:val="FootnoteReference"/>
        </w:rPr>
        <w:footnoteReference w:id="25"/>
      </w:r>
      <w:r w:rsidR="007A0019" w:rsidRPr="00F15147">
        <w:rPr>
          <w:sz w:val="20"/>
          <w:lang w:val="en-GB"/>
        </w:rPr>
        <w:t xml:space="preserve"> </w:t>
      </w:r>
      <w:r w:rsidR="00625B28" w:rsidRPr="00F15147">
        <w:rPr>
          <w:sz w:val="20"/>
          <w:lang w:val="en-GB"/>
        </w:rPr>
        <w:t xml:space="preserve">The Committee </w:t>
      </w:r>
      <w:r w:rsidR="0034110A">
        <w:rPr>
          <w:sz w:val="20"/>
          <w:lang w:val="en-GB"/>
        </w:rPr>
        <w:t>also</w:t>
      </w:r>
      <w:r w:rsidR="00625B28" w:rsidRPr="00F15147">
        <w:rPr>
          <w:sz w:val="20"/>
          <w:lang w:val="en-GB"/>
        </w:rPr>
        <w:t xml:space="preserve"> recalls its jurisprudence that prohibitions of displays </w:t>
      </w:r>
      <w:r w:rsidR="003C2233" w:rsidRPr="00F15147">
        <w:rPr>
          <w:sz w:val="20"/>
          <w:lang w:val="en-GB"/>
        </w:rPr>
        <w:t>o</w:t>
      </w:r>
      <w:r w:rsidR="00625B28" w:rsidRPr="00F15147">
        <w:rPr>
          <w:sz w:val="20"/>
          <w:lang w:val="en-GB"/>
        </w:rPr>
        <w:t>f lack of respect for a religion or other belief system, including blasphemy laws, are incompatible with the Covenant, except in the specific circumstances envisaged in article 20</w:t>
      </w:r>
      <w:r w:rsidR="00D402F6">
        <w:rPr>
          <w:sz w:val="20"/>
          <w:lang w:val="en-GB"/>
        </w:rPr>
        <w:t xml:space="preserve"> </w:t>
      </w:r>
      <w:r w:rsidR="00625B28" w:rsidRPr="00F15147">
        <w:rPr>
          <w:sz w:val="20"/>
          <w:lang w:val="en-GB"/>
        </w:rPr>
        <w:t>(2).</w:t>
      </w:r>
      <w:r w:rsidR="00625B28" w:rsidRPr="003710BE">
        <w:rPr>
          <w:rStyle w:val="FootnoteReference"/>
        </w:rPr>
        <w:footnoteReference w:id="26"/>
      </w:r>
      <w:r w:rsidR="003C2233" w:rsidRPr="00F15147">
        <w:rPr>
          <w:sz w:val="20"/>
          <w:lang w:val="en-GB"/>
        </w:rPr>
        <w:t xml:space="preserve"> </w:t>
      </w:r>
      <w:r w:rsidR="0034110A">
        <w:rPr>
          <w:sz w:val="20"/>
          <w:lang w:val="en-GB"/>
        </w:rPr>
        <w:t>Similarly,</w:t>
      </w:r>
      <w:r w:rsidR="003C2233" w:rsidRPr="00F15147">
        <w:rPr>
          <w:sz w:val="20"/>
          <w:lang w:val="en-GB"/>
        </w:rPr>
        <w:t xml:space="preserve"> such prohibitions </w:t>
      </w:r>
      <w:r w:rsidR="0034110A">
        <w:rPr>
          <w:sz w:val="20"/>
          <w:lang w:val="en-GB"/>
        </w:rPr>
        <w:t xml:space="preserve">may not </w:t>
      </w:r>
      <w:r w:rsidR="003C2233" w:rsidRPr="00F15147">
        <w:rPr>
          <w:sz w:val="20"/>
          <w:lang w:val="en-GB"/>
        </w:rPr>
        <w:t>be used to prevent or punish criticism of religious leaders or commentary on religious doctrine and tenets of faith.</w:t>
      </w:r>
      <w:r w:rsidR="003C2233" w:rsidRPr="003710BE">
        <w:rPr>
          <w:rStyle w:val="FootnoteReference"/>
        </w:rPr>
        <w:footnoteReference w:id="27"/>
      </w:r>
      <w:r w:rsidR="003C2233" w:rsidRPr="00F15147">
        <w:rPr>
          <w:sz w:val="20"/>
          <w:lang w:val="en-GB"/>
        </w:rPr>
        <w:t xml:space="preserve"> The Committee </w:t>
      </w:r>
      <w:r w:rsidR="0034110A">
        <w:rPr>
          <w:sz w:val="20"/>
          <w:lang w:val="en-GB"/>
        </w:rPr>
        <w:t>further</w:t>
      </w:r>
      <w:r w:rsidR="003C2233" w:rsidRPr="00F15147">
        <w:rPr>
          <w:sz w:val="20"/>
          <w:lang w:val="en-GB"/>
        </w:rPr>
        <w:t xml:space="preserve"> recalls t</w:t>
      </w:r>
      <w:r w:rsidR="007A0019" w:rsidRPr="00F15147">
        <w:rPr>
          <w:sz w:val="20"/>
          <w:lang w:val="en-GB"/>
        </w:rPr>
        <w:t>hat articles 19 and 20 are compatible with and complement each other.</w:t>
      </w:r>
      <w:r w:rsidR="003C2233" w:rsidRPr="003710BE">
        <w:rPr>
          <w:rStyle w:val="FootnoteReference"/>
        </w:rPr>
        <w:footnoteReference w:id="28"/>
      </w:r>
      <w:r w:rsidR="007A0019" w:rsidRPr="00F15147">
        <w:rPr>
          <w:sz w:val="20"/>
          <w:lang w:val="en-GB"/>
        </w:rPr>
        <w:t xml:space="preserve"> </w:t>
      </w:r>
      <w:r w:rsidR="003C2233" w:rsidRPr="00F15147">
        <w:rPr>
          <w:sz w:val="20"/>
          <w:lang w:val="en-GB"/>
        </w:rPr>
        <w:t>A prohibition that is justified on the basis of article 20 must also comply with the strict requirements of article 19</w:t>
      </w:r>
      <w:r w:rsidR="00D402F6">
        <w:rPr>
          <w:sz w:val="20"/>
          <w:lang w:val="en-GB"/>
        </w:rPr>
        <w:t xml:space="preserve"> </w:t>
      </w:r>
      <w:r w:rsidR="003C2233" w:rsidRPr="00F15147">
        <w:rPr>
          <w:sz w:val="20"/>
          <w:lang w:val="en-GB"/>
        </w:rPr>
        <w:t>(3).</w:t>
      </w:r>
      <w:r w:rsidR="003C2233" w:rsidRPr="003710BE">
        <w:rPr>
          <w:rStyle w:val="FootnoteReference"/>
        </w:rPr>
        <w:footnoteReference w:id="29"/>
      </w:r>
      <w:r w:rsidR="003C2233" w:rsidRPr="00F15147">
        <w:rPr>
          <w:sz w:val="20"/>
          <w:lang w:val="en-GB"/>
        </w:rPr>
        <w:t xml:space="preserve"> Thus, in every case, measures of prohibition under article 20</w:t>
      </w:r>
      <w:r w:rsidR="00D402F6">
        <w:rPr>
          <w:sz w:val="20"/>
          <w:lang w:val="en-GB"/>
        </w:rPr>
        <w:t xml:space="preserve"> </w:t>
      </w:r>
      <w:r w:rsidR="003C2233" w:rsidRPr="00F15147">
        <w:rPr>
          <w:sz w:val="20"/>
          <w:lang w:val="en-GB"/>
        </w:rPr>
        <w:t>(2) must also be “provided by law”; they may only be imposed for one of the grounds set out in subparagraphs (a) and (b) of article 19</w:t>
      </w:r>
      <w:r w:rsidR="00D402F6">
        <w:rPr>
          <w:sz w:val="20"/>
          <w:lang w:val="en-GB"/>
        </w:rPr>
        <w:t xml:space="preserve"> </w:t>
      </w:r>
      <w:r w:rsidR="003C2233" w:rsidRPr="00F15147">
        <w:rPr>
          <w:sz w:val="20"/>
          <w:lang w:val="en-GB"/>
        </w:rPr>
        <w:t>(3), and they must conform to the strict tests of necessity and proportionality.</w:t>
      </w:r>
      <w:r w:rsidR="003C2233" w:rsidRPr="003710BE">
        <w:rPr>
          <w:rStyle w:val="FootnoteReference"/>
        </w:rPr>
        <w:footnoteReference w:id="30"/>
      </w:r>
      <w:r w:rsidR="003C2233" w:rsidRPr="00F15147">
        <w:rPr>
          <w:sz w:val="20"/>
          <w:lang w:val="en-GB"/>
        </w:rPr>
        <w:t xml:space="preserve"> </w:t>
      </w:r>
      <w:r w:rsidR="009C6273" w:rsidRPr="00F15147">
        <w:rPr>
          <w:sz w:val="20"/>
          <w:lang w:val="en-GB"/>
        </w:rPr>
        <w:t>The Committee notes that article 20</w:t>
      </w:r>
      <w:r w:rsidR="00D402F6">
        <w:rPr>
          <w:sz w:val="20"/>
          <w:lang w:val="en-GB"/>
        </w:rPr>
        <w:t xml:space="preserve"> </w:t>
      </w:r>
      <w:r w:rsidR="009C6273" w:rsidRPr="00F15147">
        <w:rPr>
          <w:sz w:val="20"/>
          <w:lang w:val="en-GB"/>
        </w:rPr>
        <w:t>(2) does not expressly require the imposition of criminal penalties, but instead requires that such advocacy be “prohibited by law”</w:t>
      </w:r>
      <w:r w:rsidR="00CE47D5">
        <w:rPr>
          <w:sz w:val="20"/>
          <w:lang w:val="en-GB"/>
        </w:rPr>
        <w:t>.</w:t>
      </w:r>
      <w:r w:rsidR="009C6273" w:rsidRPr="00F15147">
        <w:rPr>
          <w:sz w:val="20"/>
          <w:lang w:val="en-GB"/>
        </w:rPr>
        <w:t xml:space="preserve"> Such prohibitions may i</w:t>
      </w:r>
      <w:r w:rsidR="00970378" w:rsidRPr="00F15147">
        <w:rPr>
          <w:sz w:val="20"/>
          <w:lang w:val="en-GB"/>
        </w:rPr>
        <w:t>nclude civil and administrative</w:t>
      </w:r>
      <w:r w:rsidR="009C6273" w:rsidRPr="00F15147">
        <w:rPr>
          <w:sz w:val="20"/>
          <w:lang w:val="en-GB"/>
        </w:rPr>
        <w:t xml:space="preserve"> as well as criminal penalties. </w:t>
      </w:r>
    </w:p>
    <w:p w14:paraId="72A027C6" w14:textId="2BABFCE1" w:rsidR="0069041D" w:rsidRPr="00F15147" w:rsidRDefault="00D81085" w:rsidP="00807420">
      <w:pPr>
        <w:pStyle w:val="SingleTxtG"/>
        <w:rPr>
          <w:sz w:val="20"/>
          <w:lang w:val="en-GB"/>
        </w:rPr>
      </w:pPr>
      <w:r w:rsidRPr="00F15147">
        <w:rPr>
          <w:sz w:val="20"/>
          <w:lang w:val="en-GB"/>
        </w:rPr>
        <w:t>10</w:t>
      </w:r>
      <w:r w:rsidR="0024200D" w:rsidRPr="00F15147">
        <w:rPr>
          <w:sz w:val="20"/>
          <w:lang w:val="en-GB"/>
        </w:rPr>
        <w:t>.5</w:t>
      </w:r>
      <w:r w:rsidR="0024200D" w:rsidRPr="00F15147">
        <w:rPr>
          <w:sz w:val="20"/>
          <w:lang w:val="en-GB"/>
        </w:rPr>
        <w:tab/>
      </w:r>
      <w:r w:rsidR="00970378" w:rsidRPr="00F15147">
        <w:rPr>
          <w:sz w:val="20"/>
          <w:lang w:val="en-GB"/>
        </w:rPr>
        <w:t>The Committee observes that the authors have not challenged the manner in which the State party has chosen to legislatively implement article 20</w:t>
      </w:r>
      <w:r w:rsidR="00D402F6">
        <w:rPr>
          <w:sz w:val="20"/>
          <w:lang w:val="en-GB"/>
        </w:rPr>
        <w:t xml:space="preserve"> </w:t>
      </w:r>
      <w:r w:rsidR="00970378" w:rsidRPr="00F15147">
        <w:rPr>
          <w:sz w:val="20"/>
          <w:lang w:val="en-GB"/>
        </w:rPr>
        <w:t xml:space="preserve">(2), but argue that </w:t>
      </w:r>
      <w:r w:rsidR="0034110A">
        <w:rPr>
          <w:sz w:val="20"/>
          <w:lang w:val="en-GB"/>
        </w:rPr>
        <w:t>owing</w:t>
      </w:r>
      <w:r w:rsidR="00970378" w:rsidRPr="00F15147">
        <w:rPr>
          <w:sz w:val="20"/>
          <w:lang w:val="en-GB"/>
        </w:rPr>
        <w:t xml:space="preserve"> to insufficient advocacy by the prosecution, errors in the reasoning of the court, and the lack of any appeal, the criminal prosecution was ineffective in this case. T</w:t>
      </w:r>
      <w:r w:rsidR="00517A00" w:rsidRPr="00F15147">
        <w:rPr>
          <w:sz w:val="20"/>
          <w:lang w:val="en-GB"/>
        </w:rPr>
        <w:t>he Committee notes that the State party has chosen to implement article 20</w:t>
      </w:r>
      <w:r w:rsidR="00D402F6">
        <w:rPr>
          <w:sz w:val="20"/>
          <w:lang w:val="en-GB"/>
        </w:rPr>
        <w:t xml:space="preserve"> </w:t>
      </w:r>
      <w:r w:rsidR="00517A00" w:rsidRPr="00F15147">
        <w:rPr>
          <w:sz w:val="20"/>
          <w:lang w:val="en-GB"/>
        </w:rPr>
        <w:t>(2)</w:t>
      </w:r>
      <w:r w:rsidR="004527FE" w:rsidRPr="00F15147">
        <w:rPr>
          <w:sz w:val="20"/>
          <w:lang w:val="en-GB"/>
        </w:rPr>
        <w:t xml:space="preserve"> </w:t>
      </w:r>
      <w:r w:rsidR="00970378" w:rsidRPr="00F15147">
        <w:rPr>
          <w:sz w:val="20"/>
          <w:lang w:val="en-GB"/>
        </w:rPr>
        <w:t>through section</w:t>
      </w:r>
      <w:r w:rsidR="00517A00" w:rsidRPr="00F15147">
        <w:rPr>
          <w:sz w:val="20"/>
          <w:lang w:val="en-GB"/>
        </w:rPr>
        <w:t xml:space="preserve"> 1</w:t>
      </w:r>
      <w:r w:rsidR="00970378" w:rsidRPr="00F15147">
        <w:rPr>
          <w:sz w:val="20"/>
          <w:lang w:val="en-GB"/>
        </w:rPr>
        <w:t>37</w:t>
      </w:r>
      <w:r w:rsidR="00894BE7" w:rsidRPr="00F15147">
        <w:rPr>
          <w:sz w:val="20"/>
          <w:lang w:val="en-GB"/>
        </w:rPr>
        <w:t>d</w:t>
      </w:r>
      <w:r w:rsidR="007A0019" w:rsidRPr="00F15147">
        <w:rPr>
          <w:sz w:val="20"/>
          <w:lang w:val="en-GB"/>
        </w:rPr>
        <w:t xml:space="preserve"> </w:t>
      </w:r>
      <w:r w:rsidR="00B93A39" w:rsidRPr="008E6C6C">
        <w:rPr>
          <w:sz w:val="20"/>
          <w:lang w:val="en-GB"/>
        </w:rPr>
        <w:t>of the C</w:t>
      </w:r>
      <w:r w:rsidR="00B93A39">
        <w:rPr>
          <w:sz w:val="20"/>
          <w:lang w:val="en-GB"/>
        </w:rPr>
        <w:t>riminal</w:t>
      </w:r>
      <w:r w:rsidR="00B93A39" w:rsidRPr="008E6C6C">
        <w:rPr>
          <w:sz w:val="20"/>
          <w:lang w:val="en-GB"/>
        </w:rPr>
        <w:t xml:space="preserve"> Code</w:t>
      </w:r>
      <w:r w:rsidR="00970378" w:rsidRPr="00F15147">
        <w:rPr>
          <w:sz w:val="20"/>
          <w:lang w:val="en-GB"/>
        </w:rPr>
        <w:t>, which is enforceable through criminal prosecution</w:t>
      </w:r>
      <w:r w:rsidR="004A613C" w:rsidRPr="00F15147">
        <w:rPr>
          <w:sz w:val="20"/>
          <w:lang w:val="en-GB"/>
        </w:rPr>
        <w:t xml:space="preserve">. </w:t>
      </w:r>
      <w:r w:rsidR="007A0019" w:rsidRPr="00F15147">
        <w:rPr>
          <w:sz w:val="20"/>
          <w:lang w:val="en-GB"/>
        </w:rPr>
        <w:t>According to the State party, p</w:t>
      </w:r>
      <w:r w:rsidR="00F67A57" w:rsidRPr="00F15147">
        <w:rPr>
          <w:sz w:val="20"/>
          <w:lang w:val="en-GB"/>
        </w:rPr>
        <w:t>rivate</w:t>
      </w:r>
      <w:r w:rsidR="002B797B" w:rsidRPr="00F15147">
        <w:rPr>
          <w:sz w:val="20"/>
          <w:lang w:val="en-GB"/>
        </w:rPr>
        <w:t xml:space="preserve"> </w:t>
      </w:r>
      <w:r w:rsidR="004A613C" w:rsidRPr="00F15147">
        <w:rPr>
          <w:sz w:val="20"/>
          <w:lang w:val="en-GB"/>
        </w:rPr>
        <w:t xml:space="preserve">remedies are also available </w:t>
      </w:r>
      <w:r w:rsidR="0069041D" w:rsidRPr="00F15147">
        <w:rPr>
          <w:sz w:val="20"/>
          <w:lang w:val="en-GB"/>
        </w:rPr>
        <w:t xml:space="preserve">through a civil action appended to a criminal proceeding pursuant to section 51 </w:t>
      </w:r>
      <w:r w:rsidR="00B93A39" w:rsidRPr="008E6C6C">
        <w:rPr>
          <w:sz w:val="20"/>
          <w:lang w:val="en-GB"/>
        </w:rPr>
        <w:t>of the Code of Criminal Procedure</w:t>
      </w:r>
      <w:r w:rsidR="0069041D" w:rsidRPr="00F15147">
        <w:rPr>
          <w:sz w:val="20"/>
          <w:lang w:val="en-GB"/>
        </w:rPr>
        <w:t>,</w:t>
      </w:r>
      <w:r w:rsidR="00970378" w:rsidRPr="00F15147">
        <w:rPr>
          <w:sz w:val="20"/>
          <w:lang w:val="en-GB"/>
        </w:rPr>
        <w:t xml:space="preserve"> and through section 6:162 of the Civil Code.</w:t>
      </w:r>
      <w:r w:rsidR="00894BE7" w:rsidRPr="00F15147">
        <w:rPr>
          <w:sz w:val="20"/>
          <w:lang w:val="en-GB"/>
        </w:rPr>
        <w:t xml:space="preserve"> According to the State party, </w:t>
      </w:r>
      <w:r w:rsidR="00B50C5F" w:rsidRPr="00F15147">
        <w:rPr>
          <w:sz w:val="20"/>
          <w:lang w:val="en-GB"/>
        </w:rPr>
        <w:t xml:space="preserve">the </w:t>
      </w:r>
      <w:r w:rsidR="0069041D" w:rsidRPr="00F15147">
        <w:rPr>
          <w:sz w:val="20"/>
          <w:lang w:val="en-GB"/>
        </w:rPr>
        <w:t xml:space="preserve">concept of </w:t>
      </w:r>
      <w:r w:rsidR="00B50C5F" w:rsidRPr="00F15147">
        <w:rPr>
          <w:sz w:val="20"/>
          <w:lang w:val="en-GB"/>
        </w:rPr>
        <w:t>“incitement”</w:t>
      </w:r>
      <w:r w:rsidR="00894BE7" w:rsidRPr="00F15147">
        <w:rPr>
          <w:sz w:val="20"/>
          <w:lang w:val="en-GB"/>
        </w:rPr>
        <w:t xml:space="preserve"> in </w:t>
      </w:r>
      <w:r w:rsidR="0034110A">
        <w:rPr>
          <w:sz w:val="20"/>
          <w:lang w:val="en-GB"/>
        </w:rPr>
        <w:t xml:space="preserve">section </w:t>
      </w:r>
      <w:r w:rsidR="00894BE7" w:rsidRPr="00F15147">
        <w:rPr>
          <w:sz w:val="20"/>
          <w:lang w:val="en-GB"/>
        </w:rPr>
        <w:t>137d</w:t>
      </w:r>
      <w:r w:rsidR="00CE35B9" w:rsidRPr="00F15147">
        <w:rPr>
          <w:sz w:val="20"/>
          <w:lang w:val="en-GB"/>
        </w:rPr>
        <w:t xml:space="preserve"> </w:t>
      </w:r>
      <w:r w:rsidR="0034110A" w:rsidRPr="008E6C6C">
        <w:rPr>
          <w:sz w:val="20"/>
          <w:lang w:val="en-GB"/>
        </w:rPr>
        <w:t>of the C</w:t>
      </w:r>
      <w:r w:rsidR="0034110A">
        <w:rPr>
          <w:sz w:val="20"/>
          <w:lang w:val="en-GB"/>
        </w:rPr>
        <w:t>riminal</w:t>
      </w:r>
      <w:r w:rsidR="0034110A" w:rsidRPr="008E6C6C">
        <w:rPr>
          <w:sz w:val="20"/>
          <w:lang w:val="en-GB"/>
        </w:rPr>
        <w:t xml:space="preserve"> Code</w:t>
      </w:r>
      <w:r w:rsidR="0034110A">
        <w:rPr>
          <w:sz w:val="20"/>
          <w:lang w:val="en-GB"/>
        </w:rPr>
        <w:t xml:space="preserve"> </w:t>
      </w:r>
      <w:r w:rsidR="0069041D" w:rsidRPr="00F15147">
        <w:rPr>
          <w:sz w:val="20"/>
          <w:lang w:val="en-GB"/>
        </w:rPr>
        <w:t>is</w:t>
      </w:r>
      <w:r w:rsidR="00B50C5F" w:rsidRPr="00F15147">
        <w:rPr>
          <w:sz w:val="20"/>
          <w:lang w:val="en-GB"/>
        </w:rPr>
        <w:t xml:space="preserve"> intended to reach “inflammatory behaviour that incites the commission of crimin</w:t>
      </w:r>
      <w:r w:rsidR="0069041D" w:rsidRPr="00F15147">
        <w:rPr>
          <w:sz w:val="20"/>
          <w:lang w:val="en-GB"/>
        </w:rPr>
        <w:t>al offen</w:t>
      </w:r>
      <w:r w:rsidR="0034110A">
        <w:rPr>
          <w:sz w:val="20"/>
          <w:lang w:val="en-GB"/>
        </w:rPr>
        <w:t>c</w:t>
      </w:r>
      <w:r w:rsidR="0069041D" w:rsidRPr="00F15147">
        <w:rPr>
          <w:sz w:val="20"/>
          <w:lang w:val="en-GB"/>
        </w:rPr>
        <w:t>es or acts of violence</w:t>
      </w:r>
      <w:r w:rsidR="00B50C5F" w:rsidRPr="00F15147">
        <w:rPr>
          <w:sz w:val="20"/>
          <w:lang w:val="en-GB"/>
        </w:rPr>
        <w:t>”</w:t>
      </w:r>
      <w:r w:rsidR="00807420">
        <w:rPr>
          <w:sz w:val="20"/>
          <w:lang w:val="en-GB"/>
        </w:rPr>
        <w:t>.</w:t>
      </w:r>
      <w:r w:rsidR="004527FE" w:rsidRPr="00F15147">
        <w:rPr>
          <w:sz w:val="20"/>
          <w:lang w:val="en-GB"/>
        </w:rPr>
        <w:t xml:space="preserve"> </w:t>
      </w:r>
      <w:r w:rsidR="00E058F8" w:rsidRPr="00F15147">
        <w:rPr>
          <w:sz w:val="20"/>
          <w:lang w:val="en-GB"/>
        </w:rPr>
        <w:t xml:space="preserve">The Committee notes the State party’s argument that </w:t>
      </w:r>
      <w:r w:rsidR="0034110A">
        <w:rPr>
          <w:sz w:val="20"/>
          <w:lang w:val="en-GB"/>
        </w:rPr>
        <w:t xml:space="preserve">section </w:t>
      </w:r>
      <w:r w:rsidR="00E60DD8" w:rsidRPr="00F15147">
        <w:rPr>
          <w:sz w:val="20"/>
          <w:lang w:val="en-GB"/>
        </w:rPr>
        <w:t>137d</w:t>
      </w:r>
      <w:r w:rsidR="0069041D" w:rsidRPr="00F15147">
        <w:rPr>
          <w:sz w:val="20"/>
          <w:lang w:val="en-GB"/>
        </w:rPr>
        <w:t xml:space="preserve"> criminalizes incitement to hatred or discrimination only against persons, not religions, since criticism of even the most deeply-held convictions of the adherents of a religion is protected by freedom of expression</w:t>
      </w:r>
      <w:r w:rsidR="0000737B" w:rsidRPr="00F15147">
        <w:rPr>
          <w:sz w:val="20"/>
          <w:lang w:val="en-GB"/>
        </w:rPr>
        <w:t xml:space="preserve">. </w:t>
      </w:r>
      <w:r w:rsidR="0069041D" w:rsidRPr="00F15147">
        <w:rPr>
          <w:sz w:val="20"/>
          <w:lang w:val="en-GB"/>
        </w:rPr>
        <w:t xml:space="preserve">The State party notes that, in the difficult area of hate speech, each set of facts is particular and must be assessed by a court or impartial decision maker on a case-by-case basis, according to its own circumstances and taking into account the specific context. </w:t>
      </w:r>
    </w:p>
    <w:p w14:paraId="0522D364" w14:textId="53C05D9D" w:rsidR="0000737B" w:rsidRPr="00F15147" w:rsidRDefault="00CE35B9" w:rsidP="00B93A39">
      <w:pPr>
        <w:pStyle w:val="SingleTxtG"/>
        <w:rPr>
          <w:sz w:val="20"/>
          <w:lang w:val="en-GB"/>
        </w:rPr>
      </w:pPr>
      <w:r w:rsidRPr="00F15147">
        <w:rPr>
          <w:sz w:val="20"/>
          <w:lang w:val="en-GB"/>
        </w:rPr>
        <w:t>10</w:t>
      </w:r>
      <w:r w:rsidR="0024200D" w:rsidRPr="00F15147">
        <w:rPr>
          <w:sz w:val="20"/>
          <w:lang w:val="en-GB"/>
        </w:rPr>
        <w:t>.6</w:t>
      </w:r>
      <w:r w:rsidR="0024200D" w:rsidRPr="00F15147">
        <w:rPr>
          <w:sz w:val="20"/>
          <w:lang w:val="en-GB"/>
        </w:rPr>
        <w:tab/>
      </w:r>
      <w:r w:rsidR="00B50C5F" w:rsidRPr="00F15147">
        <w:rPr>
          <w:sz w:val="20"/>
          <w:lang w:val="en-GB"/>
        </w:rPr>
        <w:t xml:space="preserve">The Committee </w:t>
      </w:r>
      <w:r w:rsidR="0069041D" w:rsidRPr="00F15147">
        <w:rPr>
          <w:sz w:val="20"/>
          <w:lang w:val="en-GB"/>
        </w:rPr>
        <w:t>observes</w:t>
      </w:r>
      <w:r w:rsidR="00B50C5F" w:rsidRPr="00F15147">
        <w:rPr>
          <w:sz w:val="20"/>
          <w:lang w:val="en-GB"/>
        </w:rPr>
        <w:t xml:space="preserve"> that</w:t>
      </w:r>
      <w:r w:rsidR="004527FE" w:rsidRPr="00F15147">
        <w:rPr>
          <w:sz w:val="20"/>
          <w:lang w:val="en-GB"/>
        </w:rPr>
        <w:t xml:space="preserve"> </w:t>
      </w:r>
      <w:r w:rsidR="00E058F8" w:rsidRPr="00F15147">
        <w:rPr>
          <w:sz w:val="20"/>
          <w:lang w:val="en-GB"/>
        </w:rPr>
        <w:t>i</w:t>
      </w:r>
      <w:r w:rsidR="00B50C5F" w:rsidRPr="00F15147">
        <w:rPr>
          <w:sz w:val="20"/>
          <w:lang w:val="en-GB"/>
        </w:rPr>
        <w:t xml:space="preserve">n the present case, the </w:t>
      </w:r>
      <w:r w:rsidR="00E058F8" w:rsidRPr="00F15147">
        <w:rPr>
          <w:sz w:val="20"/>
          <w:lang w:val="en-GB"/>
        </w:rPr>
        <w:t xml:space="preserve">State party’s domestic law afforded </w:t>
      </w:r>
      <w:r w:rsidR="00E60DD8" w:rsidRPr="00F15147">
        <w:rPr>
          <w:sz w:val="20"/>
          <w:lang w:val="en-GB"/>
        </w:rPr>
        <w:t>interested persons</w:t>
      </w:r>
      <w:r w:rsidR="00E058F8" w:rsidRPr="00F15147">
        <w:rPr>
          <w:sz w:val="20"/>
          <w:lang w:val="en-GB"/>
        </w:rPr>
        <w:t xml:space="preserve"> the opportunity to </w:t>
      </w:r>
      <w:r w:rsidR="00B50C5F" w:rsidRPr="00F15147">
        <w:rPr>
          <w:sz w:val="20"/>
          <w:lang w:val="en-GB"/>
        </w:rPr>
        <w:t>secure an</w:t>
      </w:r>
      <w:r w:rsidR="004527FE" w:rsidRPr="00F15147">
        <w:rPr>
          <w:sz w:val="20"/>
          <w:lang w:val="en-GB"/>
        </w:rPr>
        <w:t xml:space="preserve"> </w:t>
      </w:r>
      <w:r w:rsidR="00B50C5F" w:rsidRPr="00F15147">
        <w:rPr>
          <w:sz w:val="20"/>
          <w:lang w:val="en-GB"/>
        </w:rPr>
        <w:t>order</w:t>
      </w:r>
      <w:r w:rsidR="004527FE" w:rsidRPr="00F15147">
        <w:rPr>
          <w:sz w:val="20"/>
          <w:lang w:val="en-GB"/>
        </w:rPr>
        <w:t xml:space="preserve"> </w:t>
      </w:r>
      <w:r w:rsidR="00B50C5F" w:rsidRPr="00F15147">
        <w:rPr>
          <w:sz w:val="20"/>
          <w:lang w:val="en-GB"/>
        </w:rPr>
        <w:t xml:space="preserve">from the Amsterdam Court of Appeal directing the public prosecutor to prosecute </w:t>
      </w:r>
      <w:r w:rsidR="006837AA">
        <w:rPr>
          <w:sz w:val="20"/>
          <w:lang w:val="en-GB"/>
        </w:rPr>
        <w:t>Mr. </w:t>
      </w:r>
      <w:r w:rsidR="00696F9C">
        <w:rPr>
          <w:sz w:val="20"/>
          <w:lang w:val="en-GB"/>
        </w:rPr>
        <w:t>Wilders</w:t>
      </w:r>
      <w:r w:rsidR="0069041D" w:rsidRPr="00F15147">
        <w:rPr>
          <w:sz w:val="20"/>
          <w:lang w:val="en-GB"/>
        </w:rPr>
        <w:t>.</w:t>
      </w:r>
      <w:r w:rsidR="004527FE" w:rsidRPr="00F15147">
        <w:rPr>
          <w:sz w:val="20"/>
          <w:lang w:val="en-GB"/>
        </w:rPr>
        <w:t xml:space="preserve"> </w:t>
      </w:r>
      <w:r w:rsidR="009C6273" w:rsidRPr="00F15147">
        <w:rPr>
          <w:sz w:val="20"/>
          <w:lang w:val="en-GB"/>
        </w:rPr>
        <w:t xml:space="preserve">The public prosecutor charged </w:t>
      </w:r>
      <w:r w:rsidR="006837AA">
        <w:rPr>
          <w:sz w:val="20"/>
          <w:lang w:val="en-GB"/>
        </w:rPr>
        <w:t>Mr. </w:t>
      </w:r>
      <w:r w:rsidR="00696F9C">
        <w:rPr>
          <w:sz w:val="20"/>
          <w:lang w:val="en-GB"/>
        </w:rPr>
        <w:t>Wilders</w:t>
      </w:r>
      <w:r w:rsidR="009C6273" w:rsidRPr="00F15147">
        <w:rPr>
          <w:sz w:val="20"/>
          <w:lang w:val="en-GB"/>
        </w:rPr>
        <w:t xml:space="preserve"> </w:t>
      </w:r>
      <w:r w:rsidR="00B44772" w:rsidRPr="00F15147">
        <w:rPr>
          <w:sz w:val="20"/>
          <w:lang w:val="en-GB"/>
        </w:rPr>
        <w:t>with</w:t>
      </w:r>
      <w:r w:rsidR="009C6273" w:rsidRPr="00F15147">
        <w:rPr>
          <w:sz w:val="20"/>
          <w:lang w:val="en-GB"/>
        </w:rPr>
        <w:t xml:space="preserve"> “insult of a group for reasons of race or religion” under section 137c </w:t>
      </w:r>
      <w:r w:rsidR="001231FF" w:rsidRPr="008E6C6C">
        <w:rPr>
          <w:sz w:val="20"/>
          <w:lang w:val="en-GB"/>
        </w:rPr>
        <w:t>of the C</w:t>
      </w:r>
      <w:r w:rsidR="001231FF">
        <w:rPr>
          <w:sz w:val="20"/>
          <w:lang w:val="en-GB"/>
        </w:rPr>
        <w:t>riminal</w:t>
      </w:r>
      <w:r w:rsidR="001231FF" w:rsidRPr="008E6C6C">
        <w:rPr>
          <w:sz w:val="20"/>
          <w:lang w:val="en-GB"/>
        </w:rPr>
        <w:t xml:space="preserve"> Code</w:t>
      </w:r>
      <w:r w:rsidR="001231FF">
        <w:rPr>
          <w:sz w:val="20"/>
          <w:lang w:val="en-GB"/>
        </w:rPr>
        <w:t xml:space="preserve">, </w:t>
      </w:r>
      <w:r w:rsidR="009C6273" w:rsidRPr="00F15147">
        <w:rPr>
          <w:sz w:val="20"/>
          <w:lang w:val="en-GB"/>
        </w:rPr>
        <w:t>and “incitement to hatred and discrimination on grounds of religion or race” under section 137d</w:t>
      </w:r>
      <w:r w:rsidR="0000737B" w:rsidRPr="00F15147">
        <w:rPr>
          <w:sz w:val="20"/>
          <w:lang w:val="en-GB"/>
        </w:rPr>
        <w:t>, for all of the statements set forth in the authors’ submission</w:t>
      </w:r>
      <w:r w:rsidR="009C6273" w:rsidRPr="00F15147">
        <w:rPr>
          <w:sz w:val="20"/>
          <w:lang w:val="en-GB"/>
        </w:rPr>
        <w:t>. Pursuant to section 51</w:t>
      </w:r>
      <w:r w:rsidR="00807420">
        <w:rPr>
          <w:sz w:val="20"/>
          <w:lang w:val="en-GB"/>
        </w:rPr>
        <w:t xml:space="preserve"> </w:t>
      </w:r>
      <w:r w:rsidR="009C6273" w:rsidRPr="00F15147">
        <w:rPr>
          <w:sz w:val="20"/>
          <w:lang w:val="en-GB"/>
        </w:rPr>
        <w:t xml:space="preserve">(a) </w:t>
      </w:r>
      <w:r w:rsidR="00B93A39" w:rsidRPr="008E6C6C">
        <w:rPr>
          <w:sz w:val="20"/>
          <w:lang w:val="en-GB"/>
        </w:rPr>
        <w:t>of the Code of Criminal Procedure</w:t>
      </w:r>
      <w:r w:rsidR="009C6273" w:rsidRPr="00F15147">
        <w:rPr>
          <w:sz w:val="20"/>
          <w:lang w:val="en-GB"/>
        </w:rPr>
        <w:t xml:space="preserve">, the authors joined a civil claim to the criminal proceeding, and were allowed to introduce arguments that </w:t>
      </w:r>
      <w:r w:rsidR="006837AA">
        <w:rPr>
          <w:sz w:val="20"/>
          <w:lang w:val="en-GB"/>
        </w:rPr>
        <w:t>Mr. </w:t>
      </w:r>
      <w:r w:rsidR="009C6273" w:rsidRPr="00F15147">
        <w:rPr>
          <w:sz w:val="20"/>
          <w:lang w:val="en-GB"/>
        </w:rPr>
        <w:t>Wilder</w:t>
      </w:r>
      <w:r w:rsidR="001231FF">
        <w:rPr>
          <w:sz w:val="20"/>
          <w:lang w:val="en-GB"/>
        </w:rPr>
        <w:t>s</w:t>
      </w:r>
      <w:r w:rsidR="009C6273" w:rsidRPr="00F15147">
        <w:rPr>
          <w:sz w:val="20"/>
          <w:lang w:val="en-GB"/>
        </w:rPr>
        <w:t xml:space="preserve">’ conduct violated </w:t>
      </w:r>
      <w:r w:rsidR="001231FF">
        <w:rPr>
          <w:sz w:val="20"/>
          <w:lang w:val="en-GB"/>
        </w:rPr>
        <w:t xml:space="preserve">section </w:t>
      </w:r>
      <w:r w:rsidR="009C6273" w:rsidRPr="00F15147">
        <w:rPr>
          <w:sz w:val="20"/>
          <w:lang w:val="en-GB"/>
        </w:rPr>
        <w:t xml:space="preserve">137d. </w:t>
      </w:r>
      <w:r w:rsidR="00722C64" w:rsidRPr="00F15147">
        <w:rPr>
          <w:sz w:val="20"/>
          <w:lang w:val="en-GB"/>
        </w:rPr>
        <w:t>The Committee notes</w:t>
      </w:r>
      <w:r w:rsidR="00F570DA" w:rsidRPr="00F15147">
        <w:rPr>
          <w:sz w:val="20"/>
          <w:lang w:val="en-GB"/>
        </w:rPr>
        <w:t xml:space="preserve"> </w:t>
      </w:r>
      <w:r w:rsidR="00722C64" w:rsidRPr="00F15147">
        <w:rPr>
          <w:sz w:val="20"/>
          <w:lang w:val="en-GB"/>
        </w:rPr>
        <w:t>t</w:t>
      </w:r>
      <w:r w:rsidR="009C6273" w:rsidRPr="00F15147">
        <w:rPr>
          <w:sz w:val="20"/>
          <w:lang w:val="en-GB"/>
        </w:rPr>
        <w:t xml:space="preserve">he State party’s argument that the public prosecutor </w:t>
      </w:r>
      <w:r w:rsidR="0000737B" w:rsidRPr="00F15147">
        <w:rPr>
          <w:sz w:val="20"/>
          <w:lang w:val="en-GB"/>
        </w:rPr>
        <w:t xml:space="preserve">impartially represented the prosecutor’s </w:t>
      </w:r>
      <w:r w:rsidR="0000737B" w:rsidRPr="00EC1FEE">
        <w:rPr>
          <w:sz w:val="20"/>
          <w:szCs w:val="20"/>
          <w:lang w:val="en-GB"/>
        </w:rPr>
        <w:t>office</w:t>
      </w:r>
      <w:r w:rsidR="00005F43" w:rsidRPr="00EC1FEE">
        <w:rPr>
          <w:sz w:val="20"/>
          <w:szCs w:val="20"/>
          <w:lang w:val="en-GB"/>
        </w:rPr>
        <w:t xml:space="preserve"> </w:t>
      </w:r>
      <w:r w:rsidR="00B44772" w:rsidRPr="00EC1FEE">
        <w:rPr>
          <w:sz w:val="20"/>
          <w:szCs w:val="20"/>
          <w:lang w:val="en-GB"/>
        </w:rPr>
        <w:t>and</w:t>
      </w:r>
      <w:r w:rsidR="0000737B" w:rsidRPr="00F15147">
        <w:rPr>
          <w:sz w:val="20"/>
          <w:lang w:val="en-GB"/>
        </w:rPr>
        <w:t xml:space="preserve"> </w:t>
      </w:r>
      <w:r w:rsidR="009C6273" w:rsidRPr="00F15147">
        <w:rPr>
          <w:sz w:val="20"/>
          <w:lang w:val="en-GB"/>
        </w:rPr>
        <w:t xml:space="preserve">fully </w:t>
      </w:r>
      <w:r w:rsidR="00722C64" w:rsidRPr="00F15147">
        <w:rPr>
          <w:sz w:val="20"/>
          <w:lang w:val="en-GB"/>
        </w:rPr>
        <w:lastRenderedPageBreak/>
        <w:t>presented</w:t>
      </w:r>
      <w:r w:rsidR="009C6273" w:rsidRPr="00F15147">
        <w:rPr>
          <w:sz w:val="20"/>
          <w:lang w:val="en-GB"/>
        </w:rPr>
        <w:t xml:space="preserve"> the factual and legal issues in the case, and that the court was independently responsible for evaluating the law </w:t>
      </w:r>
      <w:r w:rsidR="00722C64" w:rsidRPr="00F15147">
        <w:rPr>
          <w:sz w:val="20"/>
          <w:lang w:val="en-GB"/>
        </w:rPr>
        <w:t>and evidence</w:t>
      </w:r>
      <w:r w:rsidR="0000737B" w:rsidRPr="00F15147">
        <w:rPr>
          <w:sz w:val="20"/>
          <w:lang w:val="en-GB"/>
        </w:rPr>
        <w:t xml:space="preserve"> and</w:t>
      </w:r>
      <w:r w:rsidR="00F570DA" w:rsidRPr="00F15147">
        <w:rPr>
          <w:sz w:val="20"/>
          <w:lang w:val="en-GB"/>
        </w:rPr>
        <w:t xml:space="preserve"> </w:t>
      </w:r>
      <w:r w:rsidR="0000737B" w:rsidRPr="00F15147">
        <w:rPr>
          <w:sz w:val="20"/>
          <w:lang w:val="en-GB"/>
        </w:rPr>
        <w:t>entered</w:t>
      </w:r>
      <w:r w:rsidR="009C6273" w:rsidRPr="00F15147">
        <w:rPr>
          <w:sz w:val="20"/>
          <w:lang w:val="en-GB"/>
        </w:rPr>
        <w:t xml:space="preserve"> judgment </w:t>
      </w:r>
      <w:r w:rsidR="0000737B" w:rsidRPr="00F15147">
        <w:rPr>
          <w:sz w:val="20"/>
          <w:lang w:val="en-GB"/>
        </w:rPr>
        <w:t xml:space="preserve">after a careful assessment </w:t>
      </w:r>
      <w:r w:rsidR="007D44EA" w:rsidRPr="00F15147">
        <w:rPr>
          <w:sz w:val="20"/>
          <w:lang w:val="en-GB"/>
        </w:rPr>
        <w:t xml:space="preserve">in </w:t>
      </w:r>
      <w:r w:rsidR="001231FF">
        <w:rPr>
          <w:sz w:val="20"/>
          <w:lang w:val="en-GB"/>
        </w:rPr>
        <w:t xml:space="preserve">the </w:t>
      </w:r>
      <w:r w:rsidR="007D44EA" w:rsidRPr="00F15147">
        <w:rPr>
          <w:sz w:val="20"/>
          <w:lang w:val="en-GB"/>
        </w:rPr>
        <w:t xml:space="preserve">light of </w:t>
      </w:r>
      <w:r w:rsidR="0000737B" w:rsidRPr="00F15147">
        <w:rPr>
          <w:sz w:val="20"/>
          <w:lang w:val="en-GB"/>
        </w:rPr>
        <w:t xml:space="preserve">the applicable law </w:t>
      </w:r>
      <w:r w:rsidR="007D44EA" w:rsidRPr="00F15147">
        <w:rPr>
          <w:sz w:val="20"/>
          <w:lang w:val="en-GB"/>
        </w:rPr>
        <w:t>of</w:t>
      </w:r>
      <w:r w:rsidR="0000737B" w:rsidRPr="00F15147">
        <w:rPr>
          <w:sz w:val="20"/>
          <w:lang w:val="en-GB"/>
        </w:rPr>
        <w:t xml:space="preserve"> each of </w:t>
      </w:r>
      <w:r w:rsidR="006837AA">
        <w:rPr>
          <w:sz w:val="20"/>
          <w:lang w:val="en-GB"/>
        </w:rPr>
        <w:t>Mr. </w:t>
      </w:r>
      <w:r w:rsidR="00696F9C">
        <w:rPr>
          <w:sz w:val="20"/>
          <w:lang w:val="en-GB"/>
        </w:rPr>
        <w:t>Wilders</w:t>
      </w:r>
      <w:r w:rsidR="001231FF">
        <w:rPr>
          <w:sz w:val="20"/>
          <w:lang w:val="en-GB"/>
        </w:rPr>
        <w:t>’</w:t>
      </w:r>
      <w:r w:rsidR="0000737B" w:rsidRPr="00F15147">
        <w:rPr>
          <w:sz w:val="20"/>
          <w:lang w:val="en-GB"/>
        </w:rPr>
        <w:t xml:space="preserve"> statements in context</w:t>
      </w:r>
      <w:r w:rsidR="009C6273" w:rsidRPr="00F15147">
        <w:rPr>
          <w:sz w:val="20"/>
          <w:lang w:val="en-GB"/>
        </w:rPr>
        <w:t xml:space="preserve">. </w:t>
      </w:r>
    </w:p>
    <w:p w14:paraId="39A3C1E8" w14:textId="4F7E8A62" w:rsidR="00255FF3" w:rsidRPr="00F15147" w:rsidRDefault="00CE35B9" w:rsidP="007A4F9A">
      <w:pPr>
        <w:pStyle w:val="SingleTxtG"/>
        <w:keepLines/>
        <w:rPr>
          <w:sz w:val="20"/>
          <w:lang w:val="en-GB"/>
        </w:rPr>
      </w:pPr>
      <w:r w:rsidRPr="00F15147">
        <w:rPr>
          <w:sz w:val="20"/>
          <w:lang w:val="en-GB"/>
        </w:rPr>
        <w:t>10</w:t>
      </w:r>
      <w:r w:rsidR="0024200D" w:rsidRPr="00F15147">
        <w:rPr>
          <w:sz w:val="20"/>
          <w:lang w:val="en-GB"/>
        </w:rPr>
        <w:t>.7</w:t>
      </w:r>
      <w:r w:rsidR="0024200D" w:rsidRPr="00F15147">
        <w:rPr>
          <w:sz w:val="20"/>
          <w:lang w:val="en-GB"/>
        </w:rPr>
        <w:tab/>
      </w:r>
      <w:r w:rsidR="007A0019" w:rsidRPr="00F15147">
        <w:rPr>
          <w:sz w:val="20"/>
          <w:lang w:val="en-GB"/>
        </w:rPr>
        <w:t>The State party has chosen to establish a legislative framework through which statements contemplated by article 20</w:t>
      </w:r>
      <w:r w:rsidR="00D402F6">
        <w:rPr>
          <w:sz w:val="20"/>
          <w:lang w:val="en-GB"/>
        </w:rPr>
        <w:t xml:space="preserve"> </w:t>
      </w:r>
      <w:r w:rsidR="007A0019" w:rsidRPr="00F15147">
        <w:rPr>
          <w:sz w:val="20"/>
          <w:lang w:val="en-GB"/>
        </w:rPr>
        <w:t xml:space="preserve">(2) </w:t>
      </w:r>
      <w:r w:rsidR="001231FF">
        <w:rPr>
          <w:sz w:val="20"/>
          <w:lang w:val="en-GB"/>
        </w:rPr>
        <w:t xml:space="preserve">of the Covenant </w:t>
      </w:r>
      <w:r w:rsidR="007A0019" w:rsidRPr="00F15147">
        <w:rPr>
          <w:sz w:val="20"/>
          <w:lang w:val="en-GB"/>
        </w:rPr>
        <w:t xml:space="preserve">are prohibited under criminal law, and which allows victims to trigger, and participate in, a prosecution. </w:t>
      </w:r>
      <w:r w:rsidR="00107658" w:rsidRPr="00F15147">
        <w:rPr>
          <w:sz w:val="20"/>
          <w:lang w:val="en-GB"/>
        </w:rPr>
        <w:t>Such a prosecution was pursued in th</w:t>
      </w:r>
      <w:r w:rsidR="001231FF">
        <w:rPr>
          <w:sz w:val="20"/>
          <w:lang w:val="en-GB"/>
        </w:rPr>
        <w:t xml:space="preserve">e present </w:t>
      </w:r>
      <w:r w:rsidR="00107658" w:rsidRPr="00F15147">
        <w:rPr>
          <w:sz w:val="20"/>
          <w:lang w:val="en-GB"/>
        </w:rPr>
        <w:t xml:space="preserve">case, and the trial court issued a detailed judgment evaluating </w:t>
      </w:r>
      <w:r w:rsidR="006837AA">
        <w:rPr>
          <w:sz w:val="20"/>
          <w:lang w:val="en-GB"/>
        </w:rPr>
        <w:t>Mr. </w:t>
      </w:r>
      <w:r w:rsidR="00107658" w:rsidRPr="00F15147">
        <w:rPr>
          <w:sz w:val="20"/>
          <w:lang w:val="en-GB"/>
        </w:rPr>
        <w:t>Wilder</w:t>
      </w:r>
      <w:r w:rsidR="001231FF">
        <w:rPr>
          <w:sz w:val="20"/>
          <w:lang w:val="en-GB"/>
        </w:rPr>
        <w:t>s’</w:t>
      </w:r>
      <w:r w:rsidR="00107658" w:rsidRPr="00F15147">
        <w:rPr>
          <w:sz w:val="20"/>
          <w:lang w:val="en-GB"/>
        </w:rPr>
        <w:t xml:space="preserve"> statements in </w:t>
      </w:r>
      <w:r w:rsidR="001231FF">
        <w:rPr>
          <w:sz w:val="20"/>
          <w:lang w:val="en-GB"/>
        </w:rPr>
        <w:t xml:space="preserve">the </w:t>
      </w:r>
      <w:r w:rsidR="00107658" w:rsidRPr="00F15147">
        <w:rPr>
          <w:sz w:val="20"/>
          <w:lang w:val="en-GB"/>
        </w:rPr>
        <w:t xml:space="preserve">light of the applicable law. </w:t>
      </w:r>
      <w:r w:rsidR="00255FF3" w:rsidRPr="00F15147">
        <w:rPr>
          <w:sz w:val="20"/>
          <w:lang w:val="en-GB"/>
        </w:rPr>
        <w:t xml:space="preserve">The Committee </w:t>
      </w:r>
      <w:r w:rsidR="00107658" w:rsidRPr="00F15147">
        <w:rPr>
          <w:sz w:val="20"/>
          <w:lang w:val="en-GB"/>
        </w:rPr>
        <w:t xml:space="preserve">therefore </w:t>
      </w:r>
      <w:r w:rsidR="00255FF3" w:rsidRPr="00F15147">
        <w:rPr>
          <w:sz w:val="20"/>
          <w:lang w:val="en-GB"/>
        </w:rPr>
        <w:t>considers, in</w:t>
      </w:r>
      <w:r w:rsidR="001231FF">
        <w:rPr>
          <w:sz w:val="20"/>
          <w:lang w:val="en-GB"/>
        </w:rPr>
        <w:t xml:space="preserve"> the</w:t>
      </w:r>
      <w:r w:rsidR="00255FF3" w:rsidRPr="00F15147">
        <w:rPr>
          <w:sz w:val="20"/>
          <w:lang w:val="en-GB"/>
        </w:rPr>
        <w:t xml:space="preserve"> </w:t>
      </w:r>
      <w:r w:rsidR="00B44772" w:rsidRPr="00F15147">
        <w:rPr>
          <w:sz w:val="20"/>
          <w:lang w:val="en-GB"/>
        </w:rPr>
        <w:t xml:space="preserve">light of the arguments and </w:t>
      </w:r>
      <w:r w:rsidR="00255FF3" w:rsidRPr="00F15147">
        <w:rPr>
          <w:sz w:val="20"/>
          <w:lang w:val="en-GB"/>
        </w:rPr>
        <w:t xml:space="preserve">the circumstances of the case, that the </w:t>
      </w:r>
      <w:r w:rsidR="00107658" w:rsidRPr="00F15147">
        <w:rPr>
          <w:sz w:val="20"/>
          <w:lang w:val="en-GB"/>
        </w:rPr>
        <w:t>S</w:t>
      </w:r>
      <w:r w:rsidR="00255FF3" w:rsidRPr="00F15147">
        <w:rPr>
          <w:sz w:val="20"/>
          <w:lang w:val="en-GB"/>
        </w:rPr>
        <w:t>tate party has taken the necessary and proportionate measures to “prohibit” statements made in violation of article 20</w:t>
      </w:r>
      <w:r w:rsidR="00D402F6">
        <w:rPr>
          <w:sz w:val="20"/>
          <w:lang w:val="en-GB"/>
        </w:rPr>
        <w:t xml:space="preserve"> </w:t>
      </w:r>
      <w:r w:rsidR="00255FF3" w:rsidRPr="00F15147">
        <w:rPr>
          <w:sz w:val="20"/>
          <w:lang w:val="en-GB"/>
        </w:rPr>
        <w:t>(2) and to guarantee the right of the authors to an effective remedy in order to protect them against the consequences of such statements. The obligation under article 20</w:t>
      </w:r>
      <w:r w:rsidR="00D402F6">
        <w:rPr>
          <w:sz w:val="20"/>
          <w:lang w:val="en-GB"/>
        </w:rPr>
        <w:t xml:space="preserve"> </w:t>
      </w:r>
      <w:r w:rsidR="00255FF3" w:rsidRPr="00F15147">
        <w:rPr>
          <w:sz w:val="20"/>
          <w:lang w:val="en-GB"/>
        </w:rPr>
        <w:t xml:space="preserve">(2), however, </w:t>
      </w:r>
      <w:r w:rsidR="00107658" w:rsidRPr="00F15147">
        <w:rPr>
          <w:sz w:val="20"/>
          <w:lang w:val="en-GB"/>
        </w:rPr>
        <w:t xml:space="preserve">does not </w:t>
      </w:r>
      <w:r w:rsidR="00255FF3" w:rsidRPr="00F15147">
        <w:rPr>
          <w:sz w:val="20"/>
          <w:lang w:val="en-GB"/>
        </w:rPr>
        <w:t xml:space="preserve">extend to </w:t>
      </w:r>
      <w:r w:rsidR="00975999" w:rsidRPr="00F15147">
        <w:rPr>
          <w:sz w:val="20"/>
          <w:lang w:val="en-GB"/>
        </w:rPr>
        <w:t>an</w:t>
      </w:r>
      <w:r w:rsidR="00255FF3" w:rsidRPr="00F15147">
        <w:rPr>
          <w:sz w:val="20"/>
          <w:lang w:val="en-GB"/>
        </w:rPr>
        <w:t xml:space="preserve"> obligation for the State party to ensure that a person who is charged with incit</w:t>
      </w:r>
      <w:r w:rsidR="001231FF">
        <w:rPr>
          <w:sz w:val="20"/>
          <w:lang w:val="en-GB"/>
        </w:rPr>
        <w:t>ment</w:t>
      </w:r>
      <w:r w:rsidR="00255FF3" w:rsidRPr="00F15147">
        <w:rPr>
          <w:sz w:val="20"/>
          <w:lang w:val="en-GB"/>
        </w:rPr>
        <w:t xml:space="preserve"> to discrimination, hostility or violence will invariably be convicted by an independent </w:t>
      </w:r>
      <w:r w:rsidR="00975999" w:rsidRPr="00F15147">
        <w:rPr>
          <w:sz w:val="20"/>
          <w:lang w:val="en-GB"/>
        </w:rPr>
        <w:t xml:space="preserve">and impartial </w:t>
      </w:r>
      <w:r w:rsidR="00255FF3" w:rsidRPr="00F15147">
        <w:rPr>
          <w:sz w:val="20"/>
          <w:lang w:val="en-GB"/>
        </w:rPr>
        <w:t>court of law.</w:t>
      </w:r>
      <w:r w:rsidR="000A5B23" w:rsidRPr="003710BE">
        <w:rPr>
          <w:rStyle w:val="FootnoteReference"/>
        </w:rPr>
        <w:footnoteReference w:id="31"/>
      </w:r>
      <w:r w:rsidR="00255FF3" w:rsidRPr="00F15147">
        <w:rPr>
          <w:sz w:val="20"/>
          <w:lang w:val="en-GB"/>
        </w:rPr>
        <w:t xml:space="preserve"> The Committee therefore cannot conclude that the State party violated article 2</w:t>
      </w:r>
      <w:r w:rsidR="00D402F6">
        <w:rPr>
          <w:sz w:val="20"/>
          <w:lang w:val="en-GB"/>
        </w:rPr>
        <w:t xml:space="preserve"> </w:t>
      </w:r>
      <w:r w:rsidR="00255FF3" w:rsidRPr="00F15147">
        <w:rPr>
          <w:sz w:val="20"/>
          <w:lang w:val="en-GB"/>
        </w:rPr>
        <w:t xml:space="preserve">(3), </w:t>
      </w:r>
      <w:r w:rsidR="001231FF">
        <w:rPr>
          <w:sz w:val="20"/>
          <w:lang w:val="en-GB"/>
        </w:rPr>
        <w:t xml:space="preserve">read </w:t>
      </w:r>
      <w:r w:rsidR="00255FF3" w:rsidRPr="00F15147">
        <w:rPr>
          <w:sz w:val="20"/>
          <w:lang w:val="en-GB"/>
        </w:rPr>
        <w:t>in conjunction with articles 26 and 20</w:t>
      </w:r>
      <w:r w:rsidR="00D402F6">
        <w:rPr>
          <w:sz w:val="20"/>
          <w:lang w:val="en-GB"/>
        </w:rPr>
        <w:t xml:space="preserve"> </w:t>
      </w:r>
      <w:r w:rsidR="00255FF3" w:rsidRPr="00F15147">
        <w:rPr>
          <w:sz w:val="20"/>
          <w:lang w:val="en-GB"/>
        </w:rPr>
        <w:t>(2)</w:t>
      </w:r>
      <w:r w:rsidR="00107658" w:rsidRPr="00F15147">
        <w:rPr>
          <w:sz w:val="20"/>
          <w:lang w:val="en-GB"/>
        </w:rPr>
        <w:t xml:space="preserve"> of the Covenant</w:t>
      </w:r>
      <w:r w:rsidR="00255FF3" w:rsidRPr="00F15147">
        <w:rPr>
          <w:sz w:val="20"/>
          <w:lang w:val="en-GB"/>
        </w:rPr>
        <w:t>.</w:t>
      </w:r>
    </w:p>
    <w:p w14:paraId="5A52BF04" w14:textId="448FAD64" w:rsidR="00E518DA" w:rsidRDefault="00F34D3E" w:rsidP="00807420">
      <w:pPr>
        <w:suppressAutoHyphens w:val="0"/>
        <w:spacing w:after="120" w:line="240" w:lineRule="auto"/>
        <w:ind w:left="1134" w:right="1134"/>
        <w:jc w:val="both"/>
        <w:rPr>
          <w:sz w:val="20"/>
        </w:rPr>
      </w:pPr>
      <w:r w:rsidRPr="00F15147">
        <w:rPr>
          <w:sz w:val="20"/>
        </w:rPr>
        <w:t>1</w:t>
      </w:r>
      <w:r w:rsidR="00CE35B9" w:rsidRPr="00F15147">
        <w:rPr>
          <w:sz w:val="20"/>
        </w:rPr>
        <w:t>1</w:t>
      </w:r>
      <w:r w:rsidRPr="00F15147">
        <w:rPr>
          <w:sz w:val="20"/>
        </w:rPr>
        <w:t>.</w:t>
      </w:r>
      <w:r w:rsidRPr="00F15147">
        <w:rPr>
          <w:sz w:val="20"/>
        </w:rPr>
        <w:tab/>
      </w:r>
      <w:r w:rsidR="00910454" w:rsidRPr="00F15147">
        <w:rPr>
          <w:sz w:val="20"/>
        </w:rPr>
        <w:t>The Committee, acting under article 5</w:t>
      </w:r>
      <w:r w:rsidR="00EC1FEE" w:rsidRPr="00EC1FEE">
        <w:rPr>
          <w:sz w:val="20"/>
        </w:rPr>
        <w:t xml:space="preserve"> </w:t>
      </w:r>
      <w:r w:rsidR="002B797B" w:rsidRPr="00F15147">
        <w:rPr>
          <w:sz w:val="20"/>
        </w:rPr>
        <w:t>(</w:t>
      </w:r>
      <w:r w:rsidR="00910454" w:rsidRPr="00F15147">
        <w:rPr>
          <w:sz w:val="20"/>
        </w:rPr>
        <w:t>4</w:t>
      </w:r>
      <w:r w:rsidR="002B797B" w:rsidRPr="00F15147">
        <w:rPr>
          <w:sz w:val="20"/>
        </w:rPr>
        <w:t>)</w:t>
      </w:r>
      <w:r w:rsidR="00910454" w:rsidRPr="00F15147">
        <w:rPr>
          <w:sz w:val="20"/>
        </w:rPr>
        <w:t>, of the Optional Protocol, is of the view that the facts before it do not reveal a breach of any provision of the Covenant.</w:t>
      </w:r>
    </w:p>
    <w:p w14:paraId="0482B2A9" w14:textId="77777777" w:rsidR="00E518DA" w:rsidRDefault="00E518DA">
      <w:pPr>
        <w:suppressAutoHyphens w:val="0"/>
        <w:spacing w:line="240" w:lineRule="auto"/>
        <w:rPr>
          <w:sz w:val="20"/>
        </w:rPr>
      </w:pPr>
      <w:r>
        <w:rPr>
          <w:sz w:val="20"/>
        </w:rPr>
        <w:br w:type="page"/>
      </w:r>
    </w:p>
    <w:p w14:paraId="375649E0" w14:textId="7CC2FC49" w:rsidR="009A361A" w:rsidRPr="009A361A" w:rsidRDefault="009A361A" w:rsidP="009A361A">
      <w:pPr>
        <w:pStyle w:val="SingleTxtG"/>
        <w:spacing w:after="0" w:line="240" w:lineRule="auto"/>
        <w:rPr>
          <w:sz w:val="2"/>
          <w:szCs w:val="2"/>
        </w:rPr>
      </w:pPr>
    </w:p>
    <w:p w14:paraId="70950C4B" w14:textId="045CF22B" w:rsidR="00005F43" w:rsidRPr="009A361A" w:rsidRDefault="004E0DD3" w:rsidP="009A361A">
      <w:pPr>
        <w:pStyle w:val="HChG"/>
      </w:pPr>
      <w:r w:rsidRPr="00EC1FEE">
        <w:t>Annex I</w:t>
      </w:r>
    </w:p>
    <w:p w14:paraId="21058B4A" w14:textId="0DAA56C2" w:rsidR="00005F43" w:rsidRPr="002E63AC" w:rsidRDefault="00005F43" w:rsidP="002E63AC">
      <w:pPr>
        <w:pStyle w:val="HChG"/>
      </w:pPr>
      <w:r w:rsidRPr="00EC1FEE">
        <w:tab/>
      </w:r>
      <w:r w:rsidRPr="00EC1FEE">
        <w:tab/>
      </w:r>
      <w:r w:rsidRPr="00F15147">
        <w:t xml:space="preserve">Individual opinion of Committee member </w:t>
      </w:r>
      <w:r w:rsidRPr="00F15147">
        <w:rPr>
          <w:color w:val="000000" w:themeColor="text1"/>
        </w:rPr>
        <w:t>Dheerujlall Seetulsingh</w:t>
      </w:r>
    </w:p>
    <w:p w14:paraId="6CBD5AE4" w14:textId="49780FE5" w:rsidR="00005F43" w:rsidRPr="00EC1FEE" w:rsidRDefault="008B6CE5" w:rsidP="008B6CE5">
      <w:pPr>
        <w:pStyle w:val="SingleTxtG"/>
        <w:rPr>
          <w:color w:val="000000" w:themeColor="text1"/>
          <w:sz w:val="20"/>
          <w:szCs w:val="20"/>
          <w:lang w:val="en-GB"/>
        </w:rPr>
      </w:pPr>
      <w:r w:rsidRPr="00EC1FEE">
        <w:rPr>
          <w:color w:val="000000" w:themeColor="text1"/>
          <w:sz w:val="20"/>
          <w:szCs w:val="20"/>
          <w:lang w:val="en-GB"/>
        </w:rPr>
        <w:t>1.</w:t>
      </w:r>
      <w:r w:rsidRPr="00EC1FEE">
        <w:rPr>
          <w:color w:val="000000" w:themeColor="text1"/>
          <w:sz w:val="20"/>
          <w:szCs w:val="20"/>
          <w:lang w:val="en-GB"/>
        </w:rPr>
        <w:tab/>
      </w:r>
      <w:r w:rsidR="00005F43" w:rsidRPr="00EC1FEE">
        <w:rPr>
          <w:color w:val="000000" w:themeColor="text1"/>
          <w:sz w:val="20"/>
          <w:szCs w:val="20"/>
          <w:lang w:val="en-GB"/>
        </w:rPr>
        <w:t>All actions or words which tend to advocate or stir racial hatred or which may offend the dignity of fellow human beings are objectionable, reprehensible and morally condemnable.</w:t>
      </w:r>
      <w:r w:rsidR="0033228B">
        <w:rPr>
          <w:color w:val="000000" w:themeColor="text1"/>
          <w:sz w:val="20"/>
          <w:szCs w:val="20"/>
          <w:lang w:val="en-GB"/>
        </w:rPr>
        <w:t xml:space="preserve"> </w:t>
      </w:r>
      <w:r w:rsidR="00005F43" w:rsidRPr="00EC1FEE">
        <w:rPr>
          <w:color w:val="000000" w:themeColor="text1"/>
          <w:sz w:val="20"/>
          <w:szCs w:val="20"/>
          <w:lang w:val="en-GB"/>
        </w:rPr>
        <w:t xml:space="preserve">But before being legally condemned, the advocates of such </w:t>
      </w:r>
      <w:r w:rsidR="00005F43" w:rsidRPr="00EC1FEE">
        <w:rPr>
          <w:sz w:val="20"/>
          <w:szCs w:val="20"/>
          <w:lang w:val="en-GB"/>
        </w:rPr>
        <w:t>actions</w:t>
      </w:r>
      <w:r w:rsidR="00005F43" w:rsidRPr="00EC1FEE">
        <w:rPr>
          <w:color w:val="000000" w:themeColor="text1"/>
          <w:sz w:val="20"/>
          <w:szCs w:val="20"/>
          <w:lang w:val="en-GB"/>
        </w:rPr>
        <w:t xml:space="preserve"> or words, if prosecuted, must benefit from due process </w:t>
      </w:r>
      <w:r w:rsidR="00005F43" w:rsidRPr="00EC1FEE">
        <w:rPr>
          <w:sz w:val="20"/>
          <w:szCs w:val="20"/>
          <w:lang w:val="en-GB"/>
        </w:rPr>
        <w:t>in</w:t>
      </w:r>
      <w:r w:rsidR="00005F43" w:rsidRPr="00EC1FEE">
        <w:rPr>
          <w:color w:val="000000" w:themeColor="text1"/>
          <w:sz w:val="20"/>
          <w:szCs w:val="20"/>
          <w:lang w:val="en-GB"/>
        </w:rPr>
        <w:t xml:space="preserve"> Courts.</w:t>
      </w:r>
      <w:r w:rsidR="0033228B">
        <w:rPr>
          <w:color w:val="000000" w:themeColor="text1"/>
          <w:sz w:val="20"/>
          <w:szCs w:val="20"/>
          <w:lang w:val="en-GB"/>
        </w:rPr>
        <w:t xml:space="preserve"> </w:t>
      </w:r>
      <w:r w:rsidR="00005F43" w:rsidRPr="00EC1FEE">
        <w:rPr>
          <w:color w:val="000000" w:themeColor="text1"/>
          <w:sz w:val="20"/>
          <w:szCs w:val="20"/>
          <w:lang w:val="en-GB"/>
        </w:rPr>
        <w:t>And for them to be found in breach of the C</w:t>
      </w:r>
      <w:r w:rsidR="00B93A39">
        <w:rPr>
          <w:color w:val="000000" w:themeColor="text1"/>
          <w:sz w:val="20"/>
          <w:szCs w:val="20"/>
          <w:lang w:val="en-GB"/>
        </w:rPr>
        <w:t>ovenant</w:t>
      </w:r>
      <w:r w:rsidR="00005F43" w:rsidRPr="00EC1FEE">
        <w:rPr>
          <w:color w:val="000000" w:themeColor="text1"/>
          <w:sz w:val="20"/>
          <w:szCs w:val="20"/>
          <w:lang w:val="en-GB"/>
        </w:rPr>
        <w:t>, all the provisions of the Covenant and its Optional Protocol must be complied with.</w:t>
      </w:r>
      <w:r w:rsidR="0033228B">
        <w:rPr>
          <w:color w:val="000000" w:themeColor="text1"/>
          <w:sz w:val="20"/>
          <w:szCs w:val="20"/>
          <w:lang w:val="en-GB"/>
        </w:rPr>
        <w:t xml:space="preserve"> </w:t>
      </w:r>
      <w:r w:rsidR="00005F43" w:rsidRPr="00EC1FEE">
        <w:rPr>
          <w:color w:val="000000" w:themeColor="text1"/>
          <w:sz w:val="20"/>
          <w:szCs w:val="20"/>
          <w:lang w:val="en-GB"/>
        </w:rPr>
        <w:t>In the present case the authors allege that the State Party has violated articles 2(3), 14(1), 17, 20, 26 and 27 of the Covenant because the Amsterdam District Court failed to find the alleged perpetrator (</w:t>
      </w:r>
      <w:r w:rsidR="006837AA">
        <w:rPr>
          <w:color w:val="000000" w:themeColor="text1"/>
          <w:sz w:val="20"/>
          <w:szCs w:val="20"/>
          <w:lang w:val="en-GB"/>
        </w:rPr>
        <w:t>Mr. </w:t>
      </w:r>
      <w:r w:rsidR="00005F43" w:rsidRPr="00EC1FEE">
        <w:rPr>
          <w:color w:val="000000" w:themeColor="text1"/>
          <w:sz w:val="20"/>
          <w:szCs w:val="20"/>
          <w:lang w:val="en-GB"/>
        </w:rPr>
        <w:t>Wilders) guilty on charges of ‘insult of a group for reasons of race or religion’ under Section 137c of the Criminal Code and for ‘incitement to hatred and discrimination on grounds of religion or race’ under Section 137d of the Criminal Code.</w:t>
      </w:r>
      <w:r w:rsidR="0033228B">
        <w:rPr>
          <w:color w:val="000000" w:themeColor="text1"/>
          <w:sz w:val="20"/>
          <w:szCs w:val="20"/>
          <w:lang w:val="en-GB"/>
        </w:rPr>
        <w:t xml:space="preserve"> </w:t>
      </w:r>
      <w:r w:rsidR="00005F43" w:rsidRPr="00EC1FEE">
        <w:rPr>
          <w:color w:val="000000" w:themeColor="text1"/>
          <w:sz w:val="20"/>
          <w:szCs w:val="20"/>
          <w:lang w:val="en-GB"/>
        </w:rPr>
        <w:t>As stated in paragraph 2.3 of the facts presented by the authors of the Communication they were allowed to join the criminal proceedings as an aggrieved party and to claim compensation.</w:t>
      </w:r>
    </w:p>
    <w:p w14:paraId="3754C1D5" w14:textId="243968D9" w:rsidR="00005F43" w:rsidRPr="00EC1FEE" w:rsidRDefault="008B6CE5" w:rsidP="008B6CE5">
      <w:pPr>
        <w:pStyle w:val="SingleTxtG"/>
        <w:rPr>
          <w:color w:val="000000" w:themeColor="text1"/>
          <w:sz w:val="20"/>
          <w:szCs w:val="20"/>
          <w:lang w:val="en-GB"/>
        </w:rPr>
      </w:pPr>
      <w:r w:rsidRPr="00EC1FEE">
        <w:rPr>
          <w:color w:val="000000" w:themeColor="text1"/>
          <w:sz w:val="20"/>
          <w:szCs w:val="20"/>
          <w:lang w:val="en-GB"/>
        </w:rPr>
        <w:t>2.</w:t>
      </w:r>
      <w:r w:rsidRPr="00EC1FEE">
        <w:rPr>
          <w:color w:val="000000" w:themeColor="text1"/>
          <w:sz w:val="20"/>
          <w:szCs w:val="20"/>
          <w:lang w:val="en-GB"/>
        </w:rPr>
        <w:tab/>
      </w:r>
      <w:r w:rsidR="00005F43" w:rsidRPr="00EC1FEE">
        <w:rPr>
          <w:color w:val="000000" w:themeColor="text1"/>
          <w:sz w:val="20"/>
          <w:szCs w:val="20"/>
          <w:lang w:val="en-GB"/>
        </w:rPr>
        <w:t xml:space="preserve">On 23 June 2011 the District Court decided that the case against Wilders could not be proved and dismissed </w:t>
      </w:r>
      <w:r w:rsidR="00005F43" w:rsidRPr="00EC1FEE">
        <w:rPr>
          <w:sz w:val="20"/>
          <w:szCs w:val="20"/>
          <w:lang w:val="en-GB"/>
        </w:rPr>
        <w:t>all</w:t>
      </w:r>
      <w:r w:rsidR="00005F43" w:rsidRPr="00EC1FEE">
        <w:rPr>
          <w:color w:val="000000" w:themeColor="text1"/>
          <w:sz w:val="20"/>
          <w:szCs w:val="20"/>
          <w:lang w:val="en-GB"/>
        </w:rPr>
        <w:t xml:space="preserve"> the charges.</w:t>
      </w:r>
      <w:r w:rsidR="0033228B">
        <w:rPr>
          <w:color w:val="000000" w:themeColor="text1"/>
          <w:sz w:val="20"/>
          <w:szCs w:val="20"/>
          <w:lang w:val="en-GB"/>
        </w:rPr>
        <w:t xml:space="preserve"> </w:t>
      </w:r>
      <w:r w:rsidR="00005F43" w:rsidRPr="00EC1FEE">
        <w:rPr>
          <w:color w:val="000000" w:themeColor="text1"/>
          <w:sz w:val="20"/>
          <w:szCs w:val="20"/>
          <w:lang w:val="en-GB"/>
        </w:rPr>
        <w:t xml:space="preserve">This </w:t>
      </w:r>
      <w:r w:rsidR="00005F43" w:rsidRPr="00EC1FEE">
        <w:rPr>
          <w:sz w:val="20"/>
          <w:szCs w:val="20"/>
          <w:lang w:val="en-GB"/>
        </w:rPr>
        <w:t>resulted</w:t>
      </w:r>
      <w:r w:rsidR="00005F43" w:rsidRPr="00EC1FEE">
        <w:rPr>
          <w:color w:val="000000" w:themeColor="text1"/>
          <w:sz w:val="20"/>
          <w:szCs w:val="20"/>
          <w:lang w:val="en-GB"/>
        </w:rPr>
        <w:t xml:space="preserve"> in a dismissal of the authors’ claim as well.</w:t>
      </w:r>
      <w:r w:rsidR="0033228B">
        <w:rPr>
          <w:color w:val="000000" w:themeColor="text1"/>
          <w:sz w:val="20"/>
          <w:szCs w:val="20"/>
          <w:lang w:val="en-GB"/>
        </w:rPr>
        <w:t xml:space="preserve"> </w:t>
      </w:r>
      <w:r w:rsidR="00005F43" w:rsidRPr="00EC1FEE">
        <w:rPr>
          <w:color w:val="000000" w:themeColor="text1"/>
          <w:sz w:val="20"/>
          <w:szCs w:val="20"/>
          <w:lang w:val="en-GB"/>
        </w:rPr>
        <w:t>The prosecutor chose not to appeal against the decision.</w:t>
      </w:r>
      <w:r w:rsidR="0033228B">
        <w:rPr>
          <w:color w:val="000000" w:themeColor="text1"/>
          <w:sz w:val="20"/>
          <w:szCs w:val="20"/>
          <w:lang w:val="en-GB"/>
        </w:rPr>
        <w:t xml:space="preserve"> </w:t>
      </w:r>
      <w:r w:rsidR="00005F43" w:rsidRPr="00EC1FEE">
        <w:rPr>
          <w:color w:val="000000" w:themeColor="text1"/>
          <w:sz w:val="20"/>
          <w:szCs w:val="20"/>
          <w:lang w:val="en-GB"/>
        </w:rPr>
        <w:t>Under Dutch law the authors had no right to appeal in such proceedings.</w:t>
      </w:r>
    </w:p>
    <w:p w14:paraId="499CDC86" w14:textId="4CE910E1" w:rsidR="00005F43" w:rsidRPr="00EC1FEE" w:rsidRDefault="008B6CE5" w:rsidP="008B6CE5">
      <w:pPr>
        <w:pStyle w:val="SingleTxtG"/>
        <w:rPr>
          <w:color w:val="000000" w:themeColor="text1"/>
          <w:sz w:val="20"/>
          <w:szCs w:val="20"/>
          <w:lang w:val="en-GB"/>
        </w:rPr>
      </w:pPr>
      <w:r w:rsidRPr="00EC1FEE">
        <w:rPr>
          <w:color w:val="000000" w:themeColor="text1"/>
          <w:sz w:val="20"/>
          <w:szCs w:val="20"/>
          <w:lang w:val="en-GB"/>
        </w:rPr>
        <w:t>3.</w:t>
      </w:r>
      <w:r w:rsidRPr="00EC1FEE">
        <w:rPr>
          <w:color w:val="000000" w:themeColor="text1"/>
          <w:sz w:val="20"/>
          <w:szCs w:val="20"/>
          <w:lang w:val="en-GB"/>
        </w:rPr>
        <w:tab/>
      </w:r>
      <w:r w:rsidR="00005F43" w:rsidRPr="00EC1FEE">
        <w:rPr>
          <w:color w:val="000000" w:themeColor="text1"/>
          <w:sz w:val="20"/>
          <w:szCs w:val="20"/>
          <w:lang w:val="en-GB"/>
        </w:rPr>
        <w:t xml:space="preserve">Normally a </w:t>
      </w:r>
      <w:r w:rsidR="00005F43" w:rsidRPr="00EC1FEE">
        <w:rPr>
          <w:sz w:val="20"/>
          <w:szCs w:val="20"/>
          <w:lang w:val="en-GB"/>
        </w:rPr>
        <w:t>complaint</w:t>
      </w:r>
      <w:r w:rsidR="00005F43" w:rsidRPr="00EC1FEE">
        <w:rPr>
          <w:color w:val="000000" w:themeColor="text1"/>
          <w:sz w:val="20"/>
          <w:szCs w:val="20"/>
          <w:lang w:val="en-GB"/>
        </w:rPr>
        <w:t xml:space="preserve"> in a communication to the Human Rights Committee is directed at a State Party for not having taken action against a perpetrator of a violation of human rights or for having taken unjustified action against an author in violation of the Covenant.</w:t>
      </w:r>
      <w:r w:rsidR="0033228B">
        <w:rPr>
          <w:color w:val="000000" w:themeColor="text1"/>
          <w:sz w:val="20"/>
          <w:szCs w:val="20"/>
          <w:lang w:val="en-GB"/>
        </w:rPr>
        <w:t xml:space="preserve"> </w:t>
      </w:r>
      <w:r w:rsidR="00005F43" w:rsidRPr="00EC1FEE">
        <w:rPr>
          <w:color w:val="000000" w:themeColor="text1"/>
          <w:sz w:val="20"/>
          <w:szCs w:val="20"/>
          <w:lang w:val="en-GB"/>
        </w:rPr>
        <w:t>The present complaint is directed at a State Party because a Court of Law dismissed a criminal case against an alleged perpetrator.</w:t>
      </w:r>
      <w:r w:rsidR="0033228B">
        <w:rPr>
          <w:color w:val="000000" w:themeColor="text1"/>
          <w:sz w:val="20"/>
          <w:szCs w:val="20"/>
          <w:lang w:val="en-GB"/>
        </w:rPr>
        <w:t xml:space="preserve"> </w:t>
      </w:r>
      <w:r w:rsidR="00005F43" w:rsidRPr="00EC1FEE">
        <w:rPr>
          <w:color w:val="000000" w:themeColor="text1"/>
          <w:sz w:val="20"/>
          <w:szCs w:val="20"/>
          <w:lang w:val="en-GB"/>
        </w:rPr>
        <w:t>The authors took the calculated risk of joining their civil claim to the criminal action.</w:t>
      </w:r>
      <w:r w:rsidR="0033228B">
        <w:rPr>
          <w:color w:val="000000" w:themeColor="text1"/>
          <w:sz w:val="20"/>
          <w:szCs w:val="20"/>
          <w:lang w:val="en-GB"/>
        </w:rPr>
        <w:t xml:space="preserve"> </w:t>
      </w:r>
      <w:r w:rsidR="00005F43" w:rsidRPr="00EC1FEE">
        <w:rPr>
          <w:color w:val="000000" w:themeColor="text1"/>
          <w:sz w:val="20"/>
          <w:szCs w:val="20"/>
          <w:lang w:val="en-GB"/>
        </w:rPr>
        <w:t>Due to the joinder of actions the civil claim was completely dependent on the outcome of the criminal action and the conduct of such criminal action was under the control of the Prosecutor.</w:t>
      </w:r>
      <w:r w:rsidR="0033228B">
        <w:rPr>
          <w:color w:val="000000" w:themeColor="text1"/>
          <w:sz w:val="20"/>
          <w:szCs w:val="20"/>
          <w:lang w:val="en-GB"/>
        </w:rPr>
        <w:t xml:space="preserve"> </w:t>
      </w:r>
      <w:r w:rsidR="00005F43" w:rsidRPr="00EC1FEE">
        <w:rPr>
          <w:color w:val="000000" w:themeColor="text1"/>
          <w:sz w:val="20"/>
          <w:szCs w:val="20"/>
          <w:lang w:val="en-GB"/>
        </w:rPr>
        <w:t>Furthermore, the standard of proof required for a successful outcome of a criminal action was undoubtedly higher than that required for a tort action, which compounded the risk taken by the authors.</w:t>
      </w:r>
      <w:r w:rsidR="0033228B">
        <w:rPr>
          <w:color w:val="000000" w:themeColor="text1"/>
          <w:sz w:val="20"/>
          <w:szCs w:val="20"/>
          <w:lang w:val="en-GB"/>
        </w:rPr>
        <w:t xml:space="preserve"> </w:t>
      </w:r>
    </w:p>
    <w:p w14:paraId="21C4D9D9" w14:textId="3CCE2EE0" w:rsidR="00005F43" w:rsidRPr="00EC1FEE" w:rsidRDefault="008B6CE5" w:rsidP="008B6CE5">
      <w:pPr>
        <w:pStyle w:val="SingleTxtG"/>
        <w:rPr>
          <w:color w:val="000000" w:themeColor="text1"/>
          <w:sz w:val="20"/>
          <w:szCs w:val="20"/>
          <w:lang w:val="en-GB"/>
        </w:rPr>
      </w:pPr>
      <w:r w:rsidRPr="00EC1FEE">
        <w:rPr>
          <w:color w:val="000000" w:themeColor="text1"/>
          <w:sz w:val="20"/>
          <w:szCs w:val="20"/>
          <w:lang w:val="en-GB"/>
        </w:rPr>
        <w:t>4.</w:t>
      </w:r>
      <w:r w:rsidRPr="00EC1FEE">
        <w:rPr>
          <w:color w:val="000000" w:themeColor="text1"/>
          <w:sz w:val="20"/>
          <w:szCs w:val="20"/>
          <w:lang w:val="en-GB"/>
        </w:rPr>
        <w:tab/>
      </w:r>
      <w:r w:rsidR="00005F43" w:rsidRPr="00EC1FEE">
        <w:rPr>
          <w:color w:val="000000" w:themeColor="text1"/>
          <w:sz w:val="20"/>
          <w:szCs w:val="20"/>
          <w:lang w:val="en-GB"/>
        </w:rPr>
        <w:t xml:space="preserve">What the authors are now requesting the Committee to do is to enjoin the State Party to punish the </w:t>
      </w:r>
      <w:r w:rsidR="00005F43" w:rsidRPr="00EC1FEE">
        <w:rPr>
          <w:sz w:val="20"/>
          <w:szCs w:val="20"/>
          <w:lang w:val="en-GB"/>
        </w:rPr>
        <w:t>perpetrator</w:t>
      </w:r>
      <w:r w:rsidR="00005F43" w:rsidRPr="00EC1FEE">
        <w:rPr>
          <w:color w:val="000000" w:themeColor="text1"/>
          <w:sz w:val="20"/>
          <w:szCs w:val="20"/>
          <w:lang w:val="en-GB"/>
        </w:rPr>
        <w:t xml:space="preserve"> in spite of the decision reached by an independent Court of Law in the State Party.</w:t>
      </w:r>
      <w:r w:rsidR="0033228B">
        <w:rPr>
          <w:color w:val="000000" w:themeColor="text1"/>
          <w:sz w:val="20"/>
          <w:szCs w:val="20"/>
          <w:lang w:val="en-GB"/>
        </w:rPr>
        <w:t xml:space="preserve"> </w:t>
      </w:r>
      <w:r w:rsidR="00005F43" w:rsidRPr="00EC1FEE">
        <w:rPr>
          <w:color w:val="000000" w:themeColor="text1"/>
          <w:sz w:val="20"/>
          <w:szCs w:val="20"/>
          <w:lang w:val="en-GB"/>
        </w:rPr>
        <w:t>The latter is not the wrongdoer.</w:t>
      </w:r>
      <w:r w:rsidR="0033228B">
        <w:rPr>
          <w:color w:val="000000" w:themeColor="text1"/>
          <w:sz w:val="20"/>
          <w:szCs w:val="20"/>
          <w:lang w:val="en-GB"/>
        </w:rPr>
        <w:t xml:space="preserve"> </w:t>
      </w:r>
      <w:r w:rsidR="00005F43" w:rsidRPr="00EC1FEE">
        <w:rPr>
          <w:color w:val="000000" w:themeColor="text1"/>
          <w:sz w:val="20"/>
          <w:szCs w:val="20"/>
          <w:lang w:val="en-GB"/>
        </w:rPr>
        <w:t>It took the steps that it was required to take under its own Criminal Code by prosecuting the wrongdoer.</w:t>
      </w:r>
      <w:r w:rsidR="0033228B">
        <w:rPr>
          <w:color w:val="000000" w:themeColor="text1"/>
          <w:sz w:val="20"/>
          <w:szCs w:val="20"/>
          <w:lang w:val="en-GB"/>
        </w:rPr>
        <w:t xml:space="preserve"> </w:t>
      </w:r>
      <w:r w:rsidR="00005F43" w:rsidRPr="00EC1FEE">
        <w:rPr>
          <w:color w:val="000000" w:themeColor="text1"/>
          <w:sz w:val="20"/>
          <w:szCs w:val="20"/>
          <w:lang w:val="en-GB"/>
        </w:rPr>
        <w:t>The Committee cannot compel the State Party to punish the alleged wrongdoer in spite of an acquittal.</w:t>
      </w:r>
    </w:p>
    <w:p w14:paraId="17E61328" w14:textId="7FA7257E" w:rsidR="00005F43" w:rsidRPr="00EC1FEE" w:rsidRDefault="008B6CE5" w:rsidP="008B6CE5">
      <w:pPr>
        <w:pStyle w:val="SingleTxtG"/>
        <w:rPr>
          <w:color w:val="000000" w:themeColor="text1"/>
          <w:sz w:val="20"/>
          <w:szCs w:val="20"/>
          <w:lang w:val="en-GB"/>
        </w:rPr>
      </w:pPr>
      <w:r w:rsidRPr="00EC1FEE">
        <w:rPr>
          <w:color w:val="000000" w:themeColor="text1"/>
          <w:sz w:val="20"/>
          <w:szCs w:val="20"/>
          <w:lang w:val="en-GB"/>
        </w:rPr>
        <w:t>5.</w:t>
      </w:r>
      <w:r w:rsidRPr="00EC1FEE">
        <w:rPr>
          <w:color w:val="000000" w:themeColor="text1"/>
          <w:sz w:val="20"/>
          <w:szCs w:val="20"/>
          <w:lang w:val="en-GB"/>
        </w:rPr>
        <w:tab/>
      </w:r>
      <w:r w:rsidR="00005F43" w:rsidRPr="00EC1FEE">
        <w:rPr>
          <w:color w:val="000000" w:themeColor="text1"/>
          <w:sz w:val="20"/>
          <w:szCs w:val="20"/>
          <w:lang w:val="en-GB"/>
        </w:rPr>
        <w:t xml:space="preserve">Reference has been made to the decision of the Committee in </w:t>
      </w:r>
      <w:r w:rsidR="00005F43" w:rsidRPr="00EC1FEE">
        <w:rPr>
          <w:i/>
          <w:color w:val="000000" w:themeColor="text1"/>
          <w:sz w:val="20"/>
          <w:szCs w:val="20"/>
          <w:lang w:val="en-GB"/>
        </w:rPr>
        <w:t>Andersen v. Denmark (Communication No. 1868 of 2009)</w:t>
      </w:r>
      <w:r w:rsidR="00005F43" w:rsidRPr="00EC1FEE">
        <w:rPr>
          <w:color w:val="000000" w:themeColor="text1"/>
          <w:sz w:val="20"/>
          <w:szCs w:val="20"/>
          <w:lang w:val="en-GB"/>
        </w:rPr>
        <w:t xml:space="preserve"> to justify a finding of admissibility of the authors’ communication.</w:t>
      </w:r>
      <w:r w:rsidR="0033228B">
        <w:rPr>
          <w:color w:val="000000" w:themeColor="text1"/>
          <w:sz w:val="20"/>
          <w:szCs w:val="20"/>
          <w:lang w:val="en-GB"/>
        </w:rPr>
        <w:t xml:space="preserve"> </w:t>
      </w:r>
      <w:r w:rsidR="00005F43" w:rsidRPr="00EC1FEE">
        <w:rPr>
          <w:color w:val="000000" w:themeColor="text1"/>
          <w:sz w:val="20"/>
          <w:szCs w:val="20"/>
          <w:lang w:val="en-GB"/>
        </w:rPr>
        <w:t xml:space="preserve">However their case can be easily distinguished from </w:t>
      </w:r>
      <w:r w:rsidR="00005F43" w:rsidRPr="00EC1FEE">
        <w:rPr>
          <w:sz w:val="20"/>
          <w:szCs w:val="20"/>
          <w:lang w:val="en-GB"/>
        </w:rPr>
        <w:t>Andersen’s</w:t>
      </w:r>
      <w:r w:rsidR="00005F43" w:rsidRPr="00EC1FEE">
        <w:rPr>
          <w:color w:val="000000" w:themeColor="text1"/>
          <w:sz w:val="20"/>
          <w:szCs w:val="20"/>
          <w:lang w:val="en-GB"/>
        </w:rPr>
        <w:t xml:space="preserve"> case.</w:t>
      </w:r>
      <w:r w:rsidR="0033228B">
        <w:rPr>
          <w:color w:val="000000" w:themeColor="text1"/>
          <w:sz w:val="20"/>
          <w:szCs w:val="20"/>
          <w:lang w:val="en-GB"/>
        </w:rPr>
        <w:t xml:space="preserve"> </w:t>
      </w:r>
      <w:r w:rsidR="00D823AD">
        <w:rPr>
          <w:color w:val="000000" w:themeColor="text1"/>
          <w:sz w:val="20"/>
          <w:szCs w:val="20"/>
          <w:lang w:val="en-GB"/>
        </w:rPr>
        <w:t>Ms. </w:t>
      </w:r>
      <w:r w:rsidR="00005F43" w:rsidRPr="00EC1FEE">
        <w:rPr>
          <w:color w:val="000000" w:themeColor="text1"/>
          <w:sz w:val="20"/>
          <w:szCs w:val="20"/>
          <w:lang w:val="en-GB"/>
        </w:rPr>
        <w:t>Andersen reported a case to the Danish authorities concerning racially discriminating statements in violation of a specific provision of the Danish Criminal Code.</w:t>
      </w:r>
      <w:r w:rsidR="0033228B">
        <w:rPr>
          <w:color w:val="000000" w:themeColor="text1"/>
          <w:sz w:val="20"/>
          <w:szCs w:val="20"/>
          <w:lang w:val="en-GB"/>
        </w:rPr>
        <w:t xml:space="preserve"> </w:t>
      </w:r>
      <w:r w:rsidR="00005F43" w:rsidRPr="00EC1FEE">
        <w:rPr>
          <w:color w:val="000000" w:themeColor="text1"/>
          <w:sz w:val="20"/>
          <w:szCs w:val="20"/>
          <w:lang w:val="en-GB"/>
        </w:rPr>
        <w:t xml:space="preserve">The Public Prosecutor General </w:t>
      </w:r>
      <w:r w:rsidR="00005F43" w:rsidRPr="00EC1FEE">
        <w:rPr>
          <w:sz w:val="20"/>
          <w:szCs w:val="20"/>
          <w:lang w:val="en-GB"/>
        </w:rPr>
        <w:t>declined</w:t>
      </w:r>
      <w:r w:rsidR="00005F43" w:rsidRPr="00EC1FEE">
        <w:rPr>
          <w:color w:val="000000" w:themeColor="text1"/>
          <w:sz w:val="20"/>
          <w:szCs w:val="20"/>
          <w:lang w:val="en-GB"/>
        </w:rPr>
        <w:t xml:space="preserve"> to prosecute and his decision could not be appealed.</w:t>
      </w:r>
      <w:r w:rsidR="0033228B">
        <w:rPr>
          <w:color w:val="000000" w:themeColor="text1"/>
          <w:sz w:val="20"/>
          <w:szCs w:val="20"/>
          <w:lang w:val="en-GB"/>
        </w:rPr>
        <w:t xml:space="preserve"> </w:t>
      </w:r>
      <w:r w:rsidR="00005F43" w:rsidRPr="00EC1FEE">
        <w:rPr>
          <w:color w:val="000000" w:themeColor="text1"/>
          <w:sz w:val="20"/>
          <w:szCs w:val="20"/>
          <w:lang w:val="en-GB"/>
        </w:rPr>
        <w:t>The State Party contended that Ms. Andersen could have entered a private prosecution under a different provision of the Criminal Code and that she had not thereby exhausted all available domestic remedies.</w:t>
      </w:r>
      <w:r w:rsidR="0033228B">
        <w:rPr>
          <w:color w:val="000000" w:themeColor="text1"/>
          <w:sz w:val="20"/>
          <w:szCs w:val="20"/>
          <w:lang w:val="en-GB"/>
        </w:rPr>
        <w:t xml:space="preserve"> </w:t>
      </w:r>
      <w:r w:rsidR="00005F43" w:rsidRPr="00EC1FEE">
        <w:rPr>
          <w:color w:val="000000" w:themeColor="text1"/>
          <w:sz w:val="20"/>
          <w:szCs w:val="20"/>
          <w:lang w:val="en-GB"/>
        </w:rPr>
        <w:t>The Committee considered that it would be unreasonable to expect the author to start separate proceedings under the Criminal Code on her own initiative and found the plaint admissible.</w:t>
      </w:r>
      <w:r w:rsidR="0033228B">
        <w:rPr>
          <w:color w:val="000000" w:themeColor="text1"/>
          <w:sz w:val="20"/>
          <w:szCs w:val="20"/>
          <w:lang w:val="en-GB"/>
        </w:rPr>
        <w:t xml:space="preserve"> </w:t>
      </w:r>
      <w:r w:rsidR="00005F43" w:rsidRPr="00EC1FEE">
        <w:rPr>
          <w:color w:val="000000" w:themeColor="text1"/>
          <w:sz w:val="20"/>
          <w:szCs w:val="20"/>
          <w:lang w:val="en-GB"/>
        </w:rPr>
        <w:t xml:space="preserve">In the present case, however, we are concerned with the failure of an action under criminal law and with the possibility of entering a </w:t>
      </w:r>
      <w:r w:rsidR="00005F43" w:rsidRPr="00EC1FEE">
        <w:rPr>
          <w:color w:val="000000" w:themeColor="text1"/>
          <w:sz w:val="20"/>
          <w:szCs w:val="20"/>
          <w:lang w:val="en-GB"/>
        </w:rPr>
        <w:lastRenderedPageBreak/>
        <w:t>difference case under civil law where rules of evidence may vary and where the authors would have greater latitude in substantiating their case.</w:t>
      </w:r>
    </w:p>
    <w:p w14:paraId="70799748" w14:textId="40D5C1E7" w:rsidR="00005F43" w:rsidRPr="00EC1FEE" w:rsidRDefault="008B6CE5" w:rsidP="008B6CE5">
      <w:pPr>
        <w:pStyle w:val="SingleTxtG"/>
        <w:rPr>
          <w:color w:val="000000" w:themeColor="text1"/>
          <w:sz w:val="20"/>
          <w:szCs w:val="20"/>
          <w:lang w:val="en-GB"/>
        </w:rPr>
      </w:pPr>
      <w:r w:rsidRPr="00EC1FEE">
        <w:rPr>
          <w:color w:val="000000" w:themeColor="text1"/>
          <w:sz w:val="20"/>
          <w:szCs w:val="20"/>
          <w:lang w:val="en-GB"/>
        </w:rPr>
        <w:t>6.</w:t>
      </w:r>
      <w:r w:rsidRPr="00EC1FEE">
        <w:rPr>
          <w:color w:val="000000" w:themeColor="text1"/>
          <w:sz w:val="20"/>
          <w:szCs w:val="20"/>
          <w:lang w:val="en-GB"/>
        </w:rPr>
        <w:tab/>
      </w:r>
      <w:r w:rsidR="00005F43" w:rsidRPr="00EC1FEE">
        <w:rPr>
          <w:color w:val="000000" w:themeColor="text1"/>
          <w:sz w:val="20"/>
          <w:szCs w:val="20"/>
          <w:lang w:val="en-GB"/>
        </w:rPr>
        <w:t>The stand taken by the State Party is absolutely clear on this issue and is enunciated in paragraph 4.4 State Party’s Observations on admissibility.</w:t>
      </w:r>
      <w:r w:rsidR="0033228B">
        <w:rPr>
          <w:color w:val="000000" w:themeColor="text1"/>
          <w:sz w:val="20"/>
          <w:szCs w:val="20"/>
          <w:lang w:val="en-GB"/>
        </w:rPr>
        <w:t xml:space="preserve"> </w:t>
      </w:r>
      <w:r w:rsidR="00005F43" w:rsidRPr="00EC1FEE">
        <w:rPr>
          <w:color w:val="000000" w:themeColor="text1"/>
          <w:sz w:val="20"/>
          <w:szCs w:val="20"/>
          <w:lang w:val="en-GB"/>
        </w:rPr>
        <w:t>The authors still have the option of bringing a civil action in tort against Wilders pursuant to article 6:162 of the Civil Code.</w:t>
      </w:r>
      <w:r w:rsidR="0033228B">
        <w:rPr>
          <w:color w:val="000000" w:themeColor="text1"/>
          <w:sz w:val="20"/>
          <w:szCs w:val="20"/>
          <w:lang w:val="en-GB"/>
        </w:rPr>
        <w:t xml:space="preserve"> </w:t>
      </w:r>
      <w:r w:rsidR="00005F43" w:rsidRPr="00EC1FEE">
        <w:rPr>
          <w:color w:val="000000" w:themeColor="text1"/>
          <w:sz w:val="20"/>
          <w:szCs w:val="20"/>
          <w:lang w:val="en-GB"/>
        </w:rPr>
        <w:t>The State Party goes further in stating that a successful civil action would give the authors the opportunity to seek an injunction preventing Wilders from making future statements of the same nature and also to request a declaratory decision that Wilders’ statements were contrary to law.</w:t>
      </w:r>
      <w:r w:rsidR="0033228B">
        <w:rPr>
          <w:color w:val="000000" w:themeColor="text1"/>
          <w:sz w:val="20"/>
          <w:szCs w:val="20"/>
          <w:lang w:val="en-GB"/>
        </w:rPr>
        <w:t xml:space="preserve"> </w:t>
      </w:r>
      <w:r w:rsidR="00005F43" w:rsidRPr="00EC1FEE">
        <w:rPr>
          <w:color w:val="000000" w:themeColor="text1"/>
          <w:sz w:val="20"/>
          <w:szCs w:val="20"/>
          <w:lang w:val="en-GB"/>
        </w:rPr>
        <w:t>In taking this stand the State Party agrees that the authors may still claim victim status before a Civil Court.</w:t>
      </w:r>
      <w:r w:rsidR="0033228B">
        <w:rPr>
          <w:color w:val="000000" w:themeColor="text1"/>
          <w:sz w:val="20"/>
          <w:szCs w:val="20"/>
          <w:lang w:val="en-GB"/>
        </w:rPr>
        <w:t xml:space="preserve"> </w:t>
      </w:r>
      <w:r w:rsidR="00005F43" w:rsidRPr="00EC1FEE">
        <w:rPr>
          <w:color w:val="000000" w:themeColor="text1"/>
          <w:sz w:val="20"/>
          <w:szCs w:val="20"/>
          <w:lang w:val="en-GB"/>
        </w:rPr>
        <w:t>It is our view that the authors may well make out their case as victims and have a fair chance to secure the civil remedies available to them.</w:t>
      </w:r>
      <w:r w:rsidR="0033228B">
        <w:rPr>
          <w:color w:val="000000" w:themeColor="text1"/>
          <w:sz w:val="20"/>
          <w:szCs w:val="20"/>
          <w:lang w:val="en-GB"/>
        </w:rPr>
        <w:t xml:space="preserve"> </w:t>
      </w:r>
      <w:r w:rsidR="00005F43" w:rsidRPr="00EC1FEE">
        <w:rPr>
          <w:color w:val="000000" w:themeColor="text1"/>
          <w:sz w:val="20"/>
          <w:szCs w:val="20"/>
          <w:lang w:val="en-GB"/>
        </w:rPr>
        <w:t>They would even be able to appeal to higher courts should they fail to convince the Court at first instance.</w:t>
      </w:r>
    </w:p>
    <w:p w14:paraId="03AD9660" w14:textId="14028C87" w:rsidR="00005F43" w:rsidRPr="00EC1FEE" w:rsidRDefault="008B6CE5" w:rsidP="008B6CE5">
      <w:pPr>
        <w:pStyle w:val="SingleTxtG"/>
        <w:rPr>
          <w:color w:val="000000" w:themeColor="text1"/>
          <w:sz w:val="20"/>
          <w:szCs w:val="20"/>
          <w:lang w:val="en-GB"/>
        </w:rPr>
      </w:pPr>
      <w:r w:rsidRPr="00EC1FEE">
        <w:rPr>
          <w:color w:val="000000" w:themeColor="text1"/>
          <w:sz w:val="20"/>
          <w:szCs w:val="20"/>
          <w:lang w:val="en-GB"/>
        </w:rPr>
        <w:t>7.</w:t>
      </w:r>
      <w:r w:rsidRPr="00EC1FEE">
        <w:rPr>
          <w:color w:val="000000" w:themeColor="text1"/>
          <w:sz w:val="20"/>
          <w:szCs w:val="20"/>
          <w:lang w:val="en-GB"/>
        </w:rPr>
        <w:tab/>
      </w:r>
      <w:r w:rsidR="00005F43" w:rsidRPr="00EC1FEE">
        <w:rPr>
          <w:color w:val="000000" w:themeColor="text1"/>
          <w:sz w:val="20"/>
          <w:szCs w:val="20"/>
          <w:lang w:val="en-GB"/>
        </w:rPr>
        <w:t xml:space="preserve">In paragraph 4.8 of the State Party’s case it is mentioned that criminal proceedings have been instituted against </w:t>
      </w:r>
      <w:r w:rsidR="006837AA">
        <w:rPr>
          <w:color w:val="000000" w:themeColor="text1"/>
          <w:sz w:val="20"/>
          <w:szCs w:val="20"/>
          <w:lang w:val="en-GB"/>
        </w:rPr>
        <w:t>Mr. </w:t>
      </w:r>
      <w:r w:rsidR="00005F43" w:rsidRPr="00EC1FEE">
        <w:rPr>
          <w:color w:val="000000" w:themeColor="text1"/>
          <w:sz w:val="20"/>
          <w:szCs w:val="20"/>
          <w:lang w:val="en-GB"/>
        </w:rPr>
        <w:t xml:space="preserve">Wilders for </w:t>
      </w:r>
      <w:r w:rsidR="00005F43" w:rsidRPr="00EC1FEE">
        <w:rPr>
          <w:sz w:val="20"/>
          <w:szCs w:val="20"/>
          <w:lang w:val="en-GB"/>
        </w:rPr>
        <w:t>making</w:t>
      </w:r>
      <w:r w:rsidR="00005F43" w:rsidRPr="00EC1FEE">
        <w:rPr>
          <w:color w:val="000000" w:themeColor="text1"/>
          <w:sz w:val="20"/>
          <w:szCs w:val="20"/>
          <w:lang w:val="en-GB"/>
        </w:rPr>
        <w:t xml:space="preserve"> similar statements in 2014.</w:t>
      </w:r>
      <w:r w:rsidR="0033228B">
        <w:rPr>
          <w:color w:val="000000" w:themeColor="text1"/>
          <w:sz w:val="20"/>
          <w:szCs w:val="20"/>
          <w:lang w:val="en-GB"/>
        </w:rPr>
        <w:t xml:space="preserve"> </w:t>
      </w:r>
      <w:r w:rsidR="00005F43" w:rsidRPr="00EC1FEE">
        <w:rPr>
          <w:color w:val="000000" w:themeColor="text1"/>
          <w:sz w:val="20"/>
          <w:szCs w:val="20"/>
          <w:lang w:val="en-GB"/>
        </w:rPr>
        <w:t xml:space="preserve">Thus an earlier independent civil action by the authors could have had a strong restraining effect on the subsequent conduct of </w:t>
      </w:r>
      <w:r w:rsidR="006837AA">
        <w:rPr>
          <w:color w:val="000000" w:themeColor="text1"/>
          <w:sz w:val="20"/>
          <w:szCs w:val="20"/>
          <w:lang w:val="en-GB"/>
        </w:rPr>
        <w:t>Mr. </w:t>
      </w:r>
      <w:r w:rsidR="00005F43" w:rsidRPr="00EC1FEE">
        <w:rPr>
          <w:color w:val="000000" w:themeColor="text1"/>
          <w:sz w:val="20"/>
          <w:szCs w:val="20"/>
          <w:lang w:val="en-GB"/>
        </w:rPr>
        <w:t>Wilders.</w:t>
      </w:r>
    </w:p>
    <w:p w14:paraId="356EA609" w14:textId="54386EE1" w:rsidR="00005F43" w:rsidRPr="00EC1FEE" w:rsidRDefault="008B6CE5" w:rsidP="008B6CE5">
      <w:pPr>
        <w:pStyle w:val="SingleTxtG"/>
        <w:rPr>
          <w:color w:val="000000" w:themeColor="text1"/>
          <w:sz w:val="20"/>
          <w:szCs w:val="20"/>
          <w:lang w:val="en-GB"/>
        </w:rPr>
      </w:pPr>
      <w:r w:rsidRPr="00EC1FEE">
        <w:rPr>
          <w:color w:val="000000" w:themeColor="text1"/>
          <w:sz w:val="20"/>
          <w:szCs w:val="20"/>
          <w:lang w:val="en-GB"/>
        </w:rPr>
        <w:t>8.</w:t>
      </w:r>
      <w:r w:rsidRPr="00EC1FEE">
        <w:rPr>
          <w:color w:val="000000" w:themeColor="text1"/>
          <w:sz w:val="20"/>
          <w:szCs w:val="20"/>
          <w:lang w:val="en-GB"/>
        </w:rPr>
        <w:tab/>
      </w:r>
      <w:r w:rsidR="00005F43" w:rsidRPr="00EC1FEE">
        <w:rPr>
          <w:color w:val="000000" w:themeColor="text1"/>
          <w:sz w:val="20"/>
          <w:szCs w:val="20"/>
          <w:lang w:val="en-GB"/>
        </w:rPr>
        <w:t xml:space="preserve">For the above mentioned reasons, the authors’ claim is inadmissible under article 5(2)(b) of the Optional Protocol as they have failed to </w:t>
      </w:r>
      <w:r w:rsidR="00005F43" w:rsidRPr="00EC1FEE">
        <w:rPr>
          <w:sz w:val="20"/>
          <w:szCs w:val="20"/>
          <w:lang w:val="en-GB"/>
        </w:rPr>
        <w:t>show</w:t>
      </w:r>
      <w:r w:rsidR="00005F43" w:rsidRPr="00EC1FEE">
        <w:rPr>
          <w:color w:val="000000" w:themeColor="text1"/>
          <w:sz w:val="20"/>
          <w:szCs w:val="20"/>
          <w:lang w:val="en-GB"/>
        </w:rPr>
        <w:t xml:space="preserve"> that they have exhausted the domestic remedies available to them.</w:t>
      </w:r>
    </w:p>
    <w:p w14:paraId="24FC993C" w14:textId="77777777" w:rsidR="002E63AC" w:rsidRDefault="002E63AC" w:rsidP="00005F43">
      <w:pPr>
        <w:suppressAutoHyphens w:val="0"/>
        <w:spacing w:line="240" w:lineRule="auto"/>
        <w:rPr>
          <w:u w:val="single"/>
        </w:rPr>
        <w:sectPr w:rsidR="002E63AC" w:rsidSect="00B32638">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7" w:h="16840" w:code="9"/>
          <w:pgMar w:top="1560" w:right="1134" w:bottom="1134" w:left="1134" w:header="1134" w:footer="1701" w:gutter="0"/>
          <w:cols w:space="720"/>
          <w:titlePg/>
          <w:docGrid w:linePitch="272"/>
        </w:sectPr>
      </w:pPr>
    </w:p>
    <w:p w14:paraId="073D17BD" w14:textId="1C76A71C" w:rsidR="00005F43" w:rsidRPr="009A361A" w:rsidRDefault="001E3A94" w:rsidP="009A361A">
      <w:pPr>
        <w:pStyle w:val="HChG"/>
      </w:pPr>
      <w:r w:rsidRPr="00EC1FEE">
        <w:lastRenderedPageBreak/>
        <w:tab/>
      </w:r>
      <w:r w:rsidR="00330C15" w:rsidRPr="00F15147">
        <w:rPr>
          <w:lang w:val="es-ES"/>
        </w:rPr>
        <w:t>A</w:t>
      </w:r>
      <w:r w:rsidR="00005F43" w:rsidRPr="00F15147">
        <w:rPr>
          <w:lang w:val="es-ES"/>
        </w:rPr>
        <w:t>n</w:t>
      </w:r>
      <w:r w:rsidR="0062332F" w:rsidRPr="00F15147">
        <w:rPr>
          <w:lang w:val="es-ES"/>
        </w:rPr>
        <w:t>n</w:t>
      </w:r>
      <w:r w:rsidR="002E63AC">
        <w:rPr>
          <w:lang w:val="es-ES"/>
        </w:rPr>
        <w:t>ex II</w:t>
      </w:r>
    </w:p>
    <w:p w14:paraId="4DC46149" w14:textId="71D64217" w:rsidR="00005F43" w:rsidRPr="00F15147" w:rsidRDefault="004C03ED" w:rsidP="00F15147">
      <w:pPr>
        <w:pStyle w:val="HChG"/>
        <w:rPr>
          <w:lang w:val="es-ES"/>
        </w:rPr>
      </w:pPr>
      <w:r>
        <w:rPr>
          <w:lang w:val="es-ES"/>
        </w:rPr>
        <w:tab/>
      </w:r>
      <w:r>
        <w:rPr>
          <w:lang w:val="es-ES"/>
        </w:rPr>
        <w:tab/>
      </w:r>
      <w:r w:rsidR="0062332F" w:rsidRPr="00F15147">
        <w:rPr>
          <w:lang w:val="es-ES"/>
        </w:rPr>
        <w:t xml:space="preserve">Opinión disidente del miembro del Comité Fabián </w:t>
      </w:r>
      <w:r w:rsidR="00B93A39" w:rsidRPr="00F15147">
        <w:rPr>
          <w:lang w:val="es-ES"/>
        </w:rPr>
        <w:t xml:space="preserve">Omar </w:t>
      </w:r>
      <w:r w:rsidR="0062332F" w:rsidRPr="00F15147">
        <w:rPr>
          <w:lang w:val="es-ES"/>
        </w:rPr>
        <w:t>Salvioli</w:t>
      </w:r>
    </w:p>
    <w:p w14:paraId="01D50D22" w14:textId="1BD4F7F0" w:rsidR="00005F43" w:rsidRPr="00F15147" w:rsidRDefault="008B6CE5" w:rsidP="008B6CE5">
      <w:pPr>
        <w:pStyle w:val="SingleTxtG"/>
        <w:rPr>
          <w:sz w:val="20"/>
          <w:szCs w:val="20"/>
          <w:lang w:val="es-ES"/>
        </w:rPr>
      </w:pPr>
      <w:r w:rsidRPr="00F15147">
        <w:rPr>
          <w:sz w:val="20"/>
          <w:szCs w:val="20"/>
          <w:lang w:val="es-ES"/>
        </w:rPr>
        <w:t>1.</w:t>
      </w:r>
      <w:r w:rsidRPr="00F15147">
        <w:rPr>
          <w:sz w:val="20"/>
          <w:szCs w:val="20"/>
          <w:lang w:val="es-ES"/>
        </w:rPr>
        <w:tab/>
      </w:r>
      <w:r w:rsidR="00005F43" w:rsidRPr="00F15147">
        <w:rPr>
          <w:sz w:val="20"/>
          <w:szCs w:val="20"/>
          <w:lang w:val="es-ES"/>
        </w:rPr>
        <w:t>El dictamen del Comité en la comunicación 2124/2011 Rabbae vs. Países Bajos es pertinente y adecuado en el análisis de la admisibilidad, con el que estoy plenamente de acuerdo. Sin embargo, no puedo compartir la valoración ni las conclusiones de la mayoría del Comité sobre el fondo del asunto. Me refiero a ambas cuestiones en los párrafos que siguen.</w:t>
      </w:r>
    </w:p>
    <w:p w14:paraId="65657C22" w14:textId="1A99DD8C" w:rsidR="00005F43" w:rsidRPr="00F15147" w:rsidRDefault="008B6CE5" w:rsidP="008B6CE5">
      <w:pPr>
        <w:pStyle w:val="SingleTxtG"/>
        <w:rPr>
          <w:sz w:val="20"/>
          <w:szCs w:val="20"/>
          <w:lang w:val="es-ES"/>
        </w:rPr>
      </w:pPr>
      <w:r w:rsidRPr="00F15147">
        <w:rPr>
          <w:sz w:val="20"/>
          <w:szCs w:val="20"/>
          <w:lang w:val="es-ES"/>
        </w:rPr>
        <w:t>2.</w:t>
      </w:r>
      <w:r w:rsidRPr="00F15147">
        <w:rPr>
          <w:sz w:val="20"/>
          <w:szCs w:val="20"/>
          <w:lang w:val="es-ES"/>
        </w:rPr>
        <w:tab/>
      </w:r>
      <w:r w:rsidR="00005F43" w:rsidRPr="00F15147">
        <w:rPr>
          <w:sz w:val="20"/>
          <w:szCs w:val="20"/>
          <w:lang w:val="es-ES"/>
        </w:rPr>
        <w:t>El Comité acierta al rechazar la excepción preliminar interpuesta por el Estado en torno a la falta de agotamiento de los recursos internos debido a que los autores no acudieron a la vía prevista en el artículo 6:162 del Código Civil. Dicho recurso no es el pertinente para remediar la violación alegada, y el Comité – de haber seguido la posición del Estado – habría generado un precedente penoso y una exigencia inédita para el acceso al plano internacional.</w:t>
      </w:r>
    </w:p>
    <w:p w14:paraId="015819B2" w14:textId="7D860C7C" w:rsidR="00005F43" w:rsidRPr="00F15147" w:rsidRDefault="008B6CE5" w:rsidP="008B6CE5">
      <w:pPr>
        <w:pStyle w:val="SingleTxtG"/>
        <w:rPr>
          <w:sz w:val="20"/>
          <w:szCs w:val="20"/>
          <w:lang w:val="es-ES"/>
        </w:rPr>
      </w:pPr>
      <w:r w:rsidRPr="00F15147">
        <w:rPr>
          <w:sz w:val="20"/>
          <w:szCs w:val="20"/>
          <w:lang w:val="es-ES"/>
        </w:rPr>
        <w:t>3.</w:t>
      </w:r>
      <w:r w:rsidRPr="00F15147">
        <w:rPr>
          <w:sz w:val="20"/>
          <w:szCs w:val="20"/>
          <w:lang w:val="es-ES"/>
        </w:rPr>
        <w:tab/>
      </w:r>
      <w:r w:rsidR="00005F43" w:rsidRPr="00F15147">
        <w:rPr>
          <w:sz w:val="20"/>
          <w:szCs w:val="20"/>
          <w:lang w:val="es-ES"/>
        </w:rPr>
        <w:t>También estoy de acuerdo con lo expresado en los párrafos 9.5 y 9.6 del dictamen, en lo relativo a la condición de presunta víctima que debe acreditarse a los efectos de presentar un caso ante el Comité. Si en el presente caso el Comité hubiese negado la admisibilidad por no reconocer el status de posible víctima a los autores, se le quitaría el debido efecto jurídico al artículo 20 del Pacto, resultando consecuentemente una tutela más débil, o directamente nula, de dicha disposición.</w:t>
      </w:r>
    </w:p>
    <w:p w14:paraId="2BDE7704" w14:textId="0D61D71C" w:rsidR="00005F43" w:rsidRPr="00F15147" w:rsidRDefault="008B6CE5" w:rsidP="008B6CE5">
      <w:pPr>
        <w:pStyle w:val="SingleTxtG"/>
        <w:rPr>
          <w:sz w:val="20"/>
          <w:szCs w:val="20"/>
          <w:lang w:val="es-ES"/>
        </w:rPr>
      </w:pPr>
      <w:r w:rsidRPr="00F15147">
        <w:rPr>
          <w:sz w:val="20"/>
          <w:szCs w:val="20"/>
          <w:lang w:val="es-ES"/>
        </w:rPr>
        <w:t>4.</w:t>
      </w:r>
      <w:r w:rsidRPr="00F15147">
        <w:rPr>
          <w:sz w:val="20"/>
          <w:szCs w:val="20"/>
          <w:lang w:val="es-ES"/>
        </w:rPr>
        <w:tab/>
      </w:r>
      <w:r w:rsidR="00005F43" w:rsidRPr="00F15147">
        <w:rPr>
          <w:sz w:val="20"/>
          <w:szCs w:val="20"/>
          <w:lang w:val="es-ES"/>
        </w:rPr>
        <w:t>Todos los derechos contenidos en el Pacto poseen una dimensión de respeto y otra de garantía; en este sentido, toda persona tiene derecho – conforme al artículo 20.2 – a que se le proteja debidamente contra la apología del odio nacional, racial o religioso, cuando dicha apología está dirigida a un colectivo del cual forma parte. Por ello los autores de la presente comunicación no incurren en actio popularis, y los discursos bajo análisis no se dirigían en contra de la sociedad en general sino respecto de un colectivo específico; la naturaleza del artículo 20 es, en dicho sentido, similar a la que posee el artículo 27 del Pacto.</w:t>
      </w:r>
    </w:p>
    <w:p w14:paraId="10889485" w14:textId="78526E63" w:rsidR="00005F43" w:rsidRPr="00F15147" w:rsidRDefault="008B6CE5" w:rsidP="008B6CE5">
      <w:pPr>
        <w:pStyle w:val="SingleTxtG"/>
        <w:rPr>
          <w:sz w:val="20"/>
          <w:szCs w:val="20"/>
          <w:lang w:val="es-ES"/>
        </w:rPr>
      </w:pPr>
      <w:r w:rsidRPr="00F15147">
        <w:rPr>
          <w:sz w:val="20"/>
          <w:szCs w:val="20"/>
          <w:lang w:val="es-ES"/>
        </w:rPr>
        <w:t>5.</w:t>
      </w:r>
      <w:r w:rsidRPr="00F15147">
        <w:rPr>
          <w:sz w:val="20"/>
          <w:szCs w:val="20"/>
          <w:lang w:val="es-ES"/>
        </w:rPr>
        <w:tab/>
      </w:r>
      <w:r w:rsidR="00005F43" w:rsidRPr="00F15147">
        <w:rPr>
          <w:sz w:val="20"/>
          <w:szCs w:val="20"/>
          <w:lang w:val="es-ES"/>
        </w:rPr>
        <w:t>El modo de protección a brindar a las personas pèrtenecientes a dichos colectivos lo elige el Estado, ya que el artículo 20 del Pacto Internacional de Derechos Civiles y Políticos no impone una forma determinada; en este caso, los Países Bajos optaron por sancionar la apología del odio a través de la vía criminal, tipificándola como delito en el artículo 137.d del Código Penal.</w:t>
      </w:r>
    </w:p>
    <w:p w14:paraId="62B67CE8" w14:textId="2288E1FD" w:rsidR="00005F43" w:rsidRPr="00F15147" w:rsidRDefault="008B6CE5" w:rsidP="008B6CE5">
      <w:pPr>
        <w:pStyle w:val="SingleTxtG"/>
        <w:rPr>
          <w:sz w:val="20"/>
          <w:szCs w:val="20"/>
          <w:lang w:val="es-ES"/>
        </w:rPr>
      </w:pPr>
      <w:r w:rsidRPr="00F15147">
        <w:rPr>
          <w:sz w:val="20"/>
          <w:szCs w:val="20"/>
          <w:lang w:val="es-ES"/>
        </w:rPr>
        <w:t>6.</w:t>
      </w:r>
      <w:r w:rsidRPr="00F15147">
        <w:rPr>
          <w:sz w:val="20"/>
          <w:szCs w:val="20"/>
          <w:lang w:val="es-ES"/>
        </w:rPr>
        <w:tab/>
      </w:r>
      <w:r w:rsidR="00005F43" w:rsidRPr="00F15147">
        <w:rPr>
          <w:sz w:val="20"/>
          <w:szCs w:val="20"/>
          <w:lang w:val="es-ES"/>
        </w:rPr>
        <w:t>En el caso que nos ocupa, la insuficiente valoración conjunta de las declaraciones y hechos que fueron objeto de la querella, ha llevado al Tribunal local a emitir una decisión que dejó a los autores sin la protección debida frente a la apología del odio.</w:t>
      </w:r>
    </w:p>
    <w:p w14:paraId="0DE2B686" w14:textId="09DA9B6A" w:rsidR="00005F43" w:rsidRPr="00F15147" w:rsidRDefault="008B6CE5" w:rsidP="008B6CE5">
      <w:pPr>
        <w:pStyle w:val="SingleTxtG"/>
        <w:rPr>
          <w:sz w:val="20"/>
          <w:szCs w:val="20"/>
          <w:lang w:val="es-ES"/>
        </w:rPr>
      </w:pPr>
      <w:r w:rsidRPr="00F15147">
        <w:rPr>
          <w:sz w:val="20"/>
          <w:szCs w:val="20"/>
          <w:lang w:val="es-ES"/>
        </w:rPr>
        <w:t>7.</w:t>
      </w:r>
      <w:r w:rsidRPr="00F15147">
        <w:rPr>
          <w:sz w:val="20"/>
          <w:szCs w:val="20"/>
          <w:lang w:val="es-ES"/>
        </w:rPr>
        <w:tab/>
      </w:r>
      <w:r w:rsidR="00005F43" w:rsidRPr="00F15147">
        <w:rPr>
          <w:sz w:val="20"/>
          <w:szCs w:val="20"/>
          <w:lang w:val="es-ES"/>
        </w:rPr>
        <w:t>En efecto: si bien es cierto que la libertad de expresión engloba incluso declaraciones que puedan considerarse profundamente ofensivas, aquí se ha superado dicho umbral. Dichas expresiones, entendiendo como tales no solamente las declaraciones públicas sino también el contenido de la película Fitna, en su conjunto constituyen apología del odio, que debió ser sancionada para garantizar debidamente los derechos de los autores de la presente comunicación. A mi entender los autores contaron con un recurso que es eficaz en teoría pero que en la práctica no resultó efectivo.</w:t>
      </w:r>
    </w:p>
    <w:p w14:paraId="4D80F391" w14:textId="797B4A34" w:rsidR="00005F43" w:rsidRPr="00F15147" w:rsidRDefault="008B6CE5" w:rsidP="008B6CE5">
      <w:pPr>
        <w:pStyle w:val="SingleTxtG"/>
        <w:rPr>
          <w:sz w:val="20"/>
          <w:szCs w:val="20"/>
          <w:lang w:val="es-ES"/>
        </w:rPr>
      </w:pPr>
      <w:r w:rsidRPr="00F15147">
        <w:rPr>
          <w:sz w:val="20"/>
          <w:szCs w:val="20"/>
          <w:lang w:val="es-ES"/>
        </w:rPr>
        <w:t>8.</w:t>
      </w:r>
      <w:r w:rsidRPr="00F15147">
        <w:rPr>
          <w:sz w:val="20"/>
          <w:szCs w:val="20"/>
          <w:lang w:val="es-ES"/>
        </w:rPr>
        <w:tab/>
      </w:r>
      <w:r w:rsidR="00005F43" w:rsidRPr="00F15147">
        <w:rPr>
          <w:sz w:val="20"/>
          <w:szCs w:val="20"/>
          <w:lang w:val="es-ES"/>
        </w:rPr>
        <w:t xml:space="preserve">Comparto el criterio del Comité respecto de que el Pacto no obliga a que toda persona acusada de apología del odio sea condenada penalmente, porque una acusación puede recaer sobre personas que resulten inocentes o culpables. Sin embargo, en caso de que efectivamente se haya incurrido en apología del odio la garantía no puede consistir en </w:t>
      </w:r>
      <w:r w:rsidR="00005F43" w:rsidRPr="00F15147">
        <w:rPr>
          <w:sz w:val="20"/>
          <w:szCs w:val="20"/>
          <w:lang w:val="es-ES"/>
        </w:rPr>
        <w:lastRenderedPageBreak/>
        <w:t>un mero enjuiciamiento, sino en la sanción efectiva de la conducta; ello es consistente con lo que ha señalado el Comité en diversas ocasiones</w:t>
      </w:r>
      <w:r w:rsidR="002E63AC">
        <w:rPr>
          <w:rStyle w:val="FootnoteReference"/>
          <w:szCs w:val="20"/>
          <w:lang w:val="es-ES"/>
        </w:rPr>
        <w:footnoteReference w:id="32"/>
      </w:r>
      <w:r w:rsidR="00005F43" w:rsidRPr="00F15147">
        <w:rPr>
          <w:sz w:val="20"/>
          <w:szCs w:val="20"/>
          <w:lang w:val="es-ES"/>
        </w:rPr>
        <w:t>.</w:t>
      </w:r>
    </w:p>
    <w:p w14:paraId="670CE70D" w14:textId="4A4CA5A3" w:rsidR="00005F43" w:rsidRPr="00F15147" w:rsidRDefault="008B6CE5" w:rsidP="008B6CE5">
      <w:pPr>
        <w:pStyle w:val="SingleTxtG"/>
        <w:rPr>
          <w:sz w:val="20"/>
          <w:szCs w:val="20"/>
          <w:lang w:val="es-ES"/>
        </w:rPr>
      </w:pPr>
      <w:r w:rsidRPr="00F15147">
        <w:rPr>
          <w:sz w:val="20"/>
          <w:szCs w:val="20"/>
          <w:lang w:val="es-ES"/>
        </w:rPr>
        <w:t>9.</w:t>
      </w:r>
      <w:r w:rsidRPr="00F15147">
        <w:rPr>
          <w:sz w:val="20"/>
          <w:szCs w:val="20"/>
          <w:lang w:val="es-ES"/>
        </w:rPr>
        <w:tab/>
      </w:r>
      <w:r w:rsidR="00005F43" w:rsidRPr="00F15147">
        <w:rPr>
          <w:sz w:val="20"/>
          <w:szCs w:val="20"/>
          <w:lang w:val="es-ES"/>
        </w:rPr>
        <w:t xml:space="preserve">Por eso, en el caso bajo análisis el Comité no debió limitarse a valorar en general si se habían cumplido los requisitos relativos al debido proceso, sino considerar los hechos denunciados para evaluar si quedaban comprendidos en la conducta que el artículo 20 del Pacto ordena prohibir. </w:t>
      </w:r>
    </w:p>
    <w:p w14:paraId="7508D4B5" w14:textId="1A625B13" w:rsidR="00005F43" w:rsidRPr="00F15147" w:rsidRDefault="008B6CE5" w:rsidP="008B6CE5">
      <w:pPr>
        <w:pStyle w:val="SingleTxtG"/>
        <w:rPr>
          <w:sz w:val="20"/>
          <w:szCs w:val="20"/>
          <w:lang w:val="es-ES"/>
        </w:rPr>
      </w:pPr>
      <w:r w:rsidRPr="00F15147">
        <w:rPr>
          <w:sz w:val="20"/>
          <w:szCs w:val="20"/>
          <w:lang w:val="es-ES"/>
        </w:rPr>
        <w:t>10.</w:t>
      </w:r>
      <w:r w:rsidRPr="00F15147">
        <w:rPr>
          <w:sz w:val="20"/>
          <w:szCs w:val="20"/>
          <w:lang w:val="es-ES"/>
        </w:rPr>
        <w:tab/>
      </w:r>
      <w:r w:rsidR="00005F43" w:rsidRPr="00F15147">
        <w:rPr>
          <w:sz w:val="20"/>
          <w:szCs w:val="20"/>
          <w:lang w:val="es-ES"/>
        </w:rPr>
        <w:t>Ello no significa funcionar como una cuarta instancia; el Comité en muchas ocasiones considera que los tribunales internos no han tenido en cuenta debidamente todos los elementos a su disposición, lo que les ha conducido a una valoración inadecuada de los hechos</w:t>
      </w:r>
      <w:r w:rsidR="002E63AC">
        <w:rPr>
          <w:rStyle w:val="FootnoteReference"/>
          <w:szCs w:val="20"/>
          <w:lang w:val="es-ES"/>
        </w:rPr>
        <w:footnoteReference w:id="33"/>
      </w:r>
      <w:r w:rsidR="00005F43" w:rsidRPr="00F15147">
        <w:rPr>
          <w:sz w:val="20"/>
          <w:szCs w:val="20"/>
          <w:lang w:val="es-ES"/>
        </w:rPr>
        <w:t>.</w:t>
      </w:r>
      <w:r w:rsidR="001E3A94" w:rsidRPr="00F15147">
        <w:rPr>
          <w:rStyle w:val="FootnoteReference"/>
          <w:szCs w:val="20"/>
          <w:lang w:val="es-ES"/>
        </w:rPr>
        <w:t xml:space="preserve"> </w:t>
      </w:r>
    </w:p>
    <w:p w14:paraId="6ED50EAD" w14:textId="02413386" w:rsidR="00005F43" w:rsidRPr="00F15147" w:rsidRDefault="008B6CE5" w:rsidP="008B6CE5">
      <w:pPr>
        <w:pStyle w:val="SingleTxtG"/>
        <w:rPr>
          <w:sz w:val="20"/>
          <w:szCs w:val="20"/>
          <w:lang w:val="es-ES"/>
        </w:rPr>
      </w:pPr>
      <w:r w:rsidRPr="00F15147">
        <w:rPr>
          <w:sz w:val="20"/>
          <w:szCs w:val="20"/>
          <w:lang w:val="es-ES"/>
        </w:rPr>
        <w:t>11.</w:t>
      </w:r>
      <w:r w:rsidRPr="00F15147">
        <w:rPr>
          <w:sz w:val="20"/>
          <w:szCs w:val="20"/>
          <w:lang w:val="es-ES"/>
        </w:rPr>
        <w:tab/>
      </w:r>
      <w:r w:rsidR="00005F43" w:rsidRPr="00F15147">
        <w:rPr>
          <w:sz w:val="20"/>
          <w:szCs w:val="20"/>
          <w:lang w:val="es-ES"/>
        </w:rPr>
        <w:t>El Comité debió, en consecuencia, hacer lugar al reclamo de los autores, disponer que el dictamen representa en sí mismo una forma de reparación, y señalar como garantía de no repetición la capacitación de funcionarios de la justicia en materia de protección de las personas frente a la apología del odio, desde una perspectiva de derechos humanos.</w:t>
      </w:r>
    </w:p>
    <w:p w14:paraId="7EA0E47A" w14:textId="025B43B5" w:rsidR="00005F43" w:rsidRPr="00F15147" w:rsidRDefault="008B6CE5" w:rsidP="008B6CE5">
      <w:pPr>
        <w:pStyle w:val="SingleTxtG"/>
        <w:rPr>
          <w:sz w:val="20"/>
          <w:szCs w:val="20"/>
          <w:lang w:val="es-ES"/>
        </w:rPr>
      </w:pPr>
      <w:r w:rsidRPr="00F15147">
        <w:rPr>
          <w:sz w:val="20"/>
          <w:szCs w:val="20"/>
          <w:lang w:val="es-ES"/>
        </w:rPr>
        <w:t>12.</w:t>
      </w:r>
      <w:r w:rsidRPr="00F15147">
        <w:rPr>
          <w:sz w:val="20"/>
          <w:szCs w:val="20"/>
          <w:lang w:val="es-ES"/>
        </w:rPr>
        <w:tab/>
      </w:r>
      <w:r w:rsidR="00005F43" w:rsidRPr="00F15147">
        <w:rPr>
          <w:sz w:val="20"/>
          <w:szCs w:val="20"/>
          <w:lang w:val="es-ES"/>
        </w:rPr>
        <w:t>Detrás del sano debate sobre las políticas públicas, que permite declaraciones ofensivas y las críticas más fuertes - incluso injustas - a quienes gobiernan en un Estado, no deben escudarse los discursos de odio nacional, racial o religioso. Los artículos 19 y 20 del Pacto son perfectamente compatibles, y tengo la esperanza de que en adelante las jurisdicciones nacionales de los Estados Partes actuarán de forma debida frente a la apología del odio, reaccionaando a tiempo y sancionando adecuadamente los discursos que derivaron – hace no demasiado tiempo – en la comisión de hechos atroces para la humanidad.</w:t>
      </w:r>
    </w:p>
    <w:p w14:paraId="1B65B1CA" w14:textId="77777777" w:rsidR="002E63AC" w:rsidRDefault="002E63AC" w:rsidP="00005F43">
      <w:pPr>
        <w:suppressAutoHyphens w:val="0"/>
        <w:spacing w:line="240" w:lineRule="auto"/>
        <w:rPr>
          <w:sz w:val="20"/>
          <w:szCs w:val="20"/>
          <w:u w:val="single"/>
          <w:lang w:val="es-ES"/>
        </w:rPr>
        <w:sectPr w:rsidR="002E63AC" w:rsidSect="00473AD7">
          <w:headerReference w:type="even" r:id="rId17"/>
          <w:headerReference w:type="first" r:id="rId18"/>
          <w:footerReference w:type="first" r:id="rId19"/>
          <w:footnotePr>
            <w:numFmt w:val="lowerLetter"/>
            <w:numRestart w:val="eachSect"/>
          </w:footnotePr>
          <w:endnotePr>
            <w:numFmt w:val="decimal"/>
          </w:endnotePr>
          <w:pgSz w:w="11907" w:h="16840" w:code="9"/>
          <w:pgMar w:top="1523" w:right="1134" w:bottom="1134" w:left="1134" w:header="1134" w:footer="1701" w:gutter="0"/>
          <w:cols w:space="720"/>
          <w:docGrid w:linePitch="326"/>
        </w:sectPr>
      </w:pPr>
    </w:p>
    <w:p w14:paraId="4B6062B9" w14:textId="5CD398CB" w:rsidR="00005F43" w:rsidRPr="00F15147" w:rsidRDefault="00B93CAC" w:rsidP="00F15147">
      <w:pPr>
        <w:pStyle w:val="HChG"/>
      </w:pPr>
      <w:r w:rsidRPr="00F15147">
        <w:rPr>
          <w:lang w:val="es-ES"/>
        </w:rPr>
        <w:lastRenderedPageBreak/>
        <w:tab/>
      </w:r>
      <w:r w:rsidR="004E0DD3" w:rsidRPr="00EC1FEE">
        <w:t>Annex III</w:t>
      </w:r>
    </w:p>
    <w:p w14:paraId="4BB843AD" w14:textId="2E94005A" w:rsidR="00005F43" w:rsidRPr="00F15147" w:rsidRDefault="00005F43" w:rsidP="00F15147">
      <w:pPr>
        <w:pStyle w:val="HChG"/>
      </w:pPr>
      <w:r w:rsidRPr="00EC1FEE">
        <w:tab/>
      </w:r>
      <w:r w:rsidRPr="00EC1FEE">
        <w:tab/>
      </w:r>
      <w:r w:rsidRPr="00F15147">
        <w:t>Individual opinion (</w:t>
      </w:r>
      <w:r w:rsidRPr="00F15147">
        <w:rPr>
          <w:lang w:bidi="he-IL"/>
        </w:rPr>
        <w:t>partly concurring and partly dissenting</w:t>
      </w:r>
      <w:r w:rsidRPr="00F15147">
        <w:rPr>
          <w:rtl/>
          <w:lang w:bidi="he-IL"/>
        </w:rPr>
        <w:t>(</w:t>
      </w:r>
      <w:r w:rsidRPr="00F15147">
        <w:t xml:space="preserve"> of Committee members </w:t>
      </w:r>
      <w:r w:rsidRPr="00F15147">
        <w:rPr>
          <w:lang w:bidi="he-IL"/>
        </w:rPr>
        <w:t>Yuval Shany and Sir Nigel Rodley</w:t>
      </w:r>
    </w:p>
    <w:p w14:paraId="77090FF9" w14:textId="42D86303" w:rsidR="00005F43" w:rsidRPr="00EC1FEE" w:rsidRDefault="008B6CE5" w:rsidP="008B6CE5">
      <w:pPr>
        <w:pStyle w:val="SingleTxtG"/>
        <w:rPr>
          <w:sz w:val="20"/>
          <w:szCs w:val="20"/>
          <w:lang w:val="en-GB" w:bidi="he-IL"/>
        </w:rPr>
      </w:pPr>
      <w:r w:rsidRPr="00EC1FEE">
        <w:rPr>
          <w:sz w:val="20"/>
          <w:szCs w:val="20"/>
          <w:lang w:val="en-GB" w:bidi="he-IL"/>
        </w:rPr>
        <w:t>1.</w:t>
      </w:r>
      <w:r w:rsidRPr="00EC1FEE">
        <w:rPr>
          <w:sz w:val="20"/>
          <w:szCs w:val="20"/>
          <w:lang w:val="en-GB" w:bidi="he-IL"/>
        </w:rPr>
        <w:tab/>
      </w:r>
      <w:r w:rsidR="00005F43" w:rsidRPr="00EC1FEE">
        <w:rPr>
          <w:sz w:val="20"/>
          <w:szCs w:val="20"/>
          <w:lang w:val="en-GB" w:bidi="he-IL"/>
        </w:rPr>
        <w:t xml:space="preserve">We agree with the Committee that there is no basis to find a violation of the Covenant in the present case. The Committee does not serve as a court of final appeal, and has no reason to doubt the outcome of a criminal case, involving the application in good faith by an independent court of a criminal law provision, which the authors themselves consider to meet the requirements of article 20 of the Covenant. </w:t>
      </w:r>
    </w:p>
    <w:p w14:paraId="31B6B247" w14:textId="2E3F0610" w:rsidR="00005F43" w:rsidRPr="00EC1FEE" w:rsidRDefault="008B6CE5" w:rsidP="008B6CE5">
      <w:pPr>
        <w:pStyle w:val="SingleTxtG"/>
        <w:rPr>
          <w:sz w:val="20"/>
          <w:szCs w:val="20"/>
          <w:lang w:val="en-GB" w:bidi="he-IL"/>
        </w:rPr>
      </w:pPr>
      <w:r w:rsidRPr="00EC1FEE">
        <w:rPr>
          <w:sz w:val="20"/>
          <w:szCs w:val="20"/>
          <w:lang w:val="en-GB" w:bidi="he-IL"/>
        </w:rPr>
        <w:t>2.</w:t>
      </w:r>
      <w:r w:rsidRPr="00EC1FEE">
        <w:rPr>
          <w:sz w:val="20"/>
          <w:szCs w:val="20"/>
          <w:lang w:val="en-GB" w:bidi="he-IL"/>
        </w:rPr>
        <w:tab/>
      </w:r>
      <w:r w:rsidR="00005F43" w:rsidRPr="00EC1FEE">
        <w:rPr>
          <w:sz w:val="20"/>
          <w:szCs w:val="20"/>
          <w:lang w:val="en-GB" w:bidi="he-IL"/>
        </w:rPr>
        <w:t xml:space="preserve">We are, however, not persuaded that the Committee should have taken jurisdiction over the case to begin with, since the failure of the authors to bring civil proceedings against </w:t>
      </w:r>
      <w:r w:rsidR="006837AA">
        <w:rPr>
          <w:sz w:val="20"/>
          <w:szCs w:val="20"/>
          <w:lang w:val="en-GB" w:bidi="he-IL"/>
        </w:rPr>
        <w:t>Mr. </w:t>
      </w:r>
      <w:r w:rsidR="00005F43" w:rsidRPr="00EC1FEE">
        <w:rPr>
          <w:sz w:val="20"/>
          <w:szCs w:val="20"/>
          <w:lang w:val="en-GB" w:bidi="he-IL"/>
        </w:rPr>
        <w:t xml:space="preserve">Wilders pursuant to </w:t>
      </w:r>
      <w:r w:rsidR="00005F43" w:rsidRPr="00EC1FEE">
        <w:rPr>
          <w:sz w:val="20"/>
          <w:szCs w:val="20"/>
          <w:lang w:val="en-GB"/>
        </w:rPr>
        <w:t xml:space="preserve">article 6:162 of the Civil Code represents in our view a failure </w:t>
      </w:r>
      <w:r w:rsidR="00005F43" w:rsidRPr="00EC1FEE">
        <w:rPr>
          <w:sz w:val="20"/>
          <w:szCs w:val="20"/>
          <w:lang w:val="en-GB" w:bidi="he-IL"/>
        </w:rPr>
        <w:t xml:space="preserve">to exhaust domestic remedies. </w:t>
      </w:r>
    </w:p>
    <w:p w14:paraId="48E21A25" w14:textId="7FE278BE" w:rsidR="00005F43" w:rsidRPr="00EC1FEE" w:rsidRDefault="008B6CE5" w:rsidP="008B6CE5">
      <w:pPr>
        <w:pStyle w:val="SingleTxtG"/>
        <w:rPr>
          <w:sz w:val="20"/>
          <w:szCs w:val="20"/>
          <w:lang w:val="en-GB" w:bidi="he-IL"/>
        </w:rPr>
      </w:pPr>
      <w:r w:rsidRPr="00EC1FEE">
        <w:rPr>
          <w:sz w:val="20"/>
          <w:szCs w:val="20"/>
          <w:lang w:val="en-GB" w:bidi="he-IL"/>
        </w:rPr>
        <w:t>3.</w:t>
      </w:r>
      <w:r w:rsidRPr="00EC1FEE">
        <w:rPr>
          <w:sz w:val="20"/>
          <w:szCs w:val="20"/>
          <w:lang w:val="en-GB" w:bidi="he-IL"/>
        </w:rPr>
        <w:tab/>
      </w:r>
      <w:r w:rsidR="00005F43" w:rsidRPr="00EC1FEE">
        <w:rPr>
          <w:sz w:val="20"/>
          <w:szCs w:val="20"/>
          <w:lang w:val="en-GB" w:bidi="he-IL"/>
        </w:rPr>
        <w:t xml:space="preserve">The majority of members took the position that the authors sought </w:t>
      </w:r>
      <w:r w:rsidR="00005F43" w:rsidRPr="00C67E38">
        <w:rPr>
          <w:sz w:val="20"/>
          <w:szCs w:val="20"/>
          <w:lang w:val="en-GB"/>
        </w:rPr>
        <w:t xml:space="preserve">that </w:t>
      </w:r>
      <w:r w:rsidR="006837AA">
        <w:rPr>
          <w:sz w:val="20"/>
          <w:szCs w:val="20"/>
          <w:lang w:val="en-GB"/>
        </w:rPr>
        <w:t>Mr. </w:t>
      </w:r>
      <w:r w:rsidR="00005F43" w:rsidRPr="00C67E38">
        <w:rPr>
          <w:sz w:val="20"/>
          <w:szCs w:val="20"/>
          <w:lang w:val="en-GB" w:bidi="he-IL"/>
        </w:rPr>
        <w:t>Wilders’</w:t>
      </w:r>
      <w:r w:rsidR="00005F43" w:rsidRPr="00C67E38">
        <w:rPr>
          <w:sz w:val="20"/>
          <w:szCs w:val="20"/>
          <w:lang w:val="en-GB"/>
        </w:rPr>
        <w:t xml:space="preserve"> conduct be evaluated and characterised as criminal within the definition contained in section 137d</w:t>
      </w:r>
      <w:r w:rsidR="00B93A39" w:rsidRPr="00C67E38">
        <w:rPr>
          <w:sz w:val="20"/>
          <w:szCs w:val="20"/>
          <w:lang w:val="en-GB"/>
        </w:rPr>
        <w:t xml:space="preserve"> </w:t>
      </w:r>
      <w:r w:rsidR="00B93A39" w:rsidRPr="00C67E38">
        <w:rPr>
          <w:sz w:val="20"/>
          <w:lang w:val="en-GB"/>
        </w:rPr>
        <w:t>of the Criminal Code</w:t>
      </w:r>
      <w:r w:rsidR="00005F43" w:rsidRPr="00EC1FEE">
        <w:rPr>
          <w:sz w:val="20"/>
          <w:szCs w:val="20"/>
          <w:lang w:val="en-GB"/>
        </w:rPr>
        <w:t>, and that “th</w:t>
      </w:r>
      <w:r w:rsidR="00637A7D">
        <w:rPr>
          <w:sz w:val="20"/>
          <w:szCs w:val="20"/>
          <w:lang w:val="en-GB"/>
        </w:rPr>
        <w:t>at</w:t>
      </w:r>
      <w:r w:rsidR="00005F43" w:rsidRPr="00EC1FEE">
        <w:rPr>
          <w:sz w:val="20"/>
          <w:szCs w:val="20"/>
          <w:lang w:val="en-GB"/>
        </w:rPr>
        <w:t xml:space="preserve"> determination could be obtained </w:t>
      </w:r>
      <w:r w:rsidR="00637A7D">
        <w:rPr>
          <w:sz w:val="20"/>
          <w:szCs w:val="20"/>
          <w:lang w:val="en-GB"/>
        </w:rPr>
        <w:t xml:space="preserve">only </w:t>
      </w:r>
      <w:r w:rsidR="00005F43" w:rsidRPr="00EC1FEE">
        <w:rPr>
          <w:sz w:val="20"/>
          <w:szCs w:val="20"/>
          <w:lang w:val="en-GB"/>
        </w:rPr>
        <w:t>in criminal proceedings” (para. 9.4). As a result, they were of the opinion that the initiation of separate civil proceedings by the authors would not have constituted an effective remedy. This position stands, however, in marked contrast to the holding by the Committee on the merits (para. 10.4) that article 20 of the Covenant does not expressly require criminal penalties to accompany the prohibition of incitement to discrimination, hostility of violence, and that a legal prohibition effectively enforceable by administrative or civil remedies may also meet the requirements of article 20.</w:t>
      </w:r>
      <w:r w:rsidR="004B68FC">
        <w:rPr>
          <w:rStyle w:val="FootnoteReference"/>
          <w:szCs w:val="20"/>
          <w:lang w:val="en-GB"/>
        </w:rPr>
        <w:footnoteReference w:id="34"/>
      </w:r>
      <w:r w:rsidR="00005F43" w:rsidRPr="00EC1FEE">
        <w:rPr>
          <w:sz w:val="20"/>
          <w:szCs w:val="20"/>
          <w:lang w:val="en-GB"/>
        </w:rPr>
        <w:t xml:space="preserve"> </w:t>
      </w:r>
    </w:p>
    <w:p w14:paraId="2511DACE" w14:textId="4DF9B6B1" w:rsidR="00005F43" w:rsidRPr="00EC1FEE" w:rsidRDefault="008B6CE5" w:rsidP="008B6CE5">
      <w:pPr>
        <w:pStyle w:val="SingleTxtG"/>
        <w:rPr>
          <w:sz w:val="20"/>
          <w:szCs w:val="20"/>
          <w:lang w:val="en-GB" w:bidi="he-IL"/>
        </w:rPr>
      </w:pPr>
      <w:r w:rsidRPr="00EC1FEE">
        <w:rPr>
          <w:sz w:val="20"/>
          <w:szCs w:val="20"/>
          <w:lang w:val="en-GB" w:bidi="he-IL"/>
        </w:rPr>
        <w:t>4.</w:t>
      </w:r>
      <w:r w:rsidRPr="00EC1FEE">
        <w:rPr>
          <w:sz w:val="20"/>
          <w:szCs w:val="20"/>
          <w:lang w:val="en-GB" w:bidi="he-IL"/>
        </w:rPr>
        <w:tab/>
      </w:r>
      <w:r w:rsidR="00005F43" w:rsidRPr="00EC1FEE">
        <w:rPr>
          <w:sz w:val="20"/>
          <w:szCs w:val="20"/>
          <w:lang w:val="en-GB" w:bidi="he-IL"/>
        </w:rPr>
        <w:t xml:space="preserve">To our mind, the authors have not adequately explained why proceedings based on </w:t>
      </w:r>
      <w:r w:rsidR="00005F43" w:rsidRPr="00EC1FEE">
        <w:rPr>
          <w:sz w:val="20"/>
          <w:szCs w:val="20"/>
          <w:lang w:val="en-GB"/>
        </w:rPr>
        <w:t xml:space="preserve">article 6:162 of the Civil Code, in which civil remedies for acts contrary to article 20 of the Covenant could be sought, would not offer </w:t>
      </w:r>
      <w:r w:rsidR="00005F43" w:rsidRPr="00EC1FEE">
        <w:rPr>
          <w:sz w:val="20"/>
          <w:szCs w:val="20"/>
          <w:lang w:val="en-GB" w:bidi="he-IL"/>
        </w:rPr>
        <w:t>them</w:t>
      </w:r>
      <w:r w:rsidR="00005F43" w:rsidRPr="00EC1FEE">
        <w:rPr>
          <w:sz w:val="20"/>
          <w:szCs w:val="20"/>
          <w:lang w:val="en-GB"/>
        </w:rPr>
        <w:t xml:space="preserve"> an effective </w:t>
      </w:r>
      <w:r w:rsidR="00005F43" w:rsidRPr="00EC1FEE">
        <w:rPr>
          <w:sz w:val="20"/>
          <w:szCs w:val="20"/>
          <w:lang w:val="en-GB" w:bidi="he-IL"/>
        </w:rPr>
        <w:t>remedy</w:t>
      </w:r>
      <w:r w:rsidR="00005F43" w:rsidRPr="00EC1FEE">
        <w:rPr>
          <w:sz w:val="20"/>
          <w:szCs w:val="20"/>
          <w:lang w:val="en-GB"/>
        </w:rPr>
        <w:t xml:space="preserve"> in the particular circumstances of the case. The authors have not contested the State party’s assertion that civil proceedings may result not only in the award of monetary compensation, but may also entail a legal ban on future statements by </w:t>
      </w:r>
      <w:r w:rsidR="006837AA">
        <w:rPr>
          <w:sz w:val="20"/>
          <w:szCs w:val="20"/>
          <w:lang w:val="en-GB"/>
        </w:rPr>
        <w:t>Mr. </w:t>
      </w:r>
      <w:r w:rsidR="00005F43" w:rsidRPr="00EC1FEE">
        <w:rPr>
          <w:sz w:val="20"/>
          <w:szCs w:val="20"/>
          <w:lang w:val="en-GB"/>
        </w:rPr>
        <w:t>Wilders and a declaratory judgment proclaiming the illegality of his statements (para. 4.4). Such a set of remedies could be deemed, in principle, a reasonable way to implement the State party’s obligations under article 20, especially when complemented by the ‘chilling effect’ achieved by the mere existence of a criminal law prohibition, which can be applied in suitable cases.</w:t>
      </w:r>
      <w:r w:rsidR="0033228B">
        <w:rPr>
          <w:sz w:val="20"/>
          <w:szCs w:val="20"/>
          <w:lang w:val="en-GB"/>
        </w:rPr>
        <w:t xml:space="preserve"> </w:t>
      </w:r>
    </w:p>
    <w:p w14:paraId="3903D0C0" w14:textId="72D7703D" w:rsidR="00005F43" w:rsidRPr="00EC1FEE" w:rsidRDefault="008B6CE5" w:rsidP="008B6CE5">
      <w:pPr>
        <w:pStyle w:val="SingleTxtG"/>
        <w:rPr>
          <w:sz w:val="20"/>
          <w:szCs w:val="20"/>
          <w:lang w:val="en-GB" w:bidi="he-IL"/>
        </w:rPr>
      </w:pPr>
      <w:r w:rsidRPr="00EC1FEE">
        <w:rPr>
          <w:sz w:val="20"/>
          <w:szCs w:val="20"/>
          <w:lang w:val="en-GB" w:bidi="he-IL"/>
        </w:rPr>
        <w:t>5.</w:t>
      </w:r>
      <w:r w:rsidRPr="00EC1FEE">
        <w:rPr>
          <w:sz w:val="20"/>
          <w:szCs w:val="20"/>
          <w:lang w:val="en-GB" w:bidi="he-IL"/>
        </w:rPr>
        <w:tab/>
      </w:r>
      <w:r w:rsidR="00005F43" w:rsidRPr="00EC1FEE">
        <w:rPr>
          <w:sz w:val="20"/>
          <w:szCs w:val="20"/>
          <w:lang w:val="en-GB"/>
        </w:rPr>
        <w:t xml:space="preserve">Thus, the question is not, as implied by the majority, what remedies the authors </w:t>
      </w:r>
      <w:r w:rsidR="00005F43" w:rsidRPr="00EC1FEE">
        <w:rPr>
          <w:i/>
          <w:iCs/>
          <w:sz w:val="20"/>
          <w:szCs w:val="20"/>
          <w:lang w:val="en-GB"/>
        </w:rPr>
        <w:t>sought</w:t>
      </w:r>
      <w:r w:rsidR="00005F43" w:rsidRPr="00EC1FEE">
        <w:rPr>
          <w:sz w:val="20"/>
          <w:szCs w:val="20"/>
          <w:lang w:val="en-GB"/>
        </w:rPr>
        <w:t xml:space="preserve"> to achieve, but rather what effective remedies the State party made available to them for enforcing their rights under the Covenant. In the circumstances of the case, we do not consider it refuted that the remedies offered in civil proceedings were sufficiently robust to be regarded as effective to implement the State party’s article 20 obligations. In fact, the lower burden of proof </w:t>
      </w:r>
      <w:r w:rsidR="00005F43" w:rsidRPr="00EC1FEE">
        <w:rPr>
          <w:sz w:val="20"/>
          <w:szCs w:val="20"/>
          <w:lang w:val="en-GB" w:bidi="he-IL"/>
        </w:rPr>
        <w:t>applicable</w:t>
      </w:r>
      <w:r w:rsidR="00005F43" w:rsidRPr="00EC1FEE">
        <w:rPr>
          <w:sz w:val="20"/>
          <w:szCs w:val="20"/>
          <w:lang w:val="en-GB"/>
        </w:rPr>
        <w:t xml:space="preserve"> in civil proceedings (which falls short of the criminal ‘beyond reasonable doubt’ standard) may render such proceedings more effective in curbing hate speech for aggrieved individuals than the ‘aggrieved parties’ procedure pursued by the authors, which allowed them to join as civil parties the criminal case against </w:t>
      </w:r>
      <w:r w:rsidR="006837AA">
        <w:rPr>
          <w:sz w:val="20"/>
          <w:szCs w:val="20"/>
          <w:lang w:val="en-GB"/>
        </w:rPr>
        <w:t>Mr. </w:t>
      </w:r>
      <w:r w:rsidR="00005F43" w:rsidRPr="00EC1FEE">
        <w:rPr>
          <w:sz w:val="20"/>
          <w:szCs w:val="20"/>
          <w:lang w:val="en-GB"/>
        </w:rPr>
        <w:t>Wilders.</w:t>
      </w:r>
    </w:p>
    <w:p w14:paraId="626C2D44" w14:textId="6F10CEB9" w:rsidR="00005F43" w:rsidRPr="00EC1FEE" w:rsidRDefault="008B6CE5" w:rsidP="008B6CE5">
      <w:pPr>
        <w:pStyle w:val="SingleTxtG"/>
        <w:rPr>
          <w:sz w:val="20"/>
          <w:szCs w:val="20"/>
          <w:lang w:val="en-GB" w:bidi="he-IL"/>
        </w:rPr>
      </w:pPr>
      <w:r w:rsidRPr="00EC1FEE">
        <w:rPr>
          <w:sz w:val="20"/>
          <w:szCs w:val="20"/>
          <w:lang w:val="en-GB" w:bidi="he-IL"/>
        </w:rPr>
        <w:lastRenderedPageBreak/>
        <w:t>6.</w:t>
      </w:r>
      <w:r w:rsidRPr="00EC1FEE">
        <w:rPr>
          <w:sz w:val="20"/>
          <w:szCs w:val="20"/>
          <w:lang w:val="en-GB" w:bidi="he-IL"/>
        </w:rPr>
        <w:tab/>
      </w:r>
      <w:r w:rsidR="00005F43" w:rsidRPr="00EC1FEE">
        <w:rPr>
          <w:sz w:val="20"/>
          <w:szCs w:val="20"/>
          <w:lang w:val="en-GB"/>
        </w:rPr>
        <w:t xml:space="preserve">Finally, we wish to register our position, according to which article 20(2) of the Covenant does not create an independent human right to be protected by legislation </w:t>
      </w:r>
      <w:r w:rsidR="00005F43" w:rsidRPr="00EC1FEE">
        <w:rPr>
          <w:sz w:val="20"/>
          <w:szCs w:val="20"/>
          <w:lang w:val="en-GB" w:bidi="he-IL"/>
        </w:rPr>
        <w:t>prohibiting</w:t>
      </w:r>
      <w:r w:rsidR="00005F43" w:rsidRPr="00EC1FEE">
        <w:rPr>
          <w:sz w:val="20"/>
          <w:szCs w:val="20"/>
          <w:lang w:val="en-GB"/>
        </w:rPr>
        <w:t xml:space="preserve"> hate speech. Instead, the article imposes an obligation on States parties to pass legislation in order to protect national, </w:t>
      </w:r>
      <w:r w:rsidR="00005F43" w:rsidRPr="00EC1FEE">
        <w:rPr>
          <w:color w:val="000000"/>
          <w:sz w:val="20"/>
          <w:szCs w:val="20"/>
          <w:shd w:val="clear" w:color="auto" w:fill="FFFFFF"/>
          <w:lang w:val="en-GB" w:bidi="he-IL"/>
        </w:rPr>
        <w:t>racial or religious</w:t>
      </w:r>
      <w:r w:rsidR="00162BFE">
        <w:rPr>
          <w:color w:val="000000"/>
          <w:sz w:val="20"/>
          <w:szCs w:val="20"/>
          <w:shd w:val="clear" w:color="auto" w:fill="FFFFFF"/>
          <w:lang w:val="en-GB" w:bidi="he-IL"/>
        </w:rPr>
        <w:t xml:space="preserve"> </w:t>
      </w:r>
      <w:r w:rsidR="00005F43" w:rsidRPr="00EC1FEE">
        <w:rPr>
          <w:color w:val="000000"/>
          <w:sz w:val="20"/>
          <w:szCs w:val="20"/>
          <w:shd w:val="clear" w:color="auto" w:fill="FFFFFF"/>
          <w:lang w:val="en-GB" w:bidi="he-IL"/>
        </w:rPr>
        <w:t xml:space="preserve">groups against discrimination, hostility and violence – i.e., to prohibit an infringement of certain aspects of Covenant rights, such as articles 6 (right to life), 7 (prohibition of ill-treatment), 9 (right to security of person) and 26 (prohibition of discrimination). </w:t>
      </w:r>
    </w:p>
    <w:p w14:paraId="6B116989" w14:textId="7B6865A8" w:rsidR="00005F43" w:rsidRPr="00EC1FEE" w:rsidRDefault="008B6CE5" w:rsidP="008B6CE5">
      <w:pPr>
        <w:pStyle w:val="SingleTxtG"/>
        <w:rPr>
          <w:sz w:val="20"/>
          <w:szCs w:val="20"/>
          <w:lang w:val="en-GB" w:bidi="he-IL"/>
        </w:rPr>
      </w:pPr>
      <w:r w:rsidRPr="00EC1FEE">
        <w:rPr>
          <w:sz w:val="20"/>
          <w:szCs w:val="20"/>
          <w:lang w:val="en-GB" w:bidi="he-IL"/>
        </w:rPr>
        <w:t>7.</w:t>
      </w:r>
      <w:r w:rsidRPr="00EC1FEE">
        <w:rPr>
          <w:sz w:val="20"/>
          <w:szCs w:val="20"/>
          <w:lang w:val="en-GB" w:bidi="he-IL"/>
        </w:rPr>
        <w:tab/>
      </w:r>
      <w:r w:rsidR="00005F43" w:rsidRPr="00EC1FEE">
        <w:rPr>
          <w:color w:val="000000"/>
          <w:sz w:val="20"/>
          <w:szCs w:val="20"/>
          <w:shd w:val="clear" w:color="auto" w:fill="FFFFFF"/>
          <w:lang w:val="en-GB" w:bidi="he-IL"/>
        </w:rPr>
        <w:t>Like in the case of article 2(2) of the Covenant,</w:t>
      </w:r>
      <w:r w:rsidR="00162BFE">
        <w:rPr>
          <w:rStyle w:val="FootnoteReference"/>
          <w:color w:val="000000"/>
          <w:szCs w:val="20"/>
          <w:shd w:val="clear" w:color="auto" w:fill="FFFFFF"/>
          <w:lang w:val="en-GB" w:bidi="he-IL"/>
        </w:rPr>
        <w:footnoteReference w:id="35"/>
      </w:r>
      <w:r w:rsidR="00005F43" w:rsidRPr="00EC1FEE">
        <w:rPr>
          <w:color w:val="000000"/>
          <w:sz w:val="20"/>
          <w:szCs w:val="20"/>
          <w:shd w:val="clear" w:color="auto" w:fill="FFFFFF"/>
          <w:lang w:val="en-GB" w:bidi="he-IL"/>
        </w:rPr>
        <w:t xml:space="preserve"> which lays out a general duty to implement the Covenant through laws or other measures, we consider the obligation to </w:t>
      </w:r>
      <w:r w:rsidR="00005F43" w:rsidRPr="00EC1FEE">
        <w:rPr>
          <w:sz w:val="20"/>
          <w:szCs w:val="20"/>
          <w:lang w:val="en-GB" w:bidi="he-IL"/>
        </w:rPr>
        <w:t>pass</w:t>
      </w:r>
      <w:r w:rsidR="00005F43" w:rsidRPr="00EC1FEE">
        <w:rPr>
          <w:color w:val="000000"/>
          <w:sz w:val="20"/>
          <w:szCs w:val="20"/>
          <w:shd w:val="clear" w:color="auto" w:fill="FFFFFF"/>
          <w:lang w:val="en-GB" w:bidi="he-IL"/>
        </w:rPr>
        <w:t xml:space="preserve"> implementing legislation protecting Covenant rights a ‘second-order obligation’ incapable of creating a right for individuals that is independent of the rights which the implementing legislation purports to protect. Thus, article 20(2) merely reinforces certain aspects of Covenant rights by requiring States parties to adopt specific legislative measures to prohibit their infringement. And it is only when these other rights have actually been put at risk of infringement or actually infringed – e.g., when hate speech had been in fact uttered – that the failure by the State party to pass prohibiting legislation may have contributed to a human rights violation occurring. </w:t>
      </w:r>
    </w:p>
    <w:p w14:paraId="160A92D3" w14:textId="42D4DE7E" w:rsidR="00005F43" w:rsidRPr="00EC1FEE" w:rsidRDefault="008B6CE5" w:rsidP="008B6CE5">
      <w:pPr>
        <w:pStyle w:val="SingleTxtG"/>
        <w:rPr>
          <w:sz w:val="20"/>
          <w:szCs w:val="20"/>
          <w:lang w:val="en-GB" w:bidi="he-IL"/>
        </w:rPr>
      </w:pPr>
      <w:r w:rsidRPr="00EC1FEE">
        <w:rPr>
          <w:sz w:val="20"/>
          <w:szCs w:val="20"/>
          <w:lang w:val="en-GB" w:bidi="he-IL"/>
        </w:rPr>
        <w:t>8.</w:t>
      </w:r>
      <w:r w:rsidRPr="00EC1FEE">
        <w:rPr>
          <w:sz w:val="20"/>
          <w:szCs w:val="20"/>
          <w:lang w:val="en-GB" w:bidi="he-IL"/>
        </w:rPr>
        <w:tab/>
      </w:r>
      <w:r w:rsidR="00005F43" w:rsidRPr="00EC1FEE">
        <w:rPr>
          <w:color w:val="000000"/>
          <w:sz w:val="20"/>
          <w:szCs w:val="20"/>
          <w:shd w:val="clear" w:color="auto" w:fill="FFFFFF"/>
          <w:lang w:val="en-GB" w:bidi="he-IL"/>
        </w:rPr>
        <w:t>Consequently, we are</w:t>
      </w:r>
      <w:r w:rsidR="0033228B">
        <w:rPr>
          <w:color w:val="000000"/>
          <w:sz w:val="20"/>
          <w:szCs w:val="20"/>
          <w:shd w:val="clear" w:color="auto" w:fill="FFFFFF"/>
          <w:lang w:val="en-GB" w:bidi="he-IL"/>
        </w:rPr>
        <w:t xml:space="preserve"> </w:t>
      </w:r>
      <w:r w:rsidR="00005F43" w:rsidRPr="00EC1FEE">
        <w:rPr>
          <w:color w:val="000000"/>
          <w:sz w:val="20"/>
          <w:szCs w:val="20"/>
          <w:shd w:val="clear" w:color="auto" w:fill="FFFFFF"/>
          <w:lang w:val="en-GB" w:bidi="he-IL"/>
        </w:rPr>
        <w:t xml:space="preserve">of the view that victims of human rights violations should not be </w:t>
      </w:r>
      <w:r w:rsidR="00005F43" w:rsidRPr="00EC1FEE">
        <w:rPr>
          <w:sz w:val="20"/>
          <w:szCs w:val="20"/>
          <w:lang w:val="en-GB" w:bidi="he-IL"/>
        </w:rPr>
        <w:t>able</w:t>
      </w:r>
      <w:r w:rsidR="00005F43" w:rsidRPr="00EC1FEE">
        <w:rPr>
          <w:color w:val="000000"/>
          <w:sz w:val="20"/>
          <w:szCs w:val="20"/>
          <w:shd w:val="clear" w:color="auto" w:fill="FFFFFF"/>
          <w:lang w:val="en-GB" w:bidi="he-IL"/>
        </w:rPr>
        <w:t xml:space="preserve"> to invoke article 20(2) separately, but only in conjunction with other Covenant rights, such as articles 6, 7, 9 and 26, which the prohibiting legislation was designed to protect.</w:t>
      </w:r>
      <w:r w:rsidR="00162BFE">
        <w:rPr>
          <w:rStyle w:val="FootnoteReference"/>
          <w:color w:val="000000"/>
          <w:szCs w:val="20"/>
          <w:shd w:val="clear" w:color="auto" w:fill="FFFFFF"/>
          <w:lang w:val="en-GB" w:bidi="he-IL"/>
        </w:rPr>
        <w:footnoteReference w:id="36"/>
      </w:r>
      <w:r w:rsidR="00005F43" w:rsidRPr="00EC1FEE">
        <w:rPr>
          <w:color w:val="000000"/>
          <w:sz w:val="20"/>
          <w:szCs w:val="20"/>
          <w:shd w:val="clear" w:color="auto" w:fill="FFFFFF"/>
          <w:lang w:val="en-GB" w:bidi="he-IL"/>
        </w:rPr>
        <w:t xml:space="preserve"> </w:t>
      </w:r>
    </w:p>
    <w:p w14:paraId="5D7710DF" w14:textId="77777777" w:rsidR="00355A7E" w:rsidRDefault="00355A7E" w:rsidP="00005F43">
      <w:pPr>
        <w:suppressAutoHyphens w:val="0"/>
        <w:spacing w:line="240" w:lineRule="auto"/>
        <w:rPr>
          <w:sz w:val="20"/>
          <w:szCs w:val="20"/>
          <w:u w:val="single"/>
          <w:lang w:bidi="he-IL"/>
        </w:rPr>
        <w:sectPr w:rsidR="00355A7E" w:rsidSect="002E63AC">
          <w:headerReference w:type="even" r:id="rId20"/>
          <w:headerReference w:type="first" r:id="rId21"/>
          <w:footnotePr>
            <w:numFmt w:val="lowerLetter"/>
            <w:numRestart w:val="eachSect"/>
          </w:footnotePr>
          <w:endnotePr>
            <w:numFmt w:val="decimal"/>
          </w:endnotePr>
          <w:pgSz w:w="11907" w:h="16840" w:code="9"/>
          <w:pgMar w:top="1418" w:right="1134" w:bottom="1134" w:left="1134" w:header="1134" w:footer="1701" w:gutter="0"/>
          <w:cols w:space="720"/>
          <w:titlePg/>
          <w:docGrid w:linePitch="272"/>
        </w:sectPr>
      </w:pPr>
    </w:p>
    <w:p w14:paraId="54FE1934" w14:textId="138642CB" w:rsidR="00005F43" w:rsidRPr="00F15147" w:rsidRDefault="001E3A94" w:rsidP="00F15147">
      <w:pPr>
        <w:pStyle w:val="HChG"/>
      </w:pPr>
      <w:r w:rsidRPr="00EC1FEE">
        <w:lastRenderedPageBreak/>
        <w:tab/>
      </w:r>
      <w:r w:rsidR="00005F43" w:rsidRPr="00EC1FEE">
        <w:t>Annex IV</w:t>
      </w:r>
    </w:p>
    <w:p w14:paraId="3319BD2D" w14:textId="47CFB1E8" w:rsidR="00005F43" w:rsidRPr="00F15147" w:rsidRDefault="00005F43" w:rsidP="00F15147">
      <w:pPr>
        <w:pStyle w:val="HChG"/>
      </w:pPr>
      <w:r w:rsidRPr="00EC1FEE">
        <w:tab/>
      </w:r>
      <w:r w:rsidRPr="00EC1FEE">
        <w:tab/>
      </w:r>
      <w:r w:rsidRPr="00F15147">
        <w:t>Individual opinion (concurring) of Committee members Sarah Cleveland and Mauro Politi</w:t>
      </w:r>
    </w:p>
    <w:p w14:paraId="7D5276AA" w14:textId="7287B4F3" w:rsidR="00005F43" w:rsidRPr="00EC1FEE" w:rsidRDefault="00005F43" w:rsidP="00A71B44">
      <w:pPr>
        <w:pStyle w:val="SingleTxtG"/>
        <w:rPr>
          <w:sz w:val="20"/>
          <w:szCs w:val="20"/>
          <w:lang w:val="en-GB"/>
        </w:rPr>
      </w:pPr>
      <w:r w:rsidRPr="00EC1FEE">
        <w:rPr>
          <w:sz w:val="20"/>
          <w:szCs w:val="20"/>
          <w:lang w:val="en-GB"/>
        </w:rPr>
        <w:t>1.</w:t>
      </w:r>
      <w:r w:rsidR="00A71B44">
        <w:rPr>
          <w:sz w:val="20"/>
          <w:szCs w:val="20"/>
          <w:lang w:val="en-GB"/>
        </w:rPr>
        <w:tab/>
      </w:r>
      <w:r w:rsidRPr="00EC1FEE">
        <w:rPr>
          <w:sz w:val="20"/>
          <w:szCs w:val="20"/>
          <w:lang w:val="en-GB"/>
        </w:rPr>
        <w:t>We support the Committee’s conclusion that the Netherlands did not violate its obligations under article 2(3) in conjunction with articles 20(2) and 26 in this case.</w:t>
      </w:r>
      <w:r w:rsidR="0033228B">
        <w:rPr>
          <w:sz w:val="20"/>
          <w:szCs w:val="20"/>
          <w:lang w:val="en-GB"/>
        </w:rPr>
        <w:t xml:space="preserve"> </w:t>
      </w:r>
      <w:r w:rsidRPr="00EC1FEE">
        <w:rPr>
          <w:sz w:val="20"/>
          <w:szCs w:val="20"/>
          <w:lang w:val="en-GB"/>
        </w:rPr>
        <w:t xml:space="preserve">As this is the first time the Committee has had occasion to address article 20(2) on the merits, we write separately to elaborate on the meaning of that provision. </w:t>
      </w:r>
    </w:p>
    <w:p w14:paraId="5F9F5DA7" w14:textId="6A7FE03A" w:rsidR="00005F43" w:rsidRPr="00EC1FEE" w:rsidRDefault="00005F43" w:rsidP="00A71B44">
      <w:pPr>
        <w:pStyle w:val="SingleTxtG"/>
        <w:rPr>
          <w:sz w:val="20"/>
          <w:szCs w:val="20"/>
          <w:lang w:val="en-GB"/>
        </w:rPr>
      </w:pPr>
      <w:r w:rsidRPr="00EC1FEE">
        <w:rPr>
          <w:sz w:val="20"/>
          <w:szCs w:val="20"/>
          <w:lang w:val="en-GB"/>
        </w:rPr>
        <w:t>2.</w:t>
      </w:r>
      <w:r w:rsidR="00A71B44">
        <w:rPr>
          <w:sz w:val="20"/>
          <w:szCs w:val="20"/>
          <w:lang w:val="en-GB"/>
        </w:rPr>
        <w:tab/>
      </w:r>
      <w:r w:rsidRPr="00EC1FEE">
        <w:rPr>
          <w:sz w:val="20"/>
          <w:szCs w:val="20"/>
          <w:lang w:val="en-GB"/>
        </w:rPr>
        <w:t>Advocacy of hatred and incitement to violence, hostility and discrimination, including on grounds of race, ethnicity, religion, or nationality, has no place in a pluralistic and human rights respecting society, and should be vigorously countered.</w:t>
      </w:r>
      <w:r w:rsidR="0033228B">
        <w:rPr>
          <w:sz w:val="20"/>
          <w:szCs w:val="20"/>
          <w:lang w:val="en-GB"/>
        </w:rPr>
        <w:t xml:space="preserve"> </w:t>
      </w:r>
      <w:r w:rsidRPr="00EC1FEE">
        <w:rPr>
          <w:sz w:val="20"/>
          <w:szCs w:val="20"/>
          <w:lang w:val="en-GB"/>
        </w:rPr>
        <w:t>It is axiomatic, however, that a human rights protective society must also tolerate speech that deeply offends.</w:t>
      </w:r>
      <w:r w:rsidR="00A71B44">
        <w:rPr>
          <w:rStyle w:val="FootnoteReference"/>
          <w:szCs w:val="20"/>
          <w:lang w:val="en-GB"/>
        </w:rPr>
        <w:footnoteReference w:id="37"/>
      </w:r>
      <w:r w:rsidR="0033228B">
        <w:rPr>
          <w:sz w:val="20"/>
          <w:szCs w:val="20"/>
          <w:lang w:val="en-GB"/>
        </w:rPr>
        <w:t xml:space="preserve"> </w:t>
      </w:r>
      <w:r w:rsidRPr="00EC1FEE">
        <w:rPr>
          <w:sz w:val="20"/>
          <w:szCs w:val="20"/>
          <w:lang w:val="en-GB"/>
        </w:rPr>
        <w:t>In addition, societies have numerous positive and negative tools available to address hateful speech.</w:t>
      </w:r>
      <w:r w:rsidR="0033228B">
        <w:rPr>
          <w:sz w:val="20"/>
          <w:szCs w:val="20"/>
          <w:lang w:val="en-GB"/>
        </w:rPr>
        <w:t xml:space="preserve"> </w:t>
      </w:r>
      <w:r w:rsidRPr="00EC1FEE">
        <w:rPr>
          <w:sz w:val="20"/>
          <w:szCs w:val="20"/>
          <w:lang w:val="en-GB"/>
        </w:rPr>
        <w:t>To the extent that restrictions on speech are warranted, a State must employ the least restrictive means available to secure that legitimate end.</w:t>
      </w:r>
      <w:r w:rsidR="00A71B44">
        <w:rPr>
          <w:rStyle w:val="FootnoteReference"/>
          <w:szCs w:val="20"/>
          <w:lang w:val="en-GB"/>
        </w:rPr>
        <w:footnoteReference w:id="38"/>
      </w:r>
    </w:p>
    <w:p w14:paraId="7FD8C048" w14:textId="742774DC" w:rsidR="00005F43" w:rsidRPr="00EC1FEE" w:rsidRDefault="00005F43" w:rsidP="00005F43">
      <w:pPr>
        <w:pStyle w:val="SingleTxtG"/>
        <w:rPr>
          <w:sz w:val="20"/>
          <w:szCs w:val="20"/>
          <w:lang w:val="en-GB"/>
        </w:rPr>
      </w:pPr>
      <w:r w:rsidRPr="00EC1FEE">
        <w:rPr>
          <w:sz w:val="20"/>
          <w:szCs w:val="20"/>
          <w:lang w:val="en-GB"/>
        </w:rPr>
        <w:t>3.</w:t>
      </w:r>
      <w:r w:rsidR="00A71B44">
        <w:rPr>
          <w:sz w:val="20"/>
          <w:szCs w:val="20"/>
          <w:lang w:val="en-GB"/>
        </w:rPr>
        <w:tab/>
      </w:r>
      <w:r w:rsidRPr="00EC1FEE">
        <w:rPr>
          <w:sz w:val="20"/>
          <w:szCs w:val="20"/>
          <w:lang w:val="en-GB"/>
        </w:rPr>
        <w:t>Article 20(2) obligates States to “prohibit by law” the “advocacy of national, racial or religious hatred that constitutes incitement to discrimination, hostility or violence.”</w:t>
      </w:r>
      <w:r w:rsidR="0033228B">
        <w:rPr>
          <w:sz w:val="20"/>
          <w:szCs w:val="20"/>
          <w:lang w:val="en-GB"/>
        </w:rPr>
        <w:t xml:space="preserve"> </w:t>
      </w:r>
      <w:r w:rsidRPr="00EC1FEE">
        <w:rPr>
          <w:sz w:val="20"/>
          <w:szCs w:val="20"/>
          <w:lang w:val="en-GB"/>
        </w:rPr>
        <w:t>This provision originally was drafted as one of the obligations imposed by article 19 regarding freedom of expression, and it thus relates closely to that article.</w:t>
      </w:r>
      <w:r w:rsidR="0033228B">
        <w:rPr>
          <w:sz w:val="20"/>
          <w:szCs w:val="20"/>
          <w:lang w:val="en-GB"/>
        </w:rPr>
        <w:t xml:space="preserve"> </w:t>
      </w:r>
      <w:r w:rsidRPr="00EC1FEE">
        <w:rPr>
          <w:sz w:val="20"/>
          <w:szCs w:val="20"/>
          <w:lang w:val="en-GB"/>
        </w:rPr>
        <w:t>Moreover, the obligation to prohibit conduct by law is not unique under the Covenant.</w:t>
      </w:r>
      <w:r w:rsidR="0033228B">
        <w:rPr>
          <w:sz w:val="20"/>
          <w:szCs w:val="20"/>
          <w:lang w:val="en-GB"/>
        </w:rPr>
        <w:t xml:space="preserve"> </w:t>
      </w:r>
      <w:r w:rsidRPr="00EC1FEE">
        <w:rPr>
          <w:sz w:val="20"/>
          <w:szCs w:val="20"/>
          <w:lang w:val="en-GB"/>
        </w:rPr>
        <w:t>Other articles likewise obligate States parties to prohibit certain conduct, including article 8(1) (obligating States parties to prohibit slavery and the slave trade), article 26 (obligating States parties to prohibit discrimination), and article 6(1) (requiring protection by law of the right to life).</w:t>
      </w:r>
      <w:r w:rsidR="0033228B">
        <w:rPr>
          <w:sz w:val="20"/>
          <w:szCs w:val="20"/>
          <w:lang w:val="en-GB"/>
        </w:rPr>
        <w:t xml:space="preserve"> </w:t>
      </w:r>
      <w:r w:rsidRPr="00EC1FEE">
        <w:rPr>
          <w:sz w:val="20"/>
          <w:szCs w:val="20"/>
          <w:lang w:val="en-GB"/>
        </w:rPr>
        <w:t>Article 20 is unique, however, in that it requires prohibition of conduct in an area that otherwise is highly protected freedom of expression under article 19.</w:t>
      </w:r>
      <w:r w:rsidR="0033228B">
        <w:rPr>
          <w:sz w:val="20"/>
          <w:szCs w:val="20"/>
          <w:lang w:val="en-GB"/>
        </w:rPr>
        <w:t xml:space="preserve"> </w:t>
      </w:r>
    </w:p>
    <w:p w14:paraId="39558A96" w14:textId="1E0BFD80" w:rsidR="00005F43" w:rsidRPr="00EC1FEE" w:rsidRDefault="00005F43" w:rsidP="00447744">
      <w:pPr>
        <w:pStyle w:val="SingleTxtG"/>
        <w:rPr>
          <w:sz w:val="20"/>
          <w:szCs w:val="20"/>
          <w:lang w:val="en-GB"/>
        </w:rPr>
      </w:pPr>
      <w:r w:rsidRPr="00EC1FEE">
        <w:rPr>
          <w:sz w:val="20"/>
          <w:szCs w:val="20"/>
          <w:lang w:val="en-GB"/>
        </w:rPr>
        <w:t>4.</w:t>
      </w:r>
      <w:r w:rsidR="00A71B44">
        <w:rPr>
          <w:sz w:val="20"/>
          <w:szCs w:val="20"/>
          <w:lang w:val="en-GB"/>
        </w:rPr>
        <w:tab/>
      </w:r>
      <w:r w:rsidRPr="00EC1FEE">
        <w:rPr>
          <w:sz w:val="20"/>
          <w:szCs w:val="20"/>
          <w:lang w:val="en-GB"/>
        </w:rPr>
        <w:t>For this reason, article 20(2) is narrowly circumscribed and sets a high bar for the expression that must be prohibited.</w:t>
      </w:r>
      <w:r w:rsidR="0033228B">
        <w:rPr>
          <w:sz w:val="20"/>
          <w:szCs w:val="20"/>
          <w:lang w:val="en-GB"/>
        </w:rPr>
        <w:t xml:space="preserve"> </w:t>
      </w:r>
      <w:r w:rsidRPr="00EC1FEE">
        <w:rPr>
          <w:sz w:val="20"/>
          <w:szCs w:val="20"/>
          <w:lang w:val="en-GB"/>
        </w:rPr>
        <w:t>On its face, Article 20(2) does not require legal prohibition of all “</w:t>
      </w:r>
      <w:r w:rsidRPr="00EC1FEE">
        <w:rPr>
          <w:i/>
          <w:sz w:val="20"/>
          <w:szCs w:val="20"/>
          <w:lang w:val="en-GB"/>
        </w:rPr>
        <w:t>advocacy</w:t>
      </w:r>
      <w:r w:rsidRPr="00EC1FEE">
        <w:rPr>
          <w:sz w:val="20"/>
          <w:szCs w:val="20"/>
          <w:lang w:val="en-GB"/>
        </w:rPr>
        <w:t xml:space="preserve"> of national, racial or religious hatred,” but only of such advocacy that also “constitutes </w:t>
      </w:r>
      <w:r w:rsidRPr="00EC1FEE">
        <w:rPr>
          <w:i/>
          <w:sz w:val="20"/>
          <w:szCs w:val="20"/>
          <w:lang w:val="en-GB"/>
        </w:rPr>
        <w:t>incitement</w:t>
      </w:r>
      <w:r w:rsidRPr="00EC1FEE">
        <w:rPr>
          <w:sz w:val="20"/>
          <w:szCs w:val="20"/>
          <w:lang w:val="en-GB"/>
        </w:rPr>
        <w:t xml:space="preserve"> to discrimination, hostility or violence.”</w:t>
      </w:r>
      <w:r w:rsidR="00A71B44">
        <w:rPr>
          <w:rStyle w:val="FootnoteReference"/>
          <w:szCs w:val="20"/>
          <w:lang w:val="en-GB"/>
        </w:rPr>
        <w:footnoteReference w:id="39"/>
      </w:r>
      <w:r w:rsidRPr="00EC1FEE">
        <w:rPr>
          <w:sz w:val="20"/>
          <w:szCs w:val="20"/>
          <w:vertAlign w:val="superscript"/>
          <w:lang w:val="en-GB"/>
        </w:rPr>
        <w:t xml:space="preserve"> </w:t>
      </w:r>
      <w:r w:rsidRPr="00EC1FEE">
        <w:rPr>
          <w:sz w:val="20"/>
          <w:szCs w:val="20"/>
          <w:lang w:val="en-GB"/>
        </w:rPr>
        <w:t>In other words, advocacy of national, racial or religious hatred alone is not sufficient. It must also have the intention of</w:t>
      </w:r>
      <w:r w:rsidRPr="00EC1FEE">
        <w:rPr>
          <w:i/>
          <w:sz w:val="20"/>
          <w:szCs w:val="20"/>
          <w:lang w:val="en-GB"/>
        </w:rPr>
        <w:t xml:space="preserve"> </w:t>
      </w:r>
      <w:r w:rsidRPr="00EC1FEE">
        <w:rPr>
          <w:sz w:val="20"/>
          <w:szCs w:val="20"/>
          <w:lang w:val="en-GB"/>
        </w:rPr>
        <w:t>inciting to discrimination, hostility or violence.</w:t>
      </w:r>
      <w:r w:rsidR="00A71B44">
        <w:rPr>
          <w:rStyle w:val="FootnoteReference"/>
          <w:szCs w:val="20"/>
          <w:lang w:val="en-GB"/>
        </w:rPr>
        <w:footnoteReference w:id="40"/>
      </w:r>
      <w:r w:rsidRPr="00EC1FEE">
        <w:rPr>
          <w:sz w:val="20"/>
          <w:szCs w:val="20"/>
          <w:lang w:val="en-GB"/>
        </w:rPr>
        <w:t xml:space="preserve"> Article 20(2) thus is distinctly more limited than article 4 of the </w:t>
      </w:r>
      <w:r w:rsidR="002F5250" w:rsidRPr="002F5250">
        <w:rPr>
          <w:sz w:val="20"/>
          <w:szCs w:val="20"/>
          <w:lang w:val="en-GB"/>
        </w:rPr>
        <w:t>Internationa</w:t>
      </w:r>
      <w:r w:rsidR="002F5250">
        <w:rPr>
          <w:sz w:val="20"/>
          <w:szCs w:val="20"/>
          <w:lang w:val="en-GB"/>
        </w:rPr>
        <w:t>l</w:t>
      </w:r>
      <w:r w:rsidR="002F5250" w:rsidRPr="002F5250">
        <w:rPr>
          <w:sz w:val="20"/>
          <w:szCs w:val="20"/>
          <w:lang w:val="en-GB"/>
        </w:rPr>
        <w:t xml:space="preserve"> </w:t>
      </w:r>
      <w:r w:rsidRPr="00EC1FEE">
        <w:rPr>
          <w:sz w:val="20"/>
          <w:szCs w:val="20"/>
          <w:lang w:val="en-GB"/>
        </w:rPr>
        <w:t xml:space="preserve">Convention on the Elimination of </w:t>
      </w:r>
      <w:r w:rsidR="002F5250">
        <w:rPr>
          <w:sz w:val="20"/>
          <w:szCs w:val="20"/>
          <w:lang w:val="en-GB"/>
        </w:rPr>
        <w:t>A</w:t>
      </w:r>
      <w:r w:rsidRPr="00EC1FEE">
        <w:rPr>
          <w:sz w:val="20"/>
          <w:szCs w:val="20"/>
          <w:lang w:val="en-GB"/>
        </w:rPr>
        <w:t xml:space="preserve">ll </w:t>
      </w:r>
      <w:r w:rsidR="002F5250">
        <w:rPr>
          <w:sz w:val="20"/>
          <w:szCs w:val="20"/>
          <w:lang w:val="en-GB"/>
        </w:rPr>
        <w:t>F</w:t>
      </w:r>
      <w:r w:rsidRPr="00EC1FEE">
        <w:rPr>
          <w:sz w:val="20"/>
          <w:szCs w:val="20"/>
          <w:lang w:val="en-GB"/>
        </w:rPr>
        <w:t xml:space="preserve">orms of Racial Discrimination (CERD), which obligates States parties, </w:t>
      </w:r>
      <w:r w:rsidRPr="00F15147">
        <w:rPr>
          <w:iCs/>
          <w:sz w:val="20"/>
          <w:szCs w:val="20"/>
          <w:lang w:val="en-GB"/>
        </w:rPr>
        <w:t>inter alia</w:t>
      </w:r>
      <w:r w:rsidR="00D823AD">
        <w:rPr>
          <w:sz w:val="20"/>
          <w:szCs w:val="20"/>
          <w:lang w:val="en-GB"/>
        </w:rPr>
        <w:t xml:space="preserve">, </w:t>
      </w:r>
      <w:r w:rsidR="00D823AD">
        <w:rPr>
          <w:sz w:val="20"/>
          <w:szCs w:val="20"/>
          <w:lang w:val="en-GB"/>
        </w:rPr>
        <w:lastRenderedPageBreak/>
        <w:t>to </w:t>
      </w:r>
      <w:r w:rsidRPr="00EC1FEE">
        <w:rPr>
          <w:sz w:val="20"/>
          <w:szCs w:val="20"/>
          <w:lang w:val="en-GB"/>
        </w:rPr>
        <w:t>punish “dissemination of ideas based on racial superiority or hatred”. Moreover, as this Committee correctly notes, not all the conduct that falls within the scope of article 20(2) must be criminalized. The obligation is to “prohibit by law,” and civil or administrative sanctions can suffice (para. 10.4).</w:t>
      </w:r>
      <w:r w:rsidR="00447744">
        <w:rPr>
          <w:rStyle w:val="FootnoteReference"/>
          <w:szCs w:val="20"/>
          <w:lang w:val="en-GB"/>
        </w:rPr>
        <w:footnoteReference w:id="41"/>
      </w:r>
      <w:r w:rsidRPr="00EC1FEE">
        <w:rPr>
          <w:sz w:val="20"/>
          <w:szCs w:val="20"/>
          <w:lang w:val="en-GB"/>
        </w:rPr>
        <w:t xml:space="preserve"> </w:t>
      </w:r>
    </w:p>
    <w:p w14:paraId="21B25CB5" w14:textId="4ABDE4E4" w:rsidR="00005F43" w:rsidRPr="00EC1FEE" w:rsidRDefault="00005F43" w:rsidP="00447744">
      <w:pPr>
        <w:pStyle w:val="SingleTxtG"/>
        <w:rPr>
          <w:sz w:val="20"/>
          <w:szCs w:val="20"/>
          <w:lang w:val="en-GB"/>
        </w:rPr>
      </w:pPr>
      <w:r w:rsidRPr="00EC1FEE">
        <w:rPr>
          <w:sz w:val="20"/>
          <w:szCs w:val="20"/>
          <w:lang w:val="en-GB"/>
        </w:rPr>
        <w:t>5.</w:t>
      </w:r>
      <w:r w:rsidR="00A71B44">
        <w:rPr>
          <w:sz w:val="20"/>
          <w:szCs w:val="20"/>
          <w:lang w:val="en-GB"/>
        </w:rPr>
        <w:tab/>
      </w:r>
      <w:r w:rsidRPr="00EC1FEE">
        <w:rPr>
          <w:sz w:val="20"/>
          <w:szCs w:val="20"/>
          <w:lang w:val="en-GB"/>
        </w:rPr>
        <w:t xml:space="preserve">It is uncontested in this case that both civil and criminal sanctions were available to address </w:t>
      </w:r>
      <w:r w:rsidR="006837AA">
        <w:rPr>
          <w:sz w:val="20"/>
          <w:szCs w:val="20"/>
          <w:lang w:val="en-GB"/>
        </w:rPr>
        <w:t>Mr. </w:t>
      </w:r>
      <w:r w:rsidRPr="00EC1FEE">
        <w:rPr>
          <w:sz w:val="20"/>
          <w:szCs w:val="20"/>
          <w:lang w:val="en-GB"/>
        </w:rPr>
        <w:t>Wilders’ conduct under Dutch law.</w:t>
      </w:r>
      <w:r w:rsidR="0033228B">
        <w:rPr>
          <w:sz w:val="20"/>
          <w:szCs w:val="20"/>
          <w:lang w:val="en-GB"/>
        </w:rPr>
        <w:t xml:space="preserve"> </w:t>
      </w:r>
      <w:r w:rsidRPr="00EC1FEE">
        <w:rPr>
          <w:sz w:val="20"/>
          <w:szCs w:val="20"/>
          <w:lang w:val="en-GB"/>
        </w:rPr>
        <w:t xml:space="preserve">Indeed, the State party had established three means for sanctioning </w:t>
      </w:r>
      <w:r w:rsidR="006837AA">
        <w:rPr>
          <w:sz w:val="20"/>
          <w:szCs w:val="20"/>
          <w:lang w:val="en-GB"/>
        </w:rPr>
        <w:t>Mr. </w:t>
      </w:r>
      <w:r w:rsidRPr="00EC1FEE">
        <w:rPr>
          <w:sz w:val="20"/>
          <w:szCs w:val="20"/>
          <w:lang w:val="en-GB"/>
        </w:rPr>
        <w:t>Wilders’ statements:</w:t>
      </w:r>
      <w:r w:rsidR="0033228B">
        <w:rPr>
          <w:sz w:val="20"/>
          <w:szCs w:val="20"/>
          <w:lang w:val="en-GB"/>
        </w:rPr>
        <w:t xml:space="preserve"> </w:t>
      </w:r>
      <w:r w:rsidRPr="00EC1FEE">
        <w:rPr>
          <w:sz w:val="20"/>
          <w:szCs w:val="20"/>
          <w:lang w:val="en-GB"/>
        </w:rPr>
        <w:t xml:space="preserve">criminal prosecution under articles 137c and d of the Criminal Code, as well as two forms of a civil remedies – a civil claim under article 6:162 of the Civil Code, and an </w:t>
      </w:r>
      <w:r w:rsidRPr="00EC1FEE">
        <w:rPr>
          <w:i/>
          <w:sz w:val="20"/>
          <w:szCs w:val="20"/>
          <w:lang w:val="en-GB"/>
        </w:rPr>
        <w:t>action civile</w:t>
      </w:r>
      <w:r w:rsidRPr="00EC1FEE">
        <w:rPr>
          <w:sz w:val="20"/>
          <w:szCs w:val="20"/>
          <w:lang w:val="en-GB"/>
        </w:rPr>
        <w:t xml:space="preserve"> appended to a criminal prosecution under section 51(a) and (f) of the Code of Criminal Procedure.</w:t>
      </w:r>
      <w:r w:rsidR="0033228B">
        <w:rPr>
          <w:sz w:val="20"/>
          <w:szCs w:val="20"/>
          <w:lang w:val="en-GB"/>
        </w:rPr>
        <w:t xml:space="preserve"> </w:t>
      </w:r>
      <w:r w:rsidRPr="00EC1FEE">
        <w:rPr>
          <w:sz w:val="20"/>
          <w:szCs w:val="20"/>
          <w:lang w:val="en-GB"/>
        </w:rPr>
        <w:t xml:space="preserve">The authors in this case chose to attempt to support a criminal judgment against </w:t>
      </w:r>
      <w:r w:rsidR="006837AA">
        <w:rPr>
          <w:sz w:val="20"/>
          <w:szCs w:val="20"/>
          <w:lang w:val="en-GB"/>
        </w:rPr>
        <w:t>Mr. </w:t>
      </w:r>
      <w:r w:rsidRPr="00EC1FEE">
        <w:rPr>
          <w:sz w:val="20"/>
          <w:szCs w:val="20"/>
          <w:lang w:val="en-GB"/>
        </w:rPr>
        <w:t xml:space="preserve">Wilders by appending an </w:t>
      </w:r>
      <w:r w:rsidRPr="00EC1FEE">
        <w:rPr>
          <w:i/>
          <w:sz w:val="20"/>
          <w:szCs w:val="20"/>
          <w:lang w:val="en-GB"/>
        </w:rPr>
        <w:t>action civile</w:t>
      </w:r>
      <w:r w:rsidRPr="00EC1FEE">
        <w:rPr>
          <w:sz w:val="20"/>
          <w:szCs w:val="20"/>
          <w:lang w:val="en-GB"/>
        </w:rPr>
        <w:t xml:space="preserve"> to the criminal prosecution – a form of domestic remedy that the Committee makes clear is not required by the Covenant (para. 10.3).</w:t>
      </w:r>
      <w:r w:rsidR="0033228B">
        <w:rPr>
          <w:sz w:val="20"/>
          <w:szCs w:val="20"/>
          <w:lang w:val="en-GB"/>
        </w:rPr>
        <w:t xml:space="preserve"> </w:t>
      </w:r>
      <w:r w:rsidRPr="00EC1FEE">
        <w:rPr>
          <w:sz w:val="20"/>
          <w:szCs w:val="20"/>
          <w:lang w:val="en-GB"/>
        </w:rPr>
        <w:t>In so doing, the authors pursued the most difficult path to a potential remedy.</w:t>
      </w:r>
      <w:r w:rsidR="0033228B">
        <w:rPr>
          <w:sz w:val="20"/>
          <w:szCs w:val="20"/>
          <w:lang w:val="en-GB"/>
        </w:rPr>
        <w:t xml:space="preserve"> </w:t>
      </w:r>
      <w:r w:rsidRPr="00EC1FEE">
        <w:rPr>
          <w:sz w:val="20"/>
          <w:szCs w:val="20"/>
          <w:lang w:val="en-GB"/>
        </w:rPr>
        <w:t xml:space="preserve">Under the domestic law of the Netherlands, pursuit of an </w:t>
      </w:r>
      <w:r w:rsidRPr="00EC1FEE">
        <w:rPr>
          <w:i/>
          <w:sz w:val="20"/>
          <w:szCs w:val="20"/>
          <w:lang w:val="en-GB"/>
        </w:rPr>
        <w:t>action civile</w:t>
      </w:r>
      <w:r w:rsidRPr="00EC1FEE">
        <w:rPr>
          <w:sz w:val="20"/>
          <w:szCs w:val="20"/>
          <w:lang w:val="en-GB"/>
        </w:rPr>
        <w:t xml:space="preserve"> is dependent on the success of the underlying criminal prosecution, and the parties to an </w:t>
      </w:r>
      <w:r w:rsidRPr="00EC1FEE">
        <w:rPr>
          <w:i/>
          <w:sz w:val="20"/>
          <w:szCs w:val="20"/>
          <w:lang w:val="en-GB"/>
        </w:rPr>
        <w:t>action civile</w:t>
      </w:r>
      <w:r w:rsidRPr="00EC1FEE">
        <w:rPr>
          <w:sz w:val="20"/>
          <w:szCs w:val="20"/>
          <w:lang w:val="en-GB"/>
        </w:rPr>
        <w:t xml:space="preserve"> are circumscribed in their ability to participate in the criminal proceedings, for reasons the State party explains.</w:t>
      </w:r>
      <w:r w:rsidR="0033228B">
        <w:rPr>
          <w:sz w:val="20"/>
          <w:szCs w:val="20"/>
          <w:lang w:val="en-GB"/>
        </w:rPr>
        <w:t xml:space="preserve"> </w:t>
      </w:r>
      <w:r w:rsidRPr="00EC1FEE">
        <w:rPr>
          <w:sz w:val="20"/>
          <w:szCs w:val="20"/>
          <w:lang w:val="en-GB"/>
        </w:rPr>
        <w:t>Moreover, securing a criminal conviction requires a higher standard of proof – beyond a reasonable doubt or its equivalent</w:t>
      </w:r>
      <w:r w:rsidR="00447744">
        <w:rPr>
          <w:rStyle w:val="FootnoteReference"/>
          <w:szCs w:val="20"/>
          <w:lang w:val="en-GB"/>
        </w:rPr>
        <w:footnoteReference w:id="42"/>
      </w:r>
      <w:r w:rsidRPr="00EC1FEE">
        <w:rPr>
          <w:sz w:val="20"/>
          <w:szCs w:val="20"/>
          <w:lang w:val="en-GB"/>
        </w:rPr>
        <w:t xml:space="preserve"> – and generally a more demanding </w:t>
      </w:r>
      <w:r w:rsidRPr="00EC1FEE">
        <w:rPr>
          <w:i/>
          <w:sz w:val="20"/>
          <w:szCs w:val="20"/>
          <w:lang w:val="en-GB"/>
        </w:rPr>
        <w:t>mens rea</w:t>
      </w:r>
      <w:r w:rsidRPr="00EC1FEE">
        <w:rPr>
          <w:sz w:val="20"/>
          <w:szCs w:val="20"/>
          <w:lang w:val="en-GB"/>
        </w:rPr>
        <w:t xml:space="preserve">, than a civil proceeding. Finally, it is well established under the Committee’s jurisprudence that no individual is entitled to secure the </w:t>
      </w:r>
      <w:r w:rsidRPr="00EC1FEE">
        <w:rPr>
          <w:i/>
          <w:sz w:val="20"/>
          <w:szCs w:val="20"/>
          <w:lang w:val="en-GB"/>
        </w:rPr>
        <w:t>prosecution</w:t>
      </w:r>
      <w:r w:rsidRPr="00EC1FEE">
        <w:rPr>
          <w:sz w:val="20"/>
          <w:szCs w:val="20"/>
          <w:lang w:val="en-GB"/>
        </w:rPr>
        <w:t xml:space="preserve"> of a particular person as a remedy for a violation of the Covenant.</w:t>
      </w:r>
      <w:r w:rsidR="0033228B">
        <w:rPr>
          <w:sz w:val="20"/>
          <w:szCs w:val="20"/>
          <w:lang w:val="en-GB"/>
        </w:rPr>
        <w:t xml:space="preserve"> </w:t>
      </w:r>
      <w:r w:rsidRPr="00EC1FEE">
        <w:rPr>
          <w:sz w:val="20"/>
          <w:szCs w:val="20"/>
          <w:lang w:val="en-GB"/>
        </w:rPr>
        <w:t xml:space="preserve">The Committee has made equally clear, </w:t>
      </w:r>
      <w:r w:rsidRPr="00EC1FEE">
        <w:rPr>
          <w:i/>
          <w:sz w:val="20"/>
          <w:szCs w:val="20"/>
          <w:lang w:val="en-GB"/>
        </w:rPr>
        <w:t>ipso facto,</w:t>
      </w:r>
      <w:r w:rsidRPr="00EC1FEE">
        <w:rPr>
          <w:sz w:val="20"/>
          <w:szCs w:val="20"/>
          <w:lang w:val="en-GB"/>
        </w:rPr>
        <w:t xml:space="preserve"> that no person is entitled to secure the criminal </w:t>
      </w:r>
      <w:r w:rsidRPr="00EC1FEE">
        <w:rPr>
          <w:i/>
          <w:sz w:val="20"/>
          <w:szCs w:val="20"/>
          <w:lang w:val="en-GB"/>
        </w:rPr>
        <w:t xml:space="preserve">conviction </w:t>
      </w:r>
      <w:r w:rsidRPr="00EC1FEE">
        <w:rPr>
          <w:sz w:val="20"/>
          <w:szCs w:val="20"/>
          <w:lang w:val="en-GB"/>
        </w:rPr>
        <w:t>of another person</w:t>
      </w:r>
      <w:r w:rsidR="00447744">
        <w:rPr>
          <w:sz w:val="20"/>
          <w:szCs w:val="20"/>
          <w:lang w:val="en-GB"/>
        </w:rPr>
        <w:t>.</w:t>
      </w:r>
      <w:r w:rsidR="00447744">
        <w:rPr>
          <w:rStyle w:val="FootnoteReference"/>
          <w:szCs w:val="20"/>
          <w:lang w:val="en-GB"/>
        </w:rPr>
        <w:footnoteReference w:id="43"/>
      </w:r>
    </w:p>
    <w:p w14:paraId="529B58C8" w14:textId="7478A11A" w:rsidR="00005F43" w:rsidRPr="00EC1FEE" w:rsidRDefault="00005F43" w:rsidP="00447744">
      <w:pPr>
        <w:pStyle w:val="SingleTxtG"/>
        <w:rPr>
          <w:sz w:val="20"/>
          <w:szCs w:val="20"/>
          <w:lang w:val="en-GB"/>
        </w:rPr>
      </w:pPr>
      <w:r w:rsidRPr="00EC1FEE">
        <w:rPr>
          <w:sz w:val="20"/>
          <w:szCs w:val="20"/>
          <w:lang w:val="en-GB"/>
        </w:rPr>
        <w:t>6.</w:t>
      </w:r>
      <w:r w:rsidR="00A71B44">
        <w:rPr>
          <w:sz w:val="20"/>
          <w:szCs w:val="20"/>
          <w:lang w:val="en-GB"/>
        </w:rPr>
        <w:tab/>
      </w:r>
      <w:r w:rsidRPr="00EC1FEE">
        <w:rPr>
          <w:sz w:val="20"/>
          <w:szCs w:val="20"/>
          <w:lang w:val="en-GB"/>
        </w:rPr>
        <w:t>The Committee has not defined what constitutes either “advocacy” of hatred or “incitement” to discrimination, hostility or violence.</w:t>
      </w:r>
      <w:r w:rsidR="0033228B">
        <w:rPr>
          <w:sz w:val="20"/>
          <w:szCs w:val="20"/>
          <w:lang w:val="en-GB"/>
        </w:rPr>
        <w:t xml:space="preserve"> </w:t>
      </w:r>
      <w:r w:rsidRPr="00EC1FEE">
        <w:rPr>
          <w:sz w:val="20"/>
          <w:szCs w:val="20"/>
          <w:lang w:val="en-GB"/>
        </w:rPr>
        <w:t>Nor has the Committee specifically addressed what conduct should be understood as potentially warranting criminal penalties under article 20(2).</w:t>
      </w:r>
      <w:r w:rsidR="00447744">
        <w:rPr>
          <w:rStyle w:val="FootnoteReference"/>
          <w:szCs w:val="20"/>
          <w:lang w:val="en-GB"/>
        </w:rPr>
        <w:footnoteReference w:id="44"/>
      </w:r>
      <w:r w:rsidR="0033228B">
        <w:rPr>
          <w:sz w:val="20"/>
          <w:szCs w:val="20"/>
          <w:lang w:val="en-GB"/>
        </w:rPr>
        <w:t xml:space="preserve"> </w:t>
      </w:r>
      <w:r w:rsidRPr="00EC1FEE">
        <w:rPr>
          <w:sz w:val="20"/>
          <w:szCs w:val="20"/>
          <w:lang w:val="en-GB"/>
        </w:rPr>
        <w:t>Dutch law, however, criminally implements the concept of “incitement” under article 20(2) by punishing “inflammatory behaviour that incites the commission of criminal offences or acts of violence” (para. 6.9). The authors do not contest this standard as a proper implementation of article 20(2).</w:t>
      </w:r>
      <w:r w:rsidR="0033228B">
        <w:rPr>
          <w:sz w:val="20"/>
          <w:szCs w:val="20"/>
          <w:lang w:val="en-GB"/>
        </w:rPr>
        <w:t xml:space="preserve"> </w:t>
      </w:r>
    </w:p>
    <w:p w14:paraId="2CA9C002" w14:textId="23D4A995" w:rsidR="00005F43" w:rsidRPr="00EC1FEE" w:rsidRDefault="00005F43" w:rsidP="00550BFE">
      <w:pPr>
        <w:pStyle w:val="SingleTxtG"/>
        <w:rPr>
          <w:sz w:val="20"/>
          <w:szCs w:val="20"/>
          <w:lang w:val="en-GB"/>
        </w:rPr>
      </w:pPr>
      <w:r w:rsidRPr="00EC1FEE">
        <w:rPr>
          <w:sz w:val="20"/>
          <w:szCs w:val="20"/>
          <w:lang w:val="en-GB"/>
        </w:rPr>
        <w:t>7.</w:t>
      </w:r>
      <w:r w:rsidR="00A71B44">
        <w:rPr>
          <w:sz w:val="20"/>
          <w:szCs w:val="20"/>
          <w:lang w:val="en-GB"/>
        </w:rPr>
        <w:tab/>
      </w:r>
      <w:r w:rsidRPr="00EC1FEE">
        <w:rPr>
          <w:sz w:val="20"/>
          <w:szCs w:val="20"/>
          <w:lang w:val="en-GB"/>
        </w:rPr>
        <w:t xml:space="preserve">Requiring incitement of “criminal offences or acts of violence” for imposition of criminal penalties under article 20(2) is consistent with the article 19 jurisprudence of this Committee, which urges great caution in the imposition of criminal penalties that punish speech. The Committee accordingly has called on states to decriminalize defamation, and has concluded that, without more, “laws that penalize the expression of opinions about historical facts are incompatible” with Covenant obligations regarding freedom of opinion </w:t>
      </w:r>
      <w:r w:rsidRPr="00EC1FEE">
        <w:rPr>
          <w:sz w:val="20"/>
          <w:szCs w:val="20"/>
          <w:lang w:val="en-GB"/>
        </w:rPr>
        <w:lastRenderedPageBreak/>
        <w:t>and expression.</w:t>
      </w:r>
      <w:r w:rsidR="00447744">
        <w:rPr>
          <w:rStyle w:val="FootnoteReference"/>
          <w:szCs w:val="20"/>
          <w:lang w:val="en-GB"/>
        </w:rPr>
        <w:footnoteReference w:id="45"/>
      </w:r>
      <w:r w:rsidRPr="00EC1FEE">
        <w:rPr>
          <w:sz w:val="20"/>
          <w:szCs w:val="20"/>
          <w:lang w:val="en-GB"/>
        </w:rPr>
        <w:t xml:space="preserve"> Limiting criminal penalties to speech that incites the commission of criminal offences or acts of violence</w:t>
      </w:r>
      <w:r w:rsidRPr="00EC1FEE">
        <w:rPr>
          <w:rStyle w:val="FootnoteReference"/>
          <w:sz w:val="20"/>
          <w:szCs w:val="20"/>
          <w:lang w:val="en-GB"/>
        </w:rPr>
        <w:t xml:space="preserve"> </w:t>
      </w:r>
      <w:r w:rsidRPr="00EC1FEE">
        <w:rPr>
          <w:sz w:val="20"/>
          <w:szCs w:val="20"/>
          <w:lang w:val="en-GB"/>
        </w:rPr>
        <w:t>is also consistent with the positions of other human rights bodies</w:t>
      </w:r>
      <w:r w:rsidR="00550BFE">
        <w:rPr>
          <w:sz w:val="20"/>
          <w:szCs w:val="20"/>
          <w:lang w:val="en-GB"/>
        </w:rPr>
        <w:t>.</w:t>
      </w:r>
      <w:r w:rsidR="00550BFE">
        <w:rPr>
          <w:rStyle w:val="FootnoteReference"/>
          <w:szCs w:val="20"/>
          <w:lang w:val="en-GB"/>
        </w:rPr>
        <w:footnoteReference w:id="46"/>
      </w:r>
    </w:p>
    <w:p w14:paraId="0737CDEB" w14:textId="71175472" w:rsidR="00005F43" w:rsidRPr="00EC1FEE" w:rsidRDefault="00005F43" w:rsidP="006C48F4">
      <w:pPr>
        <w:pStyle w:val="SingleTxtG"/>
        <w:rPr>
          <w:sz w:val="20"/>
          <w:szCs w:val="20"/>
          <w:lang w:val="en-GB"/>
        </w:rPr>
      </w:pPr>
      <w:r w:rsidRPr="00EC1FEE">
        <w:rPr>
          <w:sz w:val="20"/>
          <w:szCs w:val="20"/>
          <w:lang w:val="en-GB"/>
        </w:rPr>
        <w:t>8.</w:t>
      </w:r>
      <w:r w:rsidR="00A71B44">
        <w:rPr>
          <w:sz w:val="20"/>
          <w:szCs w:val="20"/>
          <w:lang w:val="en-GB"/>
        </w:rPr>
        <w:tab/>
      </w:r>
      <w:r w:rsidRPr="00EC1FEE">
        <w:rPr>
          <w:sz w:val="20"/>
          <w:szCs w:val="20"/>
          <w:lang w:val="en-GB"/>
        </w:rPr>
        <w:t>Such a restrictive standard for imposing criminal punishment is also appropriate. As the UN, OSCE, and OAS Special Rapporteurs have observed, “[i]n many countries, overbroad rules in this area are abused by the powerful to limit non-traditional, dissenting, critical, or minority voices, or discussion about challenging social issues”.</w:t>
      </w:r>
      <w:r w:rsidR="006C48F4">
        <w:rPr>
          <w:rStyle w:val="FootnoteReference"/>
          <w:szCs w:val="20"/>
          <w:lang w:val="en-GB"/>
        </w:rPr>
        <w:footnoteReference w:id="47"/>
      </w:r>
      <w:r w:rsidR="0033228B">
        <w:rPr>
          <w:sz w:val="20"/>
          <w:szCs w:val="20"/>
          <w:lang w:val="en-GB"/>
        </w:rPr>
        <w:t xml:space="preserve"> </w:t>
      </w:r>
      <w:r w:rsidRPr="00EC1FEE">
        <w:rPr>
          <w:sz w:val="20"/>
          <w:szCs w:val="20"/>
          <w:lang w:val="en-GB"/>
        </w:rPr>
        <w:t>Hate speech and similar laws ironically are often employed to suppress the very minorities they purportedly are designed to protect. Thus, while appropriately tailored laws addressing hate speech and hate crimes have an important role, around the world today, abuse of overbroad criminal provisions to suppress speech by journalists, human rights defenders, political opponents, and other social critics is a frequent concern of this Committee.</w:t>
      </w:r>
      <w:r w:rsidR="006C48F4">
        <w:rPr>
          <w:rStyle w:val="FootnoteReference"/>
          <w:szCs w:val="20"/>
          <w:lang w:val="en-GB"/>
        </w:rPr>
        <w:footnoteReference w:id="48"/>
      </w:r>
      <w:r w:rsidRPr="00EC1FEE">
        <w:rPr>
          <w:sz w:val="20"/>
          <w:szCs w:val="20"/>
          <w:lang w:val="en-GB"/>
        </w:rPr>
        <w:t xml:space="preserve"> </w:t>
      </w:r>
    </w:p>
    <w:p w14:paraId="02E364E6" w14:textId="53B32A3A" w:rsidR="00005F43" w:rsidRPr="00EC1FEE" w:rsidRDefault="00005F43" w:rsidP="00005F43">
      <w:pPr>
        <w:pStyle w:val="SingleTxtG"/>
        <w:rPr>
          <w:sz w:val="20"/>
          <w:szCs w:val="20"/>
          <w:lang w:val="en-GB"/>
        </w:rPr>
      </w:pPr>
      <w:r w:rsidRPr="00EC1FEE">
        <w:rPr>
          <w:sz w:val="20"/>
          <w:szCs w:val="20"/>
          <w:lang w:val="en-GB"/>
        </w:rPr>
        <w:t>9.</w:t>
      </w:r>
      <w:r w:rsidR="00A71B44">
        <w:rPr>
          <w:sz w:val="20"/>
          <w:szCs w:val="20"/>
          <w:lang w:val="en-GB"/>
        </w:rPr>
        <w:tab/>
      </w:r>
      <w:r w:rsidRPr="00EC1FEE">
        <w:rPr>
          <w:sz w:val="20"/>
          <w:szCs w:val="20"/>
          <w:lang w:val="en-GB"/>
        </w:rPr>
        <w:t xml:space="preserve">The State party in this case had a robust civil and criminal law framework in place to prohibit speech addressed by article 20(2), both through criminal prohibitions and civil remedies, and pursued a criminal prosecution against </w:t>
      </w:r>
      <w:r w:rsidR="006837AA">
        <w:rPr>
          <w:sz w:val="20"/>
          <w:szCs w:val="20"/>
          <w:lang w:val="en-GB"/>
        </w:rPr>
        <w:t>Mr. </w:t>
      </w:r>
      <w:r w:rsidRPr="00EC1FEE">
        <w:rPr>
          <w:sz w:val="20"/>
          <w:szCs w:val="20"/>
          <w:lang w:val="en-GB"/>
        </w:rPr>
        <w:t xml:space="preserve">Wilders before an independent court. The authors pursued the remedy they preferred – an </w:t>
      </w:r>
      <w:r w:rsidRPr="00EC1FEE">
        <w:rPr>
          <w:i/>
          <w:sz w:val="20"/>
          <w:szCs w:val="20"/>
          <w:lang w:val="en-GB"/>
        </w:rPr>
        <w:t>action civile</w:t>
      </w:r>
      <w:r w:rsidRPr="00EC1FEE">
        <w:rPr>
          <w:sz w:val="20"/>
          <w:szCs w:val="20"/>
          <w:lang w:val="en-GB"/>
        </w:rPr>
        <w:t xml:space="preserve"> that depended on the success of the criminal proceeding, with its heightened standard of proof and standard for criminal incitement – and did not pursue the independent avenue for civil remedies available to them.</w:t>
      </w:r>
      <w:r w:rsidR="0033228B">
        <w:rPr>
          <w:sz w:val="20"/>
          <w:szCs w:val="20"/>
          <w:lang w:val="en-GB"/>
        </w:rPr>
        <w:t xml:space="preserve"> </w:t>
      </w:r>
      <w:r w:rsidRPr="00EC1FEE">
        <w:rPr>
          <w:sz w:val="20"/>
          <w:szCs w:val="20"/>
          <w:lang w:val="en-GB"/>
        </w:rPr>
        <w:t>Criminal penalties are not mandated by article 20(2), and the authors had no personal entitlement under article 2(3) or any other provision of the Covenant to secure a s</w:t>
      </w:r>
      <w:r w:rsidR="005E713A" w:rsidRPr="00EC1FEE">
        <w:rPr>
          <w:sz w:val="20"/>
          <w:szCs w:val="20"/>
          <w:lang w:val="en-GB"/>
        </w:rPr>
        <w:t xml:space="preserve">uccessful criminal conviction. </w:t>
      </w:r>
      <w:r w:rsidRPr="00EC1FEE">
        <w:rPr>
          <w:sz w:val="20"/>
          <w:szCs w:val="20"/>
          <w:lang w:val="en-GB"/>
        </w:rPr>
        <w:t xml:space="preserve">Under these circumstances, the authors have not demonstrated that the State party violated its obligation to “prohibit by law” the “advocacy of national, racial or religious hatred that constitutes incitement to discrimination, hostility or violence” under article 20(2) </w:t>
      </w:r>
      <w:r w:rsidR="005E713A" w:rsidRPr="00EC1FEE">
        <w:rPr>
          <w:sz w:val="20"/>
          <w:szCs w:val="20"/>
          <w:lang w:val="en-GB"/>
        </w:rPr>
        <w:t>in conjunction with article 26.</w:t>
      </w:r>
      <w:r w:rsidRPr="00EC1FEE">
        <w:rPr>
          <w:sz w:val="20"/>
          <w:szCs w:val="20"/>
          <w:lang w:val="en-GB"/>
        </w:rPr>
        <w:t xml:space="preserve"> Nor have they demonstrated that it failed to provide them with</w:t>
      </w:r>
      <w:r w:rsidR="0078315B" w:rsidRPr="00EC1FEE">
        <w:rPr>
          <w:sz w:val="20"/>
          <w:szCs w:val="20"/>
          <w:lang w:val="en-GB"/>
        </w:rPr>
        <w:t xml:space="preserve"> a remedy for such violation.</w:t>
      </w:r>
    </w:p>
    <w:p w14:paraId="7ABA15B1" w14:textId="77777777" w:rsidR="00E43CFA" w:rsidRDefault="00E43CFA" w:rsidP="00005F43">
      <w:pPr>
        <w:suppressAutoHyphens w:val="0"/>
        <w:spacing w:line="240" w:lineRule="auto"/>
        <w:rPr>
          <w:sz w:val="20"/>
          <w:szCs w:val="20"/>
        </w:rPr>
        <w:sectPr w:rsidR="00E43CFA" w:rsidSect="00B32638">
          <w:headerReference w:type="even" r:id="rId22"/>
          <w:headerReference w:type="default" r:id="rId23"/>
          <w:headerReference w:type="first" r:id="rId24"/>
          <w:footnotePr>
            <w:numFmt w:val="lowerLetter"/>
            <w:numRestart w:val="eachSect"/>
          </w:footnotePr>
          <w:endnotePr>
            <w:numFmt w:val="decimal"/>
          </w:endnotePr>
          <w:pgSz w:w="11907" w:h="16840" w:code="9"/>
          <w:pgMar w:top="1524" w:right="1134" w:bottom="1134" w:left="1134" w:header="1134" w:footer="1701" w:gutter="0"/>
          <w:cols w:space="720"/>
          <w:titlePg/>
          <w:docGrid w:linePitch="272"/>
        </w:sectPr>
      </w:pPr>
    </w:p>
    <w:p w14:paraId="19036153" w14:textId="6C4D7D4B" w:rsidR="00005F43" w:rsidRPr="00F15147" w:rsidRDefault="00B93CAC" w:rsidP="00F15147">
      <w:pPr>
        <w:pStyle w:val="HChG"/>
      </w:pPr>
      <w:r w:rsidRPr="00EC1FEE">
        <w:lastRenderedPageBreak/>
        <w:tab/>
      </w:r>
      <w:r w:rsidR="00005F43" w:rsidRPr="00EC1FEE">
        <w:t>Annex V</w:t>
      </w:r>
    </w:p>
    <w:p w14:paraId="31B96606" w14:textId="5739BEB2" w:rsidR="00005F43" w:rsidRPr="00F15147" w:rsidRDefault="00005F43" w:rsidP="00F15147">
      <w:pPr>
        <w:pStyle w:val="HChG"/>
      </w:pPr>
      <w:r w:rsidRPr="00EC1FEE">
        <w:tab/>
      </w:r>
      <w:r w:rsidRPr="00EC1FEE">
        <w:tab/>
      </w:r>
      <w:r w:rsidRPr="00F15147">
        <w:t xml:space="preserve">Individual opinion of Committee members Anja Seibert-Fohr, Yuji Iwasawa and </w:t>
      </w:r>
      <w:hyperlink r:id="rId25" w:history="1">
        <w:r w:rsidRPr="00F15147">
          <w:t>Konstantine Vardzelashvili</w:t>
        </w:r>
      </w:hyperlink>
    </w:p>
    <w:p w14:paraId="308BC8DA" w14:textId="5DEC06FC" w:rsidR="00005F43" w:rsidRPr="00EC1FEE" w:rsidRDefault="008B6CE5" w:rsidP="008B6CE5">
      <w:pPr>
        <w:pStyle w:val="SingleTxtG"/>
        <w:rPr>
          <w:sz w:val="20"/>
          <w:szCs w:val="20"/>
          <w:lang w:val="en-GB"/>
        </w:rPr>
      </w:pPr>
      <w:r w:rsidRPr="00EC1FEE">
        <w:rPr>
          <w:sz w:val="20"/>
          <w:szCs w:val="20"/>
          <w:lang w:val="en-GB"/>
        </w:rPr>
        <w:t>1.</w:t>
      </w:r>
      <w:r w:rsidRPr="00EC1FEE">
        <w:rPr>
          <w:sz w:val="20"/>
          <w:szCs w:val="20"/>
          <w:lang w:val="en-GB"/>
        </w:rPr>
        <w:tab/>
      </w:r>
      <w:r w:rsidR="00005F43" w:rsidRPr="00EC1FEE">
        <w:rPr>
          <w:sz w:val="20"/>
          <w:szCs w:val="20"/>
          <w:lang w:val="en-GB"/>
        </w:rPr>
        <w:t xml:space="preserve">While we agree </w:t>
      </w:r>
      <w:r w:rsidR="00005F43" w:rsidRPr="00EC1FEE">
        <w:rPr>
          <w:sz w:val="20"/>
          <w:szCs w:val="20"/>
          <w:lang w:val="en-GB" w:eastAsia="ja-JP"/>
        </w:rPr>
        <w:t xml:space="preserve">with the majority of the Committee </w:t>
      </w:r>
      <w:r w:rsidR="00005F43" w:rsidRPr="00EC1FEE">
        <w:rPr>
          <w:sz w:val="20"/>
          <w:szCs w:val="20"/>
          <w:lang w:val="en-GB"/>
        </w:rPr>
        <w:t xml:space="preserve">that we cannot find a violation of the author’s rights under the Covenant in the present case, we </w:t>
      </w:r>
      <w:r w:rsidR="00005F43" w:rsidRPr="00EC1FEE">
        <w:rPr>
          <w:sz w:val="20"/>
          <w:szCs w:val="20"/>
          <w:lang w:val="en-GB" w:eastAsia="ja-JP"/>
        </w:rPr>
        <w:t>are</w:t>
      </w:r>
      <w:r w:rsidR="00005F43" w:rsidRPr="00EC1FEE">
        <w:rPr>
          <w:sz w:val="20"/>
          <w:szCs w:val="20"/>
          <w:lang w:val="en-GB"/>
        </w:rPr>
        <w:t xml:space="preserve"> unable to agree</w:t>
      </w:r>
      <w:r w:rsidR="00005F43" w:rsidRPr="00EC1FEE">
        <w:rPr>
          <w:sz w:val="20"/>
          <w:szCs w:val="20"/>
          <w:lang w:val="en-GB" w:eastAsia="ja-JP"/>
        </w:rPr>
        <w:t>,</w:t>
      </w:r>
      <w:r w:rsidR="00005F43" w:rsidRPr="00EC1FEE">
        <w:rPr>
          <w:sz w:val="20"/>
          <w:szCs w:val="20"/>
          <w:lang w:val="en-GB"/>
        </w:rPr>
        <w:t xml:space="preserve"> with respect to the admissibility of the communication. We would have found the communication inadmissible in the first place for the following reasons.</w:t>
      </w:r>
    </w:p>
    <w:p w14:paraId="7DA51069" w14:textId="55B6B935" w:rsidR="00005F43" w:rsidRPr="00EC1FEE" w:rsidRDefault="008B6CE5" w:rsidP="008B6CE5">
      <w:pPr>
        <w:pStyle w:val="SingleTxtG"/>
        <w:rPr>
          <w:sz w:val="20"/>
          <w:szCs w:val="20"/>
          <w:lang w:val="en-GB"/>
        </w:rPr>
      </w:pPr>
      <w:r w:rsidRPr="00EC1FEE">
        <w:rPr>
          <w:sz w:val="20"/>
          <w:szCs w:val="20"/>
          <w:lang w:val="en-GB"/>
        </w:rPr>
        <w:t>2.</w:t>
      </w:r>
      <w:r w:rsidRPr="00EC1FEE">
        <w:rPr>
          <w:sz w:val="20"/>
          <w:szCs w:val="20"/>
          <w:lang w:val="en-GB"/>
        </w:rPr>
        <w:tab/>
      </w:r>
      <w:r w:rsidR="00005F43" w:rsidRPr="00EC1FEE">
        <w:rPr>
          <w:sz w:val="20"/>
          <w:szCs w:val="20"/>
          <w:lang w:val="en-GB"/>
        </w:rPr>
        <w:t xml:space="preserve">The authors of the Communication claim to be victims of a violation of their Covenant rights, </w:t>
      </w:r>
      <w:r w:rsidR="00005F43" w:rsidRPr="00EC1FEE">
        <w:rPr>
          <w:i/>
          <w:sz w:val="20"/>
          <w:szCs w:val="20"/>
          <w:lang w:val="en-GB"/>
        </w:rPr>
        <w:t>inter alia</w:t>
      </w:r>
      <w:r w:rsidR="00005F43" w:rsidRPr="00EC1FEE">
        <w:rPr>
          <w:sz w:val="20"/>
          <w:szCs w:val="20"/>
          <w:lang w:val="en-GB"/>
        </w:rPr>
        <w:t xml:space="preserve"> because the authorities did not convict </w:t>
      </w:r>
      <w:r w:rsidR="006837AA">
        <w:rPr>
          <w:sz w:val="20"/>
          <w:szCs w:val="20"/>
          <w:lang w:val="en-GB"/>
        </w:rPr>
        <w:t>Mr. </w:t>
      </w:r>
      <w:r w:rsidR="00005F43" w:rsidRPr="00EC1FEE">
        <w:rPr>
          <w:sz w:val="20"/>
          <w:szCs w:val="20"/>
          <w:lang w:val="en-GB"/>
        </w:rPr>
        <w:t xml:space="preserve">Wilders for hate speech. This claim is inadmissible </w:t>
      </w:r>
      <w:r w:rsidR="00005F43" w:rsidRPr="00EC1FEE">
        <w:rPr>
          <w:i/>
          <w:sz w:val="20"/>
          <w:szCs w:val="20"/>
          <w:lang w:val="en-GB"/>
        </w:rPr>
        <w:t>rationae materiae.</w:t>
      </w:r>
      <w:r w:rsidR="00005F43" w:rsidRPr="00EC1FEE">
        <w:rPr>
          <w:sz w:val="20"/>
          <w:szCs w:val="20"/>
          <w:lang w:val="en-GB"/>
        </w:rPr>
        <w:t xml:space="preserve"> According to the long-established jurisprudence of the Committee, the Covenant does not provide a right for individuals to require that the State criminally prosecute and punish a third party.</w:t>
      </w:r>
      <w:r w:rsidR="00E43CFA">
        <w:rPr>
          <w:rStyle w:val="FootnoteReference"/>
          <w:szCs w:val="20"/>
          <w:lang w:val="en-GB"/>
        </w:rPr>
        <w:footnoteReference w:id="49"/>
      </w:r>
      <w:r w:rsidR="00005F43" w:rsidRPr="00EC1FEE">
        <w:rPr>
          <w:sz w:val="20"/>
          <w:szCs w:val="20"/>
          <w:lang w:val="en-GB"/>
        </w:rPr>
        <w:t xml:space="preserve"> Neither does article 20 of the Covenant provide such a right nor can it be claimed under articles 14, 17, 26, 27 or 2</w:t>
      </w:r>
      <w:r w:rsidR="004C03ED">
        <w:rPr>
          <w:sz w:val="20"/>
          <w:szCs w:val="20"/>
          <w:lang w:val="en-GB"/>
        </w:rPr>
        <w:t> </w:t>
      </w:r>
      <w:r w:rsidR="00005F43" w:rsidRPr="00EC1FEE">
        <w:rPr>
          <w:sz w:val="20"/>
          <w:szCs w:val="20"/>
          <w:lang w:val="en-GB"/>
        </w:rPr>
        <w:t>(3). This claim of the authors is therefore incompatible with the provisions of the Covenant and inadmissible under article 3 of the Optional Protocol.</w:t>
      </w:r>
      <w:r w:rsidR="00005F43" w:rsidRPr="00EC1FEE" w:rsidDel="00D66DDC">
        <w:rPr>
          <w:rStyle w:val="FootnoteReference"/>
          <w:sz w:val="20"/>
          <w:szCs w:val="20"/>
          <w:lang w:val="en-GB"/>
        </w:rPr>
        <w:t xml:space="preserve"> </w:t>
      </w:r>
    </w:p>
    <w:p w14:paraId="40737558" w14:textId="31F31699" w:rsidR="00005F43" w:rsidRDefault="008B6CE5" w:rsidP="008B6CE5">
      <w:pPr>
        <w:pStyle w:val="SingleTxtG"/>
        <w:rPr>
          <w:sz w:val="20"/>
          <w:szCs w:val="20"/>
          <w:lang w:val="en-GB"/>
        </w:rPr>
      </w:pPr>
      <w:r>
        <w:rPr>
          <w:sz w:val="20"/>
          <w:szCs w:val="20"/>
          <w:lang w:val="en-GB"/>
        </w:rPr>
        <w:t>3.</w:t>
      </w:r>
      <w:r>
        <w:rPr>
          <w:sz w:val="20"/>
          <w:szCs w:val="20"/>
          <w:lang w:val="en-GB"/>
        </w:rPr>
        <w:tab/>
      </w:r>
      <w:r w:rsidR="00005F43" w:rsidRPr="00EC1FEE">
        <w:rPr>
          <w:sz w:val="20"/>
          <w:szCs w:val="20"/>
          <w:lang w:val="en-GB" w:eastAsia="ja-JP"/>
        </w:rPr>
        <w:t>T</w:t>
      </w:r>
      <w:r w:rsidR="00005F43" w:rsidRPr="00EC1FEE">
        <w:rPr>
          <w:sz w:val="20"/>
          <w:szCs w:val="20"/>
          <w:lang w:val="en-GB"/>
        </w:rPr>
        <w:t xml:space="preserve">he authors </w:t>
      </w:r>
      <w:r w:rsidR="00005F43" w:rsidRPr="00EC1FEE">
        <w:rPr>
          <w:sz w:val="20"/>
          <w:szCs w:val="20"/>
          <w:lang w:val="en-GB" w:eastAsia="ja-JP"/>
        </w:rPr>
        <w:t xml:space="preserve">effectively </w:t>
      </w:r>
      <w:r w:rsidR="00005F43" w:rsidRPr="00EC1FEE">
        <w:rPr>
          <w:sz w:val="20"/>
          <w:szCs w:val="20"/>
          <w:lang w:val="en-GB"/>
        </w:rPr>
        <w:t xml:space="preserve">claim </w:t>
      </w:r>
      <w:r w:rsidR="00005F43" w:rsidRPr="00EC1FEE">
        <w:rPr>
          <w:sz w:val="20"/>
          <w:szCs w:val="20"/>
          <w:lang w:val="en-GB" w:eastAsia="ja-JP"/>
        </w:rPr>
        <w:t xml:space="preserve">also </w:t>
      </w:r>
      <w:r w:rsidR="00005F43" w:rsidRPr="00EC1FEE">
        <w:rPr>
          <w:sz w:val="20"/>
          <w:szCs w:val="20"/>
          <w:lang w:val="en-GB"/>
        </w:rPr>
        <w:t>that the State party has insufficiently protected them from threats to their physical integrity, from discrimination or advocacy of hatred that constitutes incitement to discrimination, hostility or violence. However, we consider that the</w:t>
      </w:r>
      <w:r w:rsidR="00005F43" w:rsidRPr="00EC1FEE">
        <w:rPr>
          <w:sz w:val="20"/>
          <w:szCs w:val="20"/>
          <w:lang w:val="en-GB" w:eastAsia="ja-JP"/>
        </w:rPr>
        <w:t>y</w:t>
      </w:r>
      <w:r w:rsidR="00005F43" w:rsidRPr="00EC1FEE">
        <w:rPr>
          <w:sz w:val="20"/>
          <w:szCs w:val="20"/>
          <w:lang w:val="en-GB"/>
        </w:rPr>
        <w:t xml:space="preserve"> have </w:t>
      </w:r>
      <w:r w:rsidR="00005F43" w:rsidRPr="00EC1FEE">
        <w:rPr>
          <w:sz w:val="20"/>
          <w:szCs w:val="20"/>
          <w:lang w:val="en-GB" w:eastAsia="ja-JP"/>
        </w:rPr>
        <w:t xml:space="preserve">not </w:t>
      </w:r>
      <w:r w:rsidR="00005F43" w:rsidRPr="00EC1FEE">
        <w:rPr>
          <w:sz w:val="20"/>
          <w:szCs w:val="20"/>
          <w:lang w:val="en-GB"/>
        </w:rPr>
        <w:t>sufficiently substantiated that the State party did not provide them with adequate protection in the present case. According to Dutch legislation</w:t>
      </w:r>
      <w:r w:rsidR="00005F43" w:rsidRPr="00EC1FEE">
        <w:rPr>
          <w:sz w:val="20"/>
          <w:szCs w:val="20"/>
          <w:lang w:val="en-GB" w:eastAsia="ja-JP"/>
        </w:rPr>
        <w:t>,</w:t>
      </w:r>
      <w:r w:rsidR="00005F43" w:rsidRPr="00EC1FEE">
        <w:rPr>
          <w:sz w:val="20"/>
          <w:szCs w:val="20"/>
          <w:lang w:val="en-GB"/>
        </w:rPr>
        <w:t xml:space="preserve"> the authors could have brought a civil action against </w:t>
      </w:r>
      <w:r w:rsidR="006837AA">
        <w:rPr>
          <w:sz w:val="20"/>
          <w:szCs w:val="20"/>
          <w:lang w:val="en-GB"/>
        </w:rPr>
        <w:t>Mr. </w:t>
      </w:r>
      <w:r w:rsidR="00005F43" w:rsidRPr="00EC1FEE">
        <w:rPr>
          <w:sz w:val="20"/>
          <w:szCs w:val="20"/>
          <w:lang w:val="en-GB"/>
        </w:rPr>
        <w:t>Wilders pursuant to article 6:162 of the Civil Code. The</w:t>
      </w:r>
      <w:r w:rsidR="00005F43" w:rsidRPr="00EC1FEE">
        <w:rPr>
          <w:sz w:val="20"/>
          <w:szCs w:val="20"/>
          <w:lang w:val="en-GB" w:eastAsia="ja-JP"/>
        </w:rPr>
        <w:t>y</w:t>
      </w:r>
      <w:r w:rsidR="00005F43" w:rsidRPr="00EC1FEE">
        <w:rPr>
          <w:sz w:val="20"/>
          <w:szCs w:val="20"/>
          <w:lang w:val="en-GB"/>
        </w:rPr>
        <w:t xml:space="preserve"> have declined to take this path</w:t>
      </w:r>
      <w:r w:rsidR="00005F43" w:rsidRPr="00EC1FEE">
        <w:rPr>
          <w:sz w:val="20"/>
          <w:szCs w:val="20"/>
          <w:lang w:val="en-GB" w:eastAsia="ja-JP"/>
        </w:rPr>
        <w:t>;</w:t>
      </w:r>
      <w:r w:rsidR="00005F43" w:rsidRPr="00EC1FEE">
        <w:rPr>
          <w:sz w:val="20"/>
          <w:szCs w:val="20"/>
          <w:lang w:val="en-GB"/>
        </w:rPr>
        <w:t xml:space="preserve"> instead, they decided to resort exclusively to criminal proceedings by joining criminal proceedings against </w:t>
      </w:r>
      <w:r w:rsidR="006837AA">
        <w:rPr>
          <w:sz w:val="20"/>
          <w:szCs w:val="20"/>
          <w:lang w:val="en-GB"/>
        </w:rPr>
        <w:t>Mr. </w:t>
      </w:r>
      <w:r w:rsidR="00005F43" w:rsidRPr="00EC1FEE">
        <w:rPr>
          <w:sz w:val="20"/>
          <w:szCs w:val="20"/>
          <w:lang w:val="en-GB"/>
        </w:rPr>
        <w:t>Wilders as an aggrieved party and claiming compensation. According to the State party’s uncontested submission</w:t>
      </w:r>
      <w:r w:rsidR="00005F43" w:rsidRPr="00EC1FEE">
        <w:rPr>
          <w:sz w:val="20"/>
          <w:szCs w:val="20"/>
          <w:lang w:val="en-GB" w:eastAsia="ja-JP"/>
        </w:rPr>
        <w:t>,</w:t>
      </w:r>
      <w:r w:rsidR="00005F43" w:rsidRPr="00EC1FEE">
        <w:rPr>
          <w:sz w:val="20"/>
          <w:szCs w:val="20"/>
          <w:lang w:val="en-GB"/>
        </w:rPr>
        <w:t xml:space="preserve"> a successful civil action before a civil court pursuant to article 6:162 of the Civil Code would have enabled the authors to ask for a ban of future abusive statements or to request a declaratory decision that </w:t>
      </w:r>
      <w:r w:rsidR="006837AA">
        <w:rPr>
          <w:sz w:val="20"/>
          <w:szCs w:val="20"/>
          <w:lang w:val="en-GB"/>
        </w:rPr>
        <w:t>Mr. </w:t>
      </w:r>
      <w:r w:rsidR="00005F43" w:rsidRPr="00EC1FEE">
        <w:rPr>
          <w:sz w:val="20"/>
          <w:szCs w:val="20"/>
          <w:lang w:val="en-GB"/>
        </w:rPr>
        <w:t>Wilder’s statements were unlawful. This avenue is still available. There is no reason to assume that these proceedings would not offer them the protection required under the Covenant.</w:t>
      </w:r>
      <w:r w:rsidR="00E43CFA">
        <w:rPr>
          <w:rStyle w:val="FootnoteReference"/>
          <w:szCs w:val="20"/>
          <w:lang w:val="en-GB"/>
        </w:rPr>
        <w:footnoteReference w:id="50"/>
      </w:r>
      <w:r w:rsidR="00005F43" w:rsidRPr="00EC1FEE">
        <w:rPr>
          <w:sz w:val="20"/>
          <w:szCs w:val="20"/>
          <w:lang w:val="en-GB"/>
        </w:rPr>
        <w:t xml:space="preserve"> Article 20 of the Covenant which requires States parties to </w:t>
      </w:r>
      <w:r w:rsidR="00005F43" w:rsidRPr="00EC1FEE">
        <w:rPr>
          <w:i/>
          <w:sz w:val="20"/>
          <w:szCs w:val="20"/>
          <w:lang w:val="en-GB"/>
        </w:rPr>
        <w:t xml:space="preserve">prohibit by law </w:t>
      </w:r>
      <w:r w:rsidR="00005F43" w:rsidRPr="00EC1FEE">
        <w:rPr>
          <w:sz w:val="20"/>
          <w:szCs w:val="20"/>
          <w:lang w:val="en-GB"/>
        </w:rPr>
        <w:t>any advocacy of national, racial or religious hatred that constitutes incitement to discrimination, hostility or violence</w:t>
      </w:r>
      <w:r w:rsidR="00005F43" w:rsidRPr="00EC1FEE">
        <w:rPr>
          <w:sz w:val="20"/>
          <w:szCs w:val="20"/>
          <w:lang w:val="en-GB" w:eastAsia="ja-JP"/>
        </w:rPr>
        <w:t>,</w:t>
      </w:r>
      <w:r w:rsidR="00005F43" w:rsidRPr="00EC1FEE">
        <w:rPr>
          <w:sz w:val="20"/>
          <w:szCs w:val="20"/>
          <w:lang w:val="en-GB"/>
        </w:rPr>
        <w:t xml:space="preserve"> does not strictly require the imposition of criminal penalties. Without having tried to seek protection in civil proceedings which were available to them</w:t>
      </w:r>
      <w:r w:rsidR="00005F43" w:rsidRPr="00EC1FEE">
        <w:rPr>
          <w:sz w:val="20"/>
          <w:szCs w:val="20"/>
          <w:lang w:val="en-GB" w:eastAsia="ja-JP"/>
        </w:rPr>
        <w:t>,</w:t>
      </w:r>
      <w:r w:rsidR="00005F43" w:rsidRPr="00EC1FEE">
        <w:rPr>
          <w:sz w:val="20"/>
          <w:szCs w:val="20"/>
          <w:lang w:val="en-GB"/>
        </w:rPr>
        <w:t xml:space="preserve"> the authors cannot claim their inadequacy just on the basis that they are civil in nature. Thus, in the circumstances of the case, the authors have failed to demonstrate that the State party gave insufficient protection to the authors and that their right to protection under the Covenant was effectively impaired. For these reasons, this part of the author’s communication has been insufficiently substantiated for the purposes of admissibility and is inadmissible under article 2 of the Optional Protocol.</w:t>
      </w:r>
    </w:p>
    <w:p w14:paraId="4F7A894C" w14:textId="77777777" w:rsidR="008B6CE5" w:rsidRDefault="008B6CE5" w:rsidP="008B6CE5">
      <w:pPr>
        <w:pStyle w:val="SingleTxtG"/>
        <w:rPr>
          <w:sz w:val="20"/>
          <w:szCs w:val="20"/>
          <w:lang w:val="en-GB"/>
        </w:rPr>
      </w:pPr>
    </w:p>
    <w:p w14:paraId="23E62733" w14:textId="77777777" w:rsidR="008B6CE5" w:rsidRDefault="008B6CE5" w:rsidP="008B6CE5">
      <w:pPr>
        <w:pStyle w:val="SingleTxtG"/>
        <w:rPr>
          <w:sz w:val="20"/>
          <w:szCs w:val="20"/>
          <w:lang w:val="en-GB"/>
        </w:rPr>
        <w:sectPr w:rsidR="008B6CE5" w:rsidSect="002E63AC">
          <w:headerReference w:type="first" r:id="rId26"/>
          <w:footerReference w:type="first" r:id="rId27"/>
          <w:footnotePr>
            <w:numFmt w:val="lowerLetter"/>
            <w:numRestart w:val="eachSect"/>
          </w:footnotePr>
          <w:endnotePr>
            <w:numFmt w:val="decimal"/>
          </w:endnotePr>
          <w:pgSz w:w="11907" w:h="16840" w:code="9"/>
          <w:pgMar w:top="1418" w:right="1134" w:bottom="1134" w:left="1134" w:header="1134" w:footer="1701" w:gutter="0"/>
          <w:cols w:space="720"/>
          <w:titlePg/>
          <w:docGrid w:linePitch="272"/>
        </w:sectPr>
      </w:pPr>
    </w:p>
    <w:p w14:paraId="42EB5317" w14:textId="687ACD60" w:rsidR="00005F43" w:rsidRPr="00F15147" w:rsidRDefault="00612109" w:rsidP="00F15147">
      <w:pPr>
        <w:pStyle w:val="HChG"/>
        <w:rPr>
          <w:lang w:val="es-ES"/>
        </w:rPr>
      </w:pPr>
      <w:r w:rsidRPr="00EC1FEE">
        <w:lastRenderedPageBreak/>
        <w:tab/>
      </w:r>
      <w:r w:rsidR="00330C15" w:rsidRPr="00F15147">
        <w:rPr>
          <w:lang w:val="es-ES"/>
        </w:rPr>
        <w:t>An</w:t>
      </w:r>
      <w:r w:rsidR="0062332F" w:rsidRPr="00F15147">
        <w:rPr>
          <w:lang w:val="es-ES"/>
        </w:rPr>
        <w:t>n</w:t>
      </w:r>
      <w:r w:rsidR="00005F43" w:rsidRPr="00F15147">
        <w:rPr>
          <w:lang w:val="es-ES"/>
        </w:rPr>
        <w:t>ex VI</w:t>
      </w:r>
    </w:p>
    <w:p w14:paraId="58DF6C26" w14:textId="774AFEF5" w:rsidR="00005F43" w:rsidRPr="00F15147" w:rsidRDefault="00005F43" w:rsidP="00F15147">
      <w:pPr>
        <w:pStyle w:val="HChG"/>
        <w:rPr>
          <w:lang w:val="es-ES"/>
        </w:rPr>
      </w:pPr>
      <w:r w:rsidRPr="00F15147">
        <w:rPr>
          <w:lang w:val="es-ES"/>
        </w:rPr>
        <w:tab/>
      </w:r>
      <w:r w:rsidRPr="00F15147">
        <w:rPr>
          <w:lang w:val="es-ES"/>
        </w:rPr>
        <w:tab/>
      </w:r>
      <w:r w:rsidR="0062332F" w:rsidRPr="00F15147">
        <w:rPr>
          <w:lang w:val="es-ES"/>
        </w:rPr>
        <w:t xml:space="preserve">Opinión parcialmente disidente de Víctor </w:t>
      </w:r>
      <w:r w:rsidR="00B93A39" w:rsidRPr="00F15147">
        <w:rPr>
          <w:lang w:val="es-ES"/>
        </w:rPr>
        <w:t xml:space="preserve">Manuel </w:t>
      </w:r>
      <w:r w:rsidR="0062332F" w:rsidRPr="00F15147">
        <w:rPr>
          <w:lang w:val="es-ES"/>
        </w:rPr>
        <w:t>Rodríguez</w:t>
      </w:r>
      <w:r w:rsidR="00B93A39" w:rsidRPr="00F15147">
        <w:rPr>
          <w:lang w:val="es-ES"/>
        </w:rPr>
        <w:t xml:space="preserve"> </w:t>
      </w:r>
      <w:r w:rsidR="00B93A39" w:rsidRPr="00F15147">
        <w:rPr>
          <w:bCs/>
          <w:lang w:val="es-ES"/>
        </w:rPr>
        <w:t>Rescia</w:t>
      </w:r>
    </w:p>
    <w:p w14:paraId="0E44E2FF" w14:textId="440BDAFE" w:rsidR="00005F43" w:rsidRPr="00F15147" w:rsidRDefault="00005F43" w:rsidP="00005F43">
      <w:pPr>
        <w:pStyle w:val="SingleTxtG"/>
        <w:rPr>
          <w:rFonts w:cs="Arial"/>
          <w:sz w:val="20"/>
          <w:szCs w:val="20"/>
          <w:lang w:val="es-ES"/>
        </w:rPr>
      </w:pPr>
      <w:r w:rsidRPr="00F15147">
        <w:rPr>
          <w:sz w:val="20"/>
          <w:szCs w:val="20"/>
          <w:lang w:val="es-ES"/>
        </w:rPr>
        <w:t>1.</w:t>
      </w:r>
      <w:r w:rsidR="00612109" w:rsidRPr="00F15147">
        <w:rPr>
          <w:sz w:val="20"/>
          <w:szCs w:val="20"/>
          <w:lang w:val="es-ES"/>
        </w:rPr>
        <w:tab/>
      </w:r>
      <w:r w:rsidRPr="00F15147">
        <w:rPr>
          <w:sz w:val="20"/>
          <w:szCs w:val="20"/>
          <w:lang w:val="es-ES"/>
        </w:rPr>
        <w:t xml:space="preserve">La presente opinión coincide con la decisión de admisibilidad del Comité de Derechos Humanos, pero difiere de la decisión de fondo, como se desarrollará más adelante. En relación con la admisibilidad, es digno de destacar el avance realizado por el Comité para admitir el estudio del caso en el marco de una supuesta violación relacionada con el artículo 20.2 (la prohibición por ley de la apología del odio nacional, racial o religioso que constituya incitación a la discriminación, la hostilidad o la violencia), en conjunción con otros artículos del Pacto (Artículos 14. 1; 2.3 y 26), y que el Comité considerara que el artículo 20.2 es un derecho justiciable que ofrece protección a personas individualmente </w:t>
      </w:r>
      <w:r w:rsidRPr="00F15147">
        <w:rPr>
          <w:bCs/>
          <w:sz w:val="20"/>
          <w:szCs w:val="20"/>
          <w:lang w:val="es-ES"/>
        </w:rPr>
        <w:t>y como miembros de grupos</w:t>
      </w:r>
      <w:r w:rsidRPr="00F15147">
        <w:rPr>
          <w:sz w:val="20"/>
          <w:szCs w:val="20"/>
          <w:lang w:val="es-ES"/>
        </w:rPr>
        <w:t xml:space="preserve"> contra ese tipo de discriminación. De igual importancia resulta la declaración del Comité de que “el artículo 20.2, no se limita a imponer una obligación formal a los Estados partes para que aprueben leyes que prohíban la discriminación, pues una ley de ese tipo no tendría efecto alguno sin procedimientos de denuncia y sanciones apropiadas”. También es destacable que el Comité haya considerado que la vía más adecuada para la determinación del cumplimiento de las obligaciones que incumben al Estado parte en virtud del 20.2 del Pacto sea la vía penal en el caso concreto (artículo 137.d. del Código Penal), que fue por la que optaron los autores.</w:t>
      </w:r>
    </w:p>
    <w:p w14:paraId="03C5076A" w14:textId="65DB35D4" w:rsidR="00005F43" w:rsidRPr="00F15147" w:rsidRDefault="00005F43" w:rsidP="00005F43">
      <w:pPr>
        <w:pStyle w:val="SingleTxtG"/>
        <w:rPr>
          <w:rFonts w:cs="Arial"/>
          <w:sz w:val="20"/>
          <w:szCs w:val="20"/>
          <w:lang w:val="es-ES"/>
        </w:rPr>
      </w:pPr>
      <w:r w:rsidRPr="00F15147">
        <w:rPr>
          <w:sz w:val="20"/>
          <w:szCs w:val="20"/>
          <w:lang w:val="es-ES"/>
        </w:rPr>
        <w:t>2.</w:t>
      </w:r>
      <w:r w:rsidR="00612109" w:rsidRPr="00F15147">
        <w:rPr>
          <w:sz w:val="20"/>
          <w:szCs w:val="20"/>
          <w:lang w:val="es-ES"/>
        </w:rPr>
        <w:tab/>
      </w:r>
      <w:r w:rsidRPr="00F15147">
        <w:rPr>
          <w:sz w:val="20"/>
          <w:szCs w:val="20"/>
          <w:lang w:val="es-ES"/>
        </w:rPr>
        <w:t>En relación con el fondo del caso, los autores basaron su reclamación en una supuesta falta de una acción penal eficaz y el papel limitado que les correspondió, como partes lesionadas, en los procedimientos penales, “puesto que no pudieron, por ejemplo, presentar testigos; participar o plantear argumentos durante el examen de los hechos y del fondo de la causa para determinar si las declaraciones del Sr. Wilders suponían una incitación al odio, la discriminación o la violencia; ni recurrir la sentencia del tribunal”.</w:t>
      </w:r>
      <w:r w:rsidR="0033228B">
        <w:rPr>
          <w:sz w:val="20"/>
          <w:szCs w:val="20"/>
          <w:lang w:val="es-ES"/>
        </w:rPr>
        <w:t xml:space="preserve"> </w:t>
      </w:r>
      <w:r w:rsidRPr="00F15147">
        <w:rPr>
          <w:sz w:val="20"/>
          <w:szCs w:val="20"/>
          <w:lang w:val="es-ES"/>
        </w:rPr>
        <w:t>Al respecto considero importante desentrañar los alcances que en mi interpretación corresponden al artículo 20.2 del Pacto, y esto me ayudará a definir si existe o no una violación a alguno de los derechos contemplados en el artículo 14 del mismo.</w:t>
      </w:r>
    </w:p>
    <w:p w14:paraId="38BA1884" w14:textId="61649D86" w:rsidR="00005F43" w:rsidRPr="00F15147" w:rsidRDefault="00005F43" w:rsidP="00005F43">
      <w:pPr>
        <w:pStyle w:val="SingleTxtG"/>
        <w:rPr>
          <w:rFonts w:cs="Arial"/>
          <w:sz w:val="20"/>
          <w:szCs w:val="20"/>
          <w:lang w:val="es-ES"/>
        </w:rPr>
      </w:pPr>
      <w:r w:rsidRPr="00F15147">
        <w:rPr>
          <w:sz w:val="20"/>
          <w:szCs w:val="20"/>
          <w:lang w:val="es-ES"/>
        </w:rPr>
        <w:t>3.</w:t>
      </w:r>
      <w:r w:rsidR="00612109" w:rsidRPr="00F15147">
        <w:rPr>
          <w:sz w:val="20"/>
          <w:szCs w:val="20"/>
          <w:lang w:val="es-ES"/>
        </w:rPr>
        <w:tab/>
      </w:r>
      <w:r w:rsidRPr="00F15147">
        <w:rPr>
          <w:sz w:val="20"/>
          <w:szCs w:val="20"/>
          <w:lang w:val="es-ES"/>
        </w:rPr>
        <w:t xml:space="preserve">El artículo 20.2 del Pacto no puede ser interpretado como una norma aislada. Si bien impone una obligación dirigida al Estado para que prohíba por ley la apología del odio nacional, racial o religioso que constituya incitación a la discriminación, la hostilidad o la violencia, tal obligación no es más que una manifestación específica de la obligación de garantizar los derechos de las personas que se encuentra contemplado en el artículo 2.1 del Pacto. Tampoco se puede olvidar que la finalidad esencial de la garantía de los derechos, como lo contempla el artículo 2.2. del Pacto, es la efectividad de los mismos. Consecuentemente con ello, el artículo 20.2 </w:t>
      </w:r>
      <w:r w:rsidRPr="00F15147">
        <w:rPr>
          <w:bCs/>
          <w:iCs/>
          <w:sz w:val="20"/>
          <w:szCs w:val="20"/>
          <w:lang w:val="es-ES"/>
        </w:rPr>
        <w:t>no contempla un</w:t>
      </w:r>
      <w:r w:rsidRPr="00F15147">
        <w:rPr>
          <w:bCs/>
          <w:sz w:val="20"/>
          <w:szCs w:val="20"/>
          <w:lang w:val="es-ES"/>
        </w:rPr>
        <w:t xml:space="preserve"> derecho a la no existencia del discurso discriminatorio, hostil o violento</w:t>
      </w:r>
      <w:r w:rsidRPr="00F15147">
        <w:rPr>
          <w:sz w:val="20"/>
          <w:szCs w:val="20"/>
          <w:lang w:val="es-ES"/>
        </w:rPr>
        <w:t xml:space="preserve">, pero </w:t>
      </w:r>
      <w:r w:rsidRPr="00F15147">
        <w:rPr>
          <w:bCs/>
          <w:iCs/>
          <w:sz w:val="20"/>
          <w:szCs w:val="20"/>
          <w:lang w:val="es-ES"/>
        </w:rPr>
        <w:t>sí contempla un derecho a que no se incite la discriminación, hostilidad o violencia</w:t>
      </w:r>
      <w:r w:rsidRPr="00F15147">
        <w:rPr>
          <w:bCs/>
          <w:i/>
          <w:iCs/>
          <w:sz w:val="20"/>
          <w:szCs w:val="20"/>
          <w:lang w:val="es-ES"/>
        </w:rPr>
        <w:t xml:space="preserve"> </w:t>
      </w:r>
      <w:r w:rsidRPr="00F15147">
        <w:rPr>
          <w:color w:val="141414"/>
          <w:sz w:val="20"/>
          <w:szCs w:val="20"/>
          <w:lang w:val="es-ES"/>
        </w:rPr>
        <w:t>y ese derecho debe ser efectivo, y para ello, garantizado con medidas legislativas “o de otro carácter”.</w:t>
      </w:r>
    </w:p>
    <w:p w14:paraId="564B63D5" w14:textId="6E022E44" w:rsidR="00005F43" w:rsidRPr="00F15147" w:rsidRDefault="00005F43" w:rsidP="00005F43">
      <w:pPr>
        <w:pStyle w:val="SingleTxtG"/>
        <w:rPr>
          <w:rFonts w:cs="Arial"/>
          <w:sz w:val="20"/>
          <w:szCs w:val="20"/>
          <w:lang w:val="es-ES"/>
        </w:rPr>
      </w:pPr>
      <w:r w:rsidRPr="00F15147">
        <w:rPr>
          <w:sz w:val="20"/>
          <w:szCs w:val="20"/>
          <w:lang w:val="es-ES"/>
        </w:rPr>
        <w:t>4.</w:t>
      </w:r>
      <w:r w:rsidR="00612109" w:rsidRPr="00F15147">
        <w:rPr>
          <w:sz w:val="20"/>
          <w:szCs w:val="20"/>
          <w:lang w:val="es-ES"/>
        </w:rPr>
        <w:tab/>
      </w:r>
      <w:r w:rsidRPr="00F15147">
        <w:rPr>
          <w:sz w:val="20"/>
          <w:szCs w:val="20"/>
          <w:lang w:val="es-ES"/>
        </w:rPr>
        <w:t>Cuando el Pacto dispone medidas de otro carácter como una generalización de las medidas de garantía que se pueden adoptar, está buscando que se prevenga el discurso que haga aquella incitación. Entonces, lo que las autoridades judiciales debían analizar era si el discurso del señor Wilders incita discriminación, hostilidad o violencia. Deseo hacer hincapié en el hecho que no se trata de comprobar la efectiva producción de actos discriminatorios, hostiles o violentos, pues la prohibición del Pacto es que simplemente los incite.</w:t>
      </w:r>
    </w:p>
    <w:p w14:paraId="2541C117" w14:textId="6BE9DD8A" w:rsidR="00005F43" w:rsidRPr="00F15147" w:rsidRDefault="00005F43" w:rsidP="00005F43">
      <w:pPr>
        <w:pStyle w:val="SingleTxtG"/>
        <w:rPr>
          <w:rFonts w:cs="Arial"/>
          <w:sz w:val="20"/>
          <w:szCs w:val="20"/>
          <w:lang w:val="es-ES"/>
        </w:rPr>
      </w:pPr>
      <w:r w:rsidRPr="00F15147">
        <w:rPr>
          <w:sz w:val="20"/>
          <w:szCs w:val="20"/>
          <w:lang w:val="es-ES"/>
        </w:rPr>
        <w:t>5.</w:t>
      </w:r>
      <w:r w:rsidR="00612109" w:rsidRPr="00F15147">
        <w:rPr>
          <w:sz w:val="20"/>
          <w:szCs w:val="20"/>
          <w:lang w:val="es-ES"/>
        </w:rPr>
        <w:tab/>
      </w:r>
      <w:r w:rsidRPr="00F15147">
        <w:rPr>
          <w:sz w:val="20"/>
          <w:szCs w:val="20"/>
          <w:lang w:val="es-ES"/>
        </w:rPr>
        <w:t>La incitación es contextual. Si bien la libertad de expresión es piedra angular de la sociedad democrática, y se debe garantizar el más amplio flujo de información y opiniones, no se debe perder de vista que ese flujo está pensado para sostener una sociedad democrática, por tanto, diversa, con mayorías y minorías. Es claro que en el ámbito político la libertad de expresión es amplia, precisamente para poder transmitir ideas y generar convicción y seguidores. Pero esa libertad de expresión tiene un límite establecido por el Pacto. Cuando se ejerce un liderazgo político la libertad de expresión no es absoluta.</w:t>
      </w:r>
    </w:p>
    <w:p w14:paraId="6699599B" w14:textId="73755482" w:rsidR="00005F43" w:rsidRDefault="00612109" w:rsidP="00005F43">
      <w:pPr>
        <w:pStyle w:val="SingleTxtG"/>
        <w:rPr>
          <w:sz w:val="20"/>
          <w:szCs w:val="20"/>
          <w:lang w:val="es-ES"/>
        </w:rPr>
      </w:pPr>
      <w:r w:rsidRPr="00F15147">
        <w:rPr>
          <w:sz w:val="20"/>
          <w:szCs w:val="20"/>
          <w:lang w:val="es-ES"/>
        </w:rPr>
        <w:t>6.</w:t>
      </w:r>
      <w:r w:rsidRPr="00F15147">
        <w:rPr>
          <w:sz w:val="20"/>
          <w:szCs w:val="20"/>
          <w:lang w:val="es-ES"/>
        </w:rPr>
        <w:tab/>
      </w:r>
      <w:r w:rsidR="00005F43" w:rsidRPr="00F15147">
        <w:rPr>
          <w:sz w:val="20"/>
          <w:szCs w:val="20"/>
          <w:lang w:val="es-ES"/>
        </w:rPr>
        <w:t>En ese punto es que toma mayor sentido el artículo 14 del Pacto. El artículo 24 del Pacto empuja a la construcción de la igualdad procesal entre víctimas y victimarios, al menos en lo que sea razonablemente equiparable. Las fallas procesales acreditadas en el presente caso no permitieron a las autoridades nacionales de naturaleza judicial contar con el material informativo y argumentativo de las partes para decidir si el discurso incitaba o no. Radica ahí, entonces, que el tratamiento procesal que recibieron las víctimas del presente caso, limitó la capacidad de pleno análisis. Por eso, mi conclusión, es que el Estado sí ha incumplido los artículos 14.1 en relación con el 20.2, y debería implementar reformas normativas para evitar que situaciones similares vuelvan a repetirse. Ello por cuanto el proceso civil ordinario no es el medio más idóneo para cumplir con la obligación de prohibir un acto tan calificado como la apología del odio, especialmente en el contexto de nuestros tiempos. Si así fuera,</w:t>
      </w:r>
      <w:r w:rsidR="0033228B">
        <w:rPr>
          <w:sz w:val="20"/>
          <w:szCs w:val="20"/>
          <w:lang w:val="es-ES"/>
        </w:rPr>
        <w:t xml:space="preserve"> </w:t>
      </w:r>
      <w:r w:rsidR="00005F43" w:rsidRPr="00F15147">
        <w:rPr>
          <w:sz w:val="20"/>
          <w:szCs w:val="20"/>
          <w:lang w:val="es-ES"/>
        </w:rPr>
        <w:t>la prohibición sería una formalidad muy fácil de evadir con el pago de indemnizaciones civiles que no representan un obstáculo suficientemente prohibitivo para evitar su repetición.</w:t>
      </w:r>
      <w:r w:rsidR="0033228B">
        <w:rPr>
          <w:sz w:val="20"/>
          <w:szCs w:val="20"/>
          <w:lang w:val="es-ES"/>
        </w:rPr>
        <w:t xml:space="preserve"> </w:t>
      </w:r>
      <w:r w:rsidR="00005F43" w:rsidRPr="00F15147">
        <w:rPr>
          <w:sz w:val="20"/>
          <w:szCs w:val="20"/>
          <w:lang w:val="es-ES"/>
        </w:rPr>
        <w:t>El impacto de una incitación al odio puede tener efectos inconmensurables en perjuicio de grupos de personas en condición de una vulnerabilidad particular, especialmente cuando se hace desde el podio de un personaje público que debiera extremar ciertos cuidados en el uso de su discurso para evitar repercusiones colectivas replicables con impunidad. La indemnización civil como contrapeso no es un medio que sea suficientemente prohibiti</w:t>
      </w:r>
      <w:r w:rsidR="008B6CE5">
        <w:rPr>
          <w:sz w:val="20"/>
          <w:szCs w:val="20"/>
          <w:lang w:val="es-ES"/>
        </w:rPr>
        <w:t>vo en los términos del artículo </w:t>
      </w:r>
      <w:r w:rsidR="00005F43" w:rsidRPr="00F15147">
        <w:rPr>
          <w:sz w:val="20"/>
          <w:szCs w:val="20"/>
          <w:lang w:val="es-ES"/>
        </w:rPr>
        <w:t>20.2 del Pacto.</w:t>
      </w:r>
    </w:p>
    <w:p w14:paraId="28E11F52" w14:textId="77777777" w:rsidR="008B6CE5" w:rsidRDefault="008B6CE5" w:rsidP="00005F43">
      <w:pPr>
        <w:pStyle w:val="SingleTxtG"/>
        <w:rPr>
          <w:sz w:val="20"/>
          <w:szCs w:val="20"/>
          <w:u w:val="single"/>
          <w:lang w:val="es-ES"/>
        </w:rPr>
        <w:sectPr w:rsidR="008B6CE5" w:rsidSect="00B32638">
          <w:headerReference w:type="even" r:id="rId28"/>
          <w:headerReference w:type="first" r:id="rId29"/>
          <w:footerReference w:type="first" r:id="rId30"/>
          <w:footnotePr>
            <w:numFmt w:val="lowerLetter"/>
            <w:numRestart w:val="eachSect"/>
          </w:footnotePr>
          <w:endnotePr>
            <w:numFmt w:val="decimal"/>
          </w:endnotePr>
          <w:pgSz w:w="11907" w:h="16840" w:code="9"/>
          <w:pgMar w:top="1523" w:right="1134" w:bottom="1134" w:left="1134" w:header="1134" w:footer="1701" w:gutter="0"/>
          <w:cols w:space="720"/>
          <w:titlePg/>
          <w:docGrid w:linePitch="272"/>
        </w:sectPr>
      </w:pPr>
    </w:p>
    <w:p w14:paraId="240F8FBD" w14:textId="5F7B54F2" w:rsidR="00005F43" w:rsidRPr="00F15147" w:rsidRDefault="004E0DD3" w:rsidP="00F15147">
      <w:pPr>
        <w:pStyle w:val="HChG"/>
        <w:rPr>
          <w:lang w:val="fr-CH"/>
        </w:rPr>
      </w:pPr>
      <w:r w:rsidRPr="008B6CE5">
        <w:rPr>
          <w:sz w:val="20"/>
          <w:szCs w:val="20"/>
          <w:lang w:val="es-ES"/>
        </w:rPr>
        <w:tab/>
      </w:r>
      <w:r w:rsidR="00005F43" w:rsidRPr="00F15147">
        <w:rPr>
          <w:lang w:val="fr-CH"/>
        </w:rPr>
        <w:t>Annex VII</w:t>
      </w:r>
    </w:p>
    <w:p w14:paraId="040A05E1" w14:textId="1AEB458E" w:rsidR="00005F43" w:rsidRPr="00F15147" w:rsidRDefault="00005F43" w:rsidP="00F15147">
      <w:pPr>
        <w:pStyle w:val="HChG"/>
        <w:rPr>
          <w:lang w:val="fr-CH"/>
        </w:rPr>
      </w:pPr>
      <w:r w:rsidRPr="00F15147">
        <w:rPr>
          <w:sz w:val="20"/>
          <w:szCs w:val="20"/>
          <w:lang w:val="fr-CH"/>
        </w:rPr>
        <w:tab/>
      </w:r>
      <w:r w:rsidR="0062332F" w:rsidRPr="00F15147">
        <w:rPr>
          <w:lang w:val="fr-CH"/>
        </w:rPr>
        <w:tab/>
        <w:t>Opinion partiellement concordante, partiellement dissid</w:t>
      </w:r>
      <w:r w:rsidR="00612109" w:rsidRPr="00F15147">
        <w:rPr>
          <w:lang w:val="fr-CH"/>
        </w:rPr>
        <w:t>ente de Olivier de Frouville</w:t>
      </w:r>
    </w:p>
    <w:p w14:paraId="0F902F68" w14:textId="0E74CD42" w:rsidR="00005F43" w:rsidRPr="00F15147" w:rsidRDefault="008B6CE5" w:rsidP="008B6CE5">
      <w:pPr>
        <w:pStyle w:val="SingleTxtG"/>
        <w:rPr>
          <w:sz w:val="20"/>
          <w:szCs w:val="20"/>
          <w:lang w:val="fr-CH"/>
        </w:rPr>
      </w:pPr>
      <w:r w:rsidRPr="00F15147">
        <w:rPr>
          <w:sz w:val="20"/>
          <w:szCs w:val="20"/>
          <w:lang w:val="fr-CH"/>
        </w:rPr>
        <w:t>1.</w:t>
      </w:r>
      <w:r w:rsidRPr="00F15147">
        <w:rPr>
          <w:sz w:val="20"/>
          <w:szCs w:val="20"/>
          <w:lang w:val="fr-CH"/>
        </w:rPr>
        <w:tab/>
      </w:r>
      <w:r w:rsidR="00005F43" w:rsidRPr="00F15147">
        <w:rPr>
          <w:sz w:val="20"/>
          <w:szCs w:val="20"/>
          <w:lang w:val="fr-CH"/>
        </w:rPr>
        <w:t>Cette affaire présentait, au-delà du cas particulier de M. Wilders, des enjeux juridiques et sociétaux d’une importance fondamentale. Or le Comité n’a qu’en partie relevé le défi et semble être resté au milieu du gué. J’appuie généralement les conclusions du Comité sur la recevabilité. Je me rallie également à un certain nombre des motifs élaborés par le Comité sur le fond, mais je suis en désaccord avec la conclusion de non-violation à laquelle il parvient au paragraphe 10.7., à savoir que l’Etat partie aurait pris « les mesures nécessaires et proportionnées visant à “interdire” les déclarations formulées en violation du paragraphe 2 de l’article 20 et à garantir le droit des auteurs à un recours utile en vue de les protéger contre les conséquences de telles déclarations ». J’aimerais dans cette opinion expliciter ces points d’accord et de désaccord.</w:t>
      </w:r>
    </w:p>
    <w:p w14:paraId="297751C5" w14:textId="4ED80997" w:rsidR="00005F43" w:rsidRPr="008B6CE5" w:rsidRDefault="00005F43" w:rsidP="00005F43">
      <w:pPr>
        <w:pStyle w:val="H23G"/>
        <w:rPr>
          <w:sz w:val="20"/>
          <w:szCs w:val="20"/>
          <w:lang w:val="fr-CH"/>
        </w:rPr>
      </w:pPr>
      <w:r w:rsidRPr="00F15147">
        <w:rPr>
          <w:sz w:val="20"/>
          <w:szCs w:val="20"/>
          <w:lang w:val="fr-CH"/>
        </w:rPr>
        <w:tab/>
      </w:r>
      <w:r w:rsidRPr="00F15147">
        <w:rPr>
          <w:sz w:val="20"/>
          <w:szCs w:val="20"/>
          <w:lang w:val="fr-CH"/>
        </w:rPr>
        <w:tab/>
      </w:r>
      <w:r w:rsidRPr="008B6CE5">
        <w:rPr>
          <w:sz w:val="20"/>
          <w:szCs w:val="20"/>
          <w:lang w:val="fr-CH"/>
        </w:rPr>
        <w:t>Sur la recevabilité</w:t>
      </w:r>
    </w:p>
    <w:p w14:paraId="6188B3C1" w14:textId="150F8B19" w:rsidR="00005F43" w:rsidRPr="00F15147" w:rsidRDefault="008B6CE5" w:rsidP="008B6CE5">
      <w:pPr>
        <w:pStyle w:val="SingleTxtG"/>
        <w:rPr>
          <w:sz w:val="20"/>
          <w:szCs w:val="20"/>
          <w:lang w:val="fr-CH"/>
        </w:rPr>
      </w:pPr>
      <w:r w:rsidRPr="00F15147">
        <w:rPr>
          <w:sz w:val="20"/>
          <w:szCs w:val="20"/>
          <w:lang w:val="fr-CH"/>
        </w:rPr>
        <w:t>2.</w:t>
      </w:r>
      <w:r w:rsidRPr="00F15147">
        <w:rPr>
          <w:sz w:val="20"/>
          <w:szCs w:val="20"/>
          <w:lang w:val="fr-CH"/>
        </w:rPr>
        <w:tab/>
      </w:r>
      <w:r w:rsidR="00005F43" w:rsidRPr="00F15147">
        <w:rPr>
          <w:i/>
          <w:sz w:val="20"/>
          <w:szCs w:val="20"/>
          <w:lang w:val="fr-CH"/>
        </w:rPr>
        <w:t>Premièrement</w:t>
      </w:r>
      <w:r w:rsidR="00005F43" w:rsidRPr="00F15147">
        <w:rPr>
          <w:sz w:val="20"/>
          <w:szCs w:val="20"/>
          <w:lang w:val="fr-CH"/>
        </w:rPr>
        <w:t xml:space="preserve">, j’appuie les motifs relatifs à </w:t>
      </w:r>
      <w:r w:rsidR="00005F43" w:rsidRPr="00F15147">
        <w:rPr>
          <w:i/>
          <w:sz w:val="20"/>
          <w:szCs w:val="20"/>
          <w:lang w:val="fr-CH"/>
        </w:rPr>
        <w:t>l’invocabilité du paragraphe 2 de l’article 20</w:t>
      </w:r>
      <w:r w:rsidR="00005F43" w:rsidRPr="00F15147">
        <w:rPr>
          <w:sz w:val="20"/>
          <w:szCs w:val="20"/>
          <w:lang w:val="fr-CH"/>
        </w:rPr>
        <w:t>. Sur ce point, le Comité reprend à son compte l’opinion dissidente de M.</w:t>
      </w:r>
      <w:r w:rsidR="00C46DE4">
        <w:rPr>
          <w:sz w:val="20"/>
          <w:szCs w:val="20"/>
          <w:lang w:val="fr-CH"/>
        </w:rPr>
        <w:t> </w:t>
      </w:r>
      <w:r w:rsidR="00005F43" w:rsidRPr="00F15147">
        <w:rPr>
          <w:sz w:val="20"/>
          <w:szCs w:val="20"/>
          <w:lang w:val="fr-CH"/>
        </w:rPr>
        <w:t xml:space="preserve">Abdelfattah Amor dans l’affaire </w:t>
      </w:r>
      <w:r w:rsidR="00005F43" w:rsidRPr="00F15147">
        <w:rPr>
          <w:i/>
          <w:sz w:val="20"/>
          <w:szCs w:val="20"/>
          <w:lang w:val="fr-CH"/>
        </w:rPr>
        <w:t>Vassilari c. Grèce</w:t>
      </w:r>
      <w:r w:rsidR="00005F43" w:rsidRPr="00F15147">
        <w:rPr>
          <w:sz w:val="20"/>
          <w:szCs w:val="20"/>
          <w:lang w:val="fr-CH"/>
        </w:rPr>
        <w:t xml:space="preserve">. Dans cette affaire, le Comité avait refusé sans beaucoup d’explications de se prononcer sur l’applicabilité du paragraphe 2 de l’article 20 aux cas individuels. Cette « esquive » avait laissé M. Amor « perplexe ». Il était en effet incompréhensible sur le plan juridique que cet article se retrouve ainsi neutralisé quant à ses effets. Reprenant les termes mêmes de M. Amor, le Comité observe que « l’invocation du paragraphe 2 de l’article 20 par des particuliers lésés s’inscrit donc dans la logique de protection qui sous-tend l’ensemble du Pacte. » (§ 9.7). Il reconnaît ainsi sa justiciabilité, y compris pris isolément. Aussi est-il étrange que le Comité estime nécessaire de déclarer la recevabilité des griefs des auteurs au titre du paragraphe 3 de l’article 2 « conjointement avec les articles 20 (par. 2) et 26. » Le paragraphe 2 de l’article 20 fonde à lui seul un droit d’être protégé contre « tout appel à la haine nationale, raciale ou religieuse qui constitue une incitation à la discrimination, à l’hostilité ou à la violence ». Comme le précise par ailleurs le Comité, cette disposition « n’impose pas seulement aux Etats parties une obligation formelle d’adopter une législation interdisant les comportements discriminatoires. Une telle loi serait sans effet si elle n’était pas assortie de procédures de plaintes et de sanctions appropriées » (§ 9.7.) Elle constitue par conséquent une </w:t>
      </w:r>
      <w:r w:rsidR="00005F43" w:rsidRPr="00F15147">
        <w:rPr>
          <w:i/>
          <w:sz w:val="20"/>
          <w:szCs w:val="20"/>
          <w:lang w:val="fr-CH"/>
        </w:rPr>
        <w:t>lex specialis</w:t>
      </w:r>
      <w:r w:rsidR="00005F43" w:rsidRPr="00F15147">
        <w:rPr>
          <w:sz w:val="20"/>
          <w:szCs w:val="20"/>
          <w:lang w:val="fr-CH"/>
        </w:rPr>
        <w:t xml:space="preserve"> tant à l’égard de l’article 26, qui fonde un droit d’être protégé contre toute forme de discrimination</w:t>
      </w:r>
      <w:r>
        <w:rPr>
          <w:rStyle w:val="FootnoteReference"/>
          <w:szCs w:val="20"/>
          <w:lang w:val="fr-CH"/>
        </w:rPr>
        <w:footnoteReference w:id="51"/>
      </w:r>
      <w:r w:rsidR="00005F43" w:rsidRPr="00F15147">
        <w:rPr>
          <w:sz w:val="20"/>
          <w:szCs w:val="20"/>
          <w:lang w:val="fr-CH"/>
        </w:rPr>
        <w:t>, qu’à l’égard du paragraphe 3 de l’article 2 qui fonde le droit à un « recours utile » en cas de violation des droits reconnus dans le Pacte</w:t>
      </w:r>
      <w:r>
        <w:rPr>
          <w:rStyle w:val="FootnoteReference"/>
          <w:szCs w:val="20"/>
          <w:lang w:val="fr-CH"/>
        </w:rPr>
        <w:footnoteReference w:id="52"/>
      </w:r>
      <w:r w:rsidR="00005F43" w:rsidRPr="00F15147">
        <w:rPr>
          <w:sz w:val="20"/>
          <w:szCs w:val="20"/>
          <w:lang w:val="fr-CH"/>
        </w:rPr>
        <w:t>.</w:t>
      </w:r>
    </w:p>
    <w:p w14:paraId="5464CE00" w14:textId="4832B5AF" w:rsidR="00005F43" w:rsidRPr="00F15147" w:rsidRDefault="008B6CE5" w:rsidP="00CD1B51">
      <w:pPr>
        <w:pStyle w:val="SingleTxtG"/>
        <w:rPr>
          <w:sz w:val="20"/>
          <w:szCs w:val="20"/>
          <w:lang w:val="fr-CH"/>
        </w:rPr>
      </w:pPr>
      <w:r w:rsidRPr="00F15147">
        <w:rPr>
          <w:sz w:val="20"/>
          <w:szCs w:val="20"/>
          <w:lang w:val="fr-CH"/>
        </w:rPr>
        <w:t>3.</w:t>
      </w:r>
      <w:r w:rsidRPr="00F15147">
        <w:rPr>
          <w:sz w:val="20"/>
          <w:szCs w:val="20"/>
          <w:lang w:val="fr-CH"/>
        </w:rPr>
        <w:tab/>
      </w:r>
      <w:r w:rsidR="00005F43" w:rsidRPr="00F15147">
        <w:rPr>
          <w:i/>
          <w:sz w:val="20"/>
          <w:szCs w:val="20"/>
          <w:lang w:val="fr-CH"/>
        </w:rPr>
        <w:t>Deuxièmement</w:t>
      </w:r>
      <w:r w:rsidR="00005F43" w:rsidRPr="00F15147">
        <w:rPr>
          <w:sz w:val="20"/>
          <w:szCs w:val="20"/>
          <w:lang w:val="fr-CH"/>
        </w:rPr>
        <w:t xml:space="preserve">, je suis également en accord avec les conclusions du Comité relatifs à la </w:t>
      </w:r>
      <w:r w:rsidR="00005F43" w:rsidRPr="00F15147">
        <w:rPr>
          <w:i/>
          <w:sz w:val="20"/>
          <w:szCs w:val="20"/>
          <w:lang w:val="fr-CH"/>
        </w:rPr>
        <w:t>reconnaissance de la qualité de victime</w:t>
      </w:r>
      <w:r w:rsidR="00005F43" w:rsidRPr="00F15147">
        <w:rPr>
          <w:sz w:val="20"/>
          <w:szCs w:val="20"/>
          <w:lang w:val="fr-CH"/>
        </w:rPr>
        <w:t xml:space="preserve"> des auteurs de la communication. Je suis en particulier en accord avec les motifs énoncés au paragraphe 9.6. à savoir « que les auteurs, en tant que membres du groupe expressément visé par les déclarations de M. Wilders, sont des personnes que le paragraphe 2 de l’article 20 a pour objectif de protéger, et que les déclarations de M. Wilders ont eu des conséquences spécifiques pour elles, notamment en suscitant dans la société des attitudes discriminatoires à l’égard de ce groupe et à l’égard des auteurs en tant que membres du groupe »</w:t>
      </w:r>
      <w:r w:rsidR="00CD1B51">
        <w:rPr>
          <w:rStyle w:val="FootnoteReference"/>
          <w:szCs w:val="20"/>
          <w:lang w:val="fr-CH"/>
        </w:rPr>
        <w:footnoteReference w:id="53"/>
      </w:r>
      <w:r w:rsidR="00005F43" w:rsidRPr="00F15147">
        <w:rPr>
          <w:sz w:val="20"/>
          <w:szCs w:val="20"/>
          <w:lang w:val="fr-CH"/>
        </w:rPr>
        <w:t>.</w:t>
      </w:r>
    </w:p>
    <w:p w14:paraId="3A3FBC81" w14:textId="2D612D83" w:rsidR="00005F43" w:rsidRPr="00F15147" w:rsidRDefault="008B6CE5" w:rsidP="008B6CE5">
      <w:pPr>
        <w:pStyle w:val="SingleTxtG"/>
        <w:rPr>
          <w:sz w:val="20"/>
          <w:szCs w:val="20"/>
          <w:lang w:val="fr-CH"/>
        </w:rPr>
      </w:pPr>
      <w:r w:rsidRPr="00F15147">
        <w:rPr>
          <w:sz w:val="20"/>
          <w:szCs w:val="20"/>
          <w:lang w:val="fr-CH"/>
        </w:rPr>
        <w:t>4.</w:t>
      </w:r>
      <w:r w:rsidRPr="00F15147">
        <w:rPr>
          <w:sz w:val="20"/>
          <w:szCs w:val="20"/>
          <w:lang w:val="fr-CH"/>
        </w:rPr>
        <w:tab/>
      </w:r>
      <w:r w:rsidR="00005F43" w:rsidRPr="00F15147">
        <w:rPr>
          <w:sz w:val="20"/>
          <w:szCs w:val="20"/>
          <w:lang w:val="fr-CH"/>
        </w:rPr>
        <w:t>A partir de ces deux points, on peut conclure que sont généralement recevables au titre du Protocole facultatif les griefs a) fondés sur le paragraphe 2 de l’article 20 ; b)</w:t>
      </w:r>
      <w:r w:rsidR="00C46DE4">
        <w:rPr>
          <w:sz w:val="20"/>
          <w:szCs w:val="20"/>
          <w:lang w:val="fr-CH"/>
        </w:rPr>
        <w:t> </w:t>
      </w:r>
      <w:r w:rsidR="00005F43" w:rsidRPr="00F15147">
        <w:rPr>
          <w:sz w:val="20"/>
          <w:szCs w:val="20"/>
          <w:lang w:val="fr-CH"/>
        </w:rPr>
        <w:t>présentés par des personnes qui pourront suffisamment étayer leur allégation selon laquelle des déclarations à caractère discriminatoire ou incitant à la haine ont eu des « conséquences spécifiques » pour elles, notamment en tant que membres du groupe visé par de telles déclarations.</w:t>
      </w:r>
    </w:p>
    <w:p w14:paraId="3A2F66EC" w14:textId="22FB0C3B" w:rsidR="00005F43" w:rsidRPr="008B6CE5" w:rsidRDefault="00005F43" w:rsidP="00005F43">
      <w:pPr>
        <w:pStyle w:val="H23G"/>
        <w:rPr>
          <w:sz w:val="20"/>
          <w:szCs w:val="20"/>
          <w:lang w:val="fr-CH"/>
        </w:rPr>
      </w:pPr>
      <w:r w:rsidRPr="00F15147">
        <w:rPr>
          <w:sz w:val="20"/>
          <w:szCs w:val="20"/>
          <w:lang w:val="fr-CH"/>
        </w:rPr>
        <w:tab/>
      </w:r>
      <w:r w:rsidRPr="00F15147">
        <w:rPr>
          <w:sz w:val="20"/>
          <w:szCs w:val="20"/>
          <w:lang w:val="fr-CH"/>
        </w:rPr>
        <w:tab/>
      </w:r>
      <w:r w:rsidRPr="008B6CE5">
        <w:rPr>
          <w:sz w:val="20"/>
          <w:szCs w:val="20"/>
          <w:lang w:val="fr-CH"/>
        </w:rPr>
        <w:t>Sur le fond</w:t>
      </w:r>
    </w:p>
    <w:p w14:paraId="478C3F34" w14:textId="35711B67" w:rsidR="00005F43" w:rsidRPr="00F15147" w:rsidRDefault="008B6CE5" w:rsidP="00CD1B51">
      <w:pPr>
        <w:pStyle w:val="SingleTxtG"/>
        <w:rPr>
          <w:sz w:val="20"/>
          <w:szCs w:val="20"/>
          <w:lang w:val="fr-CH"/>
        </w:rPr>
      </w:pPr>
      <w:r w:rsidRPr="00F15147">
        <w:rPr>
          <w:sz w:val="20"/>
          <w:szCs w:val="20"/>
          <w:lang w:val="fr-CH"/>
        </w:rPr>
        <w:t>5.</w:t>
      </w:r>
      <w:r w:rsidRPr="00F15147">
        <w:rPr>
          <w:sz w:val="20"/>
          <w:szCs w:val="20"/>
          <w:lang w:val="fr-CH"/>
        </w:rPr>
        <w:tab/>
      </w:r>
      <w:r w:rsidR="00005F43" w:rsidRPr="00F15147">
        <w:rPr>
          <w:sz w:val="20"/>
          <w:szCs w:val="20"/>
          <w:lang w:val="fr-CH"/>
        </w:rPr>
        <w:t>Cette affaire présente une configuration inhabituelle. Le Comité, comme d’ailleurs les cours régionales de droits de l’Homme, ont généralement à traiter d’affaires dans lesquelles l’auteur d’un discours de haine se plaint d’une restriction à sa liberté d’expression, notamment sous la forme d’une sanction pénale. Ici, des auteurs se plaignent, à l’inverse, de ce que les recours existant dans le droit national contre les discours de haine ne sont pas effectifs et en tout cas que la décision du tribunal qui a appliqué en l’espèce la loi nationale viole les obligations de l’Etat partie découlant du Pacte, et en particulier celles qui découlent du paragraphe 2 de l’article 20 du Pacte</w:t>
      </w:r>
      <w:r w:rsidR="00CD1B51">
        <w:rPr>
          <w:rStyle w:val="FootnoteReference"/>
          <w:szCs w:val="20"/>
          <w:lang w:val="fr-CH"/>
        </w:rPr>
        <w:footnoteReference w:id="54"/>
      </w:r>
      <w:r w:rsidR="00005F43" w:rsidRPr="00F15147">
        <w:rPr>
          <w:sz w:val="20"/>
          <w:szCs w:val="20"/>
          <w:lang w:val="fr-CH"/>
        </w:rPr>
        <w:t>. Autrement dit, est ici en cause non la restriction à l’exercice d’un droit, mais plutôt le manquement à une obligation positive de protection. De ce point de vue, la jurisprudence du Comité des Nations Unies pour l’élimination de la discrimination raciale au regard de l’article 4 de la Convention de 1965 est particulièrement pertinente et il est dommage que le Comité ne s’en soit pas davantage inspiré</w:t>
      </w:r>
      <w:r w:rsidR="00CD1B51">
        <w:rPr>
          <w:rStyle w:val="FootnoteReference"/>
          <w:szCs w:val="20"/>
          <w:lang w:val="fr-CH"/>
        </w:rPr>
        <w:footnoteReference w:id="55"/>
      </w:r>
      <w:r w:rsidR="00005F43" w:rsidRPr="00F15147">
        <w:rPr>
          <w:sz w:val="20"/>
          <w:szCs w:val="20"/>
          <w:lang w:val="fr-CH"/>
        </w:rPr>
        <w:t>.</w:t>
      </w:r>
    </w:p>
    <w:p w14:paraId="6A619511" w14:textId="6B4D1312" w:rsidR="00005F43" w:rsidRPr="00F15147" w:rsidRDefault="008B6CE5" w:rsidP="00CD1B51">
      <w:pPr>
        <w:pStyle w:val="SingleTxtG"/>
        <w:rPr>
          <w:sz w:val="20"/>
          <w:szCs w:val="20"/>
          <w:lang w:val="fr-CH"/>
        </w:rPr>
      </w:pPr>
      <w:r w:rsidRPr="00F15147">
        <w:rPr>
          <w:sz w:val="20"/>
          <w:szCs w:val="20"/>
          <w:lang w:val="fr-CH"/>
        </w:rPr>
        <w:t>6.</w:t>
      </w:r>
      <w:r w:rsidRPr="00F15147">
        <w:rPr>
          <w:sz w:val="20"/>
          <w:szCs w:val="20"/>
          <w:lang w:val="fr-CH"/>
        </w:rPr>
        <w:tab/>
      </w:r>
      <w:r w:rsidR="00005F43" w:rsidRPr="00F15147">
        <w:rPr>
          <w:sz w:val="20"/>
          <w:szCs w:val="20"/>
          <w:lang w:val="fr-CH"/>
        </w:rPr>
        <w:t xml:space="preserve">Tout d’abord, je dois dire que j’appuie un certain nombre des motifs développés par le Comité dans son raisonnement au fond. Le Comité rappelle avec justesse quelques points importants contenus </w:t>
      </w:r>
      <w:r w:rsidR="00F52792">
        <w:rPr>
          <w:sz w:val="20"/>
          <w:szCs w:val="20"/>
          <w:lang w:val="fr-CH"/>
        </w:rPr>
        <w:t>dans son Observation générale n</w:t>
      </w:r>
      <w:r w:rsidR="00F52792" w:rsidRPr="00F52792">
        <w:rPr>
          <w:sz w:val="20"/>
          <w:szCs w:val="20"/>
          <w:vertAlign w:val="superscript"/>
          <w:lang w:val="fr-CH"/>
        </w:rPr>
        <w:t>o</w:t>
      </w:r>
      <w:r w:rsidR="00005F43" w:rsidRPr="00F15147">
        <w:rPr>
          <w:sz w:val="20"/>
          <w:szCs w:val="20"/>
          <w:lang w:val="fr-CH"/>
        </w:rPr>
        <w:t> 34</w:t>
      </w:r>
      <w:r w:rsidR="00CD1B51">
        <w:rPr>
          <w:rStyle w:val="FootnoteReference"/>
          <w:szCs w:val="20"/>
          <w:lang w:val="fr-CH"/>
        </w:rPr>
        <w:footnoteReference w:id="56"/>
      </w:r>
      <w:r w:rsidR="00005F43" w:rsidRPr="00F15147">
        <w:rPr>
          <w:sz w:val="20"/>
          <w:szCs w:val="20"/>
          <w:lang w:val="fr-CH"/>
        </w:rPr>
        <w:t>, relatifs non seulement à la place cardinale de la liberté d’expression dans une société démocratique et à l’articulation entre l’a</w:t>
      </w:r>
      <w:r w:rsidR="00CD1B51">
        <w:rPr>
          <w:sz w:val="20"/>
          <w:szCs w:val="20"/>
          <w:lang w:val="fr-CH"/>
        </w:rPr>
        <w:t>rticle 20 et l’article 19 (par. </w:t>
      </w:r>
      <w:r w:rsidR="00005F43" w:rsidRPr="00F15147">
        <w:rPr>
          <w:sz w:val="20"/>
          <w:szCs w:val="20"/>
          <w:lang w:val="fr-CH"/>
        </w:rPr>
        <w:t>10.4.) Il réaffirme avec force que la liberté d’expression s’applique aussi à des propos qui peuvent être considérés comme profondément offensants, y compris à l’égard des convictions religieuses ou politiques (</w:t>
      </w:r>
      <w:r w:rsidR="00005F43" w:rsidRPr="00F15147">
        <w:rPr>
          <w:i/>
          <w:sz w:val="20"/>
          <w:szCs w:val="20"/>
          <w:lang w:val="fr-CH"/>
        </w:rPr>
        <w:t>id</w:t>
      </w:r>
      <w:r w:rsidR="00005F43" w:rsidRPr="00F15147">
        <w:rPr>
          <w:sz w:val="20"/>
          <w:szCs w:val="20"/>
          <w:lang w:val="fr-CH"/>
        </w:rPr>
        <w:t>.) Le Comité aurait pu ajouter que si les bornes à la liberté d’expression doivent être encore plus largement entendues dans le débat public et politique, le fait qu’un propos soit tenu dans le contexte d’un tel débat ne lui confère pas une immunité totale et ne dispense en tout cas pas l’Etat partie de son obligation d’ouvrir une enquête pour déterminer si ces propos représentent un acte de discrimination raciale ou, en l’espèce, un propos tombant sous le coup du paragraphe 2 de l’article 20</w:t>
      </w:r>
      <w:r w:rsidR="00CD1B51">
        <w:rPr>
          <w:rStyle w:val="FootnoteReference"/>
          <w:szCs w:val="20"/>
          <w:lang w:val="fr-CH"/>
        </w:rPr>
        <w:footnoteReference w:id="57"/>
      </w:r>
      <w:r w:rsidR="00005F43" w:rsidRPr="00F15147">
        <w:rPr>
          <w:sz w:val="20"/>
          <w:szCs w:val="20"/>
          <w:lang w:val="fr-CH"/>
        </w:rPr>
        <w:t>.</w:t>
      </w:r>
    </w:p>
    <w:p w14:paraId="3CA08B96" w14:textId="43FF8AE3" w:rsidR="00005F43" w:rsidRPr="00F15147" w:rsidRDefault="008B6CE5" w:rsidP="00CD1B51">
      <w:pPr>
        <w:pStyle w:val="SingleTxtG"/>
        <w:rPr>
          <w:sz w:val="20"/>
          <w:szCs w:val="20"/>
          <w:lang w:val="fr-CH"/>
        </w:rPr>
      </w:pPr>
      <w:r w:rsidRPr="00F15147">
        <w:rPr>
          <w:sz w:val="20"/>
          <w:szCs w:val="20"/>
          <w:lang w:val="fr-CH"/>
        </w:rPr>
        <w:t>7.</w:t>
      </w:r>
      <w:r w:rsidRPr="00F15147">
        <w:rPr>
          <w:sz w:val="20"/>
          <w:szCs w:val="20"/>
          <w:lang w:val="fr-CH"/>
        </w:rPr>
        <w:tab/>
      </w:r>
      <w:r w:rsidR="00005F43" w:rsidRPr="00F15147">
        <w:rPr>
          <w:sz w:val="20"/>
          <w:szCs w:val="20"/>
          <w:lang w:val="fr-CH"/>
        </w:rPr>
        <w:t>Enfin, comme je l’ai dit plus haut, j’estime que le Comité a bien interprété le paragraphe 2 de l’article 20, en considérant que cette disposition n’exigeait pas seulement des Etats parties qu’ils adoptent une loi, mais aussi qu’ils mettent en place des procédures de plaintes et de sanctions appropriées, sans quoi une telle loi serait « sans effet » (par.</w:t>
      </w:r>
      <w:r w:rsidR="00C46DE4">
        <w:rPr>
          <w:sz w:val="20"/>
          <w:szCs w:val="20"/>
          <w:lang w:val="fr-CH"/>
        </w:rPr>
        <w:t> </w:t>
      </w:r>
      <w:r w:rsidR="00005F43" w:rsidRPr="00F15147">
        <w:rPr>
          <w:sz w:val="20"/>
          <w:szCs w:val="20"/>
          <w:lang w:val="fr-CH"/>
        </w:rPr>
        <w:t>9.7.). Là encore, le Comité des droits de l’Homme aurait pu s’appuyer utilement sur la jurisprudence du CERD</w:t>
      </w:r>
      <w:r w:rsidR="00CD1B51">
        <w:rPr>
          <w:rStyle w:val="FootnoteReference"/>
          <w:szCs w:val="20"/>
          <w:lang w:val="fr-CH"/>
        </w:rPr>
        <w:footnoteReference w:id="58"/>
      </w:r>
      <w:r w:rsidR="00005F43" w:rsidRPr="00F15147">
        <w:rPr>
          <w:sz w:val="20"/>
          <w:szCs w:val="20"/>
          <w:lang w:val="fr-CH"/>
        </w:rPr>
        <w:t>.</w:t>
      </w:r>
    </w:p>
    <w:p w14:paraId="7617CE3C" w14:textId="747E5C7E" w:rsidR="00005F43" w:rsidRPr="00F15147" w:rsidRDefault="008B6CE5" w:rsidP="008B6CE5">
      <w:pPr>
        <w:pStyle w:val="SingleTxtG"/>
        <w:rPr>
          <w:sz w:val="20"/>
          <w:szCs w:val="20"/>
          <w:lang w:val="fr-CH"/>
        </w:rPr>
      </w:pPr>
      <w:r w:rsidRPr="00F15147">
        <w:rPr>
          <w:sz w:val="20"/>
          <w:szCs w:val="20"/>
          <w:lang w:val="fr-CH"/>
        </w:rPr>
        <w:t>8.</w:t>
      </w:r>
      <w:r w:rsidRPr="00F15147">
        <w:rPr>
          <w:sz w:val="20"/>
          <w:szCs w:val="20"/>
          <w:lang w:val="fr-CH"/>
        </w:rPr>
        <w:tab/>
      </w:r>
      <w:r w:rsidR="00005F43" w:rsidRPr="00F15147">
        <w:rPr>
          <w:sz w:val="20"/>
          <w:szCs w:val="20"/>
          <w:lang w:val="fr-CH"/>
        </w:rPr>
        <w:t>Pour autant, je ne peux rejoindre le Comité lorsqu’il parvient à la conclusion « que l’Etat partie a pris les mesures nécessaires et proportionnées visant à « interdire » les déclarations formulées en violation du paragraphe 2 de l’article 20</w:t>
      </w:r>
      <w:r w:rsidR="0033228B">
        <w:rPr>
          <w:sz w:val="20"/>
          <w:szCs w:val="20"/>
          <w:lang w:val="fr-CH"/>
        </w:rPr>
        <w:t xml:space="preserve"> </w:t>
      </w:r>
      <w:r w:rsidR="00005F43" w:rsidRPr="00F15147">
        <w:rPr>
          <w:sz w:val="20"/>
          <w:szCs w:val="20"/>
          <w:lang w:val="fr-CH"/>
        </w:rPr>
        <w:t>et à garantir le droit des auteurs à un recours utile en vue de les protéger contre les conséquences de telles déclarations. » (par. 10.7.) Pour parvenir à cette conclusion, le Comité se borne à un exercer un contrôle purement formel, en relevant l’existence d’une incrimination, de voies de recours et le fait qu’en l’espèce de tels recours ont été actionnés par les auteurs et que « le tribunal d’instance a rendu un jugement circonstancié appréciant les déclarations de M.</w:t>
      </w:r>
      <w:r w:rsidR="00C46DE4">
        <w:rPr>
          <w:sz w:val="20"/>
          <w:szCs w:val="20"/>
          <w:lang w:val="fr-CH"/>
        </w:rPr>
        <w:t> </w:t>
      </w:r>
      <w:r w:rsidR="00005F43" w:rsidRPr="00F15147">
        <w:rPr>
          <w:sz w:val="20"/>
          <w:szCs w:val="20"/>
          <w:lang w:val="fr-CH"/>
        </w:rPr>
        <w:t>Wilders à la lumière du droit applicable. » (</w:t>
      </w:r>
      <w:r w:rsidR="00005F43" w:rsidRPr="00F15147">
        <w:rPr>
          <w:i/>
          <w:sz w:val="20"/>
          <w:szCs w:val="20"/>
          <w:lang w:val="fr-CH"/>
        </w:rPr>
        <w:t>id.</w:t>
      </w:r>
      <w:r w:rsidR="00005F43" w:rsidRPr="00F15147">
        <w:rPr>
          <w:sz w:val="20"/>
          <w:szCs w:val="20"/>
          <w:lang w:val="fr-CH"/>
        </w:rPr>
        <w:t xml:space="preserve">) Or un tel contrôle, que l’on pourrait qualifier de « restreint » ne répond pas à la question centrale de savoir si le jugement rendu par le tribunal national a violé les droits que les auteurs tiennent du paragraphe 2 de l’article 20. </w:t>
      </w:r>
    </w:p>
    <w:p w14:paraId="0A4FBE59" w14:textId="5C15C1E9" w:rsidR="00005F43" w:rsidRPr="00F15147" w:rsidRDefault="008B6CE5" w:rsidP="00CD1B51">
      <w:pPr>
        <w:pStyle w:val="SingleTxtG"/>
        <w:rPr>
          <w:sz w:val="20"/>
          <w:szCs w:val="20"/>
          <w:lang w:val="fr-CH"/>
        </w:rPr>
      </w:pPr>
      <w:r w:rsidRPr="00F15147">
        <w:rPr>
          <w:sz w:val="20"/>
          <w:szCs w:val="20"/>
          <w:lang w:val="fr-CH"/>
        </w:rPr>
        <w:t>9.</w:t>
      </w:r>
      <w:r w:rsidRPr="00F15147">
        <w:rPr>
          <w:sz w:val="20"/>
          <w:szCs w:val="20"/>
          <w:lang w:val="fr-CH"/>
        </w:rPr>
        <w:tab/>
      </w:r>
      <w:r w:rsidR="00005F43" w:rsidRPr="00F15147">
        <w:rPr>
          <w:sz w:val="20"/>
          <w:szCs w:val="20"/>
          <w:lang w:val="fr-CH"/>
        </w:rPr>
        <w:t>Dans les affaires « classiques » de liberté d’expression, où sont en cause les restrictions apportées par l’Etat à l’exercice de cette liberté, le Comité ne se borne jamais à relever l’existence d’un cadre juridique interdisant les atteintes à la liberté d’expression et l’existence de recours utile, voire l’exercice par les auteurs de ces recours. Quand bien même les juridictions nationales auraient donné raison aux autorités qui ont en premier lieu adopté la mesure restrictive, le Comité ne s’interdit pas de livrer sa propre appréciation de la restriction au regard de la forme d’expression litigieuse ; et en fonction du résultat de cette appréciation, il est amené soit à valider l’interprétation des juridictions nationales et donc la restriction</w:t>
      </w:r>
      <w:r w:rsidR="00CD1B51">
        <w:rPr>
          <w:rStyle w:val="FootnoteReference"/>
          <w:szCs w:val="20"/>
          <w:lang w:val="fr-CH"/>
        </w:rPr>
        <w:footnoteReference w:id="59"/>
      </w:r>
      <w:r w:rsidR="00005F43" w:rsidRPr="00F15147">
        <w:rPr>
          <w:sz w:val="20"/>
          <w:szCs w:val="20"/>
          <w:lang w:val="fr-CH"/>
        </w:rPr>
        <w:t>, soit à constater une violation de l’article 19 si cette restriction ne lui paraît finalement ni nécessaire ni proportionnée au regard du but légitime visé</w:t>
      </w:r>
      <w:r w:rsidR="00CD1B51">
        <w:rPr>
          <w:rStyle w:val="FootnoteReference"/>
          <w:szCs w:val="20"/>
          <w:lang w:val="fr-CH"/>
        </w:rPr>
        <w:footnoteReference w:id="60"/>
      </w:r>
      <w:r w:rsidR="00005F43" w:rsidRPr="00F15147">
        <w:rPr>
          <w:sz w:val="20"/>
          <w:szCs w:val="20"/>
          <w:lang w:val="fr-CH"/>
        </w:rPr>
        <w:t xml:space="preserve">. Or dans la présente affaire, le Comité refuse d’exercer un contrôle de degré équivalent : il se borne à constater l’existence d’un recours et s’en remet totalement à l’appréciation du juge national. </w:t>
      </w:r>
    </w:p>
    <w:p w14:paraId="30461B0C" w14:textId="7ED6457A" w:rsidR="00005F43" w:rsidRPr="00F15147" w:rsidRDefault="008B6CE5" w:rsidP="00CD1B51">
      <w:pPr>
        <w:pStyle w:val="SingleTxtG"/>
        <w:rPr>
          <w:sz w:val="20"/>
          <w:szCs w:val="20"/>
          <w:lang w:val="fr-CH"/>
        </w:rPr>
      </w:pPr>
      <w:r w:rsidRPr="00F15147">
        <w:rPr>
          <w:sz w:val="20"/>
          <w:szCs w:val="20"/>
          <w:lang w:val="fr-CH"/>
        </w:rPr>
        <w:t>10.</w:t>
      </w:r>
      <w:r w:rsidRPr="00F15147">
        <w:rPr>
          <w:sz w:val="20"/>
          <w:szCs w:val="20"/>
          <w:lang w:val="fr-CH"/>
        </w:rPr>
        <w:tab/>
      </w:r>
      <w:r w:rsidR="00005F43" w:rsidRPr="00F15147">
        <w:rPr>
          <w:sz w:val="20"/>
          <w:szCs w:val="20"/>
          <w:lang w:val="fr-CH"/>
        </w:rPr>
        <w:t xml:space="preserve">Rien ne vient pourtant justifier ce </w:t>
      </w:r>
      <w:r w:rsidR="00005F43" w:rsidRPr="00F15147">
        <w:rPr>
          <w:i/>
          <w:sz w:val="20"/>
          <w:szCs w:val="20"/>
          <w:lang w:val="fr-CH"/>
        </w:rPr>
        <w:t>self-restraint</w:t>
      </w:r>
      <w:r w:rsidR="00005F43" w:rsidRPr="00F15147">
        <w:rPr>
          <w:sz w:val="20"/>
          <w:szCs w:val="20"/>
          <w:lang w:val="fr-CH"/>
        </w:rPr>
        <w:t>. Certes, selon une jurisprudence constante du Comité, « il appartient généralement aux juridictions des Etats parties au Pacte d’examiner les faits et les éléments de preuve ou l’application de la législation nationale dans un cas d’espèce, sauf s’il peut être établi que l’appréciation des éléments de preuve ou l’application de la législation ont été de toute évidence arbitraires, manifestement entachées d’erreur ou ont représenté un déni de justice, ou que le tribunal a par ailleurs violé son obligation d’indépendance ou d’impartialité</w:t>
      </w:r>
      <w:r w:rsidR="00CD1B51">
        <w:rPr>
          <w:rStyle w:val="FootnoteReference"/>
          <w:szCs w:val="20"/>
          <w:lang w:val="fr-CH"/>
        </w:rPr>
        <w:footnoteReference w:id="61"/>
      </w:r>
      <w:r w:rsidR="00005F43" w:rsidRPr="00F15147">
        <w:rPr>
          <w:sz w:val="20"/>
          <w:szCs w:val="20"/>
          <w:lang w:val="fr-CH"/>
        </w:rPr>
        <w:t>. » Mais un tel principe vaut dans les affaires où les faits sont controversés ou font à tout le moins l’objet d’interprétations divergentes. Or ce n’est nullement le cas ici. M. Geert Wilders ne conteste pas avoir prononcé les paroles qui sont dénoncées par les auteurs comme tombant sous le coup du paragraphe 2 de l’article 20, bien au contraire. On ne peut pas non plus invoquer une quelconque « marge d’appréciation » laissée à l’Etat partie en la matière : le Comité a explicitement rejeté cette doctrine s’agissant notamment de la liberté d’expression</w:t>
      </w:r>
      <w:r w:rsidR="00CD1B51">
        <w:rPr>
          <w:rStyle w:val="FootnoteReference"/>
          <w:szCs w:val="20"/>
          <w:lang w:val="fr-CH"/>
        </w:rPr>
        <w:footnoteReference w:id="62"/>
      </w:r>
      <w:r w:rsidR="00005F43" w:rsidRPr="00F15147">
        <w:rPr>
          <w:sz w:val="20"/>
          <w:szCs w:val="20"/>
          <w:lang w:val="fr-CH"/>
        </w:rPr>
        <w:t>. Il incombait par conséquent au Comité de déterminer si la qualification opérée par les auteurs était exacte et, dans l’affirmative, de rechercher si l’Etat partie avait manqué à son obligation positive d’« interdire » par la loi « tout appel à la haine nationale, raciale ou religieuse qui constitue une incitation à la discrimination, à l’hostilité ou à la violence ».</w:t>
      </w:r>
    </w:p>
    <w:p w14:paraId="0C88767A" w14:textId="1FFA7E0B" w:rsidR="00005F43" w:rsidRPr="00F15147" w:rsidRDefault="008B6CE5" w:rsidP="008B6CE5">
      <w:pPr>
        <w:pStyle w:val="SingleTxtG"/>
        <w:rPr>
          <w:sz w:val="20"/>
          <w:szCs w:val="20"/>
          <w:lang w:val="fr-CH"/>
        </w:rPr>
      </w:pPr>
      <w:r w:rsidRPr="00F15147">
        <w:rPr>
          <w:sz w:val="20"/>
          <w:szCs w:val="20"/>
          <w:lang w:val="fr-CH"/>
        </w:rPr>
        <w:t>11.</w:t>
      </w:r>
      <w:r w:rsidRPr="00F15147">
        <w:rPr>
          <w:sz w:val="20"/>
          <w:szCs w:val="20"/>
          <w:lang w:val="fr-CH"/>
        </w:rPr>
        <w:tab/>
      </w:r>
      <w:r w:rsidR="00005F43" w:rsidRPr="00F15147">
        <w:rPr>
          <w:sz w:val="20"/>
          <w:szCs w:val="20"/>
          <w:lang w:val="fr-CH"/>
        </w:rPr>
        <w:t>En ne procédant pas de la sorte, le Comité introduit une distinction douteuse entre obligations négatives et positives de l’Etat partie en vertu du Pacte : seules les premières se verraient appliquer un contrôle « entier » de nécessité et de proportionnalité, tandis que pour les secondes, le Comité se bornerait à exercer un contrôle « restreint » limité à la vérification de l’existence d’une loi et de recours disponibles, mais s’interdisant de contrôler au cas par cas la décision adoptée par les juges nationaux.</w:t>
      </w:r>
    </w:p>
    <w:p w14:paraId="6A35D500" w14:textId="5AA292DE" w:rsidR="00005F43" w:rsidRPr="00F15147" w:rsidRDefault="008B6CE5" w:rsidP="0079556D">
      <w:pPr>
        <w:pStyle w:val="SingleTxtG"/>
        <w:rPr>
          <w:sz w:val="20"/>
          <w:szCs w:val="20"/>
          <w:lang w:val="fr-CH"/>
        </w:rPr>
      </w:pPr>
      <w:r w:rsidRPr="00F15147">
        <w:rPr>
          <w:sz w:val="20"/>
          <w:szCs w:val="20"/>
          <w:lang w:val="fr-CH"/>
        </w:rPr>
        <w:t>12.</w:t>
      </w:r>
      <w:r w:rsidRPr="00F15147">
        <w:rPr>
          <w:sz w:val="20"/>
          <w:szCs w:val="20"/>
          <w:lang w:val="fr-CH"/>
        </w:rPr>
        <w:tab/>
      </w:r>
      <w:r w:rsidR="00005F43" w:rsidRPr="00F15147">
        <w:rPr>
          <w:sz w:val="20"/>
          <w:szCs w:val="20"/>
          <w:lang w:val="fr-CH"/>
        </w:rPr>
        <w:t>Or en l’espèce, l’analyse des passages cités combinée à l’examen de la jurisprudence du Comité, du CERD ou encore de la Cour européenne des droits de l’Homme aurait dû conduire le Comité à la conclusion que ces propos relevaient effectivement du paragraphe 2 de l’article 20 et que le tribunal national avait fait sur ce point une évaluation erronée. L’Etat partie avait indiqué que selon l’interprétation donnée par les juridictions nationales, une critique ne constituait au sens du droit national une infraction pénale que si elle visait « de manière non équivoque les personnes elles-mêmes et non simplement leurs opinions, convictions et comportements. » Or les propos de l’auteur n’étaient pas dirigés uniquement contre l’Islam en tant que religion, mais aussi contre les Musulmans en tant que personnes, et plus généralement contre les « résidents non occidentaux ». Les auteurs ont raison de soutenir que le tribunal de district qui a eu à connaître de l’affaire a de ce point de vue accentué, dans son appréciation des propos litigieux, la distinction entre la critique de la religion et l’incitation à la haine contre des personnes en raison de leurs convictions ou de leur appartenance à un groupe</w:t>
      </w:r>
      <w:r w:rsidR="0079556D">
        <w:rPr>
          <w:rStyle w:val="FootnoteReference"/>
          <w:szCs w:val="20"/>
          <w:lang w:val="fr-CH"/>
        </w:rPr>
        <w:footnoteReference w:id="63"/>
      </w:r>
      <w:r w:rsidR="00005F43" w:rsidRPr="00F15147">
        <w:rPr>
          <w:sz w:val="20"/>
          <w:szCs w:val="20"/>
          <w:lang w:val="fr-CH"/>
        </w:rPr>
        <w:t>. Par exemple, des déclarations du type : « Un jeune Marocain sur cinq a un casier judiciaire. Leur comportement découle de leur religion et de leur culture »</w:t>
      </w:r>
      <w:r w:rsidR="0079556D">
        <w:rPr>
          <w:rStyle w:val="FootnoteReference"/>
          <w:szCs w:val="20"/>
          <w:lang w:val="fr-CH"/>
        </w:rPr>
        <w:footnoteReference w:id="64"/>
      </w:r>
      <w:r w:rsidR="00005F43" w:rsidRPr="00F15147">
        <w:rPr>
          <w:sz w:val="20"/>
          <w:szCs w:val="20"/>
          <w:lang w:val="fr-CH"/>
        </w:rPr>
        <w:t>, ou encore « Ces Marocains sont vraiment violents »</w:t>
      </w:r>
      <w:r w:rsidR="0079556D">
        <w:rPr>
          <w:rStyle w:val="FootnoteReference"/>
          <w:szCs w:val="20"/>
          <w:lang w:val="fr-CH"/>
        </w:rPr>
        <w:footnoteReference w:id="65"/>
      </w:r>
      <w:r w:rsidR="00005F43" w:rsidRPr="00F15147">
        <w:rPr>
          <w:sz w:val="20"/>
          <w:szCs w:val="20"/>
          <w:lang w:val="fr-CH"/>
        </w:rPr>
        <w:t xml:space="preserve"> ne relèvent nullement d’une critique à l’égard de l’Islam, mais visent les Marocains et les Musulmans installés aux Pays-Bas dans leur ensemble. Ces déclarations procèdent par assimilations et glissements, en établissant des équivalences entre Marocains et délinquants, ou « islamique », Marocains et délinquants (« On ferme les frontières, on ne laisse plus entrer d’islamiques aux Pays-Bas, on renvoie beaucoup de musulmans des Pays-Bas, on dénaturalise les délinquants islamiques »)</w:t>
      </w:r>
      <w:r w:rsidR="0079556D">
        <w:rPr>
          <w:rStyle w:val="FootnoteReference"/>
          <w:szCs w:val="20"/>
          <w:lang w:val="fr-CH"/>
        </w:rPr>
        <w:footnoteReference w:id="66"/>
      </w:r>
      <w:r w:rsidR="00005F43" w:rsidRPr="00F15147">
        <w:rPr>
          <w:sz w:val="20"/>
          <w:szCs w:val="20"/>
          <w:lang w:val="fr-CH"/>
        </w:rPr>
        <w:t>, autant de réductions des personnes à des stéréotypes qui les réifient et en font par conséquent des objets à mépriser, voire à éliminer physiquement. On retrouve le même type de dynamique dans les discours génocidaires qui procèdent à la réification par assimilation à une identité elle-même décrite comme dangereuse, hostile, ou encore à un animal perçu comme invasif ou répugnant (« cafard », « vermine »…)</w:t>
      </w:r>
      <w:r w:rsidR="0079556D">
        <w:rPr>
          <w:rStyle w:val="FootnoteReference"/>
          <w:szCs w:val="20"/>
          <w:lang w:val="fr-CH"/>
        </w:rPr>
        <w:footnoteReference w:id="67"/>
      </w:r>
      <w:r w:rsidR="00005F43" w:rsidRPr="00F15147">
        <w:rPr>
          <w:sz w:val="20"/>
          <w:szCs w:val="20"/>
          <w:lang w:val="fr-CH"/>
        </w:rPr>
        <w:t xml:space="preserve"> Ces propos démontrent par conséquent une intention de la part de Geert Wilders de promouvoir publiquement la haine à l’encontre des « résidents non occidentaux »</w:t>
      </w:r>
      <w:r w:rsidR="0079556D">
        <w:rPr>
          <w:rStyle w:val="FootnoteReference"/>
          <w:szCs w:val="20"/>
          <w:lang w:val="fr-CH"/>
        </w:rPr>
        <w:footnoteReference w:id="68"/>
      </w:r>
      <w:r w:rsidR="00005F43" w:rsidRPr="00F15147">
        <w:rPr>
          <w:sz w:val="20"/>
          <w:szCs w:val="20"/>
          <w:lang w:val="fr-CH"/>
        </w:rPr>
        <w:t>. Par ailleurs il est incontesté que ces propos ont eu une influence directe sur la conduite d’au moins une partie de la population aux Pays-Bas, conduisant à des manifestations discrimination ou d’hostilité ou même de violence à l’encontre des personnes appartenant à ces groupes</w:t>
      </w:r>
      <w:r w:rsidR="0079556D">
        <w:rPr>
          <w:rStyle w:val="FootnoteReference"/>
          <w:szCs w:val="20"/>
          <w:lang w:val="fr-CH"/>
        </w:rPr>
        <w:footnoteReference w:id="69"/>
      </w:r>
      <w:r w:rsidR="00005F43" w:rsidRPr="00F15147">
        <w:rPr>
          <w:sz w:val="20"/>
          <w:szCs w:val="20"/>
          <w:lang w:val="fr-CH"/>
        </w:rPr>
        <w:t>. Ces deux éléments auraient dû, selon moi, conduire le Comité à conclure que les propos litigieux relevaient bi</w:t>
      </w:r>
      <w:r w:rsidR="009775D3">
        <w:rPr>
          <w:sz w:val="20"/>
          <w:szCs w:val="20"/>
          <w:lang w:val="fr-CH"/>
        </w:rPr>
        <w:t>en du paragraphe 2 de l’article </w:t>
      </w:r>
      <w:r w:rsidR="00005F43" w:rsidRPr="00F15147">
        <w:rPr>
          <w:sz w:val="20"/>
          <w:szCs w:val="20"/>
          <w:lang w:val="fr-CH"/>
        </w:rPr>
        <w:t>20</w:t>
      </w:r>
      <w:r w:rsidR="0079556D">
        <w:rPr>
          <w:rStyle w:val="FootnoteReference"/>
          <w:szCs w:val="20"/>
          <w:lang w:val="fr-CH"/>
        </w:rPr>
        <w:footnoteReference w:id="70"/>
      </w:r>
      <w:r w:rsidR="00005F43" w:rsidRPr="00F15147">
        <w:rPr>
          <w:sz w:val="20"/>
          <w:szCs w:val="20"/>
          <w:lang w:val="fr-CH"/>
        </w:rPr>
        <w:t>.</w:t>
      </w:r>
    </w:p>
    <w:p w14:paraId="2E39410F" w14:textId="717746F0" w:rsidR="00005F43" w:rsidRPr="00F15147" w:rsidRDefault="008B6CE5" w:rsidP="008B6CE5">
      <w:pPr>
        <w:pStyle w:val="SingleTxtG"/>
        <w:rPr>
          <w:sz w:val="20"/>
          <w:szCs w:val="20"/>
          <w:lang w:val="fr-CH"/>
        </w:rPr>
      </w:pPr>
      <w:r w:rsidRPr="00F15147">
        <w:rPr>
          <w:sz w:val="20"/>
          <w:szCs w:val="20"/>
          <w:lang w:val="fr-CH"/>
        </w:rPr>
        <w:t>13.</w:t>
      </w:r>
      <w:r w:rsidRPr="00F15147">
        <w:rPr>
          <w:sz w:val="20"/>
          <w:szCs w:val="20"/>
          <w:lang w:val="fr-CH"/>
        </w:rPr>
        <w:tab/>
      </w:r>
      <w:r w:rsidR="00005F43" w:rsidRPr="00F15147">
        <w:rPr>
          <w:sz w:val="20"/>
          <w:szCs w:val="20"/>
          <w:lang w:val="fr-CH"/>
        </w:rPr>
        <w:t>Dans les affaires classiques de liberté d’expression, le Comité examine les propos litigieux de l’auteur et le raisonnement de la Cour et en déduit si les restrictions apportées à la liberté d’expression de l’auteur étaient nécessaires et légitimes au regard du but légitime poursuivi (les droits d’autrui dans ce type d’affaire). Symétriquement, le Comité aurait dû ici s’interroger sur la question de savoir si l’acquittement de l’auteur était en l’espèce justifiée, autrement dit sur le caractère approprié et proportionné au regard de l’objectif légitime visé, de l’absence de réaction des juridictions nationales aux propos de l’auteur.</w:t>
      </w:r>
    </w:p>
    <w:p w14:paraId="6581B10B" w14:textId="780EF91A" w:rsidR="00005F43" w:rsidRPr="00F15147" w:rsidRDefault="008B6CE5" w:rsidP="008B6CE5">
      <w:pPr>
        <w:pStyle w:val="SingleTxtG"/>
        <w:rPr>
          <w:sz w:val="20"/>
          <w:szCs w:val="20"/>
          <w:lang w:val="fr-CH"/>
        </w:rPr>
      </w:pPr>
      <w:r w:rsidRPr="00F15147">
        <w:rPr>
          <w:sz w:val="20"/>
          <w:szCs w:val="20"/>
          <w:lang w:val="fr-CH"/>
        </w:rPr>
        <w:t>14.</w:t>
      </w:r>
      <w:r w:rsidRPr="00F15147">
        <w:rPr>
          <w:sz w:val="20"/>
          <w:szCs w:val="20"/>
          <w:lang w:val="fr-CH"/>
        </w:rPr>
        <w:tab/>
      </w:r>
      <w:r w:rsidR="00005F43" w:rsidRPr="00F15147">
        <w:rPr>
          <w:sz w:val="20"/>
          <w:szCs w:val="20"/>
          <w:lang w:val="fr-CH"/>
        </w:rPr>
        <w:t>A mon sens, le Comité aurait dû arriver à la conclusion que l’acquittement pur et simple de l’auteur, compte tenu de la nature de ses propos, ne pouvait être considérée comme approprié au regard du but légitime visé, à savoir la protection du droit de toute personne d’être protégée contre l’appel à la haine raciale constituant une incitation à la discrimination, à l’hostilité ou à la violence.</w:t>
      </w:r>
    </w:p>
    <w:p w14:paraId="3B71CF9C" w14:textId="378EB052" w:rsidR="00005F43" w:rsidRPr="00F15147" w:rsidRDefault="008B6CE5" w:rsidP="008B6CE5">
      <w:pPr>
        <w:pStyle w:val="SingleTxtG"/>
        <w:rPr>
          <w:sz w:val="20"/>
          <w:szCs w:val="20"/>
          <w:lang w:val="fr-CH"/>
        </w:rPr>
      </w:pPr>
      <w:r w:rsidRPr="00F15147">
        <w:rPr>
          <w:sz w:val="20"/>
          <w:szCs w:val="20"/>
          <w:lang w:val="fr-CH"/>
        </w:rPr>
        <w:t>15.</w:t>
      </w:r>
      <w:r w:rsidRPr="00F15147">
        <w:rPr>
          <w:sz w:val="20"/>
          <w:szCs w:val="20"/>
          <w:lang w:val="fr-CH"/>
        </w:rPr>
        <w:tab/>
      </w:r>
      <w:r w:rsidR="00005F43" w:rsidRPr="00F15147">
        <w:rPr>
          <w:sz w:val="20"/>
          <w:szCs w:val="20"/>
          <w:lang w:val="fr-CH"/>
        </w:rPr>
        <w:t>Il en résulte que l’Etat partie a, du fait de ce manquement de la juridiction nationale saisie à sanctionner un propos tombant clairement sous le coup de l’article 20, violé cet article. Subsidiairement, il était également loisible au Comité de constater une violation, sur cette même base, de l’article 26, lu seul et conjointement avec l’article 2 § 3.</w:t>
      </w:r>
    </w:p>
    <w:p w14:paraId="18365AA2" w14:textId="7737ED12" w:rsidR="00005F43" w:rsidRPr="00F15147" w:rsidRDefault="008B6CE5" w:rsidP="008B6CE5">
      <w:pPr>
        <w:pStyle w:val="SingleTxtG"/>
        <w:rPr>
          <w:sz w:val="20"/>
          <w:szCs w:val="20"/>
          <w:lang w:val="fr-CH"/>
        </w:rPr>
      </w:pPr>
      <w:r w:rsidRPr="00F15147">
        <w:rPr>
          <w:sz w:val="20"/>
          <w:szCs w:val="20"/>
          <w:lang w:val="fr-CH"/>
        </w:rPr>
        <w:t>16.</w:t>
      </w:r>
      <w:r w:rsidRPr="00F15147">
        <w:rPr>
          <w:sz w:val="20"/>
          <w:szCs w:val="20"/>
          <w:lang w:val="fr-CH"/>
        </w:rPr>
        <w:tab/>
      </w:r>
      <w:r w:rsidR="00005F43" w:rsidRPr="00F15147">
        <w:rPr>
          <w:sz w:val="20"/>
          <w:szCs w:val="20"/>
          <w:lang w:val="fr-CH"/>
        </w:rPr>
        <w:t>L’opinion qui précède est fondée exclusivement sur des considérations juridiques, portant sur l’appréciation des dispositions du Pacte, à la lumière de l’évolution de la jurisprudence d’autres organes de protection des droits de l’homme. Qu’il me soit permis toutefois d’ajouter un mot tenant au contexte dans lequel le Comité était appelé à rendre cette décision. Depuis un peu moins d’une dizaine d’années, dans les pays européens et sur d’autres continents, on a vu céder progressivement toutes les digues qui avaient été érigées après la Seconde Guerre Mondiale pour préserver le débat public au sein des sociétés démocratiques des discours de haine et d’intolérance qui avaient accompagné la consolidation ou l’établissement des totalitarismes dans l’entre-deux guerre. Pas à pas, interventions après interventions, les démagogues et les populistes repoussent les bornes qui visaient à préserver le respect mutuel et l’inter-compréhension et, pour tout dire, la possibilité même d’une communication à la fois libre et de nature à produire un accord rationnel au sein des sociétés sur des questions d’intérêt public. Aujourd’hui, nous voyons ces mêmes populistes s’appuyer sur la haine de l’autre et la politique du bouc-émissaire pour accéder au pouvoir. En Europe et ailleurs, la haine des migrants, de l’Islam et des Musulmans constitue leur principal fond de commerce. Leur discours conforte celui des groupes islamistes extrémistes qui prônent la violence et le djihad. En fait, les démagogues européens sont les alliés objectifs des djihadistes qui sèment la mort et la terreur à travers le monde, mais fascinent et attirent aussi une jeunesse déracinée, sans repère, et victime de discriminations multiples. Ces deux mouvances qui s’épaulent mutuellement poursuivent en fait un même projet qui est celui de la destruction des droits de l’Homme universels comme projet des Lumières et de la Modernité. Même si ce contexte ne doit pas à lui seul déterminer la solution à donner au cas d’espèce, il me semble qu’il doit néanmoins être pris en compte par le Comité dans son interprétation de l’article 20, qui avait notamment pour objet, dans l’esprit de ses rédacteurs, de prévenir autant que possible le retour des démons du passé.</w:t>
      </w:r>
      <w:r w:rsidR="0033228B">
        <w:rPr>
          <w:sz w:val="20"/>
          <w:szCs w:val="20"/>
          <w:lang w:val="fr-CH"/>
        </w:rPr>
        <w:t xml:space="preserve"> </w:t>
      </w:r>
    </w:p>
    <w:p w14:paraId="522FCB48" w14:textId="0E967761" w:rsidR="004E0DD3" w:rsidRPr="00F15147" w:rsidRDefault="004E0DD3" w:rsidP="004E0DD3">
      <w:pPr>
        <w:pStyle w:val="SingleTxtG"/>
        <w:spacing w:before="240" w:after="0"/>
        <w:jc w:val="center"/>
        <w:rPr>
          <w:sz w:val="20"/>
          <w:szCs w:val="20"/>
          <w:u w:val="single"/>
          <w:lang w:val="fr-CH"/>
        </w:rPr>
      </w:pPr>
      <w:r w:rsidRPr="00F15147">
        <w:rPr>
          <w:sz w:val="20"/>
          <w:szCs w:val="20"/>
          <w:u w:val="single"/>
          <w:lang w:val="fr-CH"/>
        </w:rPr>
        <w:tab/>
      </w:r>
      <w:r w:rsidRPr="00F15147">
        <w:rPr>
          <w:sz w:val="20"/>
          <w:szCs w:val="20"/>
          <w:u w:val="single"/>
          <w:lang w:val="fr-CH"/>
        </w:rPr>
        <w:tab/>
      </w:r>
      <w:r w:rsidRPr="00F15147">
        <w:rPr>
          <w:sz w:val="20"/>
          <w:szCs w:val="20"/>
          <w:u w:val="single"/>
          <w:lang w:val="fr-CH"/>
        </w:rPr>
        <w:tab/>
      </w:r>
    </w:p>
    <w:p w14:paraId="0E5511B5" w14:textId="77777777" w:rsidR="00005F43" w:rsidRPr="00574788" w:rsidRDefault="00005F43" w:rsidP="00993F8D">
      <w:pPr>
        <w:pStyle w:val="SingleTxtG"/>
        <w:spacing w:before="240" w:after="0"/>
        <w:jc w:val="center"/>
        <w:rPr>
          <w:u w:val="single"/>
        </w:rPr>
      </w:pPr>
    </w:p>
    <w:sectPr w:rsidR="00005F43" w:rsidRPr="00574788" w:rsidSect="00B32638">
      <w:headerReference w:type="even" r:id="rId31"/>
      <w:headerReference w:type="default" r:id="rId32"/>
      <w:headerReference w:type="first" r:id="rId33"/>
      <w:footnotePr>
        <w:numFmt w:val="lowerLetter"/>
        <w:numRestart w:val="eachSect"/>
      </w:footnotePr>
      <w:endnotePr>
        <w:numFmt w:val="decimal"/>
      </w:endnotePr>
      <w:pgSz w:w="11907" w:h="16840" w:code="9"/>
      <w:pgMar w:top="1560" w:right="1134" w:bottom="1134"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B6887" w14:textId="77777777" w:rsidR="00CE353C" w:rsidRDefault="00CE353C"/>
  </w:endnote>
  <w:endnote w:type="continuationSeparator" w:id="0">
    <w:p w14:paraId="5CC997B1" w14:textId="77777777" w:rsidR="00CE353C" w:rsidRDefault="00CE353C"/>
  </w:endnote>
  <w:endnote w:type="continuationNotice" w:id="1">
    <w:p w14:paraId="287C8496" w14:textId="77777777" w:rsidR="00CE353C" w:rsidRDefault="00CE35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B4104" w14:textId="75280BDE" w:rsidR="001E7F2D" w:rsidRPr="00E152A1" w:rsidRDefault="001E7F2D" w:rsidP="00E152A1">
    <w:pPr>
      <w:pStyle w:val="Footer"/>
      <w:tabs>
        <w:tab w:val="right" w:pos="9638"/>
      </w:tabs>
    </w:pPr>
    <w:r w:rsidRPr="00E152A1">
      <w:rPr>
        <w:b/>
        <w:sz w:val="18"/>
      </w:rPr>
      <w:fldChar w:fldCharType="begin"/>
    </w:r>
    <w:r w:rsidRPr="00E152A1">
      <w:rPr>
        <w:b/>
        <w:sz w:val="18"/>
      </w:rPr>
      <w:instrText xml:space="preserve"> PAGE  \* MERGEFORMAT </w:instrText>
    </w:r>
    <w:r w:rsidRPr="00E152A1">
      <w:rPr>
        <w:b/>
        <w:sz w:val="18"/>
      </w:rPr>
      <w:fldChar w:fldCharType="separate"/>
    </w:r>
    <w:r w:rsidR="002C2067">
      <w:rPr>
        <w:b/>
        <w:noProof/>
        <w:sz w:val="18"/>
      </w:rPr>
      <w:t>2</w:t>
    </w:r>
    <w:r w:rsidRPr="00E152A1">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50B93" w14:textId="4CBA208E" w:rsidR="001E7F2D" w:rsidRPr="00964FFD" w:rsidRDefault="001E7F2D" w:rsidP="00E152A1">
    <w:pPr>
      <w:pStyle w:val="Footer"/>
      <w:tabs>
        <w:tab w:val="right" w:pos="9638"/>
      </w:tabs>
      <w:rPr>
        <w:b/>
        <w:sz w:val="18"/>
      </w:rPr>
    </w:pPr>
    <w:r>
      <w:rPr>
        <w:b/>
        <w:sz w:val="18"/>
      </w:rPr>
      <w:tab/>
    </w:r>
    <w:r w:rsidRPr="00964FFD">
      <w:rPr>
        <w:b/>
        <w:sz w:val="18"/>
      </w:rPr>
      <w:fldChar w:fldCharType="begin"/>
    </w:r>
    <w:r w:rsidRPr="00964FFD">
      <w:rPr>
        <w:b/>
        <w:sz w:val="18"/>
      </w:rPr>
      <w:instrText xml:space="preserve"> PAGE  \* MERGEFORMAT </w:instrText>
    </w:r>
    <w:r w:rsidRPr="00964FFD">
      <w:rPr>
        <w:b/>
        <w:sz w:val="18"/>
      </w:rPr>
      <w:fldChar w:fldCharType="separate"/>
    </w:r>
    <w:r w:rsidR="002C2067">
      <w:rPr>
        <w:b/>
        <w:noProof/>
        <w:sz w:val="18"/>
      </w:rPr>
      <w:t>3</w:t>
    </w:r>
    <w:r w:rsidRPr="00964FFD">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C1645" w14:textId="5610F3AF" w:rsidR="00473AD7" w:rsidRDefault="004963CC" w:rsidP="00473AD7">
    <w:pPr>
      <w:pStyle w:val="Footer"/>
      <w:rPr>
        <w:rFonts w:asciiTheme="majorBidi" w:hAnsiTheme="majorBidi" w:cstheme="majorBidi"/>
        <w:sz w:val="20"/>
        <w:szCs w:val="20"/>
      </w:rPr>
    </w:pPr>
    <w:r>
      <w:rPr>
        <w:noProof/>
        <w:lang w:val="en-US"/>
      </w:rPr>
      <w:drawing>
        <wp:anchor distT="0" distB="0" distL="114300" distR="114300" simplePos="0" relativeHeight="251659264" behindDoc="0" locked="0" layoutInCell="1" allowOverlap="0" wp14:anchorId="48B66622" wp14:editId="636166D9">
          <wp:simplePos x="0" y="0"/>
          <wp:positionH relativeFrom="margin">
            <wp:posOffset>5461000</wp:posOffset>
          </wp:positionH>
          <wp:positionV relativeFrom="margin">
            <wp:posOffset>7925435</wp:posOffset>
          </wp:positionV>
          <wp:extent cx="638175" cy="638175"/>
          <wp:effectExtent l="0" t="0" r="9525" b="9525"/>
          <wp:wrapNone/>
          <wp:docPr id="2" name="Picture 2" descr="http://undocs.org/m2/QRCode.ashx?DS=CCPR/C/117/D/2124/201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CCPR/C/117/D/2124/2011&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7CD4D7" w14:textId="3A0F7BC5" w:rsidR="00473AD7" w:rsidRPr="00473AD7" w:rsidRDefault="00473AD7" w:rsidP="00473AD7">
    <w:pPr>
      <w:pStyle w:val="Footer"/>
      <w:rPr>
        <w:rFonts w:asciiTheme="majorBidi" w:hAnsiTheme="majorBidi" w:cstheme="majorBidi"/>
        <w:sz w:val="20"/>
        <w:szCs w:val="20"/>
      </w:rPr>
    </w:pPr>
    <w:r>
      <w:rPr>
        <w:rFonts w:asciiTheme="majorBidi" w:hAnsiTheme="majorBidi" w:cstheme="majorBidi"/>
        <w:sz w:val="20"/>
        <w:szCs w:val="20"/>
      </w:rPr>
      <w:t>GE.17-03929 (E)</w:t>
    </w:r>
  </w:p>
  <w:p w14:paraId="2C2BD4E4" w14:textId="0A220470" w:rsidR="00473AD7" w:rsidRPr="00741439" w:rsidRDefault="00473AD7" w:rsidP="00473AD7">
    <w:pPr>
      <w:pStyle w:val="Footer"/>
      <w:rPr>
        <w:rFonts w:ascii="C39T30Lfz" w:hAnsi="C39T30Lfz"/>
        <w:sz w:val="56"/>
      </w:rPr>
    </w:pPr>
    <w:r w:rsidRPr="00741439">
      <w:rPr>
        <w:rFonts w:ascii="C39T30Lfz" w:hAnsi="C39T30Lfz"/>
        <w:sz w:val="56"/>
      </w:rPr>
      <w:t></w:t>
    </w:r>
    <w:r w:rsidRPr="00741439">
      <w:rPr>
        <w:rFonts w:ascii="C39T30Lfz" w:hAnsi="C39T30Lfz"/>
        <w:sz w:val="56"/>
      </w:rPr>
      <w:t></w:t>
    </w:r>
    <w:r w:rsidRPr="00741439">
      <w:rPr>
        <w:rFonts w:ascii="C39T30Lfz" w:hAnsi="C39T30Lfz"/>
        <w:sz w:val="56"/>
      </w:rPr>
      <w:t></w:t>
    </w:r>
    <w:r w:rsidRPr="00741439">
      <w:rPr>
        <w:rFonts w:ascii="C39T30Lfz" w:hAnsi="C39T30Lfz"/>
        <w:sz w:val="56"/>
      </w:rPr>
      <w:t></w:t>
    </w:r>
    <w:r w:rsidRPr="00741439">
      <w:rPr>
        <w:rFonts w:ascii="C39T30Lfz" w:hAnsi="C39T30Lfz"/>
        <w:sz w:val="56"/>
      </w:rPr>
      <w:t></w:t>
    </w:r>
    <w:r w:rsidRPr="00741439">
      <w:rPr>
        <w:rFonts w:ascii="C39T30Lfz" w:hAnsi="C39T30Lfz"/>
        <w:sz w:val="56"/>
      </w:rPr>
      <w:t></w:t>
    </w:r>
    <w:r w:rsidRPr="00741439">
      <w:rPr>
        <w:rFonts w:ascii="C39T30Lfz" w:hAnsi="C39T30Lfz"/>
        <w:sz w:val="56"/>
      </w:rPr>
      <w:t></w:t>
    </w:r>
    <w:r w:rsidRPr="00741439">
      <w:rPr>
        <w:rFonts w:ascii="C39T30Lfz" w:hAnsi="C39T30Lfz"/>
        <w:sz w:val="56"/>
      </w:rPr>
      <w:t></w:t>
    </w:r>
    <w:r w:rsidRPr="00741439">
      <w:rPr>
        <w:rFonts w:ascii="C39T30Lfz" w:hAnsi="C39T30Lfz"/>
        <w:sz w:val="56"/>
      </w:rPr>
      <w:t></w:t>
    </w:r>
  </w:p>
  <w:p w14:paraId="709A5617" w14:textId="72283D9E" w:rsidR="007A4F9A" w:rsidRPr="007A4F9A" w:rsidRDefault="00473AD7" w:rsidP="00473AD7">
    <w:pPr>
      <w:pStyle w:val="Footer"/>
      <w:jc w:val="right"/>
      <w:rPr>
        <w:b/>
        <w:bCs/>
        <w:sz w:val="18"/>
        <w:szCs w:val="18"/>
      </w:rPr>
    </w:pPr>
    <w:r>
      <w:rPr>
        <w:noProof/>
        <w:lang w:val="en-US"/>
      </w:rPr>
      <w:drawing>
        <wp:anchor distT="0" distB="0" distL="114300" distR="114300" simplePos="0" relativeHeight="251661312" behindDoc="0" locked="1" layoutInCell="1" allowOverlap="1" wp14:anchorId="0CD0D70E" wp14:editId="038F4382">
          <wp:simplePos x="0" y="0"/>
          <wp:positionH relativeFrom="margin">
            <wp:posOffset>4435475</wp:posOffset>
          </wp:positionH>
          <wp:positionV relativeFrom="margin">
            <wp:posOffset>8110220</wp:posOffset>
          </wp:positionV>
          <wp:extent cx="930275" cy="230505"/>
          <wp:effectExtent l="0" t="0" r="3175" b="0"/>
          <wp:wrapSquare wrapText="bothSides"/>
          <wp:docPr id="3" name="Picture 3"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Engl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443976"/>
      <w:docPartObj>
        <w:docPartGallery w:val="Page Numbers (Bottom of Page)"/>
        <w:docPartUnique/>
      </w:docPartObj>
    </w:sdtPr>
    <w:sdtEndPr>
      <w:rPr>
        <w:b/>
        <w:bCs/>
        <w:noProof/>
        <w:sz w:val="18"/>
        <w:szCs w:val="18"/>
      </w:rPr>
    </w:sdtEndPr>
    <w:sdtContent>
      <w:p w14:paraId="06EFC8EE" w14:textId="77777777" w:rsidR="00473AD7" w:rsidRPr="007A4F9A" w:rsidRDefault="00473AD7" w:rsidP="0033668C">
        <w:pPr>
          <w:pStyle w:val="Footer"/>
          <w:jc w:val="right"/>
          <w:rPr>
            <w:b/>
            <w:bCs/>
            <w:sz w:val="18"/>
            <w:szCs w:val="18"/>
          </w:rPr>
        </w:pPr>
        <w:r w:rsidRPr="007A4F9A">
          <w:rPr>
            <w:b/>
            <w:bCs/>
            <w:sz w:val="18"/>
            <w:szCs w:val="18"/>
          </w:rPr>
          <w:fldChar w:fldCharType="begin"/>
        </w:r>
        <w:r w:rsidRPr="007A4F9A">
          <w:rPr>
            <w:b/>
            <w:bCs/>
            <w:sz w:val="18"/>
            <w:szCs w:val="18"/>
          </w:rPr>
          <w:instrText xml:space="preserve"> PAGE   \* MERGEFORMAT </w:instrText>
        </w:r>
        <w:r w:rsidRPr="007A4F9A">
          <w:rPr>
            <w:b/>
            <w:bCs/>
            <w:sz w:val="18"/>
            <w:szCs w:val="18"/>
          </w:rPr>
          <w:fldChar w:fldCharType="separate"/>
        </w:r>
        <w:r w:rsidR="002C2067">
          <w:rPr>
            <w:b/>
            <w:bCs/>
            <w:noProof/>
            <w:sz w:val="18"/>
            <w:szCs w:val="18"/>
          </w:rPr>
          <w:t>25</w:t>
        </w:r>
        <w:r w:rsidRPr="007A4F9A">
          <w:rPr>
            <w:b/>
            <w:bCs/>
            <w:noProof/>
            <w:sz w:val="18"/>
            <w:szCs w:val="1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90248"/>
      <w:docPartObj>
        <w:docPartGallery w:val="Page Numbers (Bottom of Page)"/>
        <w:docPartUnique/>
      </w:docPartObj>
    </w:sdtPr>
    <w:sdtEndPr>
      <w:rPr>
        <w:b/>
        <w:bCs/>
        <w:noProof/>
        <w:sz w:val="18"/>
        <w:szCs w:val="18"/>
      </w:rPr>
    </w:sdtEndPr>
    <w:sdtContent>
      <w:p w14:paraId="3B304F9A" w14:textId="77777777" w:rsidR="0033668C" w:rsidRPr="007A4F9A" w:rsidRDefault="0033668C" w:rsidP="0033668C">
        <w:pPr>
          <w:pStyle w:val="Footer"/>
          <w:rPr>
            <w:b/>
            <w:bCs/>
            <w:sz w:val="18"/>
            <w:szCs w:val="18"/>
          </w:rPr>
        </w:pPr>
        <w:r w:rsidRPr="007A4F9A">
          <w:rPr>
            <w:b/>
            <w:bCs/>
            <w:sz w:val="18"/>
            <w:szCs w:val="18"/>
          </w:rPr>
          <w:fldChar w:fldCharType="begin"/>
        </w:r>
        <w:r w:rsidRPr="007A4F9A">
          <w:rPr>
            <w:b/>
            <w:bCs/>
            <w:sz w:val="18"/>
            <w:szCs w:val="18"/>
          </w:rPr>
          <w:instrText xml:space="preserve"> PAGE   \* MERGEFORMAT </w:instrText>
        </w:r>
        <w:r w:rsidRPr="007A4F9A">
          <w:rPr>
            <w:b/>
            <w:bCs/>
            <w:sz w:val="18"/>
            <w:szCs w:val="18"/>
          </w:rPr>
          <w:fldChar w:fldCharType="separate"/>
        </w:r>
        <w:r w:rsidR="002C2067">
          <w:rPr>
            <w:b/>
            <w:bCs/>
            <w:noProof/>
            <w:sz w:val="18"/>
            <w:szCs w:val="18"/>
          </w:rPr>
          <w:t>28</w:t>
        </w:r>
        <w:r w:rsidRPr="007A4F9A">
          <w:rPr>
            <w:b/>
            <w:bCs/>
            <w:noProof/>
            <w:sz w:val="18"/>
            <w:szCs w:val="1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603418"/>
      <w:docPartObj>
        <w:docPartGallery w:val="Page Numbers (Bottom of Page)"/>
        <w:docPartUnique/>
      </w:docPartObj>
    </w:sdtPr>
    <w:sdtEndPr>
      <w:rPr>
        <w:b/>
        <w:bCs/>
        <w:noProof/>
        <w:sz w:val="18"/>
        <w:szCs w:val="18"/>
      </w:rPr>
    </w:sdtEndPr>
    <w:sdtContent>
      <w:p w14:paraId="13917A84" w14:textId="77777777" w:rsidR="0033668C" w:rsidRPr="007A4F9A" w:rsidRDefault="0033668C" w:rsidP="0033668C">
        <w:pPr>
          <w:pStyle w:val="Footer"/>
          <w:jc w:val="right"/>
          <w:rPr>
            <w:b/>
            <w:bCs/>
            <w:sz w:val="18"/>
            <w:szCs w:val="18"/>
          </w:rPr>
        </w:pPr>
        <w:r w:rsidRPr="007A4F9A">
          <w:rPr>
            <w:b/>
            <w:bCs/>
            <w:sz w:val="18"/>
            <w:szCs w:val="18"/>
          </w:rPr>
          <w:fldChar w:fldCharType="begin"/>
        </w:r>
        <w:r w:rsidRPr="007A4F9A">
          <w:rPr>
            <w:b/>
            <w:bCs/>
            <w:sz w:val="18"/>
            <w:szCs w:val="18"/>
          </w:rPr>
          <w:instrText xml:space="preserve"> PAGE   \* MERGEFORMAT </w:instrText>
        </w:r>
        <w:r w:rsidRPr="007A4F9A">
          <w:rPr>
            <w:b/>
            <w:bCs/>
            <w:sz w:val="18"/>
            <w:szCs w:val="18"/>
          </w:rPr>
          <w:fldChar w:fldCharType="separate"/>
        </w:r>
        <w:r w:rsidR="004F0BB2">
          <w:rPr>
            <w:b/>
            <w:bCs/>
            <w:noProof/>
            <w:sz w:val="18"/>
            <w:szCs w:val="18"/>
          </w:rPr>
          <w:t>31</w:t>
        </w:r>
        <w:r w:rsidRPr="007A4F9A">
          <w:rPr>
            <w:b/>
            <w:bCs/>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66676" w14:textId="77777777" w:rsidR="00CE353C" w:rsidRPr="000B175B" w:rsidRDefault="00CE353C" w:rsidP="000B175B">
      <w:pPr>
        <w:tabs>
          <w:tab w:val="right" w:pos="2155"/>
        </w:tabs>
        <w:spacing w:after="80"/>
        <w:ind w:left="680"/>
        <w:rPr>
          <w:u w:val="single"/>
        </w:rPr>
      </w:pPr>
      <w:r>
        <w:rPr>
          <w:u w:val="single"/>
        </w:rPr>
        <w:tab/>
      </w:r>
    </w:p>
  </w:footnote>
  <w:footnote w:type="continuationSeparator" w:id="0">
    <w:p w14:paraId="7C351638" w14:textId="77777777" w:rsidR="00CE353C" w:rsidRPr="00FC68B7" w:rsidRDefault="00CE353C" w:rsidP="00FC68B7">
      <w:pPr>
        <w:tabs>
          <w:tab w:val="left" w:pos="2155"/>
        </w:tabs>
        <w:spacing w:after="80"/>
        <w:ind w:left="680"/>
        <w:rPr>
          <w:u w:val="single"/>
        </w:rPr>
      </w:pPr>
      <w:r>
        <w:rPr>
          <w:u w:val="single"/>
        </w:rPr>
        <w:tab/>
      </w:r>
    </w:p>
  </w:footnote>
  <w:footnote w:type="continuationNotice" w:id="1">
    <w:p w14:paraId="40E79861" w14:textId="77777777" w:rsidR="00CE353C" w:rsidRDefault="00CE353C"/>
  </w:footnote>
  <w:footnote w:id="2">
    <w:p w14:paraId="42C37EBF" w14:textId="1715DBCB" w:rsidR="001E7F2D" w:rsidRPr="0059501B" w:rsidRDefault="001E7F2D" w:rsidP="00B249E7">
      <w:pPr>
        <w:pStyle w:val="FootnoteText"/>
      </w:pPr>
      <w:r>
        <w:rPr>
          <w:rStyle w:val="FootnoteReference"/>
        </w:rPr>
        <w:tab/>
      </w:r>
      <w:r w:rsidRPr="00AF107C">
        <w:rPr>
          <w:rStyle w:val="FootnoteReference"/>
          <w:sz w:val="20"/>
          <w:vertAlign w:val="baseline"/>
        </w:rPr>
        <w:t>*</w:t>
      </w:r>
      <w:r>
        <w:rPr>
          <w:rStyle w:val="FootnoteReference"/>
          <w:sz w:val="20"/>
          <w:vertAlign w:val="baseline"/>
        </w:rPr>
        <w:tab/>
      </w:r>
      <w:r>
        <w:t xml:space="preserve">Adopted by the Committee </w:t>
      </w:r>
      <w:r w:rsidRPr="009E4187">
        <w:t xml:space="preserve">at its </w:t>
      </w:r>
      <w:r w:rsidRPr="0059501B">
        <w:t>11</w:t>
      </w:r>
      <w:r w:rsidRPr="004B76D2">
        <w:t>7</w:t>
      </w:r>
      <w:r w:rsidRPr="0059501B">
        <w:t>th</w:t>
      </w:r>
      <w:r w:rsidRPr="009E4187">
        <w:t xml:space="preserve"> session (</w:t>
      </w:r>
      <w:r>
        <w:t>20 June-</w:t>
      </w:r>
      <w:r w:rsidRPr="001147E8">
        <w:t>15 July 2016</w:t>
      </w:r>
      <w:r w:rsidRPr="009E4187">
        <w:t>).</w:t>
      </w:r>
    </w:p>
  </w:footnote>
  <w:footnote w:id="3">
    <w:p w14:paraId="6377FC0A" w14:textId="3AD8A6B1" w:rsidR="001E7F2D" w:rsidRPr="00F70C5E" w:rsidRDefault="001E7F2D" w:rsidP="00B249E7">
      <w:pPr>
        <w:pStyle w:val="FootnoteText"/>
      </w:pPr>
      <w:r w:rsidRPr="00F019FA">
        <w:rPr>
          <w:rStyle w:val="FootnoteReference"/>
          <w:sz w:val="20"/>
        </w:rPr>
        <w:tab/>
      </w:r>
      <w:r w:rsidRPr="000214BD">
        <w:rPr>
          <w:rStyle w:val="FootnoteReference"/>
          <w:sz w:val="20"/>
          <w:vertAlign w:val="baseline"/>
        </w:rPr>
        <w:t>**</w:t>
      </w:r>
      <w:r w:rsidRPr="00AF107C">
        <w:tab/>
      </w:r>
      <w:r w:rsidRPr="001147E8">
        <w:t xml:space="preserve">The following members of the Committee participated in the examination of the communication: </w:t>
      </w:r>
      <w:r>
        <w:rPr>
          <w:szCs w:val="18"/>
        </w:rPr>
        <w:t xml:space="preserve">Yadh Ben Achour, Lazhari Bouzid, Sarah Cleveland, Ahmed Amin Fathalla, Olivier </w:t>
      </w:r>
      <w:r>
        <w:rPr>
          <w:szCs w:val="18"/>
          <w:lang w:val="en-US"/>
        </w:rPr>
        <w:t>d</w:t>
      </w:r>
      <w:r>
        <w:rPr>
          <w:szCs w:val="18"/>
        </w:rPr>
        <w:t>e Frouville, Yuji Iwasawa, Ivana Jeli</w:t>
      </w:r>
      <w:r>
        <w:t>ć</w:t>
      </w:r>
      <w:r>
        <w:rPr>
          <w:szCs w:val="18"/>
        </w:rPr>
        <w:t xml:space="preserve">, Photini Pazartzis, Mauro Politi, </w:t>
      </w:r>
      <w:r>
        <w:rPr>
          <w:bCs/>
          <w:szCs w:val="18"/>
        </w:rPr>
        <w:t>Sir</w:t>
      </w:r>
      <w:r>
        <w:rPr>
          <w:szCs w:val="18"/>
        </w:rPr>
        <w:t xml:space="preserve"> Nigel Rodley, V</w:t>
      </w:r>
      <w:r>
        <w:rPr>
          <w:szCs w:val="18"/>
          <w:lang w:val="en-US"/>
        </w:rPr>
        <w:t>í</w:t>
      </w:r>
      <w:r>
        <w:rPr>
          <w:szCs w:val="18"/>
        </w:rPr>
        <w:t>ctor Manuel Rodríguez</w:t>
      </w:r>
      <w:r>
        <w:rPr>
          <w:szCs w:val="18"/>
          <w:lang w:val="en-US"/>
        </w:rPr>
        <w:t xml:space="preserve"> </w:t>
      </w:r>
      <w:r>
        <w:rPr>
          <w:szCs w:val="18"/>
        </w:rPr>
        <w:t>Rescia, Fabián Omar Salvioli, Dheerujlall Seetulsingh, Anja Seibert-Fohr, Yuval Shany, Konstantine Vardzelashvili and Margo Waterval</w:t>
      </w:r>
      <w:r w:rsidRPr="001147E8">
        <w:t>.</w:t>
      </w:r>
    </w:p>
  </w:footnote>
  <w:footnote w:id="4">
    <w:p w14:paraId="22FDEDDE" w14:textId="5DC8DE77" w:rsidR="001E7F2D" w:rsidRPr="001E3A94" w:rsidRDefault="001E7F2D" w:rsidP="00B249E7">
      <w:pPr>
        <w:pStyle w:val="FootnoteText"/>
      </w:pPr>
      <w:r>
        <w:rPr>
          <w:rStyle w:val="FootnoteReference"/>
        </w:rPr>
        <w:tab/>
      </w:r>
      <w:r w:rsidRPr="00F15147">
        <w:rPr>
          <w:rStyle w:val="FootnoteReference"/>
          <w:sz w:val="20"/>
          <w:vertAlign w:val="baseline"/>
        </w:rPr>
        <w:t>***</w:t>
      </w:r>
      <w:r>
        <w:rPr>
          <w:rStyle w:val="FootnoteReference"/>
          <w:sz w:val="20"/>
          <w:vertAlign w:val="baseline"/>
        </w:rPr>
        <w:tab/>
      </w:r>
      <w:r w:rsidRPr="002B2068">
        <w:t>Seven</w:t>
      </w:r>
      <w:r w:rsidRPr="004B76D2">
        <w:t xml:space="preserve"> </w:t>
      </w:r>
      <w:r>
        <w:t xml:space="preserve">opinions </w:t>
      </w:r>
      <w:r>
        <w:rPr>
          <w:lang w:val="en-US"/>
        </w:rPr>
        <w:t xml:space="preserve">signed </w:t>
      </w:r>
      <w:r>
        <w:t>by 11 Committee members are a</w:t>
      </w:r>
      <w:r>
        <w:rPr>
          <w:lang w:val="en-US"/>
        </w:rPr>
        <w:t>nn</w:t>
      </w:r>
      <w:r>
        <w:t>e</w:t>
      </w:r>
      <w:r>
        <w:rPr>
          <w:lang w:val="en-US"/>
        </w:rPr>
        <w:t>x</w:t>
      </w:r>
      <w:r>
        <w:t>ed to the present Views.</w:t>
      </w:r>
      <w:r>
        <w:rPr>
          <w:lang w:val="en-US"/>
        </w:rPr>
        <w:t xml:space="preserve"> </w:t>
      </w:r>
      <w:r w:rsidRPr="00572C5D">
        <w:t>The annex</w:t>
      </w:r>
      <w:r w:rsidRPr="00572C5D">
        <w:rPr>
          <w:lang w:val="en-US"/>
        </w:rPr>
        <w:t>es</w:t>
      </w:r>
      <w:r w:rsidRPr="00572C5D">
        <w:t xml:space="preserve"> </w:t>
      </w:r>
      <w:r w:rsidRPr="00572C5D">
        <w:rPr>
          <w:lang w:val="en-US"/>
        </w:rPr>
        <w:t>a</w:t>
      </w:r>
      <w:r w:rsidRPr="00F15147">
        <w:rPr>
          <w:lang w:val="en-US"/>
        </w:rPr>
        <w:t>r</w:t>
      </w:r>
      <w:r w:rsidRPr="00572C5D">
        <w:rPr>
          <w:lang w:val="en-US"/>
        </w:rPr>
        <w:t xml:space="preserve">e </w:t>
      </w:r>
      <w:r w:rsidRPr="00572C5D">
        <w:t>reproduced as received, in the language of submission only.</w:t>
      </w:r>
    </w:p>
    <w:p w14:paraId="282A8BF2" w14:textId="00ED19A8" w:rsidR="001E7F2D" w:rsidRPr="00462DE6" w:rsidRDefault="001E7F2D" w:rsidP="00B249E7">
      <w:pPr>
        <w:pStyle w:val="FootnoteText"/>
      </w:pPr>
    </w:p>
  </w:footnote>
  <w:footnote w:id="5">
    <w:p w14:paraId="18FECA47" w14:textId="6120D234" w:rsidR="001E7F2D" w:rsidRPr="00396D82" w:rsidRDefault="001E7F2D" w:rsidP="00B249E7">
      <w:pPr>
        <w:pStyle w:val="FootnoteText"/>
      </w:pPr>
      <w:r>
        <w:tab/>
      </w:r>
      <w:r w:rsidRPr="003710BE">
        <w:rPr>
          <w:rStyle w:val="FootnoteReference"/>
        </w:rPr>
        <w:footnoteRef/>
      </w:r>
      <w:r>
        <w:tab/>
      </w:r>
      <w:r w:rsidRPr="00F15147">
        <w:rPr>
          <w:szCs w:val="18"/>
          <w:lang w:val="en-US"/>
        </w:rPr>
        <w:t>T</w:t>
      </w:r>
      <w:r w:rsidRPr="00F15147">
        <w:rPr>
          <w:szCs w:val="18"/>
        </w:rPr>
        <w:t xml:space="preserve">he Code of Criminal Procedure indicates that </w:t>
      </w:r>
      <w:r w:rsidRPr="00F15147">
        <w:rPr>
          <w:szCs w:val="18"/>
          <w:lang w:val="en-US"/>
        </w:rPr>
        <w:t>i</w:t>
      </w:r>
      <w:r w:rsidRPr="00F15147">
        <w:rPr>
          <w:szCs w:val="18"/>
        </w:rPr>
        <w:t>f a criminal offence is not prosecuted</w:t>
      </w:r>
      <w:r w:rsidRPr="00F15147">
        <w:rPr>
          <w:szCs w:val="18"/>
          <w:lang w:val="en-US"/>
        </w:rPr>
        <w:t>,</w:t>
      </w:r>
      <w:r w:rsidRPr="00F15147">
        <w:rPr>
          <w:szCs w:val="18"/>
        </w:rPr>
        <w:t xml:space="preserve"> the directly interested party may file a complaint against </w:t>
      </w:r>
      <w:r w:rsidRPr="00F15147">
        <w:rPr>
          <w:szCs w:val="18"/>
          <w:lang w:val="en-US"/>
        </w:rPr>
        <w:t>that</w:t>
      </w:r>
      <w:r w:rsidRPr="00F15147">
        <w:rPr>
          <w:szCs w:val="18"/>
        </w:rPr>
        <w:t xml:space="preserve"> decision with the Court of Appeal (sect.</w:t>
      </w:r>
      <w:r w:rsidR="0033228B">
        <w:rPr>
          <w:szCs w:val="18"/>
        </w:rPr>
        <w:t> </w:t>
      </w:r>
      <w:r w:rsidRPr="00F15147">
        <w:rPr>
          <w:szCs w:val="18"/>
        </w:rPr>
        <w:t>12).</w:t>
      </w:r>
    </w:p>
  </w:footnote>
  <w:footnote w:id="6">
    <w:p w14:paraId="5C53D619" w14:textId="6CFB853B" w:rsidR="001E7F2D" w:rsidRPr="00F15147" w:rsidRDefault="001E7F2D" w:rsidP="00B249E7">
      <w:pPr>
        <w:pStyle w:val="FootnoteText"/>
        <w:rPr>
          <w:lang w:val="en-US"/>
        </w:rPr>
      </w:pPr>
      <w:r w:rsidRPr="00924F7F">
        <w:tab/>
      </w:r>
      <w:r w:rsidRPr="003710BE">
        <w:rPr>
          <w:rStyle w:val="FootnoteReference"/>
        </w:rPr>
        <w:footnoteRef/>
      </w:r>
      <w:r w:rsidRPr="00924F7F">
        <w:tab/>
      </w:r>
      <w:r w:rsidRPr="00F31023">
        <w:t>Sect</w:t>
      </w:r>
      <w:r w:rsidR="00214B6E">
        <w:rPr>
          <w:lang w:val="en-US"/>
        </w:rPr>
        <w:t>.</w:t>
      </w:r>
      <w:r w:rsidRPr="00F31023">
        <w:t xml:space="preserve"> </w:t>
      </w:r>
      <w:r>
        <w:t>137c</w:t>
      </w:r>
      <w:r>
        <w:rPr>
          <w:lang w:val="en-US"/>
        </w:rPr>
        <w:t xml:space="preserve"> indicates that a</w:t>
      </w:r>
      <w:r>
        <w:t>ny person who in public, either orally</w:t>
      </w:r>
      <w:r>
        <w:rPr>
          <w:lang w:val="en-US"/>
        </w:rPr>
        <w:t>,</w:t>
      </w:r>
      <w:r>
        <w:t xml:space="preserve"> in writing or through images, intentionally makes an insulting statement about a group of persons because of their race, religion or beliefs, their </w:t>
      </w:r>
      <w:r w:rsidRPr="00DD241B">
        <w:t>hetero</w:t>
      </w:r>
      <w:r>
        <w:t xml:space="preserve"> or homosexual orientation or their physical, mental or intellectual disability, </w:t>
      </w:r>
      <w:r w:rsidR="00214B6E">
        <w:rPr>
          <w:lang w:val="en-US"/>
        </w:rPr>
        <w:t>i</w:t>
      </w:r>
      <w:r>
        <w:t>s liable to a term of imprisonment not exceeding one year or a fine of the third category</w:t>
      </w:r>
      <w:r w:rsidR="00A55FAD">
        <w:rPr>
          <w:lang w:val="en-US"/>
        </w:rPr>
        <w:t>;</w:t>
      </w:r>
      <w:r>
        <w:rPr>
          <w:lang w:val="en-US"/>
        </w:rPr>
        <w:t xml:space="preserve"> s</w:t>
      </w:r>
      <w:r w:rsidRPr="00F31023">
        <w:t>ect</w:t>
      </w:r>
      <w:r w:rsidR="00214B6E">
        <w:rPr>
          <w:lang w:val="en-US"/>
        </w:rPr>
        <w:t>.</w:t>
      </w:r>
      <w:r w:rsidR="0033228B">
        <w:t> </w:t>
      </w:r>
      <w:r>
        <w:t>137c</w:t>
      </w:r>
      <w:r w:rsidR="0033228B">
        <w:rPr>
          <w:lang w:val="en-US"/>
        </w:rPr>
        <w:t> </w:t>
      </w:r>
      <w:r>
        <w:rPr>
          <w:lang w:val="en-US"/>
        </w:rPr>
        <w:t>(2) provides that</w:t>
      </w:r>
      <w:r>
        <w:t xml:space="preserve"> </w:t>
      </w:r>
      <w:r>
        <w:rPr>
          <w:lang w:val="en-US"/>
        </w:rPr>
        <w:t>i</w:t>
      </w:r>
      <w:r>
        <w:t>f the offence is committed by a person who makes a profession or habit of it or by two or more persons in concert, a term of imprisonment not exceeding two years or a fine of the fourth category shall be imposed</w:t>
      </w:r>
      <w:r>
        <w:rPr>
          <w:lang w:val="en-US"/>
        </w:rPr>
        <w:t>.</w:t>
      </w:r>
    </w:p>
  </w:footnote>
  <w:footnote w:id="7">
    <w:p w14:paraId="17496905" w14:textId="623435F1" w:rsidR="001E7F2D" w:rsidRPr="00E56703" w:rsidRDefault="001E7F2D" w:rsidP="00B249E7">
      <w:pPr>
        <w:pStyle w:val="FootnoteText"/>
      </w:pPr>
      <w:r w:rsidRPr="00E56703">
        <w:tab/>
      </w:r>
      <w:r w:rsidRPr="003710BE">
        <w:rPr>
          <w:rStyle w:val="FootnoteReference"/>
        </w:rPr>
        <w:footnoteRef/>
      </w:r>
      <w:r>
        <w:tab/>
      </w:r>
      <w:r w:rsidRPr="00F31023">
        <w:t>Sect</w:t>
      </w:r>
      <w:r w:rsidR="00214B6E">
        <w:rPr>
          <w:lang w:val="en-US"/>
        </w:rPr>
        <w:t>.</w:t>
      </w:r>
      <w:r w:rsidRPr="00E56703">
        <w:t xml:space="preserve"> 137d</w:t>
      </w:r>
      <w:r>
        <w:rPr>
          <w:lang w:val="en-US"/>
        </w:rPr>
        <w:t xml:space="preserve"> provides that</w:t>
      </w:r>
      <w:r w:rsidRPr="00E56703">
        <w:t xml:space="preserve"> </w:t>
      </w:r>
      <w:r>
        <w:rPr>
          <w:lang w:val="en-US"/>
        </w:rPr>
        <w:t>a</w:t>
      </w:r>
      <w:r w:rsidRPr="00F31023">
        <w:t>ny person</w:t>
      </w:r>
      <w:r w:rsidRPr="00E56703">
        <w:t xml:space="preserve"> who publicly, </w:t>
      </w:r>
      <w:r w:rsidRPr="00DD241B">
        <w:t>either orally or</w:t>
      </w:r>
      <w:r w:rsidRPr="00E56703">
        <w:t xml:space="preserve"> in writing or</w:t>
      </w:r>
      <w:r w:rsidRPr="00F31023">
        <w:t xml:space="preserve"> through images</w:t>
      </w:r>
      <w:r w:rsidRPr="00E56703">
        <w:t xml:space="preserve">, incites hatred </w:t>
      </w:r>
      <w:r w:rsidRPr="00F31023">
        <w:t>of</w:t>
      </w:r>
      <w:r w:rsidRPr="00E56703">
        <w:t xml:space="preserve"> or discrimination </w:t>
      </w:r>
      <w:r w:rsidRPr="00F31023">
        <w:t>against persons</w:t>
      </w:r>
      <w:r w:rsidRPr="00E56703">
        <w:t xml:space="preserve"> or violence against an individual or </w:t>
      </w:r>
      <w:r w:rsidRPr="00F31023">
        <w:t>property</w:t>
      </w:r>
      <w:r w:rsidRPr="00E56703">
        <w:t xml:space="preserve"> because of their race, religion or belief</w:t>
      </w:r>
      <w:r w:rsidRPr="00F31023">
        <w:t>s</w:t>
      </w:r>
      <w:r w:rsidRPr="00E56703">
        <w:t xml:space="preserve">, their gender, their heterosexual or homosexual orientation or their physical, </w:t>
      </w:r>
      <w:r w:rsidRPr="00F31023">
        <w:t>mental</w:t>
      </w:r>
      <w:r w:rsidRPr="00E56703">
        <w:t xml:space="preserve"> or </w:t>
      </w:r>
      <w:r w:rsidRPr="00F31023">
        <w:t>inte</w:t>
      </w:r>
      <w:r>
        <w:t>l</w:t>
      </w:r>
      <w:r w:rsidRPr="00F31023">
        <w:t>lectual</w:t>
      </w:r>
      <w:r w:rsidRPr="00E56703">
        <w:t xml:space="preserve"> disability, </w:t>
      </w:r>
      <w:r w:rsidR="00A55FAD">
        <w:rPr>
          <w:lang w:val="en-US"/>
        </w:rPr>
        <w:t>i</w:t>
      </w:r>
      <w:r w:rsidRPr="00E56703">
        <w:t xml:space="preserve">s liable to </w:t>
      </w:r>
      <w:r w:rsidRPr="00F31023">
        <w:t>a term of imprisonment not exceeding</w:t>
      </w:r>
      <w:r w:rsidRPr="00E56703">
        <w:t xml:space="preserve"> one year or a </w:t>
      </w:r>
      <w:r>
        <w:t>fine of the third category.</w:t>
      </w:r>
    </w:p>
  </w:footnote>
  <w:footnote w:id="8">
    <w:p w14:paraId="42D028EA" w14:textId="22D443D0" w:rsidR="001E7F2D" w:rsidRPr="00F31023" w:rsidRDefault="001E7F2D" w:rsidP="00B249E7">
      <w:pPr>
        <w:pStyle w:val="FootnoteText"/>
      </w:pPr>
      <w:r w:rsidRPr="00924F7F">
        <w:tab/>
      </w:r>
      <w:r w:rsidRPr="003710BE">
        <w:rPr>
          <w:rStyle w:val="FootnoteReference"/>
        </w:rPr>
        <w:footnoteRef/>
      </w:r>
      <w:r w:rsidRPr="00924F7F">
        <w:tab/>
      </w:r>
      <w:r w:rsidRPr="00F31023">
        <w:t>Sect</w:t>
      </w:r>
      <w:r>
        <w:rPr>
          <w:lang w:val="en-US"/>
        </w:rPr>
        <w:t>.</w:t>
      </w:r>
      <w:r w:rsidRPr="00F31023">
        <w:t xml:space="preserve"> 334 </w:t>
      </w:r>
      <w:r>
        <w:rPr>
          <w:lang w:val="en-US"/>
        </w:rPr>
        <w:t>provides that</w:t>
      </w:r>
      <w:r w:rsidRPr="00F31023">
        <w:t xml:space="preserve"> </w:t>
      </w:r>
      <w:r>
        <w:rPr>
          <w:lang w:val="en-US"/>
        </w:rPr>
        <w:t>a</w:t>
      </w:r>
      <w:r>
        <w:t>t the court session</w:t>
      </w:r>
      <w:r>
        <w:rPr>
          <w:lang w:val="en-US"/>
        </w:rPr>
        <w:t>,</w:t>
      </w:r>
      <w:r>
        <w:t xml:space="preserve"> the injured party may submit documents as evidence of the damage or loss incurred as a result of the criminal offence, but may not present witnesses or expert witnesses. The injured party or the person who is assisting him may pose questions to the witnesses and expert witnesses, but only in regard of his claim for compensation. The injured party may explain and clarify or instruct a third party to explain and clarify his claim after the public prosecutor has addressed the court. He may again address the court each time the public prosecutor has addressed the court, or has been given the opportunity to address the court.</w:t>
      </w:r>
    </w:p>
  </w:footnote>
  <w:footnote w:id="9">
    <w:p w14:paraId="13B03BDA" w14:textId="255B5A55" w:rsidR="001E7F2D" w:rsidRPr="00F15147" w:rsidRDefault="001E7F2D" w:rsidP="00B249E7">
      <w:pPr>
        <w:pStyle w:val="FootnoteText"/>
        <w:rPr>
          <w:lang w:val="x-none"/>
        </w:rPr>
      </w:pPr>
      <w:r w:rsidRPr="00462DE6">
        <w:tab/>
      </w:r>
      <w:r w:rsidRPr="003710BE">
        <w:rPr>
          <w:rStyle w:val="FootnoteReference"/>
        </w:rPr>
        <w:footnoteRef/>
      </w:r>
      <w:r w:rsidRPr="00D925F9">
        <w:tab/>
      </w:r>
      <w:r w:rsidRPr="00817E97">
        <w:rPr>
          <w:lang w:val="en-US"/>
        </w:rPr>
        <w:t xml:space="preserve">See </w:t>
      </w:r>
      <w:r w:rsidRPr="00817E97">
        <w:t xml:space="preserve">communication No. 1570/2007, </w:t>
      </w:r>
      <w:r w:rsidRPr="00817E97">
        <w:rPr>
          <w:i/>
        </w:rPr>
        <w:t>Vassilari et al. v. Greece</w:t>
      </w:r>
      <w:r w:rsidRPr="00817E97">
        <w:t>, Views adopted on 19 March 2009, para. 6.5.</w:t>
      </w:r>
    </w:p>
  </w:footnote>
  <w:footnote w:id="10">
    <w:p w14:paraId="6AF4D250" w14:textId="08D324DC" w:rsidR="001E7F2D" w:rsidRPr="00E56703" w:rsidRDefault="001E7F2D" w:rsidP="00B249E7">
      <w:pPr>
        <w:pStyle w:val="FootnoteText"/>
      </w:pPr>
      <w:r w:rsidRPr="00DD241B">
        <w:tab/>
      </w:r>
      <w:r w:rsidRPr="003710BE">
        <w:rPr>
          <w:rStyle w:val="FootnoteReference"/>
        </w:rPr>
        <w:footnoteRef/>
      </w:r>
      <w:r w:rsidRPr="00DD241B">
        <w:tab/>
      </w:r>
      <w:r w:rsidRPr="00DD241B">
        <w:rPr>
          <w:bCs/>
        </w:rPr>
        <w:t xml:space="preserve">Article 6:162 </w:t>
      </w:r>
      <w:r>
        <w:rPr>
          <w:bCs/>
          <w:lang w:val="en-US"/>
        </w:rPr>
        <w:t>provides that</w:t>
      </w:r>
      <w:r w:rsidRPr="00DD241B">
        <w:rPr>
          <w:bCs/>
        </w:rPr>
        <w:t>: (</w:t>
      </w:r>
      <w:r>
        <w:rPr>
          <w:bCs/>
          <w:lang w:val="en-US"/>
        </w:rPr>
        <w:t>a</w:t>
      </w:r>
      <w:r w:rsidRPr="00DD241B">
        <w:rPr>
          <w:bCs/>
        </w:rPr>
        <w:t xml:space="preserve">) </w:t>
      </w:r>
      <w:r>
        <w:rPr>
          <w:lang w:val="en-US"/>
        </w:rPr>
        <w:t>a</w:t>
      </w:r>
      <w:r w:rsidRPr="00DD241B">
        <w:t xml:space="preserve"> person who commits an unlawful act that can be attributed to him against another person must repair</w:t>
      </w:r>
      <w:r w:rsidRPr="00E56703">
        <w:t xml:space="preserve"> the damage that th</w:t>
      </w:r>
      <w:r>
        <w:rPr>
          <w:lang w:val="en-US"/>
        </w:rPr>
        <w:t>e</w:t>
      </w:r>
      <w:r w:rsidRPr="00E56703">
        <w:t xml:space="preserve"> other </w:t>
      </w:r>
      <w:r w:rsidRPr="00EB0DA4">
        <w:t>person</w:t>
      </w:r>
      <w:r w:rsidRPr="00E56703">
        <w:t xml:space="preserve"> has suffered as a result thereof</w:t>
      </w:r>
      <w:r>
        <w:rPr>
          <w:lang w:val="en-US"/>
        </w:rPr>
        <w:t>;</w:t>
      </w:r>
      <w:r w:rsidRPr="00E56703">
        <w:t xml:space="preserve"> </w:t>
      </w:r>
      <w:r w:rsidRPr="00E56703">
        <w:rPr>
          <w:bCs/>
        </w:rPr>
        <w:t>(</w:t>
      </w:r>
      <w:r>
        <w:rPr>
          <w:bCs/>
          <w:lang w:val="en-US"/>
        </w:rPr>
        <w:t>b</w:t>
      </w:r>
      <w:r w:rsidRPr="00E56703">
        <w:rPr>
          <w:bCs/>
        </w:rPr>
        <w:t xml:space="preserve">) </w:t>
      </w:r>
      <w:r w:rsidRPr="00E56703">
        <w:t xml:space="preserve">a tortious act is regarded </w:t>
      </w:r>
      <w:r>
        <w:rPr>
          <w:lang w:val="en-US"/>
        </w:rPr>
        <w:t xml:space="preserve">as </w:t>
      </w:r>
      <w:r w:rsidRPr="00E56703">
        <w:t>a violation of someone else’s right (entitlement) and an act or omission in violation of a duty imposed by law or of what according to unwritten law has to be regarded as proper social conduct, always as far as there was no justification for th</w:t>
      </w:r>
      <w:r>
        <w:rPr>
          <w:lang w:val="en-US"/>
        </w:rPr>
        <w:t>e</w:t>
      </w:r>
      <w:r w:rsidRPr="00E56703">
        <w:t xml:space="preserve"> behaviour</w:t>
      </w:r>
      <w:r>
        <w:rPr>
          <w:lang w:val="en-US"/>
        </w:rPr>
        <w:t>;</w:t>
      </w:r>
      <w:r w:rsidRPr="00E56703">
        <w:t xml:space="preserve"> </w:t>
      </w:r>
      <w:r w:rsidRPr="00E56703">
        <w:rPr>
          <w:bCs/>
        </w:rPr>
        <w:t>(</w:t>
      </w:r>
      <w:r>
        <w:rPr>
          <w:bCs/>
          <w:lang w:val="en-US"/>
        </w:rPr>
        <w:t>c</w:t>
      </w:r>
      <w:r w:rsidRPr="00E56703">
        <w:rPr>
          <w:bCs/>
        </w:rPr>
        <w:t>)</w:t>
      </w:r>
      <w:r w:rsidR="000059D0">
        <w:rPr>
          <w:bCs/>
        </w:rPr>
        <w:t> </w:t>
      </w:r>
      <w:r>
        <w:rPr>
          <w:lang w:val="en-US"/>
        </w:rPr>
        <w:t>a</w:t>
      </w:r>
      <w:r w:rsidR="000059D0">
        <w:t> </w:t>
      </w:r>
      <w:r w:rsidRPr="00E56703">
        <w:t>tortious act can be attributed to the person committing the tortious act if it results from his fault or from a cause for which he is accountable by virtue of law or generally accepted principles (common opinion).</w:t>
      </w:r>
    </w:p>
  </w:footnote>
  <w:footnote w:id="11">
    <w:p w14:paraId="7C3562E2" w14:textId="135162C1" w:rsidR="001E7F2D" w:rsidRPr="00F15147" w:rsidRDefault="001E7F2D" w:rsidP="00B249E7">
      <w:pPr>
        <w:pStyle w:val="FootnoteText"/>
        <w:rPr>
          <w:iCs/>
          <w:szCs w:val="18"/>
          <w:lang w:val="en-US"/>
        </w:rPr>
      </w:pPr>
      <w:r>
        <w:tab/>
      </w:r>
      <w:r w:rsidRPr="003710BE">
        <w:rPr>
          <w:rStyle w:val="FootnoteReference"/>
        </w:rPr>
        <w:footnoteRef/>
      </w:r>
      <w:r>
        <w:tab/>
      </w:r>
      <w:r w:rsidRPr="00F15147">
        <w:rPr>
          <w:szCs w:val="18"/>
          <w:lang w:val="en-US"/>
        </w:rPr>
        <w:t xml:space="preserve">See </w:t>
      </w:r>
      <w:r w:rsidRPr="00F15147">
        <w:rPr>
          <w:rStyle w:val="Emphasis"/>
          <w:i w:val="0"/>
          <w:iCs w:val="0"/>
          <w:szCs w:val="18"/>
        </w:rPr>
        <w:t>Committee</w:t>
      </w:r>
      <w:r w:rsidRPr="00F15147">
        <w:rPr>
          <w:rStyle w:val="preferred"/>
          <w:i/>
          <w:szCs w:val="18"/>
        </w:rPr>
        <w:t xml:space="preserve"> </w:t>
      </w:r>
      <w:r w:rsidRPr="00F15147">
        <w:rPr>
          <w:rStyle w:val="Emphasis"/>
          <w:i w:val="0"/>
          <w:iCs w:val="0"/>
          <w:szCs w:val="18"/>
        </w:rPr>
        <w:t>on</w:t>
      </w:r>
      <w:r w:rsidRPr="00F15147">
        <w:rPr>
          <w:rStyle w:val="preferred"/>
          <w:i/>
          <w:szCs w:val="18"/>
        </w:rPr>
        <w:t xml:space="preserve"> </w:t>
      </w:r>
      <w:r w:rsidRPr="00F15147">
        <w:rPr>
          <w:rStyle w:val="Emphasis"/>
          <w:i w:val="0"/>
          <w:iCs w:val="0"/>
          <w:szCs w:val="18"/>
        </w:rPr>
        <w:t>the</w:t>
      </w:r>
      <w:r w:rsidRPr="00F15147">
        <w:rPr>
          <w:rStyle w:val="preferred"/>
          <w:i/>
          <w:szCs w:val="18"/>
        </w:rPr>
        <w:t xml:space="preserve"> </w:t>
      </w:r>
      <w:r w:rsidRPr="00F15147">
        <w:rPr>
          <w:rStyle w:val="Emphasis"/>
          <w:i w:val="0"/>
          <w:iCs w:val="0"/>
          <w:szCs w:val="18"/>
        </w:rPr>
        <w:t>Elimination</w:t>
      </w:r>
      <w:r w:rsidRPr="00F15147">
        <w:rPr>
          <w:rStyle w:val="preferred"/>
          <w:i/>
          <w:szCs w:val="18"/>
        </w:rPr>
        <w:t xml:space="preserve"> </w:t>
      </w:r>
      <w:r w:rsidRPr="00F15147">
        <w:rPr>
          <w:rStyle w:val="Emphasis"/>
          <w:i w:val="0"/>
          <w:iCs w:val="0"/>
          <w:szCs w:val="18"/>
        </w:rPr>
        <w:t>of</w:t>
      </w:r>
      <w:r w:rsidRPr="00F15147">
        <w:rPr>
          <w:rStyle w:val="preferred"/>
          <w:i/>
          <w:szCs w:val="18"/>
        </w:rPr>
        <w:t xml:space="preserve"> </w:t>
      </w:r>
      <w:r w:rsidRPr="00F15147">
        <w:rPr>
          <w:rStyle w:val="Emphasis"/>
          <w:i w:val="0"/>
          <w:iCs w:val="0"/>
          <w:szCs w:val="18"/>
        </w:rPr>
        <w:t>Racial</w:t>
      </w:r>
      <w:r w:rsidRPr="00F15147">
        <w:rPr>
          <w:rStyle w:val="preferred"/>
          <w:i/>
          <w:szCs w:val="18"/>
        </w:rPr>
        <w:t xml:space="preserve"> </w:t>
      </w:r>
      <w:r w:rsidRPr="00F15147">
        <w:rPr>
          <w:rStyle w:val="Emphasis"/>
          <w:i w:val="0"/>
          <w:iCs w:val="0"/>
          <w:szCs w:val="18"/>
        </w:rPr>
        <w:t>Discrimination</w:t>
      </w:r>
      <w:r>
        <w:rPr>
          <w:rStyle w:val="Emphasis"/>
          <w:i w:val="0"/>
          <w:iCs w:val="0"/>
          <w:szCs w:val="18"/>
        </w:rPr>
        <w:t>,</w:t>
      </w:r>
      <w:r w:rsidRPr="00F15147" w:rsidDel="00817E97">
        <w:rPr>
          <w:szCs w:val="18"/>
        </w:rPr>
        <w:t xml:space="preserve"> </w:t>
      </w:r>
      <w:r w:rsidRPr="00F15147">
        <w:rPr>
          <w:szCs w:val="18"/>
          <w:lang w:val="en-US"/>
        </w:rPr>
        <w:t xml:space="preserve">communication No. 30/2003, </w:t>
      </w:r>
      <w:r w:rsidRPr="00F15147">
        <w:rPr>
          <w:i/>
          <w:iCs/>
          <w:szCs w:val="18"/>
        </w:rPr>
        <w:t>The</w:t>
      </w:r>
      <w:r w:rsidRPr="00F15147">
        <w:rPr>
          <w:szCs w:val="18"/>
        </w:rPr>
        <w:t xml:space="preserve"> </w:t>
      </w:r>
      <w:r w:rsidRPr="00F15147">
        <w:rPr>
          <w:i/>
          <w:szCs w:val="18"/>
        </w:rPr>
        <w:t>Jewish Community of Oslo et al. v. Norway</w:t>
      </w:r>
      <w:r w:rsidRPr="0090036F">
        <w:rPr>
          <w:iCs/>
          <w:szCs w:val="18"/>
          <w:lang w:val="en-US"/>
        </w:rPr>
        <w:t xml:space="preserve">, </w:t>
      </w:r>
      <w:r w:rsidRPr="00F15147">
        <w:rPr>
          <w:szCs w:val="18"/>
        </w:rPr>
        <w:t>Views adopted on 1</w:t>
      </w:r>
      <w:r w:rsidRPr="00F15147">
        <w:rPr>
          <w:szCs w:val="18"/>
          <w:lang w:val="en-US"/>
        </w:rPr>
        <w:t>5</w:t>
      </w:r>
      <w:r w:rsidRPr="00F15147">
        <w:rPr>
          <w:szCs w:val="18"/>
        </w:rPr>
        <w:t xml:space="preserve"> </w:t>
      </w:r>
      <w:r w:rsidRPr="00F15147">
        <w:rPr>
          <w:szCs w:val="18"/>
          <w:lang w:val="en-US"/>
        </w:rPr>
        <w:t>August</w:t>
      </w:r>
      <w:r w:rsidRPr="00F15147">
        <w:rPr>
          <w:szCs w:val="18"/>
        </w:rPr>
        <w:t xml:space="preserve"> 200</w:t>
      </w:r>
      <w:r w:rsidRPr="00F15147">
        <w:rPr>
          <w:szCs w:val="18"/>
          <w:lang w:val="en-US"/>
        </w:rPr>
        <w:t>5.</w:t>
      </w:r>
    </w:p>
  </w:footnote>
  <w:footnote w:id="12">
    <w:p w14:paraId="0AEE3BA7" w14:textId="65CF52CE" w:rsidR="001E7F2D" w:rsidRPr="00DD241B" w:rsidRDefault="001E7F2D" w:rsidP="00B249E7">
      <w:pPr>
        <w:pStyle w:val="FootnoteText"/>
      </w:pPr>
      <w:r w:rsidRPr="00E56703">
        <w:tab/>
      </w:r>
      <w:r w:rsidRPr="003710BE">
        <w:rPr>
          <w:rStyle w:val="FootnoteReference"/>
        </w:rPr>
        <w:footnoteRef/>
      </w:r>
      <w:r>
        <w:tab/>
      </w:r>
      <w:r w:rsidRPr="003C139D">
        <w:rPr>
          <w:lang w:val="en-US"/>
        </w:rPr>
        <w:t>See c</w:t>
      </w:r>
      <w:r w:rsidRPr="003C139D">
        <w:t xml:space="preserve">ommunication No. 1868/2009, </w:t>
      </w:r>
      <w:r w:rsidRPr="003C139D">
        <w:rPr>
          <w:i/>
        </w:rPr>
        <w:t>Andersen v. Denmark</w:t>
      </w:r>
      <w:r w:rsidRPr="003C139D">
        <w:t xml:space="preserve">, decision </w:t>
      </w:r>
      <w:r w:rsidRPr="003C139D">
        <w:rPr>
          <w:lang w:val="en-US"/>
        </w:rPr>
        <w:t>of i</w:t>
      </w:r>
      <w:r w:rsidRPr="003C139D">
        <w:t xml:space="preserve">nadmissibility </w:t>
      </w:r>
      <w:r w:rsidRPr="003C139D">
        <w:rPr>
          <w:lang w:val="en-US"/>
        </w:rPr>
        <w:t>adopted</w:t>
      </w:r>
      <w:r w:rsidRPr="003C139D">
        <w:t xml:space="preserve"> </w:t>
      </w:r>
      <w:r w:rsidRPr="003C139D">
        <w:rPr>
          <w:lang w:val="en-US"/>
        </w:rPr>
        <w:t xml:space="preserve">on </w:t>
      </w:r>
      <w:r w:rsidRPr="003C139D">
        <w:t>26</w:t>
      </w:r>
      <w:r w:rsidR="000059D0">
        <w:t> </w:t>
      </w:r>
      <w:r w:rsidRPr="003C139D">
        <w:t>July 2010, para. 6.4.</w:t>
      </w:r>
    </w:p>
  </w:footnote>
  <w:footnote w:id="13">
    <w:p w14:paraId="7AD4E50F" w14:textId="51ED2117" w:rsidR="001E7F2D" w:rsidRPr="00961E87" w:rsidRDefault="001E7F2D" w:rsidP="00B249E7">
      <w:pPr>
        <w:pStyle w:val="FootnoteText"/>
      </w:pPr>
      <w:r>
        <w:tab/>
      </w:r>
      <w:r w:rsidRPr="003710BE">
        <w:rPr>
          <w:rStyle w:val="FootnoteReference"/>
        </w:rPr>
        <w:footnoteRef/>
      </w:r>
      <w:r>
        <w:tab/>
      </w:r>
      <w:r>
        <w:rPr>
          <w:lang w:val="en-US"/>
        </w:rPr>
        <w:t>See c</w:t>
      </w:r>
      <w:r w:rsidRPr="00961E87">
        <w:rPr>
          <w:szCs w:val="18"/>
        </w:rPr>
        <w:t xml:space="preserve">ommunication No. 437/1990, </w:t>
      </w:r>
      <w:r w:rsidRPr="00AE25A8">
        <w:rPr>
          <w:i/>
          <w:szCs w:val="18"/>
        </w:rPr>
        <w:t>P</w:t>
      </w:r>
      <w:r>
        <w:rPr>
          <w:i/>
          <w:szCs w:val="18"/>
          <w:lang w:val="en-US"/>
        </w:rPr>
        <w:t>atiño</w:t>
      </w:r>
      <w:r w:rsidRPr="00AE25A8">
        <w:rPr>
          <w:i/>
          <w:szCs w:val="18"/>
        </w:rPr>
        <w:t xml:space="preserve"> v. Panama</w:t>
      </w:r>
      <w:r w:rsidRPr="00961E87">
        <w:rPr>
          <w:szCs w:val="18"/>
        </w:rPr>
        <w:t xml:space="preserve">, decision </w:t>
      </w:r>
      <w:r>
        <w:rPr>
          <w:szCs w:val="18"/>
          <w:lang w:val="en-US"/>
        </w:rPr>
        <w:t>of i</w:t>
      </w:r>
      <w:r w:rsidRPr="00961E87">
        <w:rPr>
          <w:szCs w:val="18"/>
        </w:rPr>
        <w:t xml:space="preserve">nadmissibility </w:t>
      </w:r>
      <w:r w:rsidR="00B249E7">
        <w:rPr>
          <w:szCs w:val="18"/>
        </w:rPr>
        <w:t>adopted on 21 </w:t>
      </w:r>
      <w:r w:rsidRPr="00961E87">
        <w:rPr>
          <w:szCs w:val="18"/>
        </w:rPr>
        <w:t>October 1994, para</w:t>
      </w:r>
      <w:r w:rsidRPr="00F15147">
        <w:rPr>
          <w:szCs w:val="18"/>
        </w:rPr>
        <w:t>.</w:t>
      </w:r>
      <w:r w:rsidRPr="00961E87">
        <w:rPr>
          <w:szCs w:val="18"/>
        </w:rPr>
        <w:t xml:space="preserve"> 5.2.</w:t>
      </w:r>
    </w:p>
  </w:footnote>
  <w:footnote w:id="14">
    <w:p w14:paraId="4F72A2C8" w14:textId="45A7ACE7" w:rsidR="001E7F2D" w:rsidRPr="00F15147" w:rsidRDefault="001E7F2D" w:rsidP="00B249E7">
      <w:pPr>
        <w:pStyle w:val="FootnoteText"/>
      </w:pPr>
      <w:r w:rsidRPr="00462DE6">
        <w:tab/>
      </w:r>
      <w:r w:rsidRPr="003710BE">
        <w:rPr>
          <w:rStyle w:val="FootnoteReference"/>
        </w:rPr>
        <w:footnoteRef/>
      </w:r>
      <w:r>
        <w:t xml:space="preserve"> </w:t>
      </w:r>
      <w:r w:rsidRPr="00462DE6">
        <w:tab/>
      </w:r>
      <w:r>
        <w:t xml:space="preserve">See </w:t>
      </w:r>
      <w:r w:rsidRPr="00F15147">
        <w:rPr>
          <w:i/>
        </w:rPr>
        <w:t xml:space="preserve">Andersen v. Denmark, </w:t>
      </w:r>
      <w:r w:rsidRPr="00F15147">
        <w:t>para. 6.3.</w:t>
      </w:r>
    </w:p>
  </w:footnote>
  <w:footnote w:id="15">
    <w:p w14:paraId="2AD578C4" w14:textId="043004D8" w:rsidR="001E7F2D" w:rsidRPr="00714A7B" w:rsidRDefault="001E7F2D" w:rsidP="00B249E7">
      <w:pPr>
        <w:pStyle w:val="FootnoteText"/>
        <w:rPr>
          <w:lang w:val="en-US"/>
        </w:rPr>
      </w:pPr>
      <w:r>
        <w:rPr>
          <w:i/>
        </w:rPr>
        <w:tab/>
      </w:r>
      <w:r w:rsidRPr="003710BE">
        <w:rPr>
          <w:rStyle w:val="FootnoteReference"/>
        </w:rPr>
        <w:footnoteRef/>
      </w:r>
      <w:r>
        <w:rPr>
          <w:i/>
        </w:rPr>
        <w:tab/>
      </w:r>
      <w:r>
        <w:rPr>
          <w:iCs/>
          <w:lang w:val="en-US"/>
        </w:rPr>
        <w:t xml:space="preserve">See </w:t>
      </w:r>
      <w:r w:rsidRPr="00F15147">
        <w:t xml:space="preserve">communication No. 35/1978, </w:t>
      </w:r>
      <w:r w:rsidRPr="00F15147">
        <w:rPr>
          <w:i/>
          <w:iCs/>
        </w:rPr>
        <w:t>Aumeeruddy-Cziffra et al. v. Mauritius</w:t>
      </w:r>
      <w:r w:rsidRPr="00F15147">
        <w:t>, Views adopted on 9 April 1981,</w:t>
      </w:r>
      <w:r>
        <w:t xml:space="preserve"> para. 9.1. </w:t>
      </w:r>
    </w:p>
  </w:footnote>
  <w:footnote w:id="16">
    <w:p w14:paraId="5A86C2E1" w14:textId="1B41339A" w:rsidR="001E7F2D" w:rsidRPr="00A0010D" w:rsidRDefault="001E7F2D" w:rsidP="00B249E7">
      <w:pPr>
        <w:pStyle w:val="FootnoteText"/>
      </w:pPr>
      <w:r>
        <w:rPr>
          <w:i/>
          <w:lang w:val="en-US"/>
        </w:rPr>
        <w:tab/>
      </w:r>
      <w:r w:rsidRPr="003710BE">
        <w:rPr>
          <w:rStyle w:val="FootnoteReference"/>
        </w:rPr>
        <w:footnoteRef/>
      </w:r>
      <w:r w:rsidRPr="002B2068">
        <w:rPr>
          <w:i/>
        </w:rPr>
        <w:tab/>
      </w:r>
      <w:r>
        <w:t xml:space="preserve">See </w:t>
      </w:r>
      <w:r w:rsidRPr="002B2068">
        <w:rPr>
          <w:i/>
        </w:rPr>
        <w:t>Andersen v Denmark</w:t>
      </w:r>
      <w:r>
        <w:rPr>
          <w:rStyle w:val="style4"/>
        </w:rPr>
        <w:t xml:space="preserve">, </w:t>
      </w:r>
      <w:r>
        <w:t>para. 6.4</w:t>
      </w:r>
      <w:r>
        <w:rPr>
          <w:lang w:val="en-US"/>
        </w:rPr>
        <w:t>, and c</w:t>
      </w:r>
      <w:r w:rsidRPr="00A0010D">
        <w:t xml:space="preserve">ommunication No. 1879/2009, </w:t>
      </w:r>
      <w:r w:rsidRPr="00396D82">
        <w:rPr>
          <w:i/>
        </w:rPr>
        <w:t>A.W.P. v. Denmark</w:t>
      </w:r>
      <w:r w:rsidRPr="00A0010D">
        <w:t xml:space="preserve">, </w:t>
      </w:r>
      <w:r w:rsidRPr="00D60826">
        <w:t>Views</w:t>
      </w:r>
      <w:r w:rsidR="0033228B">
        <w:t xml:space="preserve"> </w:t>
      </w:r>
      <w:r w:rsidRPr="00A0010D">
        <w:t xml:space="preserve">adopted </w:t>
      </w:r>
      <w:r>
        <w:rPr>
          <w:lang w:val="en-US"/>
        </w:rPr>
        <w:t xml:space="preserve">on </w:t>
      </w:r>
      <w:r w:rsidRPr="00A0010D">
        <w:t>1 November 2013, para.</w:t>
      </w:r>
      <w:r>
        <w:t xml:space="preserve"> </w:t>
      </w:r>
      <w:r w:rsidRPr="00A0010D">
        <w:t>6.4.</w:t>
      </w:r>
    </w:p>
  </w:footnote>
  <w:footnote w:id="17">
    <w:p w14:paraId="7EEF1D1B" w14:textId="5E069FAC" w:rsidR="001E7F2D" w:rsidRPr="00714A7B" w:rsidRDefault="001E7F2D" w:rsidP="00B249E7">
      <w:pPr>
        <w:pStyle w:val="FootnoteText"/>
        <w:rPr>
          <w:lang w:val="en-US"/>
        </w:rPr>
      </w:pPr>
      <w:r>
        <w:tab/>
      </w:r>
      <w:r w:rsidRPr="003710BE">
        <w:rPr>
          <w:rStyle w:val="FootnoteReference"/>
        </w:rPr>
        <w:footnoteRef/>
      </w:r>
      <w:r>
        <w:tab/>
        <w:t>See c</w:t>
      </w:r>
      <w:r w:rsidRPr="00D60826">
        <w:t xml:space="preserve">ommunication No. 359/1989, </w:t>
      </w:r>
      <w:r w:rsidRPr="00D60826">
        <w:rPr>
          <w:i/>
        </w:rPr>
        <w:t>Ballantyne et al. v. Canada</w:t>
      </w:r>
      <w:r w:rsidRPr="00D60826">
        <w:t xml:space="preserve">, Views adopted </w:t>
      </w:r>
      <w:r>
        <w:t xml:space="preserve">on </w:t>
      </w:r>
      <w:r w:rsidRPr="00D60826">
        <w:t xml:space="preserve">31 March 1993, </w:t>
      </w:r>
      <w:r>
        <w:t>para. 10.4.</w:t>
      </w:r>
    </w:p>
  </w:footnote>
  <w:footnote w:id="18">
    <w:p w14:paraId="363CA02D" w14:textId="4853B9E8" w:rsidR="001E7F2D" w:rsidRPr="00D60826" w:rsidRDefault="001E7F2D" w:rsidP="00B249E7">
      <w:pPr>
        <w:pStyle w:val="FootnoteText"/>
      </w:pPr>
      <w:r>
        <w:rPr>
          <w:bCs/>
        </w:rPr>
        <w:tab/>
      </w:r>
      <w:r w:rsidRPr="003710BE">
        <w:rPr>
          <w:rStyle w:val="FootnoteReference"/>
        </w:rPr>
        <w:footnoteRef/>
      </w:r>
      <w:r>
        <w:rPr>
          <w:bCs/>
        </w:rPr>
        <w:tab/>
      </w:r>
      <w:r>
        <w:t>See c</w:t>
      </w:r>
      <w:r w:rsidRPr="00714A7B">
        <w:rPr>
          <w:bCs/>
        </w:rPr>
        <w:t xml:space="preserve">ommunication No. 488/1992, </w:t>
      </w:r>
      <w:r w:rsidRPr="00396D82">
        <w:rPr>
          <w:i/>
          <w:lang w:val="en-US"/>
        </w:rPr>
        <w:t>Toonen v</w:t>
      </w:r>
      <w:r>
        <w:rPr>
          <w:i/>
          <w:lang w:val="en-US"/>
        </w:rPr>
        <w:t>.</w:t>
      </w:r>
      <w:r w:rsidRPr="00396D82">
        <w:rPr>
          <w:i/>
          <w:lang w:val="en-US"/>
        </w:rPr>
        <w:t xml:space="preserve"> Australia</w:t>
      </w:r>
      <w:r>
        <w:rPr>
          <w:lang w:val="en-US"/>
        </w:rPr>
        <w:t xml:space="preserve">, Views adopted on 31 March 1994, paras. </w:t>
      </w:r>
      <w:r w:rsidRPr="00D60826">
        <w:t>2.5-2.6</w:t>
      </w:r>
      <w:r>
        <w:t xml:space="preserve"> and</w:t>
      </w:r>
      <w:r w:rsidRPr="00D60826">
        <w:t xml:space="preserve"> 5.1.</w:t>
      </w:r>
    </w:p>
  </w:footnote>
  <w:footnote w:id="19">
    <w:p w14:paraId="4ED9B27E" w14:textId="7F32EAAD" w:rsidR="001E7F2D" w:rsidRPr="002B2068" w:rsidRDefault="001E7F2D" w:rsidP="00B249E7">
      <w:pPr>
        <w:pStyle w:val="FootnoteText"/>
      </w:pPr>
      <w:r w:rsidRPr="00D60826">
        <w:tab/>
      </w:r>
      <w:r w:rsidRPr="003710BE">
        <w:rPr>
          <w:rStyle w:val="FootnoteReference"/>
        </w:rPr>
        <w:footnoteRef/>
      </w:r>
      <w:r w:rsidRPr="00D60826">
        <w:tab/>
      </w:r>
      <w:r>
        <w:t>See the Committee’s g</w:t>
      </w:r>
      <w:r w:rsidRPr="00D60826">
        <w:t xml:space="preserve">eneral </w:t>
      </w:r>
      <w:r>
        <w:t>c</w:t>
      </w:r>
      <w:r w:rsidRPr="00D60826">
        <w:t>omment No. 34</w:t>
      </w:r>
      <w:r>
        <w:t xml:space="preserve"> (2011)</w:t>
      </w:r>
      <w:r w:rsidRPr="00D60826">
        <w:t xml:space="preserve"> </w:t>
      </w:r>
      <w:r>
        <w:t xml:space="preserve">on the freedoms of opinion and expression, </w:t>
      </w:r>
      <w:r w:rsidRPr="00D60826">
        <w:t xml:space="preserve">paras. </w:t>
      </w:r>
      <w:r w:rsidRPr="002B2068">
        <w:t>51-52.</w:t>
      </w:r>
    </w:p>
  </w:footnote>
  <w:footnote w:id="20">
    <w:p w14:paraId="0AAC1896" w14:textId="2607E81B" w:rsidR="001E7F2D" w:rsidRPr="00D60826" w:rsidRDefault="001E7F2D" w:rsidP="00B249E7">
      <w:pPr>
        <w:pStyle w:val="FootnoteText"/>
      </w:pPr>
      <w:r w:rsidRPr="00462DE6">
        <w:tab/>
      </w:r>
      <w:r w:rsidRPr="003710BE">
        <w:rPr>
          <w:rStyle w:val="FootnoteReference"/>
        </w:rPr>
        <w:footnoteRef/>
      </w:r>
      <w:r>
        <w:t xml:space="preserve"> </w:t>
      </w:r>
      <w:r w:rsidRPr="00462DE6">
        <w:tab/>
      </w:r>
      <w:r>
        <w:t>See c</w:t>
      </w:r>
      <w:r w:rsidRPr="00D60826">
        <w:t xml:space="preserve">ommunication No. 1570/2007, </w:t>
      </w:r>
      <w:r w:rsidRPr="00D60826">
        <w:rPr>
          <w:i/>
        </w:rPr>
        <w:t>Vassilari et al. v. Greece</w:t>
      </w:r>
      <w:r w:rsidRPr="00D60826">
        <w:t xml:space="preserve">, Views adopted </w:t>
      </w:r>
      <w:r>
        <w:t xml:space="preserve">on </w:t>
      </w:r>
      <w:r w:rsidRPr="00D60826">
        <w:t>19 March 2009</w:t>
      </w:r>
      <w:r>
        <w:t>,</w:t>
      </w:r>
      <w:r w:rsidRPr="00D60826">
        <w:t xml:space="preserve"> </w:t>
      </w:r>
      <w:r>
        <w:t>appendix, para. 1.</w:t>
      </w:r>
    </w:p>
  </w:footnote>
  <w:footnote w:id="21">
    <w:p w14:paraId="79079D4E" w14:textId="2A111CCD" w:rsidR="001E7F2D" w:rsidRPr="00F15147" w:rsidRDefault="001E7F2D" w:rsidP="00B249E7">
      <w:pPr>
        <w:pStyle w:val="FootnoteText"/>
      </w:pPr>
      <w:r w:rsidRPr="00462DE6">
        <w:tab/>
      </w:r>
      <w:r w:rsidRPr="003710BE">
        <w:rPr>
          <w:rStyle w:val="FootnoteReference"/>
        </w:rPr>
        <w:footnoteRef/>
      </w:r>
      <w:r>
        <w:t xml:space="preserve"> </w:t>
      </w:r>
      <w:r w:rsidRPr="00462DE6">
        <w:tab/>
      </w:r>
      <w:r>
        <w:t>See c</w:t>
      </w:r>
      <w:r w:rsidRPr="00D60826">
        <w:t xml:space="preserve">ommunication No. 213/1986, </w:t>
      </w:r>
      <w:r w:rsidRPr="00D60826">
        <w:rPr>
          <w:i/>
        </w:rPr>
        <w:t>H.C.M.A. v. The Netherlands</w:t>
      </w:r>
      <w:r w:rsidRPr="00D60826">
        <w:t xml:space="preserve">, decision </w:t>
      </w:r>
      <w:r>
        <w:t>of i</w:t>
      </w:r>
      <w:r w:rsidRPr="00D60826">
        <w:t xml:space="preserve">nadmissibility adopted </w:t>
      </w:r>
      <w:r>
        <w:t xml:space="preserve">on </w:t>
      </w:r>
      <w:r w:rsidRPr="00D60826">
        <w:t xml:space="preserve">30 March 1989, para. </w:t>
      </w:r>
      <w:r w:rsidRPr="00F15147">
        <w:t>11.6.</w:t>
      </w:r>
    </w:p>
  </w:footnote>
  <w:footnote w:id="22">
    <w:p w14:paraId="518F4B13" w14:textId="62995CB1" w:rsidR="001E7F2D" w:rsidRPr="00F15147" w:rsidRDefault="001E7F2D" w:rsidP="00B249E7">
      <w:pPr>
        <w:pStyle w:val="FootnoteText"/>
      </w:pPr>
      <w:r w:rsidRPr="00462DE6">
        <w:tab/>
      </w:r>
      <w:r w:rsidRPr="003710BE">
        <w:rPr>
          <w:rStyle w:val="FootnoteReference"/>
        </w:rPr>
        <w:footnoteRef/>
      </w:r>
      <w:r>
        <w:t xml:space="preserve"> </w:t>
      </w:r>
      <w:r w:rsidRPr="00462DE6">
        <w:tab/>
      </w:r>
      <w:r w:rsidRPr="00F15147">
        <w:t xml:space="preserve">See </w:t>
      </w:r>
      <w:r w:rsidRPr="003A7B49">
        <w:rPr>
          <w:szCs w:val="18"/>
          <w:lang w:val="en-US"/>
        </w:rPr>
        <w:t xml:space="preserve">the Committee’s </w:t>
      </w:r>
      <w:r w:rsidRPr="00F15147">
        <w:t>g</w:t>
      </w:r>
      <w:r w:rsidRPr="003A7B49">
        <w:t xml:space="preserve">eneral </w:t>
      </w:r>
      <w:r w:rsidRPr="00F15147">
        <w:t>c</w:t>
      </w:r>
      <w:r w:rsidRPr="00462DE6">
        <w:t xml:space="preserve">omment No. 34, </w:t>
      </w:r>
      <w:r w:rsidRPr="00F15147">
        <w:t>para. 51.</w:t>
      </w:r>
    </w:p>
  </w:footnote>
  <w:footnote w:id="23">
    <w:p w14:paraId="1D73E492" w14:textId="0722701A" w:rsidR="001E7F2D" w:rsidRPr="00F15147" w:rsidRDefault="001E7F2D" w:rsidP="00B249E7">
      <w:pPr>
        <w:pStyle w:val="FootnoteText"/>
      </w:pPr>
      <w:r w:rsidRPr="00462DE6">
        <w:tab/>
      </w:r>
      <w:r w:rsidRPr="003710BE">
        <w:rPr>
          <w:rStyle w:val="FootnoteReference"/>
        </w:rPr>
        <w:footnoteRef/>
      </w:r>
      <w:r>
        <w:t xml:space="preserve"> </w:t>
      </w:r>
      <w:r w:rsidRPr="00462DE6">
        <w:tab/>
      </w:r>
      <w:r>
        <w:t>Ibid.</w:t>
      </w:r>
      <w:r w:rsidRPr="00F15147">
        <w:t>, para. 52.</w:t>
      </w:r>
    </w:p>
  </w:footnote>
  <w:footnote w:id="24">
    <w:p w14:paraId="0D3B8521" w14:textId="47D781DA" w:rsidR="001E7F2D" w:rsidRPr="00D60826" w:rsidRDefault="001E7F2D" w:rsidP="00B249E7">
      <w:pPr>
        <w:pStyle w:val="FootnoteText"/>
        <w:rPr>
          <w:lang w:val="es-ES_tradnl"/>
        </w:rPr>
      </w:pPr>
      <w:r w:rsidRPr="00F15147">
        <w:tab/>
      </w:r>
      <w:r w:rsidRPr="003710BE">
        <w:rPr>
          <w:rStyle w:val="FootnoteReference"/>
        </w:rPr>
        <w:footnoteRef/>
      </w:r>
      <w:r w:rsidRPr="00F15147">
        <w:rPr>
          <w:i/>
        </w:rPr>
        <w:tab/>
      </w:r>
      <w:r>
        <w:t>Ibid.</w:t>
      </w:r>
      <w:r w:rsidRPr="00F15147">
        <w:t xml:space="preserve">, para. </w:t>
      </w:r>
      <w:r>
        <w:rPr>
          <w:lang w:val="es-ES_tradnl"/>
        </w:rPr>
        <w:t>11.</w:t>
      </w:r>
    </w:p>
  </w:footnote>
  <w:footnote w:id="25">
    <w:p w14:paraId="3D1C6361" w14:textId="1D14A1CC" w:rsidR="001E7F2D" w:rsidRPr="00F15147" w:rsidRDefault="001E7F2D" w:rsidP="00B249E7">
      <w:pPr>
        <w:pStyle w:val="FootnoteText"/>
        <w:rPr>
          <w:lang w:val="es-ES_tradnl"/>
        </w:rPr>
      </w:pPr>
      <w:r w:rsidRPr="00F15147">
        <w:rPr>
          <w:lang w:val="es-ES"/>
        </w:rPr>
        <w:tab/>
      </w:r>
      <w:r w:rsidRPr="003710BE">
        <w:rPr>
          <w:rStyle w:val="FootnoteReference"/>
        </w:rPr>
        <w:footnoteRef/>
      </w:r>
      <w:r w:rsidRPr="00F15147">
        <w:rPr>
          <w:lang w:val="es-ES"/>
        </w:rPr>
        <w:t xml:space="preserve"> </w:t>
      </w:r>
      <w:r w:rsidRPr="00F15147">
        <w:rPr>
          <w:lang w:val="es-ES"/>
        </w:rPr>
        <w:tab/>
        <w:t xml:space="preserve">Ibid., para. </w:t>
      </w:r>
      <w:r w:rsidRPr="00D60826">
        <w:rPr>
          <w:lang w:val="es-ES_tradnl"/>
        </w:rPr>
        <w:t>20.</w:t>
      </w:r>
    </w:p>
  </w:footnote>
  <w:footnote w:id="26">
    <w:p w14:paraId="3EB8D115" w14:textId="75CD58A7" w:rsidR="001E7F2D" w:rsidRPr="00F15147" w:rsidRDefault="001E7F2D" w:rsidP="00B249E7">
      <w:pPr>
        <w:pStyle w:val="FootnoteText"/>
        <w:rPr>
          <w:lang w:val="es-ES_tradnl"/>
        </w:rPr>
      </w:pPr>
      <w:r w:rsidRPr="00F15147">
        <w:rPr>
          <w:lang w:val="es-ES"/>
        </w:rPr>
        <w:tab/>
      </w:r>
      <w:r w:rsidRPr="003710BE">
        <w:rPr>
          <w:rStyle w:val="FootnoteReference"/>
        </w:rPr>
        <w:footnoteRef/>
      </w:r>
      <w:r w:rsidRPr="00F15147">
        <w:rPr>
          <w:lang w:val="es-ES"/>
        </w:rPr>
        <w:t xml:space="preserve"> </w:t>
      </w:r>
      <w:r w:rsidRPr="00F15147">
        <w:rPr>
          <w:lang w:val="es-ES"/>
        </w:rPr>
        <w:tab/>
        <w:t xml:space="preserve">Ibid., para. </w:t>
      </w:r>
      <w:r>
        <w:rPr>
          <w:lang w:val="es-ES_tradnl"/>
        </w:rPr>
        <w:t>48.</w:t>
      </w:r>
    </w:p>
  </w:footnote>
  <w:footnote w:id="27">
    <w:p w14:paraId="659CEF25" w14:textId="3392C5B2" w:rsidR="001E7F2D" w:rsidRPr="006D1957" w:rsidRDefault="001E7F2D" w:rsidP="00B249E7">
      <w:pPr>
        <w:pStyle w:val="FootnoteText"/>
        <w:rPr>
          <w:lang w:val="es-ES"/>
        </w:rPr>
      </w:pPr>
      <w:r w:rsidRPr="00F15147">
        <w:rPr>
          <w:lang w:val="es-ES"/>
        </w:rPr>
        <w:tab/>
      </w:r>
      <w:r w:rsidRPr="003710BE">
        <w:rPr>
          <w:rStyle w:val="FootnoteReference"/>
        </w:rPr>
        <w:footnoteRef/>
      </w:r>
      <w:r w:rsidRPr="00F15147">
        <w:rPr>
          <w:lang w:val="es-ES"/>
        </w:rPr>
        <w:t xml:space="preserve"> </w:t>
      </w:r>
      <w:r w:rsidRPr="00F15147">
        <w:rPr>
          <w:lang w:val="es-ES"/>
        </w:rPr>
        <w:tab/>
        <w:t>Ibid., para. 48.</w:t>
      </w:r>
    </w:p>
  </w:footnote>
  <w:footnote w:id="28">
    <w:p w14:paraId="415E2D92" w14:textId="6EB067BC" w:rsidR="001E7F2D" w:rsidRPr="00F15147" w:rsidRDefault="001E7F2D" w:rsidP="00B249E7">
      <w:pPr>
        <w:pStyle w:val="FootnoteText"/>
        <w:rPr>
          <w:lang w:val="es-ES_tradnl"/>
        </w:rPr>
      </w:pPr>
      <w:r w:rsidRPr="00F15147">
        <w:rPr>
          <w:lang w:val="es-ES"/>
        </w:rPr>
        <w:tab/>
      </w:r>
      <w:r w:rsidRPr="003710BE">
        <w:rPr>
          <w:rStyle w:val="FootnoteReference"/>
        </w:rPr>
        <w:footnoteRef/>
      </w:r>
      <w:r w:rsidRPr="00F15147">
        <w:rPr>
          <w:lang w:val="es-ES"/>
        </w:rPr>
        <w:t xml:space="preserve"> </w:t>
      </w:r>
      <w:r w:rsidRPr="00F15147">
        <w:rPr>
          <w:lang w:val="es-ES"/>
        </w:rPr>
        <w:tab/>
        <w:t xml:space="preserve">Ibid., para. </w:t>
      </w:r>
      <w:r>
        <w:rPr>
          <w:lang w:val="es-ES_tradnl"/>
        </w:rPr>
        <w:t>50.</w:t>
      </w:r>
    </w:p>
  </w:footnote>
  <w:footnote w:id="29">
    <w:p w14:paraId="2D138294" w14:textId="3247863C" w:rsidR="001E7F2D" w:rsidRPr="00F15147" w:rsidRDefault="001E7F2D" w:rsidP="00B249E7">
      <w:pPr>
        <w:pStyle w:val="FootnoteText"/>
        <w:rPr>
          <w:lang w:val="en-US"/>
        </w:rPr>
      </w:pPr>
      <w:r w:rsidRPr="00F15147">
        <w:rPr>
          <w:lang w:val="es-ES"/>
        </w:rPr>
        <w:tab/>
      </w:r>
      <w:r w:rsidRPr="003710BE">
        <w:rPr>
          <w:rStyle w:val="FootnoteReference"/>
        </w:rPr>
        <w:footnoteRef/>
      </w:r>
      <w:r w:rsidRPr="00F15147">
        <w:rPr>
          <w:lang w:val="en-US"/>
        </w:rPr>
        <w:t xml:space="preserve"> </w:t>
      </w:r>
      <w:r w:rsidRPr="00F15147">
        <w:rPr>
          <w:lang w:val="en-US"/>
        </w:rPr>
        <w:tab/>
        <w:t>Ibid., para. 48. See also paras. 50 and 52.</w:t>
      </w:r>
    </w:p>
  </w:footnote>
  <w:footnote w:id="30">
    <w:p w14:paraId="5E032ACF" w14:textId="5E264223" w:rsidR="001E7F2D" w:rsidRPr="002B2068" w:rsidRDefault="001E7F2D" w:rsidP="00B249E7">
      <w:pPr>
        <w:pStyle w:val="FootnoteText"/>
        <w:rPr>
          <w:lang w:val="es-ES"/>
        </w:rPr>
      </w:pPr>
      <w:r w:rsidRPr="00F15147">
        <w:rPr>
          <w:lang w:val="en-US"/>
        </w:rPr>
        <w:tab/>
      </w:r>
      <w:r w:rsidRPr="003710BE">
        <w:rPr>
          <w:rStyle w:val="FootnoteReference"/>
        </w:rPr>
        <w:footnoteRef/>
      </w:r>
      <w:r w:rsidRPr="00F15147">
        <w:rPr>
          <w:lang w:val="es-ES"/>
        </w:rPr>
        <w:t xml:space="preserve"> </w:t>
      </w:r>
      <w:r w:rsidRPr="00F15147">
        <w:rPr>
          <w:lang w:val="es-ES"/>
        </w:rPr>
        <w:tab/>
        <w:t>Ibid., para. 22.</w:t>
      </w:r>
    </w:p>
  </w:footnote>
  <w:footnote w:id="31">
    <w:p w14:paraId="2B83F932" w14:textId="7FB8D0D0" w:rsidR="001E7F2D" w:rsidRPr="00F15147" w:rsidRDefault="001E7F2D" w:rsidP="00B249E7">
      <w:pPr>
        <w:pStyle w:val="FootnoteText"/>
        <w:rPr>
          <w:lang w:val="es-ES"/>
        </w:rPr>
      </w:pPr>
      <w:r w:rsidRPr="00F15147">
        <w:rPr>
          <w:lang w:val="es-ES"/>
        </w:rPr>
        <w:tab/>
      </w:r>
      <w:r w:rsidRPr="003710BE">
        <w:rPr>
          <w:rStyle w:val="FootnoteReference"/>
        </w:rPr>
        <w:footnoteRef/>
      </w:r>
      <w:r w:rsidRPr="00F15147">
        <w:rPr>
          <w:lang w:val="en-US"/>
        </w:rPr>
        <w:t xml:space="preserve"> </w:t>
      </w:r>
      <w:r w:rsidRPr="00F15147">
        <w:rPr>
          <w:lang w:val="en-US"/>
        </w:rPr>
        <w:tab/>
        <w:t xml:space="preserve">See </w:t>
      </w:r>
      <w:r w:rsidRPr="00F15147">
        <w:rPr>
          <w:i/>
          <w:lang w:val="en-US"/>
        </w:rPr>
        <w:t>Vassilari v. Greece</w:t>
      </w:r>
      <w:r w:rsidRPr="00F15147">
        <w:rPr>
          <w:lang w:val="en-US"/>
        </w:rPr>
        <w:t xml:space="preserve">, para. </w:t>
      </w:r>
      <w:r w:rsidRPr="00F15147">
        <w:rPr>
          <w:lang w:val="es-ES"/>
        </w:rPr>
        <w:t>7.2.</w:t>
      </w:r>
    </w:p>
  </w:footnote>
  <w:footnote w:id="32">
    <w:p w14:paraId="1B700AB8" w14:textId="03139CE6" w:rsidR="002E63AC" w:rsidRPr="002E63AC" w:rsidRDefault="002E63AC">
      <w:pPr>
        <w:pStyle w:val="FootnoteText"/>
        <w:rPr>
          <w:lang w:val="es-ES"/>
        </w:rPr>
      </w:pPr>
      <w:r>
        <w:tab/>
      </w:r>
      <w:r>
        <w:rPr>
          <w:rStyle w:val="FootnoteReference"/>
        </w:rPr>
        <w:footnoteRef/>
      </w:r>
      <w:r w:rsidRPr="002E63AC">
        <w:rPr>
          <w:lang w:val="es-ES"/>
        </w:rPr>
        <w:tab/>
      </w:r>
      <w:r w:rsidRPr="00F15147">
        <w:rPr>
          <w:lang w:val="es-ES"/>
        </w:rPr>
        <w:t xml:space="preserve">Por ejemplo, Observaciones Finales del Comité sobre Austria (2007) </w:t>
      </w:r>
      <w:r>
        <w:rPr>
          <w:lang w:val="es-ES"/>
        </w:rPr>
        <w:t>párr.</w:t>
      </w:r>
      <w:r w:rsidRPr="00F15147">
        <w:rPr>
          <w:lang w:val="es-ES"/>
        </w:rPr>
        <w:t xml:space="preserve"> 20; Suecia (2009), párr. 19; y Armenia (2012) </w:t>
      </w:r>
      <w:r>
        <w:rPr>
          <w:lang w:val="es-ES"/>
        </w:rPr>
        <w:t>párr.</w:t>
      </w:r>
      <w:r w:rsidRPr="00F15147">
        <w:rPr>
          <w:lang w:val="es-ES"/>
        </w:rPr>
        <w:t xml:space="preserve"> 6.</w:t>
      </w:r>
    </w:p>
  </w:footnote>
  <w:footnote w:id="33">
    <w:p w14:paraId="6E475DB3" w14:textId="427D2027" w:rsidR="002E63AC" w:rsidRPr="002E63AC" w:rsidRDefault="002E63AC">
      <w:pPr>
        <w:pStyle w:val="FootnoteText"/>
        <w:rPr>
          <w:lang w:val="es-ES"/>
        </w:rPr>
      </w:pPr>
      <w:r>
        <w:tab/>
      </w:r>
      <w:r>
        <w:rPr>
          <w:rStyle w:val="FootnoteReference"/>
        </w:rPr>
        <w:footnoteRef/>
      </w:r>
      <w:r w:rsidRPr="002E63AC">
        <w:rPr>
          <w:lang w:val="es-ES"/>
        </w:rPr>
        <w:tab/>
      </w:r>
      <w:r w:rsidRPr="00F15147">
        <w:rPr>
          <w:lang w:val="es-ES"/>
        </w:rPr>
        <w:t>Fundamentalmente en casos de “no devolución”.</w:t>
      </w:r>
    </w:p>
  </w:footnote>
  <w:footnote w:id="34">
    <w:p w14:paraId="3DD6E1A3" w14:textId="192FAD90" w:rsidR="004B68FC" w:rsidRPr="004B68FC" w:rsidRDefault="004B68FC">
      <w:pPr>
        <w:pStyle w:val="FootnoteText"/>
        <w:rPr>
          <w:lang w:val="en-US"/>
        </w:rPr>
      </w:pPr>
      <w:r>
        <w:tab/>
      </w:r>
      <w:r>
        <w:rPr>
          <w:rStyle w:val="FootnoteReference"/>
        </w:rPr>
        <w:footnoteRef/>
      </w:r>
      <w:r>
        <w:tab/>
      </w:r>
      <w:r w:rsidRPr="004B68FC">
        <w:rPr>
          <w:lang w:val="en-US"/>
        </w:rPr>
        <w:t xml:space="preserve">For support in the travaux préparatoires, see Marc Bossuyt, Guide </w:t>
      </w:r>
      <w:r w:rsidRPr="001E3A94">
        <w:t xml:space="preserve">to the </w:t>
      </w:r>
      <w:r>
        <w:t>“</w:t>
      </w:r>
      <w:r w:rsidRPr="001E3A94">
        <w:t>Travaux Préparatoires</w:t>
      </w:r>
      <w:r>
        <w:t>”</w:t>
      </w:r>
      <w:r w:rsidRPr="001E3A94">
        <w:t xml:space="preserve"> of the International Covenant on Civil and Political Rights (1987) 406 (“The view was expressed that states parties would be free to enact whatever legislation they deem appropriate to put the article into effect”).</w:t>
      </w:r>
    </w:p>
  </w:footnote>
  <w:footnote w:id="35">
    <w:p w14:paraId="107FE13A" w14:textId="62F07AC8" w:rsidR="00162BFE" w:rsidRPr="00162BFE" w:rsidRDefault="00162BFE">
      <w:pPr>
        <w:pStyle w:val="FootnoteText"/>
        <w:rPr>
          <w:lang w:val="fr-CH"/>
        </w:rPr>
      </w:pPr>
      <w:r>
        <w:tab/>
      </w:r>
      <w:r>
        <w:rPr>
          <w:rStyle w:val="FootnoteReference"/>
        </w:rPr>
        <w:footnoteRef/>
      </w:r>
      <w:r>
        <w:tab/>
      </w:r>
      <w:r w:rsidRPr="001E3A94">
        <w:t>See e.g., Comm. No. Poliakov v. Belarus, Views of the Committee of 17 July 2014, para. 7.4.</w:t>
      </w:r>
    </w:p>
  </w:footnote>
  <w:footnote w:id="36">
    <w:p w14:paraId="475ECB6B" w14:textId="5B7074EC" w:rsidR="00162BFE" w:rsidRPr="00162BFE" w:rsidRDefault="00162BFE">
      <w:pPr>
        <w:pStyle w:val="FootnoteText"/>
        <w:rPr>
          <w:lang w:val="en-US"/>
        </w:rPr>
      </w:pPr>
      <w:r>
        <w:tab/>
      </w:r>
      <w:r>
        <w:rPr>
          <w:rStyle w:val="FootnoteReference"/>
        </w:rPr>
        <w:footnoteRef/>
      </w:r>
      <w:r>
        <w:tab/>
      </w:r>
      <w:r w:rsidRPr="001E3A94">
        <w:t>For support in the travaux préparatoires, see supra note 1, at p. 407 [“[the article] contained no provision setting forth any particular right or freedom”].</w:t>
      </w:r>
    </w:p>
  </w:footnote>
  <w:footnote w:id="37">
    <w:p w14:paraId="7B8E1163" w14:textId="790FFF9E" w:rsidR="00A71B44" w:rsidRPr="00A71B44" w:rsidRDefault="00A71B44">
      <w:pPr>
        <w:pStyle w:val="FootnoteText"/>
        <w:rPr>
          <w:lang w:val="fr-CH"/>
        </w:rPr>
      </w:pPr>
      <w:r>
        <w:tab/>
      </w:r>
      <w:r>
        <w:rPr>
          <w:rStyle w:val="FootnoteReference"/>
        </w:rPr>
        <w:footnoteRef/>
      </w:r>
      <w:r>
        <w:tab/>
      </w:r>
      <w:r w:rsidRPr="001E3A94">
        <w:t>General Comment No. 34, Article 19: Freedoms of opinion and expression (2011), para. 11.</w:t>
      </w:r>
    </w:p>
  </w:footnote>
  <w:footnote w:id="38">
    <w:p w14:paraId="123EFD69" w14:textId="7475E931" w:rsidR="00A71B44" w:rsidRPr="00A71B44" w:rsidRDefault="00A71B44">
      <w:pPr>
        <w:pStyle w:val="FootnoteText"/>
        <w:rPr>
          <w:lang w:val="fr-CH"/>
        </w:rPr>
      </w:pPr>
      <w:r>
        <w:rPr>
          <w:lang w:val="fr-CH"/>
        </w:rPr>
        <w:tab/>
      </w:r>
      <w:r>
        <w:rPr>
          <w:rStyle w:val="FootnoteReference"/>
        </w:rPr>
        <w:footnoteRef/>
      </w:r>
      <w:r w:rsidRPr="00A71B44">
        <w:rPr>
          <w:lang w:val="en-US"/>
        </w:rPr>
        <w:tab/>
      </w:r>
      <w:r w:rsidRPr="001E3A94">
        <w:t>Id., para. 34 (restrictions “must be the least intrusive instrument amongst those which might achieve their protective function”). Moreover, the State must demonstrate in specific fashion the precise nature of the threat to any of the enumerated grounds listed in article 19(3) that has caused it to restrict freedom of expression. Id., para. 36.</w:t>
      </w:r>
    </w:p>
  </w:footnote>
  <w:footnote w:id="39">
    <w:p w14:paraId="513EF984" w14:textId="12C916E0" w:rsidR="00A71B44" w:rsidRPr="00A71B44" w:rsidRDefault="00A71B44">
      <w:pPr>
        <w:pStyle w:val="FootnoteText"/>
        <w:rPr>
          <w:lang w:val="fr-CH"/>
        </w:rPr>
      </w:pPr>
      <w:r>
        <w:tab/>
      </w:r>
      <w:r>
        <w:rPr>
          <w:rStyle w:val="FootnoteReference"/>
        </w:rPr>
        <w:footnoteRef/>
      </w:r>
      <w:r>
        <w:tab/>
      </w:r>
      <w:r w:rsidRPr="001E3A94">
        <w:t>This limitation on scope of article 20(2) was intentional. The drafting history indicates that “[f]ears were expressed that an article prohibiting such advocacy might lead to abuse and would be detrimental to freedom of expression.” Thus a formulation limiting article 20(2) to “only such advocacy … as ‘constitutes incitement’” was adopted.</w:t>
      </w:r>
      <w:r>
        <w:t xml:space="preserve"> </w:t>
      </w:r>
      <w:r w:rsidRPr="001E3A94">
        <w:t>UNGA, Draft International Covenants on Human Rights, Annotation, A/2929 (1955), pp. 185-86, paras. 190-192 (emphasis added).</w:t>
      </w:r>
    </w:p>
  </w:footnote>
  <w:footnote w:id="40">
    <w:p w14:paraId="32B7B3D5" w14:textId="5B9D30B9" w:rsidR="00A71B44" w:rsidRPr="00A71B44" w:rsidRDefault="00A71B44">
      <w:pPr>
        <w:pStyle w:val="FootnoteText"/>
        <w:rPr>
          <w:lang w:val="en-US"/>
        </w:rPr>
      </w:pPr>
      <w:r>
        <w:tab/>
      </w:r>
      <w:r>
        <w:rPr>
          <w:rStyle w:val="FootnoteReference"/>
        </w:rPr>
        <w:footnoteRef/>
      </w:r>
      <w:r>
        <w:tab/>
      </w:r>
      <w:r w:rsidRPr="001E3A94">
        <w:t>Cf. Joint Statement on Racism and the Media by the UN Special Rapporteur on Freedom of Opinion and Expression, the OSCE Representative on Freedom of the Media and the OAS Special Rapporteur on Freedom of Expression (2001), at 2, http://www.article19.org/pdfs/igo-documents/three-mandates-statement-1999.pdf (“[N]o one should be penalized for the dissemination of ‘hate speech’ unless it has been shown that they did so with the intention of inciting discrimination, hostility or violence”) (emphasis added).</w:t>
      </w:r>
    </w:p>
  </w:footnote>
  <w:footnote w:id="41">
    <w:p w14:paraId="1EED3DD0" w14:textId="54DEAB3D" w:rsidR="00447744" w:rsidRPr="00447744" w:rsidRDefault="00447744">
      <w:pPr>
        <w:pStyle w:val="FootnoteText"/>
        <w:rPr>
          <w:lang w:val="fr-CH"/>
        </w:rPr>
      </w:pPr>
      <w:r>
        <w:tab/>
      </w:r>
      <w:r>
        <w:rPr>
          <w:rStyle w:val="FootnoteReference"/>
        </w:rPr>
        <w:footnoteRef/>
      </w:r>
      <w:r>
        <w:tab/>
      </w:r>
      <w:r w:rsidRPr="001E3A94">
        <w:t>The negotiating history indicates that a proposal that incitement to racial hatred should constitute a crime (using the formulation “constitutes a crime and shall be punished under the law of the state”) was rejected in favor of an obligation to provide only for prohibition by law (“shall be prohibited by the law of the State”). UNGA, Draft International Covenan</w:t>
      </w:r>
      <w:r>
        <w:t>ts, supra, p. 186, para. 194.</w:t>
      </w:r>
    </w:p>
  </w:footnote>
  <w:footnote w:id="42">
    <w:p w14:paraId="7EFE943F" w14:textId="3D396A7C" w:rsidR="00447744" w:rsidRPr="00447744" w:rsidRDefault="00447744">
      <w:pPr>
        <w:pStyle w:val="FootnoteText"/>
        <w:rPr>
          <w:lang w:val="en-US"/>
        </w:rPr>
      </w:pPr>
      <w:r>
        <w:rPr>
          <w:lang w:val="fr-CH"/>
        </w:rPr>
        <w:tab/>
      </w:r>
      <w:r>
        <w:rPr>
          <w:rStyle w:val="FootnoteReference"/>
        </w:rPr>
        <w:footnoteRef/>
      </w:r>
      <w:r w:rsidRPr="00447744">
        <w:rPr>
          <w:lang w:val="en-US"/>
        </w:rPr>
        <w:tab/>
      </w:r>
      <w:r w:rsidRPr="001E3A94">
        <w:t>Netherlands Code of Criminal Procedure, section 338; General Comme</w:t>
      </w:r>
      <w:r w:rsidR="00D823AD">
        <w:t>nt No. 32, Article 14: Right to </w:t>
      </w:r>
      <w:r w:rsidRPr="001E3A94">
        <w:t>equality before courts and tribunals and to a fair trial (2007), para. 30 (“[N]o guilt can be presumed until the charge has been proved beyond reasonable doubt”).</w:t>
      </w:r>
    </w:p>
  </w:footnote>
  <w:footnote w:id="43">
    <w:p w14:paraId="72D9B23D" w14:textId="2187B891" w:rsidR="00447744" w:rsidRPr="001E4294" w:rsidRDefault="00447744">
      <w:pPr>
        <w:pStyle w:val="FootnoteText"/>
        <w:rPr>
          <w:lang w:val="en-US"/>
        </w:rPr>
      </w:pPr>
      <w:r>
        <w:rPr>
          <w:lang w:val="fr-CH"/>
        </w:rPr>
        <w:tab/>
      </w:r>
      <w:r>
        <w:rPr>
          <w:rStyle w:val="FootnoteReference"/>
        </w:rPr>
        <w:footnoteRef/>
      </w:r>
      <w:r w:rsidRPr="00447744">
        <w:rPr>
          <w:lang w:val="en-US"/>
        </w:rPr>
        <w:tab/>
      </w:r>
      <w:r w:rsidRPr="001E3A94">
        <w:t>Communication No. 1570/2007, Vassilari et al. v. Greece (View</w:t>
      </w:r>
      <w:r w:rsidR="001E4294">
        <w:t>s adopted 19 March 2009), para. </w:t>
      </w:r>
      <w:r w:rsidRPr="001E3A94">
        <w:t>7.2 (“An acquittal in itself does not amount to a violation of article 26 and in this regard the Committee recalls that there is no right under the Covenant to see another person prosecuted”); Communication No. 563/1993, Bautista de Arellana v. Colombia (Views</w:t>
      </w:r>
      <w:r w:rsidR="001E4294">
        <w:t xml:space="preserve"> adopted 27 October 1995), para.</w:t>
      </w:r>
      <w:r w:rsidRPr="001E3A94">
        <w:t xml:space="preserve"> 8.6; Communication No. 213/1986, H.C.M.A. v. The Netherlands (Inadmissibility decision adopted 30</w:t>
      </w:r>
      <w:r>
        <w:t> </w:t>
      </w:r>
      <w:r w:rsidRPr="001E3A94">
        <w:t>March 1989), para. 11.6.</w:t>
      </w:r>
    </w:p>
  </w:footnote>
  <w:footnote w:id="44">
    <w:p w14:paraId="713C356E" w14:textId="3FA69395" w:rsidR="00447744" w:rsidRPr="00447744" w:rsidRDefault="00447744">
      <w:pPr>
        <w:pStyle w:val="FootnoteText"/>
        <w:rPr>
          <w:lang w:val="fr-CH"/>
        </w:rPr>
      </w:pPr>
      <w:r>
        <w:tab/>
      </w:r>
      <w:r>
        <w:rPr>
          <w:rStyle w:val="FootnoteReference"/>
        </w:rPr>
        <w:footnoteRef/>
      </w:r>
      <w:r>
        <w:tab/>
      </w:r>
      <w:r w:rsidRPr="001E3A94">
        <w:t>The inadmissibility decision in Communication No. 104/1981, J. R. T. and W. G. Party v. Canada (Indmissibility decision adopted 6 April 1983), para. 8(b), addressed civil p</w:t>
      </w:r>
      <w:r>
        <w:t>roceedings restricting speech.</w:t>
      </w:r>
    </w:p>
  </w:footnote>
  <w:footnote w:id="45">
    <w:p w14:paraId="14139DE2" w14:textId="707EFFD2" w:rsidR="00447744" w:rsidRPr="00447744" w:rsidRDefault="00447744">
      <w:pPr>
        <w:pStyle w:val="FootnoteText"/>
        <w:rPr>
          <w:lang w:val="fr-CH"/>
        </w:rPr>
      </w:pPr>
      <w:r>
        <w:rPr>
          <w:lang w:val="fr-CH"/>
        </w:rPr>
        <w:tab/>
      </w:r>
      <w:r>
        <w:rPr>
          <w:rStyle w:val="FootnoteReference"/>
        </w:rPr>
        <w:footnoteRef/>
      </w:r>
      <w:r w:rsidRPr="00447744">
        <w:rPr>
          <w:lang w:val="en-US"/>
        </w:rPr>
        <w:tab/>
      </w:r>
      <w:r w:rsidRPr="00612109">
        <w:t>General Comment No. 34, para. 49 and note 116.</w:t>
      </w:r>
      <w:r>
        <w:t xml:space="preserve"> </w:t>
      </w:r>
      <w:r w:rsidRPr="00F15147">
        <w:rPr>
          <w:lang w:val="fr-CH"/>
        </w:rPr>
        <w:t>Compare Communication No. 550/93, Faurisson v. </w:t>
      </w:r>
      <w:r w:rsidRPr="00612109">
        <w:t>France (Views adopted 1996), para. 9.7.</w:t>
      </w:r>
    </w:p>
  </w:footnote>
  <w:footnote w:id="46">
    <w:p w14:paraId="19A7075D" w14:textId="14F33BA0" w:rsidR="00550BFE" w:rsidRPr="00550BFE" w:rsidRDefault="00550BFE">
      <w:pPr>
        <w:pStyle w:val="FootnoteText"/>
        <w:rPr>
          <w:lang w:val="fr-CH"/>
        </w:rPr>
      </w:pPr>
      <w:r>
        <w:tab/>
      </w:r>
      <w:r>
        <w:rPr>
          <w:rStyle w:val="FootnoteReference"/>
        </w:rPr>
        <w:footnoteRef/>
      </w:r>
      <w:r>
        <w:tab/>
      </w:r>
      <w:r w:rsidRPr="00612109">
        <w:t>See Parliamentary Assembly of the Council of Europe (PACE), Recommendation 1805 (2007), Blasphemy, religious insults and hate speech against persons on g</w:t>
      </w:r>
      <w:r w:rsidR="00D823AD">
        <w:t>rounds of their religion, para. </w:t>
      </w:r>
      <w:r w:rsidRPr="00612109">
        <w:t>15 (under Article 10 of the European Convention on Human Rights, “national law should only penalise expressions about religious matters which intentionally and severely disturb public order and call for public violence.”) (emphasis added); American Convention on Human Rights, art. 13(5) (“any advocacy of national, racial, or religious hatred that constitute incitement to lawless violence or to any other similar illegal action against any person or group of persons on any grounds including those of race, color, religion, language, or national origin shall be considered as offenses punishable by law”) (emphasis added). The CERD Committee has recognized that “the criminalization of forms of racist expression should be reserved for serious cases” under CERD Article 4, that “incitement characteristically seeks to influence others to engage in certain conduct, including the commission of crime….” and that States parties should take into account, inter alia, “the intention of the speaker, and the imminent risk or likelihood that the conduct intended by the speaker will result from the speech in question”.</w:t>
      </w:r>
      <w:r>
        <w:t xml:space="preserve"> </w:t>
      </w:r>
      <w:r w:rsidRPr="00612109">
        <w:t>CERD Committee, General Recommendation No. 35, Combating racist speech (2013), paras. 12, 16.</w:t>
      </w:r>
    </w:p>
  </w:footnote>
  <w:footnote w:id="47">
    <w:p w14:paraId="0533E5F1" w14:textId="2ECB3C7B" w:rsidR="006C48F4" w:rsidRPr="006C48F4" w:rsidRDefault="006C48F4">
      <w:pPr>
        <w:pStyle w:val="FootnoteText"/>
        <w:rPr>
          <w:lang w:val="en-US"/>
        </w:rPr>
      </w:pPr>
      <w:r>
        <w:tab/>
      </w:r>
      <w:r>
        <w:rPr>
          <w:rStyle w:val="FootnoteReference"/>
        </w:rPr>
        <w:footnoteRef/>
      </w:r>
      <w:r>
        <w:tab/>
      </w:r>
      <w:r w:rsidRPr="00612109">
        <w:t>Joint Declaration by UN Special Rapporteur on Freedom of Opinion and Expression, the OSCE Representative on Freedom of the Media the OAS Special Rapporteur on Freedom of Expression (2006), and the ACHPR Special Rapporteur on Freedom of Expression, https://www.article19.org/data/files/pdfs/standards/four-mandates-dec-2006.pdf.</w:t>
      </w:r>
    </w:p>
  </w:footnote>
  <w:footnote w:id="48">
    <w:p w14:paraId="4C83EAC7" w14:textId="6236F30E" w:rsidR="006C48F4" w:rsidRPr="006C48F4" w:rsidRDefault="006C48F4">
      <w:pPr>
        <w:pStyle w:val="FootnoteText"/>
        <w:rPr>
          <w:lang w:val="fr-CH"/>
        </w:rPr>
      </w:pPr>
      <w:r>
        <w:tab/>
      </w:r>
      <w:r>
        <w:rPr>
          <w:rStyle w:val="FootnoteReference"/>
        </w:rPr>
        <w:footnoteRef/>
      </w:r>
      <w:r>
        <w:tab/>
      </w:r>
      <w:r w:rsidRPr="00612109">
        <w:t>E.g., Concluding Observations on the second periodic report of Kazakhstan (2016), para. 49; Concluding Observations on the third periodic report of Kuwait (2016), para. 40; Concluding Observations on the sixth periodic report of Ecuador (2016), para. 27; Concluding Observations on the fourth periodic report of Rwanda (2016), paras. 39-40; Concluding Observations on the second periodic report of Cambodia (2015), paras. 21-22; Concluding Observations on the seventh periodic report of the Russian Federa</w:t>
      </w:r>
      <w:r>
        <w:t>tion (2015), paras. 10, 18-20.</w:t>
      </w:r>
    </w:p>
  </w:footnote>
  <w:footnote w:id="49">
    <w:p w14:paraId="28C868E6" w14:textId="7F0D4ABA" w:rsidR="00E43CFA" w:rsidRPr="00E43CFA" w:rsidRDefault="00E43CFA">
      <w:pPr>
        <w:pStyle w:val="FootnoteText"/>
        <w:rPr>
          <w:lang w:val="en-US"/>
        </w:rPr>
      </w:pPr>
      <w:r>
        <w:tab/>
      </w:r>
      <w:r>
        <w:rPr>
          <w:rStyle w:val="FootnoteReference"/>
        </w:rPr>
        <w:footnoteRef/>
      </w:r>
      <w:r>
        <w:tab/>
      </w:r>
      <w:r w:rsidRPr="00612109">
        <w:t>Communication No. 563/1993, Bautista de Arellana v. Colombia, Views adopted on 27 October 1995, paragraph 8.6; Communication No. 1885/2009, Horvath v. Australia, Views adopted on 27</w:t>
      </w:r>
      <w:r>
        <w:t> </w:t>
      </w:r>
      <w:r w:rsidRPr="00612109">
        <w:t>March 2014, para</w:t>
      </w:r>
      <w:r>
        <w:t>.</w:t>
      </w:r>
      <w:r w:rsidRPr="00612109">
        <w:t xml:space="preserve"> 8.2.</w:t>
      </w:r>
    </w:p>
  </w:footnote>
  <w:footnote w:id="50">
    <w:p w14:paraId="78492C9B" w14:textId="7434729D" w:rsidR="00E43CFA" w:rsidRPr="00E43CFA" w:rsidRDefault="00E43CFA">
      <w:pPr>
        <w:pStyle w:val="FootnoteText"/>
        <w:rPr>
          <w:lang w:val="en-US"/>
        </w:rPr>
      </w:pPr>
      <w:r>
        <w:tab/>
      </w:r>
      <w:r>
        <w:rPr>
          <w:rStyle w:val="FootnoteReference"/>
        </w:rPr>
        <w:footnoteRef/>
      </w:r>
      <w:r>
        <w:tab/>
      </w:r>
      <w:r w:rsidRPr="00612109">
        <w:t>In order to determine the protection owed to the authors under the Covenant, it would be necessary to examine furthermore the victim status of the authors. But this issue can be left open here because the authors have declined to resort to the remedies available to them under domestic law in the first place.</w:t>
      </w:r>
    </w:p>
  </w:footnote>
  <w:footnote w:id="51">
    <w:p w14:paraId="76B26016" w14:textId="243494BF" w:rsidR="008B6CE5" w:rsidRPr="008B6CE5" w:rsidRDefault="008B6CE5">
      <w:pPr>
        <w:pStyle w:val="FootnoteText"/>
        <w:rPr>
          <w:lang w:val="fr-CH"/>
        </w:rPr>
      </w:pPr>
      <w:r>
        <w:rPr>
          <w:lang w:val="fr-CH"/>
        </w:rPr>
        <w:tab/>
      </w:r>
      <w:r>
        <w:rPr>
          <w:rStyle w:val="FootnoteReference"/>
        </w:rPr>
        <w:footnoteRef/>
      </w:r>
      <w:r>
        <w:rPr>
          <w:lang w:val="fr-CH"/>
        </w:rPr>
        <w:tab/>
      </w:r>
      <w:r w:rsidRPr="00F15147">
        <w:rPr>
          <w:lang w:val="fr-CH"/>
        </w:rPr>
        <w:t>Observation générale n</w:t>
      </w:r>
      <w:r w:rsidRPr="00F15147">
        <w:rPr>
          <w:vertAlign w:val="superscript"/>
          <w:lang w:val="fr-CH"/>
        </w:rPr>
        <w:t>o</w:t>
      </w:r>
      <w:r>
        <w:rPr>
          <w:lang w:val="fr-CH"/>
        </w:rPr>
        <w:t> </w:t>
      </w:r>
      <w:r w:rsidRPr="00F15147">
        <w:rPr>
          <w:lang w:val="fr-CH"/>
        </w:rPr>
        <w:t>18 du Comité : Non discrimination, 1989, § 1. L’article 7 de la Déclaration universelle des droits de l’Homme traduit bien le lien qui existe, dans le Pacte, entre l’article 20 et l’article 26 : « Tous ont droit à une protection égale contre toute discrimination qui violerait la présente Déclaration et contre toute provocation à une telle discrimination. »</w:t>
      </w:r>
    </w:p>
  </w:footnote>
  <w:footnote w:id="52">
    <w:p w14:paraId="34CF42E8" w14:textId="79136701" w:rsidR="008B6CE5" w:rsidRPr="008B6CE5" w:rsidRDefault="008B6CE5">
      <w:pPr>
        <w:pStyle w:val="FootnoteText"/>
        <w:rPr>
          <w:lang w:val="fr-CH"/>
        </w:rPr>
      </w:pPr>
      <w:r>
        <w:tab/>
      </w:r>
      <w:r>
        <w:rPr>
          <w:rStyle w:val="FootnoteReference"/>
        </w:rPr>
        <w:footnoteRef/>
      </w:r>
      <w:r w:rsidRPr="008B6CE5">
        <w:rPr>
          <w:lang w:val="fr-CH"/>
        </w:rPr>
        <w:tab/>
      </w:r>
      <w:r w:rsidRPr="00F15147">
        <w:rPr>
          <w:lang w:val="fr-CH"/>
        </w:rPr>
        <w:t>Observation générale n</w:t>
      </w:r>
      <w:r w:rsidRPr="00F15147">
        <w:rPr>
          <w:vertAlign w:val="superscript"/>
          <w:lang w:val="fr-CH"/>
        </w:rPr>
        <w:t>o</w:t>
      </w:r>
      <w:r>
        <w:rPr>
          <w:lang w:val="fr-CH"/>
        </w:rPr>
        <w:t> </w:t>
      </w:r>
      <w:r w:rsidRPr="00F15147">
        <w:rPr>
          <w:lang w:val="fr-CH"/>
        </w:rPr>
        <w:t>31: La nature de l’obligation juridique généra</w:t>
      </w:r>
      <w:r w:rsidR="0033668C">
        <w:rPr>
          <w:lang w:val="fr-CH"/>
        </w:rPr>
        <w:t>le imposée aux Etats parties au </w:t>
      </w:r>
      <w:r w:rsidRPr="00F15147">
        <w:rPr>
          <w:lang w:val="fr-CH"/>
        </w:rPr>
        <w:t>Pacte, 2004, § 15.</w:t>
      </w:r>
    </w:p>
  </w:footnote>
  <w:footnote w:id="53">
    <w:p w14:paraId="242DC51E" w14:textId="157F1AC5" w:rsidR="00CD1B51" w:rsidRPr="00CD1B51" w:rsidRDefault="00CD1B51">
      <w:pPr>
        <w:pStyle w:val="FootnoteText"/>
        <w:rPr>
          <w:lang w:val="fr-CH"/>
        </w:rPr>
      </w:pPr>
      <w:r w:rsidRPr="001E4294">
        <w:rPr>
          <w:lang w:val="fr-CH"/>
        </w:rPr>
        <w:tab/>
      </w:r>
      <w:r>
        <w:rPr>
          <w:rStyle w:val="FootnoteReference"/>
        </w:rPr>
        <w:footnoteRef/>
      </w:r>
      <w:r w:rsidRPr="00CD1B51">
        <w:rPr>
          <w:lang w:val="fr-CH"/>
        </w:rPr>
        <w:tab/>
      </w:r>
      <w:r w:rsidRPr="00F15147">
        <w:rPr>
          <w:lang w:val="fr-CH"/>
        </w:rPr>
        <w:t>V. aussi, mais avec une conclusion d’irrecevabilité, l’affaire Andersen c. Danemark, comm. n</w:t>
      </w:r>
      <w:r w:rsidRPr="00F15147">
        <w:rPr>
          <w:vertAlign w:val="superscript"/>
          <w:lang w:val="fr-CH"/>
        </w:rPr>
        <w:t>o</w:t>
      </w:r>
      <w:r>
        <w:rPr>
          <w:lang w:val="fr-CH"/>
        </w:rPr>
        <w:t> </w:t>
      </w:r>
      <w:r w:rsidRPr="00F15147">
        <w:rPr>
          <w:lang w:val="fr-CH"/>
        </w:rPr>
        <w:t>1868/2009, 26 juillet 2010.</w:t>
      </w:r>
    </w:p>
  </w:footnote>
  <w:footnote w:id="54">
    <w:p w14:paraId="6D27B3FB" w14:textId="595B4811" w:rsidR="00CD1B51" w:rsidRPr="00CD1B51" w:rsidRDefault="00CD1B51">
      <w:pPr>
        <w:pStyle w:val="FootnoteText"/>
        <w:rPr>
          <w:lang w:val="fr-CH"/>
        </w:rPr>
      </w:pPr>
      <w:r>
        <w:tab/>
      </w:r>
      <w:r>
        <w:rPr>
          <w:rStyle w:val="FootnoteReference"/>
        </w:rPr>
        <w:footnoteRef/>
      </w:r>
      <w:r w:rsidRPr="00CD1B51">
        <w:rPr>
          <w:lang w:val="fr-CH"/>
        </w:rPr>
        <w:tab/>
      </w:r>
      <w:r w:rsidRPr="00F15147">
        <w:rPr>
          <w:lang w:val="fr-CH"/>
        </w:rPr>
        <w:t>V. par. 7.2 et 7.3. des constatations : « 7.2. (…) les auteurs contestent revendiquer un droit à la condamnation de M. Wilders. Ils dénoncent l’absence de poursuite effective. (…) 7.3. Les auteurs admettent que l’Etat partie a correctement transposé le paragraphe 2 de l’article 20 dans sa législation. Le problème réside dans l’application de la loi en l’espèce. »</w:t>
      </w:r>
    </w:p>
  </w:footnote>
  <w:footnote w:id="55">
    <w:p w14:paraId="16C97782" w14:textId="5DECE46C" w:rsidR="00CD1B51" w:rsidRPr="00CD1B51" w:rsidRDefault="00CD1B51" w:rsidP="00F52792">
      <w:pPr>
        <w:pStyle w:val="FootnoteText"/>
        <w:rPr>
          <w:lang w:val="fr-CH"/>
        </w:rPr>
      </w:pPr>
      <w:r>
        <w:tab/>
      </w:r>
      <w:r>
        <w:rPr>
          <w:rStyle w:val="FootnoteReference"/>
        </w:rPr>
        <w:footnoteRef/>
      </w:r>
      <w:r w:rsidRPr="00CD1B51">
        <w:rPr>
          <w:lang w:val="fr-CH"/>
        </w:rPr>
        <w:tab/>
      </w:r>
      <w:r w:rsidRPr="00F15147">
        <w:rPr>
          <w:lang w:val="fr-CH"/>
        </w:rPr>
        <w:t>V. notammen</w:t>
      </w:r>
      <w:r w:rsidR="00F52792">
        <w:rPr>
          <w:lang w:val="fr-CH"/>
        </w:rPr>
        <w:t>t la Recommandation générale n</w:t>
      </w:r>
      <w:r w:rsidR="00F52792" w:rsidRPr="00F52792">
        <w:rPr>
          <w:vertAlign w:val="superscript"/>
          <w:lang w:val="fr-CH"/>
        </w:rPr>
        <w:t>o</w:t>
      </w:r>
      <w:r w:rsidR="00F52792">
        <w:rPr>
          <w:lang w:val="fr-CH"/>
        </w:rPr>
        <w:t> </w:t>
      </w:r>
      <w:r w:rsidRPr="00F15147">
        <w:rPr>
          <w:lang w:val="fr-CH"/>
        </w:rPr>
        <w:t xml:space="preserve">35 du CERD, Lutte contre les discours de haine raciale, 2013 et la Recommandation générale </w:t>
      </w:r>
      <w:r w:rsidR="00F52792">
        <w:rPr>
          <w:lang w:val="fr-CH"/>
        </w:rPr>
        <w:t>n</w:t>
      </w:r>
      <w:r w:rsidR="00F52792" w:rsidRPr="00F52792">
        <w:rPr>
          <w:vertAlign w:val="superscript"/>
          <w:lang w:val="fr-CH"/>
        </w:rPr>
        <w:t>o</w:t>
      </w:r>
      <w:r w:rsidR="00F52792">
        <w:rPr>
          <w:lang w:val="fr-CH"/>
        </w:rPr>
        <w:t> </w:t>
      </w:r>
      <w:r w:rsidRPr="00F15147">
        <w:rPr>
          <w:lang w:val="fr-CH"/>
        </w:rPr>
        <w:t xml:space="preserve">30, concernant la discrimination contre les non-ressortissants, 2005, en particulier les §§ 11 et 12 ; de même les affaires ; Quereschi c. Danemark, comm. </w:t>
      </w:r>
      <w:r w:rsidR="00F52792">
        <w:rPr>
          <w:lang w:val="fr-CH"/>
        </w:rPr>
        <w:t>n</w:t>
      </w:r>
      <w:r w:rsidR="00F52792" w:rsidRPr="00F52792">
        <w:rPr>
          <w:vertAlign w:val="superscript"/>
          <w:lang w:val="fr-CH"/>
        </w:rPr>
        <w:t>o</w:t>
      </w:r>
      <w:r w:rsidR="00F52792">
        <w:rPr>
          <w:lang w:val="fr-CH"/>
        </w:rPr>
        <w:t> </w:t>
      </w:r>
      <w:r w:rsidRPr="00F15147">
        <w:rPr>
          <w:lang w:val="fr-CH"/>
        </w:rPr>
        <w:t xml:space="preserve">33/2003, 11 décembre 2003 ; Gelle c. Danemark, comm. </w:t>
      </w:r>
      <w:r w:rsidR="00F52792">
        <w:rPr>
          <w:lang w:val="fr-CH"/>
        </w:rPr>
        <w:t>n</w:t>
      </w:r>
      <w:r w:rsidR="00F52792" w:rsidRPr="00F52792">
        <w:rPr>
          <w:vertAlign w:val="superscript"/>
          <w:lang w:val="fr-CH"/>
        </w:rPr>
        <w:t>o</w:t>
      </w:r>
      <w:r w:rsidR="00F52792">
        <w:rPr>
          <w:lang w:val="fr-CH"/>
        </w:rPr>
        <w:t> 34/2004, 6 mars 2006 ; Ahmed </w:t>
      </w:r>
      <w:r w:rsidRPr="00F15147">
        <w:rPr>
          <w:lang w:val="fr-CH"/>
        </w:rPr>
        <w:t xml:space="preserve">Farah Jama c. Danemark, comm. </w:t>
      </w:r>
      <w:r w:rsidR="00F52792">
        <w:rPr>
          <w:lang w:val="fr-CH"/>
        </w:rPr>
        <w:t>n</w:t>
      </w:r>
      <w:r w:rsidR="00F52792" w:rsidRPr="00F52792">
        <w:rPr>
          <w:vertAlign w:val="superscript"/>
          <w:lang w:val="fr-CH"/>
        </w:rPr>
        <w:t>o</w:t>
      </w:r>
      <w:r w:rsidR="00F52792">
        <w:rPr>
          <w:lang w:val="fr-CH"/>
        </w:rPr>
        <w:t> </w:t>
      </w:r>
      <w:r w:rsidRPr="00F15147">
        <w:rPr>
          <w:lang w:val="fr-CH"/>
        </w:rPr>
        <w:t>41/2008, 21 août 2009 ; S</w:t>
      </w:r>
      <w:r w:rsidR="00F52792">
        <w:rPr>
          <w:lang w:val="fr-CH"/>
        </w:rPr>
        <w:t>aada Mohammad Adan c. </w:t>
      </w:r>
      <w:r w:rsidRPr="00F15147">
        <w:rPr>
          <w:lang w:val="fr-CH"/>
        </w:rPr>
        <w:t xml:space="preserve">Danemark, comm. </w:t>
      </w:r>
      <w:r w:rsidR="00F52792">
        <w:rPr>
          <w:lang w:val="fr-CH"/>
        </w:rPr>
        <w:t>n</w:t>
      </w:r>
      <w:r w:rsidR="00F52792" w:rsidRPr="00F52792">
        <w:rPr>
          <w:vertAlign w:val="superscript"/>
          <w:lang w:val="fr-CH"/>
        </w:rPr>
        <w:t>o</w:t>
      </w:r>
      <w:r w:rsidR="00F52792">
        <w:rPr>
          <w:lang w:val="fr-CH"/>
        </w:rPr>
        <w:t> </w:t>
      </w:r>
      <w:r w:rsidRPr="00F15147">
        <w:rPr>
          <w:lang w:val="fr-CH"/>
        </w:rPr>
        <w:t>43/2008, 13 août 2010.</w:t>
      </w:r>
    </w:p>
  </w:footnote>
  <w:footnote w:id="56">
    <w:p w14:paraId="433B2A49" w14:textId="73C6DE43" w:rsidR="00CD1B51" w:rsidRPr="00CD1B51" w:rsidRDefault="00CD1B51" w:rsidP="00CD1B51">
      <w:pPr>
        <w:pStyle w:val="FootnoteText"/>
        <w:rPr>
          <w:lang w:val="fr-CH"/>
        </w:rPr>
      </w:pPr>
      <w:r w:rsidRPr="00F52792">
        <w:rPr>
          <w:lang w:val="fr-CH"/>
        </w:rPr>
        <w:tab/>
      </w:r>
      <w:r>
        <w:rPr>
          <w:rStyle w:val="FootnoteReference"/>
        </w:rPr>
        <w:footnoteRef/>
      </w:r>
      <w:r w:rsidRPr="00CD1B51">
        <w:rPr>
          <w:lang w:val="fr-CH"/>
        </w:rPr>
        <w:tab/>
      </w:r>
      <w:r w:rsidRPr="00F15147">
        <w:rPr>
          <w:lang w:val="fr-CH"/>
        </w:rPr>
        <w:t>Observation générale n</w:t>
      </w:r>
      <w:r w:rsidRPr="00CD1B51">
        <w:rPr>
          <w:vertAlign w:val="superscript"/>
          <w:lang w:val="fr-CH"/>
        </w:rPr>
        <w:t>o</w:t>
      </w:r>
      <w:r>
        <w:rPr>
          <w:lang w:val="fr-CH"/>
        </w:rPr>
        <w:t> </w:t>
      </w:r>
      <w:r w:rsidRPr="00F15147">
        <w:rPr>
          <w:lang w:val="fr-CH"/>
        </w:rPr>
        <w:t>34, Art. 19 : Liberté d’opinion et liberté d’expression, 2011.</w:t>
      </w:r>
    </w:p>
  </w:footnote>
  <w:footnote w:id="57">
    <w:p w14:paraId="55C1BF93" w14:textId="3CBFB8E1" w:rsidR="00CD1B51" w:rsidRPr="00CD1B51" w:rsidRDefault="00CD1B51" w:rsidP="00F52792">
      <w:pPr>
        <w:pStyle w:val="FootnoteText"/>
        <w:rPr>
          <w:lang w:val="fr-CH"/>
        </w:rPr>
      </w:pPr>
      <w:r>
        <w:tab/>
      </w:r>
      <w:r>
        <w:rPr>
          <w:rStyle w:val="FootnoteReference"/>
        </w:rPr>
        <w:footnoteRef/>
      </w:r>
      <w:r w:rsidRPr="00CD1B51">
        <w:rPr>
          <w:lang w:val="fr-CH"/>
        </w:rPr>
        <w:tab/>
      </w:r>
      <w:r w:rsidRPr="00F15147">
        <w:rPr>
          <w:lang w:val="fr-CH"/>
        </w:rPr>
        <w:t>V. CERD, Gelle c. Danemark, op. cit., § 7.5 ; Saada Mohamma</w:t>
      </w:r>
      <w:r w:rsidR="0033668C">
        <w:rPr>
          <w:lang w:val="fr-CH"/>
        </w:rPr>
        <w:t>d Adan c. Danemark, op. cit., § </w:t>
      </w:r>
      <w:r w:rsidRPr="00F15147">
        <w:rPr>
          <w:lang w:val="fr-CH"/>
        </w:rPr>
        <w:t>7.6. V.</w:t>
      </w:r>
      <w:r>
        <w:rPr>
          <w:lang w:val="fr-CH"/>
        </w:rPr>
        <w:t> </w:t>
      </w:r>
      <w:r w:rsidRPr="00F15147">
        <w:rPr>
          <w:lang w:val="fr-CH"/>
        </w:rPr>
        <w:t xml:space="preserve">aussi CERD, Observation générale </w:t>
      </w:r>
      <w:r w:rsidR="00F52792">
        <w:rPr>
          <w:lang w:val="fr-CH"/>
        </w:rPr>
        <w:t>n</w:t>
      </w:r>
      <w:r w:rsidR="00F52792" w:rsidRPr="00F52792">
        <w:rPr>
          <w:vertAlign w:val="superscript"/>
          <w:lang w:val="fr-CH"/>
        </w:rPr>
        <w:t>o</w:t>
      </w:r>
      <w:r w:rsidR="00F52792">
        <w:rPr>
          <w:lang w:val="fr-CH"/>
        </w:rPr>
        <w:t> </w:t>
      </w:r>
      <w:r w:rsidRPr="00F15147">
        <w:rPr>
          <w:lang w:val="fr-CH"/>
        </w:rPr>
        <w:t xml:space="preserve">30, § 12. Sur le plan régional, v. aussi l’arrêt de la Cour européenne des droits de l’Homme dans l’affaire Feret c. Belgique (req. </w:t>
      </w:r>
      <w:r w:rsidR="00F52792">
        <w:rPr>
          <w:lang w:val="fr-CH"/>
        </w:rPr>
        <w:t>n</w:t>
      </w:r>
      <w:r w:rsidR="00F52792" w:rsidRPr="00F52792">
        <w:rPr>
          <w:vertAlign w:val="superscript"/>
          <w:lang w:val="fr-CH"/>
        </w:rPr>
        <w:t>o</w:t>
      </w:r>
      <w:r w:rsidR="00F52792">
        <w:rPr>
          <w:lang w:val="fr-CH"/>
        </w:rPr>
        <w:t> </w:t>
      </w:r>
      <w:r w:rsidRPr="00F15147">
        <w:rPr>
          <w:lang w:val="fr-CH"/>
        </w:rPr>
        <w:t>15615/07, arrêt du 16</w:t>
      </w:r>
      <w:r>
        <w:rPr>
          <w:lang w:val="fr-CH"/>
        </w:rPr>
        <w:t> </w:t>
      </w:r>
      <w:r w:rsidRPr="00F15147">
        <w:rPr>
          <w:lang w:val="fr-CH"/>
        </w:rPr>
        <w:t>juillet 2009), § 77. V. aussi le Rapport de l’ECRI sur les Pays-Bas (quatrième cycle de monitoring), publié le 15 octobre 2013, § 22 : « L’ECRI recommande aux autorités de veiller à ce que la législation en vigueur contre le racisme et la discriminatioin raciale ainsi que la jurisprudence de la Cour européenne des droits de l’Homme soient appliquées dans tous les cas, dans la sphère publique et privée, même lorsque les affirmations émanent de personnalités politiques. » ; les Principes de Camden sur la liberté d’expression et l’égalité, et notamment le Principe 10 : “Politicians and other leadership</w:t>
      </w:r>
      <w:r w:rsidRPr="00F15147">
        <w:rPr>
          <w:rFonts w:ascii="MS Mincho" w:eastAsia="MS Mincho" w:hAnsi="MS Mincho" w:cs="MS Mincho" w:hint="eastAsia"/>
          <w:lang w:val="fr-CH"/>
        </w:rPr>
        <w:t> </w:t>
      </w:r>
      <w:r w:rsidRPr="00F15147">
        <w:rPr>
          <w:lang w:val="fr-CH"/>
        </w:rPr>
        <w:t>figures in society should avoid making statements that might promote discrimination or undermine equality, and should take advantage of their positions to promote intercultural understanding, including by contesting, where appropriate, discriminatory statements or behaviour.”; dans le même sens, v. le Rabat plan of action on the prohibition of advocacy of national, racial or religious hatred that constitutes incitement to discrimination hostility or violence, § 36, doc. en annexe du rapport du Haut Commissaire des Nations Unies aux droits de l’Homme sur les ateliers d’experts sur l’interdiction de l’incitation à la haine nationale, raciale ou religieuse, A/HRC/22/17/Add.4.</w:t>
      </w:r>
    </w:p>
  </w:footnote>
  <w:footnote w:id="58">
    <w:p w14:paraId="66C598F1" w14:textId="2A100794" w:rsidR="00CD1B51" w:rsidRPr="00CD1B51" w:rsidRDefault="00CD1B51">
      <w:pPr>
        <w:pStyle w:val="FootnoteText"/>
        <w:rPr>
          <w:lang w:val="fr-CH"/>
        </w:rPr>
      </w:pPr>
      <w:r>
        <w:tab/>
      </w:r>
      <w:r>
        <w:rPr>
          <w:rStyle w:val="FootnoteReference"/>
        </w:rPr>
        <w:footnoteRef/>
      </w:r>
      <w:r w:rsidRPr="00CD1B51">
        <w:rPr>
          <w:lang w:val="fr-CH"/>
        </w:rPr>
        <w:tab/>
      </w:r>
      <w:r w:rsidRPr="00F15147">
        <w:rPr>
          <w:lang w:val="fr-CH"/>
        </w:rPr>
        <w:t>Notamment Gelle c. Danemark, op. cit., par. 7.3. : « Le Comité observe qu’il ne suffit pas, aux fins de l’article 4 de la Convention, de déclarer simplement dans un texte de loi les actes de discrimination raciale punissables. La législation pénale et les autres dispositions légales interdisant la discrimination raciale doivent aussi être effectivement mises en œuvre par les tribunaux nationaux compétents et les autres institutions de l’Etat. »</w:t>
      </w:r>
    </w:p>
  </w:footnote>
  <w:footnote w:id="59">
    <w:p w14:paraId="730B7CD5" w14:textId="5CF9CB35" w:rsidR="00CD1B51" w:rsidRPr="00CD1B51" w:rsidRDefault="00CD1B51" w:rsidP="00F52792">
      <w:pPr>
        <w:pStyle w:val="FootnoteText"/>
        <w:rPr>
          <w:lang w:val="fr-CH"/>
        </w:rPr>
      </w:pPr>
      <w:r>
        <w:tab/>
      </w:r>
      <w:r>
        <w:rPr>
          <w:rStyle w:val="FootnoteReference"/>
        </w:rPr>
        <w:footnoteRef/>
      </w:r>
      <w:r w:rsidRPr="00CD1B51">
        <w:rPr>
          <w:lang w:val="fr-CH"/>
        </w:rPr>
        <w:tab/>
      </w:r>
      <w:r w:rsidRPr="00F15147">
        <w:rPr>
          <w:lang w:val="fr-CH"/>
        </w:rPr>
        <w:t xml:space="preserve">V. par ex. l’affaire Robert Faurisson c. France, comm. </w:t>
      </w:r>
      <w:r w:rsidR="00F52792">
        <w:rPr>
          <w:lang w:val="fr-CH"/>
        </w:rPr>
        <w:t>n</w:t>
      </w:r>
      <w:r w:rsidR="00F52792" w:rsidRPr="00F52792">
        <w:rPr>
          <w:vertAlign w:val="superscript"/>
          <w:lang w:val="fr-CH"/>
        </w:rPr>
        <w:t>o</w:t>
      </w:r>
      <w:r w:rsidR="00F52792">
        <w:rPr>
          <w:lang w:val="fr-CH"/>
        </w:rPr>
        <w:t> </w:t>
      </w:r>
      <w:r w:rsidRPr="00F15147">
        <w:rPr>
          <w:lang w:val="fr-CH"/>
        </w:rPr>
        <w:t xml:space="preserve">500/1993, 8 novembre 1996, § 9.5. Le Comité examine dans ce paragraphe la question de savoir si la loi du 13 juillet 1990 (« la loi Gayssot ») qui a servi de fondement à la condamnation de l’auteur est compatible avec les dispositions du Pacte. Il cite les déclarations litigieuses de l’auteur et en déduit que la condamnation de l’auteur « n’a pas porté atteinte à son droit d’avoir une opinion et de l’exprimer, en général : le tribunal a condamné M. Faurisson pour avoir attenté aux droits et à la réputation d’autrui. » Et il en déduit que la « loi Gayssot », « telle qu’elle a été lue, interprétée et appliquée dans le cas de l’auteur par les tribunaux français, est compatible avec les dispositions du Pacte. » (nous soulignons.) Dans l’affaire J.R.T. et le W.G. Party c. Canada, comm. </w:t>
      </w:r>
      <w:r w:rsidR="00F52792">
        <w:rPr>
          <w:lang w:val="fr-CH"/>
        </w:rPr>
        <w:t>n</w:t>
      </w:r>
      <w:r w:rsidR="00F52792" w:rsidRPr="00F52792">
        <w:rPr>
          <w:vertAlign w:val="superscript"/>
          <w:lang w:val="fr-CH"/>
        </w:rPr>
        <w:t>o</w:t>
      </w:r>
      <w:r w:rsidR="00F52792">
        <w:rPr>
          <w:lang w:val="fr-CH"/>
        </w:rPr>
        <w:t> </w:t>
      </w:r>
      <w:r w:rsidRPr="00F15147">
        <w:rPr>
          <w:lang w:val="fr-CH"/>
        </w:rPr>
        <w:t>104/1981, 5 avril 1983, le Comité se place sur le plan de la recevabilité, en jugeant « incompatible » avec les dispositions du Pacte les griefs de l’auteur, car « les opinions que M.T. cherche à diffuser par téléphone constituent nettement une incitation à la haine raciale ou religieuse, que le Canada est tenu d’i</w:t>
      </w:r>
      <w:r w:rsidR="0033668C">
        <w:rPr>
          <w:lang w:val="fr-CH"/>
        </w:rPr>
        <w:t>nterdire en vertu du paragraphe </w:t>
      </w:r>
      <w:r w:rsidRPr="00F15147">
        <w:rPr>
          <w:lang w:val="fr-CH"/>
        </w:rPr>
        <w:t xml:space="preserve">2 de l’article 20 du Pacte. » (par. 8.b) La jurisprudence de la Cour européenne offre évidemment de nombreux autres exemples, dans lesquels la Cour examine soigneusement la qualification des propos litigieux opérée par le juge national avant de conclure à l’absence de violation de l’article 10 de la Convention. V. par ex. parmi beaucoup d’autres la décision rendue </w:t>
      </w:r>
      <w:r w:rsidR="00494FAA">
        <w:rPr>
          <w:lang w:val="fr-CH"/>
        </w:rPr>
        <w:t>dans l’affaire M’Bala M’Bala c. </w:t>
      </w:r>
      <w:r w:rsidRPr="00F15147">
        <w:rPr>
          <w:lang w:val="fr-CH"/>
        </w:rPr>
        <w:t>France, req. n</w:t>
      </w:r>
      <w:r w:rsidRPr="00F15147">
        <w:rPr>
          <w:vertAlign w:val="superscript"/>
          <w:lang w:val="fr-CH"/>
        </w:rPr>
        <w:t>o</w:t>
      </w:r>
      <w:r w:rsidRPr="00F15147">
        <w:rPr>
          <w:lang w:val="fr-CH"/>
        </w:rPr>
        <w:t> 25239/13, 20 octobre 2015, dans laquelle la Cour examine minutieusement les motifs des juridictions internes et juge que leurs constats sont fondés « sur une appréciation des faits qu’elle peut partager » (§ 35) ; ou encore dans l’affaire Feret c. Belgique (op. cit.), particulièrement pertinente dans le cas d’espèce, puisqu’elle concernait les propos tenus</w:t>
      </w:r>
      <w:r>
        <w:rPr>
          <w:lang w:val="fr-CH"/>
        </w:rPr>
        <w:t xml:space="preserve"> par une personnalité politique </w:t>
      </w:r>
      <w:r w:rsidRPr="00F15147">
        <w:rPr>
          <w:lang w:val="fr-CH"/>
        </w:rPr>
        <w:t>: la Cour « a examiné les textes litigieux divulgués par le requérant et considère que les conclusions des juridictions internes concernant ces publications étaient pleinement justifiées. »</w:t>
      </w:r>
    </w:p>
  </w:footnote>
  <w:footnote w:id="60">
    <w:p w14:paraId="79EAF729" w14:textId="3E225012" w:rsidR="00CD1B51" w:rsidRPr="00CD1B51" w:rsidRDefault="00CD1B51" w:rsidP="00F52792">
      <w:pPr>
        <w:pStyle w:val="FootnoteText"/>
        <w:rPr>
          <w:lang w:val="fr-CH"/>
        </w:rPr>
      </w:pPr>
      <w:r w:rsidRPr="00494FAA">
        <w:rPr>
          <w:lang w:val="fr-CH"/>
        </w:rPr>
        <w:tab/>
      </w:r>
      <w:r>
        <w:rPr>
          <w:rStyle w:val="FootnoteReference"/>
        </w:rPr>
        <w:footnoteRef/>
      </w:r>
      <w:r w:rsidRPr="00CD1B51">
        <w:rPr>
          <w:lang w:val="fr-CH"/>
        </w:rPr>
        <w:tab/>
      </w:r>
      <w:r w:rsidRPr="00F15147">
        <w:rPr>
          <w:lang w:val="fr-CH"/>
        </w:rPr>
        <w:t xml:space="preserve">V. par ex. l’affaire Patrick Coleman c. Australie, comm. </w:t>
      </w:r>
      <w:r w:rsidR="00F52792">
        <w:rPr>
          <w:lang w:val="fr-CH"/>
        </w:rPr>
        <w:t>n</w:t>
      </w:r>
      <w:r w:rsidR="00F52792" w:rsidRPr="00F52792">
        <w:rPr>
          <w:vertAlign w:val="superscript"/>
          <w:lang w:val="fr-CH"/>
        </w:rPr>
        <w:t>o</w:t>
      </w:r>
      <w:r w:rsidR="00F52792">
        <w:rPr>
          <w:lang w:val="fr-CH"/>
        </w:rPr>
        <w:t> 1157/2003, 17 juillet 2006 : la </w:t>
      </w:r>
      <w:r w:rsidRPr="00F15147">
        <w:rPr>
          <w:lang w:val="fr-CH"/>
        </w:rPr>
        <w:t>condamnation par une Magistrates Court de l’auteur pour avoir prononcé un discours dans un lieu public sans permission est confirmée par les juridictions supérieures, notamment la Cour d’appel qui a estimé que l’arrêté sur la base duquel l’auteur avait été condamné avait pour « objet légitime d’éviter aux usagers de la petite galerie piétonne de subir des discours publics et qu’il était raisonnablement approprié et adapté à cette fin étant donné qu’il s’appliquait à “un périmètre très restreint, ce qui laissait suffisamment d’autres espaces où tenir de tels discours. » (par. 2.3.) Ceci n’a pourtant pas empêché, à la suite d’un évaluation détaillée des propos de l’auteur et des circonstances dans lesquelles ceux-ci avaient été tenus, de considérer que « la réaction de l’Etat partie face au comportement de l’auteur a été disproportionné et a constitué une restriction à la liberté d’expression de celui-ci qui est incompatible avec le paragraphe 3 de l’article 19 du Pacte. » (par. 7.3.)</w:t>
      </w:r>
    </w:p>
  </w:footnote>
  <w:footnote w:id="61">
    <w:p w14:paraId="5A565AFF" w14:textId="25FF6BCC" w:rsidR="00CD1B51" w:rsidRPr="00CD1B51" w:rsidRDefault="00CD1B51" w:rsidP="00F52792">
      <w:pPr>
        <w:pStyle w:val="FootnoteText"/>
        <w:rPr>
          <w:lang w:val="fr-CH"/>
        </w:rPr>
      </w:pPr>
      <w:r>
        <w:tab/>
      </w:r>
      <w:r>
        <w:rPr>
          <w:rStyle w:val="FootnoteReference"/>
        </w:rPr>
        <w:footnoteRef/>
      </w:r>
      <w:r w:rsidRPr="00CD1B51">
        <w:rPr>
          <w:lang w:val="fr-CH"/>
        </w:rPr>
        <w:tab/>
      </w:r>
      <w:r w:rsidRPr="00F15147">
        <w:rPr>
          <w:lang w:val="fr-CH"/>
        </w:rPr>
        <w:t xml:space="preserve">Observation générale </w:t>
      </w:r>
      <w:r w:rsidR="00F52792">
        <w:rPr>
          <w:lang w:val="fr-CH"/>
        </w:rPr>
        <w:t>n</w:t>
      </w:r>
      <w:r w:rsidR="00F52792" w:rsidRPr="00F52792">
        <w:rPr>
          <w:vertAlign w:val="superscript"/>
          <w:lang w:val="fr-CH"/>
        </w:rPr>
        <w:t>o</w:t>
      </w:r>
      <w:r w:rsidR="00F52792">
        <w:rPr>
          <w:lang w:val="fr-CH"/>
        </w:rPr>
        <w:t> </w:t>
      </w:r>
      <w:r w:rsidRPr="00F15147">
        <w:rPr>
          <w:lang w:val="fr-CH"/>
        </w:rPr>
        <w:t>32, Article 14 : Droit à l’égalité devant les tribu</w:t>
      </w:r>
      <w:r w:rsidR="00494FAA">
        <w:rPr>
          <w:lang w:val="fr-CH"/>
        </w:rPr>
        <w:t>naux et les cours de justice et </w:t>
      </w:r>
      <w:r w:rsidRPr="00F15147">
        <w:rPr>
          <w:lang w:val="fr-CH"/>
        </w:rPr>
        <w:t>à un procès équitable, § 26.</w:t>
      </w:r>
    </w:p>
  </w:footnote>
  <w:footnote w:id="62">
    <w:p w14:paraId="7AC682A5" w14:textId="39B945B0" w:rsidR="00CD1B51" w:rsidRPr="00CD1B51" w:rsidRDefault="00CD1B51" w:rsidP="00F52792">
      <w:pPr>
        <w:pStyle w:val="FootnoteText"/>
        <w:rPr>
          <w:lang w:val="fr-CH"/>
        </w:rPr>
      </w:pPr>
      <w:r w:rsidRPr="00F52792">
        <w:rPr>
          <w:lang w:val="fr-CH"/>
        </w:rPr>
        <w:tab/>
      </w:r>
      <w:r>
        <w:rPr>
          <w:rStyle w:val="FootnoteReference"/>
        </w:rPr>
        <w:footnoteRef/>
      </w:r>
      <w:r w:rsidRPr="00CD1B51">
        <w:rPr>
          <w:lang w:val="fr-CH"/>
        </w:rPr>
        <w:tab/>
      </w:r>
      <w:r w:rsidRPr="00F15147">
        <w:rPr>
          <w:lang w:val="fr-CH"/>
        </w:rPr>
        <w:t xml:space="preserve">Observation générale </w:t>
      </w:r>
      <w:r w:rsidR="00F52792">
        <w:rPr>
          <w:lang w:val="fr-CH"/>
        </w:rPr>
        <w:t>n</w:t>
      </w:r>
      <w:r w:rsidR="00F52792" w:rsidRPr="00F52792">
        <w:rPr>
          <w:vertAlign w:val="superscript"/>
          <w:lang w:val="fr-CH"/>
        </w:rPr>
        <w:t>o</w:t>
      </w:r>
      <w:r w:rsidR="00F52792">
        <w:rPr>
          <w:lang w:val="fr-CH"/>
        </w:rPr>
        <w:t> </w:t>
      </w:r>
      <w:r w:rsidRPr="00F15147">
        <w:rPr>
          <w:lang w:val="fr-CH"/>
        </w:rPr>
        <w:t>34, Art. 19 : Liberté d’opinion e</w:t>
      </w:r>
      <w:r w:rsidR="007200D0">
        <w:rPr>
          <w:lang w:val="fr-CH"/>
        </w:rPr>
        <w:t>t liberté d’expression, 2011, § </w:t>
      </w:r>
      <w:r w:rsidRPr="00F15147">
        <w:rPr>
          <w:lang w:val="fr-CH"/>
        </w:rPr>
        <w:t>36.</w:t>
      </w:r>
    </w:p>
  </w:footnote>
  <w:footnote w:id="63">
    <w:p w14:paraId="0694FFE9" w14:textId="5410CAA5" w:rsidR="0079556D" w:rsidRPr="0079556D" w:rsidRDefault="0079556D">
      <w:pPr>
        <w:pStyle w:val="FootnoteText"/>
        <w:rPr>
          <w:lang w:val="fr-CH"/>
        </w:rPr>
      </w:pPr>
      <w:r w:rsidRPr="00F52792">
        <w:rPr>
          <w:lang w:val="fr-CH"/>
        </w:rPr>
        <w:tab/>
      </w:r>
      <w:r>
        <w:rPr>
          <w:rStyle w:val="FootnoteReference"/>
        </w:rPr>
        <w:footnoteRef/>
      </w:r>
      <w:r>
        <w:tab/>
      </w:r>
      <w:r w:rsidRPr="00F15147">
        <w:rPr>
          <w:lang w:val="fr-CH"/>
        </w:rPr>
        <w:t>Constatations, par. 3.1., b).</w:t>
      </w:r>
    </w:p>
  </w:footnote>
  <w:footnote w:id="64">
    <w:p w14:paraId="491782B7" w14:textId="2F7862FE" w:rsidR="0079556D" w:rsidRPr="0079556D" w:rsidRDefault="0079556D">
      <w:pPr>
        <w:pStyle w:val="FootnoteText"/>
        <w:rPr>
          <w:lang w:val="fr-CH"/>
        </w:rPr>
      </w:pPr>
      <w:r>
        <w:tab/>
      </w:r>
      <w:r>
        <w:rPr>
          <w:rStyle w:val="FootnoteReference"/>
        </w:rPr>
        <w:footnoteRef/>
      </w:r>
      <w:r>
        <w:tab/>
      </w:r>
      <w:r w:rsidRPr="00F15147">
        <w:rPr>
          <w:lang w:val="fr-CH"/>
        </w:rPr>
        <w:t>Id., par. 2.7., a)-4).</w:t>
      </w:r>
    </w:p>
  </w:footnote>
  <w:footnote w:id="65">
    <w:p w14:paraId="7B657424" w14:textId="2AAF1B74" w:rsidR="0079556D" w:rsidRPr="0079556D" w:rsidRDefault="0079556D">
      <w:pPr>
        <w:pStyle w:val="FootnoteText"/>
        <w:rPr>
          <w:lang w:val="fr-CH"/>
        </w:rPr>
      </w:pPr>
      <w:r>
        <w:tab/>
      </w:r>
      <w:r>
        <w:rPr>
          <w:rStyle w:val="FootnoteReference"/>
        </w:rPr>
        <w:footnoteRef/>
      </w:r>
      <w:r>
        <w:tab/>
      </w:r>
      <w:r w:rsidRPr="00F15147">
        <w:rPr>
          <w:lang w:val="fr-CH"/>
        </w:rPr>
        <w:t>Ibid., par. 2.7., a)-7).</w:t>
      </w:r>
    </w:p>
  </w:footnote>
  <w:footnote w:id="66">
    <w:p w14:paraId="472A6617" w14:textId="5A9B231F" w:rsidR="0079556D" w:rsidRPr="0079556D" w:rsidRDefault="0079556D">
      <w:pPr>
        <w:pStyle w:val="FootnoteText"/>
        <w:rPr>
          <w:lang w:val="fr-CH"/>
        </w:rPr>
      </w:pPr>
      <w:r>
        <w:tab/>
      </w:r>
      <w:r>
        <w:rPr>
          <w:rStyle w:val="FootnoteReference"/>
        </w:rPr>
        <w:footnoteRef/>
      </w:r>
      <w:r>
        <w:tab/>
      </w:r>
      <w:r w:rsidRPr="00F15147">
        <w:rPr>
          <w:lang w:val="fr-CH"/>
        </w:rPr>
        <w:t>Ibid., par. 2.7., c)-11).</w:t>
      </w:r>
    </w:p>
  </w:footnote>
  <w:footnote w:id="67">
    <w:p w14:paraId="2B333A76" w14:textId="6D80BFD0" w:rsidR="0079556D" w:rsidRPr="0079556D" w:rsidRDefault="0079556D">
      <w:pPr>
        <w:pStyle w:val="FootnoteText"/>
        <w:rPr>
          <w:lang w:val="fr-CH"/>
        </w:rPr>
      </w:pPr>
      <w:r>
        <w:tab/>
      </w:r>
      <w:r>
        <w:rPr>
          <w:rStyle w:val="FootnoteReference"/>
        </w:rPr>
        <w:footnoteRef/>
      </w:r>
      <w:r w:rsidRPr="0079556D">
        <w:rPr>
          <w:lang w:val="fr-CH"/>
        </w:rPr>
        <w:tab/>
      </w:r>
      <w:r w:rsidRPr="00F15147">
        <w:rPr>
          <w:lang w:val="fr-CH"/>
        </w:rPr>
        <w:t>La chambre de première instance du Tribunal pénal international pour le Rwanda saisie de l’Affaire des Médias a bien saisi la nature de ce type de discours dans le passage suivant de son jugement : « Un discours de haine constitue une forme discriminatoire d’agression qui anéantit la dignité des membres du groupe visé. Il crée un statut inférieur, non seulement aux yeux des membres du groupe proprement dit mais également des autres qui les regardent et les traitent comme moins qu’humains. Envisagé en soi et en ses autres conséquences, le dénigrement de personnes en raison de leur identité ethnique ou de leur appartenance à tel autre groupe peut causer un tort irréversible. » Le Procureur c. Ferdinand Nahimana, Jean-Bosco Barayagwiza et Hassan Ngeze, affaire n</w:t>
      </w:r>
      <w:r w:rsidRPr="00F15147">
        <w:rPr>
          <w:vertAlign w:val="superscript"/>
          <w:lang w:val="fr-CH"/>
        </w:rPr>
        <w:t>o</w:t>
      </w:r>
      <w:r w:rsidRPr="00F15147">
        <w:rPr>
          <w:lang w:val="fr-CH"/>
        </w:rPr>
        <w:t> ICTR-99-52-T, jugement et sentence, 3 décembre 2003, § 1072. Sur le discours de haine comme violation du droit à la dignité, v. notamment Wibke K. Timmermann, Incitement in International Law, Routledge, 2015, pp. 39-53.</w:t>
      </w:r>
    </w:p>
  </w:footnote>
  <w:footnote w:id="68">
    <w:p w14:paraId="6762C912" w14:textId="0F39E154" w:rsidR="0079556D" w:rsidRPr="0079556D" w:rsidRDefault="0079556D">
      <w:pPr>
        <w:pStyle w:val="FootnoteText"/>
        <w:rPr>
          <w:lang w:val="fr-CH"/>
        </w:rPr>
      </w:pPr>
      <w:r>
        <w:tab/>
      </w:r>
      <w:r>
        <w:rPr>
          <w:rStyle w:val="FootnoteReference"/>
        </w:rPr>
        <w:footnoteRef/>
      </w:r>
      <w:r>
        <w:tab/>
      </w:r>
      <w:r w:rsidRPr="00F15147">
        <w:rPr>
          <w:lang w:val="fr-CH"/>
        </w:rPr>
        <w:t>Ibid., par. 2.7., a).</w:t>
      </w:r>
    </w:p>
  </w:footnote>
  <w:footnote w:id="69">
    <w:p w14:paraId="4E414BA9" w14:textId="5121FF84" w:rsidR="0079556D" w:rsidRPr="0079556D" w:rsidRDefault="0079556D">
      <w:pPr>
        <w:pStyle w:val="FootnoteText"/>
        <w:rPr>
          <w:lang w:val="fr-CH"/>
        </w:rPr>
      </w:pPr>
      <w:r>
        <w:rPr>
          <w:lang w:val="fr-CH"/>
        </w:rPr>
        <w:tab/>
      </w:r>
      <w:r>
        <w:rPr>
          <w:rStyle w:val="FootnoteReference"/>
        </w:rPr>
        <w:footnoteRef/>
      </w:r>
      <w:r>
        <w:rPr>
          <w:lang w:val="fr-CH"/>
        </w:rPr>
        <w:tab/>
      </w:r>
      <w:r w:rsidRPr="00F15147">
        <w:rPr>
          <w:lang w:val="fr-CH"/>
        </w:rPr>
        <w:t>V. notamment les observations finales du CERD sur les Pays-Bas (2015), § 11.</w:t>
      </w:r>
    </w:p>
  </w:footnote>
  <w:footnote w:id="70">
    <w:p w14:paraId="2D76BF8F" w14:textId="081871E1" w:rsidR="0079556D" w:rsidRPr="0079556D" w:rsidRDefault="0079556D">
      <w:pPr>
        <w:pStyle w:val="FootnoteText"/>
        <w:rPr>
          <w:lang w:val="fr-CH"/>
        </w:rPr>
      </w:pPr>
      <w:r>
        <w:tab/>
      </w:r>
      <w:r>
        <w:rPr>
          <w:rStyle w:val="FootnoteReference"/>
        </w:rPr>
        <w:footnoteRef/>
      </w:r>
      <w:r w:rsidRPr="0079556D">
        <w:rPr>
          <w:lang w:val="fr-CH"/>
        </w:rPr>
        <w:tab/>
      </w:r>
      <w:r w:rsidRPr="00F15147">
        <w:rPr>
          <w:lang w:val="fr-CH"/>
        </w:rPr>
        <w:t xml:space="preserve">La jurisprudence de la Cour européenne et la pratique de la plupart </w:t>
      </w:r>
      <w:r w:rsidR="00774008">
        <w:rPr>
          <w:lang w:val="fr-CH"/>
        </w:rPr>
        <w:t>des pays d’Europe établit que « </w:t>
      </w:r>
      <w:r w:rsidRPr="00F15147">
        <w:rPr>
          <w:lang w:val="fr-CH"/>
        </w:rPr>
        <w:t>l’incitation à la haine ne requiert pas nécessairement l’appel à tel ou tel acte de violence ou à un autre acte délictueux. » (arrêt Feret c. Belgique, op. cit., par. 73). La Cour poursuit : « Les atteintes aux personnes commises en injuriant, en ridiculisant ou en diffamant certaines parties de la population et des groupes spécifiques de celle-ci ou l’incitation à la discrimination, comme cela a été le cas en l’espèce, suffisent pour que les autorités privilégient la lutte contre le discours raciste face à une liberté d’expression irresponsable et portant atteinte à la dignité, voire à la sécurité de ces parties ou de ces groupes de la population. Les discours politiques qui incitent à la haine fondée sur les préjugés religieux, ethniques ou culturels représentent un danger pour la paix sociale et la stabilité politique dans les Etats démocratiques. » Cette conception peut sans doute être opposée à celle qui prévaut aux Etats-Unis d’Amérique, telle qu’exprimée notamment par la Cour suprême dans l’affaire Virginia v. Black, 123 S. Ct. 1536 (2003) qui exige que « l’appel » à la haine soit accompagné d’une « incitation » à commettre des actes préjudiciables pour l’intégrité physique de la victime potentielle. Comme l’observe justement le professeur Patrick Wachsmann : « La différence radicale sur ce point entre les approches américaine et européenne tient sans doute au fait que les conséquences du discours raciste ont été tragiquement déployées sur le sol européen ; elles culminent dans la Shoah, l’extermination parachevant la stigmatisation, l’exclusion, l’humiliation et les sévices divers. L’argument qui tiendrait cette différence historique pour purement contingente, comme une donnée à éliminer du débat nous paraît inacceptable : on n’est jamais irrecevable, en matière de libertés publiques, à invoquer les données de l’expérience. » P. Wachsmann, « Faut-il incriminer les discours de haine ? Le cas français. », Revue générale du droit, avril 2015, http://www.revuegenerale</w:t>
      </w:r>
      <w:r w:rsidR="00774008">
        <w:rPr>
          <w:lang w:val="fr-CH"/>
        </w:rPr>
        <w:br/>
      </w:r>
      <w:r w:rsidRPr="00F15147">
        <w:rPr>
          <w:lang w:val="fr-CH"/>
        </w:rPr>
        <w:t>dudroit.eu/blog/2015/04/21/faut-il-incriminer-les-discours-de-haine-le-cas-francais/</w:t>
      </w:r>
      <w:r>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FD6DC" w14:textId="176FEC66" w:rsidR="001E7F2D" w:rsidRPr="00E152A1" w:rsidRDefault="001E7F2D" w:rsidP="00E152A1">
    <w:pPr>
      <w:pStyle w:val="Header"/>
    </w:pPr>
    <w:r>
      <w:t>CCPR/C/117/D/2124/2011</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07339" w14:textId="77777777" w:rsidR="007A4F9A" w:rsidRDefault="007A4F9A" w:rsidP="00F15147">
    <w:pPr>
      <w:pStyle w:val="Header"/>
      <w:jc w:val="right"/>
    </w:pPr>
    <w:r>
      <w:t>CCPR/C/117/D/2124/2011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18B2E" w14:textId="77777777" w:rsidR="007A4F9A" w:rsidRDefault="007A4F9A" w:rsidP="0033668C">
    <w:pPr>
      <w:pStyle w:val="Header"/>
    </w:pPr>
    <w:r>
      <w:t>CCPR/C/117/D/2124/2011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ECA9C" w14:textId="77777777" w:rsidR="0033668C" w:rsidRPr="00E152A1" w:rsidRDefault="0033668C" w:rsidP="00E152A1">
    <w:pPr>
      <w:pStyle w:val="Header"/>
    </w:pPr>
    <w:r>
      <w:t>CCPR/C/117/D/2124/2011</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1F400" w14:textId="77777777" w:rsidR="0033668C" w:rsidRDefault="0033668C" w:rsidP="0033668C">
    <w:pPr>
      <w:pStyle w:val="Header"/>
      <w:jc w:val="right"/>
    </w:pPr>
    <w:r>
      <w:t>CCPR/C/117/D/2124/2011</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F7D8B" w14:textId="77777777" w:rsidR="0033668C" w:rsidRPr="00E152A1" w:rsidRDefault="0033668C" w:rsidP="00E152A1">
    <w:pPr>
      <w:pStyle w:val="Header"/>
    </w:pPr>
    <w:r>
      <w:t>CCPR/C/117/D/2124/2011</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B5D66" w14:textId="77777777" w:rsidR="0033668C" w:rsidRPr="00E152A1" w:rsidRDefault="0033668C" w:rsidP="00E152A1">
    <w:pPr>
      <w:pStyle w:val="Header"/>
      <w:jc w:val="right"/>
    </w:pPr>
    <w:r>
      <w:t>CCPR/C/117/D/2124/2011</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C7840" w14:textId="77777777" w:rsidR="0033668C" w:rsidRDefault="0033668C" w:rsidP="0033668C">
    <w:pPr>
      <w:pStyle w:val="Header"/>
      <w:jc w:val="right"/>
    </w:pPr>
    <w:r>
      <w:t>CCPR/C/117/D/2124/2011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D5BF7" w14:textId="3BCCB5FC" w:rsidR="001E7F2D" w:rsidRPr="00E152A1" w:rsidRDefault="001E7F2D" w:rsidP="00E152A1">
    <w:pPr>
      <w:pStyle w:val="Header"/>
      <w:jc w:val="right"/>
    </w:pPr>
    <w:r>
      <w:t>CCPR/C/117/D/2124/2011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83CAC" w14:textId="5A84A5CE" w:rsidR="001E7F2D" w:rsidRDefault="001E7F2D" w:rsidP="00F15147">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8301C" w14:textId="77777777" w:rsidR="007A4F9A" w:rsidRPr="00E152A1" w:rsidRDefault="007A4F9A" w:rsidP="00E152A1">
    <w:pPr>
      <w:pStyle w:val="Header"/>
    </w:pPr>
    <w:r>
      <w:t>CCPR/C/117/D/2124/2011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9DF13" w14:textId="77777777" w:rsidR="007A4F9A" w:rsidRDefault="007A4F9A" w:rsidP="00F15147">
    <w:pPr>
      <w:pStyle w:val="Header"/>
      <w:jc w:val="right"/>
    </w:pPr>
    <w:r>
      <w:t>CCPR/C/117/D/2124/2011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8AD2A" w14:textId="77777777" w:rsidR="007A4F9A" w:rsidRPr="00E152A1" w:rsidRDefault="007A4F9A" w:rsidP="00E152A1">
    <w:pPr>
      <w:pStyle w:val="Header"/>
    </w:pPr>
    <w:r>
      <w:t>CCPR/C/117/D/2124/2011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20792" w14:textId="77777777" w:rsidR="007A4F9A" w:rsidRDefault="007A4F9A" w:rsidP="00F15147">
    <w:pPr>
      <w:pStyle w:val="Header"/>
      <w:jc w:val="right"/>
    </w:pPr>
    <w:r>
      <w:t>CCPR/C/117/D/2124/2011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5AB54" w14:textId="77777777" w:rsidR="007A4F9A" w:rsidRPr="00E152A1" w:rsidRDefault="007A4F9A" w:rsidP="00E152A1">
    <w:pPr>
      <w:pStyle w:val="Header"/>
    </w:pPr>
    <w:r>
      <w:t>CCPR/C/117/D/2124/2011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12506" w14:textId="77777777" w:rsidR="007A4F9A" w:rsidRPr="00E152A1" w:rsidRDefault="007A4F9A" w:rsidP="00E152A1">
    <w:pPr>
      <w:pStyle w:val="Header"/>
      <w:jc w:val="right"/>
    </w:pPr>
    <w:r>
      <w:t>CCPR/C/117/D/2124/2011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82468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541F5"/>
    <w:multiLevelType w:val="hybridMultilevel"/>
    <w:tmpl w:val="E0A228C4"/>
    <w:lvl w:ilvl="0" w:tplc="61126B0E">
      <w:start w:val="1"/>
      <w:numFmt w:val="lowerRoman"/>
      <w:lvlText w:val="(%1)"/>
      <w:lvlJc w:val="left"/>
      <w:pPr>
        <w:ind w:left="1854" w:hanging="360"/>
      </w:pPr>
      <w:rPr>
        <w:rFonts w:ascii="Times New Roman" w:eastAsia="Times New Roman" w:hAnsi="Times New Roman" w:cs="Times New Roman"/>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024AB0"/>
    <w:multiLevelType w:val="hybridMultilevel"/>
    <w:tmpl w:val="F796DBB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39D7E14"/>
    <w:multiLevelType w:val="hybridMultilevel"/>
    <w:tmpl w:val="035666A2"/>
    <w:lvl w:ilvl="0" w:tplc="C2469168">
      <w:start w:val="1"/>
      <w:numFmt w:val="lowerRoman"/>
      <w:lvlText w:val="(%1)"/>
      <w:lvlJc w:val="left"/>
      <w:pPr>
        <w:ind w:left="1854" w:hanging="360"/>
      </w:pPr>
      <w:rPr>
        <w:rFonts w:ascii="Times New Roman" w:eastAsia="Times New Roman" w:hAnsi="Times New Roman" w:cs="Times New Roman"/>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9014A66"/>
    <w:multiLevelType w:val="hybridMultilevel"/>
    <w:tmpl w:val="F7DE9B34"/>
    <w:lvl w:ilvl="0" w:tplc="2C96C8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074A12"/>
    <w:multiLevelType w:val="hybridMultilevel"/>
    <w:tmpl w:val="A9C0B71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33406515"/>
    <w:multiLevelType w:val="hybridMultilevel"/>
    <w:tmpl w:val="2904EDA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3B520B91"/>
    <w:multiLevelType w:val="hybridMultilevel"/>
    <w:tmpl w:val="CCC06CF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411C0BAF"/>
    <w:multiLevelType w:val="hybridMultilevel"/>
    <w:tmpl w:val="F54E32B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435C6047"/>
    <w:multiLevelType w:val="hybridMultilevel"/>
    <w:tmpl w:val="7CF8B296"/>
    <w:lvl w:ilvl="0" w:tplc="0409000F">
      <w:start w:val="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4B6C3951"/>
    <w:multiLevelType w:val="hybridMultilevel"/>
    <w:tmpl w:val="225EBE40"/>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4CFA5801"/>
    <w:multiLevelType w:val="hybridMultilevel"/>
    <w:tmpl w:val="94E24D24"/>
    <w:lvl w:ilvl="0" w:tplc="BB38EF50">
      <w:start w:val="1"/>
      <w:numFmt w:val="lowerRoman"/>
      <w:lvlText w:val="(%1)"/>
      <w:lvlJc w:val="left"/>
      <w:pPr>
        <w:ind w:left="2430" w:hanging="72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58F04603"/>
    <w:multiLevelType w:val="hybridMultilevel"/>
    <w:tmpl w:val="0E8ED7A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5EB10085"/>
    <w:multiLevelType w:val="hybridMultilevel"/>
    <w:tmpl w:val="08F87A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5FA20476"/>
    <w:multiLevelType w:val="hybridMultilevel"/>
    <w:tmpl w:val="B3B0F66C"/>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15:restartNumberingAfterBreak="0">
    <w:nsid w:val="634F0CCE"/>
    <w:multiLevelType w:val="hybridMultilevel"/>
    <w:tmpl w:val="D464BE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FA7F87"/>
    <w:multiLevelType w:val="hybridMultilevel"/>
    <w:tmpl w:val="844E116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79C251E0"/>
    <w:multiLevelType w:val="hybridMultilevel"/>
    <w:tmpl w:val="D3BA2D88"/>
    <w:lvl w:ilvl="0" w:tplc="00A05CCE">
      <w:start w:val="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2"/>
  </w:num>
  <w:num w:numId="2">
    <w:abstractNumId w:val="17"/>
  </w:num>
  <w:num w:numId="3">
    <w:abstractNumId w:val="16"/>
  </w:num>
  <w:num w:numId="4">
    <w:abstractNumId w:val="5"/>
  </w:num>
  <w:num w:numId="5">
    <w:abstractNumId w:val="0"/>
  </w:num>
  <w:num w:numId="6">
    <w:abstractNumId w:val="19"/>
  </w:num>
  <w:num w:numId="7">
    <w:abstractNumId w:val="7"/>
  </w:num>
  <w:num w:numId="8">
    <w:abstractNumId w:val="10"/>
  </w:num>
  <w:num w:numId="9">
    <w:abstractNumId w:val="11"/>
  </w:num>
  <w:num w:numId="10">
    <w:abstractNumId w:val="15"/>
  </w:num>
  <w:num w:numId="11">
    <w:abstractNumId w:val="1"/>
  </w:num>
  <w:num w:numId="12">
    <w:abstractNumId w:val="14"/>
  </w:num>
  <w:num w:numId="13">
    <w:abstractNumId w:val="8"/>
  </w:num>
  <w:num w:numId="14">
    <w:abstractNumId w:val="13"/>
  </w:num>
  <w:num w:numId="15">
    <w:abstractNumId w:val="9"/>
  </w:num>
  <w:num w:numId="16">
    <w:abstractNumId w:val="4"/>
  </w:num>
  <w:num w:numId="17">
    <w:abstractNumId w:val="3"/>
  </w:num>
  <w:num w:numId="18">
    <w:abstractNumId w:val="18"/>
  </w:num>
  <w:num w:numId="19">
    <w:abstractNumId w:val="6"/>
  </w:num>
  <w:num w:numId="2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GB" w:vendorID="64" w:dllVersion="0" w:nlCheck="1" w:checkStyle="1"/>
  <w:activeWritingStyle w:appName="MSWord" w:lang="en-US" w:vendorID="64" w:dllVersion="0" w:nlCheck="1" w:checkStyle="1"/>
  <w:activeWritingStyle w:appName="MSWord" w:lang="es-ES"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fr-FR" w:vendorID="64" w:dllVersion="0" w:nlCheck="1" w:checkStyle="1"/>
  <w:activeWritingStyle w:appName="MSWord" w:lang="en-GB"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2A1"/>
    <w:rsid w:val="00000DE2"/>
    <w:rsid w:val="00001C77"/>
    <w:rsid w:val="00002FBF"/>
    <w:rsid w:val="000058FA"/>
    <w:rsid w:val="000059D0"/>
    <w:rsid w:val="00005F43"/>
    <w:rsid w:val="00006F24"/>
    <w:rsid w:val="0000737B"/>
    <w:rsid w:val="0001061D"/>
    <w:rsid w:val="00015056"/>
    <w:rsid w:val="0001600C"/>
    <w:rsid w:val="000170BD"/>
    <w:rsid w:val="000214BD"/>
    <w:rsid w:val="000272B3"/>
    <w:rsid w:val="00031060"/>
    <w:rsid w:val="0003298D"/>
    <w:rsid w:val="00046AFA"/>
    <w:rsid w:val="00050F6B"/>
    <w:rsid w:val="00057E97"/>
    <w:rsid w:val="00060C3A"/>
    <w:rsid w:val="00070A16"/>
    <w:rsid w:val="00071208"/>
    <w:rsid w:val="000713D7"/>
    <w:rsid w:val="00072337"/>
    <w:rsid w:val="00072C8C"/>
    <w:rsid w:val="000733B5"/>
    <w:rsid w:val="00075BF3"/>
    <w:rsid w:val="00075C24"/>
    <w:rsid w:val="00081815"/>
    <w:rsid w:val="0008671A"/>
    <w:rsid w:val="000871D7"/>
    <w:rsid w:val="000931C0"/>
    <w:rsid w:val="000940C6"/>
    <w:rsid w:val="000A06FD"/>
    <w:rsid w:val="000A4765"/>
    <w:rsid w:val="000A5B23"/>
    <w:rsid w:val="000A780E"/>
    <w:rsid w:val="000B175B"/>
    <w:rsid w:val="000B264C"/>
    <w:rsid w:val="000B2672"/>
    <w:rsid w:val="000B3A0F"/>
    <w:rsid w:val="000B3C44"/>
    <w:rsid w:val="000B4EF7"/>
    <w:rsid w:val="000B6EE9"/>
    <w:rsid w:val="000C0E49"/>
    <w:rsid w:val="000C2050"/>
    <w:rsid w:val="000C2C03"/>
    <w:rsid w:val="000C2D2E"/>
    <w:rsid w:val="000D2395"/>
    <w:rsid w:val="000D3F43"/>
    <w:rsid w:val="000D51B8"/>
    <w:rsid w:val="000D7DC7"/>
    <w:rsid w:val="000E0415"/>
    <w:rsid w:val="000E70EB"/>
    <w:rsid w:val="000E7D7B"/>
    <w:rsid w:val="000F0A62"/>
    <w:rsid w:val="000F24C4"/>
    <w:rsid w:val="000F3BD1"/>
    <w:rsid w:val="000F58BD"/>
    <w:rsid w:val="000F5AA7"/>
    <w:rsid w:val="000F6F10"/>
    <w:rsid w:val="000F6F72"/>
    <w:rsid w:val="00101C50"/>
    <w:rsid w:val="00101E60"/>
    <w:rsid w:val="001022DA"/>
    <w:rsid w:val="00104E7C"/>
    <w:rsid w:val="00107658"/>
    <w:rsid w:val="001103AA"/>
    <w:rsid w:val="00112A21"/>
    <w:rsid w:val="00112B41"/>
    <w:rsid w:val="001231FF"/>
    <w:rsid w:val="001233C7"/>
    <w:rsid w:val="0013040B"/>
    <w:rsid w:val="00136694"/>
    <w:rsid w:val="00137629"/>
    <w:rsid w:val="001378FE"/>
    <w:rsid w:val="00144E5B"/>
    <w:rsid w:val="0014782F"/>
    <w:rsid w:val="001507D6"/>
    <w:rsid w:val="00153D35"/>
    <w:rsid w:val="00155958"/>
    <w:rsid w:val="001572F0"/>
    <w:rsid w:val="00161A97"/>
    <w:rsid w:val="00161D3B"/>
    <w:rsid w:val="00161ECA"/>
    <w:rsid w:val="00162BFE"/>
    <w:rsid w:val="00163F1E"/>
    <w:rsid w:val="001650E5"/>
    <w:rsid w:val="00165F3A"/>
    <w:rsid w:val="001700CA"/>
    <w:rsid w:val="00171152"/>
    <w:rsid w:val="0017400A"/>
    <w:rsid w:val="001762E0"/>
    <w:rsid w:val="00177A02"/>
    <w:rsid w:val="00180067"/>
    <w:rsid w:val="001825F3"/>
    <w:rsid w:val="00183968"/>
    <w:rsid w:val="00187316"/>
    <w:rsid w:val="00192827"/>
    <w:rsid w:val="00192836"/>
    <w:rsid w:val="0019651F"/>
    <w:rsid w:val="00197419"/>
    <w:rsid w:val="00197538"/>
    <w:rsid w:val="001976FD"/>
    <w:rsid w:val="001A0DBA"/>
    <w:rsid w:val="001A55A6"/>
    <w:rsid w:val="001A6686"/>
    <w:rsid w:val="001B4B04"/>
    <w:rsid w:val="001B54A7"/>
    <w:rsid w:val="001B6059"/>
    <w:rsid w:val="001B64C0"/>
    <w:rsid w:val="001C067D"/>
    <w:rsid w:val="001C493D"/>
    <w:rsid w:val="001C6663"/>
    <w:rsid w:val="001C7895"/>
    <w:rsid w:val="001D0C8C"/>
    <w:rsid w:val="001D1742"/>
    <w:rsid w:val="001D26DF"/>
    <w:rsid w:val="001D3A03"/>
    <w:rsid w:val="001D4914"/>
    <w:rsid w:val="001D5093"/>
    <w:rsid w:val="001D61AA"/>
    <w:rsid w:val="001E24EE"/>
    <w:rsid w:val="001E3A94"/>
    <w:rsid w:val="001E4294"/>
    <w:rsid w:val="001E7F2D"/>
    <w:rsid w:val="001F05FE"/>
    <w:rsid w:val="001F1CEF"/>
    <w:rsid w:val="00200199"/>
    <w:rsid w:val="00202DA8"/>
    <w:rsid w:val="0020395C"/>
    <w:rsid w:val="002053F4"/>
    <w:rsid w:val="00205912"/>
    <w:rsid w:val="00211E0B"/>
    <w:rsid w:val="002148BC"/>
    <w:rsid w:val="00214B6E"/>
    <w:rsid w:val="0022146D"/>
    <w:rsid w:val="002234DD"/>
    <w:rsid w:val="002262C0"/>
    <w:rsid w:val="00230588"/>
    <w:rsid w:val="00230C05"/>
    <w:rsid w:val="0023210C"/>
    <w:rsid w:val="00234F67"/>
    <w:rsid w:val="00236ACF"/>
    <w:rsid w:val="00237442"/>
    <w:rsid w:val="00240121"/>
    <w:rsid w:val="0024200D"/>
    <w:rsid w:val="00242012"/>
    <w:rsid w:val="00242FF4"/>
    <w:rsid w:val="00243498"/>
    <w:rsid w:val="0025386E"/>
    <w:rsid w:val="00255FF3"/>
    <w:rsid w:val="00262C89"/>
    <w:rsid w:val="002653C1"/>
    <w:rsid w:val="00267F5F"/>
    <w:rsid w:val="002721DF"/>
    <w:rsid w:val="00274005"/>
    <w:rsid w:val="0027584B"/>
    <w:rsid w:val="0027738E"/>
    <w:rsid w:val="00277F1C"/>
    <w:rsid w:val="002840EC"/>
    <w:rsid w:val="00284E2B"/>
    <w:rsid w:val="00286B4D"/>
    <w:rsid w:val="00287D09"/>
    <w:rsid w:val="0029044D"/>
    <w:rsid w:val="00290F9B"/>
    <w:rsid w:val="00294CD4"/>
    <w:rsid w:val="00296899"/>
    <w:rsid w:val="002A4685"/>
    <w:rsid w:val="002B0113"/>
    <w:rsid w:val="002B1466"/>
    <w:rsid w:val="002B2068"/>
    <w:rsid w:val="002B227E"/>
    <w:rsid w:val="002B50CE"/>
    <w:rsid w:val="002B797B"/>
    <w:rsid w:val="002C0B4C"/>
    <w:rsid w:val="002C2067"/>
    <w:rsid w:val="002C4033"/>
    <w:rsid w:val="002D0262"/>
    <w:rsid w:val="002D5215"/>
    <w:rsid w:val="002D75B2"/>
    <w:rsid w:val="002E26DD"/>
    <w:rsid w:val="002E4BCB"/>
    <w:rsid w:val="002E63AC"/>
    <w:rsid w:val="002F175C"/>
    <w:rsid w:val="002F3316"/>
    <w:rsid w:val="002F3EE8"/>
    <w:rsid w:val="002F461F"/>
    <w:rsid w:val="002F5250"/>
    <w:rsid w:val="00305254"/>
    <w:rsid w:val="003075E0"/>
    <w:rsid w:val="00307900"/>
    <w:rsid w:val="0031705C"/>
    <w:rsid w:val="003204B4"/>
    <w:rsid w:val="003229D8"/>
    <w:rsid w:val="00322BD1"/>
    <w:rsid w:val="00325537"/>
    <w:rsid w:val="003271A0"/>
    <w:rsid w:val="00330C15"/>
    <w:rsid w:val="0033228B"/>
    <w:rsid w:val="00332D27"/>
    <w:rsid w:val="003355B0"/>
    <w:rsid w:val="0033668C"/>
    <w:rsid w:val="0034110A"/>
    <w:rsid w:val="00341DB5"/>
    <w:rsid w:val="00346218"/>
    <w:rsid w:val="00350473"/>
    <w:rsid w:val="00352709"/>
    <w:rsid w:val="003542D4"/>
    <w:rsid w:val="00355A7E"/>
    <w:rsid w:val="00356C44"/>
    <w:rsid w:val="00356D36"/>
    <w:rsid w:val="003601C6"/>
    <w:rsid w:val="00364F56"/>
    <w:rsid w:val="00367567"/>
    <w:rsid w:val="003710BE"/>
    <w:rsid w:val="00371178"/>
    <w:rsid w:val="003725FF"/>
    <w:rsid w:val="00374045"/>
    <w:rsid w:val="00377357"/>
    <w:rsid w:val="003827C0"/>
    <w:rsid w:val="0038336C"/>
    <w:rsid w:val="00396D82"/>
    <w:rsid w:val="003976FE"/>
    <w:rsid w:val="003A55B5"/>
    <w:rsid w:val="003A56B4"/>
    <w:rsid w:val="003A6810"/>
    <w:rsid w:val="003A73C6"/>
    <w:rsid w:val="003A7B49"/>
    <w:rsid w:val="003C139D"/>
    <w:rsid w:val="003C2233"/>
    <w:rsid w:val="003C2CC4"/>
    <w:rsid w:val="003C344C"/>
    <w:rsid w:val="003C3CD6"/>
    <w:rsid w:val="003C4794"/>
    <w:rsid w:val="003C7FC2"/>
    <w:rsid w:val="003D4B23"/>
    <w:rsid w:val="003D7B84"/>
    <w:rsid w:val="003E1C78"/>
    <w:rsid w:val="003F3C4D"/>
    <w:rsid w:val="004011A1"/>
    <w:rsid w:val="0040360B"/>
    <w:rsid w:val="0040598F"/>
    <w:rsid w:val="00407962"/>
    <w:rsid w:val="00410C89"/>
    <w:rsid w:val="00411E45"/>
    <w:rsid w:val="00411FB7"/>
    <w:rsid w:val="004203C0"/>
    <w:rsid w:val="00426462"/>
    <w:rsid w:val="00426B9B"/>
    <w:rsid w:val="0043031C"/>
    <w:rsid w:val="004306B7"/>
    <w:rsid w:val="004325CB"/>
    <w:rsid w:val="00432AF9"/>
    <w:rsid w:val="00433D69"/>
    <w:rsid w:val="00436B33"/>
    <w:rsid w:val="00442115"/>
    <w:rsid w:val="00442A83"/>
    <w:rsid w:val="00444EDE"/>
    <w:rsid w:val="00447744"/>
    <w:rsid w:val="004527FE"/>
    <w:rsid w:val="0045495B"/>
    <w:rsid w:val="00457292"/>
    <w:rsid w:val="00457F4F"/>
    <w:rsid w:val="004611B6"/>
    <w:rsid w:val="004612B3"/>
    <w:rsid w:val="0046281E"/>
    <w:rsid w:val="00462DE6"/>
    <w:rsid w:val="004637F3"/>
    <w:rsid w:val="00466A30"/>
    <w:rsid w:val="00473AD7"/>
    <w:rsid w:val="00474E4B"/>
    <w:rsid w:val="00480299"/>
    <w:rsid w:val="00487488"/>
    <w:rsid w:val="004876B7"/>
    <w:rsid w:val="00490B5E"/>
    <w:rsid w:val="00491BC3"/>
    <w:rsid w:val="00494FAA"/>
    <w:rsid w:val="004963CC"/>
    <w:rsid w:val="00496E66"/>
    <w:rsid w:val="00496EAD"/>
    <w:rsid w:val="004A22A2"/>
    <w:rsid w:val="004A2A77"/>
    <w:rsid w:val="004A5323"/>
    <w:rsid w:val="004A613C"/>
    <w:rsid w:val="004A6E36"/>
    <w:rsid w:val="004B040C"/>
    <w:rsid w:val="004B0C7C"/>
    <w:rsid w:val="004B4102"/>
    <w:rsid w:val="004B42F8"/>
    <w:rsid w:val="004B68FC"/>
    <w:rsid w:val="004C03ED"/>
    <w:rsid w:val="004D2807"/>
    <w:rsid w:val="004D2C20"/>
    <w:rsid w:val="004D51DE"/>
    <w:rsid w:val="004D60BD"/>
    <w:rsid w:val="004D7224"/>
    <w:rsid w:val="004E0DD3"/>
    <w:rsid w:val="004E289D"/>
    <w:rsid w:val="004E3B1D"/>
    <w:rsid w:val="004F0BB2"/>
    <w:rsid w:val="004F261B"/>
    <w:rsid w:val="004F27B6"/>
    <w:rsid w:val="00500482"/>
    <w:rsid w:val="005057A1"/>
    <w:rsid w:val="00513599"/>
    <w:rsid w:val="00515761"/>
    <w:rsid w:val="005177E6"/>
    <w:rsid w:val="00517A00"/>
    <w:rsid w:val="0052136D"/>
    <w:rsid w:val="00524E51"/>
    <w:rsid w:val="0052775E"/>
    <w:rsid w:val="005301FC"/>
    <w:rsid w:val="00530D4C"/>
    <w:rsid w:val="00532EF6"/>
    <w:rsid w:val="0053311E"/>
    <w:rsid w:val="005409E9"/>
    <w:rsid w:val="005420F2"/>
    <w:rsid w:val="00547C55"/>
    <w:rsid w:val="00550BFE"/>
    <w:rsid w:val="00551E2A"/>
    <w:rsid w:val="00552099"/>
    <w:rsid w:val="005543E5"/>
    <w:rsid w:val="00555F21"/>
    <w:rsid w:val="005616B9"/>
    <w:rsid w:val="00561C30"/>
    <w:rsid w:val="005628B6"/>
    <w:rsid w:val="00562B53"/>
    <w:rsid w:val="00564F87"/>
    <w:rsid w:val="00565227"/>
    <w:rsid w:val="00570158"/>
    <w:rsid w:val="0057025C"/>
    <w:rsid w:val="005720EC"/>
    <w:rsid w:val="00572C5D"/>
    <w:rsid w:val="00573A54"/>
    <w:rsid w:val="00574788"/>
    <w:rsid w:val="00574BD0"/>
    <w:rsid w:val="0057503F"/>
    <w:rsid w:val="00576AD7"/>
    <w:rsid w:val="00577285"/>
    <w:rsid w:val="00582801"/>
    <w:rsid w:val="005848B3"/>
    <w:rsid w:val="00587CC6"/>
    <w:rsid w:val="00590F87"/>
    <w:rsid w:val="00592400"/>
    <w:rsid w:val="00592C4A"/>
    <w:rsid w:val="00592D8E"/>
    <w:rsid w:val="0059445B"/>
    <w:rsid w:val="005955D6"/>
    <w:rsid w:val="00597F7D"/>
    <w:rsid w:val="005A6755"/>
    <w:rsid w:val="005B3DB3"/>
    <w:rsid w:val="005B3F93"/>
    <w:rsid w:val="005B69CB"/>
    <w:rsid w:val="005C0B63"/>
    <w:rsid w:val="005C4DF2"/>
    <w:rsid w:val="005C5E6D"/>
    <w:rsid w:val="005D6838"/>
    <w:rsid w:val="005E1B0C"/>
    <w:rsid w:val="005E3898"/>
    <w:rsid w:val="005E6836"/>
    <w:rsid w:val="005E70E9"/>
    <w:rsid w:val="005E713A"/>
    <w:rsid w:val="005F0EE9"/>
    <w:rsid w:val="005F7717"/>
    <w:rsid w:val="005F79E5"/>
    <w:rsid w:val="005F7B75"/>
    <w:rsid w:val="006001EE"/>
    <w:rsid w:val="0060110D"/>
    <w:rsid w:val="00604FBC"/>
    <w:rsid w:val="00605042"/>
    <w:rsid w:val="00607DFC"/>
    <w:rsid w:val="00611FC4"/>
    <w:rsid w:val="00612024"/>
    <w:rsid w:val="00612109"/>
    <w:rsid w:val="006138AC"/>
    <w:rsid w:val="0061681F"/>
    <w:rsid w:val="006176FB"/>
    <w:rsid w:val="00617F64"/>
    <w:rsid w:val="006227C4"/>
    <w:rsid w:val="0062332F"/>
    <w:rsid w:val="0062365E"/>
    <w:rsid w:val="00625B1E"/>
    <w:rsid w:val="00625B28"/>
    <w:rsid w:val="00627ED8"/>
    <w:rsid w:val="00627F99"/>
    <w:rsid w:val="00631413"/>
    <w:rsid w:val="00632801"/>
    <w:rsid w:val="00632E72"/>
    <w:rsid w:val="00633EFC"/>
    <w:rsid w:val="00634DCB"/>
    <w:rsid w:val="0063597D"/>
    <w:rsid w:val="00636720"/>
    <w:rsid w:val="00637A7D"/>
    <w:rsid w:val="006409D5"/>
    <w:rsid w:val="00640B26"/>
    <w:rsid w:val="00652D0A"/>
    <w:rsid w:val="0065424F"/>
    <w:rsid w:val="00662BB6"/>
    <w:rsid w:val="00670CC7"/>
    <w:rsid w:val="00672D75"/>
    <w:rsid w:val="00674671"/>
    <w:rsid w:val="006837AA"/>
    <w:rsid w:val="00684C21"/>
    <w:rsid w:val="006857A8"/>
    <w:rsid w:val="00686A73"/>
    <w:rsid w:val="00686FC0"/>
    <w:rsid w:val="0069041D"/>
    <w:rsid w:val="006907C5"/>
    <w:rsid w:val="00691E7A"/>
    <w:rsid w:val="006928CE"/>
    <w:rsid w:val="0069420B"/>
    <w:rsid w:val="00694D3E"/>
    <w:rsid w:val="00696F9C"/>
    <w:rsid w:val="006A16E4"/>
    <w:rsid w:val="006A1D63"/>
    <w:rsid w:val="006A7C59"/>
    <w:rsid w:val="006B0C3C"/>
    <w:rsid w:val="006B44DA"/>
    <w:rsid w:val="006B5E93"/>
    <w:rsid w:val="006B6D48"/>
    <w:rsid w:val="006B76FE"/>
    <w:rsid w:val="006C1F77"/>
    <w:rsid w:val="006C48F4"/>
    <w:rsid w:val="006C518F"/>
    <w:rsid w:val="006D0364"/>
    <w:rsid w:val="006D0701"/>
    <w:rsid w:val="006D1957"/>
    <w:rsid w:val="006D37AF"/>
    <w:rsid w:val="006D392B"/>
    <w:rsid w:val="006D40D2"/>
    <w:rsid w:val="006D51D0"/>
    <w:rsid w:val="006D5622"/>
    <w:rsid w:val="006D7C49"/>
    <w:rsid w:val="006E564B"/>
    <w:rsid w:val="006E7191"/>
    <w:rsid w:val="006F4BB3"/>
    <w:rsid w:val="00701FE0"/>
    <w:rsid w:val="00703577"/>
    <w:rsid w:val="00706A28"/>
    <w:rsid w:val="00711D51"/>
    <w:rsid w:val="00714A7B"/>
    <w:rsid w:val="007176BB"/>
    <w:rsid w:val="007200D0"/>
    <w:rsid w:val="00722C64"/>
    <w:rsid w:val="00723F89"/>
    <w:rsid w:val="0072490A"/>
    <w:rsid w:val="0072632A"/>
    <w:rsid w:val="007319C9"/>
    <w:rsid w:val="007327D5"/>
    <w:rsid w:val="007407C2"/>
    <w:rsid w:val="007408C7"/>
    <w:rsid w:val="007410E7"/>
    <w:rsid w:val="00741DEB"/>
    <w:rsid w:val="00742423"/>
    <w:rsid w:val="00747E66"/>
    <w:rsid w:val="007531A3"/>
    <w:rsid w:val="00757ADB"/>
    <w:rsid w:val="00757E83"/>
    <w:rsid w:val="0076220B"/>
    <w:rsid w:val="0076267B"/>
    <w:rsid w:val="007629C8"/>
    <w:rsid w:val="00763C70"/>
    <w:rsid w:val="0076496C"/>
    <w:rsid w:val="00765E14"/>
    <w:rsid w:val="00767ABC"/>
    <w:rsid w:val="00770B9C"/>
    <w:rsid w:val="00771FE6"/>
    <w:rsid w:val="00774008"/>
    <w:rsid w:val="00777687"/>
    <w:rsid w:val="00777E33"/>
    <w:rsid w:val="00780E3A"/>
    <w:rsid w:val="0078315B"/>
    <w:rsid w:val="007840FC"/>
    <w:rsid w:val="00784C41"/>
    <w:rsid w:val="00792175"/>
    <w:rsid w:val="0079556D"/>
    <w:rsid w:val="0079747F"/>
    <w:rsid w:val="007A0019"/>
    <w:rsid w:val="007A125B"/>
    <w:rsid w:val="007A36B8"/>
    <w:rsid w:val="007A3A4C"/>
    <w:rsid w:val="007A4F9A"/>
    <w:rsid w:val="007A680B"/>
    <w:rsid w:val="007A6D7B"/>
    <w:rsid w:val="007B106F"/>
    <w:rsid w:val="007B6BA5"/>
    <w:rsid w:val="007C180B"/>
    <w:rsid w:val="007C268E"/>
    <w:rsid w:val="007C3390"/>
    <w:rsid w:val="007C3DF6"/>
    <w:rsid w:val="007C44FD"/>
    <w:rsid w:val="007C4F4B"/>
    <w:rsid w:val="007C7645"/>
    <w:rsid w:val="007C784F"/>
    <w:rsid w:val="007D24AD"/>
    <w:rsid w:val="007D44EA"/>
    <w:rsid w:val="007D5975"/>
    <w:rsid w:val="007D70BE"/>
    <w:rsid w:val="007E0B2D"/>
    <w:rsid w:val="007E0E9A"/>
    <w:rsid w:val="007E3E31"/>
    <w:rsid w:val="007F0564"/>
    <w:rsid w:val="007F5702"/>
    <w:rsid w:val="007F61EC"/>
    <w:rsid w:val="007F6611"/>
    <w:rsid w:val="007F6892"/>
    <w:rsid w:val="007F7B86"/>
    <w:rsid w:val="007F7C2C"/>
    <w:rsid w:val="008009FB"/>
    <w:rsid w:val="00803ABB"/>
    <w:rsid w:val="00804BCC"/>
    <w:rsid w:val="00806646"/>
    <w:rsid w:val="00807420"/>
    <w:rsid w:val="008105B8"/>
    <w:rsid w:val="00815066"/>
    <w:rsid w:val="00816CF2"/>
    <w:rsid w:val="00817E97"/>
    <w:rsid w:val="008242D7"/>
    <w:rsid w:val="00824A00"/>
    <w:rsid w:val="00824E9A"/>
    <w:rsid w:val="008257B1"/>
    <w:rsid w:val="00826724"/>
    <w:rsid w:val="00837F91"/>
    <w:rsid w:val="00843767"/>
    <w:rsid w:val="008458A2"/>
    <w:rsid w:val="00851CC2"/>
    <w:rsid w:val="0086117F"/>
    <w:rsid w:val="008616EA"/>
    <w:rsid w:val="00861E8D"/>
    <w:rsid w:val="008679D9"/>
    <w:rsid w:val="0087189B"/>
    <w:rsid w:val="00873A00"/>
    <w:rsid w:val="00875D2F"/>
    <w:rsid w:val="00880F4A"/>
    <w:rsid w:val="008810BD"/>
    <w:rsid w:val="0088197D"/>
    <w:rsid w:val="0088485F"/>
    <w:rsid w:val="008851CB"/>
    <w:rsid w:val="0089320A"/>
    <w:rsid w:val="00894BE7"/>
    <w:rsid w:val="00896051"/>
    <w:rsid w:val="008978F8"/>
    <w:rsid w:val="008979B1"/>
    <w:rsid w:val="008A1DB2"/>
    <w:rsid w:val="008A3F3C"/>
    <w:rsid w:val="008A3FA4"/>
    <w:rsid w:val="008A4160"/>
    <w:rsid w:val="008A51B8"/>
    <w:rsid w:val="008A6140"/>
    <w:rsid w:val="008A6B25"/>
    <w:rsid w:val="008A6C4F"/>
    <w:rsid w:val="008B2335"/>
    <w:rsid w:val="008B2E61"/>
    <w:rsid w:val="008B5B26"/>
    <w:rsid w:val="008B5C50"/>
    <w:rsid w:val="008B6CE5"/>
    <w:rsid w:val="008B73EA"/>
    <w:rsid w:val="008B780E"/>
    <w:rsid w:val="008C27C6"/>
    <w:rsid w:val="008C726B"/>
    <w:rsid w:val="008D2A17"/>
    <w:rsid w:val="008E0678"/>
    <w:rsid w:val="008E2459"/>
    <w:rsid w:val="008E4A19"/>
    <w:rsid w:val="008E77DA"/>
    <w:rsid w:val="008F3C93"/>
    <w:rsid w:val="008F6FF2"/>
    <w:rsid w:val="0090036F"/>
    <w:rsid w:val="0090149D"/>
    <w:rsid w:val="009058BF"/>
    <w:rsid w:val="00910454"/>
    <w:rsid w:val="00910F40"/>
    <w:rsid w:val="009116AA"/>
    <w:rsid w:val="00911811"/>
    <w:rsid w:val="00912C08"/>
    <w:rsid w:val="0091385D"/>
    <w:rsid w:val="009223CA"/>
    <w:rsid w:val="00922E05"/>
    <w:rsid w:val="0092459D"/>
    <w:rsid w:val="00924F7F"/>
    <w:rsid w:val="00931542"/>
    <w:rsid w:val="00931951"/>
    <w:rsid w:val="00931DB7"/>
    <w:rsid w:val="00934D77"/>
    <w:rsid w:val="00940964"/>
    <w:rsid w:val="00940F93"/>
    <w:rsid w:val="009418FA"/>
    <w:rsid w:val="00945D42"/>
    <w:rsid w:val="0095146F"/>
    <w:rsid w:val="0095347F"/>
    <w:rsid w:val="00957613"/>
    <w:rsid w:val="00964FFD"/>
    <w:rsid w:val="00970378"/>
    <w:rsid w:val="0097066D"/>
    <w:rsid w:val="009739A0"/>
    <w:rsid w:val="00975999"/>
    <w:rsid w:val="009760F3"/>
    <w:rsid w:val="00976D1D"/>
    <w:rsid w:val="009773CB"/>
    <w:rsid w:val="009775D3"/>
    <w:rsid w:val="0098594D"/>
    <w:rsid w:val="009909F5"/>
    <w:rsid w:val="00991886"/>
    <w:rsid w:val="00993F8D"/>
    <w:rsid w:val="00997447"/>
    <w:rsid w:val="009A0E8D"/>
    <w:rsid w:val="009A2EEE"/>
    <w:rsid w:val="009A361A"/>
    <w:rsid w:val="009B26E7"/>
    <w:rsid w:val="009B280F"/>
    <w:rsid w:val="009B5303"/>
    <w:rsid w:val="009B545E"/>
    <w:rsid w:val="009B5820"/>
    <w:rsid w:val="009B68A5"/>
    <w:rsid w:val="009C439C"/>
    <w:rsid w:val="009C4711"/>
    <w:rsid w:val="009C4BB0"/>
    <w:rsid w:val="009C5E0B"/>
    <w:rsid w:val="009C6273"/>
    <w:rsid w:val="009D0000"/>
    <w:rsid w:val="009D167A"/>
    <w:rsid w:val="009D2668"/>
    <w:rsid w:val="009D65A5"/>
    <w:rsid w:val="009E07A7"/>
    <w:rsid w:val="009E6CFE"/>
    <w:rsid w:val="009F0AE5"/>
    <w:rsid w:val="009F232B"/>
    <w:rsid w:val="009F3D9D"/>
    <w:rsid w:val="009F65C9"/>
    <w:rsid w:val="00A000C3"/>
    <w:rsid w:val="00A0010D"/>
    <w:rsid w:val="00A009B0"/>
    <w:rsid w:val="00A00A3F"/>
    <w:rsid w:val="00A01489"/>
    <w:rsid w:val="00A049A1"/>
    <w:rsid w:val="00A04FA0"/>
    <w:rsid w:val="00A05091"/>
    <w:rsid w:val="00A05E72"/>
    <w:rsid w:val="00A0716F"/>
    <w:rsid w:val="00A104BD"/>
    <w:rsid w:val="00A11A98"/>
    <w:rsid w:val="00A1723A"/>
    <w:rsid w:val="00A22859"/>
    <w:rsid w:val="00A22936"/>
    <w:rsid w:val="00A24B25"/>
    <w:rsid w:val="00A276C0"/>
    <w:rsid w:val="00A30C91"/>
    <w:rsid w:val="00A313C0"/>
    <w:rsid w:val="00A318EA"/>
    <w:rsid w:val="00A3238E"/>
    <w:rsid w:val="00A338F1"/>
    <w:rsid w:val="00A35530"/>
    <w:rsid w:val="00A41158"/>
    <w:rsid w:val="00A42D4B"/>
    <w:rsid w:val="00A44615"/>
    <w:rsid w:val="00A455E6"/>
    <w:rsid w:val="00A54517"/>
    <w:rsid w:val="00A54586"/>
    <w:rsid w:val="00A5551F"/>
    <w:rsid w:val="00A55FAD"/>
    <w:rsid w:val="00A60A54"/>
    <w:rsid w:val="00A64D74"/>
    <w:rsid w:val="00A65701"/>
    <w:rsid w:val="00A71B44"/>
    <w:rsid w:val="00A72CFE"/>
    <w:rsid w:val="00A72F22"/>
    <w:rsid w:val="00A7360F"/>
    <w:rsid w:val="00A7441D"/>
    <w:rsid w:val="00A748A6"/>
    <w:rsid w:val="00A74A0B"/>
    <w:rsid w:val="00A75343"/>
    <w:rsid w:val="00A769F4"/>
    <w:rsid w:val="00A77477"/>
    <w:rsid w:val="00A776B4"/>
    <w:rsid w:val="00A804CB"/>
    <w:rsid w:val="00A8349E"/>
    <w:rsid w:val="00A8461F"/>
    <w:rsid w:val="00A92911"/>
    <w:rsid w:val="00A92A05"/>
    <w:rsid w:val="00A92BDB"/>
    <w:rsid w:val="00A93079"/>
    <w:rsid w:val="00A94361"/>
    <w:rsid w:val="00AA293C"/>
    <w:rsid w:val="00AA3502"/>
    <w:rsid w:val="00AB08A3"/>
    <w:rsid w:val="00AB20A7"/>
    <w:rsid w:val="00AB4A69"/>
    <w:rsid w:val="00AC2B0D"/>
    <w:rsid w:val="00AC3BCF"/>
    <w:rsid w:val="00AC5B9F"/>
    <w:rsid w:val="00AC6152"/>
    <w:rsid w:val="00AD11CE"/>
    <w:rsid w:val="00AD2460"/>
    <w:rsid w:val="00AD761A"/>
    <w:rsid w:val="00AE1557"/>
    <w:rsid w:val="00AE2A48"/>
    <w:rsid w:val="00AE4540"/>
    <w:rsid w:val="00AE5AD2"/>
    <w:rsid w:val="00AE5D1F"/>
    <w:rsid w:val="00AE74F2"/>
    <w:rsid w:val="00AE793E"/>
    <w:rsid w:val="00AF107C"/>
    <w:rsid w:val="00B04E71"/>
    <w:rsid w:val="00B0538E"/>
    <w:rsid w:val="00B06C31"/>
    <w:rsid w:val="00B06D08"/>
    <w:rsid w:val="00B13E9B"/>
    <w:rsid w:val="00B17AD1"/>
    <w:rsid w:val="00B23E97"/>
    <w:rsid w:val="00B23F81"/>
    <w:rsid w:val="00B249E7"/>
    <w:rsid w:val="00B26A46"/>
    <w:rsid w:val="00B30179"/>
    <w:rsid w:val="00B32638"/>
    <w:rsid w:val="00B339A7"/>
    <w:rsid w:val="00B37788"/>
    <w:rsid w:val="00B408A7"/>
    <w:rsid w:val="00B44772"/>
    <w:rsid w:val="00B45623"/>
    <w:rsid w:val="00B50C5F"/>
    <w:rsid w:val="00B52B33"/>
    <w:rsid w:val="00B56E4A"/>
    <w:rsid w:val="00B56E9C"/>
    <w:rsid w:val="00B64B1F"/>
    <w:rsid w:val="00B6553F"/>
    <w:rsid w:val="00B66E5E"/>
    <w:rsid w:val="00B678A2"/>
    <w:rsid w:val="00B763EA"/>
    <w:rsid w:val="00B77D05"/>
    <w:rsid w:val="00B807CF"/>
    <w:rsid w:val="00B80E2D"/>
    <w:rsid w:val="00B81206"/>
    <w:rsid w:val="00B815D8"/>
    <w:rsid w:val="00B8175E"/>
    <w:rsid w:val="00B81E12"/>
    <w:rsid w:val="00B9067B"/>
    <w:rsid w:val="00B93A39"/>
    <w:rsid w:val="00B93BAC"/>
    <w:rsid w:val="00B93CAC"/>
    <w:rsid w:val="00B95D37"/>
    <w:rsid w:val="00B9658D"/>
    <w:rsid w:val="00BA24D2"/>
    <w:rsid w:val="00BA3B6C"/>
    <w:rsid w:val="00BA6FF6"/>
    <w:rsid w:val="00BB06A6"/>
    <w:rsid w:val="00BB2347"/>
    <w:rsid w:val="00BB4356"/>
    <w:rsid w:val="00BB6FBE"/>
    <w:rsid w:val="00BB7DD2"/>
    <w:rsid w:val="00BC2C23"/>
    <w:rsid w:val="00BC4EFA"/>
    <w:rsid w:val="00BC74E9"/>
    <w:rsid w:val="00BD1A24"/>
    <w:rsid w:val="00BD3908"/>
    <w:rsid w:val="00BD3C3F"/>
    <w:rsid w:val="00BD7309"/>
    <w:rsid w:val="00BE288F"/>
    <w:rsid w:val="00BE2D36"/>
    <w:rsid w:val="00BE3613"/>
    <w:rsid w:val="00BE7E9D"/>
    <w:rsid w:val="00BF0DF7"/>
    <w:rsid w:val="00BF1247"/>
    <w:rsid w:val="00BF15B9"/>
    <w:rsid w:val="00BF4791"/>
    <w:rsid w:val="00BF68A8"/>
    <w:rsid w:val="00C052F9"/>
    <w:rsid w:val="00C06321"/>
    <w:rsid w:val="00C07A2C"/>
    <w:rsid w:val="00C108E3"/>
    <w:rsid w:val="00C11A03"/>
    <w:rsid w:val="00C20BF8"/>
    <w:rsid w:val="00C355B9"/>
    <w:rsid w:val="00C463DD"/>
    <w:rsid w:val="00C46DE4"/>
    <w:rsid w:val="00C4724C"/>
    <w:rsid w:val="00C55891"/>
    <w:rsid w:val="00C5611C"/>
    <w:rsid w:val="00C56126"/>
    <w:rsid w:val="00C607F0"/>
    <w:rsid w:val="00C629A0"/>
    <w:rsid w:val="00C63C94"/>
    <w:rsid w:val="00C64FFF"/>
    <w:rsid w:val="00C655FC"/>
    <w:rsid w:val="00C67E38"/>
    <w:rsid w:val="00C745C3"/>
    <w:rsid w:val="00C75A45"/>
    <w:rsid w:val="00C7663B"/>
    <w:rsid w:val="00C76D40"/>
    <w:rsid w:val="00C8615E"/>
    <w:rsid w:val="00C90B7F"/>
    <w:rsid w:val="00C913C3"/>
    <w:rsid w:val="00C9351E"/>
    <w:rsid w:val="00C969BA"/>
    <w:rsid w:val="00C96A10"/>
    <w:rsid w:val="00C96DB9"/>
    <w:rsid w:val="00C9761A"/>
    <w:rsid w:val="00CA1DE2"/>
    <w:rsid w:val="00CA1FCA"/>
    <w:rsid w:val="00CB0FDC"/>
    <w:rsid w:val="00CB3D01"/>
    <w:rsid w:val="00CB5C03"/>
    <w:rsid w:val="00CB6DE1"/>
    <w:rsid w:val="00CB7B74"/>
    <w:rsid w:val="00CC1D3F"/>
    <w:rsid w:val="00CC3C38"/>
    <w:rsid w:val="00CC62A0"/>
    <w:rsid w:val="00CD152A"/>
    <w:rsid w:val="00CD1B51"/>
    <w:rsid w:val="00CD3027"/>
    <w:rsid w:val="00CD4B48"/>
    <w:rsid w:val="00CD4EC6"/>
    <w:rsid w:val="00CD7568"/>
    <w:rsid w:val="00CE1152"/>
    <w:rsid w:val="00CE2D13"/>
    <w:rsid w:val="00CE353C"/>
    <w:rsid w:val="00CE35B9"/>
    <w:rsid w:val="00CE47D5"/>
    <w:rsid w:val="00CE4A8F"/>
    <w:rsid w:val="00CF506F"/>
    <w:rsid w:val="00D0014F"/>
    <w:rsid w:val="00D0072F"/>
    <w:rsid w:val="00D05A31"/>
    <w:rsid w:val="00D15623"/>
    <w:rsid w:val="00D2031B"/>
    <w:rsid w:val="00D220A8"/>
    <w:rsid w:val="00D25FE2"/>
    <w:rsid w:val="00D27D25"/>
    <w:rsid w:val="00D27D27"/>
    <w:rsid w:val="00D3375D"/>
    <w:rsid w:val="00D34466"/>
    <w:rsid w:val="00D35451"/>
    <w:rsid w:val="00D402F6"/>
    <w:rsid w:val="00D43252"/>
    <w:rsid w:val="00D432DE"/>
    <w:rsid w:val="00D45E63"/>
    <w:rsid w:val="00D47EEA"/>
    <w:rsid w:val="00D507DE"/>
    <w:rsid w:val="00D51EDA"/>
    <w:rsid w:val="00D537D5"/>
    <w:rsid w:val="00D60826"/>
    <w:rsid w:val="00D675C3"/>
    <w:rsid w:val="00D80435"/>
    <w:rsid w:val="00D81085"/>
    <w:rsid w:val="00D8113F"/>
    <w:rsid w:val="00D814C6"/>
    <w:rsid w:val="00D823AD"/>
    <w:rsid w:val="00D86F52"/>
    <w:rsid w:val="00D900B0"/>
    <w:rsid w:val="00D91F26"/>
    <w:rsid w:val="00D925F9"/>
    <w:rsid w:val="00D92F03"/>
    <w:rsid w:val="00D95303"/>
    <w:rsid w:val="00D964F0"/>
    <w:rsid w:val="00D96BA3"/>
    <w:rsid w:val="00D978C6"/>
    <w:rsid w:val="00DA2256"/>
    <w:rsid w:val="00DA3111"/>
    <w:rsid w:val="00DA3A19"/>
    <w:rsid w:val="00DA3C1C"/>
    <w:rsid w:val="00DA3D7C"/>
    <w:rsid w:val="00DA41DA"/>
    <w:rsid w:val="00DB0461"/>
    <w:rsid w:val="00DB0C79"/>
    <w:rsid w:val="00DB17DC"/>
    <w:rsid w:val="00DB1EC9"/>
    <w:rsid w:val="00DB3F1A"/>
    <w:rsid w:val="00DC5EF1"/>
    <w:rsid w:val="00DC6C18"/>
    <w:rsid w:val="00DD241B"/>
    <w:rsid w:val="00DD6D06"/>
    <w:rsid w:val="00DE1022"/>
    <w:rsid w:val="00DE3759"/>
    <w:rsid w:val="00DE3917"/>
    <w:rsid w:val="00DE47E3"/>
    <w:rsid w:val="00DE4F41"/>
    <w:rsid w:val="00DE54D8"/>
    <w:rsid w:val="00DE71AF"/>
    <w:rsid w:val="00DF09DE"/>
    <w:rsid w:val="00DF4A0D"/>
    <w:rsid w:val="00DF5B4B"/>
    <w:rsid w:val="00DF65A4"/>
    <w:rsid w:val="00E025B7"/>
    <w:rsid w:val="00E02F0F"/>
    <w:rsid w:val="00E058F8"/>
    <w:rsid w:val="00E07710"/>
    <w:rsid w:val="00E11782"/>
    <w:rsid w:val="00E13B56"/>
    <w:rsid w:val="00E152A1"/>
    <w:rsid w:val="00E2246D"/>
    <w:rsid w:val="00E26144"/>
    <w:rsid w:val="00E27346"/>
    <w:rsid w:val="00E30A20"/>
    <w:rsid w:val="00E33457"/>
    <w:rsid w:val="00E33C8B"/>
    <w:rsid w:val="00E33CC1"/>
    <w:rsid w:val="00E33E69"/>
    <w:rsid w:val="00E3456A"/>
    <w:rsid w:val="00E376BC"/>
    <w:rsid w:val="00E42CA4"/>
    <w:rsid w:val="00E43CFA"/>
    <w:rsid w:val="00E43D0C"/>
    <w:rsid w:val="00E518DA"/>
    <w:rsid w:val="00E56703"/>
    <w:rsid w:val="00E60DD8"/>
    <w:rsid w:val="00E67EEB"/>
    <w:rsid w:val="00E71666"/>
    <w:rsid w:val="00E71BC8"/>
    <w:rsid w:val="00E7260F"/>
    <w:rsid w:val="00E73A97"/>
    <w:rsid w:val="00E779FC"/>
    <w:rsid w:val="00E77FB0"/>
    <w:rsid w:val="00E81E39"/>
    <w:rsid w:val="00E850DE"/>
    <w:rsid w:val="00E911F5"/>
    <w:rsid w:val="00E93431"/>
    <w:rsid w:val="00E96630"/>
    <w:rsid w:val="00EA086B"/>
    <w:rsid w:val="00EA16D4"/>
    <w:rsid w:val="00EA23BA"/>
    <w:rsid w:val="00EA2CED"/>
    <w:rsid w:val="00EB0DA4"/>
    <w:rsid w:val="00EB166A"/>
    <w:rsid w:val="00EB2533"/>
    <w:rsid w:val="00EB2581"/>
    <w:rsid w:val="00EB612D"/>
    <w:rsid w:val="00EC1FEE"/>
    <w:rsid w:val="00ED1097"/>
    <w:rsid w:val="00ED1575"/>
    <w:rsid w:val="00ED1F1D"/>
    <w:rsid w:val="00ED31B0"/>
    <w:rsid w:val="00ED4FFA"/>
    <w:rsid w:val="00ED7A2A"/>
    <w:rsid w:val="00EE18DF"/>
    <w:rsid w:val="00EE7993"/>
    <w:rsid w:val="00EF1070"/>
    <w:rsid w:val="00EF1D7F"/>
    <w:rsid w:val="00EF236B"/>
    <w:rsid w:val="00EF31A9"/>
    <w:rsid w:val="00F018B6"/>
    <w:rsid w:val="00F03792"/>
    <w:rsid w:val="00F03D5F"/>
    <w:rsid w:val="00F04DA9"/>
    <w:rsid w:val="00F04DBF"/>
    <w:rsid w:val="00F07315"/>
    <w:rsid w:val="00F14543"/>
    <w:rsid w:val="00F15147"/>
    <w:rsid w:val="00F20C3D"/>
    <w:rsid w:val="00F24D46"/>
    <w:rsid w:val="00F33CF9"/>
    <w:rsid w:val="00F34088"/>
    <w:rsid w:val="00F34D3E"/>
    <w:rsid w:val="00F42C64"/>
    <w:rsid w:val="00F43E9E"/>
    <w:rsid w:val="00F47977"/>
    <w:rsid w:val="00F52792"/>
    <w:rsid w:val="00F53457"/>
    <w:rsid w:val="00F570DA"/>
    <w:rsid w:val="00F64BB9"/>
    <w:rsid w:val="00F65BE5"/>
    <w:rsid w:val="00F678A2"/>
    <w:rsid w:val="00F67A57"/>
    <w:rsid w:val="00F71F52"/>
    <w:rsid w:val="00F73578"/>
    <w:rsid w:val="00F770E1"/>
    <w:rsid w:val="00F808BA"/>
    <w:rsid w:val="00F80ACD"/>
    <w:rsid w:val="00F80C64"/>
    <w:rsid w:val="00F81631"/>
    <w:rsid w:val="00F81FDD"/>
    <w:rsid w:val="00F852F9"/>
    <w:rsid w:val="00F8602D"/>
    <w:rsid w:val="00F86C02"/>
    <w:rsid w:val="00F87B7B"/>
    <w:rsid w:val="00F87D30"/>
    <w:rsid w:val="00F9057C"/>
    <w:rsid w:val="00F906D7"/>
    <w:rsid w:val="00F91086"/>
    <w:rsid w:val="00F93781"/>
    <w:rsid w:val="00F96147"/>
    <w:rsid w:val="00FA029C"/>
    <w:rsid w:val="00FA029F"/>
    <w:rsid w:val="00FA244E"/>
    <w:rsid w:val="00FA6DC0"/>
    <w:rsid w:val="00FB09DB"/>
    <w:rsid w:val="00FB24FB"/>
    <w:rsid w:val="00FB57C3"/>
    <w:rsid w:val="00FB5B34"/>
    <w:rsid w:val="00FB613B"/>
    <w:rsid w:val="00FB7E71"/>
    <w:rsid w:val="00FC3367"/>
    <w:rsid w:val="00FC3970"/>
    <w:rsid w:val="00FC4BB3"/>
    <w:rsid w:val="00FC68B7"/>
    <w:rsid w:val="00FD58C3"/>
    <w:rsid w:val="00FE106A"/>
    <w:rsid w:val="00FF4CFF"/>
    <w:rsid w:val="00FF6AFD"/>
    <w:rsid w:val="00FF7D02"/>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990FFD"/>
  <w15:docId w15:val="{A76DB8EA-86CF-4948-B14F-5A97BC3E4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305254"/>
    <w:pPr>
      <w:spacing w:after="120"/>
      <w:ind w:left="1134" w:right="1134"/>
      <w:jc w:val="both"/>
    </w:pPr>
    <w:rPr>
      <w:lang w:val="x-none"/>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AE793E"/>
    <w:pPr>
      <w:tabs>
        <w:tab w:val="right" w:pos="1021"/>
      </w:tabs>
      <w:kinsoku w:val="0"/>
      <w:overflowPunct w:val="0"/>
      <w:autoSpaceDE w:val="0"/>
      <w:autoSpaceDN w:val="0"/>
      <w:adjustRightInd w:val="0"/>
      <w:snapToGrid w:val="0"/>
      <w:spacing w:line="220" w:lineRule="exact"/>
      <w:ind w:left="1134" w:right="1134" w:hanging="1134"/>
    </w:pPr>
    <w:rPr>
      <w:rFonts w:eastAsia="SimSun"/>
      <w:sz w:val="18"/>
      <w:szCs w:val="20"/>
      <w:lang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AE793E"/>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link w:val="FooterChar"/>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E152A1"/>
    <w:rPr>
      <w:rFonts w:eastAsia="SimSun"/>
      <w:sz w:val="18"/>
      <w:szCs w:val="20"/>
      <w:lang w:eastAsia="zh-CN"/>
    </w:rPr>
  </w:style>
  <w:style w:type="character" w:customStyle="1" w:styleId="SingleTxtGChar">
    <w:name w:val="_ Single Txt_G Char"/>
    <w:link w:val="SingleTxtG"/>
    <w:rsid w:val="00284E2B"/>
    <w:rPr>
      <w:lang w:val="x-none" w:eastAsia="en-US"/>
    </w:rPr>
  </w:style>
  <w:style w:type="paragraph" w:styleId="BalloonText">
    <w:name w:val="Balloon Text"/>
    <w:basedOn w:val="Normal"/>
    <w:link w:val="BalloonTextChar"/>
    <w:rsid w:val="00EB2533"/>
    <w:pPr>
      <w:spacing w:line="240" w:lineRule="auto"/>
    </w:pPr>
    <w:rPr>
      <w:rFonts w:ascii="Tahoma" w:hAnsi="Tahoma"/>
      <w:sz w:val="16"/>
      <w:szCs w:val="16"/>
      <w:lang w:val="x-none"/>
    </w:rPr>
  </w:style>
  <w:style w:type="character" w:customStyle="1" w:styleId="BalloonTextChar">
    <w:name w:val="Balloon Text Char"/>
    <w:link w:val="BalloonText"/>
    <w:rsid w:val="00EB2533"/>
    <w:rPr>
      <w:rFonts w:ascii="Tahoma" w:hAnsi="Tahoma" w:cs="Tahoma"/>
      <w:sz w:val="16"/>
      <w:szCs w:val="16"/>
      <w:lang w:eastAsia="en-US"/>
    </w:rPr>
  </w:style>
  <w:style w:type="character" w:styleId="CommentReference">
    <w:name w:val="annotation reference"/>
    <w:rsid w:val="00DB3F1A"/>
    <w:rPr>
      <w:sz w:val="18"/>
      <w:szCs w:val="18"/>
    </w:rPr>
  </w:style>
  <w:style w:type="paragraph" w:styleId="CommentText">
    <w:name w:val="annotation text"/>
    <w:basedOn w:val="Normal"/>
    <w:link w:val="CommentTextChar"/>
    <w:rsid w:val="00DB3F1A"/>
  </w:style>
  <w:style w:type="character" w:customStyle="1" w:styleId="CommentTextChar">
    <w:name w:val="Comment Text Char"/>
    <w:link w:val="CommentText"/>
    <w:rsid w:val="00DB3F1A"/>
    <w:rPr>
      <w:sz w:val="24"/>
      <w:szCs w:val="24"/>
      <w:lang w:val="en-GB"/>
    </w:rPr>
  </w:style>
  <w:style w:type="paragraph" w:styleId="CommentSubject">
    <w:name w:val="annotation subject"/>
    <w:basedOn w:val="CommentText"/>
    <w:next w:val="CommentText"/>
    <w:link w:val="CommentSubjectChar"/>
    <w:rsid w:val="00DB3F1A"/>
    <w:rPr>
      <w:b/>
      <w:bCs/>
      <w:sz w:val="20"/>
      <w:szCs w:val="20"/>
    </w:rPr>
  </w:style>
  <w:style w:type="character" w:customStyle="1" w:styleId="CommentSubjectChar">
    <w:name w:val="Comment Subject Char"/>
    <w:link w:val="CommentSubject"/>
    <w:rsid w:val="00DB3F1A"/>
    <w:rPr>
      <w:b/>
      <w:bCs/>
      <w:sz w:val="24"/>
      <w:szCs w:val="24"/>
      <w:lang w:val="en-GB"/>
    </w:rPr>
  </w:style>
  <w:style w:type="paragraph" w:customStyle="1" w:styleId="ColorfulShading-Accent11">
    <w:name w:val="Colorful Shading - Accent 11"/>
    <w:hidden/>
    <w:uiPriority w:val="71"/>
    <w:rsid w:val="00A74A0B"/>
    <w:rPr>
      <w:lang w:eastAsia="en-US"/>
    </w:rPr>
  </w:style>
  <w:style w:type="paragraph" w:styleId="Revision">
    <w:name w:val="Revision"/>
    <w:hidden/>
    <w:uiPriority w:val="99"/>
    <w:semiHidden/>
    <w:rsid w:val="00582801"/>
    <w:rPr>
      <w:lang w:eastAsia="en-US"/>
    </w:rPr>
  </w:style>
  <w:style w:type="character" w:customStyle="1" w:styleId="style4">
    <w:name w:val="style4"/>
    <w:basedOn w:val="DefaultParagraphFont"/>
    <w:rsid w:val="00A0010D"/>
  </w:style>
  <w:style w:type="character" w:customStyle="1" w:styleId="HeaderChar">
    <w:name w:val="Header Char"/>
    <w:aliases w:val="6_G Char"/>
    <w:basedOn w:val="DefaultParagraphFont"/>
    <w:link w:val="Header"/>
    <w:uiPriority w:val="99"/>
    <w:locked/>
    <w:rsid w:val="00305254"/>
    <w:rPr>
      <w:b/>
      <w:sz w:val="18"/>
      <w:lang w:eastAsia="en-US"/>
    </w:rPr>
  </w:style>
  <w:style w:type="character" w:customStyle="1" w:styleId="preferred">
    <w:name w:val="preferred"/>
    <w:basedOn w:val="DefaultParagraphFont"/>
    <w:rsid w:val="002F5250"/>
  </w:style>
  <w:style w:type="character" w:styleId="Emphasis">
    <w:name w:val="Emphasis"/>
    <w:basedOn w:val="DefaultParagraphFont"/>
    <w:uiPriority w:val="20"/>
    <w:qFormat/>
    <w:rsid w:val="002F5250"/>
    <w:rPr>
      <w:i/>
      <w:iCs/>
    </w:rPr>
  </w:style>
  <w:style w:type="paragraph" w:styleId="ListParagraph">
    <w:name w:val="List Paragraph"/>
    <w:basedOn w:val="Normal"/>
    <w:uiPriority w:val="34"/>
    <w:rsid w:val="003976FE"/>
    <w:pPr>
      <w:kinsoku w:val="0"/>
      <w:overflowPunct w:val="0"/>
      <w:autoSpaceDE w:val="0"/>
      <w:autoSpaceDN w:val="0"/>
      <w:adjustRightInd w:val="0"/>
      <w:snapToGrid w:val="0"/>
      <w:ind w:left="720"/>
      <w:contextualSpacing/>
    </w:pPr>
    <w:rPr>
      <w:rFonts w:eastAsia="SimSun"/>
      <w:sz w:val="20"/>
      <w:szCs w:val="20"/>
      <w:lang w:eastAsia="zh-CN"/>
    </w:rPr>
  </w:style>
  <w:style w:type="character" w:customStyle="1" w:styleId="FooterChar">
    <w:name w:val="Footer Char"/>
    <w:aliases w:val="3_G Char"/>
    <w:basedOn w:val="DefaultParagraphFont"/>
    <w:link w:val="Footer"/>
    <w:rsid w:val="007A4F9A"/>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853614">
      <w:bodyDiv w:val="1"/>
      <w:marLeft w:val="0"/>
      <w:marRight w:val="0"/>
      <w:marTop w:val="0"/>
      <w:marBottom w:val="0"/>
      <w:divBdr>
        <w:top w:val="none" w:sz="0" w:space="0" w:color="auto"/>
        <w:left w:val="none" w:sz="0" w:space="0" w:color="auto"/>
        <w:bottom w:val="none" w:sz="0" w:space="0" w:color="auto"/>
        <w:right w:val="none" w:sz="0" w:space="0" w:color="auto"/>
      </w:divBdr>
      <w:divsChild>
        <w:div w:id="711881997">
          <w:marLeft w:val="0"/>
          <w:marRight w:val="0"/>
          <w:marTop w:val="0"/>
          <w:marBottom w:val="0"/>
          <w:divBdr>
            <w:top w:val="none" w:sz="0" w:space="0" w:color="auto"/>
            <w:left w:val="none" w:sz="0" w:space="0" w:color="auto"/>
            <w:bottom w:val="none" w:sz="0" w:space="0" w:color="auto"/>
            <w:right w:val="none" w:sz="0" w:space="0" w:color="auto"/>
          </w:divBdr>
          <w:divsChild>
            <w:div w:id="720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4466">
      <w:bodyDiv w:val="1"/>
      <w:marLeft w:val="0"/>
      <w:marRight w:val="0"/>
      <w:marTop w:val="0"/>
      <w:marBottom w:val="0"/>
      <w:divBdr>
        <w:top w:val="none" w:sz="0" w:space="0" w:color="auto"/>
        <w:left w:val="none" w:sz="0" w:space="0" w:color="auto"/>
        <w:bottom w:val="none" w:sz="0" w:space="0" w:color="auto"/>
        <w:right w:val="none" w:sz="0" w:space="0" w:color="auto"/>
      </w:divBdr>
    </w:div>
    <w:div w:id="18618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ohchr.org/Documents/HRBodies/CCPR/Membership/Konstantine.pdf" TargetMode="External"/><Relationship Id="rId33"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hyperlink" Target="http://www.pvv.nl" TargetMode="External"/><Relationship Id="rId19" Type="http://schemas.openxmlformats.org/officeDocument/2006/relationships/footer" Target="footer4.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yperlink" Target="http://www.geenstijl.nl" TargetMode="Externa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FD2DA-3B12-491A-A1A1-C23BFDCDB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29</Pages>
  <Words>17114</Words>
  <Characters>97550</Characters>
  <Application>Microsoft Office Word</Application>
  <DocSecurity>0</DocSecurity>
  <Lines>812</Lines>
  <Paragraphs>228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1703929</vt:lpstr>
      <vt:lpstr>1608301</vt:lpstr>
    </vt:vector>
  </TitlesOfParts>
  <Company>CSD</Company>
  <LinksUpToDate>false</LinksUpToDate>
  <CharactersWithSpaces>114436</CharactersWithSpaces>
  <SharedDoc>false</SharedDoc>
  <HLinks>
    <vt:vector size="18" baseType="variant">
      <vt:variant>
        <vt:i4>7077988</vt:i4>
      </vt:variant>
      <vt:variant>
        <vt:i4>3</vt:i4>
      </vt:variant>
      <vt:variant>
        <vt:i4>0</vt:i4>
      </vt:variant>
      <vt:variant>
        <vt:i4>5</vt:i4>
      </vt:variant>
      <vt:variant>
        <vt:lpwstr>http://www.pvv.nl/</vt:lpwstr>
      </vt:variant>
      <vt:variant>
        <vt:lpwstr/>
      </vt:variant>
      <vt:variant>
        <vt:i4>1966087</vt:i4>
      </vt:variant>
      <vt:variant>
        <vt:i4>0</vt:i4>
      </vt:variant>
      <vt:variant>
        <vt:i4>0</vt:i4>
      </vt:variant>
      <vt:variant>
        <vt:i4>5</vt:i4>
      </vt:variant>
      <vt:variant>
        <vt:lpwstr>http://www.geenstijl.nl/</vt:lpwstr>
      </vt:variant>
      <vt:variant>
        <vt:lpwstr/>
      </vt:variant>
      <vt:variant>
        <vt:i4>4259859</vt:i4>
      </vt:variant>
      <vt:variant>
        <vt:i4>0</vt:i4>
      </vt:variant>
      <vt:variant>
        <vt:i4>0</vt:i4>
      </vt:variant>
      <vt:variant>
        <vt:i4>5</vt:i4>
      </vt:variant>
      <vt:variant>
        <vt:lpwstr>http://www.liveleaks.com/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1703929</dc:title>
  <dc:subject>CCPR/C/117/DR/2124/2011</dc:subject>
  <dc:creator>temp Neogi</dc:creator>
  <cp:lastModifiedBy>Sarah Willig</cp:lastModifiedBy>
  <cp:revision>2</cp:revision>
  <cp:lastPrinted>2016-05-18T14:34:00Z</cp:lastPrinted>
  <dcterms:created xsi:type="dcterms:W3CDTF">2017-04-05T16:42:00Z</dcterms:created>
  <dcterms:modified xsi:type="dcterms:W3CDTF">2017-04-05T16:42:00Z</dcterms:modified>
</cp:coreProperties>
</file>