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00DB2" w14:paraId="5291D979" w14:textId="77777777" w:rsidTr="00B6553F">
        <w:trPr>
          <w:cantSplit/>
          <w:trHeight w:hRule="exact" w:val="851"/>
        </w:trPr>
        <w:tc>
          <w:tcPr>
            <w:tcW w:w="1276" w:type="dxa"/>
            <w:tcBorders>
              <w:bottom w:val="single" w:sz="4" w:space="0" w:color="auto"/>
            </w:tcBorders>
            <w:vAlign w:val="bottom"/>
          </w:tcPr>
          <w:p w14:paraId="70923E63" w14:textId="77777777" w:rsidR="00B56E9C" w:rsidRPr="00BB721C" w:rsidRDefault="00BB721C" w:rsidP="00BB721C">
            <w:pPr>
              <w:spacing w:line="20" w:lineRule="exact"/>
              <w:rPr>
                <w:sz w:val="2"/>
              </w:rPr>
            </w:pPr>
            <w:r>
              <w:rPr>
                <w:rStyle w:val="CommentReference"/>
                <w:lang w:val="x-none"/>
              </w:rPr>
              <w:commentReference w:id="0"/>
            </w:r>
            <w:bookmarkStart w:id="1" w:name="_GoBack"/>
            <w:bookmarkEnd w:id="1"/>
          </w:p>
          <w:p w14:paraId="35705832" w14:textId="77777777" w:rsidR="00BB721C" w:rsidRPr="00F00DB2" w:rsidRDefault="00BB721C" w:rsidP="00B6553F">
            <w:pPr>
              <w:spacing w:after="80"/>
            </w:pPr>
          </w:p>
        </w:tc>
        <w:tc>
          <w:tcPr>
            <w:tcW w:w="2268" w:type="dxa"/>
            <w:tcBorders>
              <w:bottom w:val="single" w:sz="4" w:space="0" w:color="auto"/>
            </w:tcBorders>
            <w:vAlign w:val="bottom"/>
          </w:tcPr>
          <w:p w14:paraId="31F4564C" w14:textId="77777777" w:rsidR="00B56E9C" w:rsidRPr="00F00DB2" w:rsidRDefault="00B56E9C" w:rsidP="00B6553F">
            <w:pPr>
              <w:spacing w:after="80" w:line="300" w:lineRule="exact"/>
              <w:rPr>
                <w:b/>
                <w:sz w:val="24"/>
                <w:szCs w:val="24"/>
              </w:rPr>
            </w:pPr>
            <w:r w:rsidRPr="00F00DB2">
              <w:rPr>
                <w:sz w:val="28"/>
                <w:szCs w:val="28"/>
              </w:rPr>
              <w:t>United Nations</w:t>
            </w:r>
          </w:p>
        </w:tc>
        <w:tc>
          <w:tcPr>
            <w:tcW w:w="6095" w:type="dxa"/>
            <w:gridSpan w:val="2"/>
            <w:tcBorders>
              <w:bottom w:val="single" w:sz="4" w:space="0" w:color="auto"/>
            </w:tcBorders>
            <w:vAlign w:val="bottom"/>
          </w:tcPr>
          <w:p w14:paraId="059F7D2D" w14:textId="77777777" w:rsidR="00B56E9C" w:rsidRPr="00F00DB2" w:rsidRDefault="008216A5" w:rsidP="004224D1">
            <w:pPr>
              <w:jc w:val="right"/>
            </w:pPr>
            <w:r w:rsidRPr="00F00DB2">
              <w:rPr>
                <w:sz w:val="40"/>
              </w:rPr>
              <w:t>CCPR</w:t>
            </w:r>
            <w:r w:rsidRPr="00F00DB2">
              <w:t>/C/1</w:t>
            </w:r>
            <w:r w:rsidR="00711F00" w:rsidRPr="00F00DB2">
              <w:t>1</w:t>
            </w:r>
            <w:r w:rsidR="0003383A" w:rsidRPr="00F00DB2">
              <w:t>4</w:t>
            </w:r>
            <w:r w:rsidRPr="00F00DB2">
              <w:t>/D/</w:t>
            </w:r>
            <w:r w:rsidR="00C86632" w:rsidRPr="00F00DB2">
              <w:t>1909/2009</w:t>
            </w:r>
          </w:p>
        </w:tc>
      </w:tr>
      <w:tr w:rsidR="00B56E9C" w:rsidRPr="00F00DB2" w14:paraId="6B610EFB" w14:textId="77777777" w:rsidTr="00B6553F">
        <w:trPr>
          <w:cantSplit/>
          <w:trHeight w:hRule="exact" w:val="2835"/>
        </w:trPr>
        <w:tc>
          <w:tcPr>
            <w:tcW w:w="1276" w:type="dxa"/>
            <w:tcBorders>
              <w:top w:val="single" w:sz="4" w:space="0" w:color="auto"/>
              <w:bottom w:val="single" w:sz="12" w:space="0" w:color="auto"/>
            </w:tcBorders>
          </w:tcPr>
          <w:p w14:paraId="4050E4A7" w14:textId="77777777" w:rsidR="00B56E9C" w:rsidRPr="00F00DB2" w:rsidRDefault="001904FB" w:rsidP="00B6553F">
            <w:pPr>
              <w:spacing w:before="120"/>
            </w:pPr>
            <w:r w:rsidRPr="007C1379">
              <w:rPr>
                <w:noProof/>
                <w:lang w:val="en-US"/>
              </w:rPr>
              <w:drawing>
                <wp:inline distT="0" distB="0" distL="0" distR="0" wp14:anchorId="5F241E80" wp14:editId="07B30426">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A60B182" w14:textId="77777777" w:rsidR="005F315D" w:rsidRPr="00F00DB2" w:rsidRDefault="00B56E9C" w:rsidP="00267F5F">
            <w:pPr>
              <w:spacing w:before="120" w:line="380" w:lineRule="exact"/>
              <w:rPr>
                <w:b/>
                <w:sz w:val="34"/>
                <w:szCs w:val="40"/>
              </w:rPr>
            </w:pPr>
            <w:r w:rsidRPr="00F00DB2">
              <w:rPr>
                <w:b/>
                <w:sz w:val="34"/>
                <w:szCs w:val="40"/>
              </w:rPr>
              <w:t xml:space="preserve">International </w:t>
            </w:r>
            <w:r w:rsidR="00060C3A" w:rsidRPr="00F00DB2">
              <w:rPr>
                <w:b/>
                <w:sz w:val="34"/>
                <w:szCs w:val="40"/>
              </w:rPr>
              <w:t>Covenant on</w:t>
            </w:r>
            <w:r w:rsidR="00060C3A" w:rsidRPr="00F00DB2">
              <w:rPr>
                <w:b/>
                <w:sz w:val="34"/>
                <w:szCs w:val="40"/>
              </w:rPr>
              <w:br/>
              <w:t>Civil and Political R</w:t>
            </w:r>
            <w:r w:rsidR="00703577" w:rsidRPr="00F00DB2">
              <w:rPr>
                <w:b/>
                <w:sz w:val="34"/>
                <w:szCs w:val="40"/>
              </w:rPr>
              <w:t>ights</w:t>
            </w:r>
          </w:p>
          <w:p w14:paraId="6A86B612" w14:textId="77777777" w:rsidR="005F315D" w:rsidRPr="00F00DB2" w:rsidRDefault="005F315D" w:rsidP="00267F5F">
            <w:pPr>
              <w:spacing w:before="120" w:line="380" w:lineRule="exact"/>
              <w:rPr>
                <w:b/>
                <w:sz w:val="34"/>
                <w:szCs w:val="40"/>
              </w:rPr>
            </w:pPr>
          </w:p>
          <w:p w14:paraId="4D03B578" w14:textId="77777777" w:rsidR="005F315D" w:rsidRPr="00F00DB2" w:rsidRDefault="005F315D" w:rsidP="00267F5F">
            <w:pPr>
              <w:spacing w:before="120" w:line="380" w:lineRule="exact"/>
              <w:rPr>
                <w:b/>
                <w:sz w:val="34"/>
                <w:szCs w:val="40"/>
              </w:rPr>
            </w:pPr>
          </w:p>
          <w:p w14:paraId="225589C6" w14:textId="77777777" w:rsidR="005F315D" w:rsidRPr="00F00DB2" w:rsidRDefault="005F315D" w:rsidP="00267F5F">
            <w:pPr>
              <w:spacing w:before="120" w:line="380" w:lineRule="exact"/>
              <w:rPr>
                <w:sz w:val="34"/>
              </w:rPr>
            </w:pPr>
          </w:p>
        </w:tc>
        <w:tc>
          <w:tcPr>
            <w:tcW w:w="2835" w:type="dxa"/>
            <w:tcBorders>
              <w:top w:val="single" w:sz="4" w:space="0" w:color="auto"/>
              <w:bottom w:val="single" w:sz="12" w:space="0" w:color="auto"/>
            </w:tcBorders>
          </w:tcPr>
          <w:p w14:paraId="469327DA" w14:textId="77777777" w:rsidR="00B56E9C" w:rsidRPr="00F00DB2" w:rsidRDefault="008216A5" w:rsidP="008216A5">
            <w:pPr>
              <w:spacing w:before="240" w:line="240" w:lineRule="exact"/>
            </w:pPr>
            <w:r w:rsidRPr="00F00DB2">
              <w:t xml:space="preserve">Distr.: </w:t>
            </w:r>
            <w:r w:rsidR="004224D1" w:rsidRPr="00F00DB2">
              <w:t>General</w:t>
            </w:r>
          </w:p>
          <w:p w14:paraId="166CB582" w14:textId="77777777" w:rsidR="008216A5" w:rsidRPr="00F00DB2" w:rsidRDefault="00E62716" w:rsidP="000C59E2">
            <w:pPr>
              <w:spacing w:line="240" w:lineRule="exact"/>
            </w:pPr>
            <w:r>
              <w:t>7</w:t>
            </w:r>
            <w:r w:rsidR="00AE2418" w:rsidRPr="00E533B6">
              <w:t xml:space="preserve"> </w:t>
            </w:r>
            <w:r w:rsidR="000C59E2" w:rsidRPr="00E533B6">
              <w:t xml:space="preserve">September </w:t>
            </w:r>
            <w:r w:rsidR="008216A5" w:rsidRPr="000C59E2">
              <w:t>201</w:t>
            </w:r>
            <w:r w:rsidR="0003383A" w:rsidRPr="000C59E2">
              <w:t>5</w:t>
            </w:r>
          </w:p>
          <w:p w14:paraId="637BF180" w14:textId="77777777" w:rsidR="008216A5" w:rsidRPr="00F00DB2" w:rsidRDefault="008216A5" w:rsidP="008216A5">
            <w:pPr>
              <w:spacing w:line="240" w:lineRule="exact"/>
            </w:pPr>
          </w:p>
          <w:p w14:paraId="24EC9AF6" w14:textId="77777777" w:rsidR="008216A5" w:rsidRPr="00F00DB2" w:rsidRDefault="008216A5" w:rsidP="008216A5">
            <w:pPr>
              <w:spacing w:line="240" w:lineRule="exact"/>
            </w:pPr>
            <w:r w:rsidRPr="00F00DB2">
              <w:t>Original: English</w:t>
            </w:r>
          </w:p>
          <w:p w14:paraId="24019294" w14:textId="77777777" w:rsidR="000C098C" w:rsidRPr="00F00DB2" w:rsidRDefault="000C098C" w:rsidP="008216A5">
            <w:pPr>
              <w:spacing w:line="240" w:lineRule="exact"/>
            </w:pPr>
          </w:p>
        </w:tc>
      </w:tr>
    </w:tbl>
    <w:p w14:paraId="05889D83" w14:textId="77777777" w:rsidR="008216A5" w:rsidRPr="00E533B6" w:rsidRDefault="008216A5" w:rsidP="008216A5">
      <w:pPr>
        <w:spacing w:before="120"/>
        <w:rPr>
          <w:b/>
          <w:sz w:val="24"/>
          <w:szCs w:val="24"/>
        </w:rPr>
      </w:pPr>
      <w:r w:rsidRPr="00E533B6">
        <w:rPr>
          <w:b/>
          <w:sz w:val="24"/>
          <w:szCs w:val="24"/>
        </w:rPr>
        <w:t>Human Rights Committee</w:t>
      </w:r>
    </w:p>
    <w:p w14:paraId="650F5479" w14:textId="77777777" w:rsidR="00C63AA0" w:rsidRPr="00F00DB2" w:rsidRDefault="003134AC">
      <w:pPr>
        <w:pStyle w:val="HChG"/>
      </w:pPr>
      <w:r w:rsidRPr="00F00DB2">
        <w:tab/>
      </w:r>
      <w:r w:rsidRPr="00F00DB2">
        <w:tab/>
        <w:t xml:space="preserve">Communication No. </w:t>
      </w:r>
      <w:r w:rsidR="005C7DA0" w:rsidRPr="00F00DB2">
        <w:t>1909/2009</w:t>
      </w:r>
    </w:p>
    <w:p w14:paraId="18289467" w14:textId="77777777" w:rsidR="003134AC" w:rsidRPr="00F00DB2" w:rsidRDefault="003134AC" w:rsidP="00A21C57">
      <w:pPr>
        <w:pStyle w:val="H1G"/>
      </w:pPr>
      <w:r w:rsidRPr="00F00DB2">
        <w:tab/>
      </w:r>
      <w:r w:rsidRPr="00F00DB2">
        <w:tab/>
      </w:r>
      <w:r w:rsidR="008A4FF5" w:rsidRPr="00F00DB2">
        <w:t>Views adopted by the Committee at its 114th session</w:t>
      </w:r>
      <w:r w:rsidR="008A4FF5" w:rsidRPr="00F00DB2">
        <w:br/>
        <w:t>(</w:t>
      </w:r>
      <w:r w:rsidR="008A4FF5" w:rsidRPr="00E533B6">
        <w:rPr>
          <w:bCs/>
        </w:rPr>
        <w:t>29 June</w:t>
      </w:r>
      <w:r w:rsidR="00A21C57" w:rsidRPr="00E533B6">
        <w:rPr>
          <w:bCs/>
        </w:rPr>
        <w:t>-</w:t>
      </w:r>
      <w:r w:rsidR="008A4FF5" w:rsidRPr="00E533B6">
        <w:rPr>
          <w:bCs/>
        </w:rPr>
        <w:t>24 July 2015)</w:t>
      </w:r>
      <w:r w:rsidR="008A4FF5" w:rsidRPr="00F00DB2">
        <w:t xml:space="preserve"> </w:t>
      </w:r>
    </w:p>
    <w:p w14:paraId="67D20337" w14:textId="77777777" w:rsidR="003134AC" w:rsidRPr="00E533B6" w:rsidRDefault="003134AC" w:rsidP="00A21C57">
      <w:pPr>
        <w:pStyle w:val="SingleTxtG"/>
        <w:ind w:left="4536" w:hanging="2835"/>
        <w:rPr>
          <w:lang w:val="en-GB"/>
        </w:rPr>
      </w:pPr>
      <w:r w:rsidRPr="00E533B6">
        <w:rPr>
          <w:i/>
          <w:lang w:val="en-GB"/>
        </w:rPr>
        <w:t>Submitted by:</w:t>
      </w:r>
      <w:r w:rsidRPr="00E533B6">
        <w:rPr>
          <w:lang w:val="en-GB"/>
        </w:rPr>
        <w:tab/>
      </w:r>
      <w:r w:rsidR="003B115C" w:rsidRPr="00F00DB2">
        <w:rPr>
          <w:lang w:val="en-GB"/>
        </w:rPr>
        <w:t xml:space="preserve">Taito </w:t>
      </w:r>
      <w:r w:rsidR="005C7DA0" w:rsidRPr="00F00DB2">
        <w:rPr>
          <w:lang w:val="en-GB"/>
        </w:rPr>
        <w:t xml:space="preserve">Fa’afete </w:t>
      </w:r>
      <w:r w:rsidR="00EF3514" w:rsidRPr="00F00DB2">
        <w:rPr>
          <w:lang w:val="en-GB"/>
        </w:rPr>
        <w:t>(</w:t>
      </w:r>
      <w:r w:rsidR="00A21C57" w:rsidRPr="00F00DB2">
        <w:rPr>
          <w:lang w:val="en-GB"/>
        </w:rPr>
        <w:t>r</w:t>
      </w:r>
      <w:r w:rsidR="00EF3514" w:rsidRPr="00F00DB2">
        <w:rPr>
          <w:lang w:val="en-GB"/>
        </w:rPr>
        <w:t xml:space="preserve">epresented by counsel, </w:t>
      </w:r>
      <w:r w:rsidR="005C7DA0" w:rsidRPr="00F00DB2">
        <w:rPr>
          <w:lang w:val="en-GB"/>
        </w:rPr>
        <w:t>Tony Ellis</w:t>
      </w:r>
      <w:r w:rsidR="00EF3514" w:rsidRPr="00F00DB2">
        <w:rPr>
          <w:lang w:val="en-GB"/>
        </w:rPr>
        <w:t>)</w:t>
      </w:r>
    </w:p>
    <w:p w14:paraId="7ED23FF9" w14:textId="77777777" w:rsidR="003134AC" w:rsidRPr="00F00DB2" w:rsidRDefault="003134AC" w:rsidP="004E4544">
      <w:pPr>
        <w:pStyle w:val="SingleTxtG"/>
        <w:ind w:left="4536" w:hanging="2835"/>
        <w:rPr>
          <w:lang w:val="en-GB"/>
        </w:rPr>
      </w:pPr>
      <w:r w:rsidRPr="00E533B6">
        <w:rPr>
          <w:i/>
          <w:lang w:val="en-GB"/>
        </w:rPr>
        <w:t>Alleged victim:</w:t>
      </w:r>
      <w:r w:rsidRPr="00E533B6">
        <w:rPr>
          <w:lang w:val="en-GB"/>
        </w:rPr>
        <w:tab/>
        <w:t>The author</w:t>
      </w:r>
    </w:p>
    <w:p w14:paraId="62ED4258" w14:textId="77777777" w:rsidR="003134AC" w:rsidRPr="00F00DB2" w:rsidRDefault="003134AC" w:rsidP="004E4544">
      <w:pPr>
        <w:pStyle w:val="SingleTxtG"/>
        <w:ind w:left="4536" w:hanging="2835"/>
        <w:rPr>
          <w:lang w:val="en-GB"/>
        </w:rPr>
      </w:pPr>
      <w:r w:rsidRPr="00E533B6">
        <w:rPr>
          <w:i/>
          <w:lang w:val="en-GB"/>
        </w:rPr>
        <w:t>State party:</w:t>
      </w:r>
      <w:r w:rsidRPr="00E533B6">
        <w:rPr>
          <w:lang w:val="en-GB"/>
        </w:rPr>
        <w:tab/>
      </w:r>
      <w:r w:rsidR="005C7DA0" w:rsidRPr="00F00DB2">
        <w:rPr>
          <w:lang w:val="en-GB"/>
        </w:rPr>
        <w:t>New Zealand</w:t>
      </w:r>
    </w:p>
    <w:p w14:paraId="431712CB" w14:textId="77777777" w:rsidR="003134AC" w:rsidRPr="00F00DB2" w:rsidRDefault="003134AC" w:rsidP="004E4544">
      <w:pPr>
        <w:pStyle w:val="SingleTxtG"/>
        <w:ind w:left="4536" w:hanging="2835"/>
        <w:rPr>
          <w:lang w:val="en-GB"/>
        </w:rPr>
      </w:pPr>
      <w:r w:rsidRPr="00E533B6">
        <w:rPr>
          <w:i/>
          <w:lang w:val="en-GB"/>
        </w:rPr>
        <w:t>Date of communication:</w:t>
      </w:r>
      <w:r w:rsidRPr="00E533B6">
        <w:rPr>
          <w:lang w:val="en-GB"/>
        </w:rPr>
        <w:tab/>
      </w:r>
      <w:r w:rsidR="005C7DA0" w:rsidRPr="00F00DB2">
        <w:rPr>
          <w:lang w:val="en-GB"/>
        </w:rPr>
        <w:t>12 May 2009</w:t>
      </w:r>
      <w:r w:rsidR="00335DD7" w:rsidRPr="00E533B6">
        <w:rPr>
          <w:lang w:val="en-GB"/>
        </w:rPr>
        <w:t xml:space="preserve"> (initial submission)</w:t>
      </w:r>
    </w:p>
    <w:p w14:paraId="6738D401" w14:textId="77777777" w:rsidR="003134AC" w:rsidRPr="00E533B6" w:rsidRDefault="003134AC" w:rsidP="004E4544">
      <w:pPr>
        <w:pStyle w:val="SingleTxtG"/>
        <w:ind w:left="4536" w:hanging="2835"/>
        <w:rPr>
          <w:lang w:val="en-GB"/>
        </w:rPr>
      </w:pPr>
      <w:r w:rsidRPr="00E533B6">
        <w:rPr>
          <w:i/>
          <w:lang w:val="en-GB"/>
        </w:rPr>
        <w:t>Document references:</w:t>
      </w:r>
      <w:r w:rsidRPr="00E533B6">
        <w:rPr>
          <w:lang w:val="en-GB"/>
        </w:rPr>
        <w:tab/>
        <w:t>Special Rapporteur’s rule</w:t>
      </w:r>
      <w:r w:rsidR="00D46C27" w:rsidRPr="00F00DB2">
        <w:rPr>
          <w:lang w:val="en-GB"/>
        </w:rPr>
        <w:t xml:space="preserve"> 92 and rule</w:t>
      </w:r>
      <w:r w:rsidRPr="00E533B6">
        <w:rPr>
          <w:lang w:val="en-GB"/>
        </w:rPr>
        <w:t xml:space="preserve"> 97 decision, transmitted to the State party on </w:t>
      </w:r>
      <w:r w:rsidR="00C01DD5" w:rsidRPr="00F00DB2">
        <w:rPr>
          <w:lang w:val="en-GB"/>
        </w:rPr>
        <w:t xml:space="preserve">6 February 2014 </w:t>
      </w:r>
      <w:r w:rsidRPr="00E533B6">
        <w:rPr>
          <w:lang w:val="en-GB"/>
        </w:rPr>
        <w:t>(not issued in a document form)</w:t>
      </w:r>
    </w:p>
    <w:p w14:paraId="0A2A178A" w14:textId="77777777" w:rsidR="00335DD7" w:rsidRPr="00F00DB2" w:rsidRDefault="003134AC" w:rsidP="00A21C57">
      <w:pPr>
        <w:pStyle w:val="SingleTxtG"/>
        <w:ind w:left="4536" w:hanging="2835"/>
        <w:rPr>
          <w:lang w:val="en-GB"/>
        </w:rPr>
      </w:pPr>
      <w:r w:rsidRPr="00E533B6">
        <w:rPr>
          <w:i/>
          <w:lang w:val="en-GB"/>
        </w:rPr>
        <w:t xml:space="preserve">Date of adoption of </w:t>
      </w:r>
      <w:r w:rsidR="00A21C57" w:rsidRPr="00E533B6">
        <w:rPr>
          <w:i/>
          <w:lang w:val="en-GB"/>
        </w:rPr>
        <w:t>v</w:t>
      </w:r>
      <w:r w:rsidRPr="00E533B6">
        <w:rPr>
          <w:i/>
          <w:lang w:val="en-GB"/>
        </w:rPr>
        <w:t>iews:</w:t>
      </w:r>
      <w:r w:rsidRPr="00E533B6">
        <w:rPr>
          <w:lang w:val="en-GB"/>
        </w:rPr>
        <w:tab/>
      </w:r>
      <w:r w:rsidR="008A4FF5" w:rsidRPr="00F00DB2">
        <w:rPr>
          <w:lang w:val="en-GB"/>
        </w:rPr>
        <w:t xml:space="preserve">13 </w:t>
      </w:r>
      <w:r w:rsidR="006427DB" w:rsidRPr="00F00DB2">
        <w:rPr>
          <w:lang w:val="en-GB"/>
        </w:rPr>
        <w:t>Ju</w:t>
      </w:r>
      <w:r w:rsidR="000C098C" w:rsidRPr="00F00DB2">
        <w:rPr>
          <w:lang w:val="en-GB"/>
        </w:rPr>
        <w:t>ly</w:t>
      </w:r>
      <w:r w:rsidR="006427DB" w:rsidRPr="00F00DB2">
        <w:rPr>
          <w:lang w:val="en-GB"/>
        </w:rPr>
        <w:t xml:space="preserve"> </w:t>
      </w:r>
      <w:r w:rsidRPr="00E533B6">
        <w:rPr>
          <w:lang w:val="en-GB"/>
        </w:rPr>
        <w:t>201</w:t>
      </w:r>
      <w:r w:rsidR="001844A0" w:rsidRPr="00F00DB2">
        <w:rPr>
          <w:lang w:val="en-GB"/>
        </w:rPr>
        <w:t>5</w:t>
      </w:r>
    </w:p>
    <w:p w14:paraId="0BD5AF33" w14:textId="77777777" w:rsidR="003134AC" w:rsidRPr="00E533B6" w:rsidRDefault="003134AC" w:rsidP="004E4544">
      <w:pPr>
        <w:pStyle w:val="SingleTxtG"/>
        <w:ind w:left="4536" w:hanging="2835"/>
        <w:jc w:val="left"/>
        <w:rPr>
          <w:lang w:val="en-GB"/>
        </w:rPr>
      </w:pPr>
      <w:r w:rsidRPr="00E533B6">
        <w:rPr>
          <w:i/>
          <w:iCs/>
          <w:lang w:val="en-GB"/>
        </w:rPr>
        <w:t>Subject matter:</w:t>
      </w:r>
      <w:r w:rsidRPr="00E533B6">
        <w:rPr>
          <w:lang w:val="en-GB"/>
        </w:rPr>
        <w:tab/>
      </w:r>
      <w:r w:rsidR="004D08D3" w:rsidRPr="00F00DB2">
        <w:rPr>
          <w:lang w:val="en-GB"/>
        </w:rPr>
        <w:t>Miscarriage of justice and unfair trial</w:t>
      </w:r>
      <w:r w:rsidR="00F06D31" w:rsidRPr="00F00DB2">
        <w:rPr>
          <w:lang w:val="en-GB"/>
        </w:rPr>
        <w:t xml:space="preserve"> </w:t>
      </w:r>
    </w:p>
    <w:p w14:paraId="1FAEF57F" w14:textId="77777777" w:rsidR="003134AC" w:rsidRPr="00F00DB2" w:rsidRDefault="003134AC" w:rsidP="004E4544">
      <w:pPr>
        <w:pStyle w:val="SingleTxtG"/>
        <w:ind w:left="4536" w:hanging="2835"/>
        <w:jc w:val="left"/>
        <w:rPr>
          <w:lang w:val="en-GB"/>
        </w:rPr>
      </w:pPr>
      <w:r w:rsidRPr="00E533B6">
        <w:rPr>
          <w:i/>
          <w:iCs/>
          <w:lang w:val="en-GB"/>
        </w:rPr>
        <w:t xml:space="preserve">Substantive issues: </w:t>
      </w:r>
      <w:r w:rsidRPr="00E533B6">
        <w:rPr>
          <w:i/>
          <w:iCs/>
          <w:lang w:val="en-GB"/>
        </w:rPr>
        <w:tab/>
      </w:r>
      <w:r w:rsidR="004D08D3" w:rsidRPr="00F00DB2">
        <w:rPr>
          <w:iCs/>
          <w:lang w:val="en-GB"/>
        </w:rPr>
        <w:t>Miscarriage of justice; d</w:t>
      </w:r>
      <w:r w:rsidR="00F43AA5" w:rsidRPr="00F00DB2">
        <w:rPr>
          <w:iCs/>
          <w:lang w:val="en-GB"/>
        </w:rPr>
        <w:t>iscrimination;</w:t>
      </w:r>
      <w:r w:rsidR="00B410C3" w:rsidRPr="00F00DB2">
        <w:rPr>
          <w:iCs/>
          <w:lang w:val="en-GB"/>
        </w:rPr>
        <w:t xml:space="preserve"> </w:t>
      </w:r>
      <w:r w:rsidR="009A40CD" w:rsidRPr="00F00DB2">
        <w:rPr>
          <w:iCs/>
          <w:lang w:val="en-GB"/>
        </w:rPr>
        <w:t>due process</w:t>
      </w:r>
    </w:p>
    <w:p w14:paraId="160CC4EF" w14:textId="77777777" w:rsidR="003134AC" w:rsidRPr="00E533B6" w:rsidRDefault="003134AC" w:rsidP="00290501">
      <w:pPr>
        <w:pStyle w:val="SingleTxtG"/>
        <w:ind w:left="4536" w:hanging="2835"/>
        <w:jc w:val="left"/>
        <w:rPr>
          <w:lang w:val="en-GB"/>
        </w:rPr>
      </w:pPr>
      <w:r w:rsidRPr="00E533B6">
        <w:rPr>
          <w:i/>
          <w:iCs/>
          <w:lang w:val="en-GB"/>
        </w:rPr>
        <w:t xml:space="preserve">Procedural issue: </w:t>
      </w:r>
      <w:r w:rsidRPr="00E533B6">
        <w:rPr>
          <w:i/>
          <w:iCs/>
          <w:lang w:val="en-GB"/>
        </w:rPr>
        <w:tab/>
      </w:r>
      <w:r w:rsidR="004D08D3" w:rsidRPr="00F00DB2">
        <w:rPr>
          <w:iCs/>
          <w:lang w:val="en-GB"/>
        </w:rPr>
        <w:t>Admissibility</w:t>
      </w:r>
      <w:r w:rsidR="00290501" w:rsidRPr="00F00DB2">
        <w:rPr>
          <w:iCs/>
          <w:lang w:val="en-GB"/>
        </w:rPr>
        <w:t xml:space="preserve"> — </w:t>
      </w:r>
      <w:r w:rsidR="004D08D3" w:rsidRPr="00F00DB2">
        <w:rPr>
          <w:iCs/>
          <w:lang w:val="en-GB"/>
        </w:rPr>
        <w:t>victim status; admissibility</w:t>
      </w:r>
      <w:r w:rsidR="004D08D3" w:rsidRPr="00E533B6">
        <w:rPr>
          <w:lang w:val="en-GB"/>
        </w:rPr>
        <w:t xml:space="preserve"> </w:t>
      </w:r>
      <w:r w:rsidR="00290501" w:rsidRPr="00E533B6">
        <w:rPr>
          <w:lang w:val="en-GB"/>
        </w:rPr>
        <w:t xml:space="preserve">— </w:t>
      </w:r>
      <w:r w:rsidR="004D08D3" w:rsidRPr="00F00DB2">
        <w:rPr>
          <w:iCs/>
          <w:lang w:val="en-GB"/>
        </w:rPr>
        <w:t>manifestly ill-founded</w:t>
      </w:r>
      <w:r w:rsidR="00CB09DE" w:rsidRPr="00F00DB2">
        <w:rPr>
          <w:iCs/>
          <w:lang w:val="en-GB"/>
        </w:rPr>
        <w:t xml:space="preserve">, competency </w:t>
      </w:r>
      <w:r w:rsidR="00CB09DE" w:rsidRPr="00F00DB2">
        <w:rPr>
          <w:i/>
          <w:lang w:val="en-GB"/>
        </w:rPr>
        <w:t>ratione materiae</w:t>
      </w:r>
    </w:p>
    <w:p w14:paraId="02EBB65B" w14:textId="77777777" w:rsidR="005C11C1" w:rsidRPr="00F00DB2" w:rsidRDefault="003134AC" w:rsidP="00290501">
      <w:pPr>
        <w:pStyle w:val="SingleTxtG"/>
        <w:ind w:left="4536" w:hanging="2835"/>
        <w:jc w:val="left"/>
        <w:rPr>
          <w:lang w:val="en-GB"/>
        </w:rPr>
      </w:pPr>
      <w:r w:rsidRPr="00E533B6">
        <w:rPr>
          <w:i/>
          <w:iCs/>
          <w:lang w:val="en-GB"/>
        </w:rPr>
        <w:t>Articles of the Covenant:</w:t>
      </w:r>
      <w:r w:rsidRPr="00E533B6">
        <w:rPr>
          <w:lang w:val="en-GB"/>
        </w:rPr>
        <w:t xml:space="preserve"> </w:t>
      </w:r>
      <w:r w:rsidRPr="00E533B6">
        <w:rPr>
          <w:lang w:val="en-GB"/>
        </w:rPr>
        <w:tab/>
      </w:r>
      <w:r w:rsidR="001F5FD0" w:rsidRPr="00F00DB2">
        <w:rPr>
          <w:lang w:val="en-GB"/>
        </w:rPr>
        <w:t>2</w:t>
      </w:r>
      <w:r w:rsidR="00290501" w:rsidRPr="00F00DB2">
        <w:rPr>
          <w:lang w:val="en-GB"/>
        </w:rPr>
        <w:t>, para. (</w:t>
      </w:r>
      <w:r w:rsidR="001F5FD0" w:rsidRPr="00F00DB2">
        <w:rPr>
          <w:lang w:val="en-GB"/>
        </w:rPr>
        <w:t xml:space="preserve">3 </w:t>
      </w:r>
      <w:r w:rsidR="00290501" w:rsidRPr="00F00DB2">
        <w:rPr>
          <w:lang w:val="en-GB"/>
        </w:rPr>
        <w:t>(</w:t>
      </w:r>
      <w:r w:rsidR="001F5FD0" w:rsidRPr="00F00DB2">
        <w:rPr>
          <w:lang w:val="en-GB"/>
        </w:rPr>
        <w:t>a); 9</w:t>
      </w:r>
      <w:r w:rsidR="00290501" w:rsidRPr="00F00DB2">
        <w:rPr>
          <w:lang w:val="en-GB"/>
        </w:rPr>
        <w:t>,</w:t>
      </w:r>
      <w:r w:rsidR="001F5FD0" w:rsidRPr="00F00DB2">
        <w:rPr>
          <w:lang w:val="en-GB"/>
        </w:rPr>
        <w:t xml:space="preserve"> </w:t>
      </w:r>
      <w:r w:rsidR="00290501" w:rsidRPr="00F00DB2">
        <w:rPr>
          <w:lang w:val="en-GB"/>
        </w:rPr>
        <w:t>paras. </w:t>
      </w:r>
      <w:r w:rsidR="001F5FD0" w:rsidRPr="00F00DB2">
        <w:rPr>
          <w:lang w:val="en-GB"/>
        </w:rPr>
        <w:t>1 and 3; 14</w:t>
      </w:r>
      <w:r w:rsidR="00290501" w:rsidRPr="00F00DB2">
        <w:rPr>
          <w:lang w:val="en-GB"/>
        </w:rPr>
        <w:t>,</w:t>
      </w:r>
      <w:r w:rsidR="001F5FD0" w:rsidRPr="00F00DB2">
        <w:rPr>
          <w:lang w:val="en-GB"/>
        </w:rPr>
        <w:t xml:space="preserve"> </w:t>
      </w:r>
      <w:r w:rsidR="00290501" w:rsidRPr="00F00DB2">
        <w:rPr>
          <w:lang w:val="en-GB"/>
        </w:rPr>
        <w:t xml:space="preserve">paras. </w:t>
      </w:r>
      <w:r w:rsidR="001F5FD0" w:rsidRPr="00F00DB2">
        <w:rPr>
          <w:lang w:val="en-GB"/>
        </w:rPr>
        <w:t xml:space="preserve">1, 2, 3 </w:t>
      </w:r>
      <w:r w:rsidR="00290501" w:rsidRPr="00F00DB2">
        <w:rPr>
          <w:lang w:val="en-GB"/>
        </w:rPr>
        <w:t>(</w:t>
      </w:r>
      <w:r w:rsidR="001F5FD0" w:rsidRPr="00F00DB2">
        <w:rPr>
          <w:lang w:val="en-GB"/>
        </w:rPr>
        <w:t xml:space="preserve">b), </w:t>
      </w:r>
      <w:r w:rsidR="00290501" w:rsidRPr="00F00DB2">
        <w:rPr>
          <w:lang w:val="en-GB"/>
        </w:rPr>
        <w:t>(</w:t>
      </w:r>
      <w:r w:rsidR="001F5FD0" w:rsidRPr="00F00DB2">
        <w:rPr>
          <w:lang w:val="en-GB"/>
        </w:rPr>
        <w:t xml:space="preserve">c), </w:t>
      </w:r>
      <w:r w:rsidR="00290501" w:rsidRPr="00F00DB2">
        <w:rPr>
          <w:lang w:val="en-GB"/>
        </w:rPr>
        <w:t>(</w:t>
      </w:r>
      <w:r w:rsidR="001F5FD0" w:rsidRPr="00F00DB2">
        <w:rPr>
          <w:lang w:val="en-GB"/>
        </w:rPr>
        <w:t xml:space="preserve">d), </w:t>
      </w:r>
      <w:r w:rsidR="00290501" w:rsidRPr="00F00DB2">
        <w:rPr>
          <w:lang w:val="en-GB"/>
        </w:rPr>
        <w:t>(</w:t>
      </w:r>
      <w:r w:rsidR="001F5FD0" w:rsidRPr="00F00DB2">
        <w:rPr>
          <w:lang w:val="en-GB"/>
        </w:rPr>
        <w:t xml:space="preserve">e) and </w:t>
      </w:r>
      <w:r w:rsidR="00290501" w:rsidRPr="00F00DB2">
        <w:rPr>
          <w:lang w:val="en-GB"/>
        </w:rPr>
        <w:t>(</w:t>
      </w:r>
      <w:r w:rsidR="001F5FD0" w:rsidRPr="00F00DB2">
        <w:rPr>
          <w:lang w:val="en-GB"/>
        </w:rPr>
        <w:t>g); 14</w:t>
      </w:r>
      <w:r w:rsidR="00290501" w:rsidRPr="00F00DB2">
        <w:rPr>
          <w:lang w:val="en-GB"/>
        </w:rPr>
        <w:t>,</w:t>
      </w:r>
      <w:r w:rsidR="001F5FD0" w:rsidRPr="00F00DB2">
        <w:rPr>
          <w:lang w:val="en-GB"/>
        </w:rPr>
        <w:t xml:space="preserve"> par</w:t>
      </w:r>
      <w:r w:rsidR="00290501" w:rsidRPr="00F00DB2">
        <w:rPr>
          <w:lang w:val="en-GB"/>
        </w:rPr>
        <w:t>as</w:t>
      </w:r>
      <w:r w:rsidR="001F5FD0" w:rsidRPr="00F00DB2">
        <w:rPr>
          <w:lang w:val="en-GB"/>
        </w:rPr>
        <w:t>. 5 and 6; 17</w:t>
      </w:r>
      <w:r w:rsidR="00290501" w:rsidRPr="00F00DB2">
        <w:rPr>
          <w:lang w:val="en-GB"/>
        </w:rPr>
        <w:t>;</w:t>
      </w:r>
      <w:r w:rsidR="001F5FD0" w:rsidRPr="00F00DB2">
        <w:rPr>
          <w:lang w:val="en-GB"/>
        </w:rPr>
        <w:t xml:space="preserve"> and 26</w:t>
      </w:r>
    </w:p>
    <w:p w14:paraId="27BF7702" w14:textId="77777777" w:rsidR="003134AC" w:rsidRPr="00F00DB2" w:rsidRDefault="003134AC" w:rsidP="00290501">
      <w:pPr>
        <w:pStyle w:val="SingleTxtG"/>
        <w:ind w:left="4536" w:hanging="2835"/>
        <w:jc w:val="left"/>
        <w:rPr>
          <w:lang w:val="en-GB"/>
        </w:rPr>
      </w:pPr>
      <w:r w:rsidRPr="00E533B6">
        <w:rPr>
          <w:i/>
          <w:iCs/>
          <w:lang w:val="en-GB"/>
        </w:rPr>
        <w:t>Articles of the Optional Protocol:</w:t>
      </w:r>
      <w:r w:rsidR="00735F4E" w:rsidRPr="00F00DB2">
        <w:rPr>
          <w:i/>
          <w:iCs/>
          <w:lang w:val="en-GB"/>
        </w:rPr>
        <w:tab/>
      </w:r>
      <w:r w:rsidR="00A93758" w:rsidRPr="00F00DB2">
        <w:rPr>
          <w:iCs/>
          <w:lang w:val="en-GB"/>
        </w:rPr>
        <w:t>1</w:t>
      </w:r>
      <w:r w:rsidR="00290501" w:rsidRPr="00F00DB2">
        <w:rPr>
          <w:iCs/>
          <w:lang w:val="en-GB"/>
        </w:rPr>
        <w:t>;</w:t>
      </w:r>
      <w:r w:rsidR="00A93758" w:rsidRPr="00F00DB2">
        <w:rPr>
          <w:iCs/>
          <w:lang w:val="en-GB"/>
        </w:rPr>
        <w:t xml:space="preserve"> 2</w:t>
      </w:r>
      <w:r w:rsidR="00290501" w:rsidRPr="00F00DB2">
        <w:rPr>
          <w:iCs/>
          <w:lang w:val="en-GB"/>
        </w:rPr>
        <w:t>;</w:t>
      </w:r>
      <w:r w:rsidR="00A93758" w:rsidRPr="00F00DB2">
        <w:rPr>
          <w:iCs/>
          <w:lang w:val="en-GB"/>
        </w:rPr>
        <w:t xml:space="preserve"> </w:t>
      </w:r>
      <w:r w:rsidR="00290501" w:rsidRPr="00F00DB2">
        <w:rPr>
          <w:iCs/>
          <w:lang w:val="en-GB"/>
        </w:rPr>
        <w:t xml:space="preserve">and </w:t>
      </w:r>
      <w:r w:rsidR="00A93758" w:rsidRPr="00F00DB2">
        <w:rPr>
          <w:iCs/>
          <w:lang w:val="en-GB"/>
        </w:rPr>
        <w:t>3</w:t>
      </w:r>
    </w:p>
    <w:p w14:paraId="7745592C" w14:textId="77777777" w:rsidR="003134AC" w:rsidRPr="00E533B6" w:rsidRDefault="003134AC" w:rsidP="000C098C">
      <w:pPr>
        <w:pStyle w:val="SingleTxtG"/>
        <w:rPr>
          <w:lang w:val="en-GB"/>
        </w:rPr>
      </w:pPr>
    </w:p>
    <w:p w14:paraId="3A7AEED6" w14:textId="77777777" w:rsidR="003134AC" w:rsidRPr="00E533B6" w:rsidRDefault="003134AC" w:rsidP="003134AC">
      <w:pPr>
        <w:pStyle w:val="SingleTxtG"/>
        <w:jc w:val="center"/>
        <w:rPr>
          <w:bCs/>
          <w:iCs/>
          <w:lang w:val="en-GB"/>
        </w:rPr>
      </w:pPr>
    </w:p>
    <w:p w14:paraId="19295957" w14:textId="77777777" w:rsidR="003134AC" w:rsidRPr="00F00DB2" w:rsidRDefault="003134AC" w:rsidP="003134AC">
      <w:pPr>
        <w:pStyle w:val="HChG"/>
      </w:pPr>
      <w:r w:rsidRPr="00F00DB2">
        <w:br w:type="page"/>
      </w:r>
      <w:r w:rsidRPr="00F00DB2">
        <w:lastRenderedPageBreak/>
        <w:t>Annex</w:t>
      </w:r>
    </w:p>
    <w:p w14:paraId="62553106" w14:textId="77777777" w:rsidR="003134AC" w:rsidRPr="00F00DB2" w:rsidRDefault="003134AC" w:rsidP="003134AC">
      <w:pPr>
        <w:pStyle w:val="HChG"/>
        <w:rPr>
          <w:bCs/>
        </w:rPr>
      </w:pPr>
      <w:r w:rsidRPr="00F00DB2">
        <w:tab/>
      </w:r>
      <w:r w:rsidRPr="00F00DB2">
        <w:tab/>
        <w:t>Views of the Human Rights Committee under article 5, paragraph 4, of the Optional Protocol to the International Covenant on Civil and Political rights (11</w:t>
      </w:r>
      <w:r w:rsidR="008360B7" w:rsidRPr="00F00DB2">
        <w:t>4</w:t>
      </w:r>
      <w:r w:rsidRPr="00F00DB2">
        <w:t xml:space="preserve">th </w:t>
      </w:r>
      <w:r w:rsidRPr="00F00DB2">
        <w:rPr>
          <w:bCs/>
        </w:rPr>
        <w:t>session)</w:t>
      </w:r>
    </w:p>
    <w:p w14:paraId="7946ABE3" w14:textId="77777777" w:rsidR="003134AC" w:rsidRPr="00E533B6" w:rsidRDefault="003134AC" w:rsidP="003134AC">
      <w:pPr>
        <w:pStyle w:val="SingleTxtG"/>
        <w:rPr>
          <w:b/>
          <w:bCs/>
          <w:lang w:val="en-GB"/>
        </w:rPr>
      </w:pPr>
      <w:r w:rsidRPr="00E533B6">
        <w:rPr>
          <w:lang w:val="en-GB"/>
        </w:rPr>
        <w:t>concerning</w:t>
      </w:r>
    </w:p>
    <w:p w14:paraId="273D1535" w14:textId="77777777" w:rsidR="003134AC" w:rsidRPr="00F00DB2" w:rsidRDefault="003134AC" w:rsidP="003134AC">
      <w:pPr>
        <w:pStyle w:val="H1G"/>
      </w:pPr>
      <w:r w:rsidRPr="00F00DB2">
        <w:tab/>
      </w:r>
      <w:r w:rsidRPr="00F00DB2">
        <w:tab/>
        <w:t xml:space="preserve">Communication No. </w:t>
      </w:r>
      <w:r w:rsidR="009A40CD" w:rsidRPr="00F00DB2">
        <w:t>1909/2009</w:t>
      </w:r>
      <w:r w:rsidR="004224D1" w:rsidRPr="00E533B6">
        <w:rPr>
          <w:rStyle w:val="FootnoteReference"/>
          <w:b w:val="0"/>
          <w:sz w:val="20"/>
          <w:vertAlign w:val="baseline"/>
        </w:rPr>
        <w:footnoteReference w:customMarkFollows="1" w:id="2"/>
        <w:t>*</w:t>
      </w:r>
    </w:p>
    <w:p w14:paraId="6D6361E6" w14:textId="77777777" w:rsidR="008360B7" w:rsidRPr="00F00DB2" w:rsidRDefault="003134AC" w:rsidP="00D652D9">
      <w:pPr>
        <w:pStyle w:val="SingleTxtG"/>
        <w:ind w:left="4536" w:hanging="2835"/>
        <w:rPr>
          <w:lang w:val="en-GB"/>
        </w:rPr>
      </w:pPr>
      <w:r w:rsidRPr="00E533B6">
        <w:rPr>
          <w:i/>
          <w:lang w:val="en-GB"/>
        </w:rPr>
        <w:t>Submitted by:</w:t>
      </w:r>
      <w:r w:rsidRPr="00E533B6">
        <w:rPr>
          <w:lang w:val="en-GB"/>
        </w:rPr>
        <w:tab/>
      </w:r>
      <w:r w:rsidR="003B115C" w:rsidRPr="00F00DB2">
        <w:rPr>
          <w:lang w:val="en-GB"/>
        </w:rPr>
        <w:t xml:space="preserve">Taito </w:t>
      </w:r>
      <w:r w:rsidR="00FB02BF" w:rsidRPr="00F00DB2">
        <w:rPr>
          <w:lang w:val="en-GB"/>
        </w:rPr>
        <w:t>Fa’afete (Represented by counsel, Tony Ellis)</w:t>
      </w:r>
    </w:p>
    <w:p w14:paraId="18AFB7FB" w14:textId="77777777" w:rsidR="003134AC" w:rsidRPr="00F00DB2" w:rsidRDefault="003134AC" w:rsidP="004E4544">
      <w:pPr>
        <w:pStyle w:val="SingleTxtG"/>
        <w:ind w:left="4536" w:hanging="2835"/>
        <w:rPr>
          <w:lang w:val="en-GB"/>
        </w:rPr>
      </w:pPr>
      <w:r w:rsidRPr="00E533B6">
        <w:rPr>
          <w:i/>
          <w:lang w:val="en-GB"/>
        </w:rPr>
        <w:t>Alleged victim:</w:t>
      </w:r>
      <w:r w:rsidRPr="00E533B6">
        <w:rPr>
          <w:lang w:val="en-GB"/>
        </w:rPr>
        <w:tab/>
        <w:t>The author</w:t>
      </w:r>
    </w:p>
    <w:p w14:paraId="2831E2BD" w14:textId="77777777" w:rsidR="003134AC" w:rsidRPr="00F00DB2" w:rsidRDefault="003134AC" w:rsidP="004E4544">
      <w:pPr>
        <w:pStyle w:val="SingleTxtG"/>
        <w:ind w:left="4536" w:hanging="2835"/>
        <w:rPr>
          <w:lang w:val="en-GB"/>
        </w:rPr>
      </w:pPr>
      <w:r w:rsidRPr="00E533B6">
        <w:rPr>
          <w:i/>
          <w:lang w:val="en-GB"/>
        </w:rPr>
        <w:t>State party:</w:t>
      </w:r>
      <w:r w:rsidRPr="00E533B6">
        <w:rPr>
          <w:lang w:val="en-GB"/>
        </w:rPr>
        <w:tab/>
      </w:r>
      <w:r w:rsidR="009A40CD" w:rsidRPr="00F00DB2">
        <w:rPr>
          <w:lang w:val="en-GB"/>
        </w:rPr>
        <w:t>New Zealand</w:t>
      </w:r>
    </w:p>
    <w:p w14:paraId="1CD43C3D" w14:textId="77777777" w:rsidR="003134AC" w:rsidRPr="00F00DB2" w:rsidRDefault="003134AC" w:rsidP="004E4544">
      <w:pPr>
        <w:pStyle w:val="SingleTxtG"/>
        <w:ind w:left="4536" w:hanging="2835"/>
        <w:rPr>
          <w:lang w:val="en-GB"/>
        </w:rPr>
      </w:pPr>
      <w:r w:rsidRPr="00E533B6">
        <w:rPr>
          <w:i/>
          <w:lang w:val="en-GB"/>
        </w:rPr>
        <w:t>Date of communication:</w:t>
      </w:r>
      <w:r w:rsidRPr="00E533B6">
        <w:rPr>
          <w:lang w:val="en-GB"/>
        </w:rPr>
        <w:tab/>
      </w:r>
      <w:r w:rsidR="00FB02BF" w:rsidRPr="00F00DB2">
        <w:rPr>
          <w:lang w:val="en-GB"/>
        </w:rPr>
        <w:t>12 May 2009 (initial submission)</w:t>
      </w:r>
      <w:r w:rsidR="001E6117" w:rsidRPr="00F00DB2">
        <w:rPr>
          <w:lang w:val="en-GB"/>
        </w:rPr>
        <w:t>, completed by submission dated 19 July 2010</w:t>
      </w:r>
    </w:p>
    <w:p w14:paraId="15179FE4" w14:textId="77777777" w:rsidR="003134AC" w:rsidRPr="00E533B6" w:rsidRDefault="003134AC" w:rsidP="003134AC">
      <w:pPr>
        <w:pStyle w:val="SingleTxtG"/>
        <w:rPr>
          <w:lang w:val="en-GB"/>
        </w:rPr>
      </w:pPr>
      <w:r w:rsidRPr="00E533B6">
        <w:rPr>
          <w:lang w:val="en-GB"/>
        </w:rPr>
        <w:tab/>
      </w:r>
      <w:r w:rsidRPr="00E533B6">
        <w:rPr>
          <w:i/>
          <w:lang w:val="en-GB"/>
        </w:rPr>
        <w:t>The Human Rights Committee</w:t>
      </w:r>
      <w:r w:rsidRPr="00E533B6">
        <w:rPr>
          <w:lang w:val="en-GB"/>
        </w:rPr>
        <w:t xml:space="preserve">, established under article 28 of the International Covenant on Civil and Political Rights, </w:t>
      </w:r>
    </w:p>
    <w:p w14:paraId="465DBC5A" w14:textId="77777777" w:rsidR="003134AC" w:rsidRPr="00E533B6" w:rsidRDefault="003134AC" w:rsidP="003134AC">
      <w:pPr>
        <w:pStyle w:val="SingleTxtG"/>
        <w:rPr>
          <w:lang w:val="en-GB"/>
        </w:rPr>
      </w:pPr>
      <w:r w:rsidRPr="00E533B6">
        <w:rPr>
          <w:lang w:val="en-GB"/>
        </w:rPr>
        <w:tab/>
      </w:r>
      <w:r w:rsidRPr="00E533B6">
        <w:rPr>
          <w:i/>
          <w:lang w:val="en-GB"/>
        </w:rPr>
        <w:t>Meeting</w:t>
      </w:r>
      <w:r w:rsidRPr="00E533B6">
        <w:rPr>
          <w:iCs/>
          <w:lang w:val="en-GB"/>
        </w:rPr>
        <w:t xml:space="preserve"> on </w:t>
      </w:r>
      <w:r w:rsidR="008A4FF5" w:rsidRPr="00E533B6">
        <w:rPr>
          <w:lang w:val="en-GB"/>
        </w:rPr>
        <w:t xml:space="preserve">13 </w:t>
      </w:r>
      <w:r w:rsidR="008360B7" w:rsidRPr="00F00DB2">
        <w:rPr>
          <w:lang w:val="en-GB"/>
        </w:rPr>
        <w:t xml:space="preserve">July </w:t>
      </w:r>
      <w:r w:rsidRPr="00E533B6">
        <w:rPr>
          <w:lang w:val="en-GB"/>
        </w:rPr>
        <w:t>201</w:t>
      </w:r>
      <w:r w:rsidR="001844A0" w:rsidRPr="00F00DB2">
        <w:rPr>
          <w:lang w:val="en-GB"/>
        </w:rPr>
        <w:t>5</w:t>
      </w:r>
      <w:r w:rsidRPr="00E533B6">
        <w:rPr>
          <w:lang w:val="en-GB"/>
        </w:rPr>
        <w:t>,</w:t>
      </w:r>
    </w:p>
    <w:p w14:paraId="150FB053" w14:textId="77777777" w:rsidR="003134AC" w:rsidRPr="00E533B6" w:rsidRDefault="003134AC" w:rsidP="003134AC">
      <w:pPr>
        <w:pStyle w:val="SingleTxtG"/>
        <w:rPr>
          <w:lang w:val="en-GB"/>
        </w:rPr>
      </w:pPr>
      <w:r w:rsidRPr="00E533B6">
        <w:rPr>
          <w:lang w:val="en-GB"/>
        </w:rPr>
        <w:tab/>
      </w:r>
      <w:r w:rsidRPr="00E533B6">
        <w:rPr>
          <w:i/>
          <w:lang w:val="en-GB"/>
        </w:rPr>
        <w:t>Having concluded</w:t>
      </w:r>
      <w:r w:rsidRPr="00E533B6">
        <w:rPr>
          <w:lang w:val="en-GB"/>
        </w:rPr>
        <w:t xml:space="preserve"> its consideration of communication No. </w:t>
      </w:r>
      <w:r w:rsidR="009A40CD" w:rsidRPr="00F00DB2">
        <w:rPr>
          <w:lang w:val="en-GB"/>
        </w:rPr>
        <w:t>1909/2009</w:t>
      </w:r>
      <w:r w:rsidRPr="00E533B6">
        <w:rPr>
          <w:lang w:val="en-GB"/>
        </w:rPr>
        <w:t>, submitted to the Human Rights Committee under the Optional Protocol to the International Covenant on Civil and Political Rights,</w:t>
      </w:r>
    </w:p>
    <w:p w14:paraId="15EC1BA6" w14:textId="77777777" w:rsidR="003134AC" w:rsidRPr="00E533B6" w:rsidRDefault="003134AC" w:rsidP="003134AC">
      <w:pPr>
        <w:pStyle w:val="SingleTxtG"/>
        <w:rPr>
          <w:lang w:val="en-GB"/>
        </w:rPr>
      </w:pPr>
      <w:r w:rsidRPr="00E533B6">
        <w:rPr>
          <w:lang w:val="en-GB"/>
        </w:rPr>
        <w:tab/>
      </w:r>
      <w:r w:rsidRPr="00E533B6">
        <w:rPr>
          <w:i/>
          <w:lang w:val="en-GB"/>
        </w:rPr>
        <w:t>Having taken into account</w:t>
      </w:r>
      <w:r w:rsidRPr="00E533B6">
        <w:rPr>
          <w:lang w:val="en-GB"/>
        </w:rPr>
        <w:t xml:space="preserve"> all written information made available to it by the author of the communication and the State party,</w:t>
      </w:r>
    </w:p>
    <w:p w14:paraId="1DED6B53" w14:textId="77777777" w:rsidR="003134AC" w:rsidRPr="00F00DB2" w:rsidRDefault="003134AC" w:rsidP="004E4544">
      <w:pPr>
        <w:pStyle w:val="SingleTxtG"/>
        <w:rPr>
          <w:lang w:val="en-GB"/>
        </w:rPr>
      </w:pPr>
      <w:r w:rsidRPr="00E533B6">
        <w:rPr>
          <w:lang w:val="en-GB"/>
        </w:rPr>
        <w:tab/>
      </w:r>
      <w:r w:rsidRPr="00E533B6">
        <w:rPr>
          <w:i/>
          <w:lang w:val="en-GB"/>
        </w:rPr>
        <w:t xml:space="preserve">Adopts </w:t>
      </w:r>
      <w:r w:rsidRPr="00E533B6">
        <w:rPr>
          <w:iCs/>
          <w:lang w:val="en-GB"/>
        </w:rPr>
        <w:t>the following</w:t>
      </w:r>
      <w:r w:rsidRPr="00E533B6">
        <w:rPr>
          <w:lang w:val="en-GB"/>
        </w:rPr>
        <w:t>:</w:t>
      </w:r>
    </w:p>
    <w:p w14:paraId="383B1596" w14:textId="77777777" w:rsidR="003134AC" w:rsidRPr="00F00DB2" w:rsidRDefault="003134AC" w:rsidP="003134AC">
      <w:pPr>
        <w:pStyle w:val="H1G"/>
        <w:rPr>
          <w:highlight w:val="yellow"/>
        </w:rPr>
      </w:pPr>
      <w:r w:rsidRPr="00F00DB2">
        <w:tab/>
      </w:r>
      <w:r w:rsidRPr="00F00DB2">
        <w:tab/>
        <w:t>Views under article 5, paragraph 4, of the Optional Protocol</w:t>
      </w:r>
    </w:p>
    <w:p w14:paraId="4DB7EB71" w14:textId="77777777" w:rsidR="00FB02BF" w:rsidRPr="00F00DB2" w:rsidRDefault="00913A0C" w:rsidP="00D652D9">
      <w:pPr>
        <w:pStyle w:val="SingleTxtG"/>
        <w:rPr>
          <w:lang w:val="en-GB"/>
        </w:rPr>
      </w:pPr>
      <w:r w:rsidRPr="00F00DB2">
        <w:rPr>
          <w:lang w:val="en-GB"/>
        </w:rPr>
        <w:t>1.</w:t>
      </w:r>
      <w:r w:rsidR="00F571D9" w:rsidRPr="00F00DB2">
        <w:rPr>
          <w:lang w:val="en-GB"/>
        </w:rPr>
        <w:tab/>
        <w:t xml:space="preserve">The author of the communication is </w:t>
      </w:r>
      <w:r w:rsidR="003B115C" w:rsidRPr="00F00DB2">
        <w:rPr>
          <w:lang w:val="en-GB"/>
        </w:rPr>
        <w:t xml:space="preserve">Taito Fa’afete, a New Zealander </w:t>
      </w:r>
      <w:r w:rsidR="00F571D9" w:rsidRPr="00F00DB2">
        <w:rPr>
          <w:lang w:val="en-GB"/>
        </w:rPr>
        <w:t>national</w:t>
      </w:r>
      <w:r w:rsidR="00141A66" w:rsidRPr="00F00DB2">
        <w:rPr>
          <w:lang w:val="en-GB"/>
        </w:rPr>
        <w:t xml:space="preserve"> of Samoan origin,</w:t>
      </w:r>
      <w:r w:rsidR="00F571D9" w:rsidRPr="00F00DB2">
        <w:rPr>
          <w:lang w:val="en-GB"/>
        </w:rPr>
        <w:t xml:space="preserve"> born </w:t>
      </w:r>
      <w:r w:rsidR="003B115C" w:rsidRPr="00F00DB2">
        <w:rPr>
          <w:lang w:val="en-GB"/>
        </w:rPr>
        <w:t>on 22 October 1962</w:t>
      </w:r>
      <w:r w:rsidR="00F571D9" w:rsidRPr="00F00DB2">
        <w:rPr>
          <w:lang w:val="en-GB"/>
        </w:rPr>
        <w:t xml:space="preserve">. He </w:t>
      </w:r>
      <w:r w:rsidR="00DD6CA9" w:rsidRPr="00F00DB2">
        <w:rPr>
          <w:lang w:val="en-GB"/>
        </w:rPr>
        <w:t xml:space="preserve">claims that his rights under articles 2 </w:t>
      </w:r>
      <w:r w:rsidR="00106E3B" w:rsidRPr="00F00DB2">
        <w:rPr>
          <w:lang w:val="en-GB"/>
        </w:rPr>
        <w:t>(</w:t>
      </w:r>
      <w:r w:rsidR="00DD6CA9" w:rsidRPr="00F00DB2">
        <w:rPr>
          <w:lang w:val="en-GB"/>
        </w:rPr>
        <w:t>3</w:t>
      </w:r>
      <w:r w:rsidR="00106E3B" w:rsidRPr="00F00DB2">
        <w:rPr>
          <w:lang w:val="en-GB"/>
        </w:rPr>
        <w:t>);</w:t>
      </w:r>
      <w:r w:rsidR="00DD6CA9" w:rsidRPr="00F00DB2">
        <w:rPr>
          <w:lang w:val="en-GB"/>
        </w:rPr>
        <w:t xml:space="preserve"> 9 </w:t>
      </w:r>
      <w:r w:rsidR="00106E3B" w:rsidRPr="00F00DB2">
        <w:rPr>
          <w:lang w:val="en-GB"/>
        </w:rPr>
        <w:t>(</w:t>
      </w:r>
      <w:r w:rsidR="00DD6CA9" w:rsidRPr="00F00DB2">
        <w:rPr>
          <w:lang w:val="en-GB"/>
        </w:rPr>
        <w:t>1</w:t>
      </w:r>
      <w:r w:rsidR="00106E3B" w:rsidRPr="00F00DB2">
        <w:rPr>
          <w:lang w:val="en-GB"/>
        </w:rPr>
        <w:t>)</w:t>
      </w:r>
      <w:r w:rsidR="00DD6CA9" w:rsidRPr="00F00DB2">
        <w:rPr>
          <w:lang w:val="en-GB"/>
        </w:rPr>
        <w:t xml:space="preserve"> and </w:t>
      </w:r>
      <w:r w:rsidR="00106E3B" w:rsidRPr="00F00DB2">
        <w:rPr>
          <w:lang w:val="en-GB"/>
        </w:rPr>
        <w:t>(</w:t>
      </w:r>
      <w:r w:rsidR="00DD6CA9" w:rsidRPr="00F00DB2">
        <w:rPr>
          <w:lang w:val="en-GB"/>
        </w:rPr>
        <w:t>3</w:t>
      </w:r>
      <w:r w:rsidR="00106E3B" w:rsidRPr="00F00DB2">
        <w:rPr>
          <w:lang w:val="en-GB"/>
        </w:rPr>
        <w:t>)</w:t>
      </w:r>
      <w:r w:rsidR="00DD6CA9" w:rsidRPr="00F00DB2">
        <w:rPr>
          <w:lang w:val="en-GB"/>
        </w:rPr>
        <w:t xml:space="preserve">; 14 </w:t>
      </w:r>
      <w:r w:rsidR="00106E3B" w:rsidRPr="00F00DB2">
        <w:rPr>
          <w:lang w:val="en-GB"/>
        </w:rPr>
        <w:t>(</w:t>
      </w:r>
      <w:r w:rsidR="00DD6CA9" w:rsidRPr="00F00DB2">
        <w:rPr>
          <w:lang w:val="en-GB"/>
        </w:rPr>
        <w:t>1</w:t>
      </w:r>
      <w:r w:rsidR="00106E3B" w:rsidRPr="00F00DB2">
        <w:rPr>
          <w:lang w:val="en-GB"/>
        </w:rPr>
        <w:t>)</w:t>
      </w:r>
      <w:r w:rsidR="00DD6CA9" w:rsidRPr="00F00DB2">
        <w:rPr>
          <w:lang w:val="en-GB"/>
        </w:rPr>
        <w:t xml:space="preserve">, </w:t>
      </w:r>
      <w:r w:rsidR="00106E3B" w:rsidRPr="00F00DB2">
        <w:rPr>
          <w:lang w:val="en-GB"/>
        </w:rPr>
        <w:t>(</w:t>
      </w:r>
      <w:r w:rsidR="00DD6CA9" w:rsidRPr="00F00DB2">
        <w:rPr>
          <w:lang w:val="en-GB"/>
        </w:rPr>
        <w:t>2</w:t>
      </w:r>
      <w:r w:rsidR="00106E3B" w:rsidRPr="00F00DB2">
        <w:rPr>
          <w:lang w:val="en-GB"/>
        </w:rPr>
        <w:t>)</w:t>
      </w:r>
      <w:r w:rsidR="00DD6CA9" w:rsidRPr="00F00DB2">
        <w:rPr>
          <w:lang w:val="en-GB"/>
        </w:rPr>
        <w:t xml:space="preserve">, </w:t>
      </w:r>
      <w:r w:rsidR="00106E3B" w:rsidRPr="00F00DB2">
        <w:rPr>
          <w:lang w:val="en-GB"/>
        </w:rPr>
        <w:t>(</w:t>
      </w:r>
      <w:r w:rsidR="00DD6CA9" w:rsidRPr="00F00DB2">
        <w:rPr>
          <w:lang w:val="en-GB"/>
        </w:rPr>
        <w:t>3</w:t>
      </w:r>
      <w:r w:rsidR="00106E3B" w:rsidRPr="00F00DB2">
        <w:rPr>
          <w:lang w:val="en-GB"/>
        </w:rPr>
        <w:t>)</w:t>
      </w:r>
      <w:r w:rsidR="00DD6CA9" w:rsidRPr="00F00DB2">
        <w:rPr>
          <w:lang w:val="en-GB"/>
        </w:rPr>
        <w:t xml:space="preserve"> </w:t>
      </w:r>
      <w:r w:rsidR="00106E3B" w:rsidRPr="00F00DB2">
        <w:rPr>
          <w:lang w:val="en-GB"/>
        </w:rPr>
        <w:t>(</w:t>
      </w:r>
      <w:r w:rsidR="00DD6CA9" w:rsidRPr="00F00DB2">
        <w:rPr>
          <w:lang w:val="en-GB"/>
        </w:rPr>
        <w:t>b)</w:t>
      </w:r>
      <w:r w:rsidR="00106E3B" w:rsidRPr="00F00DB2">
        <w:rPr>
          <w:lang w:val="en-GB"/>
        </w:rPr>
        <w:t>-(</w:t>
      </w:r>
      <w:r w:rsidR="00DD6CA9" w:rsidRPr="00F00DB2">
        <w:rPr>
          <w:lang w:val="en-GB"/>
        </w:rPr>
        <w:t xml:space="preserve">e) and </w:t>
      </w:r>
      <w:r w:rsidR="00106E3B" w:rsidRPr="00F00DB2">
        <w:rPr>
          <w:lang w:val="en-GB"/>
        </w:rPr>
        <w:t>(</w:t>
      </w:r>
      <w:r w:rsidR="00DD6CA9" w:rsidRPr="00F00DB2">
        <w:rPr>
          <w:lang w:val="en-GB"/>
        </w:rPr>
        <w:t>g)</w:t>
      </w:r>
      <w:r w:rsidR="00106E3B" w:rsidRPr="00F00DB2">
        <w:rPr>
          <w:lang w:val="en-GB"/>
        </w:rPr>
        <w:t>,</w:t>
      </w:r>
      <w:r w:rsidR="00DD6CA9" w:rsidRPr="00F00DB2">
        <w:rPr>
          <w:lang w:val="en-GB"/>
        </w:rPr>
        <w:t xml:space="preserve"> </w:t>
      </w:r>
      <w:r w:rsidR="00106E3B" w:rsidRPr="00F00DB2">
        <w:rPr>
          <w:lang w:val="en-GB"/>
        </w:rPr>
        <w:t>(</w:t>
      </w:r>
      <w:r w:rsidR="00DD6CA9" w:rsidRPr="00F00DB2">
        <w:rPr>
          <w:lang w:val="en-GB"/>
        </w:rPr>
        <w:t>5</w:t>
      </w:r>
      <w:r w:rsidR="00106E3B" w:rsidRPr="00F00DB2">
        <w:rPr>
          <w:lang w:val="en-GB"/>
        </w:rPr>
        <w:t>)</w:t>
      </w:r>
      <w:r w:rsidR="00DD6CA9" w:rsidRPr="00F00DB2">
        <w:rPr>
          <w:lang w:val="en-GB"/>
        </w:rPr>
        <w:t xml:space="preserve"> and </w:t>
      </w:r>
      <w:r w:rsidR="00106E3B" w:rsidRPr="00F00DB2">
        <w:rPr>
          <w:lang w:val="en-GB"/>
        </w:rPr>
        <w:t>(</w:t>
      </w:r>
      <w:r w:rsidR="00DD6CA9" w:rsidRPr="00F00DB2">
        <w:rPr>
          <w:lang w:val="en-GB"/>
        </w:rPr>
        <w:t>6</w:t>
      </w:r>
      <w:r w:rsidR="00106E3B" w:rsidRPr="00F00DB2">
        <w:rPr>
          <w:lang w:val="en-GB"/>
        </w:rPr>
        <w:t>)</w:t>
      </w:r>
      <w:r w:rsidR="00DD6CA9" w:rsidRPr="00F00DB2">
        <w:rPr>
          <w:lang w:val="en-GB"/>
        </w:rPr>
        <w:t>; 17 and 26 have been violated by</w:t>
      </w:r>
      <w:r w:rsidR="00C96A3F" w:rsidRPr="00F00DB2">
        <w:rPr>
          <w:lang w:val="en-GB"/>
        </w:rPr>
        <w:t xml:space="preserve"> New Zealand in the context of</w:t>
      </w:r>
      <w:r w:rsidR="00DD6CA9" w:rsidRPr="00F00DB2">
        <w:rPr>
          <w:lang w:val="en-GB"/>
        </w:rPr>
        <w:t xml:space="preserve"> criminal </w:t>
      </w:r>
      <w:r w:rsidR="00C96A3F" w:rsidRPr="00F00DB2">
        <w:rPr>
          <w:lang w:val="en-GB"/>
        </w:rPr>
        <w:t>proceedings</w:t>
      </w:r>
      <w:r w:rsidR="00DD6CA9" w:rsidRPr="00F00DB2">
        <w:rPr>
          <w:lang w:val="en-GB"/>
        </w:rPr>
        <w:t xml:space="preserve"> initiated against him for a robbery </w:t>
      </w:r>
      <w:r w:rsidR="00C86632" w:rsidRPr="00F00DB2">
        <w:rPr>
          <w:lang w:val="en-GB"/>
        </w:rPr>
        <w:t xml:space="preserve">in </w:t>
      </w:r>
      <w:r w:rsidR="00DD6CA9" w:rsidRPr="00F00DB2">
        <w:rPr>
          <w:lang w:val="en-GB"/>
        </w:rPr>
        <w:t xml:space="preserve">which he </w:t>
      </w:r>
      <w:r w:rsidR="00C86632" w:rsidRPr="00F00DB2">
        <w:rPr>
          <w:lang w:val="en-GB"/>
        </w:rPr>
        <w:t xml:space="preserve">claims he </w:t>
      </w:r>
      <w:r w:rsidR="00DD6CA9" w:rsidRPr="00F00DB2">
        <w:rPr>
          <w:lang w:val="en-GB"/>
        </w:rPr>
        <w:t>did not take part</w:t>
      </w:r>
      <w:r w:rsidR="00F571D9" w:rsidRPr="00F00DB2">
        <w:rPr>
          <w:lang w:val="en-GB"/>
        </w:rPr>
        <w:t xml:space="preserve">. The author is represented by counsel, </w:t>
      </w:r>
      <w:r w:rsidR="00DD6CA9" w:rsidRPr="00F00DB2">
        <w:rPr>
          <w:lang w:val="en-GB"/>
        </w:rPr>
        <w:t>Tony Ellis</w:t>
      </w:r>
      <w:r w:rsidR="00F571D9" w:rsidRPr="00F00DB2">
        <w:rPr>
          <w:lang w:val="en-GB"/>
        </w:rPr>
        <w:t xml:space="preserve">. The Optional Protocol entered into force for </w:t>
      </w:r>
      <w:r w:rsidR="00DD6CA9" w:rsidRPr="00F00DB2">
        <w:rPr>
          <w:lang w:val="en-GB"/>
        </w:rPr>
        <w:t>New Zealand</w:t>
      </w:r>
      <w:r w:rsidR="00F571D9" w:rsidRPr="00F00DB2">
        <w:rPr>
          <w:lang w:val="en-GB"/>
        </w:rPr>
        <w:t xml:space="preserve"> on</w:t>
      </w:r>
      <w:r w:rsidR="00DD6CA9" w:rsidRPr="00F00DB2">
        <w:rPr>
          <w:lang w:val="en-GB"/>
        </w:rPr>
        <w:t xml:space="preserve"> </w:t>
      </w:r>
      <w:r w:rsidR="004048AF" w:rsidRPr="00F00DB2">
        <w:rPr>
          <w:lang w:val="en-GB"/>
        </w:rPr>
        <w:t>28 March 1979</w:t>
      </w:r>
      <w:r w:rsidR="00FB02BF" w:rsidRPr="00F00DB2">
        <w:rPr>
          <w:lang w:val="en-GB"/>
        </w:rPr>
        <w:t xml:space="preserve">. </w:t>
      </w:r>
    </w:p>
    <w:p w14:paraId="23D020A0" w14:textId="77777777" w:rsidR="00FB02BF" w:rsidRPr="00F00DB2" w:rsidRDefault="000C098C" w:rsidP="000C098C">
      <w:pPr>
        <w:pStyle w:val="H23G"/>
      </w:pPr>
      <w:r w:rsidRPr="00F00DB2">
        <w:tab/>
      </w:r>
      <w:r w:rsidRPr="00F00DB2">
        <w:tab/>
      </w:r>
      <w:r w:rsidR="00FB02BF" w:rsidRPr="00F00DB2">
        <w:t>The facts as presented by the author</w:t>
      </w:r>
    </w:p>
    <w:p w14:paraId="0280540C" w14:textId="77777777" w:rsidR="00C01178" w:rsidRPr="00F00DB2" w:rsidRDefault="003134AC" w:rsidP="00D652D9">
      <w:pPr>
        <w:pStyle w:val="SingleTxtG"/>
        <w:rPr>
          <w:lang w:val="en-GB"/>
        </w:rPr>
      </w:pPr>
      <w:r w:rsidRPr="00E533B6">
        <w:rPr>
          <w:lang w:val="en-GB"/>
        </w:rPr>
        <w:t>2.1</w:t>
      </w:r>
      <w:r w:rsidR="00B73070" w:rsidRPr="00F00DB2">
        <w:rPr>
          <w:lang w:val="en-GB"/>
        </w:rPr>
        <w:tab/>
      </w:r>
      <w:r w:rsidR="001254F8" w:rsidRPr="00F00DB2">
        <w:rPr>
          <w:lang w:val="en-GB"/>
        </w:rPr>
        <w:t xml:space="preserve">On 29 July 1994, </w:t>
      </w:r>
      <w:r w:rsidR="00741D29" w:rsidRPr="00F00DB2">
        <w:rPr>
          <w:lang w:val="en-GB"/>
        </w:rPr>
        <w:t>the author</w:t>
      </w:r>
      <w:r w:rsidR="001254F8" w:rsidRPr="00F00DB2">
        <w:rPr>
          <w:lang w:val="en-GB"/>
        </w:rPr>
        <w:t xml:space="preserve"> was arrested </w:t>
      </w:r>
      <w:r w:rsidR="00741D29" w:rsidRPr="00F00DB2">
        <w:rPr>
          <w:lang w:val="en-GB"/>
        </w:rPr>
        <w:t xml:space="preserve">by the </w:t>
      </w:r>
      <w:r w:rsidR="00106E3B" w:rsidRPr="00F00DB2">
        <w:rPr>
          <w:lang w:val="en-GB"/>
        </w:rPr>
        <w:t>p</w:t>
      </w:r>
      <w:r w:rsidR="00741D29" w:rsidRPr="00F00DB2">
        <w:rPr>
          <w:lang w:val="en-GB"/>
        </w:rPr>
        <w:t>olice while he was driving a getaway car for the two principal offenders of a robbery</w:t>
      </w:r>
      <w:r w:rsidR="001254F8" w:rsidRPr="00F00DB2">
        <w:rPr>
          <w:lang w:val="en-GB"/>
        </w:rPr>
        <w:t xml:space="preserve"> of two security guards at the Saint </w:t>
      </w:r>
      <w:r w:rsidR="001254F8" w:rsidRPr="00F00DB2">
        <w:rPr>
          <w:lang w:val="en-GB"/>
        </w:rPr>
        <w:lastRenderedPageBreak/>
        <w:t>Luke</w:t>
      </w:r>
      <w:r w:rsidR="00106E3B" w:rsidRPr="00F00DB2">
        <w:rPr>
          <w:lang w:val="en-GB"/>
        </w:rPr>
        <w:t>ʼ</w:t>
      </w:r>
      <w:r w:rsidR="001254F8" w:rsidRPr="00F00DB2">
        <w:rPr>
          <w:lang w:val="en-GB"/>
        </w:rPr>
        <w:t xml:space="preserve">s shopping </w:t>
      </w:r>
      <w:r w:rsidR="00106E3B" w:rsidRPr="00F00DB2">
        <w:rPr>
          <w:lang w:val="en-GB"/>
        </w:rPr>
        <w:t xml:space="preserve">centre </w:t>
      </w:r>
      <w:r w:rsidR="00832574" w:rsidRPr="00F00DB2">
        <w:rPr>
          <w:lang w:val="en-GB"/>
        </w:rPr>
        <w:t>in Auckland</w:t>
      </w:r>
      <w:r w:rsidR="00741D29" w:rsidRPr="00F00DB2">
        <w:rPr>
          <w:lang w:val="en-GB"/>
        </w:rPr>
        <w:t xml:space="preserve">. </w:t>
      </w:r>
      <w:r w:rsidR="00C01178" w:rsidRPr="00F00DB2">
        <w:rPr>
          <w:lang w:val="en-GB"/>
        </w:rPr>
        <w:t>Two cars were involved. The offenders drove to the back of the shopping mall in one car, which they then abandoned. They then climbed into another car</w:t>
      </w:r>
      <w:r w:rsidR="00106E3B" w:rsidRPr="00F00DB2">
        <w:rPr>
          <w:lang w:val="en-GB"/>
        </w:rPr>
        <w:t>,</w:t>
      </w:r>
      <w:r w:rsidR="00C01178" w:rsidRPr="00F00DB2">
        <w:rPr>
          <w:lang w:val="en-GB"/>
        </w:rPr>
        <w:t xml:space="preserve"> driven by the author</w:t>
      </w:r>
      <w:r w:rsidR="00106E3B" w:rsidRPr="00F00DB2">
        <w:rPr>
          <w:lang w:val="en-GB"/>
        </w:rPr>
        <w:t>,</w:t>
      </w:r>
      <w:r w:rsidR="00C01178" w:rsidRPr="00F00DB2">
        <w:rPr>
          <w:lang w:val="en-GB"/>
        </w:rPr>
        <w:t xml:space="preserve"> and drove off. The author </w:t>
      </w:r>
      <w:r w:rsidR="00741D29" w:rsidRPr="00F00DB2">
        <w:rPr>
          <w:lang w:val="en-GB"/>
        </w:rPr>
        <w:t xml:space="preserve">was </w:t>
      </w:r>
      <w:r w:rsidR="001254F8" w:rsidRPr="00F00DB2">
        <w:rPr>
          <w:lang w:val="en-GB"/>
        </w:rPr>
        <w:t>stopped</w:t>
      </w:r>
      <w:r w:rsidR="00C01178" w:rsidRPr="00F00DB2">
        <w:rPr>
          <w:lang w:val="en-GB"/>
        </w:rPr>
        <w:t xml:space="preserve"> while driving the car some thirty minutes </w:t>
      </w:r>
      <w:r w:rsidR="001254F8" w:rsidRPr="00F00DB2">
        <w:rPr>
          <w:lang w:val="en-GB"/>
        </w:rPr>
        <w:t>after the robbery took place</w:t>
      </w:r>
      <w:r w:rsidR="00C01178" w:rsidRPr="00F00DB2">
        <w:rPr>
          <w:lang w:val="en-GB"/>
        </w:rPr>
        <w:t>. T</w:t>
      </w:r>
      <w:r w:rsidR="009A40CD" w:rsidRPr="00F00DB2">
        <w:rPr>
          <w:lang w:val="en-GB"/>
        </w:rPr>
        <w:t xml:space="preserve">he cash that had been robbed was no longer in the car. </w:t>
      </w:r>
    </w:p>
    <w:p w14:paraId="10251380" w14:textId="77777777" w:rsidR="00752104" w:rsidRPr="00F00DB2" w:rsidRDefault="00C01178" w:rsidP="00FB02BF">
      <w:pPr>
        <w:pStyle w:val="SingleTxtG"/>
        <w:rPr>
          <w:lang w:val="en-GB"/>
        </w:rPr>
      </w:pPr>
      <w:r w:rsidRPr="00F00DB2">
        <w:rPr>
          <w:lang w:val="en-GB"/>
        </w:rPr>
        <w:t>2.2</w:t>
      </w:r>
      <w:r w:rsidRPr="00F00DB2">
        <w:rPr>
          <w:lang w:val="en-GB"/>
        </w:rPr>
        <w:tab/>
      </w:r>
      <w:r w:rsidR="00442144" w:rsidRPr="00F00DB2">
        <w:rPr>
          <w:lang w:val="en-GB"/>
        </w:rPr>
        <w:t xml:space="preserve">The author was provided with legal aid. Nonetheless, he argues that his trial counsel acted incompetently as she only met with him for 40 minutes the day prior to his criminal trial and disregarded his instructions to call two witnesses. </w:t>
      </w:r>
      <w:r w:rsidR="009A40CD" w:rsidRPr="00F00DB2">
        <w:rPr>
          <w:lang w:val="en-GB"/>
        </w:rPr>
        <w:t>At the start of the trial, the two main offenders of the robbery pleaded guilty</w:t>
      </w:r>
      <w:r w:rsidR="007973F6" w:rsidRPr="00F00DB2">
        <w:rPr>
          <w:lang w:val="en-GB"/>
        </w:rPr>
        <w:t>,</w:t>
      </w:r>
      <w:r w:rsidR="009A40CD" w:rsidRPr="00F00DB2">
        <w:rPr>
          <w:lang w:val="en-GB"/>
        </w:rPr>
        <w:t xml:space="preserve"> whereas the author denied his implication, stating that he had </w:t>
      </w:r>
      <w:r w:rsidRPr="00F00DB2">
        <w:rPr>
          <w:lang w:val="en-GB"/>
        </w:rPr>
        <w:t xml:space="preserve">not taken part </w:t>
      </w:r>
      <w:r w:rsidR="00C86632" w:rsidRPr="00F00DB2">
        <w:rPr>
          <w:lang w:val="en-GB"/>
        </w:rPr>
        <w:t xml:space="preserve">in </w:t>
      </w:r>
      <w:r w:rsidRPr="00F00DB2">
        <w:rPr>
          <w:lang w:val="en-GB"/>
        </w:rPr>
        <w:t xml:space="preserve">the </w:t>
      </w:r>
      <w:r w:rsidR="009A40CD" w:rsidRPr="00F00DB2">
        <w:rPr>
          <w:lang w:val="en-GB"/>
        </w:rPr>
        <w:t xml:space="preserve">robbery. </w:t>
      </w:r>
    </w:p>
    <w:p w14:paraId="7969BF62" w14:textId="77777777" w:rsidR="00FB02BF" w:rsidRPr="00F00DB2" w:rsidRDefault="00752104" w:rsidP="00D652D9">
      <w:pPr>
        <w:pStyle w:val="SingleTxtG"/>
        <w:rPr>
          <w:lang w:val="en-GB"/>
        </w:rPr>
      </w:pPr>
      <w:r w:rsidRPr="00F00DB2">
        <w:rPr>
          <w:lang w:val="en-GB"/>
        </w:rPr>
        <w:t>2.3</w:t>
      </w:r>
      <w:r w:rsidRPr="00F00DB2">
        <w:rPr>
          <w:lang w:val="en-GB"/>
        </w:rPr>
        <w:tab/>
      </w:r>
      <w:r w:rsidR="009A40CD" w:rsidRPr="00F00DB2">
        <w:rPr>
          <w:lang w:val="en-GB"/>
        </w:rPr>
        <w:t xml:space="preserve">On </w:t>
      </w:r>
      <w:r w:rsidR="00811CD0" w:rsidRPr="00F00DB2">
        <w:rPr>
          <w:lang w:val="en-GB"/>
        </w:rPr>
        <w:t>9</w:t>
      </w:r>
      <w:r w:rsidR="009A40CD" w:rsidRPr="00F00DB2">
        <w:rPr>
          <w:lang w:val="en-GB"/>
        </w:rPr>
        <w:t xml:space="preserve"> December 1995, a jury in the High Court found </w:t>
      </w:r>
      <w:r w:rsidR="007973F6" w:rsidRPr="00F00DB2">
        <w:rPr>
          <w:lang w:val="en-GB"/>
        </w:rPr>
        <w:t>the author</w:t>
      </w:r>
      <w:r w:rsidR="009A40CD" w:rsidRPr="00F00DB2">
        <w:rPr>
          <w:lang w:val="en-GB"/>
        </w:rPr>
        <w:t xml:space="preserve"> guilty and </w:t>
      </w:r>
      <w:r w:rsidR="007973F6" w:rsidRPr="00F00DB2">
        <w:rPr>
          <w:lang w:val="en-GB"/>
        </w:rPr>
        <w:t>he was sentenced</w:t>
      </w:r>
      <w:r w:rsidR="009A40CD" w:rsidRPr="00F00DB2">
        <w:rPr>
          <w:lang w:val="en-GB"/>
        </w:rPr>
        <w:t xml:space="preserve"> to seven years</w:t>
      </w:r>
      <w:r w:rsidR="00C86632" w:rsidRPr="00F00DB2">
        <w:rPr>
          <w:lang w:val="en-GB"/>
        </w:rPr>
        <w:t>’</w:t>
      </w:r>
      <w:r w:rsidR="009A40CD" w:rsidRPr="00F00DB2">
        <w:rPr>
          <w:lang w:val="en-GB"/>
        </w:rPr>
        <w:t xml:space="preserve"> imprisonment, to be served concurrently with an existing sentence for an unrelated offence. </w:t>
      </w:r>
      <w:r w:rsidR="000840E0" w:rsidRPr="00F00DB2">
        <w:rPr>
          <w:lang w:val="en-GB"/>
        </w:rPr>
        <w:t>The author considers that the jury was influenced by the guilty plea of his co-accused and that the whole situation resulted in a miscarriage of justice.</w:t>
      </w:r>
      <w:r w:rsidR="00161CC1" w:rsidRPr="00F00DB2">
        <w:rPr>
          <w:lang w:val="en-GB"/>
        </w:rPr>
        <w:t xml:space="preserve"> He further argues that his right to presumption of innocence was violated as the </w:t>
      </w:r>
      <w:r w:rsidR="00106E3B" w:rsidRPr="00F00DB2">
        <w:rPr>
          <w:lang w:val="en-GB"/>
        </w:rPr>
        <w:t>p</w:t>
      </w:r>
      <w:r w:rsidR="00161CC1" w:rsidRPr="00F00DB2">
        <w:rPr>
          <w:lang w:val="en-GB"/>
        </w:rPr>
        <w:t>rosecutor suggested that the author’s sister, who intervened as a main witness in the proceeding, had “concocted her story”</w:t>
      </w:r>
      <w:r w:rsidR="00106E3B" w:rsidRPr="00F00DB2">
        <w:rPr>
          <w:lang w:val="en-GB"/>
        </w:rPr>
        <w:t>,</w:t>
      </w:r>
      <w:r w:rsidR="00161CC1" w:rsidRPr="00F00DB2">
        <w:rPr>
          <w:lang w:val="en-GB"/>
        </w:rPr>
        <w:t xml:space="preserve"> with the author’s lawyer being a “party to that lie”.</w:t>
      </w:r>
    </w:p>
    <w:p w14:paraId="68E0180C" w14:textId="77777777" w:rsidR="00B35F5F" w:rsidRPr="00F00DB2" w:rsidRDefault="009A40CD" w:rsidP="00D652D9">
      <w:pPr>
        <w:pStyle w:val="SingleTxtG"/>
        <w:rPr>
          <w:lang w:val="en-GB"/>
        </w:rPr>
      </w:pPr>
      <w:r w:rsidRPr="00F00DB2">
        <w:rPr>
          <w:lang w:val="en-GB"/>
        </w:rPr>
        <w:t>2.</w:t>
      </w:r>
      <w:r w:rsidR="00752104" w:rsidRPr="00F00DB2">
        <w:rPr>
          <w:lang w:val="en-GB"/>
        </w:rPr>
        <w:t>4</w:t>
      </w:r>
      <w:r w:rsidR="00CE4134" w:rsidRPr="00F00DB2">
        <w:rPr>
          <w:lang w:val="en-GB"/>
        </w:rPr>
        <w:tab/>
      </w:r>
      <w:r w:rsidRPr="00F00DB2">
        <w:rPr>
          <w:lang w:val="en-GB"/>
        </w:rPr>
        <w:t xml:space="preserve">In June 1996, the author requested disclosure, from the High Court, of the trial </w:t>
      </w:r>
      <w:r w:rsidR="00D652D9" w:rsidRPr="00F00DB2">
        <w:rPr>
          <w:lang w:val="en-GB"/>
        </w:rPr>
        <w:t>j</w:t>
      </w:r>
      <w:r w:rsidRPr="00F00DB2">
        <w:rPr>
          <w:lang w:val="en-GB"/>
        </w:rPr>
        <w:t>udge’s summing</w:t>
      </w:r>
      <w:r w:rsidR="00D652D9" w:rsidRPr="00F00DB2">
        <w:rPr>
          <w:lang w:val="en-GB"/>
        </w:rPr>
        <w:t>-</w:t>
      </w:r>
      <w:r w:rsidRPr="00F00DB2">
        <w:rPr>
          <w:lang w:val="en-GB"/>
        </w:rPr>
        <w:t>up.</w:t>
      </w:r>
      <w:r w:rsidR="00A06466" w:rsidRPr="00F00DB2">
        <w:rPr>
          <w:rStyle w:val="FootnoteReference"/>
          <w:lang w:val="en-GB"/>
        </w:rPr>
        <w:footnoteReference w:id="3"/>
      </w:r>
      <w:r w:rsidRPr="00F00DB2">
        <w:rPr>
          <w:lang w:val="en-GB"/>
        </w:rPr>
        <w:t xml:space="preserve"> </w:t>
      </w:r>
      <w:r w:rsidR="00B35F5F" w:rsidRPr="00F00DB2">
        <w:rPr>
          <w:lang w:val="en-GB"/>
        </w:rPr>
        <w:t>The author argues that</w:t>
      </w:r>
      <w:r w:rsidR="00AB2A5E" w:rsidRPr="00F00DB2">
        <w:rPr>
          <w:lang w:val="en-GB"/>
        </w:rPr>
        <w:t>,</w:t>
      </w:r>
      <w:r w:rsidR="00B35F5F" w:rsidRPr="00F00DB2">
        <w:rPr>
          <w:lang w:val="en-GB"/>
        </w:rPr>
        <w:t xml:space="preserve"> as the High Court was unable to provide a copy of the </w:t>
      </w:r>
      <w:r w:rsidR="007973F6" w:rsidRPr="00F00DB2">
        <w:rPr>
          <w:lang w:val="en-GB"/>
        </w:rPr>
        <w:t>summing</w:t>
      </w:r>
      <w:r w:rsidR="00D652D9" w:rsidRPr="00F00DB2">
        <w:rPr>
          <w:lang w:val="en-GB"/>
        </w:rPr>
        <w:t>-</w:t>
      </w:r>
      <w:r w:rsidR="007973F6" w:rsidRPr="00F00DB2">
        <w:rPr>
          <w:lang w:val="en-GB"/>
        </w:rPr>
        <w:t>up, he</w:t>
      </w:r>
      <w:r w:rsidR="00AB2A5E" w:rsidRPr="00F00DB2">
        <w:rPr>
          <w:lang w:val="en-GB"/>
        </w:rPr>
        <w:t xml:space="preserve"> </w:t>
      </w:r>
      <w:r w:rsidRPr="00F00DB2">
        <w:rPr>
          <w:lang w:val="en-GB"/>
        </w:rPr>
        <w:t>had</w:t>
      </w:r>
      <w:r w:rsidR="00B35F5F" w:rsidRPr="00F00DB2">
        <w:rPr>
          <w:lang w:val="en-GB"/>
        </w:rPr>
        <w:t xml:space="preserve"> no access to the relevant information and had</w:t>
      </w:r>
      <w:r w:rsidRPr="00F00DB2">
        <w:rPr>
          <w:lang w:val="en-GB"/>
        </w:rPr>
        <w:t xml:space="preserve"> to </w:t>
      </w:r>
      <w:r w:rsidR="00B35F5F" w:rsidRPr="00F00DB2">
        <w:rPr>
          <w:lang w:val="en-GB"/>
        </w:rPr>
        <w:t xml:space="preserve">rely on his memory and recall </w:t>
      </w:r>
      <w:r w:rsidRPr="00F00DB2">
        <w:rPr>
          <w:lang w:val="en-GB"/>
        </w:rPr>
        <w:t xml:space="preserve">the grounds and arguments used by the jury at trial in order to </w:t>
      </w:r>
      <w:r w:rsidR="00B35F5F" w:rsidRPr="00F00DB2">
        <w:rPr>
          <w:lang w:val="en-GB"/>
        </w:rPr>
        <w:t xml:space="preserve">prepare </w:t>
      </w:r>
      <w:r w:rsidRPr="00F00DB2">
        <w:rPr>
          <w:lang w:val="en-GB"/>
        </w:rPr>
        <w:t xml:space="preserve">his appeal. </w:t>
      </w:r>
    </w:p>
    <w:p w14:paraId="78077187" w14:textId="77777777" w:rsidR="00D1626D" w:rsidRPr="00F00DB2" w:rsidRDefault="00B35F5F" w:rsidP="00D652D9">
      <w:pPr>
        <w:pStyle w:val="SingleTxtG"/>
        <w:rPr>
          <w:lang w:val="en-GB"/>
        </w:rPr>
      </w:pPr>
      <w:r w:rsidRPr="00F00DB2">
        <w:rPr>
          <w:lang w:val="en-GB"/>
        </w:rPr>
        <w:t>2.</w:t>
      </w:r>
      <w:r w:rsidR="00752104" w:rsidRPr="00F00DB2">
        <w:rPr>
          <w:lang w:val="en-GB"/>
        </w:rPr>
        <w:t>5</w:t>
      </w:r>
      <w:r w:rsidRPr="00F00DB2">
        <w:rPr>
          <w:lang w:val="en-GB"/>
        </w:rPr>
        <w:tab/>
      </w:r>
      <w:r w:rsidR="007973F6" w:rsidRPr="00F00DB2">
        <w:rPr>
          <w:lang w:val="en-GB"/>
        </w:rPr>
        <w:t>T</w:t>
      </w:r>
      <w:r w:rsidR="00AB2A5E" w:rsidRPr="00F00DB2">
        <w:rPr>
          <w:lang w:val="en-GB"/>
        </w:rPr>
        <w:t>he</w:t>
      </w:r>
      <w:r w:rsidR="00B47EA9" w:rsidRPr="00F00DB2">
        <w:rPr>
          <w:lang w:val="en-GB"/>
        </w:rPr>
        <w:t xml:space="preserve"> author</w:t>
      </w:r>
      <w:r w:rsidR="00AB2A5E" w:rsidRPr="00F00DB2">
        <w:rPr>
          <w:lang w:val="en-GB"/>
        </w:rPr>
        <w:t xml:space="preserve"> </w:t>
      </w:r>
      <w:r w:rsidR="00B47EA9" w:rsidRPr="00F00DB2">
        <w:rPr>
          <w:lang w:val="en-GB"/>
        </w:rPr>
        <w:t>could not afford to pay for legal representation and therefore applied for legal aid. His application was dismissed</w:t>
      </w:r>
      <w:r w:rsidR="00C506F4" w:rsidRPr="00F00DB2">
        <w:rPr>
          <w:lang w:val="en-GB"/>
        </w:rPr>
        <w:t xml:space="preserve"> </w:t>
      </w:r>
      <w:r w:rsidR="00C506F4" w:rsidRPr="00F00DB2">
        <w:rPr>
          <w:i/>
          <w:lang w:val="en-GB"/>
        </w:rPr>
        <w:t>ex parte</w:t>
      </w:r>
      <w:r w:rsidR="00C506F4" w:rsidRPr="00F00DB2">
        <w:rPr>
          <w:lang w:val="en-GB"/>
        </w:rPr>
        <w:t xml:space="preserve">, </w:t>
      </w:r>
      <w:r w:rsidR="00B47EA9" w:rsidRPr="00F00DB2">
        <w:rPr>
          <w:lang w:val="en-GB"/>
        </w:rPr>
        <w:t>on paper</w:t>
      </w:r>
      <w:r w:rsidR="00C506F4" w:rsidRPr="00F00DB2">
        <w:rPr>
          <w:lang w:val="en-GB"/>
        </w:rPr>
        <w:t>,</w:t>
      </w:r>
      <w:r w:rsidR="00B47EA9" w:rsidRPr="00F00DB2">
        <w:rPr>
          <w:lang w:val="en-GB"/>
        </w:rPr>
        <w:t xml:space="preserve"> by three judges of the Court of Appeal</w:t>
      </w:r>
      <w:r w:rsidR="00D652D9" w:rsidRPr="00F00DB2">
        <w:rPr>
          <w:lang w:val="en-GB"/>
        </w:rPr>
        <w:t>,</w:t>
      </w:r>
      <w:r w:rsidR="00B47EA9" w:rsidRPr="00F00DB2">
        <w:rPr>
          <w:lang w:val="en-GB"/>
        </w:rPr>
        <w:t xml:space="preserve"> who conducted no hearings and did not meet to discuss the merits of the case. </w:t>
      </w:r>
      <w:r w:rsidR="00C506F4" w:rsidRPr="00F00DB2">
        <w:rPr>
          <w:lang w:val="en-GB"/>
        </w:rPr>
        <w:t xml:space="preserve">The author did not appeal this decision, but three persons whose application for legal aid had also been dismissed did. The author argues that their applications for review were dismissed without hearing and without reasons </w:t>
      </w:r>
      <w:r w:rsidR="00D86AF8" w:rsidRPr="00F00DB2">
        <w:rPr>
          <w:lang w:val="en-GB"/>
        </w:rPr>
        <w:t xml:space="preserve">and that his appeal </w:t>
      </w:r>
      <w:r w:rsidR="00C86632" w:rsidRPr="00F00DB2">
        <w:rPr>
          <w:lang w:val="en-GB"/>
        </w:rPr>
        <w:t>w</w:t>
      </w:r>
      <w:r w:rsidR="00D86AF8" w:rsidRPr="00F00DB2">
        <w:rPr>
          <w:lang w:val="en-GB"/>
        </w:rPr>
        <w:t>ould</w:t>
      </w:r>
      <w:r w:rsidR="000840E0" w:rsidRPr="00F00DB2">
        <w:rPr>
          <w:lang w:val="en-GB"/>
        </w:rPr>
        <w:t xml:space="preserve"> therefore</w:t>
      </w:r>
      <w:r w:rsidR="00D86AF8" w:rsidRPr="00F00DB2">
        <w:rPr>
          <w:lang w:val="en-GB"/>
        </w:rPr>
        <w:t xml:space="preserve"> not </w:t>
      </w:r>
      <w:r w:rsidR="00C86632" w:rsidRPr="00F00DB2">
        <w:rPr>
          <w:lang w:val="en-GB"/>
        </w:rPr>
        <w:t xml:space="preserve">have </w:t>
      </w:r>
      <w:r w:rsidR="00D86AF8" w:rsidRPr="00F00DB2">
        <w:rPr>
          <w:lang w:val="en-GB"/>
        </w:rPr>
        <w:t>be</w:t>
      </w:r>
      <w:r w:rsidR="00C86632" w:rsidRPr="00F00DB2">
        <w:rPr>
          <w:lang w:val="en-GB"/>
        </w:rPr>
        <w:t>en</w:t>
      </w:r>
      <w:r w:rsidR="00D86AF8" w:rsidRPr="00F00DB2">
        <w:rPr>
          <w:lang w:val="en-GB"/>
        </w:rPr>
        <w:t xml:space="preserve"> effective</w:t>
      </w:r>
      <w:r w:rsidR="00C506F4" w:rsidRPr="00F00DB2">
        <w:rPr>
          <w:lang w:val="en-GB"/>
        </w:rPr>
        <w:t xml:space="preserve">. </w:t>
      </w:r>
      <w:r w:rsidR="000840E0" w:rsidRPr="00F00DB2">
        <w:rPr>
          <w:lang w:val="en-GB"/>
        </w:rPr>
        <w:t>Having been</w:t>
      </w:r>
      <w:r w:rsidR="00C86632" w:rsidRPr="00F00DB2">
        <w:rPr>
          <w:lang w:val="en-GB"/>
        </w:rPr>
        <w:t xml:space="preserve"> denied</w:t>
      </w:r>
      <w:r w:rsidR="000840E0" w:rsidRPr="00F00DB2">
        <w:rPr>
          <w:lang w:val="en-GB"/>
        </w:rPr>
        <w:t xml:space="preserve"> legal aid, the author personally filed written submissions before the Court of Appeal against his criminal conviction. He</w:t>
      </w:r>
      <w:r w:rsidR="002B2579" w:rsidRPr="00F00DB2">
        <w:rPr>
          <w:lang w:val="en-GB"/>
        </w:rPr>
        <w:t xml:space="preserve"> considers that th</w:t>
      </w:r>
      <w:r w:rsidR="000840E0" w:rsidRPr="00F00DB2">
        <w:rPr>
          <w:lang w:val="en-GB"/>
        </w:rPr>
        <w:t>e</w:t>
      </w:r>
      <w:r w:rsidR="002B2579" w:rsidRPr="00F00DB2">
        <w:rPr>
          <w:lang w:val="en-GB"/>
        </w:rPr>
        <w:t xml:space="preserve"> denial of legal aid</w:t>
      </w:r>
      <w:r w:rsidR="003707B4" w:rsidRPr="00F00DB2">
        <w:rPr>
          <w:lang w:val="en-GB"/>
        </w:rPr>
        <w:t>, together with the impossibility to access the summing</w:t>
      </w:r>
      <w:r w:rsidR="00D652D9" w:rsidRPr="00F00DB2">
        <w:rPr>
          <w:lang w:val="en-GB"/>
        </w:rPr>
        <w:t>-</w:t>
      </w:r>
      <w:r w:rsidR="003707B4" w:rsidRPr="00F00DB2">
        <w:rPr>
          <w:lang w:val="en-GB"/>
        </w:rPr>
        <w:t>up</w:t>
      </w:r>
      <w:r w:rsidR="00D652D9" w:rsidRPr="00F00DB2">
        <w:rPr>
          <w:lang w:val="en-GB"/>
        </w:rPr>
        <w:t xml:space="preserve"> of the High Court</w:t>
      </w:r>
      <w:r w:rsidR="003707B4" w:rsidRPr="00F00DB2">
        <w:rPr>
          <w:lang w:val="en-GB"/>
        </w:rPr>
        <w:t>,</w:t>
      </w:r>
      <w:r w:rsidR="002B2579" w:rsidRPr="00F00DB2">
        <w:rPr>
          <w:lang w:val="en-GB"/>
        </w:rPr>
        <w:t xml:space="preserve"> </w:t>
      </w:r>
      <w:r w:rsidR="003B6A80" w:rsidRPr="00F00DB2">
        <w:rPr>
          <w:lang w:val="en-GB"/>
        </w:rPr>
        <w:t>thoroughly complicated</w:t>
      </w:r>
      <w:r w:rsidR="009A40CD" w:rsidRPr="00F00DB2">
        <w:rPr>
          <w:lang w:val="en-GB"/>
        </w:rPr>
        <w:t xml:space="preserve"> </w:t>
      </w:r>
      <w:r w:rsidR="002B2579" w:rsidRPr="00F00DB2">
        <w:rPr>
          <w:lang w:val="en-GB"/>
        </w:rPr>
        <w:t>the preparation of his appeal</w:t>
      </w:r>
      <w:r w:rsidR="003707B4" w:rsidRPr="00F00DB2">
        <w:rPr>
          <w:lang w:val="en-GB"/>
        </w:rPr>
        <w:t>, and that he therefore had to request various extensions to be able to submit his grounds for appeal in writing</w:t>
      </w:r>
      <w:r w:rsidR="001962AC" w:rsidRPr="00F00DB2">
        <w:rPr>
          <w:lang w:val="en-GB"/>
        </w:rPr>
        <w:t>.</w:t>
      </w:r>
      <w:r w:rsidR="00913A0C" w:rsidRPr="00F00DB2">
        <w:rPr>
          <w:lang w:val="en-GB"/>
        </w:rPr>
        <w:t xml:space="preserve"> </w:t>
      </w:r>
    </w:p>
    <w:p w14:paraId="509B3AD5" w14:textId="77777777" w:rsidR="00442144" w:rsidRPr="00F00DB2" w:rsidRDefault="00D1626D" w:rsidP="00D652D9">
      <w:pPr>
        <w:pStyle w:val="SingleTxtG"/>
        <w:rPr>
          <w:lang w:val="en-GB"/>
        </w:rPr>
      </w:pPr>
      <w:r w:rsidRPr="00F00DB2">
        <w:rPr>
          <w:lang w:val="en-GB"/>
        </w:rPr>
        <w:t>2.</w:t>
      </w:r>
      <w:r w:rsidR="00752104" w:rsidRPr="00F00DB2">
        <w:rPr>
          <w:lang w:val="en-GB"/>
        </w:rPr>
        <w:t>6</w:t>
      </w:r>
      <w:r w:rsidRPr="00F00DB2">
        <w:rPr>
          <w:lang w:val="en-GB"/>
        </w:rPr>
        <w:tab/>
        <w:t>Before the Court of Appeal, the author argued that the jury pool selection</w:t>
      </w:r>
      <w:r w:rsidR="000A1A9B" w:rsidRPr="00F00DB2">
        <w:rPr>
          <w:lang w:val="en-GB"/>
        </w:rPr>
        <w:t xml:space="preserve"> before the High Court</w:t>
      </w:r>
      <w:r w:rsidRPr="00F00DB2">
        <w:rPr>
          <w:lang w:val="en-GB"/>
        </w:rPr>
        <w:t xml:space="preserve"> had not observed the standard procedure and</w:t>
      </w:r>
      <w:r w:rsidR="007973F6" w:rsidRPr="00F00DB2">
        <w:rPr>
          <w:lang w:val="en-GB"/>
        </w:rPr>
        <w:t xml:space="preserve"> that, as a consequence,</w:t>
      </w:r>
      <w:r w:rsidRPr="00F00DB2">
        <w:rPr>
          <w:lang w:val="en-GB"/>
        </w:rPr>
        <w:t xml:space="preserve"> the jury was not representative. </w:t>
      </w:r>
      <w:r w:rsidR="00161CC1" w:rsidRPr="00F00DB2">
        <w:rPr>
          <w:lang w:val="en-GB"/>
        </w:rPr>
        <w:t xml:space="preserve">On 25 July 1996, a Court comprising </w:t>
      </w:r>
      <w:r w:rsidR="00D652D9" w:rsidRPr="00F00DB2">
        <w:rPr>
          <w:lang w:val="en-GB"/>
        </w:rPr>
        <w:t xml:space="preserve">Judges </w:t>
      </w:r>
      <w:r w:rsidR="00161CC1" w:rsidRPr="00F00DB2">
        <w:rPr>
          <w:lang w:val="en-GB"/>
        </w:rPr>
        <w:t xml:space="preserve">McKay, Keith and Blanchard heard and dismissed the author’s appeal </w:t>
      </w:r>
      <w:r w:rsidR="00161CC1" w:rsidRPr="00F00DB2">
        <w:rPr>
          <w:i/>
          <w:lang w:val="en-GB"/>
        </w:rPr>
        <w:t>ex parte</w:t>
      </w:r>
      <w:r w:rsidR="00161CC1" w:rsidRPr="00F00DB2">
        <w:rPr>
          <w:lang w:val="en-GB"/>
        </w:rPr>
        <w:t xml:space="preserve">, without examination of the merits, and only provided brief reasons. The author considers that this decision seriously </w:t>
      </w:r>
      <w:r w:rsidR="00161CC1" w:rsidRPr="00F00DB2">
        <w:rPr>
          <w:lang w:val="en-GB"/>
        </w:rPr>
        <w:lastRenderedPageBreak/>
        <w:t>violated his right to challenge his conviction and sentence. He</w:t>
      </w:r>
      <w:r w:rsidR="00442144" w:rsidRPr="00F00DB2">
        <w:rPr>
          <w:lang w:val="en-GB"/>
        </w:rPr>
        <w:t xml:space="preserve"> argues that </w:t>
      </w:r>
      <w:r w:rsidR="00D652D9" w:rsidRPr="00F00DB2">
        <w:rPr>
          <w:lang w:val="en-GB"/>
        </w:rPr>
        <w:t xml:space="preserve">the </w:t>
      </w:r>
      <w:r w:rsidR="00442144" w:rsidRPr="00F00DB2">
        <w:rPr>
          <w:lang w:val="en-GB"/>
        </w:rPr>
        <w:t>decision reflects a “longstanding unlawful practice of the Court of Appeal, according to which the Court considers that if the three members of the Court of Appeal had already concluded that the case did not merit legal aid, it had no prospect of success, and the appeal was “routinely rejected”, with</w:t>
      </w:r>
      <w:r w:rsidR="000C098C" w:rsidRPr="00F00DB2">
        <w:rPr>
          <w:lang w:val="en-GB"/>
        </w:rPr>
        <w:t>out examination of the merits.</w:t>
      </w:r>
    </w:p>
    <w:p w14:paraId="6E2CE1B5" w14:textId="77777777" w:rsidR="00FE1966" w:rsidRPr="00F00DB2" w:rsidRDefault="00D1626D" w:rsidP="00D652D9">
      <w:pPr>
        <w:pStyle w:val="SingleTxtG"/>
        <w:rPr>
          <w:lang w:val="en-GB"/>
        </w:rPr>
      </w:pPr>
      <w:r w:rsidRPr="00F00DB2">
        <w:rPr>
          <w:lang w:val="en-GB"/>
        </w:rPr>
        <w:t>2.</w:t>
      </w:r>
      <w:r w:rsidR="00752104" w:rsidRPr="00F00DB2">
        <w:rPr>
          <w:lang w:val="en-GB"/>
        </w:rPr>
        <w:t>7</w:t>
      </w:r>
      <w:r w:rsidRPr="00F00DB2">
        <w:rPr>
          <w:lang w:val="en-GB"/>
        </w:rPr>
        <w:tab/>
      </w:r>
      <w:r w:rsidR="009A40CD" w:rsidRPr="00F00DB2">
        <w:rPr>
          <w:lang w:val="en-GB"/>
        </w:rPr>
        <w:t>This led the author to seize the Privy Council</w:t>
      </w:r>
      <w:r w:rsidR="00D652D9" w:rsidRPr="00F00DB2">
        <w:rPr>
          <w:lang w:val="en-GB"/>
        </w:rPr>
        <w:t>,</w:t>
      </w:r>
      <w:r w:rsidR="009A40CD" w:rsidRPr="00E533B6">
        <w:rPr>
          <w:rStyle w:val="FootnoteReference"/>
          <w:rFonts w:eastAsia="SimSun"/>
          <w:lang w:val="en-GB"/>
        </w:rPr>
        <w:footnoteReference w:id="4"/>
      </w:r>
      <w:r w:rsidRPr="00F00DB2">
        <w:rPr>
          <w:lang w:val="en-GB"/>
        </w:rPr>
        <w:t xml:space="preserve"> together with 11 other appellants. </w:t>
      </w:r>
      <w:r w:rsidR="00FE1966" w:rsidRPr="00F00DB2">
        <w:rPr>
          <w:lang w:val="en-GB"/>
        </w:rPr>
        <w:t xml:space="preserve">Over the same period, some of the </w:t>
      </w:r>
      <w:r w:rsidR="00D652D9" w:rsidRPr="00F00DB2">
        <w:rPr>
          <w:lang w:val="en-GB"/>
        </w:rPr>
        <w:t>j</w:t>
      </w:r>
      <w:r w:rsidR="00FE1966" w:rsidRPr="00F00DB2">
        <w:rPr>
          <w:lang w:val="en-GB"/>
        </w:rPr>
        <w:t>udges of the Court of Appeal lobbied Parliament on the Crimes (Criminal Appeals) Amendment Bill, which intended to validate the longstanding unlawful practice</w:t>
      </w:r>
      <w:r w:rsidR="00D652D9" w:rsidRPr="00F00DB2">
        <w:rPr>
          <w:lang w:val="en-GB"/>
        </w:rPr>
        <w:t xml:space="preserve"> of the Court of Appeal</w:t>
      </w:r>
      <w:r w:rsidR="00FE1966" w:rsidRPr="00F00DB2">
        <w:rPr>
          <w:lang w:val="en-GB"/>
        </w:rPr>
        <w:t xml:space="preserve">. </w:t>
      </w:r>
      <w:r w:rsidR="00C86632" w:rsidRPr="00F00DB2">
        <w:rPr>
          <w:lang w:val="en-GB"/>
        </w:rPr>
        <w:t>According to the author, t</w:t>
      </w:r>
      <w:r w:rsidR="00FE1966" w:rsidRPr="00F00DB2">
        <w:rPr>
          <w:lang w:val="en-GB"/>
        </w:rPr>
        <w:t xml:space="preserve">he </w:t>
      </w:r>
      <w:r w:rsidR="00C86632" w:rsidRPr="00F00DB2">
        <w:rPr>
          <w:lang w:val="en-GB"/>
        </w:rPr>
        <w:t>j</w:t>
      </w:r>
      <w:r w:rsidR="00FE1966" w:rsidRPr="00F00DB2">
        <w:rPr>
          <w:lang w:val="en-GB"/>
        </w:rPr>
        <w:t xml:space="preserve">udges, including </w:t>
      </w:r>
      <w:r w:rsidR="00D652D9" w:rsidRPr="00F00DB2">
        <w:rPr>
          <w:lang w:val="en-GB"/>
        </w:rPr>
        <w:t xml:space="preserve">Judge </w:t>
      </w:r>
      <w:r w:rsidR="00FE1966" w:rsidRPr="00F00DB2">
        <w:rPr>
          <w:lang w:val="en-GB"/>
        </w:rPr>
        <w:t>Tipping</w:t>
      </w:r>
      <w:r w:rsidR="00D652D9" w:rsidRPr="00F00DB2">
        <w:rPr>
          <w:lang w:val="en-GB"/>
        </w:rPr>
        <w:t>,</w:t>
      </w:r>
      <w:r w:rsidR="00FE1966" w:rsidRPr="00F00DB2">
        <w:rPr>
          <w:lang w:val="en-GB"/>
        </w:rPr>
        <w:t xml:space="preserve"> then judge of the Court of Appeal, lobbied a political party in secret</w:t>
      </w:r>
      <w:r w:rsidR="00C86632" w:rsidRPr="00F00DB2">
        <w:rPr>
          <w:lang w:val="en-GB"/>
        </w:rPr>
        <w:t>, as well as</w:t>
      </w:r>
      <w:r w:rsidR="00FE1966" w:rsidRPr="00F00DB2">
        <w:rPr>
          <w:lang w:val="en-GB"/>
        </w:rPr>
        <w:t xml:space="preserve"> the Justice and Electoral Select Committee. </w:t>
      </w:r>
    </w:p>
    <w:p w14:paraId="4ADBBEE9" w14:textId="77777777" w:rsidR="00442144" w:rsidRPr="00F00DB2" w:rsidRDefault="00FE1966" w:rsidP="00FB02BF">
      <w:pPr>
        <w:pStyle w:val="SingleTxtG"/>
        <w:rPr>
          <w:lang w:val="en-GB"/>
        </w:rPr>
      </w:pPr>
      <w:r w:rsidRPr="00F00DB2">
        <w:rPr>
          <w:lang w:val="en-GB"/>
        </w:rPr>
        <w:t>2.</w:t>
      </w:r>
      <w:r w:rsidR="00752104" w:rsidRPr="00F00DB2">
        <w:rPr>
          <w:lang w:val="en-GB"/>
        </w:rPr>
        <w:t>8</w:t>
      </w:r>
      <w:r w:rsidRPr="00F00DB2">
        <w:rPr>
          <w:lang w:val="en-GB"/>
        </w:rPr>
        <w:tab/>
      </w:r>
      <w:r w:rsidR="00D1626D" w:rsidRPr="00F00DB2">
        <w:rPr>
          <w:lang w:val="en-GB"/>
        </w:rPr>
        <w:t>On 19 March 2002, the Privy Council</w:t>
      </w:r>
      <w:r w:rsidR="009A40CD" w:rsidRPr="00F00DB2">
        <w:rPr>
          <w:lang w:val="en-GB"/>
        </w:rPr>
        <w:t xml:space="preserve"> rendered its decision in favour of the author in </w:t>
      </w:r>
      <w:r w:rsidR="009A40CD" w:rsidRPr="00F00DB2">
        <w:rPr>
          <w:i/>
          <w:lang w:val="en-GB"/>
        </w:rPr>
        <w:t>Taito v. The Queen</w:t>
      </w:r>
      <w:r w:rsidR="003A53AB" w:rsidRPr="00F00DB2">
        <w:rPr>
          <w:lang w:val="en-GB"/>
        </w:rPr>
        <w:t>.</w:t>
      </w:r>
      <w:r w:rsidR="00227F34" w:rsidRPr="00F00DB2">
        <w:rPr>
          <w:rStyle w:val="FootnoteReference"/>
          <w:lang w:val="en-GB"/>
        </w:rPr>
        <w:footnoteReference w:id="5"/>
      </w:r>
      <w:r w:rsidR="003A53AB" w:rsidRPr="00F00DB2">
        <w:rPr>
          <w:lang w:val="en-GB"/>
        </w:rPr>
        <w:t xml:space="preserve"> It held that</w:t>
      </w:r>
      <w:r w:rsidR="009A40CD" w:rsidRPr="00F00DB2">
        <w:rPr>
          <w:lang w:val="en-GB"/>
        </w:rPr>
        <w:t xml:space="preserve"> the decision not to grant legal aid</w:t>
      </w:r>
      <w:r w:rsidR="003A53AB" w:rsidRPr="00F00DB2">
        <w:rPr>
          <w:lang w:val="en-GB"/>
        </w:rPr>
        <w:t xml:space="preserve"> to the author</w:t>
      </w:r>
      <w:r w:rsidR="00306F16" w:rsidRPr="00F00DB2">
        <w:rPr>
          <w:lang w:val="en-GB"/>
        </w:rPr>
        <w:t xml:space="preserve"> through </w:t>
      </w:r>
      <w:r w:rsidR="00306F16" w:rsidRPr="00F00DB2">
        <w:rPr>
          <w:i/>
          <w:lang w:val="en-GB"/>
        </w:rPr>
        <w:t>ex parte</w:t>
      </w:r>
      <w:r w:rsidR="00306F16" w:rsidRPr="00F00DB2">
        <w:rPr>
          <w:lang w:val="en-GB"/>
        </w:rPr>
        <w:t xml:space="preserve"> appeals</w:t>
      </w:r>
      <w:r w:rsidR="009A40CD" w:rsidRPr="00F00DB2">
        <w:rPr>
          <w:lang w:val="en-GB"/>
        </w:rPr>
        <w:t xml:space="preserve"> had been unlawful, as it was decided by three judges of the Court of Appeal without discussion</w:t>
      </w:r>
      <w:r w:rsidR="00306F16" w:rsidRPr="00F00DB2">
        <w:rPr>
          <w:lang w:val="en-GB"/>
        </w:rPr>
        <w:t>;</w:t>
      </w:r>
      <w:r w:rsidR="003A53AB" w:rsidRPr="00F00DB2">
        <w:rPr>
          <w:lang w:val="en-GB"/>
        </w:rPr>
        <w:t xml:space="preserve"> </w:t>
      </w:r>
      <w:r w:rsidR="009A40CD" w:rsidRPr="00F00DB2">
        <w:rPr>
          <w:lang w:val="en-GB"/>
        </w:rPr>
        <w:t>the grounds for dismissing the appeal had not been substantiated</w:t>
      </w:r>
      <w:r w:rsidR="00306F16" w:rsidRPr="00F00DB2">
        <w:rPr>
          <w:lang w:val="en-GB"/>
        </w:rPr>
        <w:t xml:space="preserve">; </w:t>
      </w:r>
      <w:r w:rsidR="002F17C4" w:rsidRPr="00F00DB2">
        <w:rPr>
          <w:lang w:val="en-GB"/>
        </w:rPr>
        <w:t>the system operated on paper only, with no party appearing before the Court at any stage</w:t>
      </w:r>
      <w:r w:rsidR="00306F16" w:rsidRPr="00F00DB2">
        <w:rPr>
          <w:lang w:val="en-GB"/>
        </w:rPr>
        <w:t xml:space="preserve">. The Privy Council </w:t>
      </w:r>
      <w:r w:rsidR="002F17C4" w:rsidRPr="00F00DB2">
        <w:rPr>
          <w:lang w:val="en-GB"/>
        </w:rPr>
        <w:t>further</w:t>
      </w:r>
      <w:r w:rsidR="00306F16" w:rsidRPr="00F00DB2">
        <w:rPr>
          <w:lang w:val="en-GB"/>
        </w:rPr>
        <w:t xml:space="preserve"> considered that</w:t>
      </w:r>
      <w:r w:rsidR="002F17C4" w:rsidRPr="00F00DB2">
        <w:rPr>
          <w:lang w:val="en-GB"/>
        </w:rPr>
        <w:t xml:space="preserve"> “since the </w:t>
      </w:r>
      <w:r w:rsidR="002F17C4" w:rsidRPr="00F00DB2">
        <w:rPr>
          <w:i/>
          <w:lang w:val="en-GB"/>
        </w:rPr>
        <w:t>ex parte</w:t>
      </w:r>
      <w:r w:rsidR="002F17C4" w:rsidRPr="00F00DB2">
        <w:rPr>
          <w:lang w:val="en-GB"/>
        </w:rPr>
        <w:t xml:space="preserve"> system was applied only to appellants who were refused legal aid and never to those who had either obtained legal aid or were privately funded, it unlawfully discriminated between rich and poor”. </w:t>
      </w:r>
      <w:r w:rsidR="009A40CD" w:rsidRPr="00F00DB2">
        <w:rPr>
          <w:lang w:val="en-GB"/>
        </w:rPr>
        <w:t xml:space="preserve">The Privy Council remitted the case back to the Court of Appeal. </w:t>
      </w:r>
      <w:r w:rsidR="007F6A7A" w:rsidRPr="00F00DB2">
        <w:rPr>
          <w:lang w:val="en-GB"/>
        </w:rPr>
        <w:t>T</w:t>
      </w:r>
      <w:r w:rsidR="009A40CD" w:rsidRPr="00F00DB2">
        <w:rPr>
          <w:lang w:val="en-GB"/>
        </w:rPr>
        <w:t xml:space="preserve">he author was granted legal aid in respect of </w:t>
      </w:r>
      <w:r w:rsidR="00177D63" w:rsidRPr="00F00DB2">
        <w:rPr>
          <w:lang w:val="en-GB"/>
        </w:rPr>
        <w:t xml:space="preserve">his </w:t>
      </w:r>
      <w:r w:rsidR="009A40CD" w:rsidRPr="00F00DB2">
        <w:rPr>
          <w:lang w:val="en-GB"/>
        </w:rPr>
        <w:t xml:space="preserve">subsequent appeal before the Court of Appeal. </w:t>
      </w:r>
    </w:p>
    <w:p w14:paraId="6B37C8AF" w14:textId="77777777" w:rsidR="003C0768" w:rsidRPr="00F00DB2" w:rsidRDefault="00442144" w:rsidP="00FC3114">
      <w:pPr>
        <w:pStyle w:val="SingleTxtG"/>
        <w:rPr>
          <w:lang w:val="en-GB"/>
        </w:rPr>
      </w:pPr>
      <w:r w:rsidRPr="00F00DB2">
        <w:rPr>
          <w:lang w:val="en-GB"/>
        </w:rPr>
        <w:t>2.</w:t>
      </w:r>
      <w:r w:rsidR="00752104" w:rsidRPr="00F00DB2">
        <w:rPr>
          <w:lang w:val="en-GB"/>
        </w:rPr>
        <w:t>9</w:t>
      </w:r>
      <w:r w:rsidRPr="00F00DB2">
        <w:rPr>
          <w:lang w:val="en-GB"/>
        </w:rPr>
        <w:tab/>
      </w:r>
      <w:r w:rsidR="002F17C4" w:rsidRPr="00F00DB2">
        <w:rPr>
          <w:lang w:val="en-GB"/>
        </w:rPr>
        <w:t xml:space="preserve">In </w:t>
      </w:r>
      <w:r w:rsidR="007F6A7A" w:rsidRPr="00F00DB2">
        <w:rPr>
          <w:lang w:val="en-GB"/>
        </w:rPr>
        <w:t>t</w:t>
      </w:r>
      <w:r w:rsidR="002F17C4" w:rsidRPr="00F00DB2">
        <w:rPr>
          <w:lang w:val="en-GB"/>
        </w:rPr>
        <w:t xml:space="preserve">his </w:t>
      </w:r>
      <w:r w:rsidR="007F6A7A" w:rsidRPr="00F00DB2">
        <w:rPr>
          <w:lang w:val="en-GB"/>
        </w:rPr>
        <w:t xml:space="preserve">new </w:t>
      </w:r>
      <w:r w:rsidR="002F17C4" w:rsidRPr="00F00DB2">
        <w:rPr>
          <w:lang w:val="en-GB"/>
        </w:rPr>
        <w:t xml:space="preserve">appeal, the author </w:t>
      </w:r>
      <w:r w:rsidR="004A266D" w:rsidRPr="00F00DB2">
        <w:rPr>
          <w:lang w:val="en-GB"/>
        </w:rPr>
        <w:t>argued that he had suffered a miscarriage of justice in breach of article 14</w:t>
      </w:r>
      <w:r w:rsidR="00FC3114" w:rsidRPr="00F00DB2">
        <w:rPr>
          <w:lang w:val="en-GB"/>
        </w:rPr>
        <w:t> </w:t>
      </w:r>
      <w:r w:rsidR="004A266D" w:rsidRPr="00F00DB2">
        <w:rPr>
          <w:lang w:val="en-GB"/>
        </w:rPr>
        <w:t xml:space="preserve">(1) of the Covenant </w:t>
      </w:r>
      <w:r w:rsidRPr="00F00DB2">
        <w:rPr>
          <w:lang w:val="en-GB"/>
        </w:rPr>
        <w:t xml:space="preserve">and </w:t>
      </w:r>
      <w:r w:rsidR="004A266D" w:rsidRPr="00F00DB2">
        <w:rPr>
          <w:lang w:val="en-GB"/>
        </w:rPr>
        <w:t>section 25 of the New Zealand Bill of Rights Act 1990, and the New Zealand common law</w:t>
      </w:r>
      <w:r w:rsidR="00FC3114" w:rsidRPr="00F00DB2">
        <w:rPr>
          <w:lang w:val="en-GB"/>
        </w:rPr>
        <w:t>,</w:t>
      </w:r>
      <w:r w:rsidR="004A266D" w:rsidRPr="00F00DB2">
        <w:rPr>
          <w:lang w:val="en-GB"/>
        </w:rPr>
        <w:t xml:space="preserve"> in that</w:t>
      </w:r>
      <w:r w:rsidR="00177D63" w:rsidRPr="00F00DB2">
        <w:rPr>
          <w:lang w:val="en-GB"/>
        </w:rPr>
        <w:t>:</w:t>
      </w:r>
      <w:r w:rsidR="004A266D" w:rsidRPr="00F00DB2">
        <w:rPr>
          <w:lang w:val="en-GB"/>
        </w:rPr>
        <w:t xml:space="preserve"> (a) the Court </w:t>
      </w:r>
      <w:r w:rsidR="00FC3114" w:rsidRPr="00F00DB2">
        <w:rPr>
          <w:lang w:val="en-GB"/>
        </w:rPr>
        <w:t xml:space="preserve">had </w:t>
      </w:r>
      <w:r w:rsidR="004A266D" w:rsidRPr="00F00DB2">
        <w:rPr>
          <w:lang w:val="en-GB"/>
        </w:rPr>
        <w:t>failed to provide the author with the trial judge’s summing</w:t>
      </w:r>
      <w:r w:rsidR="00D652D9" w:rsidRPr="00F00DB2">
        <w:rPr>
          <w:lang w:val="en-GB"/>
        </w:rPr>
        <w:t>-</w:t>
      </w:r>
      <w:r w:rsidR="004A266D" w:rsidRPr="00F00DB2">
        <w:rPr>
          <w:lang w:val="en-GB"/>
        </w:rPr>
        <w:t>up, thereby depriving him</w:t>
      </w:r>
      <w:r w:rsidR="00177D63" w:rsidRPr="00F00DB2">
        <w:rPr>
          <w:lang w:val="en-GB"/>
        </w:rPr>
        <w:t xml:space="preserve"> of</w:t>
      </w:r>
      <w:r w:rsidR="004A266D" w:rsidRPr="00F00DB2">
        <w:rPr>
          <w:lang w:val="en-GB"/>
        </w:rPr>
        <w:t xml:space="preserve"> the opportunity to perfect his grounds of appeal; (b) the prosecutor </w:t>
      </w:r>
      <w:r w:rsidR="00FC3114" w:rsidRPr="00F00DB2">
        <w:rPr>
          <w:lang w:val="en-GB"/>
        </w:rPr>
        <w:t xml:space="preserve">had </w:t>
      </w:r>
      <w:r w:rsidR="004A266D" w:rsidRPr="00F00DB2">
        <w:rPr>
          <w:lang w:val="en-GB"/>
        </w:rPr>
        <w:t xml:space="preserve">accused the author’s sister of lying when she </w:t>
      </w:r>
      <w:r w:rsidR="00FC3114" w:rsidRPr="00F00DB2">
        <w:rPr>
          <w:lang w:val="en-GB"/>
        </w:rPr>
        <w:t xml:space="preserve">had </w:t>
      </w:r>
      <w:r w:rsidR="004A266D" w:rsidRPr="00F00DB2">
        <w:rPr>
          <w:lang w:val="en-GB"/>
        </w:rPr>
        <w:t xml:space="preserve">intervened as witness during the hearings, which amounted to a “scandalous attack on the author’s witness”; (c) the unlawful longstanding practice </w:t>
      </w:r>
      <w:r w:rsidR="00FC3114" w:rsidRPr="00F00DB2">
        <w:rPr>
          <w:lang w:val="en-GB"/>
        </w:rPr>
        <w:t xml:space="preserve">of the Court of Appeal had </w:t>
      </w:r>
      <w:r w:rsidR="004A266D" w:rsidRPr="00F00DB2">
        <w:rPr>
          <w:lang w:val="en-GB"/>
        </w:rPr>
        <w:t xml:space="preserve">breached the author’s right to have his 1996 appeal heard by the Court of Appeal without undue delay; (d) the author’s trial counsel </w:t>
      </w:r>
      <w:r w:rsidR="00FC3114" w:rsidRPr="00F00DB2">
        <w:rPr>
          <w:lang w:val="en-GB"/>
        </w:rPr>
        <w:t xml:space="preserve">had </w:t>
      </w:r>
      <w:r w:rsidR="004A266D" w:rsidRPr="00F00DB2">
        <w:rPr>
          <w:lang w:val="en-GB"/>
        </w:rPr>
        <w:t xml:space="preserve">acted incompetently as she </w:t>
      </w:r>
      <w:r w:rsidR="00FC3114" w:rsidRPr="00F00DB2">
        <w:rPr>
          <w:lang w:val="en-GB"/>
        </w:rPr>
        <w:t xml:space="preserve">had </w:t>
      </w:r>
      <w:r w:rsidR="004A266D" w:rsidRPr="00F00DB2">
        <w:rPr>
          <w:lang w:val="en-GB"/>
        </w:rPr>
        <w:t xml:space="preserve">only met with him for 40 minutes </w:t>
      </w:r>
      <w:r w:rsidR="00FC3114" w:rsidRPr="00F00DB2">
        <w:rPr>
          <w:lang w:val="en-GB"/>
        </w:rPr>
        <w:t xml:space="preserve">on </w:t>
      </w:r>
      <w:r w:rsidR="004A266D" w:rsidRPr="00F00DB2">
        <w:rPr>
          <w:lang w:val="en-GB"/>
        </w:rPr>
        <w:t xml:space="preserve">the day prior to his criminal trial and </w:t>
      </w:r>
      <w:r w:rsidR="00FC3114" w:rsidRPr="00F00DB2">
        <w:rPr>
          <w:lang w:val="en-GB"/>
        </w:rPr>
        <w:t xml:space="preserve">had </w:t>
      </w:r>
      <w:r w:rsidR="004A266D" w:rsidRPr="00F00DB2">
        <w:rPr>
          <w:lang w:val="en-GB"/>
        </w:rPr>
        <w:t xml:space="preserve">disregarded his instructions to call two witnesses; </w:t>
      </w:r>
      <w:r w:rsidR="00FC3114" w:rsidRPr="00F00DB2">
        <w:rPr>
          <w:lang w:val="en-GB"/>
        </w:rPr>
        <w:t xml:space="preserve">and </w:t>
      </w:r>
      <w:r w:rsidR="004A266D" w:rsidRPr="00F00DB2">
        <w:rPr>
          <w:lang w:val="en-GB"/>
        </w:rPr>
        <w:t xml:space="preserve">(e) the jury pool </w:t>
      </w:r>
      <w:r w:rsidR="00FC3114" w:rsidRPr="00F00DB2">
        <w:rPr>
          <w:lang w:val="en-GB"/>
        </w:rPr>
        <w:t xml:space="preserve">had been </w:t>
      </w:r>
      <w:r w:rsidR="004A266D" w:rsidRPr="00F00DB2">
        <w:rPr>
          <w:lang w:val="en-GB"/>
        </w:rPr>
        <w:t xml:space="preserve">inadequate and the jury selection </w:t>
      </w:r>
      <w:r w:rsidR="00FC3114" w:rsidRPr="00F00DB2">
        <w:rPr>
          <w:lang w:val="en-GB"/>
        </w:rPr>
        <w:t xml:space="preserve">had </w:t>
      </w:r>
      <w:r w:rsidR="004A266D" w:rsidRPr="00F00DB2">
        <w:rPr>
          <w:lang w:val="en-GB"/>
        </w:rPr>
        <w:t xml:space="preserve">failed to follow due process rendering the Court </w:t>
      </w:r>
      <w:r w:rsidR="000C098C" w:rsidRPr="00F00DB2">
        <w:rPr>
          <w:lang w:val="en-GB"/>
        </w:rPr>
        <w:t>not independent and impartial.</w:t>
      </w:r>
    </w:p>
    <w:p w14:paraId="561ACBD2" w14:textId="77777777" w:rsidR="00177D63" w:rsidRPr="00F00DB2" w:rsidRDefault="009A40CD" w:rsidP="00FE0037">
      <w:pPr>
        <w:pStyle w:val="SingleTxtG"/>
        <w:rPr>
          <w:lang w:val="en-GB"/>
        </w:rPr>
      </w:pPr>
      <w:r w:rsidRPr="00F00DB2">
        <w:rPr>
          <w:lang w:val="en-GB"/>
        </w:rPr>
        <w:t>2.</w:t>
      </w:r>
      <w:r w:rsidR="00752104" w:rsidRPr="00F00DB2">
        <w:rPr>
          <w:lang w:val="en-GB"/>
        </w:rPr>
        <w:t>1</w:t>
      </w:r>
      <w:r w:rsidR="000C098C" w:rsidRPr="00F00DB2">
        <w:rPr>
          <w:lang w:val="en-GB"/>
        </w:rPr>
        <w:t>0</w:t>
      </w:r>
      <w:r w:rsidR="003C0768" w:rsidRPr="00F00DB2">
        <w:rPr>
          <w:lang w:val="en-GB"/>
        </w:rPr>
        <w:tab/>
      </w:r>
      <w:r w:rsidRPr="00F00DB2">
        <w:rPr>
          <w:lang w:val="en-GB"/>
        </w:rPr>
        <w:t>On 1 March 2005, the Court of Appeal again dismissed the author’s appeal</w:t>
      </w:r>
      <w:r w:rsidR="00177D63" w:rsidRPr="00F00DB2">
        <w:rPr>
          <w:lang w:val="en-GB"/>
        </w:rPr>
        <w:t xml:space="preserve">, considering that the </w:t>
      </w:r>
      <w:r w:rsidR="00D652D9" w:rsidRPr="00F00DB2">
        <w:rPr>
          <w:lang w:val="en-GB"/>
        </w:rPr>
        <w:t>j</w:t>
      </w:r>
      <w:r w:rsidR="00177D63" w:rsidRPr="00F00DB2">
        <w:rPr>
          <w:lang w:val="en-GB"/>
        </w:rPr>
        <w:t>udge had properly directed the jury in addressing the identification issues. The author considers that</w:t>
      </w:r>
      <w:r w:rsidR="00FE0037" w:rsidRPr="00F00DB2">
        <w:rPr>
          <w:lang w:val="en-GB"/>
        </w:rPr>
        <w:t>,</w:t>
      </w:r>
      <w:r w:rsidR="00177D63" w:rsidRPr="00F00DB2">
        <w:rPr>
          <w:lang w:val="en-GB"/>
        </w:rPr>
        <w:t xml:space="preserve"> in the absence of </w:t>
      </w:r>
      <w:r w:rsidR="00981134" w:rsidRPr="00F00DB2">
        <w:rPr>
          <w:lang w:val="en-GB"/>
        </w:rPr>
        <w:t>a transcript</w:t>
      </w:r>
      <w:r w:rsidR="006A4927" w:rsidRPr="00F00DB2">
        <w:rPr>
          <w:lang w:val="en-GB"/>
        </w:rPr>
        <w:t xml:space="preserve"> of the summing</w:t>
      </w:r>
      <w:r w:rsidR="00D652D9" w:rsidRPr="00F00DB2">
        <w:rPr>
          <w:lang w:val="en-GB"/>
        </w:rPr>
        <w:t>-</w:t>
      </w:r>
      <w:r w:rsidR="006A4927" w:rsidRPr="00F00DB2">
        <w:rPr>
          <w:lang w:val="en-GB"/>
        </w:rPr>
        <w:t>up</w:t>
      </w:r>
      <w:r w:rsidR="00981134" w:rsidRPr="00F00DB2">
        <w:rPr>
          <w:lang w:val="en-GB"/>
        </w:rPr>
        <w:t xml:space="preserve"> and of proper evidence, the Court</w:t>
      </w:r>
      <w:r w:rsidR="00BB35EB" w:rsidRPr="00F00DB2">
        <w:rPr>
          <w:lang w:val="en-GB"/>
        </w:rPr>
        <w:t xml:space="preserve"> was not in </w:t>
      </w:r>
      <w:r w:rsidR="00FE0037" w:rsidRPr="00F00DB2">
        <w:rPr>
          <w:lang w:val="en-GB"/>
        </w:rPr>
        <w:t xml:space="preserve">a </w:t>
      </w:r>
      <w:r w:rsidR="00BB35EB" w:rsidRPr="00F00DB2">
        <w:rPr>
          <w:lang w:val="en-GB"/>
        </w:rPr>
        <w:t xml:space="preserve">condition to reach such </w:t>
      </w:r>
      <w:r w:rsidR="00FE0037" w:rsidRPr="00F00DB2">
        <w:rPr>
          <w:lang w:val="en-GB"/>
        </w:rPr>
        <w:t xml:space="preserve">a </w:t>
      </w:r>
      <w:r w:rsidR="00BB35EB" w:rsidRPr="00F00DB2">
        <w:rPr>
          <w:lang w:val="en-GB"/>
        </w:rPr>
        <w:t>conclusion</w:t>
      </w:r>
      <w:r w:rsidR="00BD0160" w:rsidRPr="00F00DB2">
        <w:rPr>
          <w:lang w:val="en-GB"/>
        </w:rPr>
        <w:t xml:space="preserve"> and the Court of Appeal was wrong in applying the test of “real likelihood” that the trial judge would not have properly directed the </w:t>
      </w:r>
      <w:r w:rsidR="006A4927" w:rsidRPr="00F00DB2">
        <w:rPr>
          <w:lang w:val="en-GB"/>
        </w:rPr>
        <w:t>jury</w:t>
      </w:r>
      <w:r w:rsidR="00BB35EB" w:rsidRPr="00F00DB2">
        <w:rPr>
          <w:lang w:val="en-GB"/>
        </w:rPr>
        <w:t>.</w:t>
      </w:r>
      <w:r w:rsidR="00BD0160" w:rsidRPr="00F00DB2">
        <w:rPr>
          <w:lang w:val="en-GB"/>
        </w:rPr>
        <w:t xml:space="preserve"> The author further argue</w:t>
      </w:r>
      <w:r w:rsidR="003C0768" w:rsidRPr="00F00DB2">
        <w:rPr>
          <w:lang w:val="en-GB"/>
        </w:rPr>
        <w:t>s</w:t>
      </w:r>
      <w:r w:rsidR="00BD0160" w:rsidRPr="00F00DB2">
        <w:rPr>
          <w:lang w:val="en-GB"/>
        </w:rPr>
        <w:t xml:space="preserve"> that the failure to preserve the trial judge’s summing</w:t>
      </w:r>
      <w:r w:rsidR="00D652D9" w:rsidRPr="00F00DB2">
        <w:rPr>
          <w:lang w:val="en-GB"/>
        </w:rPr>
        <w:t>-</w:t>
      </w:r>
      <w:r w:rsidR="00BD0160" w:rsidRPr="00F00DB2">
        <w:rPr>
          <w:lang w:val="en-GB"/>
        </w:rPr>
        <w:t xml:space="preserve">up cannot be hidden behind a miscarriage of justice test, and that the Court should have given the author the benefit of the doubt. </w:t>
      </w:r>
    </w:p>
    <w:p w14:paraId="5D0A2701" w14:textId="77777777" w:rsidR="000731DF" w:rsidRPr="00F00DB2" w:rsidRDefault="00BD0160" w:rsidP="00FE0037">
      <w:pPr>
        <w:pStyle w:val="SingleTxtG"/>
        <w:rPr>
          <w:lang w:val="en-GB"/>
        </w:rPr>
      </w:pPr>
      <w:r w:rsidRPr="00F00DB2">
        <w:rPr>
          <w:lang w:val="en-GB"/>
        </w:rPr>
        <w:t>2.</w:t>
      </w:r>
      <w:r w:rsidR="00A4256C" w:rsidRPr="00F00DB2">
        <w:rPr>
          <w:lang w:val="en-GB"/>
        </w:rPr>
        <w:t>1</w:t>
      </w:r>
      <w:r w:rsidR="000C098C" w:rsidRPr="00F00DB2">
        <w:rPr>
          <w:lang w:val="en-GB"/>
        </w:rPr>
        <w:t>1</w:t>
      </w:r>
      <w:r w:rsidR="00A4256C" w:rsidRPr="00F00DB2">
        <w:rPr>
          <w:lang w:val="en-GB"/>
        </w:rPr>
        <w:tab/>
      </w:r>
      <w:r w:rsidR="00F00B68" w:rsidRPr="00F00DB2">
        <w:rPr>
          <w:lang w:val="en-GB"/>
        </w:rPr>
        <w:t>On 12 April 2005, t</w:t>
      </w:r>
      <w:r w:rsidR="009A40CD" w:rsidRPr="00F00DB2">
        <w:rPr>
          <w:lang w:val="en-GB"/>
        </w:rPr>
        <w:t xml:space="preserve">he author </w:t>
      </w:r>
      <w:r w:rsidR="00F00B68" w:rsidRPr="00F00DB2">
        <w:rPr>
          <w:lang w:val="en-GB"/>
        </w:rPr>
        <w:t>applied for leave to appeal with</w:t>
      </w:r>
      <w:r w:rsidR="009A40CD" w:rsidRPr="00F00DB2">
        <w:rPr>
          <w:lang w:val="en-GB"/>
        </w:rPr>
        <w:t xml:space="preserve"> the Supreme Court</w:t>
      </w:r>
      <w:r w:rsidR="00946B93" w:rsidRPr="00F00DB2">
        <w:rPr>
          <w:lang w:val="en-GB"/>
        </w:rPr>
        <w:t>.</w:t>
      </w:r>
      <w:r w:rsidR="00F00B68" w:rsidRPr="00F00DB2">
        <w:rPr>
          <w:lang w:val="en-GB"/>
        </w:rPr>
        <w:t xml:space="preserve"> </w:t>
      </w:r>
      <w:r w:rsidR="00B56C45" w:rsidRPr="00F00DB2">
        <w:rPr>
          <w:lang w:val="en-GB"/>
        </w:rPr>
        <w:t>On 17 June 2005, t</w:t>
      </w:r>
      <w:r w:rsidR="00946B93" w:rsidRPr="00F00DB2">
        <w:rPr>
          <w:lang w:val="en-GB"/>
        </w:rPr>
        <w:t>he Supreme Court dismissed the author’s application for leave to appeal as being “not necessary in the interests of justice”</w:t>
      </w:r>
      <w:r w:rsidR="000C098C" w:rsidRPr="00F00DB2">
        <w:rPr>
          <w:lang w:val="en-GB"/>
        </w:rPr>
        <w:t>.</w:t>
      </w:r>
      <w:r w:rsidR="00946B93" w:rsidRPr="00F00DB2">
        <w:rPr>
          <w:rStyle w:val="FootnoteReference"/>
          <w:lang w:val="en-GB"/>
        </w:rPr>
        <w:footnoteReference w:id="6"/>
      </w:r>
      <w:r w:rsidR="00B24D15" w:rsidRPr="00F00DB2">
        <w:rPr>
          <w:lang w:val="en-GB"/>
        </w:rPr>
        <w:t xml:space="preserve"> The author argues that </w:t>
      </w:r>
      <w:r w:rsidR="00447812" w:rsidRPr="00F00DB2">
        <w:rPr>
          <w:lang w:val="en-GB"/>
        </w:rPr>
        <w:t>two</w:t>
      </w:r>
      <w:r w:rsidR="00B24D15" w:rsidRPr="00F00DB2">
        <w:rPr>
          <w:lang w:val="en-GB"/>
        </w:rPr>
        <w:t xml:space="preserve"> of the judges sitting on the Supreme Court and who </w:t>
      </w:r>
      <w:r w:rsidR="00FE0037" w:rsidRPr="00F00DB2">
        <w:rPr>
          <w:lang w:val="en-GB"/>
        </w:rPr>
        <w:t xml:space="preserve">had </w:t>
      </w:r>
      <w:r w:rsidR="00B24D15" w:rsidRPr="00F00DB2">
        <w:rPr>
          <w:lang w:val="en-GB"/>
        </w:rPr>
        <w:t xml:space="preserve">dismissed </w:t>
      </w:r>
      <w:r w:rsidR="000731DF" w:rsidRPr="00F00DB2">
        <w:rPr>
          <w:lang w:val="en-GB"/>
        </w:rPr>
        <w:t>his</w:t>
      </w:r>
      <w:r w:rsidR="00B24D15" w:rsidRPr="00F00DB2">
        <w:rPr>
          <w:lang w:val="en-GB"/>
        </w:rPr>
        <w:t xml:space="preserve"> application f</w:t>
      </w:r>
      <w:r w:rsidR="00FC11B3" w:rsidRPr="00F00DB2">
        <w:rPr>
          <w:lang w:val="en-GB"/>
        </w:rPr>
        <w:t xml:space="preserve">or leave to appeal </w:t>
      </w:r>
      <w:r w:rsidR="00FE0037" w:rsidRPr="00F00DB2">
        <w:rPr>
          <w:lang w:val="en-GB"/>
        </w:rPr>
        <w:t xml:space="preserve">had been </w:t>
      </w:r>
      <w:r w:rsidR="00D652D9" w:rsidRPr="00F00DB2">
        <w:rPr>
          <w:lang w:val="en-GB"/>
        </w:rPr>
        <w:t xml:space="preserve">Judges </w:t>
      </w:r>
      <w:r w:rsidR="00FC11B3" w:rsidRPr="00F00DB2">
        <w:rPr>
          <w:lang w:val="en-GB"/>
        </w:rPr>
        <w:t xml:space="preserve">Tipping </w:t>
      </w:r>
      <w:r w:rsidR="00447812" w:rsidRPr="00F00DB2">
        <w:rPr>
          <w:lang w:val="en-GB"/>
        </w:rPr>
        <w:t>and Elias</w:t>
      </w:r>
      <w:r w:rsidR="00B24D15" w:rsidRPr="00F00DB2">
        <w:rPr>
          <w:lang w:val="en-GB"/>
        </w:rPr>
        <w:t xml:space="preserve">, </w:t>
      </w:r>
      <w:r w:rsidR="00447812" w:rsidRPr="00F00DB2">
        <w:rPr>
          <w:lang w:val="en-GB"/>
        </w:rPr>
        <w:t>two</w:t>
      </w:r>
      <w:r w:rsidR="00B24D15" w:rsidRPr="00F00DB2">
        <w:rPr>
          <w:lang w:val="en-GB"/>
        </w:rPr>
        <w:t xml:space="preserve"> of the lobby judges who </w:t>
      </w:r>
      <w:r w:rsidR="00EB7356" w:rsidRPr="00E533B6">
        <w:rPr>
          <w:lang w:val="en-GB"/>
        </w:rPr>
        <w:t xml:space="preserve">had, among other </w:t>
      </w:r>
      <w:r w:rsidR="00D652D9" w:rsidRPr="00E533B6">
        <w:rPr>
          <w:lang w:val="en-GB"/>
        </w:rPr>
        <w:t>j</w:t>
      </w:r>
      <w:r w:rsidR="00EB7356" w:rsidRPr="00E533B6">
        <w:rPr>
          <w:lang w:val="en-GB"/>
        </w:rPr>
        <w:t xml:space="preserve">udges, provided evidence to a parliamentary law reform Committee in respect of the reform of criminal appellate procedure considered in the </w:t>
      </w:r>
      <w:r w:rsidR="00EB7356" w:rsidRPr="00E533B6">
        <w:rPr>
          <w:i/>
          <w:lang w:val="en-GB"/>
        </w:rPr>
        <w:t xml:space="preserve">Taito </w:t>
      </w:r>
      <w:r w:rsidR="000C098C" w:rsidRPr="00E533B6">
        <w:rPr>
          <w:lang w:val="en-GB"/>
        </w:rPr>
        <w:t xml:space="preserve">decision. </w:t>
      </w:r>
      <w:r w:rsidR="00EB7356" w:rsidRPr="00E533B6">
        <w:rPr>
          <w:lang w:val="en-GB"/>
        </w:rPr>
        <w:t>According to the author, these elements amounted to a further violation of article 14, paragraph 1 and paragraph 5 of the Covenant.</w:t>
      </w:r>
    </w:p>
    <w:p w14:paraId="69874AE5" w14:textId="77777777" w:rsidR="00966345" w:rsidRPr="00F00DB2" w:rsidRDefault="009D3DD4" w:rsidP="00FE0037">
      <w:pPr>
        <w:pStyle w:val="SingleTxtG"/>
        <w:rPr>
          <w:lang w:val="en-GB"/>
        </w:rPr>
      </w:pPr>
      <w:r w:rsidRPr="00F00DB2">
        <w:rPr>
          <w:lang w:val="en-GB"/>
        </w:rPr>
        <w:t>2.1</w:t>
      </w:r>
      <w:r w:rsidR="000C098C" w:rsidRPr="00F00DB2">
        <w:rPr>
          <w:lang w:val="en-GB"/>
        </w:rPr>
        <w:t>2</w:t>
      </w:r>
      <w:r w:rsidRPr="00F00DB2">
        <w:rPr>
          <w:lang w:val="en-GB"/>
        </w:rPr>
        <w:tab/>
      </w:r>
      <w:r w:rsidR="00B31EF0" w:rsidRPr="00F00DB2">
        <w:rPr>
          <w:lang w:val="en-GB"/>
        </w:rPr>
        <w:t xml:space="preserve">In its submission dated 19 July 2010, the author informed that he did not pursue these allegations </w:t>
      </w:r>
      <w:r w:rsidR="002115DE" w:rsidRPr="00F00DB2">
        <w:rPr>
          <w:lang w:val="en-GB"/>
        </w:rPr>
        <w:t xml:space="preserve">of judicial bias </w:t>
      </w:r>
      <w:r w:rsidR="00B31EF0" w:rsidRPr="00F00DB2">
        <w:rPr>
          <w:lang w:val="en-GB"/>
        </w:rPr>
        <w:t>before the New Zealand courts because his counsel</w:t>
      </w:r>
      <w:r w:rsidR="002115DE" w:rsidRPr="00F00DB2">
        <w:rPr>
          <w:lang w:val="en-GB"/>
        </w:rPr>
        <w:t xml:space="preserve"> had</w:t>
      </w:r>
      <w:r w:rsidR="00B31EF0" w:rsidRPr="00F00DB2">
        <w:rPr>
          <w:lang w:val="en-GB"/>
        </w:rPr>
        <w:t xml:space="preserve"> raised the same claims on behalf of another client in 2007, </w:t>
      </w:r>
      <w:r w:rsidR="00FE0037" w:rsidRPr="00F00DB2">
        <w:rPr>
          <w:lang w:val="en-GB"/>
        </w:rPr>
        <w:t xml:space="preserve">when </w:t>
      </w:r>
      <w:r w:rsidR="00B31EF0" w:rsidRPr="00F00DB2">
        <w:rPr>
          <w:lang w:val="en-GB"/>
        </w:rPr>
        <w:t xml:space="preserve">the Supreme Court </w:t>
      </w:r>
      <w:r w:rsidR="00FE0037" w:rsidRPr="00F00DB2">
        <w:rPr>
          <w:lang w:val="en-GB"/>
        </w:rPr>
        <w:t xml:space="preserve">had </w:t>
      </w:r>
      <w:r w:rsidR="00B31EF0" w:rsidRPr="00F00DB2">
        <w:rPr>
          <w:lang w:val="en-GB"/>
        </w:rPr>
        <w:t>rejected them. The author therefore considered that it would</w:t>
      </w:r>
      <w:r w:rsidR="00B573E8" w:rsidRPr="00F00DB2">
        <w:rPr>
          <w:lang w:val="en-GB"/>
        </w:rPr>
        <w:t xml:space="preserve"> have</w:t>
      </w:r>
      <w:r w:rsidR="00B31EF0" w:rsidRPr="00F00DB2">
        <w:rPr>
          <w:lang w:val="en-GB"/>
        </w:rPr>
        <w:t xml:space="preserve"> be</w:t>
      </w:r>
      <w:r w:rsidR="00B573E8" w:rsidRPr="00F00DB2">
        <w:rPr>
          <w:lang w:val="en-GB"/>
        </w:rPr>
        <w:t>en</w:t>
      </w:r>
      <w:r w:rsidR="00B31EF0" w:rsidRPr="00F00DB2">
        <w:rPr>
          <w:lang w:val="en-GB"/>
        </w:rPr>
        <w:t xml:space="preserve"> futile to advance the same allegations before the Supreme Court</w:t>
      </w:r>
      <w:r w:rsidR="002115DE" w:rsidRPr="00F00DB2">
        <w:rPr>
          <w:lang w:val="en-GB"/>
        </w:rPr>
        <w:t xml:space="preserve"> and</w:t>
      </w:r>
      <w:r w:rsidRPr="00E533B6">
        <w:rPr>
          <w:lang w:val="en-GB"/>
        </w:rPr>
        <w:t xml:space="preserve"> that he has no further remedy available. </w:t>
      </w:r>
      <w:r w:rsidR="00FE0037" w:rsidRPr="00E533B6">
        <w:rPr>
          <w:lang w:val="en-GB"/>
        </w:rPr>
        <w:t>Furthermore, t</w:t>
      </w:r>
      <w:r w:rsidRPr="00E533B6">
        <w:rPr>
          <w:lang w:val="en-GB"/>
        </w:rPr>
        <w:t>he author stress</w:t>
      </w:r>
      <w:r w:rsidR="00FE0037" w:rsidRPr="00E533B6">
        <w:rPr>
          <w:lang w:val="en-GB"/>
        </w:rPr>
        <w:t>es</w:t>
      </w:r>
      <w:r w:rsidRPr="00E533B6">
        <w:rPr>
          <w:lang w:val="en-GB"/>
        </w:rPr>
        <w:t xml:space="preserve"> that the proceedings lasted for over </w:t>
      </w:r>
      <w:r w:rsidR="002115DE" w:rsidRPr="00E533B6">
        <w:rPr>
          <w:lang w:val="en-GB"/>
        </w:rPr>
        <w:t>ten</w:t>
      </w:r>
      <w:r w:rsidRPr="00E533B6">
        <w:rPr>
          <w:lang w:val="en-GB"/>
        </w:rPr>
        <w:t xml:space="preserve"> yea</w:t>
      </w:r>
      <w:r w:rsidR="00966345" w:rsidRPr="00E533B6">
        <w:rPr>
          <w:lang w:val="en-GB"/>
        </w:rPr>
        <w:t xml:space="preserve">rs, and were unduly prolonged. </w:t>
      </w:r>
    </w:p>
    <w:p w14:paraId="065124DD" w14:textId="77777777" w:rsidR="00FB02BF" w:rsidRPr="00F00DB2" w:rsidRDefault="000C098C" w:rsidP="000C098C">
      <w:pPr>
        <w:pStyle w:val="H23G"/>
      </w:pPr>
      <w:r w:rsidRPr="00F00DB2">
        <w:tab/>
      </w:r>
      <w:r w:rsidRPr="00F00DB2">
        <w:tab/>
      </w:r>
      <w:r w:rsidR="00FB02BF" w:rsidRPr="00F00DB2">
        <w:t>The complaint</w:t>
      </w:r>
    </w:p>
    <w:p w14:paraId="71FFD473" w14:textId="77777777" w:rsidR="00522D84" w:rsidRPr="00E533B6" w:rsidRDefault="009A40CD" w:rsidP="00FE0037">
      <w:pPr>
        <w:pStyle w:val="SingleTxtG"/>
        <w:rPr>
          <w:lang w:val="en-GB"/>
        </w:rPr>
      </w:pPr>
      <w:r w:rsidRPr="00F00DB2">
        <w:rPr>
          <w:lang w:val="en-GB"/>
        </w:rPr>
        <w:t>3.1</w:t>
      </w:r>
      <w:r w:rsidR="00AB732D" w:rsidRPr="00F00DB2">
        <w:rPr>
          <w:lang w:val="en-GB"/>
        </w:rPr>
        <w:tab/>
      </w:r>
      <w:r w:rsidR="00AB44B5" w:rsidRPr="00E533B6">
        <w:rPr>
          <w:lang w:val="en-GB"/>
        </w:rPr>
        <w:t>The author alleges several breaches of the Covenant by the State party in</w:t>
      </w:r>
      <w:r w:rsidR="00C86632" w:rsidRPr="00F00DB2">
        <w:rPr>
          <w:lang w:val="en-GB"/>
        </w:rPr>
        <w:t xml:space="preserve"> his</w:t>
      </w:r>
      <w:r w:rsidR="00AB44B5" w:rsidRPr="00E533B6">
        <w:rPr>
          <w:lang w:val="en-GB"/>
        </w:rPr>
        <w:t xml:space="preserve"> regard, vis-à-vis the following events and substantive </w:t>
      </w:r>
      <w:r w:rsidRPr="00F00DB2">
        <w:rPr>
          <w:lang w:val="en-GB"/>
        </w:rPr>
        <w:t xml:space="preserve">rights under articles 2 </w:t>
      </w:r>
      <w:r w:rsidR="00FE0037" w:rsidRPr="00F00DB2">
        <w:rPr>
          <w:lang w:val="en-GB"/>
        </w:rPr>
        <w:t>(</w:t>
      </w:r>
      <w:r w:rsidRPr="00F00DB2">
        <w:rPr>
          <w:lang w:val="en-GB"/>
        </w:rPr>
        <w:t>3</w:t>
      </w:r>
      <w:r w:rsidR="00FE0037" w:rsidRPr="00F00DB2">
        <w:rPr>
          <w:lang w:val="en-GB"/>
        </w:rPr>
        <w:t>)</w:t>
      </w:r>
      <w:r w:rsidRPr="00F00DB2">
        <w:rPr>
          <w:lang w:val="en-GB"/>
        </w:rPr>
        <w:t xml:space="preserve"> </w:t>
      </w:r>
      <w:r w:rsidR="00FE0037" w:rsidRPr="00F00DB2">
        <w:rPr>
          <w:lang w:val="en-GB"/>
        </w:rPr>
        <w:t>(</w:t>
      </w:r>
      <w:r w:rsidRPr="00F00DB2">
        <w:rPr>
          <w:lang w:val="en-GB"/>
        </w:rPr>
        <w:t xml:space="preserve">a); 9; 14 </w:t>
      </w:r>
      <w:r w:rsidR="00FE0037" w:rsidRPr="00F00DB2">
        <w:rPr>
          <w:lang w:val="en-GB"/>
        </w:rPr>
        <w:t>(</w:t>
      </w:r>
      <w:r w:rsidRPr="00F00DB2">
        <w:rPr>
          <w:lang w:val="en-GB"/>
        </w:rPr>
        <w:t>1</w:t>
      </w:r>
      <w:r w:rsidR="00FE0037" w:rsidRPr="00F00DB2">
        <w:rPr>
          <w:lang w:val="en-GB"/>
        </w:rPr>
        <w:t>)</w:t>
      </w:r>
      <w:r w:rsidRPr="00F00DB2">
        <w:rPr>
          <w:lang w:val="en-GB"/>
        </w:rPr>
        <w:t xml:space="preserve">, </w:t>
      </w:r>
      <w:r w:rsidR="00FE0037" w:rsidRPr="00F00DB2">
        <w:rPr>
          <w:lang w:val="en-GB"/>
        </w:rPr>
        <w:t>(</w:t>
      </w:r>
      <w:r w:rsidRPr="00F00DB2">
        <w:rPr>
          <w:lang w:val="en-GB"/>
        </w:rPr>
        <w:t>2</w:t>
      </w:r>
      <w:r w:rsidR="00FE0037" w:rsidRPr="00F00DB2">
        <w:rPr>
          <w:lang w:val="en-GB"/>
        </w:rPr>
        <w:t>)</w:t>
      </w:r>
      <w:r w:rsidRPr="00F00DB2">
        <w:rPr>
          <w:lang w:val="en-GB"/>
        </w:rPr>
        <w:t xml:space="preserve">, </w:t>
      </w:r>
      <w:r w:rsidR="00FE0037" w:rsidRPr="00F00DB2">
        <w:rPr>
          <w:lang w:val="en-GB"/>
        </w:rPr>
        <w:t>(</w:t>
      </w:r>
      <w:r w:rsidRPr="00F00DB2">
        <w:rPr>
          <w:lang w:val="en-GB"/>
        </w:rPr>
        <w:t>3</w:t>
      </w:r>
      <w:r w:rsidR="00FE0037" w:rsidRPr="00F00DB2">
        <w:rPr>
          <w:lang w:val="en-GB"/>
        </w:rPr>
        <w:t>)</w:t>
      </w:r>
      <w:r w:rsidRPr="00F00DB2">
        <w:rPr>
          <w:lang w:val="en-GB"/>
        </w:rPr>
        <w:t xml:space="preserve"> </w:t>
      </w:r>
      <w:r w:rsidR="00FE0037" w:rsidRPr="00F00DB2">
        <w:rPr>
          <w:lang w:val="en-GB"/>
        </w:rPr>
        <w:t>(</w:t>
      </w:r>
      <w:r w:rsidRPr="00F00DB2">
        <w:rPr>
          <w:lang w:val="en-GB"/>
        </w:rPr>
        <w:t>b)</w:t>
      </w:r>
      <w:r w:rsidR="00FE0037" w:rsidRPr="00F00DB2">
        <w:rPr>
          <w:lang w:val="en-GB"/>
        </w:rPr>
        <w:t>-(</w:t>
      </w:r>
      <w:r w:rsidRPr="00F00DB2">
        <w:rPr>
          <w:lang w:val="en-GB"/>
        </w:rPr>
        <w:t xml:space="preserve">e) and </w:t>
      </w:r>
      <w:r w:rsidR="00FE0037" w:rsidRPr="00F00DB2">
        <w:rPr>
          <w:lang w:val="en-GB"/>
        </w:rPr>
        <w:t>(</w:t>
      </w:r>
      <w:r w:rsidRPr="00F00DB2">
        <w:rPr>
          <w:lang w:val="en-GB"/>
        </w:rPr>
        <w:t>g)</w:t>
      </w:r>
      <w:r w:rsidR="00FE0037" w:rsidRPr="00F00DB2">
        <w:rPr>
          <w:lang w:val="en-GB"/>
        </w:rPr>
        <w:t>,</w:t>
      </w:r>
      <w:r w:rsidRPr="00F00DB2">
        <w:rPr>
          <w:lang w:val="en-GB"/>
        </w:rPr>
        <w:t xml:space="preserve"> </w:t>
      </w:r>
      <w:r w:rsidR="00FE0037" w:rsidRPr="00F00DB2">
        <w:rPr>
          <w:lang w:val="en-GB"/>
        </w:rPr>
        <w:t>(</w:t>
      </w:r>
      <w:r w:rsidRPr="00F00DB2">
        <w:rPr>
          <w:lang w:val="en-GB"/>
        </w:rPr>
        <w:t>5</w:t>
      </w:r>
      <w:r w:rsidR="00FE0037" w:rsidRPr="00F00DB2">
        <w:rPr>
          <w:lang w:val="en-GB"/>
        </w:rPr>
        <w:t>)</w:t>
      </w:r>
      <w:r w:rsidRPr="00F00DB2">
        <w:rPr>
          <w:lang w:val="en-GB"/>
        </w:rPr>
        <w:t xml:space="preserve"> and </w:t>
      </w:r>
      <w:r w:rsidR="00FE0037" w:rsidRPr="00F00DB2">
        <w:rPr>
          <w:lang w:val="en-GB"/>
        </w:rPr>
        <w:t>(</w:t>
      </w:r>
      <w:r w:rsidRPr="00F00DB2">
        <w:rPr>
          <w:lang w:val="en-GB"/>
        </w:rPr>
        <w:t>6</w:t>
      </w:r>
      <w:r w:rsidR="00FE0037" w:rsidRPr="00F00DB2">
        <w:rPr>
          <w:lang w:val="en-GB"/>
        </w:rPr>
        <w:t>)</w:t>
      </w:r>
      <w:r w:rsidRPr="00F00DB2">
        <w:rPr>
          <w:lang w:val="en-GB"/>
        </w:rPr>
        <w:t xml:space="preserve">; 17 and 26 of the Covenant. </w:t>
      </w:r>
    </w:p>
    <w:p w14:paraId="7E863962" w14:textId="77777777" w:rsidR="00EB53CF" w:rsidRPr="007C1379" w:rsidRDefault="00631796" w:rsidP="00E533B6">
      <w:pPr>
        <w:pStyle w:val="H4G"/>
      </w:pPr>
      <w:r w:rsidRPr="007C1379">
        <w:tab/>
      </w:r>
      <w:r w:rsidRPr="007C1379">
        <w:tab/>
      </w:r>
      <w:r w:rsidR="002C4335" w:rsidRPr="007C1379">
        <w:t>S</w:t>
      </w:r>
      <w:r w:rsidR="00EB53CF" w:rsidRPr="007C1379">
        <w:t xml:space="preserve">election </w:t>
      </w:r>
      <w:r w:rsidR="002C4335" w:rsidRPr="007C1379">
        <w:t>of the</w:t>
      </w:r>
      <w:r w:rsidR="00EB53CF" w:rsidRPr="007C1379">
        <w:t xml:space="preserve"> jury</w:t>
      </w:r>
    </w:p>
    <w:p w14:paraId="7E545D4F" w14:textId="77777777" w:rsidR="00141A66" w:rsidRPr="00F00DB2" w:rsidRDefault="000C098C" w:rsidP="00096624">
      <w:pPr>
        <w:pStyle w:val="SingleTxtG"/>
        <w:rPr>
          <w:lang w:val="en-GB"/>
        </w:rPr>
      </w:pPr>
      <w:r w:rsidRPr="00F00DB2">
        <w:rPr>
          <w:lang w:val="en-GB"/>
        </w:rPr>
        <w:t>3.2</w:t>
      </w:r>
      <w:r w:rsidRPr="00F00DB2">
        <w:rPr>
          <w:lang w:val="en-GB"/>
        </w:rPr>
        <w:tab/>
      </w:r>
      <w:r w:rsidR="002C4335" w:rsidRPr="00F00DB2">
        <w:rPr>
          <w:lang w:val="en-GB"/>
        </w:rPr>
        <w:t>T</w:t>
      </w:r>
      <w:r w:rsidR="0030770A" w:rsidRPr="00F00DB2">
        <w:rPr>
          <w:lang w:val="en-GB"/>
        </w:rPr>
        <w:t>he author</w:t>
      </w:r>
      <w:r w:rsidR="009A40CD" w:rsidRPr="00F00DB2">
        <w:rPr>
          <w:lang w:val="en-GB"/>
        </w:rPr>
        <w:t xml:space="preserve"> claims that</w:t>
      </w:r>
      <w:r w:rsidR="0030770A" w:rsidRPr="00F00DB2">
        <w:rPr>
          <w:lang w:val="en-GB"/>
        </w:rPr>
        <w:t xml:space="preserve"> he was not granted a fair hearing</w:t>
      </w:r>
      <w:r w:rsidR="002C4335" w:rsidRPr="00F00DB2">
        <w:rPr>
          <w:lang w:val="en-GB"/>
        </w:rPr>
        <w:t xml:space="preserve"> because</w:t>
      </w:r>
      <w:r w:rsidR="0030770A" w:rsidRPr="00F00DB2">
        <w:rPr>
          <w:lang w:val="en-GB"/>
        </w:rPr>
        <w:t xml:space="preserve"> the jury selection </w:t>
      </w:r>
      <w:r w:rsidR="009E2B05" w:rsidRPr="00F00DB2">
        <w:rPr>
          <w:lang w:val="en-GB"/>
        </w:rPr>
        <w:t>was</w:t>
      </w:r>
      <w:r w:rsidR="0030770A" w:rsidRPr="00F00DB2">
        <w:rPr>
          <w:lang w:val="en-GB"/>
        </w:rPr>
        <w:t xml:space="preserve"> biased</w:t>
      </w:r>
      <w:r w:rsidR="002C4335" w:rsidRPr="00F00DB2">
        <w:rPr>
          <w:lang w:val="en-GB"/>
        </w:rPr>
        <w:t>. In this connection, he argues that the jury was not</w:t>
      </w:r>
      <w:r w:rsidR="00697C6D" w:rsidRPr="00F00DB2">
        <w:rPr>
          <w:lang w:val="en-GB"/>
        </w:rPr>
        <w:t xml:space="preserve"> preliminarily balloted</w:t>
      </w:r>
      <w:r w:rsidR="008563AE" w:rsidRPr="00F00DB2">
        <w:rPr>
          <w:lang w:val="en-GB"/>
        </w:rPr>
        <w:t xml:space="preserve"> as requested under the Juries Rules 1990</w:t>
      </w:r>
      <w:r w:rsidR="002C4335" w:rsidRPr="00F00DB2">
        <w:rPr>
          <w:lang w:val="en-GB"/>
        </w:rPr>
        <w:t xml:space="preserve">, </w:t>
      </w:r>
      <w:r w:rsidR="009A5865" w:rsidRPr="00F00DB2">
        <w:rPr>
          <w:lang w:val="en-GB"/>
        </w:rPr>
        <w:t>because approximately 100 jurors did not answer their jury summonses that day. The point of pre-ballot is that counsel can watch the pre</w:t>
      </w:r>
      <w:r w:rsidR="00096624" w:rsidRPr="00F00DB2">
        <w:rPr>
          <w:lang w:val="en-GB"/>
        </w:rPr>
        <w:t>-</w:t>
      </w:r>
      <w:r w:rsidR="009A5865" w:rsidRPr="00F00DB2">
        <w:rPr>
          <w:lang w:val="en-GB"/>
        </w:rPr>
        <w:t xml:space="preserve">balloting process, know which jurors are in the jury pool and discuss those potential jurors with a client. The author considers that he was denied this opportunity </w:t>
      </w:r>
      <w:r w:rsidR="00096624" w:rsidRPr="00F00DB2">
        <w:rPr>
          <w:lang w:val="en-GB"/>
        </w:rPr>
        <w:t xml:space="preserve">owing </w:t>
      </w:r>
      <w:r w:rsidR="009A5865" w:rsidRPr="00F00DB2">
        <w:rPr>
          <w:lang w:val="en-GB"/>
        </w:rPr>
        <w:t>to the fact that all other trials had their juries selected</w:t>
      </w:r>
      <w:r w:rsidR="002C4335" w:rsidRPr="00F00DB2">
        <w:rPr>
          <w:lang w:val="en-GB"/>
        </w:rPr>
        <w:t xml:space="preserve"> first</w:t>
      </w:r>
      <w:r w:rsidR="009A5865" w:rsidRPr="00F00DB2">
        <w:rPr>
          <w:lang w:val="en-GB"/>
        </w:rPr>
        <w:t xml:space="preserve">, and his panel consisted of those left over. </w:t>
      </w:r>
      <w:r w:rsidR="00141A66" w:rsidRPr="00F00DB2">
        <w:rPr>
          <w:lang w:val="en-GB"/>
        </w:rPr>
        <w:t>He argues that</w:t>
      </w:r>
      <w:r w:rsidR="00415FC6" w:rsidRPr="00F00DB2">
        <w:rPr>
          <w:lang w:val="en-GB"/>
        </w:rPr>
        <w:t xml:space="preserve"> the failure to organize a</w:t>
      </w:r>
      <w:r w:rsidR="009A5865" w:rsidRPr="00F00DB2">
        <w:rPr>
          <w:lang w:val="en-GB"/>
        </w:rPr>
        <w:t xml:space="preserve"> preliminary ballot</w:t>
      </w:r>
      <w:r w:rsidR="00C526A1" w:rsidRPr="00F00DB2">
        <w:rPr>
          <w:lang w:val="en-GB"/>
        </w:rPr>
        <w:t xml:space="preserve"> of his panel</w:t>
      </w:r>
      <w:r w:rsidR="00415FC6" w:rsidRPr="00F00DB2">
        <w:rPr>
          <w:lang w:val="en-GB"/>
        </w:rPr>
        <w:t xml:space="preserve"> prevented him from </w:t>
      </w:r>
      <w:r w:rsidR="009A5865" w:rsidRPr="00F00DB2">
        <w:rPr>
          <w:lang w:val="en-GB"/>
        </w:rPr>
        <w:t>discuss</w:t>
      </w:r>
      <w:r w:rsidR="00415FC6" w:rsidRPr="00F00DB2">
        <w:rPr>
          <w:lang w:val="en-GB"/>
        </w:rPr>
        <w:t>ing</w:t>
      </w:r>
      <w:r w:rsidR="009A5865" w:rsidRPr="00F00DB2">
        <w:rPr>
          <w:lang w:val="en-GB"/>
        </w:rPr>
        <w:t xml:space="preserve"> the potential jurors with his trial lawyer </w:t>
      </w:r>
      <w:r w:rsidR="00C526A1" w:rsidRPr="00F00DB2">
        <w:rPr>
          <w:lang w:val="en-GB"/>
        </w:rPr>
        <w:t xml:space="preserve">and </w:t>
      </w:r>
      <w:r w:rsidR="009A5865" w:rsidRPr="00F00DB2">
        <w:rPr>
          <w:lang w:val="en-GB"/>
        </w:rPr>
        <w:t>from preparing and present</w:t>
      </w:r>
      <w:r w:rsidR="00C86632" w:rsidRPr="00F00DB2">
        <w:rPr>
          <w:lang w:val="en-GB"/>
        </w:rPr>
        <w:t>ing</w:t>
      </w:r>
      <w:r w:rsidR="009A5865" w:rsidRPr="00F00DB2">
        <w:rPr>
          <w:lang w:val="en-GB"/>
        </w:rPr>
        <w:t xml:space="preserve"> a defence</w:t>
      </w:r>
      <w:r w:rsidR="00141A66" w:rsidRPr="00F00DB2">
        <w:rPr>
          <w:lang w:val="en-GB"/>
        </w:rPr>
        <w:t xml:space="preserve">, in violation of article 14 </w:t>
      </w:r>
      <w:r w:rsidR="00096624" w:rsidRPr="00F00DB2">
        <w:rPr>
          <w:lang w:val="en-GB"/>
        </w:rPr>
        <w:t>(</w:t>
      </w:r>
      <w:r w:rsidR="00141A66" w:rsidRPr="00F00DB2">
        <w:rPr>
          <w:lang w:val="en-GB"/>
        </w:rPr>
        <w:t>1</w:t>
      </w:r>
      <w:r w:rsidR="00096624" w:rsidRPr="00F00DB2">
        <w:rPr>
          <w:lang w:val="en-GB"/>
        </w:rPr>
        <w:t>)</w:t>
      </w:r>
      <w:r w:rsidR="00141A66" w:rsidRPr="00F00DB2">
        <w:rPr>
          <w:lang w:val="en-GB"/>
        </w:rPr>
        <w:t xml:space="preserve"> of the Covenant. </w:t>
      </w:r>
    </w:p>
    <w:p w14:paraId="058C9185" w14:textId="77777777" w:rsidR="00FB02BF" w:rsidRPr="00F00DB2" w:rsidRDefault="00141A66" w:rsidP="00096624">
      <w:pPr>
        <w:pStyle w:val="SingleTxtG"/>
        <w:rPr>
          <w:lang w:val="en-GB"/>
        </w:rPr>
      </w:pPr>
      <w:r w:rsidRPr="00F00DB2">
        <w:rPr>
          <w:lang w:val="en-GB"/>
        </w:rPr>
        <w:t>3.3</w:t>
      </w:r>
      <w:r w:rsidRPr="00F00DB2">
        <w:rPr>
          <w:lang w:val="en-GB"/>
        </w:rPr>
        <w:tab/>
        <w:t>The author further</w:t>
      </w:r>
      <w:r w:rsidR="009E2B05" w:rsidRPr="00F00DB2">
        <w:rPr>
          <w:lang w:val="en-GB"/>
        </w:rPr>
        <w:t xml:space="preserve"> argues that the </w:t>
      </w:r>
      <w:r w:rsidR="00813E40" w:rsidRPr="00F00DB2">
        <w:rPr>
          <w:lang w:val="en-GB"/>
        </w:rPr>
        <w:t>whole process resulted in the selection of a jury</w:t>
      </w:r>
      <w:r w:rsidR="00C86632" w:rsidRPr="00F00DB2">
        <w:rPr>
          <w:lang w:val="en-GB"/>
        </w:rPr>
        <w:t xml:space="preserve"> of mostly European origin</w:t>
      </w:r>
      <w:r w:rsidR="00975BCF" w:rsidRPr="00F00DB2">
        <w:rPr>
          <w:lang w:val="en-GB"/>
        </w:rPr>
        <w:t xml:space="preserve">. He considers that this composition </w:t>
      </w:r>
      <w:r w:rsidR="00813E40" w:rsidRPr="00F00DB2">
        <w:rPr>
          <w:lang w:val="en-GB"/>
        </w:rPr>
        <w:t>prejudiced him</w:t>
      </w:r>
      <w:r w:rsidR="00096624" w:rsidRPr="00F00DB2">
        <w:rPr>
          <w:lang w:val="en-GB"/>
        </w:rPr>
        <w:t>,</w:t>
      </w:r>
      <w:r w:rsidR="00697C6D" w:rsidRPr="00F00DB2">
        <w:rPr>
          <w:lang w:val="en-GB"/>
        </w:rPr>
        <w:t xml:space="preserve"> </w:t>
      </w:r>
      <w:r w:rsidR="007519C8" w:rsidRPr="00F00DB2">
        <w:rPr>
          <w:lang w:val="en-GB"/>
        </w:rPr>
        <w:t xml:space="preserve">as one of the main issues at his criminal trial </w:t>
      </w:r>
      <w:r w:rsidR="00975BCF" w:rsidRPr="00F00DB2">
        <w:rPr>
          <w:lang w:val="en-GB"/>
        </w:rPr>
        <w:t>related to his</w:t>
      </w:r>
      <w:r w:rsidR="007519C8" w:rsidRPr="00F00DB2">
        <w:rPr>
          <w:lang w:val="en-GB"/>
        </w:rPr>
        <w:t xml:space="preserve"> identification </w:t>
      </w:r>
      <w:r w:rsidR="00096624" w:rsidRPr="00F00DB2">
        <w:rPr>
          <w:lang w:val="en-GB"/>
        </w:rPr>
        <w:t>and the question of “</w:t>
      </w:r>
      <w:r w:rsidR="007519C8" w:rsidRPr="00F00DB2">
        <w:rPr>
          <w:lang w:val="en-GB"/>
        </w:rPr>
        <w:t>whether all Samoans look alike</w:t>
      </w:r>
      <w:r w:rsidR="00975BCF" w:rsidRPr="00F00DB2">
        <w:rPr>
          <w:lang w:val="en-GB"/>
        </w:rPr>
        <w:t>”</w:t>
      </w:r>
      <w:r w:rsidR="007519C8" w:rsidRPr="00F00DB2">
        <w:rPr>
          <w:lang w:val="en-GB"/>
        </w:rPr>
        <w:t xml:space="preserve">. </w:t>
      </w:r>
      <w:r w:rsidR="00975BCF" w:rsidRPr="00F00DB2">
        <w:rPr>
          <w:lang w:val="en-GB"/>
        </w:rPr>
        <w:t>He</w:t>
      </w:r>
      <w:r w:rsidR="007519C8" w:rsidRPr="00F00DB2">
        <w:rPr>
          <w:lang w:val="en-GB"/>
        </w:rPr>
        <w:t xml:space="preserve"> </w:t>
      </w:r>
      <w:r w:rsidR="00813E40" w:rsidRPr="00F00DB2">
        <w:rPr>
          <w:lang w:val="en-GB"/>
        </w:rPr>
        <w:t xml:space="preserve">therefore </w:t>
      </w:r>
      <w:r w:rsidR="00975BCF" w:rsidRPr="00F00DB2">
        <w:rPr>
          <w:lang w:val="en-GB"/>
        </w:rPr>
        <w:t>argues</w:t>
      </w:r>
      <w:r w:rsidR="007519C8" w:rsidRPr="00F00DB2">
        <w:rPr>
          <w:lang w:val="en-GB"/>
        </w:rPr>
        <w:t xml:space="preserve"> that not having enough jurors, and those jurors not being properly selected</w:t>
      </w:r>
      <w:r w:rsidR="00975BCF" w:rsidRPr="00F00DB2">
        <w:rPr>
          <w:lang w:val="en-GB"/>
        </w:rPr>
        <w:t>,</w:t>
      </w:r>
      <w:r w:rsidR="007519C8" w:rsidRPr="00F00DB2">
        <w:rPr>
          <w:lang w:val="en-GB"/>
        </w:rPr>
        <w:t xml:space="preserve"> </w:t>
      </w:r>
      <w:r w:rsidR="002E43CA" w:rsidRPr="00F00DB2">
        <w:rPr>
          <w:lang w:val="en-GB"/>
        </w:rPr>
        <w:t>affect</w:t>
      </w:r>
      <w:r w:rsidR="00813E40" w:rsidRPr="00F00DB2">
        <w:rPr>
          <w:lang w:val="en-GB"/>
        </w:rPr>
        <w:t>ed</w:t>
      </w:r>
      <w:r w:rsidR="002E43CA" w:rsidRPr="00F00DB2">
        <w:rPr>
          <w:lang w:val="en-GB"/>
        </w:rPr>
        <w:t xml:space="preserve"> the independence and impartiality of the tribunal</w:t>
      </w:r>
      <w:r w:rsidR="00946244" w:rsidRPr="00F00DB2">
        <w:rPr>
          <w:lang w:val="en-GB"/>
        </w:rPr>
        <w:t>; his right to adequate time and facilities to prepare his defence; and his right to be free from discrimination</w:t>
      </w:r>
      <w:r w:rsidR="00096624" w:rsidRPr="00F00DB2">
        <w:rPr>
          <w:lang w:val="en-GB"/>
        </w:rPr>
        <w:t>,</w:t>
      </w:r>
      <w:r w:rsidR="00813E40" w:rsidRPr="00F00DB2">
        <w:rPr>
          <w:lang w:val="en-GB"/>
        </w:rPr>
        <w:t xml:space="preserve"> in violation of article</w:t>
      </w:r>
      <w:r w:rsidR="00096624" w:rsidRPr="00F00DB2">
        <w:rPr>
          <w:lang w:val="en-GB"/>
        </w:rPr>
        <w:t>s</w:t>
      </w:r>
      <w:r w:rsidR="00813E40" w:rsidRPr="00F00DB2">
        <w:rPr>
          <w:lang w:val="en-GB"/>
        </w:rPr>
        <w:t xml:space="preserve"> 14</w:t>
      </w:r>
      <w:r w:rsidR="00096624" w:rsidRPr="00F00DB2">
        <w:rPr>
          <w:lang w:val="en-GB"/>
        </w:rPr>
        <w:t xml:space="preserve"> (</w:t>
      </w:r>
      <w:r w:rsidR="00813E40" w:rsidRPr="00F00DB2">
        <w:rPr>
          <w:lang w:val="en-GB"/>
        </w:rPr>
        <w:t>1</w:t>
      </w:r>
      <w:r w:rsidR="00096624" w:rsidRPr="00F00DB2">
        <w:rPr>
          <w:lang w:val="en-GB"/>
        </w:rPr>
        <w:t>)</w:t>
      </w:r>
      <w:r w:rsidR="00946244" w:rsidRPr="00F00DB2">
        <w:rPr>
          <w:lang w:val="en-GB"/>
        </w:rPr>
        <w:t xml:space="preserve"> </w:t>
      </w:r>
      <w:r w:rsidR="0034480E" w:rsidRPr="00F00DB2">
        <w:rPr>
          <w:lang w:val="en-GB"/>
        </w:rPr>
        <w:t>and</w:t>
      </w:r>
      <w:r w:rsidR="00946244" w:rsidRPr="00F00DB2">
        <w:rPr>
          <w:lang w:val="en-GB"/>
        </w:rPr>
        <w:t xml:space="preserve"> 26</w:t>
      </w:r>
      <w:r w:rsidR="00813E40" w:rsidRPr="00F00DB2">
        <w:rPr>
          <w:lang w:val="en-GB"/>
        </w:rPr>
        <w:t xml:space="preserve"> of the Covenant</w:t>
      </w:r>
      <w:r w:rsidR="002E43CA" w:rsidRPr="00F00DB2">
        <w:rPr>
          <w:lang w:val="en-GB"/>
        </w:rPr>
        <w:t>.</w:t>
      </w:r>
      <w:r w:rsidR="00913A0C" w:rsidRPr="00F00DB2">
        <w:rPr>
          <w:lang w:val="en-GB"/>
        </w:rPr>
        <w:t xml:space="preserve"> </w:t>
      </w:r>
    </w:p>
    <w:p w14:paraId="7CB74B7E" w14:textId="77777777" w:rsidR="0026721C" w:rsidRPr="00F00DB2" w:rsidRDefault="00975BCF" w:rsidP="0026721C">
      <w:pPr>
        <w:pStyle w:val="H4G"/>
      </w:pPr>
      <w:r w:rsidRPr="00F00DB2">
        <w:tab/>
      </w:r>
      <w:r w:rsidRPr="00F00DB2">
        <w:tab/>
      </w:r>
      <w:r w:rsidR="0026721C" w:rsidRPr="00F00DB2">
        <w:t xml:space="preserve">Right to defence and inability to examine witnesses </w:t>
      </w:r>
    </w:p>
    <w:p w14:paraId="1ED8191C" w14:textId="77777777" w:rsidR="0026721C" w:rsidRPr="00F00DB2" w:rsidRDefault="0026721C" w:rsidP="00096624">
      <w:pPr>
        <w:pStyle w:val="SingleTxtG"/>
        <w:rPr>
          <w:lang w:val="en-GB"/>
        </w:rPr>
      </w:pPr>
      <w:r w:rsidRPr="00F00DB2">
        <w:rPr>
          <w:lang w:val="en-GB"/>
        </w:rPr>
        <w:t>3.</w:t>
      </w:r>
      <w:r w:rsidR="00D13424" w:rsidRPr="00F00DB2">
        <w:rPr>
          <w:lang w:val="en-GB"/>
        </w:rPr>
        <w:t>4</w:t>
      </w:r>
      <w:r w:rsidRPr="00F00DB2">
        <w:rPr>
          <w:lang w:val="en-GB"/>
        </w:rPr>
        <w:tab/>
        <w:t>The author considers that the handling of his case by his first public defence lawyer</w:t>
      </w:r>
      <w:r w:rsidR="00281B63" w:rsidRPr="00F00DB2">
        <w:rPr>
          <w:lang w:val="en-GB"/>
        </w:rPr>
        <w:t xml:space="preserve"> </w:t>
      </w:r>
      <w:r w:rsidRPr="00F00DB2">
        <w:rPr>
          <w:lang w:val="en-GB"/>
        </w:rPr>
        <w:t xml:space="preserve">deprived him of his right to have adequate time and facilities for the preparation of his defence. In this connection, he argues that his trial counsel acted incompetently </w:t>
      </w:r>
      <w:r w:rsidR="00281B63" w:rsidRPr="00F00DB2">
        <w:rPr>
          <w:lang w:val="en-GB"/>
        </w:rPr>
        <w:t>because</w:t>
      </w:r>
      <w:r w:rsidR="00096624" w:rsidRPr="00F00DB2">
        <w:rPr>
          <w:lang w:val="en-GB"/>
        </w:rPr>
        <w:t>:</w:t>
      </w:r>
      <w:r w:rsidR="00281B63" w:rsidRPr="00F00DB2">
        <w:rPr>
          <w:lang w:val="en-GB"/>
        </w:rPr>
        <w:t xml:space="preserve"> (a)</w:t>
      </w:r>
      <w:r w:rsidRPr="00F00DB2">
        <w:rPr>
          <w:lang w:val="en-GB"/>
        </w:rPr>
        <w:t xml:space="preserve"> she </w:t>
      </w:r>
      <w:r w:rsidR="00096624" w:rsidRPr="00F00DB2">
        <w:rPr>
          <w:lang w:val="en-GB"/>
        </w:rPr>
        <w:t xml:space="preserve">had </w:t>
      </w:r>
      <w:r w:rsidRPr="00F00DB2">
        <w:rPr>
          <w:lang w:val="en-GB"/>
        </w:rPr>
        <w:t xml:space="preserve">only met with him for 40 minutes </w:t>
      </w:r>
      <w:r w:rsidR="00096624" w:rsidRPr="00F00DB2">
        <w:rPr>
          <w:lang w:val="en-GB"/>
        </w:rPr>
        <w:t xml:space="preserve">on </w:t>
      </w:r>
      <w:r w:rsidRPr="00F00DB2">
        <w:rPr>
          <w:lang w:val="en-GB"/>
        </w:rPr>
        <w:t>the day prior to his criminal trial</w:t>
      </w:r>
      <w:r w:rsidR="00281B63" w:rsidRPr="00F00DB2">
        <w:rPr>
          <w:lang w:val="en-GB"/>
        </w:rPr>
        <w:t xml:space="preserve">; (b) she </w:t>
      </w:r>
      <w:r w:rsidR="00096624" w:rsidRPr="00F00DB2">
        <w:rPr>
          <w:lang w:val="en-GB"/>
        </w:rPr>
        <w:t xml:space="preserve">had </w:t>
      </w:r>
      <w:r w:rsidR="00281B63" w:rsidRPr="00F00DB2">
        <w:rPr>
          <w:lang w:val="en-GB"/>
        </w:rPr>
        <w:t xml:space="preserve">failed to follow his instruction to call his two co-accused as witnesses in his defence; (c) she </w:t>
      </w:r>
      <w:r w:rsidR="00096624" w:rsidRPr="00F00DB2">
        <w:rPr>
          <w:lang w:val="en-GB"/>
        </w:rPr>
        <w:t xml:space="preserve">had </w:t>
      </w:r>
      <w:r w:rsidR="00281B63" w:rsidRPr="00F00DB2">
        <w:rPr>
          <w:lang w:val="en-GB"/>
        </w:rPr>
        <w:t xml:space="preserve">incorrectly told him </w:t>
      </w:r>
      <w:r w:rsidR="00096624" w:rsidRPr="00F00DB2">
        <w:rPr>
          <w:lang w:val="en-GB"/>
        </w:rPr>
        <w:t xml:space="preserve">that, </w:t>
      </w:r>
      <w:r w:rsidR="00281B63" w:rsidRPr="00F00DB2">
        <w:rPr>
          <w:lang w:val="en-GB"/>
        </w:rPr>
        <w:t xml:space="preserve">if the trial </w:t>
      </w:r>
      <w:r w:rsidR="00D652D9" w:rsidRPr="00F00DB2">
        <w:rPr>
          <w:lang w:val="en-GB"/>
        </w:rPr>
        <w:t>j</w:t>
      </w:r>
      <w:r w:rsidR="00281B63" w:rsidRPr="00F00DB2">
        <w:rPr>
          <w:lang w:val="en-GB"/>
        </w:rPr>
        <w:t xml:space="preserve">udge failed to give proper direction to the jury concerning dock identification then this would provide grounds for appeal; and (d) she </w:t>
      </w:r>
      <w:r w:rsidR="00096624" w:rsidRPr="00F00DB2">
        <w:rPr>
          <w:lang w:val="en-GB"/>
        </w:rPr>
        <w:t xml:space="preserve">had </w:t>
      </w:r>
      <w:r w:rsidR="00281B63" w:rsidRPr="00F00DB2">
        <w:rPr>
          <w:lang w:val="en-GB"/>
        </w:rPr>
        <w:t xml:space="preserve">failed to object to the size and composition of the jury panel and its method of selection, in that the jury </w:t>
      </w:r>
      <w:r w:rsidR="00096624" w:rsidRPr="00F00DB2">
        <w:rPr>
          <w:lang w:val="en-GB"/>
        </w:rPr>
        <w:t xml:space="preserve">had </w:t>
      </w:r>
      <w:r w:rsidR="00281B63" w:rsidRPr="00F00DB2">
        <w:rPr>
          <w:lang w:val="en-GB"/>
        </w:rPr>
        <w:t xml:space="preserve">not </w:t>
      </w:r>
      <w:r w:rsidR="00096624" w:rsidRPr="00F00DB2">
        <w:rPr>
          <w:lang w:val="en-GB"/>
        </w:rPr>
        <w:t xml:space="preserve">been </w:t>
      </w:r>
      <w:r w:rsidR="00281B63" w:rsidRPr="00F00DB2">
        <w:rPr>
          <w:lang w:val="en-GB"/>
        </w:rPr>
        <w:t>selected in the usual manner (see above). The author argues that such conduct and errors amount to a</w:t>
      </w:r>
      <w:r w:rsidRPr="00F00DB2">
        <w:rPr>
          <w:lang w:val="en-GB"/>
        </w:rPr>
        <w:t xml:space="preserve"> violation of article 14 </w:t>
      </w:r>
      <w:r w:rsidR="00096624" w:rsidRPr="00F00DB2">
        <w:rPr>
          <w:lang w:val="en-GB"/>
        </w:rPr>
        <w:t>(</w:t>
      </w:r>
      <w:r w:rsidRPr="00F00DB2">
        <w:rPr>
          <w:lang w:val="en-GB"/>
        </w:rPr>
        <w:t>3</w:t>
      </w:r>
      <w:r w:rsidR="00096624" w:rsidRPr="00F00DB2">
        <w:rPr>
          <w:lang w:val="en-GB"/>
        </w:rPr>
        <w:t>)</w:t>
      </w:r>
      <w:r w:rsidR="004B4333" w:rsidRPr="00F00DB2">
        <w:rPr>
          <w:lang w:val="en-GB"/>
        </w:rPr>
        <w:t xml:space="preserve"> (b)</w:t>
      </w:r>
      <w:r w:rsidR="00DB26E0" w:rsidRPr="00F00DB2">
        <w:rPr>
          <w:lang w:val="en-GB"/>
        </w:rPr>
        <w:t xml:space="preserve"> and (e)</w:t>
      </w:r>
      <w:r w:rsidRPr="00F00DB2">
        <w:rPr>
          <w:lang w:val="en-GB"/>
        </w:rPr>
        <w:t xml:space="preserve"> of the Covenant.</w:t>
      </w:r>
    </w:p>
    <w:p w14:paraId="63481638" w14:textId="77777777" w:rsidR="0026721C" w:rsidRPr="00F00DB2" w:rsidRDefault="0026721C" w:rsidP="00096624">
      <w:pPr>
        <w:pStyle w:val="SingleTxtG"/>
        <w:rPr>
          <w:lang w:val="en-GB"/>
        </w:rPr>
      </w:pPr>
      <w:r w:rsidRPr="00F00DB2">
        <w:rPr>
          <w:lang w:val="en-GB"/>
        </w:rPr>
        <w:t>3.</w:t>
      </w:r>
      <w:r w:rsidR="00D13424" w:rsidRPr="00F00DB2">
        <w:rPr>
          <w:lang w:val="en-GB"/>
        </w:rPr>
        <w:t>5</w:t>
      </w:r>
      <w:r w:rsidRPr="00F00DB2">
        <w:rPr>
          <w:lang w:val="en-GB"/>
        </w:rPr>
        <w:tab/>
        <w:t xml:space="preserve">He further considers that the denial of his right to legal aid by the Court of Appeal in an </w:t>
      </w:r>
      <w:r w:rsidRPr="00F00DB2">
        <w:rPr>
          <w:i/>
          <w:lang w:val="en-GB"/>
        </w:rPr>
        <w:t>ex parte</w:t>
      </w:r>
      <w:r w:rsidRPr="00F00DB2">
        <w:rPr>
          <w:lang w:val="en-GB"/>
        </w:rPr>
        <w:t xml:space="preserve"> decision amounts to a further violation of his right to defence under article 14 </w:t>
      </w:r>
      <w:r w:rsidR="00096624" w:rsidRPr="00F00DB2">
        <w:rPr>
          <w:lang w:val="en-GB"/>
        </w:rPr>
        <w:t>(</w:t>
      </w:r>
      <w:r w:rsidRPr="00F00DB2">
        <w:rPr>
          <w:lang w:val="en-GB"/>
        </w:rPr>
        <w:t>3</w:t>
      </w:r>
      <w:r w:rsidR="00096624" w:rsidRPr="00F00DB2">
        <w:rPr>
          <w:lang w:val="en-GB"/>
        </w:rPr>
        <w:t>)</w:t>
      </w:r>
      <w:r w:rsidRPr="00F00DB2">
        <w:rPr>
          <w:lang w:val="en-GB"/>
        </w:rPr>
        <w:t xml:space="preserve"> </w:t>
      </w:r>
      <w:r w:rsidR="004B4333" w:rsidRPr="00F00DB2">
        <w:rPr>
          <w:lang w:val="en-GB"/>
        </w:rPr>
        <w:t xml:space="preserve">(d) </w:t>
      </w:r>
      <w:r w:rsidRPr="00F00DB2">
        <w:rPr>
          <w:lang w:val="en-GB"/>
        </w:rPr>
        <w:t>of the Covenant</w:t>
      </w:r>
    </w:p>
    <w:p w14:paraId="5F895462" w14:textId="77777777" w:rsidR="00975BCF" w:rsidRPr="00F00DB2" w:rsidRDefault="0026721C" w:rsidP="00975BCF">
      <w:pPr>
        <w:pStyle w:val="H4G"/>
      </w:pPr>
      <w:r w:rsidRPr="00F00DB2">
        <w:tab/>
      </w:r>
      <w:r w:rsidRPr="00F00DB2">
        <w:tab/>
      </w:r>
      <w:r w:rsidR="008A1B33" w:rsidRPr="00F00DB2">
        <w:t>Presumption of innocence and j</w:t>
      </w:r>
      <w:r w:rsidR="00975BCF" w:rsidRPr="00F00DB2">
        <w:t>udicial bias</w:t>
      </w:r>
    </w:p>
    <w:p w14:paraId="32771EFA" w14:textId="77777777" w:rsidR="00FE7F24" w:rsidRPr="00E533B6" w:rsidRDefault="000C098C" w:rsidP="00332C91">
      <w:pPr>
        <w:pStyle w:val="H56G"/>
        <w:rPr>
          <w:i/>
          <w:iCs/>
          <w:u w:val="single"/>
        </w:rPr>
      </w:pPr>
      <w:r w:rsidRPr="00F00DB2">
        <w:tab/>
      </w:r>
      <w:r w:rsidR="00FE7F24" w:rsidRPr="00F00DB2">
        <w:tab/>
      </w:r>
      <w:r w:rsidR="00FE7F24" w:rsidRPr="00E533B6">
        <w:rPr>
          <w:i/>
          <w:iCs/>
        </w:rPr>
        <w:t xml:space="preserve">High Court </w:t>
      </w:r>
    </w:p>
    <w:p w14:paraId="1EEC1B76" w14:textId="77777777" w:rsidR="0026721C" w:rsidRPr="00F00DB2" w:rsidRDefault="001B38A5" w:rsidP="00315DEB">
      <w:pPr>
        <w:pStyle w:val="SingleTxtG"/>
        <w:rPr>
          <w:lang w:val="en-GB"/>
        </w:rPr>
      </w:pPr>
      <w:r w:rsidRPr="00F00DB2">
        <w:rPr>
          <w:lang w:val="en-GB"/>
        </w:rPr>
        <w:t>3.</w:t>
      </w:r>
      <w:r w:rsidR="00D13424" w:rsidRPr="00F00DB2">
        <w:rPr>
          <w:lang w:val="en-GB"/>
        </w:rPr>
        <w:t>6</w:t>
      </w:r>
      <w:r w:rsidRPr="00F00DB2">
        <w:rPr>
          <w:lang w:val="en-GB"/>
        </w:rPr>
        <w:tab/>
      </w:r>
      <w:r w:rsidR="0026721C" w:rsidRPr="00F00DB2">
        <w:rPr>
          <w:lang w:val="en-GB"/>
        </w:rPr>
        <w:t>The author contends that</w:t>
      </w:r>
      <w:r w:rsidR="008A5B5C" w:rsidRPr="00F00DB2">
        <w:rPr>
          <w:lang w:val="en-GB"/>
        </w:rPr>
        <w:t>,</w:t>
      </w:r>
      <w:r w:rsidR="0026721C" w:rsidRPr="00F00DB2">
        <w:rPr>
          <w:lang w:val="en-GB"/>
        </w:rPr>
        <w:t xml:space="preserve"> by associating him with the other two defendants in their guilty plea, the State party violated his right to presumption of innocence under article 14 </w:t>
      </w:r>
      <w:r w:rsidR="00315DEB" w:rsidRPr="00E533B6">
        <w:rPr>
          <w:lang w:val="en-GB"/>
        </w:rPr>
        <w:t>(</w:t>
      </w:r>
      <w:r w:rsidR="0026721C" w:rsidRPr="00E533B6">
        <w:rPr>
          <w:lang w:val="en-GB"/>
        </w:rPr>
        <w:t>2</w:t>
      </w:r>
      <w:r w:rsidR="00315DEB" w:rsidRPr="00E533B6">
        <w:rPr>
          <w:lang w:val="en-GB"/>
        </w:rPr>
        <w:t>)</w:t>
      </w:r>
      <w:r w:rsidR="0026721C" w:rsidRPr="00E533B6">
        <w:rPr>
          <w:lang w:val="en-GB"/>
        </w:rPr>
        <w:t>.</w:t>
      </w:r>
    </w:p>
    <w:p w14:paraId="62E65203" w14:textId="77777777" w:rsidR="0026721C" w:rsidRPr="00E533B6" w:rsidRDefault="000C098C" w:rsidP="00332C91">
      <w:pPr>
        <w:pStyle w:val="H56G"/>
        <w:rPr>
          <w:i/>
          <w:iCs/>
          <w:u w:val="single"/>
        </w:rPr>
      </w:pPr>
      <w:r w:rsidRPr="00F00DB2">
        <w:tab/>
      </w:r>
      <w:r w:rsidR="00FE7F24" w:rsidRPr="00F00DB2">
        <w:tab/>
      </w:r>
      <w:r w:rsidR="00FE7F24" w:rsidRPr="00E533B6">
        <w:rPr>
          <w:i/>
          <w:iCs/>
        </w:rPr>
        <w:t xml:space="preserve">Supreme Court </w:t>
      </w:r>
    </w:p>
    <w:p w14:paraId="38E51641" w14:textId="77777777" w:rsidR="00B573E8" w:rsidRPr="00F00DB2" w:rsidRDefault="00FE7F24" w:rsidP="00315DEB">
      <w:pPr>
        <w:pStyle w:val="SingleTxtG"/>
        <w:rPr>
          <w:lang w:val="en-GB"/>
        </w:rPr>
      </w:pPr>
      <w:r w:rsidRPr="00F00DB2">
        <w:rPr>
          <w:lang w:val="en-GB"/>
        </w:rPr>
        <w:t>3.</w:t>
      </w:r>
      <w:r w:rsidR="00D13424" w:rsidRPr="00F00DB2">
        <w:rPr>
          <w:lang w:val="en-GB"/>
        </w:rPr>
        <w:t>7</w:t>
      </w:r>
      <w:r w:rsidRPr="00F00DB2">
        <w:rPr>
          <w:lang w:val="en-GB"/>
        </w:rPr>
        <w:tab/>
      </w:r>
      <w:r w:rsidR="001B38A5" w:rsidRPr="00F00DB2">
        <w:rPr>
          <w:lang w:val="en-GB"/>
        </w:rPr>
        <w:t xml:space="preserve">The author </w:t>
      </w:r>
      <w:r w:rsidR="001B38A5" w:rsidRPr="00E533B6">
        <w:rPr>
          <w:lang w:val="en-GB"/>
        </w:rPr>
        <w:t xml:space="preserve">challenges the participation of </w:t>
      </w:r>
      <w:r w:rsidR="00315DEB" w:rsidRPr="00E533B6">
        <w:rPr>
          <w:lang w:val="en-GB"/>
        </w:rPr>
        <w:t xml:space="preserve">Judges </w:t>
      </w:r>
      <w:r w:rsidR="001B38A5" w:rsidRPr="00E533B6">
        <w:rPr>
          <w:lang w:val="en-GB"/>
        </w:rPr>
        <w:t xml:space="preserve">Tipping and </w:t>
      </w:r>
      <w:r w:rsidR="001B38A5" w:rsidRPr="00F00DB2">
        <w:rPr>
          <w:lang w:val="en-GB"/>
        </w:rPr>
        <w:t xml:space="preserve">Elias </w:t>
      </w:r>
      <w:r w:rsidR="001B38A5" w:rsidRPr="00E533B6">
        <w:rPr>
          <w:lang w:val="en-GB"/>
        </w:rPr>
        <w:t xml:space="preserve">in the Supreme Court decision of 1 March 2005, </w:t>
      </w:r>
      <w:r w:rsidR="007973F6" w:rsidRPr="00F00DB2">
        <w:rPr>
          <w:lang w:val="en-GB"/>
        </w:rPr>
        <w:t>because both</w:t>
      </w:r>
      <w:r w:rsidR="001B38A5" w:rsidRPr="00E533B6">
        <w:rPr>
          <w:lang w:val="en-GB"/>
        </w:rPr>
        <w:t xml:space="preserve"> </w:t>
      </w:r>
      <w:r w:rsidR="00315DEB" w:rsidRPr="00F00DB2">
        <w:rPr>
          <w:lang w:val="en-GB"/>
        </w:rPr>
        <w:t xml:space="preserve">had been </w:t>
      </w:r>
      <w:r w:rsidR="001B38A5" w:rsidRPr="00E533B6">
        <w:rPr>
          <w:lang w:val="en-GB"/>
        </w:rPr>
        <w:t xml:space="preserve">involved in parliamentary lobbying regarding the question of </w:t>
      </w:r>
      <w:r w:rsidR="001B38A5" w:rsidRPr="00E533B6">
        <w:rPr>
          <w:i/>
          <w:iCs/>
          <w:lang w:val="en-GB"/>
        </w:rPr>
        <w:t xml:space="preserve">ex parte </w:t>
      </w:r>
      <w:r w:rsidR="001B38A5" w:rsidRPr="00E533B6">
        <w:rPr>
          <w:lang w:val="en-GB"/>
        </w:rPr>
        <w:t xml:space="preserve">appeal decisions. As Supreme Court </w:t>
      </w:r>
      <w:r w:rsidR="00D652D9" w:rsidRPr="00E533B6">
        <w:rPr>
          <w:lang w:val="en-GB"/>
        </w:rPr>
        <w:t>j</w:t>
      </w:r>
      <w:r w:rsidR="001B38A5" w:rsidRPr="00E533B6">
        <w:rPr>
          <w:lang w:val="en-GB"/>
        </w:rPr>
        <w:t>udges did not disclose their involvement in the lobbying, full recusal applications could not be made. The Supreme Court rejected the author’s allegations related to bias, on the ground</w:t>
      </w:r>
      <w:r w:rsidR="00315DEB" w:rsidRPr="00E533B6">
        <w:rPr>
          <w:lang w:val="en-GB"/>
        </w:rPr>
        <w:t>s</w:t>
      </w:r>
      <w:r w:rsidR="001B38A5" w:rsidRPr="00E533B6">
        <w:rPr>
          <w:lang w:val="en-GB"/>
        </w:rPr>
        <w:t xml:space="preserve"> that there </w:t>
      </w:r>
      <w:r w:rsidR="00315DEB" w:rsidRPr="00E533B6">
        <w:rPr>
          <w:lang w:val="en-GB"/>
        </w:rPr>
        <w:t xml:space="preserve">had been </w:t>
      </w:r>
      <w:r w:rsidR="001B38A5" w:rsidRPr="00E533B6">
        <w:rPr>
          <w:lang w:val="en-GB"/>
        </w:rPr>
        <w:t xml:space="preserve">no objective and real ground for questioning the ability of </w:t>
      </w:r>
      <w:r w:rsidR="00C86632" w:rsidRPr="00F00DB2">
        <w:rPr>
          <w:lang w:val="en-GB"/>
        </w:rPr>
        <w:t>the j</w:t>
      </w:r>
      <w:r w:rsidR="001B38A5" w:rsidRPr="00E533B6">
        <w:rPr>
          <w:lang w:val="en-GB"/>
        </w:rPr>
        <w:t xml:space="preserve">udges to hear the case. The author argues that any judge who had stated that there was no miscarriage of justice in the </w:t>
      </w:r>
      <w:r w:rsidR="001B38A5" w:rsidRPr="00E533B6">
        <w:rPr>
          <w:i/>
          <w:iCs/>
          <w:lang w:val="en-GB"/>
        </w:rPr>
        <w:t>Taito</w:t>
      </w:r>
      <w:r w:rsidR="001B38A5" w:rsidRPr="00F00DB2">
        <w:rPr>
          <w:lang w:val="en-GB"/>
        </w:rPr>
        <w:t xml:space="preserve"> cases, or </w:t>
      </w:r>
      <w:r w:rsidR="00315DEB" w:rsidRPr="00F00DB2">
        <w:rPr>
          <w:lang w:val="en-GB"/>
        </w:rPr>
        <w:t xml:space="preserve">had </w:t>
      </w:r>
      <w:r w:rsidR="001B38A5" w:rsidRPr="00F00DB2">
        <w:rPr>
          <w:lang w:val="en-GB"/>
        </w:rPr>
        <w:t>associated him or herself with that proposition, shoul</w:t>
      </w:r>
      <w:r w:rsidR="009D3ADB" w:rsidRPr="00F00DB2">
        <w:rPr>
          <w:lang w:val="en-GB"/>
        </w:rPr>
        <w:t xml:space="preserve">d have recused him or herself. </w:t>
      </w:r>
      <w:r w:rsidR="001B38A5" w:rsidRPr="00F00DB2">
        <w:rPr>
          <w:lang w:val="en-GB"/>
        </w:rPr>
        <w:t xml:space="preserve">He therefore considers that the participation of </w:t>
      </w:r>
      <w:r w:rsidR="00315DEB" w:rsidRPr="00E533B6">
        <w:rPr>
          <w:lang w:val="en-GB"/>
        </w:rPr>
        <w:t xml:space="preserve">Judges </w:t>
      </w:r>
      <w:r w:rsidR="001B38A5" w:rsidRPr="00E533B6">
        <w:rPr>
          <w:lang w:val="en-GB"/>
        </w:rPr>
        <w:t xml:space="preserve">Tipping and </w:t>
      </w:r>
      <w:r w:rsidR="001B38A5" w:rsidRPr="00F00DB2">
        <w:rPr>
          <w:lang w:val="en-GB"/>
        </w:rPr>
        <w:t xml:space="preserve">Elias </w:t>
      </w:r>
      <w:r w:rsidR="00B573E8" w:rsidRPr="00F00DB2">
        <w:rPr>
          <w:lang w:val="en-GB"/>
        </w:rPr>
        <w:t>in the decision</w:t>
      </w:r>
      <w:r w:rsidR="001B38A5" w:rsidRPr="00F00DB2">
        <w:rPr>
          <w:lang w:val="en-GB"/>
        </w:rPr>
        <w:t xml:space="preserve"> </w:t>
      </w:r>
      <w:r w:rsidR="00315DEB" w:rsidRPr="00F00DB2">
        <w:rPr>
          <w:lang w:val="en-GB"/>
        </w:rPr>
        <w:t xml:space="preserve">of the Supreme Court </w:t>
      </w:r>
      <w:r w:rsidR="001B38A5" w:rsidRPr="00F00DB2">
        <w:rPr>
          <w:lang w:val="en-GB"/>
        </w:rPr>
        <w:t xml:space="preserve">destroyed any appearance of judicial independence and impartiality, in violation of article 14 </w:t>
      </w:r>
      <w:r w:rsidR="00315DEB" w:rsidRPr="00F00DB2">
        <w:rPr>
          <w:lang w:val="en-GB"/>
        </w:rPr>
        <w:t>(</w:t>
      </w:r>
      <w:r w:rsidR="001B38A5" w:rsidRPr="00F00DB2">
        <w:rPr>
          <w:lang w:val="en-GB"/>
        </w:rPr>
        <w:t>1</w:t>
      </w:r>
      <w:r w:rsidR="00315DEB" w:rsidRPr="00F00DB2">
        <w:rPr>
          <w:lang w:val="en-GB"/>
        </w:rPr>
        <w:t>)</w:t>
      </w:r>
      <w:r w:rsidR="001B38A5" w:rsidRPr="00F00DB2">
        <w:rPr>
          <w:lang w:val="en-GB"/>
        </w:rPr>
        <w:t xml:space="preserve"> and </w:t>
      </w:r>
      <w:r w:rsidR="00315DEB" w:rsidRPr="00F00DB2">
        <w:rPr>
          <w:lang w:val="en-GB"/>
        </w:rPr>
        <w:t>(</w:t>
      </w:r>
      <w:r w:rsidR="001B38A5" w:rsidRPr="00F00DB2">
        <w:rPr>
          <w:lang w:val="en-GB"/>
        </w:rPr>
        <w:t>3</w:t>
      </w:r>
      <w:r w:rsidR="00315DEB" w:rsidRPr="00F00DB2">
        <w:rPr>
          <w:lang w:val="en-GB"/>
        </w:rPr>
        <w:t>)</w:t>
      </w:r>
      <w:r w:rsidR="001B38A5" w:rsidRPr="00F00DB2">
        <w:rPr>
          <w:lang w:val="en-GB"/>
        </w:rPr>
        <w:t xml:space="preserve"> (</w:t>
      </w:r>
      <w:r w:rsidR="00260343" w:rsidRPr="00F00DB2">
        <w:rPr>
          <w:lang w:val="en-GB"/>
        </w:rPr>
        <w:t>e</w:t>
      </w:r>
      <w:r w:rsidR="001B38A5" w:rsidRPr="00F00DB2">
        <w:rPr>
          <w:lang w:val="en-GB"/>
        </w:rPr>
        <w:t>) of the Covenant.</w:t>
      </w:r>
      <w:r w:rsidR="00F4310F" w:rsidRPr="00F00DB2">
        <w:rPr>
          <w:lang w:val="en-GB"/>
        </w:rPr>
        <w:t xml:space="preserve"> </w:t>
      </w:r>
    </w:p>
    <w:p w14:paraId="47939B4C" w14:textId="77777777" w:rsidR="00FE297F" w:rsidRPr="00F00DB2" w:rsidRDefault="00FE297F" w:rsidP="00FE297F">
      <w:pPr>
        <w:pStyle w:val="H4G"/>
      </w:pPr>
      <w:r w:rsidRPr="00F00DB2">
        <w:tab/>
      </w:r>
      <w:r w:rsidRPr="00F00DB2">
        <w:tab/>
        <w:t>Right to review sentence and conviction by a higher tribunal</w:t>
      </w:r>
    </w:p>
    <w:p w14:paraId="04B98ABB" w14:textId="77777777" w:rsidR="00FE297F" w:rsidRPr="00F00DB2" w:rsidRDefault="00FE297F" w:rsidP="0043594D">
      <w:pPr>
        <w:pStyle w:val="SingleTxtG"/>
        <w:rPr>
          <w:lang w:val="en-GB"/>
        </w:rPr>
      </w:pPr>
      <w:r w:rsidRPr="00F00DB2">
        <w:rPr>
          <w:lang w:val="en-GB"/>
        </w:rPr>
        <w:t>3.</w:t>
      </w:r>
      <w:r w:rsidR="00D13424" w:rsidRPr="00F00DB2">
        <w:rPr>
          <w:lang w:val="en-GB"/>
        </w:rPr>
        <w:t>8</w:t>
      </w:r>
      <w:r w:rsidRPr="00F00DB2">
        <w:rPr>
          <w:lang w:val="en-GB"/>
        </w:rPr>
        <w:tab/>
        <w:t>The author argues that</w:t>
      </w:r>
      <w:r w:rsidR="00315DEB" w:rsidRPr="00E533B6">
        <w:rPr>
          <w:lang w:val="en-GB"/>
        </w:rPr>
        <w:t>,</w:t>
      </w:r>
      <w:r w:rsidRPr="00E533B6">
        <w:rPr>
          <w:lang w:val="en-GB"/>
        </w:rPr>
        <w:t xml:space="preserve"> </w:t>
      </w:r>
      <w:r w:rsidR="007A5450" w:rsidRPr="00F00DB2">
        <w:rPr>
          <w:lang w:val="en-GB"/>
        </w:rPr>
        <w:t xml:space="preserve">despite his counsel’s repeated requests, the Court </w:t>
      </w:r>
      <w:r w:rsidR="00315DEB" w:rsidRPr="00F00DB2">
        <w:rPr>
          <w:lang w:val="en-GB"/>
        </w:rPr>
        <w:t xml:space="preserve">was </w:t>
      </w:r>
      <w:r w:rsidR="007A5450" w:rsidRPr="00F00DB2">
        <w:rPr>
          <w:lang w:val="en-GB"/>
        </w:rPr>
        <w:t xml:space="preserve">unable to provide him with the </w:t>
      </w:r>
      <w:r w:rsidR="00D652D9" w:rsidRPr="00F00DB2">
        <w:rPr>
          <w:lang w:val="en-GB"/>
        </w:rPr>
        <w:t>t</w:t>
      </w:r>
      <w:r w:rsidR="007A5450" w:rsidRPr="00F00DB2">
        <w:rPr>
          <w:lang w:val="en-GB"/>
        </w:rPr>
        <w:t xml:space="preserve">rial </w:t>
      </w:r>
      <w:r w:rsidR="00D652D9" w:rsidRPr="00F00DB2">
        <w:rPr>
          <w:lang w:val="en-GB"/>
        </w:rPr>
        <w:t>j</w:t>
      </w:r>
      <w:r w:rsidR="007A5450" w:rsidRPr="00F00DB2">
        <w:rPr>
          <w:lang w:val="en-GB"/>
        </w:rPr>
        <w:t>udge’s summing</w:t>
      </w:r>
      <w:r w:rsidR="00D652D9" w:rsidRPr="00F00DB2">
        <w:rPr>
          <w:lang w:val="en-GB"/>
        </w:rPr>
        <w:t>-</w:t>
      </w:r>
      <w:r w:rsidR="007A5450" w:rsidRPr="00F00DB2">
        <w:rPr>
          <w:lang w:val="en-GB"/>
        </w:rPr>
        <w:t xml:space="preserve">up. He assumes that the </w:t>
      </w:r>
      <w:r w:rsidR="00D652D9" w:rsidRPr="00F00DB2">
        <w:rPr>
          <w:lang w:val="en-GB"/>
        </w:rPr>
        <w:t>t</w:t>
      </w:r>
      <w:r w:rsidR="007A5450" w:rsidRPr="00F00DB2">
        <w:rPr>
          <w:lang w:val="en-GB"/>
        </w:rPr>
        <w:t xml:space="preserve">rial </w:t>
      </w:r>
      <w:r w:rsidR="00D652D9" w:rsidRPr="00F00DB2">
        <w:rPr>
          <w:lang w:val="en-GB"/>
        </w:rPr>
        <w:t>j</w:t>
      </w:r>
      <w:r w:rsidR="007A5450" w:rsidRPr="00F00DB2">
        <w:rPr>
          <w:lang w:val="en-GB"/>
        </w:rPr>
        <w:t>u</w:t>
      </w:r>
      <w:r w:rsidR="00D81170" w:rsidRPr="00F00DB2">
        <w:rPr>
          <w:lang w:val="en-GB"/>
        </w:rPr>
        <w:t>d</w:t>
      </w:r>
      <w:r w:rsidR="007A5450" w:rsidRPr="00F00DB2">
        <w:rPr>
          <w:lang w:val="en-GB"/>
        </w:rPr>
        <w:t>ge’s summing</w:t>
      </w:r>
      <w:r w:rsidR="00D652D9" w:rsidRPr="00F00DB2">
        <w:rPr>
          <w:lang w:val="en-GB"/>
        </w:rPr>
        <w:t>-</w:t>
      </w:r>
      <w:r w:rsidR="007A5450" w:rsidRPr="00F00DB2">
        <w:rPr>
          <w:lang w:val="en-GB"/>
        </w:rPr>
        <w:t xml:space="preserve">up was never transcribed and </w:t>
      </w:r>
      <w:r w:rsidR="00315DEB" w:rsidRPr="00F00DB2">
        <w:rPr>
          <w:lang w:val="en-GB"/>
        </w:rPr>
        <w:t xml:space="preserve">was therefore </w:t>
      </w:r>
      <w:r w:rsidR="007A5450" w:rsidRPr="00F00DB2">
        <w:rPr>
          <w:lang w:val="en-GB"/>
        </w:rPr>
        <w:t xml:space="preserve">lost. He considers that the failure </w:t>
      </w:r>
      <w:r w:rsidR="00315DEB" w:rsidRPr="00F00DB2">
        <w:rPr>
          <w:lang w:val="en-GB"/>
        </w:rPr>
        <w:t xml:space="preserve">of the High Court </w:t>
      </w:r>
      <w:r w:rsidR="007A5450" w:rsidRPr="00F00DB2">
        <w:rPr>
          <w:lang w:val="en-GB"/>
        </w:rPr>
        <w:t>to transcribe the summing</w:t>
      </w:r>
      <w:r w:rsidR="00D652D9" w:rsidRPr="00F00DB2">
        <w:rPr>
          <w:lang w:val="en-GB"/>
        </w:rPr>
        <w:t>-</w:t>
      </w:r>
      <w:r w:rsidR="007A5450" w:rsidRPr="00F00DB2">
        <w:rPr>
          <w:lang w:val="en-GB"/>
        </w:rPr>
        <w:t xml:space="preserve">up denied him his right to a fair hearing in respect of his 1996 appeal and caused further unfairness in violation of his rights under article </w:t>
      </w:r>
      <w:r w:rsidR="00315DEB" w:rsidRPr="00F00DB2">
        <w:rPr>
          <w:lang w:val="en-GB"/>
        </w:rPr>
        <w:t>14 (1) and (5)</w:t>
      </w:r>
      <w:r w:rsidRPr="00F00DB2">
        <w:rPr>
          <w:lang w:val="en-GB"/>
        </w:rPr>
        <w:t xml:space="preserve"> of the Covenant.</w:t>
      </w:r>
      <w:r w:rsidR="002F65E8" w:rsidRPr="00F00DB2">
        <w:rPr>
          <w:lang w:val="en-GB"/>
        </w:rPr>
        <w:t xml:space="preserve"> In this connection, </w:t>
      </w:r>
      <w:r w:rsidR="006A4927" w:rsidRPr="00F00DB2">
        <w:rPr>
          <w:lang w:val="en-GB"/>
        </w:rPr>
        <w:t xml:space="preserve">the author </w:t>
      </w:r>
      <w:r w:rsidR="002F65E8" w:rsidRPr="00F00DB2">
        <w:rPr>
          <w:lang w:val="en-GB"/>
        </w:rPr>
        <w:t>argues that the lack of summing</w:t>
      </w:r>
      <w:r w:rsidR="00D652D9" w:rsidRPr="00F00DB2">
        <w:rPr>
          <w:lang w:val="en-GB"/>
        </w:rPr>
        <w:t>-</w:t>
      </w:r>
      <w:r w:rsidR="002F65E8" w:rsidRPr="00F00DB2">
        <w:rPr>
          <w:lang w:val="en-GB"/>
        </w:rPr>
        <w:t xml:space="preserve">up </w:t>
      </w:r>
      <w:r w:rsidR="00315DEB" w:rsidRPr="00F00DB2">
        <w:rPr>
          <w:lang w:val="en-GB"/>
        </w:rPr>
        <w:t xml:space="preserve">made it impossible to </w:t>
      </w:r>
      <w:r w:rsidR="006A4927" w:rsidRPr="00F00DB2">
        <w:rPr>
          <w:lang w:val="en-GB"/>
        </w:rPr>
        <w:t xml:space="preserve">verify </w:t>
      </w:r>
      <w:r w:rsidR="002F65E8" w:rsidRPr="00F00DB2">
        <w:rPr>
          <w:lang w:val="en-GB"/>
        </w:rPr>
        <w:t xml:space="preserve">the assumption </w:t>
      </w:r>
      <w:r w:rsidR="00315DEB" w:rsidRPr="00F00DB2">
        <w:rPr>
          <w:lang w:val="en-GB"/>
        </w:rPr>
        <w:t xml:space="preserve">of the Court of Appeal </w:t>
      </w:r>
      <w:r w:rsidR="002F65E8" w:rsidRPr="00F00DB2">
        <w:rPr>
          <w:lang w:val="en-GB"/>
        </w:rPr>
        <w:t xml:space="preserve">that the </w:t>
      </w:r>
      <w:r w:rsidR="00D652D9" w:rsidRPr="00F00DB2">
        <w:rPr>
          <w:lang w:val="en-GB"/>
        </w:rPr>
        <w:t>j</w:t>
      </w:r>
      <w:r w:rsidR="002F65E8" w:rsidRPr="00F00DB2">
        <w:rPr>
          <w:lang w:val="en-GB"/>
        </w:rPr>
        <w:t xml:space="preserve">udge </w:t>
      </w:r>
      <w:r w:rsidR="00315DEB" w:rsidRPr="00F00DB2">
        <w:rPr>
          <w:lang w:val="en-GB"/>
        </w:rPr>
        <w:t xml:space="preserve">had </w:t>
      </w:r>
      <w:r w:rsidR="002F65E8" w:rsidRPr="00F00DB2">
        <w:rPr>
          <w:lang w:val="en-GB"/>
        </w:rPr>
        <w:t xml:space="preserve">properly directed the </w:t>
      </w:r>
      <w:r w:rsidR="00315DEB" w:rsidRPr="00F00DB2">
        <w:rPr>
          <w:lang w:val="en-GB"/>
        </w:rPr>
        <w:t>j</w:t>
      </w:r>
      <w:r w:rsidR="002F65E8" w:rsidRPr="00F00DB2">
        <w:rPr>
          <w:lang w:val="en-GB"/>
        </w:rPr>
        <w:t>ury by giving a special direction in respect of the dock identification</w:t>
      </w:r>
      <w:r w:rsidR="006A4927" w:rsidRPr="00F00DB2">
        <w:rPr>
          <w:lang w:val="en-GB"/>
        </w:rPr>
        <w:t>. He considers that</w:t>
      </w:r>
      <w:r w:rsidR="00315DEB" w:rsidRPr="00F00DB2">
        <w:rPr>
          <w:lang w:val="en-GB"/>
        </w:rPr>
        <w:t>,</w:t>
      </w:r>
      <w:r w:rsidR="002F65E8" w:rsidRPr="00F00DB2">
        <w:rPr>
          <w:lang w:val="en-GB"/>
        </w:rPr>
        <w:t xml:space="preserve"> before such a level of uncertainty, </w:t>
      </w:r>
      <w:r w:rsidR="006A4927" w:rsidRPr="00F00DB2">
        <w:rPr>
          <w:lang w:val="en-GB"/>
        </w:rPr>
        <w:t>he</w:t>
      </w:r>
      <w:r w:rsidR="002F65E8" w:rsidRPr="00F00DB2">
        <w:rPr>
          <w:lang w:val="en-GB"/>
        </w:rPr>
        <w:t xml:space="preserve"> should have been given the benefit of the doubt. </w:t>
      </w:r>
      <w:r w:rsidR="00344BA9" w:rsidRPr="00F00DB2">
        <w:rPr>
          <w:lang w:val="en-GB"/>
        </w:rPr>
        <w:t>The author</w:t>
      </w:r>
      <w:r w:rsidR="006A4927" w:rsidRPr="00F00DB2">
        <w:rPr>
          <w:lang w:val="en-GB"/>
        </w:rPr>
        <w:t xml:space="preserve"> further</w:t>
      </w:r>
      <w:r w:rsidR="00344BA9" w:rsidRPr="00F00DB2">
        <w:rPr>
          <w:lang w:val="en-GB"/>
        </w:rPr>
        <w:t xml:space="preserve"> refers to the judg</w:t>
      </w:r>
      <w:r w:rsidR="002A31B6" w:rsidRPr="00F00DB2">
        <w:rPr>
          <w:lang w:val="en-GB"/>
        </w:rPr>
        <w:t>e</w:t>
      </w:r>
      <w:r w:rsidR="00344BA9" w:rsidRPr="00F00DB2">
        <w:rPr>
          <w:lang w:val="en-GB"/>
        </w:rPr>
        <w:t>ment of the Court of Appeal in which the Court recognized that “it is not satisfactory that we should have to determine the appeal in the absence of a transcript of the summing</w:t>
      </w:r>
      <w:r w:rsidR="00D652D9" w:rsidRPr="00F00DB2">
        <w:rPr>
          <w:lang w:val="en-GB"/>
        </w:rPr>
        <w:t>-</w:t>
      </w:r>
      <w:r w:rsidR="00344BA9" w:rsidRPr="00F00DB2">
        <w:rPr>
          <w:lang w:val="en-GB"/>
        </w:rPr>
        <w:t xml:space="preserve">up. … </w:t>
      </w:r>
      <w:r w:rsidR="00532186" w:rsidRPr="00F00DB2">
        <w:rPr>
          <w:lang w:val="en-GB"/>
        </w:rPr>
        <w:t>It is also unfortunate that [the trial counsel</w:t>
      </w:r>
      <w:r w:rsidR="0043594D" w:rsidRPr="00F00DB2">
        <w:rPr>
          <w:lang w:val="en-GB"/>
        </w:rPr>
        <w:t>’s</w:t>
      </w:r>
      <w:r w:rsidR="00532186" w:rsidRPr="00F00DB2">
        <w:rPr>
          <w:lang w:val="en-GB"/>
        </w:rPr>
        <w:t>] file is no longer available.</w:t>
      </w:r>
      <w:r w:rsidR="00532186" w:rsidRPr="00F00DB2">
        <w:rPr>
          <w:rStyle w:val="FootnoteReference"/>
          <w:lang w:val="en-GB"/>
        </w:rPr>
        <w:footnoteReference w:id="7"/>
      </w:r>
      <w:r w:rsidR="00532186" w:rsidRPr="00F00DB2">
        <w:rPr>
          <w:lang w:val="en-GB"/>
        </w:rPr>
        <w:t xml:space="preserve"> She and the appellant would each appear to blame the other for its loss. … The party most likely to have been prejudiced by the unavailability of material, which would normally be available on appeal, is the appellant; this is because his appeal must be dismissed unless he can persuade us that there was a miscarriage of justice”.</w:t>
      </w:r>
      <w:r w:rsidR="00532186" w:rsidRPr="00F00DB2">
        <w:rPr>
          <w:rStyle w:val="FootnoteReference"/>
          <w:lang w:val="en-GB"/>
        </w:rPr>
        <w:footnoteReference w:id="8"/>
      </w:r>
      <w:r w:rsidR="00532186" w:rsidRPr="00F00DB2">
        <w:rPr>
          <w:lang w:val="en-GB"/>
        </w:rPr>
        <w:t xml:space="preserve"> The Court of Appeal concluded that there was “no real likelihood” of a procedural error of significance or miscarriage of justice. The author considers that</w:t>
      </w:r>
      <w:r w:rsidR="0043594D" w:rsidRPr="00F00DB2">
        <w:rPr>
          <w:lang w:val="en-GB"/>
        </w:rPr>
        <w:t>,</w:t>
      </w:r>
      <w:r w:rsidR="00532186" w:rsidRPr="00F00DB2">
        <w:rPr>
          <w:lang w:val="en-GB"/>
        </w:rPr>
        <w:t xml:space="preserve"> instead of having applied a miscarriage of justice test, the Court should instead have assessed the prejudice he had suffered.</w:t>
      </w:r>
      <w:r w:rsidR="00913A0C" w:rsidRPr="00F00DB2">
        <w:rPr>
          <w:lang w:val="en-GB"/>
        </w:rPr>
        <w:t xml:space="preserve"> </w:t>
      </w:r>
    </w:p>
    <w:p w14:paraId="5D0BCC6C" w14:textId="77777777" w:rsidR="00BE7E57" w:rsidRPr="00F00DB2" w:rsidRDefault="00FE297F">
      <w:pPr>
        <w:pStyle w:val="SingleTxtG"/>
        <w:rPr>
          <w:lang w:val="en-GB"/>
        </w:rPr>
      </w:pPr>
      <w:r w:rsidRPr="00F00DB2">
        <w:rPr>
          <w:lang w:val="en-GB"/>
        </w:rPr>
        <w:t>3.</w:t>
      </w:r>
      <w:r w:rsidR="00D13424" w:rsidRPr="00F00DB2">
        <w:rPr>
          <w:lang w:val="en-GB"/>
        </w:rPr>
        <w:t>9</w:t>
      </w:r>
      <w:r w:rsidRPr="00F00DB2">
        <w:rPr>
          <w:lang w:val="en-GB"/>
        </w:rPr>
        <w:tab/>
        <w:t>He further argues that he was denied his right to review of his conviction by a higher tribunal according to the law, in breach of article</w:t>
      </w:r>
      <w:r w:rsidR="004A64B8" w:rsidRPr="00E533B6">
        <w:rPr>
          <w:lang w:val="en-GB"/>
        </w:rPr>
        <w:t>s</w:t>
      </w:r>
      <w:r w:rsidRPr="00E533B6">
        <w:rPr>
          <w:lang w:val="en-GB"/>
        </w:rPr>
        <w:t xml:space="preserve"> 14</w:t>
      </w:r>
      <w:r w:rsidR="004A64B8" w:rsidRPr="00E533B6">
        <w:rPr>
          <w:lang w:val="en-GB"/>
        </w:rPr>
        <w:t xml:space="preserve"> (3)</w:t>
      </w:r>
      <w:r w:rsidRPr="00E533B6">
        <w:rPr>
          <w:lang w:val="en-GB"/>
        </w:rPr>
        <w:t xml:space="preserve"> (d) </w:t>
      </w:r>
      <w:r w:rsidR="004A64B8" w:rsidRPr="00E533B6">
        <w:rPr>
          <w:lang w:val="en-GB"/>
        </w:rPr>
        <w:t xml:space="preserve">and </w:t>
      </w:r>
      <w:r w:rsidRPr="00E533B6">
        <w:rPr>
          <w:lang w:val="en-GB"/>
        </w:rPr>
        <w:t>(e)</w:t>
      </w:r>
      <w:r w:rsidR="004A64B8" w:rsidRPr="00E533B6">
        <w:rPr>
          <w:lang w:val="en-GB"/>
        </w:rPr>
        <w:t>;</w:t>
      </w:r>
      <w:r w:rsidRPr="00E533B6">
        <w:rPr>
          <w:lang w:val="en-GB"/>
        </w:rPr>
        <w:t xml:space="preserve"> </w:t>
      </w:r>
      <w:r w:rsidR="00445C4D" w:rsidRPr="00F00DB2">
        <w:rPr>
          <w:lang w:val="en-GB"/>
        </w:rPr>
        <w:t>14</w:t>
      </w:r>
      <w:r w:rsidRPr="00E533B6">
        <w:rPr>
          <w:lang w:val="en-GB"/>
        </w:rPr>
        <w:t xml:space="preserve"> </w:t>
      </w:r>
      <w:r w:rsidR="004A64B8" w:rsidRPr="00E533B6">
        <w:rPr>
          <w:lang w:val="en-GB"/>
        </w:rPr>
        <w:t>(</w:t>
      </w:r>
      <w:r w:rsidRPr="00E533B6">
        <w:rPr>
          <w:lang w:val="en-GB"/>
        </w:rPr>
        <w:t>5</w:t>
      </w:r>
      <w:r w:rsidR="004A64B8" w:rsidRPr="00E533B6">
        <w:rPr>
          <w:lang w:val="en-GB"/>
        </w:rPr>
        <w:t>)</w:t>
      </w:r>
      <w:r w:rsidR="004A64B8" w:rsidRPr="00F00DB2">
        <w:rPr>
          <w:lang w:val="en-GB"/>
        </w:rPr>
        <w:t>;</w:t>
      </w:r>
      <w:r w:rsidRPr="00E533B6">
        <w:rPr>
          <w:lang w:val="en-GB"/>
        </w:rPr>
        <w:t xml:space="preserve"> and 26 of the Covenant</w:t>
      </w:r>
      <w:r w:rsidR="004A64B8" w:rsidRPr="00E533B6">
        <w:rPr>
          <w:lang w:val="en-GB"/>
        </w:rPr>
        <w:t>,</w:t>
      </w:r>
      <w:r w:rsidRPr="00E533B6">
        <w:rPr>
          <w:lang w:val="en-GB"/>
        </w:rPr>
        <w:t xml:space="preserve"> when his appeal was declined </w:t>
      </w:r>
      <w:r w:rsidRPr="00E533B6">
        <w:rPr>
          <w:i/>
          <w:iCs/>
          <w:lang w:val="en-GB"/>
        </w:rPr>
        <w:t xml:space="preserve">ex parte, </w:t>
      </w:r>
      <w:r w:rsidRPr="00E533B6">
        <w:rPr>
          <w:lang w:val="en-GB"/>
        </w:rPr>
        <w:t>without hearing, by the Court of Appeal.</w:t>
      </w:r>
    </w:p>
    <w:p w14:paraId="28AE36AF" w14:textId="77777777" w:rsidR="00FE7F24" w:rsidRPr="00F00DB2" w:rsidRDefault="00FE7F24">
      <w:pPr>
        <w:pStyle w:val="SingleTxtG"/>
        <w:rPr>
          <w:lang w:val="en-GB"/>
        </w:rPr>
      </w:pPr>
      <w:r w:rsidRPr="00F00DB2">
        <w:rPr>
          <w:lang w:val="en-GB"/>
        </w:rPr>
        <w:t>3.</w:t>
      </w:r>
      <w:r w:rsidR="00D13424" w:rsidRPr="00F00DB2">
        <w:rPr>
          <w:lang w:val="en-GB"/>
        </w:rPr>
        <w:t>10</w:t>
      </w:r>
      <w:r w:rsidR="000C098C" w:rsidRPr="00F00DB2">
        <w:rPr>
          <w:lang w:val="en-GB"/>
        </w:rPr>
        <w:tab/>
      </w:r>
      <w:r w:rsidRPr="00F00DB2">
        <w:rPr>
          <w:lang w:val="en-GB"/>
        </w:rPr>
        <w:t xml:space="preserve">The author further contends that the decision </w:t>
      </w:r>
      <w:r w:rsidR="004A64B8" w:rsidRPr="00F00DB2">
        <w:rPr>
          <w:lang w:val="en-GB"/>
        </w:rPr>
        <w:t xml:space="preserve">of the Court of Appeal </w:t>
      </w:r>
      <w:r w:rsidRPr="00F00DB2">
        <w:rPr>
          <w:lang w:val="en-GB"/>
        </w:rPr>
        <w:t xml:space="preserve">of 1 March 2005 was unsubstantiated, and that the </w:t>
      </w:r>
      <w:r w:rsidR="009D3ADB" w:rsidRPr="00F00DB2">
        <w:rPr>
          <w:lang w:val="en-GB"/>
        </w:rPr>
        <w:t>Court of Appeal</w:t>
      </w:r>
      <w:r w:rsidRPr="00F00DB2">
        <w:rPr>
          <w:lang w:val="en-GB"/>
        </w:rPr>
        <w:t xml:space="preserve"> failed to carry a proper review of his case</w:t>
      </w:r>
      <w:r w:rsidR="004A64B8" w:rsidRPr="00F00DB2">
        <w:rPr>
          <w:lang w:val="en-GB"/>
        </w:rPr>
        <w:t>,</w:t>
      </w:r>
      <w:r w:rsidRPr="00F00DB2">
        <w:rPr>
          <w:lang w:val="en-GB"/>
        </w:rPr>
        <w:t xml:space="preserve"> in violation of article 14 </w:t>
      </w:r>
      <w:r w:rsidR="004A64B8" w:rsidRPr="00F00DB2">
        <w:rPr>
          <w:lang w:val="en-GB"/>
        </w:rPr>
        <w:t>(</w:t>
      </w:r>
      <w:r w:rsidRPr="00F00DB2">
        <w:rPr>
          <w:lang w:val="en-GB"/>
        </w:rPr>
        <w:t>1</w:t>
      </w:r>
      <w:r w:rsidR="004A64B8" w:rsidRPr="00F00DB2">
        <w:rPr>
          <w:lang w:val="en-GB"/>
        </w:rPr>
        <w:t>)</w:t>
      </w:r>
      <w:r w:rsidRPr="00F00DB2">
        <w:rPr>
          <w:lang w:val="en-GB"/>
        </w:rPr>
        <w:t xml:space="preserve"> and </w:t>
      </w:r>
      <w:r w:rsidR="004A64B8" w:rsidRPr="00F00DB2">
        <w:rPr>
          <w:lang w:val="en-GB"/>
        </w:rPr>
        <w:t>(</w:t>
      </w:r>
      <w:r w:rsidRPr="00F00DB2">
        <w:rPr>
          <w:lang w:val="en-GB"/>
        </w:rPr>
        <w:t>5</w:t>
      </w:r>
      <w:r w:rsidR="004A64B8" w:rsidRPr="00F00DB2">
        <w:rPr>
          <w:lang w:val="en-GB"/>
        </w:rPr>
        <w:t>)</w:t>
      </w:r>
      <w:r w:rsidRPr="00F00DB2">
        <w:rPr>
          <w:lang w:val="en-GB"/>
        </w:rPr>
        <w:t xml:space="preserve"> of the Covenant. The author refers to </w:t>
      </w:r>
      <w:r w:rsidR="004A64B8" w:rsidRPr="00F00DB2">
        <w:rPr>
          <w:lang w:val="en-GB"/>
        </w:rPr>
        <w:t>g</w:t>
      </w:r>
      <w:r w:rsidRPr="00F00DB2">
        <w:rPr>
          <w:lang w:val="en-GB"/>
        </w:rPr>
        <w:t xml:space="preserve">eneral </w:t>
      </w:r>
      <w:r w:rsidR="004A64B8" w:rsidRPr="00F00DB2">
        <w:rPr>
          <w:lang w:val="en-GB"/>
        </w:rPr>
        <w:t>c</w:t>
      </w:r>
      <w:r w:rsidRPr="00F00DB2">
        <w:rPr>
          <w:lang w:val="en-GB"/>
        </w:rPr>
        <w:t xml:space="preserve">omment 32/48 </w:t>
      </w:r>
      <w:r w:rsidR="004A64B8" w:rsidRPr="00F00DB2">
        <w:rPr>
          <w:lang w:val="en-GB"/>
        </w:rPr>
        <w:t xml:space="preserve">of the Committee, </w:t>
      </w:r>
      <w:r w:rsidRPr="00F00DB2">
        <w:rPr>
          <w:lang w:val="en-GB"/>
        </w:rPr>
        <w:t xml:space="preserve">according to which “the right to have one’s conviction and sentence reviewed by a higher tribunal established under article 14, paragraph 5, imposes on the State party a duty to review substantively, both on the basis of sufficiency of the evidence and of the law, the conviction and sentence, such that the procedure allows for due consideration of the case. A review that is limited to the formal or legal aspects of the conviction without any consideration </w:t>
      </w:r>
      <w:r w:rsidR="004A64B8" w:rsidRPr="00F00DB2">
        <w:rPr>
          <w:lang w:val="en-GB"/>
        </w:rPr>
        <w:t xml:space="preserve">whatsoever </w:t>
      </w:r>
      <w:r w:rsidRPr="00F00DB2">
        <w:rPr>
          <w:lang w:val="en-GB"/>
        </w:rPr>
        <w:t>of the facts is not sufficient under the Covenant”</w:t>
      </w:r>
      <w:r w:rsidR="004A64B8" w:rsidRPr="00F00DB2">
        <w:rPr>
          <w:lang w:val="en-GB"/>
        </w:rPr>
        <w:t>.</w:t>
      </w:r>
      <w:r w:rsidRPr="00F00DB2">
        <w:rPr>
          <w:rStyle w:val="FootnoteReference"/>
          <w:lang w:val="en-GB"/>
        </w:rPr>
        <w:footnoteReference w:id="9"/>
      </w:r>
      <w:r w:rsidRPr="00F00DB2">
        <w:rPr>
          <w:lang w:val="en-GB"/>
        </w:rPr>
        <w:t xml:space="preserve"> </w:t>
      </w:r>
    </w:p>
    <w:p w14:paraId="3E749D2F" w14:textId="77777777" w:rsidR="00FE297F" w:rsidRPr="00F00DB2" w:rsidRDefault="000C098C" w:rsidP="000C098C">
      <w:pPr>
        <w:pStyle w:val="H4G"/>
      </w:pPr>
      <w:r w:rsidRPr="00F00DB2">
        <w:tab/>
      </w:r>
      <w:r w:rsidRPr="00F00DB2">
        <w:tab/>
      </w:r>
      <w:r w:rsidR="00C23DD5" w:rsidRPr="00F00DB2">
        <w:t>Delays in proceedings</w:t>
      </w:r>
    </w:p>
    <w:p w14:paraId="1ABEE41A" w14:textId="77777777" w:rsidR="00747F49" w:rsidRPr="00F00DB2" w:rsidRDefault="009A40CD">
      <w:pPr>
        <w:pStyle w:val="SingleTxtG"/>
        <w:rPr>
          <w:lang w:val="en-GB"/>
        </w:rPr>
      </w:pPr>
      <w:r w:rsidRPr="00F00DB2">
        <w:rPr>
          <w:lang w:val="en-GB"/>
        </w:rPr>
        <w:t>3.</w:t>
      </w:r>
      <w:r w:rsidR="00D13424" w:rsidRPr="00F00DB2">
        <w:rPr>
          <w:lang w:val="en-GB"/>
        </w:rPr>
        <w:t>11</w:t>
      </w:r>
      <w:r w:rsidR="00FE297F" w:rsidRPr="00F00DB2">
        <w:rPr>
          <w:lang w:val="en-GB"/>
        </w:rPr>
        <w:tab/>
      </w:r>
      <w:r w:rsidR="00C23DD5" w:rsidRPr="00F00DB2">
        <w:rPr>
          <w:lang w:val="en-GB"/>
        </w:rPr>
        <w:t>T</w:t>
      </w:r>
      <w:r w:rsidRPr="00F00DB2">
        <w:rPr>
          <w:lang w:val="en-GB"/>
        </w:rPr>
        <w:t xml:space="preserve">he author </w:t>
      </w:r>
      <w:r w:rsidR="00747D87" w:rsidRPr="00F00DB2">
        <w:rPr>
          <w:lang w:val="en-GB"/>
        </w:rPr>
        <w:t xml:space="preserve">further </w:t>
      </w:r>
      <w:r w:rsidRPr="00F00DB2">
        <w:rPr>
          <w:lang w:val="en-GB"/>
        </w:rPr>
        <w:t xml:space="preserve">considers that his trial has suffered undue delay from 22 December 1995, </w:t>
      </w:r>
      <w:r w:rsidR="003C001A" w:rsidRPr="00F00DB2">
        <w:rPr>
          <w:lang w:val="en-GB"/>
        </w:rPr>
        <w:t xml:space="preserve">the </w:t>
      </w:r>
      <w:r w:rsidRPr="00F00DB2">
        <w:rPr>
          <w:lang w:val="en-GB"/>
        </w:rPr>
        <w:t xml:space="preserve">date of the High Court judgement, until 1 March 2005, </w:t>
      </w:r>
      <w:r w:rsidR="003C001A" w:rsidRPr="00F00DB2">
        <w:rPr>
          <w:lang w:val="en-GB"/>
        </w:rPr>
        <w:t xml:space="preserve">the </w:t>
      </w:r>
      <w:r w:rsidRPr="00F00DB2">
        <w:rPr>
          <w:lang w:val="en-GB"/>
        </w:rPr>
        <w:t xml:space="preserve">date of the Supreme Court final judgement. </w:t>
      </w:r>
      <w:r w:rsidR="00C12475" w:rsidRPr="00F00DB2">
        <w:rPr>
          <w:lang w:val="en-GB"/>
        </w:rPr>
        <w:t>In this connection, the author describes the different stages of the procedures. On 22 December 1995, the author appealed the High Court judg</w:t>
      </w:r>
      <w:r w:rsidR="002A31B6" w:rsidRPr="00F00DB2">
        <w:rPr>
          <w:lang w:val="en-GB"/>
        </w:rPr>
        <w:t>e</w:t>
      </w:r>
      <w:r w:rsidR="00C12475" w:rsidRPr="00F00DB2">
        <w:rPr>
          <w:lang w:val="en-GB"/>
        </w:rPr>
        <w:t xml:space="preserve">ment and applied for legal aid, without submitting his grounds for appeal. On 11 March 1996, the author’s trial counsel submitted the tentative appeal points. The author then requested two extensions to submit his grounds for appeal, which were granted by the Registry until 19 April 1996. The author was then advised that no further extensions would be granted and that the Deputy Registrar would refer the file back “to the Court” for determination of the legal aid application on that date. On 10 May 1996, the author was denied legal aid. He was informed of that decision on 13 May 1996. On 30 May, the author requested an extension of four to six weeks to prepare his appeal, which was granted until 15 July 1996. On 25 July 1996, the author’s appeal was heard and dismissed. The duration of the appeal proceedings was therefore </w:t>
      </w:r>
      <w:r w:rsidR="003C001A" w:rsidRPr="00F00DB2">
        <w:rPr>
          <w:lang w:val="en-GB"/>
        </w:rPr>
        <w:t xml:space="preserve">slightly </w:t>
      </w:r>
      <w:r w:rsidR="00C12475" w:rsidRPr="00F00DB2">
        <w:rPr>
          <w:lang w:val="en-GB"/>
        </w:rPr>
        <w:t xml:space="preserve">more than </w:t>
      </w:r>
      <w:r w:rsidR="003C001A" w:rsidRPr="00F00DB2">
        <w:rPr>
          <w:lang w:val="en-GB"/>
        </w:rPr>
        <w:t>seven</w:t>
      </w:r>
      <w:r w:rsidR="00C12475" w:rsidRPr="00F00DB2">
        <w:rPr>
          <w:lang w:val="en-GB"/>
        </w:rPr>
        <w:t xml:space="preserve"> months. Upon rejection of his appeal </w:t>
      </w:r>
      <w:r w:rsidR="00C12475" w:rsidRPr="00E533B6">
        <w:rPr>
          <w:i/>
          <w:iCs/>
          <w:lang w:val="en-GB"/>
        </w:rPr>
        <w:t xml:space="preserve">ex parte </w:t>
      </w:r>
      <w:r w:rsidR="00C12475" w:rsidRPr="00E533B6">
        <w:rPr>
          <w:lang w:val="en-GB"/>
        </w:rPr>
        <w:t>in July 1996 by the Court of Appeal, the author</w:t>
      </w:r>
      <w:r w:rsidR="003C001A" w:rsidRPr="00E533B6">
        <w:rPr>
          <w:lang w:val="en-GB"/>
        </w:rPr>
        <w:t>, along with 11 others,</w:t>
      </w:r>
      <w:r w:rsidR="00C12475" w:rsidRPr="00E533B6">
        <w:rPr>
          <w:lang w:val="en-GB"/>
        </w:rPr>
        <w:t xml:space="preserve"> filed an application for judicial review</w:t>
      </w:r>
      <w:r w:rsidR="00C12475" w:rsidRPr="00F00DB2">
        <w:rPr>
          <w:lang w:val="en-GB"/>
        </w:rPr>
        <w:t xml:space="preserve"> on 21 August 1999. These applications were considered by the Privy Council in February 2001, and judg</w:t>
      </w:r>
      <w:r w:rsidR="002A31B6" w:rsidRPr="00E533B6">
        <w:rPr>
          <w:lang w:val="en-GB"/>
        </w:rPr>
        <w:t>e</w:t>
      </w:r>
      <w:r w:rsidR="00C12475" w:rsidRPr="00E533B6">
        <w:rPr>
          <w:lang w:val="en-GB"/>
        </w:rPr>
        <w:t xml:space="preserve">ment was eventually rendered in March 2002. </w:t>
      </w:r>
    </w:p>
    <w:p w14:paraId="28416CA0" w14:textId="77777777" w:rsidR="009A1D9B" w:rsidRPr="00F00DB2" w:rsidRDefault="00C12475" w:rsidP="003C001A">
      <w:pPr>
        <w:pStyle w:val="SingleTxtG"/>
        <w:rPr>
          <w:lang w:val="en-GB"/>
        </w:rPr>
      </w:pPr>
      <w:r w:rsidRPr="00F00DB2">
        <w:rPr>
          <w:lang w:val="en-GB"/>
        </w:rPr>
        <w:t>3.12</w:t>
      </w:r>
      <w:r w:rsidRPr="00F00DB2">
        <w:rPr>
          <w:lang w:val="en-GB"/>
        </w:rPr>
        <w:tab/>
      </w:r>
      <w:r w:rsidR="009A40CD" w:rsidRPr="00F00DB2">
        <w:rPr>
          <w:lang w:val="en-GB"/>
        </w:rPr>
        <w:t>The</w:t>
      </w:r>
      <w:r w:rsidR="00BD60E7" w:rsidRPr="00F00DB2">
        <w:rPr>
          <w:lang w:val="en-GB"/>
        </w:rPr>
        <w:t xml:space="preserve"> </w:t>
      </w:r>
      <w:r w:rsidR="000430A0" w:rsidRPr="00F00DB2">
        <w:rPr>
          <w:lang w:val="en-GB"/>
        </w:rPr>
        <w:t>author argues that the delay</w:t>
      </w:r>
      <w:r w:rsidRPr="00F00DB2">
        <w:rPr>
          <w:lang w:val="en-GB"/>
        </w:rPr>
        <w:t xml:space="preserve"> </w:t>
      </w:r>
      <w:r w:rsidR="003C001A" w:rsidRPr="00F00DB2">
        <w:rPr>
          <w:lang w:val="en-GB"/>
        </w:rPr>
        <w:t xml:space="preserve">in </w:t>
      </w:r>
      <w:r w:rsidRPr="00F00DB2">
        <w:rPr>
          <w:lang w:val="en-GB"/>
        </w:rPr>
        <w:t>the proceedings</w:t>
      </w:r>
      <w:r w:rsidR="000430A0" w:rsidRPr="00F00DB2">
        <w:rPr>
          <w:lang w:val="en-GB"/>
        </w:rPr>
        <w:t xml:space="preserve"> partly </w:t>
      </w:r>
      <w:r w:rsidR="003C001A" w:rsidRPr="00F00DB2">
        <w:rPr>
          <w:lang w:val="en-GB"/>
        </w:rPr>
        <w:t xml:space="preserve">resulted from </w:t>
      </w:r>
      <w:r w:rsidR="000430A0" w:rsidRPr="00F00DB2">
        <w:rPr>
          <w:lang w:val="en-GB"/>
        </w:rPr>
        <w:t xml:space="preserve">the failure </w:t>
      </w:r>
      <w:r w:rsidR="003C001A" w:rsidRPr="00F00DB2">
        <w:rPr>
          <w:lang w:val="en-GB"/>
        </w:rPr>
        <w:t xml:space="preserve">of the Court </w:t>
      </w:r>
      <w:r w:rsidR="000430A0" w:rsidRPr="00F00DB2">
        <w:rPr>
          <w:lang w:val="en-GB"/>
        </w:rPr>
        <w:t xml:space="preserve">to preserve the trial </w:t>
      </w:r>
      <w:r w:rsidR="00D652D9" w:rsidRPr="00F00DB2">
        <w:rPr>
          <w:lang w:val="en-GB"/>
        </w:rPr>
        <w:t>j</w:t>
      </w:r>
      <w:r w:rsidR="000430A0" w:rsidRPr="00F00DB2">
        <w:rPr>
          <w:lang w:val="en-GB"/>
        </w:rPr>
        <w:t>udge’s summing</w:t>
      </w:r>
      <w:r w:rsidR="00D652D9" w:rsidRPr="00F00DB2">
        <w:rPr>
          <w:lang w:val="en-GB"/>
        </w:rPr>
        <w:t>-</w:t>
      </w:r>
      <w:r w:rsidR="000430A0" w:rsidRPr="00F00DB2">
        <w:rPr>
          <w:lang w:val="en-GB"/>
        </w:rPr>
        <w:t xml:space="preserve">up, following which he had strong difficulties </w:t>
      </w:r>
      <w:r w:rsidR="003C001A" w:rsidRPr="00F00DB2">
        <w:rPr>
          <w:lang w:val="en-GB"/>
        </w:rPr>
        <w:t xml:space="preserve">in </w:t>
      </w:r>
      <w:r w:rsidR="000430A0" w:rsidRPr="00F00DB2">
        <w:rPr>
          <w:lang w:val="en-GB"/>
        </w:rPr>
        <w:t>present</w:t>
      </w:r>
      <w:r w:rsidR="003C001A" w:rsidRPr="00F00DB2">
        <w:rPr>
          <w:lang w:val="en-GB"/>
        </w:rPr>
        <w:t>ing</w:t>
      </w:r>
      <w:r w:rsidR="000430A0" w:rsidRPr="00F00DB2">
        <w:rPr>
          <w:lang w:val="en-GB"/>
        </w:rPr>
        <w:t xml:space="preserve"> his appeal and had to request various extensions to submit his </w:t>
      </w:r>
      <w:r w:rsidR="00BD60E7" w:rsidRPr="00F00DB2">
        <w:rPr>
          <w:lang w:val="en-GB"/>
        </w:rPr>
        <w:t>grounds for appeal. The author further</w:t>
      </w:r>
      <w:r w:rsidR="000430A0" w:rsidRPr="00F00DB2">
        <w:rPr>
          <w:lang w:val="en-GB"/>
        </w:rPr>
        <w:t xml:space="preserve"> </w:t>
      </w:r>
      <w:r w:rsidR="00BD60E7" w:rsidRPr="00F00DB2">
        <w:rPr>
          <w:lang w:val="en-GB"/>
        </w:rPr>
        <w:t>considers that the</w:t>
      </w:r>
      <w:r w:rsidR="009A40CD" w:rsidRPr="00F00DB2">
        <w:rPr>
          <w:lang w:val="en-GB"/>
        </w:rPr>
        <w:t xml:space="preserve"> main delays occurred between 1995 and 2002, when the Privy Council remitted the appeal back to the Court of Appeal for hearing. </w:t>
      </w:r>
      <w:r w:rsidR="00414017" w:rsidRPr="00F00DB2">
        <w:rPr>
          <w:lang w:val="en-GB"/>
        </w:rPr>
        <w:t xml:space="preserve">In this connection, the author refers to the jurisprudence </w:t>
      </w:r>
      <w:r w:rsidR="003C001A" w:rsidRPr="00F00DB2">
        <w:rPr>
          <w:lang w:val="en-GB"/>
        </w:rPr>
        <w:t xml:space="preserve">of the Committee, </w:t>
      </w:r>
      <w:r w:rsidR="00414017" w:rsidRPr="00F00DB2">
        <w:rPr>
          <w:lang w:val="en-GB"/>
        </w:rPr>
        <w:t xml:space="preserve">according to which a delay of over four years and seven months between conviction and the judgement on appeal was in violation of article 14 </w:t>
      </w:r>
      <w:r w:rsidR="003C001A" w:rsidRPr="00F00DB2">
        <w:rPr>
          <w:lang w:val="en-GB"/>
        </w:rPr>
        <w:t>(</w:t>
      </w:r>
      <w:r w:rsidR="00414017" w:rsidRPr="00F00DB2">
        <w:rPr>
          <w:lang w:val="en-GB"/>
        </w:rPr>
        <w:t>3</w:t>
      </w:r>
      <w:r w:rsidR="003C001A" w:rsidRPr="00F00DB2">
        <w:rPr>
          <w:lang w:val="en-GB"/>
        </w:rPr>
        <w:t>) </w:t>
      </w:r>
      <w:r w:rsidR="00414017" w:rsidRPr="00F00DB2">
        <w:rPr>
          <w:lang w:val="en-GB"/>
        </w:rPr>
        <w:t xml:space="preserve">(c) and </w:t>
      </w:r>
      <w:r w:rsidR="003C001A" w:rsidRPr="00F00DB2">
        <w:rPr>
          <w:lang w:val="en-GB"/>
        </w:rPr>
        <w:t>(</w:t>
      </w:r>
      <w:r w:rsidR="00414017" w:rsidRPr="00F00DB2">
        <w:rPr>
          <w:lang w:val="en-GB"/>
        </w:rPr>
        <w:t>5</w:t>
      </w:r>
      <w:r w:rsidR="003C001A" w:rsidRPr="00F00DB2">
        <w:rPr>
          <w:lang w:val="en-GB"/>
        </w:rPr>
        <w:t>)</w:t>
      </w:r>
      <w:r w:rsidR="00414017" w:rsidRPr="00F00DB2">
        <w:rPr>
          <w:lang w:val="en-GB"/>
        </w:rPr>
        <w:t xml:space="preserve"> of the Covenant. </w:t>
      </w:r>
    </w:p>
    <w:p w14:paraId="70F0EBEC" w14:textId="77777777" w:rsidR="00C23DD5" w:rsidRPr="00F00DB2" w:rsidRDefault="000C098C" w:rsidP="000C098C">
      <w:pPr>
        <w:pStyle w:val="H4G"/>
      </w:pPr>
      <w:r w:rsidRPr="00F00DB2">
        <w:tab/>
      </w:r>
      <w:r w:rsidRPr="00F00DB2">
        <w:tab/>
      </w:r>
      <w:r w:rsidR="00C23DD5" w:rsidRPr="00F00DB2">
        <w:t>Right to an effective remedy</w:t>
      </w:r>
    </w:p>
    <w:p w14:paraId="6597A69B" w14:textId="77777777" w:rsidR="0026721C" w:rsidRPr="00F00DB2" w:rsidRDefault="009A1D9B">
      <w:pPr>
        <w:pStyle w:val="SingleTxtG"/>
        <w:rPr>
          <w:lang w:val="en-GB"/>
        </w:rPr>
      </w:pPr>
      <w:r w:rsidRPr="00F00DB2">
        <w:rPr>
          <w:lang w:val="en-GB"/>
        </w:rPr>
        <w:t>3.</w:t>
      </w:r>
      <w:r w:rsidR="00D13424" w:rsidRPr="00F00DB2">
        <w:rPr>
          <w:lang w:val="en-GB"/>
        </w:rPr>
        <w:t>1</w:t>
      </w:r>
      <w:r w:rsidR="006504DB" w:rsidRPr="00F00DB2">
        <w:rPr>
          <w:lang w:val="en-GB"/>
        </w:rPr>
        <w:t>3</w:t>
      </w:r>
      <w:r w:rsidR="00414364" w:rsidRPr="00F00DB2">
        <w:rPr>
          <w:lang w:val="en-GB"/>
        </w:rPr>
        <w:tab/>
      </w:r>
      <w:r w:rsidR="00414017" w:rsidRPr="00F00DB2">
        <w:rPr>
          <w:lang w:val="en-GB"/>
        </w:rPr>
        <w:t>The author argues that</w:t>
      </w:r>
      <w:r w:rsidR="003C001A" w:rsidRPr="00F00DB2">
        <w:rPr>
          <w:lang w:val="en-GB"/>
        </w:rPr>
        <w:t>,</w:t>
      </w:r>
      <w:r w:rsidR="00414017" w:rsidRPr="00F00DB2">
        <w:rPr>
          <w:lang w:val="en-GB"/>
        </w:rPr>
        <w:t xml:space="preserve"> </w:t>
      </w:r>
      <w:r w:rsidR="004A5954" w:rsidRPr="00F00DB2">
        <w:rPr>
          <w:lang w:val="en-GB"/>
        </w:rPr>
        <w:t xml:space="preserve">by rejecting his appeal, </w:t>
      </w:r>
      <w:r w:rsidR="00414017" w:rsidRPr="00F00DB2">
        <w:rPr>
          <w:lang w:val="en-GB"/>
        </w:rPr>
        <w:t>the Court</w:t>
      </w:r>
      <w:r w:rsidR="00414364" w:rsidRPr="00F00DB2">
        <w:rPr>
          <w:lang w:val="en-GB"/>
        </w:rPr>
        <w:t xml:space="preserve"> of </w:t>
      </w:r>
      <w:r w:rsidR="00C86632" w:rsidRPr="00F00DB2">
        <w:rPr>
          <w:lang w:val="en-GB"/>
        </w:rPr>
        <w:t>A</w:t>
      </w:r>
      <w:r w:rsidR="00414364" w:rsidRPr="00F00DB2">
        <w:rPr>
          <w:lang w:val="en-GB"/>
        </w:rPr>
        <w:t>ppeal</w:t>
      </w:r>
      <w:r w:rsidR="00414017" w:rsidRPr="00F00DB2">
        <w:rPr>
          <w:lang w:val="en-GB"/>
        </w:rPr>
        <w:t xml:space="preserve"> failed to provide him with an appropriate remedy</w:t>
      </w:r>
      <w:r w:rsidR="004A5954" w:rsidRPr="00F00DB2">
        <w:rPr>
          <w:lang w:val="en-GB"/>
        </w:rPr>
        <w:t xml:space="preserve">, which would then have been a reduction of sentence, in violation of article 14 </w:t>
      </w:r>
      <w:r w:rsidR="003C001A" w:rsidRPr="00F00DB2">
        <w:rPr>
          <w:lang w:val="en-GB"/>
        </w:rPr>
        <w:t>(</w:t>
      </w:r>
      <w:r w:rsidR="004A5954" w:rsidRPr="00F00DB2">
        <w:rPr>
          <w:lang w:val="en-GB"/>
        </w:rPr>
        <w:t>6</w:t>
      </w:r>
      <w:r w:rsidR="003C001A" w:rsidRPr="00F00DB2">
        <w:rPr>
          <w:lang w:val="en-GB"/>
        </w:rPr>
        <w:t>)</w:t>
      </w:r>
      <w:r w:rsidR="004A5954" w:rsidRPr="00F00DB2">
        <w:rPr>
          <w:lang w:val="en-GB"/>
        </w:rPr>
        <w:t xml:space="preserve">, read together with article 2 </w:t>
      </w:r>
      <w:r w:rsidR="003C001A" w:rsidRPr="00F00DB2">
        <w:rPr>
          <w:lang w:val="en-GB"/>
        </w:rPr>
        <w:t>(</w:t>
      </w:r>
      <w:r w:rsidR="004A5954" w:rsidRPr="00F00DB2">
        <w:rPr>
          <w:lang w:val="en-GB"/>
        </w:rPr>
        <w:t>3</w:t>
      </w:r>
      <w:r w:rsidR="003C001A" w:rsidRPr="00F00DB2">
        <w:rPr>
          <w:lang w:val="en-GB"/>
        </w:rPr>
        <w:t>)</w:t>
      </w:r>
      <w:r w:rsidR="004A5954" w:rsidRPr="00F00DB2">
        <w:rPr>
          <w:lang w:val="en-GB"/>
        </w:rPr>
        <w:t>, of the Covenant. However, he argues that</w:t>
      </w:r>
      <w:r w:rsidR="003C001A" w:rsidRPr="00F00DB2">
        <w:rPr>
          <w:lang w:val="en-GB"/>
        </w:rPr>
        <w:t>,</w:t>
      </w:r>
      <w:r w:rsidR="004A5954" w:rsidRPr="00F00DB2">
        <w:rPr>
          <w:lang w:val="en-GB"/>
        </w:rPr>
        <w:t xml:space="preserve"> as he has now fully served his sentence, the appropriate remedy now available to him for such a gross miscarriage of justice would be an acquittal. </w:t>
      </w:r>
    </w:p>
    <w:p w14:paraId="05DF7B7A" w14:textId="77777777" w:rsidR="00AB44B5" w:rsidRPr="00F00DB2" w:rsidRDefault="000C098C" w:rsidP="000C098C">
      <w:pPr>
        <w:pStyle w:val="H4G"/>
      </w:pPr>
      <w:r w:rsidRPr="00F00DB2">
        <w:tab/>
      </w:r>
      <w:r w:rsidRPr="00F00DB2">
        <w:tab/>
      </w:r>
      <w:r w:rsidR="00AB44B5" w:rsidRPr="00F00DB2">
        <w:t xml:space="preserve">Miscellaneous </w:t>
      </w:r>
    </w:p>
    <w:p w14:paraId="6990B1C3" w14:textId="77777777" w:rsidR="00031F7A" w:rsidRPr="00F00DB2" w:rsidRDefault="009A40CD">
      <w:pPr>
        <w:pStyle w:val="SingleTxtG"/>
        <w:rPr>
          <w:lang w:val="en-GB"/>
        </w:rPr>
      </w:pPr>
      <w:r w:rsidRPr="00F00DB2">
        <w:rPr>
          <w:lang w:val="en-GB"/>
        </w:rPr>
        <w:t>3.</w:t>
      </w:r>
      <w:r w:rsidR="00D13424" w:rsidRPr="00F00DB2">
        <w:rPr>
          <w:lang w:val="en-GB"/>
        </w:rPr>
        <w:t>1</w:t>
      </w:r>
      <w:r w:rsidR="006504DB" w:rsidRPr="00F00DB2">
        <w:rPr>
          <w:lang w:val="en-GB"/>
        </w:rPr>
        <w:t>4</w:t>
      </w:r>
      <w:r w:rsidR="000C098C" w:rsidRPr="00F00DB2">
        <w:rPr>
          <w:lang w:val="en-GB"/>
        </w:rPr>
        <w:tab/>
      </w:r>
      <w:r w:rsidRPr="00F00DB2">
        <w:rPr>
          <w:lang w:val="en-GB"/>
        </w:rPr>
        <w:t xml:space="preserve">The author has served his sentence while not being given full judicial guarantees. </w:t>
      </w:r>
      <w:r w:rsidR="00C63F52" w:rsidRPr="00F00DB2">
        <w:rPr>
          <w:lang w:val="en-GB"/>
        </w:rPr>
        <w:t>He therefore considers that</w:t>
      </w:r>
      <w:r w:rsidRPr="00F00DB2">
        <w:rPr>
          <w:lang w:val="en-GB"/>
        </w:rPr>
        <w:t xml:space="preserve"> the State </w:t>
      </w:r>
      <w:r w:rsidR="003C001A" w:rsidRPr="00F00DB2">
        <w:rPr>
          <w:lang w:val="en-GB"/>
        </w:rPr>
        <w:t>p</w:t>
      </w:r>
      <w:r w:rsidRPr="00F00DB2">
        <w:rPr>
          <w:lang w:val="en-GB"/>
        </w:rPr>
        <w:t>arty has violated his right not to be arbitrarily deprived of his liberty, under article 9</w:t>
      </w:r>
      <w:r w:rsidR="00C63F52" w:rsidRPr="00F00DB2">
        <w:rPr>
          <w:lang w:val="en-GB"/>
        </w:rPr>
        <w:t xml:space="preserve"> of the Covenant</w:t>
      </w:r>
      <w:r w:rsidRPr="00F00DB2">
        <w:rPr>
          <w:lang w:val="en-GB"/>
        </w:rPr>
        <w:t xml:space="preserve">. </w:t>
      </w:r>
      <w:r w:rsidR="00C63F52" w:rsidRPr="00F00DB2">
        <w:rPr>
          <w:lang w:val="en-GB"/>
        </w:rPr>
        <w:t>He also considers that this</w:t>
      </w:r>
      <w:r w:rsidRPr="00F00DB2">
        <w:rPr>
          <w:lang w:val="en-GB"/>
        </w:rPr>
        <w:t xml:space="preserve"> situation</w:t>
      </w:r>
      <w:r w:rsidR="003C001A" w:rsidRPr="00F00DB2">
        <w:rPr>
          <w:lang w:val="en-GB"/>
        </w:rPr>
        <w:t>,</w:t>
      </w:r>
      <w:r w:rsidRPr="00F00DB2">
        <w:rPr>
          <w:lang w:val="en-GB"/>
        </w:rPr>
        <w:t xml:space="preserve"> </w:t>
      </w:r>
      <w:r w:rsidR="00C63F52" w:rsidRPr="00F00DB2">
        <w:rPr>
          <w:lang w:val="en-GB"/>
        </w:rPr>
        <w:t>which lasted</w:t>
      </w:r>
      <w:r w:rsidRPr="00F00DB2">
        <w:rPr>
          <w:lang w:val="en-GB"/>
        </w:rPr>
        <w:t xml:space="preserve"> for over 10 years</w:t>
      </w:r>
      <w:r w:rsidR="003C001A" w:rsidRPr="00F00DB2">
        <w:rPr>
          <w:lang w:val="en-GB"/>
        </w:rPr>
        <w:t>,</w:t>
      </w:r>
      <w:r w:rsidRPr="00F00DB2">
        <w:rPr>
          <w:lang w:val="en-GB"/>
        </w:rPr>
        <w:t xml:space="preserve"> violates article 17 of the Covenant. The article 17 violation is not further substantiated.</w:t>
      </w:r>
    </w:p>
    <w:p w14:paraId="6F0079C0" w14:textId="77777777" w:rsidR="00031F7A" w:rsidRPr="00F00DB2" w:rsidRDefault="00AB44B5">
      <w:pPr>
        <w:pStyle w:val="SingleTxtG"/>
        <w:rPr>
          <w:lang w:val="en-GB"/>
        </w:rPr>
      </w:pPr>
      <w:r w:rsidRPr="00F00DB2">
        <w:rPr>
          <w:lang w:val="en-GB"/>
        </w:rPr>
        <w:t>3.</w:t>
      </w:r>
      <w:r w:rsidR="00D13424" w:rsidRPr="00F00DB2">
        <w:rPr>
          <w:lang w:val="en-GB"/>
        </w:rPr>
        <w:t>1</w:t>
      </w:r>
      <w:r w:rsidR="006504DB" w:rsidRPr="00F00DB2">
        <w:rPr>
          <w:lang w:val="en-GB"/>
        </w:rPr>
        <w:t>5</w:t>
      </w:r>
      <w:r w:rsidRPr="00F00DB2">
        <w:rPr>
          <w:lang w:val="en-GB"/>
        </w:rPr>
        <w:tab/>
        <w:t xml:space="preserve">No specific allegations are made in respect of </w:t>
      </w:r>
      <w:r w:rsidR="003C001A" w:rsidRPr="00F00DB2">
        <w:rPr>
          <w:lang w:val="en-GB"/>
        </w:rPr>
        <w:t xml:space="preserve">articles 9 (1) and (3); and 14 (3) (g) and (6) </w:t>
      </w:r>
      <w:r w:rsidRPr="00F00DB2">
        <w:rPr>
          <w:lang w:val="en-GB"/>
        </w:rPr>
        <w:t xml:space="preserve">of the Covenant. </w:t>
      </w:r>
    </w:p>
    <w:p w14:paraId="004BBAE2" w14:textId="77777777" w:rsidR="003134AC" w:rsidRPr="00F00DB2" w:rsidRDefault="007E7E46" w:rsidP="007B3302">
      <w:pPr>
        <w:pStyle w:val="H23G"/>
      </w:pPr>
      <w:r w:rsidRPr="00F00DB2">
        <w:tab/>
      </w:r>
      <w:r w:rsidRPr="00F00DB2">
        <w:tab/>
      </w:r>
      <w:r w:rsidR="003134AC" w:rsidRPr="00F00DB2">
        <w:t xml:space="preserve">State </w:t>
      </w:r>
      <w:r w:rsidR="00631796" w:rsidRPr="00F00DB2">
        <w:t xml:space="preserve">party’s </w:t>
      </w:r>
      <w:r w:rsidR="003134AC" w:rsidRPr="00F00DB2">
        <w:t>observations on admissibility</w:t>
      </w:r>
      <w:r w:rsidR="00E0216D" w:rsidRPr="00F00DB2">
        <w:t xml:space="preserve"> </w:t>
      </w:r>
      <w:r w:rsidR="00EF3514" w:rsidRPr="00F00DB2">
        <w:t>and merits</w:t>
      </w:r>
      <w:r w:rsidR="007A212F" w:rsidRPr="00F00DB2">
        <w:t xml:space="preserve"> </w:t>
      </w:r>
    </w:p>
    <w:p w14:paraId="744D1497" w14:textId="77777777" w:rsidR="00372E98" w:rsidRPr="00F00DB2" w:rsidRDefault="00776E5E">
      <w:pPr>
        <w:pStyle w:val="SingleTxtG"/>
        <w:rPr>
          <w:lang w:val="en-GB"/>
        </w:rPr>
      </w:pPr>
      <w:r w:rsidRPr="00E533B6">
        <w:rPr>
          <w:lang w:val="en-GB"/>
        </w:rPr>
        <w:t>4.1</w:t>
      </w:r>
      <w:r w:rsidRPr="00E533B6">
        <w:rPr>
          <w:lang w:val="en-GB"/>
        </w:rPr>
        <w:tab/>
      </w:r>
      <w:r w:rsidR="00372E98" w:rsidRPr="00E533B6">
        <w:rPr>
          <w:lang w:val="en-GB"/>
        </w:rPr>
        <w:t>In its observations dated 19 April 2010, the State party adds to the factual background of the communication, observing that</w:t>
      </w:r>
      <w:r w:rsidR="003C001A" w:rsidRPr="00E533B6">
        <w:rPr>
          <w:lang w:val="en-GB"/>
        </w:rPr>
        <w:t>,</w:t>
      </w:r>
      <w:r w:rsidR="00372E98" w:rsidRPr="00E533B6">
        <w:rPr>
          <w:lang w:val="en-GB"/>
        </w:rPr>
        <w:t xml:space="preserve"> in 1994, the author was arrested and charged with an aggravated robbery. Following a first trial</w:t>
      </w:r>
      <w:r w:rsidR="003C001A" w:rsidRPr="00F00DB2">
        <w:rPr>
          <w:lang w:val="en-GB"/>
        </w:rPr>
        <w:t>,</w:t>
      </w:r>
      <w:r w:rsidR="00372E98" w:rsidRPr="00F00DB2">
        <w:rPr>
          <w:lang w:val="en-GB"/>
        </w:rPr>
        <w:t xml:space="preserve"> which was discontinued when the jury was unable to agree on a verdict, the author was tried and convicted in a secon</w:t>
      </w:r>
      <w:r w:rsidR="00B91C4B" w:rsidRPr="00F00DB2">
        <w:rPr>
          <w:lang w:val="en-GB"/>
        </w:rPr>
        <w:t>d</w:t>
      </w:r>
      <w:r w:rsidR="00372E98" w:rsidRPr="00F00DB2">
        <w:rPr>
          <w:lang w:val="en-GB"/>
        </w:rPr>
        <w:t xml:space="preserve"> jury trial in December 1995. The author was then sentenced to seven years imprisonment. He was represented at trial and sentencing by an independent criminal law barrister, who was publicly funded under the New Zealand legal aid regime. </w:t>
      </w:r>
    </w:p>
    <w:p w14:paraId="4C1BD04E" w14:textId="77777777" w:rsidR="00372E98" w:rsidRPr="00F00DB2" w:rsidRDefault="00372E98">
      <w:pPr>
        <w:pStyle w:val="SingleTxtG"/>
        <w:rPr>
          <w:lang w:val="en-GB"/>
        </w:rPr>
      </w:pPr>
      <w:r w:rsidRPr="00F00DB2">
        <w:rPr>
          <w:lang w:val="en-GB"/>
        </w:rPr>
        <w:t>4.2</w:t>
      </w:r>
      <w:r w:rsidRPr="00F00DB2">
        <w:rPr>
          <w:lang w:val="en-GB"/>
        </w:rPr>
        <w:tab/>
        <w:t>On 22 December 1995, the author filed a notice of appeal against both his conviction and his sentence to the Court of Appeal and sought a grant of legal aid for the appeal. The notice did not identify any grounds of appeal.</w:t>
      </w:r>
      <w:r w:rsidRPr="00F00DB2">
        <w:rPr>
          <w:rStyle w:val="FootnoteReference"/>
          <w:lang w:val="en-GB"/>
        </w:rPr>
        <w:footnoteReference w:id="10"/>
      </w:r>
      <w:r w:rsidR="002F5997" w:rsidRPr="00F00DB2">
        <w:rPr>
          <w:lang w:val="en-GB"/>
        </w:rPr>
        <w:t xml:space="preserve"> In January and February 1996, the author wrote to his trial counsel</w:t>
      </w:r>
      <w:r w:rsidR="00C86632" w:rsidRPr="00F00DB2">
        <w:rPr>
          <w:lang w:val="en-GB"/>
        </w:rPr>
        <w:t xml:space="preserve"> </w:t>
      </w:r>
      <w:r w:rsidR="002F5997" w:rsidRPr="00F00DB2">
        <w:rPr>
          <w:lang w:val="en-GB"/>
        </w:rPr>
        <w:t xml:space="preserve">about his appeal. On 1 March 1996, the author wrote to the registrar of the Court of Appeal requesting that the Registrar delay </w:t>
      </w:r>
      <w:r w:rsidR="003C001A" w:rsidRPr="00F00DB2">
        <w:rPr>
          <w:lang w:val="en-GB"/>
        </w:rPr>
        <w:t xml:space="preserve">the date of the author’s appeal hearing, </w:t>
      </w:r>
      <w:r w:rsidR="002F5997" w:rsidRPr="00F00DB2">
        <w:rPr>
          <w:lang w:val="en-GB"/>
        </w:rPr>
        <w:t xml:space="preserve">as he wanted to instruct </w:t>
      </w:r>
      <w:r w:rsidR="00B6471A" w:rsidRPr="00F00DB2">
        <w:rPr>
          <w:lang w:val="en-GB"/>
        </w:rPr>
        <w:t xml:space="preserve">his trial </w:t>
      </w:r>
      <w:r w:rsidR="002F5997" w:rsidRPr="00F00DB2">
        <w:rPr>
          <w:lang w:val="en-GB"/>
        </w:rPr>
        <w:t>counsel. On 7 March, the Registrar replied and advised the author that</w:t>
      </w:r>
      <w:r w:rsidR="00C86632" w:rsidRPr="00F00DB2">
        <w:rPr>
          <w:lang w:val="en-GB"/>
        </w:rPr>
        <w:t xml:space="preserve"> his trial counsel </w:t>
      </w:r>
      <w:r w:rsidR="002F5997" w:rsidRPr="00F00DB2">
        <w:rPr>
          <w:lang w:val="en-GB"/>
        </w:rPr>
        <w:t xml:space="preserve">had told the </w:t>
      </w:r>
      <w:r w:rsidR="003C001A" w:rsidRPr="00F00DB2">
        <w:rPr>
          <w:lang w:val="en-GB"/>
        </w:rPr>
        <w:t>C</w:t>
      </w:r>
      <w:r w:rsidR="002F5997" w:rsidRPr="00F00DB2">
        <w:rPr>
          <w:lang w:val="en-GB"/>
        </w:rPr>
        <w:t>ourt that she would provide grounds of appeal shortly. On 11 March 1996,</w:t>
      </w:r>
      <w:r w:rsidR="00C86632" w:rsidRPr="00F00DB2">
        <w:rPr>
          <w:lang w:val="en-GB"/>
        </w:rPr>
        <w:t xml:space="preserve"> his counsel </w:t>
      </w:r>
      <w:r w:rsidR="002F5997" w:rsidRPr="00F00DB2">
        <w:rPr>
          <w:lang w:val="en-GB"/>
        </w:rPr>
        <w:t>provided the suggested grounds of appeal by letter to the Court. Between 14 March and 14 May 1996, the author corresponded with the Court of Appeal Registrar seeking extensions of time for filing</w:t>
      </w:r>
      <w:r w:rsidR="00B6471A" w:rsidRPr="00F00DB2">
        <w:rPr>
          <w:lang w:val="en-GB"/>
        </w:rPr>
        <w:t xml:space="preserve"> additional</w:t>
      </w:r>
      <w:r w:rsidR="002F5997" w:rsidRPr="00F00DB2">
        <w:rPr>
          <w:lang w:val="en-GB"/>
        </w:rPr>
        <w:t xml:space="preserve"> grounds of appeal and submissions. The author was granted two successive time extensions, but did not file anything further. </w:t>
      </w:r>
      <w:r w:rsidR="00B6471A" w:rsidRPr="00F00DB2">
        <w:rPr>
          <w:lang w:val="en-GB"/>
        </w:rPr>
        <w:t xml:space="preserve">In the </w:t>
      </w:r>
      <w:r w:rsidR="005D7A48" w:rsidRPr="00F00DB2">
        <w:rPr>
          <w:lang w:val="en-GB"/>
        </w:rPr>
        <w:t xml:space="preserve">light </w:t>
      </w:r>
      <w:r w:rsidR="00B6471A" w:rsidRPr="00F00DB2">
        <w:rPr>
          <w:lang w:val="en-GB"/>
        </w:rPr>
        <w:t xml:space="preserve">of the information provided by the author’s trial counsel, the </w:t>
      </w:r>
      <w:r w:rsidR="00E356B7" w:rsidRPr="00F00DB2">
        <w:rPr>
          <w:lang w:val="en-GB"/>
        </w:rPr>
        <w:t>Court of Appeal Registrar</w:t>
      </w:r>
      <w:r w:rsidR="002A31B6" w:rsidRPr="00F00DB2">
        <w:rPr>
          <w:lang w:val="en-GB"/>
        </w:rPr>
        <w:t>,</w:t>
      </w:r>
      <w:r w:rsidR="00E356B7" w:rsidRPr="00F00DB2">
        <w:rPr>
          <w:lang w:val="en-GB"/>
        </w:rPr>
        <w:t xml:space="preserve"> who was at that time responsible for the administration of legal aid for criminal appeals, considered the author’s request for legal aid in consultation with three judges of the Court. On 13 May 1996, the author’s application for legal aid for his appeal was declined. </w:t>
      </w:r>
    </w:p>
    <w:p w14:paraId="62131454" w14:textId="77777777" w:rsidR="00E356B7" w:rsidRPr="00F00DB2" w:rsidRDefault="00E356B7">
      <w:pPr>
        <w:pStyle w:val="SingleTxtG"/>
        <w:rPr>
          <w:lang w:val="en-GB"/>
        </w:rPr>
      </w:pPr>
      <w:r w:rsidRPr="00F00DB2">
        <w:rPr>
          <w:lang w:val="en-GB"/>
        </w:rPr>
        <w:t>4.3</w:t>
      </w:r>
      <w:r w:rsidRPr="00F00DB2">
        <w:rPr>
          <w:lang w:val="en-GB"/>
        </w:rPr>
        <w:tab/>
        <w:t xml:space="preserve">Following that decision, the author’s appeal was set to be determined on 27 June 1996. On 13 May 1996, the Registrar wrote to the author to request him to file submissions for the appeal within 28 days. On 30 May, the author wrote to the Registrar requesting extra time for filing further submissions as he was representing himself. On 4 June, the Registrar wrote to the author advising that his appeal </w:t>
      </w:r>
      <w:r w:rsidR="002A31B6" w:rsidRPr="00F00DB2">
        <w:rPr>
          <w:lang w:val="en-GB"/>
        </w:rPr>
        <w:t xml:space="preserve">had been </w:t>
      </w:r>
      <w:r w:rsidRPr="00F00DB2">
        <w:rPr>
          <w:lang w:val="en-GB"/>
        </w:rPr>
        <w:t>adjourned until 25 July 1996. The author’s submissions were received by the Court around 23 July 1996 and were considered by the Court of Appeal without an oral hearing. The Court issued a short judg</w:t>
      </w:r>
      <w:r w:rsidR="002A31B6" w:rsidRPr="00F00DB2">
        <w:rPr>
          <w:lang w:val="en-GB"/>
        </w:rPr>
        <w:t>e</w:t>
      </w:r>
      <w:r w:rsidRPr="00F00DB2">
        <w:rPr>
          <w:lang w:val="en-GB"/>
        </w:rPr>
        <w:t>ment declining the author’s appeal on 25 July 1996.</w:t>
      </w:r>
    </w:p>
    <w:p w14:paraId="10FFCC1C" w14:textId="77777777" w:rsidR="00A0146E" w:rsidRPr="00F00DB2" w:rsidRDefault="005E5615">
      <w:pPr>
        <w:pStyle w:val="SingleTxtG"/>
        <w:rPr>
          <w:lang w:val="en-GB"/>
        </w:rPr>
      </w:pPr>
      <w:r w:rsidRPr="00F00DB2">
        <w:rPr>
          <w:lang w:val="en-GB"/>
        </w:rPr>
        <w:t>4.4</w:t>
      </w:r>
      <w:r w:rsidRPr="00F00DB2">
        <w:rPr>
          <w:lang w:val="en-GB"/>
        </w:rPr>
        <w:tab/>
        <w:t xml:space="preserve">In August 1999, the author applied for special leave to appeal to the Judicial Committee of the Privy Council, at the time New Zealand’s highest court, challenging the way in which the Court of Appeal had decided his appeal. Over the following two years, the author’s case was joined with that of </w:t>
      </w:r>
      <w:r w:rsidR="002A31B6" w:rsidRPr="00F00DB2">
        <w:rPr>
          <w:lang w:val="en-GB"/>
        </w:rPr>
        <w:t xml:space="preserve">11 </w:t>
      </w:r>
      <w:r w:rsidRPr="00F00DB2">
        <w:rPr>
          <w:lang w:val="en-GB"/>
        </w:rPr>
        <w:t>others, whose appeals had also been dismissed by the Court of Appeal without an oral hearing between 1997 and 2000. Leave was granted by the Privy Council in February 2001, and the case was heard in February 2002. As heard, the appeal canvassed both the legal aid procedure followed by the Registrar of the Court of Appeal and the determination of appeals without an oral hearing. The Privy Council upheld the appeal on both points, holding that while “undoubtedly well intentioned”</w:t>
      </w:r>
      <w:r w:rsidR="00472B5B" w:rsidRPr="00F00DB2">
        <w:rPr>
          <w:lang w:val="en-GB"/>
        </w:rPr>
        <w:t>,</w:t>
      </w:r>
      <w:r w:rsidRPr="00F00DB2">
        <w:rPr>
          <w:lang w:val="en-GB"/>
        </w:rPr>
        <w:t xml:space="preserve"> both procedures were unlawful and that the conduct of appeals without an oral hearing was contrary to the right of appeal protected in New Zealand law and, more broadly, to the right to natural justice. </w:t>
      </w:r>
      <w:r w:rsidR="00A0146E" w:rsidRPr="00F00DB2">
        <w:rPr>
          <w:lang w:val="en-GB"/>
        </w:rPr>
        <w:t>The Privy Council directed that all of the appellants’ appeals be reheard in oral hearings. It specifically considered, and rejected, an application by the author and several others that their convictions should be quashed altogether.</w:t>
      </w:r>
    </w:p>
    <w:p w14:paraId="40460FBC" w14:textId="77777777" w:rsidR="004C6B90" w:rsidRPr="00F00DB2" w:rsidRDefault="00A0146E">
      <w:pPr>
        <w:pStyle w:val="SingleTxtG"/>
        <w:rPr>
          <w:lang w:val="en-GB"/>
        </w:rPr>
      </w:pPr>
      <w:r w:rsidRPr="00F00DB2">
        <w:rPr>
          <w:lang w:val="en-GB"/>
        </w:rPr>
        <w:t>4.5</w:t>
      </w:r>
      <w:r w:rsidRPr="00F00DB2">
        <w:rPr>
          <w:lang w:val="en-GB"/>
        </w:rPr>
        <w:tab/>
        <w:t>The State party emphasi</w:t>
      </w:r>
      <w:r w:rsidR="00F3571B" w:rsidRPr="00F00DB2">
        <w:rPr>
          <w:lang w:val="en-GB"/>
        </w:rPr>
        <w:t>z</w:t>
      </w:r>
      <w:r w:rsidRPr="00F00DB2">
        <w:rPr>
          <w:lang w:val="en-GB"/>
        </w:rPr>
        <w:t>es that the Privy Council decision and its wider circumstances were of broad significance. As the Privy</w:t>
      </w:r>
      <w:r w:rsidR="00FC131E" w:rsidRPr="00F00DB2">
        <w:rPr>
          <w:lang w:val="en-GB"/>
        </w:rPr>
        <w:t xml:space="preserve"> Council noted,</w:t>
      </w:r>
      <w:r w:rsidR="004C6B90" w:rsidRPr="00F00DB2">
        <w:rPr>
          <w:lang w:val="en-GB"/>
        </w:rPr>
        <w:t xml:space="preserve"> the procedures for criminal appeals and for legal aid in issue were extensively reconsidered by the New Zealand courts in 1998 and were then addressed by legislation enacted in 2000 and 2001. Additionally, the procedure followed in the author’s case potentially affected as many as 1500 other appeals, although only 62 appellants</w:t>
      </w:r>
      <w:r w:rsidR="00FC131E" w:rsidRPr="00F00DB2">
        <w:rPr>
          <w:lang w:val="en-GB"/>
        </w:rPr>
        <w:t>,</w:t>
      </w:r>
      <w:r w:rsidR="004C6B90" w:rsidRPr="00F00DB2">
        <w:rPr>
          <w:lang w:val="en-GB"/>
        </w:rPr>
        <w:t xml:space="preserve"> including the author, have since taken advantage of the order </w:t>
      </w:r>
      <w:r w:rsidR="00FB6CEE" w:rsidRPr="00F00DB2">
        <w:rPr>
          <w:lang w:val="en-GB"/>
        </w:rPr>
        <w:t xml:space="preserve">of the Privy Council </w:t>
      </w:r>
      <w:r w:rsidR="004C6B90" w:rsidRPr="00F00DB2">
        <w:rPr>
          <w:lang w:val="en-GB"/>
        </w:rPr>
        <w:t xml:space="preserve">for rehearing. </w:t>
      </w:r>
    </w:p>
    <w:p w14:paraId="5AD676A9" w14:textId="77777777" w:rsidR="005E5615" w:rsidRPr="00F00DB2" w:rsidRDefault="004C6B90">
      <w:pPr>
        <w:pStyle w:val="SingleTxtG"/>
        <w:rPr>
          <w:lang w:val="en-GB"/>
        </w:rPr>
      </w:pPr>
      <w:r w:rsidRPr="00F00DB2">
        <w:rPr>
          <w:lang w:val="en-GB"/>
        </w:rPr>
        <w:t>4.6</w:t>
      </w:r>
      <w:r w:rsidRPr="00F00DB2">
        <w:rPr>
          <w:lang w:val="en-GB"/>
        </w:rPr>
        <w:tab/>
        <w:t>On 3 and 4 February 2005, the Court of Appeal reheard the author’s appeal. The author was represented by counsel and he filed an affidavit and written submissions in January 2005 prior to the hearing. The Crown also filed submissions opposing the appeal and an affirmation of the author’s trial counsel. The Court reserved its decision and</w:t>
      </w:r>
      <w:r w:rsidR="009D4F1E" w:rsidRPr="00F00DB2">
        <w:rPr>
          <w:lang w:val="en-GB"/>
        </w:rPr>
        <w:t>,</w:t>
      </w:r>
      <w:r w:rsidRPr="00F00DB2">
        <w:rPr>
          <w:lang w:val="en-GB"/>
        </w:rPr>
        <w:t xml:space="preserve"> on 1 March 2005</w:t>
      </w:r>
      <w:r w:rsidR="009D4F1E" w:rsidRPr="00F00DB2">
        <w:rPr>
          <w:lang w:val="en-GB"/>
        </w:rPr>
        <w:t>,</w:t>
      </w:r>
      <w:r w:rsidRPr="00F00DB2">
        <w:rPr>
          <w:lang w:val="en-GB"/>
        </w:rPr>
        <w:t xml:space="preserve"> dismissed the author’s appeal in an extensive written judgement. </w:t>
      </w:r>
    </w:p>
    <w:p w14:paraId="709329A7" w14:textId="77777777" w:rsidR="004C6B90" w:rsidRPr="00F00DB2" w:rsidRDefault="004C6B90">
      <w:pPr>
        <w:pStyle w:val="SingleTxtG"/>
        <w:rPr>
          <w:lang w:val="en-GB"/>
        </w:rPr>
      </w:pPr>
      <w:r w:rsidRPr="00F00DB2">
        <w:rPr>
          <w:lang w:val="en-GB"/>
        </w:rPr>
        <w:t>4.7</w:t>
      </w:r>
      <w:r w:rsidRPr="00F00DB2">
        <w:rPr>
          <w:lang w:val="en-GB"/>
        </w:rPr>
        <w:tab/>
        <w:t xml:space="preserve">On 7 March 2005, the author applied for leave to appeal against the Court of Appeal decision to the Supreme Court. On 17 June 2005, after receipt of written submissions from the author’s counsel and from the Crown, the Supreme Court issued a brief written decision in which it declined the author’s application on the basis that </w:t>
      </w:r>
      <w:r w:rsidR="00C86632" w:rsidRPr="00F00DB2">
        <w:rPr>
          <w:lang w:val="en-GB"/>
        </w:rPr>
        <w:t>i</w:t>
      </w:r>
      <w:r w:rsidRPr="00F00DB2">
        <w:rPr>
          <w:lang w:val="en-GB"/>
        </w:rPr>
        <w:t>t did not raise either a miscarriage of justice or any question of general or public importance in terms of the leave criteria provided under the Supreme Court Act 2003.</w:t>
      </w:r>
    </w:p>
    <w:p w14:paraId="58B1D9F6" w14:textId="77777777" w:rsidR="00725FE9" w:rsidRPr="00F00DB2" w:rsidRDefault="00760D86" w:rsidP="009A40CD">
      <w:pPr>
        <w:pStyle w:val="SingleTxtG"/>
        <w:rPr>
          <w:lang w:val="en-GB"/>
        </w:rPr>
      </w:pPr>
      <w:r w:rsidRPr="00F00DB2">
        <w:rPr>
          <w:lang w:val="en-GB"/>
        </w:rPr>
        <w:t>4.8</w:t>
      </w:r>
      <w:r w:rsidRPr="00F00DB2">
        <w:rPr>
          <w:lang w:val="en-GB"/>
        </w:rPr>
        <w:tab/>
        <w:t>T</w:t>
      </w:r>
      <w:r w:rsidR="00725FE9" w:rsidRPr="00F00DB2">
        <w:rPr>
          <w:lang w:val="en-GB"/>
        </w:rPr>
        <w:t xml:space="preserve">he State party considers that the author’s allegations of legal error, misconduct and incompetence in respect of his trial have been examined and declined by the competent New Zealand courts. The communication discloses no basis on which to conclude that those determinations are arbitrary or otherwise so manifestly in error as to warrant reconsideration by the Committee. The State party </w:t>
      </w:r>
      <w:r w:rsidR="008676D5" w:rsidRPr="00F00DB2">
        <w:rPr>
          <w:lang w:val="en-GB"/>
        </w:rPr>
        <w:t xml:space="preserve">therefore </w:t>
      </w:r>
      <w:r w:rsidR="00725FE9" w:rsidRPr="00F00DB2">
        <w:rPr>
          <w:lang w:val="en-GB"/>
        </w:rPr>
        <w:t>considers that these allegations are both inadmissible and lacking in merit.</w:t>
      </w:r>
    </w:p>
    <w:p w14:paraId="3A039A98" w14:textId="77777777" w:rsidR="00491B1C" w:rsidRPr="00F00DB2" w:rsidRDefault="00725FE9">
      <w:pPr>
        <w:pStyle w:val="SingleTxtG"/>
        <w:rPr>
          <w:lang w:val="en-GB"/>
        </w:rPr>
      </w:pPr>
      <w:r w:rsidRPr="00F00DB2">
        <w:rPr>
          <w:lang w:val="en-GB"/>
        </w:rPr>
        <w:t>4.</w:t>
      </w:r>
      <w:r w:rsidR="00760D86" w:rsidRPr="00F00DB2">
        <w:rPr>
          <w:lang w:val="en-GB"/>
        </w:rPr>
        <w:t>9</w:t>
      </w:r>
      <w:r w:rsidRPr="00F00DB2">
        <w:rPr>
          <w:lang w:val="en-GB"/>
        </w:rPr>
        <w:tab/>
        <w:t>The State party further argues that the author’s criticisms of the “on paper” procedure followed in the 1996 appeal were raised, and upheld in the 2002 decision of the Privy Council. The Privy Council determined that the appropriate remedy for these deficiencies was the rehearing of the author’s appeal. The State submits that t</w:t>
      </w:r>
      <w:r w:rsidR="00BD77D1" w:rsidRPr="00F00DB2">
        <w:rPr>
          <w:lang w:val="en-GB"/>
        </w:rPr>
        <w:t>his remedy, as determined by the then</w:t>
      </w:r>
      <w:r w:rsidR="009D4F1E" w:rsidRPr="00F00DB2">
        <w:rPr>
          <w:lang w:val="en-GB"/>
        </w:rPr>
        <w:t>-</w:t>
      </w:r>
      <w:r w:rsidR="00BD77D1" w:rsidRPr="00F00DB2">
        <w:rPr>
          <w:lang w:val="en-GB"/>
        </w:rPr>
        <w:t>final appellate court for New Zealand after extensive argument from the author’s counsel and others, is an effective and sufficient remedy. These allegations are therefore inadmissible under article 1 of the Optional Protocol, as they relate to breaches that were remedied within the New Zealand court system in 2002.</w:t>
      </w:r>
    </w:p>
    <w:p w14:paraId="374E8619" w14:textId="77777777" w:rsidR="00BD77D1" w:rsidRPr="00F00DB2" w:rsidRDefault="00BD77D1">
      <w:pPr>
        <w:pStyle w:val="SingleTxtG"/>
        <w:rPr>
          <w:lang w:val="en-GB"/>
        </w:rPr>
      </w:pPr>
      <w:r w:rsidRPr="00F00DB2">
        <w:rPr>
          <w:lang w:val="en-GB"/>
        </w:rPr>
        <w:t>4.</w:t>
      </w:r>
      <w:r w:rsidR="00760D86" w:rsidRPr="00F00DB2">
        <w:rPr>
          <w:lang w:val="en-GB"/>
        </w:rPr>
        <w:t>10</w:t>
      </w:r>
      <w:r w:rsidRPr="00F00DB2">
        <w:rPr>
          <w:lang w:val="en-GB"/>
        </w:rPr>
        <w:tab/>
        <w:t xml:space="preserve">The </w:t>
      </w:r>
      <w:r w:rsidR="005D42C6" w:rsidRPr="00F00DB2">
        <w:rPr>
          <w:lang w:val="en-GB"/>
        </w:rPr>
        <w:t xml:space="preserve">State party considers that the </w:t>
      </w:r>
      <w:r w:rsidRPr="00F00DB2">
        <w:rPr>
          <w:lang w:val="en-GB"/>
        </w:rPr>
        <w:t>delay between the author’s appeal to the Court of Appeal and hearing of the author’s further appeal to the Privy Council between July 1996 and February 2002 is, although exceptionally long, attributable in this instance to two elements: (a) more than three years’ wait on the part of the author and his counsel before applying to appeal to the Privy Council</w:t>
      </w:r>
      <w:r w:rsidR="009D4F1E" w:rsidRPr="00F00DB2">
        <w:rPr>
          <w:lang w:val="en-GB"/>
        </w:rPr>
        <w:t>;</w:t>
      </w:r>
      <w:r w:rsidRPr="00F00DB2">
        <w:rPr>
          <w:lang w:val="en-GB"/>
        </w:rPr>
        <w:t xml:space="preserve"> and (b) the author’s subsequent decision to pursue his appeal in conjunction with several other appellants</w:t>
      </w:r>
      <w:r w:rsidR="009D4F1E" w:rsidRPr="00F00DB2">
        <w:rPr>
          <w:lang w:val="en-GB"/>
        </w:rPr>
        <w:t>,</w:t>
      </w:r>
      <w:r w:rsidRPr="00F00DB2">
        <w:rPr>
          <w:lang w:val="en-GB"/>
        </w:rPr>
        <w:t xml:space="preserve"> who did not pursue appeals to the Privy Council until after mid-2000. The State party note</w:t>
      </w:r>
      <w:r w:rsidR="00827301" w:rsidRPr="00F00DB2">
        <w:rPr>
          <w:lang w:val="en-GB"/>
        </w:rPr>
        <w:t>s</w:t>
      </w:r>
      <w:r w:rsidRPr="00F00DB2">
        <w:rPr>
          <w:lang w:val="en-GB"/>
        </w:rPr>
        <w:t xml:space="preserve"> the finding </w:t>
      </w:r>
      <w:r w:rsidR="009D4F1E" w:rsidRPr="00F00DB2">
        <w:rPr>
          <w:lang w:val="en-GB"/>
        </w:rPr>
        <w:t xml:space="preserve">of the Committee </w:t>
      </w:r>
      <w:r w:rsidRPr="00F00DB2">
        <w:rPr>
          <w:lang w:val="en-GB"/>
        </w:rPr>
        <w:t xml:space="preserve">in </w:t>
      </w:r>
      <w:r w:rsidR="005904B7" w:rsidRPr="00F00DB2">
        <w:rPr>
          <w:i/>
          <w:lang w:val="en-GB"/>
        </w:rPr>
        <w:t>Dean v</w:t>
      </w:r>
      <w:r w:rsidRPr="00F00DB2">
        <w:rPr>
          <w:i/>
          <w:lang w:val="en-GB"/>
        </w:rPr>
        <w:t xml:space="preserve"> New Zealand</w:t>
      </w:r>
      <w:r w:rsidRPr="00F00DB2">
        <w:rPr>
          <w:lang w:val="en-GB"/>
        </w:rPr>
        <w:t xml:space="preserve">, </w:t>
      </w:r>
      <w:r w:rsidR="005904B7" w:rsidRPr="00F00DB2">
        <w:rPr>
          <w:lang w:val="en-GB"/>
        </w:rPr>
        <w:t>that the delay entailed in the Privy Council’s invalidation of the “on the papers” procedure was, in the circumstances, not undue.</w:t>
      </w:r>
      <w:r w:rsidR="00827301" w:rsidRPr="00F00DB2">
        <w:rPr>
          <w:rStyle w:val="FootnoteReference"/>
          <w:lang w:val="en-GB"/>
        </w:rPr>
        <w:footnoteReference w:id="11"/>
      </w:r>
      <w:r w:rsidR="005904B7" w:rsidRPr="00F00DB2">
        <w:rPr>
          <w:lang w:val="en-GB"/>
        </w:rPr>
        <w:t xml:space="preserve"> In respect of the particular steps taken in the author’s case, the State party observes that it is not responsible for the independent actions of the author and his counsel and, further</w:t>
      </w:r>
      <w:r w:rsidR="009D4F1E" w:rsidRPr="00F00DB2">
        <w:rPr>
          <w:lang w:val="en-GB"/>
        </w:rPr>
        <w:t>more</w:t>
      </w:r>
      <w:r w:rsidR="005904B7" w:rsidRPr="00F00DB2">
        <w:rPr>
          <w:lang w:val="en-GB"/>
        </w:rPr>
        <w:t xml:space="preserve">, that the time then taken between the filing of the other appellants’ appeals by all </w:t>
      </w:r>
      <w:r w:rsidR="009D4F1E" w:rsidRPr="00F00DB2">
        <w:rPr>
          <w:lang w:val="en-GB"/>
        </w:rPr>
        <w:t xml:space="preserve">12 </w:t>
      </w:r>
      <w:r w:rsidR="005904B7" w:rsidRPr="00F00DB2">
        <w:rPr>
          <w:lang w:val="en-GB"/>
        </w:rPr>
        <w:t>appellants in February 2002 i</w:t>
      </w:r>
      <w:r w:rsidR="00C86632" w:rsidRPr="00F00DB2">
        <w:rPr>
          <w:lang w:val="en-GB"/>
        </w:rPr>
        <w:t>s</w:t>
      </w:r>
      <w:r w:rsidR="005904B7" w:rsidRPr="00F00DB2">
        <w:rPr>
          <w:lang w:val="en-GB"/>
        </w:rPr>
        <w:t xml:space="preserve"> not untoward in respect of a further appeal to a final appellate court. The State party also notes that, in the particular case, the author had received parole from his sentence of imprisonment for the aggravated robbery in March 2000. </w:t>
      </w:r>
    </w:p>
    <w:p w14:paraId="5A7B2E7E" w14:textId="77777777" w:rsidR="000C28D0" w:rsidRPr="00F00DB2" w:rsidRDefault="000C28D0" w:rsidP="009A40CD">
      <w:pPr>
        <w:pStyle w:val="SingleTxtG"/>
        <w:rPr>
          <w:lang w:val="en-GB"/>
        </w:rPr>
      </w:pPr>
      <w:r w:rsidRPr="00F00DB2">
        <w:rPr>
          <w:lang w:val="en-GB"/>
        </w:rPr>
        <w:t>4.</w:t>
      </w:r>
      <w:r w:rsidR="00760D86" w:rsidRPr="00F00DB2">
        <w:rPr>
          <w:lang w:val="en-GB"/>
        </w:rPr>
        <w:t>11</w:t>
      </w:r>
      <w:r w:rsidRPr="00F00DB2">
        <w:rPr>
          <w:lang w:val="en-GB"/>
        </w:rPr>
        <w:tab/>
        <w:t>As regards the author’s complaint over the adequacy of the 2005 appeals, the State party considers that they are unfounded. In this connection, the State party argues that the appeal before the Court of Appeal was conducted over two days of oral argument, with the author represented by highly experienced counsel and at public expense, and was decided by a reasoned judg</w:t>
      </w:r>
      <w:r w:rsidR="002A31B6" w:rsidRPr="00F00DB2">
        <w:rPr>
          <w:lang w:val="en-GB"/>
        </w:rPr>
        <w:t>e</w:t>
      </w:r>
      <w:r w:rsidRPr="00F00DB2">
        <w:rPr>
          <w:lang w:val="en-GB"/>
        </w:rPr>
        <w:t xml:space="preserve">ment of the Court, of 7500 words in length, that fully canvassed each of the claimed errors. In particular, and contrary to the author’s assertions in respect of the unavailability of part of the 1995 trial transcript and criticisms of what is said to be an untenably high threshold, the </w:t>
      </w:r>
      <w:r w:rsidR="00E5289D" w:rsidRPr="00F00DB2">
        <w:rPr>
          <w:lang w:val="en-GB"/>
        </w:rPr>
        <w:t xml:space="preserve">State party argues that the </w:t>
      </w:r>
      <w:r w:rsidRPr="00F00DB2">
        <w:rPr>
          <w:lang w:val="en-GB"/>
        </w:rPr>
        <w:t xml:space="preserve">Court gave the author the benefit of the doubt </w:t>
      </w:r>
      <w:r w:rsidR="00E5289D" w:rsidRPr="00F00DB2">
        <w:rPr>
          <w:lang w:val="en-GB"/>
        </w:rPr>
        <w:t>when addressing the issue. In this connection, the Court stated</w:t>
      </w:r>
      <w:r w:rsidRPr="00F00DB2">
        <w:rPr>
          <w:lang w:val="en-GB"/>
        </w:rPr>
        <w:t>: “If we thought that there was a real likelihood of a procedural error of significance or anything else which could fairly be seen as giving rise to a miscarriage of justice, we would have no hesitation in allowing the appeal. But, giving the matter the best consideration we can, we are not persuaded that there is such a real likelihood”.</w:t>
      </w:r>
      <w:r w:rsidR="00154309" w:rsidRPr="00F00DB2">
        <w:rPr>
          <w:rStyle w:val="FootnoteReference"/>
          <w:lang w:val="en-GB"/>
        </w:rPr>
        <w:footnoteReference w:id="12"/>
      </w:r>
      <w:r w:rsidRPr="00F00DB2">
        <w:rPr>
          <w:lang w:val="en-GB"/>
        </w:rPr>
        <w:t xml:space="preserve"> </w:t>
      </w:r>
      <w:r w:rsidR="00EA581E" w:rsidRPr="00F00DB2">
        <w:rPr>
          <w:lang w:val="en-GB"/>
        </w:rPr>
        <w:t xml:space="preserve">The State party considers that the author does not give any basis on which to consider those findings, which relate to matters of fact and of national law, as arbitrary or otherwise manifestly in error. The State party therefore considers that these allegations are inadmissible and lacking in merit. </w:t>
      </w:r>
    </w:p>
    <w:p w14:paraId="42B38791" w14:textId="77777777" w:rsidR="00AF7E03" w:rsidRPr="00F00DB2" w:rsidRDefault="00AF7E03">
      <w:pPr>
        <w:pStyle w:val="SingleTxtG"/>
        <w:rPr>
          <w:lang w:val="en-GB"/>
        </w:rPr>
      </w:pPr>
      <w:r w:rsidRPr="00F00DB2">
        <w:rPr>
          <w:lang w:val="en-GB"/>
        </w:rPr>
        <w:t>4.</w:t>
      </w:r>
      <w:r w:rsidR="00760D86" w:rsidRPr="00F00DB2">
        <w:rPr>
          <w:lang w:val="en-GB"/>
        </w:rPr>
        <w:t>12</w:t>
      </w:r>
      <w:r w:rsidRPr="00F00DB2">
        <w:rPr>
          <w:lang w:val="en-GB"/>
        </w:rPr>
        <w:tab/>
        <w:t>The State party further argues that the author’s application for leave to appeal to the Supreme Court was declined on the basis that the right for further appeal is limited to cases of sufficient importance to warrant further reconsideration. The State party considers that the author’s complaints in this respect fail at two levels</w:t>
      </w:r>
      <w:r w:rsidR="009053BC" w:rsidRPr="00F00DB2">
        <w:rPr>
          <w:lang w:val="en-GB"/>
        </w:rPr>
        <w:t>.</w:t>
      </w:r>
      <w:r w:rsidRPr="00F00DB2">
        <w:rPr>
          <w:lang w:val="en-GB"/>
        </w:rPr>
        <w:t xml:space="preserve"> </w:t>
      </w:r>
      <w:r w:rsidR="009053BC" w:rsidRPr="00F00DB2">
        <w:rPr>
          <w:lang w:val="en-GB"/>
        </w:rPr>
        <w:t xml:space="preserve">First, </w:t>
      </w:r>
      <w:r w:rsidRPr="00F00DB2">
        <w:rPr>
          <w:lang w:val="en-GB"/>
        </w:rPr>
        <w:t>as a general proposition, such restriction of further rights of appeal raises no inconsistency with article 14</w:t>
      </w:r>
      <w:r w:rsidR="009053BC" w:rsidRPr="00F00DB2">
        <w:rPr>
          <w:lang w:val="en-GB"/>
        </w:rPr>
        <w:t xml:space="preserve"> (5)</w:t>
      </w:r>
      <w:r w:rsidRPr="00F00DB2">
        <w:rPr>
          <w:lang w:val="en-GB"/>
        </w:rPr>
        <w:t>. There is, as is widely recogni</w:t>
      </w:r>
      <w:r w:rsidR="00A473B2" w:rsidRPr="00F00DB2">
        <w:rPr>
          <w:lang w:val="en-GB"/>
        </w:rPr>
        <w:t>z</w:t>
      </w:r>
      <w:r w:rsidRPr="00F00DB2">
        <w:rPr>
          <w:lang w:val="en-GB"/>
        </w:rPr>
        <w:t>ed, a distinction between first appellate courts and further tiers of appeal, for which such leave criteria are apposite and common among States parties. There is also no obligation, in respect of such provision for further appeal, to undertake a full rehearing of an intending appellant’s case</w:t>
      </w:r>
      <w:r w:rsidR="009053BC" w:rsidRPr="00F00DB2">
        <w:rPr>
          <w:lang w:val="en-GB"/>
        </w:rPr>
        <w:t>.</w:t>
      </w:r>
      <w:r w:rsidRPr="00F00DB2">
        <w:rPr>
          <w:lang w:val="en-GB"/>
        </w:rPr>
        <w:t xml:space="preserve"> </w:t>
      </w:r>
      <w:r w:rsidR="009053BC" w:rsidRPr="00F00DB2">
        <w:rPr>
          <w:lang w:val="en-GB"/>
        </w:rPr>
        <w:t>Second,</w:t>
      </w:r>
      <w:r w:rsidRPr="00F00DB2">
        <w:rPr>
          <w:lang w:val="en-GB"/>
        </w:rPr>
        <w:t xml:space="preserve"> so far as the author’s own case is concerned, a panel of three judges of the Supreme Court has considered and declined the author’s application for a further appeal against the criteria applicable under the New Zealand legislation. That determination, given in a reasoned judg</w:t>
      </w:r>
      <w:r w:rsidR="002A31B6" w:rsidRPr="00F00DB2">
        <w:rPr>
          <w:lang w:val="en-GB"/>
        </w:rPr>
        <w:t>e</w:t>
      </w:r>
      <w:r w:rsidRPr="00F00DB2">
        <w:rPr>
          <w:lang w:val="en-GB"/>
        </w:rPr>
        <w:t xml:space="preserve">ment, was again neither arbitrary nor otherwise so manifestly in error as to justify reassessment by the Committee. </w:t>
      </w:r>
    </w:p>
    <w:p w14:paraId="7C649FD0" w14:textId="77777777" w:rsidR="00A12CB2" w:rsidRPr="00F00DB2" w:rsidRDefault="005C02D8" w:rsidP="00A12CB2">
      <w:pPr>
        <w:pStyle w:val="SingleTxtG"/>
        <w:rPr>
          <w:lang w:val="en-GB"/>
        </w:rPr>
      </w:pPr>
      <w:r w:rsidRPr="00F00DB2">
        <w:rPr>
          <w:lang w:val="en-GB"/>
        </w:rPr>
        <w:t>4.</w:t>
      </w:r>
      <w:r w:rsidR="00760D86" w:rsidRPr="00F00DB2">
        <w:rPr>
          <w:lang w:val="en-GB"/>
        </w:rPr>
        <w:t>13</w:t>
      </w:r>
      <w:r w:rsidRPr="00F00DB2">
        <w:rPr>
          <w:lang w:val="en-GB"/>
        </w:rPr>
        <w:tab/>
        <w:t xml:space="preserve">In respect of the claims of error on the part of the appellate courts on matters of fact and of national law, the State party again observes that there is no basis on which to suggest that those determinations are arbitrary or otherwise so manifestly in error as to warrant reconsideration. </w:t>
      </w:r>
    </w:p>
    <w:p w14:paraId="3B53DC1C" w14:textId="77777777" w:rsidR="00973151" w:rsidRPr="00F00DB2" w:rsidRDefault="00D24B8F">
      <w:pPr>
        <w:pStyle w:val="SingleTxtG"/>
        <w:rPr>
          <w:lang w:val="en-GB"/>
        </w:rPr>
      </w:pPr>
      <w:r w:rsidRPr="00F00DB2">
        <w:rPr>
          <w:lang w:val="en-GB"/>
        </w:rPr>
        <w:t>4.</w:t>
      </w:r>
      <w:r w:rsidR="00760D86" w:rsidRPr="00F00DB2">
        <w:rPr>
          <w:lang w:val="en-GB"/>
        </w:rPr>
        <w:t>14</w:t>
      </w:r>
      <w:r w:rsidRPr="00F00DB2">
        <w:rPr>
          <w:lang w:val="en-GB"/>
        </w:rPr>
        <w:tab/>
      </w:r>
      <w:r w:rsidR="00A12CB2" w:rsidRPr="00F00DB2">
        <w:rPr>
          <w:lang w:val="en-GB"/>
        </w:rPr>
        <w:t xml:space="preserve">As regards the author’s claim of bias on the part of one or more members of the Supreme Court, the State party </w:t>
      </w:r>
      <w:r w:rsidR="009D3ADB" w:rsidRPr="00F00DB2">
        <w:rPr>
          <w:lang w:val="en-GB"/>
        </w:rPr>
        <w:t xml:space="preserve">initially </w:t>
      </w:r>
      <w:r w:rsidR="00A12CB2" w:rsidRPr="00F00DB2">
        <w:rPr>
          <w:lang w:val="en-GB"/>
        </w:rPr>
        <w:t>raised that it had not been pursued in the New Zealand courts and should be held inadmissible for failure to exhaust domestic remedies. Nonetheless, in the view of the</w:t>
      </w:r>
      <w:r w:rsidR="009D3ADB" w:rsidRPr="00F00DB2">
        <w:rPr>
          <w:lang w:val="en-GB"/>
        </w:rPr>
        <w:t xml:space="preserve"> later</w:t>
      </w:r>
      <w:r w:rsidR="00A12CB2" w:rsidRPr="00F00DB2">
        <w:rPr>
          <w:lang w:val="en-GB"/>
        </w:rPr>
        <w:t xml:space="preserve"> author’s submission that his counsel had raised the same allegations on behalf of another client in 2007</w:t>
      </w:r>
      <w:r w:rsidR="009053BC" w:rsidRPr="00F00DB2">
        <w:rPr>
          <w:lang w:val="en-GB"/>
        </w:rPr>
        <w:t xml:space="preserve"> (see </w:t>
      </w:r>
      <w:r w:rsidR="009053BC" w:rsidRPr="00E533B6">
        <w:rPr>
          <w:lang w:val="en-GB"/>
        </w:rPr>
        <w:t>para. 2.13)</w:t>
      </w:r>
      <w:r w:rsidR="00A12CB2" w:rsidRPr="00F00DB2">
        <w:rPr>
          <w:lang w:val="en-GB"/>
        </w:rPr>
        <w:t xml:space="preserve">, and that the Supreme Court had declined to uphold those allegations, </w:t>
      </w:r>
      <w:r w:rsidRPr="00F00DB2">
        <w:rPr>
          <w:lang w:val="en-GB"/>
        </w:rPr>
        <w:t xml:space="preserve">the State party </w:t>
      </w:r>
      <w:r w:rsidR="00242340" w:rsidRPr="00F00DB2">
        <w:rPr>
          <w:lang w:val="en-GB"/>
        </w:rPr>
        <w:t>considers that domestic remedies had indeed been exhausted to that regard. Nonetheless, it argues that the</w:t>
      </w:r>
      <w:r w:rsidRPr="00F00DB2">
        <w:rPr>
          <w:lang w:val="en-GB"/>
        </w:rPr>
        <w:t xml:space="preserve"> author’s claim of bias on the part of one or more members of the Supreme Court is without any sufficient foundation on which to advance such a grave allegation</w:t>
      </w:r>
      <w:r w:rsidR="00A12CB2" w:rsidRPr="00F00DB2">
        <w:rPr>
          <w:lang w:val="en-GB"/>
        </w:rPr>
        <w:t>. It further considers</w:t>
      </w:r>
      <w:r w:rsidR="00AD2682" w:rsidRPr="00F00DB2">
        <w:rPr>
          <w:lang w:val="en-GB"/>
        </w:rPr>
        <w:t xml:space="preserve"> that</w:t>
      </w:r>
      <w:r w:rsidR="009053BC" w:rsidRPr="00F00DB2">
        <w:rPr>
          <w:lang w:val="en-GB"/>
        </w:rPr>
        <w:t>,</w:t>
      </w:r>
      <w:r w:rsidR="00AD2682" w:rsidRPr="00F00DB2">
        <w:rPr>
          <w:lang w:val="en-GB"/>
        </w:rPr>
        <w:t xml:space="preserve"> as these factual allegations have been considered and rejected by national jurisdictions in consistency with </w:t>
      </w:r>
      <w:r w:rsidR="009053BC" w:rsidRPr="00F00DB2">
        <w:rPr>
          <w:lang w:val="en-GB"/>
        </w:rPr>
        <w:t>g</w:t>
      </w:r>
      <w:r w:rsidR="00AD2682" w:rsidRPr="00F00DB2">
        <w:rPr>
          <w:lang w:val="en-GB"/>
        </w:rPr>
        <w:t xml:space="preserve">eneral </w:t>
      </w:r>
      <w:r w:rsidR="009053BC" w:rsidRPr="00F00DB2">
        <w:rPr>
          <w:lang w:val="en-GB"/>
        </w:rPr>
        <w:t>c</w:t>
      </w:r>
      <w:r w:rsidR="00AD2682" w:rsidRPr="00F00DB2">
        <w:rPr>
          <w:lang w:val="en-GB"/>
        </w:rPr>
        <w:t>omment 32 and constant jurisprudence, there is no basis on which the Committee should seek to revisit that factual determination</w:t>
      </w:r>
      <w:r w:rsidRPr="00F00DB2">
        <w:rPr>
          <w:lang w:val="en-GB"/>
        </w:rPr>
        <w:t>.</w:t>
      </w:r>
      <w:r w:rsidR="00AD2682" w:rsidRPr="00F00DB2">
        <w:rPr>
          <w:lang w:val="en-GB"/>
        </w:rPr>
        <w:t xml:space="preserve"> The State party therefore considers that this point of the communication remains inadmissible under article 1 of the Optional Protocol, and that these allegations are without merit for the same reason.</w:t>
      </w:r>
      <w:r w:rsidR="005C02D8" w:rsidRPr="00F00DB2">
        <w:rPr>
          <w:lang w:val="en-GB"/>
        </w:rPr>
        <w:t xml:space="preserve"> </w:t>
      </w:r>
    </w:p>
    <w:p w14:paraId="1B2FE73B" w14:textId="77777777" w:rsidR="007740F1" w:rsidRPr="00F00DB2" w:rsidRDefault="000C098C" w:rsidP="000C098C">
      <w:pPr>
        <w:pStyle w:val="H23G"/>
      </w:pPr>
      <w:r w:rsidRPr="00F00DB2">
        <w:tab/>
      </w:r>
      <w:r w:rsidRPr="00F00DB2">
        <w:tab/>
      </w:r>
      <w:r w:rsidR="00431396" w:rsidRPr="00F00DB2">
        <w:t>Author’</w:t>
      </w:r>
      <w:r w:rsidR="00446ABC" w:rsidRPr="00F00DB2">
        <w:t>s</w:t>
      </w:r>
      <w:r w:rsidR="009A19F8" w:rsidRPr="00F00DB2">
        <w:t xml:space="preserve"> comments on the State </w:t>
      </w:r>
      <w:r w:rsidR="00631796" w:rsidRPr="00F00DB2">
        <w:t xml:space="preserve">party’s </w:t>
      </w:r>
      <w:r w:rsidR="009A19F8" w:rsidRPr="00F00DB2">
        <w:t>observations</w:t>
      </w:r>
      <w:r w:rsidR="000A2EE4" w:rsidRPr="00F00DB2">
        <w:t xml:space="preserve"> </w:t>
      </w:r>
    </w:p>
    <w:p w14:paraId="17C679BC" w14:textId="77777777" w:rsidR="000E4289" w:rsidRPr="00F00DB2" w:rsidRDefault="009A19F8">
      <w:pPr>
        <w:pStyle w:val="SingleTxtG"/>
        <w:rPr>
          <w:bCs/>
          <w:lang w:val="en-GB"/>
        </w:rPr>
      </w:pPr>
      <w:r w:rsidRPr="00E533B6">
        <w:rPr>
          <w:bCs/>
          <w:lang w:val="en-GB"/>
        </w:rPr>
        <w:t>5.</w:t>
      </w:r>
      <w:r w:rsidR="008730D5" w:rsidRPr="00F00DB2">
        <w:rPr>
          <w:bCs/>
          <w:lang w:val="en-GB"/>
        </w:rPr>
        <w:t>1</w:t>
      </w:r>
      <w:r w:rsidR="005D42C6" w:rsidRPr="00F00DB2">
        <w:rPr>
          <w:bCs/>
          <w:lang w:val="en-GB"/>
        </w:rPr>
        <w:tab/>
      </w:r>
      <w:r w:rsidR="000E4289" w:rsidRPr="00F00DB2">
        <w:rPr>
          <w:bCs/>
          <w:lang w:val="en-GB"/>
        </w:rPr>
        <w:t xml:space="preserve">On 7 February 2011, the author submitted his comments on </w:t>
      </w:r>
      <w:r w:rsidR="00C86632" w:rsidRPr="00F00DB2">
        <w:rPr>
          <w:bCs/>
          <w:lang w:val="en-GB"/>
        </w:rPr>
        <w:t xml:space="preserve">the </w:t>
      </w:r>
      <w:r w:rsidR="000E4289" w:rsidRPr="00F00DB2">
        <w:rPr>
          <w:bCs/>
          <w:lang w:val="en-GB"/>
        </w:rPr>
        <w:t xml:space="preserve">State party’s observations. </w:t>
      </w:r>
      <w:r w:rsidR="000B1080" w:rsidRPr="00F00DB2">
        <w:rPr>
          <w:bCs/>
          <w:lang w:val="en-GB"/>
        </w:rPr>
        <w:t>He argues</w:t>
      </w:r>
      <w:r w:rsidR="000E4289" w:rsidRPr="00F00DB2">
        <w:rPr>
          <w:bCs/>
          <w:lang w:val="en-GB"/>
        </w:rPr>
        <w:t xml:space="preserve"> that he is fully aware of the no fourth instance principle and that his communication is not an attempt to treat the Human Rights Committee as a further Court of Appeal. He argues that his complaint is </w:t>
      </w:r>
      <w:r w:rsidR="00CF1540" w:rsidRPr="00F00DB2">
        <w:rPr>
          <w:bCs/>
          <w:lang w:val="en-GB"/>
        </w:rPr>
        <w:t xml:space="preserve">made </w:t>
      </w:r>
      <w:r w:rsidR="000E4289" w:rsidRPr="00F00DB2">
        <w:rPr>
          <w:bCs/>
          <w:lang w:val="en-GB"/>
        </w:rPr>
        <w:t xml:space="preserve">on </w:t>
      </w:r>
      <w:r w:rsidR="00CF1540" w:rsidRPr="00F00DB2">
        <w:rPr>
          <w:bCs/>
          <w:lang w:val="en-GB"/>
        </w:rPr>
        <w:t xml:space="preserve">the basis of </w:t>
      </w:r>
      <w:r w:rsidR="000E4289" w:rsidRPr="00F00DB2">
        <w:rPr>
          <w:bCs/>
          <w:lang w:val="en-GB"/>
        </w:rPr>
        <w:t>breaches of the Covenant that have never been determined by the Court of Appeal, the Privy Council or the Supreme Court. In this connection, the author considers that he has been a victim of discriminatory treatment when, as an indigent defendant, he was denied the summing-up transcript, while defendants with a privately paid lawyer were provided with the crucial document. The author reiterates that this discriminatory treatment amounts to a violation of his right to adequate facilities for his defence.</w:t>
      </w:r>
    </w:p>
    <w:p w14:paraId="3438D6B9" w14:textId="77777777" w:rsidR="008D043B" w:rsidRPr="00F00DB2" w:rsidRDefault="008D043B">
      <w:pPr>
        <w:pStyle w:val="SingleTxtG"/>
        <w:rPr>
          <w:bCs/>
          <w:lang w:val="en-GB"/>
        </w:rPr>
      </w:pPr>
      <w:r w:rsidRPr="00F00DB2">
        <w:rPr>
          <w:bCs/>
          <w:lang w:val="en-GB"/>
        </w:rPr>
        <w:t>5.2</w:t>
      </w:r>
      <w:r w:rsidRPr="00F00DB2">
        <w:rPr>
          <w:bCs/>
          <w:lang w:val="en-GB"/>
        </w:rPr>
        <w:tab/>
        <w:t xml:space="preserve">The author </w:t>
      </w:r>
      <w:r w:rsidR="003D4DA9" w:rsidRPr="00F00DB2">
        <w:rPr>
          <w:bCs/>
          <w:lang w:val="en-GB"/>
        </w:rPr>
        <w:t>reiterates that h</w:t>
      </w:r>
      <w:r w:rsidRPr="00F00DB2">
        <w:rPr>
          <w:bCs/>
          <w:lang w:val="en-GB"/>
        </w:rPr>
        <w:t xml:space="preserve">is legal aid trial lawyer failed to follow </w:t>
      </w:r>
      <w:r w:rsidR="00B6471A" w:rsidRPr="00F00DB2">
        <w:rPr>
          <w:bCs/>
          <w:lang w:val="en-GB"/>
        </w:rPr>
        <w:t>his</w:t>
      </w:r>
      <w:r w:rsidRPr="00F00DB2">
        <w:rPr>
          <w:bCs/>
          <w:lang w:val="en-GB"/>
        </w:rPr>
        <w:t xml:space="preserve"> instructions to call his tw</w:t>
      </w:r>
      <w:r w:rsidR="002F3752" w:rsidRPr="00F00DB2">
        <w:rPr>
          <w:bCs/>
          <w:lang w:val="en-GB"/>
        </w:rPr>
        <w:t>o co</w:t>
      </w:r>
      <w:r w:rsidR="00CF1540" w:rsidRPr="00F00DB2">
        <w:rPr>
          <w:bCs/>
          <w:lang w:val="en-GB"/>
        </w:rPr>
        <w:t>-</w:t>
      </w:r>
      <w:r w:rsidRPr="00F00DB2">
        <w:rPr>
          <w:bCs/>
          <w:lang w:val="en-GB"/>
        </w:rPr>
        <w:t>accused as witnesses, gave improper directions and failed to challenge the size and composition of the jury post.</w:t>
      </w:r>
      <w:r w:rsidR="00B6471A" w:rsidRPr="00F00DB2">
        <w:rPr>
          <w:bCs/>
          <w:lang w:val="en-GB"/>
        </w:rPr>
        <w:t xml:space="preserve"> He further argues that the decision of the Court of Appeal to decline his application for legal aid for his appeal reflects a practice </w:t>
      </w:r>
      <w:r w:rsidR="005F1ED5" w:rsidRPr="00F00DB2">
        <w:rPr>
          <w:bCs/>
          <w:lang w:val="en-GB"/>
        </w:rPr>
        <w:t xml:space="preserve">that was affecting most indigent appellants at the time. </w:t>
      </w:r>
    </w:p>
    <w:p w14:paraId="03923E3E" w14:textId="77777777" w:rsidR="008D043B" w:rsidRPr="00F00DB2" w:rsidRDefault="008D043B">
      <w:pPr>
        <w:pStyle w:val="SingleTxtG"/>
        <w:rPr>
          <w:bCs/>
          <w:lang w:val="en-GB"/>
        </w:rPr>
      </w:pPr>
      <w:r w:rsidRPr="00F00DB2">
        <w:rPr>
          <w:bCs/>
          <w:lang w:val="en-GB"/>
        </w:rPr>
        <w:t>5.3</w:t>
      </w:r>
      <w:r w:rsidRPr="00F00DB2">
        <w:rPr>
          <w:bCs/>
          <w:lang w:val="en-GB"/>
        </w:rPr>
        <w:tab/>
        <w:t xml:space="preserve">Referring to </w:t>
      </w:r>
      <w:r w:rsidR="00CF1540" w:rsidRPr="00F00DB2">
        <w:rPr>
          <w:bCs/>
          <w:lang w:val="en-GB"/>
        </w:rPr>
        <w:t>g</w:t>
      </w:r>
      <w:r w:rsidRPr="00F00DB2">
        <w:rPr>
          <w:bCs/>
          <w:lang w:val="en-GB"/>
        </w:rPr>
        <w:t xml:space="preserve">eneral </w:t>
      </w:r>
      <w:r w:rsidR="00CF1540" w:rsidRPr="00F00DB2">
        <w:rPr>
          <w:bCs/>
          <w:lang w:val="en-GB"/>
        </w:rPr>
        <w:t>c</w:t>
      </w:r>
      <w:r w:rsidRPr="00F00DB2">
        <w:rPr>
          <w:bCs/>
          <w:lang w:val="en-GB"/>
        </w:rPr>
        <w:t>omment 32/28, the author further argues that the Supreme Court failed in its responsibility as third appellate Court by not giving p</w:t>
      </w:r>
      <w:r w:rsidR="00A727B6" w:rsidRPr="00F00DB2">
        <w:rPr>
          <w:bCs/>
          <w:lang w:val="en-GB"/>
        </w:rPr>
        <w:t xml:space="preserve">roper attention to his appeal. </w:t>
      </w:r>
    </w:p>
    <w:p w14:paraId="1C6A8B7F" w14:textId="77777777" w:rsidR="00B5031D" w:rsidRPr="00F00DB2" w:rsidRDefault="000C098C">
      <w:pPr>
        <w:pStyle w:val="SingleTxtG"/>
        <w:rPr>
          <w:bCs/>
          <w:lang w:val="en-GB"/>
        </w:rPr>
      </w:pPr>
      <w:r w:rsidRPr="00F00DB2">
        <w:rPr>
          <w:bCs/>
          <w:lang w:val="en-GB"/>
        </w:rPr>
        <w:t>5.4</w:t>
      </w:r>
      <w:r w:rsidR="00CF2305" w:rsidRPr="00F00DB2">
        <w:rPr>
          <w:bCs/>
          <w:lang w:val="en-GB"/>
        </w:rPr>
        <w:tab/>
      </w:r>
      <w:r w:rsidR="00CF1540" w:rsidRPr="00F00DB2">
        <w:rPr>
          <w:bCs/>
          <w:lang w:val="en-GB"/>
        </w:rPr>
        <w:t>In addition</w:t>
      </w:r>
      <w:r w:rsidR="00CF2305" w:rsidRPr="00F00DB2">
        <w:rPr>
          <w:bCs/>
          <w:lang w:val="en-GB"/>
        </w:rPr>
        <w:t xml:space="preserve">, the author considers that, contrary to State party’s argument, a rehearing by the Court of Appeal </w:t>
      </w:r>
      <w:r w:rsidR="00B5031D" w:rsidRPr="00F00DB2">
        <w:rPr>
          <w:bCs/>
          <w:lang w:val="en-GB"/>
        </w:rPr>
        <w:t xml:space="preserve">is </w:t>
      </w:r>
      <w:r w:rsidR="00CF2305" w:rsidRPr="00F00DB2">
        <w:rPr>
          <w:bCs/>
          <w:lang w:val="en-GB"/>
        </w:rPr>
        <w:t>not an effective remedy when trial transcripts are not available, and the Court does not properly address Covenant breaches. The Supreme Court ignored the Privy Council change of position on undue delay, and its judg</w:t>
      </w:r>
      <w:r w:rsidR="002A31B6" w:rsidRPr="00F00DB2">
        <w:rPr>
          <w:bCs/>
          <w:lang w:val="en-GB"/>
        </w:rPr>
        <w:t>e</w:t>
      </w:r>
      <w:r w:rsidR="00CF2305" w:rsidRPr="00F00DB2">
        <w:rPr>
          <w:bCs/>
          <w:lang w:val="en-GB"/>
        </w:rPr>
        <w:t>ment of one and a half pages clearly demonstrates that the Court did not carry a meticulous and thorough investigation of the arguments he had put forward on appeal.</w:t>
      </w:r>
      <w:r w:rsidR="005F1ED5" w:rsidRPr="00F00DB2">
        <w:rPr>
          <w:bCs/>
          <w:lang w:val="en-GB"/>
        </w:rPr>
        <w:t xml:space="preserve"> H</w:t>
      </w:r>
      <w:r w:rsidR="008A69CF" w:rsidRPr="00F00DB2">
        <w:rPr>
          <w:bCs/>
          <w:lang w:val="en-GB"/>
        </w:rPr>
        <w:t>e therefore considers that h</w:t>
      </w:r>
      <w:r w:rsidR="005F1ED5" w:rsidRPr="00F00DB2">
        <w:rPr>
          <w:bCs/>
          <w:lang w:val="en-GB"/>
        </w:rPr>
        <w:t>is right to have the conviction and sentence reviewed was violated.</w:t>
      </w:r>
      <w:r w:rsidR="00CF2305" w:rsidRPr="00F00DB2">
        <w:rPr>
          <w:bCs/>
          <w:lang w:val="en-GB"/>
        </w:rPr>
        <w:t xml:space="preserve"> </w:t>
      </w:r>
      <w:r w:rsidR="005713FE" w:rsidRPr="00F00DB2">
        <w:rPr>
          <w:bCs/>
          <w:lang w:val="en-GB"/>
        </w:rPr>
        <w:t>The right to appeal without undue delay and the right to have the conviction and sentence reviewed by a higher tribunal according to law are essential parts of a fair trial. The concept of a fair hearing protected under article 14</w:t>
      </w:r>
      <w:r w:rsidR="00CF1540" w:rsidRPr="00F00DB2">
        <w:rPr>
          <w:bCs/>
          <w:lang w:val="en-GB"/>
        </w:rPr>
        <w:t xml:space="preserve"> (1)</w:t>
      </w:r>
      <w:r w:rsidR="005713FE" w:rsidRPr="00F00DB2">
        <w:rPr>
          <w:bCs/>
          <w:lang w:val="en-GB"/>
        </w:rPr>
        <w:t xml:space="preserve"> necessarily entails that justice be rendered without undue delay, which is also provided </w:t>
      </w:r>
      <w:r w:rsidR="00CF1540" w:rsidRPr="00F00DB2">
        <w:rPr>
          <w:bCs/>
          <w:lang w:val="en-GB"/>
        </w:rPr>
        <w:t xml:space="preserve">under </w:t>
      </w:r>
      <w:r w:rsidR="005713FE" w:rsidRPr="00F00DB2">
        <w:rPr>
          <w:bCs/>
          <w:lang w:val="en-GB"/>
        </w:rPr>
        <w:t>article 14</w:t>
      </w:r>
      <w:r w:rsidR="00CF1540" w:rsidRPr="00F00DB2">
        <w:rPr>
          <w:bCs/>
          <w:lang w:val="en-GB"/>
        </w:rPr>
        <w:t xml:space="preserve"> (3) (c)</w:t>
      </w:r>
      <w:r w:rsidR="005713FE" w:rsidRPr="00F00DB2">
        <w:rPr>
          <w:bCs/>
          <w:lang w:val="en-GB"/>
        </w:rPr>
        <w:t xml:space="preserve"> of the Covenant. The author refers to the Committee’s jurisprudence</w:t>
      </w:r>
      <w:r w:rsidR="00CF1540" w:rsidRPr="00F00DB2">
        <w:rPr>
          <w:bCs/>
          <w:lang w:val="en-GB"/>
        </w:rPr>
        <w:t>,</w:t>
      </w:r>
      <w:r w:rsidR="005713FE" w:rsidRPr="00F00DB2">
        <w:rPr>
          <w:bCs/>
          <w:lang w:val="en-GB"/>
        </w:rPr>
        <w:t xml:space="preserve"> </w:t>
      </w:r>
      <w:r w:rsidR="00B502D3" w:rsidRPr="00F00DB2">
        <w:rPr>
          <w:bCs/>
          <w:lang w:val="en-GB"/>
        </w:rPr>
        <w:t xml:space="preserve">according to </w:t>
      </w:r>
      <w:r w:rsidR="005713FE" w:rsidRPr="00F00DB2">
        <w:rPr>
          <w:bCs/>
          <w:lang w:val="en-GB"/>
        </w:rPr>
        <w:t>which the right of the accused to be tried without undue delay is not only designed to avoid keeping persons too long in a state of uncertainty about their fate, but also to serve the interest of justice.</w:t>
      </w:r>
      <w:r w:rsidR="005713FE" w:rsidRPr="00F00DB2">
        <w:rPr>
          <w:rStyle w:val="FootnoteReference"/>
          <w:bCs/>
          <w:lang w:val="en-GB"/>
        </w:rPr>
        <w:footnoteReference w:id="13"/>
      </w:r>
      <w:r w:rsidR="00D03277" w:rsidRPr="00F00DB2">
        <w:rPr>
          <w:bCs/>
          <w:lang w:val="en-GB"/>
        </w:rPr>
        <w:t xml:space="preserve"> </w:t>
      </w:r>
    </w:p>
    <w:p w14:paraId="3E7638BD" w14:textId="77777777" w:rsidR="00D03277" w:rsidRPr="00F00DB2" w:rsidRDefault="000C098C">
      <w:pPr>
        <w:pStyle w:val="SingleTxtG"/>
        <w:rPr>
          <w:bCs/>
          <w:lang w:val="en-GB"/>
        </w:rPr>
      </w:pPr>
      <w:r w:rsidRPr="00F00DB2">
        <w:rPr>
          <w:bCs/>
          <w:lang w:val="en-GB"/>
        </w:rPr>
        <w:t>5.5</w:t>
      </w:r>
      <w:r w:rsidR="00D03277" w:rsidRPr="00F00DB2">
        <w:rPr>
          <w:bCs/>
          <w:lang w:val="en-GB"/>
        </w:rPr>
        <w:tab/>
        <w:t xml:space="preserve">The author further argues that </w:t>
      </w:r>
      <w:r w:rsidR="00433855" w:rsidRPr="00F00DB2">
        <w:rPr>
          <w:bCs/>
          <w:lang w:val="en-GB"/>
        </w:rPr>
        <w:t>m</w:t>
      </w:r>
      <w:r w:rsidR="00D03277" w:rsidRPr="00F00DB2">
        <w:rPr>
          <w:bCs/>
          <w:lang w:val="en-GB"/>
        </w:rPr>
        <w:t>ore than 15 years have passed since he was convicted and sentenced in the High Court of New Zealand. He insisted that he was not guilty, and then logically sought leave to appeal</w:t>
      </w:r>
      <w:r w:rsidR="004A2B9D" w:rsidRPr="00F00DB2">
        <w:rPr>
          <w:bCs/>
          <w:lang w:val="en-GB"/>
        </w:rPr>
        <w:t>, which was the only remedy available for him at this stage</w:t>
      </w:r>
      <w:r w:rsidR="00D03277" w:rsidRPr="00F00DB2">
        <w:rPr>
          <w:bCs/>
          <w:lang w:val="en-GB"/>
        </w:rPr>
        <w:t>.</w:t>
      </w:r>
      <w:r w:rsidR="004A2B9D" w:rsidRPr="00F00DB2">
        <w:rPr>
          <w:bCs/>
          <w:lang w:val="en-GB"/>
        </w:rPr>
        <w:t xml:space="preserve"> The author argues that he lost the opportunity of receiving a thorough appeal by the Court of Appeal in 1996 as he was denied legal aid and declined the transcript of the summing</w:t>
      </w:r>
      <w:r w:rsidR="00D652D9" w:rsidRPr="00F00DB2">
        <w:rPr>
          <w:bCs/>
          <w:lang w:val="en-GB"/>
        </w:rPr>
        <w:t>-</w:t>
      </w:r>
      <w:r w:rsidR="004A2B9D" w:rsidRPr="00F00DB2">
        <w:rPr>
          <w:bCs/>
          <w:lang w:val="en-GB"/>
        </w:rPr>
        <w:t xml:space="preserve">up, and his appeal dismissed by an ex parte decision. However, he (and 11 others) appealed the Privy Council where his right to legal aid was affirmed, and the Court longstanding and unlawful practice was condemned in the strongest terms. The State party dismissed the author’s undue delay claim because “delay </w:t>
      </w:r>
      <w:r w:rsidR="005E3E36" w:rsidRPr="00F00DB2">
        <w:rPr>
          <w:bCs/>
          <w:lang w:val="en-GB"/>
        </w:rPr>
        <w:t>for which the State is not responsible [</w:t>
      </w:r>
      <w:r w:rsidR="006A2D4D" w:rsidRPr="00F00DB2">
        <w:rPr>
          <w:bCs/>
          <w:lang w:val="en-GB"/>
        </w:rPr>
        <w:t>.</w:t>
      </w:r>
      <w:r w:rsidR="005E3E36" w:rsidRPr="00F00DB2">
        <w:rPr>
          <w:bCs/>
          <w:lang w:val="en-GB"/>
        </w:rPr>
        <w:t xml:space="preserve">..] cannot be prayed in aid by the appellants”. </w:t>
      </w:r>
      <w:r w:rsidR="00EF1819" w:rsidRPr="00F00DB2">
        <w:rPr>
          <w:bCs/>
          <w:lang w:val="en-GB"/>
        </w:rPr>
        <w:t>However, the author considers that</w:t>
      </w:r>
      <w:r w:rsidR="005E3E36" w:rsidRPr="00F00DB2">
        <w:rPr>
          <w:bCs/>
          <w:lang w:val="en-GB"/>
        </w:rPr>
        <w:t xml:space="preserve"> in the present </w:t>
      </w:r>
      <w:r w:rsidR="006A2D4D" w:rsidRPr="00F00DB2">
        <w:rPr>
          <w:bCs/>
          <w:lang w:val="en-GB"/>
        </w:rPr>
        <w:t>case</w:t>
      </w:r>
      <w:r w:rsidR="005E3E36" w:rsidRPr="00F00DB2">
        <w:rPr>
          <w:bCs/>
          <w:lang w:val="en-GB"/>
        </w:rPr>
        <w:t>,</w:t>
      </w:r>
      <w:r w:rsidR="00B502D3" w:rsidRPr="00F00DB2">
        <w:rPr>
          <w:bCs/>
          <w:lang w:val="en-GB"/>
        </w:rPr>
        <w:t xml:space="preserve"> he</w:t>
      </w:r>
      <w:r w:rsidR="00EB6708" w:rsidRPr="00F00DB2">
        <w:rPr>
          <w:bCs/>
          <w:lang w:val="en-GB"/>
        </w:rPr>
        <w:t xml:space="preserve"> had to suffer this long period of time until his claims were going to be heard and reviewed properly </w:t>
      </w:r>
      <w:r w:rsidR="005E3E36" w:rsidRPr="00F00DB2">
        <w:rPr>
          <w:bCs/>
          <w:lang w:val="en-GB"/>
        </w:rPr>
        <w:t xml:space="preserve">because of the State party’s failure to guarantee fair trial procedures and the longstanding </w:t>
      </w:r>
      <w:r w:rsidR="006A2D4D" w:rsidRPr="00F00DB2">
        <w:rPr>
          <w:bCs/>
          <w:lang w:val="en-GB"/>
        </w:rPr>
        <w:t>unlawful practice of the Court of Appeal. In this connection, the author refers to the jurisprudence of the Privy Council</w:t>
      </w:r>
      <w:r w:rsidR="00685CCE" w:rsidRPr="00F00DB2">
        <w:rPr>
          <w:bCs/>
          <w:lang w:val="en-GB"/>
        </w:rPr>
        <w:t xml:space="preserve"> in which it was stated that </w:t>
      </w:r>
      <w:r w:rsidR="00685CCE" w:rsidRPr="00F00DB2">
        <w:rPr>
          <w:bCs/>
          <w:i/>
          <w:lang w:val="en-GB"/>
        </w:rPr>
        <w:t>R v Taito</w:t>
      </w:r>
      <w:r w:rsidR="00685CCE" w:rsidRPr="00F00DB2">
        <w:rPr>
          <w:bCs/>
          <w:lang w:val="en-GB"/>
        </w:rPr>
        <w:t xml:space="preserve"> was “inconsistent with the proposition that the normal remedy for such a breach is the quashing of the conviction”, and “a reduction of the sentence by nine months was a just disposal in the spirit of article 6(1)”.</w:t>
      </w:r>
      <w:r w:rsidR="00EF1819" w:rsidRPr="00F00DB2">
        <w:rPr>
          <w:rStyle w:val="FootnoteReference"/>
          <w:bCs/>
          <w:lang w:val="en-GB"/>
        </w:rPr>
        <w:footnoteReference w:id="14"/>
      </w:r>
      <w:r w:rsidR="00685CCE" w:rsidRPr="00F00DB2">
        <w:rPr>
          <w:bCs/>
          <w:lang w:val="en-GB"/>
        </w:rPr>
        <w:t xml:space="preserve"> The </w:t>
      </w:r>
      <w:r w:rsidR="00EB6708" w:rsidRPr="00F00DB2">
        <w:rPr>
          <w:bCs/>
          <w:lang w:val="en-GB"/>
        </w:rPr>
        <w:t xml:space="preserve">author argues that the </w:t>
      </w:r>
      <w:r w:rsidR="00685CCE" w:rsidRPr="00F00DB2">
        <w:rPr>
          <w:bCs/>
          <w:lang w:val="en-GB"/>
        </w:rPr>
        <w:t>Committee has made clear that the right to a speedy trial applies to the appellate process as well</w:t>
      </w:r>
      <w:r w:rsidR="000E42E5" w:rsidRPr="00F00DB2">
        <w:rPr>
          <w:bCs/>
          <w:lang w:val="en-GB"/>
        </w:rPr>
        <w:t>.</w:t>
      </w:r>
      <w:r w:rsidR="000E42E5" w:rsidRPr="00F00DB2">
        <w:rPr>
          <w:rStyle w:val="FootnoteReference"/>
          <w:bCs/>
          <w:lang w:val="en-GB"/>
        </w:rPr>
        <w:footnoteReference w:id="15"/>
      </w:r>
      <w:r w:rsidR="000E42E5" w:rsidRPr="00F00DB2">
        <w:rPr>
          <w:bCs/>
          <w:lang w:val="en-GB"/>
        </w:rPr>
        <w:t xml:space="preserve"> </w:t>
      </w:r>
      <w:r w:rsidR="00EB6708" w:rsidRPr="00F00DB2">
        <w:rPr>
          <w:bCs/>
          <w:lang w:val="en-GB"/>
        </w:rPr>
        <w:t>He refers to the Committee’s jurisprudence under which</w:t>
      </w:r>
      <w:r w:rsidR="00685CCE" w:rsidRPr="00F00DB2">
        <w:rPr>
          <w:bCs/>
          <w:lang w:val="en-GB"/>
        </w:rPr>
        <w:t xml:space="preserve"> a four-year delay</w:t>
      </w:r>
      <w:r w:rsidR="001E578E" w:rsidRPr="00F00DB2">
        <w:rPr>
          <w:bCs/>
          <w:lang w:val="en-GB"/>
        </w:rPr>
        <w:t>,</w:t>
      </w:r>
      <w:r w:rsidR="00685CCE" w:rsidRPr="00F00DB2">
        <w:rPr>
          <w:bCs/>
          <w:lang w:val="en-GB"/>
        </w:rPr>
        <w:t xml:space="preserve"> from the time an appeal was rejected until the opinion stating the reasons for the rejection was issued</w:t>
      </w:r>
      <w:r w:rsidR="001E578E" w:rsidRPr="00F00DB2">
        <w:rPr>
          <w:bCs/>
          <w:lang w:val="en-GB"/>
        </w:rPr>
        <w:t>,</w:t>
      </w:r>
      <w:r w:rsidR="00685CCE" w:rsidRPr="00F00DB2">
        <w:rPr>
          <w:bCs/>
          <w:lang w:val="en-GB"/>
        </w:rPr>
        <w:t xml:space="preserve"> </w:t>
      </w:r>
      <w:r w:rsidR="00EB6708" w:rsidRPr="00F00DB2">
        <w:rPr>
          <w:bCs/>
          <w:lang w:val="en-GB"/>
        </w:rPr>
        <w:t>was considered</w:t>
      </w:r>
      <w:r w:rsidR="00685CCE" w:rsidRPr="00F00DB2">
        <w:rPr>
          <w:bCs/>
          <w:lang w:val="en-GB"/>
        </w:rPr>
        <w:t xml:space="preserve"> undue</w:t>
      </w:r>
      <w:r w:rsidR="000E42E5" w:rsidRPr="00F00DB2">
        <w:rPr>
          <w:bCs/>
          <w:lang w:val="en-GB"/>
        </w:rPr>
        <w:t>;</w:t>
      </w:r>
      <w:r w:rsidR="00685CCE" w:rsidRPr="00F00DB2">
        <w:rPr>
          <w:rStyle w:val="FootnoteReference"/>
          <w:bCs/>
          <w:lang w:val="en-GB"/>
        </w:rPr>
        <w:footnoteReference w:id="16"/>
      </w:r>
      <w:r w:rsidR="00827301" w:rsidRPr="00F00DB2">
        <w:rPr>
          <w:bCs/>
          <w:lang w:val="en-GB"/>
        </w:rPr>
        <w:t xml:space="preserve"> a delay of over four years and seven months between conviction and the judg</w:t>
      </w:r>
      <w:r w:rsidR="002A31B6" w:rsidRPr="00F00DB2">
        <w:rPr>
          <w:bCs/>
          <w:lang w:val="en-GB"/>
        </w:rPr>
        <w:t>e</w:t>
      </w:r>
      <w:r w:rsidR="00827301" w:rsidRPr="00F00DB2">
        <w:rPr>
          <w:bCs/>
          <w:lang w:val="en-GB"/>
        </w:rPr>
        <w:t>ment on appeal was</w:t>
      </w:r>
      <w:r w:rsidR="000638C9" w:rsidRPr="00F00DB2">
        <w:rPr>
          <w:bCs/>
          <w:lang w:val="en-GB"/>
        </w:rPr>
        <w:t xml:space="preserve"> held</w:t>
      </w:r>
      <w:r w:rsidR="00827301" w:rsidRPr="00F00DB2">
        <w:rPr>
          <w:bCs/>
          <w:lang w:val="en-GB"/>
        </w:rPr>
        <w:t xml:space="preserve"> </w:t>
      </w:r>
      <w:r w:rsidR="001E578E" w:rsidRPr="00F00DB2">
        <w:rPr>
          <w:bCs/>
          <w:lang w:val="en-GB"/>
        </w:rPr>
        <w:t xml:space="preserve">to be </w:t>
      </w:r>
      <w:r w:rsidR="00827301" w:rsidRPr="00F00DB2">
        <w:rPr>
          <w:bCs/>
          <w:lang w:val="en-GB"/>
        </w:rPr>
        <w:t>excessive</w:t>
      </w:r>
      <w:r w:rsidR="000E42E5" w:rsidRPr="00F00DB2">
        <w:rPr>
          <w:bCs/>
          <w:lang w:val="en-GB"/>
        </w:rPr>
        <w:t>;</w:t>
      </w:r>
      <w:r w:rsidR="00827301" w:rsidRPr="00F00DB2">
        <w:rPr>
          <w:rStyle w:val="FootnoteReference"/>
          <w:bCs/>
          <w:lang w:val="en-GB"/>
        </w:rPr>
        <w:footnoteReference w:id="17"/>
      </w:r>
      <w:r w:rsidR="00827301" w:rsidRPr="00F00DB2">
        <w:rPr>
          <w:bCs/>
          <w:lang w:val="en-GB"/>
        </w:rPr>
        <w:t xml:space="preserve"> </w:t>
      </w:r>
      <w:r w:rsidR="00AD2867" w:rsidRPr="00F00DB2">
        <w:rPr>
          <w:bCs/>
          <w:lang w:val="en-GB"/>
        </w:rPr>
        <w:t>and even a delay of two and a half years in the hearing of the complainant’s appeal was held to be a violation</w:t>
      </w:r>
      <w:r w:rsidR="000638C9" w:rsidRPr="00F00DB2">
        <w:rPr>
          <w:bCs/>
          <w:lang w:val="en-GB"/>
        </w:rPr>
        <w:t xml:space="preserve"> of the Covenant</w:t>
      </w:r>
      <w:r w:rsidR="00AD2867" w:rsidRPr="00F00DB2">
        <w:rPr>
          <w:bCs/>
          <w:lang w:val="en-GB"/>
        </w:rPr>
        <w:t>.</w:t>
      </w:r>
      <w:r w:rsidR="00AD2867" w:rsidRPr="00F00DB2">
        <w:rPr>
          <w:rStyle w:val="FootnoteReference"/>
          <w:bCs/>
          <w:lang w:val="en-GB"/>
        </w:rPr>
        <w:footnoteReference w:id="18"/>
      </w:r>
    </w:p>
    <w:p w14:paraId="586B8DF0" w14:textId="77777777" w:rsidR="00433855" w:rsidRPr="00F00DB2" w:rsidRDefault="00433855">
      <w:pPr>
        <w:pStyle w:val="SingleTxtG"/>
        <w:rPr>
          <w:bCs/>
          <w:lang w:val="en-GB"/>
        </w:rPr>
      </w:pPr>
      <w:r w:rsidRPr="00F00DB2">
        <w:rPr>
          <w:bCs/>
          <w:lang w:val="en-GB"/>
        </w:rPr>
        <w:t>5.</w:t>
      </w:r>
      <w:r w:rsidR="000C098C" w:rsidRPr="00F00DB2">
        <w:rPr>
          <w:bCs/>
          <w:lang w:val="en-GB"/>
        </w:rPr>
        <w:t>6</w:t>
      </w:r>
      <w:r w:rsidRPr="00F00DB2">
        <w:rPr>
          <w:bCs/>
          <w:lang w:val="en-GB"/>
        </w:rPr>
        <w:tab/>
        <w:t xml:space="preserve">The author considers that the undue delay he suffered resulted in the impossibility for him to </w:t>
      </w:r>
      <w:r w:rsidR="001E578E" w:rsidRPr="00F00DB2">
        <w:rPr>
          <w:bCs/>
          <w:lang w:val="en-GB"/>
        </w:rPr>
        <w:t xml:space="preserve">obtain </w:t>
      </w:r>
      <w:r w:rsidRPr="00F00DB2">
        <w:rPr>
          <w:bCs/>
          <w:lang w:val="en-GB"/>
        </w:rPr>
        <w:t xml:space="preserve">a fair appeal because relevant documentation went missing, and therefore to </w:t>
      </w:r>
      <w:r w:rsidR="001E578E" w:rsidRPr="00F00DB2">
        <w:rPr>
          <w:bCs/>
          <w:lang w:val="en-GB"/>
        </w:rPr>
        <w:t xml:space="preserve">obtain </w:t>
      </w:r>
      <w:r w:rsidRPr="00F00DB2">
        <w:rPr>
          <w:bCs/>
          <w:lang w:val="en-GB"/>
        </w:rPr>
        <w:t>an adequate defence. Additionally, such a lengthy delay caused anxiety to the author as to the uncertain outcome of the proceedings</w:t>
      </w:r>
      <w:r w:rsidR="001729EC" w:rsidRPr="00F00DB2">
        <w:rPr>
          <w:bCs/>
          <w:lang w:val="en-GB"/>
        </w:rPr>
        <w:t xml:space="preserve">. </w:t>
      </w:r>
    </w:p>
    <w:p w14:paraId="313123E1" w14:textId="77777777" w:rsidR="00A86CC4" w:rsidRPr="00F00DB2" w:rsidRDefault="00A86CC4">
      <w:pPr>
        <w:pStyle w:val="SingleTxtG"/>
        <w:rPr>
          <w:bCs/>
          <w:lang w:val="en-GB"/>
        </w:rPr>
      </w:pPr>
      <w:r w:rsidRPr="00F00DB2">
        <w:rPr>
          <w:bCs/>
          <w:lang w:val="en-GB"/>
        </w:rPr>
        <w:t>5.</w:t>
      </w:r>
      <w:r w:rsidR="000C098C" w:rsidRPr="00F00DB2">
        <w:rPr>
          <w:bCs/>
          <w:lang w:val="en-GB"/>
        </w:rPr>
        <w:t>7</w:t>
      </w:r>
      <w:r w:rsidRPr="00F00DB2">
        <w:rPr>
          <w:bCs/>
          <w:lang w:val="en-GB"/>
        </w:rPr>
        <w:tab/>
        <w:t>The author then reiterates his arguments with regard to the consequences of the fact that he was not given access to the trial judge’s summing</w:t>
      </w:r>
      <w:r w:rsidR="00D652D9" w:rsidRPr="00F00DB2">
        <w:rPr>
          <w:bCs/>
          <w:lang w:val="en-GB"/>
        </w:rPr>
        <w:t>-</w:t>
      </w:r>
      <w:r w:rsidRPr="00F00DB2">
        <w:rPr>
          <w:bCs/>
          <w:lang w:val="en-GB"/>
        </w:rPr>
        <w:t>up and to legal aid in 1996. He argues that the denial of the summing</w:t>
      </w:r>
      <w:r w:rsidR="00D652D9" w:rsidRPr="00F00DB2">
        <w:rPr>
          <w:bCs/>
          <w:lang w:val="en-GB"/>
        </w:rPr>
        <w:t>-</w:t>
      </w:r>
      <w:r w:rsidRPr="00F00DB2">
        <w:rPr>
          <w:bCs/>
          <w:lang w:val="en-GB"/>
        </w:rPr>
        <w:t>up triggered a chain reaction of Covenant violations: he was deprived of his fundamental right to adequate facilities to prepare his defence; the right to a fair hearing, including appeal; the right to natural justice; the right to be treated equally before the courts; the right to have his conviction and sentence reviewed by a higher tribunal according to law</w:t>
      </w:r>
      <w:r w:rsidR="001E578E" w:rsidRPr="00F00DB2">
        <w:rPr>
          <w:bCs/>
          <w:lang w:val="en-GB"/>
        </w:rPr>
        <w:t>;</w:t>
      </w:r>
      <w:r w:rsidRPr="00F00DB2">
        <w:rPr>
          <w:bCs/>
          <w:lang w:val="en-GB"/>
        </w:rPr>
        <w:t xml:space="preserve"> and the right to be treated without discrimination. He refers to the jurisprudence of the Committee</w:t>
      </w:r>
      <w:r w:rsidR="001E578E" w:rsidRPr="00F00DB2">
        <w:rPr>
          <w:bCs/>
          <w:lang w:val="en-GB"/>
        </w:rPr>
        <w:t>,</w:t>
      </w:r>
      <w:r w:rsidRPr="00F00DB2">
        <w:rPr>
          <w:bCs/>
          <w:lang w:val="en-GB"/>
        </w:rPr>
        <w:t xml:space="preserve"> </w:t>
      </w:r>
      <w:r w:rsidR="00B5288E" w:rsidRPr="00F00DB2">
        <w:rPr>
          <w:bCs/>
          <w:lang w:val="en-GB"/>
        </w:rPr>
        <w:t>according to</w:t>
      </w:r>
      <w:r w:rsidRPr="00F00DB2">
        <w:rPr>
          <w:bCs/>
          <w:lang w:val="en-GB"/>
        </w:rPr>
        <w:t xml:space="preserve"> which “a remedy must be effective, as well as formally available”</w:t>
      </w:r>
      <w:r w:rsidR="00B5288E" w:rsidRPr="00F00DB2">
        <w:rPr>
          <w:bCs/>
          <w:lang w:val="en-GB"/>
        </w:rPr>
        <w:t>,</w:t>
      </w:r>
      <w:r w:rsidR="006C0555" w:rsidRPr="00F00DB2">
        <w:rPr>
          <w:bCs/>
          <w:lang w:val="en-GB"/>
        </w:rPr>
        <w:t xml:space="preserve"> </w:t>
      </w:r>
      <w:r w:rsidR="00347C85" w:rsidRPr="00F00DB2">
        <w:rPr>
          <w:bCs/>
          <w:lang w:val="en-GB"/>
        </w:rPr>
        <w:t>and entails</w:t>
      </w:r>
      <w:r w:rsidR="00B5288E" w:rsidRPr="00F00DB2">
        <w:rPr>
          <w:bCs/>
          <w:lang w:val="en-GB"/>
        </w:rPr>
        <w:t xml:space="preserve"> the obligation for </w:t>
      </w:r>
      <w:r w:rsidR="006C0555" w:rsidRPr="00F00DB2">
        <w:rPr>
          <w:bCs/>
          <w:lang w:val="en-GB"/>
        </w:rPr>
        <w:t xml:space="preserve">the State party </w:t>
      </w:r>
      <w:r w:rsidR="00B5288E" w:rsidRPr="00F00DB2">
        <w:rPr>
          <w:bCs/>
          <w:lang w:val="en-GB"/>
        </w:rPr>
        <w:t>to</w:t>
      </w:r>
      <w:r w:rsidR="006C0555" w:rsidRPr="00F00DB2">
        <w:rPr>
          <w:bCs/>
          <w:lang w:val="en-GB"/>
        </w:rPr>
        <w:t xml:space="preserve"> provide the convicted person with access to the judg</w:t>
      </w:r>
      <w:r w:rsidR="001E578E" w:rsidRPr="00F00DB2">
        <w:rPr>
          <w:bCs/>
          <w:lang w:val="en-GB"/>
        </w:rPr>
        <w:t>e</w:t>
      </w:r>
      <w:r w:rsidR="006C0555" w:rsidRPr="00F00DB2">
        <w:rPr>
          <w:bCs/>
          <w:lang w:val="en-GB"/>
        </w:rPr>
        <w:t>ments and documents necessary to enjoy the effective exercise of the right to appeal</w:t>
      </w:r>
      <w:r w:rsidRPr="00F00DB2">
        <w:rPr>
          <w:bCs/>
          <w:lang w:val="en-GB"/>
        </w:rPr>
        <w:t>.</w:t>
      </w:r>
      <w:r w:rsidR="008C73FA" w:rsidRPr="00F00DB2">
        <w:rPr>
          <w:rStyle w:val="FootnoteReference"/>
          <w:bCs/>
          <w:lang w:val="en-GB"/>
        </w:rPr>
        <w:footnoteReference w:id="19"/>
      </w:r>
      <w:r w:rsidR="006C0555" w:rsidRPr="00F00DB2">
        <w:rPr>
          <w:bCs/>
          <w:lang w:val="en-GB"/>
        </w:rPr>
        <w:t xml:space="preserve"> </w:t>
      </w:r>
    </w:p>
    <w:p w14:paraId="453A3399" w14:textId="77777777" w:rsidR="00795788" w:rsidRPr="00F00DB2" w:rsidRDefault="002D1FDF" w:rsidP="000B1080">
      <w:pPr>
        <w:pStyle w:val="SingleTxtG"/>
        <w:rPr>
          <w:bCs/>
          <w:lang w:val="en-GB"/>
        </w:rPr>
      </w:pPr>
      <w:r w:rsidRPr="00F00DB2">
        <w:rPr>
          <w:bCs/>
          <w:lang w:val="en-GB"/>
        </w:rPr>
        <w:t>5.</w:t>
      </w:r>
      <w:r w:rsidR="000C098C" w:rsidRPr="00F00DB2">
        <w:rPr>
          <w:bCs/>
          <w:lang w:val="en-GB"/>
        </w:rPr>
        <w:t>8</w:t>
      </w:r>
      <w:r w:rsidR="00347C85" w:rsidRPr="00F00DB2">
        <w:rPr>
          <w:bCs/>
          <w:lang w:val="en-GB"/>
        </w:rPr>
        <w:tab/>
      </w:r>
      <w:r w:rsidRPr="00F00DB2">
        <w:rPr>
          <w:bCs/>
          <w:lang w:val="en-GB"/>
        </w:rPr>
        <w:t xml:space="preserve">The author also reiterates his </w:t>
      </w:r>
      <w:r w:rsidR="00B5288E" w:rsidRPr="00F00DB2">
        <w:rPr>
          <w:bCs/>
          <w:lang w:val="en-GB"/>
        </w:rPr>
        <w:t>arguments</w:t>
      </w:r>
      <w:r w:rsidRPr="00F00DB2">
        <w:rPr>
          <w:bCs/>
          <w:lang w:val="en-GB"/>
        </w:rPr>
        <w:t xml:space="preserve"> with regard to </w:t>
      </w:r>
      <w:r w:rsidR="00B5288E" w:rsidRPr="00F00DB2">
        <w:rPr>
          <w:bCs/>
          <w:lang w:val="en-GB"/>
        </w:rPr>
        <w:t>his allegations of a</w:t>
      </w:r>
      <w:r w:rsidRPr="00F00DB2">
        <w:rPr>
          <w:bCs/>
          <w:lang w:val="en-GB"/>
        </w:rPr>
        <w:t xml:space="preserve"> biased </w:t>
      </w:r>
      <w:r w:rsidR="004E3BA2" w:rsidRPr="00F00DB2">
        <w:rPr>
          <w:bCs/>
          <w:lang w:val="en-GB"/>
        </w:rPr>
        <w:t xml:space="preserve">and discriminatory </w:t>
      </w:r>
      <w:r w:rsidRPr="00F00DB2">
        <w:rPr>
          <w:bCs/>
          <w:lang w:val="en-GB"/>
        </w:rPr>
        <w:t xml:space="preserve">selection of the jury, </w:t>
      </w:r>
      <w:r w:rsidR="00B5288E" w:rsidRPr="00F00DB2">
        <w:rPr>
          <w:bCs/>
          <w:lang w:val="en-GB"/>
        </w:rPr>
        <w:t>of an</w:t>
      </w:r>
      <w:r w:rsidRPr="00F00DB2">
        <w:rPr>
          <w:bCs/>
          <w:lang w:val="en-GB"/>
        </w:rPr>
        <w:t xml:space="preserve"> incompetent </w:t>
      </w:r>
      <w:r w:rsidR="00B5288E" w:rsidRPr="00F00DB2">
        <w:rPr>
          <w:bCs/>
          <w:lang w:val="en-GB"/>
        </w:rPr>
        <w:t>conduct of his counsel at trial, and of the lack of independen</w:t>
      </w:r>
      <w:r w:rsidR="00973151" w:rsidRPr="00F00DB2">
        <w:rPr>
          <w:bCs/>
          <w:lang w:val="en-GB"/>
        </w:rPr>
        <w:t>ce</w:t>
      </w:r>
      <w:r w:rsidR="00B5288E" w:rsidRPr="00F00DB2">
        <w:rPr>
          <w:bCs/>
          <w:lang w:val="en-GB"/>
        </w:rPr>
        <w:t xml:space="preserve"> and impartiality of the Tribunal. As he has already served his prison sentence, the author considers that the only realistic remedy </w:t>
      </w:r>
      <w:r w:rsidR="00973151" w:rsidRPr="00F00DB2">
        <w:rPr>
          <w:bCs/>
          <w:lang w:val="en-GB"/>
        </w:rPr>
        <w:t xml:space="preserve">for him </w:t>
      </w:r>
      <w:r w:rsidR="00B5288E" w:rsidRPr="00F00DB2">
        <w:rPr>
          <w:bCs/>
          <w:lang w:val="en-GB"/>
        </w:rPr>
        <w:t xml:space="preserve">would be adequate compensation. </w:t>
      </w:r>
    </w:p>
    <w:p w14:paraId="64DA4BA6" w14:textId="77777777" w:rsidR="00F35149" w:rsidRPr="00F00DB2" w:rsidRDefault="003134AC" w:rsidP="00F35149">
      <w:pPr>
        <w:pStyle w:val="H23G"/>
      </w:pPr>
      <w:r w:rsidRPr="00F00DB2">
        <w:tab/>
      </w:r>
      <w:r w:rsidRPr="00F00DB2">
        <w:tab/>
      </w:r>
      <w:r w:rsidR="00F35149" w:rsidRPr="00F00DB2">
        <w:t>Issues and proceedings before the Committee</w:t>
      </w:r>
    </w:p>
    <w:p w14:paraId="2594FBB1" w14:textId="77777777" w:rsidR="00F35149" w:rsidRPr="00F00DB2" w:rsidRDefault="00F35149" w:rsidP="00F35149">
      <w:pPr>
        <w:pStyle w:val="H4G"/>
      </w:pPr>
      <w:r w:rsidRPr="00F00DB2">
        <w:tab/>
      </w:r>
      <w:r w:rsidRPr="00F00DB2">
        <w:tab/>
        <w:t>Consideration of admissibility</w:t>
      </w:r>
    </w:p>
    <w:p w14:paraId="5F888DB7" w14:textId="77777777" w:rsidR="00F35149" w:rsidRPr="00E533B6" w:rsidRDefault="00446ABC" w:rsidP="00F35149">
      <w:pPr>
        <w:pStyle w:val="SingleTxtG"/>
        <w:rPr>
          <w:bCs/>
          <w:lang w:val="en-GB"/>
        </w:rPr>
      </w:pPr>
      <w:r w:rsidRPr="00F00DB2">
        <w:rPr>
          <w:bCs/>
          <w:lang w:val="en-GB"/>
        </w:rPr>
        <w:t>6</w:t>
      </w:r>
      <w:r w:rsidR="00F35149" w:rsidRPr="00E533B6">
        <w:rPr>
          <w:bCs/>
          <w:lang w:val="en-GB"/>
        </w:rPr>
        <w:t>.1</w:t>
      </w:r>
      <w:r w:rsidR="00F35149" w:rsidRPr="00E533B6">
        <w:rPr>
          <w:bCs/>
          <w:lang w:val="en-GB"/>
        </w:rPr>
        <w:tab/>
        <w:t>Before considering any claims contained in a communication, the Human Rights Committee must, in accordance with rule 93 of its rules of procedure, decide whether or not it is admissible under the Optional Protocol to the Covenant.</w:t>
      </w:r>
    </w:p>
    <w:p w14:paraId="14B18C36" w14:textId="77777777" w:rsidR="00F60C3B" w:rsidRPr="00F00DB2" w:rsidRDefault="00446ABC">
      <w:pPr>
        <w:pStyle w:val="SingleTxtG"/>
        <w:rPr>
          <w:lang w:val="en-GB"/>
        </w:rPr>
      </w:pPr>
      <w:r w:rsidRPr="00F00DB2">
        <w:rPr>
          <w:bCs/>
          <w:lang w:val="en-GB"/>
        </w:rPr>
        <w:t>6</w:t>
      </w:r>
      <w:r w:rsidR="00F35149" w:rsidRPr="00E533B6">
        <w:rPr>
          <w:bCs/>
          <w:lang w:val="en-GB"/>
        </w:rPr>
        <w:t>.2</w:t>
      </w:r>
      <w:r w:rsidR="00F35149" w:rsidRPr="00E533B6">
        <w:rPr>
          <w:bCs/>
          <w:lang w:val="en-GB"/>
        </w:rPr>
        <w:tab/>
        <w:t>The Committee has ascertained, as required under article 5</w:t>
      </w:r>
      <w:r w:rsidR="00F35149" w:rsidRPr="00F00DB2">
        <w:rPr>
          <w:bCs/>
          <w:lang w:val="en-GB"/>
        </w:rPr>
        <w:t xml:space="preserve"> </w:t>
      </w:r>
      <w:r w:rsidR="00EB297B" w:rsidRPr="00F00DB2">
        <w:rPr>
          <w:bCs/>
          <w:lang w:val="en-GB"/>
        </w:rPr>
        <w:t>(</w:t>
      </w:r>
      <w:r w:rsidR="00F35149" w:rsidRPr="00F00DB2">
        <w:rPr>
          <w:bCs/>
          <w:lang w:val="en-GB"/>
        </w:rPr>
        <w:t>2</w:t>
      </w:r>
      <w:r w:rsidR="00EB297B" w:rsidRPr="00F00DB2">
        <w:rPr>
          <w:bCs/>
          <w:lang w:val="en-GB"/>
        </w:rPr>
        <w:t>)</w:t>
      </w:r>
      <w:r w:rsidR="00F35149" w:rsidRPr="00F00DB2">
        <w:rPr>
          <w:bCs/>
          <w:lang w:val="en-GB"/>
        </w:rPr>
        <w:t xml:space="preserve"> (a), of the Optional Protocol, that the same matter is not being examined under another procedure of international investigation or settlement.</w:t>
      </w:r>
      <w:r w:rsidR="00F573E7" w:rsidRPr="00F00DB2">
        <w:rPr>
          <w:bCs/>
          <w:lang w:val="en-GB"/>
        </w:rPr>
        <w:t xml:space="preserve"> It also notes that it is undisputed that the author has exhausted all available domestic remedies, as </w:t>
      </w:r>
      <w:r w:rsidR="008C7622" w:rsidRPr="00F00DB2">
        <w:rPr>
          <w:lang w:val="en-GB"/>
        </w:rPr>
        <w:t xml:space="preserve">required by </w:t>
      </w:r>
      <w:r w:rsidR="00F60C3B" w:rsidRPr="00F00DB2">
        <w:rPr>
          <w:lang w:val="en-GB"/>
        </w:rPr>
        <w:t xml:space="preserve">article 5 </w:t>
      </w:r>
      <w:r w:rsidR="00EB297B" w:rsidRPr="00F00DB2">
        <w:rPr>
          <w:lang w:val="en-GB"/>
        </w:rPr>
        <w:t>(</w:t>
      </w:r>
      <w:r w:rsidR="00F60C3B" w:rsidRPr="00F00DB2">
        <w:rPr>
          <w:lang w:val="en-GB"/>
        </w:rPr>
        <w:t>2</w:t>
      </w:r>
      <w:r w:rsidR="00EB297B" w:rsidRPr="00F00DB2">
        <w:rPr>
          <w:lang w:val="en-GB"/>
        </w:rPr>
        <w:t>)</w:t>
      </w:r>
      <w:r w:rsidR="00F60C3B" w:rsidRPr="00F00DB2">
        <w:rPr>
          <w:lang w:val="en-GB"/>
        </w:rPr>
        <w:t xml:space="preserve"> (b), of the Optional Protocol.</w:t>
      </w:r>
      <w:r w:rsidR="00F573E7" w:rsidRPr="00F00DB2">
        <w:rPr>
          <w:lang w:val="en-GB"/>
        </w:rPr>
        <w:t xml:space="preserve"> </w:t>
      </w:r>
    </w:p>
    <w:p w14:paraId="7A5CA837" w14:textId="77777777" w:rsidR="00806B1C" w:rsidRPr="00F00DB2" w:rsidRDefault="00E93CC4">
      <w:pPr>
        <w:pStyle w:val="SingleTxtG"/>
        <w:rPr>
          <w:lang w:val="en-GB"/>
        </w:rPr>
      </w:pPr>
      <w:r w:rsidRPr="00F00DB2">
        <w:rPr>
          <w:lang w:val="en-GB"/>
        </w:rPr>
        <w:t>6.</w:t>
      </w:r>
      <w:r w:rsidR="00D06EEA" w:rsidRPr="00F00DB2">
        <w:rPr>
          <w:lang w:val="en-GB"/>
        </w:rPr>
        <w:t>3</w:t>
      </w:r>
      <w:r w:rsidR="00D06EEA" w:rsidRPr="00F00DB2">
        <w:rPr>
          <w:lang w:val="en-GB"/>
        </w:rPr>
        <w:tab/>
      </w:r>
      <w:r w:rsidR="00806B1C" w:rsidRPr="00E533B6">
        <w:rPr>
          <w:lang w:val="en-GB"/>
        </w:rPr>
        <w:t>The</w:t>
      </w:r>
      <w:r w:rsidR="00806B1C" w:rsidRPr="00E533B6">
        <w:rPr>
          <w:iCs/>
          <w:lang w:val="en-GB"/>
        </w:rPr>
        <w:t xml:space="preserve"> Committee observes </w:t>
      </w:r>
      <w:r w:rsidR="00806B1C" w:rsidRPr="00E533B6">
        <w:rPr>
          <w:lang w:val="en-GB"/>
        </w:rPr>
        <w:t xml:space="preserve">that the author’s claims pertaining to the illegality of </w:t>
      </w:r>
      <w:r w:rsidR="00A56A32" w:rsidRPr="00F00DB2">
        <w:rPr>
          <w:lang w:val="en-GB"/>
        </w:rPr>
        <w:t>his</w:t>
      </w:r>
      <w:r w:rsidR="00806B1C" w:rsidRPr="00E533B6">
        <w:rPr>
          <w:lang w:val="en-GB"/>
        </w:rPr>
        <w:t xml:space="preserve"> </w:t>
      </w:r>
      <w:r w:rsidR="00806B1C" w:rsidRPr="00E533B6">
        <w:rPr>
          <w:i/>
          <w:iCs/>
          <w:lang w:val="en-GB"/>
        </w:rPr>
        <w:t xml:space="preserve">ex parte </w:t>
      </w:r>
      <w:r w:rsidR="00806B1C" w:rsidRPr="00E533B6">
        <w:rPr>
          <w:lang w:val="en-GB"/>
        </w:rPr>
        <w:t xml:space="preserve">appeal in March 2000 under articles </w:t>
      </w:r>
      <w:r w:rsidR="00EB297B" w:rsidRPr="00E533B6">
        <w:rPr>
          <w:lang w:val="en-GB"/>
        </w:rPr>
        <w:t>14 (3) (d)-(e) and (5);</w:t>
      </w:r>
      <w:r w:rsidR="00806B1C" w:rsidRPr="00E533B6">
        <w:rPr>
          <w:lang w:val="en-GB"/>
        </w:rPr>
        <w:t xml:space="preserve"> and 26 of the Covenant, was remedied by domestic Courts</w:t>
      </w:r>
      <w:r w:rsidR="00B502D3" w:rsidRPr="00F00DB2">
        <w:rPr>
          <w:lang w:val="en-GB"/>
        </w:rPr>
        <w:t>,</w:t>
      </w:r>
      <w:r w:rsidR="00806B1C" w:rsidRPr="00F00DB2">
        <w:rPr>
          <w:lang w:val="en-GB"/>
        </w:rPr>
        <w:t xml:space="preserve"> </w:t>
      </w:r>
      <w:r w:rsidR="00B502D3" w:rsidRPr="00F00DB2">
        <w:rPr>
          <w:lang w:val="en-GB"/>
        </w:rPr>
        <w:t>f</w:t>
      </w:r>
      <w:r w:rsidR="00806B1C" w:rsidRPr="00E533B6">
        <w:rPr>
          <w:lang w:val="en-GB"/>
        </w:rPr>
        <w:t xml:space="preserve">ollowing an appeal to the Privy Council, and the author was accordingly granted a new appeal in </w:t>
      </w:r>
      <w:r w:rsidR="007F6A7A" w:rsidRPr="00F00DB2">
        <w:rPr>
          <w:lang w:val="en-GB"/>
        </w:rPr>
        <w:t>March</w:t>
      </w:r>
      <w:r w:rsidR="00806B1C" w:rsidRPr="00E533B6">
        <w:rPr>
          <w:lang w:val="en-GB"/>
        </w:rPr>
        <w:t xml:space="preserve"> 2005. </w:t>
      </w:r>
      <w:r w:rsidR="00B502D3" w:rsidRPr="00F00DB2">
        <w:rPr>
          <w:lang w:val="en-GB"/>
        </w:rPr>
        <w:t xml:space="preserve">This part of the communication is therefore </w:t>
      </w:r>
      <w:r w:rsidR="00806B1C" w:rsidRPr="00E533B6">
        <w:rPr>
          <w:lang w:val="en-GB"/>
        </w:rPr>
        <w:t xml:space="preserve">inadmissible under article 1 of the Optional Protocol. </w:t>
      </w:r>
    </w:p>
    <w:p w14:paraId="4FAE3373" w14:textId="77777777" w:rsidR="00F53F12" w:rsidRPr="00F00DB2" w:rsidRDefault="00F53F12">
      <w:pPr>
        <w:pStyle w:val="SingleTxtG"/>
        <w:rPr>
          <w:lang w:val="en-GB"/>
        </w:rPr>
      </w:pPr>
      <w:r w:rsidRPr="00F00DB2">
        <w:rPr>
          <w:lang w:val="en-GB"/>
        </w:rPr>
        <w:t>6.4</w:t>
      </w:r>
      <w:r w:rsidR="00806B1C" w:rsidRPr="00E533B6">
        <w:rPr>
          <w:lang w:val="en-GB"/>
        </w:rPr>
        <w:tab/>
        <w:t xml:space="preserve">The Committee considers that the author </w:t>
      </w:r>
      <w:r w:rsidR="00B502D3" w:rsidRPr="00F00DB2">
        <w:rPr>
          <w:lang w:val="en-GB"/>
        </w:rPr>
        <w:t xml:space="preserve">has </w:t>
      </w:r>
      <w:r w:rsidR="00806B1C" w:rsidRPr="00E533B6">
        <w:rPr>
          <w:lang w:val="en-GB"/>
        </w:rPr>
        <w:t xml:space="preserve">failed to substantiate, for purposes of admissibility, </w:t>
      </w:r>
      <w:r w:rsidR="0034480E" w:rsidRPr="00F00DB2">
        <w:rPr>
          <w:lang w:val="en-GB"/>
        </w:rPr>
        <w:t>his</w:t>
      </w:r>
      <w:r w:rsidR="00806B1C" w:rsidRPr="00E533B6">
        <w:rPr>
          <w:lang w:val="en-GB"/>
        </w:rPr>
        <w:t xml:space="preserve"> allegations under article</w:t>
      </w:r>
      <w:r w:rsidR="00AB0A98" w:rsidRPr="00F00DB2">
        <w:rPr>
          <w:lang w:val="en-GB"/>
        </w:rPr>
        <w:t xml:space="preserve">s 14 </w:t>
      </w:r>
      <w:r w:rsidR="00EB297B" w:rsidRPr="00F00DB2">
        <w:rPr>
          <w:lang w:val="en-GB"/>
        </w:rPr>
        <w:t>(</w:t>
      </w:r>
      <w:r w:rsidR="00AB0A98" w:rsidRPr="00F00DB2">
        <w:rPr>
          <w:lang w:val="en-GB"/>
        </w:rPr>
        <w:t>1</w:t>
      </w:r>
      <w:r w:rsidR="00EB297B" w:rsidRPr="00F00DB2">
        <w:rPr>
          <w:lang w:val="en-GB"/>
        </w:rPr>
        <w:t>);</w:t>
      </w:r>
      <w:r w:rsidR="00AB0A98" w:rsidRPr="00F00DB2">
        <w:rPr>
          <w:lang w:val="en-GB"/>
        </w:rPr>
        <w:t xml:space="preserve"> and</w:t>
      </w:r>
      <w:r w:rsidR="00806B1C" w:rsidRPr="00E533B6">
        <w:rPr>
          <w:lang w:val="en-GB"/>
        </w:rPr>
        <w:t xml:space="preserve"> 26 of the Covenant, invoked in connection with the </w:t>
      </w:r>
      <w:r w:rsidR="00062BE9" w:rsidRPr="00F00DB2">
        <w:rPr>
          <w:lang w:val="en-GB"/>
        </w:rPr>
        <w:t xml:space="preserve">selection of the jury </w:t>
      </w:r>
      <w:r w:rsidR="000A1A9B" w:rsidRPr="00F00DB2">
        <w:rPr>
          <w:lang w:val="en-GB"/>
        </w:rPr>
        <w:t>in the proceeding before the High Court</w:t>
      </w:r>
      <w:r w:rsidR="0031547E" w:rsidRPr="00E533B6">
        <w:rPr>
          <w:lang w:val="en-GB"/>
        </w:rPr>
        <w:t xml:space="preserve">. </w:t>
      </w:r>
      <w:r w:rsidR="00AB0A98" w:rsidRPr="00F00DB2">
        <w:rPr>
          <w:lang w:val="en-GB"/>
        </w:rPr>
        <w:t>T</w:t>
      </w:r>
      <w:r w:rsidR="00A27057" w:rsidRPr="00F00DB2">
        <w:rPr>
          <w:lang w:val="en-GB"/>
        </w:rPr>
        <w:t xml:space="preserve">he Committee </w:t>
      </w:r>
      <w:r w:rsidR="00B502D3" w:rsidRPr="00F00DB2">
        <w:rPr>
          <w:lang w:val="en-GB"/>
        </w:rPr>
        <w:t xml:space="preserve">observes </w:t>
      </w:r>
      <w:r w:rsidR="00A27057" w:rsidRPr="00F00DB2">
        <w:rPr>
          <w:lang w:val="en-GB"/>
        </w:rPr>
        <w:t xml:space="preserve">that </w:t>
      </w:r>
      <w:r w:rsidR="0031547E" w:rsidRPr="00F00DB2">
        <w:rPr>
          <w:lang w:val="en-GB"/>
        </w:rPr>
        <w:t>such</w:t>
      </w:r>
      <w:r w:rsidR="00A27057" w:rsidRPr="00F00DB2">
        <w:rPr>
          <w:lang w:val="en-GB"/>
        </w:rPr>
        <w:t xml:space="preserve"> selection is done randomly through a process involving several stages.</w:t>
      </w:r>
      <w:r w:rsidR="007F49A2" w:rsidRPr="00F00DB2">
        <w:rPr>
          <w:lang w:val="en-GB"/>
        </w:rPr>
        <w:t xml:space="preserve"> In the case under review,</w:t>
      </w:r>
      <w:r w:rsidR="00A27057" w:rsidRPr="00F00DB2">
        <w:rPr>
          <w:lang w:val="en-GB"/>
        </w:rPr>
        <w:t xml:space="preserve"> </w:t>
      </w:r>
      <w:r w:rsidR="007F49A2" w:rsidRPr="00F00DB2">
        <w:rPr>
          <w:lang w:val="en-GB"/>
        </w:rPr>
        <w:t>t</w:t>
      </w:r>
      <w:r w:rsidR="00A27057" w:rsidRPr="00F00DB2">
        <w:rPr>
          <w:lang w:val="en-GB"/>
        </w:rPr>
        <w:t xml:space="preserve">he information available does not reveal any form of discriminatory </w:t>
      </w:r>
      <w:r w:rsidR="007F49A2" w:rsidRPr="00F00DB2">
        <w:rPr>
          <w:lang w:val="en-GB"/>
        </w:rPr>
        <w:t xml:space="preserve">practice or decision by State party’s authorities as regards the selection of the jury in charge of the author’s case. </w:t>
      </w:r>
      <w:r w:rsidR="00EB297B" w:rsidRPr="00F00DB2">
        <w:rPr>
          <w:lang w:val="en-GB"/>
        </w:rPr>
        <w:t>T</w:t>
      </w:r>
      <w:r w:rsidR="007F49A2" w:rsidRPr="00F00DB2">
        <w:rPr>
          <w:lang w:val="en-GB"/>
        </w:rPr>
        <w:t>he author demonstrate</w:t>
      </w:r>
      <w:r w:rsidR="00EB297B" w:rsidRPr="00F00DB2">
        <w:rPr>
          <w:lang w:val="en-GB"/>
        </w:rPr>
        <w:t>s</w:t>
      </w:r>
      <w:r w:rsidR="007F49A2" w:rsidRPr="00F00DB2">
        <w:rPr>
          <w:lang w:val="en-GB"/>
        </w:rPr>
        <w:t xml:space="preserve"> </w:t>
      </w:r>
      <w:r w:rsidR="00EB297B" w:rsidRPr="00F00DB2">
        <w:rPr>
          <w:lang w:val="en-GB"/>
        </w:rPr>
        <w:t xml:space="preserve">neither </w:t>
      </w:r>
      <w:r w:rsidR="007F49A2" w:rsidRPr="00F00DB2">
        <w:rPr>
          <w:lang w:val="en-GB"/>
        </w:rPr>
        <w:t xml:space="preserve">that the </w:t>
      </w:r>
      <w:r w:rsidR="00932D9F" w:rsidRPr="00F00DB2">
        <w:rPr>
          <w:lang w:val="en-GB"/>
        </w:rPr>
        <w:t>decision of the jury was discriminatory</w:t>
      </w:r>
      <w:r w:rsidR="00356D3D" w:rsidRPr="00F00DB2">
        <w:rPr>
          <w:lang w:val="en-GB"/>
        </w:rPr>
        <w:t xml:space="preserve"> in</w:t>
      </w:r>
      <w:r w:rsidR="0031547E" w:rsidRPr="00F00DB2">
        <w:rPr>
          <w:lang w:val="en-GB"/>
        </w:rPr>
        <w:t xml:space="preserve"> itself</w:t>
      </w:r>
      <w:r w:rsidR="00EB297B" w:rsidRPr="00F00DB2">
        <w:rPr>
          <w:lang w:val="en-GB"/>
        </w:rPr>
        <w:t>,</w:t>
      </w:r>
      <w:r w:rsidR="00AB0A98" w:rsidRPr="00F00DB2">
        <w:rPr>
          <w:lang w:val="en-GB"/>
        </w:rPr>
        <w:t xml:space="preserve"> </w:t>
      </w:r>
      <w:r w:rsidR="00EB297B" w:rsidRPr="00F00DB2">
        <w:rPr>
          <w:lang w:val="en-GB"/>
        </w:rPr>
        <w:t xml:space="preserve">nor that </w:t>
      </w:r>
      <w:r w:rsidR="00AB0A98" w:rsidRPr="00F00DB2">
        <w:rPr>
          <w:lang w:val="en-GB"/>
        </w:rPr>
        <w:t xml:space="preserve">the extent to which the alleged impossibility to discuss the potential jurors with his trial lawyer affected his right to prepare and present a defence, and would amount to a violation of article 14 </w:t>
      </w:r>
      <w:r w:rsidR="00EB297B" w:rsidRPr="00F00DB2">
        <w:rPr>
          <w:lang w:val="en-GB"/>
        </w:rPr>
        <w:t>(</w:t>
      </w:r>
      <w:r w:rsidR="00AB0A98" w:rsidRPr="00F00DB2">
        <w:rPr>
          <w:lang w:val="en-GB"/>
        </w:rPr>
        <w:t>1</w:t>
      </w:r>
      <w:r w:rsidR="00EB297B" w:rsidRPr="00F00DB2">
        <w:rPr>
          <w:lang w:val="en-GB"/>
        </w:rPr>
        <w:t>)</w:t>
      </w:r>
      <w:r w:rsidR="00AB0A98" w:rsidRPr="00F00DB2">
        <w:rPr>
          <w:lang w:val="en-GB"/>
        </w:rPr>
        <w:t xml:space="preserve"> of the Convention. This claim is therefore inadmissible under article 2 of the Optional Protocol</w:t>
      </w:r>
      <w:r w:rsidR="007F49A2" w:rsidRPr="00F00DB2">
        <w:rPr>
          <w:lang w:val="en-GB"/>
        </w:rPr>
        <w:t>.</w:t>
      </w:r>
      <w:r w:rsidR="0031547E" w:rsidRPr="00F00DB2">
        <w:rPr>
          <w:lang w:val="en-GB"/>
        </w:rPr>
        <w:t xml:space="preserve"> </w:t>
      </w:r>
    </w:p>
    <w:p w14:paraId="68F8AB26" w14:textId="77777777" w:rsidR="00913823" w:rsidRPr="00F00DB2" w:rsidRDefault="00F53F12">
      <w:pPr>
        <w:pStyle w:val="SingleTxtG"/>
        <w:rPr>
          <w:lang w:val="en-GB"/>
        </w:rPr>
      </w:pPr>
      <w:r w:rsidRPr="00F00DB2">
        <w:rPr>
          <w:lang w:val="en-GB"/>
        </w:rPr>
        <w:t>6.5</w:t>
      </w:r>
      <w:r w:rsidR="00415634" w:rsidRPr="00F00DB2">
        <w:rPr>
          <w:lang w:val="en-GB"/>
        </w:rPr>
        <w:tab/>
      </w:r>
      <w:r w:rsidR="0031547E" w:rsidRPr="00E533B6">
        <w:rPr>
          <w:lang w:val="en-GB"/>
        </w:rPr>
        <w:t xml:space="preserve">As regards the </w:t>
      </w:r>
      <w:r w:rsidR="00415634" w:rsidRPr="00E533B6">
        <w:rPr>
          <w:lang w:val="en-GB"/>
        </w:rPr>
        <w:t xml:space="preserve">author’s claim that the </w:t>
      </w:r>
      <w:r w:rsidR="0031547E" w:rsidRPr="00E533B6">
        <w:rPr>
          <w:lang w:val="en-GB"/>
        </w:rPr>
        <w:t xml:space="preserve">rejection of </w:t>
      </w:r>
      <w:r w:rsidR="00415634" w:rsidRPr="00E533B6">
        <w:rPr>
          <w:lang w:val="en-GB"/>
        </w:rPr>
        <w:t>his</w:t>
      </w:r>
      <w:r w:rsidR="0031547E" w:rsidRPr="00E533B6">
        <w:rPr>
          <w:lang w:val="en-GB"/>
        </w:rPr>
        <w:t xml:space="preserve"> appeal in March 200</w:t>
      </w:r>
      <w:r w:rsidR="00326E53" w:rsidRPr="00E533B6">
        <w:rPr>
          <w:lang w:val="en-GB"/>
        </w:rPr>
        <w:t>5</w:t>
      </w:r>
      <w:r w:rsidR="00415634" w:rsidRPr="00E533B6">
        <w:rPr>
          <w:lang w:val="en-GB"/>
        </w:rPr>
        <w:t xml:space="preserve"> amounted to a violation of his rights under </w:t>
      </w:r>
      <w:r w:rsidRPr="00E533B6">
        <w:rPr>
          <w:lang w:val="en-GB"/>
        </w:rPr>
        <w:t xml:space="preserve">article </w:t>
      </w:r>
      <w:r w:rsidR="00EB297B" w:rsidRPr="00E533B6">
        <w:rPr>
          <w:lang w:val="en-GB"/>
        </w:rPr>
        <w:t>14 (1) and (5)</w:t>
      </w:r>
      <w:r w:rsidRPr="00E533B6">
        <w:rPr>
          <w:lang w:val="en-GB"/>
        </w:rPr>
        <w:t xml:space="preserve"> of the Covenant</w:t>
      </w:r>
      <w:r w:rsidR="0031547E" w:rsidRPr="00E533B6">
        <w:rPr>
          <w:lang w:val="en-GB"/>
        </w:rPr>
        <w:t xml:space="preserve">, the </w:t>
      </w:r>
      <w:r w:rsidR="00326E53" w:rsidRPr="00E533B6">
        <w:rPr>
          <w:lang w:val="en-GB"/>
        </w:rPr>
        <w:t>Committee notes</w:t>
      </w:r>
      <w:r w:rsidR="00A44922" w:rsidRPr="00F00DB2">
        <w:rPr>
          <w:lang w:val="en-GB"/>
        </w:rPr>
        <w:t xml:space="preserve"> that</w:t>
      </w:r>
      <w:r w:rsidR="00326E53" w:rsidRPr="00E533B6">
        <w:rPr>
          <w:lang w:val="en-GB"/>
        </w:rPr>
        <w:t xml:space="preserve"> the appeal before the Court of Appeal was conducted over two days of oral argument, with the author represented by experienced counsel</w:t>
      </w:r>
      <w:r w:rsidR="00356D3D" w:rsidRPr="00E533B6">
        <w:rPr>
          <w:lang w:val="en-GB"/>
        </w:rPr>
        <w:t>. The</w:t>
      </w:r>
      <w:r w:rsidRPr="00E533B6">
        <w:rPr>
          <w:lang w:val="en-GB"/>
        </w:rPr>
        <w:t xml:space="preserve"> Committee also notes that the</w:t>
      </w:r>
      <w:r w:rsidR="00356D3D" w:rsidRPr="00E533B6">
        <w:rPr>
          <w:lang w:val="en-GB"/>
        </w:rPr>
        <w:t xml:space="preserve"> Court reserved its decision and</w:t>
      </w:r>
      <w:r w:rsidR="00EB297B" w:rsidRPr="00E533B6">
        <w:rPr>
          <w:lang w:val="en-GB"/>
        </w:rPr>
        <w:t>,</w:t>
      </w:r>
      <w:r w:rsidR="00356D3D" w:rsidRPr="00E533B6">
        <w:rPr>
          <w:lang w:val="en-GB"/>
        </w:rPr>
        <w:t xml:space="preserve"> on 1 March 2005</w:t>
      </w:r>
      <w:r w:rsidR="00EB297B" w:rsidRPr="00E533B6">
        <w:rPr>
          <w:lang w:val="en-GB"/>
        </w:rPr>
        <w:t>,</w:t>
      </w:r>
      <w:r w:rsidR="00356D3D" w:rsidRPr="00E533B6">
        <w:rPr>
          <w:lang w:val="en-GB"/>
        </w:rPr>
        <w:t xml:space="preserve"> dismissed the author’s appeal in an extensive written judgement</w:t>
      </w:r>
      <w:r w:rsidR="00326E53" w:rsidRPr="00F00DB2">
        <w:rPr>
          <w:lang w:val="en-GB"/>
        </w:rPr>
        <w:t xml:space="preserve"> that </w:t>
      </w:r>
      <w:r w:rsidR="00857ADE" w:rsidRPr="00F00DB2">
        <w:rPr>
          <w:lang w:val="en-GB"/>
        </w:rPr>
        <w:t>examined</w:t>
      </w:r>
      <w:r w:rsidR="00326E53" w:rsidRPr="00F00DB2">
        <w:rPr>
          <w:lang w:val="en-GB"/>
        </w:rPr>
        <w:t xml:space="preserve"> each of the claimed errors</w:t>
      </w:r>
      <w:r w:rsidR="00857ADE" w:rsidRPr="00F00DB2">
        <w:rPr>
          <w:lang w:val="en-GB"/>
        </w:rPr>
        <w:t xml:space="preserve"> in details</w:t>
      </w:r>
      <w:r w:rsidR="00356D3D" w:rsidRPr="00F00DB2">
        <w:rPr>
          <w:lang w:val="en-GB"/>
        </w:rPr>
        <w:t>.</w:t>
      </w:r>
      <w:r w:rsidR="00CA6124" w:rsidRPr="00F00DB2">
        <w:rPr>
          <w:lang w:val="en-GB"/>
        </w:rPr>
        <w:t xml:space="preserve"> </w:t>
      </w:r>
      <w:r w:rsidR="00356D3D" w:rsidRPr="00F00DB2">
        <w:rPr>
          <w:lang w:val="en-GB"/>
        </w:rPr>
        <w:t>The Committee</w:t>
      </w:r>
      <w:r w:rsidR="00806B1C" w:rsidRPr="00E533B6">
        <w:rPr>
          <w:lang w:val="en-GB"/>
        </w:rPr>
        <w:t xml:space="preserve"> thus declares this part of the communication inadmissible under article 2 of the Optional Protocol</w:t>
      </w:r>
      <w:r w:rsidR="00B502D3" w:rsidRPr="00F00DB2">
        <w:rPr>
          <w:lang w:val="en-GB"/>
        </w:rPr>
        <w:t xml:space="preserve">, for lack of </w:t>
      </w:r>
      <w:r w:rsidR="00832574" w:rsidRPr="00F00DB2">
        <w:rPr>
          <w:lang w:val="en-GB"/>
        </w:rPr>
        <w:t>substantia</w:t>
      </w:r>
      <w:r w:rsidR="00B502D3" w:rsidRPr="00F00DB2">
        <w:rPr>
          <w:lang w:val="en-GB"/>
        </w:rPr>
        <w:t>tion</w:t>
      </w:r>
      <w:r w:rsidR="00806B1C" w:rsidRPr="00E533B6">
        <w:rPr>
          <w:lang w:val="en-GB"/>
        </w:rPr>
        <w:t>.</w:t>
      </w:r>
      <w:r w:rsidR="00AB0A98" w:rsidRPr="00F00DB2">
        <w:rPr>
          <w:lang w:val="en-GB"/>
        </w:rPr>
        <w:t xml:space="preserve"> </w:t>
      </w:r>
    </w:p>
    <w:p w14:paraId="26CAD1FC" w14:textId="77777777" w:rsidR="00B01763" w:rsidRPr="00F00DB2" w:rsidRDefault="00EE02EC">
      <w:pPr>
        <w:pStyle w:val="SingleTxtG"/>
        <w:rPr>
          <w:lang w:val="en-GB"/>
        </w:rPr>
      </w:pPr>
      <w:r w:rsidRPr="00F00DB2">
        <w:rPr>
          <w:lang w:val="en-GB"/>
        </w:rPr>
        <w:t>6</w:t>
      </w:r>
      <w:r w:rsidR="00806B1C" w:rsidRPr="00E533B6">
        <w:rPr>
          <w:lang w:val="en-GB"/>
        </w:rPr>
        <w:t>.6</w:t>
      </w:r>
      <w:r w:rsidR="00806B1C" w:rsidRPr="00E533B6">
        <w:rPr>
          <w:lang w:val="en-GB"/>
        </w:rPr>
        <w:tab/>
      </w:r>
      <w:r w:rsidR="00B502D3" w:rsidRPr="00F00DB2">
        <w:rPr>
          <w:lang w:val="en-GB"/>
        </w:rPr>
        <w:t>Similarly,</w:t>
      </w:r>
      <w:r w:rsidR="00CA6124" w:rsidRPr="00E533B6">
        <w:rPr>
          <w:lang w:val="en-GB"/>
        </w:rPr>
        <w:t xml:space="preserve"> the Committee finds </w:t>
      </w:r>
      <w:r w:rsidR="00535C4B" w:rsidRPr="00E533B6">
        <w:rPr>
          <w:lang w:val="en-GB"/>
        </w:rPr>
        <w:t xml:space="preserve">that the author </w:t>
      </w:r>
      <w:r w:rsidR="00B502D3" w:rsidRPr="00F00DB2">
        <w:rPr>
          <w:lang w:val="en-GB"/>
        </w:rPr>
        <w:t xml:space="preserve">has </w:t>
      </w:r>
      <w:r w:rsidR="00535C4B" w:rsidRPr="00E533B6">
        <w:rPr>
          <w:lang w:val="en-GB"/>
        </w:rPr>
        <w:t>not demonstrate</w:t>
      </w:r>
      <w:r w:rsidR="00B502D3" w:rsidRPr="00F00DB2">
        <w:rPr>
          <w:lang w:val="en-GB"/>
        </w:rPr>
        <w:t>d</w:t>
      </w:r>
      <w:r w:rsidR="00535C4B" w:rsidRPr="00E533B6">
        <w:rPr>
          <w:lang w:val="en-GB"/>
        </w:rPr>
        <w:t xml:space="preserve"> how the contribution, by Justice Tipping</w:t>
      </w:r>
      <w:r w:rsidR="008A69CF" w:rsidRPr="00F00DB2">
        <w:rPr>
          <w:lang w:val="en-GB"/>
        </w:rPr>
        <w:t xml:space="preserve"> and Chief Justice Elias</w:t>
      </w:r>
      <w:r w:rsidR="00535C4B" w:rsidRPr="00E533B6">
        <w:rPr>
          <w:lang w:val="en-GB"/>
        </w:rPr>
        <w:t xml:space="preserve"> </w:t>
      </w:r>
      <w:r w:rsidR="00EB297B" w:rsidRPr="00E533B6">
        <w:rPr>
          <w:lang w:val="en-GB"/>
        </w:rPr>
        <w:t>—</w:t>
      </w:r>
      <w:r w:rsidR="00535C4B" w:rsidRPr="00E533B6">
        <w:rPr>
          <w:lang w:val="en-GB"/>
        </w:rPr>
        <w:t xml:space="preserve"> along with other </w:t>
      </w:r>
      <w:r w:rsidR="00D652D9" w:rsidRPr="00E533B6">
        <w:rPr>
          <w:lang w:val="en-GB"/>
        </w:rPr>
        <w:t>j</w:t>
      </w:r>
      <w:r w:rsidR="00535C4B" w:rsidRPr="00E533B6">
        <w:rPr>
          <w:lang w:val="en-GB"/>
        </w:rPr>
        <w:t xml:space="preserve">udges </w:t>
      </w:r>
      <w:r w:rsidR="00EB297B" w:rsidRPr="00E533B6">
        <w:rPr>
          <w:lang w:val="en-GB"/>
        </w:rPr>
        <w:t>—</w:t>
      </w:r>
      <w:r w:rsidR="00535C4B" w:rsidRPr="00E533B6">
        <w:rPr>
          <w:lang w:val="en-GB"/>
        </w:rPr>
        <w:t xml:space="preserve"> of evidence to members of Parliament in respect of amendments to the criminal appeal system, had any bearing on the consideration of the merits of his case. </w:t>
      </w:r>
      <w:r w:rsidR="00B502D3" w:rsidRPr="00F00DB2">
        <w:rPr>
          <w:lang w:val="en-GB"/>
        </w:rPr>
        <w:t>T</w:t>
      </w:r>
      <w:r w:rsidR="00846768" w:rsidRPr="00E533B6">
        <w:rPr>
          <w:lang w:val="en-GB"/>
        </w:rPr>
        <w:t>he</w:t>
      </w:r>
      <w:r w:rsidR="008A69CF" w:rsidRPr="00F00DB2">
        <w:rPr>
          <w:lang w:val="en-GB"/>
        </w:rPr>
        <w:t xml:space="preserve"> </w:t>
      </w:r>
      <w:r w:rsidR="00846768" w:rsidRPr="00E533B6">
        <w:rPr>
          <w:lang w:val="en-GB"/>
        </w:rPr>
        <w:t xml:space="preserve">Committee </w:t>
      </w:r>
      <w:r w:rsidR="00B502D3" w:rsidRPr="00F00DB2">
        <w:rPr>
          <w:lang w:val="en-GB"/>
        </w:rPr>
        <w:t xml:space="preserve">also considers </w:t>
      </w:r>
      <w:r w:rsidR="00846768" w:rsidRPr="00E533B6">
        <w:rPr>
          <w:lang w:val="en-GB"/>
        </w:rPr>
        <w:t xml:space="preserve">that the author’s allegation under </w:t>
      </w:r>
      <w:r w:rsidR="00EB297B" w:rsidRPr="00E533B6">
        <w:rPr>
          <w:lang w:val="en-GB"/>
        </w:rPr>
        <w:t>article 14 (1) and (5)</w:t>
      </w:r>
      <w:r w:rsidR="00846768" w:rsidRPr="00E533B6">
        <w:rPr>
          <w:lang w:val="en-GB"/>
        </w:rPr>
        <w:t xml:space="preserve"> of the Covenant, vis-à-vis the participation of </w:t>
      </w:r>
      <w:r w:rsidR="008A69CF" w:rsidRPr="00F00DB2">
        <w:rPr>
          <w:lang w:val="en-GB"/>
        </w:rPr>
        <w:t xml:space="preserve">Justice Tipping and </w:t>
      </w:r>
      <w:r w:rsidR="00846768" w:rsidRPr="00E533B6">
        <w:rPr>
          <w:lang w:val="en-GB"/>
        </w:rPr>
        <w:t xml:space="preserve">Chief Justice Elias in the Supreme Court proceedings of </w:t>
      </w:r>
      <w:r w:rsidR="00EF04DA" w:rsidRPr="00E533B6">
        <w:rPr>
          <w:lang w:val="en-GB"/>
        </w:rPr>
        <w:t>June</w:t>
      </w:r>
      <w:r w:rsidR="00846768" w:rsidRPr="00E533B6">
        <w:rPr>
          <w:lang w:val="en-GB"/>
        </w:rPr>
        <w:t xml:space="preserve"> 200</w:t>
      </w:r>
      <w:r w:rsidR="00FD7D6B" w:rsidRPr="00E533B6">
        <w:rPr>
          <w:lang w:val="en-GB"/>
        </w:rPr>
        <w:t>5</w:t>
      </w:r>
      <w:r w:rsidR="00846768" w:rsidRPr="00E533B6">
        <w:rPr>
          <w:lang w:val="en-GB"/>
        </w:rPr>
        <w:t xml:space="preserve">, is insufficiently substantiated for purposes of admissibility. The Committee notes that </w:t>
      </w:r>
      <w:r w:rsidR="004E23FC" w:rsidRPr="00F00DB2">
        <w:rPr>
          <w:lang w:val="en-GB"/>
        </w:rPr>
        <w:t xml:space="preserve">Justice Tipping and </w:t>
      </w:r>
      <w:r w:rsidR="00846768" w:rsidRPr="00E533B6">
        <w:rPr>
          <w:lang w:val="en-GB"/>
        </w:rPr>
        <w:t xml:space="preserve">Chief Justice Elias </w:t>
      </w:r>
      <w:r w:rsidR="004E23FC" w:rsidRPr="00F00DB2">
        <w:rPr>
          <w:lang w:val="en-GB"/>
        </w:rPr>
        <w:t xml:space="preserve">were </w:t>
      </w:r>
      <w:r w:rsidR="00EF04DA" w:rsidRPr="00F00DB2">
        <w:rPr>
          <w:lang w:val="en-GB"/>
        </w:rPr>
        <w:t>not</w:t>
      </w:r>
      <w:r w:rsidR="00846768" w:rsidRPr="00E533B6">
        <w:rPr>
          <w:lang w:val="en-GB"/>
        </w:rPr>
        <w:t xml:space="preserve"> </w:t>
      </w:r>
      <w:r w:rsidR="00EF04DA" w:rsidRPr="00E533B6">
        <w:rPr>
          <w:lang w:val="en-GB"/>
        </w:rPr>
        <w:t>member</w:t>
      </w:r>
      <w:r w:rsidR="004E23FC" w:rsidRPr="00F00DB2">
        <w:rPr>
          <w:lang w:val="en-GB"/>
        </w:rPr>
        <w:t>s</w:t>
      </w:r>
      <w:r w:rsidR="00EF04DA" w:rsidRPr="00E533B6">
        <w:rPr>
          <w:lang w:val="en-GB"/>
        </w:rPr>
        <w:t xml:space="preserve"> of the Court of Appeal</w:t>
      </w:r>
      <w:r w:rsidR="00EB297B" w:rsidRPr="00E533B6">
        <w:rPr>
          <w:lang w:val="en-GB"/>
        </w:rPr>
        <w:t>,</w:t>
      </w:r>
      <w:r w:rsidR="00846768" w:rsidRPr="00E533B6">
        <w:rPr>
          <w:lang w:val="en-GB"/>
        </w:rPr>
        <w:t xml:space="preserve"> which </w:t>
      </w:r>
      <w:r w:rsidR="00EF04DA" w:rsidRPr="00F00DB2">
        <w:rPr>
          <w:lang w:val="en-GB"/>
        </w:rPr>
        <w:t>dismissed the author’s appeal in 2005</w:t>
      </w:r>
      <w:r w:rsidR="00846768" w:rsidRPr="00E533B6">
        <w:rPr>
          <w:lang w:val="en-GB"/>
        </w:rPr>
        <w:t xml:space="preserve">. </w:t>
      </w:r>
      <w:r w:rsidR="00EF04DA" w:rsidRPr="00F00DB2">
        <w:rPr>
          <w:lang w:val="en-GB"/>
        </w:rPr>
        <w:t>Additionally,</w:t>
      </w:r>
      <w:r w:rsidR="00846768" w:rsidRPr="00E533B6">
        <w:rPr>
          <w:lang w:val="en-GB"/>
        </w:rPr>
        <w:t xml:space="preserve"> </w:t>
      </w:r>
      <w:r w:rsidR="00EF04DA" w:rsidRPr="00F00DB2">
        <w:rPr>
          <w:lang w:val="en-GB"/>
        </w:rPr>
        <w:t>t</w:t>
      </w:r>
      <w:r w:rsidR="00846768" w:rsidRPr="00E533B6">
        <w:rPr>
          <w:lang w:val="en-GB"/>
        </w:rPr>
        <w:t xml:space="preserve">he author </w:t>
      </w:r>
      <w:r w:rsidR="00B502D3" w:rsidRPr="00F00DB2">
        <w:rPr>
          <w:lang w:val="en-GB"/>
        </w:rPr>
        <w:t xml:space="preserve">has </w:t>
      </w:r>
      <w:r w:rsidR="00846768" w:rsidRPr="00E533B6">
        <w:rPr>
          <w:lang w:val="en-GB"/>
        </w:rPr>
        <w:t xml:space="preserve">failed to demonstrate, for purposes of admissibility, that </w:t>
      </w:r>
      <w:r w:rsidR="004E23FC" w:rsidRPr="00F00DB2">
        <w:rPr>
          <w:lang w:val="en-GB"/>
        </w:rPr>
        <w:t xml:space="preserve">Justice Tipping and </w:t>
      </w:r>
      <w:r w:rsidR="00846768" w:rsidRPr="00E533B6">
        <w:rPr>
          <w:lang w:val="en-GB"/>
        </w:rPr>
        <w:t xml:space="preserve">Chief Justice Elias, upon consideration of the author’s application for </w:t>
      </w:r>
      <w:r w:rsidR="00EF04DA" w:rsidRPr="00F00DB2">
        <w:rPr>
          <w:lang w:val="en-GB"/>
        </w:rPr>
        <w:t>leave to appeal</w:t>
      </w:r>
      <w:r w:rsidR="00846768" w:rsidRPr="00E533B6">
        <w:rPr>
          <w:lang w:val="en-GB"/>
        </w:rPr>
        <w:t xml:space="preserve">, </w:t>
      </w:r>
      <w:r w:rsidR="004E23FC" w:rsidRPr="00F00DB2">
        <w:rPr>
          <w:lang w:val="en-GB"/>
        </w:rPr>
        <w:t xml:space="preserve">were </w:t>
      </w:r>
      <w:r w:rsidR="00846768" w:rsidRPr="00E533B6">
        <w:rPr>
          <w:lang w:val="en-GB"/>
        </w:rPr>
        <w:t>not impartial or otherwise harboured preconceptions about the case. The Committee thus declares this part of the communication inadmissible under artic</w:t>
      </w:r>
      <w:r w:rsidR="009C7FE9" w:rsidRPr="00E533B6">
        <w:rPr>
          <w:lang w:val="en-GB"/>
        </w:rPr>
        <w:t>le 2 of the Optional Protocol.</w:t>
      </w:r>
      <w:r w:rsidR="002E5ED8" w:rsidRPr="00E533B6">
        <w:rPr>
          <w:rStyle w:val="FootnoteReference"/>
          <w:lang w:val="en-GB"/>
        </w:rPr>
        <w:footnoteReference w:id="20"/>
      </w:r>
      <w:r w:rsidR="009C7FE9" w:rsidRPr="00E533B6">
        <w:rPr>
          <w:lang w:val="en-GB"/>
        </w:rPr>
        <w:t xml:space="preserve"> </w:t>
      </w:r>
    </w:p>
    <w:p w14:paraId="4DE669B7" w14:textId="77777777" w:rsidR="00A9041A" w:rsidRPr="00E533B6" w:rsidRDefault="002E7E16">
      <w:pPr>
        <w:pStyle w:val="SingleTxtG"/>
        <w:rPr>
          <w:lang w:val="en-GB"/>
        </w:rPr>
      </w:pPr>
      <w:r w:rsidRPr="00E533B6">
        <w:rPr>
          <w:lang w:val="en-GB"/>
        </w:rPr>
        <w:t>6</w:t>
      </w:r>
      <w:r w:rsidR="00005F4C" w:rsidRPr="00E533B6">
        <w:rPr>
          <w:lang w:val="en-GB"/>
        </w:rPr>
        <w:t>.</w:t>
      </w:r>
      <w:r w:rsidR="000C098C" w:rsidRPr="00F00DB2">
        <w:rPr>
          <w:lang w:val="en-GB"/>
        </w:rPr>
        <w:t>7</w:t>
      </w:r>
      <w:r w:rsidR="00005F4C" w:rsidRPr="00E533B6">
        <w:rPr>
          <w:lang w:val="en-GB"/>
        </w:rPr>
        <w:tab/>
        <w:t>As regards the author’s allegations under article 14</w:t>
      </w:r>
      <w:r w:rsidR="00773C4B" w:rsidRPr="00E533B6">
        <w:rPr>
          <w:lang w:val="en-GB"/>
        </w:rPr>
        <w:t xml:space="preserve"> (6)</w:t>
      </w:r>
      <w:r w:rsidR="00005F4C" w:rsidRPr="00E533B6">
        <w:rPr>
          <w:lang w:val="en-GB"/>
        </w:rPr>
        <w:t xml:space="preserve"> of the Covenant, the Committee</w:t>
      </w:r>
      <w:r w:rsidR="00716498" w:rsidRPr="00F00DB2">
        <w:rPr>
          <w:lang w:val="en-GB"/>
        </w:rPr>
        <w:t xml:space="preserve"> </w:t>
      </w:r>
      <w:r w:rsidR="002F195E" w:rsidRPr="00F00DB2">
        <w:rPr>
          <w:lang w:val="en-GB"/>
        </w:rPr>
        <w:t xml:space="preserve">observes that </w:t>
      </w:r>
      <w:r w:rsidR="00005F4C" w:rsidRPr="00E533B6">
        <w:rPr>
          <w:lang w:val="en-GB"/>
        </w:rPr>
        <w:t>the author’s conviction, as pronounced in the judgement of the High Court on 9 December 1995</w:t>
      </w:r>
      <w:r w:rsidR="00773C4B" w:rsidRPr="00E533B6">
        <w:rPr>
          <w:lang w:val="en-GB"/>
        </w:rPr>
        <w:t>,</w:t>
      </w:r>
      <w:r w:rsidR="00005F4C" w:rsidRPr="00E533B6">
        <w:rPr>
          <w:lang w:val="en-GB"/>
        </w:rPr>
        <w:t xml:space="preserve"> has never been set aside by any later judicial decision, and that the author has never been pardoned. </w:t>
      </w:r>
      <w:r w:rsidR="00B01763" w:rsidRPr="00E533B6">
        <w:rPr>
          <w:lang w:val="en-GB"/>
        </w:rPr>
        <w:t>Accordingly, the Committee considers that article 14</w:t>
      </w:r>
      <w:r w:rsidR="00773C4B" w:rsidRPr="00E533B6">
        <w:rPr>
          <w:lang w:val="en-GB"/>
        </w:rPr>
        <w:t xml:space="preserve"> (6)</w:t>
      </w:r>
      <w:r w:rsidR="00B01763" w:rsidRPr="00E533B6">
        <w:rPr>
          <w:lang w:val="en-GB"/>
        </w:rPr>
        <w:t xml:space="preserve"> does not apply in the present case, and </w:t>
      </w:r>
      <w:r w:rsidR="007173C2" w:rsidRPr="00E533B6">
        <w:rPr>
          <w:lang w:val="en-GB"/>
        </w:rPr>
        <w:t xml:space="preserve">the author’s </w:t>
      </w:r>
      <w:r w:rsidR="00B01763" w:rsidRPr="00E533B6">
        <w:rPr>
          <w:lang w:val="en-GB"/>
        </w:rPr>
        <w:t xml:space="preserve">claim is inadmissible </w:t>
      </w:r>
      <w:r w:rsidR="00B01763" w:rsidRPr="00E533B6">
        <w:rPr>
          <w:i/>
          <w:iCs/>
          <w:lang w:val="en-GB"/>
        </w:rPr>
        <w:t>ratione materiae</w:t>
      </w:r>
      <w:r w:rsidR="00B01763" w:rsidRPr="00E533B6">
        <w:rPr>
          <w:lang w:val="en-GB"/>
        </w:rPr>
        <w:t xml:space="preserve"> under article 3 of the Optional Covenant.</w:t>
      </w:r>
      <w:r w:rsidR="00B01763" w:rsidRPr="00E533B6">
        <w:rPr>
          <w:rStyle w:val="FootnoteReference"/>
          <w:lang w:val="en-GB"/>
        </w:rPr>
        <w:footnoteReference w:id="21"/>
      </w:r>
    </w:p>
    <w:p w14:paraId="1B728206" w14:textId="77777777" w:rsidR="00CB09DE" w:rsidRPr="00F00DB2" w:rsidRDefault="00D831E0" w:rsidP="00CB09DE">
      <w:pPr>
        <w:pStyle w:val="SingleTxtG"/>
        <w:rPr>
          <w:lang w:val="en-GB"/>
        </w:rPr>
      </w:pPr>
      <w:r w:rsidRPr="00E533B6">
        <w:rPr>
          <w:lang w:val="en-GB"/>
        </w:rPr>
        <w:t>6.</w:t>
      </w:r>
      <w:r w:rsidR="000C098C" w:rsidRPr="00F00DB2">
        <w:rPr>
          <w:lang w:val="en-GB"/>
        </w:rPr>
        <w:t>8</w:t>
      </w:r>
      <w:r w:rsidRPr="00E533B6">
        <w:rPr>
          <w:lang w:val="en-GB"/>
        </w:rPr>
        <w:tab/>
        <w:t>The Committee has noted the submissions made by the State party and the author on the availability of domestic remedies. It considers that there is no obstacle to the admissibility of the remaining issues raised by the author in his communication and will proceed to examine these issues on the merits.</w:t>
      </w:r>
    </w:p>
    <w:p w14:paraId="12F2F347" w14:textId="77777777" w:rsidR="00D831E0" w:rsidRPr="00F00DB2" w:rsidRDefault="00D831E0">
      <w:pPr>
        <w:pStyle w:val="SingleTxtG"/>
        <w:rPr>
          <w:lang w:val="en-GB"/>
        </w:rPr>
      </w:pPr>
      <w:r w:rsidRPr="00E533B6">
        <w:rPr>
          <w:lang w:val="en-GB"/>
        </w:rPr>
        <w:t>6.</w:t>
      </w:r>
      <w:r w:rsidR="000C098C" w:rsidRPr="00F00DB2">
        <w:rPr>
          <w:lang w:val="en-GB"/>
        </w:rPr>
        <w:t>9</w:t>
      </w:r>
      <w:r w:rsidRPr="00E533B6">
        <w:rPr>
          <w:lang w:val="en-GB"/>
        </w:rPr>
        <w:tab/>
        <w:t>The Committee concludes that the claims based on</w:t>
      </w:r>
      <w:r w:rsidR="00535C4B" w:rsidRPr="00E533B6">
        <w:rPr>
          <w:lang w:val="en-GB"/>
        </w:rPr>
        <w:t xml:space="preserve"> article 14</w:t>
      </w:r>
      <w:r w:rsidR="004075A7" w:rsidRPr="00F00DB2">
        <w:rPr>
          <w:lang w:val="en-GB"/>
        </w:rPr>
        <w:t xml:space="preserve"> </w:t>
      </w:r>
      <w:r w:rsidR="00F00DB2" w:rsidRPr="00F00DB2">
        <w:rPr>
          <w:lang w:val="en-GB"/>
        </w:rPr>
        <w:t>(</w:t>
      </w:r>
      <w:r w:rsidR="004075A7" w:rsidRPr="00F00DB2">
        <w:rPr>
          <w:lang w:val="en-GB"/>
        </w:rPr>
        <w:t>1</w:t>
      </w:r>
      <w:r w:rsidR="00F00DB2" w:rsidRPr="00F00DB2">
        <w:rPr>
          <w:lang w:val="en-GB"/>
        </w:rPr>
        <w:t>)</w:t>
      </w:r>
      <w:r w:rsidR="004075A7" w:rsidRPr="00F00DB2">
        <w:rPr>
          <w:lang w:val="en-GB"/>
        </w:rPr>
        <w:t xml:space="preserve">, </w:t>
      </w:r>
      <w:r w:rsidR="00F00DB2" w:rsidRPr="00F00DB2">
        <w:rPr>
          <w:lang w:val="en-GB"/>
        </w:rPr>
        <w:t>(</w:t>
      </w:r>
      <w:r w:rsidR="00535C4B" w:rsidRPr="00E533B6">
        <w:rPr>
          <w:lang w:val="en-GB"/>
        </w:rPr>
        <w:t>3</w:t>
      </w:r>
      <w:r w:rsidR="00F00DB2" w:rsidRPr="00E533B6">
        <w:rPr>
          <w:lang w:val="en-GB"/>
        </w:rPr>
        <w:t>)</w:t>
      </w:r>
      <w:r w:rsidR="00535C4B" w:rsidRPr="00E533B6">
        <w:rPr>
          <w:lang w:val="en-GB"/>
        </w:rPr>
        <w:t xml:space="preserve"> (b)</w:t>
      </w:r>
      <w:r w:rsidR="004075A7" w:rsidRPr="00F00DB2">
        <w:rPr>
          <w:lang w:val="en-GB"/>
        </w:rPr>
        <w:t>, (c) and (e)</w:t>
      </w:r>
      <w:r w:rsidR="00F00DB2" w:rsidRPr="00F00DB2">
        <w:rPr>
          <w:lang w:val="en-GB"/>
        </w:rPr>
        <w:t>,</w:t>
      </w:r>
      <w:r w:rsidR="004075A7" w:rsidRPr="00F00DB2">
        <w:rPr>
          <w:lang w:val="en-GB"/>
        </w:rPr>
        <w:t xml:space="preserve"> and </w:t>
      </w:r>
      <w:r w:rsidR="00F00DB2" w:rsidRPr="00F00DB2">
        <w:rPr>
          <w:lang w:val="en-GB"/>
        </w:rPr>
        <w:t>(</w:t>
      </w:r>
      <w:r w:rsidR="004075A7" w:rsidRPr="00F00DB2">
        <w:rPr>
          <w:lang w:val="en-GB"/>
        </w:rPr>
        <w:t>5</w:t>
      </w:r>
      <w:r w:rsidR="00F00DB2" w:rsidRPr="00F00DB2">
        <w:rPr>
          <w:lang w:val="en-GB"/>
        </w:rPr>
        <w:t>)</w:t>
      </w:r>
      <w:r w:rsidR="004075A7" w:rsidRPr="00E533B6">
        <w:rPr>
          <w:lang w:val="en-GB"/>
        </w:rPr>
        <w:t xml:space="preserve"> of the Covenant</w:t>
      </w:r>
      <w:r w:rsidR="00535C4B" w:rsidRPr="00E533B6">
        <w:rPr>
          <w:lang w:val="en-GB"/>
        </w:rPr>
        <w:t xml:space="preserve"> relating to the issue of defence and right to examine witnesses</w:t>
      </w:r>
      <w:r w:rsidR="004075A7" w:rsidRPr="00F00DB2">
        <w:rPr>
          <w:lang w:val="en-GB"/>
        </w:rPr>
        <w:t xml:space="preserve">, to the issue of delay and </w:t>
      </w:r>
      <w:r w:rsidR="00285224" w:rsidRPr="00F00DB2">
        <w:rPr>
          <w:lang w:val="en-GB"/>
        </w:rPr>
        <w:t xml:space="preserve">to the issue </w:t>
      </w:r>
      <w:r w:rsidR="004075A7" w:rsidRPr="00F00DB2">
        <w:rPr>
          <w:lang w:val="en-GB"/>
        </w:rPr>
        <w:t>of the</w:t>
      </w:r>
      <w:r w:rsidR="00285224" w:rsidRPr="00F00DB2">
        <w:rPr>
          <w:lang w:val="en-GB"/>
        </w:rPr>
        <w:t xml:space="preserve"> </w:t>
      </w:r>
      <w:r w:rsidR="004075A7" w:rsidRPr="00F00DB2">
        <w:rPr>
          <w:lang w:val="en-GB"/>
        </w:rPr>
        <w:t>access to the documentation necessary for the preparation of an appeal</w:t>
      </w:r>
      <w:r w:rsidR="00F00DB2">
        <w:rPr>
          <w:lang w:val="en-GB"/>
        </w:rPr>
        <w:t xml:space="preserve">, </w:t>
      </w:r>
      <w:r w:rsidRPr="00E533B6">
        <w:rPr>
          <w:lang w:val="en-GB"/>
        </w:rPr>
        <w:t>have been sufficiently substantiated and should be considered on the merits.</w:t>
      </w:r>
    </w:p>
    <w:p w14:paraId="0D6BAF22" w14:textId="77777777" w:rsidR="00E93CC4" w:rsidRPr="00F00DB2" w:rsidRDefault="00893BD2" w:rsidP="00E93CC4">
      <w:pPr>
        <w:pStyle w:val="H4G"/>
      </w:pPr>
      <w:r w:rsidRPr="00F00DB2">
        <w:tab/>
      </w:r>
      <w:r w:rsidRPr="00F00DB2">
        <w:tab/>
      </w:r>
      <w:r w:rsidR="00E93CC4" w:rsidRPr="00F00DB2">
        <w:t>Consideration of the merits</w:t>
      </w:r>
    </w:p>
    <w:p w14:paraId="772A51A3" w14:textId="77777777" w:rsidR="00A60F02" w:rsidRPr="00F00DB2" w:rsidRDefault="00E93CC4">
      <w:pPr>
        <w:pStyle w:val="SingleTxtG"/>
        <w:rPr>
          <w:lang w:val="en-GB"/>
        </w:rPr>
      </w:pPr>
      <w:r w:rsidRPr="00F00DB2">
        <w:rPr>
          <w:lang w:val="en-GB"/>
        </w:rPr>
        <w:t>7.1</w:t>
      </w:r>
      <w:r w:rsidRPr="00E533B6">
        <w:rPr>
          <w:lang w:val="en-GB"/>
        </w:rPr>
        <w:tab/>
        <w:t xml:space="preserve">The Human Rights Committee has considered the present communication in the light of all the information made available to it by the parties, as required under article 5 </w:t>
      </w:r>
      <w:r w:rsidR="00F00DB2">
        <w:rPr>
          <w:lang w:val="en-GB"/>
        </w:rPr>
        <w:t>(</w:t>
      </w:r>
      <w:r w:rsidR="00893BD2" w:rsidRPr="00E533B6">
        <w:rPr>
          <w:lang w:val="en-GB"/>
        </w:rPr>
        <w:t>1</w:t>
      </w:r>
      <w:r w:rsidR="00F00DB2">
        <w:rPr>
          <w:lang w:val="en-GB"/>
        </w:rPr>
        <w:t>)</w:t>
      </w:r>
      <w:r w:rsidR="00893BD2" w:rsidRPr="00E533B6">
        <w:rPr>
          <w:lang w:val="en-GB"/>
        </w:rPr>
        <w:t xml:space="preserve"> of the Optional Protocol.</w:t>
      </w:r>
    </w:p>
    <w:p w14:paraId="2D8AD373" w14:textId="77777777" w:rsidR="00A60F02" w:rsidRPr="00F00DB2" w:rsidRDefault="00E93CC4">
      <w:pPr>
        <w:pStyle w:val="SingleTxtG"/>
        <w:rPr>
          <w:lang w:val="en-GB"/>
        </w:rPr>
      </w:pPr>
      <w:r w:rsidRPr="00F00DB2">
        <w:rPr>
          <w:lang w:val="en-GB"/>
        </w:rPr>
        <w:t>7.2</w:t>
      </w:r>
      <w:r w:rsidRPr="00E533B6">
        <w:rPr>
          <w:lang w:val="en-GB"/>
        </w:rPr>
        <w:tab/>
      </w:r>
      <w:r w:rsidR="00A60F02" w:rsidRPr="00E533B6">
        <w:rPr>
          <w:lang w:val="en-GB"/>
        </w:rPr>
        <w:t xml:space="preserve">In respect of the </w:t>
      </w:r>
      <w:r w:rsidR="00631796" w:rsidRPr="00E533B6">
        <w:rPr>
          <w:lang w:val="en-GB"/>
        </w:rPr>
        <w:t xml:space="preserve">author’s </w:t>
      </w:r>
      <w:r w:rsidR="00A60F02" w:rsidRPr="00E533B6">
        <w:rPr>
          <w:lang w:val="en-GB"/>
        </w:rPr>
        <w:t>claim that he was not adequately represented</w:t>
      </w:r>
      <w:r w:rsidR="00893BD2" w:rsidRPr="00E533B6">
        <w:rPr>
          <w:color w:val="000000"/>
          <w:lang w:val="en-GB"/>
        </w:rPr>
        <w:t xml:space="preserve">, the Committee </w:t>
      </w:r>
      <w:r w:rsidR="00CC08B8" w:rsidRPr="00F00DB2">
        <w:rPr>
          <w:color w:val="000000"/>
          <w:lang w:val="en-GB"/>
        </w:rPr>
        <w:t>notes</w:t>
      </w:r>
      <w:r w:rsidR="00893BD2" w:rsidRPr="00E533B6">
        <w:rPr>
          <w:color w:val="000000"/>
          <w:lang w:val="en-GB"/>
        </w:rPr>
        <w:t xml:space="preserve"> the author’s arguments stating that </w:t>
      </w:r>
      <w:r w:rsidR="00281B63" w:rsidRPr="00F00DB2">
        <w:rPr>
          <w:color w:val="000000"/>
          <w:lang w:val="en-GB"/>
        </w:rPr>
        <w:t xml:space="preserve">his </w:t>
      </w:r>
      <w:r w:rsidR="007173C2" w:rsidRPr="00F00DB2">
        <w:rPr>
          <w:color w:val="000000"/>
          <w:lang w:val="en-GB"/>
        </w:rPr>
        <w:t xml:space="preserve">legal aid </w:t>
      </w:r>
      <w:r w:rsidR="00281B63" w:rsidRPr="00F00DB2">
        <w:rPr>
          <w:color w:val="000000"/>
          <w:lang w:val="en-GB"/>
        </w:rPr>
        <w:t>lawyer</w:t>
      </w:r>
      <w:r w:rsidR="003D4DA9" w:rsidRPr="00F00DB2">
        <w:rPr>
          <w:color w:val="000000"/>
          <w:lang w:val="en-GB"/>
        </w:rPr>
        <w:t xml:space="preserve"> </w:t>
      </w:r>
      <w:r w:rsidR="003D4DA9" w:rsidRPr="00F00DB2">
        <w:rPr>
          <w:lang w:val="en-GB"/>
        </w:rPr>
        <w:t>did not dedicate sufficient time to his case</w:t>
      </w:r>
      <w:r w:rsidR="00E36BE6" w:rsidRPr="00F00DB2">
        <w:rPr>
          <w:lang w:val="en-GB"/>
        </w:rPr>
        <w:t>;</w:t>
      </w:r>
      <w:r w:rsidR="003D4DA9" w:rsidRPr="00F00DB2">
        <w:rPr>
          <w:lang w:val="en-GB"/>
        </w:rPr>
        <w:t xml:space="preserve"> </w:t>
      </w:r>
      <w:r w:rsidR="00281B63" w:rsidRPr="00F00DB2">
        <w:rPr>
          <w:lang w:val="en-GB"/>
        </w:rPr>
        <w:t>disregarded his instructions to call two witnesses</w:t>
      </w:r>
      <w:r w:rsidR="00E36BE6" w:rsidRPr="00F00DB2">
        <w:rPr>
          <w:lang w:val="en-GB"/>
        </w:rPr>
        <w:t xml:space="preserve">; </w:t>
      </w:r>
      <w:r w:rsidR="004D1F95" w:rsidRPr="00F00DB2">
        <w:rPr>
          <w:lang w:val="en-GB"/>
        </w:rPr>
        <w:t xml:space="preserve">and </w:t>
      </w:r>
      <w:r w:rsidR="00E36BE6" w:rsidRPr="00F00DB2">
        <w:rPr>
          <w:lang w:val="en-GB"/>
        </w:rPr>
        <w:t>did not contest the size and composition of the jury panel and its method of selection</w:t>
      </w:r>
      <w:r w:rsidR="003D4DA9" w:rsidRPr="00F00DB2">
        <w:rPr>
          <w:lang w:val="en-GB"/>
        </w:rPr>
        <w:t xml:space="preserve">. </w:t>
      </w:r>
      <w:r w:rsidR="00D81170" w:rsidRPr="00F00DB2">
        <w:rPr>
          <w:lang w:val="en-GB"/>
        </w:rPr>
        <w:t>The Committee recalls that</w:t>
      </w:r>
      <w:r w:rsidR="00F00DB2">
        <w:rPr>
          <w:lang w:val="en-GB"/>
        </w:rPr>
        <w:t>,</w:t>
      </w:r>
      <w:r w:rsidR="00D81170" w:rsidRPr="00F00DB2">
        <w:rPr>
          <w:lang w:val="en-GB"/>
        </w:rPr>
        <w:t xml:space="preserve"> </w:t>
      </w:r>
      <w:r w:rsidR="00A60F02" w:rsidRPr="00E533B6">
        <w:rPr>
          <w:lang w:val="en-GB"/>
        </w:rPr>
        <w:t>although it is incumbent on the State party to provide effective legal aid representation, it is not for the Committee to determine how this should have been ensured, unless it is apparent that there has been a miscarriage of justice.</w:t>
      </w:r>
      <w:r w:rsidR="002527DD" w:rsidRPr="00E533B6">
        <w:rPr>
          <w:rStyle w:val="FootnoteReference"/>
          <w:lang w:val="en-GB"/>
        </w:rPr>
        <w:footnoteReference w:id="22"/>
      </w:r>
      <w:r w:rsidR="00A60F02" w:rsidRPr="00E533B6">
        <w:rPr>
          <w:lang w:val="en-GB"/>
        </w:rPr>
        <w:t xml:space="preserve"> </w:t>
      </w:r>
      <w:r w:rsidR="002527DD" w:rsidRPr="00E533B6">
        <w:rPr>
          <w:lang w:val="en-GB"/>
        </w:rPr>
        <w:t>Notwithstanding the author’s claim, the information available to the Committee does not enable the Committee to conclude that his trial lawyer’s conduct was contrary to the interests of justice</w:t>
      </w:r>
      <w:r w:rsidR="002527DD" w:rsidRPr="00E533B6">
        <w:rPr>
          <w:rStyle w:val="FootnoteReference"/>
          <w:lang w:val="en-GB"/>
        </w:rPr>
        <w:footnoteReference w:id="23"/>
      </w:r>
      <w:r w:rsidR="002527DD" w:rsidRPr="00F00DB2">
        <w:rPr>
          <w:lang w:val="en-GB"/>
        </w:rPr>
        <w:t xml:space="preserve"> and would amount to a violation of</w:t>
      </w:r>
      <w:r w:rsidR="00CC08B8" w:rsidRPr="00F00DB2">
        <w:rPr>
          <w:color w:val="000000"/>
          <w:lang w:val="en-GB"/>
        </w:rPr>
        <w:t xml:space="preserve"> article 14</w:t>
      </w:r>
      <w:r w:rsidR="00CC08B8" w:rsidRPr="00E533B6">
        <w:rPr>
          <w:color w:val="000000"/>
          <w:lang w:val="en-GB"/>
        </w:rPr>
        <w:t xml:space="preserve"> </w:t>
      </w:r>
      <w:r w:rsidR="003D7345">
        <w:rPr>
          <w:color w:val="000000"/>
          <w:lang w:val="en-GB"/>
        </w:rPr>
        <w:t>(</w:t>
      </w:r>
      <w:r w:rsidR="00CC08B8" w:rsidRPr="00E533B6">
        <w:rPr>
          <w:color w:val="000000"/>
          <w:lang w:val="en-GB"/>
        </w:rPr>
        <w:t>1</w:t>
      </w:r>
      <w:r w:rsidR="003D7345">
        <w:rPr>
          <w:color w:val="000000"/>
          <w:lang w:val="en-GB"/>
        </w:rPr>
        <w:t>)</w:t>
      </w:r>
      <w:r w:rsidR="00CC08B8" w:rsidRPr="00E533B6">
        <w:rPr>
          <w:color w:val="000000"/>
          <w:lang w:val="en-GB"/>
        </w:rPr>
        <w:t xml:space="preserve"> and </w:t>
      </w:r>
      <w:r w:rsidR="003D7345">
        <w:rPr>
          <w:color w:val="000000"/>
          <w:lang w:val="en-GB"/>
        </w:rPr>
        <w:t>(</w:t>
      </w:r>
      <w:r w:rsidR="00CC08B8" w:rsidRPr="00E533B6">
        <w:rPr>
          <w:color w:val="000000"/>
          <w:lang w:val="en-GB"/>
        </w:rPr>
        <w:t>3</w:t>
      </w:r>
      <w:r w:rsidR="003D7345">
        <w:rPr>
          <w:color w:val="000000"/>
          <w:lang w:val="en-GB"/>
        </w:rPr>
        <w:t>)</w:t>
      </w:r>
      <w:r w:rsidR="00CC08B8" w:rsidRPr="00E533B6">
        <w:rPr>
          <w:color w:val="000000"/>
          <w:lang w:val="en-GB"/>
        </w:rPr>
        <w:t xml:space="preserve"> (b) and (e).</w:t>
      </w:r>
    </w:p>
    <w:p w14:paraId="41DEB8B8" w14:textId="77777777" w:rsidR="00BD2A5F" w:rsidRPr="00E533B6" w:rsidRDefault="00077934">
      <w:pPr>
        <w:pStyle w:val="SingleTxtG"/>
        <w:rPr>
          <w:lang w:val="en-GB"/>
        </w:rPr>
      </w:pPr>
      <w:r w:rsidRPr="00F00DB2">
        <w:rPr>
          <w:lang w:val="en-GB"/>
        </w:rPr>
        <w:t>7.3</w:t>
      </w:r>
      <w:r w:rsidRPr="00F00DB2">
        <w:rPr>
          <w:lang w:val="en-GB"/>
        </w:rPr>
        <w:tab/>
        <w:t xml:space="preserve">The author further claims that his trial has suffered undue delay from 22 December 1995, </w:t>
      </w:r>
      <w:r w:rsidR="003D7345">
        <w:rPr>
          <w:lang w:val="en-GB"/>
        </w:rPr>
        <w:t xml:space="preserve">the </w:t>
      </w:r>
      <w:r w:rsidRPr="00F00DB2">
        <w:rPr>
          <w:lang w:val="en-GB"/>
        </w:rPr>
        <w:t xml:space="preserve">date of the High Court judgement, until 1 March 2005, </w:t>
      </w:r>
      <w:r w:rsidR="003D7345">
        <w:rPr>
          <w:lang w:val="en-GB"/>
        </w:rPr>
        <w:t xml:space="preserve">the </w:t>
      </w:r>
      <w:r w:rsidRPr="00F00DB2">
        <w:rPr>
          <w:lang w:val="en-GB"/>
        </w:rPr>
        <w:t xml:space="preserve">date of the Supreme Court final judgement. </w:t>
      </w:r>
      <w:r w:rsidR="00CF5ACB" w:rsidRPr="00F00DB2">
        <w:rPr>
          <w:lang w:val="en-GB"/>
        </w:rPr>
        <w:t>The Committee recalls that the reasonableness of the delay in a trial has to be assessed in the circumstances of each case, taking into account the complexity of the case, the conduct of the accused and the manner in which the matter was dealt with by the administrative and judicial authorities.</w:t>
      </w:r>
      <w:r w:rsidR="00200C83" w:rsidRPr="00F00DB2">
        <w:rPr>
          <w:rStyle w:val="FootnoteReference"/>
          <w:lang w:val="en-GB"/>
        </w:rPr>
        <w:footnoteReference w:id="24"/>
      </w:r>
      <w:r w:rsidR="00CF5ACB" w:rsidRPr="00F00DB2">
        <w:rPr>
          <w:lang w:val="en-GB"/>
        </w:rPr>
        <w:t xml:space="preserve"> </w:t>
      </w:r>
      <w:r w:rsidRPr="00F00DB2">
        <w:rPr>
          <w:lang w:val="en-GB"/>
        </w:rPr>
        <w:t xml:space="preserve">In </w:t>
      </w:r>
      <w:r w:rsidR="00CF5ACB" w:rsidRPr="00F00DB2">
        <w:rPr>
          <w:lang w:val="en-GB"/>
        </w:rPr>
        <w:t>the present case</w:t>
      </w:r>
      <w:r w:rsidRPr="00F00DB2">
        <w:rPr>
          <w:lang w:val="en-GB"/>
        </w:rPr>
        <w:t xml:space="preserve">, the Committee notes that the author was sentenced by the High Court on 9 December 1995, following two </w:t>
      </w:r>
      <w:r w:rsidRPr="00E533B6">
        <w:rPr>
          <w:lang w:val="en-GB"/>
        </w:rPr>
        <w:t>pretrial applications and jury trial. The Committee observes that</w:t>
      </w:r>
      <w:r w:rsidR="003D7345">
        <w:rPr>
          <w:lang w:val="en-GB"/>
        </w:rPr>
        <w:t>,</w:t>
      </w:r>
      <w:r w:rsidRPr="00E533B6">
        <w:rPr>
          <w:lang w:val="en-GB"/>
        </w:rPr>
        <w:t xml:space="preserve"> following the decision of the Privy Council of 19 March 2002, ordering the rehearing of the author’s case, the Court of Appeal hearing took place in February 2005. The Committee </w:t>
      </w:r>
      <w:r w:rsidRPr="00F00DB2">
        <w:rPr>
          <w:lang w:val="en-GB"/>
        </w:rPr>
        <w:t>note</w:t>
      </w:r>
      <w:r w:rsidR="003D7345">
        <w:rPr>
          <w:lang w:val="en-GB"/>
        </w:rPr>
        <w:t>s</w:t>
      </w:r>
      <w:r w:rsidRPr="00F00DB2">
        <w:rPr>
          <w:lang w:val="en-GB"/>
        </w:rPr>
        <w:t xml:space="preserve"> that the delays referred by the author with regard to his appeal mainly resulted </w:t>
      </w:r>
      <w:r w:rsidR="003D7345">
        <w:rPr>
          <w:lang w:val="en-GB"/>
        </w:rPr>
        <w:t xml:space="preserve">from </w:t>
      </w:r>
      <w:r w:rsidRPr="00F00DB2">
        <w:rPr>
          <w:lang w:val="en-GB"/>
        </w:rPr>
        <w:t>his own requests for extension (three in total) to submit his grounds for appeal and to request legal aid. As regards the delays related to the procedure before the Privy Council, the Committee notes that the author waited more than three years before presenting his application for leave to appeal to the Privy Council together with 11 appellants. Taking into account these specific circumstances, the Committee considers that the delay in determining the author’s appeal does not amount to a violation of article 14</w:t>
      </w:r>
      <w:r w:rsidRPr="00E533B6">
        <w:rPr>
          <w:lang w:val="en-GB"/>
        </w:rPr>
        <w:t xml:space="preserve"> </w:t>
      </w:r>
      <w:r w:rsidR="003D7345">
        <w:rPr>
          <w:lang w:val="en-GB"/>
        </w:rPr>
        <w:t>(</w:t>
      </w:r>
      <w:r w:rsidRPr="00E533B6">
        <w:rPr>
          <w:lang w:val="en-GB"/>
        </w:rPr>
        <w:t>3</w:t>
      </w:r>
      <w:r w:rsidR="003D7345">
        <w:rPr>
          <w:lang w:val="en-GB"/>
        </w:rPr>
        <w:t>) </w:t>
      </w:r>
      <w:r w:rsidRPr="00E533B6">
        <w:rPr>
          <w:lang w:val="en-GB"/>
        </w:rPr>
        <w:t xml:space="preserve">(c) and </w:t>
      </w:r>
      <w:r w:rsidR="003D7345">
        <w:rPr>
          <w:lang w:val="en-GB"/>
        </w:rPr>
        <w:t>(</w:t>
      </w:r>
      <w:r w:rsidRPr="00E533B6">
        <w:rPr>
          <w:lang w:val="en-GB"/>
        </w:rPr>
        <w:t>5</w:t>
      </w:r>
      <w:r w:rsidR="003D7345">
        <w:rPr>
          <w:lang w:val="en-GB"/>
        </w:rPr>
        <w:t>)</w:t>
      </w:r>
      <w:r w:rsidRPr="00E533B6">
        <w:rPr>
          <w:lang w:val="en-GB"/>
        </w:rPr>
        <w:t>.</w:t>
      </w:r>
      <w:r w:rsidRPr="00E533B6">
        <w:rPr>
          <w:rStyle w:val="FootnoteReference"/>
          <w:lang w:val="en-GB"/>
        </w:rPr>
        <w:footnoteReference w:id="25"/>
      </w:r>
    </w:p>
    <w:p w14:paraId="186151CC" w14:textId="77777777" w:rsidR="00D97D71" w:rsidRPr="00F00DB2" w:rsidRDefault="00BD2A5F" w:rsidP="00CB39EA">
      <w:pPr>
        <w:pStyle w:val="SingleTxtG"/>
        <w:rPr>
          <w:lang w:val="en-GB"/>
        </w:rPr>
      </w:pPr>
      <w:r w:rsidRPr="00E533B6">
        <w:rPr>
          <w:lang w:val="en-GB"/>
        </w:rPr>
        <w:t>7.4</w:t>
      </w:r>
      <w:r w:rsidR="00C573F2" w:rsidRPr="00E533B6">
        <w:rPr>
          <w:lang w:val="en-GB"/>
        </w:rPr>
        <w:tab/>
      </w:r>
      <w:r w:rsidRPr="00E533B6">
        <w:rPr>
          <w:lang w:val="en-GB"/>
        </w:rPr>
        <w:t>The Committee also notes the author’s argument</w:t>
      </w:r>
      <w:r w:rsidR="00631796" w:rsidRPr="00E533B6">
        <w:rPr>
          <w:lang w:val="en-GB"/>
        </w:rPr>
        <w:t xml:space="preserve"> </w:t>
      </w:r>
      <w:r w:rsidRPr="00E533B6">
        <w:rPr>
          <w:lang w:val="en-GB"/>
        </w:rPr>
        <w:t xml:space="preserve">that the unavailability of the 1995 </w:t>
      </w:r>
      <w:r w:rsidR="00D652D9" w:rsidRPr="00E533B6">
        <w:rPr>
          <w:lang w:val="en-GB"/>
        </w:rPr>
        <w:t>t</w:t>
      </w:r>
      <w:r w:rsidRPr="00E533B6">
        <w:rPr>
          <w:lang w:val="en-GB"/>
        </w:rPr>
        <w:t xml:space="preserve">rial </w:t>
      </w:r>
      <w:r w:rsidR="00D652D9" w:rsidRPr="00E533B6">
        <w:rPr>
          <w:lang w:val="en-GB"/>
        </w:rPr>
        <w:t>j</w:t>
      </w:r>
      <w:r w:rsidRPr="00E533B6">
        <w:rPr>
          <w:lang w:val="en-GB"/>
        </w:rPr>
        <w:t>udge’s summing</w:t>
      </w:r>
      <w:r w:rsidR="00D652D9" w:rsidRPr="00E533B6">
        <w:rPr>
          <w:lang w:val="en-GB"/>
        </w:rPr>
        <w:t>-</w:t>
      </w:r>
      <w:r w:rsidRPr="00E533B6">
        <w:rPr>
          <w:lang w:val="en-GB"/>
        </w:rPr>
        <w:t>up</w:t>
      </w:r>
      <w:r w:rsidR="00631796" w:rsidRPr="00E533B6">
        <w:rPr>
          <w:lang w:val="en-GB"/>
        </w:rPr>
        <w:t xml:space="preserve"> </w:t>
      </w:r>
      <w:r w:rsidRPr="00E533B6">
        <w:rPr>
          <w:lang w:val="en-GB"/>
        </w:rPr>
        <w:t>prevented him from having access to the documentation necessary for the proper preparation of his appeal,</w:t>
      </w:r>
      <w:r w:rsidR="00631796" w:rsidRPr="00E533B6">
        <w:rPr>
          <w:lang w:val="en-GB"/>
        </w:rPr>
        <w:t xml:space="preserve"> </w:t>
      </w:r>
      <w:r w:rsidRPr="00E533B6">
        <w:rPr>
          <w:lang w:val="en-GB"/>
        </w:rPr>
        <w:t>in violation of</w:t>
      </w:r>
      <w:r w:rsidR="00631796" w:rsidRPr="00E533B6">
        <w:rPr>
          <w:lang w:val="en-GB"/>
        </w:rPr>
        <w:t xml:space="preserve"> </w:t>
      </w:r>
      <w:r w:rsidRPr="00E533B6">
        <w:rPr>
          <w:lang w:val="en-GB"/>
        </w:rPr>
        <w:t xml:space="preserve">article 14 </w:t>
      </w:r>
      <w:r w:rsidR="003D7345">
        <w:rPr>
          <w:lang w:val="en-GB"/>
        </w:rPr>
        <w:t>(</w:t>
      </w:r>
      <w:r w:rsidRPr="00E533B6">
        <w:rPr>
          <w:lang w:val="en-GB"/>
        </w:rPr>
        <w:t>1</w:t>
      </w:r>
      <w:r w:rsidR="003D7345">
        <w:rPr>
          <w:lang w:val="en-GB"/>
        </w:rPr>
        <w:t>)</w:t>
      </w:r>
      <w:r w:rsidRPr="00E533B6">
        <w:rPr>
          <w:lang w:val="en-GB"/>
        </w:rPr>
        <w:t xml:space="preserve"> and </w:t>
      </w:r>
      <w:r w:rsidR="003D7345">
        <w:rPr>
          <w:lang w:val="en-GB"/>
        </w:rPr>
        <w:t>(</w:t>
      </w:r>
      <w:r w:rsidRPr="00E533B6">
        <w:rPr>
          <w:lang w:val="en-GB"/>
        </w:rPr>
        <w:t>5</w:t>
      </w:r>
      <w:r w:rsidR="003D7345">
        <w:rPr>
          <w:lang w:val="en-GB"/>
        </w:rPr>
        <w:t>)</w:t>
      </w:r>
      <w:r w:rsidRPr="00E533B6">
        <w:rPr>
          <w:lang w:val="en-GB"/>
        </w:rPr>
        <w:t xml:space="preserve"> of the Covenant.</w:t>
      </w:r>
      <w:r w:rsidR="00631796" w:rsidRPr="00E533B6">
        <w:rPr>
          <w:lang w:val="en-GB"/>
        </w:rPr>
        <w:t xml:space="preserve"> </w:t>
      </w:r>
      <w:r w:rsidRPr="00E533B6">
        <w:rPr>
          <w:lang w:val="en-GB"/>
        </w:rPr>
        <w:t xml:space="preserve">The Committee notes the State party’s argument that the availability of the </w:t>
      </w:r>
      <w:r w:rsidR="00D652D9" w:rsidRPr="00E533B6">
        <w:rPr>
          <w:lang w:val="en-GB"/>
        </w:rPr>
        <w:t>t</w:t>
      </w:r>
      <w:r w:rsidRPr="00E533B6">
        <w:rPr>
          <w:lang w:val="en-GB"/>
        </w:rPr>
        <w:t xml:space="preserve">rial </w:t>
      </w:r>
      <w:r w:rsidR="00D652D9" w:rsidRPr="00E533B6">
        <w:rPr>
          <w:lang w:val="en-GB"/>
        </w:rPr>
        <w:t>j</w:t>
      </w:r>
      <w:r w:rsidRPr="00E533B6">
        <w:rPr>
          <w:lang w:val="en-GB"/>
        </w:rPr>
        <w:t>udge’s summing</w:t>
      </w:r>
      <w:r w:rsidR="00D652D9" w:rsidRPr="00E533B6">
        <w:rPr>
          <w:lang w:val="en-GB"/>
        </w:rPr>
        <w:t>-</w:t>
      </w:r>
      <w:r w:rsidRPr="00E533B6">
        <w:rPr>
          <w:lang w:val="en-GB"/>
        </w:rPr>
        <w:t>up is not a precondition for lodging an appeal</w:t>
      </w:r>
      <w:r w:rsidR="002907A8" w:rsidRPr="00F00DB2">
        <w:rPr>
          <w:lang w:val="en-GB"/>
        </w:rPr>
        <w:t>;</w:t>
      </w:r>
      <w:r w:rsidRPr="00E533B6">
        <w:rPr>
          <w:lang w:val="en-GB"/>
        </w:rPr>
        <w:t xml:space="preserve"> that the appellate court’s findings relate to matters of fact and of national law; and that the Court of Appeal concluded that there was no real likelihood of a procedural error of significance or miscarriage of justice. The Committee recalls that </w:t>
      </w:r>
      <w:r w:rsidR="002907A8" w:rsidRPr="00F00DB2">
        <w:rPr>
          <w:lang w:val="en-GB"/>
        </w:rPr>
        <w:t>a</w:t>
      </w:r>
      <w:r w:rsidRPr="00E533B6">
        <w:rPr>
          <w:lang w:val="en-GB"/>
        </w:rPr>
        <w:t xml:space="preserve">rticle 14 </w:t>
      </w:r>
      <w:r w:rsidR="003D7345">
        <w:rPr>
          <w:lang w:val="en-GB"/>
        </w:rPr>
        <w:t>(</w:t>
      </w:r>
      <w:r w:rsidRPr="00E533B6">
        <w:rPr>
          <w:lang w:val="en-GB"/>
        </w:rPr>
        <w:t>5</w:t>
      </w:r>
      <w:r w:rsidR="003D7345">
        <w:rPr>
          <w:lang w:val="en-GB"/>
        </w:rPr>
        <w:t>)</w:t>
      </w:r>
      <w:r w:rsidRPr="00E533B6">
        <w:rPr>
          <w:lang w:val="en-GB"/>
        </w:rPr>
        <w:t xml:space="preserve"> of the Covenant provides that anyone convicted of a crime shall have the right to have their conviction and sentence reviewed by a higher tribunal according to law. As a result, the author should have obtained access to the </w:t>
      </w:r>
      <w:r w:rsidR="002907A8" w:rsidRPr="00F00DB2">
        <w:rPr>
          <w:lang w:val="en-GB"/>
        </w:rPr>
        <w:t>court records</w:t>
      </w:r>
      <w:r w:rsidRPr="00E533B6">
        <w:rPr>
          <w:lang w:val="en-GB"/>
        </w:rPr>
        <w:t xml:space="preserve"> and to those documents </w:t>
      </w:r>
      <w:r w:rsidR="003D7345">
        <w:rPr>
          <w:lang w:val="en-GB"/>
        </w:rPr>
        <w:t xml:space="preserve">that </w:t>
      </w:r>
      <w:r w:rsidRPr="00E533B6">
        <w:rPr>
          <w:lang w:val="en-GB"/>
        </w:rPr>
        <w:t>are necessary to enjoy the effective exercise of the right to appeal.</w:t>
      </w:r>
      <w:r w:rsidRPr="00E533B6">
        <w:rPr>
          <w:rStyle w:val="FootnoteReference"/>
          <w:lang w:val="en-GB"/>
        </w:rPr>
        <w:footnoteReference w:id="26"/>
      </w:r>
      <w:r w:rsidR="002907A8" w:rsidRPr="00F00DB2">
        <w:rPr>
          <w:lang w:val="en-GB"/>
        </w:rPr>
        <w:t xml:space="preserve"> </w:t>
      </w:r>
      <w:r w:rsidRPr="00E533B6">
        <w:rPr>
          <w:lang w:val="en-GB"/>
        </w:rPr>
        <w:t>The Committee notes that the author had access to a transcript of the proceedings, except the summing</w:t>
      </w:r>
      <w:r w:rsidR="00D652D9" w:rsidRPr="00E533B6">
        <w:rPr>
          <w:lang w:val="en-GB"/>
        </w:rPr>
        <w:t>-</w:t>
      </w:r>
      <w:r w:rsidRPr="00E533B6">
        <w:rPr>
          <w:lang w:val="en-GB"/>
        </w:rPr>
        <w:t>up part. It also notes that the issue of the lack of a summing</w:t>
      </w:r>
      <w:r w:rsidR="00D652D9" w:rsidRPr="00E533B6">
        <w:rPr>
          <w:lang w:val="en-GB"/>
        </w:rPr>
        <w:t>-</w:t>
      </w:r>
      <w:r w:rsidRPr="00E533B6">
        <w:rPr>
          <w:lang w:val="en-GB"/>
        </w:rPr>
        <w:t>up was the subject of specific consideration in the Court of Appeal and the Supreme Court</w:t>
      </w:r>
      <w:r w:rsidR="002907A8" w:rsidRPr="00F00DB2">
        <w:rPr>
          <w:lang w:val="en-GB"/>
        </w:rPr>
        <w:t>, and that</w:t>
      </w:r>
      <w:r w:rsidRPr="00E533B6">
        <w:rPr>
          <w:lang w:val="en-GB"/>
        </w:rPr>
        <w:t xml:space="preserve"> the author </w:t>
      </w:r>
      <w:r w:rsidR="002907A8" w:rsidRPr="00F00DB2">
        <w:rPr>
          <w:lang w:val="en-GB"/>
        </w:rPr>
        <w:t xml:space="preserve">has not </w:t>
      </w:r>
      <w:r w:rsidRPr="00E533B6">
        <w:rPr>
          <w:lang w:val="en-GB"/>
        </w:rPr>
        <w:t>provided any information to explain in what respect</w:t>
      </w:r>
      <w:r w:rsidRPr="00F00DB2">
        <w:rPr>
          <w:lang w:val="en-GB"/>
        </w:rPr>
        <w:t xml:space="preserve"> </w:t>
      </w:r>
      <w:r w:rsidRPr="00E533B6">
        <w:rPr>
          <w:lang w:val="en-GB"/>
        </w:rPr>
        <w:t>the transcript of the summing</w:t>
      </w:r>
      <w:r w:rsidR="00D652D9" w:rsidRPr="00E533B6">
        <w:rPr>
          <w:lang w:val="en-GB"/>
        </w:rPr>
        <w:t>-</w:t>
      </w:r>
      <w:r w:rsidRPr="00E533B6">
        <w:rPr>
          <w:lang w:val="en-GB"/>
        </w:rPr>
        <w:t>up was necessary for him to effectively exercise his right to appeal</w:t>
      </w:r>
      <w:r w:rsidR="00187E42" w:rsidRPr="00F00DB2">
        <w:rPr>
          <w:lang w:val="en-GB"/>
        </w:rPr>
        <w:t>,</w:t>
      </w:r>
      <w:r w:rsidRPr="00E533B6">
        <w:rPr>
          <w:lang w:val="en-GB"/>
        </w:rPr>
        <w:t xml:space="preserve"> or that it affected his right to a fair h</w:t>
      </w:r>
      <w:r w:rsidR="00C23295" w:rsidRPr="00E533B6">
        <w:rPr>
          <w:lang w:val="en-GB"/>
        </w:rPr>
        <w:t>earing. Accordingly, under the</w:t>
      </w:r>
      <w:r w:rsidRPr="00E533B6">
        <w:rPr>
          <w:lang w:val="en-GB"/>
        </w:rPr>
        <w:t xml:space="preserve"> circumstances</w:t>
      </w:r>
      <w:r w:rsidR="00C23295" w:rsidRPr="00F00DB2">
        <w:rPr>
          <w:lang w:val="en-GB"/>
        </w:rPr>
        <w:t xml:space="preserve"> of this case</w:t>
      </w:r>
      <w:r w:rsidRPr="00E533B6">
        <w:rPr>
          <w:lang w:val="en-GB"/>
        </w:rPr>
        <w:t xml:space="preserve">, the Committee </w:t>
      </w:r>
      <w:r w:rsidR="002907A8" w:rsidRPr="00F00DB2">
        <w:rPr>
          <w:lang w:val="en-GB"/>
        </w:rPr>
        <w:t>considers that the author has not sufficiently</w:t>
      </w:r>
      <w:r w:rsidRPr="00E533B6">
        <w:rPr>
          <w:lang w:val="en-GB"/>
        </w:rPr>
        <w:t xml:space="preserve"> </w:t>
      </w:r>
      <w:r w:rsidR="002907A8" w:rsidRPr="00F00DB2">
        <w:rPr>
          <w:lang w:val="en-GB"/>
        </w:rPr>
        <w:t xml:space="preserve">substantiated his claim </w:t>
      </w:r>
      <w:r w:rsidR="008D3FEC" w:rsidRPr="00F00DB2">
        <w:rPr>
          <w:lang w:val="en-GB"/>
        </w:rPr>
        <w:t xml:space="preserve">and the Committee is therefore not in a position </w:t>
      </w:r>
      <w:r w:rsidR="002907A8" w:rsidRPr="00F00DB2">
        <w:rPr>
          <w:lang w:val="en-GB"/>
        </w:rPr>
        <w:t xml:space="preserve">to </w:t>
      </w:r>
      <w:r w:rsidRPr="00E533B6">
        <w:rPr>
          <w:lang w:val="en-GB"/>
        </w:rPr>
        <w:t xml:space="preserve">find a violation of article 14 </w:t>
      </w:r>
      <w:r w:rsidR="003D7345">
        <w:rPr>
          <w:lang w:val="en-GB"/>
        </w:rPr>
        <w:t>(</w:t>
      </w:r>
      <w:r w:rsidRPr="00E533B6">
        <w:rPr>
          <w:lang w:val="en-GB"/>
        </w:rPr>
        <w:t>1</w:t>
      </w:r>
      <w:r w:rsidR="003D7345">
        <w:rPr>
          <w:lang w:val="en-GB"/>
        </w:rPr>
        <w:t>)</w:t>
      </w:r>
      <w:r w:rsidRPr="00E533B6">
        <w:rPr>
          <w:lang w:val="en-GB"/>
        </w:rPr>
        <w:t xml:space="preserve"> and </w:t>
      </w:r>
      <w:r w:rsidR="003D7345">
        <w:rPr>
          <w:lang w:val="en-GB"/>
        </w:rPr>
        <w:t>(</w:t>
      </w:r>
      <w:r w:rsidRPr="00E533B6">
        <w:rPr>
          <w:lang w:val="en-GB"/>
        </w:rPr>
        <w:t>5</w:t>
      </w:r>
      <w:r w:rsidR="003D7345">
        <w:rPr>
          <w:lang w:val="en-GB"/>
        </w:rPr>
        <w:t>)</w:t>
      </w:r>
      <w:r w:rsidRPr="00E533B6">
        <w:rPr>
          <w:lang w:val="en-GB"/>
        </w:rPr>
        <w:t xml:space="preserve"> of the Covenant.</w:t>
      </w:r>
    </w:p>
    <w:p w14:paraId="688BC89D" w14:textId="77777777" w:rsidR="00C573F2" w:rsidRPr="00E533B6" w:rsidRDefault="00F760A6" w:rsidP="00E533B6">
      <w:pPr>
        <w:pStyle w:val="SingleTxtG"/>
        <w:rPr>
          <w:u w:val="single"/>
          <w:lang w:val="en-GB"/>
        </w:rPr>
      </w:pPr>
      <w:r w:rsidRPr="00E533B6">
        <w:rPr>
          <w:lang w:val="en-GB"/>
        </w:rPr>
        <w:t>8.</w:t>
      </w:r>
      <w:r w:rsidRPr="00E533B6">
        <w:rPr>
          <w:lang w:val="en-GB"/>
        </w:rPr>
        <w:tab/>
        <w:t>The Hu</w:t>
      </w:r>
      <w:r w:rsidR="003D7345">
        <w:rPr>
          <w:lang w:val="en-GB"/>
        </w:rPr>
        <w:t>m</w:t>
      </w:r>
      <w:r w:rsidRPr="00E533B6">
        <w:rPr>
          <w:lang w:val="en-GB"/>
        </w:rPr>
        <w:t xml:space="preserve">an Rights Committee, acting under article 5 </w:t>
      </w:r>
      <w:r w:rsidR="003D7345">
        <w:rPr>
          <w:lang w:val="en-GB"/>
        </w:rPr>
        <w:t>(</w:t>
      </w:r>
      <w:r w:rsidRPr="00E533B6">
        <w:rPr>
          <w:lang w:val="en-GB"/>
        </w:rPr>
        <w:t>4</w:t>
      </w:r>
      <w:r w:rsidR="003D7345">
        <w:rPr>
          <w:lang w:val="en-GB"/>
        </w:rPr>
        <w:t>)</w:t>
      </w:r>
      <w:r w:rsidRPr="00E533B6">
        <w:rPr>
          <w:lang w:val="en-GB"/>
        </w:rPr>
        <w:t xml:space="preserve"> of the Optional Protocol to the International Covenant on Civil and Political Rights, is of the view that the facts before it do not reveal a breach of any provision of the Covenant.</w:t>
      </w:r>
    </w:p>
    <w:p w14:paraId="559C1024" w14:textId="77777777" w:rsidR="00661709" w:rsidRPr="00F00DB2" w:rsidRDefault="00C573F2">
      <w:pPr>
        <w:pStyle w:val="SingleTxtG"/>
        <w:spacing w:before="240" w:after="0"/>
        <w:jc w:val="center"/>
        <w:rPr>
          <w:u w:val="single"/>
          <w:lang w:val="en-GB"/>
        </w:rPr>
      </w:pPr>
      <w:r w:rsidRPr="00F00DB2">
        <w:rPr>
          <w:color w:val="000000"/>
          <w:u w:val="single"/>
        </w:rPr>
        <w:tab/>
      </w:r>
      <w:r w:rsidRPr="00F00DB2">
        <w:rPr>
          <w:color w:val="000000"/>
          <w:u w:val="single"/>
        </w:rPr>
        <w:tab/>
      </w:r>
      <w:r w:rsidRPr="00F00DB2">
        <w:rPr>
          <w:color w:val="000000"/>
          <w:u w:val="single"/>
        </w:rPr>
        <w:tab/>
      </w:r>
    </w:p>
    <w:sectPr w:rsidR="00661709" w:rsidRPr="00F00DB2" w:rsidSect="00BB721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09T10:27:00Z" w:initials="Start">
    <w:p w14:paraId="79B2CBA4" w14:textId="77777777" w:rsidR="00BB721C" w:rsidRDefault="00BB72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NO&gt;&gt;N1520090E&lt;&lt;ODS JOB NO&gt;&gt;</w:t>
      </w:r>
    </w:p>
    <w:p w14:paraId="5B3B485D" w14:textId="77777777" w:rsidR="00BB721C" w:rsidRDefault="00BB721C">
      <w:pPr>
        <w:pStyle w:val="CommentText"/>
      </w:pPr>
      <w:r>
        <w:t>&lt;&lt;ODS DOC SYMBOL1&gt;&gt;CCPR/C/114/D/1909/2009&lt;&lt;ODS DOC SYMBOL1&gt;&gt;</w:t>
      </w:r>
    </w:p>
    <w:p w14:paraId="0C54064F" w14:textId="77777777" w:rsidR="00BB721C" w:rsidRDefault="00BB721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406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3D794" w14:textId="77777777" w:rsidR="0087406A" w:rsidRDefault="0087406A"/>
  </w:endnote>
  <w:endnote w:type="continuationSeparator" w:id="0">
    <w:p w14:paraId="097FC03D" w14:textId="77777777" w:rsidR="0087406A" w:rsidRDefault="0087406A"/>
  </w:endnote>
  <w:endnote w:type="continuationNotice" w:id="1">
    <w:p w14:paraId="33D013A0" w14:textId="77777777" w:rsidR="0087406A" w:rsidRDefault="00874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1F6D" w14:textId="77777777" w:rsidR="0043594D" w:rsidRPr="00781C83" w:rsidRDefault="0043594D"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604890">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4EFE0" w14:textId="77777777" w:rsidR="0043594D" w:rsidRPr="00E533B6" w:rsidRDefault="0043594D" w:rsidP="00781C83">
    <w:pPr>
      <w:pStyle w:val="Footer"/>
      <w:tabs>
        <w:tab w:val="right" w:pos="9638"/>
      </w:tabs>
      <w:rPr>
        <w:b/>
        <w:sz w:val="18"/>
      </w:rPr>
    </w:pPr>
    <w:r>
      <w:rPr>
        <w:b/>
        <w:sz w:val="18"/>
      </w:rPr>
      <w:tab/>
    </w:r>
    <w:r w:rsidRPr="00E533B6">
      <w:rPr>
        <w:b/>
        <w:sz w:val="18"/>
      </w:rPr>
      <w:fldChar w:fldCharType="begin"/>
    </w:r>
    <w:r w:rsidRPr="00E533B6">
      <w:rPr>
        <w:b/>
        <w:sz w:val="18"/>
      </w:rPr>
      <w:instrText xml:space="preserve"> PAGE  \* MERGEFORMAT </w:instrText>
    </w:r>
    <w:r w:rsidRPr="00E533B6">
      <w:rPr>
        <w:b/>
        <w:sz w:val="18"/>
      </w:rPr>
      <w:fldChar w:fldCharType="separate"/>
    </w:r>
    <w:r w:rsidR="00604890">
      <w:rPr>
        <w:b/>
        <w:noProof/>
        <w:sz w:val="18"/>
      </w:rPr>
      <w:t>3</w:t>
    </w:r>
    <w:r w:rsidRPr="00E533B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B721C" w14:paraId="72C339DB" w14:textId="77777777" w:rsidTr="00BB721C">
      <w:tc>
        <w:tcPr>
          <w:tcW w:w="3614" w:type="dxa"/>
          <w:shd w:val="clear" w:color="auto" w:fill="auto"/>
        </w:tcPr>
        <w:p w14:paraId="5AF74E18" w14:textId="77777777" w:rsidR="00BB721C" w:rsidRDefault="00BB721C" w:rsidP="00BB721C">
          <w:pPr>
            <w:pStyle w:val="Footer"/>
            <w:rPr>
              <w:sz w:val="20"/>
            </w:rPr>
          </w:pPr>
          <w:r>
            <w:rPr>
              <w:noProof/>
              <w:sz w:val="20"/>
              <w:lang w:val="en-US"/>
            </w:rPr>
            <w:drawing>
              <wp:anchor distT="0" distB="0" distL="114300" distR="114300" simplePos="0" relativeHeight="251658240" behindDoc="0" locked="0" layoutInCell="1" allowOverlap="1" wp14:anchorId="7E830F1D" wp14:editId="04E7B7E3">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1909/200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09/200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GE.15-12560(E)</w:t>
          </w:r>
        </w:p>
        <w:p w14:paraId="5C7BD3B8" w14:textId="77777777" w:rsidR="00BB721C" w:rsidRPr="00BB721C" w:rsidRDefault="00BB721C" w:rsidP="00BB721C">
          <w:pPr>
            <w:pStyle w:val="Footer"/>
            <w:rPr>
              <w:rFonts w:ascii="Barcode 3 of 9 by request" w:hAnsi="Barcode 3 of 9 by request"/>
              <w:sz w:val="24"/>
            </w:rPr>
          </w:pPr>
          <w:r>
            <w:rPr>
              <w:rFonts w:ascii="Barcode 3 of 9 by request" w:hAnsi="Barcode 3 of 9 by request"/>
              <w:sz w:val="24"/>
            </w:rPr>
            <w:t>*1512560*</w:t>
          </w:r>
        </w:p>
      </w:tc>
      <w:tc>
        <w:tcPr>
          <w:tcW w:w="4752" w:type="dxa"/>
          <w:shd w:val="clear" w:color="auto" w:fill="auto"/>
        </w:tcPr>
        <w:p w14:paraId="1576345B" w14:textId="77777777" w:rsidR="00BB721C" w:rsidRDefault="00BB721C" w:rsidP="00BB721C">
          <w:pPr>
            <w:pStyle w:val="Footer"/>
            <w:spacing w:line="240" w:lineRule="atLeast"/>
            <w:jc w:val="right"/>
            <w:rPr>
              <w:sz w:val="20"/>
            </w:rPr>
          </w:pPr>
          <w:r>
            <w:rPr>
              <w:noProof/>
              <w:sz w:val="20"/>
              <w:lang w:val="en-US"/>
            </w:rPr>
            <w:drawing>
              <wp:inline distT="0" distB="0" distL="0" distR="0" wp14:anchorId="488625C1" wp14:editId="5D632FFC">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68F8C9B" w14:textId="77777777" w:rsidR="00BB721C" w:rsidRPr="00BB721C" w:rsidRDefault="00BB721C" w:rsidP="00BB721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003B3" w14:textId="77777777" w:rsidR="0087406A" w:rsidRPr="000B175B" w:rsidRDefault="0087406A" w:rsidP="000B175B">
      <w:pPr>
        <w:tabs>
          <w:tab w:val="right" w:pos="2155"/>
        </w:tabs>
        <w:spacing w:after="80"/>
        <w:ind w:left="680"/>
        <w:rPr>
          <w:u w:val="single"/>
        </w:rPr>
      </w:pPr>
      <w:r>
        <w:rPr>
          <w:u w:val="single"/>
        </w:rPr>
        <w:tab/>
      </w:r>
    </w:p>
  </w:footnote>
  <w:footnote w:type="continuationSeparator" w:id="0">
    <w:p w14:paraId="5191B871" w14:textId="77777777" w:rsidR="0087406A" w:rsidRPr="00FC68B7" w:rsidRDefault="0087406A" w:rsidP="00FC68B7">
      <w:pPr>
        <w:tabs>
          <w:tab w:val="left" w:pos="2155"/>
        </w:tabs>
        <w:spacing w:after="80"/>
        <w:ind w:left="680"/>
        <w:rPr>
          <w:u w:val="single"/>
        </w:rPr>
      </w:pPr>
      <w:r>
        <w:rPr>
          <w:u w:val="single"/>
        </w:rPr>
        <w:tab/>
      </w:r>
    </w:p>
  </w:footnote>
  <w:footnote w:type="continuationNotice" w:id="1">
    <w:p w14:paraId="4A3F8D7F" w14:textId="77777777" w:rsidR="0087406A" w:rsidRDefault="0087406A"/>
  </w:footnote>
  <w:footnote w:id="2">
    <w:p w14:paraId="4134AC57" w14:textId="77777777" w:rsidR="0043594D" w:rsidRPr="004224D1" w:rsidRDefault="0043594D">
      <w:pPr>
        <w:pStyle w:val="FootnoteText"/>
      </w:pPr>
      <w:r>
        <w:rPr>
          <w:rStyle w:val="FootnoteReference"/>
        </w:rPr>
        <w:tab/>
      </w:r>
      <w:r w:rsidRPr="00E533B6">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examination of the present communication: </w:t>
      </w:r>
      <w:r>
        <w:rPr>
          <w:szCs w:val="18"/>
        </w:rPr>
        <w:t>Yadh Ben Achour,</w:t>
      </w:r>
      <w:r>
        <w:rPr>
          <w:bCs/>
          <w:szCs w:val="18"/>
        </w:rPr>
        <w:t xml:space="preserve"> </w:t>
      </w:r>
      <w:r w:rsidRPr="009131F3">
        <w:rPr>
          <w:bCs/>
          <w:szCs w:val="18"/>
        </w:rPr>
        <w:t xml:space="preserve">Lazhari Bouzid, </w:t>
      </w:r>
      <w:r>
        <w:rPr>
          <w:bCs/>
          <w:szCs w:val="18"/>
        </w:rPr>
        <w:t xml:space="preserve">Sarah Cleveland, Olivier de Frouville, </w:t>
      </w:r>
      <w:r w:rsidRPr="0004778D">
        <w:rPr>
          <w:bCs/>
          <w:szCs w:val="18"/>
        </w:rPr>
        <w:t>Ahmed Amin Fathalla,</w:t>
      </w:r>
      <w:r w:rsidRPr="009131F3">
        <w:rPr>
          <w:bCs/>
          <w:szCs w:val="18"/>
        </w:rPr>
        <w:t xml:space="preserve">Yuji Iwasawa, </w:t>
      </w:r>
      <w:r>
        <w:rPr>
          <w:bCs/>
          <w:szCs w:val="18"/>
        </w:rPr>
        <w:t>Ivana Jelic, Photini Pazartzis, Mauro Politi, Sir Nigel Rodley, Victor Manuel Rodríguez-Rescia,</w:t>
      </w:r>
      <w:r>
        <w:rPr>
          <w:bCs/>
          <w:szCs w:val="18"/>
          <w:lang w:val="en-US"/>
        </w:rPr>
        <w:t xml:space="preserve"> </w:t>
      </w:r>
      <w:r w:rsidRPr="009131F3">
        <w:rPr>
          <w:bCs/>
          <w:szCs w:val="18"/>
          <w:lang w:val="en-US"/>
        </w:rPr>
        <w:t xml:space="preserve">Fabian Omar Salvioli, </w:t>
      </w:r>
      <w:r>
        <w:rPr>
          <w:bCs/>
          <w:szCs w:val="18"/>
          <w:lang w:val="en-US"/>
        </w:rPr>
        <w:t>Dheerujlall B. Seetulsingh, Anja Seibert-Fohr, Yuval Shany, Konstantine Vardzelashvili</w:t>
      </w:r>
      <w:r>
        <w:rPr>
          <w:bCs/>
          <w:szCs w:val="18"/>
        </w:rPr>
        <w:t xml:space="preserve"> and Margo Waterval</w:t>
      </w:r>
      <w:r w:rsidRPr="009131F3">
        <w:rPr>
          <w:bCs/>
          <w:szCs w:val="18"/>
        </w:rPr>
        <w:t>.</w:t>
      </w:r>
    </w:p>
  </w:footnote>
  <w:footnote w:id="3">
    <w:p w14:paraId="1CC45E9F" w14:textId="77777777" w:rsidR="0043594D" w:rsidRPr="006F2B9A" w:rsidRDefault="0043594D" w:rsidP="00E533B6">
      <w:pPr>
        <w:pStyle w:val="FootnoteText"/>
        <w:rPr>
          <w:lang w:val="x-none"/>
        </w:rPr>
      </w:pPr>
      <w:r w:rsidRPr="00E533B6">
        <w:tab/>
      </w:r>
      <w:r w:rsidRPr="00A21C57">
        <w:rPr>
          <w:rStyle w:val="FootnoteReference"/>
        </w:rPr>
        <w:footnoteRef/>
      </w:r>
      <w:r w:rsidRPr="00E533B6">
        <w:tab/>
      </w:r>
      <w:r>
        <w:t xml:space="preserve"> </w:t>
      </w:r>
      <w:r w:rsidRPr="004224D1">
        <w:t xml:space="preserve">See </w:t>
      </w:r>
      <w:r w:rsidR="00CB39EA" w:rsidRPr="004224D1">
        <w:t xml:space="preserve">William C. Burton, </w:t>
      </w:r>
      <w:r w:rsidRPr="00E533B6">
        <w:rPr>
          <w:i/>
          <w:iCs/>
        </w:rPr>
        <w:t>Burton</w:t>
      </w:r>
      <w:r w:rsidRPr="00E533B6">
        <w:rPr>
          <w:i/>
          <w:iCs/>
          <w:lang w:val="en-US"/>
        </w:rPr>
        <w:t>’</w:t>
      </w:r>
      <w:r w:rsidRPr="00E533B6">
        <w:rPr>
          <w:i/>
          <w:iCs/>
        </w:rPr>
        <w:t>s Legal Thesaurus</w:t>
      </w:r>
      <w:r w:rsidRPr="004224D1">
        <w:t xml:space="preserve">, </w:t>
      </w:r>
      <w:r w:rsidR="00CB39EA">
        <w:t>fourth edition</w:t>
      </w:r>
      <w:r w:rsidRPr="004224D1">
        <w:t xml:space="preserve"> </w:t>
      </w:r>
      <w:r w:rsidR="00CB39EA">
        <w:t>(</w:t>
      </w:r>
      <w:r w:rsidRPr="004224D1">
        <w:t>2007</w:t>
      </w:r>
      <w:r w:rsidR="00CB39EA">
        <w:t>)</w:t>
      </w:r>
      <w:r w:rsidRPr="004224D1">
        <w:t>: “When the judge delivers his charge to the jury, he is said to sum up the evidence in the case</w:t>
      </w:r>
      <w:r w:rsidRPr="008D3FEC">
        <w:t>. In summing up, the judge should, with much precision and clearness, state the issues joined between the parties, and what the jury are required to find, either in the affirmative or negativ</w:t>
      </w:r>
      <w:r w:rsidRPr="002B443F">
        <w:t>e. He should then state the substance of the plaintiff</w:t>
      </w:r>
      <w:r w:rsidRPr="00E533B6">
        <w:rPr>
          <w:lang w:val="en-US"/>
        </w:rPr>
        <w:t>’</w:t>
      </w:r>
      <w:r w:rsidRPr="002B443F">
        <w:t>s claim and of the defendant</w:t>
      </w:r>
      <w:r w:rsidRPr="00E533B6">
        <w:rPr>
          <w:lang w:val="en-US"/>
        </w:rPr>
        <w:t>’</w:t>
      </w:r>
      <w:r w:rsidRPr="002B443F">
        <w:t>s ground of defence, and so much of the evidence as is adduced for each party, pointing out as he proceeds, to which partic</w:t>
      </w:r>
      <w:r w:rsidRPr="001904FB">
        <w:t>ular question or issue it respectively applies, taking care to abstain as much as possible from giving an opinion as to the facts. It is his duty clearly to state the law arising in the case in such terms as to leave no doubt as to his meaning, both for th</w:t>
      </w:r>
      <w:r w:rsidRPr="000D6868">
        <w:t>e purpose of directing the jury, and with</w:t>
      </w:r>
      <w:r w:rsidRPr="00A67B57">
        <w:t xml:space="preserve"> a view of correcting, on a review of the case on a motion for a new trial, or on a writ of error, any error he may, in the hurry of the trial, have committed”.</w:t>
      </w:r>
    </w:p>
  </w:footnote>
  <w:footnote w:id="4">
    <w:p w14:paraId="346ECB82" w14:textId="77777777" w:rsidR="0043594D" w:rsidRPr="00052E9D" w:rsidRDefault="0043594D" w:rsidP="00D652D9">
      <w:pPr>
        <w:pStyle w:val="FootnoteText"/>
      </w:pPr>
      <w:r>
        <w:tab/>
      </w:r>
      <w:r w:rsidRPr="00631796">
        <w:rPr>
          <w:rStyle w:val="FootnoteReference"/>
        </w:rPr>
        <w:footnoteRef/>
      </w:r>
      <w:r>
        <w:tab/>
        <w:t>The Privy Council was replaced by the New Zealand Supreme Court on 1 July 2004.</w:t>
      </w:r>
    </w:p>
  </w:footnote>
  <w:footnote w:id="5">
    <w:p w14:paraId="19821A96" w14:textId="77777777" w:rsidR="0043594D" w:rsidRPr="00227F34" w:rsidRDefault="0043594D">
      <w:pPr>
        <w:pStyle w:val="FootnoteText"/>
      </w:pPr>
      <w:r>
        <w:rPr>
          <w:i/>
        </w:rPr>
        <w:tab/>
      </w:r>
      <w:r>
        <w:rPr>
          <w:rStyle w:val="FootnoteReference"/>
        </w:rPr>
        <w:footnoteRef/>
      </w:r>
      <w:r w:rsidRPr="007F6A7A">
        <w:rPr>
          <w:i/>
        </w:rPr>
        <w:tab/>
        <w:t>R. v Taito</w:t>
      </w:r>
      <w:r w:rsidRPr="00227F34">
        <w:t>, Privy Council, 19 March 2002, 3 NZLR, pp.</w:t>
      </w:r>
      <w:r>
        <w:t xml:space="preserve"> 577-604</w:t>
      </w:r>
      <w:r w:rsidR="00E533B6">
        <w:t>.</w:t>
      </w:r>
      <w:r w:rsidRPr="00227F34">
        <w:t xml:space="preserve"> </w:t>
      </w:r>
    </w:p>
  </w:footnote>
  <w:footnote w:id="6">
    <w:p w14:paraId="2F42B699" w14:textId="77777777" w:rsidR="0043594D" w:rsidRPr="00551644" w:rsidRDefault="0043594D" w:rsidP="00FE0037">
      <w:pPr>
        <w:pStyle w:val="FootnoteText"/>
      </w:pPr>
      <w:r w:rsidRPr="00551644">
        <w:tab/>
      </w:r>
      <w:r w:rsidRPr="00631796">
        <w:rPr>
          <w:rStyle w:val="FootnoteReference"/>
        </w:rPr>
        <w:footnoteRef/>
      </w:r>
      <w:r w:rsidRPr="00551644">
        <w:rPr>
          <w:lang w:val="es-ES"/>
        </w:rPr>
        <w:tab/>
      </w:r>
      <w:r w:rsidRPr="00551644">
        <w:rPr>
          <w:i/>
          <w:lang w:val="es-ES"/>
        </w:rPr>
        <w:t>R v Taito</w:t>
      </w:r>
      <w:r w:rsidRPr="00551644">
        <w:rPr>
          <w:lang w:val="es-ES"/>
        </w:rPr>
        <w:t xml:space="preserve"> [2005], 2 NZLR 832 (SC), para. </w:t>
      </w:r>
      <w:r w:rsidRPr="00551644">
        <w:t>7</w:t>
      </w:r>
      <w:r w:rsidR="00E533B6">
        <w:t>.</w:t>
      </w:r>
    </w:p>
  </w:footnote>
  <w:footnote w:id="7">
    <w:p w14:paraId="2D63D7B6" w14:textId="77777777" w:rsidR="0043594D" w:rsidRPr="00532186" w:rsidRDefault="0043594D" w:rsidP="000C098C">
      <w:pPr>
        <w:pStyle w:val="FootnoteText"/>
      </w:pPr>
      <w:r w:rsidRPr="00551644">
        <w:tab/>
      </w:r>
      <w:r>
        <w:rPr>
          <w:rStyle w:val="FootnoteReference"/>
        </w:rPr>
        <w:footnoteRef/>
      </w:r>
      <w:r w:rsidRPr="00551644">
        <w:tab/>
      </w:r>
      <w:r w:rsidRPr="00532186">
        <w:t xml:space="preserve">This point is not further referred to in </w:t>
      </w:r>
      <w:r w:rsidRPr="000C098C">
        <w:t>the</w:t>
      </w:r>
      <w:r w:rsidRPr="00532186">
        <w:t xml:space="preserve"> author’s complaint.</w:t>
      </w:r>
    </w:p>
  </w:footnote>
  <w:footnote w:id="8">
    <w:p w14:paraId="6A572992" w14:textId="77777777" w:rsidR="0043594D" w:rsidRPr="00551644" w:rsidRDefault="0043594D">
      <w:pPr>
        <w:pStyle w:val="FootnoteText"/>
      </w:pPr>
      <w:r w:rsidRPr="00551644">
        <w:tab/>
      </w:r>
      <w:r>
        <w:rPr>
          <w:rStyle w:val="FootnoteReference"/>
        </w:rPr>
        <w:footnoteRef/>
      </w:r>
      <w:r w:rsidRPr="00551644">
        <w:rPr>
          <w:lang w:val="es-ES"/>
        </w:rPr>
        <w:tab/>
      </w:r>
      <w:r w:rsidR="003C001A">
        <w:rPr>
          <w:lang w:val="es-ES"/>
        </w:rPr>
        <w:t xml:space="preserve">See </w:t>
      </w:r>
      <w:r w:rsidRPr="00E533B6">
        <w:rPr>
          <w:i/>
          <w:iCs/>
          <w:lang w:val="es-ES"/>
        </w:rPr>
        <w:t>R</w:t>
      </w:r>
      <w:r w:rsidR="004A64B8" w:rsidRPr="00E533B6">
        <w:rPr>
          <w:i/>
          <w:iCs/>
          <w:lang w:val="es-ES"/>
        </w:rPr>
        <w:t>.</w:t>
      </w:r>
      <w:r w:rsidRPr="00E533B6">
        <w:rPr>
          <w:i/>
          <w:iCs/>
          <w:lang w:val="es-ES"/>
        </w:rPr>
        <w:t xml:space="preserve"> v. Taito</w:t>
      </w:r>
      <w:r w:rsidRPr="00551644">
        <w:rPr>
          <w:lang w:val="es-ES"/>
        </w:rPr>
        <w:t xml:space="preserve"> [2005], 2 NZLR 815 (CA), para</w:t>
      </w:r>
      <w:r w:rsidR="003C001A">
        <w:rPr>
          <w:lang w:val="es-ES"/>
        </w:rPr>
        <w:t>s</w:t>
      </w:r>
      <w:r w:rsidRPr="00551644">
        <w:rPr>
          <w:lang w:val="es-ES"/>
        </w:rPr>
        <w:t xml:space="preserve">. </w:t>
      </w:r>
      <w:r w:rsidRPr="00551644">
        <w:t>84-86.</w:t>
      </w:r>
    </w:p>
  </w:footnote>
  <w:footnote w:id="9">
    <w:p w14:paraId="2CE2B8AE" w14:textId="77777777" w:rsidR="0043594D" w:rsidRPr="00FE7F24" w:rsidRDefault="0043594D" w:rsidP="00E533B6">
      <w:pPr>
        <w:pStyle w:val="FootnoteText"/>
      </w:pPr>
      <w:r w:rsidRPr="00551644">
        <w:tab/>
      </w:r>
      <w:r>
        <w:rPr>
          <w:rStyle w:val="FootnoteReference"/>
        </w:rPr>
        <w:footnoteRef/>
      </w:r>
      <w:r w:rsidRPr="00551644">
        <w:tab/>
      </w:r>
      <w:r w:rsidRPr="003F0764">
        <w:t xml:space="preserve">See </w:t>
      </w:r>
      <w:r>
        <w:t xml:space="preserve">the Committee’s </w:t>
      </w:r>
      <w:r w:rsidRPr="003F0764">
        <w:t>general comment No. 32</w:t>
      </w:r>
      <w:r>
        <w:t xml:space="preserve"> (2007) on the right to equality before the courts and to a fair trial (</w:t>
      </w:r>
      <w:r>
        <w:rPr>
          <w:i/>
        </w:rPr>
        <w:t>Official Records of the General Assembly, Sixty-second Session, Supplement No. 40</w:t>
      </w:r>
      <w:r w:rsidRPr="00290573">
        <w:t>,</w:t>
      </w:r>
      <w:r>
        <w:rPr>
          <w:i/>
        </w:rPr>
        <w:t xml:space="preserve"> </w:t>
      </w:r>
      <w:r w:rsidRPr="00B42A7B">
        <w:t>A/62/40 (Vol.</w:t>
      </w:r>
      <w:r w:rsidR="00E533B6">
        <w:t> </w:t>
      </w:r>
      <w:r w:rsidRPr="00B42A7B">
        <w:t>I)</w:t>
      </w:r>
      <w:r>
        <w:t xml:space="preserve">, </w:t>
      </w:r>
      <w:r w:rsidRPr="00B42A7B">
        <w:t xml:space="preserve">Annex VI), </w:t>
      </w:r>
      <w:r>
        <w:t>para. 48</w:t>
      </w:r>
      <w:r w:rsidRPr="00E852A7">
        <w:t>.</w:t>
      </w:r>
    </w:p>
  </w:footnote>
  <w:footnote w:id="10">
    <w:p w14:paraId="10D3C19B" w14:textId="77777777" w:rsidR="0043594D" w:rsidRPr="00372E98" w:rsidRDefault="0043594D">
      <w:pPr>
        <w:pStyle w:val="FootnoteText"/>
      </w:pPr>
      <w:r>
        <w:tab/>
      </w:r>
      <w:r>
        <w:rPr>
          <w:rStyle w:val="FootnoteReference"/>
        </w:rPr>
        <w:footnoteRef/>
      </w:r>
      <w:r>
        <w:tab/>
      </w:r>
      <w:r w:rsidR="003C001A">
        <w:t xml:space="preserve">See </w:t>
      </w:r>
      <w:r w:rsidRPr="00372E98">
        <w:t xml:space="preserve">Court of </w:t>
      </w:r>
      <w:r w:rsidRPr="000C098C">
        <w:t>Appeal</w:t>
      </w:r>
      <w:r w:rsidRPr="00372E98">
        <w:t xml:space="preserve"> (2005), tab</w:t>
      </w:r>
      <w:r>
        <w:t>.</w:t>
      </w:r>
      <w:r w:rsidRPr="00372E98">
        <w:t xml:space="preserve"> 7</w:t>
      </w:r>
      <w:r w:rsidR="003C001A">
        <w:t>,</w:t>
      </w:r>
      <w:r w:rsidRPr="00372E98">
        <w:t xml:space="preserve"> para. </w:t>
      </w:r>
      <w:r>
        <w:t>17</w:t>
      </w:r>
      <w:r w:rsidR="003C001A">
        <w:t>.</w:t>
      </w:r>
    </w:p>
  </w:footnote>
  <w:footnote w:id="11">
    <w:p w14:paraId="26B71B58" w14:textId="77777777" w:rsidR="0043594D" w:rsidRPr="00BD77D1" w:rsidRDefault="0043594D">
      <w:pPr>
        <w:pStyle w:val="FootnoteText"/>
      </w:pPr>
      <w:r>
        <w:rPr>
          <w:i/>
        </w:rPr>
        <w:tab/>
      </w:r>
      <w:r>
        <w:rPr>
          <w:rStyle w:val="FootnoteReference"/>
        </w:rPr>
        <w:footnoteRef/>
      </w:r>
      <w:r>
        <w:rPr>
          <w:i/>
        </w:rPr>
        <w:tab/>
      </w:r>
      <w:r w:rsidR="009D4F1E">
        <w:t>See c</w:t>
      </w:r>
      <w:r w:rsidRPr="00BD77D1">
        <w:t xml:space="preserve">ommunication No. </w:t>
      </w:r>
      <w:r>
        <w:t xml:space="preserve">1512/2006, </w:t>
      </w:r>
      <w:r w:rsidR="009D4F1E">
        <w:rPr>
          <w:i/>
        </w:rPr>
        <w:t>Dean v</w:t>
      </w:r>
      <w:r w:rsidR="009D4F1E" w:rsidRPr="00827301">
        <w:rPr>
          <w:i/>
        </w:rPr>
        <w:t xml:space="preserve"> New Zealand</w:t>
      </w:r>
      <w:r w:rsidR="009D4F1E" w:rsidRPr="00BD77D1">
        <w:t xml:space="preserve">, </w:t>
      </w:r>
      <w:r w:rsidR="00CF1540">
        <w:t>V</w:t>
      </w:r>
      <w:r w:rsidR="009D4F1E">
        <w:t xml:space="preserve">iews </w:t>
      </w:r>
      <w:r>
        <w:t xml:space="preserve">adopted on 17 March 2009. </w:t>
      </w:r>
    </w:p>
  </w:footnote>
  <w:footnote w:id="12">
    <w:p w14:paraId="59A0D61C" w14:textId="77777777" w:rsidR="0043594D" w:rsidRPr="00154309" w:rsidRDefault="0043594D">
      <w:pPr>
        <w:pStyle w:val="FootnoteText"/>
      </w:pPr>
      <w:r w:rsidRPr="00551644">
        <w:tab/>
      </w:r>
      <w:r>
        <w:rPr>
          <w:rStyle w:val="FootnoteReference"/>
        </w:rPr>
        <w:footnoteRef/>
      </w:r>
      <w:r w:rsidRPr="00551644">
        <w:tab/>
      </w:r>
      <w:r w:rsidR="009D4F1E">
        <w:t xml:space="preserve">See </w:t>
      </w:r>
      <w:r w:rsidRPr="000C098C">
        <w:t>Court</w:t>
      </w:r>
      <w:r w:rsidRPr="00154309">
        <w:t xml:space="preserve"> of Appeal (2005), tab</w:t>
      </w:r>
      <w:r w:rsidR="009D4F1E">
        <w:t>.</w:t>
      </w:r>
      <w:r w:rsidRPr="00154309">
        <w:t xml:space="preserve"> 7</w:t>
      </w:r>
      <w:r w:rsidR="009D4F1E">
        <w:t>,</w:t>
      </w:r>
      <w:r w:rsidRPr="00154309">
        <w:t xml:space="preserve"> para. </w:t>
      </w:r>
      <w:r>
        <w:t>86.</w:t>
      </w:r>
    </w:p>
  </w:footnote>
  <w:footnote w:id="13">
    <w:p w14:paraId="0A42D388" w14:textId="77777777" w:rsidR="0043594D" w:rsidRPr="005713FE" w:rsidRDefault="0043594D">
      <w:pPr>
        <w:pStyle w:val="FootnoteText"/>
      </w:pPr>
      <w:r>
        <w:tab/>
      </w:r>
      <w:r>
        <w:rPr>
          <w:rStyle w:val="FootnoteReference"/>
        </w:rPr>
        <w:footnoteRef/>
      </w:r>
      <w:r>
        <w:tab/>
      </w:r>
      <w:r w:rsidRPr="005713FE">
        <w:t xml:space="preserve">See </w:t>
      </w:r>
      <w:r w:rsidR="00CF1540">
        <w:t>c</w:t>
      </w:r>
      <w:r>
        <w:t xml:space="preserve">ommunication No. 1466/2006, </w:t>
      </w:r>
      <w:r w:rsidRPr="005713FE">
        <w:rPr>
          <w:i/>
        </w:rPr>
        <w:t>Lumanog and Santos v. The Philippines</w:t>
      </w:r>
      <w:r w:rsidRPr="005713FE">
        <w:t xml:space="preserve">, </w:t>
      </w:r>
      <w:r>
        <w:t>Views adopted on 20 March 2008, para. 8.4.</w:t>
      </w:r>
    </w:p>
  </w:footnote>
  <w:footnote w:id="14">
    <w:p w14:paraId="40B9B656" w14:textId="77777777" w:rsidR="0043594D" w:rsidRPr="00EF1819" w:rsidRDefault="0043594D">
      <w:pPr>
        <w:pStyle w:val="FootnoteText"/>
      </w:pPr>
      <w:r>
        <w:tab/>
      </w:r>
      <w:r>
        <w:rPr>
          <w:rStyle w:val="FootnoteReference"/>
        </w:rPr>
        <w:footnoteRef/>
      </w:r>
      <w:r w:rsidRPr="00EF1819">
        <w:tab/>
      </w:r>
      <w:r w:rsidR="00CF1540">
        <w:t xml:space="preserve">See </w:t>
      </w:r>
      <w:r w:rsidRPr="00EF1819">
        <w:rPr>
          <w:i/>
        </w:rPr>
        <w:t>Mills v Her Majesty’s Advocate and Anor</w:t>
      </w:r>
      <w:r w:rsidRPr="00EF1819">
        <w:t xml:space="preserve"> [2002], UKPC D2, 22 July 2002, para 22.</w:t>
      </w:r>
    </w:p>
  </w:footnote>
  <w:footnote w:id="15">
    <w:p w14:paraId="2F94E858" w14:textId="77777777" w:rsidR="0043594D" w:rsidRPr="000E42E5" w:rsidRDefault="0043594D">
      <w:pPr>
        <w:pStyle w:val="FootnoteText"/>
      </w:pPr>
      <w:r>
        <w:tab/>
      </w:r>
      <w:r>
        <w:rPr>
          <w:rStyle w:val="FootnoteReference"/>
        </w:rPr>
        <w:footnoteRef/>
      </w:r>
      <w:r w:rsidRPr="000E42E5">
        <w:tab/>
        <w:t xml:space="preserve">The author refers to </w:t>
      </w:r>
      <w:r w:rsidR="001E578E" w:rsidRPr="000E42E5">
        <w:t>B</w:t>
      </w:r>
      <w:r w:rsidR="001E578E">
        <w:t>ri</w:t>
      </w:r>
      <w:r w:rsidR="001E578E" w:rsidRPr="000E42E5">
        <w:t xml:space="preserve">an Farrel, </w:t>
      </w:r>
      <w:r w:rsidR="001E578E">
        <w:t>“</w:t>
      </w:r>
      <w:r w:rsidR="001E578E" w:rsidRPr="000E42E5">
        <w:t xml:space="preserve">The </w:t>
      </w:r>
      <w:r w:rsidR="001E578E">
        <w:t>r</w:t>
      </w:r>
      <w:r w:rsidR="001E578E" w:rsidRPr="000E42E5">
        <w:t xml:space="preserve">ight to a speedy </w:t>
      </w:r>
      <w:r w:rsidR="001E578E">
        <w:t>t</w:t>
      </w:r>
      <w:r w:rsidR="001E578E" w:rsidRPr="000E42E5">
        <w:t xml:space="preserve">rial before </w:t>
      </w:r>
      <w:r w:rsidR="001E578E">
        <w:t>i</w:t>
      </w:r>
      <w:r w:rsidR="001E578E" w:rsidRPr="000E42E5">
        <w:t xml:space="preserve">nternational </w:t>
      </w:r>
      <w:r w:rsidR="001E578E">
        <w:t>c</w:t>
      </w:r>
      <w:r w:rsidR="001E578E" w:rsidRPr="000E42E5">
        <w:t xml:space="preserve">riminal </w:t>
      </w:r>
      <w:r w:rsidR="001E578E">
        <w:t>t</w:t>
      </w:r>
      <w:r w:rsidR="001E578E" w:rsidRPr="000E42E5">
        <w:t>ribunals</w:t>
      </w:r>
      <w:r w:rsidR="001E578E">
        <w:t xml:space="preserve">”, </w:t>
      </w:r>
      <w:r w:rsidR="001E578E" w:rsidRPr="00D736EB">
        <w:rPr>
          <w:i/>
          <w:iCs/>
        </w:rPr>
        <w:t>South African Journal on Human Rights</w:t>
      </w:r>
      <w:r w:rsidR="001E578E">
        <w:t>, Vol. 19 (2003).</w:t>
      </w:r>
    </w:p>
  </w:footnote>
  <w:footnote w:id="16">
    <w:p w14:paraId="7EA24F68" w14:textId="77777777" w:rsidR="0043594D" w:rsidRPr="00685CCE" w:rsidRDefault="0043594D">
      <w:pPr>
        <w:pStyle w:val="FootnoteText"/>
      </w:pPr>
      <w:r>
        <w:tab/>
      </w:r>
      <w:r>
        <w:rPr>
          <w:rStyle w:val="FootnoteReference"/>
        </w:rPr>
        <w:footnoteRef/>
      </w:r>
      <w:r>
        <w:tab/>
        <w:t>See</w:t>
      </w:r>
      <w:r w:rsidRPr="00685CCE">
        <w:t xml:space="preserve"> </w:t>
      </w:r>
      <w:r w:rsidR="001E578E">
        <w:t>c</w:t>
      </w:r>
      <w:r w:rsidRPr="00685CCE">
        <w:t xml:space="preserve">ommunication No. </w:t>
      </w:r>
      <w:r>
        <w:t xml:space="preserve">210/1986, </w:t>
      </w:r>
      <w:r w:rsidRPr="00685CCE">
        <w:rPr>
          <w:i/>
        </w:rPr>
        <w:t>Pratt and Morgan v</w:t>
      </w:r>
      <w:r w:rsidR="001E578E">
        <w:rPr>
          <w:i/>
        </w:rPr>
        <w:t>.</w:t>
      </w:r>
      <w:r w:rsidRPr="00685CCE">
        <w:rPr>
          <w:i/>
        </w:rPr>
        <w:t xml:space="preserve"> Jamaica</w:t>
      </w:r>
      <w:r w:rsidR="001E578E" w:rsidRPr="00E533B6">
        <w:rPr>
          <w:iCs/>
        </w:rPr>
        <w:t>, d</w:t>
      </w:r>
      <w:r w:rsidR="001E578E">
        <w:t xml:space="preserve">ecision </w:t>
      </w:r>
      <w:r w:rsidR="001E578E" w:rsidRPr="00827301">
        <w:t xml:space="preserve">adopted on </w:t>
      </w:r>
      <w:r w:rsidR="001E578E">
        <w:t>24 March 1988</w:t>
      </w:r>
      <w:r>
        <w:t xml:space="preserve">. </w:t>
      </w:r>
    </w:p>
  </w:footnote>
  <w:footnote w:id="17">
    <w:p w14:paraId="33CD4803" w14:textId="77777777" w:rsidR="0043594D" w:rsidRPr="00827301" w:rsidRDefault="0043594D">
      <w:pPr>
        <w:pStyle w:val="FootnoteText"/>
      </w:pPr>
      <w:r>
        <w:tab/>
      </w:r>
      <w:r>
        <w:rPr>
          <w:rStyle w:val="FootnoteReference"/>
        </w:rPr>
        <w:footnoteRef/>
      </w:r>
      <w:r>
        <w:tab/>
        <w:t>See</w:t>
      </w:r>
      <w:r w:rsidRPr="00827301">
        <w:t xml:space="preserve"> </w:t>
      </w:r>
      <w:r w:rsidR="001E578E">
        <w:t>c</w:t>
      </w:r>
      <w:r w:rsidRPr="00827301">
        <w:t xml:space="preserve">ommunication No 818/1998, </w:t>
      </w:r>
      <w:r w:rsidRPr="00827301">
        <w:rPr>
          <w:i/>
        </w:rPr>
        <w:t>Sextus v</w:t>
      </w:r>
      <w:r w:rsidR="001E578E">
        <w:rPr>
          <w:i/>
        </w:rPr>
        <w:t>.</w:t>
      </w:r>
      <w:r w:rsidRPr="00827301">
        <w:rPr>
          <w:i/>
        </w:rPr>
        <w:t xml:space="preserve"> </w:t>
      </w:r>
      <w:r>
        <w:rPr>
          <w:i/>
        </w:rPr>
        <w:t>T</w:t>
      </w:r>
      <w:r w:rsidRPr="00827301">
        <w:rPr>
          <w:i/>
        </w:rPr>
        <w:t>rinidad and Tobago</w:t>
      </w:r>
      <w:r w:rsidRPr="00827301">
        <w:t xml:space="preserve">, </w:t>
      </w:r>
      <w:r>
        <w:t>V</w:t>
      </w:r>
      <w:r w:rsidRPr="00827301">
        <w:t xml:space="preserve">iews adopted on </w:t>
      </w:r>
      <w:r>
        <w:t>16 July 2001, paras</w:t>
      </w:r>
      <w:r w:rsidR="001E578E">
        <w:t>.</w:t>
      </w:r>
      <w:r>
        <w:t xml:space="preserve"> 3.4 and 7.3.</w:t>
      </w:r>
    </w:p>
  </w:footnote>
  <w:footnote w:id="18">
    <w:p w14:paraId="65505F0C" w14:textId="77777777" w:rsidR="0043594D" w:rsidRPr="00AD2867" w:rsidRDefault="0043594D">
      <w:pPr>
        <w:pStyle w:val="FootnoteText"/>
      </w:pPr>
      <w:r>
        <w:tab/>
      </w:r>
      <w:r>
        <w:rPr>
          <w:rStyle w:val="FootnoteReference"/>
        </w:rPr>
        <w:footnoteRef/>
      </w:r>
      <w:r w:rsidRPr="00AD2867">
        <w:tab/>
      </w:r>
      <w:r>
        <w:t>See</w:t>
      </w:r>
      <w:r w:rsidRPr="00AD2867">
        <w:t xml:space="preserve"> </w:t>
      </w:r>
      <w:r w:rsidR="001E578E">
        <w:t>c</w:t>
      </w:r>
      <w:r w:rsidRPr="00AD2867">
        <w:t xml:space="preserve">ommunication No 27/1978, </w:t>
      </w:r>
      <w:r w:rsidRPr="00AD2867">
        <w:rPr>
          <w:i/>
        </w:rPr>
        <w:t>Pinkney v. Canada</w:t>
      </w:r>
      <w:r>
        <w:t>, Views adopted on 29 October 1981.</w:t>
      </w:r>
    </w:p>
  </w:footnote>
  <w:footnote w:id="19">
    <w:p w14:paraId="575B45E5" w14:textId="77777777" w:rsidR="0043594D" w:rsidRPr="008C73FA" w:rsidRDefault="0043594D">
      <w:pPr>
        <w:pStyle w:val="FootnoteText"/>
      </w:pPr>
      <w:r>
        <w:tab/>
      </w:r>
      <w:r>
        <w:rPr>
          <w:rStyle w:val="FootnoteReference"/>
        </w:rPr>
        <w:footnoteRef/>
      </w:r>
      <w:r w:rsidRPr="008C73FA">
        <w:tab/>
        <w:t xml:space="preserve">See </w:t>
      </w:r>
      <w:r w:rsidR="001E578E">
        <w:t>c</w:t>
      </w:r>
      <w:r w:rsidRPr="008C73FA">
        <w:t xml:space="preserve">ommunication No 333/1988, </w:t>
      </w:r>
      <w:r w:rsidRPr="00E533B6">
        <w:rPr>
          <w:i/>
          <w:iCs/>
        </w:rPr>
        <w:t>Hamilton v Jamaica</w:t>
      </w:r>
      <w:r w:rsidRPr="008C73FA">
        <w:t xml:space="preserve">, Views adopted on </w:t>
      </w:r>
      <w:r>
        <w:t>23 March 1994, para. 8.3.</w:t>
      </w:r>
      <w:r w:rsidRPr="008C73FA">
        <w:t xml:space="preserve"> </w:t>
      </w:r>
    </w:p>
  </w:footnote>
  <w:footnote w:id="20">
    <w:p w14:paraId="639549AA" w14:textId="77777777" w:rsidR="0043594D" w:rsidRPr="002E5ED8" w:rsidRDefault="0043594D">
      <w:pPr>
        <w:pStyle w:val="FootnoteText"/>
      </w:pPr>
      <w:r w:rsidRPr="00551644">
        <w:tab/>
      </w:r>
      <w:r>
        <w:rPr>
          <w:rStyle w:val="FootnoteReference"/>
        </w:rPr>
        <w:footnoteRef/>
      </w:r>
      <w:r w:rsidRPr="002B4101">
        <w:tab/>
      </w:r>
      <w:r w:rsidRPr="002E5ED8">
        <w:t>See communication</w:t>
      </w:r>
      <w:r>
        <w:t xml:space="preserve"> 1758/2008, </w:t>
      </w:r>
      <w:r w:rsidRPr="00A9041A">
        <w:rPr>
          <w:i/>
        </w:rPr>
        <w:t>Jessop v. New Zealand</w:t>
      </w:r>
      <w:r>
        <w:t>, Views adopted on 29 March 2011, para. 7.20.</w:t>
      </w:r>
    </w:p>
  </w:footnote>
  <w:footnote w:id="21">
    <w:p w14:paraId="7137F90A" w14:textId="77777777" w:rsidR="0043594D" w:rsidRDefault="0043594D">
      <w:pPr>
        <w:pStyle w:val="FootnoteText"/>
        <w:jc w:val="both"/>
      </w:pPr>
      <w:r>
        <w:tab/>
      </w:r>
      <w:r>
        <w:rPr>
          <w:rStyle w:val="FootnoteReference"/>
        </w:rPr>
        <w:footnoteRef/>
      </w:r>
      <w:r w:rsidRPr="002E5ED8">
        <w:tab/>
      </w:r>
      <w:r w:rsidRPr="00330AF7">
        <w:t xml:space="preserve">See </w:t>
      </w:r>
      <w:r w:rsidR="00F67D37">
        <w:t>c</w:t>
      </w:r>
      <w:r w:rsidRPr="00330AF7">
        <w:t>ommunication</w:t>
      </w:r>
      <w:r w:rsidR="00F67D37">
        <w:t>s</w:t>
      </w:r>
      <w:r w:rsidRPr="00330AF7">
        <w:t xml:space="preserve"> No.</w:t>
      </w:r>
      <w:r w:rsidR="00BD6967">
        <w:t> </w:t>
      </w:r>
      <w:r w:rsidRPr="00330AF7">
        <w:t xml:space="preserve">408/1990, </w:t>
      </w:r>
      <w:r w:rsidRPr="00E533B6">
        <w:rPr>
          <w:i/>
          <w:iCs/>
        </w:rPr>
        <w:t>W.J.H. v. The Netherlands</w:t>
      </w:r>
      <w:r w:rsidRPr="00330AF7">
        <w:t>, Inadmissibility decision adopted on 22 July 1992, para.</w:t>
      </w:r>
      <w:r w:rsidR="00F67D37">
        <w:t> </w:t>
      </w:r>
      <w:r w:rsidRPr="00330AF7">
        <w:t>6.3; No.</w:t>
      </w:r>
      <w:r w:rsidR="00F67D37">
        <w:t> </w:t>
      </w:r>
      <w:r w:rsidRPr="00330AF7">
        <w:t xml:space="preserve">880/1999, </w:t>
      </w:r>
      <w:r w:rsidRPr="00E533B6">
        <w:rPr>
          <w:i/>
          <w:iCs/>
        </w:rPr>
        <w:t>Irving v. Australia</w:t>
      </w:r>
      <w:r w:rsidRPr="00330AF7">
        <w:t>, Inadmissibility decision adopted on 1 April 2002, para.</w:t>
      </w:r>
      <w:r w:rsidR="00F67D37">
        <w:t> </w:t>
      </w:r>
      <w:r w:rsidRPr="00330AF7">
        <w:t>8.3; and No.</w:t>
      </w:r>
      <w:r w:rsidR="00F67D37">
        <w:t> </w:t>
      </w:r>
      <w:r w:rsidRPr="00330AF7">
        <w:t xml:space="preserve">963/2001, </w:t>
      </w:r>
      <w:r w:rsidRPr="00E533B6">
        <w:rPr>
          <w:i/>
          <w:iCs/>
        </w:rPr>
        <w:t>Uebergang v. Australia</w:t>
      </w:r>
      <w:r w:rsidRPr="00330AF7">
        <w:t>, Decision on admissibility adopted on 22 March 2001, para.</w:t>
      </w:r>
      <w:r w:rsidR="00F67D37">
        <w:t> </w:t>
      </w:r>
      <w:r w:rsidRPr="00330AF7">
        <w:t>4.3.</w:t>
      </w:r>
    </w:p>
  </w:footnote>
  <w:footnote w:id="22">
    <w:p w14:paraId="0B59DF42" w14:textId="77777777" w:rsidR="0043594D" w:rsidRPr="001627D9" w:rsidRDefault="0043594D">
      <w:pPr>
        <w:pStyle w:val="FootnoteText"/>
        <w:rPr>
          <w:lang w:val="en-US"/>
        </w:rPr>
      </w:pPr>
      <w:r w:rsidRPr="00551644">
        <w:tab/>
      </w:r>
      <w:r>
        <w:rPr>
          <w:rStyle w:val="FootnoteReference"/>
        </w:rPr>
        <w:footnoteRef/>
      </w:r>
      <w:r w:rsidRPr="00551644">
        <w:tab/>
      </w:r>
      <w:r w:rsidR="00F00DB2">
        <w:t>See c</w:t>
      </w:r>
      <w:r w:rsidRPr="00661709">
        <w:t>ommunication</w:t>
      </w:r>
      <w:r w:rsidRPr="00A759A3">
        <w:rPr>
          <w:lang w:val="en-US"/>
        </w:rPr>
        <w:t xml:space="preserve"> No. 667/1995, </w:t>
      </w:r>
      <w:r w:rsidRPr="001627D9">
        <w:rPr>
          <w:i/>
          <w:lang w:val="en-US"/>
        </w:rPr>
        <w:t xml:space="preserve">Hensley </w:t>
      </w:r>
      <w:r w:rsidRPr="003D7345">
        <w:rPr>
          <w:i/>
          <w:lang w:val="en-US"/>
        </w:rPr>
        <w:t>Ricketts v. Jamaica</w:t>
      </w:r>
      <w:r w:rsidRPr="00A759A3">
        <w:rPr>
          <w:lang w:val="en-US"/>
        </w:rPr>
        <w:t>, Views adopted on 4 April 2002, para. 7.3</w:t>
      </w:r>
      <w:r w:rsidR="00F00DB2">
        <w:rPr>
          <w:lang w:val="en-US"/>
        </w:rPr>
        <w:t>.</w:t>
      </w:r>
    </w:p>
  </w:footnote>
  <w:footnote w:id="23">
    <w:p w14:paraId="11D6ACBD" w14:textId="77777777" w:rsidR="0043594D" w:rsidRPr="00BA2D36" w:rsidRDefault="0043594D">
      <w:pPr>
        <w:pStyle w:val="FootnoteText"/>
        <w:rPr>
          <w:lang w:val="en-US"/>
        </w:rPr>
      </w:pPr>
      <w:r w:rsidRPr="00551644">
        <w:tab/>
      </w:r>
      <w:r>
        <w:rPr>
          <w:rStyle w:val="FootnoteReference"/>
        </w:rPr>
        <w:footnoteRef/>
      </w:r>
      <w:r w:rsidRPr="00551644">
        <w:tab/>
      </w:r>
      <w:r w:rsidR="003D7345">
        <w:t>See c</w:t>
      </w:r>
      <w:r w:rsidRPr="00661709">
        <w:t>ommunication</w:t>
      </w:r>
      <w:r w:rsidR="003D7345">
        <w:t>s</w:t>
      </w:r>
      <w:r>
        <w:rPr>
          <w:lang w:val="en-US"/>
        </w:rPr>
        <w:t xml:space="preserve"> No. </w:t>
      </w:r>
      <w:r w:rsidRPr="00890967">
        <w:rPr>
          <w:lang w:val="en-US"/>
        </w:rPr>
        <w:t>536/1993</w:t>
      </w:r>
      <w:r>
        <w:rPr>
          <w:lang w:val="en-US"/>
        </w:rPr>
        <w:t xml:space="preserve">, </w:t>
      </w:r>
      <w:r w:rsidRPr="00292750">
        <w:rPr>
          <w:i/>
        </w:rPr>
        <w:t xml:space="preserve">Perera </w:t>
      </w:r>
      <w:r w:rsidRPr="00E533B6">
        <w:rPr>
          <w:i/>
        </w:rPr>
        <w:t>v. Aus</w:t>
      </w:r>
      <w:r w:rsidRPr="00292750">
        <w:rPr>
          <w:i/>
        </w:rPr>
        <w:t>tralia</w:t>
      </w:r>
      <w:r>
        <w:t xml:space="preserve">, </w:t>
      </w:r>
      <w:r>
        <w:rPr>
          <w:lang w:val="en-US"/>
        </w:rPr>
        <w:t xml:space="preserve">inadmissibility decision adopted on 28 March 1995, </w:t>
      </w:r>
      <w:r w:rsidRPr="00890967">
        <w:rPr>
          <w:lang w:val="en-US"/>
        </w:rPr>
        <w:t xml:space="preserve">para. 6.3; </w:t>
      </w:r>
      <w:r w:rsidR="003D7345">
        <w:rPr>
          <w:lang w:val="en-US"/>
        </w:rPr>
        <w:t xml:space="preserve">and </w:t>
      </w:r>
      <w:r>
        <w:rPr>
          <w:lang w:val="en-US"/>
        </w:rPr>
        <w:t xml:space="preserve">No. </w:t>
      </w:r>
      <w:r w:rsidRPr="00890967">
        <w:rPr>
          <w:lang w:val="en-US"/>
        </w:rPr>
        <w:t xml:space="preserve">618/1995, </w:t>
      </w:r>
      <w:r w:rsidRPr="00292750">
        <w:rPr>
          <w:i/>
          <w:lang w:val="en-US"/>
        </w:rPr>
        <w:t>Campbell</w:t>
      </w:r>
      <w:r w:rsidRPr="008F43A3">
        <w:rPr>
          <w:iCs/>
          <w:lang w:val="en-US"/>
        </w:rPr>
        <w:t xml:space="preserve"> </w:t>
      </w:r>
      <w:r w:rsidRPr="00E533B6">
        <w:rPr>
          <w:i/>
          <w:lang w:val="en-US"/>
        </w:rPr>
        <w:t>v.</w:t>
      </w:r>
      <w:r w:rsidRPr="008F43A3">
        <w:rPr>
          <w:iCs/>
          <w:lang w:val="en-US"/>
        </w:rPr>
        <w:t xml:space="preserve"> </w:t>
      </w:r>
      <w:r w:rsidRPr="00292750">
        <w:rPr>
          <w:i/>
          <w:lang w:val="en-US"/>
        </w:rPr>
        <w:t>Jamaica</w:t>
      </w:r>
      <w:r>
        <w:rPr>
          <w:lang w:val="en-US"/>
        </w:rPr>
        <w:t xml:space="preserve">, Views adopted on 20 October 1998, </w:t>
      </w:r>
      <w:r w:rsidRPr="00890967">
        <w:rPr>
          <w:lang w:val="en-US"/>
        </w:rPr>
        <w:t>para. 7.3</w:t>
      </w:r>
      <w:r w:rsidR="00F00DB2">
        <w:rPr>
          <w:lang w:val="en-US"/>
        </w:rPr>
        <w:t>.</w:t>
      </w:r>
      <w:r w:rsidRPr="00890967">
        <w:rPr>
          <w:lang w:val="en-US"/>
        </w:rPr>
        <w:t xml:space="preserve"> </w:t>
      </w:r>
    </w:p>
  </w:footnote>
  <w:footnote w:id="24">
    <w:p w14:paraId="73AD8641" w14:textId="77777777" w:rsidR="0043594D" w:rsidRPr="00200C83" w:rsidRDefault="0043594D">
      <w:pPr>
        <w:pStyle w:val="FootnoteText"/>
      </w:pPr>
      <w:r w:rsidRPr="00E533B6">
        <w:rPr>
          <w:lang w:val="en-US"/>
        </w:rPr>
        <w:tab/>
      </w:r>
      <w:r>
        <w:rPr>
          <w:rStyle w:val="FootnoteReference"/>
        </w:rPr>
        <w:footnoteRef/>
      </w:r>
      <w:r w:rsidRPr="00200C83">
        <w:tab/>
      </w:r>
      <w:r w:rsidRPr="003F0764">
        <w:t>See general comment No. 32</w:t>
      </w:r>
      <w:r>
        <w:t xml:space="preserve"> (2007) on the right to equality before the courts and to a fair trial</w:t>
      </w:r>
      <w:r w:rsidRPr="00574CCC">
        <w:t xml:space="preserve">, para. 35; </w:t>
      </w:r>
      <w:r w:rsidR="003D7345">
        <w:t>and c</w:t>
      </w:r>
      <w:r w:rsidRPr="00200C83">
        <w:t xml:space="preserve">ommunication No. 1940/2010, </w:t>
      </w:r>
      <w:r w:rsidRPr="00200C83">
        <w:rPr>
          <w:i/>
        </w:rPr>
        <w:t>Eligio Cedeño v. Venezuela</w:t>
      </w:r>
      <w:r w:rsidRPr="00200C83">
        <w:t>, Views adopted on 29 October 2013, para. 7.7.</w:t>
      </w:r>
    </w:p>
  </w:footnote>
  <w:footnote w:id="25">
    <w:p w14:paraId="63046346" w14:textId="77777777" w:rsidR="0043594D" w:rsidRPr="00506A35" w:rsidRDefault="0043594D">
      <w:pPr>
        <w:pStyle w:val="FootnoteText"/>
      </w:pPr>
      <w:r w:rsidRPr="00200C83">
        <w:tab/>
      </w:r>
      <w:r>
        <w:rPr>
          <w:rStyle w:val="FootnoteReference"/>
        </w:rPr>
        <w:footnoteRef/>
      </w:r>
      <w:r>
        <w:tab/>
      </w:r>
      <w:r w:rsidR="003D7345">
        <w:t>See c</w:t>
      </w:r>
      <w:r w:rsidRPr="00506A35">
        <w:t xml:space="preserve">ommunication No. 1512/2006, </w:t>
      </w:r>
      <w:r w:rsidRPr="00506A35">
        <w:rPr>
          <w:i/>
        </w:rPr>
        <w:t>Dean v. New Zealand</w:t>
      </w:r>
      <w:r w:rsidRPr="00506A35">
        <w:t xml:space="preserve">, Views adopted on </w:t>
      </w:r>
      <w:r>
        <w:t>17 March 2009, para. 7.2.</w:t>
      </w:r>
    </w:p>
  </w:footnote>
  <w:footnote w:id="26">
    <w:p w14:paraId="3A61516B" w14:textId="77777777" w:rsidR="0043594D" w:rsidRPr="008C693F" w:rsidRDefault="0043594D">
      <w:pPr>
        <w:pStyle w:val="FootnoteText"/>
      </w:pPr>
      <w:r w:rsidRPr="00E533B6">
        <w:rPr>
          <w:lang w:val="en-US"/>
        </w:rPr>
        <w:tab/>
      </w:r>
      <w:r>
        <w:rPr>
          <w:rStyle w:val="FootnoteReference"/>
        </w:rPr>
        <w:footnoteRef/>
      </w:r>
      <w:r w:rsidRPr="008C693F">
        <w:tab/>
      </w:r>
      <w:r w:rsidR="003D7345">
        <w:t>See c</w:t>
      </w:r>
      <w:r w:rsidRPr="008C693F">
        <w:t xml:space="preserve">ommunication No. 662/1995, </w:t>
      </w:r>
      <w:r w:rsidRPr="008C693F">
        <w:rPr>
          <w:i/>
        </w:rPr>
        <w:t>Lumley v. Jamaica</w:t>
      </w:r>
      <w:r w:rsidRPr="008C693F">
        <w:t>, Views adopted on 31 March 1999, para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8298" w14:textId="77777777" w:rsidR="0043594D" w:rsidRPr="00781C83" w:rsidRDefault="0043594D" w:rsidP="00781C83">
    <w:pPr>
      <w:pStyle w:val="Header"/>
    </w:pPr>
    <w:r>
      <w:t>CCPR/C/114/D/1909/2009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DD46" w14:textId="77777777" w:rsidR="0043594D" w:rsidRPr="00781C83" w:rsidRDefault="0043594D" w:rsidP="00781C83">
    <w:pPr>
      <w:pStyle w:val="Header"/>
      <w:jc w:val="right"/>
    </w:pPr>
    <w:r>
      <w:t>CCPR/C/114/D/1909/2009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57E679C2"/>
    <w:lvl w:ilvl="0" w:tplc="075A6416">
      <w:start w:val="1"/>
      <w:numFmt w:val="decimal"/>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093A"/>
    <w:rsid w:val="00001C66"/>
    <w:rsid w:val="000026EA"/>
    <w:rsid w:val="000044E2"/>
    <w:rsid w:val="00005379"/>
    <w:rsid w:val="00005F4C"/>
    <w:rsid w:val="0000756B"/>
    <w:rsid w:val="00011012"/>
    <w:rsid w:val="000150F6"/>
    <w:rsid w:val="0001627B"/>
    <w:rsid w:val="000166B9"/>
    <w:rsid w:val="000170C3"/>
    <w:rsid w:val="000173D5"/>
    <w:rsid w:val="00022152"/>
    <w:rsid w:val="00023024"/>
    <w:rsid w:val="00024522"/>
    <w:rsid w:val="00025D41"/>
    <w:rsid w:val="0002635B"/>
    <w:rsid w:val="000272B3"/>
    <w:rsid w:val="000312FD"/>
    <w:rsid w:val="000319D6"/>
    <w:rsid w:val="00031F7A"/>
    <w:rsid w:val="0003383A"/>
    <w:rsid w:val="0003387B"/>
    <w:rsid w:val="00033CD0"/>
    <w:rsid w:val="00036F3F"/>
    <w:rsid w:val="000377A5"/>
    <w:rsid w:val="0004092D"/>
    <w:rsid w:val="00041994"/>
    <w:rsid w:val="000430A0"/>
    <w:rsid w:val="0004778D"/>
    <w:rsid w:val="00050F6B"/>
    <w:rsid w:val="000534B7"/>
    <w:rsid w:val="00054AAB"/>
    <w:rsid w:val="00054F87"/>
    <w:rsid w:val="00055FFE"/>
    <w:rsid w:val="000569F0"/>
    <w:rsid w:val="00056FB2"/>
    <w:rsid w:val="0005782B"/>
    <w:rsid w:val="00057E97"/>
    <w:rsid w:val="000605B5"/>
    <w:rsid w:val="00060C3A"/>
    <w:rsid w:val="000613B5"/>
    <w:rsid w:val="00062BE9"/>
    <w:rsid w:val="000638C9"/>
    <w:rsid w:val="00066476"/>
    <w:rsid w:val="000673A3"/>
    <w:rsid w:val="00067CCE"/>
    <w:rsid w:val="000707D1"/>
    <w:rsid w:val="00072C8C"/>
    <w:rsid w:val="000731DF"/>
    <w:rsid w:val="000733B5"/>
    <w:rsid w:val="000739BD"/>
    <w:rsid w:val="000776A3"/>
    <w:rsid w:val="00077934"/>
    <w:rsid w:val="00081815"/>
    <w:rsid w:val="00081BF7"/>
    <w:rsid w:val="0008245C"/>
    <w:rsid w:val="000840E0"/>
    <w:rsid w:val="00090022"/>
    <w:rsid w:val="00090758"/>
    <w:rsid w:val="00091F15"/>
    <w:rsid w:val="000931C0"/>
    <w:rsid w:val="0009642A"/>
    <w:rsid w:val="00096624"/>
    <w:rsid w:val="000970C1"/>
    <w:rsid w:val="000A1A9B"/>
    <w:rsid w:val="000A2EE4"/>
    <w:rsid w:val="000A310C"/>
    <w:rsid w:val="000A5559"/>
    <w:rsid w:val="000A69CF"/>
    <w:rsid w:val="000B02C3"/>
    <w:rsid w:val="000B1080"/>
    <w:rsid w:val="000B175B"/>
    <w:rsid w:val="000B1788"/>
    <w:rsid w:val="000B1998"/>
    <w:rsid w:val="000B3A0F"/>
    <w:rsid w:val="000B4907"/>
    <w:rsid w:val="000B4EF7"/>
    <w:rsid w:val="000C098C"/>
    <w:rsid w:val="000C28D0"/>
    <w:rsid w:val="000C2AB9"/>
    <w:rsid w:val="000C2C03"/>
    <w:rsid w:val="000C2D2E"/>
    <w:rsid w:val="000C2E06"/>
    <w:rsid w:val="000C46B7"/>
    <w:rsid w:val="000C4DA0"/>
    <w:rsid w:val="000C59E2"/>
    <w:rsid w:val="000C695D"/>
    <w:rsid w:val="000C70BB"/>
    <w:rsid w:val="000D0ABB"/>
    <w:rsid w:val="000D3324"/>
    <w:rsid w:val="000D3D17"/>
    <w:rsid w:val="000D6868"/>
    <w:rsid w:val="000D6E0C"/>
    <w:rsid w:val="000E0415"/>
    <w:rsid w:val="000E07B1"/>
    <w:rsid w:val="000E0E8E"/>
    <w:rsid w:val="000E12E5"/>
    <w:rsid w:val="000E20F8"/>
    <w:rsid w:val="000E29B9"/>
    <w:rsid w:val="000E4289"/>
    <w:rsid w:val="000E42E5"/>
    <w:rsid w:val="000F2832"/>
    <w:rsid w:val="000F39F9"/>
    <w:rsid w:val="000F3C61"/>
    <w:rsid w:val="000F6A6B"/>
    <w:rsid w:val="000F7458"/>
    <w:rsid w:val="000F7E69"/>
    <w:rsid w:val="00102617"/>
    <w:rsid w:val="001037D9"/>
    <w:rsid w:val="00106E3B"/>
    <w:rsid w:val="001103AA"/>
    <w:rsid w:val="00110F83"/>
    <w:rsid w:val="00111601"/>
    <w:rsid w:val="00112792"/>
    <w:rsid w:val="00112984"/>
    <w:rsid w:val="001133DB"/>
    <w:rsid w:val="0011580E"/>
    <w:rsid w:val="00115BC0"/>
    <w:rsid w:val="00117506"/>
    <w:rsid w:val="0011787A"/>
    <w:rsid w:val="00120FDB"/>
    <w:rsid w:val="001223A2"/>
    <w:rsid w:val="0012350A"/>
    <w:rsid w:val="00123712"/>
    <w:rsid w:val="001254F8"/>
    <w:rsid w:val="00127619"/>
    <w:rsid w:val="001306DD"/>
    <w:rsid w:val="00130D48"/>
    <w:rsid w:val="0013113A"/>
    <w:rsid w:val="00131B64"/>
    <w:rsid w:val="00131D2D"/>
    <w:rsid w:val="0013235B"/>
    <w:rsid w:val="00132891"/>
    <w:rsid w:val="00133782"/>
    <w:rsid w:val="001340B3"/>
    <w:rsid w:val="00136DE8"/>
    <w:rsid w:val="00137249"/>
    <w:rsid w:val="001375A9"/>
    <w:rsid w:val="00141A66"/>
    <w:rsid w:val="00142286"/>
    <w:rsid w:val="00151470"/>
    <w:rsid w:val="00152045"/>
    <w:rsid w:val="00154309"/>
    <w:rsid w:val="00154DA5"/>
    <w:rsid w:val="00157820"/>
    <w:rsid w:val="00157D19"/>
    <w:rsid w:val="00161364"/>
    <w:rsid w:val="00161CC1"/>
    <w:rsid w:val="00162DB2"/>
    <w:rsid w:val="00164C92"/>
    <w:rsid w:val="00165F3A"/>
    <w:rsid w:val="00166183"/>
    <w:rsid w:val="001662FA"/>
    <w:rsid w:val="00170DDB"/>
    <w:rsid w:val="001721A9"/>
    <w:rsid w:val="0017277A"/>
    <w:rsid w:val="001729EC"/>
    <w:rsid w:val="00172FD6"/>
    <w:rsid w:val="00174528"/>
    <w:rsid w:val="001756D6"/>
    <w:rsid w:val="001758E2"/>
    <w:rsid w:val="001762F0"/>
    <w:rsid w:val="00176D6B"/>
    <w:rsid w:val="001773C2"/>
    <w:rsid w:val="00177D63"/>
    <w:rsid w:val="00181F7C"/>
    <w:rsid w:val="00183968"/>
    <w:rsid w:val="001844A0"/>
    <w:rsid w:val="0018481A"/>
    <w:rsid w:val="00187E42"/>
    <w:rsid w:val="001904FB"/>
    <w:rsid w:val="001905FB"/>
    <w:rsid w:val="001912DB"/>
    <w:rsid w:val="00191845"/>
    <w:rsid w:val="001962AC"/>
    <w:rsid w:val="001965C0"/>
    <w:rsid w:val="00196CDF"/>
    <w:rsid w:val="00197330"/>
    <w:rsid w:val="001A09DE"/>
    <w:rsid w:val="001A24E3"/>
    <w:rsid w:val="001A2C08"/>
    <w:rsid w:val="001A32CB"/>
    <w:rsid w:val="001A4429"/>
    <w:rsid w:val="001A6461"/>
    <w:rsid w:val="001A660B"/>
    <w:rsid w:val="001A6686"/>
    <w:rsid w:val="001A67B5"/>
    <w:rsid w:val="001A723C"/>
    <w:rsid w:val="001A7E43"/>
    <w:rsid w:val="001B38A5"/>
    <w:rsid w:val="001B4041"/>
    <w:rsid w:val="001B4485"/>
    <w:rsid w:val="001B4B04"/>
    <w:rsid w:val="001B7D22"/>
    <w:rsid w:val="001C4471"/>
    <w:rsid w:val="001C5BED"/>
    <w:rsid w:val="001C657F"/>
    <w:rsid w:val="001C6663"/>
    <w:rsid w:val="001C7895"/>
    <w:rsid w:val="001C7D37"/>
    <w:rsid w:val="001D0C8C"/>
    <w:rsid w:val="001D26DF"/>
    <w:rsid w:val="001D32E3"/>
    <w:rsid w:val="001D3743"/>
    <w:rsid w:val="001D3A03"/>
    <w:rsid w:val="001D5523"/>
    <w:rsid w:val="001D5F2D"/>
    <w:rsid w:val="001D6813"/>
    <w:rsid w:val="001E10EC"/>
    <w:rsid w:val="001E2B4C"/>
    <w:rsid w:val="001E4617"/>
    <w:rsid w:val="001E48A9"/>
    <w:rsid w:val="001E578E"/>
    <w:rsid w:val="001E6117"/>
    <w:rsid w:val="001E6148"/>
    <w:rsid w:val="001E718D"/>
    <w:rsid w:val="001E7AF9"/>
    <w:rsid w:val="001F0720"/>
    <w:rsid w:val="001F08A3"/>
    <w:rsid w:val="001F0F1A"/>
    <w:rsid w:val="001F11EA"/>
    <w:rsid w:val="001F5FD0"/>
    <w:rsid w:val="00200C83"/>
    <w:rsid w:val="00202DA8"/>
    <w:rsid w:val="002069CC"/>
    <w:rsid w:val="00210C74"/>
    <w:rsid w:val="002115DE"/>
    <w:rsid w:val="00211E0B"/>
    <w:rsid w:val="00213E21"/>
    <w:rsid w:val="002144FC"/>
    <w:rsid w:val="00217D74"/>
    <w:rsid w:val="00220677"/>
    <w:rsid w:val="00222689"/>
    <w:rsid w:val="00224AED"/>
    <w:rsid w:val="0022501D"/>
    <w:rsid w:val="002256A1"/>
    <w:rsid w:val="00227F34"/>
    <w:rsid w:val="00230D7F"/>
    <w:rsid w:val="002314F8"/>
    <w:rsid w:val="00231FFF"/>
    <w:rsid w:val="0023210C"/>
    <w:rsid w:val="00232334"/>
    <w:rsid w:val="00232447"/>
    <w:rsid w:val="00233707"/>
    <w:rsid w:val="00235021"/>
    <w:rsid w:val="002361D0"/>
    <w:rsid w:val="00240564"/>
    <w:rsid w:val="00240AD7"/>
    <w:rsid w:val="00240F4B"/>
    <w:rsid w:val="00242340"/>
    <w:rsid w:val="00242866"/>
    <w:rsid w:val="002464D0"/>
    <w:rsid w:val="00250292"/>
    <w:rsid w:val="00250F88"/>
    <w:rsid w:val="0025162E"/>
    <w:rsid w:val="002527DD"/>
    <w:rsid w:val="0025415C"/>
    <w:rsid w:val="0025487E"/>
    <w:rsid w:val="00260343"/>
    <w:rsid w:val="00260428"/>
    <w:rsid w:val="002633B3"/>
    <w:rsid w:val="002650C2"/>
    <w:rsid w:val="002656E9"/>
    <w:rsid w:val="00265CF8"/>
    <w:rsid w:val="00266EB7"/>
    <w:rsid w:val="0026721C"/>
    <w:rsid w:val="00267F5F"/>
    <w:rsid w:val="00270368"/>
    <w:rsid w:val="00271484"/>
    <w:rsid w:val="00272A54"/>
    <w:rsid w:val="00273B14"/>
    <w:rsid w:val="00281144"/>
    <w:rsid w:val="00281B63"/>
    <w:rsid w:val="00282899"/>
    <w:rsid w:val="0028489A"/>
    <w:rsid w:val="00285224"/>
    <w:rsid w:val="002863A9"/>
    <w:rsid w:val="00286B4D"/>
    <w:rsid w:val="00286FB9"/>
    <w:rsid w:val="00287FE4"/>
    <w:rsid w:val="00290501"/>
    <w:rsid w:val="002907A8"/>
    <w:rsid w:val="00292F7D"/>
    <w:rsid w:val="0029365C"/>
    <w:rsid w:val="00293B90"/>
    <w:rsid w:val="002A0E62"/>
    <w:rsid w:val="002A1243"/>
    <w:rsid w:val="002A31B6"/>
    <w:rsid w:val="002A3CBA"/>
    <w:rsid w:val="002A4B67"/>
    <w:rsid w:val="002A728F"/>
    <w:rsid w:val="002B2579"/>
    <w:rsid w:val="002B3B76"/>
    <w:rsid w:val="002B3F1E"/>
    <w:rsid w:val="002B4101"/>
    <w:rsid w:val="002B443F"/>
    <w:rsid w:val="002C06BA"/>
    <w:rsid w:val="002C07F5"/>
    <w:rsid w:val="002C4335"/>
    <w:rsid w:val="002C4622"/>
    <w:rsid w:val="002C5BCD"/>
    <w:rsid w:val="002D18B7"/>
    <w:rsid w:val="002D1DC2"/>
    <w:rsid w:val="002D1FDF"/>
    <w:rsid w:val="002D389A"/>
    <w:rsid w:val="002D3AF5"/>
    <w:rsid w:val="002D4CB1"/>
    <w:rsid w:val="002D4DD7"/>
    <w:rsid w:val="002D76B1"/>
    <w:rsid w:val="002D7C9E"/>
    <w:rsid w:val="002E1084"/>
    <w:rsid w:val="002E43CA"/>
    <w:rsid w:val="002E52B1"/>
    <w:rsid w:val="002E595E"/>
    <w:rsid w:val="002E5C99"/>
    <w:rsid w:val="002E5ED8"/>
    <w:rsid w:val="002E69AE"/>
    <w:rsid w:val="002E7E16"/>
    <w:rsid w:val="002F039C"/>
    <w:rsid w:val="002F175C"/>
    <w:rsid w:val="002F17C4"/>
    <w:rsid w:val="002F1942"/>
    <w:rsid w:val="002F195E"/>
    <w:rsid w:val="002F3752"/>
    <w:rsid w:val="002F4557"/>
    <w:rsid w:val="002F4621"/>
    <w:rsid w:val="002F5159"/>
    <w:rsid w:val="002F582A"/>
    <w:rsid w:val="002F5997"/>
    <w:rsid w:val="002F65E8"/>
    <w:rsid w:val="002F6D31"/>
    <w:rsid w:val="0030138D"/>
    <w:rsid w:val="0030461F"/>
    <w:rsid w:val="00306124"/>
    <w:rsid w:val="00306F16"/>
    <w:rsid w:val="00307164"/>
    <w:rsid w:val="0030770A"/>
    <w:rsid w:val="00307884"/>
    <w:rsid w:val="00313386"/>
    <w:rsid w:val="003134AC"/>
    <w:rsid w:val="0031547E"/>
    <w:rsid w:val="00315DEB"/>
    <w:rsid w:val="0031721B"/>
    <w:rsid w:val="00317544"/>
    <w:rsid w:val="00320E07"/>
    <w:rsid w:val="00321A85"/>
    <w:rsid w:val="0032230D"/>
    <w:rsid w:val="003229D8"/>
    <w:rsid w:val="00323632"/>
    <w:rsid w:val="00326E53"/>
    <w:rsid w:val="00327502"/>
    <w:rsid w:val="00330AF7"/>
    <w:rsid w:val="00331F5B"/>
    <w:rsid w:val="003324F6"/>
    <w:rsid w:val="00332C91"/>
    <w:rsid w:val="00333051"/>
    <w:rsid w:val="00333A3C"/>
    <w:rsid w:val="00335DD7"/>
    <w:rsid w:val="00340A69"/>
    <w:rsid w:val="00341502"/>
    <w:rsid w:val="00341E55"/>
    <w:rsid w:val="0034480E"/>
    <w:rsid w:val="00344919"/>
    <w:rsid w:val="00344BA9"/>
    <w:rsid w:val="00345647"/>
    <w:rsid w:val="00347C85"/>
    <w:rsid w:val="00351398"/>
    <w:rsid w:val="00352709"/>
    <w:rsid w:val="00354AA8"/>
    <w:rsid w:val="00356768"/>
    <w:rsid w:val="00356D3D"/>
    <w:rsid w:val="003579A8"/>
    <w:rsid w:val="00360E28"/>
    <w:rsid w:val="00363A98"/>
    <w:rsid w:val="0036645D"/>
    <w:rsid w:val="003667AD"/>
    <w:rsid w:val="00367567"/>
    <w:rsid w:val="003705C9"/>
    <w:rsid w:val="003707B4"/>
    <w:rsid w:val="00371095"/>
    <w:rsid w:val="00371178"/>
    <w:rsid w:val="00372E98"/>
    <w:rsid w:val="0037301C"/>
    <w:rsid w:val="003730DD"/>
    <w:rsid w:val="0037429D"/>
    <w:rsid w:val="00374AB1"/>
    <w:rsid w:val="00375119"/>
    <w:rsid w:val="00376720"/>
    <w:rsid w:val="00377828"/>
    <w:rsid w:val="003823CB"/>
    <w:rsid w:val="0038336C"/>
    <w:rsid w:val="00383CC2"/>
    <w:rsid w:val="00384F90"/>
    <w:rsid w:val="00386624"/>
    <w:rsid w:val="00387DB8"/>
    <w:rsid w:val="00387ECB"/>
    <w:rsid w:val="003903FC"/>
    <w:rsid w:val="003909E7"/>
    <w:rsid w:val="00392947"/>
    <w:rsid w:val="0039347E"/>
    <w:rsid w:val="003954DB"/>
    <w:rsid w:val="003A1602"/>
    <w:rsid w:val="003A2465"/>
    <w:rsid w:val="003A325A"/>
    <w:rsid w:val="003A53AB"/>
    <w:rsid w:val="003A6810"/>
    <w:rsid w:val="003A6EFA"/>
    <w:rsid w:val="003A70FC"/>
    <w:rsid w:val="003A7AF2"/>
    <w:rsid w:val="003B115C"/>
    <w:rsid w:val="003B5B3D"/>
    <w:rsid w:val="003B6A80"/>
    <w:rsid w:val="003C001A"/>
    <w:rsid w:val="003C02AB"/>
    <w:rsid w:val="003C0768"/>
    <w:rsid w:val="003C0AD0"/>
    <w:rsid w:val="003C2CC4"/>
    <w:rsid w:val="003C730E"/>
    <w:rsid w:val="003D1C5A"/>
    <w:rsid w:val="003D2795"/>
    <w:rsid w:val="003D3E59"/>
    <w:rsid w:val="003D4B23"/>
    <w:rsid w:val="003D4DA9"/>
    <w:rsid w:val="003D52B0"/>
    <w:rsid w:val="003D6AB8"/>
    <w:rsid w:val="003D7345"/>
    <w:rsid w:val="003E2BA4"/>
    <w:rsid w:val="003E309D"/>
    <w:rsid w:val="003E4173"/>
    <w:rsid w:val="003E6A36"/>
    <w:rsid w:val="003E6F7E"/>
    <w:rsid w:val="003E74A4"/>
    <w:rsid w:val="003E75F0"/>
    <w:rsid w:val="003E79B5"/>
    <w:rsid w:val="003F1617"/>
    <w:rsid w:val="004048AF"/>
    <w:rsid w:val="00405473"/>
    <w:rsid w:val="004075A7"/>
    <w:rsid w:val="00410C89"/>
    <w:rsid w:val="00414017"/>
    <w:rsid w:val="00414167"/>
    <w:rsid w:val="00414364"/>
    <w:rsid w:val="00414931"/>
    <w:rsid w:val="00414B35"/>
    <w:rsid w:val="00414F92"/>
    <w:rsid w:val="00415634"/>
    <w:rsid w:val="00415FC6"/>
    <w:rsid w:val="004204BF"/>
    <w:rsid w:val="004224D1"/>
    <w:rsid w:val="004227C0"/>
    <w:rsid w:val="00426B9B"/>
    <w:rsid w:val="0042797A"/>
    <w:rsid w:val="00427D34"/>
    <w:rsid w:val="0043003F"/>
    <w:rsid w:val="00431396"/>
    <w:rsid w:val="004325CB"/>
    <w:rsid w:val="00433855"/>
    <w:rsid w:val="0043469F"/>
    <w:rsid w:val="00435272"/>
    <w:rsid w:val="0043594D"/>
    <w:rsid w:val="00436972"/>
    <w:rsid w:val="00436B33"/>
    <w:rsid w:val="00436E7E"/>
    <w:rsid w:val="004370F8"/>
    <w:rsid w:val="00437253"/>
    <w:rsid w:val="00442144"/>
    <w:rsid w:val="00442A83"/>
    <w:rsid w:val="00442C9D"/>
    <w:rsid w:val="00442EB6"/>
    <w:rsid w:val="00445A57"/>
    <w:rsid w:val="00445C4D"/>
    <w:rsid w:val="00446ABC"/>
    <w:rsid w:val="00447812"/>
    <w:rsid w:val="0045098B"/>
    <w:rsid w:val="00450D0E"/>
    <w:rsid w:val="0045285D"/>
    <w:rsid w:val="0045495B"/>
    <w:rsid w:val="00455C43"/>
    <w:rsid w:val="00460262"/>
    <w:rsid w:val="004607BF"/>
    <w:rsid w:val="00460A20"/>
    <w:rsid w:val="00463A2A"/>
    <w:rsid w:val="00464446"/>
    <w:rsid w:val="004653C7"/>
    <w:rsid w:val="00466B4C"/>
    <w:rsid w:val="00466FA4"/>
    <w:rsid w:val="00467A53"/>
    <w:rsid w:val="0047173A"/>
    <w:rsid w:val="00472B5B"/>
    <w:rsid w:val="004736B4"/>
    <w:rsid w:val="00473963"/>
    <w:rsid w:val="00475DBE"/>
    <w:rsid w:val="00476073"/>
    <w:rsid w:val="00481CB1"/>
    <w:rsid w:val="004831D3"/>
    <w:rsid w:val="00486294"/>
    <w:rsid w:val="00487488"/>
    <w:rsid w:val="00487FB8"/>
    <w:rsid w:val="00491B1C"/>
    <w:rsid w:val="0049219B"/>
    <w:rsid w:val="00493ED3"/>
    <w:rsid w:val="0049418F"/>
    <w:rsid w:val="00495924"/>
    <w:rsid w:val="00495A34"/>
    <w:rsid w:val="00497CBC"/>
    <w:rsid w:val="004A266D"/>
    <w:rsid w:val="004A2789"/>
    <w:rsid w:val="004A28A7"/>
    <w:rsid w:val="004A2B9D"/>
    <w:rsid w:val="004A3E34"/>
    <w:rsid w:val="004A4E95"/>
    <w:rsid w:val="004A5954"/>
    <w:rsid w:val="004A64B8"/>
    <w:rsid w:val="004A7915"/>
    <w:rsid w:val="004A7B25"/>
    <w:rsid w:val="004B4333"/>
    <w:rsid w:val="004C55DD"/>
    <w:rsid w:val="004C6B90"/>
    <w:rsid w:val="004D0446"/>
    <w:rsid w:val="004D08D3"/>
    <w:rsid w:val="004D1F95"/>
    <w:rsid w:val="004D5BD1"/>
    <w:rsid w:val="004D5BED"/>
    <w:rsid w:val="004D7A8B"/>
    <w:rsid w:val="004E15CC"/>
    <w:rsid w:val="004E23FC"/>
    <w:rsid w:val="004E3BA2"/>
    <w:rsid w:val="004E4544"/>
    <w:rsid w:val="004E7047"/>
    <w:rsid w:val="004F1D45"/>
    <w:rsid w:val="004F286C"/>
    <w:rsid w:val="004F5078"/>
    <w:rsid w:val="004F56B6"/>
    <w:rsid w:val="004F640C"/>
    <w:rsid w:val="005007C9"/>
    <w:rsid w:val="0050328D"/>
    <w:rsid w:val="00505D08"/>
    <w:rsid w:val="00506A35"/>
    <w:rsid w:val="00507DE8"/>
    <w:rsid w:val="005125F0"/>
    <w:rsid w:val="0051533B"/>
    <w:rsid w:val="005167F1"/>
    <w:rsid w:val="00520190"/>
    <w:rsid w:val="00520400"/>
    <w:rsid w:val="0052136D"/>
    <w:rsid w:val="00522D84"/>
    <w:rsid w:val="005232E6"/>
    <w:rsid w:val="00523566"/>
    <w:rsid w:val="00525395"/>
    <w:rsid w:val="0052775E"/>
    <w:rsid w:val="00532186"/>
    <w:rsid w:val="00533FA3"/>
    <w:rsid w:val="00535C4B"/>
    <w:rsid w:val="005409DC"/>
    <w:rsid w:val="00540F02"/>
    <w:rsid w:val="0054109A"/>
    <w:rsid w:val="0054150C"/>
    <w:rsid w:val="005420F2"/>
    <w:rsid w:val="00546665"/>
    <w:rsid w:val="00550D3B"/>
    <w:rsid w:val="00551644"/>
    <w:rsid w:val="00554854"/>
    <w:rsid w:val="00555470"/>
    <w:rsid w:val="00560BA5"/>
    <w:rsid w:val="005619D1"/>
    <w:rsid w:val="00561B68"/>
    <w:rsid w:val="005628B6"/>
    <w:rsid w:val="005640D1"/>
    <w:rsid w:val="00564521"/>
    <w:rsid w:val="00564714"/>
    <w:rsid w:val="0056473A"/>
    <w:rsid w:val="00565BE7"/>
    <w:rsid w:val="0056624F"/>
    <w:rsid w:val="00567011"/>
    <w:rsid w:val="005713FE"/>
    <w:rsid w:val="005722B3"/>
    <w:rsid w:val="00574CCC"/>
    <w:rsid w:val="0057585A"/>
    <w:rsid w:val="0057598A"/>
    <w:rsid w:val="00575BA3"/>
    <w:rsid w:val="005770B9"/>
    <w:rsid w:val="00577E84"/>
    <w:rsid w:val="00581BD2"/>
    <w:rsid w:val="005848B3"/>
    <w:rsid w:val="005904B7"/>
    <w:rsid w:val="00590F87"/>
    <w:rsid w:val="00591A9E"/>
    <w:rsid w:val="00592C4A"/>
    <w:rsid w:val="00594090"/>
    <w:rsid w:val="005A0415"/>
    <w:rsid w:val="005A2ACD"/>
    <w:rsid w:val="005A4388"/>
    <w:rsid w:val="005B09AE"/>
    <w:rsid w:val="005B15AD"/>
    <w:rsid w:val="005B2E24"/>
    <w:rsid w:val="005B38A5"/>
    <w:rsid w:val="005B3DB3"/>
    <w:rsid w:val="005B4F61"/>
    <w:rsid w:val="005B6047"/>
    <w:rsid w:val="005B653F"/>
    <w:rsid w:val="005C02D8"/>
    <w:rsid w:val="005C11C1"/>
    <w:rsid w:val="005C176E"/>
    <w:rsid w:val="005C1C11"/>
    <w:rsid w:val="005C2131"/>
    <w:rsid w:val="005C223E"/>
    <w:rsid w:val="005C413D"/>
    <w:rsid w:val="005C4A9E"/>
    <w:rsid w:val="005C5103"/>
    <w:rsid w:val="005C7DA0"/>
    <w:rsid w:val="005D0679"/>
    <w:rsid w:val="005D32AF"/>
    <w:rsid w:val="005D42C6"/>
    <w:rsid w:val="005D5721"/>
    <w:rsid w:val="005D5AF5"/>
    <w:rsid w:val="005D7A48"/>
    <w:rsid w:val="005D7CB5"/>
    <w:rsid w:val="005E021C"/>
    <w:rsid w:val="005E0B85"/>
    <w:rsid w:val="005E2F71"/>
    <w:rsid w:val="005E3182"/>
    <w:rsid w:val="005E3E36"/>
    <w:rsid w:val="005E5615"/>
    <w:rsid w:val="005E5805"/>
    <w:rsid w:val="005E783D"/>
    <w:rsid w:val="005F1320"/>
    <w:rsid w:val="005F1ED5"/>
    <w:rsid w:val="005F315D"/>
    <w:rsid w:val="005F5699"/>
    <w:rsid w:val="005F7717"/>
    <w:rsid w:val="005F7B75"/>
    <w:rsid w:val="005F7F93"/>
    <w:rsid w:val="006001B0"/>
    <w:rsid w:val="006001EE"/>
    <w:rsid w:val="00604890"/>
    <w:rsid w:val="00605042"/>
    <w:rsid w:val="00607BC1"/>
    <w:rsid w:val="006108E0"/>
    <w:rsid w:val="00611FC4"/>
    <w:rsid w:val="00613FE0"/>
    <w:rsid w:val="006148AF"/>
    <w:rsid w:val="006160CB"/>
    <w:rsid w:val="006176FB"/>
    <w:rsid w:val="006239C9"/>
    <w:rsid w:val="00623FD3"/>
    <w:rsid w:val="0062462D"/>
    <w:rsid w:val="00625B3A"/>
    <w:rsid w:val="0062630E"/>
    <w:rsid w:val="0062645D"/>
    <w:rsid w:val="006274AD"/>
    <w:rsid w:val="00627FB0"/>
    <w:rsid w:val="00631796"/>
    <w:rsid w:val="00631C31"/>
    <w:rsid w:val="006321A4"/>
    <w:rsid w:val="00632E25"/>
    <w:rsid w:val="0063379B"/>
    <w:rsid w:val="00635DDA"/>
    <w:rsid w:val="00640B26"/>
    <w:rsid w:val="00640C76"/>
    <w:rsid w:val="00641231"/>
    <w:rsid w:val="006427DB"/>
    <w:rsid w:val="00645379"/>
    <w:rsid w:val="00645949"/>
    <w:rsid w:val="006504DB"/>
    <w:rsid w:val="006507CD"/>
    <w:rsid w:val="006509F9"/>
    <w:rsid w:val="00652D0A"/>
    <w:rsid w:val="00653DBF"/>
    <w:rsid w:val="00654447"/>
    <w:rsid w:val="00660559"/>
    <w:rsid w:val="00661709"/>
    <w:rsid w:val="006622D6"/>
    <w:rsid w:val="00662BB6"/>
    <w:rsid w:val="006637A4"/>
    <w:rsid w:val="00665525"/>
    <w:rsid w:val="00671948"/>
    <w:rsid w:val="00672110"/>
    <w:rsid w:val="006743E9"/>
    <w:rsid w:val="00674D65"/>
    <w:rsid w:val="00681678"/>
    <w:rsid w:val="00681702"/>
    <w:rsid w:val="00682284"/>
    <w:rsid w:val="006838C8"/>
    <w:rsid w:val="00684C21"/>
    <w:rsid w:val="00685CCE"/>
    <w:rsid w:val="00685FA6"/>
    <w:rsid w:val="00686C0D"/>
    <w:rsid w:val="0068743C"/>
    <w:rsid w:val="00692BBE"/>
    <w:rsid w:val="00694AE6"/>
    <w:rsid w:val="006954C6"/>
    <w:rsid w:val="00695991"/>
    <w:rsid w:val="0069763E"/>
    <w:rsid w:val="00697C6D"/>
    <w:rsid w:val="00697F3E"/>
    <w:rsid w:val="006A2D4D"/>
    <w:rsid w:val="006A4927"/>
    <w:rsid w:val="006B346D"/>
    <w:rsid w:val="006B4FA2"/>
    <w:rsid w:val="006B58E5"/>
    <w:rsid w:val="006B7ACD"/>
    <w:rsid w:val="006C0435"/>
    <w:rsid w:val="006C0555"/>
    <w:rsid w:val="006C05C1"/>
    <w:rsid w:val="006C3AD1"/>
    <w:rsid w:val="006C65A6"/>
    <w:rsid w:val="006D0125"/>
    <w:rsid w:val="006D37AF"/>
    <w:rsid w:val="006D51D0"/>
    <w:rsid w:val="006D53C0"/>
    <w:rsid w:val="006E212F"/>
    <w:rsid w:val="006E564B"/>
    <w:rsid w:val="006E5A29"/>
    <w:rsid w:val="006E7191"/>
    <w:rsid w:val="006E7196"/>
    <w:rsid w:val="006F2B9A"/>
    <w:rsid w:val="006F30DF"/>
    <w:rsid w:val="006F464F"/>
    <w:rsid w:val="006F4B86"/>
    <w:rsid w:val="006F52C5"/>
    <w:rsid w:val="006F6515"/>
    <w:rsid w:val="00703577"/>
    <w:rsid w:val="00705625"/>
    <w:rsid w:val="00705B7F"/>
    <w:rsid w:val="00707DC0"/>
    <w:rsid w:val="0071171F"/>
    <w:rsid w:val="00711F00"/>
    <w:rsid w:val="00712CBC"/>
    <w:rsid w:val="00713C74"/>
    <w:rsid w:val="00715DDD"/>
    <w:rsid w:val="00716498"/>
    <w:rsid w:val="00716EC7"/>
    <w:rsid w:val="007173C2"/>
    <w:rsid w:val="00717ADC"/>
    <w:rsid w:val="00717CAD"/>
    <w:rsid w:val="00717F03"/>
    <w:rsid w:val="00720671"/>
    <w:rsid w:val="0072328C"/>
    <w:rsid w:val="00725FE9"/>
    <w:rsid w:val="0072632A"/>
    <w:rsid w:val="00726A48"/>
    <w:rsid w:val="00727C31"/>
    <w:rsid w:val="00730FAB"/>
    <w:rsid w:val="00731335"/>
    <w:rsid w:val="007327D5"/>
    <w:rsid w:val="007334A8"/>
    <w:rsid w:val="007340BF"/>
    <w:rsid w:val="00734ABE"/>
    <w:rsid w:val="00735CA1"/>
    <w:rsid w:val="00735F4E"/>
    <w:rsid w:val="00736EAD"/>
    <w:rsid w:val="00741D29"/>
    <w:rsid w:val="007435F7"/>
    <w:rsid w:val="007449A6"/>
    <w:rsid w:val="0074537D"/>
    <w:rsid w:val="007463A2"/>
    <w:rsid w:val="00746750"/>
    <w:rsid w:val="00746D61"/>
    <w:rsid w:val="00747D87"/>
    <w:rsid w:val="00747F49"/>
    <w:rsid w:val="007509EB"/>
    <w:rsid w:val="00750FC5"/>
    <w:rsid w:val="007519C8"/>
    <w:rsid w:val="00752104"/>
    <w:rsid w:val="0075395D"/>
    <w:rsid w:val="00756089"/>
    <w:rsid w:val="00760B80"/>
    <w:rsid w:val="00760D86"/>
    <w:rsid w:val="00762878"/>
    <w:rsid w:val="00762922"/>
    <w:rsid w:val="007629C8"/>
    <w:rsid w:val="00762E39"/>
    <w:rsid w:val="007635DF"/>
    <w:rsid w:val="00764972"/>
    <w:rsid w:val="00764C9B"/>
    <w:rsid w:val="007661CD"/>
    <w:rsid w:val="007734FC"/>
    <w:rsid w:val="00773C4B"/>
    <w:rsid w:val="007740F1"/>
    <w:rsid w:val="00776E5E"/>
    <w:rsid w:val="00777322"/>
    <w:rsid w:val="00780AD2"/>
    <w:rsid w:val="00781373"/>
    <w:rsid w:val="0078162E"/>
    <w:rsid w:val="00781C83"/>
    <w:rsid w:val="007826F4"/>
    <w:rsid w:val="0078300D"/>
    <w:rsid w:val="00785DB2"/>
    <w:rsid w:val="0078601B"/>
    <w:rsid w:val="0078676D"/>
    <w:rsid w:val="00787E5D"/>
    <w:rsid w:val="0079034E"/>
    <w:rsid w:val="00792116"/>
    <w:rsid w:val="00795788"/>
    <w:rsid w:val="0079681E"/>
    <w:rsid w:val="007973F6"/>
    <w:rsid w:val="007A212F"/>
    <w:rsid w:val="007A36C9"/>
    <w:rsid w:val="007A5450"/>
    <w:rsid w:val="007A6642"/>
    <w:rsid w:val="007B3302"/>
    <w:rsid w:val="007B6311"/>
    <w:rsid w:val="007B6BA5"/>
    <w:rsid w:val="007C1241"/>
    <w:rsid w:val="007C1379"/>
    <w:rsid w:val="007C296F"/>
    <w:rsid w:val="007C3390"/>
    <w:rsid w:val="007C3FFB"/>
    <w:rsid w:val="007C4F4B"/>
    <w:rsid w:val="007C55BE"/>
    <w:rsid w:val="007C784F"/>
    <w:rsid w:val="007D00CF"/>
    <w:rsid w:val="007D2684"/>
    <w:rsid w:val="007D564F"/>
    <w:rsid w:val="007E0629"/>
    <w:rsid w:val="007E0B2D"/>
    <w:rsid w:val="007E0ED5"/>
    <w:rsid w:val="007E2CC8"/>
    <w:rsid w:val="007E4594"/>
    <w:rsid w:val="007E4BBE"/>
    <w:rsid w:val="007E533F"/>
    <w:rsid w:val="007E5EA4"/>
    <w:rsid w:val="007E7E46"/>
    <w:rsid w:val="007F098E"/>
    <w:rsid w:val="007F12FC"/>
    <w:rsid w:val="007F2D0D"/>
    <w:rsid w:val="007F3A2C"/>
    <w:rsid w:val="007F4853"/>
    <w:rsid w:val="007F49A2"/>
    <w:rsid w:val="007F6611"/>
    <w:rsid w:val="007F6A7A"/>
    <w:rsid w:val="0080502F"/>
    <w:rsid w:val="00806B1C"/>
    <w:rsid w:val="0081043C"/>
    <w:rsid w:val="008105B8"/>
    <w:rsid w:val="0081060C"/>
    <w:rsid w:val="00811CD0"/>
    <w:rsid w:val="00811D06"/>
    <w:rsid w:val="008121EA"/>
    <w:rsid w:val="008123D2"/>
    <w:rsid w:val="00812971"/>
    <w:rsid w:val="00813327"/>
    <w:rsid w:val="00813E40"/>
    <w:rsid w:val="008146B2"/>
    <w:rsid w:val="00816972"/>
    <w:rsid w:val="00816E23"/>
    <w:rsid w:val="00816EE0"/>
    <w:rsid w:val="00817A02"/>
    <w:rsid w:val="0082007F"/>
    <w:rsid w:val="0082150F"/>
    <w:rsid w:val="008216A5"/>
    <w:rsid w:val="00821A8D"/>
    <w:rsid w:val="008242D7"/>
    <w:rsid w:val="00824C73"/>
    <w:rsid w:val="00824FE2"/>
    <w:rsid w:val="00825659"/>
    <w:rsid w:val="008257B1"/>
    <w:rsid w:val="00826AAA"/>
    <w:rsid w:val="00827301"/>
    <w:rsid w:val="00830FF4"/>
    <w:rsid w:val="0083185A"/>
    <w:rsid w:val="00832574"/>
    <w:rsid w:val="00833370"/>
    <w:rsid w:val="008360B7"/>
    <w:rsid w:val="008379A8"/>
    <w:rsid w:val="008406D2"/>
    <w:rsid w:val="0084126F"/>
    <w:rsid w:val="00843767"/>
    <w:rsid w:val="00846666"/>
    <w:rsid w:val="00846768"/>
    <w:rsid w:val="00847B18"/>
    <w:rsid w:val="00851B6A"/>
    <w:rsid w:val="00851F2A"/>
    <w:rsid w:val="00855527"/>
    <w:rsid w:val="008563AE"/>
    <w:rsid w:val="00856F01"/>
    <w:rsid w:val="00857ADE"/>
    <w:rsid w:val="00861599"/>
    <w:rsid w:val="00864797"/>
    <w:rsid w:val="008655A1"/>
    <w:rsid w:val="008676D5"/>
    <w:rsid w:val="008679D9"/>
    <w:rsid w:val="00871051"/>
    <w:rsid w:val="00871750"/>
    <w:rsid w:val="00872F86"/>
    <w:rsid w:val="008730D5"/>
    <w:rsid w:val="0087406A"/>
    <w:rsid w:val="00875AB2"/>
    <w:rsid w:val="00875FE5"/>
    <w:rsid w:val="00880AF2"/>
    <w:rsid w:val="0088190E"/>
    <w:rsid w:val="00883BBF"/>
    <w:rsid w:val="00884FCB"/>
    <w:rsid w:val="0088719B"/>
    <w:rsid w:val="00887744"/>
    <w:rsid w:val="00891671"/>
    <w:rsid w:val="00891792"/>
    <w:rsid w:val="00891C2B"/>
    <w:rsid w:val="00892347"/>
    <w:rsid w:val="008933B1"/>
    <w:rsid w:val="00893BD2"/>
    <w:rsid w:val="00894F53"/>
    <w:rsid w:val="0089512A"/>
    <w:rsid w:val="00896597"/>
    <w:rsid w:val="008979B1"/>
    <w:rsid w:val="00897F0A"/>
    <w:rsid w:val="008A09B5"/>
    <w:rsid w:val="008A1B33"/>
    <w:rsid w:val="008A1DB2"/>
    <w:rsid w:val="008A270D"/>
    <w:rsid w:val="008A27C8"/>
    <w:rsid w:val="008A4FF5"/>
    <w:rsid w:val="008A5B5C"/>
    <w:rsid w:val="008A69CF"/>
    <w:rsid w:val="008A6B25"/>
    <w:rsid w:val="008A6C4F"/>
    <w:rsid w:val="008B012F"/>
    <w:rsid w:val="008B0D62"/>
    <w:rsid w:val="008B2335"/>
    <w:rsid w:val="008B629E"/>
    <w:rsid w:val="008C0D17"/>
    <w:rsid w:val="008C22CC"/>
    <w:rsid w:val="008C2C83"/>
    <w:rsid w:val="008C3223"/>
    <w:rsid w:val="008C3294"/>
    <w:rsid w:val="008C4B5A"/>
    <w:rsid w:val="008C4EDC"/>
    <w:rsid w:val="008C68ED"/>
    <w:rsid w:val="008C693F"/>
    <w:rsid w:val="008C6A39"/>
    <w:rsid w:val="008C6E58"/>
    <w:rsid w:val="008C73FA"/>
    <w:rsid w:val="008C7622"/>
    <w:rsid w:val="008C77CB"/>
    <w:rsid w:val="008D043B"/>
    <w:rsid w:val="008D083C"/>
    <w:rsid w:val="008D0C03"/>
    <w:rsid w:val="008D1459"/>
    <w:rsid w:val="008D2A46"/>
    <w:rsid w:val="008D3FEC"/>
    <w:rsid w:val="008D6CB5"/>
    <w:rsid w:val="008E0678"/>
    <w:rsid w:val="008E0CFD"/>
    <w:rsid w:val="008E3AF2"/>
    <w:rsid w:val="008E4C4F"/>
    <w:rsid w:val="008E56DB"/>
    <w:rsid w:val="008E5A83"/>
    <w:rsid w:val="008E5FF6"/>
    <w:rsid w:val="008E6067"/>
    <w:rsid w:val="008F0336"/>
    <w:rsid w:val="008F0E3C"/>
    <w:rsid w:val="008F16E4"/>
    <w:rsid w:val="008F1FA8"/>
    <w:rsid w:val="008F4CE4"/>
    <w:rsid w:val="008F6145"/>
    <w:rsid w:val="00900036"/>
    <w:rsid w:val="009002FE"/>
    <w:rsid w:val="00903876"/>
    <w:rsid w:val="009053BC"/>
    <w:rsid w:val="009062A7"/>
    <w:rsid w:val="0090637F"/>
    <w:rsid w:val="00910AD7"/>
    <w:rsid w:val="00910F40"/>
    <w:rsid w:val="00911E57"/>
    <w:rsid w:val="00912C08"/>
    <w:rsid w:val="00913616"/>
    <w:rsid w:val="0091377B"/>
    <w:rsid w:val="00913823"/>
    <w:rsid w:val="00913A0C"/>
    <w:rsid w:val="00915F13"/>
    <w:rsid w:val="00920F03"/>
    <w:rsid w:val="00921984"/>
    <w:rsid w:val="00922119"/>
    <w:rsid w:val="009223CA"/>
    <w:rsid w:val="00930548"/>
    <w:rsid w:val="00932D9F"/>
    <w:rsid w:val="00937251"/>
    <w:rsid w:val="009377CE"/>
    <w:rsid w:val="00937F60"/>
    <w:rsid w:val="0094095A"/>
    <w:rsid w:val="00940F93"/>
    <w:rsid w:val="00942AD8"/>
    <w:rsid w:val="00946244"/>
    <w:rsid w:val="00946696"/>
    <w:rsid w:val="00946B93"/>
    <w:rsid w:val="00951E0D"/>
    <w:rsid w:val="00951EAC"/>
    <w:rsid w:val="00952C29"/>
    <w:rsid w:val="0095347F"/>
    <w:rsid w:val="00953563"/>
    <w:rsid w:val="009568BE"/>
    <w:rsid w:val="0096073F"/>
    <w:rsid w:val="00960911"/>
    <w:rsid w:val="009633D7"/>
    <w:rsid w:val="00966345"/>
    <w:rsid w:val="00967AAF"/>
    <w:rsid w:val="00967F59"/>
    <w:rsid w:val="009701C4"/>
    <w:rsid w:val="00971ED7"/>
    <w:rsid w:val="00972C38"/>
    <w:rsid w:val="00973013"/>
    <w:rsid w:val="00973151"/>
    <w:rsid w:val="009735A8"/>
    <w:rsid w:val="00973CF0"/>
    <w:rsid w:val="00973F26"/>
    <w:rsid w:val="00974EF5"/>
    <w:rsid w:val="0097531F"/>
    <w:rsid w:val="00975BCF"/>
    <w:rsid w:val="009760F3"/>
    <w:rsid w:val="009800FA"/>
    <w:rsid w:val="00980EA8"/>
    <w:rsid w:val="00981134"/>
    <w:rsid w:val="009817F4"/>
    <w:rsid w:val="009873ED"/>
    <w:rsid w:val="009909F5"/>
    <w:rsid w:val="00990EA1"/>
    <w:rsid w:val="00990FCA"/>
    <w:rsid w:val="0099515D"/>
    <w:rsid w:val="00995CBB"/>
    <w:rsid w:val="00996D7A"/>
    <w:rsid w:val="009A0E8D"/>
    <w:rsid w:val="009A19F8"/>
    <w:rsid w:val="009A1D9B"/>
    <w:rsid w:val="009A2EA4"/>
    <w:rsid w:val="009A40CD"/>
    <w:rsid w:val="009A5865"/>
    <w:rsid w:val="009A77EB"/>
    <w:rsid w:val="009B0FC5"/>
    <w:rsid w:val="009B1780"/>
    <w:rsid w:val="009B26E7"/>
    <w:rsid w:val="009B3396"/>
    <w:rsid w:val="009B3C97"/>
    <w:rsid w:val="009B4E6F"/>
    <w:rsid w:val="009B7B5B"/>
    <w:rsid w:val="009C162C"/>
    <w:rsid w:val="009C4519"/>
    <w:rsid w:val="009C4FB2"/>
    <w:rsid w:val="009C60EB"/>
    <w:rsid w:val="009C6DFE"/>
    <w:rsid w:val="009C7FE9"/>
    <w:rsid w:val="009D0778"/>
    <w:rsid w:val="009D1E8D"/>
    <w:rsid w:val="009D3ADB"/>
    <w:rsid w:val="009D3DD4"/>
    <w:rsid w:val="009D4F1E"/>
    <w:rsid w:val="009E1872"/>
    <w:rsid w:val="009E2B05"/>
    <w:rsid w:val="009E2F54"/>
    <w:rsid w:val="009E3B88"/>
    <w:rsid w:val="009E7D26"/>
    <w:rsid w:val="009F03D3"/>
    <w:rsid w:val="009F2AC1"/>
    <w:rsid w:val="009F461E"/>
    <w:rsid w:val="009F5182"/>
    <w:rsid w:val="009F5D68"/>
    <w:rsid w:val="009F7636"/>
    <w:rsid w:val="00A00A3F"/>
    <w:rsid w:val="00A0146E"/>
    <w:rsid w:val="00A01489"/>
    <w:rsid w:val="00A018AB"/>
    <w:rsid w:val="00A01A63"/>
    <w:rsid w:val="00A0336A"/>
    <w:rsid w:val="00A03A0A"/>
    <w:rsid w:val="00A03ABA"/>
    <w:rsid w:val="00A03ED0"/>
    <w:rsid w:val="00A06466"/>
    <w:rsid w:val="00A07277"/>
    <w:rsid w:val="00A12CB2"/>
    <w:rsid w:val="00A206FC"/>
    <w:rsid w:val="00A2196F"/>
    <w:rsid w:val="00A21C57"/>
    <w:rsid w:val="00A230A0"/>
    <w:rsid w:val="00A232DB"/>
    <w:rsid w:val="00A2621D"/>
    <w:rsid w:val="00A27057"/>
    <w:rsid w:val="00A31B81"/>
    <w:rsid w:val="00A338F1"/>
    <w:rsid w:val="00A343D0"/>
    <w:rsid w:val="00A377A8"/>
    <w:rsid w:val="00A41A5C"/>
    <w:rsid w:val="00A4256C"/>
    <w:rsid w:val="00A42B98"/>
    <w:rsid w:val="00A44487"/>
    <w:rsid w:val="00A44615"/>
    <w:rsid w:val="00A447CC"/>
    <w:rsid w:val="00A44916"/>
    <w:rsid w:val="00A44922"/>
    <w:rsid w:val="00A468B1"/>
    <w:rsid w:val="00A4728C"/>
    <w:rsid w:val="00A473B2"/>
    <w:rsid w:val="00A47874"/>
    <w:rsid w:val="00A52FFA"/>
    <w:rsid w:val="00A56A32"/>
    <w:rsid w:val="00A60F02"/>
    <w:rsid w:val="00A647C7"/>
    <w:rsid w:val="00A65032"/>
    <w:rsid w:val="00A667D6"/>
    <w:rsid w:val="00A67B57"/>
    <w:rsid w:val="00A70EA1"/>
    <w:rsid w:val="00A727B6"/>
    <w:rsid w:val="00A72C70"/>
    <w:rsid w:val="00A72F22"/>
    <w:rsid w:val="00A7360F"/>
    <w:rsid w:val="00A74283"/>
    <w:rsid w:val="00A748A6"/>
    <w:rsid w:val="00A75355"/>
    <w:rsid w:val="00A76648"/>
    <w:rsid w:val="00A769F4"/>
    <w:rsid w:val="00A776B4"/>
    <w:rsid w:val="00A777C5"/>
    <w:rsid w:val="00A777CF"/>
    <w:rsid w:val="00A81971"/>
    <w:rsid w:val="00A81D4E"/>
    <w:rsid w:val="00A85EA0"/>
    <w:rsid w:val="00A86CC4"/>
    <w:rsid w:val="00A9041A"/>
    <w:rsid w:val="00A91A32"/>
    <w:rsid w:val="00A91A97"/>
    <w:rsid w:val="00A93758"/>
    <w:rsid w:val="00A94361"/>
    <w:rsid w:val="00A96307"/>
    <w:rsid w:val="00A96BCF"/>
    <w:rsid w:val="00AA175A"/>
    <w:rsid w:val="00AA293C"/>
    <w:rsid w:val="00AA2D0D"/>
    <w:rsid w:val="00AA56FB"/>
    <w:rsid w:val="00AA672A"/>
    <w:rsid w:val="00AA6FA4"/>
    <w:rsid w:val="00AB0648"/>
    <w:rsid w:val="00AB0A98"/>
    <w:rsid w:val="00AB19FA"/>
    <w:rsid w:val="00AB2855"/>
    <w:rsid w:val="00AB2A5E"/>
    <w:rsid w:val="00AB3CF9"/>
    <w:rsid w:val="00AB44B5"/>
    <w:rsid w:val="00AB45A3"/>
    <w:rsid w:val="00AB4CA5"/>
    <w:rsid w:val="00AB6D0B"/>
    <w:rsid w:val="00AB732D"/>
    <w:rsid w:val="00AC27B8"/>
    <w:rsid w:val="00AC4B52"/>
    <w:rsid w:val="00AC505B"/>
    <w:rsid w:val="00AC6A0A"/>
    <w:rsid w:val="00AD2682"/>
    <w:rsid w:val="00AD2867"/>
    <w:rsid w:val="00AD46B8"/>
    <w:rsid w:val="00AD5E6E"/>
    <w:rsid w:val="00AE1A18"/>
    <w:rsid w:val="00AE1CFF"/>
    <w:rsid w:val="00AE2418"/>
    <w:rsid w:val="00AE3A93"/>
    <w:rsid w:val="00AE4730"/>
    <w:rsid w:val="00AE50CE"/>
    <w:rsid w:val="00AE55CB"/>
    <w:rsid w:val="00AE5BCF"/>
    <w:rsid w:val="00AE673B"/>
    <w:rsid w:val="00AF0557"/>
    <w:rsid w:val="00AF0BB7"/>
    <w:rsid w:val="00AF1A44"/>
    <w:rsid w:val="00AF3148"/>
    <w:rsid w:val="00AF34D9"/>
    <w:rsid w:val="00AF5CCF"/>
    <w:rsid w:val="00AF71E0"/>
    <w:rsid w:val="00AF7286"/>
    <w:rsid w:val="00AF7E03"/>
    <w:rsid w:val="00B01763"/>
    <w:rsid w:val="00B03884"/>
    <w:rsid w:val="00B04543"/>
    <w:rsid w:val="00B0754F"/>
    <w:rsid w:val="00B10640"/>
    <w:rsid w:val="00B1156E"/>
    <w:rsid w:val="00B11BC2"/>
    <w:rsid w:val="00B129BE"/>
    <w:rsid w:val="00B13E9B"/>
    <w:rsid w:val="00B16852"/>
    <w:rsid w:val="00B174D5"/>
    <w:rsid w:val="00B20774"/>
    <w:rsid w:val="00B21387"/>
    <w:rsid w:val="00B2280C"/>
    <w:rsid w:val="00B23D94"/>
    <w:rsid w:val="00B24D15"/>
    <w:rsid w:val="00B25D3D"/>
    <w:rsid w:val="00B2683D"/>
    <w:rsid w:val="00B30179"/>
    <w:rsid w:val="00B31EF0"/>
    <w:rsid w:val="00B339A7"/>
    <w:rsid w:val="00B33ABD"/>
    <w:rsid w:val="00B35F5F"/>
    <w:rsid w:val="00B410C3"/>
    <w:rsid w:val="00B41A37"/>
    <w:rsid w:val="00B41ACB"/>
    <w:rsid w:val="00B42976"/>
    <w:rsid w:val="00B42A7B"/>
    <w:rsid w:val="00B46514"/>
    <w:rsid w:val="00B467BE"/>
    <w:rsid w:val="00B468FD"/>
    <w:rsid w:val="00B46DF7"/>
    <w:rsid w:val="00B47DB8"/>
    <w:rsid w:val="00B47EA9"/>
    <w:rsid w:val="00B502D3"/>
    <w:rsid w:val="00B5031D"/>
    <w:rsid w:val="00B503FD"/>
    <w:rsid w:val="00B5288E"/>
    <w:rsid w:val="00B52C14"/>
    <w:rsid w:val="00B55522"/>
    <w:rsid w:val="00B56C45"/>
    <w:rsid w:val="00B56E4A"/>
    <w:rsid w:val="00B56E9C"/>
    <w:rsid w:val="00B573E8"/>
    <w:rsid w:val="00B60748"/>
    <w:rsid w:val="00B615DA"/>
    <w:rsid w:val="00B6471A"/>
    <w:rsid w:val="00B64B1F"/>
    <w:rsid w:val="00B64E33"/>
    <w:rsid w:val="00B6524C"/>
    <w:rsid w:val="00B6553F"/>
    <w:rsid w:val="00B66E5E"/>
    <w:rsid w:val="00B67FC8"/>
    <w:rsid w:val="00B707C0"/>
    <w:rsid w:val="00B73070"/>
    <w:rsid w:val="00B736CB"/>
    <w:rsid w:val="00B76950"/>
    <w:rsid w:val="00B77D05"/>
    <w:rsid w:val="00B77EC5"/>
    <w:rsid w:val="00B80BAE"/>
    <w:rsid w:val="00B81206"/>
    <w:rsid w:val="00B8190A"/>
    <w:rsid w:val="00B81E12"/>
    <w:rsid w:val="00B854B6"/>
    <w:rsid w:val="00B85756"/>
    <w:rsid w:val="00B85AF8"/>
    <w:rsid w:val="00B86C63"/>
    <w:rsid w:val="00B9067B"/>
    <w:rsid w:val="00B90A1E"/>
    <w:rsid w:val="00B915E0"/>
    <w:rsid w:val="00B91C4B"/>
    <w:rsid w:val="00B94491"/>
    <w:rsid w:val="00B94CD2"/>
    <w:rsid w:val="00B95970"/>
    <w:rsid w:val="00B95A99"/>
    <w:rsid w:val="00B96623"/>
    <w:rsid w:val="00B968B5"/>
    <w:rsid w:val="00B97074"/>
    <w:rsid w:val="00B97AFE"/>
    <w:rsid w:val="00BA0869"/>
    <w:rsid w:val="00BA2EFC"/>
    <w:rsid w:val="00BA434C"/>
    <w:rsid w:val="00BA5934"/>
    <w:rsid w:val="00BB22D5"/>
    <w:rsid w:val="00BB35EB"/>
    <w:rsid w:val="00BB6283"/>
    <w:rsid w:val="00BB721C"/>
    <w:rsid w:val="00BC01E3"/>
    <w:rsid w:val="00BC2C23"/>
    <w:rsid w:val="00BC361B"/>
    <w:rsid w:val="00BC48F3"/>
    <w:rsid w:val="00BC5363"/>
    <w:rsid w:val="00BC6E5E"/>
    <w:rsid w:val="00BC74E9"/>
    <w:rsid w:val="00BC7809"/>
    <w:rsid w:val="00BD0160"/>
    <w:rsid w:val="00BD2A5F"/>
    <w:rsid w:val="00BD5AB8"/>
    <w:rsid w:val="00BD5DBB"/>
    <w:rsid w:val="00BD60E7"/>
    <w:rsid w:val="00BD6967"/>
    <w:rsid w:val="00BD6CE9"/>
    <w:rsid w:val="00BD77D1"/>
    <w:rsid w:val="00BE26B2"/>
    <w:rsid w:val="00BE4F3F"/>
    <w:rsid w:val="00BE62B5"/>
    <w:rsid w:val="00BE7E57"/>
    <w:rsid w:val="00BF0311"/>
    <w:rsid w:val="00BF3A1F"/>
    <w:rsid w:val="00BF4613"/>
    <w:rsid w:val="00BF56A6"/>
    <w:rsid w:val="00BF61C5"/>
    <w:rsid w:val="00BF6802"/>
    <w:rsid w:val="00BF68A8"/>
    <w:rsid w:val="00BF72FD"/>
    <w:rsid w:val="00C01178"/>
    <w:rsid w:val="00C01DD5"/>
    <w:rsid w:val="00C02623"/>
    <w:rsid w:val="00C02E7A"/>
    <w:rsid w:val="00C04639"/>
    <w:rsid w:val="00C065DB"/>
    <w:rsid w:val="00C07DD8"/>
    <w:rsid w:val="00C11207"/>
    <w:rsid w:val="00C11870"/>
    <w:rsid w:val="00C11A03"/>
    <w:rsid w:val="00C12475"/>
    <w:rsid w:val="00C144EC"/>
    <w:rsid w:val="00C1683C"/>
    <w:rsid w:val="00C2007A"/>
    <w:rsid w:val="00C200FE"/>
    <w:rsid w:val="00C20A72"/>
    <w:rsid w:val="00C2284D"/>
    <w:rsid w:val="00C22EB3"/>
    <w:rsid w:val="00C23295"/>
    <w:rsid w:val="00C23DD5"/>
    <w:rsid w:val="00C31690"/>
    <w:rsid w:val="00C333BF"/>
    <w:rsid w:val="00C34926"/>
    <w:rsid w:val="00C34DBA"/>
    <w:rsid w:val="00C36A62"/>
    <w:rsid w:val="00C418BB"/>
    <w:rsid w:val="00C42190"/>
    <w:rsid w:val="00C42416"/>
    <w:rsid w:val="00C44D49"/>
    <w:rsid w:val="00C45E42"/>
    <w:rsid w:val="00C463DD"/>
    <w:rsid w:val="00C46474"/>
    <w:rsid w:val="00C4724C"/>
    <w:rsid w:val="00C47927"/>
    <w:rsid w:val="00C50356"/>
    <w:rsid w:val="00C506F4"/>
    <w:rsid w:val="00C50ECF"/>
    <w:rsid w:val="00C526A1"/>
    <w:rsid w:val="00C53316"/>
    <w:rsid w:val="00C53963"/>
    <w:rsid w:val="00C55779"/>
    <w:rsid w:val="00C56114"/>
    <w:rsid w:val="00C573F2"/>
    <w:rsid w:val="00C57758"/>
    <w:rsid w:val="00C57A10"/>
    <w:rsid w:val="00C606D3"/>
    <w:rsid w:val="00C60E92"/>
    <w:rsid w:val="00C61C48"/>
    <w:rsid w:val="00C629A0"/>
    <w:rsid w:val="00C63AA0"/>
    <w:rsid w:val="00C63F52"/>
    <w:rsid w:val="00C73736"/>
    <w:rsid w:val="00C745C3"/>
    <w:rsid w:val="00C75F86"/>
    <w:rsid w:val="00C76890"/>
    <w:rsid w:val="00C7728B"/>
    <w:rsid w:val="00C773F4"/>
    <w:rsid w:val="00C80234"/>
    <w:rsid w:val="00C803EC"/>
    <w:rsid w:val="00C819E8"/>
    <w:rsid w:val="00C82DF7"/>
    <w:rsid w:val="00C8504E"/>
    <w:rsid w:val="00C85113"/>
    <w:rsid w:val="00C86632"/>
    <w:rsid w:val="00C95B84"/>
    <w:rsid w:val="00C96A3F"/>
    <w:rsid w:val="00CA6124"/>
    <w:rsid w:val="00CB0915"/>
    <w:rsid w:val="00CB09DE"/>
    <w:rsid w:val="00CB1F0A"/>
    <w:rsid w:val="00CB351A"/>
    <w:rsid w:val="00CB39EA"/>
    <w:rsid w:val="00CB4608"/>
    <w:rsid w:val="00CB480D"/>
    <w:rsid w:val="00CB6E28"/>
    <w:rsid w:val="00CC08B8"/>
    <w:rsid w:val="00CC0BB4"/>
    <w:rsid w:val="00CC16CE"/>
    <w:rsid w:val="00CC3D39"/>
    <w:rsid w:val="00CD1D5B"/>
    <w:rsid w:val="00CE4134"/>
    <w:rsid w:val="00CE4A8F"/>
    <w:rsid w:val="00CE736B"/>
    <w:rsid w:val="00CF1540"/>
    <w:rsid w:val="00CF164B"/>
    <w:rsid w:val="00CF1984"/>
    <w:rsid w:val="00CF2305"/>
    <w:rsid w:val="00CF2621"/>
    <w:rsid w:val="00CF587D"/>
    <w:rsid w:val="00CF5ACB"/>
    <w:rsid w:val="00CF76D6"/>
    <w:rsid w:val="00D027F2"/>
    <w:rsid w:val="00D02C2A"/>
    <w:rsid w:val="00D03277"/>
    <w:rsid w:val="00D06AB9"/>
    <w:rsid w:val="00D06B7E"/>
    <w:rsid w:val="00D06EEA"/>
    <w:rsid w:val="00D06F74"/>
    <w:rsid w:val="00D12158"/>
    <w:rsid w:val="00D1315B"/>
    <w:rsid w:val="00D13268"/>
    <w:rsid w:val="00D13424"/>
    <w:rsid w:val="00D141CF"/>
    <w:rsid w:val="00D14F96"/>
    <w:rsid w:val="00D1626D"/>
    <w:rsid w:val="00D2031B"/>
    <w:rsid w:val="00D23E64"/>
    <w:rsid w:val="00D24B8F"/>
    <w:rsid w:val="00D257E7"/>
    <w:rsid w:val="00D25CDC"/>
    <w:rsid w:val="00D25FE2"/>
    <w:rsid w:val="00D2637A"/>
    <w:rsid w:val="00D269A9"/>
    <w:rsid w:val="00D3001F"/>
    <w:rsid w:val="00D30034"/>
    <w:rsid w:val="00D33493"/>
    <w:rsid w:val="00D35B7F"/>
    <w:rsid w:val="00D35FCA"/>
    <w:rsid w:val="00D43252"/>
    <w:rsid w:val="00D43E06"/>
    <w:rsid w:val="00D44984"/>
    <w:rsid w:val="00D46C27"/>
    <w:rsid w:val="00D47EEA"/>
    <w:rsid w:val="00D501D0"/>
    <w:rsid w:val="00D5057D"/>
    <w:rsid w:val="00D509AE"/>
    <w:rsid w:val="00D51D6E"/>
    <w:rsid w:val="00D51E4A"/>
    <w:rsid w:val="00D53BAD"/>
    <w:rsid w:val="00D543C9"/>
    <w:rsid w:val="00D60DC1"/>
    <w:rsid w:val="00D61037"/>
    <w:rsid w:val="00D6148A"/>
    <w:rsid w:val="00D625E3"/>
    <w:rsid w:val="00D652D9"/>
    <w:rsid w:val="00D703B5"/>
    <w:rsid w:val="00D729E4"/>
    <w:rsid w:val="00D73CB8"/>
    <w:rsid w:val="00D747CE"/>
    <w:rsid w:val="00D76F2C"/>
    <w:rsid w:val="00D80EDF"/>
    <w:rsid w:val="00D81170"/>
    <w:rsid w:val="00D831E0"/>
    <w:rsid w:val="00D864CC"/>
    <w:rsid w:val="00D86AF8"/>
    <w:rsid w:val="00D90F93"/>
    <w:rsid w:val="00D913B0"/>
    <w:rsid w:val="00D94BB8"/>
    <w:rsid w:val="00D94CDD"/>
    <w:rsid w:val="00D95303"/>
    <w:rsid w:val="00D95D82"/>
    <w:rsid w:val="00D96673"/>
    <w:rsid w:val="00D9693B"/>
    <w:rsid w:val="00D96E57"/>
    <w:rsid w:val="00D97099"/>
    <w:rsid w:val="00D97597"/>
    <w:rsid w:val="00D975A7"/>
    <w:rsid w:val="00D978C6"/>
    <w:rsid w:val="00D97D71"/>
    <w:rsid w:val="00DA250D"/>
    <w:rsid w:val="00DA2A70"/>
    <w:rsid w:val="00DA3111"/>
    <w:rsid w:val="00DA3C1C"/>
    <w:rsid w:val="00DA4BBB"/>
    <w:rsid w:val="00DB0C79"/>
    <w:rsid w:val="00DB26E0"/>
    <w:rsid w:val="00DB2CE7"/>
    <w:rsid w:val="00DB4564"/>
    <w:rsid w:val="00DB5B2F"/>
    <w:rsid w:val="00DB7EF4"/>
    <w:rsid w:val="00DC0714"/>
    <w:rsid w:val="00DC465A"/>
    <w:rsid w:val="00DD2848"/>
    <w:rsid w:val="00DD471E"/>
    <w:rsid w:val="00DD593B"/>
    <w:rsid w:val="00DD6CA9"/>
    <w:rsid w:val="00DE1DF6"/>
    <w:rsid w:val="00DE79A8"/>
    <w:rsid w:val="00DE7F59"/>
    <w:rsid w:val="00DF0799"/>
    <w:rsid w:val="00DF3601"/>
    <w:rsid w:val="00DF4252"/>
    <w:rsid w:val="00DF528D"/>
    <w:rsid w:val="00E0216D"/>
    <w:rsid w:val="00E142AF"/>
    <w:rsid w:val="00E15CC1"/>
    <w:rsid w:val="00E17C73"/>
    <w:rsid w:val="00E209FD"/>
    <w:rsid w:val="00E21400"/>
    <w:rsid w:val="00E25B12"/>
    <w:rsid w:val="00E25E54"/>
    <w:rsid w:val="00E27346"/>
    <w:rsid w:val="00E30B10"/>
    <w:rsid w:val="00E31E79"/>
    <w:rsid w:val="00E34156"/>
    <w:rsid w:val="00E356B7"/>
    <w:rsid w:val="00E36BE6"/>
    <w:rsid w:val="00E40A07"/>
    <w:rsid w:val="00E41BFE"/>
    <w:rsid w:val="00E423EE"/>
    <w:rsid w:val="00E4363C"/>
    <w:rsid w:val="00E4651D"/>
    <w:rsid w:val="00E51DD5"/>
    <w:rsid w:val="00E5289D"/>
    <w:rsid w:val="00E533B6"/>
    <w:rsid w:val="00E53D02"/>
    <w:rsid w:val="00E57B1D"/>
    <w:rsid w:val="00E6074E"/>
    <w:rsid w:val="00E61088"/>
    <w:rsid w:val="00E62716"/>
    <w:rsid w:val="00E632CC"/>
    <w:rsid w:val="00E64123"/>
    <w:rsid w:val="00E65396"/>
    <w:rsid w:val="00E66A0C"/>
    <w:rsid w:val="00E67325"/>
    <w:rsid w:val="00E71344"/>
    <w:rsid w:val="00E71BC8"/>
    <w:rsid w:val="00E7260F"/>
    <w:rsid w:val="00E74206"/>
    <w:rsid w:val="00E77185"/>
    <w:rsid w:val="00E779FC"/>
    <w:rsid w:val="00E82DA2"/>
    <w:rsid w:val="00E848D3"/>
    <w:rsid w:val="00E849B2"/>
    <w:rsid w:val="00E852A7"/>
    <w:rsid w:val="00E85728"/>
    <w:rsid w:val="00E86349"/>
    <w:rsid w:val="00E921CF"/>
    <w:rsid w:val="00E93CC4"/>
    <w:rsid w:val="00E94466"/>
    <w:rsid w:val="00E96630"/>
    <w:rsid w:val="00EA0822"/>
    <w:rsid w:val="00EA31F7"/>
    <w:rsid w:val="00EA581E"/>
    <w:rsid w:val="00EB11F3"/>
    <w:rsid w:val="00EB2581"/>
    <w:rsid w:val="00EB297B"/>
    <w:rsid w:val="00EB5373"/>
    <w:rsid w:val="00EB53CF"/>
    <w:rsid w:val="00EB6708"/>
    <w:rsid w:val="00EB7356"/>
    <w:rsid w:val="00EC14EF"/>
    <w:rsid w:val="00EC4B91"/>
    <w:rsid w:val="00EC6F69"/>
    <w:rsid w:val="00ED00FD"/>
    <w:rsid w:val="00ED1FD4"/>
    <w:rsid w:val="00ED483F"/>
    <w:rsid w:val="00ED5AFD"/>
    <w:rsid w:val="00ED6970"/>
    <w:rsid w:val="00ED74C0"/>
    <w:rsid w:val="00ED7A2A"/>
    <w:rsid w:val="00ED7E6E"/>
    <w:rsid w:val="00EE02EC"/>
    <w:rsid w:val="00EE06DA"/>
    <w:rsid w:val="00EE5C7E"/>
    <w:rsid w:val="00EE6929"/>
    <w:rsid w:val="00EF0235"/>
    <w:rsid w:val="00EF04DA"/>
    <w:rsid w:val="00EF0C54"/>
    <w:rsid w:val="00EF1819"/>
    <w:rsid w:val="00EF1D7A"/>
    <w:rsid w:val="00EF1D7F"/>
    <w:rsid w:val="00EF3514"/>
    <w:rsid w:val="00EF4740"/>
    <w:rsid w:val="00EF560D"/>
    <w:rsid w:val="00EF7047"/>
    <w:rsid w:val="00F00B68"/>
    <w:rsid w:val="00F00DB2"/>
    <w:rsid w:val="00F03190"/>
    <w:rsid w:val="00F03A99"/>
    <w:rsid w:val="00F0403F"/>
    <w:rsid w:val="00F04CDE"/>
    <w:rsid w:val="00F05197"/>
    <w:rsid w:val="00F06D31"/>
    <w:rsid w:val="00F075CC"/>
    <w:rsid w:val="00F15064"/>
    <w:rsid w:val="00F17BD5"/>
    <w:rsid w:val="00F20C3D"/>
    <w:rsid w:val="00F21FE3"/>
    <w:rsid w:val="00F22A52"/>
    <w:rsid w:val="00F22E3E"/>
    <w:rsid w:val="00F231DB"/>
    <w:rsid w:val="00F24F92"/>
    <w:rsid w:val="00F2653D"/>
    <w:rsid w:val="00F3026E"/>
    <w:rsid w:val="00F31056"/>
    <w:rsid w:val="00F31242"/>
    <w:rsid w:val="00F34D48"/>
    <w:rsid w:val="00F35149"/>
    <w:rsid w:val="00F3571B"/>
    <w:rsid w:val="00F373CD"/>
    <w:rsid w:val="00F41576"/>
    <w:rsid w:val="00F41B9F"/>
    <w:rsid w:val="00F41F7D"/>
    <w:rsid w:val="00F4204E"/>
    <w:rsid w:val="00F425F5"/>
    <w:rsid w:val="00F4310F"/>
    <w:rsid w:val="00F43AA5"/>
    <w:rsid w:val="00F43E9E"/>
    <w:rsid w:val="00F44820"/>
    <w:rsid w:val="00F44960"/>
    <w:rsid w:val="00F50D38"/>
    <w:rsid w:val="00F52BE2"/>
    <w:rsid w:val="00F53964"/>
    <w:rsid w:val="00F53F12"/>
    <w:rsid w:val="00F53F5C"/>
    <w:rsid w:val="00F546EA"/>
    <w:rsid w:val="00F571D9"/>
    <w:rsid w:val="00F573E7"/>
    <w:rsid w:val="00F60C3B"/>
    <w:rsid w:val="00F67D37"/>
    <w:rsid w:val="00F70D30"/>
    <w:rsid w:val="00F71DDE"/>
    <w:rsid w:val="00F72484"/>
    <w:rsid w:val="00F72A4B"/>
    <w:rsid w:val="00F748B6"/>
    <w:rsid w:val="00F760A6"/>
    <w:rsid w:val="00F765A0"/>
    <w:rsid w:val="00F77009"/>
    <w:rsid w:val="00F82653"/>
    <w:rsid w:val="00F82F23"/>
    <w:rsid w:val="00F8317F"/>
    <w:rsid w:val="00F8467B"/>
    <w:rsid w:val="00F85733"/>
    <w:rsid w:val="00F86121"/>
    <w:rsid w:val="00F8772A"/>
    <w:rsid w:val="00F9057C"/>
    <w:rsid w:val="00F906D7"/>
    <w:rsid w:val="00F908D7"/>
    <w:rsid w:val="00F90FD3"/>
    <w:rsid w:val="00F92CB6"/>
    <w:rsid w:val="00F93781"/>
    <w:rsid w:val="00F9653B"/>
    <w:rsid w:val="00F9682C"/>
    <w:rsid w:val="00F96BA5"/>
    <w:rsid w:val="00FA1718"/>
    <w:rsid w:val="00FA4BEE"/>
    <w:rsid w:val="00FA57D4"/>
    <w:rsid w:val="00FA6B7C"/>
    <w:rsid w:val="00FB02BF"/>
    <w:rsid w:val="00FB148B"/>
    <w:rsid w:val="00FB2745"/>
    <w:rsid w:val="00FB4496"/>
    <w:rsid w:val="00FB45D9"/>
    <w:rsid w:val="00FB5EB5"/>
    <w:rsid w:val="00FB613B"/>
    <w:rsid w:val="00FB6CEE"/>
    <w:rsid w:val="00FB78D7"/>
    <w:rsid w:val="00FC0622"/>
    <w:rsid w:val="00FC11B3"/>
    <w:rsid w:val="00FC131E"/>
    <w:rsid w:val="00FC2471"/>
    <w:rsid w:val="00FC3114"/>
    <w:rsid w:val="00FC4627"/>
    <w:rsid w:val="00FC68B7"/>
    <w:rsid w:val="00FD0381"/>
    <w:rsid w:val="00FD28AF"/>
    <w:rsid w:val="00FD4F04"/>
    <w:rsid w:val="00FD4FB8"/>
    <w:rsid w:val="00FD61DA"/>
    <w:rsid w:val="00FD7CD0"/>
    <w:rsid w:val="00FD7D6B"/>
    <w:rsid w:val="00FE0037"/>
    <w:rsid w:val="00FE0ED3"/>
    <w:rsid w:val="00FE106A"/>
    <w:rsid w:val="00FE11D6"/>
    <w:rsid w:val="00FE1966"/>
    <w:rsid w:val="00FE297F"/>
    <w:rsid w:val="00FE2B82"/>
    <w:rsid w:val="00FE5BA0"/>
    <w:rsid w:val="00FE64FF"/>
    <w:rsid w:val="00FE7F24"/>
    <w:rsid w:val="00FF0000"/>
    <w:rsid w:val="00FF0564"/>
    <w:rsid w:val="00FF4BF4"/>
    <w:rsid w:val="00FF664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D377"/>
  <w15:docId w15:val="{111FC138-4EFF-4AFC-8313-8C730D4C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63179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63179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Theme="minorHAnsi"/>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ParaNoG">
    <w:name w:val="_ParaNo._G"/>
    <w:basedOn w:val="SingleTxtG"/>
    <w:rsid w:val="00A96307"/>
    <w:rPr>
      <w:lang w:val="en-GB"/>
    </w:rPr>
  </w:style>
  <w:style w:type="paragraph" w:styleId="NormalWeb">
    <w:name w:val="Normal (Web)"/>
    <w:basedOn w:val="Normal"/>
    <w:uiPriority w:val="99"/>
    <w:unhideWhenUsed/>
    <w:rsid w:val="00B21387"/>
    <w:pPr>
      <w:suppressAutoHyphens w:val="0"/>
      <w:spacing w:before="100" w:beforeAutospacing="1" w:after="100" w:afterAutospacing="1" w:line="240" w:lineRule="auto"/>
    </w:pPr>
    <w:rPr>
      <w:color w:val="000000"/>
      <w:sz w:val="24"/>
      <w:szCs w:val="24"/>
      <w:lang w:eastAsia="en-GB"/>
    </w:rPr>
  </w:style>
  <w:style w:type="paragraph" w:customStyle="1" w:styleId="singletxtg0">
    <w:name w:val="singletxtg"/>
    <w:basedOn w:val="Normal"/>
    <w:rsid w:val="00F760A6"/>
    <w:pPr>
      <w:suppressAutoHyphens w:val="0"/>
      <w:spacing w:before="100" w:beforeAutospacing="1" w:after="100" w:afterAutospacing="1" w:line="240" w:lineRule="auto"/>
    </w:pPr>
    <w:rPr>
      <w:sz w:val="24"/>
      <w:szCs w:val="24"/>
      <w:lang w:eastAsia="en-GB"/>
    </w:rPr>
  </w:style>
  <w:style w:type="paragraph" w:styleId="Revision">
    <w:name w:val="Revision"/>
    <w:hidden/>
    <w:uiPriority w:val="99"/>
    <w:semiHidden/>
    <w:rsid w:val="00A21C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11556034">
      <w:bodyDiv w:val="1"/>
      <w:marLeft w:val="0"/>
      <w:marRight w:val="0"/>
      <w:marTop w:val="0"/>
      <w:marBottom w:val="0"/>
      <w:divBdr>
        <w:top w:val="none" w:sz="0" w:space="0" w:color="auto"/>
        <w:left w:val="none" w:sz="0" w:space="0" w:color="auto"/>
        <w:bottom w:val="none" w:sz="0" w:space="0" w:color="auto"/>
        <w:right w:val="none" w:sz="0" w:space="0" w:color="auto"/>
      </w:divBdr>
      <w:divsChild>
        <w:div w:id="327710682">
          <w:marLeft w:val="0"/>
          <w:marRight w:val="0"/>
          <w:marTop w:val="0"/>
          <w:marBottom w:val="0"/>
          <w:divBdr>
            <w:top w:val="none" w:sz="0" w:space="0" w:color="auto"/>
            <w:left w:val="none" w:sz="0" w:space="0" w:color="auto"/>
            <w:bottom w:val="none" w:sz="0" w:space="0" w:color="auto"/>
            <w:right w:val="none" w:sz="0" w:space="0" w:color="auto"/>
          </w:divBdr>
          <w:divsChild>
            <w:div w:id="15285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874582628">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020932312">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 w:id="16371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DD49-D35A-4358-B30E-8217ACA5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4</Pages>
  <Words>7386</Words>
  <Characters>42106</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49394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2015-09-09T08:28:00Z</cp:lastPrinted>
  <dcterms:created xsi:type="dcterms:W3CDTF">2017-01-25T00:05:00Z</dcterms:created>
  <dcterms:modified xsi:type="dcterms:W3CDTF">2017-01-25T00:05:00Z</dcterms:modified>
</cp:coreProperties>
</file>