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14:paraId="6B5ACB2B" w14:textId="77777777">
        <w:trPr>
          <w:cantSplit/>
          <w:trHeight w:hRule="exact" w:val="851"/>
        </w:trPr>
        <w:tc>
          <w:tcPr>
            <w:tcW w:w="1276" w:type="dxa"/>
            <w:tcBorders>
              <w:bottom w:val="single" w:sz="4" w:space="0" w:color="auto"/>
            </w:tcBorders>
            <w:vAlign w:val="bottom"/>
          </w:tcPr>
          <w:p w14:paraId="41D182B4" w14:textId="77777777" w:rsidR="003521FD" w:rsidRPr="008D738B" w:rsidRDefault="008D738B" w:rsidP="008D738B">
            <w:pPr>
              <w:spacing w:line="20" w:lineRule="exact"/>
              <w:rPr>
                <w:sz w:val="2"/>
              </w:rPr>
            </w:pPr>
            <w:r>
              <w:rPr>
                <w:rStyle w:val="CommentReference"/>
              </w:rPr>
              <w:commentReference w:id="0"/>
            </w:r>
            <w:bookmarkStart w:id="1" w:name="_GoBack"/>
            <w:bookmarkEnd w:id="1"/>
          </w:p>
          <w:p w14:paraId="1D8FFD7F" w14:textId="77777777" w:rsidR="008D738B" w:rsidRDefault="008D738B" w:rsidP="003521FD">
            <w:pPr>
              <w:spacing w:after="80"/>
            </w:pPr>
          </w:p>
        </w:tc>
        <w:tc>
          <w:tcPr>
            <w:tcW w:w="2268" w:type="dxa"/>
            <w:tcBorders>
              <w:bottom w:val="single" w:sz="4" w:space="0" w:color="auto"/>
            </w:tcBorders>
            <w:vAlign w:val="bottom"/>
          </w:tcPr>
          <w:p w14:paraId="37FCBD44" w14:textId="77777777" w:rsidR="003521FD" w:rsidRPr="00B97172" w:rsidRDefault="003521FD" w:rsidP="003521FD">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5F5A228" w14:textId="77777777" w:rsidR="003521FD" w:rsidRPr="00D47EEA" w:rsidRDefault="003521FD" w:rsidP="00DB4276">
            <w:pPr>
              <w:jc w:val="right"/>
            </w:pPr>
            <w:r w:rsidRPr="00A36331">
              <w:rPr>
                <w:sz w:val="40"/>
              </w:rPr>
              <w:t>CCPR</w:t>
            </w:r>
            <w:r>
              <w:t>/C/</w:t>
            </w:r>
            <w:r w:rsidR="001A3074">
              <w:t>11</w:t>
            </w:r>
            <w:r w:rsidR="00670C95">
              <w:t>5</w:t>
            </w:r>
            <w:r>
              <w:t>/D/</w:t>
            </w:r>
            <w:r w:rsidR="00670C95">
              <w:t>2072/2011</w:t>
            </w:r>
          </w:p>
        </w:tc>
      </w:tr>
      <w:tr w:rsidR="003521FD" w14:paraId="0DED5368" w14:textId="77777777">
        <w:trPr>
          <w:cantSplit/>
          <w:trHeight w:hRule="exact" w:val="2835"/>
        </w:trPr>
        <w:tc>
          <w:tcPr>
            <w:tcW w:w="1276" w:type="dxa"/>
            <w:tcBorders>
              <w:top w:val="single" w:sz="4" w:space="0" w:color="auto"/>
              <w:bottom w:val="single" w:sz="12" w:space="0" w:color="auto"/>
            </w:tcBorders>
          </w:tcPr>
          <w:p w14:paraId="15312D88" w14:textId="77777777" w:rsidR="003521FD" w:rsidRDefault="00316C18" w:rsidP="003521FD">
            <w:pPr>
              <w:spacing w:before="120"/>
            </w:pPr>
            <w:r>
              <w:rPr>
                <w:noProof/>
                <w:lang w:val="en-US"/>
              </w:rPr>
              <w:drawing>
                <wp:inline distT="0" distB="0" distL="0" distR="0" wp14:anchorId="0C4A34C1" wp14:editId="15D6981F">
                  <wp:extent cx="713105" cy="59309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105"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AC6618" w14:textId="77777777" w:rsidR="00DB4276" w:rsidRPr="00655DCB" w:rsidRDefault="003521FD" w:rsidP="003521FD">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2D55639" w14:textId="77777777" w:rsidR="00D733C3" w:rsidRDefault="00D733C3" w:rsidP="00D733C3">
            <w:pPr>
              <w:spacing w:before="240" w:line="240" w:lineRule="exact"/>
            </w:pPr>
            <w:r>
              <w:t xml:space="preserve">Distr.: </w:t>
            </w:r>
            <w:r w:rsidR="00DB4276">
              <w:t>General</w:t>
            </w:r>
          </w:p>
          <w:p w14:paraId="2D59A8B1" w14:textId="77777777" w:rsidR="00D733C3" w:rsidRDefault="006E3595" w:rsidP="00D733C3">
            <w:pPr>
              <w:spacing w:line="240" w:lineRule="exact"/>
            </w:pPr>
            <w:r>
              <w:t>14</w:t>
            </w:r>
            <w:r w:rsidR="00DB4276">
              <w:t xml:space="preserve"> </w:t>
            </w:r>
            <w:r w:rsidR="0012499A">
              <w:t>December</w:t>
            </w:r>
            <w:r w:rsidR="00D733C3">
              <w:t xml:space="preserve"> 2015</w:t>
            </w:r>
          </w:p>
          <w:p w14:paraId="63A95BED" w14:textId="77777777" w:rsidR="00D733C3" w:rsidRDefault="00D733C3" w:rsidP="00D733C3">
            <w:pPr>
              <w:spacing w:line="240" w:lineRule="exact"/>
            </w:pPr>
          </w:p>
          <w:p w14:paraId="733873D4" w14:textId="77777777" w:rsidR="00D733C3" w:rsidRDefault="00D733C3" w:rsidP="00D733C3">
            <w:pPr>
              <w:spacing w:line="240" w:lineRule="exact"/>
            </w:pPr>
            <w:r>
              <w:t>Original: English</w:t>
            </w:r>
          </w:p>
          <w:p w14:paraId="57C078F6" w14:textId="77777777" w:rsidR="003521FD" w:rsidRDefault="003521FD" w:rsidP="00D733C3">
            <w:pPr>
              <w:spacing w:line="240" w:lineRule="exact"/>
            </w:pPr>
          </w:p>
        </w:tc>
      </w:tr>
    </w:tbl>
    <w:p w14:paraId="64A56EAE" w14:textId="77777777" w:rsidR="003521FD" w:rsidRPr="00A36331" w:rsidRDefault="00D733C3" w:rsidP="00B77296">
      <w:pPr>
        <w:spacing w:before="120"/>
        <w:rPr>
          <w:b/>
          <w:bCs/>
        </w:rPr>
      </w:pPr>
      <w:r w:rsidRPr="00A36331">
        <w:rPr>
          <w:b/>
          <w:sz w:val="24"/>
          <w:szCs w:val="24"/>
        </w:rPr>
        <w:t>Human Rights Committee</w:t>
      </w:r>
    </w:p>
    <w:p w14:paraId="3994085D" w14:textId="77777777" w:rsidR="003521FD" w:rsidRPr="00A36331" w:rsidRDefault="003521FD" w:rsidP="003521FD">
      <w:pPr>
        <w:pStyle w:val="HChG"/>
      </w:pPr>
      <w:r w:rsidRPr="00A36331">
        <w:tab/>
      </w:r>
      <w:r w:rsidRPr="00A36331">
        <w:tab/>
        <w:t xml:space="preserve">Communication No. </w:t>
      </w:r>
      <w:r w:rsidR="00D27EA6">
        <w:t>2</w:t>
      </w:r>
      <w:r w:rsidR="00741CDC">
        <w:t>072/2011</w:t>
      </w:r>
    </w:p>
    <w:p w14:paraId="7F11BAFD" w14:textId="77777777" w:rsidR="003521FD" w:rsidRPr="00A36331" w:rsidRDefault="003521FD" w:rsidP="003521FD">
      <w:pPr>
        <w:pStyle w:val="H1G"/>
      </w:pPr>
      <w:r w:rsidRPr="00A36331">
        <w:tab/>
      </w:r>
      <w:r w:rsidRPr="00A36331">
        <w:tab/>
      </w:r>
      <w:r w:rsidR="00DB4276">
        <w:rPr>
          <w:rFonts w:eastAsia="MS Mincho"/>
        </w:rPr>
        <w:t>Decision</w:t>
      </w:r>
      <w:r w:rsidR="00DB4276" w:rsidRPr="00E16A81">
        <w:rPr>
          <w:rFonts w:eastAsia="MS Mincho"/>
        </w:rPr>
        <w:t xml:space="preserve"> adopted by the Committee at its 115th session </w:t>
      </w:r>
      <w:r w:rsidR="00DB4276" w:rsidRPr="00E16A81">
        <w:rPr>
          <w:rFonts w:eastAsia="MS Mincho"/>
        </w:rPr>
        <w:br/>
        <w:t>(</w:t>
      </w:r>
      <w:r w:rsidR="00DB4276" w:rsidRPr="00E16A81">
        <w:rPr>
          <w:rFonts w:eastAsia="MS Mincho"/>
          <w:bCs/>
          <w:lang w:val="en-US"/>
        </w:rPr>
        <w:t>19 October-6 November 2015)</w:t>
      </w:r>
    </w:p>
    <w:p w14:paraId="663F68A1" w14:textId="77777777" w:rsidR="003521FD" w:rsidRPr="00A36331" w:rsidRDefault="003521FD" w:rsidP="00655DCB">
      <w:pPr>
        <w:pStyle w:val="SingleTxtG"/>
        <w:ind w:left="4536" w:hanging="3402"/>
        <w:jc w:val="left"/>
      </w:pPr>
      <w:r w:rsidRPr="00A36331">
        <w:rPr>
          <w:i/>
        </w:rPr>
        <w:t>Submitted by:</w:t>
      </w:r>
      <w:r w:rsidRPr="00A36331">
        <w:tab/>
      </w:r>
      <w:r w:rsidR="00C46B7F">
        <w:t>V.S.</w:t>
      </w:r>
      <w:r w:rsidR="00670C95">
        <w:t xml:space="preserve"> (represented by Frank Deliu)</w:t>
      </w:r>
    </w:p>
    <w:p w14:paraId="299DD7E9" w14:textId="77777777" w:rsidR="003521FD" w:rsidRPr="00A36331" w:rsidRDefault="003521FD" w:rsidP="00655DCB">
      <w:pPr>
        <w:pStyle w:val="SingleTxtG"/>
        <w:ind w:left="4536" w:hanging="3402"/>
        <w:jc w:val="left"/>
      </w:pPr>
      <w:r w:rsidRPr="00A36331">
        <w:rPr>
          <w:i/>
        </w:rPr>
        <w:t>Alleged victim:</w:t>
      </w:r>
      <w:r w:rsidRPr="00A36331">
        <w:tab/>
      </w:r>
      <w:r>
        <w:t>Th</w:t>
      </w:r>
      <w:r w:rsidR="00F71FEB">
        <w:t>e author</w:t>
      </w:r>
    </w:p>
    <w:p w14:paraId="2770BCF2" w14:textId="77777777" w:rsidR="003521FD" w:rsidRPr="00A36331" w:rsidRDefault="003521FD" w:rsidP="00655DCB">
      <w:pPr>
        <w:pStyle w:val="SingleTxtG"/>
        <w:ind w:left="4536" w:hanging="3402"/>
        <w:jc w:val="left"/>
        <w:rPr>
          <w:lang w:val="en-US"/>
        </w:rPr>
      </w:pPr>
      <w:r w:rsidRPr="00A36331">
        <w:rPr>
          <w:i/>
        </w:rPr>
        <w:t>State Party:</w:t>
      </w:r>
      <w:r w:rsidRPr="00A36331">
        <w:tab/>
      </w:r>
      <w:r w:rsidR="00670C95">
        <w:t>New Zealand</w:t>
      </w:r>
    </w:p>
    <w:p w14:paraId="2B0D4557" w14:textId="77777777" w:rsidR="003521FD" w:rsidRPr="00A36331" w:rsidRDefault="003521FD" w:rsidP="00655DCB">
      <w:pPr>
        <w:pStyle w:val="SingleTxtG"/>
        <w:ind w:left="4536" w:hanging="3402"/>
        <w:jc w:val="left"/>
      </w:pPr>
      <w:r w:rsidRPr="00A36331">
        <w:rPr>
          <w:i/>
        </w:rPr>
        <w:t>Date of communication:</w:t>
      </w:r>
      <w:r w:rsidRPr="00A36331">
        <w:tab/>
      </w:r>
      <w:r w:rsidR="00670C95">
        <w:t>27 June 2010</w:t>
      </w:r>
    </w:p>
    <w:p w14:paraId="3729E1A3" w14:textId="77777777" w:rsidR="003521FD" w:rsidRPr="00A36331" w:rsidRDefault="003521FD" w:rsidP="00655DCB">
      <w:pPr>
        <w:pStyle w:val="SingleTxtG"/>
        <w:ind w:left="4536" w:hanging="3402"/>
        <w:jc w:val="left"/>
      </w:pPr>
      <w:r w:rsidRPr="00A36331">
        <w:rPr>
          <w:i/>
        </w:rPr>
        <w:t>Document references:</w:t>
      </w:r>
      <w:r w:rsidRPr="00A36331">
        <w:tab/>
        <w:t xml:space="preserve">Special Rapporteur’s rule 97 decision, transmitted to the State party on </w:t>
      </w:r>
      <w:r w:rsidR="0051417D">
        <w:t xml:space="preserve">5 July 2011 </w:t>
      </w:r>
      <w:r w:rsidRPr="00A36331">
        <w:t>(not</w:t>
      </w:r>
      <w:r w:rsidR="00C85FA3">
        <w:t> </w:t>
      </w:r>
      <w:r w:rsidRPr="00A36331">
        <w:t>issued in document form)</w:t>
      </w:r>
    </w:p>
    <w:p w14:paraId="5CC20B8C" w14:textId="77777777" w:rsidR="003521FD" w:rsidRDefault="003521FD" w:rsidP="00655DCB">
      <w:pPr>
        <w:pStyle w:val="SingleTxtG"/>
        <w:ind w:left="4536" w:hanging="3402"/>
        <w:jc w:val="left"/>
      </w:pPr>
      <w:r w:rsidRPr="00A36331">
        <w:rPr>
          <w:i/>
        </w:rPr>
        <w:t xml:space="preserve">Date of adoption of </w:t>
      </w:r>
      <w:r w:rsidR="00D733C3">
        <w:rPr>
          <w:i/>
        </w:rPr>
        <w:t>decision</w:t>
      </w:r>
      <w:r w:rsidRPr="00A36331">
        <w:rPr>
          <w:i/>
        </w:rPr>
        <w:t>:</w:t>
      </w:r>
      <w:r w:rsidRPr="00A36331">
        <w:tab/>
      </w:r>
      <w:r w:rsidR="00DB4276">
        <w:t>2 November</w:t>
      </w:r>
      <w:r w:rsidR="00D27EA6">
        <w:t xml:space="preserve"> 2015</w:t>
      </w:r>
    </w:p>
    <w:p w14:paraId="1B41D1D4" w14:textId="77777777" w:rsidR="003521FD" w:rsidRPr="00F655CA" w:rsidRDefault="00B77296" w:rsidP="00655DCB">
      <w:pPr>
        <w:pStyle w:val="SingleTxtG"/>
        <w:ind w:left="4536" w:hanging="3402"/>
        <w:jc w:val="left"/>
      </w:pPr>
      <w:r w:rsidRPr="00F655CA">
        <w:rPr>
          <w:i/>
          <w:iCs/>
        </w:rPr>
        <w:t xml:space="preserve">Subject matter: </w:t>
      </w:r>
      <w:r w:rsidRPr="00F655CA">
        <w:rPr>
          <w:i/>
          <w:iCs/>
        </w:rPr>
        <w:tab/>
      </w:r>
      <w:r>
        <w:rPr>
          <w:iCs/>
        </w:rPr>
        <w:t xml:space="preserve">Imprisonment of </w:t>
      </w:r>
      <w:r w:rsidR="0012499A">
        <w:rPr>
          <w:iCs/>
        </w:rPr>
        <w:t xml:space="preserve">a </w:t>
      </w:r>
      <w:r>
        <w:rPr>
          <w:iCs/>
        </w:rPr>
        <w:t>journalist declared in contempt of court for publishing defamatory information on websites</w:t>
      </w:r>
    </w:p>
    <w:p w14:paraId="471B6EEF" w14:textId="77777777" w:rsidR="00B3389D" w:rsidRPr="00F655CA" w:rsidRDefault="003521FD" w:rsidP="00655DCB">
      <w:pPr>
        <w:pStyle w:val="SingleTxtG"/>
        <w:ind w:left="4536" w:hanging="3402"/>
        <w:jc w:val="left"/>
        <w:rPr>
          <w:lang w:val="en-US"/>
        </w:rPr>
      </w:pPr>
      <w:r w:rsidRPr="00F655CA">
        <w:rPr>
          <w:i/>
          <w:iCs/>
          <w:lang w:val="en-US"/>
        </w:rPr>
        <w:t>Procedural issues</w:t>
      </w:r>
      <w:r w:rsidRPr="00F655CA">
        <w:rPr>
          <w:lang w:val="en-US"/>
        </w:rPr>
        <w:t xml:space="preserve">: </w:t>
      </w:r>
      <w:r w:rsidRPr="00F655CA">
        <w:rPr>
          <w:lang w:val="en-US"/>
        </w:rPr>
        <w:tab/>
      </w:r>
      <w:r w:rsidR="00B77296">
        <w:rPr>
          <w:lang w:val="en-US"/>
        </w:rPr>
        <w:t xml:space="preserve">Exhaustion </w:t>
      </w:r>
      <w:r w:rsidR="0054235B">
        <w:rPr>
          <w:lang w:val="en-US"/>
        </w:rPr>
        <w:t>of domestic remedies</w:t>
      </w:r>
      <w:r w:rsidR="0012499A">
        <w:rPr>
          <w:lang w:val="en-US"/>
        </w:rPr>
        <w:t>;</w:t>
      </w:r>
      <w:r w:rsidR="0054235B">
        <w:rPr>
          <w:lang w:val="en-US"/>
        </w:rPr>
        <w:t xml:space="preserve"> substantiation of claims</w:t>
      </w:r>
    </w:p>
    <w:p w14:paraId="027B9428" w14:textId="77777777" w:rsidR="003521FD" w:rsidRPr="000E6C7E" w:rsidRDefault="003521FD" w:rsidP="00655DCB">
      <w:pPr>
        <w:pStyle w:val="SingleTxtG"/>
        <w:ind w:left="4536" w:hanging="3402"/>
        <w:jc w:val="left"/>
        <w:rPr>
          <w:lang w:val="en-US"/>
        </w:rPr>
      </w:pPr>
      <w:r w:rsidRPr="00F655CA">
        <w:rPr>
          <w:i/>
          <w:lang w:val="en-US"/>
        </w:rPr>
        <w:t>Substantive issues:</w:t>
      </w:r>
      <w:r w:rsidRPr="00F655CA">
        <w:rPr>
          <w:i/>
          <w:lang w:val="en-US"/>
        </w:rPr>
        <w:tab/>
      </w:r>
      <w:r w:rsidR="00B77296">
        <w:rPr>
          <w:lang w:val="en-US"/>
        </w:rPr>
        <w:t xml:space="preserve">Right </w:t>
      </w:r>
      <w:r w:rsidR="00E9386F">
        <w:rPr>
          <w:lang w:val="en-US"/>
        </w:rPr>
        <w:t>to freedom of expression</w:t>
      </w:r>
      <w:r w:rsidR="0012499A">
        <w:rPr>
          <w:lang w:val="en-US"/>
        </w:rPr>
        <w:t>;</w:t>
      </w:r>
      <w:r w:rsidR="00E9386F">
        <w:rPr>
          <w:lang w:val="en-US"/>
        </w:rPr>
        <w:t xml:space="preserve"> </w:t>
      </w:r>
      <w:r w:rsidR="00935AF5">
        <w:rPr>
          <w:lang w:val="en-US"/>
        </w:rPr>
        <w:t xml:space="preserve">right to </w:t>
      </w:r>
      <w:r w:rsidR="00CA59B9">
        <w:rPr>
          <w:lang w:val="en-US"/>
        </w:rPr>
        <w:t xml:space="preserve">a </w:t>
      </w:r>
      <w:r w:rsidR="00935AF5">
        <w:rPr>
          <w:lang w:val="en-US"/>
        </w:rPr>
        <w:t>fair trial</w:t>
      </w:r>
      <w:r w:rsidR="0012499A">
        <w:rPr>
          <w:lang w:val="en-US"/>
        </w:rPr>
        <w:t>;</w:t>
      </w:r>
      <w:r w:rsidR="00935AF5">
        <w:rPr>
          <w:lang w:val="en-US"/>
        </w:rPr>
        <w:t xml:space="preserve"> </w:t>
      </w:r>
      <w:r w:rsidR="00E9386F">
        <w:rPr>
          <w:lang w:val="en-US"/>
        </w:rPr>
        <w:t>prohibition of arbitrary arrest or detention</w:t>
      </w:r>
    </w:p>
    <w:p w14:paraId="59EF6107" w14:textId="77777777" w:rsidR="003521FD" w:rsidRPr="000E6C7E" w:rsidRDefault="003521FD" w:rsidP="00655DCB">
      <w:pPr>
        <w:pStyle w:val="SingleTxtG"/>
        <w:ind w:left="4536" w:hanging="3402"/>
        <w:jc w:val="left"/>
      </w:pPr>
      <w:r w:rsidRPr="00F655CA">
        <w:rPr>
          <w:i/>
          <w:iCs/>
        </w:rPr>
        <w:t>Articles of the Covenant:</w:t>
      </w:r>
      <w:r w:rsidR="00A01CCF">
        <w:rPr>
          <w:i/>
          <w:iCs/>
        </w:rPr>
        <w:t xml:space="preserve"> </w:t>
      </w:r>
      <w:r w:rsidRPr="00F655CA">
        <w:rPr>
          <w:i/>
          <w:iCs/>
        </w:rPr>
        <w:tab/>
      </w:r>
      <w:r w:rsidR="000E6C7E">
        <w:rPr>
          <w:iCs/>
        </w:rPr>
        <w:t>9 (1)</w:t>
      </w:r>
      <w:r w:rsidR="00935AF5">
        <w:rPr>
          <w:iCs/>
        </w:rPr>
        <w:t>, 14 (1)</w:t>
      </w:r>
      <w:r w:rsidR="000E6C7E">
        <w:rPr>
          <w:iCs/>
        </w:rPr>
        <w:t xml:space="preserve"> and 19 (2)</w:t>
      </w:r>
    </w:p>
    <w:p w14:paraId="4F6A209D" w14:textId="77777777" w:rsidR="003521FD" w:rsidRPr="0054235B" w:rsidRDefault="003521FD" w:rsidP="00655DCB">
      <w:pPr>
        <w:pStyle w:val="SingleTxtG"/>
        <w:ind w:left="4536" w:hanging="3402"/>
        <w:jc w:val="left"/>
      </w:pPr>
      <w:r w:rsidRPr="00F655CA">
        <w:rPr>
          <w:i/>
          <w:iCs/>
        </w:rPr>
        <w:t xml:space="preserve">Articles of the Optional Protocol: </w:t>
      </w:r>
      <w:r w:rsidRPr="00F655CA">
        <w:rPr>
          <w:i/>
          <w:iCs/>
        </w:rPr>
        <w:tab/>
      </w:r>
      <w:r w:rsidR="0054235B">
        <w:rPr>
          <w:iCs/>
        </w:rPr>
        <w:t>1</w:t>
      </w:r>
      <w:r w:rsidR="0012499A">
        <w:rPr>
          <w:iCs/>
        </w:rPr>
        <w:t>-</w:t>
      </w:r>
      <w:r w:rsidR="0054235B">
        <w:rPr>
          <w:iCs/>
        </w:rPr>
        <w:t>3</w:t>
      </w:r>
      <w:r w:rsidR="0012499A">
        <w:rPr>
          <w:iCs/>
        </w:rPr>
        <w:t xml:space="preserve"> and</w:t>
      </w:r>
      <w:r w:rsidR="0054235B">
        <w:rPr>
          <w:iCs/>
        </w:rPr>
        <w:t xml:space="preserve"> 5</w:t>
      </w:r>
      <w:r w:rsidR="00943A6B">
        <w:rPr>
          <w:iCs/>
        </w:rPr>
        <w:t xml:space="preserve"> </w:t>
      </w:r>
      <w:r w:rsidR="0054235B">
        <w:rPr>
          <w:iCs/>
        </w:rPr>
        <w:t>(2) (b)</w:t>
      </w:r>
    </w:p>
    <w:p w14:paraId="3571F410" w14:textId="77777777" w:rsidR="003521FD" w:rsidRPr="00A36331" w:rsidRDefault="003521FD" w:rsidP="003521FD">
      <w:pPr>
        <w:pStyle w:val="HChG"/>
      </w:pPr>
      <w:r w:rsidRPr="00A36331">
        <w:br w:type="page"/>
      </w:r>
      <w:r w:rsidRPr="00A36331">
        <w:lastRenderedPageBreak/>
        <w:t>Annex</w:t>
      </w:r>
    </w:p>
    <w:p w14:paraId="6FACD929" w14:textId="77777777" w:rsidR="003521FD" w:rsidRPr="00A36331" w:rsidRDefault="003521FD" w:rsidP="003521FD">
      <w:pPr>
        <w:pStyle w:val="HChG"/>
        <w:rPr>
          <w:bCs/>
        </w:rPr>
      </w:pPr>
      <w:r w:rsidRPr="00A36331">
        <w:tab/>
      </w:r>
      <w:r w:rsidRPr="00A36331">
        <w:tab/>
      </w:r>
      <w:r>
        <w:t>Decision o</w:t>
      </w:r>
      <w:r w:rsidRPr="00A36331">
        <w:t>f the Human Rights Committee under the Optional Protocol to the International Covenant on</w:t>
      </w:r>
      <w:r>
        <w:t xml:space="preserve"> Civil and Political Rights (11</w:t>
      </w:r>
      <w:r w:rsidR="00670C95">
        <w:t>5</w:t>
      </w:r>
      <w:r w:rsidRPr="00A36331">
        <w:t xml:space="preserve">th </w:t>
      </w:r>
      <w:r w:rsidRPr="00A36331">
        <w:rPr>
          <w:bCs/>
        </w:rPr>
        <w:t>session)</w:t>
      </w:r>
    </w:p>
    <w:p w14:paraId="5513E172" w14:textId="77777777" w:rsidR="003521FD" w:rsidRPr="00A36331" w:rsidRDefault="003521FD" w:rsidP="003521FD">
      <w:pPr>
        <w:pStyle w:val="SingleTxtG"/>
      </w:pPr>
      <w:r w:rsidRPr="00A36331">
        <w:t>concerning</w:t>
      </w:r>
    </w:p>
    <w:p w14:paraId="76BCAD73" w14:textId="77777777" w:rsidR="003521FD" w:rsidRPr="00A36331" w:rsidRDefault="003521FD" w:rsidP="003521FD">
      <w:pPr>
        <w:pStyle w:val="H1G"/>
      </w:pPr>
      <w:r w:rsidRPr="00A36331">
        <w:tab/>
      </w:r>
      <w:r w:rsidRPr="00A36331">
        <w:tab/>
        <w:t>Communication No. </w:t>
      </w:r>
      <w:r w:rsidR="00670C95">
        <w:t>2072/2011</w:t>
      </w:r>
      <w:r w:rsidR="00DB4276" w:rsidRPr="00655DCB">
        <w:rPr>
          <w:rStyle w:val="FootnoteReference"/>
          <w:b w:val="0"/>
          <w:bCs/>
          <w:sz w:val="20"/>
          <w:vertAlign w:val="baseline"/>
        </w:rPr>
        <w:footnoteReference w:customMarkFollows="1" w:id="2"/>
        <w:t>*</w:t>
      </w:r>
    </w:p>
    <w:p w14:paraId="3F570937" w14:textId="77777777" w:rsidR="003521FD" w:rsidRPr="00A36331" w:rsidRDefault="003521FD" w:rsidP="00655DCB">
      <w:pPr>
        <w:pStyle w:val="SingleTxtG"/>
        <w:ind w:left="4536" w:hanging="3402"/>
        <w:jc w:val="left"/>
      </w:pPr>
      <w:r w:rsidRPr="00A36331">
        <w:rPr>
          <w:i/>
        </w:rPr>
        <w:t>Submitted by:</w:t>
      </w:r>
      <w:r w:rsidRPr="00A36331">
        <w:tab/>
      </w:r>
      <w:r w:rsidR="00C46B7F">
        <w:t>V.S.</w:t>
      </w:r>
      <w:r w:rsidR="00670C95">
        <w:t xml:space="preserve"> (represented by Frank Deliu)</w:t>
      </w:r>
    </w:p>
    <w:p w14:paraId="09096750" w14:textId="77777777" w:rsidR="003521FD" w:rsidRPr="00A36331" w:rsidRDefault="003521FD" w:rsidP="00655DCB">
      <w:pPr>
        <w:pStyle w:val="SingleTxtG"/>
        <w:ind w:left="4536" w:hanging="3402"/>
        <w:jc w:val="left"/>
      </w:pPr>
      <w:r w:rsidRPr="00A36331">
        <w:rPr>
          <w:i/>
        </w:rPr>
        <w:t>Alleged victim:</w:t>
      </w:r>
      <w:r w:rsidRPr="00A36331">
        <w:tab/>
      </w:r>
      <w:r w:rsidR="00227516">
        <w:t>The author</w:t>
      </w:r>
    </w:p>
    <w:p w14:paraId="48CD23DB" w14:textId="77777777" w:rsidR="003521FD" w:rsidRPr="00A36331" w:rsidRDefault="003521FD" w:rsidP="00655DCB">
      <w:pPr>
        <w:pStyle w:val="SingleTxtG"/>
        <w:ind w:left="4536" w:hanging="3402"/>
        <w:jc w:val="left"/>
        <w:rPr>
          <w:lang w:val="en-US"/>
        </w:rPr>
      </w:pPr>
      <w:r w:rsidRPr="00A36331">
        <w:rPr>
          <w:i/>
        </w:rPr>
        <w:t>State Party:</w:t>
      </w:r>
      <w:r w:rsidRPr="00A36331">
        <w:tab/>
      </w:r>
      <w:r w:rsidR="00670C95">
        <w:t>New Zealand</w:t>
      </w:r>
    </w:p>
    <w:p w14:paraId="00E56074" w14:textId="77777777" w:rsidR="003521FD" w:rsidRPr="00A36331" w:rsidRDefault="003521FD" w:rsidP="00655DCB">
      <w:pPr>
        <w:pStyle w:val="SingleTxtG"/>
        <w:ind w:left="4536" w:hanging="3402"/>
        <w:jc w:val="left"/>
      </w:pPr>
      <w:r w:rsidRPr="00A36331">
        <w:rPr>
          <w:i/>
        </w:rPr>
        <w:t>Date of communication</w:t>
      </w:r>
      <w:r w:rsidRPr="00A36331">
        <w:t>:</w:t>
      </w:r>
      <w:r w:rsidRPr="00A36331">
        <w:tab/>
      </w:r>
      <w:r w:rsidR="00670C95">
        <w:t>27 June 2010</w:t>
      </w:r>
    </w:p>
    <w:p w14:paraId="7AB1F816" w14:textId="77777777" w:rsidR="003521FD" w:rsidRPr="00A36331" w:rsidRDefault="003521FD" w:rsidP="003521FD">
      <w:pPr>
        <w:pStyle w:val="SingleTxtG"/>
      </w:pPr>
      <w:r w:rsidRPr="00A36331">
        <w:tab/>
      </w:r>
      <w:r w:rsidRPr="00A36331">
        <w:rPr>
          <w:i/>
        </w:rPr>
        <w:t>The Human Rights Committee</w:t>
      </w:r>
      <w:r w:rsidRPr="00A36331">
        <w:t xml:space="preserve">, established under article 28 of the International Covenant on Civil and Political Rights, </w:t>
      </w:r>
    </w:p>
    <w:p w14:paraId="18875BCE" w14:textId="77777777" w:rsidR="003521FD" w:rsidRPr="00A36331" w:rsidRDefault="003521FD" w:rsidP="003521FD">
      <w:pPr>
        <w:pStyle w:val="SingleTxtG"/>
      </w:pPr>
      <w:r w:rsidRPr="00A36331">
        <w:tab/>
      </w:r>
      <w:r w:rsidRPr="00A36331">
        <w:rPr>
          <w:i/>
        </w:rPr>
        <w:t xml:space="preserve">Meeting </w:t>
      </w:r>
      <w:r w:rsidRPr="00655DCB">
        <w:t>on</w:t>
      </w:r>
      <w:r w:rsidRPr="00A36331">
        <w:t xml:space="preserve"> </w:t>
      </w:r>
      <w:r w:rsidR="00DB4276">
        <w:t>2 November</w:t>
      </w:r>
      <w:r w:rsidR="00DD183D">
        <w:t xml:space="preserve"> </w:t>
      </w:r>
      <w:r w:rsidR="00227516">
        <w:t>2015</w:t>
      </w:r>
      <w:r w:rsidRPr="00A36331">
        <w:t>,</w:t>
      </w:r>
    </w:p>
    <w:p w14:paraId="1BD9BDF0" w14:textId="77777777" w:rsidR="003521FD" w:rsidRPr="00A36331" w:rsidRDefault="003521FD" w:rsidP="003521FD">
      <w:pPr>
        <w:pStyle w:val="SingleTxtG"/>
        <w:rPr>
          <w:i/>
        </w:rPr>
      </w:pPr>
      <w:r w:rsidRPr="00A36331">
        <w:rPr>
          <w:i/>
        </w:rPr>
        <w:tab/>
        <w:t xml:space="preserve">Having concluded </w:t>
      </w:r>
      <w:r w:rsidRPr="00A36331">
        <w:t xml:space="preserve">its consideration of communication No. </w:t>
      </w:r>
      <w:r w:rsidR="00670C95">
        <w:t>2072/2011</w:t>
      </w:r>
      <w:r w:rsidRPr="00A36331">
        <w:t xml:space="preserve">, submitted to </w:t>
      </w:r>
      <w:r w:rsidR="00CA59B9">
        <w:t xml:space="preserve">it </w:t>
      </w:r>
      <w:r w:rsidRPr="00A36331">
        <w:t xml:space="preserve">by </w:t>
      </w:r>
      <w:r w:rsidR="00C46B7F">
        <w:t>V.S.</w:t>
      </w:r>
      <w:r w:rsidR="00670C95">
        <w:t xml:space="preserve"> </w:t>
      </w:r>
      <w:r w:rsidRPr="00A36331">
        <w:t>under the Optional Protocol to the International Covenant on Civil and Political Rights,</w:t>
      </w:r>
    </w:p>
    <w:p w14:paraId="0B585A56" w14:textId="77777777" w:rsidR="003521FD" w:rsidRPr="00A36331" w:rsidRDefault="003521FD" w:rsidP="003521FD">
      <w:pPr>
        <w:pStyle w:val="SingleTxtG"/>
        <w:rPr>
          <w:i/>
        </w:rPr>
      </w:pPr>
      <w:r w:rsidRPr="00A36331">
        <w:rPr>
          <w:i/>
        </w:rPr>
        <w:tab/>
        <w:t xml:space="preserve">Having taken into account </w:t>
      </w:r>
      <w:r w:rsidRPr="00A36331">
        <w:t>all written information made available to it by the author of the communication and the State party,</w:t>
      </w:r>
    </w:p>
    <w:p w14:paraId="578E46EB" w14:textId="77777777" w:rsidR="003521FD" w:rsidRPr="00655DCB" w:rsidRDefault="003521FD" w:rsidP="003521FD">
      <w:pPr>
        <w:pStyle w:val="SingleTxtG"/>
        <w:rPr>
          <w:bCs/>
          <w:iCs/>
        </w:rPr>
      </w:pPr>
      <w:r w:rsidRPr="00A36331">
        <w:rPr>
          <w:bCs/>
        </w:rPr>
        <w:tab/>
      </w:r>
      <w:r w:rsidRPr="00A36331">
        <w:rPr>
          <w:bCs/>
          <w:i/>
        </w:rPr>
        <w:t xml:space="preserve">Adopts </w:t>
      </w:r>
      <w:r w:rsidRPr="00655DCB">
        <w:rPr>
          <w:bCs/>
          <w:iCs/>
        </w:rPr>
        <w:t>the following:</w:t>
      </w:r>
    </w:p>
    <w:p w14:paraId="08438FA0" w14:textId="77777777" w:rsidR="003521FD" w:rsidRPr="00A36331" w:rsidRDefault="003521FD" w:rsidP="003521FD">
      <w:pPr>
        <w:pStyle w:val="H1G"/>
      </w:pPr>
      <w:r w:rsidRPr="00A36331">
        <w:tab/>
      </w:r>
      <w:r w:rsidRPr="00A36331">
        <w:tab/>
      </w:r>
      <w:r>
        <w:t xml:space="preserve">Decision on admissibility </w:t>
      </w:r>
    </w:p>
    <w:p w14:paraId="22E98FF8" w14:textId="77777777" w:rsidR="003521FD" w:rsidRDefault="003521FD" w:rsidP="00127544">
      <w:pPr>
        <w:pStyle w:val="SingleTxtG"/>
        <w:numPr>
          <w:ilvl w:val="1"/>
          <w:numId w:val="5"/>
        </w:numPr>
        <w:spacing w:line="240" w:lineRule="auto"/>
        <w:ind w:left="1134" w:firstLine="0"/>
      </w:pPr>
      <w:r w:rsidRPr="00A36331">
        <w:t xml:space="preserve">The author of the communication is </w:t>
      </w:r>
      <w:r w:rsidR="00C46B7F">
        <w:t>V.S.</w:t>
      </w:r>
      <w:r>
        <w:t xml:space="preserve">, </w:t>
      </w:r>
      <w:r w:rsidR="00227516">
        <w:t>a</w:t>
      </w:r>
      <w:r w:rsidR="00670C95">
        <w:t xml:space="preserve"> national of New Zealand </w:t>
      </w:r>
      <w:r w:rsidR="00BB4732">
        <w:t xml:space="preserve">born </w:t>
      </w:r>
      <w:r w:rsidR="00670C95">
        <w:t>in 1956.</w:t>
      </w:r>
      <w:r w:rsidR="00A01CCF">
        <w:t xml:space="preserve"> </w:t>
      </w:r>
      <w:r w:rsidR="00227516">
        <w:t xml:space="preserve">He claims to be a victim of a violation by </w:t>
      </w:r>
      <w:r w:rsidR="00670C95">
        <w:t>New Zealand</w:t>
      </w:r>
      <w:r w:rsidR="00227516">
        <w:t xml:space="preserve"> of </w:t>
      </w:r>
      <w:r w:rsidR="00DF7E82">
        <w:t xml:space="preserve">his </w:t>
      </w:r>
      <w:r w:rsidR="00BB4732">
        <w:t xml:space="preserve">rights under </w:t>
      </w:r>
      <w:r w:rsidR="00670C95">
        <w:t xml:space="preserve">articles 9 </w:t>
      </w:r>
      <w:r w:rsidR="0012499A">
        <w:t>(</w:t>
      </w:r>
      <w:r w:rsidR="00670C95">
        <w:t>1</w:t>
      </w:r>
      <w:r w:rsidR="0012499A">
        <w:t>),</w:t>
      </w:r>
      <w:r w:rsidR="00670C95">
        <w:t xml:space="preserve"> 14 </w:t>
      </w:r>
      <w:r w:rsidR="0012499A">
        <w:t>(</w:t>
      </w:r>
      <w:r w:rsidR="00670C95">
        <w:t>1</w:t>
      </w:r>
      <w:r w:rsidR="0012499A">
        <w:t>)</w:t>
      </w:r>
      <w:r w:rsidR="00670C95">
        <w:t xml:space="preserve"> and 19 </w:t>
      </w:r>
      <w:r w:rsidR="0012499A">
        <w:t>(</w:t>
      </w:r>
      <w:r w:rsidR="00670C95">
        <w:t>2</w:t>
      </w:r>
      <w:r w:rsidR="0012499A">
        <w:t>)</w:t>
      </w:r>
      <w:r w:rsidR="00227516">
        <w:t xml:space="preserve"> of the Covenant. He</w:t>
      </w:r>
      <w:r w:rsidRPr="00A36331">
        <w:t xml:space="preserve"> is represented by </w:t>
      </w:r>
      <w:r>
        <w:t>counsel</w:t>
      </w:r>
      <w:r w:rsidR="00BB4732">
        <w:t xml:space="preserve">, </w:t>
      </w:r>
      <w:r w:rsidR="00670C95">
        <w:t>Frank Deliu.</w:t>
      </w:r>
      <w:r>
        <w:t xml:space="preserve"> </w:t>
      </w:r>
      <w:r w:rsidR="00E375F9">
        <w:t>The Optional Protocol entered into force for the State party on 26 August 1989.</w:t>
      </w:r>
    </w:p>
    <w:p w14:paraId="7544E253" w14:textId="77777777" w:rsidR="00127544" w:rsidRDefault="00127544" w:rsidP="00127544">
      <w:pPr>
        <w:pStyle w:val="SingleTxtG"/>
        <w:numPr>
          <w:ilvl w:val="1"/>
          <w:numId w:val="5"/>
        </w:numPr>
        <w:spacing w:line="240" w:lineRule="auto"/>
        <w:ind w:left="1134" w:firstLine="0"/>
      </w:pPr>
      <w:r w:rsidRPr="00C04128">
        <w:t xml:space="preserve">On 6 September 2011, the Special Rapporteur on </w:t>
      </w:r>
      <w:r w:rsidR="0012499A">
        <w:t>n</w:t>
      </w:r>
      <w:r w:rsidRPr="00C04128">
        <w:t xml:space="preserve">ew </w:t>
      </w:r>
      <w:r w:rsidR="0012499A">
        <w:t>c</w:t>
      </w:r>
      <w:r w:rsidRPr="00C04128">
        <w:t xml:space="preserve">ommunications and </w:t>
      </w:r>
      <w:r w:rsidR="0012499A">
        <w:t>i</w:t>
      </w:r>
      <w:r w:rsidRPr="00C04128">
        <w:t xml:space="preserve">nterim </w:t>
      </w:r>
      <w:r w:rsidR="0012499A">
        <w:t>m</w:t>
      </w:r>
      <w:r w:rsidRPr="00C04128">
        <w:t xml:space="preserve">easures, acting on behalf of the Committee, </w:t>
      </w:r>
      <w:r>
        <w:t>decided to examine first the admissibility of the communication.</w:t>
      </w:r>
    </w:p>
    <w:p w14:paraId="6EAB840F" w14:textId="77777777" w:rsidR="003521FD" w:rsidRPr="00A36331" w:rsidRDefault="003521FD" w:rsidP="006358CB">
      <w:pPr>
        <w:pStyle w:val="H23G"/>
        <w:spacing w:line="240" w:lineRule="auto"/>
      </w:pPr>
      <w:r w:rsidRPr="00A36331">
        <w:tab/>
      </w:r>
      <w:r w:rsidRPr="00A36331">
        <w:tab/>
      </w:r>
      <w:r w:rsidR="00F040E3" w:rsidRPr="00566EAC">
        <w:t>Factual background</w:t>
      </w:r>
    </w:p>
    <w:p w14:paraId="44F621AB" w14:textId="77777777" w:rsidR="002D48CE" w:rsidRDefault="002731ED" w:rsidP="002731ED">
      <w:pPr>
        <w:pStyle w:val="SingleTxtG"/>
        <w:spacing w:line="240" w:lineRule="auto"/>
      </w:pPr>
      <w:r>
        <w:t>2.1</w:t>
      </w:r>
      <w:r w:rsidR="003521FD" w:rsidRPr="00A36331">
        <w:tab/>
      </w:r>
      <w:r w:rsidR="00E63B86">
        <w:t xml:space="preserve">The author is </w:t>
      </w:r>
      <w:r w:rsidR="00DC0651">
        <w:t xml:space="preserve">the </w:t>
      </w:r>
      <w:r w:rsidR="00B7701E">
        <w:t xml:space="preserve">owner, </w:t>
      </w:r>
      <w:r w:rsidR="00E63B86">
        <w:t xml:space="preserve">editor and </w:t>
      </w:r>
      <w:r w:rsidR="007E5E7B">
        <w:t>publisher of</w:t>
      </w:r>
      <w:r w:rsidR="0012499A">
        <w:t xml:space="preserve"> the</w:t>
      </w:r>
      <w:r w:rsidR="007E5E7B">
        <w:t xml:space="preserve"> </w:t>
      </w:r>
      <w:r w:rsidR="002D48CE">
        <w:t xml:space="preserve">legal </w:t>
      </w:r>
      <w:r w:rsidR="007E5E7B">
        <w:t>news website</w:t>
      </w:r>
      <w:r w:rsidR="00EB39E2">
        <w:t>s</w:t>
      </w:r>
      <w:r w:rsidR="007E5E7B">
        <w:t xml:space="preserve"> </w:t>
      </w:r>
      <w:r w:rsidR="0060761C">
        <w:fldChar w:fldCharType="begin"/>
      </w:r>
      <w:r w:rsidR="0060761C">
        <w:instrText xml:space="preserve"> HYPERLINK </w:instrText>
      </w:r>
      <w:r w:rsidR="0060761C">
        <w:fldChar w:fldCharType="separate"/>
      </w:r>
      <w:r w:rsidR="0060761C">
        <w:rPr>
          <w:b/>
          <w:bCs/>
          <w:lang w:val="en-US"/>
        </w:rPr>
        <w:t>Error! Hyperlink reference not valid.</w:t>
      </w:r>
      <w:r w:rsidR="0060761C">
        <w:rPr>
          <w:rStyle w:val="Hyperlink"/>
        </w:rPr>
        <w:fldChar w:fldCharType="end"/>
      </w:r>
      <w:r w:rsidR="00EB39E2">
        <w:t xml:space="preserve"> </w:t>
      </w:r>
      <w:hyperlink r:id="rId11" w:history="1">
        <w:r w:rsidR="002D48CE" w:rsidRPr="00B71453">
          <w:rPr>
            <w:rStyle w:val="Hyperlink"/>
          </w:rPr>
          <w:t>www.kiwisfirst.co.nz</w:t>
        </w:r>
      </w:hyperlink>
      <w:r w:rsidR="002D48CE">
        <w:t xml:space="preserve"> reporting on judicial news and judicial conduct affairs.</w:t>
      </w:r>
      <w:r w:rsidR="007E5E7B">
        <w:t xml:space="preserve"> </w:t>
      </w:r>
    </w:p>
    <w:p w14:paraId="31767E74" w14:textId="77777777" w:rsidR="004160D6" w:rsidRPr="006B701D" w:rsidRDefault="002D48CE" w:rsidP="00D733C3">
      <w:pPr>
        <w:pStyle w:val="SingleTxtG"/>
      </w:pPr>
      <w:r w:rsidRPr="000C7406">
        <w:lastRenderedPageBreak/>
        <w:t>2.2</w:t>
      </w:r>
      <w:r w:rsidR="000C7406">
        <w:tab/>
      </w:r>
      <w:r w:rsidR="00EB39E2" w:rsidRPr="000C7406">
        <w:t xml:space="preserve">On 5 May 2005, </w:t>
      </w:r>
      <w:r w:rsidR="00B54A0F">
        <w:t xml:space="preserve">the </w:t>
      </w:r>
      <w:r w:rsidR="00190303">
        <w:t xml:space="preserve">Auckland </w:t>
      </w:r>
      <w:r w:rsidR="00B54A0F">
        <w:t xml:space="preserve">High Court issued </w:t>
      </w:r>
      <w:r w:rsidR="00EB39E2" w:rsidRPr="000C7406">
        <w:t xml:space="preserve">an interim </w:t>
      </w:r>
      <w:r w:rsidR="005E46EF" w:rsidRPr="000C7406">
        <w:t xml:space="preserve">gag </w:t>
      </w:r>
      <w:r w:rsidR="00EB39E2" w:rsidRPr="000C7406">
        <w:t>injunction against the author requiring him not to publish</w:t>
      </w:r>
      <w:r w:rsidR="004874B4">
        <w:t xml:space="preserve"> </w:t>
      </w:r>
      <w:r w:rsidR="00654C89" w:rsidRPr="000C7406">
        <w:t>an</w:t>
      </w:r>
      <w:r w:rsidR="00603BA1" w:rsidRPr="000C7406">
        <w:t>y</w:t>
      </w:r>
      <w:r w:rsidR="00654C89" w:rsidRPr="000C7406">
        <w:t xml:space="preserve"> information containing allegations of criminal or</w:t>
      </w:r>
      <w:r w:rsidR="00EB39E2" w:rsidRPr="000C7406">
        <w:t xml:space="preserve"> unethical conduct </w:t>
      </w:r>
      <w:r w:rsidR="00654C89" w:rsidRPr="000C7406">
        <w:t xml:space="preserve">or improper personal enrichment </w:t>
      </w:r>
      <w:r w:rsidR="00190303">
        <w:t xml:space="preserve">by </w:t>
      </w:r>
      <w:r w:rsidR="00127544">
        <w:t>a receiver appointed to administer</w:t>
      </w:r>
      <w:r w:rsidR="00190303">
        <w:t xml:space="preserve"> a company of which the author was managing director</w:t>
      </w:r>
      <w:r w:rsidR="00EB39E2" w:rsidRPr="000C7406">
        <w:t>.</w:t>
      </w:r>
      <w:r w:rsidR="00696437">
        <w:rPr>
          <w:rStyle w:val="FootnoteReference"/>
        </w:rPr>
        <w:footnoteReference w:id="3"/>
      </w:r>
      <w:r w:rsidR="00EB39E2" w:rsidRPr="000C7406">
        <w:t xml:space="preserve"> </w:t>
      </w:r>
      <w:r w:rsidR="00127544">
        <w:t>By decision of</w:t>
      </w:r>
      <w:r w:rsidR="000C7406" w:rsidRPr="000C7406">
        <w:t xml:space="preserve"> the </w:t>
      </w:r>
      <w:r w:rsidR="00127544">
        <w:t xml:space="preserve">Court of Appeal </w:t>
      </w:r>
      <w:r w:rsidR="0012499A">
        <w:t xml:space="preserve">of New Zealand </w:t>
      </w:r>
      <w:r w:rsidR="00127544">
        <w:t>of</w:t>
      </w:r>
      <w:r w:rsidR="000C7406" w:rsidRPr="000C7406">
        <w:t xml:space="preserve"> 13 December 2005</w:t>
      </w:r>
      <w:r w:rsidR="00127544">
        <w:t>, the injunction was upheld and th</w:t>
      </w:r>
      <w:r w:rsidRPr="00FF3FFC">
        <w:t>e author</w:t>
      </w:r>
      <w:r w:rsidR="00EB39E2" w:rsidRPr="00FF3FFC">
        <w:t xml:space="preserve"> was found</w:t>
      </w:r>
      <w:r w:rsidR="00D03F1B">
        <w:t xml:space="preserve"> </w:t>
      </w:r>
      <w:r w:rsidR="00EB39E2" w:rsidRPr="00FF3FFC">
        <w:t xml:space="preserve">in contempt of court </w:t>
      </w:r>
      <w:r w:rsidR="00B83912">
        <w:t xml:space="preserve">for breaching the injunction </w:t>
      </w:r>
      <w:r w:rsidR="00EB39E2" w:rsidRPr="00FF3FFC">
        <w:t>and sentenced to pay a fine</w:t>
      </w:r>
      <w:r w:rsidR="00127544">
        <w:t>. The author was found in contempt of court a</w:t>
      </w:r>
      <w:r w:rsidR="007237C6">
        <w:t xml:space="preserve"> second time o</w:t>
      </w:r>
      <w:r w:rsidR="004874B4">
        <w:t>n</w:t>
      </w:r>
      <w:r w:rsidR="007237C6">
        <w:t xml:space="preserve"> 13</w:t>
      </w:r>
      <w:r w:rsidR="00EB39E2" w:rsidRPr="00FF3FFC">
        <w:t xml:space="preserve"> July 2007 and sentenced to</w:t>
      </w:r>
      <w:r w:rsidR="004874B4">
        <w:t xml:space="preserve"> six weeks</w:t>
      </w:r>
      <w:r w:rsidR="0012499A">
        <w:t>’</w:t>
      </w:r>
      <w:r w:rsidR="00EB39E2" w:rsidRPr="00FF3FFC">
        <w:t xml:space="preserve"> imprisonment. </w:t>
      </w:r>
      <w:r w:rsidR="001831CB" w:rsidRPr="006B701D">
        <w:t>On</w:t>
      </w:r>
      <w:r w:rsidR="004160D6" w:rsidRPr="006B701D">
        <w:t xml:space="preserve"> 23 December 2008, </w:t>
      </w:r>
      <w:r w:rsidR="006B701D" w:rsidRPr="006B701D">
        <w:t>the injunction was made permanent by the the Auckland High Court.</w:t>
      </w:r>
      <w:r w:rsidR="004160D6" w:rsidRPr="006B701D">
        <w:t xml:space="preserve"> </w:t>
      </w:r>
    </w:p>
    <w:p w14:paraId="29DE001C" w14:textId="77777777" w:rsidR="00A414E1" w:rsidRPr="00A414E1" w:rsidRDefault="00EB39E2" w:rsidP="00655DCB">
      <w:pPr>
        <w:pStyle w:val="SingleTxtG"/>
        <w:spacing w:line="240" w:lineRule="auto"/>
      </w:pPr>
      <w:r>
        <w:t>2.</w:t>
      </w:r>
      <w:r w:rsidR="006B701D">
        <w:t>3</w:t>
      </w:r>
      <w:r>
        <w:tab/>
      </w:r>
      <w:r w:rsidR="00B7701E">
        <w:t xml:space="preserve">On 19 </w:t>
      </w:r>
      <w:r w:rsidR="00F979F7">
        <w:t xml:space="preserve">July </w:t>
      </w:r>
      <w:r w:rsidR="006B67EE">
        <w:t>2007, the Solicitor-</w:t>
      </w:r>
      <w:r w:rsidR="00B7701E">
        <w:t xml:space="preserve">General </w:t>
      </w:r>
      <w:r w:rsidR="0012499A">
        <w:t xml:space="preserve">of New Zealand </w:t>
      </w:r>
      <w:r w:rsidR="00B7701E">
        <w:t xml:space="preserve">sent </w:t>
      </w:r>
      <w:r w:rsidR="00F979F7">
        <w:t>a letter</w:t>
      </w:r>
      <w:r w:rsidR="00B7701E">
        <w:t xml:space="preserve"> to the author</w:t>
      </w:r>
      <w:r w:rsidR="00647569">
        <w:t>’s company</w:t>
      </w:r>
      <w:r w:rsidR="00B7701E">
        <w:t xml:space="preserve"> requesting </w:t>
      </w:r>
      <w:r w:rsidR="00647569">
        <w:t xml:space="preserve">that </w:t>
      </w:r>
      <w:r w:rsidR="0012499A">
        <w:t xml:space="preserve">certain </w:t>
      </w:r>
      <w:r w:rsidR="00B7701E">
        <w:t>material</w:t>
      </w:r>
      <w:r w:rsidR="003E257D">
        <w:t xml:space="preserve">, which was </w:t>
      </w:r>
      <w:r w:rsidR="00AB1E60">
        <w:t>considered to be</w:t>
      </w:r>
      <w:r w:rsidR="003E257D">
        <w:t xml:space="preserve"> defamatory </w:t>
      </w:r>
      <w:r w:rsidR="0012499A">
        <w:t xml:space="preserve">of </w:t>
      </w:r>
      <w:r w:rsidR="003E257D">
        <w:t xml:space="preserve">judges of the High Court and Court of Appeal, </w:t>
      </w:r>
      <w:r w:rsidR="00647569">
        <w:t xml:space="preserve">be </w:t>
      </w:r>
      <w:r w:rsidR="003E257D">
        <w:t xml:space="preserve">removed </w:t>
      </w:r>
      <w:r w:rsidR="00B7701E">
        <w:t xml:space="preserve">from </w:t>
      </w:r>
      <w:r w:rsidR="00647569">
        <w:t>the kiwisfirst</w:t>
      </w:r>
      <w:r w:rsidR="003E257D">
        <w:t xml:space="preserve"> website</w:t>
      </w:r>
      <w:r w:rsidR="006141F9">
        <w:t>s</w:t>
      </w:r>
      <w:r w:rsidR="00F979F7">
        <w:t>.</w:t>
      </w:r>
      <w:r w:rsidR="00AB1E60">
        <w:rPr>
          <w:rStyle w:val="FootnoteReference"/>
        </w:rPr>
        <w:footnoteReference w:id="4"/>
      </w:r>
      <w:r w:rsidR="00F979F7">
        <w:t xml:space="preserve"> The </w:t>
      </w:r>
      <w:r w:rsidR="007C0870">
        <w:t xml:space="preserve">letter also </w:t>
      </w:r>
      <w:r w:rsidR="00CE0486">
        <w:t xml:space="preserve">noted </w:t>
      </w:r>
      <w:r w:rsidR="00F979F7">
        <w:t>that the website</w:t>
      </w:r>
      <w:r w:rsidR="001D0AD1">
        <w:t>s</w:t>
      </w:r>
      <w:r w:rsidR="00F979F7">
        <w:t xml:space="preserve"> contained a link to another website that had</w:t>
      </w:r>
      <w:r w:rsidR="00927325">
        <w:t xml:space="preserve"> been recently found to breach the 2005</w:t>
      </w:r>
      <w:r w:rsidR="00F979F7">
        <w:t xml:space="preserve"> High Court injunction, and advised that “anyone who knowingly assi</w:t>
      </w:r>
      <w:r w:rsidR="004F24BC">
        <w:t>st</w:t>
      </w:r>
      <w:r w:rsidR="00D733C3">
        <w:t>ed in breaching the injunction</w:t>
      </w:r>
      <w:r w:rsidR="004F24BC">
        <w:t xml:space="preserve"> </w:t>
      </w:r>
      <w:r w:rsidR="0012499A">
        <w:t>…</w:t>
      </w:r>
      <w:r w:rsidR="004F24BC">
        <w:t xml:space="preserve"> may also be liable in contempt for that breach”</w:t>
      </w:r>
      <w:r w:rsidR="0012499A">
        <w:t>.</w:t>
      </w:r>
      <w:r w:rsidR="00F979F7">
        <w:t xml:space="preserve"> </w:t>
      </w:r>
      <w:r w:rsidR="00647569">
        <w:t>On 31 July 2007, a second l</w:t>
      </w:r>
      <w:r w:rsidR="001B258F">
        <w:t>etter was sent by the Solicitor-</w:t>
      </w:r>
      <w:r w:rsidR="00647569">
        <w:t xml:space="preserve">General arguing that the </w:t>
      </w:r>
      <w:r w:rsidR="00C0643D">
        <w:t xml:space="preserve">author’s </w:t>
      </w:r>
      <w:r w:rsidR="00647569">
        <w:t xml:space="preserve">website contained </w:t>
      </w:r>
      <w:r w:rsidR="00C0643D">
        <w:t xml:space="preserve">material </w:t>
      </w:r>
      <w:r w:rsidR="00647569">
        <w:t xml:space="preserve">that was </w:t>
      </w:r>
      <w:r w:rsidR="00C0643D">
        <w:t>“</w:t>
      </w:r>
      <w:r w:rsidR="00647569">
        <w:t>in clear breach of the injunction</w:t>
      </w:r>
      <w:r w:rsidR="00C0643D">
        <w:t>”</w:t>
      </w:r>
      <w:r w:rsidR="00647569">
        <w:t xml:space="preserve">. </w:t>
      </w:r>
      <w:r w:rsidR="00757520">
        <w:t>The matter was not pursued.</w:t>
      </w:r>
    </w:p>
    <w:p w14:paraId="44B6EF17" w14:textId="77777777" w:rsidR="003E346B" w:rsidRDefault="00AB1E60" w:rsidP="00757520">
      <w:pPr>
        <w:pStyle w:val="SingleTxtG"/>
        <w:spacing w:line="240" w:lineRule="auto"/>
      </w:pPr>
      <w:r>
        <w:t>2.</w:t>
      </w:r>
      <w:r w:rsidR="006B701D">
        <w:t>4</w:t>
      </w:r>
      <w:r>
        <w:tab/>
      </w:r>
      <w:r w:rsidR="007E5E7B">
        <w:t xml:space="preserve">On 28 January 2008, the </w:t>
      </w:r>
      <w:r w:rsidR="001B258F">
        <w:t>Solicitor-</w:t>
      </w:r>
      <w:r w:rsidR="005E7EE5">
        <w:t>General filed an</w:t>
      </w:r>
      <w:r w:rsidR="005232E4">
        <w:t xml:space="preserve"> application </w:t>
      </w:r>
      <w:r w:rsidR="001B258F">
        <w:t xml:space="preserve">for contempt of court </w:t>
      </w:r>
      <w:r w:rsidR="005232E4">
        <w:t>with</w:t>
      </w:r>
      <w:r w:rsidR="007E5E7B">
        <w:t xml:space="preserve"> the Auckland High </w:t>
      </w:r>
      <w:r w:rsidR="001B258F">
        <w:t>Court</w:t>
      </w:r>
      <w:r w:rsidR="007E5E7B">
        <w:t xml:space="preserve">, in which he sought the indefinite imprisonment of the author for </w:t>
      </w:r>
      <w:r w:rsidR="00127544">
        <w:t>continuing to publish</w:t>
      </w:r>
      <w:r w:rsidR="007E5E7B">
        <w:t xml:space="preserve"> information </w:t>
      </w:r>
      <w:r w:rsidR="00014E04">
        <w:t xml:space="preserve">against the </w:t>
      </w:r>
      <w:r w:rsidR="00127544">
        <w:t>receiver</w:t>
      </w:r>
      <w:r w:rsidR="00014E04">
        <w:t xml:space="preserve"> </w:t>
      </w:r>
      <w:r w:rsidR="007E5E7B">
        <w:t xml:space="preserve">in breach of </w:t>
      </w:r>
      <w:r w:rsidR="00EB39E2">
        <w:t xml:space="preserve">the </w:t>
      </w:r>
      <w:r>
        <w:t xml:space="preserve">2005 </w:t>
      </w:r>
      <w:r w:rsidR="00EB39E2">
        <w:t>injunction</w:t>
      </w:r>
      <w:r w:rsidR="007E5E7B">
        <w:t xml:space="preserve">. </w:t>
      </w:r>
      <w:r w:rsidR="006161FB">
        <w:t xml:space="preserve">During </w:t>
      </w:r>
      <w:r w:rsidR="00446BF6">
        <w:t xml:space="preserve">the contempt </w:t>
      </w:r>
      <w:r w:rsidR="006161FB">
        <w:t xml:space="preserve">proceedings before the </w:t>
      </w:r>
      <w:r w:rsidR="007E0AD6">
        <w:t>High Court, the Solicitor-</w:t>
      </w:r>
      <w:r w:rsidR="006161FB">
        <w:t xml:space="preserve">General put forward </w:t>
      </w:r>
      <w:r w:rsidR="003E346B">
        <w:t xml:space="preserve">as </w:t>
      </w:r>
      <w:r w:rsidR="00DC0651">
        <w:t>witness</w:t>
      </w:r>
      <w:r w:rsidR="006161FB">
        <w:t xml:space="preserve"> </w:t>
      </w:r>
      <w:r w:rsidR="00C3496B">
        <w:t>an assistant counsel</w:t>
      </w:r>
      <w:r w:rsidR="006161FB">
        <w:t xml:space="preserve"> </w:t>
      </w:r>
      <w:r w:rsidR="005B4E61">
        <w:t xml:space="preserve">in the Crown </w:t>
      </w:r>
      <w:r w:rsidR="0012499A">
        <w:t>P</w:t>
      </w:r>
      <w:r w:rsidR="00DE0CAE">
        <w:t>rosecutor’s</w:t>
      </w:r>
      <w:r w:rsidR="005B4E61">
        <w:t xml:space="preserve"> </w:t>
      </w:r>
      <w:r w:rsidR="0012499A">
        <w:t>O</w:t>
      </w:r>
      <w:r w:rsidR="005B4E61">
        <w:t xml:space="preserve">ffice </w:t>
      </w:r>
      <w:r w:rsidR="006161FB">
        <w:t xml:space="preserve">charged with </w:t>
      </w:r>
      <w:r>
        <w:t xml:space="preserve">monitoring the author’s </w:t>
      </w:r>
      <w:r w:rsidR="005B4E61">
        <w:t>websites</w:t>
      </w:r>
      <w:r>
        <w:t xml:space="preserve"> and printing any reference to the </w:t>
      </w:r>
      <w:r w:rsidR="00127544">
        <w:t>receiver</w:t>
      </w:r>
      <w:r w:rsidR="00676064">
        <w:t>.</w:t>
      </w:r>
      <w:r w:rsidR="005B4E61">
        <w:t xml:space="preserve"> </w:t>
      </w:r>
      <w:r w:rsidR="00DC0651">
        <w:t>The author note</w:t>
      </w:r>
      <w:r w:rsidR="005232E4">
        <w:t>s</w:t>
      </w:r>
      <w:r w:rsidR="00DC0651">
        <w:t xml:space="preserve"> that this was the sole prosecution</w:t>
      </w:r>
      <w:r w:rsidR="005232E4">
        <w:t xml:space="preserve"> witness and source of evidence</w:t>
      </w:r>
      <w:r w:rsidR="00F75DF2">
        <w:rPr>
          <w:lang w:val="en-US"/>
        </w:rPr>
        <w:t xml:space="preserve">. </w:t>
      </w:r>
      <w:r w:rsidR="00DC0651">
        <w:t xml:space="preserve">By decision of 8 July 2008, the High Court convicted the author </w:t>
      </w:r>
      <w:r w:rsidR="0056312F">
        <w:t xml:space="preserve">for contempt of court </w:t>
      </w:r>
      <w:r w:rsidR="00DC0651">
        <w:t>and sentenced him to six months</w:t>
      </w:r>
      <w:r w:rsidR="0012499A">
        <w:t>’</w:t>
      </w:r>
      <w:r w:rsidR="00DC0651">
        <w:t xml:space="preserve"> imprisonment.</w:t>
      </w:r>
      <w:r w:rsidR="006A5211">
        <w:t xml:space="preserve"> The execution of the</w:t>
      </w:r>
      <w:r w:rsidR="0056312F">
        <w:t xml:space="preserve"> sentence </w:t>
      </w:r>
      <w:r w:rsidR="003E346B">
        <w:t>was</w:t>
      </w:r>
      <w:r w:rsidR="0056312F">
        <w:t xml:space="preserve"> suspended </w:t>
      </w:r>
      <w:r w:rsidR="006A5211">
        <w:t xml:space="preserve">until 1 August 2008 </w:t>
      </w:r>
      <w:r w:rsidR="0056312F">
        <w:t>to allow the author to remove the offending material fro</w:t>
      </w:r>
      <w:r w:rsidR="0071081D">
        <w:t>m the websites</w:t>
      </w:r>
      <w:r w:rsidR="00127544">
        <w:t xml:space="preserve"> </w:t>
      </w:r>
      <w:r w:rsidR="00CB0984">
        <w:t>if he</w:t>
      </w:r>
      <w:r w:rsidR="00127544">
        <w:t xml:space="preserve"> undert</w:t>
      </w:r>
      <w:r w:rsidR="00CB0984">
        <w:t>ook</w:t>
      </w:r>
      <w:r w:rsidR="00127544">
        <w:t xml:space="preserve"> that it would not be placed back on any websites,</w:t>
      </w:r>
      <w:r w:rsidR="0071081D">
        <w:t xml:space="preserve"> failing which the sentence</w:t>
      </w:r>
      <w:r w:rsidR="0056312F">
        <w:t xml:space="preserve"> would be enforced. </w:t>
      </w:r>
    </w:p>
    <w:p w14:paraId="38FF12AF" w14:textId="77777777" w:rsidR="00894108" w:rsidRDefault="00894108">
      <w:pPr>
        <w:pStyle w:val="SingleTxtG"/>
        <w:spacing w:line="240" w:lineRule="auto"/>
      </w:pPr>
      <w:r>
        <w:t>2.</w:t>
      </w:r>
      <w:r w:rsidR="00757520">
        <w:t>5</w:t>
      </w:r>
      <w:r>
        <w:tab/>
        <w:t xml:space="preserve">On 9 March 2009, the Court of Appeal partly allowed the author’s appeal </w:t>
      </w:r>
      <w:r w:rsidR="00757520">
        <w:t xml:space="preserve">against the High Court decision </w:t>
      </w:r>
      <w:r>
        <w:t xml:space="preserve">and considered that the High Court had </w:t>
      </w:r>
      <w:r w:rsidR="00C37FA2">
        <w:t xml:space="preserve">imposed a sentence that was beyond </w:t>
      </w:r>
      <w:r w:rsidR="003E346B">
        <w:t xml:space="preserve">its </w:t>
      </w:r>
      <w:r w:rsidR="00C37FA2">
        <w:t>jurisdiction.</w:t>
      </w:r>
      <w:r w:rsidR="00757520">
        <w:t xml:space="preserve"> The Court of Appeal cited</w:t>
      </w:r>
      <w:r w:rsidR="00757520" w:rsidRPr="00757520">
        <w:rPr>
          <w:rFonts w:ascii="Courier" w:hAnsi="Courier" w:cs="Courier"/>
          <w:color w:val="000000"/>
          <w:lang w:eastAsia="en-GB"/>
        </w:rPr>
        <w:t xml:space="preserve"> </w:t>
      </w:r>
      <w:r w:rsidR="00CB0984">
        <w:t>s</w:t>
      </w:r>
      <w:r w:rsidR="00757520" w:rsidRPr="00757520">
        <w:t xml:space="preserve">ection 24 (e) of </w:t>
      </w:r>
      <w:r w:rsidR="00757520" w:rsidRPr="00CB0984">
        <w:t xml:space="preserve">the </w:t>
      </w:r>
      <w:r w:rsidR="00CB0984">
        <w:t xml:space="preserve">New Zealand </w:t>
      </w:r>
      <w:r w:rsidR="00757520" w:rsidRPr="00655DCB">
        <w:t>Bill of Rights Act</w:t>
      </w:r>
      <w:r w:rsidR="00E22D81">
        <w:rPr>
          <w:i/>
        </w:rPr>
        <w:t xml:space="preserve"> </w:t>
      </w:r>
      <w:r w:rsidR="00E22D81" w:rsidRPr="00E22D81">
        <w:t>1990</w:t>
      </w:r>
      <w:r w:rsidR="00E22D81">
        <w:t xml:space="preserve">, </w:t>
      </w:r>
      <w:r w:rsidR="00CB0984">
        <w:t xml:space="preserve">in </w:t>
      </w:r>
      <w:r w:rsidR="00E22D81">
        <w:t>which</w:t>
      </w:r>
      <w:r w:rsidR="00CB0984">
        <w:t xml:space="preserve"> it is</w:t>
      </w:r>
      <w:r w:rsidR="00E22D81">
        <w:t xml:space="preserve"> establishe</w:t>
      </w:r>
      <w:r w:rsidR="00CB0984">
        <w:t>d</w:t>
      </w:r>
      <w:r w:rsidR="00E22D81">
        <w:t xml:space="preserve"> that a defendant charged with an offence shall have the right to be tried by jury when the penalty</w:t>
      </w:r>
      <w:r w:rsidR="00757520" w:rsidRPr="00757520">
        <w:t xml:space="preserve"> for </w:t>
      </w:r>
      <w:r w:rsidR="00E22D81">
        <w:t>the</w:t>
      </w:r>
      <w:r w:rsidR="00757520" w:rsidRPr="00757520">
        <w:t xml:space="preserve"> offence is or</w:t>
      </w:r>
      <w:r w:rsidR="00757520">
        <w:t xml:space="preserve"> </w:t>
      </w:r>
      <w:r w:rsidR="00757520" w:rsidRPr="00757520">
        <w:t>includes imprisonment for more than three months.</w:t>
      </w:r>
      <w:r w:rsidR="00C37FA2">
        <w:t xml:space="preserve"> </w:t>
      </w:r>
      <w:r w:rsidR="003E346B">
        <w:t>The High C</w:t>
      </w:r>
      <w:r w:rsidR="00B134D7">
        <w:t>ourt</w:t>
      </w:r>
      <w:r w:rsidR="00CB0984">
        <w:t>’</w:t>
      </w:r>
      <w:r w:rsidR="00C37FA2">
        <w:t xml:space="preserve">s </w:t>
      </w:r>
      <w:r w:rsidR="00B134D7">
        <w:t xml:space="preserve">order was quashed and replaced by an order committing the author to prison for a term of </w:t>
      </w:r>
      <w:r w:rsidR="00CB0984">
        <w:t xml:space="preserve">a </w:t>
      </w:r>
      <w:r w:rsidR="00B134D7">
        <w:t xml:space="preserve">maximum six months, subject to the proviso that the term of imprisonment would come to an immediate end if the author complied with the </w:t>
      </w:r>
      <w:r w:rsidR="005130B9">
        <w:t xml:space="preserve">2005 </w:t>
      </w:r>
      <w:r w:rsidR="00B134D7">
        <w:t>injunction.</w:t>
      </w:r>
      <w:r w:rsidR="00C37FA2">
        <w:t xml:space="preserve"> The </w:t>
      </w:r>
      <w:r w:rsidR="00490715">
        <w:t>Court of Appeal</w:t>
      </w:r>
      <w:r w:rsidR="00C37FA2">
        <w:t xml:space="preserve"> rejected the author’s grounds of appeal concerning double jeopardy</w:t>
      </w:r>
      <w:r w:rsidR="00CB0984">
        <w:t>,</w:t>
      </w:r>
      <w:r w:rsidR="00C37FA2">
        <w:t xml:space="preserve"> considering that the breaches of the injunction occurred after 13 July 2007 and </w:t>
      </w:r>
      <w:r w:rsidR="00CB0984">
        <w:t xml:space="preserve">that </w:t>
      </w:r>
      <w:r w:rsidR="00C37FA2">
        <w:t>the author had not previously been tried</w:t>
      </w:r>
      <w:r w:rsidR="000F2D1B">
        <w:t xml:space="preserve"> for those</w:t>
      </w:r>
      <w:r w:rsidR="00CB0984">
        <w:t xml:space="preserve"> breaches</w:t>
      </w:r>
      <w:r w:rsidR="00C37FA2">
        <w:t xml:space="preserve">. The Court of Appeal also rejected the author’s arguments regarding a </w:t>
      </w:r>
      <w:r w:rsidR="00C37FA2">
        <w:lastRenderedPageBreak/>
        <w:t>breach of his right to natural justice</w:t>
      </w:r>
      <w:r w:rsidR="00CB0984">
        <w:t>,</w:t>
      </w:r>
      <w:r w:rsidR="00C37FA2">
        <w:t xml:space="preserve"> considering that the High Court had acted impartially and had duly identified both </w:t>
      </w:r>
      <w:r w:rsidR="00CB0984">
        <w:t xml:space="preserve">the </w:t>
      </w:r>
      <w:r w:rsidR="00C37FA2">
        <w:t xml:space="preserve">part of the injunction </w:t>
      </w:r>
      <w:r w:rsidR="00CB0984">
        <w:t xml:space="preserve">that </w:t>
      </w:r>
      <w:r w:rsidR="00C37FA2">
        <w:t xml:space="preserve">was breached </w:t>
      </w:r>
      <w:r w:rsidR="00CB0984">
        <w:t>and</w:t>
      </w:r>
      <w:r w:rsidR="00C37FA2">
        <w:t xml:space="preserve"> those words </w:t>
      </w:r>
      <w:r w:rsidR="00CB0984">
        <w:t xml:space="preserve">published </w:t>
      </w:r>
      <w:r w:rsidR="00C37FA2">
        <w:t>that constituted a breach by quoting multiple passages from the websites.</w:t>
      </w:r>
    </w:p>
    <w:p w14:paraId="2C7C886F" w14:textId="77777777" w:rsidR="00E43E57" w:rsidRDefault="00E43E57" w:rsidP="00670C95">
      <w:pPr>
        <w:pStyle w:val="SingleTxtG"/>
        <w:spacing w:line="240" w:lineRule="auto"/>
      </w:pPr>
      <w:r>
        <w:t>2.</w:t>
      </w:r>
      <w:r w:rsidR="00D005BC">
        <w:t>6</w:t>
      </w:r>
      <w:r>
        <w:tab/>
        <w:t xml:space="preserve">On 7 August 2009, the Supreme Court </w:t>
      </w:r>
      <w:r w:rsidR="00CB0984">
        <w:t xml:space="preserve">of New Zealand </w:t>
      </w:r>
      <w:r>
        <w:t>hear</w:t>
      </w:r>
      <w:r w:rsidR="00D005BC">
        <w:t>d</w:t>
      </w:r>
      <w:r>
        <w:t xml:space="preserve"> an appeal against the imprisonment order on the ground that </w:t>
      </w:r>
      <w:r w:rsidR="00A508FE">
        <w:t>the author had been wrongly deprived of his right to trial by jury because of the summary procedure of trial by judges sitting alone in the High Court</w:t>
      </w:r>
      <w:r>
        <w:t xml:space="preserve">. </w:t>
      </w:r>
      <w:r w:rsidR="00335BC5">
        <w:t xml:space="preserve">By decision of </w:t>
      </w:r>
      <w:r w:rsidR="001A4F2E">
        <w:t>17 May</w:t>
      </w:r>
      <w:r w:rsidR="00335BC5">
        <w:t xml:space="preserve"> 2010, the Supreme Court allowed the author’s appeal and quashed the Court of Appeal’s order</w:t>
      </w:r>
      <w:r w:rsidR="00CB0984">
        <w:t>,</w:t>
      </w:r>
      <w:r w:rsidR="00335BC5">
        <w:t xml:space="preserve"> replacing it </w:t>
      </w:r>
      <w:r w:rsidR="00CB0984">
        <w:t xml:space="preserve">with </w:t>
      </w:r>
      <w:r w:rsidR="00335BC5">
        <w:t xml:space="preserve">an order committing the author to prison for a </w:t>
      </w:r>
      <w:r w:rsidR="00CB0984">
        <w:t xml:space="preserve">prison </w:t>
      </w:r>
      <w:r w:rsidR="00335BC5">
        <w:t xml:space="preserve">term of a maximum of three months, subject to the proviso that the </w:t>
      </w:r>
      <w:r w:rsidR="00591EF7">
        <w:t>term would</w:t>
      </w:r>
      <w:r w:rsidR="00335BC5">
        <w:t xml:space="preserve"> come to</w:t>
      </w:r>
      <w:r w:rsidR="00591EF7">
        <w:t xml:space="preserve"> an immediate end if he complied</w:t>
      </w:r>
      <w:r w:rsidR="00335BC5">
        <w:t xml:space="preserve"> with the injunction.</w:t>
      </w:r>
    </w:p>
    <w:p w14:paraId="408AE164" w14:textId="77777777" w:rsidR="00A414E1" w:rsidRPr="00A414E1" w:rsidRDefault="001A4F2E" w:rsidP="00655DCB">
      <w:pPr>
        <w:pStyle w:val="SingleTxtG"/>
        <w:spacing w:line="240" w:lineRule="auto"/>
      </w:pPr>
      <w:r>
        <w:t>2.</w:t>
      </w:r>
      <w:r w:rsidR="00D005BC">
        <w:t>7</w:t>
      </w:r>
      <w:r>
        <w:tab/>
        <w:t>On 4 June 2010, the author applied for a review of this sentence</w:t>
      </w:r>
      <w:r w:rsidR="00CB0984">
        <w:t>,</w:t>
      </w:r>
      <w:r>
        <w:t xml:space="preserve"> supplying </w:t>
      </w:r>
      <w:r w:rsidR="000F2D1B">
        <w:t xml:space="preserve">allegedly </w:t>
      </w:r>
      <w:r>
        <w:t xml:space="preserve">new evidence. By minute of 11 June 2010, the Supreme Court dismissed the author’s review application, stating that it did not raise any matter </w:t>
      </w:r>
      <w:r w:rsidR="00376A12">
        <w:t>that</w:t>
      </w:r>
      <w:r>
        <w:t xml:space="preserve"> had not previously been considered in relation to the appeal. A second review application was filed </w:t>
      </w:r>
      <w:r w:rsidR="009315FC">
        <w:t xml:space="preserve">with </w:t>
      </w:r>
      <w:r>
        <w:t xml:space="preserve">the Supreme Court on 14 June 2010 </w:t>
      </w:r>
      <w:r w:rsidR="009315FC">
        <w:t xml:space="preserve">and </w:t>
      </w:r>
      <w:r>
        <w:t xml:space="preserve">was </w:t>
      </w:r>
      <w:r w:rsidR="000F2D1B">
        <w:t xml:space="preserve">also </w:t>
      </w:r>
      <w:r>
        <w:t xml:space="preserve">dismissed by the Supreme Court by minute </w:t>
      </w:r>
      <w:r w:rsidR="009315FC">
        <w:t xml:space="preserve">of </w:t>
      </w:r>
      <w:r>
        <w:t>16 June 2010.</w:t>
      </w:r>
    </w:p>
    <w:p w14:paraId="2AF595B7" w14:textId="77777777" w:rsidR="00AF38B3" w:rsidRDefault="00AF38B3" w:rsidP="00670C95">
      <w:pPr>
        <w:pStyle w:val="SingleTxtG"/>
        <w:spacing w:line="240" w:lineRule="auto"/>
      </w:pPr>
      <w:r>
        <w:t>2.</w:t>
      </w:r>
      <w:r w:rsidR="00D005BC">
        <w:t>8</w:t>
      </w:r>
      <w:r>
        <w:tab/>
      </w:r>
      <w:r w:rsidR="00591EF7">
        <w:t>On 21 February 2008, the author’s</w:t>
      </w:r>
      <w:r>
        <w:t xml:space="preserve"> home was raided by the police showing a search warrant issued by </w:t>
      </w:r>
      <w:r w:rsidR="00591EF7">
        <w:t>the district court registrar</w:t>
      </w:r>
      <w:r>
        <w:t xml:space="preserve"> and indicating that the police was looking for “the author’s library card, a Hawaiian print shirt and anything that connected him to </w:t>
      </w:r>
      <w:r w:rsidRPr="003E346B">
        <w:t>Urewera terrorist-accused</w:t>
      </w:r>
      <w:r>
        <w:t xml:space="preserve"> or their lawyers”. The author contends that he was detained in his house for five hours without an arrest warrant and was not allowed to drink until he answered police questions. The author’s publishing and business equipment was seized along with personal financial records. The author argues that most of this material was never returned, even though no criminal charges were pressed against him. The High Court denied the author’s application to see a copy of the affidavit used to support the search warrant against him. The author also applied to the Independent Police </w:t>
      </w:r>
      <w:r w:rsidR="009315FC">
        <w:t xml:space="preserve">Conduct </w:t>
      </w:r>
      <w:r>
        <w:t>Authority</w:t>
      </w:r>
      <w:r w:rsidR="00486483">
        <w:t xml:space="preserve"> </w:t>
      </w:r>
      <w:r w:rsidR="000F405C">
        <w:t xml:space="preserve">complaining about the execution of the search warrant </w:t>
      </w:r>
      <w:r w:rsidR="00312104">
        <w:t xml:space="preserve">by the police </w:t>
      </w:r>
      <w:r w:rsidR="000F405C">
        <w:t xml:space="preserve">and </w:t>
      </w:r>
      <w:r>
        <w:t xml:space="preserve">requesting </w:t>
      </w:r>
      <w:r w:rsidR="009315FC">
        <w:t xml:space="preserve">that </w:t>
      </w:r>
      <w:r>
        <w:t xml:space="preserve">his seized property be returned. On 16 July </w:t>
      </w:r>
      <w:r w:rsidR="000F405C">
        <w:t>2009</w:t>
      </w:r>
      <w:r w:rsidR="00D733C3">
        <w:t>,</w:t>
      </w:r>
      <w:r w:rsidR="000F405C">
        <w:rPr>
          <w:rStyle w:val="FootnoteReference"/>
        </w:rPr>
        <w:footnoteReference w:id="5"/>
      </w:r>
      <w:r w:rsidR="000F405C">
        <w:t xml:space="preserve"> </w:t>
      </w:r>
      <w:r>
        <w:t xml:space="preserve">the Independent Police </w:t>
      </w:r>
      <w:r w:rsidR="009315FC">
        <w:t xml:space="preserve">Conduct </w:t>
      </w:r>
      <w:r>
        <w:t xml:space="preserve">Authority responded that </w:t>
      </w:r>
      <w:r w:rsidR="00F86B1A">
        <w:t xml:space="preserve">no police misconduct had been found and informing </w:t>
      </w:r>
      <w:r>
        <w:t xml:space="preserve">the author </w:t>
      </w:r>
      <w:r w:rsidR="00F86B1A">
        <w:t xml:space="preserve">that he </w:t>
      </w:r>
      <w:r>
        <w:t>would have to apply to the High Court</w:t>
      </w:r>
      <w:r w:rsidR="00F86B1A">
        <w:t xml:space="preserve"> to recover any seized property</w:t>
      </w:r>
      <w:r>
        <w:t>.</w:t>
      </w:r>
    </w:p>
    <w:p w14:paraId="2A7D65E6" w14:textId="77777777" w:rsidR="003521FD" w:rsidRPr="00A36331" w:rsidRDefault="003521FD" w:rsidP="006358CB">
      <w:pPr>
        <w:pStyle w:val="H23G"/>
        <w:spacing w:line="240" w:lineRule="auto"/>
      </w:pPr>
      <w:r w:rsidRPr="00A36331">
        <w:tab/>
      </w:r>
      <w:r w:rsidRPr="00A36331">
        <w:tab/>
        <w:t>The complaint</w:t>
      </w:r>
    </w:p>
    <w:p w14:paraId="27BAE8EB" w14:textId="77777777" w:rsidR="005E46EF" w:rsidRDefault="003521FD" w:rsidP="00670C95">
      <w:pPr>
        <w:pStyle w:val="SingleTxtG"/>
        <w:spacing w:line="240" w:lineRule="auto"/>
      </w:pPr>
      <w:r w:rsidRPr="00A36331">
        <w:t>3.1</w:t>
      </w:r>
      <w:r w:rsidRPr="00A36331">
        <w:tab/>
      </w:r>
      <w:r w:rsidR="005E46EF">
        <w:t>T</w:t>
      </w:r>
      <w:r w:rsidR="007E2F11">
        <w:t>he author claims that his right</w:t>
      </w:r>
      <w:r w:rsidR="00B55798">
        <w:t>s</w:t>
      </w:r>
      <w:r w:rsidR="00D005BC">
        <w:t xml:space="preserve"> under article 19 </w:t>
      </w:r>
      <w:r w:rsidR="009315FC">
        <w:t>(</w:t>
      </w:r>
      <w:r w:rsidR="00D005BC">
        <w:t>2</w:t>
      </w:r>
      <w:r w:rsidR="009315FC">
        <w:t>)</w:t>
      </w:r>
      <w:r w:rsidR="005E46EF">
        <w:t xml:space="preserve"> ha</w:t>
      </w:r>
      <w:r w:rsidR="00B55798">
        <w:t>ve</w:t>
      </w:r>
      <w:r w:rsidR="005E46EF">
        <w:t xml:space="preserve"> been violated. He argues that the Solicitor</w:t>
      </w:r>
      <w:r w:rsidR="009315FC">
        <w:t>-</w:t>
      </w:r>
      <w:r w:rsidR="005E46EF">
        <w:t xml:space="preserve">General attempted to shut down his websites just because he </w:t>
      </w:r>
      <w:r w:rsidR="00684589">
        <w:t xml:space="preserve">had </w:t>
      </w:r>
      <w:r w:rsidR="007E2F11">
        <w:t>published information on</w:t>
      </w:r>
      <w:r w:rsidR="005E46EF">
        <w:t xml:space="preserve"> corruption within the New Zea</w:t>
      </w:r>
      <w:r w:rsidR="00684589">
        <w:t>land justice system</w:t>
      </w:r>
      <w:r w:rsidR="007E2F11">
        <w:t xml:space="preserve"> and</w:t>
      </w:r>
      <w:r w:rsidR="009315FC">
        <w:t xml:space="preserve"> of</w:t>
      </w:r>
      <w:r w:rsidR="007E2F11">
        <w:t xml:space="preserve"> the Solicitor</w:t>
      </w:r>
      <w:r w:rsidR="009315FC">
        <w:t>-</w:t>
      </w:r>
      <w:r w:rsidR="007E2F11">
        <w:t xml:space="preserve">General himself, </w:t>
      </w:r>
      <w:r w:rsidR="00684589">
        <w:t xml:space="preserve">and that the </w:t>
      </w:r>
      <w:r w:rsidR="009330FA">
        <w:t>G</w:t>
      </w:r>
      <w:r w:rsidR="00684589">
        <w:t>overnment</w:t>
      </w:r>
      <w:r w:rsidR="005E46EF">
        <w:t xml:space="preserve"> then tried to have him incarcerated to silence </w:t>
      </w:r>
      <w:r w:rsidR="00325FDE">
        <w:t xml:space="preserve">criticism </w:t>
      </w:r>
      <w:r w:rsidR="002C21AA">
        <w:t>of</w:t>
      </w:r>
      <w:r w:rsidR="005E46EF">
        <w:t xml:space="preserve"> the </w:t>
      </w:r>
      <w:r w:rsidR="00684589">
        <w:t>judiciary</w:t>
      </w:r>
      <w:r w:rsidR="007E2F11">
        <w:t xml:space="preserve"> and the Solicitor-General</w:t>
      </w:r>
      <w:r w:rsidR="005E46EF">
        <w:t xml:space="preserve">. </w:t>
      </w:r>
      <w:r w:rsidR="007E2F11">
        <w:t xml:space="preserve">The author notes that the accuracy of the information that he had published, which was supported by official court documents, was never challenged by the </w:t>
      </w:r>
      <w:r w:rsidR="009330FA">
        <w:t>G</w:t>
      </w:r>
      <w:r w:rsidR="007E2F11">
        <w:t xml:space="preserve">overnment. </w:t>
      </w:r>
      <w:r w:rsidR="005E46EF">
        <w:t xml:space="preserve">The author </w:t>
      </w:r>
      <w:r w:rsidR="007E2F11">
        <w:t xml:space="preserve">also </w:t>
      </w:r>
      <w:r w:rsidR="005E46EF">
        <w:t xml:space="preserve">notes that he did nothing to incite violence </w:t>
      </w:r>
      <w:r w:rsidR="00684589">
        <w:t xml:space="preserve">or any </w:t>
      </w:r>
      <w:r w:rsidR="005E46EF">
        <w:t xml:space="preserve">other </w:t>
      </w:r>
      <w:r w:rsidR="005E46EF" w:rsidRPr="00655DCB">
        <w:t>force majeur</w:t>
      </w:r>
      <w:r w:rsidR="0057712D" w:rsidRPr="00655DCB">
        <w:t>e</w:t>
      </w:r>
      <w:r w:rsidR="005E46EF">
        <w:t xml:space="preserve"> act that would require the </w:t>
      </w:r>
      <w:r w:rsidR="009330FA">
        <w:t>G</w:t>
      </w:r>
      <w:r w:rsidR="005E46EF">
        <w:t>overnment to act</w:t>
      </w:r>
      <w:r w:rsidR="00260867">
        <w:t xml:space="preserve"> and supress his right to free speech</w:t>
      </w:r>
      <w:r w:rsidR="005E46EF">
        <w:t xml:space="preserve">. </w:t>
      </w:r>
      <w:r w:rsidR="00260867">
        <w:t>He argues that it</w:t>
      </w:r>
      <w:r w:rsidR="00427E99">
        <w:t xml:space="preserve"> is for the State party to show that the restriction on his freedom of speech was necessary</w:t>
      </w:r>
      <w:r w:rsidR="00401898">
        <w:t xml:space="preserve"> and proportional</w:t>
      </w:r>
      <w:r w:rsidR="00427E99">
        <w:t xml:space="preserve">. </w:t>
      </w:r>
      <w:r w:rsidR="00684589">
        <w:t xml:space="preserve">He claims that he is entitled to express his opinions about the </w:t>
      </w:r>
      <w:r w:rsidR="009330FA">
        <w:t>G</w:t>
      </w:r>
      <w:r w:rsidR="00684589">
        <w:t xml:space="preserve">overnment of New Zealand </w:t>
      </w:r>
      <w:r w:rsidR="00427E99">
        <w:t>publicly and that, as a journalist, his duty is to inform the public about issues that affect their lives</w:t>
      </w:r>
      <w:r w:rsidR="00D16320">
        <w:t>, including issues of corruption by the judiciary and the executive, especially where this information has not been proven to be defamatory</w:t>
      </w:r>
      <w:r w:rsidR="00427E99">
        <w:t xml:space="preserve">. </w:t>
      </w:r>
    </w:p>
    <w:p w14:paraId="48865A55" w14:textId="77777777" w:rsidR="005E46EF" w:rsidRDefault="005E46EF" w:rsidP="00BE23E8">
      <w:pPr>
        <w:pStyle w:val="SingleTxtG"/>
        <w:spacing w:line="240" w:lineRule="auto"/>
      </w:pPr>
      <w:r>
        <w:t>3.</w:t>
      </w:r>
      <w:r w:rsidR="00BE23E8">
        <w:t>2</w:t>
      </w:r>
      <w:r>
        <w:tab/>
        <w:t xml:space="preserve">The author argues that </w:t>
      </w:r>
      <w:r w:rsidR="007E2F11">
        <w:t>a</w:t>
      </w:r>
      <w:r w:rsidR="0057712D">
        <w:t>llegations of defaming the judiciary were</w:t>
      </w:r>
      <w:r w:rsidR="00B55798">
        <w:t xml:space="preserve"> never pursued by the Solicitor-</w:t>
      </w:r>
      <w:r w:rsidR="0057712D">
        <w:t xml:space="preserve">General in a </w:t>
      </w:r>
      <w:r w:rsidR="00B472AD">
        <w:t>c</w:t>
      </w:r>
      <w:r w:rsidR="0057712D">
        <w:t>ourt of law.</w:t>
      </w:r>
      <w:r w:rsidR="00A01CCF">
        <w:t xml:space="preserve"> </w:t>
      </w:r>
      <w:r w:rsidR="00684589">
        <w:t xml:space="preserve">Instead, </w:t>
      </w:r>
      <w:r w:rsidR="00F636F7">
        <w:t>the Solicitor-General</w:t>
      </w:r>
      <w:r w:rsidR="00684589">
        <w:t xml:space="preserve"> attempted to</w:t>
      </w:r>
      <w:r w:rsidR="007E2F11">
        <w:t xml:space="preserve"> </w:t>
      </w:r>
      <w:r w:rsidR="00427E99">
        <w:t xml:space="preserve">shut down his websites </w:t>
      </w:r>
      <w:r w:rsidR="00B472AD">
        <w:t xml:space="preserve">administratively, </w:t>
      </w:r>
      <w:r w:rsidR="00427E99">
        <w:t xml:space="preserve">without any court order or decree and without </w:t>
      </w:r>
      <w:r w:rsidR="00427E99">
        <w:lastRenderedPageBreak/>
        <w:t>providing a legal reason as to wh</w:t>
      </w:r>
      <w:r w:rsidR="007E2F11">
        <w:t>y the publication was unlawful</w:t>
      </w:r>
      <w:r w:rsidR="00D16320">
        <w:t xml:space="preserve">, which also breached article 19 </w:t>
      </w:r>
      <w:r w:rsidR="00B472AD">
        <w:t>(</w:t>
      </w:r>
      <w:r w:rsidR="00D16320">
        <w:t>2</w:t>
      </w:r>
      <w:r w:rsidR="00B472AD">
        <w:t>)</w:t>
      </w:r>
      <w:r w:rsidR="00D16320">
        <w:t xml:space="preserve"> of the Covenant.</w:t>
      </w:r>
    </w:p>
    <w:p w14:paraId="65445C59" w14:textId="77777777" w:rsidR="00935AF5" w:rsidRDefault="00BE23E8" w:rsidP="00F636F7">
      <w:pPr>
        <w:pStyle w:val="SingleTxtG"/>
        <w:spacing w:line="240" w:lineRule="auto"/>
      </w:pPr>
      <w:r>
        <w:t>3.3</w:t>
      </w:r>
      <w:r>
        <w:tab/>
      </w:r>
      <w:r w:rsidR="00FB6C85">
        <w:t>Regarding the contempt proceedings initiated by the Solicitor-General, t</w:t>
      </w:r>
      <w:r w:rsidR="00935AF5">
        <w:t>he author claims that his rights under</w:t>
      </w:r>
      <w:r w:rsidR="00847427">
        <w:t xml:space="preserve"> article 14 </w:t>
      </w:r>
      <w:r w:rsidR="00B472AD">
        <w:t>(</w:t>
      </w:r>
      <w:r w:rsidR="00847427">
        <w:t>1</w:t>
      </w:r>
      <w:r w:rsidR="00B472AD">
        <w:t>)</w:t>
      </w:r>
      <w:r w:rsidR="00935AF5">
        <w:t xml:space="preserve"> were violated. The sole witness </w:t>
      </w:r>
      <w:r w:rsidR="00F636F7">
        <w:t>put forward by the Solicitor-</w:t>
      </w:r>
      <w:r w:rsidR="00847427">
        <w:t xml:space="preserve">General </w:t>
      </w:r>
      <w:r w:rsidR="00935AF5">
        <w:t xml:space="preserve">was a junior lawyer in the Crown </w:t>
      </w:r>
      <w:r w:rsidR="00B472AD">
        <w:t>P</w:t>
      </w:r>
      <w:r w:rsidR="00935AF5">
        <w:t>rosecut</w:t>
      </w:r>
      <w:r w:rsidR="00B472AD">
        <w:t>or’s</w:t>
      </w:r>
      <w:r w:rsidR="00935AF5">
        <w:t xml:space="preserve"> </w:t>
      </w:r>
      <w:r w:rsidR="00B472AD">
        <w:t>O</w:t>
      </w:r>
      <w:r w:rsidR="00935AF5">
        <w:t>ffice, who testified that her only role was to print pages off the websites and not to give a legal opinion or even read what she had been directed to print</w:t>
      </w:r>
      <w:r w:rsidR="00B472AD">
        <w:t>, and the only reference came from that witness</w:t>
      </w:r>
      <w:r w:rsidR="00935AF5">
        <w:t>.</w:t>
      </w:r>
      <w:r w:rsidR="00847427">
        <w:t xml:space="preserve"> The author</w:t>
      </w:r>
      <w:r w:rsidR="00935AF5">
        <w:t xml:space="preserve"> was not allowed to question t</w:t>
      </w:r>
      <w:r w:rsidR="00847427">
        <w:t>he</w:t>
      </w:r>
      <w:r w:rsidR="00935AF5">
        <w:t xml:space="preserve"> prosecution witness, that being an important element of a fair trial. Therefore, he was denied his right to be presumed innocent. The judgement rendered by the High Court relied on information from his websites that had long been censored.</w:t>
      </w:r>
      <w:r w:rsidR="005149C2">
        <w:t xml:space="preserve"> The author contends that the High Court predetermined the outcome of his trial.</w:t>
      </w:r>
      <w:r w:rsidR="00935AF5">
        <w:t xml:space="preserve"> </w:t>
      </w:r>
    </w:p>
    <w:p w14:paraId="0A97AAA3" w14:textId="77777777" w:rsidR="005149C2" w:rsidRDefault="00F636F7" w:rsidP="00F636F7">
      <w:pPr>
        <w:pStyle w:val="SingleTxtG"/>
        <w:spacing w:line="240" w:lineRule="auto"/>
      </w:pPr>
      <w:r>
        <w:t>3.4</w:t>
      </w:r>
      <w:r>
        <w:tab/>
      </w:r>
      <w:r w:rsidR="005149C2">
        <w:t>With regard to the proceedings before the Supreme Court, the author notes that</w:t>
      </w:r>
      <w:r w:rsidR="00A27402">
        <w:t>,</w:t>
      </w:r>
      <w:r w:rsidR="005149C2">
        <w:t xml:space="preserve"> although he produced e</w:t>
      </w:r>
      <w:r w:rsidR="00433E12">
        <w:t>vidence to prove</w:t>
      </w:r>
      <w:r w:rsidR="005149C2">
        <w:t xml:space="preserve"> that </w:t>
      </w:r>
      <w:r w:rsidR="00433E12">
        <w:t>the Crown Law Office and the Domain Name Commissioner had acknowledged that his websites were compliant with the injunction, the Supreme Court refused to analyse this evidence. Instead, the Supreme Court upheld his contempt committal on the basis of a blinkered quotation from the Crown’s legal submissions and without any evidence to support the finding of his guilt. He adds that he was sentence</w:t>
      </w:r>
      <w:r w:rsidR="004E6B8A">
        <w:t>d</w:t>
      </w:r>
      <w:r w:rsidR="00433E12">
        <w:t xml:space="preserve"> to the maximum punishment available before he could assert his right to trial by jury.</w:t>
      </w:r>
    </w:p>
    <w:p w14:paraId="7779DCB1" w14:textId="77777777" w:rsidR="00F636F7" w:rsidRDefault="00F636F7" w:rsidP="00F636F7">
      <w:pPr>
        <w:pStyle w:val="SingleTxtG"/>
        <w:spacing w:line="240" w:lineRule="auto"/>
      </w:pPr>
      <w:r>
        <w:t>3.5</w:t>
      </w:r>
      <w:r>
        <w:tab/>
        <w:t xml:space="preserve">The author claims to be victim of a violation of article 9 </w:t>
      </w:r>
      <w:r w:rsidR="00A27402">
        <w:t>(</w:t>
      </w:r>
      <w:r>
        <w:t>1</w:t>
      </w:r>
      <w:r w:rsidR="00A27402">
        <w:t>)</w:t>
      </w:r>
      <w:r>
        <w:t xml:space="preserve"> of the Covenant because he was detained for five hours</w:t>
      </w:r>
      <w:r w:rsidRPr="00F636F7">
        <w:t xml:space="preserve"> </w:t>
      </w:r>
      <w:r>
        <w:t xml:space="preserve">in his house by the police, who exhibited a search warrant but failed to </w:t>
      </w:r>
      <w:r w:rsidR="00A27402">
        <w:t xml:space="preserve">indicate </w:t>
      </w:r>
      <w:r>
        <w:t xml:space="preserve">the name of the </w:t>
      </w:r>
      <w:r w:rsidR="00A27402">
        <w:t>D</w:t>
      </w:r>
      <w:r>
        <w:t xml:space="preserve">eputy </w:t>
      </w:r>
      <w:r w:rsidR="00A27402">
        <w:t>R</w:t>
      </w:r>
      <w:r>
        <w:t xml:space="preserve">egistrar of the District </w:t>
      </w:r>
      <w:r w:rsidR="00A27402">
        <w:t>C</w:t>
      </w:r>
      <w:r>
        <w:t>ourt who</w:t>
      </w:r>
      <w:r w:rsidR="00A27402">
        <w:t xml:space="preserve"> had</w:t>
      </w:r>
      <w:r>
        <w:t xml:space="preserve"> signed the order, and</w:t>
      </w:r>
      <w:r w:rsidR="00A27402">
        <w:t xml:space="preserve"> because</w:t>
      </w:r>
      <w:r>
        <w:t xml:space="preserve"> the Auckland High Court denied his application to see a copy of the affidavit used to support the search warrant. Therefore, the police failed to prove that the search warrant was legal and his detention in his house was</w:t>
      </w:r>
      <w:r w:rsidR="00A27402">
        <w:t xml:space="preserve"> not</w:t>
      </w:r>
      <w:r>
        <w:t xml:space="preserve"> arbitrary. Additionally, the police confiscated his property and refused to return it</w:t>
      </w:r>
      <w:r w:rsidR="00A27402">
        <w:t>,</w:t>
      </w:r>
      <w:r>
        <w:t xml:space="preserve"> despite the fact that he was not charged with any offence. He adds that, although three eyewitnesses had supported his unlawful detention complaint, the Independent Police </w:t>
      </w:r>
      <w:r w:rsidR="00A27402">
        <w:t xml:space="preserve">Conduct </w:t>
      </w:r>
      <w:r>
        <w:t xml:space="preserve">Authority failed to interview any of them before </w:t>
      </w:r>
      <w:r w:rsidRPr="004E6B8A">
        <w:t>dismissing his complaint</w:t>
      </w:r>
      <w:r>
        <w:t>. The author notes that the fact that there was such a serious raid of his house without any evidence to argue that he had any “terrorist ties” shows the underlying political motivation to quell his criticism of the judiciary and the Solicitor</w:t>
      </w:r>
      <w:r w:rsidR="008561FE">
        <w:t>-</w:t>
      </w:r>
      <w:r>
        <w:t>General.</w:t>
      </w:r>
    </w:p>
    <w:p w14:paraId="19147C52" w14:textId="77777777" w:rsidR="00700484" w:rsidRDefault="00700484" w:rsidP="00BE23E8">
      <w:pPr>
        <w:pStyle w:val="SingleTxtG"/>
        <w:spacing w:line="240" w:lineRule="auto"/>
      </w:pPr>
      <w:r>
        <w:t>3.6</w:t>
      </w:r>
      <w:r>
        <w:tab/>
        <w:t xml:space="preserve">The author </w:t>
      </w:r>
      <w:r w:rsidR="00F636F7">
        <w:t>proposes</w:t>
      </w:r>
      <w:r w:rsidR="00B47DB8">
        <w:t xml:space="preserve"> </w:t>
      </w:r>
      <w:r w:rsidR="00F636F7">
        <w:t>that the Committee request</w:t>
      </w:r>
      <w:r>
        <w:t xml:space="preserve"> whatever remedies may be appropriate to ensure that </w:t>
      </w:r>
      <w:r w:rsidR="00F636F7">
        <w:t>he</w:t>
      </w:r>
      <w:r>
        <w:t xml:space="preserve"> is able to practi</w:t>
      </w:r>
      <w:r w:rsidR="008561FE">
        <w:t>s</w:t>
      </w:r>
      <w:r>
        <w:t>e journalism in New Zealand without fear of persecution, protecting his reputation and preventing future unlawful incarcerations, and that the State party is appropriately sanctioned for its actions.</w:t>
      </w:r>
    </w:p>
    <w:p w14:paraId="41F21FBE" w14:textId="77777777" w:rsidR="003521FD" w:rsidRPr="00A36331" w:rsidRDefault="003521FD" w:rsidP="006358CB">
      <w:pPr>
        <w:pStyle w:val="H23G"/>
        <w:spacing w:line="240" w:lineRule="auto"/>
      </w:pPr>
      <w:r w:rsidRPr="00A36331">
        <w:tab/>
      </w:r>
      <w:r w:rsidRPr="00A36331">
        <w:tab/>
        <w:t>State party’s observations on admissibility</w:t>
      </w:r>
    </w:p>
    <w:p w14:paraId="00B8A095" w14:textId="77777777" w:rsidR="00187E78" w:rsidRDefault="003521FD" w:rsidP="00CE64BF">
      <w:pPr>
        <w:pStyle w:val="SingleTxtG"/>
        <w:spacing w:line="240" w:lineRule="auto"/>
      </w:pPr>
      <w:r w:rsidRPr="00A36331">
        <w:t>4.1</w:t>
      </w:r>
      <w:r w:rsidRPr="00A36331">
        <w:tab/>
      </w:r>
      <w:r w:rsidR="006A049C">
        <w:t xml:space="preserve">On 1 September 2011, the State party provided its comments on the admissibility of the communication. </w:t>
      </w:r>
    </w:p>
    <w:p w14:paraId="45F51E77" w14:textId="77777777" w:rsidR="006A049C" w:rsidRDefault="00187E78" w:rsidP="00187E78">
      <w:pPr>
        <w:pStyle w:val="SingleTxtG"/>
        <w:spacing w:line="240" w:lineRule="auto"/>
      </w:pPr>
      <w:r>
        <w:t>4.2</w:t>
      </w:r>
      <w:r>
        <w:tab/>
      </w:r>
      <w:r w:rsidR="006A049C">
        <w:t>The State party contends that the aut</w:t>
      </w:r>
      <w:r>
        <w:t>hor’s allegations under article</w:t>
      </w:r>
      <w:r w:rsidR="006A049C">
        <w:t xml:space="preserve"> 9 have not been brought at the domestic level and domestic remedies have therefore not been exhausted.</w:t>
      </w:r>
      <w:r w:rsidR="00CE64BF">
        <w:t xml:space="preserve"> </w:t>
      </w:r>
      <w:r w:rsidR="00E024F8">
        <w:t xml:space="preserve">It notes that the validity of a search warrant or the unlawful conduct of a search may be challenged through the courts. </w:t>
      </w:r>
      <w:r w:rsidR="00CE64BF">
        <w:t>The State party adds that, with regard to the allegation of inappropriate questioning during the police raid, the issue was investigated by the Independent Police Conduct Authority</w:t>
      </w:r>
      <w:r w:rsidR="00D733C3">
        <w:t>,</w:t>
      </w:r>
      <w:r w:rsidR="00E024F8">
        <w:rPr>
          <w:rStyle w:val="FootnoteReference"/>
        </w:rPr>
        <w:footnoteReference w:id="6"/>
      </w:r>
      <w:r w:rsidR="006F31F9">
        <w:t xml:space="preserve"> which concluded that the police officers acted under a duly issued warrant and were entitled to restrict the author’s movements so far as necessary to prevent </w:t>
      </w:r>
      <w:r w:rsidR="008561FE">
        <w:t xml:space="preserve">the </w:t>
      </w:r>
      <w:r w:rsidR="006F31F9">
        <w:t xml:space="preserve">obstruction of that search. It </w:t>
      </w:r>
      <w:r w:rsidR="00CE64BF">
        <w:t xml:space="preserve">found </w:t>
      </w:r>
      <w:r w:rsidR="006F31F9">
        <w:t xml:space="preserve">the conduct of the police officer who prevented the author from making coffee before he answered police questions </w:t>
      </w:r>
      <w:r w:rsidR="00CE64BF">
        <w:t xml:space="preserve">to be “unwise” but </w:t>
      </w:r>
      <w:r w:rsidR="008561FE">
        <w:t xml:space="preserve">that his actions did </w:t>
      </w:r>
      <w:r w:rsidR="00CE64BF">
        <w:t>not to amount to “serious misconduct”. As there is no basis on which to question that finding, the allegation is inadmissible as insufficiently substantiated.</w:t>
      </w:r>
      <w:r w:rsidR="00A01CCF">
        <w:t xml:space="preserve"> </w:t>
      </w:r>
      <w:r w:rsidR="00CE64BF">
        <w:t xml:space="preserve">As to the allegation that seized property was not returned, the State party notes that this relates to the right to property and is therefore inadmissible </w:t>
      </w:r>
      <w:r w:rsidR="00CE64BF" w:rsidRPr="00CE64BF">
        <w:rPr>
          <w:i/>
        </w:rPr>
        <w:t>ratione materiae</w:t>
      </w:r>
      <w:r w:rsidR="00CE64BF">
        <w:t xml:space="preserve"> under article 3 of the Optional Protocol.</w:t>
      </w:r>
    </w:p>
    <w:p w14:paraId="679E86C2" w14:textId="77777777" w:rsidR="00187E78" w:rsidRDefault="00187E78" w:rsidP="00187E78">
      <w:pPr>
        <w:pStyle w:val="SingleTxtG"/>
        <w:spacing w:line="240" w:lineRule="auto"/>
      </w:pPr>
      <w:r>
        <w:t>4.3</w:t>
      </w:r>
      <w:r>
        <w:tab/>
        <w:t xml:space="preserve">As to the author’s claims under article 19 </w:t>
      </w:r>
      <w:r w:rsidR="008561FE">
        <w:t>(</w:t>
      </w:r>
      <w:r>
        <w:t>2</w:t>
      </w:r>
      <w:r w:rsidR="008561FE">
        <w:t>)</w:t>
      </w:r>
      <w:r>
        <w:t xml:space="preserve"> regarding the </w:t>
      </w:r>
      <w:r w:rsidR="00466E32">
        <w:t>Solicitor</w:t>
      </w:r>
      <w:r w:rsidR="00E47285">
        <w:t>-</w:t>
      </w:r>
      <w:r w:rsidR="00466E32">
        <w:t xml:space="preserve">General’s </w:t>
      </w:r>
      <w:r>
        <w:t>request to remove material from his website</w:t>
      </w:r>
      <w:r w:rsidR="00466E32">
        <w:t xml:space="preserve">, the State party argues that this claim has never been raised before national courts and domestic remedies have not been exhausted. The State party adds that it is also inadmissible under article 1 </w:t>
      </w:r>
      <w:r w:rsidR="00D005BC">
        <w:t xml:space="preserve">of the Optional Protocol </w:t>
      </w:r>
      <w:r w:rsidR="00466E32">
        <w:t>as the request was never granted and therefore the author cannot claim to be victim of an actual breach.</w:t>
      </w:r>
    </w:p>
    <w:p w14:paraId="47A4A960" w14:textId="77777777" w:rsidR="006B47B9" w:rsidRDefault="006A049C" w:rsidP="00670C95">
      <w:pPr>
        <w:pStyle w:val="SingleTxtG"/>
        <w:spacing w:line="240" w:lineRule="auto"/>
      </w:pPr>
      <w:r>
        <w:t>4.</w:t>
      </w:r>
      <w:r w:rsidR="00CE64BF">
        <w:t>4</w:t>
      </w:r>
      <w:r>
        <w:tab/>
        <w:t>With regard to the author’s allegations under article</w:t>
      </w:r>
      <w:r w:rsidR="008561FE">
        <w:t>s</w:t>
      </w:r>
      <w:r>
        <w:t xml:space="preserve"> 14 </w:t>
      </w:r>
      <w:r w:rsidR="008561FE">
        <w:t>(</w:t>
      </w:r>
      <w:r>
        <w:t>1</w:t>
      </w:r>
      <w:r w:rsidR="008561FE">
        <w:t>)</w:t>
      </w:r>
      <w:r>
        <w:t xml:space="preserve"> </w:t>
      </w:r>
      <w:r w:rsidR="00957293">
        <w:t xml:space="preserve">and 19 </w:t>
      </w:r>
      <w:r w:rsidR="008561FE">
        <w:t>(</w:t>
      </w:r>
      <w:r w:rsidR="00957293">
        <w:t>2</w:t>
      </w:r>
      <w:r w:rsidR="008561FE">
        <w:t>)</w:t>
      </w:r>
      <w:r w:rsidR="00957293">
        <w:t xml:space="preserve"> </w:t>
      </w:r>
      <w:r w:rsidR="003E6C62">
        <w:t xml:space="preserve">concerning </w:t>
      </w:r>
      <w:r w:rsidR="00957293">
        <w:t xml:space="preserve">the </w:t>
      </w:r>
      <w:r w:rsidR="006B47B9">
        <w:t>domestic court</w:t>
      </w:r>
      <w:r w:rsidR="006F31F9">
        <w:t xml:space="preserve"> proceedings</w:t>
      </w:r>
      <w:r w:rsidR="00957293">
        <w:t xml:space="preserve">, </w:t>
      </w:r>
      <w:r>
        <w:t xml:space="preserve">the State party notes that the author is seeking that the Committee revisit findings as to </w:t>
      </w:r>
      <w:r w:rsidR="00063B62">
        <w:t xml:space="preserve">the assessment of </w:t>
      </w:r>
      <w:r>
        <w:t>evidence and application of national law by domestic courts. The State party claims that this part of the communication is inadmissible as it has not been sufficiently substantiated and/or is incompatible with the Covenant.</w:t>
      </w:r>
      <w:r w:rsidR="00CE64BF">
        <w:t xml:space="preserve"> It notes that the author’s allegations </w:t>
      </w:r>
      <w:r w:rsidR="006F31F9">
        <w:t xml:space="preserve">of unfair trial relate to evidential, procedural and legal determinations by </w:t>
      </w:r>
      <w:r w:rsidR="006B47B9">
        <w:t>national c</w:t>
      </w:r>
      <w:r w:rsidR="006F31F9">
        <w:t>ourt</w:t>
      </w:r>
      <w:r w:rsidR="006B47B9">
        <w:t>s and</w:t>
      </w:r>
      <w:r w:rsidR="006F31F9">
        <w:t xml:space="preserve"> the author </w:t>
      </w:r>
      <w:r w:rsidR="006B47B9">
        <w:t>has failed to assert</w:t>
      </w:r>
      <w:r w:rsidR="006F31F9">
        <w:t xml:space="preserve"> any adequate basis on which to establish manifest injustice or arbitrariness that woul</w:t>
      </w:r>
      <w:r w:rsidR="006B47B9">
        <w:t xml:space="preserve">d warrant reconsideration of the </w:t>
      </w:r>
      <w:r w:rsidR="006F31F9">
        <w:t>findings</w:t>
      </w:r>
      <w:r w:rsidR="006B47B9">
        <w:t xml:space="preserve"> of the High Court</w:t>
      </w:r>
      <w:r w:rsidR="006F31F9">
        <w:t>.</w:t>
      </w:r>
      <w:r w:rsidR="006B47B9">
        <w:t xml:space="preserve"> </w:t>
      </w:r>
    </w:p>
    <w:p w14:paraId="1302AD1B" w14:textId="77777777" w:rsidR="003521FD" w:rsidRPr="00A36331" w:rsidRDefault="003521FD" w:rsidP="006358CB">
      <w:pPr>
        <w:pStyle w:val="H23G"/>
        <w:spacing w:line="240" w:lineRule="auto"/>
      </w:pPr>
      <w:r>
        <w:tab/>
      </w:r>
      <w:r>
        <w:tab/>
      </w:r>
      <w:r w:rsidRPr="00A36331">
        <w:t>Author’s comments on the State party’s observations</w:t>
      </w:r>
    </w:p>
    <w:p w14:paraId="68B7A77E" w14:textId="77777777" w:rsidR="002E42A7" w:rsidRDefault="003521FD" w:rsidP="002E42A7">
      <w:pPr>
        <w:pStyle w:val="SingleTxtG"/>
        <w:spacing w:line="240" w:lineRule="auto"/>
      </w:pPr>
      <w:r w:rsidRPr="00A36331">
        <w:t>5.1</w:t>
      </w:r>
      <w:r w:rsidRPr="00A36331">
        <w:tab/>
      </w:r>
      <w:r w:rsidR="002E42A7">
        <w:t>In his submission of 30 November 2011, t</w:t>
      </w:r>
      <w:r w:rsidR="006B47B9">
        <w:t xml:space="preserve">he author notes that, </w:t>
      </w:r>
      <w:r w:rsidR="002E42A7">
        <w:t>since he submitted his communication to the Committee, he has again been found in contempt of court and sentenced to a term of imprisonment for publishing a judg</w:t>
      </w:r>
      <w:r w:rsidR="003E6C62">
        <w:t>e</w:t>
      </w:r>
      <w:r w:rsidR="002E42A7">
        <w:t xml:space="preserve">ment </w:t>
      </w:r>
      <w:r w:rsidR="003E6C62">
        <w:t xml:space="preserve">that </w:t>
      </w:r>
      <w:r w:rsidR="002E42A7">
        <w:t xml:space="preserve">denied the right to trial </w:t>
      </w:r>
      <w:r w:rsidR="003E6C62">
        <w:t xml:space="preserve">by jury </w:t>
      </w:r>
      <w:r w:rsidR="002E42A7">
        <w:t xml:space="preserve">in a renowned case of “unsuccessful terrorist prosecution”. He argues </w:t>
      </w:r>
      <w:r w:rsidR="00D032CF">
        <w:t xml:space="preserve">that </w:t>
      </w:r>
      <w:r w:rsidR="002E42A7">
        <w:t xml:space="preserve">a campaign </w:t>
      </w:r>
      <w:r w:rsidR="00D032CF">
        <w:t>has been brought against him</w:t>
      </w:r>
      <w:r w:rsidR="002E42A7">
        <w:t xml:space="preserve"> by various branches of government to oppress him.</w:t>
      </w:r>
    </w:p>
    <w:p w14:paraId="68A17FF0" w14:textId="77777777" w:rsidR="0046417B" w:rsidRDefault="0046417B" w:rsidP="008A6BF7">
      <w:pPr>
        <w:pStyle w:val="SingleTxtG"/>
        <w:spacing w:line="240" w:lineRule="auto"/>
      </w:pPr>
      <w:r>
        <w:t>5.2</w:t>
      </w:r>
      <w:r>
        <w:tab/>
        <w:t xml:space="preserve">With regard to the State party’s argument that he could have challenged the validity of the search warrant domestically, the author argues that such action would have been futile and ineffective. He notes that, although he was never charged </w:t>
      </w:r>
      <w:r w:rsidR="00F636F7">
        <w:t>as a result of</w:t>
      </w:r>
      <w:r>
        <w:t xml:space="preserve"> the search warrant executed on his home and publishing business, his application to the High Court to see the affidavit that the </w:t>
      </w:r>
      <w:r w:rsidR="003E6C62">
        <w:t>S</w:t>
      </w:r>
      <w:r>
        <w:t>tate used to obtain the warrant was denied</w:t>
      </w:r>
      <w:r w:rsidR="00F636F7">
        <w:t>,</w:t>
      </w:r>
      <w:r>
        <w:t xml:space="preserve"> so he was never able to check the validity of grounds of the warrant application. The author contends that it is disingenuous to posit that he has failed to exhaust domestic remedies when the </w:t>
      </w:r>
      <w:r w:rsidR="0031183E">
        <w:t>C</w:t>
      </w:r>
      <w:r>
        <w:t xml:space="preserve">ourt refused him permission to even see the affidavit </w:t>
      </w:r>
      <w:r w:rsidR="0031183E">
        <w:t xml:space="preserve">on which </w:t>
      </w:r>
      <w:r>
        <w:t xml:space="preserve">the search warrant was based. The author adds that he has sought </w:t>
      </w:r>
      <w:r w:rsidR="0031183E">
        <w:t xml:space="preserve">to affirm </w:t>
      </w:r>
      <w:r>
        <w:t>his rights through</w:t>
      </w:r>
      <w:r w:rsidR="0031183E">
        <w:t>,</w:t>
      </w:r>
      <w:r>
        <w:t xml:space="preserve"> basically</w:t>
      </w:r>
      <w:r w:rsidR="0031183E">
        <w:t>,</w:t>
      </w:r>
      <w:r>
        <w:t xml:space="preserve"> every possible avenue</w:t>
      </w:r>
      <w:r w:rsidR="008A6BF7">
        <w:t xml:space="preserve"> but has been denied the right to </w:t>
      </w:r>
      <w:r w:rsidR="0031183E">
        <w:t xml:space="preserve">a </w:t>
      </w:r>
      <w:r w:rsidR="008A6BF7">
        <w:t xml:space="preserve">trial and has had claims repeatedly </w:t>
      </w:r>
      <w:r w:rsidR="00AD1F34">
        <w:t>s</w:t>
      </w:r>
      <w:r w:rsidR="008A6BF7">
        <w:t>truck out and/or had security for costs imposed such as to preclude him</w:t>
      </w:r>
      <w:r w:rsidR="0031183E">
        <w:t xml:space="preserve"> from</w:t>
      </w:r>
      <w:r w:rsidR="008A6BF7">
        <w:t xml:space="preserve"> the opportunity to take his cases to trial because he could clearly not afford to pay the sums </w:t>
      </w:r>
      <w:r w:rsidR="0031183E">
        <w:t xml:space="preserve">necessary </w:t>
      </w:r>
      <w:r w:rsidR="008A6BF7">
        <w:t>to be granted a hearing date.</w:t>
      </w:r>
    </w:p>
    <w:p w14:paraId="16B5FAFF" w14:textId="77777777" w:rsidR="008A6BF7" w:rsidRDefault="008A6BF7" w:rsidP="008A6BF7">
      <w:pPr>
        <w:pStyle w:val="SingleTxtG"/>
        <w:spacing w:line="240" w:lineRule="auto"/>
      </w:pPr>
      <w:r>
        <w:t>5.3</w:t>
      </w:r>
      <w:r>
        <w:tab/>
      </w:r>
      <w:r w:rsidR="00E63750">
        <w:t xml:space="preserve">As to the State party’s arguments under articles 2 and 3 of the Optional Protocol, the author contends that the purpose of his claim is to ask the Committee to examine whether the conduct of the public officials </w:t>
      </w:r>
      <w:r w:rsidR="00EB5783">
        <w:t>involved in the decision</w:t>
      </w:r>
      <w:r w:rsidR="001C5CF8">
        <w:t>-</w:t>
      </w:r>
      <w:r w:rsidR="00EB5783">
        <w:t xml:space="preserve">making </w:t>
      </w:r>
      <w:r w:rsidR="00E63750">
        <w:t>was proper</w:t>
      </w:r>
      <w:r w:rsidR="001C5CF8">
        <w:t>,</w:t>
      </w:r>
      <w:r w:rsidR="00E63750">
        <w:t xml:space="preserve"> as opposed to merely attempting to revisit findings of fact and of national law. He notes the distinction between the finding itself and the procedure or conduct of the judiciary that led to it. </w:t>
      </w:r>
    </w:p>
    <w:p w14:paraId="5E6AD630" w14:textId="77777777" w:rsidR="00E63750" w:rsidRDefault="00E63750" w:rsidP="008A6BF7">
      <w:pPr>
        <w:pStyle w:val="SingleTxtG"/>
        <w:spacing w:line="240" w:lineRule="auto"/>
      </w:pPr>
      <w:r>
        <w:t>5.4</w:t>
      </w:r>
      <w:r>
        <w:tab/>
        <w:t>With regard to the State party’s argument that the restitution of his confiscated property is an issue related to the right to property, the author notes that he did not make any argument centred around the right to property</w:t>
      </w:r>
      <w:r w:rsidR="0069145F">
        <w:t>,</w:t>
      </w:r>
      <w:r>
        <w:t xml:space="preserve"> but rather presented that information as a piece of evidence that further indicates the illegality of the police actions in the raid</w:t>
      </w:r>
      <w:r w:rsidR="00174CAB">
        <w:t xml:space="preserve"> </w:t>
      </w:r>
      <w:r>
        <w:t xml:space="preserve">as a component of </w:t>
      </w:r>
      <w:r w:rsidR="0069145F">
        <w:t xml:space="preserve">breaches of </w:t>
      </w:r>
      <w:r>
        <w:t>article 9.</w:t>
      </w:r>
    </w:p>
    <w:p w14:paraId="43A7C934" w14:textId="77777777" w:rsidR="00E63750" w:rsidRPr="008A6BF7" w:rsidRDefault="00E63750" w:rsidP="008A6BF7">
      <w:pPr>
        <w:pStyle w:val="SingleTxtG"/>
        <w:spacing w:line="240" w:lineRule="auto"/>
      </w:pPr>
      <w:r>
        <w:t>5.5</w:t>
      </w:r>
      <w:r>
        <w:tab/>
      </w:r>
      <w:r w:rsidR="00EB5783">
        <w:t xml:space="preserve">Finally, as to the State party’s argument that his claim </w:t>
      </w:r>
      <w:r w:rsidR="008C698E">
        <w:t>regarding the Solicitor</w:t>
      </w:r>
      <w:r w:rsidR="00301707">
        <w:t>-</w:t>
      </w:r>
      <w:r w:rsidR="008C698E">
        <w:t>General’s conduct is inadmissible under article 1 of the Optional Protocol, the author notes that human rights instruments such as the Covenant should be interpreted broadly. The author adds that an attempt is just as reprehensible as a concluded act. Additionally, the Solicitor</w:t>
      </w:r>
      <w:r w:rsidR="00C744C3">
        <w:t>-</w:t>
      </w:r>
      <w:r w:rsidR="008C698E">
        <w:t>General’s actions were successful in temporarily “parkin</w:t>
      </w:r>
      <w:r w:rsidR="00FB767C">
        <w:t>g</w:t>
      </w:r>
      <w:r w:rsidR="008C698E">
        <w:t>” his website until he was able to convince</w:t>
      </w:r>
      <w:r w:rsidR="00301707">
        <w:t xml:space="preserve"> the web</w:t>
      </w:r>
      <w:r w:rsidR="00C744C3">
        <w:t xml:space="preserve"> </w:t>
      </w:r>
      <w:r w:rsidR="00301707">
        <w:t>host that the Solicitor-</w:t>
      </w:r>
      <w:r w:rsidR="008C698E">
        <w:t>General’s demands wer</w:t>
      </w:r>
      <w:r w:rsidR="00301707">
        <w:t>e unlawful. Also, the Solicitor-</w:t>
      </w:r>
      <w:r w:rsidR="008C698E">
        <w:t>General’s actions have harmed his reputation.</w:t>
      </w:r>
    </w:p>
    <w:p w14:paraId="16DE9A99" w14:textId="77777777" w:rsidR="003521FD" w:rsidRPr="00A36331" w:rsidRDefault="003521FD" w:rsidP="006358CB">
      <w:pPr>
        <w:pStyle w:val="H23G"/>
        <w:spacing w:line="240" w:lineRule="auto"/>
      </w:pPr>
      <w:r w:rsidRPr="00A36331">
        <w:tab/>
      </w:r>
      <w:r w:rsidRPr="00A36331">
        <w:tab/>
        <w:t>Issues and proceedings before the Committee</w:t>
      </w:r>
    </w:p>
    <w:p w14:paraId="74DD96BA" w14:textId="77777777" w:rsidR="003521FD" w:rsidRPr="00A36331" w:rsidRDefault="003521FD" w:rsidP="006358CB">
      <w:pPr>
        <w:pStyle w:val="H4G"/>
        <w:spacing w:line="240" w:lineRule="auto"/>
        <w:rPr>
          <w:lang w:val="en-US"/>
        </w:rPr>
      </w:pPr>
      <w:r w:rsidRPr="00A36331">
        <w:rPr>
          <w:lang w:val="en-US"/>
        </w:rPr>
        <w:tab/>
      </w:r>
      <w:r w:rsidRPr="00A36331">
        <w:rPr>
          <w:lang w:val="en-US"/>
        </w:rPr>
        <w:tab/>
        <w:t>Consideration of admissibility</w:t>
      </w:r>
    </w:p>
    <w:p w14:paraId="73EC51C8" w14:textId="77777777" w:rsidR="003521FD" w:rsidRPr="00A36331" w:rsidRDefault="00D92F83" w:rsidP="006358CB">
      <w:pPr>
        <w:pStyle w:val="SingleTxtG"/>
        <w:spacing w:line="240" w:lineRule="auto"/>
        <w:rPr>
          <w:lang w:val="en-US"/>
        </w:rPr>
      </w:pPr>
      <w:r>
        <w:rPr>
          <w:lang w:val="en-US"/>
        </w:rPr>
        <w:t>6</w:t>
      </w:r>
      <w:r w:rsidR="00D733C3">
        <w:rPr>
          <w:lang w:val="en-US"/>
        </w:rPr>
        <w:t>.1</w:t>
      </w:r>
      <w:r w:rsidR="003521FD" w:rsidRPr="00A36331">
        <w:rPr>
          <w:lang w:val="en-US"/>
        </w:rPr>
        <w:tab/>
        <w:t>Before considering any claims contained in a communication, the Committee must, in accordance with rule 93 of its rules of procedure, decide whether it is admissible under the Optional Protocol to the Covenant.</w:t>
      </w:r>
    </w:p>
    <w:p w14:paraId="4C0A5B5E" w14:textId="77777777" w:rsidR="00D26131" w:rsidRDefault="00D92F83" w:rsidP="00982C12">
      <w:pPr>
        <w:pStyle w:val="SingleTxtG"/>
      </w:pPr>
      <w:r>
        <w:rPr>
          <w:lang w:val="en-US"/>
        </w:rPr>
        <w:t>6</w:t>
      </w:r>
      <w:r w:rsidR="00D733C3">
        <w:rPr>
          <w:lang w:val="en-US"/>
        </w:rPr>
        <w:t>.2</w:t>
      </w:r>
      <w:r w:rsidR="003521FD" w:rsidRPr="00A36331">
        <w:rPr>
          <w:lang w:val="en-US"/>
        </w:rPr>
        <w:tab/>
      </w:r>
      <w:r w:rsidR="00D26131">
        <w:t xml:space="preserve">The Committee notes, as required by article 5 </w:t>
      </w:r>
      <w:r w:rsidR="00C744C3">
        <w:t>(</w:t>
      </w:r>
      <w:r w:rsidR="00D26131">
        <w:t>2</w:t>
      </w:r>
      <w:r w:rsidR="00C744C3">
        <w:t>)</w:t>
      </w:r>
      <w:r w:rsidR="00D26131">
        <w:t xml:space="preserve"> (a) of the Optional Protocol, that the same matter is not being examined under any other international procedure of investigation or settlement. </w:t>
      </w:r>
    </w:p>
    <w:p w14:paraId="44600CC6" w14:textId="77777777" w:rsidR="00E61821" w:rsidRDefault="00D26131" w:rsidP="00BC7BCB">
      <w:pPr>
        <w:pStyle w:val="SingleTxtG"/>
      </w:pPr>
      <w:r>
        <w:t>6.3</w:t>
      </w:r>
      <w:r>
        <w:tab/>
      </w:r>
      <w:r w:rsidR="00527AA6">
        <w:t xml:space="preserve">The Committee takes note of the </w:t>
      </w:r>
      <w:r w:rsidR="00E61821">
        <w:t xml:space="preserve">author’s claims under article 19 </w:t>
      </w:r>
      <w:r w:rsidR="00C744C3">
        <w:t>(</w:t>
      </w:r>
      <w:r w:rsidR="00E61821">
        <w:t>2</w:t>
      </w:r>
      <w:r w:rsidR="00C744C3">
        <w:t>)</w:t>
      </w:r>
      <w:r w:rsidR="00E61821">
        <w:t xml:space="preserve"> of the Covenant, relating to a</w:t>
      </w:r>
      <w:r w:rsidR="00FB767C">
        <w:t>n alleged</w:t>
      </w:r>
      <w:r w:rsidR="00E61821">
        <w:t xml:space="preserve"> violation of his right to freedom of expression by the State party in an attempt to </w:t>
      </w:r>
      <w:r w:rsidR="00BC7BCB">
        <w:t xml:space="preserve">unduly </w:t>
      </w:r>
      <w:r w:rsidR="00E61821">
        <w:t xml:space="preserve">silence his criticism </w:t>
      </w:r>
      <w:r w:rsidR="00C744C3">
        <w:t xml:space="preserve">of </w:t>
      </w:r>
      <w:r w:rsidR="00E61821">
        <w:t>the judicial and executive branches of government</w:t>
      </w:r>
      <w:r w:rsidR="00BC7BCB">
        <w:t>.</w:t>
      </w:r>
      <w:r w:rsidR="00E61821">
        <w:t xml:space="preserve"> </w:t>
      </w:r>
      <w:r w:rsidR="00FB767C">
        <w:t>The</w:t>
      </w:r>
      <w:r w:rsidR="00914130">
        <w:t xml:space="preserve"> Committee also takes note of the</w:t>
      </w:r>
      <w:r w:rsidR="00FB767C">
        <w:t xml:space="preserve"> State party</w:t>
      </w:r>
      <w:r w:rsidR="00914130">
        <w:t>’s argument</w:t>
      </w:r>
      <w:r w:rsidR="00FB767C">
        <w:t xml:space="preserve"> that these claims were never raised before </w:t>
      </w:r>
      <w:r w:rsidR="00C744C3">
        <w:t xml:space="preserve">the </w:t>
      </w:r>
      <w:r w:rsidR="00FB767C">
        <w:t>national courts and domestic remedies ha</w:t>
      </w:r>
      <w:r w:rsidR="00D27E4E">
        <w:t>ve therefore not been exhausted</w:t>
      </w:r>
      <w:r w:rsidR="00BC7BCB">
        <w:t>.</w:t>
      </w:r>
      <w:r w:rsidR="000554F8">
        <w:t xml:space="preserve"> </w:t>
      </w:r>
      <w:r w:rsidR="00822493">
        <w:t>The Committee recalls its jurisprudence that</w:t>
      </w:r>
      <w:r w:rsidR="00355BA7">
        <w:t>, although there is no obligation to exhaust domestic remedies if they have no chance of being successful,</w:t>
      </w:r>
      <w:r w:rsidR="00822493">
        <w:t xml:space="preserve"> authors </w:t>
      </w:r>
      <w:r w:rsidR="00355BA7">
        <w:t xml:space="preserve">of communications </w:t>
      </w:r>
      <w:r w:rsidR="00822493">
        <w:t>must exercise due diligence in the pursuit of available remedies and that mere doubts or assumptions about their effectiveness do not absolve the authors from exhausting them.</w:t>
      </w:r>
      <w:r w:rsidR="00822493">
        <w:rPr>
          <w:rStyle w:val="FootnoteReference"/>
        </w:rPr>
        <w:footnoteReference w:id="7"/>
      </w:r>
      <w:r w:rsidR="00822493">
        <w:t xml:space="preserve"> </w:t>
      </w:r>
      <w:r w:rsidR="000554F8">
        <w:t xml:space="preserve">The Committee </w:t>
      </w:r>
      <w:r w:rsidR="002E677A">
        <w:t>observes that</w:t>
      </w:r>
      <w:r w:rsidR="00822493">
        <w:t>, in the present case,</w:t>
      </w:r>
      <w:r w:rsidR="002E677A">
        <w:t xml:space="preserve"> </w:t>
      </w:r>
      <w:r w:rsidR="00455F44">
        <w:t xml:space="preserve">according to the information available in the file, the author never </w:t>
      </w:r>
      <w:r w:rsidR="00BC5A60">
        <w:t>raised the issue of</w:t>
      </w:r>
      <w:r w:rsidR="00393E2E">
        <w:t xml:space="preserve"> freedom of expression before </w:t>
      </w:r>
      <w:r w:rsidR="00C744C3">
        <w:t xml:space="preserve">the </w:t>
      </w:r>
      <w:r w:rsidR="00393E2E">
        <w:t>national courts</w:t>
      </w:r>
      <w:r w:rsidR="00455F44">
        <w:t>, either in the context of the contempt of court proceedings initiated against him or in the context of the appeals proceedings, and that he has not</w:t>
      </w:r>
      <w:r w:rsidR="00822493">
        <w:t xml:space="preserve"> justified that existing remedies would </w:t>
      </w:r>
      <w:r w:rsidR="00BC5A60">
        <w:t xml:space="preserve">have </w:t>
      </w:r>
      <w:r w:rsidR="00822493">
        <w:t>be</w:t>
      </w:r>
      <w:r w:rsidR="00BC5A60">
        <w:t>en</w:t>
      </w:r>
      <w:r w:rsidR="00822493">
        <w:t xml:space="preserve"> ineffective</w:t>
      </w:r>
      <w:r w:rsidR="00455F44">
        <w:t xml:space="preserve"> in that regard</w:t>
      </w:r>
      <w:r w:rsidR="00393E2E">
        <w:t>.</w:t>
      </w:r>
      <w:r w:rsidR="00822493">
        <w:t xml:space="preserve"> </w:t>
      </w:r>
      <w:r w:rsidR="00393E2E">
        <w:t xml:space="preserve">In these circumstances, </w:t>
      </w:r>
      <w:r w:rsidR="00393E2E" w:rsidRPr="009521A4">
        <w:t>and</w:t>
      </w:r>
      <w:r w:rsidR="00DA3168">
        <w:t xml:space="preserve"> in the absence of any further i</w:t>
      </w:r>
      <w:r w:rsidR="00393E2E" w:rsidRPr="009521A4">
        <w:t>nformation on file, the Committee declares th</w:t>
      </w:r>
      <w:r w:rsidR="00DA3168">
        <w:t>is</w:t>
      </w:r>
      <w:r w:rsidR="00393E2E" w:rsidRPr="009521A4">
        <w:t xml:space="preserve"> part of the communication inadmissible pursuant to article 5 </w:t>
      </w:r>
      <w:r w:rsidR="00C744C3">
        <w:t>(</w:t>
      </w:r>
      <w:r w:rsidR="00393E2E" w:rsidRPr="009521A4">
        <w:t>2</w:t>
      </w:r>
      <w:r w:rsidR="00C744C3">
        <w:t>)</w:t>
      </w:r>
      <w:r w:rsidR="00393E2E" w:rsidRPr="009521A4">
        <w:t> (b) of the Optional Protocol to the Covenant</w:t>
      </w:r>
      <w:r w:rsidR="00355BA7">
        <w:t>.</w:t>
      </w:r>
    </w:p>
    <w:p w14:paraId="33D6E9C9" w14:textId="77777777" w:rsidR="00C4064B" w:rsidRPr="00C4064B" w:rsidRDefault="00E61821" w:rsidP="00D0785F">
      <w:pPr>
        <w:pStyle w:val="SingleTxtG"/>
      </w:pPr>
      <w:r>
        <w:t>6.4</w:t>
      </w:r>
      <w:r>
        <w:tab/>
        <w:t xml:space="preserve">With regard to the author’s claims under article </w:t>
      </w:r>
      <w:r w:rsidR="006A4D8F">
        <w:t xml:space="preserve">14 </w:t>
      </w:r>
      <w:r w:rsidR="00C744C3">
        <w:t>(</w:t>
      </w:r>
      <w:r w:rsidR="006A4D8F">
        <w:t>1</w:t>
      </w:r>
      <w:r w:rsidR="00C744C3">
        <w:t>)</w:t>
      </w:r>
      <w:r w:rsidR="006A4D8F">
        <w:t xml:space="preserve"> </w:t>
      </w:r>
      <w:r w:rsidR="00932551">
        <w:t xml:space="preserve">relating to fair trial issues during the contempt proceedings, </w:t>
      </w:r>
      <w:r w:rsidR="00FE6546">
        <w:t xml:space="preserve">the Committee takes note of the State party’s argument that these claims </w:t>
      </w:r>
      <w:r w:rsidR="007B2834">
        <w:t xml:space="preserve">are inadmissible because they </w:t>
      </w:r>
      <w:r w:rsidR="00FE6546">
        <w:t xml:space="preserve">relate to </w:t>
      </w:r>
      <w:r w:rsidR="003F23FE">
        <w:t xml:space="preserve">the </w:t>
      </w:r>
      <w:r w:rsidR="00FE6546">
        <w:t xml:space="preserve">assessment of evidence and </w:t>
      </w:r>
      <w:r w:rsidR="003F23FE">
        <w:t xml:space="preserve">the </w:t>
      </w:r>
      <w:r w:rsidR="00FE6546">
        <w:t xml:space="preserve">application of national law by </w:t>
      </w:r>
      <w:r w:rsidR="003F23FE">
        <w:t xml:space="preserve">the </w:t>
      </w:r>
      <w:r w:rsidR="00FE6546">
        <w:t xml:space="preserve">domestic courts. </w:t>
      </w:r>
      <w:r w:rsidR="00C4064B" w:rsidRPr="00C4064B">
        <w:t>The Committee recalls its jurisprudence that it is incumbent on the courts of States parties to evaluate the facts and the evidence in each case or the application of domestic legislation, unless it can be shown that such evaluation or application was clearly arbitrary or amounted to a man</w:t>
      </w:r>
      <w:r w:rsidR="00C4064B">
        <w:t>ifest error or denial of justice</w:t>
      </w:r>
      <w:r w:rsidR="00C4064B" w:rsidRPr="00C4064B">
        <w:t>.</w:t>
      </w:r>
      <w:r w:rsidR="003709D1">
        <w:rPr>
          <w:rStyle w:val="FootnoteReference"/>
        </w:rPr>
        <w:footnoteReference w:id="8"/>
      </w:r>
      <w:r w:rsidR="007B08FB" w:rsidRPr="007B08FB">
        <w:rPr>
          <w:rFonts w:ascii="Helvetica" w:hAnsi="Helvetica"/>
          <w:sz w:val="25"/>
          <w:szCs w:val="25"/>
        </w:rPr>
        <w:t xml:space="preserve"> </w:t>
      </w:r>
      <w:r w:rsidR="00D0785F">
        <w:t>The</w:t>
      </w:r>
      <w:r w:rsidR="007B08FB" w:rsidRPr="00D0785F">
        <w:t xml:space="preserve"> Committee has examined the materials submitted by the author, including the decisions of</w:t>
      </w:r>
      <w:r w:rsidR="00D0785F">
        <w:t xml:space="preserve"> </w:t>
      </w:r>
      <w:r w:rsidR="007B08FB" w:rsidRPr="00D0785F">
        <w:t>the High Court, the Court</w:t>
      </w:r>
      <w:r w:rsidR="00B3366C">
        <w:t xml:space="preserve"> of Appeal</w:t>
      </w:r>
      <w:r w:rsidR="007B08FB" w:rsidRPr="00D0785F">
        <w:t xml:space="preserve"> and the Supreme Court, and is of the opinion that those </w:t>
      </w:r>
      <w:r w:rsidR="00355BA7">
        <w:t>materials</w:t>
      </w:r>
      <w:r w:rsidR="007B08FB" w:rsidRPr="00D0785F">
        <w:t xml:space="preserve"> do not provide sufficient evidence to support the conclusion that the court proceedings suffered from such defects. Therefore, the Committee considers that the author has not sufficiently substantiated </w:t>
      </w:r>
      <w:r w:rsidR="00C55491">
        <w:t xml:space="preserve">his claims </w:t>
      </w:r>
      <w:r w:rsidR="00355BA7">
        <w:t xml:space="preserve">for the purpose of admissibility </w:t>
      </w:r>
      <w:r w:rsidR="00C55491">
        <w:t>and declares this part of the communication inadmissible under article 2 of the Optional Protocol.</w:t>
      </w:r>
    </w:p>
    <w:p w14:paraId="56D3A666" w14:textId="77777777" w:rsidR="00E61821" w:rsidRDefault="00E61821" w:rsidP="00C4064B">
      <w:pPr>
        <w:pStyle w:val="SingleTxtG"/>
      </w:pPr>
      <w:r>
        <w:t>6.5</w:t>
      </w:r>
      <w:r>
        <w:tab/>
        <w:t xml:space="preserve">With regard to the author’s claims under </w:t>
      </w:r>
      <w:r w:rsidR="00527AA6">
        <w:t>article 9</w:t>
      </w:r>
      <w:r>
        <w:t xml:space="preserve"> </w:t>
      </w:r>
      <w:r w:rsidR="00B3366C">
        <w:t>(</w:t>
      </w:r>
      <w:r>
        <w:t>1</w:t>
      </w:r>
      <w:r w:rsidR="00B3366C">
        <w:t>)</w:t>
      </w:r>
      <w:r>
        <w:t xml:space="preserve"> of the Covenant,</w:t>
      </w:r>
      <w:r w:rsidR="00527AA6">
        <w:t xml:space="preserve"> </w:t>
      </w:r>
      <w:r>
        <w:t xml:space="preserve">the State party </w:t>
      </w:r>
      <w:r w:rsidR="00EF2B4B">
        <w:t>maintains</w:t>
      </w:r>
      <w:r>
        <w:t xml:space="preserve"> that </w:t>
      </w:r>
      <w:r w:rsidR="00A40D4C">
        <w:t xml:space="preserve">the author never challenged the validity of the search warrant before </w:t>
      </w:r>
      <w:r w:rsidR="00B3366C">
        <w:t xml:space="preserve">the </w:t>
      </w:r>
      <w:r w:rsidR="00A40D4C">
        <w:t>national courts</w:t>
      </w:r>
      <w:r w:rsidR="004E6B8A">
        <w:t xml:space="preserve">. </w:t>
      </w:r>
      <w:r w:rsidR="00A40D4C">
        <w:t xml:space="preserve">The author has argued that </w:t>
      </w:r>
      <w:r w:rsidR="00355BA7">
        <w:t xml:space="preserve">doing </w:t>
      </w:r>
      <w:r w:rsidR="00B3366C">
        <w:t xml:space="preserve">so </w:t>
      </w:r>
      <w:r w:rsidR="00A40D4C">
        <w:t>would be futile and ineffective</w:t>
      </w:r>
      <w:r w:rsidR="0004219F">
        <w:t xml:space="preserve"> </w:t>
      </w:r>
      <w:r w:rsidR="00355BA7">
        <w:t>considering that</w:t>
      </w:r>
      <w:r w:rsidR="0004219F">
        <w:t xml:space="preserve"> he was denied the possibility of seeing the affidavit on which the search warrant was based. However, the Committee considers that this fact </w:t>
      </w:r>
      <w:r w:rsidR="004938E6">
        <w:t xml:space="preserve">alone cannot justify the author’s inaction in attempting to </w:t>
      </w:r>
      <w:r w:rsidR="0076588A">
        <w:t xml:space="preserve">bring </w:t>
      </w:r>
      <w:r w:rsidR="00355BA7">
        <w:t xml:space="preserve">his claims regarding various issues related to </w:t>
      </w:r>
      <w:r w:rsidR="00B3366C">
        <w:t xml:space="preserve">the </w:t>
      </w:r>
      <w:r w:rsidR="00355BA7">
        <w:t>search</w:t>
      </w:r>
      <w:r w:rsidR="00B3366C">
        <w:t xml:space="preserve"> of his home</w:t>
      </w:r>
      <w:r w:rsidR="0076588A">
        <w:t xml:space="preserve"> </w:t>
      </w:r>
      <w:r w:rsidR="00EF2B4B">
        <w:t>before</w:t>
      </w:r>
      <w:r w:rsidR="00B3366C">
        <w:t xml:space="preserve"> the</w:t>
      </w:r>
      <w:r w:rsidR="00EF2B4B">
        <w:t xml:space="preserve"> national courts</w:t>
      </w:r>
      <w:r w:rsidR="0076588A">
        <w:t xml:space="preserve">. Therefore, the Committee concludes that domestic remedies have not been exhausted regarding this claim and declares it inadmissible under article 5 </w:t>
      </w:r>
      <w:r w:rsidR="00B3366C">
        <w:t>(</w:t>
      </w:r>
      <w:r w:rsidR="0076588A">
        <w:t>2</w:t>
      </w:r>
      <w:r w:rsidR="00B3366C">
        <w:t>)</w:t>
      </w:r>
      <w:r w:rsidR="0076588A">
        <w:t xml:space="preserve"> (b) of the Optional Protocol.</w:t>
      </w:r>
      <w:r>
        <w:t xml:space="preserve"> </w:t>
      </w:r>
    </w:p>
    <w:p w14:paraId="10A383DB" w14:textId="77777777" w:rsidR="00EB13E1" w:rsidRDefault="00D92F83" w:rsidP="00EB13E1">
      <w:pPr>
        <w:pStyle w:val="SingleTxtG"/>
        <w:spacing w:line="240" w:lineRule="auto"/>
      </w:pPr>
      <w:r>
        <w:t>7</w:t>
      </w:r>
      <w:r w:rsidR="00EB13E1">
        <w:t>.</w:t>
      </w:r>
      <w:r w:rsidR="00EB13E1">
        <w:tab/>
        <w:t>The Committee therefore decides:</w:t>
      </w:r>
    </w:p>
    <w:p w14:paraId="6C061224" w14:textId="77777777" w:rsidR="00EB13E1" w:rsidRDefault="00D733C3" w:rsidP="00D733C3">
      <w:pPr>
        <w:pStyle w:val="SingleTxtG"/>
        <w:spacing w:line="240" w:lineRule="auto"/>
      </w:pPr>
      <w:r>
        <w:tab/>
      </w:r>
      <w:r w:rsidR="002403E2">
        <w:t>(a)</w:t>
      </w:r>
      <w:r w:rsidR="002403E2">
        <w:tab/>
        <w:t xml:space="preserve">That the communication is </w:t>
      </w:r>
      <w:r w:rsidR="00FA1274">
        <w:t>inadmissible pursuant to</w:t>
      </w:r>
      <w:r w:rsidR="00472B86">
        <w:t xml:space="preserve"> articles 2 and 5 </w:t>
      </w:r>
      <w:r w:rsidR="00B3366C">
        <w:t>(</w:t>
      </w:r>
      <w:r w:rsidR="00472B86">
        <w:t>2</w:t>
      </w:r>
      <w:r w:rsidR="00B3366C">
        <w:t>)</w:t>
      </w:r>
      <w:r w:rsidR="00472B86">
        <w:t xml:space="preserve"> (b) of the Optional Protocol</w:t>
      </w:r>
      <w:r w:rsidR="00EB13E1">
        <w:t>;</w:t>
      </w:r>
    </w:p>
    <w:p w14:paraId="3FF2E803" w14:textId="77777777" w:rsidR="00042EFB" w:rsidRPr="0041431D" w:rsidRDefault="00D733C3" w:rsidP="00D733C3">
      <w:pPr>
        <w:pStyle w:val="SingleTxtG"/>
      </w:pPr>
      <w:r>
        <w:tab/>
      </w:r>
      <w:r w:rsidR="00EB13E1">
        <w:t>(b)</w:t>
      </w:r>
      <w:r w:rsidR="00EB13E1">
        <w:tab/>
      </w:r>
      <w:r w:rsidR="00472B86">
        <w:t xml:space="preserve">That the decision </w:t>
      </w:r>
      <w:r w:rsidR="00FA1274">
        <w:t xml:space="preserve">shall </w:t>
      </w:r>
      <w:r w:rsidR="00472B86">
        <w:t>be transmitted to the author and the State party.</w:t>
      </w:r>
    </w:p>
    <w:p w14:paraId="64BB9B85" w14:textId="77777777" w:rsidR="003521FD" w:rsidRPr="00A36331" w:rsidRDefault="003521FD" w:rsidP="003521FD">
      <w:pPr>
        <w:pStyle w:val="SingleTxtG"/>
        <w:spacing w:before="240" w:after="0" w:line="480" w:lineRule="auto"/>
        <w:jc w:val="center"/>
        <w:rPr>
          <w:u w:val="single"/>
        </w:rPr>
      </w:pPr>
      <w:r>
        <w:rPr>
          <w:u w:val="single"/>
        </w:rPr>
        <w:tab/>
      </w:r>
      <w:r>
        <w:rPr>
          <w:u w:val="single"/>
        </w:rPr>
        <w:tab/>
      </w:r>
      <w:r>
        <w:rPr>
          <w:u w:val="single"/>
        </w:rPr>
        <w:tab/>
      </w:r>
    </w:p>
    <w:sectPr w:rsidR="003521FD" w:rsidRPr="00A36331" w:rsidSect="008D738B">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5T08:44:00Z" w:initials="Start">
    <w:p w14:paraId="6496A617" w14:textId="77777777" w:rsidR="008D738B" w:rsidRDefault="008D73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NO&gt;&gt;N1528357E&lt;&lt;ODS JOB NO&gt;&gt;</w:t>
      </w:r>
    </w:p>
    <w:p w14:paraId="026EAF7A" w14:textId="77777777" w:rsidR="008D738B" w:rsidRDefault="008D738B">
      <w:pPr>
        <w:pStyle w:val="CommentText"/>
      </w:pPr>
      <w:r>
        <w:t>&lt;&lt;ODS DOC SYMBOL1&gt;&gt;CCPR/C/115/D/2072/2011&lt;&lt;ODS DOC SYMBOL1&gt;&gt;</w:t>
      </w:r>
    </w:p>
    <w:p w14:paraId="6B4E9D1B" w14:textId="77777777" w:rsidR="008D738B" w:rsidRDefault="008D738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4E9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7E914" w14:textId="77777777" w:rsidR="00EB0E31" w:rsidRDefault="00EB0E31"/>
  </w:endnote>
  <w:endnote w:type="continuationSeparator" w:id="0">
    <w:p w14:paraId="6B1AB926" w14:textId="77777777" w:rsidR="00EB0E31" w:rsidRDefault="00EB0E31"/>
  </w:endnote>
  <w:endnote w:type="continuationNotice" w:id="1">
    <w:p w14:paraId="0E58C622" w14:textId="77777777" w:rsidR="00EB0E31" w:rsidRDefault="00EB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44D0" w14:textId="77777777" w:rsidR="00E62CEF" w:rsidRPr="00A36331" w:rsidRDefault="00E62CEF" w:rsidP="003521FD">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F06E82">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18F0" w14:textId="77777777" w:rsidR="00E62CEF" w:rsidRPr="00655DCB" w:rsidRDefault="00E62CEF" w:rsidP="003521FD">
    <w:pPr>
      <w:pStyle w:val="Footer"/>
      <w:tabs>
        <w:tab w:val="right" w:pos="9638"/>
      </w:tabs>
      <w:rPr>
        <w:b/>
        <w:bCs/>
        <w:sz w:val="18"/>
      </w:rPr>
    </w:pPr>
    <w:r>
      <w:rPr>
        <w:b/>
        <w:sz w:val="18"/>
      </w:rPr>
      <w:tab/>
    </w:r>
    <w:r w:rsidRPr="00655DCB">
      <w:rPr>
        <w:b/>
        <w:bCs/>
        <w:sz w:val="18"/>
      </w:rPr>
      <w:fldChar w:fldCharType="begin"/>
    </w:r>
    <w:r w:rsidRPr="00655DCB">
      <w:rPr>
        <w:b/>
        <w:bCs/>
        <w:sz w:val="18"/>
      </w:rPr>
      <w:instrText xml:space="preserve"> PAGE  \* MERGEFORMAT </w:instrText>
    </w:r>
    <w:r w:rsidRPr="00655DCB">
      <w:rPr>
        <w:b/>
        <w:bCs/>
        <w:sz w:val="18"/>
      </w:rPr>
      <w:fldChar w:fldCharType="separate"/>
    </w:r>
    <w:r w:rsidR="00F06E82">
      <w:rPr>
        <w:b/>
        <w:bCs/>
        <w:noProof/>
        <w:sz w:val="18"/>
      </w:rPr>
      <w:t>3</w:t>
    </w:r>
    <w:r w:rsidRPr="00655DCB">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D738B" w14:paraId="44BFB931" w14:textId="77777777" w:rsidTr="008D738B">
      <w:tc>
        <w:tcPr>
          <w:tcW w:w="3614" w:type="dxa"/>
          <w:shd w:val="clear" w:color="auto" w:fill="auto"/>
        </w:tcPr>
        <w:p w14:paraId="3E5F8A54" w14:textId="77777777" w:rsidR="008D738B" w:rsidRDefault="008D738B" w:rsidP="008D738B">
          <w:pPr>
            <w:pStyle w:val="Footer"/>
            <w:rPr>
              <w:sz w:val="20"/>
            </w:rPr>
          </w:pPr>
          <w:r>
            <w:rPr>
              <w:noProof/>
              <w:sz w:val="20"/>
              <w:lang w:val="en-US"/>
            </w:rPr>
            <w:drawing>
              <wp:anchor distT="0" distB="0" distL="114300" distR="114300" simplePos="0" relativeHeight="251658240" behindDoc="0" locked="0" layoutInCell="1" allowOverlap="1" wp14:anchorId="04A15278" wp14:editId="3BE57998">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072/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72/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GE.15-21847(E)</w:t>
          </w:r>
        </w:p>
        <w:p w14:paraId="724A8E61" w14:textId="77777777" w:rsidR="008D738B" w:rsidRPr="008D738B" w:rsidRDefault="008D738B" w:rsidP="008D738B">
          <w:pPr>
            <w:pStyle w:val="Footer"/>
            <w:rPr>
              <w:rFonts w:ascii="Barcode 3 of 9 by request" w:hAnsi="Barcode 3 of 9 by request"/>
              <w:sz w:val="24"/>
            </w:rPr>
          </w:pPr>
          <w:r>
            <w:rPr>
              <w:rFonts w:ascii="Barcode 3 of 9 by request" w:hAnsi="Barcode 3 of 9 by request"/>
              <w:sz w:val="24"/>
            </w:rPr>
            <w:t>*1521847*</w:t>
          </w:r>
        </w:p>
      </w:tc>
      <w:tc>
        <w:tcPr>
          <w:tcW w:w="4752" w:type="dxa"/>
          <w:shd w:val="clear" w:color="auto" w:fill="auto"/>
        </w:tcPr>
        <w:p w14:paraId="31452596" w14:textId="77777777" w:rsidR="008D738B" w:rsidRDefault="008D738B" w:rsidP="008D738B">
          <w:pPr>
            <w:pStyle w:val="Footer"/>
            <w:spacing w:line="240" w:lineRule="atLeast"/>
            <w:jc w:val="right"/>
            <w:rPr>
              <w:sz w:val="20"/>
            </w:rPr>
          </w:pPr>
          <w:r>
            <w:rPr>
              <w:noProof/>
              <w:sz w:val="20"/>
              <w:lang w:val="en-US"/>
            </w:rPr>
            <w:drawing>
              <wp:inline distT="0" distB="0" distL="0" distR="0" wp14:anchorId="6D76984E" wp14:editId="79BDCB3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A307481" w14:textId="77777777" w:rsidR="008D738B" w:rsidRPr="008D738B" w:rsidRDefault="008D738B" w:rsidP="008D738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EFF2" w14:textId="77777777" w:rsidR="00EB0E31" w:rsidRPr="000B175B" w:rsidRDefault="00EB0E31" w:rsidP="003521FD">
      <w:pPr>
        <w:tabs>
          <w:tab w:val="right" w:pos="2155"/>
        </w:tabs>
        <w:spacing w:after="80"/>
        <w:ind w:left="680"/>
        <w:rPr>
          <w:u w:val="single"/>
        </w:rPr>
      </w:pPr>
      <w:r>
        <w:rPr>
          <w:u w:val="single"/>
        </w:rPr>
        <w:tab/>
      </w:r>
    </w:p>
  </w:footnote>
  <w:footnote w:type="continuationSeparator" w:id="0">
    <w:p w14:paraId="0767C019" w14:textId="77777777" w:rsidR="00EB0E31" w:rsidRPr="00FC68B7" w:rsidRDefault="00EB0E31" w:rsidP="003521FD">
      <w:pPr>
        <w:tabs>
          <w:tab w:val="left" w:pos="2155"/>
        </w:tabs>
        <w:spacing w:after="80"/>
        <w:ind w:left="680"/>
        <w:rPr>
          <w:u w:val="single"/>
        </w:rPr>
      </w:pPr>
      <w:r>
        <w:rPr>
          <w:u w:val="single"/>
        </w:rPr>
        <w:tab/>
      </w:r>
    </w:p>
  </w:footnote>
  <w:footnote w:type="continuationNotice" w:id="1">
    <w:p w14:paraId="08F2D87F" w14:textId="77777777" w:rsidR="00EB0E31" w:rsidRDefault="00EB0E31"/>
  </w:footnote>
  <w:footnote w:id="2">
    <w:p w14:paraId="012ADA60" w14:textId="77777777" w:rsidR="00DB4276" w:rsidRPr="00655DCB" w:rsidRDefault="00DB4276" w:rsidP="00B77296">
      <w:pPr>
        <w:pStyle w:val="FootnoteText"/>
        <w:rPr>
          <w:lang w:val="en-GB"/>
        </w:rPr>
      </w:pPr>
      <w:r>
        <w:rPr>
          <w:rStyle w:val="FootnoteReference"/>
        </w:rPr>
        <w:tab/>
      </w:r>
      <w:r w:rsidRPr="00655DCB">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Ahmed</w:t>
      </w:r>
      <w:r w:rsidR="00B77296">
        <w:rPr>
          <w:szCs w:val="18"/>
        </w:rPr>
        <w:t> </w:t>
      </w:r>
      <w:r w:rsidRPr="00C455EA">
        <w:rPr>
          <w:szCs w:val="18"/>
        </w:rPr>
        <w:t>Amin Fathalla</w:t>
      </w:r>
      <w:r>
        <w:rPr>
          <w:szCs w:val="18"/>
        </w:rPr>
        <w:t xml:space="preserve">, </w:t>
      </w:r>
      <w:r w:rsidRPr="00C455EA">
        <w:rPr>
          <w:szCs w:val="18"/>
        </w:rPr>
        <w:t>Yuji Iwasawa</w:t>
      </w:r>
      <w:r>
        <w:rPr>
          <w:szCs w:val="18"/>
        </w:rPr>
        <w:t>, Ivana Jeli</w:t>
      </w:r>
      <w:r w:rsidR="0012499A">
        <w:rPr>
          <w:szCs w:val="18"/>
        </w:rPr>
        <w:t>ć</w:t>
      </w:r>
      <w:r>
        <w:rPr>
          <w:szCs w:val="18"/>
        </w:rPr>
        <w:t xml:space="preserve">, </w:t>
      </w:r>
      <w:r w:rsidRPr="00C455EA">
        <w:rPr>
          <w:szCs w:val="18"/>
        </w:rPr>
        <w:t>Duncan Muhumuza Laki</w:t>
      </w:r>
      <w:r>
        <w:rPr>
          <w:szCs w:val="18"/>
        </w:rPr>
        <w:t xml:space="preserve">, </w:t>
      </w:r>
      <w:r w:rsidRPr="00C455EA">
        <w:rPr>
          <w:szCs w:val="18"/>
        </w:rPr>
        <w:t>Photini Pazartzis</w:t>
      </w:r>
      <w:r>
        <w:rPr>
          <w:szCs w:val="18"/>
        </w:rPr>
        <w:t xml:space="preserve">, </w:t>
      </w:r>
      <w:r w:rsidRPr="00C455EA">
        <w:rPr>
          <w:szCs w:val="18"/>
        </w:rPr>
        <w:t>Mauro</w:t>
      </w:r>
      <w:r w:rsidR="00B77296">
        <w:rPr>
          <w:szCs w:val="18"/>
        </w:rPr>
        <w:t> </w:t>
      </w:r>
      <w:r w:rsidRPr="00C455EA">
        <w:rPr>
          <w:szCs w:val="18"/>
        </w:rPr>
        <w:t>Politi</w:t>
      </w:r>
      <w:r>
        <w:rPr>
          <w:szCs w:val="18"/>
        </w:rPr>
        <w:t xml:space="preserve">, </w:t>
      </w:r>
      <w:r>
        <w:rPr>
          <w:bCs/>
          <w:szCs w:val="18"/>
        </w:rPr>
        <w:t>Sir</w:t>
      </w:r>
      <w:r>
        <w:rPr>
          <w:szCs w:val="18"/>
        </w:rPr>
        <w:t xml:space="preserve"> Nigel Rodley, </w:t>
      </w:r>
      <w:r w:rsidRPr="00C455EA">
        <w:rPr>
          <w:szCs w:val="18"/>
        </w:rPr>
        <w:t>Victor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14:paraId="6408480D" w14:textId="77777777" w:rsidR="00E62CEF" w:rsidRPr="00696437" w:rsidRDefault="00E62CEF" w:rsidP="00655DCB">
      <w:pPr>
        <w:pStyle w:val="FootnoteText"/>
        <w:rPr>
          <w:lang w:val="en-GB"/>
        </w:rPr>
      </w:pPr>
      <w:r>
        <w:tab/>
      </w:r>
      <w:r>
        <w:rPr>
          <w:rStyle w:val="FootnoteReference"/>
        </w:rPr>
        <w:footnoteRef/>
      </w:r>
      <w:r w:rsidR="00D733C3" w:rsidRPr="00E375F9">
        <w:rPr>
          <w:lang w:val="en-GB"/>
        </w:rPr>
        <w:tab/>
      </w:r>
      <w:r>
        <w:rPr>
          <w:lang w:val="en-GB"/>
        </w:rPr>
        <w:t xml:space="preserve">In </w:t>
      </w:r>
      <w:r w:rsidRPr="00696437">
        <w:rPr>
          <w:lang w:val="en-GB"/>
        </w:rPr>
        <w:t>August 2001</w:t>
      </w:r>
      <w:r>
        <w:rPr>
          <w:lang w:val="en-GB"/>
        </w:rPr>
        <w:t xml:space="preserve">, a settlement agreement put an end to a civil dispute between the author and the appointed receiver, whereby the parties agreed not to </w:t>
      </w:r>
      <w:r w:rsidR="00127544">
        <w:rPr>
          <w:lang w:val="en-GB"/>
        </w:rPr>
        <w:t xml:space="preserve">file </w:t>
      </w:r>
      <w:r>
        <w:rPr>
          <w:lang w:val="en-GB"/>
        </w:rPr>
        <w:t xml:space="preserve">any further claims against each other. </w:t>
      </w:r>
      <w:r w:rsidRPr="00696437">
        <w:rPr>
          <w:lang w:val="en-GB"/>
        </w:rPr>
        <w:t xml:space="preserve">Following the publication on the author’s website of </w:t>
      </w:r>
      <w:r>
        <w:rPr>
          <w:lang w:val="en-GB"/>
        </w:rPr>
        <w:t>information</w:t>
      </w:r>
      <w:r w:rsidRPr="00696437">
        <w:rPr>
          <w:lang w:val="en-GB"/>
        </w:rPr>
        <w:t xml:space="preserve"> against the </w:t>
      </w:r>
      <w:r w:rsidR="00127544">
        <w:rPr>
          <w:lang w:val="en-GB"/>
        </w:rPr>
        <w:t>receiver</w:t>
      </w:r>
      <w:r w:rsidRPr="00696437">
        <w:rPr>
          <w:lang w:val="en-GB"/>
        </w:rPr>
        <w:t xml:space="preserve"> and his handling of the receivership, the latter applied to the Auckland High Court for an injunction requiring that the author remove such material and that the publication of further comments in breach of the settlement agreement be prohibited.</w:t>
      </w:r>
    </w:p>
  </w:footnote>
  <w:footnote w:id="4">
    <w:p w14:paraId="2CC0F6E3" w14:textId="77777777" w:rsidR="00E62CEF" w:rsidRPr="00136F2B" w:rsidRDefault="00E62CEF" w:rsidP="00655DCB">
      <w:pPr>
        <w:pStyle w:val="FootnoteText"/>
        <w:rPr>
          <w:lang w:val="en-GB"/>
        </w:rPr>
      </w:pPr>
      <w:r w:rsidRPr="00466E32">
        <w:rPr>
          <w:lang w:val="en-GB"/>
        </w:rPr>
        <w:tab/>
      </w:r>
      <w:r>
        <w:rPr>
          <w:rStyle w:val="FootnoteReference"/>
        </w:rPr>
        <w:footnoteRef/>
      </w:r>
      <w:r w:rsidR="00D733C3" w:rsidRPr="00E375F9">
        <w:rPr>
          <w:lang w:val="en-GB"/>
        </w:rPr>
        <w:tab/>
      </w:r>
      <w:r w:rsidRPr="003E257D">
        <w:rPr>
          <w:lang w:val="en-GB"/>
        </w:rPr>
        <w:t xml:space="preserve">According to the letter, the published information </w:t>
      </w:r>
      <w:r>
        <w:t xml:space="preserve">referred to </w:t>
      </w:r>
      <w:r w:rsidR="00B77296">
        <w:rPr>
          <w:lang w:val="en-GB"/>
        </w:rPr>
        <w:t>“</w:t>
      </w:r>
      <w:r>
        <w:t>deliberate judicial misconduct, breach of judicial oath, corruption, or suggesting that judges had been motivated by an improper or unlawful purpose</w:t>
      </w:r>
      <w:r w:rsidR="00B77296">
        <w:rPr>
          <w:lang w:val="en-GB"/>
        </w:rPr>
        <w:t>”</w:t>
      </w:r>
      <w:r w:rsidR="00CB0984">
        <w:rPr>
          <w:lang w:val="en-GB"/>
        </w:rPr>
        <w:t>.</w:t>
      </w:r>
      <w:r>
        <w:rPr>
          <w:lang w:val="en-GB"/>
        </w:rPr>
        <w:t xml:space="preserve"> However, </w:t>
      </w:r>
      <w:r w:rsidR="00CB0984">
        <w:rPr>
          <w:lang w:val="en-GB"/>
        </w:rPr>
        <w:t xml:space="preserve">in </w:t>
      </w:r>
      <w:r>
        <w:rPr>
          <w:lang w:val="en-GB"/>
        </w:rPr>
        <w:t>the letter</w:t>
      </w:r>
      <w:r w:rsidR="00CB0984">
        <w:rPr>
          <w:lang w:val="en-GB"/>
        </w:rPr>
        <w:t>, reference was not made</w:t>
      </w:r>
      <w:r>
        <w:rPr>
          <w:lang w:val="en-GB"/>
        </w:rPr>
        <w:t xml:space="preserve"> to the specific information that was considered to be defamatory nor </w:t>
      </w:r>
      <w:r w:rsidR="00CB0984">
        <w:rPr>
          <w:lang w:val="en-GB"/>
        </w:rPr>
        <w:t>was</w:t>
      </w:r>
      <w:r>
        <w:rPr>
          <w:lang w:val="en-GB"/>
        </w:rPr>
        <w:t xml:space="preserve"> the truthfulness of such information</w:t>
      </w:r>
      <w:r w:rsidR="00CB0984">
        <w:rPr>
          <w:lang w:val="en-GB"/>
        </w:rPr>
        <w:t xml:space="preserve"> challenged</w:t>
      </w:r>
      <w:r>
        <w:rPr>
          <w:lang w:val="en-GB"/>
        </w:rPr>
        <w:t>.</w:t>
      </w:r>
    </w:p>
  </w:footnote>
  <w:footnote w:id="5">
    <w:p w14:paraId="01CC3172" w14:textId="77777777" w:rsidR="00E62CEF" w:rsidRPr="000F405C" w:rsidRDefault="00E62CEF" w:rsidP="00655DCB">
      <w:pPr>
        <w:pStyle w:val="FootnoteText"/>
        <w:rPr>
          <w:lang w:val="en-GB"/>
        </w:rPr>
      </w:pPr>
      <w:r w:rsidRPr="00F86B1A">
        <w:rPr>
          <w:lang w:val="en-GB"/>
        </w:rPr>
        <w:tab/>
      </w:r>
      <w:r>
        <w:rPr>
          <w:rStyle w:val="FootnoteReference"/>
        </w:rPr>
        <w:footnoteRef/>
      </w:r>
      <w:r w:rsidR="00D733C3">
        <w:rPr>
          <w:lang w:val="en-GB"/>
        </w:rPr>
        <w:tab/>
      </w:r>
      <w:r w:rsidRPr="000F405C">
        <w:rPr>
          <w:lang w:val="en-GB"/>
        </w:rPr>
        <w:t>The author argues that this response came 18 months after he had submitted his complaint.</w:t>
      </w:r>
    </w:p>
  </w:footnote>
  <w:footnote w:id="6">
    <w:p w14:paraId="119180C3" w14:textId="77777777" w:rsidR="00E62CEF" w:rsidRPr="00E024F8" w:rsidRDefault="00E62CEF">
      <w:pPr>
        <w:pStyle w:val="FootnoteText"/>
        <w:rPr>
          <w:lang w:val="en-GB"/>
        </w:rPr>
      </w:pPr>
      <w:r>
        <w:rPr>
          <w:lang w:val="en-GB"/>
        </w:rPr>
        <w:tab/>
      </w:r>
      <w:r>
        <w:rPr>
          <w:rStyle w:val="FootnoteReference"/>
        </w:rPr>
        <w:footnoteRef/>
      </w:r>
      <w:r w:rsidR="00D733C3" w:rsidRPr="00E375F9">
        <w:rPr>
          <w:lang w:val="en-GB"/>
        </w:rPr>
        <w:tab/>
      </w:r>
      <w:r w:rsidR="008561FE">
        <w:rPr>
          <w:lang w:val="en-GB"/>
        </w:rPr>
        <w:t>An i</w:t>
      </w:r>
      <w:r>
        <w:rPr>
          <w:lang w:val="en-GB"/>
        </w:rPr>
        <w:t xml:space="preserve">ndependent agency </w:t>
      </w:r>
      <w:r w:rsidR="008561FE">
        <w:rPr>
          <w:lang w:val="en-GB"/>
        </w:rPr>
        <w:t xml:space="preserve">whose members are </w:t>
      </w:r>
      <w:r>
        <w:rPr>
          <w:lang w:val="en-GB"/>
        </w:rPr>
        <w:t>appoin</w:t>
      </w:r>
      <w:r w:rsidRPr="00E024F8">
        <w:rPr>
          <w:lang w:val="en-GB"/>
        </w:rPr>
        <w:t>ted by the Governor</w:t>
      </w:r>
      <w:r w:rsidR="008561FE">
        <w:rPr>
          <w:lang w:val="en-GB"/>
        </w:rPr>
        <w:t>-</w:t>
      </w:r>
      <w:r w:rsidRPr="00E024F8">
        <w:rPr>
          <w:lang w:val="en-GB"/>
        </w:rPr>
        <w:t xml:space="preserve">General </w:t>
      </w:r>
      <w:r>
        <w:rPr>
          <w:lang w:val="en-GB"/>
        </w:rPr>
        <w:t xml:space="preserve">on the recommendation of the Parliament and </w:t>
      </w:r>
      <w:r w:rsidR="008561FE">
        <w:rPr>
          <w:lang w:val="en-GB"/>
        </w:rPr>
        <w:t>who have</w:t>
      </w:r>
      <w:r w:rsidR="008561FE" w:rsidRPr="00E024F8">
        <w:rPr>
          <w:lang w:val="en-GB"/>
        </w:rPr>
        <w:t xml:space="preserve"> </w:t>
      </w:r>
      <w:r w:rsidRPr="00E024F8">
        <w:rPr>
          <w:lang w:val="en-GB"/>
        </w:rPr>
        <w:t>quasi-judicial tenure.</w:t>
      </w:r>
    </w:p>
  </w:footnote>
  <w:footnote w:id="7">
    <w:p w14:paraId="160581FA" w14:textId="77777777" w:rsidR="00822493" w:rsidRPr="008F346E" w:rsidRDefault="00822493" w:rsidP="00655DCB">
      <w:pPr>
        <w:pStyle w:val="FootnoteText"/>
        <w:rPr>
          <w:lang w:val="en-GB"/>
        </w:rPr>
      </w:pPr>
      <w:r w:rsidRPr="002219F3">
        <w:rPr>
          <w:lang w:val="en-GB"/>
        </w:rPr>
        <w:tab/>
      </w:r>
      <w:r>
        <w:rPr>
          <w:rStyle w:val="FootnoteReference"/>
        </w:rPr>
        <w:footnoteRef/>
      </w:r>
      <w:r w:rsidR="00D733C3" w:rsidRPr="00E375F9">
        <w:rPr>
          <w:lang w:val="en-GB"/>
        </w:rPr>
        <w:tab/>
      </w:r>
      <w:r w:rsidR="008F346E" w:rsidRPr="008F346E">
        <w:rPr>
          <w:lang w:val="en-GB"/>
        </w:rPr>
        <w:t xml:space="preserve">See, </w:t>
      </w:r>
      <w:r w:rsidR="008F346E" w:rsidRPr="00655DCB">
        <w:rPr>
          <w:lang w:val="en-GB"/>
        </w:rPr>
        <w:t>inter alia,</w:t>
      </w:r>
      <w:r w:rsidR="008F346E" w:rsidRPr="008F346E">
        <w:rPr>
          <w:lang w:val="en-GB"/>
        </w:rPr>
        <w:t xml:space="preserve"> communications No. </w:t>
      </w:r>
      <w:r w:rsidR="008F346E">
        <w:rPr>
          <w:lang w:val="en-GB"/>
        </w:rPr>
        <w:t xml:space="preserve">1511/2006, </w:t>
      </w:r>
      <w:r w:rsidR="008F346E" w:rsidRPr="008F346E">
        <w:rPr>
          <w:i/>
          <w:lang w:val="en-GB"/>
        </w:rPr>
        <w:t>García Perea v</w:t>
      </w:r>
      <w:r w:rsidR="00B77296">
        <w:rPr>
          <w:i/>
          <w:lang w:val="en-GB"/>
        </w:rPr>
        <w:t>.</w:t>
      </w:r>
      <w:r w:rsidR="008F346E" w:rsidRPr="008F346E">
        <w:rPr>
          <w:i/>
          <w:lang w:val="en-GB"/>
        </w:rPr>
        <w:t xml:space="preserve"> Spain</w:t>
      </w:r>
      <w:r w:rsidR="008F346E">
        <w:rPr>
          <w:lang w:val="en-GB"/>
        </w:rPr>
        <w:t>, decision of</w:t>
      </w:r>
      <w:r w:rsidR="00093000">
        <w:rPr>
          <w:lang w:val="en-GB"/>
        </w:rPr>
        <w:t xml:space="preserve"> inadmissibility adopted on</w:t>
      </w:r>
      <w:r w:rsidR="008F346E">
        <w:rPr>
          <w:lang w:val="en-GB"/>
        </w:rPr>
        <w:t xml:space="preserve"> 2</w:t>
      </w:r>
      <w:r w:rsidR="00093000">
        <w:rPr>
          <w:lang w:val="en-GB"/>
        </w:rPr>
        <w:t>7</w:t>
      </w:r>
      <w:r w:rsidR="008F346E">
        <w:rPr>
          <w:lang w:val="en-GB"/>
        </w:rPr>
        <w:t xml:space="preserve"> March 2009, para. 6.2</w:t>
      </w:r>
      <w:r w:rsidR="00093000">
        <w:rPr>
          <w:lang w:val="en-GB"/>
        </w:rPr>
        <w:t>,</w:t>
      </w:r>
      <w:r w:rsidR="008F346E">
        <w:rPr>
          <w:lang w:val="en-GB"/>
        </w:rPr>
        <w:t xml:space="preserve"> and </w:t>
      </w:r>
      <w:r w:rsidR="00B3366C">
        <w:rPr>
          <w:lang w:val="en-GB"/>
        </w:rPr>
        <w:t xml:space="preserve">No. </w:t>
      </w:r>
      <w:r w:rsidR="008F346E">
        <w:rPr>
          <w:lang w:val="en-GB"/>
        </w:rPr>
        <w:t xml:space="preserve">1639/2007, </w:t>
      </w:r>
      <w:r w:rsidR="008F346E" w:rsidRPr="008F346E">
        <w:rPr>
          <w:i/>
          <w:lang w:val="en-GB"/>
        </w:rPr>
        <w:t>Zsolt Vargay v</w:t>
      </w:r>
      <w:r w:rsidR="00B77296">
        <w:rPr>
          <w:i/>
          <w:lang w:val="en-GB"/>
        </w:rPr>
        <w:t>.</w:t>
      </w:r>
      <w:r w:rsidR="008F346E" w:rsidRPr="008F346E">
        <w:rPr>
          <w:i/>
          <w:lang w:val="en-GB"/>
        </w:rPr>
        <w:t xml:space="preserve"> Canada</w:t>
      </w:r>
      <w:r w:rsidR="008F346E">
        <w:rPr>
          <w:lang w:val="en-GB"/>
        </w:rPr>
        <w:t>, decision of</w:t>
      </w:r>
      <w:r w:rsidR="00093000">
        <w:rPr>
          <w:lang w:val="en-GB"/>
        </w:rPr>
        <w:t xml:space="preserve"> inadmissibility adopted on</w:t>
      </w:r>
      <w:r w:rsidR="008F346E">
        <w:rPr>
          <w:lang w:val="en-GB"/>
        </w:rPr>
        <w:t xml:space="preserve"> 28 July 2009, para. 7.3.</w:t>
      </w:r>
    </w:p>
  </w:footnote>
  <w:footnote w:id="8">
    <w:p w14:paraId="6C5802B9" w14:textId="77777777" w:rsidR="00E62CEF" w:rsidRPr="003709D1" w:rsidRDefault="00E62CEF" w:rsidP="00655DCB">
      <w:pPr>
        <w:pStyle w:val="FootnoteText"/>
      </w:pPr>
      <w:r>
        <w:tab/>
      </w:r>
      <w:r>
        <w:rPr>
          <w:rStyle w:val="FootnoteReference"/>
        </w:rPr>
        <w:footnoteRef/>
      </w:r>
      <w:r w:rsidR="00D733C3" w:rsidRPr="00E375F9">
        <w:rPr>
          <w:lang w:val="en-GB"/>
        </w:rPr>
        <w:tab/>
      </w:r>
      <w:r>
        <w:t xml:space="preserve">See, </w:t>
      </w:r>
      <w:r w:rsidRPr="00655DCB">
        <w:t>inter alia</w:t>
      </w:r>
      <w:r>
        <w:t xml:space="preserve">, communications No. 1622/2007, </w:t>
      </w:r>
      <w:r w:rsidRPr="008F346E">
        <w:rPr>
          <w:i/>
        </w:rPr>
        <w:t>L</w:t>
      </w:r>
      <w:r w:rsidR="00093000">
        <w:rPr>
          <w:i/>
        </w:rPr>
        <w:t>.</w:t>
      </w:r>
      <w:r w:rsidRPr="008F346E">
        <w:rPr>
          <w:i/>
        </w:rPr>
        <w:t>D</w:t>
      </w:r>
      <w:r w:rsidR="00093000">
        <w:rPr>
          <w:i/>
        </w:rPr>
        <w:t>.</w:t>
      </w:r>
      <w:r w:rsidRPr="008F346E">
        <w:rPr>
          <w:i/>
        </w:rPr>
        <w:t>L</w:t>
      </w:r>
      <w:r w:rsidR="00093000">
        <w:rPr>
          <w:i/>
        </w:rPr>
        <w:t>.</w:t>
      </w:r>
      <w:r w:rsidRPr="008F346E">
        <w:rPr>
          <w:i/>
        </w:rPr>
        <w:t>P</w:t>
      </w:r>
      <w:r w:rsidR="00093000">
        <w:rPr>
          <w:i/>
        </w:rPr>
        <w:t>.</w:t>
      </w:r>
      <w:r w:rsidRPr="008F346E">
        <w:rPr>
          <w:i/>
        </w:rPr>
        <w:t xml:space="preserve"> v</w:t>
      </w:r>
      <w:r w:rsidR="00B77296">
        <w:rPr>
          <w:i/>
        </w:rPr>
        <w:t>.</w:t>
      </w:r>
      <w:r w:rsidRPr="008F346E">
        <w:rPr>
          <w:i/>
        </w:rPr>
        <w:t xml:space="preserve"> Spain</w:t>
      </w:r>
      <w:r>
        <w:t>, decision of</w:t>
      </w:r>
      <w:r w:rsidR="002B7E10">
        <w:t xml:space="preserve"> inadmissibility adopted on</w:t>
      </w:r>
      <w:r>
        <w:t xml:space="preserve"> 26 July 2011, para</w:t>
      </w:r>
      <w:r w:rsidR="00B77296">
        <w:t>.</w:t>
      </w:r>
      <w:r>
        <w:t xml:space="preserve"> 6.3, and </w:t>
      </w:r>
      <w:r w:rsidR="00B3366C">
        <w:t xml:space="preserve">No. </w:t>
      </w:r>
      <w:r>
        <w:t xml:space="preserve">2211/2012, </w:t>
      </w:r>
      <w:r w:rsidRPr="008F346E">
        <w:rPr>
          <w:i/>
        </w:rPr>
        <w:t>L</w:t>
      </w:r>
      <w:r w:rsidR="002B7E10">
        <w:rPr>
          <w:i/>
        </w:rPr>
        <w:t>.</w:t>
      </w:r>
      <w:r w:rsidRPr="008F346E">
        <w:rPr>
          <w:i/>
        </w:rPr>
        <w:t>F</w:t>
      </w:r>
      <w:r w:rsidR="002B7E10">
        <w:rPr>
          <w:i/>
        </w:rPr>
        <w:t>.</w:t>
      </w:r>
      <w:r w:rsidRPr="008F346E">
        <w:rPr>
          <w:i/>
        </w:rPr>
        <w:t xml:space="preserve"> v</w:t>
      </w:r>
      <w:r w:rsidR="00B77296">
        <w:rPr>
          <w:i/>
        </w:rPr>
        <w:t>.</w:t>
      </w:r>
      <w:r w:rsidRPr="008F346E">
        <w:rPr>
          <w:i/>
        </w:rPr>
        <w:t xml:space="preserve"> New Zealand</w:t>
      </w:r>
      <w:r>
        <w:t>, decision of</w:t>
      </w:r>
      <w:r w:rsidR="002B7E10">
        <w:t xml:space="preserve"> inadmissibility adopted on</w:t>
      </w:r>
      <w:r>
        <w:t xml:space="preserve"> 30 March 2015, para</w:t>
      </w:r>
      <w:r w:rsidR="00B77296">
        <w:t>.</w:t>
      </w:r>
      <w:r>
        <w:t xml:space="preserve">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723B" w14:textId="77777777" w:rsidR="00E62CEF" w:rsidRPr="00A36331" w:rsidRDefault="00E62CEF" w:rsidP="003521FD">
    <w:pPr>
      <w:pStyle w:val="Header"/>
    </w:pPr>
    <w:r>
      <w:t>CCPR/C/115/D/2072/2011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4B968" w14:textId="77777777" w:rsidR="00E62CEF" w:rsidRPr="00A36331" w:rsidRDefault="00E62CEF" w:rsidP="003521FD">
    <w:pPr>
      <w:pStyle w:val="Header"/>
      <w:jc w:val="right"/>
    </w:pPr>
    <w:r>
      <w:t>CCPR/C/115/D/2072/2011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7C8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D27D2"/>
    <w:multiLevelType w:val="multilevel"/>
    <w:tmpl w:val="21A64E30"/>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14E04"/>
    <w:rsid w:val="0001517C"/>
    <w:rsid w:val="00017588"/>
    <w:rsid w:val="000213AF"/>
    <w:rsid w:val="00022F2F"/>
    <w:rsid w:val="000324A4"/>
    <w:rsid w:val="0004219F"/>
    <w:rsid w:val="00042EFB"/>
    <w:rsid w:val="00045292"/>
    <w:rsid w:val="00053402"/>
    <w:rsid w:val="000554F8"/>
    <w:rsid w:val="00063B62"/>
    <w:rsid w:val="000647D6"/>
    <w:rsid w:val="000665FF"/>
    <w:rsid w:val="00076DB4"/>
    <w:rsid w:val="0007777E"/>
    <w:rsid w:val="00082B88"/>
    <w:rsid w:val="00085F87"/>
    <w:rsid w:val="0008640C"/>
    <w:rsid w:val="00087319"/>
    <w:rsid w:val="00093000"/>
    <w:rsid w:val="000931D3"/>
    <w:rsid w:val="000A2910"/>
    <w:rsid w:val="000A4954"/>
    <w:rsid w:val="000B3796"/>
    <w:rsid w:val="000B4F14"/>
    <w:rsid w:val="000B5E58"/>
    <w:rsid w:val="000B7E50"/>
    <w:rsid w:val="000C02F4"/>
    <w:rsid w:val="000C25B2"/>
    <w:rsid w:val="000C7406"/>
    <w:rsid w:val="000D2051"/>
    <w:rsid w:val="000E0E40"/>
    <w:rsid w:val="000E2FC9"/>
    <w:rsid w:val="000E6C7E"/>
    <w:rsid w:val="000E7F30"/>
    <w:rsid w:val="000F2D1B"/>
    <w:rsid w:val="000F405C"/>
    <w:rsid w:val="000F54A0"/>
    <w:rsid w:val="000F6923"/>
    <w:rsid w:val="00101C5A"/>
    <w:rsid w:val="001059D1"/>
    <w:rsid w:val="001106A5"/>
    <w:rsid w:val="00111553"/>
    <w:rsid w:val="00113A9B"/>
    <w:rsid w:val="00117F05"/>
    <w:rsid w:val="00124222"/>
    <w:rsid w:val="0012499A"/>
    <w:rsid w:val="00127544"/>
    <w:rsid w:val="00132D6B"/>
    <w:rsid w:val="00136F2B"/>
    <w:rsid w:val="00140A72"/>
    <w:rsid w:val="00150CC2"/>
    <w:rsid w:val="00155382"/>
    <w:rsid w:val="00160847"/>
    <w:rsid w:val="00163940"/>
    <w:rsid w:val="001652E3"/>
    <w:rsid w:val="00170ADC"/>
    <w:rsid w:val="00173489"/>
    <w:rsid w:val="00174CAB"/>
    <w:rsid w:val="00176FD3"/>
    <w:rsid w:val="00177547"/>
    <w:rsid w:val="00180257"/>
    <w:rsid w:val="001831CB"/>
    <w:rsid w:val="00187E78"/>
    <w:rsid w:val="00190303"/>
    <w:rsid w:val="0019222B"/>
    <w:rsid w:val="00193BB8"/>
    <w:rsid w:val="00193E25"/>
    <w:rsid w:val="001A1341"/>
    <w:rsid w:val="001A1877"/>
    <w:rsid w:val="001A3074"/>
    <w:rsid w:val="001A4F2E"/>
    <w:rsid w:val="001A641F"/>
    <w:rsid w:val="001B0B2A"/>
    <w:rsid w:val="001B258F"/>
    <w:rsid w:val="001B5C95"/>
    <w:rsid w:val="001C168B"/>
    <w:rsid w:val="001C1F57"/>
    <w:rsid w:val="001C2D69"/>
    <w:rsid w:val="001C5CF8"/>
    <w:rsid w:val="001D0AD1"/>
    <w:rsid w:val="001F5251"/>
    <w:rsid w:val="001F6867"/>
    <w:rsid w:val="00200BE4"/>
    <w:rsid w:val="0020482B"/>
    <w:rsid w:val="00205440"/>
    <w:rsid w:val="002108FF"/>
    <w:rsid w:val="0021426B"/>
    <w:rsid w:val="00216635"/>
    <w:rsid w:val="00220996"/>
    <w:rsid w:val="002219F3"/>
    <w:rsid w:val="0022261C"/>
    <w:rsid w:val="00223E8F"/>
    <w:rsid w:val="00227516"/>
    <w:rsid w:val="002403E2"/>
    <w:rsid w:val="00242301"/>
    <w:rsid w:val="00254CE8"/>
    <w:rsid w:val="00256BD9"/>
    <w:rsid w:val="00260867"/>
    <w:rsid w:val="00261D5A"/>
    <w:rsid w:val="002731ED"/>
    <w:rsid w:val="00285A55"/>
    <w:rsid w:val="00286040"/>
    <w:rsid w:val="002A07C4"/>
    <w:rsid w:val="002B2E9E"/>
    <w:rsid w:val="002B2ECD"/>
    <w:rsid w:val="002B7E10"/>
    <w:rsid w:val="002C21AA"/>
    <w:rsid w:val="002C2931"/>
    <w:rsid w:val="002C6551"/>
    <w:rsid w:val="002D2E46"/>
    <w:rsid w:val="002D48CE"/>
    <w:rsid w:val="002D70B8"/>
    <w:rsid w:val="002E42A7"/>
    <w:rsid w:val="002E677A"/>
    <w:rsid w:val="002F0895"/>
    <w:rsid w:val="002F7A2B"/>
    <w:rsid w:val="00301707"/>
    <w:rsid w:val="00301D34"/>
    <w:rsid w:val="00304E10"/>
    <w:rsid w:val="0031183E"/>
    <w:rsid w:val="00312104"/>
    <w:rsid w:val="003140C8"/>
    <w:rsid w:val="00316C18"/>
    <w:rsid w:val="00323AE1"/>
    <w:rsid w:val="00325FDE"/>
    <w:rsid w:val="00330FCC"/>
    <w:rsid w:val="00335B00"/>
    <w:rsid w:val="00335BC5"/>
    <w:rsid w:val="003368E0"/>
    <w:rsid w:val="00346004"/>
    <w:rsid w:val="003521FD"/>
    <w:rsid w:val="00355BA7"/>
    <w:rsid w:val="00363C65"/>
    <w:rsid w:val="003709D1"/>
    <w:rsid w:val="00373A0A"/>
    <w:rsid w:val="00376A12"/>
    <w:rsid w:val="003845A6"/>
    <w:rsid w:val="003878C6"/>
    <w:rsid w:val="00391F31"/>
    <w:rsid w:val="00392406"/>
    <w:rsid w:val="00393E2E"/>
    <w:rsid w:val="003B7AB3"/>
    <w:rsid w:val="003C279E"/>
    <w:rsid w:val="003C2BAB"/>
    <w:rsid w:val="003D0740"/>
    <w:rsid w:val="003D53DD"/>
    <w:rsid w:val="003D5DBF"/>
    <w:rsid w:val="003D704C"/>
    <w:rsid w:val="003E257D"/>
    <w:rsid w:val="003E346B"/>
    <w:rsid w:val="003E6C14"/>
    <w:rsid w:val="003E6C62"/>
    <w:rsid w:val="003E7A58"/>
    <w:rsid w:val="003F23FE"/>
    <w:rsid w:val="003F3297"/>
    <w:rsid w:val="003F5D49"/>
    <w:rsid w:val="003F74C0"/>
    <w:rsid w:val="00401898"/>
    <w:rsid w:val="0040273E"/>
    <w:rsid w:val="00410917"/>
    <w:rsid w:val="004150DE"/>
    <w:rsid w:val="004160D6"/>
    <w:rsid w:val="004171BE"/>
    <w:rsid w:val="00423075"/>
    <w:rsid w:val="004269BD"/>
    <w:rsid w:val="00427149"/>
    <w:rsid w:val="00427E99"/>
    <w:rsid w:val="0043026B"/>
    <w:rsid w:val="00430737"/>
    <w:rsid w:val="00433E12"/>
    <w:rsid w:val="00446BF6"/>
    <w:rsid w:val="0045055A"/>
    <w:rsid w:val="004514F6"/>
    <w:rsid w:val="00454F5B"/>
    <w:rsid w:val="004554FD"/>
    <w:rsid w:val="00455F44"/>
    <w:rsid w:val="00457329"/>
    <w:rsid w:val="00460858"/>
    <w:rsid w:val="00461235"/>
    <w:rsid w:val="00461E68"/>
    <w:rsid w:val="00462916"/>
    <w:rsid w:val="0046417B"/>
    <w:rsid w:val="00466E32"/>
    <w:rsid w:val="00466E98"/>
    <w:rsid w:val="004700F9"/>
    <w:rsid w:val="00472B86"/>
    <w:rsid w:val="00476E8C"/>
    <w:rsid w:val="00484DEF"/>
    <w:rsid w:val="00486483"/>
    <w:rsid w:val="004874B4"/>
    <w:rsid w:val="00490715"/>
    <w:rsid w:val="004938E6"/>
    <w:rsid w:val="004A326B"/>
    <w:rsid w:val="004A593B"/>
    <w:rsid w:val="004C3710"/>
    <w:rsid w:val="004C4D3E"/>
    <w:rsid w:val="004C6B44"/>
    <w:rsid w:val="004C6E5E"/>
    <w:rsid w:val="004D3321"/>
    <w:rsid w:val="004D6C66"/>
    <w:rsid w:val="004E4E36"/>
    <w:rsid w:val="004E5C13"/>
    <w:rsid w:val="004E6B8A"/>
    <w:rsid w:val="004F24BC"/>
    <w:rsid w:val="004F5D1E"/>
    <w:rsid w:val="005014F4"/>
    <w:rsid w:val="0050180D"/>
    <w:rsid w:val="00512990"/>
    <w:rsid w:val="005130B9"/>
    <w:rsid w:val="0051417D"/>
    <w:rsid w:val="005149C2"/>
    <w:rsid w:val="00515EC0"/>
    <w:rsid w:val="00520A9E"/>
    <w:rsid w:val="005232E4"/>
    <w:rsid w:val="0052450C"/>
    <w:rsid w:val="00527AA6"/>
    <w:rsid w:val="00534F8C"/>
    <w:rsid w:val="005353EF"/>
    <w:rsid w:val="0054235B"/>
    <w:rsid w:val="00556898"/>
    <w:rsid w:val="005607A9"/>
    <w:rsid w:val="0056312F"/>
    <w:rsid w:val="00566EAC"/>
    <w:rsid w:val="00567271"/>
    <w:rsid w:val="00572084"/>
    <w:rsid w:val="00573931"/>
    <w:rsid w:val="0057556D"/>
    <w:rsid w:val="0057712D"/>
    <w:rsid w:val="00583A8C"/>
    <w:rsid w:val="00586414"/>
    <w:rsid w:val="0059048E"/>
    <w:rsid w:val="00591EF7"/>
    <w:rsid w:val="00593CB6"/>
    <w:rsid w:val="005A2EE0"/>
    <w:rsid w:val="005A4B2E"/>
    <w:rsid w:val="005A4DD5"/>
    <w:rsid w:val="005A7E06"/>
    <w:rsid w:val="005B4E61"/>
    <w:rsid w:val="005B7ABB"/>
    <w:rsid w:val="005C19E3"/>
    <w:rsid w:val="005C29DE"/>
    <w:rsid w:val="005C3DBF"/>
    <w:rsid w:val="005C4267"/>
    <w:rsid w:val="005C5A67"/>
    <w:rsid w:val="005E014B"/>
    <w:rsid w:val="005E46EF"/>
    <w:rsid w:val="005E7EE5"/>
    <w:rsid w:val="005F39EB"/>
    <w:rsid w:val="00603AA3"/>
    <w:rsid w:val="00603BA1"/>
    <w:rsid w:val="00605B08"/>
    <w:rsid w:val="006075B8"/>
    <w:rsid w:val="0060761C"/>
    <w:rsid w:val="00607B9A"/>
    <w:rsid w:val="006141F9"/>
    <w:rsid w:val="00614CA7"/>
    <w:rsid w:val="00614FF1"/>
    <w:rsid w:val="006161FB"/>
    <w:rsid w:val="00625A04"/>
    <w:rsid w:val="0063486D"/>
    <w:rsid w:val="006358CB"/>
    <w:rsid w:val="00640E68"/>
    <w:rsid w:val="00643F32"/>
    <w:rsid w:val="00647569"/>
    <w:rsid w:val="00647E2B"/>
    <w:rsid w:val="00651F2B"/>
    <w:rsid w:val="00652DEA"/>
    <w:rsid w:val="00652FAD"/>
    <w:rsid w:val="00654C89"/>
    <w:rsid w:val="00655DCB"/>
    <w:rsid w:val="00657FC4"/>
    <w:rsid w:val="00661370"/>
    <w:rsid w:val="00661BB6"/>
    <w:rsid w:val="00670C95"/>
    <w:rsid w:val="00676064"/>
    <w:rsid w:val="00684589"/>
    <w:rsid w:val="00684FFF"/>
    <w:rsid w:val="00687C16"/>
    <w:rsid w:val="006911C4"/>
    <w:rsid w:val="0069145F"/>
    <w:rsid w:val="00691B93"/>
    <w:rsid w:val="00696437"/>
    <w:rsid w:val="006A049C"/>
    <w:rsid w:val="006A4D8F"/>
    <w:rsid w:val="006A5211"/>
    <w:rsid w:val="006A7D8B"/>
    <w:rsid w:val="006B47B9"/>
    <w:rsid w:val="006B5433"/>
    <w:rsid w:val="006B67EE"/>
    <w:rsid w:val="006B701D"/>
    <w:rsid w:val="006C0A80"/>
    <w:rsid w:val="006D2C8D"/>
    <w:rsid w:val="006D2D35"/>
    <w:rsid w:val="006D391E"/>
    <w:rsid w:val="006D4CCC"/>
    <w:rsid w:val="006E3595"/>
    <w:rsid w:val="006E37BE"/>
    <w:rsid w:val="006E39F9"/>
    <w:rsid w:val="006F1B59"/>
    <w:rsid w:val="006F24C5"/>
    <w:rsid w:val="006F2B9E"/>
    <w:rsid w:val="006F31F9"/>
    <w:rsid w:val="006F336E"/>
    <w:rsid w:val="006F673D"/>
    <w:rsid w:val="00700484"/>
    <w:rsid w:val="007022BA"/>
    <w:rsid w:val="0070676B"/>
    <w:rsid w:val="0071081D"/>
    <w:rsid w:val="00711170"/>
    <w:rsid w:val="00711EA4"/>
    <w:rsid w:val="007165EE"/>
    <w:rsid w:val="007237C6"/>
    <w:rsid w:val="007248A3"/>
    <w:rsid w:val="007270AC"/>
    <w:rsid w:val="0072767E"/>
    <w:rsid w:val="007321AB"/>
    <w:rsid w:val="00733C1F"/>
    <w:rsid w:val="00734D23"/>
    <w:rsid w:val="0073701A"/>
    <w:rsid w:val="00741CDC"/>
    <w:rsid w:val="0074262E"/>
    <w:rsid w:val="007547EF"/>
    <w:rsid w:val="0075531F"/>
    <w:rsid w:val="00755911"/>
    <w:rsid w:val="00757520"/>
    <w:rsid w:val="007604A0"/>
    <w:rsid w:val="00760A71"/>
    <w:rsid w:val="007632F5"/>
    <w:rsid w:val="0076588A"/>
    <w:rsid w:val="00786B0B"/>
    <w:rsid w:val="00790119"/>
    <w:rsid w:val="00797F38"/>
    <w:rsid w:val="007A06CB"/>
    <w:rsid w:val="007A130B"/>
    <w:rsid w:val="007A32EC"/>
    <w:rsid w:val="007A7CFE"/>
    <w:rsid w:val="007B08FB"/>
    <w:rsid w:val="007B0F55"/>
    <w:rsid w:val="007B0FBB"/>
    <w:rsid w:val="007B2834"/>
    <w:rsid w:val="007B4AFF"/>
    <w:rsid w:val="007C0870"/>
    <w:rsid w:val="007C38CE"/>
    <w:rsid w:val="007C5CE6"/>
    <w:rsid w:val="007C7D52"/>
    <w:rsid w:val="007E0247"/>
    <w:rsid w:val="007E0AD6"/>
    <w:rsid w:val="007E137A"/>
    <w:rsid w:val="007E2F11"/>
    <w:rsid w:val="007E328C"/>
    <w:rsid w:val="007E4918"/>
    <w:rsid w:val="007E5E7B"/>
    <w:rsid w:val="007F2DAC"/>
    <w:rsid w:val="00805DA7"/>
    <w:rsid w:val="008108A0"/>
    <w:rsid w:val="00820D59"/>
    <w:rsid w:val="00822493"/>
    <w:rsid w:val="00831A5C"/>
    <w:rsid w:val="00831F8C"/>
    <w:rsid w:val="00834C67"/>
    <w:rsid w:val="00835AED"/>
    <w:rsid w:val="00836AD8"/>
    <w:rsid w:val="008376D8"/>
    <w:rsid w:val="00843C8B"/>
    <w:rsid w:val="00847427"/>
    <w:rsid w:val="008561FE"/>
    <w:rsid w:val="00860BBC"/>
    <w:rsid w:val="00866765"/>
    <w:rsid w:val="00874152"/>
    <w:rsid w:val="00875162"/>
    <w:rsid w:val="00880464"/>
    <w:rsid w:val="00882E4B"/>
    <w:rsid w:val="00884D32"/>
    <w:rsid w:val="00890EB7"/>
    <w:rsid w:val="00891380"/>
    <w:rsid w:val="008938FC"/>
    <w:rsid w:val="00894108"/>
    <w:rsid w:val="008A349F"/>
    <w:rsid w:val="008A5CC7"/>
    <w:rsid w:val="008A6350"/>
    <w:rsid w:val="008A69EB"/>
    <w:rsid w:val="008A6BF7"/>
    <w:rsid w:val="008B375F"/>
    <w:rsid w:val="008B50E3"/>
    <w:rsid w:val="008C5BD8"/>
    <w:rsid w:val="008C63FE"/>
    <w:rsid w:val="008C698E"/>
    <w:rsid w:val="008D738B"/>
    <w:rsid w:val="008F346E"/>
    <w:rsid w:val="008F350C"/>
    <w:rsid w:val="008F6B3E"/>
    <w:rsid w:val="00903439"/>
    <w:rsid w:val="00911297"/>
    <w:rsid w:val="00914130"/>
    <w:rsid w:val="00927325"/>
    <w:rsid w:val="00930BB4"/>
    <w:rsid w:val="009315FC"/>
    <w:rsid w:val="00932551"/>
    <w:rsid w:val="009330FA"/>
    <w:rsid w:val="00935AF5"/>
    <w:rsid w:val="00936BF3"/>
    <w:rsid w:val="0094343E"/>
    <w:rsid w:val="00943A6B"/>
    <w:rsid w:val="009449EA"/>
    <w:rsid w:val="0094519C"/>
    <w:rsid w:val="00946229"/>
    <w:rsid w:val="00947600"/>
    <w:rsid w:val="00954186"/>
    <w:rsid w:val="00957293"/>
    <w:rsid w:val="00957840"/>
    <w:rsid w:val="009616AF"/>
    <w:rsid w:val="009667F1"/>
    <w:rsid w:val="00967C70"/>
    <w:rsid w:val="00973A59"/>
    <w:rsid w:val="00981ADD"/>
    <w:rsid w:val="00982C12"/>
    <w:rsid w:val="00983699"/>
    <w:rsid w:val="00984129"/>
    <w:rsid w:val="00985016"/>
    <w:rsid w:val="00985CEA"/>
    <w:rsid w:val="009861BB"/>
    <w:rsid w:val="009A2B9F"/>
    <w:rsid w:val="009A76B2"/>
    <w:rsid w:val="009B159E"/>
    <w:rsid w:val="009B7C46"/>
    <w:rsid w:val="009C50D4"/>
    <w:rsid w:val="009C7F9A"/>
    <w:rsid w:val="009D27F7"/>
    <w:rsid w:val="009D6F4F"/>
    <w:rsid w:val="009F071D"/>
    <w:rsid w:val="00A01CCF"/>
    <w:rsid w:val="00A049F0"/>
    <w:rsid w:val="00A063F5"/>
    <w:rsid w:val="00A12AE1"/>
    <w:rsid w:val="00A13D77"/>
    <w:rsid w:val="00A1481D"/>
    <w:rsid w:val="00A23BEE"/>
    <w:rsid w:val="00A27402"/>
    <w:rsid w:val="00A32505"/>
    <w:rsid w:val="00A33BA3"/>
    <w:rsid w:val="00A34CBA"/>
    <w:rsid w:val="00A35DBD"/>
    <w:rsid w:val="00A36331"/>
    <w:rsid w:val="00A40D4C"/>
    <w:rsid w:val="00A414E1"/>
    <w:rsid w:val="00A44388"/>
    <w:rsid w:val="00A456FA"/>
    <w:rsid w:val="00A508FE"/>
    <w:rsid w:val="00A53310"/>
    <w:rsid w:val="00A62454"/>
    <w:rsid w:val="00A736D5"/>
    <w:rsid w:val="00A75137"/>
    <w:rsid w:val="00A8389B"/>
    <w:rsid w:val="00A84D4F"/>
    <w:rsid w:val="00A87B77"/>
    <w:rsid w:val="00A913E9"/>
    <w:rsid w:val="00AA20C8"/>
    <w:rsid w:val="00AA4700"/>
    <w:rsid w:val="00AA7702"/>
    <w:rsid w:val="00AB1E60"/>
    <w:rsid w:val="00AC2349"/>
    <w:rsid w:val="00AC6E98"/>
    <w:rsid w:val="00AD1F34"/>
    <w:rsid w:val="00AF38A6"/>
    <w:rsid w:val="00AF38B3"/>
    <w:rsid w:val="00AF3F37"/>
    <w:rsid w:val="00AF6062"/>
    <w:rsid w:val="00B013C3"/>
    <w:rsid w:val="00B07165"/>
    <w:rsid w:val="00B125D9"/>
    <w:rsid w:val="00B134D7"/>
    <w:rsid w:val="00B1664E"/>
    <w:rsid w:val="00B3366C"/>
    <w:rsid w:val="00B3389D"/>
    <w:rsid w:val="00B4597C"/>
    <w:rsid w:val="00B472AD"/>
    <w:rsid w:val="00B47DB8"/>
    <w:rsid w:val="00B52262"/>
    <w:rsid w:val="00B54A0F"/>
    <w:rsid w:val="00B55798"/>
    <w:rsid w:val="00B5602D"/>
    <w:rsid w:val="00B56A4D"/>
    <w:rsid w:val="00B7701E"/>
    <w:rsid w:val="00B77296"/>
    <w:rsid w:val="00B8012C"/>
    <w:rsid w:val="00B83912"/>
    <w:rsid w:val="00B86826"/>
    <w:rsid w:val="00BA0B78"/>
    <w:rsid w:val="00BA1AD3"/>
    <w:rsid w:val="00BB4732"/>
    <w:rsid w:val="00BB6C0F"/>
    <w:rsid w:val="00BC4196"/>
    <w:rsid w:val="00BC5A60"/>
    <w:rsid w:val="00BC66CA"/>
    <w:rsid w:val="00BC7BCB"/>
    <w:rsid w:val="00BD0308"/>
    <w:rsid w:val="00BE03E7"/>
    <w:rsid w:val="00BE23E8"/>
    <w:rsid w:val="00BE4D5A"/>
    <w:rsid w:val="00BF2768"/>
    <w:rsid w:val="00C0224F"/>
    <w:rsid w:val="00C0388A"/>
    <w:rsid w:val="00C04128"/>
    <w:rsid w:val="00C0643D"/>
    <w:rsid w:val="00C06826"/>
    <w:rsid w:val="00C06ADD"/>
    <w:rsid w:val="00C13C92"/>
    <w:rsid w:val="00C257D7"/>
    <w:rsid w:val="00C302BF"/>
    <w:rsid w:val="00C30B8C"/>
    <w:rsid w:val="00C3496B"/>
    <w:rsid w:val="00C37446"/>
    <w:rsid w:val="00C37FA2"/>
    <w:rsid w:val="00C40193"/>
    <w:rsid w:val="00C4064B"/>
    <w:rsid w:val="00C46B7F"/>
    <w:rsid w:val="00C522A5"/>
    <w:rsid w:val="00C55491"/>
    <w:rsid w:val="00C568E9"/>
    <w:rsid w:val="00C61CEB"/>
    <w:rsid w:val="00C665FC"/>
    <w:rsid w:val="00C744C3"/>
    <w:rsid w:val="00C76C3B"/>
    <w:rsid w:val="00C80EA5"/>
    <w:rsid w:val="00C828B3"/>
    <w:rsid w:val="00C85FA3"/>
    <w:rsid w:val="00CA59B9"/>
    <w:rsid w:val="00CB0984"/>
    <w:rsid w:val="00CB0C33"/>
    <w:rsid w:val="00CB2A4E"/>
    <w:rsid w:val="00CB6FDB"/>
    <w:rsid w:val="00CC6717"/>
    <w:rsid w:val="00CD1EFF"/>
    <w:rsid w:val="00CD724B"/>
    <w:rsid w:val="00CD7A0A"/>
    <w:rsid w:val="00CE0486"/>
    <w:rsid w:val="00CE232B"/>
    <w:rsid w:val="00CE64BF"/>
    <w:rsid w:val="00CE69E2"/>
    <w:rsid w:val="00CE77A5"/>
    <w:rsid w:val="00CF2FE4"/>
    <w:rsid w:val="00CF7348"/>
    <w:rsid w:val="00D005BC"/>
    <w:rsid w:val="00D032CF"/>
    <w:rsid w:val="00D03F1B"/>
    <w:rsid w:val="00D0745E"/>
    <w:rsid w:val="00D0785F"/>
    <w:rsid w:val="00D139E6"/>
    <w:rsid w:val="00D14875"/>
    <w:rsid w:val="00D16320"/>
    <w:rsid w:val="00D21B0B"/>
    <w:rsid w:val="00D22541"/>
    <w:rsid w:val="00D26131"/>
    <w:rsid w:val="00D27E4E"/>
    <w:rsid w:val="00D27EA6"/>
    <w:rsid w:val="00D31896"/>
    <w:rsid w:val="00D336E4"/>
    <w:rsid w:val="00D44383"/>
    <w:rsid w:val="00D44AA2"/>
    <w:rsid w:val="00D60E57"/>
    <w:rsid w:val="00D626D7"/>
    <w:rsid w:val="00D733C3"/>
    <w:rsid w:val="00D74147"/>
    <w:rsid w:val="00D75031"/>
    <w:rsid w:val="00D7694F"/>
    <w:rsid w:val="00D901D8"/>
    <w:rsid w:val="00D92F83"/>
    <w:rsid w:val="00D933AF"/>
    <w:rsid w:val="00D93808"/>
    <w:rsid w:val="00DA1015"/>
    <w:rsid w:val="00DA3168"/>
    <w:rsid w:val="00DA5A64"/>
    <w:rsid w:val="00DB4276"/>
    <w:rsid w:val="00DB4C55"/>
    <w:rsid w:val="00DC0651"/>
    <w:rsid w:val="00DC0CD3"/>
    <w:rsid w:val="00DC2E31"/>
    <w:rsid w:val="00DC4F21"/>
    <w:rsid w:val="00DC5D4E"/>
    <w:rsid w:val="00DD183D"/>
    <w:rsid w:val="00DD28A2"/>
    <w:rsid w:val="00DD391E"/>
    <w:rsid w:val="00DD57CB"/>
    <w:rsid w:val="00DE0CAE"/>
    <w:rsid w:val="00DE11CB"/>
    <w:rsid w:val="00DE3B58"/>
    <w:rsid w:val="00DE4205"/>
    <w:rsid w:val="00DF7E82"/>
    <w:rsid w:val="00E024F8"/>
    <w:rsid w:val="00E05F63"/>
    <w:rsid w:val="00E0701D"/>
    <w:rsid w:val="00E11EFA"/>
    <w:rsid w:val="00E22D81"/>
    <w:rsid w:val="00E2691A"/>
    <w:rsid w:val="00E31D5E"/>
    <w:rsid w:val="00E36591"/>
    <w:rsid w:val="00E375F9"/>
    <w:rsid w:val="00E41625"/>
    <w:rsid w:val="00E43E57"/>
    <w:rsid w:val="00E44D25"/>
    <w:rsid w:val="00E44DC9"/>
    <w:rsid w:val="00E46239"/>
    <w:rsid w:val="00E46E50"/>
    <w:rsid w:val="00E47285"/>
    <w:rsid w:val="00E575CB"/>
    <w:rsid w:val="00E5761E"/>
    <w:rsid w:val="00E60D9F"/>
    <w:rsid w:val="00E61821"/>
    <w:rsid w:val="00E62CEF"/>
    <w:rsid w:val="00E63750"/>
    <w:rsid w:val="00E63B86"/>
    <w:rsid w:val="00E64FDF"/>
    <w:rsid w:val="00E65BE9"/>
    <w:rsid w:val="00E6744F"/>
    <w:rsid w:val="00E74019"/>
    <w:rsid w:val="00E93473"/>
    <w:rsid w:val="00E9386F"/>
    <w:rsid w:val="00EA0218"/>
    <w:rsid w:val="00EA1A33"/>
    <w:rsid w:val="00EB0E31"/>
    <w:rsid w:val="00EB13E1"/>
    <w:rsid w:val="00EB39E2"/>
    <w:rsid w:val="00EB5783"/>
    <w:rsid w:val="00EB5DC6"/>
    <w:rsid w:val="00EC273C"/>
    <w:rsid w:val="00EC53FB"/>
    <w:rsid w:val="00EC7738"/>
    <w:rsid w:val="00ED0B9F"/>
    <w:rsid w:val="00ED2798"/>
    <w:rsid w:val="00ED394B"/>
    <w:rsid w:val="00ED5EAA"/>
    <w:rsid w:val="00ED6F5A"/>
    <w:rsid w:val="00EE78B5"/>
    <w:rsid w:val="00EF2B4B"/>
    <w:rsid w:val="00EF45BD"/>
    <w:rsid w:val="00EF6ADA"/>
    <w:rsid w:val="00F02C07"/>
    <w:rsid w:val="00F040E3"/>
    <w:rsid w:val="00F04974"/>
    <w:rsid w:val="00F04B4C"/>
    <w:rsid w:val="00F06E82"/>
    <w:rsid w:val="00F17110"/>
    <w:rsid w:val="00F174E1"/>
    <w:rsid w:val="00F24FA2"/>
    <w:rsid w:val="00F274E4"/>
    <w:rsid w:val="00F3690C"/>
    <w:rsid w:val="00F36C18"/>
    <w:rsid w:val="00F37365"/>
    <w:rsid w:val="00F41C28"/>
    <w:rsid w:val="00F45849"/>
    <w:rsid w:val="00F511F2"/>
    <w:rsid w:val="00F6094E"/>
    <w:rsid w:val="00F636F7"/>
    <w:rsid w:val="00F637AC"/>
    <w:rsid w:val="00F655CA"/>
    <w:rsid w:val="00F71173"/>
    <w:rsid w:val="00F71FEB"/>
    <w:rsid w:val="00F73C21"/>
    <w:rsid w:val="00F7533C"/>
    <w:rsid w:val="00F75DF2"/>
    <w:rsid w:val="00F86B1A"/>
    <w:rsid w:val="00F91221"/>
    <w:rsid w:val="00F94A19"/>
    <w:rsid w:val="00F96A62"/>
    <w:rsid w:val="00F979F7"/>
    <w:rsid w:val="00FA1274"/>
    <w:rsid w:val="00FA3B20"/>
    <w:rsid w:val="00FB181D"/>
    <w:rsid w:val="00FB3BE0"/>
    <w:rsid w:val="00FB6C85"/>
    <w:rsid w:val="00FB705E"/>
    <w:rsid w:val="00FB767C"/>
    <w:rsid w:val="00FB7952"/>
    <w:rsid w:val="00FC64DF"/>
    <w:rsid w:val="00FD1A98"/>
    <w:rsid w:val="00FE21A7"/>
    <w:rsid w:val="00FE41D2"/>
    <w:rsid w:val="00FE4415"/>
    <w:rsid w:val="00FE6546"/>
    <w:rsid w:val="00FF22BB"/>
    <w:rsid w:val="00FF2419"/>
    <w:rsid w:val="00FF3FFC"/>
    <w:rsid w:val="00FF6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8397"/>
  <w15:docId w15:val="{28389AF6-6C76-4774-B9A2-3C8D8B09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77296"/>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7729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styleId="Caption">
    <w:name w:val="caption"/>
    <w:basedOn w:val="Normal"/>
    <w:next w:val="Normal"/>
    <w:qFormat/>
    <w:rsid w:val="00614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 w:id="1409961763">
      <w:bodyDiv w:val="1"/>
      <w:marLeft w:val="0"/>
      <w:marRight w:val="0"/>
      <w:marTop w:val="0"/>
      <w:marBottom w:val="0"/>
      <w:divBdr>
        <w:top w:val="none" w:sz="0" w:space="0" w:color="auto"/>
        <w:left w:val="none" w:sz="0" w:space="0" w:color="auto"/>
        <w:bottom w:val="none" w:sz="0" w:space="0" w:color="auto"/>
        <w:right w:val="none" w:sz="0" w:space="0" w:color="auto"/>
      </w:divBdr>
      <w:divsChild>
        <w:div w:id="490295877">
          <w:marLeft w:val="0"/>
          <w:marRight w:val="0"/>
          <w:marTop w:val="0"/>
          <w:marBottom w:val="0"/>
          <w:divBdr>
            <w:top w:val="none" w:sz="0" w:space="0" w:color="auto"/>
            <w:left w:val="none" w:sz="0" w:space="0" w:color="auto"/>
            <w:bottom w:val="none" w:sz="0" w:space="0" w:color="auto"/>
            <w:right w:val="none" w:sz="0" w:space="0" w:color="auto"/>
          </w:divBdr>
        </w:div>
        <w:div w:id="1124302477">
          <w:marLeft w:val="0"/>
          <w:marRight w:val="0"/>
          <w:marTop w:val="0"/>
          <w:marBottom w:val="0"/>
          <w:divBdr>
            <w:top w:val="none" w:sz="0" w:space="0" w:color="auto"/>
            <w:left w:val="none" w:sz="0" w:space="0" w:color="auto"/>
            <w:bottom w:val="none" w:sz="0" w:space="0" w:color="auto"/>
            <w:right w:val="none" w:sz="0" w:space="0" w:color="auto"/>
          </w:divBdr>
        </w:div>
        <w:div w:id="1197349446">
          <w:marLeft w:val="0"/>
          <w:marRight w:val="0"/>
          <w:marTop w:val="0"/>
          <w:marBottom w:val="0"/>
          <w:divBdr>
            <w:top w:val="none" w:sz="0" w:space="0" w:color="auto"/>
            <w:left w:val="none" w:sz="0" w:space="0" w:color="auto"/>
            <w:bottom w:val="none" w:sz="0" w:space="0" w:color="auto"/>
            <w:right w:val="none" w:sz="0" w:space="0" w:color="auto"/>
          </w:divBdr>
        </w:div>
        <w:div w:id="1814835737">
          <w:marLeft w:val="0"/>
          <w:marRight w:val="0"/>
          <w:marTop w:val="0"/>
          <w:marBottom w:val="0"/>
          <w:divBdr>
            <w:top w:val="none" w:sz="0" w:space="0" w:color="auto"/>
            <w:left w:val="none" w:sz="0" w:space="0" w:color="auto"/>
            <w:bottom w:val="none" w:sz="0" w:space="0" w:color="auto"/>
            <w:right w:val="none" w:sz="0" w:space="0" w:color="auto"/>
          </w:divBdr>
        </w:div>
        <w:div w:id="1818718669">
          <w:marLeft w:val="0"/>
          <w:marRight w:val="0"/>
          <w:marTop w:val="0"/>
          <w:marBottom w:val="0"/>
          <w:divBdr>
            <w:top w:val="none" w:sz="0" w:space="0" w:color="auto"/>
            <w:left w:val="none" w:sz="0" w:space="0" w:color="auto"/>
            <w:bottom w:val="none" w:sz="0" w:space="0" w:color="auto"/>
            <w:right w:val="none" w:sz="0" w:space="0" w:color="auto"/>
          </w:divBdr>
        </w:div>
        <w:div w:id="2009482834">
          <w:marLeft w:val="0"/>
          <w:marRight w:val="0"/>
          <w:marTop w:val="0"/>
          <w:marBottom w:val="0"/>
          <w:divBdr>
            <w:top w:val="none" w:sz="0" w:space="0" w:color="auto"/>
            <w:left w:val="none" w:sz="0" w:space="0" w:color="auto"/>
            <w:bottom w:val="none" w:sz="0" w:space="0" w:color="auto"/>
            <w:right w:val="none" w:sz="0" w:space="0" w:color="auto"/>
          </w:divBdr>
        </w:div>
        <w:div w:id="2043432768">
          <w:marLeft w:val="0"/>
          <w:marRight w:val="0"/>
          <w:marTop w:val="0"/>
          <w:marBottom w:val="0"/>
          <w:divBdr>
            <w:top w:val="none" w:sz="0" w:space="0" w:color="auto"/>
            <w:left w:val="none" w:sz="0" w:space="0" w:color="auto"/>
            <w:bottom w:val="none" w:sz="0" w:space="0" w:color="auto"/>
            <w:right w:val="none" w:sz="0" w:space="0" w:color="auto"/>
          </w:divBdr>
        </w:div>
      </w:divsChild>
    </w:div>
    <w:div w:id="1578439314">
      <w:bodyDiv w:val="1"/>
      <w:marLeft w:val="0"/>
      <w:marRight w:val="0"/>
      <w:marTop w:val="0"/>
      <w:marBottom w:val="0"/>
      <w:divBdr>
        <w:top w:val="none" w:sz="0" w:space="0" w:color="auto"/>
        <w:left w:val="none" w:sz="0" w:space="0" w:color="auto"/>
        <w:bottom w:val="none" w:sz="0" w:space="0" w:color="auto"/>
        <w:right w:val="none" w:sz="0" w:space="0" w:color="auto"/>
      </w:divBdr>
      <w:divsChild>
        <w:div w:id="154422463">
          <w:marLeft w:val="0"/>
          <w:marRight w:val="0"/>
          <w:marTop w:val="0"/>
          <w:marBottom w:val="0"/>
          <w:divBdr>
            <w:top w:val="none" w:sz="0" w:space="0" w:color="auto"/>
            <w:left w:val="none" w:sz="0" w:space="0" w:color="auto"/>
            <w:bottom w:val="none" w:sz="0" w:space="0" w:color="auto"/>
            <w:right w:val="none" w:sz="0" w:space="0" w:color="auto"/>
          </w:divBdr>
        </w:div>
        <w:div w:id="407580644">
          <w:marLeft w:val="0"/>
          <w:marRight w:val="0"/>
          <w:marTop w:val="0"/>
          <w:marBottom w:val="0"/>
          <w:divBdr>
            <w:top w:val="none" w:sz="0" w:space="0" w:color="auto"/>
            <w:left w:val="none" w:sz="0" w:space="0" w:color="auto"/>
            <w:bottom w:val="none" w:sz="0" w:space="0" w:color="auto"/>
            <w:right w:val="none" w:sz="0" w:space="0" w:color="auto"/>
          </w:divBdr>
        </w:div>
        <w:div w:id="478958893">
          <w:marLeft w:val="0"/>
          <w:marRight w:val="0"/>
          <w:marTop w:val="0"/>
          <w:marBottom w:val="0"/>
          <w:divBdr>
            <w:top w:val="none" w:sz="0" w:space="0" w:color="auto"/>
            <w:left w:val="none" w:sz="0" w:space="0" w:color="auto"/>
            <w:bottom w:val="none" w:sz="0" w:space="0" w:color="auto"/>
            <w:right w:val="none" w:sz="0" w:space="0" w:color="auto"/>
          </w:divBdr>
        </w:div>
        <w:div w:id="587929425">
          <w:marLeft w:val="0"/>
          <w:marRight w:val="0"/>
          <w:marTop w:val="0"/>
          <w:marBottom w:val="0"/>
          <w:divBdr>
            <w:top w:val="none" w:sz="0" w:space="0" w:color="auto"/>
            <w:left w:val="none" w:sz="0" w:space="0" w:color="auto"/>
            <w:bottom w:val="none" w:sz="0" w:space="0" w:color="auto"/>
            <w:right w:val="none" w:sz="0" w:space="0" w:color="auto"/>
          </w:divBdr>
        </w:div>
        <w:div w:id="955528777">
          <w:marLeft w:val="0"/>
          <w:marRight w:val="0"/>
          <w:marTop w:val="0"/>
          <w:marBottom w:val="0"/>
          <w:divBdr>
            <w:top w:val="none" w:sz="0" w:space="0" w:color="auto"/>
            <w:left w:val="none" w:sz="0" w:space="0" w:color="auto"/>
            <w:bottom w:val="none" w:sz="0" w:space="0" w:color="auto"/>
            <w:right w:val="none" w:sz="0" w:space="0" w:color="auto"/>
          </w:divBdr>
        </w:div>
        <w:div w:id="1197040823">
          <w:marLeft w:val="0"/>
          <w:marRight w:val="0"/>
          <w:marTop w:val="0"/>
          <w:marBottom w:val="0"/>
          <w:divBdr>
            <w:top w:val="none" w:sz="0" w:space="0" w:color="auto"/>
            <w:left w:val="none" w:sz="0" w:space="0" w:color="auto"/>
            <w:bottom w:val="none" w:sz="0" w:space="0" w:color="auto"/>
            <w:right w:val="none" w:sz="0" w:space="0" w:color="auto"/>
          </w:divBdr>
        </w:div>
        <w:div w:id="1350908562">
          <w:marLeft w:val="0"/>
          <w:marRight w:val="0"/>
          <w:marTop w:val="0"/>
          <w:marBottom w:val="0"/>
          <w:divBdr>
            <w:top w:val="none" w:sz="0" w:space="0" w:color="auto"/>
            <w:left w:val="none" w:sz="0" w:space="0" w:color="auto"/>
            <w:bottom w:val="none" w:sz="0" w:space="0" w:color="auto"/>
            <w:right w:val="none" w:sz="0" w:space="0" w:color="auto"/>
          </w:divBdr>
        </w:div>
        <w:div w:id="165799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wisfirst.co.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89D7-4ECB-4A3D-A4A2-DFE53407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5</Pages>
  <Words>3419</Words>
  <Characters>19493</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22867</CharactersWithSpaces>
  <SharedDoc>false</SharedDoc>
  <HLinks>
    <vt:vector size="6" baseType="variant">
      <vt:variant>
        <vt:i4>6160391</vt:i4>
      </vt:variant>
      <vt:variant>
        <vt:i4>3</vt:i4>
      </vt:variant>
      <vt:variant>
        <vt:i4>0</vt:i4>
      </vt:variant>
      <vt:variant>
        <vt:i4>5</vt:i4>
      </vt:variant>
      <vt:variant>
        <vt:lpwstr>http://www.kiwisfirst.co.nz/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2015-12-15T07:44:00Z</cp:lastPrinted>
  <dcterms:created xsi:type="dcterms:W3CDTF">2017-04-05T18:40:00Z</dcterms:created>
  <dcterms:modified xsi:type="dcterms:W3CDTF">2017-04-05T18:40:00Z</dcterms:modified>
</cp:coreProperties>
</file>