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9236C6">
        <w:trPr>
          <w:cantSplit/>
          <w:trHeight w:hRule="exact" w:val="851"/>
        </w:trPr>
        <w:tc>
          <w:tcPr>
            <w:tcW w:w="1276" w:type="dxa"/>
            <w:tcBorders>
              <w:bottom w:val="single" w:sz="4" w:space="0" w:color="auto"/>
            </w:tcBorders>
            <w:vAlign w:val="bottom"/>
          </w:tcPr>
          <w:p w:rsidR="00B56E9C" w:rsidRDefault="00B56E9C" w:rsidP="00953A51">
            <w:pPr>
              <w:spacing w:after="80"/>
            </w:pPr>
            <w:bookmarkStart w:id="0" w:name="_GoBack"/>
            <w:bookmarkEnd w:id="0"/>
          </w:p>
        </w:tc>
        <w:tc>
          <w:tcPr>
            <w:tcW w:w="2268" w:type="dxa"/>
            <w:tcBorders>
              <w:bottom w:val="single" w:sz="4" w:space="0" w:color="auto"/>
            </w:tcBorders>
            <w:vAlign w:val="bottom"/>
          </w:tcPr>
          <w:p w:rsidR="00B56E9C" w:rsidRPr="009236C6" w:rsidRDefault="00B56E9C" w:rsidP="00953A51">
            <w:pPr>
              <w:spacing w:after="80" w:line="300" w:lineRule="exact"/>
              <w:rPr>
                <w:b/>
                <w:sz w:val="24"/>
                <w:szCs w:val="24"/>
              </w:rPr>
            </w:pPr>
            <w:r w:rsidRPr="009236C6">
              <w:rPr>
                <w:sz w:val="28"/>
                <w:szCs w:val="28"/>
              </w:rPr>
              <w:t>United Nations</w:t>
            </w:r>
          </w:p>
        </w:tc>
        <w:tc>
          <w:tcPr>
            <w:tcW w:w="6095" w:type="dxa"/>
            <w:gridSpan w:val="2"/>
            <w:tcBorders>
              <w:bottom w:val="single" w:sz="4" w:space="0" w:color="auto"/>
            </w:tcBorders>
            <w:vAlign w:val="bottom"/>
          </w:tcPr>
          <w:p w:rsidR="00B56E9C" w:rsidRPr="009236C6" w:rsidRDefault="0041431D" w:rsidP="009143BE">
            <w:pPr>
              <w:jc w:val="right"/>
            </w:pPr>
            <w:r w:rsidRPr="009236C6">
              <w:rPr>
                <w:sz w:val="40"/>
              </w:rPr>
              <w:t>CCPR</w:t>
            </w:r>
            <w:r w:rsidR="00B23E6F" w:rsidRPr="009236C6">
              <w:t>/C/11</w:t>
            </w:r>
            <w:r w:rsidR="005057FB" w:rsidRPr="009236C6">
              <w:t>3</w:t>
            </w:r>
            <w:r w:rsidRPr="009236C6">
              <w:t>/D/</w:t>
            </w:r>
            <w:r w:rsidR="005404E4" w:rsidRPr="009236C6">
              <w:t>2211</w:t>
            </w:r>
            <w:r w:rsidR="00DF3389" w:rsidRPr="009236C6">
              <w:t>/20</w:t>
            </w:r>
            <w:r w:rsidR="005404E4" w:rsidRPr="009236C6">
              <w:t>12</w:t>
            </w:r>
          </w:p>
        </w:tc>
      </w:tr>
      <w:tr w:rsidR="00B56E9C" w:rsidRPr="009236C6">
        <w:trPr>
          <w:cantSplit/>
          <w:trHeight w:hRule="exact" w:val="2835"/>
        </w:trPr>
        <w:tc>
          <w:tcPr>
            <w:tcW w:w="1276" w:type="dxa"/>
            <w:tcBorders>
              <w:top w:val="single" w:sz="4" w:space="0" w:color="auto"/>
              <w:bottom w:val="single" w:sz="12" w:space="0" w:color="auto"/>
            </w:tcBorders>
          </w:tcPr>
          <w:p w:rsidR="00B56E9C" w:rsidRPr="009236C6" w:rsidRDefault="00FA4F94" w:rsidP="00953A51">
            <w:pPr>
              <w:spacing w:before="120"/>
            </w:pPr>
            <w:r>
              <w:rPr>
                <w:noProof/>
                <w:lang w:val="en-US"/>
              </w:rPr>
              <w:drawing>
                <wp:inline distT="0" distB="0" distL="0" distR="0">
                  <wp:extent cx="715010" cy="589915"/>
                  <wp:effectExtent l="0" t="0" r="8890" b="635"/>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58991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B56E9C" w:rsidRPr="009236C6" w:rsidRDefault="00B56E9C" w:rsidP="00953A51">
            <w:pPr>
              <w:spacing w:before="120" w:line="380" w:lineRule="exact"/>
              <w:rPr>
                <w:b/>
                <w:sz w:val="34"/>
                <w:szCs w:val="40"/>
              </w:rPr>
            </w:pPr>
            <w:r w:rsidRPr="009236C6">
              <w:rPr>
                <w:b/>
                <w:sz w:val="34"/>
                <w:szCs w:val="40"/>
              </w:rPr>
              <w:t xml:space="preserve">International </w:t>
            </w:r>
            <w:r w:rsidR="00060C3A" w:rsidRPr="009236C6">
              <w:rPr>
                <w:b/>
                <w:sz w:val="34"/>
                <w:szCs w:val="40"/>
              </w:rPr>
              <w:t>Covenant on</w:t>
            </w:r>
            <w:r w:rsidR="00060C3A" w:rsidRPr="009236C6">
              <w:rPr>
                <w:b/>
                <w:sz w:val="34"/>
                <w:szCs w:val="40"/>
              </w:rPr>
              <w:br/>
              <w:t>Civil and Political R</w:t>
            </w:r>
            <w:r w:rsidR="00703577" w:rsidRPr="009236C6">
              <w:rPr>
                <w:b/>
                <w:sz w:val="34"/>
                <w:szCs w:val="40"/>
              </w:rPr>
              <w:t>ights</w:t>
            </w:r>
          </w:p>
          <w:p w:rsidR="009143BE" w:rsidRPr="009236C6" w:rsidRDefault="009143BE" w:rsidP="00953A51">
            <w:pPr>
              <w:spacing w:before="120" w:line="380" w:lineRule="exact"/>
              <w:rPr>
                <w:sz w:val="34"/>
              </w:rPr>
            </w:pPr>
          </w:p>
        </w:tc>
        <w:tc>
          <w:tcPr>
            <w:tcW w:w="2835" w:type="dxa"/>
            <w:tcBorders>
              <w:top w:val="single" w:sz="4" w:space="0" w:color="auto"/>
              <w:bottom w:val="single" w:sz="12" w:space="0" w:color="auto"/>
            </w:tcBorders>
          </w:tcPr>
          <w:p w:rsidR="0041431D" w:rsidRPr="009236C6" w:rsidRDefault="0041431D" w:rsidP="00953A51">
            <w:pPr>
              <w:spacing w:before="240" w:line="240" w:lineRule="exact"/>
            </w:pPr>
            <w:r w:rsidRPr="009236C6">
              <w:t xml:space="preserve">Distr.: </w:t>
            </w:r>
            <w:r w:rsidR="009143BE" w:rsidRPr="009236C6">
              <w:t>General</w:t>
            </w:r>
          </w:p>
          <w:p w:rsidR="0041431D" w:rsidRPr="009236C6" w:rsidRDefault="001D2B5C" w:rsidP="006E43D9">
            <w:pPr>
              <w:spacing w:line="240" w:lineRule="exact"/>
            </w:pPr>
            <w:r w:rsidRPr="009236C6">
              <w:t>1</w:t>
            </w:r>
            <w:r w:rsidR="006E43D9" w:rsidRPr="009236C6">
              <w:t>3</w:t>
            </w:r>
            <w:r w:rsidRPr="009236C6">
              <w:t xml:space="preserve"> May</w:t>
            </w:r>
            <w:r w:rsidR="001E23FD" w:rsidRPr="009236C6">
              <w:t xml:space="preserve"> 201</w:t>
            </w:r>
            <w:r w:rsidR="005057FB" w:rsidRPr="009236C6">
              <w:t>5</w:t>
            </w:r>
          </w:p>
          <w:p w:rsidR="0041431D" w:rsidRPr="009236C6" w:rsidRDefault="0041431D" w:rsidP="00953A51">
            <w:pPr>
              <w:spacing w:line="240" w:lineRule="exact"/>
            </w:pPr>
          </w:p>
          <w:p w:rsidR="00B56E9C" w:rsidRPr="009236C6" w:rsidRDefault="0041431D" w:rsidP="00953A51">
            <w:pPr>
              <w:spacing w:line="240" w:lineRule="exact"/>
            </w:pPr>
            <w:r w:rsidRPr="009236C6">
              <w:t>Original: English</w:t>
            </w:r>
          </w:p>
          <w:p w:rsidR="0095131E" w:rsidRPr="009236C6" w:rsidRDefault="0095131E" w:rsidP="00953A51">
            <w:pPr>
              <w:spacing w:line="240" w:lineRule="exact"/>
            </w:pPr>
          </w:p>
        </w:tc>
      </w:tr>
    </w:tbl>
    <w:p w:rsidR="0041431D" w:rsidRPr="009236C6" w:rsidRDefault="0041431D" w:rsidP="00953A51">
      <w:pPr>
        <w:spacing w:before="120"/>
        <w:rPr>
          <w:b/>
          <w:sz w:val="24"/>
          <w:szCs w:val="24"/>
        </w:rPr>
      </w:pPr>
      <w:r w:rsidRPr="009236C6">
        <w:rPr>
          <w:b/>
          <w:sz w:val="24"/>
          <w:szCs w:val="24"/>
        </w:rPr>
        <w:t>Human Rights Committee</w:t>
      </w:r>
    </w:p>
    <w:p w:rsidR="0041431D" w:rsidRPr="009236C6" w:rsidRDefault="007C1B55" w:rsidP="00953A51">
      <w:pPr>
        <w:pStyle w:val="HChG"/>
        <w:ind w:right="0"/>
      </w:pPr>
      <w:r w:rsidRPr="009236C6">
        <w:tab/>
      </w:r>
      <w:r w:rsidRPr="009236C6">
        <w:tab/>
        <w:t xml:space="preserve">Communication No. </w:t>
      </w:r>
      <w:r w:rsidR="002A171B" w:rsidRPr="009236C6">
        <w:t>2211</w:t>
      </w:r>
      <w:r w:rsidR="00B23E6F" w:rsidRPr="009236C6">
        <w:t>/20</w:t>
      </w:r>
      <w:r w:rsidR="002A171B" w:rsidRPr="009236C6">
        <w:t>12</w:t>
      </w:r>
    </w:p>
    <w:p w:rsidR="0041431D" w:rsidRPr="009236C6" w:rsidRDefault="0041431D" w:rsidP="00953A51">
      <w:pPr>
        <w:pStyle w:val="H1G"/>
        <w:ind w:right="0"/>
      </w:pPr>
      <w:r w:rsidRPr="009236C6">
        <w:tab/>
      </w:r>
      <w:r w:rsidRPr="009236C6">
        <w:tab/>
      </w:r>
      <w:r w:rsidR="009143BE" w:rsidRPr="009236C6">
        <w:t xml:space="preserve">Decision adopted by the Committee at its 113th session </w:t>
      </w:r>
      <w:r w:rsidR="009143BE" w:rsidRPr="009236C6">
        <w:br/>
        <w:t>(</w:t>
      </w:r>
      <w:r w:rsidR="009143BE" w:rsidRPr="009236C6">
        <w:rPr>
          <w:bCs/>
          <w:lang w:val="en-US"/>
        </w:rPr>
        <w:t>16 March–2 April 2015)</w:t>
      </w:r>
    </w:p>
    <w:p w:rsidR="0041431D" w:rsidRPr="009236C6" w:rsidRDefault="0041431D" w:rsidP="00EB280B">
      <w:pPr>
        <w:pStyle w:val="SingleTxtG"/>
        <w:ind w:left="4536" w:right="0" w:hanging="3402"/>
        <w:jc w:val="left"/>
      </w:pPr>
      <w:r w:rsidRPr="009236C6">
        <w:rPr>
          <w:i/>
        </w:rPr>
        <w:t>Submitted by</w:t>
      </w:r>
      <w:r w:rsidRPr="009236C6">
        <w:t>:</w:t>
      </w:r>
      <w:r w:rsidRPr="009236C6">
        <w:tab/>
      </w:r>
      <w:r w:rsidR="0083278D" w:rsidRPr="009236C6">
        <w:t>L.F.</w:t>
      </w:r>
    </w:p>
    <w:p w:rsidR="0041431D" w:rsidRPr="009236C6" w:rsidRDefault="0041431D" w:rsidP="00EB280B">
      <w:pPr>
        <w:pStyle w:val="SingleTxtG"/>
        <w:ind w:left="4536" w:right="0" w:hanging="3402"/>
        <w:jc w:val="left"/>
      </w:pPr>
      <w:r w:rsidRPr="009236C6">
        <w:rPr>
          <w:i/>
        </w:rPr>
        <w:t>Alleged victims</w:t>
      </w:r>
      <w:r w:rsidR="00DF3389" w:rsidRPr="009236C6">
        <w:t>:</w:t>
      </w:r>
      <w:r w:rsidR="00DF3389" w:rsidRPr="009236C6">
        <w:tab/>
        <w:t>The author</w:t>
      </w:r>
    </w:p>
    <w:p w:rsidR="0041431D" w:rsidRPr="009236C6" w:rsidRDefault="0041431D" w:rsidP="00EB280B">
      <w:pPr>
        <w:pStyle w:val="SingleTxtG"/>
        <w:ind w:left="4536" w:right="0" w:hanging="3402"/>
        <w:jc w:val="left"/>
      </w:pPr>
      <w:r w:rsidRPr="009236C6">
        <w:rPr>
          <w:i/>
        </w:rPr>
        <w:t>State party</w:t>
      </w:r>
      <w:r w:rsidRPr="009236C6">
        <w:t>:</w:t>
      </w:r>
      <w:r w:rsidRPr="009236C6">
        <w:tab/>
      </w:r>
      <w:r w:rsidR="002A171B" w:rsidRPr="009236C6">
        <w:t>New Zealand</w:t>
      </w:r>
    </w:p>
    <w:p w:rsidR="0041431D" w:rsidRPr="009236C6" w:rsidRDefault="0041431D" w:rsidP="00EB280B">
      <w:pPr>
        <w:pStyle w:val="SingleTxtG"/>
        <w:ind w:left="4536" w:right="0" w:hanging="3402"/>
        <w:jc w:val="left"/>
      </w:pPr>
      <w:r w:rsidRPr="009236C6">
        <w:rPr>
          <w:i/>
        </w:rPr>
        <w:t>Date of communication</w:t>
      </w:r>
      <w:r w:rsidR="00DF3389" w:rsidRPr="009236C6">
        <w:t>:</w:t>
      </w:r>
      <w:r w:rsidR="00DF3389" w:rsidRPr="009236C6">
        <w:tab/>
      </w:r>
      <w:r w:rsidR="002A171B" w:rsidRPr="009236C6">
        <w:t>3</w:t>
      </w:r>
      <w:r w:rsidR="00F80F9F" w:rsidRPr="009236C6">
        <w:t xml:space="preserve"> </w:t>
      </w:r>
      <w:r w:rsidR="002A171B" w:rsidRPr="009236C6">
        <w:t>June 2012</w:t>
      </w:r>
      <w:r w:rsidRPr="009236C6">
        <w:t xml:space="preserve"> (initial submission)</w:t>
      </w:r>
    </w:p>
    <w:p w:rsidR="0041431D" w:rsidRPr="009236C6" w:rsidRDefault="0041431D" w:rsidP="004F71F9">
      <w:pPr>
        <w:pStyle w:val="SingleTxtG"/>
        <w:ind w:left="4536" w:hanging="3402"/>
        <w:jc w:val="left"/>
      </w:pPr>
      <w:r w:rsidRPr="009236C6">
        <w:rPr>
          <w:i/>
        </w:rPr>
        <w:t>Document references</w:t>
      </w:r>
      <w:r w:rsidR="00F80F9F" w:rsidRPr="009236C6">
        <w:t>:</w:t>
      </w:r>
      <w:r w:rsidR="00F80F9F" w:rsidRPr="009236C6">
        <w:tab/>
        <w:t>Special Rapporteur’s rule 92 and 97</w:t>
      </w:r>
      <w:r w:rsidRPr="009236C6">
        <w:t xml:space="preserve"> decision, transmitted to the State party on </w:t>
      </w:r>
      <w:r w:rsidR="002A171B" w:rsidRPr="009236C6">
        <w:t>26 November</w:t>
      </w:r>
      <w:r w:rsidR="00F80F9F" w:rsidRPr="009236C6">
        <w:t xml:space="preserve"> 20</w:t>
      </w:r>
      <w:r w:rsidR="002A171B" w:rsidRPr="009236C6">
        <w:t>12</w:t>
      </w:r>
      <w:r w:rsidR="006260ED" w:rsidRPr="009236C6">
        <w:t xml:space="preserve"> (</w:t>
      </w:r>
      <w:r w:rsidRPr="009236C6">
        <w:t>issued in document form)</w:t>
      </w:r>
    </w:p>
    <w:p w:rsidR="0041431D" w:rsidRPr="009236C6" w:rsidRDefault="0041431D" w:rsidP="00EB280B">
      <w:pPr>
        <w:pStyle w:val="SingleTxtG"/>
        <w:ind w:left="4536" w:right="0" w:hanging="3402"/>
        <w:jc w:val="left"/>
      </w:pPr>
      <w:r w:rsidRPr="009236C6">
        <w:rPr>
          <w:i/>
        </w:rPr>
        <w:t xml:space="preserve">Date of adoption of </w:t>
      </w:r>
      <w:r w:rsidR="0013580C" w:rsidRPr="009236C6">
        <w:rPr>
          <w:i/>
        </w:rPr>
        <w:t>decision</w:t>
      </w:r>
      <w:r w:rsidRPr="009236C6">
        <w:t>:</w:t>
      </w:r>
      <w:r w:rsidRPr="009236C6">
        <w:tab/>
      </w:r>
      <w:r w:rsidR="009143BE" w:rsidRPr="009236C6">
        <w:t xml:space="preserve">30 </w:t>
      </w:r>
      <w:r w:rsidR="006260ED" w:rsidRPr="009236C6">
        <w:t>March</w:t>
      </w:r>
      <w:r w:rsidR="00B23E6F" w:rsidRPr="009236C6">
        <w:t xml:space="preserve"> 201</w:t>
      </w:r>
      <w:r w:rsidR="006260ED" w:rsidRPr="009236C6">
        <w:t>5</w:t>
      </w:r>
    </w:p>
    <w:p w:rsidR="00965369" w:rsidRPr="009236C6" w:rsidRDefault="000C6960" w:rsidP="00EB280B">
      <w:pPr>
        <w:pStyle w:val="SingleTxtG"/>
        <w:ind w:left="4536" w:right="0" w:hanging="3402"/>
        <w:jc w:val="left"/>
        <w:rPr>
          <w:iCs/>
        </w:rPr>
      </w:pPr>
      <w:r w:rsidRPr="009236C6">
        <w:rPr>
          <w:i/>
        </w:rPr>
        <w:t>Subject matter:</w:t>
      </w:r>
      <w:r w:rsidRPr="009236C6">
        <w:rPr>
          <w:i/>
        </w:rPr>
        <w:tab/>
      </w:r>
      <w:r w:rsidRPr="009236C6">
        <w:t>Fair trial</w:t>
      </w:r>
    </w:p>
    <w:p w:rsidR="002E4C51" w:rsidRPr="009236C6" w:rsidRDefault="002E4C51" w:rsidP="009E201D">
      <w:pPr>
        <w:pStyle w:val="SingleTxtG"/>
        <w:ind w:left="4536" w:hanging="3402"/>
        <w:jc w:val="left"/>
      </w:pPr>
      <w:r w:rsidRPr="009236C6">
        <w:rPr>
          <w:i/>
        </w:rPr>
        <w:t>Procedural issues:</w:t>
      </w:r>
      <w:r w:rsidRPr="009236C6">
        <w:rPr>
          <w:i/>
        </w:rPr>
        <w:tab/>
      </w:r>
      <w:r w:rsidRPr="009236C6">
        <w:t xml:space="preserve">Insufficient </w:t>
      </w:r>
      <w:r w:rsidRPr="009236C6">
        <w:rPr>
          <w:rStyle w:val="SingleTxtGChar"/>
        </w:rPr>
        <w:t>substantiation</w:t>
      </w:r>
      <w:r w:rsidRPr="009236C6">
        <w:t xml:space="preserve">; non-exhaustion of domestic remedies; </w:t>
      </w:r>
    </w:p>
    <w:p w:rsidR="005F2F29" w:rsidRPr="009236C6" w:rsidRDefault="005F2F29" w:rsidP="004F71F9">
      <w:pPr>
        <w:pStyle w:val="SingleTxtG"/>
        <w:ind w:left="4536" w:hanging="3402"/>
        <w:jc w:val="left"/>
      </w:pPr>
      <w:r w:rsidRPr="009236C6">
        <w:rPr>
          <w:i/>
        </w:rPr>
        <w:t>Substantive issues:</w:t>
      </w:r>
      <w:r w:rsidRPr="009236C6">
        <w:rPr>
          <w:i/>
        </w:rPr>
        <w:tab/>
      </w:r>
      <w:r w:rsidR="00446C09" w:rsidRPr="009236C6">
        <w:t xml:space="preserve">Equality before the </w:t>
      </w:r>
      <w:r w:rsidR="00446C09" w:rsidRPr="009236C6">
        <w:rPr>
          <w:rStyle w:val="SingleTxtGChar"/>
        </w:rPr>
        <w:t>courts</w:t>
      </w:r>
      <w:r w:rsidR="00446C09" w:rsidRPr="009236C6">
        <w:t xml:space="preserve"> and tribunals; right to a defence</w:t>
      </w:r>
    </w:p>
    <w:p w:rsidR="0056744E" w:rsidRPr="009236C6" w:rsidRDefault="0041431D" w:rsidP="00EB280B">
      <w:pPr>
        <w:pStyle w:val="SingleTxtG"/>
        <w:ind w:left="4536" w:right="0" w:hanging="3402"/>
        <w:jc w:val="left"/>
      </w:pPr>
      <w:r w:rsidRPr="009236C6">
        <w:rPr>
          <w:i/>
        </w:rPr>
        <w:t>Articles of the Covenant:</w:t>
      </w:r>
      <w:r w:rsidRPr="009236C6">
        <w:t xml:space="preserve"> </w:t>
      </w:r>
      <w:r w:rsidRPr="009236C6">
        <w:tab/>
      </w:r>
      <w:r w:rsidR="00D832DA" w:rsidRPr="009236C6">
        <w:t>14</w:t>
      </w:r>
      <w:r w:rsidR="001D2B5C" w:rsidRPr="009236C6">
        <w:t> </w:t>
      </w:r>
      <w:r w:rsidR="008F4537" w:rsidRPr="009236C6">
        <w:t>(1) and 14</w:t>
      </w:r>
      <w:r w:rsidR="001D2B5C" w:rsidRPr="009236C6">
        <w:t> </w:t>
      </w:r>
      <w:r w:rsidR="008F4537" w:rsidRPr="009236C6">
        <w:t>(3)</w:t>
      </w:r>
      <w:r w:rsidR="001D2B5C" w:rsidRPr="009236C6">
        <w:t> </w:t>
      </w:r>
      <w:r w:rsidR="008F4537" w:rsidRPr="009236C6">
        <w:t>(d)</w:t>
      </w:r>
    </w:p>
    <w:p w:rsidR="0041431D" w:rsidRPr="009236C6" w:rsidRDefault="0041431D" w:rsidP="00EB280B">
      <w:pPr>
        <w:pStyle w:val="SingleTxtG"/>
        <w:ind w:left="4536" w:right="0" w:hanging="3402"/>
        <w:jc w:val="left"/>
      </w:pPr>
      <w:r w:rsidRPr="009236C6">
        <w:rPr>
          <w:i/>
        </w:rPr>
        <w:t>Article</w:t>
      </w:r>
      <w:r w:rsidR="00E11A24" w:rsidRPr="009236C6">
        <w:rPr>
          <w:i/>
        </w:rPr>
        <w:t>s of the Optional Protocol:</w:t>
      </w:r>
      <w:r w:rsidRPr="009236C6">
        <w:rPr>
          <w:i/>
        </w:rPr>
        <w:tab/>
      </w:r>
      <w:r w:rsidR="00260A17" w:rsidRPr="009236C6">
        <w:t>2</w:t>
      </w:r>
      <w:r w:rsidR="0010013A" w:rsidRPr="009236C6">
        <w:t xml:space="preserve">; </w:t>
      </w:r>
      <w:r w:rsidR="005F2F29" w:rsidRPr="009236C6">
        <w:t xml:space="preserve">3; and </w:t>
      </w:r>
      <w:r w:rsidR="0010013A" w:rsidRPr="009236C6">
        <w:t>5</w:t>
      </w:r>
      <w:r w:rsidR="001D2B5C" w:rsidRPr="009236C6">
        <w:t> </w:t>
      </w:r>
      <w:r w:rsidR="0010013A" w:rsidRPr="009236C6">
        <w:t>(2)</w:t>
      </w:r>
      <w:r w:rsidR="001D2B5C" w:rsidRPr="009236C6">
        <w:t> </w:t>
      </w:r>
      <w:r w:rsidR="003A0A68" w:rsidRPr="009236C6">
        <w:t>and</w:t>
      </w:r>
      <w:r w:rsidR="007E4D0C" w:rsidRPr="009236C6">
        <w:t xml:space="preserve"> </w:t>
      </w:r>
      <w:r w:rsidR="0010013A" w:rsidRPr="009236C6">
        <w:t>(b)</w:t>
      </w:r>
    </w:p>
    <w:p w:rsidR="0041431D" w:rsidRPr="009236C6" w:rsidRDefault="0041431D" w:rsidP="00216B34">
      <w:pPr>
        <w:pStyle w:val="SingleTxtG"/>
        <w:ind w:right="0"/>
        <w:jc w:val="center"/>
      </w:pPr>
    </w:p>
    <w:p w:rsidR="003C2CFE" w:rsidRPr="009236C6" w:rsidRDefault="00744D07" w:rsidP="005942E2">
      <w:pPr>
        <w:pStyle w:val="HChG"/>
      </w:pPr>
      <w:r>
        <w:rPr>
          <w:noProof/>
          <w:lang w:val="en-US"/>
        </w:rPr>
        <w:drawing>
          <wp:anchor distT="0" distB="0" distL="114300" distR="114300" simplePos="0" relativeHeight="251658240" behindDoc="0" locked="0" layoutInCell="1" allowOverlap="1" wp14:anchorId="4C2EDDAC" wp14:editId="3CFAFE01">
            <wp:simplePos x="0" y="0"/>
            <wp:positionH relativeFrom="margin">
              <wp:posOffset>5483744</wp:posOffset>
            </wp:positionH>
            <wp:positionV relativeFrom="margin">
              <wp:posOffset>8027843</wp:posOffset>
            </wp:positionV>
            <wp:extent cx="640080" cy="640080"/>
            <wp:effectExtent l="0" t="0" r="7620" b="7620"/>
            <wp:wrapNone/>
            <wp:docPr id="2" name="Picture 2" descr="http://undocs.org/m2/QRCode.ashx?DS=CCPR/C/113/D/2211/20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CCPR/C/113/D/2211/2012&amp;Size=2 &amp;L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1431D" w:rsidRPr="009236C6">
        <w:br w:type="page"/>
      </w:r>
      <w:r w:rsidR="003C2CFE" w:rsidRPr="009236C6">
        <w:lastRenderedPageBreak/>
        <w:t>Annex</w:t>
      </w:r>
    </w:p>
    <w:p w:rsidR="003C2CFE" w:rsidRPr="009236C6" w:rsidRDefault="003C2CFE" w:rsidP="000D02E3">
      <w:pPr>
        <w:pStyle w:val="HChG"/>
      </w:pPr>
      <w:r w:rsidRPr="009236C6">
        <w:tab/>
      </w:r>
      <w:r w:rsidRPr="009236C6">
        <w:tab/>
      </w:r>
      <w:r w:rsidR="002A171B" w:rsidRPr="009236C6">
        <w:t>Decision of</w:t>
      </w:r>
      <w:r w:rsidRPr="009236C6">
        <w:t xml:space="preserve"> the Human Rights Committee under the Optional Protocol to the International C</w:t>
      </w:r>
      <w:r w:rsidR="00D82F4D" w:rsidRPr="009236C6">
        <w:t>ovenant on Civil and Political R</w:t>
      </w:r>
      <w:r w:rsidRPr="009236C6">
        <w:t>ights (</w:t>
      </w:r>
      <w:r w:rsidR="008147FA" w:rsidRPr="009236C6">
        <w:rPr>
          <w:lang w:val="en-US"/>
        </w:rPr>
        <w:t>11</w:t>
      </w:r>
      <w:r w:rsidR="006260ED" w:rsidRPr="009236C6">
        <w:rPr>
          <w:lang w:val="en-US"/>
        </w:rPr>
        <w:t>3</w:t>
      </w:r>
      <w:r w:rsidRPr="009236C6">
        <w:rPr>
          <w:lang w:val="en-US"/>
        </w:rPr>
        <w:t>th session)</w:t>
      </w:r>
    </w:p>
    <w:p w:rsidR="003C2CFE" w:rsidRPr="009236C6" w:rsidRDefault="003C2CFE" w:rsidP="00953A51">
      <w:pPr>
        <w:pStyle w:val="SingleTxtG"/>
        <w:ind w:right="0"/>
      </w:pPr>
      <w:r w:rsidRPr="009236C6">
        <w:t>concerning</w:t>
      </w:r>
    </w:p>
    <w:p w:rsidR="00BB08E6" w:rsidRPr="009236C6" w:rsidRDefault="003C2CFE" w:rsidP="000C40A1">
      <w:pPr>
        <w:pStyle w:val="H1G"/>
        <w:rPr>
          <w:rFonts w:eastAsia="Calibri"/>
        </w:rPr>
      </w:pPr>
      <w:r w:rsidRPr="009236C6">
        <w:tab/>
      </w:r>
      <w:r w:rsidRPr="009236C6">
        <w:tab/>
      </w:r>
      <w:r w:rsidR="00BB08E6" w:rsidRPr="009236C6">
        <w:rPr>
          <w:rFonts w:eastAsia="Calibri"/>
        </w:rPr>
        <w:t xml:space="preserve">Communication No. </w:t>
      </w:r>
      <w:r w:rsidR="002A171B" w:rsidRPr="009236C6">
        <w:rPr>
          <w:rFonts w:eastAsia="Calibri"/>
        </w:rPr>
        <w:t>2211</w:t>
      </w:r>
      <w:r w:rsidR="00BB08E6" w:rsidRPr="009236C6">
        <w:rPr>
          <w:rFonts w:eastAsia="Calibri"/>
        </w:rPr>
        <w:t>/20</w:t>
      </w:r>
      <w:r w:rsidR="002A171B" w:rsidRPr="009236C6">
        <w:rPr>
          <w:rFonts w:eastAsia="Calibri"/>
        </w:rPr>
        <w:t>12</w:t>
      </w:r>
      <w:r w:rsidR="009143BE" w:rsidRPr="009236C6">
        <w:rPr>
          <w:rFonts w:eastAsia="Calibri"/>
          <w:b w:val="0"/>
          <w:bCs/>
          <w:sz w:val="18"/>
          <w:szCs w:val="24"/>
        </w:rPr>
        <w:footnoteReference w:customMarkFollows="1" w:id="2"/>
        <w:t>*</w:t>
      </w:r>
    </w:p>
    <w:p w:rsidR="008147FA" w:rsidRPr="009236C6" w:rsidRDefault="00BB08E6" w:rsidP="00EB280B">
      <w:pPr>
        <w:pStyle w:val="SingleTxtG"/>
        <w:ind w:left="4536" w:right="0" w:hanging="3402"/>
        <w:jc w:val="left"/>
      </w:pPr>
      <w:r w:rsidRPr="009236C6">
        <w:rPr>
          <w:rFonts w:eastAsia="Calibri"/>
          <w:i/>
        </w:rPr>
        <w:t>Submitted by:</w:t>
      </w:r>
      <w:r w:rsidRPr="009236C6">
        <w:rPr>
          <w:rFonts w:eastAsia="Calibri"/>
          <w:sz w:val="24"/>
          <w:szCs w:val="24"/>
        </w:rPr>
        <w:tab/>
      </w:r>
      <w:r w:rsidR="0083278D" w:rsidRPr="009236C6">
        <w:rPr>
          <w:rFonts w:eastAsia="Calibri"/>
        </w:rPr>
        <w:t>L.F.</w:t>
      </w:r>
    </w:p>
    <w:p w:rsidR="00BB08E6" w:rsidRPr="009236C6" w:rsidRDefault="00BB08E6" w:rsidP="00EB280B">
      <w:pPr>
        <w:pStyle w:val="SingleTxtG"/>
        <w:ind w:left="4536" w:right="0" w:hanging="3402"/>
        <w:jc w:val="left"/>
        <w:rPr>
          <w:rStyle w:val="SingleTxtGChar"/>
        </w:rPr>
      </w:pPr>
      <w:r w:rsidRPr="009236C6">
        <w:rPr>
          <w:rFonts w:eastAsia="Calibri"/>
          <w:i/>
        </w:rPr>
        <w:t>Alleged victim</w:t>
      </w:r>
      <w:r w:rsidR="0092062E" w:rsidRPr="009236C6">
        <w:rPr>
          <w:rFonts w:eastAsia="Calibri"/>
          <w:i/>
        </w:rPr>
        <w:t>s</w:t>
      </w:r>
      <w:r w:rsidRPr="009236C6">
        <w:rPr>
          <w:rFonts w:eastAsia="Calibri"/>
          <w:i/>
        </w:rPr>
        <w:t>:</w:t>
      </w:r>
      <w:r w:rsidRPr="009236C6">
        <w:rPr>
          <w:rFonts w:eastAsia="Calibri"/>
          <w:sz w:val="24"/>
          <w:szCs w:val="24"/>
        </w:rPr>
        <w:tab/>
      </w:r>
      <w:r w:rsidRPr="009236C6">
        <w:rPr>
          <w:rFonts w:eastAsia="Calibri"/>
        </w:rPr>
        <w:t>T</w:t>
      </w:r>
      <w:r w:rsidRPr="009236C6">
        <w:rPr>
          <w:rStyle w:val="SingleTxtGChar"/>
        </w:rPr>
        <w:t>he author</w:t>
      </w:r>
    </w:p>
    <w:p w:rsidR="00BB08E6" w:rsidRPr="009236C6" w:rsidRDefault="00BB08E6" w:rsidP="00EB280B">
      <w:pPr>
        <w:spacing w:after="120"/>
        <w:ind w:left="4536" w:hanging="3402"/>
        <w:rPr>
          <w:rStyle w:val="SingleTxtGChar"/>
        </w:rPr>
      </w:pPr>
      <w:r w:rsidRPr="009236C6">
        <w:rPr>
          <w:rFonts w:eastAsia="Calibri"/>
          <w:i/>
        </w:rPr>
        <w:t>State party:</w:t>
      </w:r>
      <w:r w:rsidRPr="009236C6">
        <w:rPr>
          <w:rFonts w:eastAsia="Calibri"/>
          <w:sz w:val="24"/>
          <w:szCs w:val="24"/>
        </w:rPr>
        <w:tab/>
      </w:r>
      <w:r w:rsidR="002A171B" w:rsidRPr="009236C6">
        <w:rPr>
          <w:rFonts w:eastAsia="Calibri"/>
        </w:rPr>
        <w:t>New Zealand</w:t>
      </w:r>
    </w:p>
    <w:p w:rsidR="00BB08E6" w:rsidRPr="009236C6" w:rsidRDefault="00BB08E6" w:rsidP="00EB280B">
      <w:pPr>
        <w:spacing w:after="120"/>
        <w:ind w:left="4536" w:hanging="3402"/>
        <w:rPr>
          <w:rStyle w:val="SingleTxtGChar"/>
        </w:rPr>
      </w:pPr>
      <w:r w:rsidRPr="009236C6">
        <w:rPr>
          <w:rFonts w:eastAsia="Calibri"/>
          <w:i/>
        </w:rPr>
        <w:t>Date of communication:</w:t>
      </w:r>
      <w:r w:rsidRPr="009236C6">
        <w:rPr>
          <w:rFonts w:eastAsia="Calibri"/>
          <w:sz w:val="24"/>
          <w:szCs w:val="24"/>
        </w:rPr>
        <w:tab/>
      </w:r>
      <w:r w:rsidR="002A171B" w:rsidRPr="009236C6">
        <w:t>3 June 2012</w:t>
      </w:r>
      <w:r w:rsidRPr="009236C6">
        <w:t xml:space="preserve"> (initial submission)</w:t>
      </w:r>
    </w:p>
    <w:p w:rsidR="00BB08E6" w:rsidRPr="009236C6" w:rsidRDefault="00BB08E6" w:rsidP="00EB280B">
      <w:pPr>
        <w:pStyle w:val="SingleTxtG"/>
        <w:spacing w:before="240"/>
        <w:rPr>
          <w:rStyle w:val="SingleTxtGChar"/>
        </w:rPr>
      </w:pPr>
      <w:r w:rsidRPr="009236C6">
        <w:rPr>
          <w:rFonts w:eastAsia="Calibri"/>
          <w:i/>
          <w:sz w:val="24"/>
          <w:szCs w:val="24"/>
        </w:rPr>
        <w:tab/>
      </w:r>
      <w:r w:rsidRPr="009236C6">
        <w:rPr>
          <w:rFonts w:eastAsia="Calibri"/>
          <w:i/>
        </w:rPr>
        <w:t>The Human Rights Committee</w:t>
      </w:r>
      <w:r w:rsidRPr="009236C6">
        <w:rPr>
          <w:rFonts w:eastAsia="Calibri"/>
          <w:sz w:val="24"/>
          <w:szCs w:val="24"/>
        </w:rPr>
        <w:t xml:space="preserve">, </w:t>
      </w:r>
      <w:r w:rsidRPr="009236C6">
        <w:rPr>
          <w:rStyle w:val="SingleTxtGChar"/>
        </w:rPr>
        <w:t xml:space="preserve">established under </w:t>
      </w:r>
      <w:r w:rsidR="000C6960" w:rsidRPr="009236C6">
        <w:rPr>
          <w:rStyle w:val="SingleTxtGChar"/>
        </w:rPr>
        <w:t>article </w:t>
      </w:r>
      <w:r w:rsidRPr="009236C6">
        <w:rPr>
          <w:rStyle w:val="SingleTxtGChar"/>
        </w:rPr>
        <w:t>28 of the International Covenant on Civil and Political Rights,</w:t>
      </w:r>
    </w:p>
    <w:p w:rsidR="00BB08E6" w:rsidRPr="009236C6" w:rsidRDefault="00BB08E6" w:rsidP="00953A51">
      <w:pPr>
        <w:spacing w:after="120"/>
        <w:ind w:left="1134"/>
        <w:jc w:val="both"/>
        <w:rPr>
          <w:rStyle w:val="SingleTxtGChar"/>
        </w:rPr>
      </w:pPr>
      <w:r w:rsidRPr="009236C6">
        <w:rPr>
          <w:rFonts w:eastAsia="Calibri"/>
          <w:sz w:val="24"/>
          <w:szCs w:val="24"/>
        </w:rPr>
        <w:tab/>
      </w:r>
      <w:r w:rsidRPr="009236C6">
        <w:rPr>
          <w:rFonts w:eastAsia="Calibri"/>
          <w:i/>
        </w:rPr>
        <w:t>Meeting on</w:t>
      </w:r>
      <w:r w:rsidRPr="009236C6">
        <w:rPr>
          <w:rFonts w:eastAsia="Calibri"/>
          <w:sz w:val="24"/>
          <w:szCs w:val="24"/>
        </w:rPr>
        <w:t xml:space="preserve"> </w:t>
      </w:r>
      <w:r w:rsidR="009143BE" w:rsidRPr="009236C6">
        <w:rPr>
          <w:rFonts w:eastAsia="Calibri"/>
        </w:rPr>
        <w:t xml:space="preserve">30 </w:t>
      </w:r>
      <w:r w:rsidR="006260ED" w:rsidRPr="009236C6">
        <w:rPr>
          <w:rFonts w:eastAsia="Calibri"/>
        </w:rPr>
        <w:t>March</w:t>
      </w:r>
      <w:r w:rsidR="008147FA" w:rsidRPr="009236C6">
        <w:rPr>
          <w:rFonts w:eastAsia="Calibri"/>
        </w:rPr>
        <w:t xml:space="preserve"> 201</w:t>
      </w:r>
      <w:r w:rsidR="006260ED" w:rsidRPr="009236C6">
        <w:rPr>
          <w:rFonts w:eastAsia="Calibri"/>
        </w:rPr>
        <w:t>5</w:t>
      </w:r>
      <w:r w:rsidRPr="009236C6">
        <w:rPr>
          <w:rStyle w:val="SingleTxtGChar"/>
        </w:rPr>
        <w:t>,</w:t>
      </w:r>
    </w:p>
    <w:p w:rsidR="00BB08E6" w:rsidRPr="009236C6" w:rsidRDefault="00BB08E6" w:rsidP="00953A51">
      <w:pPr>
        <w:spacing w:after="120"/>
        <w:ind w:left="1134"/>
        <w:jc w:val="both"/>
        <w:rPr>
          <w:rStyle w:val="SingleTxtGChar"/>
        </w:rPr>
      </w:pPr>
      <w:r w:rsidRPr="009236C6">
        <w:rPr>
          <w:rFonts w:eastAsia="Calibri"/>
          <w:sz w:val="24"/>
          <w:szCs w:val="24"/>
        </w:rPr>
        <w:tab/>
      </w:r>
      <w:r w:rsidRPr="009236C6">
        <w:rPr>
          <w:rFonts w:eastAsia="Calibri"/>
          <w:i/>
        </w:rPr>
        <w:t>Adopts</w:t>
      </w:r>
      <w:r w:rsidRPr="009236C6">
        <w:rPr>
          <w:rFonts w:eastAsia="Calibri"/>
        </w:rPr>
        <w:t xml:space="preserve"> </w:t>
      </w:r>
      <w:r w:rsidRPr="009236C6">
        <w:rPr>
          <w:rStyle w:val="SingleTxtGChar"/>
        </w:rPr>
        <w:t>the following:</w:t>
      </w:r>
    </w:p>
    <w:p w:rsidR="001E23FD" w:rsidRPr="009236C6" w:rsidRDefault="00BB08E6" w:rsidP="001E23FD">
      <w:pPr>
        <w:pStyle w:val="H1G"/>
        <w:ind w:right="0"/>
      </w:pPr>
      <w:r w:rsidRPr="009236C6">
        <w:tab/>
      </w:r>
      <w:r w:rsidRPr="009236C6">
        <w:tab/>
      </w:r>
      <w:r w:rsidR="002A171B" w:rsidRPr="009236C6">
        <w:t>Decision on admissibility</w:t>
      </w:r>
    </w:p>
    <w:p w:rsidR="00336B78" w:rsidRPr="009236C6" w:rsidRDefault="001E23FD" w:rsidP="009E201D">
      <w:pPr>
        <w:pStyle w:val="SingleTxtG"/>
      </w:pPr>
      <w:r w:rsidRPr="009236C6">
        <w:t>1.1</w:t>
      </w:r>
      <w:r w:rsidRPr="009236C6">
        <w:tab/>
      </w:r>
      <w:r w:rsidR="0020376D" w:rsidRPr="009236C6">
        <w:t>The author of the communication, dated 3 June 2012</w:t>
      </w:r>
      <w:r w:rsidR="001D2B5C" w:rsidRPr="009236C6">
        <w:t>,</w:t>
      </w:r>
      <w:r w:rsidR="0020376D" w:rsidRPr="009236C6">
        <w:t xml:space="preserve"> is </w:t>
      </w:r>
      <w:r w:rsidR="0083278D" w:rsidRPr="009236C6">
        <w:t>L.F.</w:t>
      </w:r>
      <w:r w:rsidR="0020376D" w:rsidRPr="009236C6">
        <w:t>, a national of New Zealand, born on 21 September 1977. He claims that New Zealand has violated his right to a fair trial</w:t>
      </w:r>
      <w:r w:rsidR="001D2B5C" w:rsidRPr="009236C6">
        <w:t>,</w:t>
      </w:r>
      <w:r w:rsidR="0020376D" w:rsidRPr="009236C6">
        <w:t xml:space="preserve"> which could raise issues under </w:t>
      </w:r>
      <w:r w:rsidR="000C6960" w:rsidRPr="009236C6">
        <w:t>article </w:t>
      </w:r>
      <w:r w:rsidR="0020376D" w:rsidRPr="009236C6">
        <w:t>14 of the Covenant</w:t>
      </w:r>
      <w:r w:rsidR="000C40A1" w:rsidRPr="009236C6">
        <w:t>.</w:t>
      </w:r>
      <w:r w:rsidR="0020376D" w:rsidRPr="009236C6">
        <w:rPr>
          <w:rStyle w:val="FootnoteReference"/>
        </w:rPr>
        <w:footnoteReference w:id="3"/>
      </w:r>
      <w:r w:rsidR="0020376D" w:rsidRPr="009236C6">
        <w:t xml:space="preserve"> He is not represented.</w:t>
      </w:r>
      <w:r w:rsidR="00B4231A" w:rsidRPr="009236C6">
        <w:t xml:space="preserve"> </w:t>
      </w:r>
    </w:p>
    <w:p w:rsidR="001E23FD" w:rsidRPr="009236C6" w:rsidRDefault="001E23FD" w:rsidP="001D2B5C">
      <w:pPr>
        <w:pStyle w:val="SingleTxtG"/>
      </w:pPr>
      <w:r w:rsidRPr="009236C6">
        <w:t>1.2</w:t>
      </w:r>
      <w:r w:rsidRPr="009236C6">
        <w:tab/>
        <w:t xml:space="preserve">On </w:t>
      </w:r>
      <w:r w:rsidR="0020376D" w:rsidRPr="009236C6">
        <w:t>18 April 2013</w:t>
      </w:r>
      <w:r w:rsidRPr="009236C6">
        <w:t xml:space="preserve">, the Special Rapporteur on </w:t>
      </w:r>
      <w:r w:rsidR="001D2B5C" w:rsidRPr="009236C6">
        <w:t>n</w:t>
      </w:r>
      <w:r w:rsidRPr="009236C6">
        <w:t xml:space="preserve">ew </w:t>
      </w:r>
      <w:r w:rsidR="001D2B5C" w:rsidRPr="009236C6">
        <w:t>c</w:t>
      </w:r>
      <w:r w:rsidRPr="009236C6">
        <w:t xml:space="preserve">ommunications and </w:t>
      </w:r>
      <w:r w:rsidR="001D2B5C" w:rsidRPr="009236C6">
        <w:t>i</w:t>
      </w:r>
      <w:r w:rsidRPr="009236C6">
        <w:t xml:space="preserve">nterim </w:t>
      </w:r>
      <w:r w:rsidR="001D2B5C" w:rsidRPr="009236C6">
        <w:t>m</w:t>
      </w:r>
      <w:r w:rsidRPr="009236C6">
        <w:t xml:space="preserve">easures, acting on behalf of the Committee, </w:t>
      </w:r>
      <w:r w:rsidR="00336B78" w:rsidRPr="009236C6">
        <w:t xml:space="preserve">decided not to </w:t>
      </w:r>
      <w:r w:rsidR="00416F6A" w:rsidRPr="009236C6">
        <w:t xml:space="preserve">accede to the author’s request made on 23 March 2013 asking that the </w:t>
      </w:r>
      <w:r w:rsidR="00336B78" w:rsidRPr="009236C6">
        <w:t xml:space="preserve">State party </w:t>
      </w:r>
      <w:r w:rsidR="00416F6A" w:rsidRPr="009236C6">
        <w:t>release him on bail.</w:t>
      </w:r>
    </w:p>
    <w:p w:rsidR="00416F6A" w:rsidRPr="009236C6" w:rsidRDefault="00416F6A" w:rsidP="009E201D">
      <w:pPr>
        <w:pStyle w:val="SingleTxtG"/>
      </w:pPr>
      <w:r w:rsidRPr="009236C6">
        <w:t>1.3</w:t>
      </w:r>
      <w:r w:rsidRPr="009236C6">
        <w:tab/>
        <w:t xml:space="preserve">On 18 April 2013, the Committee, acting through </w:t>
      </w:r>
      <w:r w:rsidR="009E201D" w:rsidRPr="009236C6">
        <w:t xml:space="preserve">the </w:t>
      </w:r>
      <w:r w:rsidRPr="009236C6">
        <w:t>Special Rapporteur, decided to examine the admissibility of the communication separately from the merits.</w:t>
      </w:r>
    </w:p>
    <w:p w:rsidR="001E23FD" w:rsidRPr="009236C6" w:rsidRDefault="001E23FD" w:rsidP="00344EF9">
      <w:pPr>
        <w:pStyle w:val="H23G"/>
      </w:pPr>
      <w:r w:rsidRPr="009236C6">
        <w:tab/>
      </w:r>
      <w:r w:rsidRPr="009236C6">
        <w:tab/>
        <w:t>Fact</w:t>
      </w:r>
      <w:r w:rsidR="00375EE0" w:rsidRPr="009236C6">
        <w:t>s as presented by the author</w:t>
      </w:r>
    </w:p>
    <w:p w:rsidR="00FA63ED" w:rsidRPr="009236C6" w:rsidRDefault="001E23FD" w:rsidP="00FA795D">
      <w:pPr>
        <w:pStyle w:val="SingleTxtG"/>
      </w:pPr>
      <w:r w:rsidRPr="009236C6">
        <w:t>2.1</w:t>
      </w:r>
      <w:r w:rsidRPr="009236C6">
        <w:tab/>
      </w:r>
      <w:r w:rsidR="00FA63ED" w:rsidRPr="009236C6">
        <w:t xml:space="preserve">On 22 May 2006, the author was arrested for participating in the import from China into New Zealand of very large quantities of drugs. On 10 December 2008, </w:t>
      </w:r>
      <w:r w:rsidR="009E201D" w:rsidRPr="009236C6">
        <w:t xml:space="preserve">a </w:t>
      </w:r>
      <w:r w:rsidR="00FA63ED" w:rsidRPr="009236C6">
        <w:t xml:space="preserve">High Court jury found him guilty of having methamphetamine in his possession for sale on a specific date. He was also found guilty of possessing weapons without authorization and </w:t>
      </w:r>
      <w:r w:rsidR="001E1518" w:rsidRPr="009236C6">
        <w:t xml:space="preserve">of </w:t>
      </w:r>
      <w:r w:rsidR="00FA63ED" w:rsidRPr="009236C6">
        <w:t>selling the unlawful drugs on specific dates. He was sentenced to 19</w:t>
      </w:r>
      <w:r w:rsidR="001D2B5C" w:rsidRPr="009236C6">
        <w:t xml:space="preserve"> and a half</w:t>
      </w:r>
      <w:r w:rsidR="00582E10" w:rsidRPr="009236C6">
        <w:t> </w:t>
      </w:r>
      <w:r w:rsidR="00FA63ED" w:rsidRPr="009236C6">
        <w:t>years</w:t>
      </w:r>
      <w:r w:rsidR="001E1518" w:rsidRPr="009236C6">
        <w:t>’</w:t>
      </w:r>
      <w:r w:rsidR="00FA63ED" w:rsidRPr="009236C6">
        <w:t xml:space="preserve"> imprisonment with a non-parole period of 8</w:t>
      </w:r>
      <w:r w:rsidR="001D2B5C" w:rsidRPr="009236C6">
        <w:t xml:space="preserve"> and a half</w:t>
      </w:r>
      <w:r w:rsidR="00582E10" w:rsidRPr="009236C6">
        <w:t> </w:t>
      </w:r>
      <w:r w:rsidR="00FA63ED" w:rsidRPr="009236C6">
        <w:t>years.</w:t>
      </w:r>
      <w:r w:rsidR="000C6960" w:rsidRPr="009236C6">
        <w:t xml:space="preserve"> </w:t>
      </w:r>
    </w:p>
    <w:p w:rsidR="00FA63ED" w:rsidRPr="009236C6" w:rsidRDefault="00FA63ED" w:rsidP="00FA795D">
      <w:pPr>
        <w:pStyle w:val="SingleTxtG"/>
      </w:pPr>
      <w:r w:rsidRPr="009236C6">
        <w:lastRenderedPageBreak/>
        <w:t>2.2</w:t>
      </w:r>
      <w:r w:rsidRPr="009236C6">
        <w:tab/>
        <w:t>During the trial</w:t>
      </w:r>
      <w:r w:rsidR="001D2B5C" w:rsidRPr="009236C6">
        <w:t>,</w:t>
      </w:r>
      <w:r w:rsidRPr="009236C6">
        <w:t xml:space="preserve"> where the author was appearing with five co-accused, a letter from a juror expressing a social interest in one of the counsels led to the </w:t>
      </w:r>
      <w:r w:rsidR="000C6960" w:rsidRPr="009236C6">
        <w:t xml:space="preserve">juror’s </w:t>
      </w:r>
      <w:r w:rsidRPr="009236C6">
        <w:t>dismissal</w:t>
      </w:r>
      <w:r w:rsidR="000C40A1" w:rsidRPr="009236C6">
        <w:t>.</w:t>
      </w:r>
      <w:r w:rsidRPr="009236C6">
        <w:rPr>
          <w:rStyle w:val="FootnoteReference"/>
        </w:rPr>
        <w:footnoteReference w:id="4"/>
      </w:r>
      <w:r w:rsidRPr="009236C6">
        <w:t xml:space="preserve"> The author and his co-accused raised the issue that</w:t>
      </w:r>
      <w:r w:rsidR="001D2B5C" w:rsidRPr="009236C6">
        <w:t>,</w:t>
      </w:r>
      <w:r w:rsidRPr="009236C6">
        <w:t xml:space="preserve"> even with that juror being discharged, the whole jury formation was tainted </w:t>
      </w:r>
      <w:r w:rsidR="00901DD6" w:rsidRPr="009236C6">
        <w:t>with error</w:t>
      </w:r>
      <w:r w:rsidR="00FA795D" w:rsidRPr="009236C6">
        <w:t>,</w:t>
      </w:r>
      <w:r w:rsidR="00901DD6" w:rsidRPr="009236C6">
        <w:t xml:space="preserve"> </w:t>
      </w:r>
      <w:r w:rsidRPr="009236C6">
        <w:t xml:space="preserve">as the said juror might have influenced the other jurors </w:t>
      </w:r>
      <w:r w:rsidR="001D2B5C" w:rsidRPr="009236C6">
        <w:t>(or at least of some of them)</w:t>
      </w:r>
      <w:r w:rsidR="00FA795D" w:rsidRPr="009236C6">
        <w:t xml:space="preserve"> </w:t>
      </w:r>
      <w:r w:rsidR="001D2B5C" w:rsidRPr="009236C6">
        <w:t xml:space="preserve">as to </w:t>
      </w:r>
      <w:r w:rsidRPr="009236C6">
        <w:t xml:space="preserve">the innocence or guilt of the accused. During an interview between the </w:t>
      </w:r>
      <w:r w:rsidR="001D2B5C" w:rsidRPr="009236C6">
        <w:t>j</w:t>
      </w:r>
      <w:r w:rsidRPr="009236C6">
        <w:t xml:space="preserve">udge and the juror concerned, the latter had mentioned that his involvement with a counsel had </w:t>
      </w:r>
      <w:r w:rsidR="000C6960" w:rsidRPr="009236C6">
        <w:t>“</w:t>
      </w:r>
      <w:r w:rsidRPr="009236C6">
        <w:t>no great prejudice</w:t>
      </w:r>
      <w:r w:rsidR="000C6960" w:rsidRPr="009236C6">
        <w:t>”</w:t>
      </w:r>
      <w:r w:rsidRPr="009236C6">
        <w:t xml:space="preserve"> on the conduct of the hearing. For the author and his co-accused, the mere acknowledgment that </w:t>
      </w:r>
      <w:r w:rsidR="001D2B5C" w:rsidRPr="009236C6">
        <w:t xml:space="preserve">there had been </w:t>
      </w:r>
      <w:r w:rsidR="000C6960" w:rsidRPr="009236C6">
        <w:t>“</w:t>
      </w:r>
      <w:r w:rsidRPr="009236C6">
        <w:t>prejudice</w:t>
      </w:r>
      <w:r w:rsidR="000C6960" w:rsidRPr="009236C6">
        <w:t>”</w:t>
      </w:r>
      <w:r w:rsidRPr="009236C6">
        <w:t xml:space="preserve"> should have been sufficient </w:t>
      </w:r>
      <w:r w:rsidR="001D2B5C" w:rsidRPr="009236C6">
        <w:t xml:space="preserve">for the judge </w:t>
      </w:r>
      <w:r w:rsidRPr="009236C6">
        <w:t xml:space="preserve">to dismiss the </w:t>
      </w:r>
      <w:r w:rsidR="001D2B5C" w:rsidRPr="009236C6">
        <w:t xml:space="preserve">jury </w:t>
      </w:r>
      <w:r w:rsidRPr="009236C6">
        <w:t xml:space="preserve">and form a new </w:t>
      </w:r>
      <w:r w:rsidR="001D2B5C" w:rsidRPr="009236C6">
        <w:t>one</w:t>
      </w:r>
      <w:r w:rsidRPr="009236C6">
        <w:t xml:space="preserve">. Despite these oppositions, the </w:t>
      </w:r>
      <w:r w:rsidR="001D2B5C" w:rsidRPr="009236C6">
        <w:t>j</w:t>
      </w:r>
      <w:r w:rsidRPr="009236C6">
        <w:t>udge decided to pursue the hearings with the remaining 10</w:t>
      </w:r>
      <w:r w:rsidR="00582E10" w:rsidRPr="009236C6">
        <w:t> </w:t>
      </w:r>
      <w:r w:rsidRPr="009236C6">
        <w:t>jurors.</w:t>
      </w:r>
      <w:r w:rsidR="000C6960" w:rsidRPr="009236C6">
        <w:t xml:space="preserve"> </w:t>
      </w:r>
    </w:p>
    <w:p w:rsidR="00FA63ED" w:rsidRPr="009236C6" w:rsidRDefault="00FA63ED" w:rsidP="00037EC6">
      <w:pPr>
        <w:pStyle w:val="SingleTxtG"/>
      </w:pPr>
      <w:r w:rsidRPr="009236C6">
        <w:t>2.3</w:t>
      </w:r>
      <w:r w:rsidRPr="009236C6">
        <w:tab/>
        <w:t xml:space="preserve">Later in the procedure, one of the </w:t>
      </w:r>
      <w:r w:rsidR="001D2B5C" w:rsidRPr="009236C6">
        <w:t xml:space="preserve">10 </w:t>
      </w:r>
      <w:r w:rsidRPr="009236C6">
        <w:t xml:space="preserve">jurors </w:t>
      </w:r>
      <w:r w:rsidR="001D2B5C" w:rsidRPr="009236C6">
        <w:t xml:space="preserve">was absent </w:t>
      </w:r>
      <w:r w:rsidRPr="009236C6">
        <w:t xml:space="preserve">for two sitting days and then </w:t>
      </w:r>
      <w:r w:rsidR="001D2B5C" w:rsidRPr="009236C6">
        <w:t>returned</w:t>
      </w:r>
      <w:r w:rsidR="000C40A1" w:rsidRPr="009236C6">
        <w:t>.</w:t>
      </w:r>
      <w:r w:rsidR="00886752" w:rsidRPr="009236C6">
        <w:rPr>
          <w:rStyle w:val="FootnoteReference"/>
        </w:rPr>
        <w:footnoteReference w:id="5"/>
      </w:r>
      <w:r w:rsidRPr="009236C6">
        <w:t xml:space="preserve"> There was no inquiry about the reasons for </w:t>
      </w:r>
      <w:r w:rsidR="001D2B5C" w:rsidRPr="009236C6">
        <w:t>the</w:t>
      </w:r>
      <w:r w:rsidRPr="009236C6">
        <w:t xml:space="preserve"> absence and no final ruling </w:t>
      </w:r>
      <w:r w:rsidR="00037EC6" w:rsidRPr="009236C6">
        <w:t xml:space="preserve">as to </w:t>
      </w:r>
      <w:r w:rsidRPr="009236C6">
        <w:t xml:space="preserve">whether the tenth juror was fully capable of discharging his duties. The </w:t>
      </w:r>
      <w:r w:rsidR="001D2B5C" w:rsidRPr="009236C6">
        <w:t>j</w:t>
      </w:r>
      <w:r w:rsidRPr="009236C6">
        <w:t>udge decided to continue the hearings.</w:t>
      </w:r>
      <w:r w:rsidR="000C6960" w:rsidRPr="009236C6">
        <w:t xml:space="preserve"> </w:t>
      </w:r>
    </w:p>
    <w:p w:rsidR="00FA63ED" w:rsidRPr="009236C6" w:rsidRDefault="00FA63ED" w:rsidP="00266AC5">
      <w:pPr>
        <w:pStyle w:val="SingleTxtG"/>
      </w:pPr>
      <w:r w:rsidRPr="009236C6">
        <w:t>2.4</w:t>
      </w:r>
      <w:r w:rsidRPr="009236C6">
        <w:tab/>
        <w:t xml:space="preserve">The author and his co-accused appealed the judgment of the High Court on the ground, inter alia, that the trial should not have proceeded with 10 jurors, especially given that one of them had disappeared and reappeared without the accused knowing the reason for </w:t>
      </w:r>
      <w:r w:rsidR="00266AC5" w:rsidRPr="009236C6">
        <w:t>the</w:t>
      </w:r>
      <w:r w:rsidRPr="009236C6">
        <w:t xml:space="preserve"> incident. The Court rejected the </w:t>
      </w:r>
      <w:r w:rsidR="000C6960" w:rsidRPr="009236C6">
        <w:t xml:space="preserve">authors’ </w:t>
      </w:r>
      <w:r w:rsidRPr="009236C6">
        <w:t xml:space="preserve">appeal. With regard to the </w:t>
      </w:r>
      <w:r w:rsidR="000C6960" w:rsidRPr="009236C6">
        <w:t>“</w:t>
      </w:r>
      <w:r w:rsidRPr="009236C6">
        <w:t>tainted</w:t>
      </w:r>
      <w:r w:rsidR="000C6960" w:rsidRPr="009236C6">
        <w:t>”</w:t>
      </w:r>
      <w:r w:rsidRPr="009236C6">
        <w:t xml:space="preserve"> juror, the Court considered that his reference to </w:t>
      </w:r>
      <w:r w:rsidR="000C6960" w:rsidRPr="009236C6">
        <w:t>“</w:t>
      </w:r>
      <w:r w:rsidRPr="009236C6">
        <w:t>no great prejudice</w:t>
      </w:r>
      <w:r w:rsidR="000C6960" w:rsidRPr="009236C6">
        <w:t>”</w:t>
      </w:r>
      <w:r w:rsidRPr="009236C6">
        <w:t xml:space="preserve"> was a matter for the Judge to evaluate</w:t>
      </w:r>
      <w:r w:rsidR="00266AC5" w:rsidRPr="009236C6">
        <w:t>,</w:t>
      </w:r>
      <w:r w:rsidRPr="009236C6">
        <w:t xml:space="preserve"> as it could have meant that there was prejudice but that the prejudice was not great or it could </w:t>
      </w:r>
      <w:r w:rsidR="00266AC5" w:rsidRPr="009236C6">
        <w:t xml:space="preserve">have </w:t>
      </w:r>
      <w:r w:rsidRPr="009236C6">
        <w:t>be</w:t>
      </w:r>
      <w:r w:rsidR="00266AC5" w:rsidRPr="009236C6">
        <w:t>en</w:t>
      </w:r>
      <w:r w:rsidRPr="009236C6">
        <w:t xml:space="preserve"> understood as a laconic statement that there was no basis for concern. The Court considered that there was no ground for challenging the </w:t>
      </w:r>
      <w:r w:rsidR="001D2B5C" w:rsidRPr="009236C6">
        <w:t>j</w:t>
      </w:r>
      <w:r w:rsidR="000C6960" w:rsidRPr="009236C6">
        <w:t xml:space="preserve">udge’s </w:t>
      </w:r>
      <w:r w:rsidRPr="009236C6">
        <w:t xml:space="preserve">appraisal. With regard to the tenth juror, the Court considered that there was no evidential base for doubt that </w:t>
      </w:r>
      <w:r w:rsidR="000C6960" w:rsidRPr="009236C6">
        <w:t>“</w:t>
      </w:r>
      <w:r w:rsidRPr="009236C6">
        <w:t>a temporary absence of the tenth juror was simply due to a misapprehension as to when the hearing would resume</w:t>
      </w:r>
      <w:r w:rsidR="000C6960" w:rsidRPr="009236C6">
        <w:t>”</w:t>
      </w:r>
      <w:r w:rsidR="000C40A1" w:rsidRPr="009236C6">
        <w:t>.</w:t>
      </w:r>
      <w:r w:rsidRPr="009236C6">
        <w:rPr>
          <w:rStyle w:val="FootnoteReference"/>
        </w:rPr>
        <w:footnoteReference w:id="6"/>
      </w:r>
      <w:r w:rsidRPr="009236C6">
        <w:t xml:space="preserve"> The Court further noted that</w:t>
      </w:r>
      <w:r w:rsidR="001D2B5C" w:rsidRPr="009236C6">
        <w:t>,</w:t>
      </w:r>
      <w:r w:rsidRPr="009236C6">
        <w:t xml:space="preserve"> in accordance with </w:t>
      </w:r>
      <w:r w:rsidR="001D2B5C" w:rsidRPr="009236C6">
        <w:t>s</w:t>
      </w:r>
      <w:r w:rsidR="000C6960" w:rsidRPr="009236C6">
        <w:t>ection </w:t>
      </w:r>
      <w:r w:rsidRPr="009236C6">
        <w:t>374 of the Procedure Code, the Court must not proceed with fewer than 11 jurors except, inter alia, if the Court considered that, because of exceptional circumstances in relation to the trial, and having regard to the interest of justice, the Court should proceed with fewer than 11 jurors</w:t>
      </w:r>
      <w:r w:rsidR="001D2B5C" w:rsidRPr="009236C6">
        <w:t>,</w:t>
      </w:r>
      <w:r w:rsidRPr="009236C6">
        <w:t xml:space="preserve"> and in that case, the trial may proceed with 10 jurors whether or not the prosecutor and the accused consent.</w:t>
      </w:r>
      <w:r w:rsidR="000C6960" w:rsidRPr="009236C6">
        <w:t xml:space="preserve"> </w:t>
      </w:r>
    </w:p>
    <w:p w:rsidR="00FA63ED" w:rsidRPr="009236C6" w:rsidRDefault="00FA63ED" w:rsidP="001755D8">
      <w:pPr>
        <w:pStyle w:val="SingleTxtG"/>
      </w:pPr>
      <w:r w:rsidRPr="009236C6">
        <w:t>2.5</w:t>
      </w:r>
      <w:r w:rsidRPr="009236C6">
        <w:tab/>
        <w:t xml:space="preserve">In the present case, the </w:t>
      </w:r>
      <w:r w:rsidR="001D2B5C" w:rsidRPr="009236C6">
        <w:t>j</w:t>
      </w:r>
      <w:r w:rsidRPr="009236C6">
        <w:t xml:space="preserve">udge gave reasons for pursuing the trial, including that </w:t>
      </w:r>
      <w:r w:rsidR="001D2B5C" w:rsidRPr="009236C6">
        <w:t xml:space="preserve">the case </w:t>
      </w:r>
      <w:r w:rsidRPr="009236C6">
        <w:t xml:space="preserve">was a complex </w:t>
      </w:r>
      <w:r w:rsidR="001D2B5C" w:rsidRPr="009236C6">
        <w:t xml:space="preserve">one, </w:t>
      </w:r>
      <w:r w:rsidRPr="009236C6">
        <w:t xml:space="preserve">involving </w:t>
      </w:r>
      <w:r w:rsidR="001D2B5C" w:rsidRPr="009236C6">
        <w:t>six</w:t>
      </w:r>
      <w:r w:rsidRPr="009236C6">
        <w:t xml:space="preserve"> accused facing a total of 41 charges, that the trial was scheduled for </w:t>
      </w:r>
      <w:r w:rsidR="001755D8" w:rsidRPr="009236C6">
        <w:t>6</w:t>
      </w:r>
      <w:r w:rsidR="00582E10" w:rsidRPr="009236C6">
        <w:t> </w:t>
      </w:r>
      <w:r w:rsidRPr="009236C6">
        <w:t>weeks but ran over significantly (to 11</w:t>
      </w:r>
      <w:r w:rsidR="00582E10" w:rsidRPr="009236C6">
        <w:t> </w:t>
      </w:r>
      <w:r w:rsidRPr="009236C6">
        <w:t>weeks); that the issue of the 10</w:t>
      </w:r>
      <w:r w:rsidR="00582E10" w:rsidRPr="009236C6">
        <w:t xml:space="preserve"> </w:t>
      </w:r>
      <w:r w:rsidRPr="009236C6">
        <w:t xml:space="preserve">jurors was raised after completion of </w:t>
      </w:r>
      <w:r w:rsidR="001755D8" w:rsidRPr="009236C6">
        <w:t>9</w:t>
      </w:r>
      <w:r w:rsidR="00582E10" w:rsidRPr="009236C6">
        <w:t> </w:t>
      </w:r>
      <w:r w:rsidRPr="009236C6">
        <w:t xml:space="preserve">weeks of trial; that </w:t>
      </w:r>
      <w:r w:rsidR="001755D8" w:rsidRPr="009236C6">
        <w:t xml:space="preserve">the </w:t>
      </w:r>
      <w:r w:rsidRPr="009236C6">
        <w:t xml:space="preserve">trial involved a significant investment of time and resources from Police, Customs and Crown and defence counsel was substantial; and that the earliest date for a retrial would be in 2010 and in the meantime all the accused would have to remain in custody. </w:t>
      </w:r>
      <w:r w:rsidR="001D2B5C" w:rsidRPr="009236C6">
        <w:t>T</w:t>
      </w:r>
      <w:r w:rsidRPr="009236C6">
        <w:t xml:space="preserve">he Court of Appeal rejected the </w:t>
      </w:r>
      <w:r w:rsidR="000C6960" w:rsidRPr="009236C6">
        <w:t xml:space="preserve">author’s </w:t>
      </w:r>
      <w:r w:rsidRPr="009236C6">
        <w:lastRenderedPageBreak/>
        <w:t xml:space="preserve">claims. The Court of Appeal also noted that the impossibility </w:t>
      </w:r>
      <w:r w:rsidR="001755D8" w:rsidRPr="009236C6">
        <w:t xml:space="preserve">of </w:t>
      </w:r>
      <w:r w:rsidRPr="009236C6">
        <w:t>carry</w:t>
      </w:r>
      <w:r w:rsidR="001755D8" w:rsidRPr="009236C6">
        <w:t>ing</w:t>
      </w:r>
      <w:r w:rsidRPr="009236C6">
        <w:t xml:space="preserve"> on with the trial with the 10 chosen jurors was not raised by any of the accused at the time of trial. There was therefore no reason why the </w:t>
      </w:r>
      <w:r w:rsidR="001755D8" w:rsidRPr="009236C6">
        <w:t>j</w:t>
      </w:r>
      <w:r w:rsidRPr="009236C6">
        <w:t>udge should have departed from her decision to continue with the hearings.</w:t>
      </w:r>
      <w:r w:rsidR="00B4231A" w:rsidRPr="009236C6">
        <w:t xml:space="preserve"> </w:t>
      </w:r>
    </w:p>
    <w:p w:rsidR="00FA63ED" w:rsidRPr="009236C6" w:rsidRDefault="00FA63ED" w:rsidP="001D2B5C">
      <w:pPr>
        <w:pStyle w:val="SingleTxtG"/>
      </w:pPr>
      <w:r w:rsidRPr="009236C6">
        <w:t>2.6</w:t>
      </w:r>
      <w:r w:rsidRPr="009236C6">
        <w:tab/>
        <w:t xml:space="preserve">On 5 April 2011, the Supreme Court rejected the </w:t>
      </w:r>
      <w:r w:rsidR="000C6960" w:rsidRPr="009236C6">
        <w:t xml:space="preserve">author’s </w:t>
      </w:r>
      <w:r w:rsidRPr="009236C6">
        <w:t>application for leave to appeal on the ground that the lengthy delay in bringing the appeal was not adequately explained. The Court agr</w:t>
      </w:r>
      <w:r w:rsidR="00126948" w:rsidRPr="009236C6">
        <w:t>eed that</w:t>
      </w:r>
      <w:r w:rsidR="001D2B5C" w:rsidRPr="009236C6">
        <w:t>,</w:t>
      </w:r>
      <w:r w:rsidR="00126948" w:rsidRPr="009236C6">
        <w:t xml:space="preserve"> in the context of a 25-</w:t>
      </w:r>
      <w:r w:rsidRPr="009236C6">
        <w:t>year term of imprisonment</w:t>
      </w:r>
      <w:r w:rsidR="001755D8" w:rsidRPr="009236C6">
        <w:t>,</w:t>
      </w:r>
      <w:r w:rsidRPr="009236C6">
        <w:t xml:space="preserve"> it </w:t>
      </w:r>
      <w:r w:rsidR="001D2B5C" w:rsidRPr="009236C6">
        <w:t xml:space="preserve">might </w:t>
      </w:r>
      <w:r w:rsidRPr="009236C6">
        <w:t xml:space="preserve">be in the interest of justice to extend </w:t>
      </w:r>
      <w:r w:rsidR="001D2B5C" w:rsidRPr="009236C6">
        <w:t xml:space="preserve">the </w:t>
      </w:r>
      <w:r w:rsidRPr="009236C6">
        <w:t xml:space="preserve">time for seeking leave </w:t>
      </w:r>
      <w:r w:rsidR="001D2B5C" w:rsidRPr="009236C6">
        <w:t xml:space="preserve">to appeal, </w:t>
      </w:r>
      <w:r w:rsidRPr="009236C6">
        <w:t xml:space="preserve">despite </w:t>
      </w:r>
      <w:r w:rsidR="001D2B5C" w:rsidRPr="009236C6">
        <w:t xml:space="preserve">a </w:t>
      </w:r>
      <w:r w:rsidRPr="009236C6">
        <w:t xml:space="preserve">substantial delay, provided that </w:t>
      </w:r>
      <w:r w:rsidR="001D2B5C" w:rsidRPr="009236C6">
        <w:t xml:space="preserve">an </w:t>
      </w:r>
      <w:r w:rsidRPr="009236C6">
        <w:t xml:space="preserve">apparent miscarriage of justice was </w:t>
      </w:r>
      <w:r w:rsidR="001D2B5C" w:rsidRPr="009236C6">
        <w:t>“</w:t>
      </w:r>
      <w:r w:rsidRPr="009236C6">
        <w:t>well arguable</w:t>
      </w:r>
      <w:r w:rsidR="001D2B5C" w:rsidRPr="009236C6">
        <w:t>”</w:t>
      </w:r>
      <w:r w:rsidRPr="009236C6">
        <w:t xml:space="preserve">. In the present case, the Court considered that there was no such appearance of a miscarriage </w:t>
      </w:r>
      <w:r w:rsidR="001755D8" w:rsidRPr="009236C6">
        <w:t xml:space="preserve">of justice </w:t>
      </w:r>
      <w:r w:rsidRPr="009236C6">
        <w:t xml:space="preserve">on the proposed grounds of appeal. Despite </w:t>
      </w:r>
      <w:r w:rsidR="001D2B5C" w:rsidRPr="009236C6">
        <w:t xml:space="preserve">the </w:t>
      </w:r>
      <w:r w:rsidRPr="009236C6">
        <w:t xml:space="preserve">decision, the Supreme Court looked into the ground of appeal and concluded that the Court of Appeal had not erred in its judgment that </w:t>
      </w:r>
      <w:r w:rsidR="001D2B5C" w:rsidRPr="009236C6">
        <w:t xml:space="preserve">there had been </w:t>
      </w:r>
      <w:r w:rsidRPr="009236C6">
        <w:t>no miscarriage of justice.</w:t>
      </w:r>
      <w:r w:rsidR="00B4231A" w:rsidRPr="009236C6">
        <w:t xml:space="preserve"> </w:t>
      </w:r>
    </w:p>
    <w:p w:rsidR="00B75590" w:rsidRPr="009236C6" w:rsidRDefault="00FA63ED" w:rsidP="001D2B5C">
      <w:pPr>
        <w:pStyle w:val="SingleTxtG"/>
      </w:pPr>
      <w:r w:rsidRPr="009236C6">
        <w:t>2.7</w:t>
      </w:r>
      <w:r w:rsidRPr="009236C6">
        <w:tab/>
        <w:t xml:space="preserve">On 6 June 2011, the author made a formal complaint to the Office of the Judicial Conduct Commissioner about the conduct of the </w:t>
      </w:r>
      <w:r w:rsidR="001D2B5C" w:rsidRPr="009236C6">
        <w:t>j</w:t>
      </w:r>
      <w:r w:rsidRPr="009236C6">
        <w:t>udge of the High Court</w:t>
      </w:r>
      <w:r w:rsidR="001755D8" w:rsidRPr="009236C6">
        <w:t>,</w:t>
      </w:r>
      <w:r w:rsidRPr="009236C6">
        <w:t xml:space="preserve"> who </w:t>
      </w:r>
      <w:r w:rsidR="001D2B5C" w:rsidRPr="009236C6">
        <w:t xml:space="preserve">had </w:t>
      </w:r>
      <w:r w:rsidRPr="009236C6">
        <w:t xml:space="preserve">decided to continue with the hearing with the remaining 10 jurors. His complaint was dismissed on 23 February 2012 on the ground that </w:t>
      </w:r>
      <w:r w:rsidR="001D2B5C" w:rsidRPr="009236C6">
        <w:t>it</w:t>
      </w:r>
      <w:r w:rsidRPr="009236C6">
        <w:t xml:space="preserve"> was essentially directed towards the validity of the decisions reached and </w:t>
      </w:r>
      <w:r w:rsidR="001D2B5C" w:rsidRPr="009236C6">
        <w:t xml:space="preserve">was </w:t>
      </w:r>
      <w:r w:rsidRPr="009236C6">
        <w:t xml:space="preserve">not related to </w:t>
      </w:r>
      <w:r w:rsidR="001D2B5C" w:rsidRPr="009236C6">
        <w:t xml:space="preserve">the </w:t>
      </w:r>
      <w:r w:rsidR="000C6960" w:rsidRPr="009236C6">
        <w:t>judge</w:t>
      </w:r>
      <w:r w:rsidR="001D2B5C" w:rsidRPr="009236C6">
        <w:t>’</w:t>
      </w:r>
      <w:r w:rsidR="000C6960" w:rsidRPr="009236C6">
        <w:t xml:space="preserve">s </w:t>
      </w:r>
      <w:r w:rsidRPr="009236C6">
        <w:t xml:space="preserve">conduct as such. His appeal against </w:t>
      </w:r>
      <w:r w:rsidR="001D2B5C" w:rsidRPr="009236C6">
        <w:t xml:space="preserve">the </w:t>
      </w:r>
      <w:r w:rsidRPr="009236C6">
        <w:t>decision was also dismissed on 29 March 2012.</w:t>
      </w:r>
    </w:p>
    <w:p w:rsidR="001E23FD" w:rsidRPr="009236C6" w:rsidRDefault="000C40A1" w:rsidP="000C40A1">
      <w:pPr>
        <w:pStyle w:val="H23G"/>
      </w:pPr>
      <w:r w:rsidRPr="009236C6">
        <w:tab/>
      </w:r>
      <w:r w:rsidRPr="009236C6">
        <w:tab/>
      </w:r>
      <w:r w:rsidR="001E23FD" w:rsidRPr="009236C6">
        <w:t>The complaint</w:t>
      </w:r>
    </w:p>
    <w:p w:rsidR="00336B78" w:rsidRPr="009236C6" w:rsidRDefault="00D44AF6" w:rsidP="006E43D9">
      <w:pPr>
        <w:pStyle w:val="SingleTxtG"/>
      </w:pPr>
      <w:r w:rsidRPr="009236C6">
        <w:t>3.</w:t>
      </w:r>
      <w:r w:rsidRPr="009236C6">
        <w:tab/>
      </w:r>
      <w:r w:rsidR="00FA63ED" w:rsidRPr="009236C6">
        <w:t xml:space="preserve">The author considers that by failing to guarantee that his trial would be conducted in conformity with the State </w:t>
      </w:r>
      <w:r w:rsidR="000C6960" w:rsidRPr="009236C6">
        <w:t xml:space="preserve">party’s </w:t>
      </w:r>
      <w:r w:rsidR="00FA63ED" w:rsidRPr="009236C6">
        <w:t xml:space="preserve">criminal procedure in relation to the number and quality of jurors forming the jury, the State party has violated his right to </w:t>
      </w:r>
      <w:r w:rsidR="001D2B5C" w:rsidRPr="009236C6">
        <w:t xml:space="preserve">a </w:t>
      </w:r>
      <w:r w:rsidR="00FA63ED" w:rsidRPr="009236C6">
        <w:t>fair trial</w:t>
      </w:r>
      <w:r w:rsidR="00D617FE" w:rsidRPr="009236C6">
        <w:t xml:space="preserve">. He particularly refers to the </w:t>
      </w:r>
      <w:r w:rsidR="001D2B5C" w:rsidRPr="009236C6">
        <w:t>failure to conduct</w:t>
      </w:r>
      <w:r w:rsidR="00D617FE" w:rsidRPr="009236C6">
        <w:t xml:space="preserve"> an inquiry </w:t>
      </w:r>
      <w:r w:rsidR="001D2B5C" w:rsidRPr="009236C6">
        <w:t xml:space="preserve">into </w:t>
      </w:r>
      <w:r w:rsidR="00D617FE" w:rsidRPr="009236C6">
        <w:t xml:space="preserve">the absence of the tenth juror for two days; the fact that the Court of Appeal allegedly violated his rights by giving weight to the absence of objection by the defence counsel </w:t>
      </w:r>
      <w:r w:rsidR="001755D8" w:rsidRPr="009236C6">
        <w:t xml:space="preserve">to </w:t>
      </w:r>
      <w:r w:rsidR="00D617FE" w:rsidRPr="009236C6">
        <w:t>resuming the trial; the fact that there was no evidence that the juror was fit to serve fo</w:t>
      </w:r>
      <w:r w:rsidR="003516EF" w:rsidRPr="009236C6">
        <w:t>llowing his absence and return</w:t>
      </w:r>
      <w:r w:rsidR="00775B5D" w:rsidRPr="009236C6">
        <w:t xml:space="preserve">; and that there was no transcription of the decision made by the judge trial to resume the trial without further inquiry following </w:t>
      </w:r>
      <w:r w:rsidR="001D2B5C" w:rsidRPr="009236C6">
        <w:t xml:space="preserve">the </w:t>
      </w:r>
      <w:r w:rsidR="00775B5D" w:rsidRPr="009236C6">
        <w:t xml:space="preserve">return of the </w:t>
      </w:r>
      <w:r w:rsidR="001D2B5C" w:rsidRPr="009236C6">
        <w:t>ten</w:t>
      </w:r>
      <w:r w:rsidR="00775B5D" w:rsidRPr="009236C6">
        <w:t>th juror</w:t>
      </w:r>
      <w:r w:rsidR="000C40A1" w:rsidRPr="009236C6">
        <w:t>.</w:t>
      </w:r>
      <w:r w:rsidR="00FA63ED" w:rsidRPr="009236C6">
        <w:rPr>
          <w:rStyle w:val="FootnoteReference"/>
        </w:rPr>
        <w:footnoteReference w:id="7"/>
      </w:r>
    </w:p>
    <w:p w:rsidR="00BC5EDE" w:rsidRPr="009236C6" w:rsidRDefault="000C40A1" w:rsidP="000C40A1">
      <w:pPr>
        <w:pStyle w:val="H23G"/>
      </w:pPr>
      <w:r w:rsidRPr="009236C6">
        <w:tab/>
      </w:r>
      <w:r w:rsidRPr="009236C6">
        <w:tab/>
      </w:r>
      <w:r w:rsidR="00BC5EDE" w:rsidRPr="009236C6">
        <w:t xml:space="preserve">State party’s observations on admissibility </w:t>
      </w:r>
    </w:p>
    <w:p w:rsidR="00126948" w:rsidRPr="009236C6" w:rsidRDefault="004D78DE" w:rsidP="001D2B5C">
      <w:pPr>
        <w:pStyle w:val="SingleTxtG"/>
      </w:pPr>
      <w:r w:rsidRPr="009236C6">
        <w:t>4</w:t>
      </w:r>
      <w:r w:rsidR="002673CA" w:rsidRPr="009236C6">
        <w:t>.1</w:t>
      </w:r>
      <w:r w:rsidR="002673CA" w:rsidRPr="009236C6">
        <w:tab/>
      </w:r>
      <w:r w:rsidR="00224CAC" w:rsidRPr="009236C6">
        <w:t xml:space="preserve">On </w:t>
      </w:r>
      <w:r w:rsidR="00375EE0" w:rsidRPr="009236C6">
        <w:t>29 January 2013</w:t>
      </w:r>
      <w:r w:rsidR="00224CAC" w:rsidRPr="009236C6">
        <w:t xml:space="preserve">, the State party </w:t>
      </w:r>
      <w:r w:rsidR="00375EE0" w:rsidRPr="009236C6">
        <w:t>challenged the admissibility of the communicatio</w:t>
      </w:r>
      <w:r w:rsidR="00126948" w:rsidRPr="009236C6">
        <w:t xml:space="preserve">n </w:t>
      </w:r>
      <w:r w:rsidR="001D2B5C" w:rsidRPr="009236C6">
        <w:t xml:space="preserve">on the grounds of </w:t>
      </w:r>
      <w:r w:rsidR="00126948" w:rsidRPr="009236C6">
        <w:t>non-exhaustion of domestic remedies, non-substantiation and incompatibility with the Covenant.</w:t>
      </w:r>
    </w:p>
    <w:p w:rsidR="002C120D" w:rsidRPr="009236C6" w:rsidRDefault="00126948" w:rsidP="001755D8">
      <w:pPr>
        <w:pStyle w:val="SingleTxtG"/>
      </w:pPr>
      <w:r w:rsidRPr="009236C6">
        <w:t>4.2</w:t>
      </w:r>
      <w:r w:rsidRPr="009236C6">
        <w:tab/>
        <w:t>On the facts, the State party notes that</w:t>
      </w:r>
      <w:r w:rsidR="001D2B5C" w:rsidRPr="009236C6">
        <w:t>,</w:t>
      </w:r>
      <w:r w:rsidRPr="009236C6">
        <w:t xml:space="preserve"> during the trial before the High Court in July</w:t>
      </w:r>
      <w:r w:rsidR="00165236" w:rsidRPr="009236C6">
        <w:t>–</w:t>
      </w:r>
      <w:r w:rsidRPr="009236C6">
        <w:t xml:space="preserve">September 2008, prosecution and defence counsel were consulted. The trial was adjourned </w:t>
      </w:r>
      <w:r w:rsidR="001D2B5C" w:rsidRPr="009236C6">
        <w:t>on account of</w:t>
      </w:r>
      <w:r w:rsidR="002C5FD9" w:rsidRPr="009236C6">
        <w:t xml:space="preserve"> </w:t>
      </w:r>
      <w:r w:rsidRPr="009236C6">
        <w:t xml:space="preserve">the absence </w:t>
      </w:r>
      <w:r w:rsidR="001D2B5C" w:rsidRPr="009236C6">
        <w:t xml:space="preserve">of one of the jurors </w:t>
      </w:r>
      <w:r w:rsidRPr="009236C6">
        <w:t xml:space="preserve">and court staff </w:t>
      </w:r>
      <w:r w:rsidR="001755D8" w:rsidRPr="009236C6">
        <w:t xml:space="preserve">were </w:t>
      </w:r>
      <w:r w:rsidRPr="009236C6">
        <w:t>directed to locate the absent juror, without success</w:t>
      </w:r>
      <w:r w:rsidR="000C40A1" w:rsidRPr="009236C6">
        <w:t>.</w:t>
      </w:r>
      <w:r w:rsidRPr="009236C6">
        <w:rPr>
          <w:rStyle w:val="FootnoteReference"/>
        </w:rPr>
        <w:footnoteReference w:id="8"/>
      </w:r>
      <w:r w:rsidR="002C120D" w:rsidRPr="009236C6">
        <w:t xml:space="preserve"> When the juror returned the next day, it was indicated that he had misunderstood a court direction for a one-day adjournment and was instead absent for two consecutive days. The trial judge asked the prosecution and defence counsel whether any further inquiry was needed and all counsel, including the author’s counsel, agreed that nothing more was required and that the trial could resume. The trial </w:t>
      </w:r>
      <w:r w:rsidR="002C120D" w:rsidRPr="009236C6">
        <w:lastRenderedPageBreak/>
        <w:t>judge formally recorded that factual assessment and her decision to</w:t>
      </w:r>
      <w:r w:rsidR="00446C09" w:rsidRPr="009236C6">
        <w:t xml:space="preserve"> resume the trial in a written M</w:t>
      </w:r>
      <w:r w:rsidR="002C120D" w:rsidRPr="009236C6">
        <w:t>inute</w:t>
      </w:r>
      <w:r w:rsidR="00800E2E" w:rsidRPr="009236C6">
        <w:t>.</w:t>
      </w:r>
      <w:r w:rsidR="00105665" w:rsidRPr="009236C6">
        <w:rPr>
          <w:rStyle w:val="FootnoteReference"/>
        </w:rPr>
        <w:footnoteReference w:id="9"/>
      </w:r>
    </w:p>
    <w:p w:rsidR="00105665" w:rsidRPr="009236C6" w:rsidRDefault="00105665" w:rsidP="001D2B5C">
      <w:pPr>
        <w:pStyle w:val="SingleTxtG"/>
      </w:pPr>
      <w:r w:rsidRPr="009236C6">
        <w:t>4.3</w:t>
      </w:r>
      <w:r w:rsidRPr="009236C6">
        <w:tab/>
        <w:t>The author chall</w:t>
      </w:r>
      <w:r w:rsidR="00446C09" w:rsidRPr="009236C6">
        <w:t xml:space="preserve">enged </w:t>
      </w:r>
      <w:r w:rsidR="001D2B5C" w:rsidRPr="009236C6">
        <w:t xml:space="preserve">the </w:t>
      </w:r>
      <w:r w:rsidRPr="009236C6">
        <w:t>decision on appeal to the Court of Appeal and in an application for leave to appeal to the Supreme Court. Both courts dismissed the appeal</w:t>
      </w:r>
      <w:r w:rsidR="001D2B5C" w:rsidRPr="009236C6">
        <w:t>,</w:t>
      </w:r>
      <w:r w:rsidRPr="009236C6">
        <w:t xml:space="preserve"> noting that there had been no request by defence counsel for further inquiry and no objection to the </w:t>
      </w:r>
      <w:r w:rsidR="001D2B5C" w:rsidRPr="009236C6">
        <w:t xml:space="preserve">resumption of the </w:t>
      </w:r>
      <w:r w:rsidRPr="009236C6">
        <w:t xml:space="preserve">trial; </w:t>
      </w:r>
      <w:r w:rsidR="005F6878" w:rsidRPr="009236C6">
        <w:t xml:space="preserve">that </w:t>
      </w:r>
      <w:r w:rsidRPr="009236C6">
        <w:t xml:space="preserve">there was nothing to suggest that the juror’s absence was due to anything other than a misunderstanding; and that there was nothing to suggest that the juror’s absence had undermined the fairness of the author’s trial. Following a complaint lodged </w:t>
      </w:r>
      <w:r w:rsidR="001D2B5C" w:rsidRPr="009236C6">
        <w:t>with</w:t>
      </w:r>
      <w:r w:rsidRPr="009236C6">
        <w:t xml:space="preserve"> the Judicial Conduct Commissioner for misconduct of the trial judges of the High Court, the Court of Appeal and the Supreme Court, the Commissioner dismissed the complaint as disclosing no misconduct.</w:t>
      </w:r>
    </w:p>
    <w:p w:rsidR="00105665" w:rsidRPr="009236C6" w:rsidRDefault="00105665" w:rsidP="005F6878">
      <w:pPr>
        <w:pStyle w:val="SingleTxtG"/>
      </w:pPr>
      <w:r w:rsidRPr="009236C6">
        <w:t>4.4</w:t>
      </w:r>
      <w:r w:rsidRPr="009236C6">
        <w:tab/>
      </w:r>
      <w:r w:rsidR="003516EF" w:rsidRPr="009236C6">
        <w:t xml:space="preserve">The State party considers that the author’s allegation of </w:t>
      </w:r>
      <w:r w:rsidR="005F6878" w:rsidRPr="009236C6">
        <w:t xml:space="preserve">a </w:t>
      </w:r>
      <w:r w:rsidR="003516EF" w:rsidRPr="009236C6">
        <w:t xml:space="preserve">breach of </w:t>
      </w:r>
      <w:r w:rsidR="000C6960" w:rsidRPr="009236C6">
        <w:t>article </w:t>
      </w:r>
      <w:r w:rsidR="003516EF" w:rsidRPr="009236C6">
        <w:t>14</w:t>
      </w:r>
      <w:r w:rsidR="000C6960" w:rsidRPr="009236C6">
        <w:t> </w:t>
      </w:r>
      <w:r w:rsidR="005F6878" w:rsidRPr="009236C6">
        <w:t>(</w:t>
      </w:r>
      <w:r w:rsidR="003516EF" w:rsidRPr="009236C6">
        <w:t>1</w:t>
      </w:r>
      <w:r w:rsidR="005F6878" w:rsidRPr="009236C6">
        <w:t>)</w:t>
      </w:r>
      <w:r w:rsidR="003516EF" w:rsidRPr="009236C6">
        <w:t xml:space="preserve"> by the decision of the trial judge to accept the return of the </w:t>
      </w:r>
      <w:r w:rsidR="005F6878" w:rsidRPr="009236C6">
        <w:t xml:space="preserve">tenth </w:t>
      </w:r>
      <w:r w:rsidR="003516EF" w:rsidRPr="009236C6">
        <w:t xml:space="preserve">juror without further inquiry is inadmissible pursuant to </w:t>
      </w:r>
      <w:r w:rsidR="000C6960" w:rsidRPr="009236C6">
        <w:t>article </w:t>
      </w:r>
      <w:r w:rsidR="003516EF" w:rsidRPr="009236C6">
        <w:t xml:space="preserve">2 and/or </w:t>
      </w:r>
      <w:r w:rsidR="000C6960" w:rsidRPr="009236C6">
        <w:t>article </w:t>
      </w:r>
      <w:r w:rsidR="003516EF" w:rsidRPr="009236C6">
        <w:t>3 of the Optional Protocol</w:t>
      </w:r>
      <w:r w:rsidR="00D81D27" w:rsidRPr="009236C6">
        <w:t>. The decision to accept the return of the juror with no further inquiry and the resum</w:t>
      </w:r>
      <w:r w:rsidR="005F6878" w:rsidRPr="009236C6">
        <w:t>ption</w:t>
      </w:r>
      <w:r w:rsidR="00D81D27" w:rsidRPr="009236C6">
        <w:t xml:space="preserve"> of the trial was with the agreement of both prosecution and defence counsel. </w:t>
      </w:r>
      <w:r w:rsidR="004367B2" w:rsidRPr="009236C6">
        <w:t>The State party notes that</w:t>
      </w:r>
      <w:r w:rsidR="001D2B5C" w:rsidRPr="009236C6">
        <w:t>,</w:t>
      </w:r>
      <w:r w:rsidR="004367B2" w:rsidRPr="009236C6">
        <w:t xml:space="preserve"> </w:t>
      </w:r>
      <w:r w:rsidR="001D2B5C" w:rsidRPr="009236C6">
        <w:t xml:space="preserve">both </w:t>
      </w:r>
      <w:r w:rsidR="004367B2" w:rsidRPr="009236C6">
        <w:t>during the trial</w:t>
      </w:r>
      <w:r w:rsidR="00534E7E" w:rsidRPr="009236C6">
        <w:t xml:space="preserve"> </w:t>
      </w:r>
      <w:r w:rsidR="001D2B5C" w:rsidRPr="009236C6">
        <w:t>and</w:t>
      </w:r>
      <w:r w:rsidR="00534E7E" w:rsidRPr="009236C6">
        <w:t xml:space="preserve"> in his communication before the Committee</w:t>
      </w:r>
      <w:r w:rsidR="004367B2" w:rsidRPr="009236C6">
        <w:t>, the author did not challenge the fact that th</w:t>
      </w:r>
      <w:r w:rsidR="00534E7E" w:rsidRPr="009236C6">
        <w:t>e trial judge’s decision</w:t>
      </w:r>
      <w:r w:rsidR="004367B2" w:rsidRPr="009236C6">
        <w:t xml:space="preserve"> </w:t>
      </w:r>
      <w:r w:rsidR="00534E7E" w:rsidRPr="009236C6">
        <w:t xml:space="preserve">with regard to the juror </w:t>
      </w:r>
      <w:r w:rsidR="004367B2" w:rsidRPr="009236C6">
        <w:t xml:space="preserve">was </w:t>
      </w:r>
      <w:r w:rsidR="00534E7E" w:rsidRPr="009236C6">
        <w:t>made</w:t>
      </w:r>
      <w:r w:rsidR="004367B2" w:rsidRPr="009236C6">
        <w:t xml:space="preserve"> with the agreement of </w:t>
      </w:r>
      <w:r w:rsidR="00534E7E" w:rsidRPr="009236C6">
        <w:t>the author’s defence</w:t>
      </w:r>
      <w:r w:rsidR="004367B2" w:rsidRPr="009236C6">
        <w:t xml:space="preserve"> counsel. </w:t>
      </w:r>
      <w:r w:rsidR="00D81D27" w:rsidRPr="009236C6">
        <w:t xml:space="preserve">The author’s </w:t>
      </w:r>
      <w:r w:rsidR="004367B2" w:rsidRPr="009236C6">
        <w:t xml:space="preserve">present </w:t>
      </w:r>
      <w:r w:rsidR="00D81D27" w:rsidRPr="009236C6">
        <w:t xml:space="preserve">communication discloses no basis </w:t>
      </w:r>
      <w:r w:rsidR="001D2B5C" w:rsidRPr="009236C6">
        <w:t xml:space="preserve">for </w:t>
      </w:r>
      <w:r w:rsidR="00D81D27" w:rsidRPr="009236C6">
        <w:t>review</w:t>
      </w:r>
      <w:r w:rsidR="001D2B5C" w:rsidRPr="009236C6">
        <w:t>ing</w:t>
      </w:r>
      <w:r w:rsidR="00D81D27" w:rsidRPr="009236C6">
        <w:t xml:space="preserve"> an assessment of those facts.</w:t>
      </w:r>
    </w:p>
    <w:p w:rsidR="007C1679" w:rsidRPr="009236C6" w:rsidRDefault="00D81D27" w:rsidP="001D2B5C">
      <w:pPr>
        <w:pStyle w:val="SingleTxtG"/>
      </w:pPr>
      <w:r w:rsidRPr="009236C6">
        <w:t>4.5</w:t>
      </w:r>
      <w:r w:rsidRPr="009236C6">
        <w:tab/>
        <w:t>The State party’s law provide</w:t>
      </w:r>
      <w:r w:rsidR="002C5FD9" w:rsidRPr="009236C6">
        <w:t>s</w:t>
      </w:r>
      <w:r w:rsidRPr="009236C6">
        <w:t xml:space="preserve"> </w:t>
      </w:r>
      <w:r w:rsidR="005F6878" w:rsidRPr="009236C6">
        <w:t xml:space="preserve">for </w:t>
      </w:r>
      <w:r w:rsidRPr="009236C6">
        <w:t>a range of means of addressing the conduct of jurors, including questioning and, where necessary, discharge of the juror or of the jury as a whole</w:t>
      </w:r>
      <w:r w:rsidR="000C40A1" w:rsidRPr="009236C6">
        <w:t>.</w:t>
      </w:r>
      <w:r w:rsidRPr="009236C6">
        <w:rPr>
          <w:rStyle w:val="FootnoteReference"/>
        </w:rPr>
        <w:footnoteReference w:id="10"/>
      </w:r>
      <w:r w:rsidR="007C1679" w:rsidRPr="009236C6">
        <w:t xml:space="preserve"> Such more formal steps had been taken in relation to another juror</w:t>
      </w:r>
      <w:r w:rsidR="005F6878" w:rsidRPr="009236C6">
        <w:t>,</w:t>
      </w:r>
      <w:r w:rsidR="007C1679" w:rsidRPr="009236C6">
        <w:t xml:space="preserve"> who was found to have engaged in inappropriate conduct.</w:t>
      </w:r>
      <w:r w:rsidR="00E82F23" w:rsidRPr="009236C6">
        <w:t xml:space="preserve"> Th</w:t>
      </w:r>
      <w:r w:rsidR="001D2B5C" w:rsidRPr="009236C6">
        <w:t>o</w:t>
      </w:r>
      <w:r w:rsidR="00E82F23" w:rsidRPr="009236C6">
        <w:t xml:space="preserve">se steps are to be taken in </w:t>
      </w:r>
      <w:r w:rsidR="001D2B5C" w:rsidRPr="009236C6">
        <w:t xml:space="preserve">the </w:t>
      </w:r>
      <w:r w:rsidR="00E82F23" w:rsidRPr="009236C6">
        <w:t xml:space="preserve">light of the circumstances and in accordance with the right to fair trial pursuant to </w:t>
      </w:r>
      <w:r w:rsidR="000C6960" w:rsidRPr="009236C6">
        <w:t>section </w:t>
      </w:r>
      <w:r w:rsidR="00E82F23" w:rsidRPr="009236C6">
        <w:t>25 of the State party’s Bill of Rights</w:t>
      </w:r>
      <w:r w:rsidR="004367B2" w:rsidRPr="009236C6">
        <w:t xml:space="preserve"> Act. The trial judge acted in accordance with the law</w:t>
      </w:r>
      <w:r w:rsidR="001D2B5C" w:rsidRPr="009236C6">
        <w:t>,</w:t>
      </w:r>
      <w:r w:rsidR="004367B2" w:rsidRPr="009236C6">
        <w:t xml:space="preserve"> as confirmed by the two appellate courts (</w:t>
      </w:r>
      <w:r w:rsidR="001D2B5C" w:rsidRPr="009236C6">
        <w:t xml:space="preserve">the </w:t>
      </w:r>
      <w:r w:rsidR="004367B2" w:rsidRPr="009236C6">
        <w:t xml:space="preserve">Appeals Court and </w:t>
      </w:r>
      <w:r w:rsidR="001D2B5C" w:rsidRPr="009236C6">
        <w:t xml:space="preserve">the </w:t>
      </w:r>
      <w:r w:rsidR="004367B2" w:rsidRPr="009236C6">
        <w:t xml:space="preserve">Supreme Court). While the communication alleges a violation of the right to </w:t>
      </w:r>
      <w:r w:rsidR="005F6878" w:rsidRPr="009236C6">
        <w:t xml:space="preserve">a </w:t>
      </w:r>
      <w:r w:rsidR="004367B2" w:rsidRPr="009236C6">
        <w:t xml:space="preserve">fair trial, no allegation of arbitrariness or manifest error has been alleged. </w:t>
      </w:r>
    </w:p>
    <w:p w:rsidR="00534E7E" w:rsidRPr="009236C6" w:rsidRDefault="00534E7E" w:rsidP="001D2B5C">
      <w:pPr>
        <w:pStyle w:val="SingleTxtG"/>
      </w:pPr>
      <w:r w:rsidRPr="009236C6">
        <w:t>4.6</w:t>
      </w:r>
      <w:r w:rsidRPr="009236C6">
        <w:tab/>
        <w:t xml:space="preserve">The State party refers to the Committee’s constant jurisprudence and its </w:t>
      </w:r>
      <w:r w:rsidR="001D2B5C" w:rsidRPr="009236C6">
        <w:t>g</w:t>
      </w:r>
      <w:r w:rsidRPr="009236C6">
        <w:t xml:space="preserve">eneral </w:t>
      </w:r>
      <w:r w:rsidR="001D2B5C" w:rsidRPr="009236C6">
        <w:t>c</w:t>
      </w:r>
      <w:r w:rsidRPr="009236C6">
        <w:t xml:space="preserve">omment </w:t>
      </w:r>
      <w:r w:rsidR="000C6960" w:rsidRPr="009236C6">
        <w:t>No. </w:t>
      </w:r>
      <w:r w:rsidRPr="009236C6">
        <w:t xml:space="preserve">32 </w:t>
      </w:r>
      <w:r w:rsidR="001D2B5C" w:rsidRPr="009236C6">
        <w:t xml:space="preserve">(2007) </w:t>
      </w:r>
      <w:r w:rsidRPr="009236C6">
        <w:t xml:space="preserve">on </w:t>
      </w:r>
      <w:r w:rsidR="000C6960" w:rsidRPr="009236C6">
        <w:t>article </w:t>
      </w:r>
      <w:r w:rsidRPr="009236C6">
        <w:t>14</w:t>
      </w:r>
      <w:r w:rsidR="001D2B5C" w:rsidRPr="009236C6">
        <w:t>: right to equality before courts and tribunals and to a fair trial</w:t>
      </w:r>
      <w:r w:rsidR="005F6878" w:rsidRPr="009236C6">
        <w:t>,</w:t>
      </w:r>
      <w:r w:rsidRPr="009236C6">
        <w:t xml:space="preserve"> </w:t>
      </w:r>
      <w:r w:rsidR="005F6878" w:rsidRPr="009236C6">
        <w:t xml:space="preserve">to the effect </w:t>
      </w:r>
      <w:r w:rsidRPr="009236C6">
        <w:t>that the Committee will not revisit findings of fact or of national law, absent arbitrariness, partiality or manifest error</w:t>
      </w:r>
      <w:r w:rsidR="000C40A1" w:rsidRPr="009236C6">
        <w:t>.</w:t>
      </w:r>
      <w:r w:rsidRPr="009236C6">
        <w:rPr>
          <w:rStyle w:val="FootnoteReference"/>
        </w:rPr>
        <w:footnoteReference w:id="11"/>
      </w:r>
      <w:r w:rsidR="00543639" w:rsidRPr="009236C6">
        <w:t xml:space="preserve"> The author’s allegations are therefore inadmissible pursuant to </w:t>
      </w:r>
      <w:r w:rsidR="000C6960" w:rsidRPr="009236C6">
        <w:t>article </w:t>
      </w:r>
      <w:r w:rsidR="00543639" w:rsidRPr="009236C6">
        <w:t xml:space="preserve">2 and/or </w:t>
      </w:r>
      <w:r w:rsidR="000C6960" w:rsidRPr="009236C6">
        <w:t>article </w:t>
      </w:r>
      <w:r w:rsidR="00543639" w:rsidRPr="009236C6">
        <w:t>3 of the Optional Protocol</w:t>
      </w:r>
      <w:r w:rsidR="000C40A1" w:rsidRPr="009236C6">
        <w:t>.</w:t>
      </w:r>
      <w:r w:rsidR="00543639" w:rsidRPr="009236C6">
        <w:rPr>
          <w:rStyle w:val="FootnoteReference"/>
        </w:rPr>
        <w:footnoteReference w:id="12"/>
      </w:r>
      <w:r w:rsidR="00543639" w:rsidRPr="009236C6">
        <w:t xml:space="preserve"> </w:t>
      </w:r>
    </w:p>
    <w:p w:rsidR="00543639" w:rsidRPr="009236C6" w:rsidRDefault="00543639" w:rsidP="00EF7033">
      <w:pPr>
        <w:pStyle w:val="SingleTxtG"/>
      </w:pPr>
      <w:r w:rsidRPr="009236C6">
        <w:t>4.7</w:t>
      </w:r>
      <w:r w:rsidRPr="009236C6">
        <w:tab/>
        <w:t xml:space="preserve">The State party further contends that the author’s allegation is inadmissible </w:t>
      </w:r>
      <w:r w:rsidR="001D2B5C" w:rsidRPr="009236C6">
        <w:t xml:space="preserve">on the ground of </w:t>
      </w:r>
      <w:r w:rsidRPr="009236C6">
        <w:t>failure to exhaust domestic remedies</w:t>
      </w:r>
      <w:r w:rsidR="001D2B5C" w:rsidRPr="009236C6">
        <w:t>,</w:t>
      </w:r>
      <w:r w:rsidRPr="009236C6">
        <w:t xml:space="preserve"> since the author has not alleged, either by way of appeal or in his communication, that his defence counsel acted incompetently, although under the State party’s law, this is an available ground for appeal</w:t>
      </w:r>
      <w:r w:rsidR="001D2B5C" w:rsidRPr="009236C6">
        <w:t>,</w:t>
      </w:r>
      <w:r w:rsidRPr="009236C6">
        <w:t xml:space="preserve"> where</w:t>
      </w:r>
      <w:r w:rsidR="001D2B5C" w:rsidRPr="009236C6">
        <w:t>by</w:t>
      </w:r>
      <w:r w:rsidRPr="009236C6">
        <w:t xml:space="preserve"> the accused could be said to have had no effective representation and prejudice would be presumed</w:t>
      </w:r>
      <w:r w:rsidR="000C40A1" w:rsidRPr="009236C6">
        <w:t>.</w:t>
      </w:r>
      <w:r w:rsidRPr="009236C6">
        <w:rPr>
          <w:rStyle w:val="FootnoteReference"/>
        </w:rPr>
        <w:footnoteReference w:id="13"/>
      </w:r>
      <w:r w:rsidR="00446C09" w:rsidRPr="009236C6">
        <w:t xml:space="preserve"> </w:t>
      </w:r>
      <w:r w:rsidR="005F6878" w:rsidRPr="009236C6">
        <w:t>T</w:t>
      </w:r>
      <w:r w:rsidRPr="009236C6">
        <w:t xml:space="preserve">he Committee has previously indicated </w:t>
      </w:r>
      <w:r w:rsidR="005F6878" w:rsidRPr="009236C6">
        <w:t xml:space="preserve">in its jurisprudence </w:t>
      </w:r>
      <w:r w:rsidRPr="009236C6">
        <w:t xml:space="preserve">that the actions of independent defence counsel will not, absent manifest error, establish a breach of the </w:t>
      </w:r>
      <w:r w:rsidRPr="009236C6">
        <w:lastRenderedPageBreak/>
        <w:t>Covenant</w:t>
      </w:r>
      <w:r w:rsidR="00800E2E" w:rsidRPr="009236C6">
        <w:t>.</w:t>
      </w:r>
      <w:r w:rsidRPr="009236C6">
        <w:rPr>
          <w:rStyle w:val="FootnoteReference"/>
        </w:rPr>
        <w:footnoteReference w:id="14"/>
      </w:r>
      <w:r w:rsidRPr="009236C6">
        <w:t xml:space="preserve"> It follows that the communication is also inadmissible pursuant to </w:t>
      </w:r>
      <w:r w:rsidR="000C6960" w:rsidRPr="009236C6">
        <w:t>article </w:t>
      </w:r>
      <w:r w:rsidRPr="009236C6">
        <w:t>5</w:t>
      </w:r>
      <w:r w:rsidR="000C6960" w:rsidRPr="009236C6">
        <w:t> </w:t>
      </w:r>
      <w:r w:rsidR="00A3183F" w:rsidRPr="009236C6">
        <w:t>(</w:t>
      </w:r>
      <w:r w:rsidRPr="009236C6">
        <w:t>2</w:t>
      </w:r>
      <w:r w:rsidR="00A3183F" w:rsidRPr="009236C6">
        <w:t>)</w:t>
      </w:r>
      <w:r w:rsidR="000C6960" w:rsidRPr="009236C6">
        <w:t> </w:t>
      </w:r>
      <w:r w:rsidRPr="009236C6">
        <w:t>(b) of the Optional Protocol as it seeks to raise points not pursued on appeal.</w:t>
      </w:r>
    </w:p>
    <w:p w:rsidR="00543639" w:rsidRPr="009236C6" w:rsidRDefault="00543639" w:rsidP="00A3183F">
      <w:pPr>
        <w:pStyle w:val="SingleTxtG"/>
      </w:pPr>
      <w:r w:rsidRPr="009236C6">
        <w:t>4.8</w:t>
      </w:r>
      <w:r w:rsidRPr="009236C6">
        <w:tab/>
      </w:r>
      <w:r w:rsidR="00F10D2D" w:rsidRPr="009236C6">
        <w:t>In respect of the decisions of the Court of Appeal and the Supreme Court, the</w:t>
      </w:r>
      <w:r w:rsidR="00A3183F" w:rsidRPr="009236C6">
        <w:t>se</w:t>
      </w:r>
      <w:r w:rsidR="00F10D2D" w:rsidRPr="009236C6">
        <w:t xml:space="preserve"> were based on the assessment that</w:t>
      </w:r>
      <w:r w:rsidR="001D2B5C" w:rsidRPr="009236C6">
        <w:t>,</w:t>
      </w:r>
      <w:r w:rsidR="00F10D2D" w:rsidRPr="009236C6">
        <w:t xml:space="preserve"> during the first instance trial, no objection was made to the way in which the matter was dealt with by the judge at trial, nor was there any request to make further inquiries as to the circumstances of the absence of the juror. The State party reiterates that</w:t>
      </w:r>
      <w:r w:rsidR="001D2B5C" w:rsidRPr="009236C6">
        <w:t>,</w:t>
      </w:r>
      <w:r w:rsidR="00F10D2D" w:rsidRPr="009236C6">
        <w:t xml:space="preserve"> absent arbitrariness, partiality or manifest error, the author’s communication is here again inadmissible under </w:t>
      </w:r>
      <w:r w:rsidR="000C6960" w:rsidRPr="009236C6">
        <w:t>article </w:t>
      </w:r>
      <w:r w:rsidR="00F10D2D" w:rsidRPr="009236C6">
        <w:t>2 and/or 3 of the Optional Protocol.</w:t>
      </w:r>
    </w:p>
    <w:p w:rsidR="00F10D2D" w:rsidRPr="009236C6" w:rsidRDefault="00F10D2D" w:rsidP="00EF7033">
      <w:pPr>
        <w:pStyle w:val="SingleTxtG"/>
      </w:pPr>
      <w:r w:rsidRPr="009236C6">
        <w:t>4.9</w:t>
      </w:r>
      <w:r w:rsidRPr="009236C6">
        <w:tab/>
      </w:r>
      <w:r w:rsidR="00A3183F" w:rsidRPr="009236C6">
        <w:t>T</w:t>
      </w:r>
      <w:r w:rsidRPr="009236C6">
        <w:t>he Judicial Conduct Commissioner</w:t>
      </w:r>
      <w:r w:rsidR="00446C09" w:rsidRPr="009236C6">
        <w:t xml:space="preserve"> </w:t>
      </w:r>
      <w:r w:rsidRPr="009236C6">
        <w:t xml:space="preserve">considered that the author had not offered any information supporting his claim that the Court of Appeal acted inappropriately. The fact that the </w:t>
      </w:r>
      <w:r w:rsidR="00A102F2" w:rsidRPr="009236C6">
        <w:t>C</w:t>
      </w:r>
      <w:r w:rsidRPr="009236C6">
        <w:t xml:space="preserve">ourt did not find in his favour could not be indicative of bias or misconduct by </w:t>
      </w:r>
      <w:r w:rsidR="00A3183F" w:rsidRPr="009236C6">
        <w:t>it</w:t>
      </w:r>
      <w:r w:rsidRPr="009236C6">
        <w:t xml:space="preserve">. The Commissioner held the </w:t>
      </w:r>
      <w:r w:rsidR="00D82BC5" w:rsidRPr="009236C6">
        <w:t xml:space="preserve">same view of the author’s allegations </w:t>
      </w:r>
      <w:r w:rsidRPr="009236C6">
        <w:t xml:space="preserve">against the Supreme Court </w:t>
      </w:r>
      <w:r w:rsidR="00D82BC5" w:rsidRPr="009236C6">
        <w:t>judges</w:t>
      </w:r>
      <w:r w:rsidRPr="009236C6">
        <w:t xml:space="preserve">. The author has not substantiated the arbitrariness of </w:t>
      </w:r>
      <w:r w:rsidR="00446C09" w:rsidRPr="009236C6">
        <w:t>the</w:t>
      </w:r>
      <w:r w:rsidRPr="009236C6">
        <w:t xml:space="preserve"> decisions of the Commissioner. </w:t>
      </w:r>
      <w:r w:rsidR="00A3183F" w:rsidRPr="009236C6">
        <w:t>T</w:t>
      </w:r>
      <w:r w:rsidR="008508F5" w:rsidRPr="009236C6">
        <w:t>he Commissioner is responsible for judicial conduct and is not a means of appeal and</w:t>
      </w:r>
      <w:r w:rsidR="00FE1891" w:rsidRPr="009236C6">
        <w:t xml:space="preserve"> thus</w:t>
      </w:r>
      <w:r w:rsidR="008508F5" w:rsidRPr="009236C6">
        <w:t xml:space="preserve"> declined various aspects of the author’s complaint as appeal matters beyond the Commissioner’s jurisdiction.</w:t>
      </w:r>
    </w:p>
    <w:p w:rsidR="008508F5" w:rsidRPr="009236C6" w:rsidRDefault="00DC0AED" w:rsidP="006E43D9">
      <w:pPr>
        <w:pStyle w:val="SingleTxtG"/>
      </w:pPr>
      <w:r w:rsidRPr="009236C6">
        <w:t>4.10</w:t>
      </w:r>
      <w:r w:rsidRPr="009236C6">
        <w:tab/>
      </w:r>
      <w:r w:rsidR="008508F5" w:rsidRPr="009236C6">
        <w:t>The State party refutes the author’s allegation that</w:t>
      </w:r>
      <w:r w:rsidR="001D2B5C" w:rsidRPr="009236C6">
        <w:t>,</w:t>
      </w:r>
      <w:r w:rsidR="008508F5" w:rsidRPr="009236C6">
        <w:t xml:space="preserve"> by making a decision on the juror without his physical presence, </w:t>
      </w:r>
      <w:r w:rsidR="00D82BC5" w:rsidRPr="009236C6">
        <w:t>the trial</w:t>
      </w:r>
      <w:r w:rsidR="001D2B5C" w:rsidRPr="009236C6">
        <w:t xml:space="preserve"> </w:t>
      </w:r>
      <w:r w:rsidR="00D82BC5" w:rsidRPr="009236C6">
        <w:t>judge</w:t>
      </w:r>
      <w:r w:rsidR="008508F5" w:rsidRPr="009236C6">
        <w:t xml:space="preserve"> breached </w:t>
      </w:r>
      <w:r w:rsidR="000C6960" w:rsidRPr="009236C6">
        <w:t>article </w:t>
      </w:r>
      <w:r w:rsidR="008508F5" w:rsidRPr="009236C6">
        <w:t xml:space="preserve">14. </w:t>
      </w:r>
      <w:r w:rsidR="00FE1891" w:rsidRPr="009236C6">
        <w:t>T</w:t>
      </w:r>
      <w:r w:rsidR="008508F5" w:rsidRPr="009236C6">
        <w:t>he author was not present in person because the trial judge, with the agreement of defence counsel, determined that it was not necessary to take any formal step</w:t>
      </w:r>
      <w:r w:rsidR="006433B4" w:rsidRPr="009236C6">
        <w:t>s</w:t>
      </w:r>
      <w:r w:rsidR="008508F5" w:rsidRPr="009236C6">
        <w:t xml:space="preserve"> and the matter did not formally proceed any further. The State party reiterates that the author was professionally and independently represented in the brief judicial conference </w:t>
      </w:r>
      <w:r w:rsidR="006433B4" w:rsidRPr="009236C6">
        <w:t xml:space="preserve">which </w:t>
      </w:r>
      <w:r w:rsidR="008508F5" w:rsidRPr="009236C6">
        <w:t xml:space="preserve">the prosecution and counsel defence had with the trial judge. The State party therefore submits that the communication does not substantiate any consequential breach of </w:t>
      </w:r>
      <w:r w:rsidR="000C6960" w:rsidRPr="009236C6">
        <w:t>article </w:t>
      </w:r>
      <w:r w:rsidR="008508F5" w:rsidRPr="009236C6">
        <w:t>14</w:t>
      </w:r>
      <w:r w:rsidR="000C6960" w:rsidRPr="009236C6">
        <w:t> </w:t>
      </w:r>
      <w:r w:rsidR="00FE1891" w:rsidRPr="009236C6">
        <w:t>(</w:t>
      </w:r>
      <w:r w:rsidR="008508F5" w:rsidRPr="009236C6">
        <w:t>1</w:t>
      </w:r>
      <w:r w:rsidR="00FE1891" w:rsidRPr="009236C6">
        <w:t>)</w:t>
      </w:r>
      <w:r w:rsidR="008508F5" w:rsidRPr="009236C6">
        <w:t xml:space="preserve"> and/or </w:t>
      </w:r>
      <w:r w:rsidR="000C6960" w:rsidRPr="009236C6">
        <w:t>article </w:t>
      </w:r>
      <w:r w:rsidR="008508F5" w:rsidRPr="009236C6">
        <w:t>14</w:t>
      </w:r>
      <w:r w:rsidR="000C6960" w:rsidRPr="009236C6">
        <w:t> </w:t>
      </w:r>
      <w:r w:rsidR="00FE1891" w:rsidRPr="009236C6">
        <w:t>(</w:t>
      </w:r>
      <w:r w:rsidR="008508F5" w:rsidRPr="009236C6">
        <w:t>3</w:t>
      </w:r>
      <w:r w:rsidR="00FE1891" w:rsidRPr="009236C6">
        <w:t>)</w:t>
      </w:r>
      <w:r w:rsidR="000C6960" w:rsidRPr="009236C6">
        <w:t> (</w:t>
      </w:r>
      <w:r w:rsidR="008508F5" w:rsidRPr="009236C6">
        <w:t xml:space="preserve">d) and is therefore inadmissible under </w:t>
      </w:r>
      <w:r w:rsidR="000C6960" w:rsidRPr="009236C6">
        <w:t>article </w:t>
      </w:r>
      <w:r w:rsidR="008508F5" w:rsidRPr="009236C6">
        <w:t xml:space="preserve">2 of the Optional Protocol. The author’s absence from the judicial conference was also not </w:t>
      </w:r>
      <w:r w:rsidR="006E43D9" w:rsidRPr="009236C6">
        <w:t>argued</w:t>
      </w:r>
      <w:r w:rsidR="008508F5" w:rsidRPr="009236C6">
        <w:t xml:space="preserve"> in the author’s appeal and is therefore inadmissible pursuant to </w:t>
      </w:r>
      <w:r w:rsidR="000C6960" w:rsidRPr="009236C6">
        <w:t>article </w:t>
      </w:r>
      <w:r w:rsidR="008508F5" w:rsidRPr="009236C6">
        <w:t>5</w:t>
      </w:r>
      <w:r w:rsidR="000C6960" w:rsidRPr="009236C6">
        <w:t> </w:t>
      </w:r>
      <w:r w:rsidR="00FE1891" w:rsidRPr="009236C6">
        <w:t>(</w:t>
      </w:r>
      <w:r w:rsidR="008508F5" w:rsidRPr="009236C6">
        <w:t>2</w:t>
      </w:r>
      <w:r w:rsidR="00FE1891" w:rsidRPr="009236C6">
        <w:t>)</w:t>
      </w:r>
      <w:r w:rsidR="000C6960" w:rsidRPr="009236C6">
        <w:t> </w:t>
      </w:r>
      <w:r w:rsidR="008508F5" w:rsidRPr="009236C6">
        <w:t xml:space="preserve">(b). </w:t>
      </w:r>
    </w:p>
    <w:p w:rsidR="00775B5D" w:rsidRPr="009236C6" w:rsidRDefault="00775B5D" w:rsidP="000C40A1">
      <w:pPr>
        <w:pStyle w:val="SingleTxtG"/>
      </w:pPr>
      <w:r w:rsidRPr="009236C6">
        <w:t>4.11</w:t>
      </w:r>
      <w:r w:rsidRPr="009236C6">
        <w:tab/>
        <w:t>To the author’s allegation that the trial should not have resumed without the author’s consent, the State party replies that the author’s counsel had in fact agreed, on the author’s behalf, to the resumption of the trial; and</w:t>
      </w:r>
      <w:r w:rsidR="00FE1891" w:rsidRPr="009236C6">
        <w:t>,</w:t>
      </w:r>
      <w:r w:rsidRPr="009236C6">
        <w:t xml:space="preserve"> in any case, it is not a requirement of the State party’s law that an accused person or his or her counsel consent to resumption of a trial in such circumstances. Domestic law may require </w:t>
      </w:r>
      <w:r w:rsidR="006433B4" w:rsidRPr="009236C6">
        <w:t xml:space="preserve">the </w:t>
      </w:r>
      <w:r w:rsidRPr="009236C6">
        <w:t>consent of an accused person to continue a trial by a jury where more than one juror becomes unavailable</w:t>
      </w:r>
      <w:r w:rsidR="00800E2E" w:rsidRPr="009236C6">
        <w:t>.</w:t>
      </w:r>
      <w:r w:rsidRPr="009236C6">
        <w:rPr>
          <w:rStyle w:val="FootnoteReference"/>
        </w:rPr>
        <w:footnoteReference w:id="15"/>
      </w:r>
      <w:r w:rsidRPr="009236C6">
        <w:t xml:space="preserve"> Here, the juror’s temporary absence and subsequent return mean</w:t>
      </w:r>
      <w:r w:rsidR="006433B4" w:rsidRPr="009236C6">
        <w:t>t</w:t>
      </w:r>
      <w:r w:rsidRPr="009236C6">
        <w:t xml:space="preserve"> that there was no issue of proceeding with an insufficient number of jurors. This aspect is therefore also inadmissible under </w:t>
      </w:r>
      <w:r w:rsidR="000C6960" w:rsidRPr="009236C6">
        <w:t>article </w:t>
      </w:r>
      <w:r w:rsidRPr="009236C6">
        <w:t xml:space="preserve">2 of the Optional </w:t>
      </w:r>
      <w:r w:rsidR="00D82BC5" w:rsidRPr="009236C6">
        <w:t>P</w:t>
      </w:r>
      <w:r w:rsidRPr="009236C6">
        <w:t>rotocol.</w:t>
      </w:r>
    </w:p>
    <w:p w:rsidR="00775B5D" w:rsidRPr="009236C6" w:rsidRDefault="00775B5D" w:rsidP="006C2980">
      <w:pPr>
        <w:pStyle w:val="SingleTxtG"/>
      </w:pPr>
      <w:r w:rsidRPr="009236C6">
        <w:t>4.12</w:t>
      </w:r>
      <w:r w:rsidRPr="009236C6">
        <w:tab/>
      </w:r>
      <w:r w:rsidR="00FE1891" w:rsidRPr="009236C6">
        <w:t>As to</w:t>
      </w:r>
      <w:r w:rsidRPr="009236C6">
        <w:t xml:space="preserve"> the contention that the brief judicial conference between the trial judge, the prosecution and counsel defence was not transcribed, </w:t>
      </w:r>
      <w:r w:rsidR="00087AF6" w:rsidRPr="009236C6">
        <w:t xml:space="preserve">the State party reiterates that the decision to reintegrate the juror and resume the trial was made with the agreement of defence counsel; that </w:t>
      </w:r>
      <w:r w:rsidR="006433B4" w:rsidRPr="009236C6">
        <w:t xml:space="preserve">that </w:t>
      </w:r>
      <w:r w:rsidR="00087AF6" w:rsidRPr="009236C6">
        <w:t xml:space="preserve">decision was communicated by defence counsel to the author; and that the decision was formally recorded by the trial judge in a written Minute </w:t>
      </w:r>
      <w:r w:rsidR="006433B4" w:rsidRPr="009236C6">
        <w:t xml:space="preserve">and that she </w:t>
      </w:r>
      <w:r w:rsidR="00087AF6" w:rsidRPr="009236C6">
        <w:t xml:space="preserve">had also raised the juror’s absence with counsel when it occurred and recorded the position in a written ruling. The State party notes that the absence of a transcript was not raised by the author as a ground for </w:t>
      </w:r>
      <w:r w:rsidR="00FE1891" w:rsidRPr="009236C6">
        <w:t xml:space="preserve">either of </w:t>
      </w:r>
      <w:r w:rsidR="00087AF6" w:rsidRPr="009236C6">
        <w:t xml:space="preserve">his appeals. </w:t>
      </w:r>
      <w:r w:rsidR="00FE1891" w:rsidRPr="009236C6">
        <w:t>T</w:t>
      </w:r>
      <w:r w:rsidR="00087AF6" w:rsidRPr="009236C6">
        <w:t>he author’s complaint on this aspect to the Judicial Conduct Commissioner was rejected by the Commissioner</w:t>
      </w:r>
      <w:r w:rsidR="00FE1891" w:rsidRPr="009236C6">
        <w:t>,</w:t>
      </w:r>
      <w:r w:rsidR="00087AF6" w:rsidRPr="009236C6">
        <w:t xml:space="preserve"> who cited </w:t>
      </w:r>
      <w:r w:rsidR="00087AF6" w:rsidRPr="009236C6">
        <w:lastRenderedPageBreak/>
        <w:t xml:space="preserve">that Minute. This aspect is therefore unsubstantiated under </w:t>
      </w:r>
      <w:r w:rsidR="000C6960" w:rsidRPr="009236C6">
        <w:t>article </w:t>
      </w:r>
      <w:r w:rsidR="00087AF6" w:rsidRPr="009236C6">
        <w:t xml:space="preserve">2 and inadmissible under </w:t>
      </w:r>
      <w:r w:rsidR="000C6960" w:rsidRPr="009236C6">
        <w:t>article </w:t>
      </w:r>
      <w:r w:rsidR="00087AF6" w:rsidRPr="009236C6">
        <w:t>5</w:t>
      </w:r>
      <w:r w:rsidR="000C6960" w:rsidRPr="009236C6">
        <w:t> </w:t>
      </w:r>
      <w:r w:rsidR="006C2980" w:rsidRPr="009236C6">
        <w:t>(</w:t>
      </w:r>
      <w:r w:rsidR="00087AF6" w:rsidRPr="009236C6">
        <w:t>2</w:t>
      </w:r>
      <w:r w:rsidR="006C2980" w:rsidRPr="009236C6">
        <w:t>)</w:t>
      </w:r>
      <w:r w:rsidR="000C6960" w:rsidRPr="009236C6">
        <w:t> </w:t>
      </w:r>
      <w:r w:rsidR="00087AF6" w:rsidRPr="009236C6">
        <w:t xml:space="preserve">(b) of the Optional </w:t>
      </w:r>
      <w:r w:rsidR="006C2980" w:rsidRPr="009236C6">
        <w:t>P</w:t>
      </w:r>
      <w:r w:rsidR="00087AF6" w:rsidRPr="009236C6">
        <w:t xml:space="preserve">rotocol. </w:t>
      </w:r>
    </w:p>
    <w:p w:rsidR="00F31478" w:rsidRPr="009236C6" w:rsidRDefault="00800E2E" w:rsidP="00800E2E">
      <w:pPr>
        <w:pStyle w:val="H23G"/>
      </w:pPr>
      <w:r w:rsidRPr="009236C6">
        <w:tab/>
      </w:r>
      <w:r w:rsidRPr="009236C6">
        <w:tab/>
      </w:r>
      <w:r w:rsidR="00F31478" w:rsidRPr="009236C6">
        <w:t xml:space="preserve">Author’s comments </w:t>
      </w:r>
      <w:r w:rsidR="001B5D4B" w:rsidRPr="009236C6">
        <w:t>on</w:t>
      </w:r>
      <w:r w:rsidR="00F31478" w:rsidRPr="009236C6">
        <w:t xml:space="preserve"> the State party’s observations</w:t>
      </w:r>
    </w:p>
    <w:p w:rsidR="009A77B7" w:rsidRPr="009236C6" w:rsidRDefault="004D78DE" w:rsidP="00220AD4">
      <w:pPr>
        <w:pStyle w:val="SingleTxtG"/>
      </w:pPr>
      <w:r w:rsidRPr="009236C6">
        <w:t>5</w:t>
      </w:r>
      <w:r w:rsidR="000A451E" w:rsidRPr="009236C6">
        <w:t>.1</w:t>
      </w:r>
      <w:r w:rsidR="000A451E" w:rsidRPr="009236C6">
        <w:tab/>
        <w:t xml:space="preserve">On </w:t>
      </w:r>
      <w:r w:rsidR="009A77B7" w:rsidRPr="009236C6">
        <w:t>23 March 2013</w:t>
      </w:r>
      <w:r w:rsidR="00F31478" w:rsidRPr="009236C6">
        <w:t xml:space="preserve">, the author </w:t>
      </w:r>
      <w:r w:rsidR="009A77B7" w:rsidRPr="009236C6">
        <w:t xml:space="preserve">provided his comments to the State party’s observations. </w:t>
      </w:r>
      <w:r w:rsidR="00911453" w:rsidRPr="009236C6">
        <w:t xml:space="preserve">The author also made additional claims: a claim based on the alleged unfair judgement made by the High Court in relation to a dispute with the </w:t>
      </w:r>
      <w:r w:rsidR="009A77B7" w:rsidRPr="009236C6">
        <w:t xml:space="preserve">New Zealand Inland Revenue </w:t>
      </w:r>
      <w:r w:rsidR="006C2980" w:rsidRPr="009236C6">
        <w:t>D</w:t>
      </w:r>
      <w:r w:rsidR="009A77B7" w:rsidRPr="009236C6">
        <w:t>epartment</w:t>
      </w:r>
      <w:r w:rsidR="00800E2E" w:rsidRPr="009236C6">
        <w:t>;</w:t>
      </w:r>
      <w:r w:rsidR="00911453" w:rsidRPr="009236C6">
        <w:rPr>
          <w:rStyle w:val="FootnoteReference"/>
        </w:rPr>
        <w:footnoteReference w:id="16"/>
      </w:r>
      <w:r w:rsidR="00911453" w:rsidRPr="009236C6">
        <w:t xml:space="preserve"> a claim based on the fact that, while being still in pretrial detention, he was compelled to subscribe to a rehabilitation program</w:t>
      </w:r>
      <w:r w:rsidR="006433B4" w:rsidRPr="009236C6">
        <w:t>me in which</w:t>
      </w:r>
      <w:r w:rsidR="00911453" w:rsidRPr="009236C6">
        <w:t xml:space="preserve"> he did not wish to participate, which he considers to be a violation of his rights. For the reasons above, the author requested the Committee to demand his release on bail while his communication was being considered by the Committee. On 18 April 2013, the Committee did not accede to </w:t>
      </w:r>
      <w:r w:rsidR="00220AD4" w:rsidRPr="009236C6">
        <w:t xml:space="preserve">his </w:t>
      </w:r>
      <w:r w:rsidR="00911453" w:rsidRPr="009236C6">
        <w:t>request</w:t>
      </w:r>
      <w:r w:rsidR="00800E2E" w:rsidRPr="009236C6">
        <w:t>.</w:t>
      </w:r>
      <w:r w:rsidR="00911453" w:rsidRPr="009236C6">
        <w:rPr>
          <w:rStyle w:val="FootnoteReference"/>
        </w:rPr>
        <w:footnoteReference w:id="17"/>
      </w:r>
    </w:p>
    <w:p w:rsidR="009A77B7" w:rsidRPr="009236C6" w:rsidRDefault="00911453" w:rsidP="00220AD4">
      <w:pPr>
        <w:pStyle w:val="SingleTxtG"/>
      </w:pPr>
      <w:r w:rsidRPr="009236C6">
        <w:t>5.2</w:t>
      </w:r>
      <w:r w:rsidRPr="009236C6">
        <w:tab/>
      </w:r>
      <w:r w:rsidR="00292925" w:rsidRPr="009236C6">
        <w:t xml:space="preserve">With regard to </w:t>
      </w:r>
      <w:r w:rsidRPr="009236C6">
        <w:t xml:space="preserve">the admissibility of his initial communication, the author </w:t>
      </w:r>
      <w:r w:rsidR="00D11C10" w:rsidRPr="009236C6">
        <w:t xml:space="preserve">first </w:t>
      </w:r>
      <w:r w:rsidRPr="009236C6">
        <w:t xml:space="preserve">refutes the State party’s </w:t>
      </w:r>
      <w:r w:rsidR="00D11C10" w:rsidRPr="009236C6">
        <w:t xml:space="preserve">account of the way the decision to reintegrate the juror and resume the trial was made. He alleges that </w:t>
      </w:r>
      <w:r w:rsidR="00292925" w:rsidRPr="009236C6">
        <w:t xml:space="preserve">the </w:t>
      </w:r>
      <w:r w:rsidR="00D11C10" w:rsidRPr="009236C6">
        <w:t>decision was made out of the courtroom</w:t>
      </w:r>
      <w:r w:rsidR="00220AD4" w:rsidRPr="009236C6">
        <w:t>,</w:t>
      </w:r>
      <w:r w:rsidR="00D11C10" w:rsidRPr="009236C6">
        <w:t xml:space="preserve"> without the accused being informed of its content </w:t>
      </w:r>
      <w:r w:rsidR="00292925" w:rsidRPr="009236C6">
        <w:t xml:space="preserve">or </w:t>
      </w:r>
      <w:r w:rsidR="00D11C10" w:rsidRPr="009236C6">
        <w:t xml:space="preserve">of the reason why the juror had not reappeared on the day he was supposed to. </w:t>
      </w:r>
      <w:r w:rsidR="00220AD4" w:rsidRPr="009236C6">
        <w:t xml:space="preserve">In </w:t>
      </w:r>
      <w:r w:rsidR="00D11C10" w:rsidRPr="009236C6">
        <w:t>the author</w:t>
      </w:r>
      <w:r w:rsidR="00220AD4" w:rsidRPr="009236C6">
        <w:t>’s view</w:t>
      </w:r>
      <w:r w:rsidR="00D11C10" w:rsidRPr="009236C6">
        <w:t xml:space="preserve">, </w:t>
      </w:r>
      <w:r w:rsidR="00292925" w:rsidRPr="009236C6">
        <w:t xml:space="preserve">the </w:t>
      </w:r>
      <w:r w:rsidR="00D11C10" w:rsidRPr="009236C6">
        <w:t>decision was made solely by the judge. The author further contends that there was no real transmission of the information from the defence counsel to the accused but</w:t>
      </w:r>
      <w:r w:rsidR="00220AD4" w:rsidRPr="009236C6">
        <w:t>,</w:t>
      </w:r>
      <w:r w:rsidR="00D11C10" w:rsidRPr="009236C6">
        <w:t xml:space="preserve"> rather, the author was, along with the other accused, informed of the decision that had been taken to reintegrate the juror without the juror’s explanation for his absence.</w:t>
      </w:r>
    </w:p>
    <w:p w:rsidR="00D11C10" w:rsidRPr="009236C6" w:rsidRDefault="00D11C10" w:rsidP="00220AD4">
      <w:pPr>
        <w:pStyle w:val="SingleTxtG"/>
      </w:pPr>
      <w:r w:rsidRPr="009236C6">
        <w:t>5.3</w:t>
      </w:r>
      <w:r w:rsidRPr="009236C6">
        <w:tab/>
        <w:t xml:space="preserve">The author further considers that the “Judge’s Minutes” </w:t>
      </w:r>
      <w:r w:rsidR="00220AD4" w:rsidRPr="009236C6">
        <w:t xml:space="preserve">to which </w:t>
      </w:r>
      <w:r w:rsidRPr="009236C6">
        <w:t>the State party refers cannot be considered a</w:t>
      </w:r>
      <w:r w:rsidR="007E46B8" w:rsidRPr="009236C6">
        <w:t>s a</w:t>
      </w:r>
      <w:r w:rsidRPr="009236C6">
        <w:t xml:space="preserve"> formal record. </w:t>
      </w:r>
      <w:r w:rsidR="00220AD4" w:rsidRPr="009236C6">
        <w:t>T</w:t>
      </w:r>
      <w:r w:rsidR="006433B4" w:rsidRPr="009236C6">
        <w:t xml:space="preserve">he </w:t>
      </w:r>
      <w:r w:rsidRPr="009236C6">
        <w:t xml:space="preserve">document was never disclosed to the accused during the trial, was never mentioned by </w:t>
      </w:r>
      <w:r w:rsidR="00220AD4" w:rsidRPr="009236C6">
        <w:t xml:space="preserve">either of </w:t>
      </w:r>
      <w:r w:rsidRPr="009236C6">
        <w:t xml:space="preserve">the appellate courts and was never disclosed to his counsel. The first time the author was informed of </w:t>
      </w:r>
      <w:r w:rsidR="006433B4" w:rsidRPr="009236C6">
        <w:t xml:space="preserve">the </w:t>
      </w:r>
      <w:r w:rsidRPr="009236C6">
        <w:t xml:space="preserve">Minutes was when he received the dismissal from the Judicial Conduct Commissioner. The author deplores the timing and </w:t>
      </w:r>
      <w:r w:rsidR="00220AD4" w:rsidRPr="009236C6">
        <w:t xml:space="preserve">the </w:t>
      </w:r>
      <w:r w:rsidRPr="009236C6">
        <w:t xml:space="preserve">circumstances in which </w:t>
      </w:r>
      <w:r w:rsidR="006433B4" w:rsidRPr="009236C6">
        <w:t xml:space="preserve">the </w:t>
      </w:r>
      <w:r w:rsidRPr="009236C6">
        <w:t xml:space="preserve">Minutes surfaced. </w:t>
      </w:r>
    </w:p>
    <w:p w:rsidR="00D11C10" w:rsidRPr="009236C6" w:rsidRDefault="00D11C10" w:rsidP="00220AD4">
      <w:pPr>
        <w:pStyle w:val="SingleTxtG"/>
      </w:pPr>
      <w:r w:rsidRPr="009236C6">
        <w:t>5.4</w:t>
      </w:r>
      <w:r w:rsidRPr="009236C6">
        <w:tab/>
      </w:r>
      <w:r w:rsidR="006433B4" w:rsidRPr="009236C6">
        <w:t>The author contends that, c</w:t>
      </w:r>
      <w:r w:rsidR="001018E5" w:rsidRPr="009236C6">
        <w:t xml:space="preserve">ontrary to the State party’s assertion, he raised the issue of </w:t>
      </w:r>
      <w:r w:rsidR="00220AD4" w:rsidRPr="009236C6">
        <w:t xml:space="preserve">the </w:t>
      </w:r>
      <w:r w:rsidR="001018E5" w:rsidRPr="009236C6">
        <w:t xml:space="preserve">absence of the </w:t>
      </w:r>
      <w:r w:rsidR="006433B4" w:rsidRPr="009236C6">
        <w:t xml:space="preserve">tenth </w:t>
      </w:r>
      <w:r w:rsidR="001018E5" w:rsidRPr="009236C6">
        <w:t xml:space="preserve">juror in his submission to the Court of Appeal. </w:t>
      </w:r>
      <w:r w:rsidR="006433B4" w:rsidRPr="009236C6">
        <w:t>On that basis</w:t>
      </w:r>
      <w:r w:rsidR="003679CD" w:rsidRPr="009236C6">
        <w:t xml:space="preserve">, the Court of Appeal should have verified the content of the High Court’s transcript </w:t>
      </w:r>
      <w:r w:rsidR="00220AD4" w:rsidRPr="009236C6">
        <w:t xml:space="preserve">in order </w:t>
      </w:r>
      <w:r w:rsidR="003679CD" w:rsidRPr="009236C6">
        <w:t>to verify the existence of the so-called Judge</w:t>
      </w:r>
      <w:r w:rsidR="00220AD4" w:rsidRPr="009236C6">
        <w:t>’s</w:t>
      </w:r>
      <w:r w:rsidR="003679CD" w:rsidRPr="009236C6">
        <w:t xml:space="preserve"> </w:t>
      </w:r>
      <w:r w:rsidR="00220AD4" w:rsidRPr="009236C6">
        <w:t xml:space="preserve">Minutes </w:t>
      </w:r>
      <w:r w:rsidR="003679CD" w:rsidRPr="009236C6">
        <w:t xml:space="preserve">on the decision to reintegrate the juror. </w:t>
      </w:r>
      <w:r w:rsidR="00220AD4" w:rsidRPr="009236C6">
        <w:t>Nor did t</w:t>
      </w:r>
      <w:r w:rsidR="003679CD" w:rsidRPr="009236C6">
        <w:t>he Supreme Court mention such Minutes.</w:t>
      </w:r>
    </w:p>
    <w:p w:rsidR="003679CD" w:rsidRPr="009236C6" w:rsidRDefault="003679CD" w:rsidP="00220AD4">
      <w:pPr>
        <w:pStyle w:val="SingleTxtG"/>
      </w:pPr>
      <w:r w:rsidRPr="009236C6">
        <w:t>5.5</w:t>
      </w:r>
      <w:r w:rsidRPr="009236C6">
        <w:tab/>
        <w:t xml:space="preserve">The author acknowledges the fact that the Judicial Conduct Commissioner cited the so-called </w:t>
      </w:r>
      <w:r w:rsidR="00220AD4" w:rsidRPr="009236C6">
        <w:t>J</w:t>
      </w:r>
      <w:r w:rsidRPr="009236C6">
        <w:t>udge</w:t>
      </w:r>
      <w:r w:rsidR="00220AD4" w:rsidRPr="009236C6">
        <w:t>’s Minutes</w:t>
      </w:r>
      <w:r w:rsidRPr="009236C6">
        <w:t xml:space="preserve">. The author deplores the fact that this happened at </w:t>
      </w:r>
      <w:r w:rsidR="006433B4" w:rsidRPr="009236C6">
        <w:t xml:space="preserve">that </w:t>
      </w:r>
      <w:r w:rsidRPr="009236C6">
        <w:t xml:space="preserve">stage. The Commissioner did not question how the two appellate courts reached a decision without the transcript </w:t>
      </w:r>
      <w:r w:rsidR="00220AD4" w:rsidRPr="009236C6">
        <w:t xml:space="preserve">or </w:t>
      </w:r>
      <w:r w:rsidRPr="009236C6">
        <w:t>the Judge</w:t>
      </w:r>
      <w:r w:rsidR="006433B4" w:rsidRPr="009236C6">
        <w:t>’s</w:t>
      </w:r>
      <w:r w:rsidRPr="009236C6">
        <w:t xml:space="preserve"> Minutes. </w:t>
      </w:r>
      <w:r w:rsidR="006433B4" w:rsidRPr="009236C6">
        <w:t>Nor did</w:t>
      </w:r>
      <w:r w:rsidRPr="009236C6">
        <w:t xml:space="preserve"> the Commissioner question the fact that the author was not directly involved in the so-called agreement regarding the reintegration of the juror. </w:t>
      </w:r>
    </w:p>
    <w:p w:rsidR="003679CD" w:rsidRPr="009236C6" w:rsidRDefault="003679CD" w:rsidP="00220AD4">
      <w:pPr>
        <w:pStyle w:val="SingleTxtG"/>
      </w:pPr>
      <w:r w:rsidRPr="009236C6">
        <w:t>5.6</w:t>
      </w:r>
      <w:r w:rsidRPr="009236C6">
        <w:tab/>
        <w:t xml:space="preserve">The author contends that the so-called agreement made between the judge, the prosecution and the defence counsel </w:t>
      </w:r>
      <w:r w:rsidR="00D82BC5" w:rsidRPr="009236C6">
        <w:t xml:space="preserve">was </w:t>
      </w:r>
      <w:r w:rsidR="00220AD4" w:rsidRPr="009236C6">
        <w:t xml:space="preserve">made </w:t>
      </w:r>
      <w:r w:rsidRPr="009236C6">
        <w:t xml:space="preserve">without consulting the accused. Since such </w:t>
      </w:r>
      <w:r w:rsidR="006433B4" w:rsidRPr="009236C6">
        <w:t>a</w:t>
      </w:r>
      <w:r w:rsidRPr="009236C6">
        <w:t xml:space="preserve"> decision directly affects the accused, they should have been consulted. The author therefore considers that his defence counsel at the first instance stage acted without his guidance and under the direct influence of the trial judge. </w:t>
      </w:r>
    </w:p>
    <w:p w:rsidR="003679CD" w:rsidRPr="009236C6" w:rsidRDefault="003679CD" w:rsidP="00220AD4">
      <w:pPr>
        <w:pStyle w:val="SingleTxtG"/>
      </w:pPr>
      <w:r w:rsidRPr="009236C6">
        <w:lastRenderedPageBreak/>
        <w:t>5.7</w:t>
      </w:r>
      <w:r w:rsidRPr="009236C6">
        <w:tab/>
        <w:t xml:space="preserve">The author considers that the juror’s disappearance was suspicious </w:t>
      </w:r>
      <w:r w:rsidR="00220AD4" w:rsidRPr="009236C6">
        <w:t xml:space="preserve">since </w:t>
      </w:r>
      <w:r w:rsidRPr="009236C6">
        <w:t>he could not be contacted or located by the Court staff</w:t>
      </w:r>
      <w:r w:rsidR="006433B4" w:rsidRPr="009236C6">
        <w:t>,</w:t>
      </w:r>
      <w:r w:rsidRPr="009236C6">
        <w:t xml:space="preserve"> which breached the regulations binding all jurors. So when the juror reappeared</w:t>
      </w:r>
      <w:r w:rsidR="00220AD4" w:rsidRPr="009236C6">
        <w:t>,</w:t>
      </w:r>
      <w:r w:rsidRPr="009236C6">
        <w:t xml:space="preserve"> the Court </w:t>
      </w:r>
      <w:r w:rsidR="006433B4" w:rsidRPr="009236C6">
        <w:t xml:space="preserve">should have at the very least </w:t>
      </w:r>
      <w:r w:rsidRPr="009236C6">
        <w:t>inquire</w:t>
      </w:r>
      <w:r w:rsidR="006433B4" w:rsidRPr="009236C6">
        <w:t>d</w:t>
      </w:r>
      <w:r w:rsidRPr="009236C6">
        <w:t xml:space="preserve"> about </w:t>
      </w:r>
      <w:r w:rsidR="006433B4" w:rsidRPr="009236C6">
        <w:t xml:space="preserve">the </w:t>
      </w:r>
      <w:r w:rsidRPr="009236C6">
        <w:t>disappearance.</w:t>
      </w:r>
      <w:r w:rsidR="00C365E1" w:rsidRPr="009236C6">
        <w:t xml:space="preserve"> </w:t>
      </w:r>
    </w:p>
    <w:p w:rsidR="001E23FD" w:rsidRPr="009236C6" w:rsidRDefault="001E23FD" w:rsidP="001E23FD">
      <w:pPr>
        <w:pStyle w:val="H23G"/>
      </w:pPr>
      <w:r w:rsidRPr="009236C6">
        <w:tab/>
      </w:r>
      <w:r w:rsidRPr="009236C6">
        <w:tab/>
        <w:t>Issues and proceedings before the Committee</w:t>
      </w:r>
    </w:p>
    <w:p w:rsidR="001E23FD" w:rsidRPr="009236C6" w:rsidRDefault="001E23FD" w:rsidP="001E23FD">
      <w:pPr>
        <w:pStyle w:val="H4G"/>
        <w:ind w:right="0"/>
      </w:pPr>
      <w:r w:rsidRPr="009236C6">
        <w:tab/>
      </w:r>
      <w:r w:rsidRPr="009236C6">
        <w:tab/>
        <w:t>Consideration of admissibility</w:t>
      </w:r>
    </w:p>
    <w:p w:rsidR="001E23FD" w:rsidRPr="009236C6" w:rsidRDefault="00B320CE" w:rsidP="006433B4">
      <w:pPr>
        <w:pStyle w:val="SingleTxtG"/>
      </w:pPr>
      <w:r w:rsidRPr="009236C6">
        <w:t>6</w:t>
      </w:r>
      <w:r w:rsidR="001E23FD" w:rsidRPr="009236C6">
        <w:t>.1</w:t>
      </w:r>
      <w:r w:rsidR="001E23FD" w:rsidRPr="009236C6">
        <w:tab/>
        <w:t xml:space="preserve">Before considering any claim contained in a communication, the Human Rights Committee must, in accordance with rule 93 of its </w:t>
      </w:r>
      <w:r w:rsidR="006433B4" w:rsidRPr="009236C6">
        <w:t>r</w:t>
      </w:r>
      <w:r w:rsidR="001E23FD" w:rsidRPr="009236C6">
        <w:t>ules of procedure, decide whether or not the case is admissible under the Optional Protocol to the Covenant.</w:t>
      </w:r>
    </w:p>
    <w:p w:rsidR="001E23FD" w:rsidRPr="009236C6" w:rsidRDefault="00B320CE" w:rsidP="00220AD4">
      <w:pPr>
        <w:pStyle w:val="SingleTxtG"/>
      </w:pPr>
      <w:r w:rsidRPr="009236C6">
        <w:t>6</w:t>
      </w:r>
      <w:r w:rsidR="001E23FD" w:rsidRPr="009236C6">
        <w:t>.2</w:t>
      </w:r>
      <w:r w:rsidR="001E23FD" w:rsidRPr="009236C6">
        <w:tab/>
        <w:t xml:space="preserve">The Committee has ascertained, as required under </w:t>
      </w:r>
      <w:r w:rsidR="000C6960" w:rsidRPr="009236C6">
        <w:t>article </w:t>
      </w:r>
      <w:r w:rsidR="001E23FD" w:rsidRPr="009236C6">
        <w:t>5</w:t>
      </w:r>
      <w:r w:rsidR="000C6960" w:rsidRPr="009236C6">
        <w:t> </w:t>
      </w:r>
      <w:r w:rsidR="00220AD4" w:rsidRPr="009236C6">
        <w:t>(</w:t>
      </w:r>
      <w:r w:rsidR="001E23FD" w:rsidRPr="009236C6">
        <w:t>2</w:t>
      </w:r>
      <w:r w:rsidR="00220AD4" w:rsidRPr="009236C6">
        <w:t>)</w:t>
      </w:r>
      <w:r w:rsidR="000C6960" w:rsidRPr="009236C6">
        <w:t> </w:t>
      </w:r>
      <w:r w:rsidR="001E23FD" w:rsidRPr="009236C6">
        <w:t xml:space="preserve">(a), of the Optional Protocol, that the same matter is not being examined under another procedure of international investigation or settlement. </w:t>
      </w:r>
    </w:p>
    <w:p w:rsidR="00EB03D8" w:rsidRPr="009236C6" w:rsidRDefault="00D869DB" w:rsidP="006E43D9">
      <w:pPr>
        <w:pStyle w:val="SingleTxtG"/>
      </w:pPr>
      <w:r w:rsidRPr="009236C6">
        <w:t>6.3</w:t>
      </w:r>
      <w:r w:rsidRPr="009236C6">
        <w:tab/>
        <w:t>The Committee</w:t>
      </w:r>
      <w:r w:rsidR="00E247E8" w:rsidRPr="009236C6">
        <w:t xml:space="preserve"> notes the State party’s challenge to the admissibility of the author’s </w:t>
      </w:r>
      <w:r w:rsidRPr="009236C6">
        <w:t xml:space="preserve">entire </w:t>
      </w:r>
      <w:r w:rsidR="00E247E8" w:rsidRPr="009236C6">
        <w:t xml:space="preserve">communication </w:t>
      </w:r>
      <w:r w:rsidR="00220AD4" w:rsidRPr="009236C6">
        <w:t xml:space="preserve">on the ground of </w:t>
      </w:r>
      <w:r w:rsidR="00966ACC" w:rsidRPr="009236C6">
        <w:t xml:space="preserve">non-substantiation </w:t>
      </w:r>
      <w:r w:rsidR="00220AD4" w:rsidRPr="009236C6">
        <w:t>in</w:t>
      </w:r>
      <w:r w:rsidRPr="009236C6">
        <w:t xml:space="preserve"> that</w:t>
      </w:r>
      <w:r w:rsidR="00966ACC" w:rsidRPr="009236C6">
        <w:t xml:space="preserve"> </w:t>
      </w:r>
      <w:r w:rsidR="00EB03D8" w:rsidRPr="009236C6">
        <w:t>the decisions of the Court of Appeal and the Supreme Court were based on the assessment that</w:t>
      </w:r>
      <w:r w:rsidR="006433B4" w:rsidRPr="009236C6">
        <w:t>,</w:t>
      </w:r>
      <w:r w:rsidR="00EB03D8" w:rsidRPr="009236C6">
        <w:t xml:space="preserve"> during the first instance trial, no objection was made to the way in which the matter was dealt with by the judge at trial, nor was there any request to make further inquiries as to the circumstances of the absence of the juror. The Committee takes note of the author’s arguments mainly relat</w:t>
      </w:r>
      <w:r w:rsidR="006E43D9" w:rsidRPr="009236C6">
        <w:t>ing</w:t>
      </w:r>
      <w:r w:rsidR="00EB03D8" w:rsidRPr="009236C6">
        <w:t xml:space="preserve"> to the fact that he was not properly informed of the decisions affecting him during the first instance trial</w:t>
      </w:r>
      <w:r w:rsidR="006433B4" w:rsidRPr="009236C6">
        <w:t>,</w:t>
      </w:r>
      <w:r w:rsidR="00EB03D8" w:rsidRPr="009236C6">
        <w:t xml:space="preserve"> which had consequences on his ability to make effective appe</w:t>
      </w:r>
      <w:r w:rsidR="00DE4446" w:rsidRPr="009236C6">
        <w:t xml:space="preserve">als throughout the proceedings, thus violating his right to a fair trial. </w:t>
      </w:r>
    </w:p>
    <w:p w:rsidR="00AA22FA" w:rsidRPr="009236C6" w:rsidRDefault="00DE4446" w:rsidP="00AA7E8F">
      <w:pPr>
        <w:pStyle w:val="SingleTxtG"/>
      </w:pPr>
      <w:r w:rsidRPr="009236C6">
        <w:t>6.4</w:t>
      </w:r>
      <w:r w:rsidRPr="009236C6">
        <w:tab/>
      </w:r>
      <w:r w:rsidR="00966ACC" w:rsidRPr="009236C6">
        <w:t>The Committee recalls its jurisprudence that it is incumbent on the courts of States parties to evaluate the facts and the evidence in each case, or the application of domestic legislation, unless it can be shown that such evaluation or application was clearly arbitrary or amounted to a manifest error or denial of justice</w:t>
      </w:r>
      <w:r w:rsidR="00800E2E" w:rsidRPr="009236C6">
        <w:t>.</w:t>
      </w:r>
      <w:r w:rsidR="00AA22FA" w:rsidRPr="009236C6">
        <w:rPr>
          <w:rStyle w:val="FootnoteReference"/>
        </w:rPr>
        <w:footnoteReference w:id="18"/>
      </w:r>
      <w:r w:rsidR="00966ACC" w:rsidRPr="009236C6">
        <w:t xml:space="preserve"> </w:t>
      </w:r>
      <w:r w:rsidR="00EB03D8" w:rsidRPr="009236C6">
        <w:t xml:space="preserve">The Committee has examined the materials submitted by the author, including the decisions of the High Court, the Appeals Court and the Supreme Court, and is of the opinion that those decisions do not provide sufficient </w:t>
      </w:r>
      <w:r w:rsidR="006433B4" w:rsidRPr="009236C6">
        <w:t xml:space="preserve">evidence </w:t>
      </w:r>
      <w:r w:rsidR="00EB03D8" w:rsidRPr="009236C6">
        <w:t>to support the conclusion that the court proceedings suffered from such defects. The Committee further observes that the defence counsel was privately retained by the author and that his alleged failure to properly represent him during the first</w:t>
      </w:r>
      <w:r w:rsidR="00AA7E8F" w:rsidRPr="009236C6">
        <w:t xml:space="preserve"> </w:t>
      </w:r>
      <w:r w:rsidR="00EB03D8" w:rsidRPr="009236C6">
        <w:t>instance trial cannot be attributed to the State party</w:t>
      </w:r>
      <w:r w:rsidR="00800E2E" w:rsidRPr="009236C6">
        <w:t>.</w:t>
      </w:r>
      <w:r w:rsidR="00EB03D8" w:rsidRPr="009236C6">
        <w:rPr>
          <w:rStyle w:val="FootnoteReference"/>
        </w:rPr>
        <w:footnoteReference w:id="19"/>
      </w:r>
      <w:r w:rsidR="00EB03D8" w:rsidRPr="009236C6">
        <w:t xml:space="preserve"> </w:t>
      </w:r>
      <w:r w:rsidR="00AA22FA" w:rsidRPr="009236C6">
        <w:t xml:space="preserve">Accordingly, the Committee considers that the author has failed to provide </w:t>
      </w:r>
      <w:r w:rsidR="00D82BC5" w:rsidRPr="009236C6">
        <w:t>any</w:t>
      </w:r>
      <w:r w:rsidR="00AA22FA" w:rsidRPr="009236C6">
        <w:t xml:space="preserve"> substantiation of his claims of a violation of </w:t>
      </w:r>
      <w:r w:rsidR="000C6960" w:rsidRPr="009236C6">
        <w:t>article </w:t>
      </w:r>
      <w:r w:rsidR="00AA22FA" w:rsidRPr="009236C6">
        <w:t xml:space="preserve">14, and </w:t>
      </w:r>
      <w:r w:rsidR="006433B4" w:rsidRPr="009236C6">
        <w:t xml:space="preserve">that </w:t>
      </w:r>
      <w:r w:rsidR="00AA22FA" w:rsidRPr="009236C6">
        <w:t xml:space="preserve">the communication is therefore inadmissible under </w:t>
      </w:r>
      <w:r w:rsidR="000C6960" w:rsidRPr="009236C6">
        <w:t>article </w:t>
      </w:r>
      <w:r w:rsidR="00AA22FA" w:rsidRPr="009236C6">
        <w:t>2 of the Optional Protocol.</w:t>
      </w:r>
    </w:p>
    <w:p w:rsidR="002A171B" w:rsidRPr="009236C6" w:rsidRDefault="002A171B" w:rsidP="001D2B5C">
      <w:pPr>
        <w:pStyle w:val="SingleTxtG"/>
      </w:pPr>
      <w:r w:rsidRPr="009236C6">
        <w:t>7.</w:t>
      </w:r>
      <w:r w:rsidRPr="009236C6">
        <w:tab/>
        <w:t>Therefore, the Human Rights Committee decides:</w:t>
      </w:r>
    </w:p>
    <w:p w:rsidR="002A171B" w:rsidRPr="009236C6" w:rsidRDefault="002A171B" w:rsidP="00582E10">
      <w:pPr>
        <w:pStyle w:val="SingleTxtG"/>
        <w:ind w:firstLine="567"/>
      </w:pPr>
      <w:r w:rsidRPr="009236C6">
        <w:t>(a)</w:t>
      </w:r>
      <w:r w:rsidRPr="009236C6">
        <w:tab/>
      </w:r>
      <w:r w:rsidR="001D2B5C" w:rsidRPr="009236C6">
        <w:t xml:space="preserve">That </w:t>
      </w:r>
      <w:r w:rsidRPr="009236C6">
        <w:t>the communication is i</w:t>
      </w:r>
      <w:r w:rsidR="00EB03D8" w:rsidRPr="009236C6">
        <w:t xml:space="preserve">nadmissible pursuant to </w:t>
      </w:r>
      <w:r w:rsidR="000C6960" w:rsidRPr="009236C6">
        <w:t>article </w:t>
      </w:r>
      <w:r w:rsidRPr="009236C6">
        <w:t>2 of the Optional Protocol; and</w:t>
      </w:r>
    </w:p>
    <w:p w:rsidR="009D6D97" w:rsidRPr="00EB280B" w:rsidRDefault="002A171B" w:rsidP="00582E10">
      <w:pPr>
        <w:spacing w:after="120"/>
        <w:ind w:left="1134" w:right="1134" w:firstLine="567"/>
        <w:jc w:val="both"/>
        <w:rPr>
          <w:lang w:val="en-US"/>
        </w:rPr>
      </w:pPr>
      <w:r w:rsidRPr="009236C6">
        <w:rPr>
          <w:lang w:val="x-none"/>
        </w:rPr>
        <w:t>(b)</w:t>
      </w:r>
      <w:r w:rsidRPr="009236C6">
        <w:rPr>
          <w:lang w:val="x-none"/>
        </w:rPr>
        <w:tab/>
      </w:r>
      <w:r w:rsidR="001D2B5C" w:rsidRPr="009236C6">
        <w:rPr>
          <w:lang w:val="en-US"/>
        </w:rPr>
        <w:t xml:space="preserve">That </w:t>
      </w:r>
      <w:r w:rsidRPr="009236C6">
        <w:rPr>
          <w:lang w:val="x-none"/>
        </w:rPr>
        <w:t>the present decision shall be communicated to the author and to th</w:t>
      </w:r>
      <w:r w:rsidR="000C40A1" w:rsidRPr="009236C6">
        <w:rPr>
          <w:lang w:val="x-none"/>
        </w:rPr>
        <w:t>e State party, for information.</w:t>
      </w:r>
    </w:p>
    <w:p w:rsidR="001E23FD" w:rsidRPr="005942E2" w:rsidRDefault="005942E2" w:rsidP="005942E2">
      <w:pPr>
        <w:spacing w:before="240"/>
        <w:ind w:left="1134" w:right="1134"/>
        <w:jc w:val="center"/>
        <w:rPr>
          <w:u w:val="single"/>
        </w:rPr>
      </w:pPr>
      <w:r>
        <w:rPr>
          <w:u w:val="single"/>
        </w:rPr>
        <w:tab/>
      </w:r>
      <w:r>
        <w:rPr>
          <w:u w:val="single"/>
        </w:rPr>
        <w:tab/>
      </w:r>
      <w:r>
        <w:rPr>
          <w:u w:val="single"/>
        </w:rPr>
        <w:tab/>
      </w:r>
    </w:p>
    <w:sectPr w:rsidR="001E23FD" w:rsidRPr="005942E2" w:rsidSect="000C6960">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E82" w:rsidRDefault="00502E82"/>
  </w:endnote>
  <w:endnote w:type="continuationSeparator" w:id="0">
    <w:p w:rsidR="00502E82" w:rsidRDefault="00502E82"/>
  </w:endnote>
  <w:endnote w:type="continuationNotice" w:id="1">
    <w:p w:rsidR="00502E82" w:rsidRDefault="00502E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FC1" w:rsidRPr="0041431D" w:rsidRDefault="00FB2FC1" w:rsidP="001E1300">
    <w:pPr>
      <w:pStyle w:val="Footer"/>
      <w:tabs>
        <w:tab w:val="right" w:pos="9638"/>
      </w:tabs>
      <w:jc w:val="both"/>
      <w:rPr>
        <w:b/>
        <w:sz w:val="18"/>
      </w:rPr>
    </w:pPr>
    <w:r w:rsidRPr="0041431D">
      <w:rPr>
        <w:b/>
        <w:sz w:val="18"/>
      </w:rPr>
      <w:fldChar w:fldCharType="begin"/>
    </w:r>
    <w:r w:rsidRPr="0041431D">
      <w:rPr>
        <w:b/>
        <w:sz w:val="18"/>
      </w:rPr>
      <w:instrText xml:space="preserve"> PAGE  \* MERGEFORMAT </w:instrText>
    </w:r>
    <w:r w:rsidRPr="0041431D">
      <w:rPr>
        <w:b/>
        <w:sz w:val="18"/>
      </w:rPr>
      <w:fldChar w:fldCharType="separate"/>
    </w:r>
    <w:r w:rsidR="00D42CBD">
      <w:rPr>
        <w:b/>
        <w:noProof/>
        <w:sz w:val="18"/>
      </w:rPr>
      <w:t>2</w:t>
    </w:r>
    <w:r w:rsidRPr="0041431D">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FC1" w:rsidRPr="0041431D" w:rsidRDefault="00FB2FC1" w:rsidP="001E1300">
    <w:pPr>
      <w:pStyle w:val="Footer"/>
      <w:tabs>
        <w:tab w:val="right" w:pos="9638"/>
      </w:tabs>
      <w:jc w:val="right"/>
    </w:pPr>
    <w:r w:rsidRPr="0041431D">
      <w:rPr>
        <w:b/>
        <w:sz w:val="18"/>
      </w:rPr>
      <w:fldChar w:fldCharType="begin"/>
    </w:r>
    <w:r w:rsidRPr="0041431D">
      <w:rPr>
        <w:b/>
        <w:sz w:val="18"/>
      </w:rPr>
      <w:instrText xml:space="preserve"> PAGE  \* MERGEFORMAT </w:instrText>
    </w:r>
    <w:r w:rsidRPr="0041431D">
      <w:rPr>
        <w:b/>
        <w:sz w:val="18"/>
      </w:rPr>
      <w:fldChar w:fldCharType="separate"/>
    </w:r>
    <w:r w:rsidR="00D42CBD">
      <w:rPr>
        <w:b/>
        <w:noProof/>
        <w:sz w:val="18"/>
      </w:rPr>
      <w:t>3</w:t>
    </w:r>
    <w:r w:rsidRPr="0041431D">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FC1" w:rsidRDefault="00744D07">
    <w:r>
      <w:rPr>
        <w:noProof/>
        <w:lang w:val="en-US"/>
      </w:rPr>
      <w:drawing>
        <wp:anchor distT="0" distB="0" distL="114300" distR="114300" simplePos="0" relativeHeight="251659264" behindDoc="0" locked="0" layoutInCell="1" allowOverlap="1" wp14:anchorId="078E4EDD" wp14:editId="79741D31">
          <wp:simplePos x="0" y="0"/>
          <wp:positionH relativeFrom="margin">
            <wp:posOffset>4283710</wp:posOffset>
          </wp:positionH>
          <wp:positionV relativeFrom="margin">
            <wp:posOffset>8207375</wp:posOffset>
          </wp:positionV>
          <wp:extent cx="930275" cy="230505"/>
          <wp:effectExtent l="0" t="0" r="3175" b="0"/>
          <wp:wrapNone/>
          <wp:docPr id="3" name="Picture 3"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FB2FC1">
      <w:t>GE.1</w:t>
    </w:r>
    <w:r w:rsidR="000C40A1">
      <w:t>5</w:t>
    </w:r>
    <w:r w:rsidR="00FB2FC1">
      <w:t>-</w:t>
    </w:r>
    <w:r w:rsidR="00304B1D">
      <w:t>09685</w:t>
    </w:r>
    <w:r>
      <w:t xml:space="preserve">  (E)</w:t>
    </w:r>
    <w:r w:rsidR="00A30806">
      <w:br/>
    </w:r>
    <w:r w:rsidR="00A30806" w:rsidRPr="00A30806">
      <w:rPr>
        <w:rFonts w:ascii="C39T30Lfz" w:hAnsi="C39T30Lfz"/>
        <w:sz w:val="56"/>
      </w:rPr>
      <w:t></w:t>
    </w:r>
    <w:r w:rsidR="00A30806" w:rsidRPr="00A30806">
      <w:rPr>
        <w:rFonts w:ascii="C39T30Lfz" w:hAnsi="C39T30Lfz"/>
        <w:sz w:val="56"/>
      </w:rPr>
      <w:t></w:t>
    </w:r>
    <w:r w:rsidR="00A30806" w:rsidRPr="00A30806">
      <w:rPr>
        <w:rFonts w:ascii="C39T30Lfz" w:hAnsi="C39T30Lfz"/>
        <w:sz w:val="56"/>
      </w:rPr>
      <w:t></w:t>
    </w:r>
    <w:r w:rsidR="00A30806" w:rsidRPr="00A30806">
      <w:rPr>
        <w:rFonts w:ascii="C39T30Lfz" w:hAnsi="C39T30Lfz"/>
        <w:sz w:val="56"/>
      </w:rPr>
      <w:t></w:t>
    </w:r>
    <w:r w:rsidR="00A30806" w:rsidRPr="00A30806">
      <w:rPr>
        <w:rFonts w:ascii="C39T30Lfz" w:hAnsi="C39T30Lfz"/>
        <w:sz w:val="56"/>
      </w:rPr>
      <w:t></w:t>
    </w:r>
    <w:r w:rsidR="00A30806" w:rsidRPr="00A30806">
      <w:rPr>
        <w:rFonts w:ascii="C39T30Lfz" w:hAnsi="C39T30Lfz"/>
        <w:sz w:val="56"/>
      </w:rPr>
      <w:t></w:t>
    </w:r>
    <w:r w:rsidR="00A30806" w:rsidRPr="00A30806">
      <w:rPr>
        <w:rFonts w:ascii="C39T30Lfz" w:hAnsi="C39T30Lfz"/>
        <w:sz w:val="56"/>
      </w:rPr>
      <w:t></w:t>
    </w:r>
    <w:r w:rsidR="00A30806" w:rsidRPr="00A30806">
      <w:rPr>
        <w:rFonts w:ascii="C39T30Lfz" w:hAnsi="C39T30Lfz"/>
        <w:sz w:val="56"/>
      </w:rPr>
      <w:t></w:t>
    </w:r>
    <w:r w:rsidR="00A30806" w:rsidRPr="00A30806">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E82" w:rsidRPr="000B175B" w:rsidRDefault="00502E82" w:rsidP="000B175B">
      <w:pPr>
        <w:tabs>
          <w:tab w:val="right" w:pos="2155"/>
        </w:tabs>
        <w:spacing w:after="80"/>
        <w:ind w:left="680"/>
        <w:rPr>
          <w:u w:val="single"/>
        </w:rPr>
      </w:pPr>
      <w:r>
        <w:rPr>
          <w:u w:val="single"/>
        </w:rPr>
        <w:tab/>
      </w:r>
    </w:p>
  </w:footnote>
  <w:footnote w:type="continuationSeparator" w:id="0">
    <w:p w:rsidR="00502E82" w:rsidRPr="00FC68B7" w:rsidRDefault="00502E82" w:rsidP="00FC68B7">
      <w:pPr>
        <w:tabs>
          <w:tab w:val="left" w:pos="2155"/>
        </w:tabs>
        <w:spacing w:after="80"/>
        <w:ind w:left="680"/>
        <w:rPr>
          <w:u w:val="single"/>
        </w:rPr>
      </w:pPr>
      <w:r>
        <w:rPr>
          <w:u w:val="single"/>
        </w:rPr>
        <w:tab/>
      </w:r>
    </w:p>
  </w:footnote>
  <w:footnote w:type="continuationNotice" w:id="1">
    <w:p w:rsidR="00502E82" w:rsidRDefault="00502E82"/>
  </w:footnote>
  <w:footnote w:id="2">
    <w:p w:rsidR="009143BE" w:rsidRPr="00EB280B" w:rsidRDefault="009143BE" w:rsidP="001E1518">
      <w:pPr>
        <w:pStyle w:val="FootnoteText"/>
      </w:pPr>
      <w:r>
        <w:rPr>
          <w:rStyle w:val="FootnoteReference"/>
        </w:rPr>
        <w:tab/>
      </w:r>
      <w:r w:rsidRPr="00EB280B">
        <w:rPr>
          <w:rStyle w:val="FootnoteReference"/>
          <w:sz w:val="20"/>
          <w:vertAlign w:val="baseline"/>
        </w:rPr>
        <w:t>*</w:t>
      </w:r>
      <w:r w:rsidRPr="00EB280B">
        <w:rPr>
          <w:rStyle w:val="FootnoteReference"/>
          <w:sz w:val="20"/>
        </w:rPr>
        <w:tab/>
      </w:r>
      <w:r w:rsidRPr="00EB280B">
        <w:t xml:space="preserve">The following members of the Committee participated in the examination of the present communication: Yadh Ben Achour, Lazhari Bouzid, Sarah Cleveland, Olivier </w:t>
      </w:r>
      <w:r w:rsidR="001E1518" w:rsidRPr="00EB280B">
        <w:t>d</w:t>
      </w:r>
      <w:r w:rsidRPr="00EB280B">
        <w:t>e Frouville, Yuji Iwasawa, Ivana Jeli</w:t>
      </w:r>
      <w:r w:rsidR="001E1518" w:rsidRPr="00EB280B">
        <w:t>ć</w:t>
      </w:r>
      <w:r w:rsidRPr="00EB280B">
        <w:t xml:space="preserve">, Duncan </w:t>
      </w:r>
      <w:r w:rsidR="001E1518" w:rsidRPr="00EB280B">
        <w:t xml:space="preserve">Laki </w:t>
      </w:r>
      <w:r w:rsidRPr="00EB280B">
        <w:t>Muhumuza, Photini Pazartzis, Mauro Politi, Sir Nigel Rodley, V</w:t>
      </w:r>
      <w:r w:rsidR="001E1518" w:rsidRPr="00EB280B">
        <w:t>í</w:t>
      </w:r>
      <w:r w:rsidRPr="00EB280B">
        <w:t>ctor Manuel Rodr</w:t>
      </w:r>
      <w:r w:rsidR="001E1518" w:rsidRPr="00EB280B">
        <w:t>í</w:t>
      </w:r>
      <w:r w:rsidRPr="00EB280B">
        <w:t xml:space="preserve">guez-Rescia, Fabián Omar Salvioli, Dheerujlall Seetulsingh, Anja Seibert-Fohr, Yuval Shany, Konstantine Vardzelashvili </w:t>
      </w:r>
      <w:r w:rsidRPr="00EB280B">
        <w:rPr>
          <w:lang w:val="en-US"/>
        </w:rPr>
        <w:t>and</w:t>
      </w:r>
      <w:r w:rsidR="000C6960" w:rsidRPr="00EB280B">
        <w:t xml:space="preserve"> </w:t>
      </w:r>
      <w:r w:rsidRPr="00EB280B">
        <w:t>Margo Waterval.</w:t>
      </w:r>
    </w:p>
  </w:footnote>
  <w:footnote w:id="3">
    <w:p w:rsidR="0020376D" w:rsidRPr="00EB280B" w:rsidRDefault="000C40A1" w:rsidP="001D2B5C">
      <w:pPr>
        <w:pStyle w:val="FootnoteText"/>
      </w:pPr>
      <w:r w:rsidRPr="00EB280B">
        <w:tab/>
      </w:r>
      <w:r w:rsidR="0020376D" w:rsidRPr="00EB280B">
        <w:rPr>
          <w:rStyle w:val="FootnoteReference"/>
        </w:rPr>
        <w:footnoteRef/>
      </w:r>
      <w:r w:rsidRPr="00EB280B">
        <w:tab/>
      </w:r>
      <w:r w:rsidR="0020376D" w:rsidRPr="00EB280B">
        <w:t xml:space="preserve">The author does not specifically mention </w:t>
      </w:r>
      <w:r w:rsidR="000C6960" w:rsidRPr="00EB280B">
        <w:t>article </w:t>
      </w:r>
      <w:r w:rsidR="0020376D" w:rsidRPr="00EB280B">
        <w:t>14 of the Covenant</w:t>
      </w:r>
      <w:r w:rsidR="00851046" w:rsidRPr="00EB280B">
        <w:t>.</w:t>
      </w:r>
    </w:p>
  </w:footnote>
  <w:footnote w:id="4">
    <w:p w:rsidR="00FA63ED" w:rsidRPr="00EB280B" w:rsidRDefault="000C40A1" w:rsidP="004F71F9">
      <w:pPr>
        <w:pStyle w:val="FootnoteText"/>
      </w:pPr>
      <w:r w:rsidRPr="00EB280B">
        <w:tab/>
      </w:r>
      <w:r w:rsidR="00FA63ED" w:rsidRPr="00EB280B">
        <w:rPr>
          <w:rStyle w:val="FootnoteReference"/>
        </w:rPr>
        <w:footnoteRef/>
      </w:r>
      <w:r w:rsidRPr="00EB280B">
        <w:tab/>
      </w:r>
      <w:r w:rsidR="00FA63ED" w:rsidRPr="00EB280B">
        <w:t xml:space="preserve">See the transcript of the judgment of the Court of Appeal of New Zealand dated 30 September 2009. In the transcript it is mentioned that the </w:t>
      </w:r>
      <w:r w:rsidR="000C6960" w:rsidRPr="00EB280B">
        <w:t>“</w:t>
      </w:r>
      <w:r w:rsidR="00FA63ED" w:rsidRPr="00EB280B">
        <w:t>tainted</w:t>
      </w:r>
      <w:r w:rsidR="000C6960" w:rsidRPr="00EB280B">
        <w:t>”</w:t>
      </w:r>
      <w:r w:rsidR="00FA63ED" w:rsidRPr="00EB280B">
        <w:t xml:space="preserve"> juror was discharged after having sought to arrange a social meeting with the counsel of one of the accused after the trial.</w:t>
      </w:r>
    </w:p>
  </w:footnote>
  <w:footnote w:id="5">
    <w:p w:rsidR="00886752" w:rsidRPr="00EB280B" w:rsidRDefault="000C40A1" w:rsidP="00D158C9">
      <w:pPr>
        <w:pStyle w:val="FootnoteText"/>
      </w:pPr>
      <w:r w:rsidRPr="00EB280B">
        <w:tab/>
      </w:r>
      <w:r w:rsidR="00886752" w:rsidRPr="00EB280B">
        <w:rPr>
          <w:rStyle w:val="FootnoteReference"/>
        </w:rPr>
        <w:footnoteRef/>
      </w:r>
      <w:r w:rsidRPr="00EB280B">
        <w:tab/>
      </w:r>
      <w:r w:rsidR="00886752" w:rsidRPr="00EB280B">
        <w:t>According to the Minutes of Courtney J, High Court of New Zealand, Auckland Registry</w:t>
      </w:r>
      <w:r w:rsidR="002C5FD9" w:rsidRPr="00EB280B">
        <w:t>, dated 24</w:t>
      </w:r>
      <w:r w:rsidR="00582E10" w:rsidRPr="00EB280B">
        <w:t> </w:t>
      </w:r>
      <w:r w:rsidR="002C5FD9" w:rsidRPr="00EB280B">
        <w:t xml:space="preserve">September 2008, </w:t>
      </w:r>
      <w:r w:rsidR="00886752" w:rsidRPr="00EB280B">
        <w:t>the trial judge had decided that the court would not be sitting on Friday 19 September 2008. The tenth juror misunderstood the judge’s direction and thought that the court would not be sitting for the previous Thursday or Friday</w:t>
      </w:r>
      <w:r w:rsidR="00D158C9" w:rsidRPr="00EB280B">
        <w:t>,</w:t>
      </w:r>
      <w:r w:rsidR="00886752" w:rsidRPr="00EB280B">
        <w:t xml:space="preserve"> whereas the judge </w:t>
      </w:r>
      <w:r w:rsidR="00D158C9" w:rsidRPr="00EB280B">
        <w:t xml:space="preserve">had </w:t>
      </w:r>
      <w:r w:rsidR="00886752" w:rsidRPr="00EB280B">
        <w:t>said that the court would not be sitting on the Friday only. When not seeing the juror appear on the Thursday, the judge instructed the court staff to locate the juror without success. The Court therefore decided to adjourn the trial from 1</w:t>
      </w:r>
      <w:r w:rsidR="00582E10" w:rsidRPr="00EB280B">
        <w:t> </w:t>
      </w:r>
      <w:r w:rsidR="00886752" w:rsidRPr="00EB280B">
        <w:t>pm Thursday 18 September. By Monday 22 September, the juror had reappeared and</w:t>
      </w:r>
      <w:r w:rsidR="00D158C9" w:rsidRPr="00EB280B">
        <w:t>,</w:t>
      </w:r>
      <w:r w:rsidR="00886752" w:rsidRPr="00EB280B">
        <w:t xml:space="preserve"> with the consent of both prosecution and counsel, the trial</w:t>
      </w:r>
      <w:r w:rsidR="00D158C9" w:rsidRPr="00EB280B">
        <w:t xml:space="preserve"> </w:t>
      </w:r>
      <w:r w:rsidR="00886752" w:rsidRPr="00EB280B">
        <w:t>judge decide</w:t>
      </w:r>
      <w:r w:rsidR="002C5FD9" w:rsidRPr="00EB280B">
        <w:t>d</w:t>
      </w:r>
      <w:r w:rsidR="00886752" w:rsidRPr="00EB280B">
        <w:t xml:space="preserve"> to reintegrate the juror and resume the trial</w:t>
      </w:r>
      <w:r w:rsidR="002C5FD9" w:rsidRPr="00EB280B">
        <w:t xml:space="preserve"> (</w:t>
      </w:r>
      <w:r w:rsidR="00886752" w:rsidRPr="00EB280B">
        <w:t>24 September 2008, CRI-2006-004-010505</w:t>
      </w:r>
      <w:r w:rsidR="002C5FD9" w:rsidRPr="00EB280B">
        <w:t>)</w:t>
      </w:r>
      <w:r w:rsidR="00582E10" w:rsidRPr="00EB280B">
        <w:t>.</w:t>
      </w:r>
    </w:p>
  </w:footnote>
  <w:footnote w:id="6">
    <w:p w:rsidR="00FA63ED" w:rsidRPr="00EB280B" w:rsidRDefault="000C40A1">
      <w:pPr>
        <w:pStyle w:val="FootnoteText"/>
      </w:pPr>
      <w:r w:rsidRPr="00EB280B">
        <w:tab/>
      </w:r>
      <w:r w:rsidR="00FA63ED" w:rsidRPr="00EB280B">
        <w:rPr>
          <w:rStyle w:val="FootnoteReference"/>
        </w:rPr>
        <w:footnoteRef/>
      </w:r>
      <w:r w:rsidRPr="00EB280B">
        <w:tab/>
      </w:r>
      <w:r w:rsidR="00FA63ED" w:rsidRPr="00EB280B">
        <w:t xml:space="preserve">See Court transcript </w:t>
      </w:r>
      <w:r w:rsidR="000C6960" w:rsidRPr="00EB280B">
        <w:t>section </w:t>
      </w:r>
      <w:r w:rsidR="00FA63ED" w:rsidRPr="00EB280B">
        <w:t>75.</w:t>
      </w:r>
    </w:p>
  </w:footnote>
  <w:footnote w:id="7">
    <w:p w:rsidR="00FA63ED" w:rsidRPr="00EB280B" w:rsidRDefault="000C40A1" w:rsidP="001755D8">
      <w:pPr>
        <w:pStyle w:val="FootnoteText"/>
      </w:pPr>
      <w:r w:rsidRPr="00EB280B">
        <w:tab/>
      </w:r>
      <w:r w:rsidR="00FA63ED" w:rsidRPr="00EB280B">
        <w:rPr>
          <w:rStyle w:val="FootnoteReference"/>
        </w:rPr>
        <w:footnoteRef/>
      </w:r>
      <w:r w:rsidRPr="00EB280B">
        <w:tab/>
      </w:r>
      <w:r w:rsidR="003516EF" w:rsidRPr="00EB280B">
        <w:t xml:space="preserve">The author does not specify which provisions have allegedly been violated but those allegations relate to </w:t>
      </w:r>
      <w:r w:rsidR="001755D8" w:rsidRPr="00EB280B">
        <w:t>a</w:t>
      </w:r>
      <w:r w:rsidR="000C6960" w:rsidRPr="00EB280B">
        <w:t>rticle </w:t>
      </w:r>
      <w:r w:rsidR="00FA63ED" w:rsidRPr="00EB280B">
        <w:t>14</w:t>
      </w:r>
      <w:r w:rsidR="000C6960" w:rsidRPr="00EB280B">
        <w:t> </w:t>
      </w:r>
      <w:r w:rsidR="001755D8" w:rsidRPr="00EB280B">
        <w:t>(</w:t>
      </w:r>
      <w:r w:rsidR="005F2F29" w:rsidRPr="00EB280B">
        <w:t>1</w:t>
      </w:r>
      <w:r w:rsidR="001755D8" w:rsidRPr="00EB280B">
        <w:t>)</w:t>
      </w:r>
      <w:r w:rsidR="005F2F29" w:rsidRPr="00EB280B">
        <w:t xml:space="preserve"> and </w:t>
      </w:r>
      <w:r w:rsidR="001755D8" w:rsidRPr="00EB280B">
        <w:t>(</w:t>
      </w:r>
      <w:r w:rsidR="005F2F29" w:rsidRPr="00EB280B">
        <w:t>3</w:t>
      </w:r>
      <w:r w:rsidR="001755D8" w:rsidRPr="00EB280B">
        <w:t>)</w:t>
      </w:r>
      <w:r w:rsidR="004240C5" w:rsidRPr="00EB280B">
        <w:t> </w:t>
      </w:r>
      <w:r w:rsidR="005F2F29" w:rsidRPr="00EB280B">
        <w:t>(d) of the Covenant</w:t>
      </w:r>
      <w:r w:rsidR="00FA63ED" w:rsidRPr="00EB280B">
        <w:t>.</w:t>
      </w:r>
    </w:p>
  </w:footnote>
  <w:footnote w:id="8">
    <w:p w:rsidR="00126948" w:rsidRPr="00EB280B" w:rsidRDefault="000C40A1">
      <w:pPr>
        <w:pStyle w:val="FootnoteText"/>
      </w:pPr>
      <w:r w:rsidRPr="00EB280B">
        <w:tab/>
      </w:r>
      <w:r w:rsidR="00126948" w:rsidRPr="00EB280B">
        <w:rPr>
          <w:rStyle w:val="FootnoteReference"/>
        </w:rPr>
        <w:footnoteRef/>
      </w:r>
      <w:r w:rsidRPr="00EB280B">
        <w:tab/>
      </w:r>
      <w:r w:rsidR="00A102F2" w:rsidRPr="00EB280B">
        <w:t xml:space="preserve">See </w:t>
      </w:r>
      <w:r w:rsidR="00126948" w:rsidRPr="00EB280B">
        <w:rPr>
          <w:i/>
          <w:iCs/>
        </w:rPr>
        <w:t>R</w:t>
      </w:r>
      <w:r w:rsidR="004240C5" w:rsidRPr="00EB280B">
        <w:rPr>
          <w:i/>
          <w:iCs/>
        </w:rPr>
        <w:t>.</w:t>
      </w:r>
      <w:r w:rsidR="00126948" w:rsidRPr="00EB280B">
        <w:rPr>
          <w:i/>
          <w:iCs/>
        </w:rPr>
        <w:t xml:space="preserve"> </w:t>
      </w:r>
      <w:r w:rsidR="00126948" w:rsidRPr="00EB280B">
        <w:t>v.</w:t>
      </w:r>
      <w:r w:rsidR="00126948" w:rsidRPr="00EB280B">
        <w:rPr>
          <w:i/>
          <w:iCs/>
        </w:rPr>
        <w:t xml:space="preserve"> Chen HC Auckland</w:t>
      </w:r>
      <w:r w:rsidR="00126948" w:rsidRPr="00EB280B">
        <w:t xml:space="preserve"> CRI-2006-004-010505 (Rulings </w:t>
      </w:r>
      <w:r w:rsidR="000C6960" w:rsidRPr="00EB280B">
        <w:t>No. </w:t>
      </w:r>
      <w:r w:rsidR="00126948" w:rsidRPr="00EB280B">
        <w:t>10, 18 September 200</w:t>
      </w:r>
      <w:r w:rsidR="00555DE7" w:rsidRPr="00EB280B">
        <w:t>8, Ruling</w:t>
      </w:r>
      <w:r w:rsidR="00582E10" w:rsidRPr="00EB280B">
        <w:t> </w:t>
      </w:r>
      <w:r w:rsidR="00555DE7" w:rsidRPr="00EB280B">
        <w:t>11, 19</w:t>
      </w:r>
      <w:r w:rsidR="00582E10" w:rsidRPr="00EB280B">
        <w:t> </w:t>
      </w:r>
      <w:r w:rsidR="00555DE7" w:rsidRPr="00EB280B">
        <w:t>September 2008 and Summary of High Court Transcript, 19, 22, 23 and 24 September 2008</w:t>
      </w:r>
      <w:r w:rsidR="00787579" w:rsidRPr="00EB280B">
        <w:t>)</w:t>
      </w:r>
      <w:r w:rsidR="00555DE7" w:rsidRPr="00EB280B">
        <w:t xml:space="preserve">. </w:t>
      </w:r>
    </w:p>
  </w:footnote>
  <w:footnote w:id="9">
    <w:p w:rsidR="00105665" w:rsidRPr="00EB280B" w:rsidRDefault="000C40A1" w:rsidP="00EF7033">
      <w:pPr>
        <w:pStyle w:val="FootnoteText"/>
      </w:pPr>
      <w:r w:rsidRPr="00EB280B">
        <w:tab/>
      </w:r>
      <w:r w:rsidR="00105665" w:rsidRPr="00EB280B">
        <w:rPr>
          <w:rStyle w:val="FootnoteReference"/>
        </w:rPr>
        <w:footnoteRef/>
      </w:r>
      <w:r w:rsidRPr="00EB280B">
        <w:tab/>
      </w:r>
      <w:r w:rsidR="00105665" w:rsidRPr="00EB280B">
        <w:t>Minute of 24 September 2008</w:t>
      </w:r>
      <w:r w:rsidR="00A102F2" w:rsidRPr="00EB280B">
        <w:t>;</w:t>
      </w:r>
      <w:r w:rsidR="00105665" w:rsidRPr="00EB280B">
        <w:t xml:space="preserve"> see </w:t>
      </w:r>
      <w:r w:rsidR="00105665" w:rsidRPr="00EB280B">
        <w:rPr>
          <w:i/>
          <w:iCs/>
        </w:rPr>
        <w:t>R</w:t>
      </w:r>
      <w:r w:rsidR="00582E10" w:rsidRPr="00EB280B">
        <w:rPr>
          <w:i/>
          <w:iCs/>
        </w:rPr>
        <w:t>.</w:t>
      </w:r>
      <w:r w:rsidR="00105665" w:rsidRPr="00EB280B">
        <w:rPr>
          <w:i/>
          <w:iCs/>
        </w:rPr>
        <w:t xml:space="preserve"> </w:t>
      </w:r>
      <w:r w:rsidR="00105665" w:rsidRPr="00EB280B">
        <w:t>v.</w:t>
      </w:r>
      <w:r w:rsidR="00105665" w:rsidRPr="00EB280B">
        <w:rPr>
          <w:i/>
          <w:iCs/>
        </w:rPr>
        <w:t xml:space="preserve"> Chen HC Auckland</w:t>
      </w:r>
      <w:r w:rsidR="005F6878" w:rsidRPr="00EB280B">
        <w:t xml:space="preserve"> (see footnote 6)</w:t>
      </w:r>
      <w:r w:rsidR="00105665" w:rsidRPr="00EB280B">
        <w:t>.</w:t>
      </w:r>
    </w:p>
  </w:footnote>
  <w:footnote w:id="10">
    <w:p w:rsidR="00D81D27" w:rsidRPr="00EB280B" w:rsidRDefault="000C40A1">
      <w:pPr>
        <w:pStyle w:val="FootnoteText"/>
      </w:pPr>
      <w:r w:rsidRPr="00EB280B">
        <w:tab/>
      </w:r>
      <w:r w:rsidR="00D81D27" w:rsidRPr="00EB280B">
        <w:rPr>
          <w:rStyle w:val="FootnoteReference"/>
        </w:rPr>
        <w:footnoteRef/>
      </w:r>
      <w:r w:rsidRPr="00EB280B">
        <w:tab/>
      </w:r>
      <w:r w:rsidR="00D81D27" w:rsidRPr="00EB280B">
        <w:t xml:space="preserve">Bill of Rights Act 1990, </w:t>
      </w:r>
      <w:r w:rsidR="000C6960" w:rsidRPr="00EB280B">
        <w:t>section </w:t>
      </w:r>
      <w:r w:rsidR="00D81D27" w:rsidRPr="00EB280B">
        <w:t>25(a).</w:t>
      </w:r>
    </w:p>
  </w:footnote>
  <w:footnote w:id="11">
    <w:p w:rsidR="00534E7E" w:rsidRPr="00EB280B" w:rsidRDefault="000C40A1" w:rsidP="006433B4">
      <w:pPr>
        <w:pStyle w:val="FootnoteText"/>
      </w:pPr>
      <w:r w:rsidRPr="00EB280B">
        <w:tab/>
      </w:r>
      <w:r w:rsidR="00534E7E" w:rsidRPr="00EB280B">
        <w:rPr>
          <w:rStyle w:val="FootnoteReference"/>
        </w:rPr>
        <w:footnoteRef/>
      </w:r>
      <w:r w:rsidRPr="00EB280B">
        <w:tab/>
      </w:r>
      <w:r w:rsidR="00534E7E" w:rsidRPr="00EB280B">
        <w:t xml:space="preserve">The State party refers to the Committee’s </w:t>
      </w:r>
      <w:r w:rsidR="006433B4" w:rsidRPr="00EB280B">
        <w:t>g</w:t>
      </w:r>
      <w:r w:rsidR="00534E7E" w:rsidRPr="00EB280B">
        <w:t xml:space="preserve">eneral </w:t>
      </w:r>
      <w:r w:rsidR="006433B4" w:rsidRPr="00EB280B">
        <w:t>c</w:t>
      </w:r>
      <w:r w:rsidR="00534E7E" w:rsidRPr="00EB280B">
        <w:t xml:space="preserve">omment </w:t>
      </w:r>
      <w:r w:rsidR="000C6960" w:rsidRPr="00EB280B">
        <w:t>No. </w:t>
      </w:r>
      <w:r w:rsidR="00534E7E" w:rsidRPr="00EB280B">
        <w:t xml:space="preserve">32 </w:t>
      </w:r>
      <w:r w:rsidR="006433B4" w:rsidRPr="00EB280B">
        <w:t>(2007) on</w:t>
      </w:r>
      <w:r w:rsidR="00534E7E" w:rsidRPr="00EB280B">
        <w:t xml:space="preserve"> </w:t>
      </w:r>
      <w:r w:rsidR="006433B4" w:rsidRPr="00EB280B">
        <w:t>article 14: r</w:t>
      </w:r>
      <w:r w:rsidR="00534E7E" w:rsidRPr="00EB280B">
        <w:t xml:space="preserve">ight to equality before courts and tribunals and to a fair trial, </w:t>
      </w:r>
      <w:r w:rsidR="000C6960" w:rsidRPr="00EB280B">
        <w:t>para. </w:t>
      </w:r>
      <w:r w:rsidR="00534E7E" w:rsidRPr="00EB280B">
        <w:t>26.</w:t>
      </w:r>
    </w:p>
  </w:footnote>
  <w:footnote w:id="12">
    <w:p w:rsidR="00543639" w:rsidRPr="00EB280B" w:rsidRDefault="000C40A1" w:rsidP="00EF7033">
      <w:pPr>
        <w:pStyle w:val="FootnoteText"/>
      </w:pPr>
      <w:r w:rsidRPr="00EB280B">
        <w:tab/>
      </w:r>
      <w:r w:rsidR="00543639" w:rsidRPr="00EB280B">
        <w:rPr>
          <w:rStyle w:val="FootnoteReference"/>
        </w:rPr>
        <w:footnoteRef/>
      </w:r>
      <w:r w:rsidRPr="00EB280B">
        <w:tab/>
      </w:r>
      <w:r w:rsidR="00A102F2" w:rsidRPr="00EB280B">
        <w:t>See c</w:t>
      </w:r>
      <w:r w:rsidR="00543639" w:rsidRPr="00EB280B">
        <w:t xml:space="preserve">ommunication </w:t>
      </w:r>
      <w:r w:rsidR="000C6960" w:rsidRPr="00EB280B">
        <w:t>No. </w:t>
      </w:r>
      <w:r w:rsidR="00543639" w:rsidRPr="00EB280B">
        <w:t xml:space="preserve">1758/2008, </w:t>
      </w:r>
      <w:r w:rsidR="00543639" w:rsidRPr="00EB280B">
        <w:rPr>
          <w:i/>
          <w:iCs/>
        </w:rPr>
        <w:t xml:space="preserve">Jessop </w:t>
      </w:r>
      <w:r w:rsidR="00543639" w:rsidRPr="00EB280B">
        <w:t>v.</w:t>
      </w:r>
      <w:r w:rsidR="00543639" w:rsidRPr="00EB280B">
        <w:rPr>
          <w:i/>
          <w:iCs/>
        </w:rPr>
        <w:t xml:space="preserve"> New Zealand</w:t>
      </w:r>
      <w:r w:rsidR="00543639" w:rsidRPr="00EB280B">
        <w:t xml:space="preserve">, </w:t>
      </w:r>
      <w:r w:rsidR="006413D4" w:rsidRPr="00EB280B">
        <w:t xml:space="preserve">Views adopted on 29 March 2011, </w:t>
      </w:r>
      <w:r w:rsidR="000C6960" w:rsidRPr="00EB280B">
        <w:t>para. </w:t>
      </w:r>
      <w:r w:rsidR="00543639" w:rsidRPr="00EB280B">
        <w:t>7.11</w:t>
      </w:r>
    </w:p>
  </w:footnote>
  <w:footnote w:id="13">
    <w:p w:rsidR="00543639" w:rsidRPr="00EB280B" w:rsidRDefault="000C40A1">
      <w:pPr>
        <w:pStyle w:val="FootnoteText"/>
      </w:pPr>
      <w:r w:rsidRPr="00EB280B">
        <w:tab/>
      </w:r>
      <w:r w:rsidR="00543639" w:rsidRPr="00EB280B">
        <w:rPr>
          <w:rStyle w:val="FootnoteReference"/>
        </w:rPr>
        <w:footnoteRef/>
      </w:r>
      <w:r w:rsidRPr="00EB280B">
        <w:tab/>
      </w:r>
      <w:r w:rsidR="00A102F2" w:rsidRPr="00EB280B">
        <w:t xml:space="preserve">See </w:t>
      </w:r>
      <w:r w:rsidR="00543639" w:rsidRPr="00EB280B">
        <w:rPr>
          <w:i/>
          <w:iCs/>
        </w:rPr>
        <w:t>R</w:t>
      </w:r>
      <w:r w:rsidR="00582E10" w:rsidRPr="00EB280B">
        <w:rPr>
          <w:i/>
          <w:iCs/>
        </w:rPr>
        <w:t>.</w:t>
      </w:r>
      <w:r w:rsidR="00543639" w:rsidRPr="00EB280B">
        <w:rPr>
          <w:i/>
          <w:iCs/>
        </w:rPr>
        <w:t xml:space="preserve"> </w:t>
      </w:r>
      <w:r w:rsidR="00543639" w:rsidRPr="00EB280B">
        <w:t>v.</w:t>
      </w:r>
      <w:r w:rsidR="00543639" w:rsidRPr="00EB280B">
        <w:rPr>
          <w:i/>
          <w:iCs/>
        </w:rPr>
        <w:t xml:space="preserve"> Sungsuwan</w:t>
      </w:r>
      <w:r w:rsidR="00543639" w:rsidRPr="00EB280B">
        <w:t xml:space="preserve"> [2006] 1 NZLR 730 (SC).</w:t>
      </w:r>
    </w:p>
  </w:footnote>
  <w:footnote w:id="14">
    <w:p w:rsidR="00543639" w:rsidRPr="00EB280B" w:rsidRDefault="00800E2E">
      <w:pPr>
        <w:pStyle w:val="FootnoteText"/>
      </w:pPr>
      <w:r w:rsidRPr="00EB280B">
        <w:tab/>
      </w:r>
      <w:r w:rsidR="00543639" w:rsidRPr="00EB280B">
        <w:rPr>
          <w:rStyle w:val="FootnoteReference"/>
        </w:rPr>
        <w:footnoteRef/>
      </w:r>
      <w:r w:rsidRPr="00EB280B">
        <w:tab/>
      </w:r>
      <w:r w:rsidR="00E247E8" w:rsidRPr="00EB280B">
        <w:t>The State</w:t>
      </w:r>
      <w:r w:rsidR="00B4231A" w:rsidRPr="00EB280B">
        <w:t xml:space="preserve"> </w:t>
      </w:r>
      <w:r w:rsidR="00E247E8" w:rsidRPr="00EB280B">
        <w:t>party refers to c</w:t>
      </w:r>
      <w:r w:rsidR="00543639" w:rsidRPr="00EB280B">
        <w:t xml:space="preserve">ommunication </w:t>
      </w:r>
      <w:r w:rsidR="000C6960" w:rsidRPr="00EB280B">
        <w:t>No. </w:t>
      </w:r>
      <w:r w:rsidR="00543639" w:rsidRPr="00EB280B">
        <w:t xml:space="preserve">493/1992, </w:t>
      </w:r>
      <w:r w:rsidR="00543639" w:rsidRPr="00EB280B">
        <w:rPr>
          <w:i/>
          <w:iCs/>
        </w:rPr>
        <w:t xml:space="preserve">Griffin </w:t>
      </w:r>
      <w:r w:rsidR="00543639" w:rsidRPr="00EB280B">
        <w:t>v.</w:t>
      </w:r>
      <w:r w:rsidR="00543639" w:rsidRPr="00EB280B">
        <w:rPr>
          <w:i/>
          <w:iCs/>
        </w:rPr>
        <w:t xml:space="preserve"> Spain</w:t>
      </w:r>
      <w:r w:rsidR="00543639" w:rsidRPr="00EB280B">
        <w:t xml:space="preserve">, </w:t>
      </w:r>
      <w:r w:rsidR="00FE1891" w:rsidRPr="00EB280B">
        <w:t xml:space="preserve">Views adopted on 4 April 1995, </w:t>
      </w:r>
      <w:r w:rsidR="000C6960" w:rsidRPr="00EB280B">
        <w:t>para. </w:t>
      </w:r>
      <w:r w:rsidR="00543639" w:rsidRPr="00EB280B">
        <w:t xml:space="preserve">9.8; and communication </w:t>
      </w:r>
      <w:r w:rsidR="000C6960" w:rsidRPr="00EB280B">
        <w:t>No. </w:t>
      </w:r>
      <w:r w:rsidR="00543639" w:rsidRPr="00EB280B">
        <w:t xml:space="preserve">984/2001, </w:t>
      </w:r>
      <w:r w:rsidR="00543639" w:rsidRPr="00EB280B">
        <w:rPr>
          <w:i/>
          <w:iCs/>
        </w:rPr>
        <w:t xml:space="preserve">Juma </w:t>
      </w:r>
      <w:r w:rsidR="00543639" w:rsidRPr="00EB280B">
        <w:t>v.</w:t>
      </w:r>
      <w:r w:rsidR="00543639" w:rsidRPr="00EB280B">
        <w:rPr>
          <w:i/>
          <w:iCs/>
        </w:rPr>
        <w:t xml:space="preserve"> Australia</w:t>
      </w:r>
      <w:r w:rsidR="00543639" w:rsidRPr="00EB280B">
        <w:t xml:space="preserve">, </w:t>
      </w:r>
      <w:r w:rsidR="00FE1891" w:rsidRPr="00EB280B">
        <w:t xml:space="preserve">Admissibility decision of 28 July 2002, </w:t>
      </w:r>
      <w:r w:rsidR="000C6960" w:rsidRPr="00EB280B">
        <w:t>para. </w:t>
      </w:r>
      <w:r w:rsidR="00543639" w:rsidRPr="00EB280B">
        <w:t>7.5</w:t>
      </w:r>
    </w:p>
  </w:footnote>
  <w:footnote w:id="15">
    <w:p w:rsidR="00775B5D" w:rsidRPr="00EB280B" w:rsidRDefault="00800E2E">
      <w:pPr>
        <w:pStyle w:val="FootnoteText"/>
      </w:pPr>
      <w:r w:rsidRPr="00EB280B">
        <w:tab/>
      </w:r>
      <w:r w:rsidR="00775B5D" w:rsidRPr="00EB280B">
        <w:rPr>
          <w:rStyle w:val="FootnoteReference"/>
        </w:rPr>
        <w:footnoteRef/>
      </w:r>
      <w:r w:rsidRPr="00EB280B">
        <w:tab/>
      </w:r>
      <w:r w:rsidR="00775B5D" w:rsidRPr="00EB280B">
        <w:t xml:space="preserve">New Zealand Crimes Act 1961, </w:t>
      </w:r>
      <w:r w:rsidR="000C6960" w:rsidRPr="00EB280B">
        <w:t>sect</w:t>
      </w:r>
      <w:r w:rsidR="00FE1891" w:rsidRPr="00EB280B">
        <w:t>.</w:t>
      </w:r>
      <w:r w:rsidR="000C6960" w:rsidRPr="00EB280B">
        <w:t> </w:t>
      </w:r>
      <w:r w:rsidR="00775B5D" w:rsidRPr="00EB280B">
        <w:t>374.</w:t>
      </w:r>
    </w:p>
  </w:footnote>
  <w:footnote w:id="16">
    <w:p w:rsidR="00911453" w:rsidRPr="00EB280B" w:rsidRDefault="00800E2E">
      <w:pPr>
        <w:pStyle w:val="FootnoteText"/>
      </w:pPr>
      <w:r w:rsidRPr="00EB280B">
        <w:tab/>
      </w:r>
      <w:r w:rsidR="00911453" w:rsidRPr="00EB280B">
        <w:rPr>
          <w:rStyle w:val="FootnoteReference"/>
        </w:rPr>
        <w:footnoteRef/>
      </w:r>
      <w:r w:rsidRPr="00EB280B">
        <w:tab/>
      </w:r>
      <w:r w:rsidR="00911453" w:rsidRPr="00EB280B">
        <w:t>The author does not provide more information on the reason for the dispute, nor does he give a copy of the court’s decision or any information on how this issue relates to his claim as expressed in his initial communication dated 3 June 2012.</w:t>
      </w:r>
    </w:p>
  </w:footnote>
  <w:footnote w:id="17">
    <w:p w:rsidR="00911453" w:rsidRPr="00EB280B" w:rsidRDefault="00800E2E">
      <w:pPr>
        <w:pStyle w:val="FootnoteText"/>
      </w:pPr>
      <w:r w:rsidRPr="00EB280B">
        <w:tab/>
      </w:r>
      <w:r w:rsidR="00911453" w:rsidRPr="00EB280B">
        <w:rPr>
          <w:rStyle w:val="FootnoteReference"/>
        </w:rPr>
        <w:footnoteRef/>
      </w:r>
      <w:r w:rsidRPr="00EB280B">
        <w:tab/>
      </w:r>
      <w:r w:rsidR="00911453" w:rsidRPr="00EB280B">
        <w:t xml:space="preserve">See </w:t>
      </w:r>
      <w:r w:rsidR="000C6960" w:rsidRPr="00EB280B">
        <w:t>para. </w:t>
      </w:r>
      <w:r w:rsidR="00911453" w:rsidRPr="00EB280B">
        <w:t>1.2 above.</w:t>
      </w:r>
    </w:p>
  </w:footnote>
  <w:footnote w:id="18">
    <w:p w:rsidR="00AA22FA" w:rsidRPr="00EB280B" w:rsidRDefault="00800E2E">
      <w:pPr>
        <w:pStyle w:val="FootnoteText"/>
      </w:pPr>
      <w:r w:rsidRPr="00EB280B">
        <w:tab/>
      </w:r>
      <w:r w:rsidR="00AA22FA" w:rsidRPr="00EB280B">
        <w:rPr>
          <w:rStyle w:val="FootnoteReference"/>
        </w:rPr>
        <w:footnoteRef/>
      </w:r>
      <w:r w:rsidRPr="00EB280B">
        <w:tab/>
      </w:r>
      <w:r w:rsidR="00AA22FA" w:rsidRPr="00EB280B">
        <w:t>See</w:t>
      </w:r>
      <w:r w:rsidR="001D2B5C" w:rsidRPr="00EB280B">
        <w:t>,</w:t>
      </w:r>
      <w:r w:rsidR="00AA22FA" w:rsidRPr="00EB280B">
        <w:t xml:space="preserve"> inter alia</w:t>
      </w:r>
      <w:r w:rsidR="001D2B5C" w:rsidRPr="00EB280B">
        <w:t>,</w:t>
      </w:r>
      <w:r w:rsidR="00AA22FA" w:rsidRPr="00EB280B">
        <w:t xml:space="preserve"> communication </w:t>
      </w:r>
      <w:r w:rsidR="000C6960" w:rsidRPr="00EB280B">
        <w:t>No. </w:t>
      </w:r>
      <w:r w:rsidR="00AA22FA" w:rsidRPr="00EB280B">
        <w:t xml:space="preserve">1622/2007, </w:t>
      </w:r>
      <w:r w:rsidR="00AA22FA" w:rsidRPr="00EB280B">
        <w:rPr>
          <w:i/>
          <w:iCs/>
        </w:rPr>
        <w:t xml:space="preserve">L.D.L.P. </w:t>
      </w:r>
      <w:r w:rsidR="00AA22FA" w:rsidRPr="00EB280B">
        <w:t>v.</w:t>
      </w:r>
      <w:r w:rsidR="00AA22FA" w:rsidRPr="00EB280B">
        <w:rPr>
          <w:i/>
          <w:iCs/>
        </w:rPr>
        <w:t xml:space="preserve"> Spain</w:t>
      </w:r>
      <w:r w:rsidR="00AA22FA" w:rsidRPr="00EB280B">
        <w:t xml:space="preserve">, decision adopted on 26 July 2011, </w:t>
      </w:r>
      <w:r w:rsidR="000C6960" w:rsidRPr="00EB280B">
        <w:t>para. </w:t>
      </w:r>
      <w:r w:rsidR="00AA22FA" w:rsidRPr="00EB280B">
        <w:t>6.3.</w:t>
      </w:r>
    </w:p>
  </w:footnote>
  <w:footnote w:id="19">
    <w:p w:rsidR="00EB03D8" w:rsidRPr="00D869DB" w:rsidRDefault="00800E2E" w:rsidP="00EF7033">
      <w:pPr>
        <w:pStyle w:val="FootnoteText"/>
      </w:pPr>
      <w:r w:rsidRPr="00EB280B">
        <w:tab/>
      </w:r>
      <w:r w:rsidR="00EB03D8" w:rsidRPr="00EB280B">
        <w:rPr>
          <w:rStyle w:val="FootnoteReference"/>
        </w:rPr>
        <w:footnoteRef/>
      </w:r>
      <w:r w:rsidRPr="00EB280B">
        <w:tab/>
      </w:r>
      <w:r w:rsidR="00A102F2" w:rsidRPr="00EB280B">
        <w:t>See c</w:t>
      </w:r>
      <w:r w:rsidR="00EB03D8" w:rsidRPr="00EB280B">
        <w:t xml:space="preserve">ommunication </w:t>
      </w:r>
      <w:r w:rsidR="000C6960" w:rsidRPr="00EB280B">
        <w:t>No. </w:t>
      </w:r>
      <w:r w:rsidR="00EB03D8" w:rsidRPr="00EB280B">
        <w:t xml:space="preserve">867/1999, </w:t>
      </w:r>
      <w:r w:rsidR="00EB03D8" w:rsidRPr="00EB280B">
        <w:rPr>
          <w:i/>
          <w:iCs/>
        </w:rPr>
        <w:t xml:space="preserve">Smartt </w:t>
      </w:r>
      <w:r w:rsidR="00EB03D8" w:rsidRPr="00EB280B">
        <w:t>v.</w:t>
      </w:r>
      <w:r w:rsidR="00EB03D8" w:rsidRPr="00EB280B">
        <w:rPr>
          <w:i/>
          <w:iCs/>
        </w:rPr>
        <w:t xml:space="preserve"> Guyana</w:t>
      </w:r>
      <w:r w:rsidR="00EB03D8" w:rsidRPr="00EB280B">
        <w:t xml:space="preserve">, Views adopted on 6 July 2004, </w:t>
      </w:r>
      <w:r w:rsidR="000C6960" w:rsidRPr="00EB280B">
        <w:t>para. </w:t>
      </w:r>
      <w:r w:rsidR="00EB03D8" w:rsidRPr="00EB280B">
        <w:t>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FC1" w:rsidRPr="0041431D" w:rsidRDefault="00A557FC" w:rsidP="001E1300">
    <w:pPr>
      <w:pStyle w:val="Header"/>
    </w:pPr>
    <w:r>
      <w:t>CCPR/C/113/D/</w:t>
    </w:r>
    <w:r w:rsidR="002A171B">
      <w:t>2211</w:t>
    </w:r>
    <w:r w:rsidR="00FB2FC1">
      <w:t>/20</w:t>
    </w:r>
    <w:r w:rsidR="002A171B">
      <w:t>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FC1" w:rsidRPr="0041431D" w:rsidRDefault="00FB2FC1" w:rsidP="001E1300">
    <w:pPr>
      <w:pStyle w:val="Header"/>
      <w:jc w:val="right"/>
    </w:pPr>
    <w:r>
      <w:t>CCPR/C/113/D/</w:t>
    </w:r>
    <w:r w:rsidR="002A171B">
      <w:t>2211</w:t>
    </w:r>
    <w:r>
      <w:t>/20</w:t>
    </w:r>
    <w:r w:rsidR="002A171B">
      <w:t>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B2892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07DB3"/>
    <w:multiLevelType w:val="multilevel"/>
    <w:tmpl w:val="26F4B3D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02D15"/>
    <w:multiLevelType w:val="multilevel"/>
    <w:tmpl w:val="2130A906"/>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494"/>
        </w:tabs>
        <w:ind w:left="1494"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158A035E"/>
    <w:multiLevelType w:val="multilevel"/>
    <w:tmpl w:val="C770971A"/>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es-ES_tradnl"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768"/>
    <w:rsid w:val="000020C5"/>
    <w:rsid w:val="00004436"/>
    <w:rsid w:val="00006179"/>
    <w:rsid w:val="000061C7"/>
    <w:rsid w:val="000068A2"/>
    <w:rsid w:val="00006B2E"/>
    <w:rsid w:val="00007824"/>
    <w:rsid w:val="00011FA3"/>
    <w:rsid w:val="00012AE1"/>
    <w:rsid w:val="0002024D"/>
    <w:rsid w:val="0002169A"/>
    <w:rsid w:val="000223AB"/>
    <w:rsid w:val="00022D31"/>
    <w:rsid w:val="00024F26"/>
    <w:rsid w:val="000254C8"/>
    <w:rsid w:val="000264AE"/>
    <w:rsid w:val="000272B3"/>
    <w:rsid w:val="0003020D"/>
    <w:rsid w:val="00030376"/>
    <w:rsid w:val="0003184D"/>
    <w:rsid w:val="0003265B"/>
    <w:rsid w:val="00032CE6"/>
    <w:rsid w:val="000332D2"/>
    <w:rsid w:val="0003502C"/>
    <w:rsid w:val="0003533F"/>
    <w:rsid w:val="00035B53"/>
    <w:rsid w:val="00036E89"/>
    <w:rsid w:val="00037EC6"/>
    <w:rsid w:val="00041E5F"/>
    <w:rsid w:val="00043479"/>
    <w:rsid w:val="000461E6"/>
    <w:rsid w:val="000463EF"/>
    <w:rsid w:val="00046C89"/>
    <w:rsid w:val="00047B46"/>
    <w:rsid w:val="0005046A"/>
    <w:rsid w:val="000504B1"/>
    <w:rsid w:val="00050F6B"/>
    <w:rsid w:val="00051591"/>
    <w:rsid w:val="0005385D"/>
    <w:rsid w:val="0005619A"/>
    <w:rsid w:val="00057787"/>
    <w:rsid w:val="00057C6D"/>
    <w:rsid w:val="00057E97"/>
    <w:rsid w:val="00060C3A"/>
    <w:rsid w:val="00062703"/>
    <w:rsid w:val="00062B5C"/>
    <w:rsid w:val="00062D71"/>
    <w:rsid w:val="00062E5E"/>
    <w:rsid w:val="00067966"/>
    <w:rsid w:val="0007113B"/>
    <w:rsid w:val="00071DD2"/>
    <w:rsid w:val="00072C8C"/>
    <w:rsid w:val="000733B5"/>
    <w:rsid w:val="0007643A"/>
    <w:rsid w:val="00080862"/>
    <w:rsid w:val="000811C8"/>
    <w:rsid w:val="00081815"/>
    <w:rsid w:val="00084832"/>
    <w:rsid w:val="0008518A"/>
    <w:rsid w:val="0008575D"/>
    <w:rsid w:val="000865C0"/>
    <w:rsid w:val="000871D3"/>
    <w:rsid w:val="00087646"/>
    <w:rsid w:val="00087AF6"/>
    <w:rsid w:val="00091D77"/>
    <w:rsid w:val="000931C0"/>
    <w:rsid w:val="00094A50"/>
    <w:rsid w:val="00096B92"/>
    <w:rsid w:val="00097DF9"/>
    <w:rsid w:val="000A2A42"/>
    <w:rsid w:val="000A409B"/>
    <w:rsid w:val="000A451E"/>
    <w:rsid w:val="000A45DF"/>
    <w:rsid w:val="000A48E1"/>
    <w:rsid w:val="000A6B6E"/>
    <w:rsid w:val="000B0454"/>
    <w:rsid w:val="000B175B"/>
    <w:rsid w:val="000B3A0F"/>
    <w:rsid w:val="000B3C89"/>
    <w:rsid w:val="000B4EF7"/>
    <w:rsid w:val="000B6E01"/>
    <w:rsid w:val="000B758E"/>
    <w:rsid w:val="000C2C03"/>
    <w:rsid w:val="000C2D2E"/>
    <w:rsid w:val="000C31C1"/>
    <w:rsid w:val="000C3DFF"/>
    <w:rsid w:val="000C40A1"/>
    <w:rsid w:val="000C412F"/>
    <w:rsid w:val="000C5199"/>
    <w:rsid w:val="000C5644"/>
    <w:rsid w:val="000C6960"/>
    <w:rsid w:val="000C69BF"/>
    <w:rsid w:val="000C7095"/>
    <w:rsid w:val="000D02E3"/>
    <w:rsid w:val="000D03E9"/>
    <w:rsid w:val="000D1887"/>
    <w:rsid w:val="000D5882"/>
    <w:rsid w:val="000D7199"/>
    <w:rsid w:val="000E0415"/>
    <w:rsid w:val="000E2374"/>
    <w:rsid w:val="000E3C40"/>
    <w:rsid w:val="000E4B94"/>
    <w:rsid w:val="000E591A"/>
    <w:rsid w:val="000E6F65"/>
    <w:rsid w:val="000E6F7C"/>
    <w:rsid w:val="000F0437"/>
    <w:rsid w:val="000F062D"/>
    <w:rsid w:val="000F24CB"/>
    <w:rsid w:val="000F279F"/>
    <w:rsid w:val="000F3770"/>
    <w:rsid w:val="000F55F8"/>
    <w:rsid w:val="0010013A"/>
    <w:rsid w:val="001010EA"/>
    <w:rsid w:val="00101523"/>
    <w:rsid w:val="001018E5"/>
    <w:rsid w:val="0010285F"/>
    <w:rsid w:val="0010382B"/>
    <w:rsid w:val="00103AE2"/>
    <w:rsid w:val="0010512A"/>
    <w:rsid w:val="00105665"/>
    <w:rsid w:val="00105E77"/>
    <w:rsid w:val="00106270"/>
    <w:rsid w:val="00107B41"/>
    <w:rsid w:val="001103AA"/>
    <w:rsid w:val="00112BE4"/>
    <w:rsid w:val="00113F3C"/>
    <w:rsid w:val="00114504"/>
    <w:rsid w:val="00117BB2"/>
    <w:rsid w:val="00117EC2"/>
    <w:rsid w:val="00122216"/>
    <w:rsid w:val="00124CD5"/>
    <w:rsid w:val="00124F4D"/>
    <w:rsid w:val="00125301"/>
    <w:rsid w:val="001262D5"/>
    <w:rsid w:val="00126948"/>
    <w:rsid w:val="0013040B"/>
    <w:rsid w:val="00134BDC"/>
    <w:rsid w:val="0013580C"/>
    <w:rsid w:val="0013720C"/>
    <w:rsid w:val="001410EF"/>
    <w:rsid w:val="001433D0"/>
    <w:rsid w:val="001464A5"/>
    <w:rsid w:val="00147563"/>
    <w:rsid w:val="00147922"/>
    <w:rsid w:val="00147CB7"/>
    <w:rsid w:val="001522E6"/>
    <w:rsid w:val="00152EE6"/>
    <w:rsid w:val="0015496D"/>
    <w:rsid w:val="00160C0D"/>
    <w:rsid w:val="001611D1"/>
    <w:rsid w:val="00161202"/>
    <w:rsid w:val="001620EE"/>
    <w:rsid w:val="0016271E"/>
    <w:rsid w:val="00162C5D"/>
    <w:rsid w:val="00165236"/>
    <w:rsid w:val="00165F3A"/>
    <w:rsid w:val="00167DA9"/>
    <w:rsid w:val="00167E89"/>
    <w:rsid w:val="00167FE1"/>
    <w:rsid w:val="001703AC"/>
    <w:rsid w:val="00171383"/>
    <w:rsid w:val="001727A5"/>
    <w:rsid w:val="001755D8"/>
    <w:rsid w:val="00175C92"/>
    <w:rsid w:val="001771C6"/>
    <w:rsid w:val="00181385"/>
    <w:rsid w:val="00183968"/>
    <w:rsid w:val="0018435B"/>
    <w:rsid w:val="00184639"/>
    <w:rsid w:val="00186CB9"/>
    <w:rsid w:val="00187D0C"/>
    <w:rsid w:val="00190978"/>
    <w:rsid w:val="00190C86"/>
    <w:rsid w:val="001934D5"/>
    <w:rsid w:val="00193860"/>
    <w:rsid w:val="00194C15"/>
    <w:rsid w:val="00195704"/>
    <w:rsid w:val="001A2152"/>
    <w:rsid w:val="001A2B83"/>
    <w:rsid w:val="001A31A9"/>
    <w:rsid w:val="001A4193"/>
    <w:rsid w:val="001A5190"/>
    <w:rsid w:val="001A6686"/>
    <w:rsid w:val="001A6AB5"/>
    <w:rsid w:val="001A7834"/>
    <w:rsid w:val="001B119F"/>
    <w:rsid w:val="001B1449"/>
    <w:rsid w:val="001B17D5"/>
    <w:rsid w:val="001B1EF2"/>
    <w:rsid w:val="001B2D75"/>
    <w:rsid w:val="001B4B04"/>
    <w:rsid w:val="001B5475"/>
    <w:rsid w:val="001B56EE"/>
    <w:rsid w:val="001B590B"/>
    <w:rsid w:val="001B5D4B"/>
    <w:rsid w:val="001C274F"/>
    <w:rsid w:val="001C38AB"/>
    <w:rsid w:val="001C3F55"/>
    <w:rsid w:val="001C5F72"/>
    <w:rsid w:val="001C6510"/>
    <w:rsid w:val="001C6663"/>
    <w:rsid w:val="001C7895"/>
    <w:rsid w:val="001C7CA1"/>
    <w:rsid w:val="001D0652"/>
    <w:rsid w:val="001D0C8C"/>
    <w:rsid w:val="001D26DF"/>
    <w:rsid w:val="001D2B5C"/>
    <w:rsid w:val="001D3A03"/>
    <w:rsid w:val="001D5739"/>
    <w:rsid w:val="001D6405"/>
    <w:rsid w:val="001D69EC"/>
    <w:rsid w:val="001D7C4D"/>
    <w:rsid w:val="001E1300"/>
    <w:rsid w:val="001E1518"/>
    <w:rsid w:val="001E1577"/>
    <w:rsid w:val="001E1BAF"/>
    <w:rsid w:val="001E1BC6"/>
    <w:rsid w:val="001E23FD"/>
    <w:rsid w:val="001E3322"/>
    <w:rsid w:val="001E3788"/>
    <w:rsid w:val="001E4C3A"/>
    <w:rsid w:val="001E6D4F"/>
    <w:rsid w:val="001F08BA"/>
    <w:rsid w:val="001F0B6B"/>
    <w:rsid w:val="001F2141"/>
    <w:rsid w:val="001F2219"/>
    <w:rsid w:val="001F39D2"/>
    <w:rsid w:val="001F61B2"/>
    <w:rsid w:val="0020258E"/>
    <w:rsid w:val="00202DA8"/>
    <w:rsid w:val="0020376D"/>
    <w:rsid w:val="00203C23"/>
    <w:rsid w:val="00211E0B"/>
    <w:rsid w:val="0021307D"/>
    <w:rsid w:val="002160D2"/>
    <w:rsid w:val="00216B34"/>
    <w:rsid w:val="00220AD4"/>
    <w:rsid w:val="00220E1B"/>
    <w:rsid w:val="0022225D"/>
    <w:rsid w:val="00224CAC"/>
    <w:rsid w:val="00224F53"/>
    <w:rsid w:val="002263E7"/>
    <w:rsid w:val="00227FAF"/>
    <w:rsid w:val="00230B41"/>
    <w:rsid w:val="00231A76"/>
    <w:rsid w:val="0023210C"/>
    <w:rsid w:val="002321EB"/>
    <w:rsid w:val="0023630F"/>
    <w:rsid w:val="00242748"/>
    <w:rsid w:val="00242CE3"/>
    <w:rsid w:val="0024314B"/>
    <w:rsid w:val="002437FA"/>
    <w:rsid w:val="00243A45"/>
    <w:rsid w:val="00243CF8"/>
    <w:rsid w:val="00245B93"/>
    <w:rsid w:val="00246BBE"/>
    <w:rsid w:val="0025124F"/>
    <w:rsid w:val="00252CDA"/>
    <w:rsid w:val="00254346"/>
    <w:rsid w:val="00254B72"/>
    <w:rsid w:val="00254FE5"/>
    <w:rsid w:val="00255D8C"/>
    <w:rsid w:val="00260A17"/>
    <w:rsid w:val="00261617"/>
    <w:rsid w:val="00261922"/>
    <w:rsid w:val="00261E2B"/>
    <w:rsid w:val="00263258"/>
    <w:rsid w:val="00263E98"/>
    <w:rsid w:val="00266AC5"/>
    <w:rsid w:val="002673CA"/>
    <w:rsid w:val="00267AB3"/>
    <w:rsid w:val="00267F5F"/>
    <w:rsid w:val="00270911"/>
    <w:rsid w:val="002711FB"/>
    <w:rsid w:val="0027421D"/>
    <w:rsid w:val="00277428"/>
    <w:rsid w:val="00277D56"/>
    <w:rsid w:val="00280E37"/>
    <w:rsid w:val="002818FB"/>
    <w:rsid w:val="00281B2C"/>
    <w:rsid w:val="00282C2C"/>
    <w:rsid w:val="00283156"/>
    <w:rsid w:val="00284298"/>
    <w:rsid w:val="00284D2D"/>
    <w:rsid w:val="00286B4D"/>
    <w:rsid w:val="002909FE"/>
    <w:rsid w:val="00291845"/>
    <w:rsid w:val="002923E3"/>
    <w:rsid w:val="00292925"/>
    <w:rsid w:val="00292EAD"/>
    <w:rsid w:val="002939EF"/>
    <w:rsid w:val="002951A2"/>
    <w:rsid w:val="0029693C"/>
    <w:rsid w:val="002A171B"/>
    <w:rsid w:val="002A3742"/>
    <w:rsid w:val="002A4EF2"/>
    <w:rsid w:val="002A5BDB"/>
    <w:rsid w:val="002B0802"/>
    <w:rsid w:val="002B0DC9"/>
    <w:rsid w:val="002B4282"/>
    <w:rsid w:val="002B6A60"/>
    <w:rsid w:val="002C120D"/>
    <w:rsid w:val="002C1C86"/>
    <w:rsid w:val="002C2F9E"/>
    <w:rsid w:val="002C47F1"/>
    <w:rsid w:val="002C4BB5"/>
    <w:rsid w:val="002C5FD9"/>
    <w:rsid w:val="002C67D8"/>
    <w:rsid w:val="002C747E"/>
    <w:rsid w:val="002D00B0"/>
    <w:rsid w:val="002D1058"/>
    <w:rsid w:val="002D1F4F"/>
    <w:rsid w:val="002D369F"/>
    <w:rsid w:val="002D40D3"/>
    <w:rsid w:val="002D759D"/>
    <w:rsid w:val="002E0D4D"/>
    <w:rsid w:val="002E107C"/>
    <w:rsid w:val="002E34C1"/>
    <w:rsid w:val="002E4C51"/>
    <w:rsid w:val="002E5163"/>
    <w:rsid w:val="002E550D"/>
    <w:rsid w:val="002F175C"/>
    <w:rsid w:val="002F245E"/>
    <w:rsid w:val="002F2998"/>
    <w:rsid w:val="002F2B27"/>
    <w:rsid w:val="002F2C0E"/>
    <w:rsid w:val="002F3872"/>
    <w:rsid w:val="002F54B1"/>
    <w:rsid w:val="002F6FB6"/>
    <w:rsid w:val="002F71B3"/>
    <w:rsid w:val="002F73C5"/>
    <w:rsid w:val="00300010"/>
    <w:rsid w:val="003002C1"/>
    <w:rsid w:val="00302B56"/>
    <w:rsid w:val="00303074"/>
    <w:rsid w:val="00303802"/>
    <w:rsid w:val="00304B1D"/>
    <w:rsid w:val="00306D67"/>
    <w:rsid w:val="00310F9F"/>
    <w:rsid w:val="003120FD"/>
    <w:rsid w:val="00314756"/>
    <w:rsid w:val="00316923"/>
    <w:rsid w:val="00322165"/>
    <w:rsid w:val="003229D8"/>
    <w:rsid w:val="00322CD2"/>
    <w:rsid w:val="00322EF4"/>
    <w:rsid w:val="003235D0"/>
    <w:rsid w:val="00327973"/>
    <w:rsid w:val="0033317F"/>
    <w:rsid w:val="00333678"/>
    <w:rsid w:val="00334025"/>
    <w:rsid w:val="003342C2"/>
    <w:rsid w:val="00334661"/>
    <w:rsid w:val="00334702"/>
    <w:rsid w:val="00335BB0"/>
    <w:rsid w:val="00336B78"/>
    <w:rsid w:val="003370AB"/>
    <w:rsid w:val="00340994"/>
    <w:rsid w:val="00340FE7"/>
    <w:rsid w:val="00342369"/>
    <w:rsid w:val="00344EF9"/>
    <w:rsid w:val="00346765"/>
    <w:rsid w:val="003516EF"/>
    <w:rsid w:val="00351B81"/>
    <w:rsid w:val="00352709"/>
    <w:rsid w:val="00353EEC"/>
    <w:rsid w:val="0035456B"/>
    <w:rsid w:val="00354D4D"/>
    <w:rsid w:val="00354D59"/>
    <w:rsid w:val="00354F91"/>
    <w:rsid w:val="00354FE9"/>
    <w:rsid w:val="003551AA"/>
    <w:rsid w:val="00356B0C"/>
    <w:rsid w:val="003614C3"/>
    <w:rsid w:val="00361D65"/>
    <w:rsid w:val="00365968"/>
    <w:rsid w:val="00367567"/>
    <w:rsid w:val="003679CD"/>
    <w:rsid w:val="003706BE"/>
    <w:rsid w:val="00370F60"/>
    <w:rsid w:val="00371178"/>
    <w:rsid w:val="00371856"/>
    <w:rsid w:val="003755D0"/>
    <w:rsid w:val="00375A07"/>
    <w:rsid w:val="00375EE0"/>
    <w:rsid w:val="00380261"/>
    <w:rsid w:val="0038336C"/>
    <w:rsid w:val="003870C5"/>
    <w:rsid w:val="00390B2F"/>
    <w:rsid w:val="00395ADF"/>
    <w:rsid w:val="00395C4E"/>
    <w:rsid w:val="003A0437"/>
    <w:rsid w:val="003A0A68"/>
    <w:rsid w:val="003A1AA6"/>
    <w:rsid w:val="003A2F43"/>
    <w:rsid w:val="003A5F79"/>
    <w:rsid w:val="003A6810"/>
    <w:rsid w:val="003A681A"/>
    <w:rsid w:val="003A6BF9"/>
    <w:rsid w:val="003A74EA"/>
    <w:rsid w:val="003B0775"/>
    <w:rsid w:val="003B0F4F"/>
    <w:rsid w:val="003B3418"/>
    <w:rsid w:val="003B391E"/>
    <w:rsid w:val="003B76C0"/>
    <w:rsid w:val="003C141F"/>
    <w:rsid w:val="003C2CC4"/>
    <w:rsid w:val="003C2CFE"/>
    <w:rsid w:val="003C4B19"/>
    <w:rsid w:val="003D09C9"/>
    <w:rsid w:val="003D4B23"/>
    <w:rsid w:val="003D6120"/>
    <w:rsid w:val="003D6427"/>
    <w:rsid w:val="003D6A26"/>
    <w:rsid w:val="003E20FB"/>
    <w:rsid w:val="003E22E3"/>
    <w:rsid w:val="003E26FA"/>
    <w:rsid w:val="003E32D3"/>
    <w:rsid w:val="003F0D10"/>
    <w:rsid w:val="003F0F87"/>
    <w:rsid w:val="003F134D"/>
    <w:rsid w:val="003F16EB"/>
    <w:rsid w:val="003F3ABB"/>
    <w:rsid w:val="003F458A"/>
    <w:rsid w:val="003F4A96"/>
    <w:rsid w:val="003F4C55"/>
    <w:rsid w:val="003F4DDB"/>
    <w:rsid w:val="003F5C06"/>
    <w:rsid w:val="0040080B"/>
    <w:rsid w:val="004013B7"/>
    <w:rsid w:val="00410C89"/>
    <w:rsid w:val="00410EEA"/>
    <w:rsid w:val="00412D0B"/>
    <w:rsid w:val="0041431D"/>
    <w:rsid w:val="00416E9D"/>
    <w:rsid w:val="00416F6A"/>
    <w:rsid w:val="004179E7"/>
    <w:rsid w:val="0042323A"/>
    <w:rsid w:val="00423F7C"/>
    <w:rsid w:val="004240C5"/>
    <w:rsid w:val="0042420E"/>
    <w:rsid w:val="0042454F"/>
    <w:rsid w:val="00425A54"/>
    <w:rsid w:val="004268FD"/>
    <w:rsid w:val="00426B9B"/>
    <w:rsid w:val="00427AA7"/>
    <w:rsid w:val="004325CB"/>
    <w:rsid w:val="004351F8"/>
    <w:rsid w:val="004367B2"/>
    <w:rsid w:val="00436B33"/>
    <w:rsid w:val="0044063A"/>
    <w:rsid w:val="004406C1"/>
    <w:rsid w:val="00442A83"/>
    <w:rsid w:val="00446554"/>
    <w:rsid w:val="00446C09"/>
    <w:rsid w:val="00446E31"/>
    <w:rsid w:val="00450B53"/>
    <w:rsid w:val="00450C47"/>
    <w:rsid w:val="0045328B"/>
    <w:rsid w:val="00454052"/>
    <w:rsid w:val="0045495B"/>
    <w:rsid w:val="0045663C"/>
    <w:rsid w:val="004651B4"/>
    <w:rsid w:val="004653EC"/>
    <w:rsid w:val="00473F58"/>
    <w:rsid w:val="00474816"/>
    <w:rsid w:val="00480FA0"/>
    <w:rsid w:val="004810D4"/>
    <w:rsid w:val="004812DD"/>
    <w:rsid w:val="00481385"/>
    <w:rsid w:val="0048238C"/>
    <w:rsid w:val="004826BF"/>
    <w:rsid w:val="004839F0"/>
    <w:rsid w:val="00483C5A"/>
    <w:rsid w:val="00486E89"/>
    <w:rsid w:val="00487398"/>
    <w:rsid w:val="00487488"/>
    <w:rsid w:val="00487A95"/>
    <w:rsid w:val="00487C02"/>
    <w:rsid w:val="0049262A"/>
    <w:rsid w:val="00493933"/>
    <w:rsid w:val="00493D51"/>
    <w:rsid w:val="0049564C"/>
    <w:rsid w:val="00496AA7"/>
    <w:rsid w:val="0049760F"/>
    <w:rsid w:val="004976A0"/>
    <w:rsid w:val="004A0A76"/>
    <w:rsid w:val="004A1250"/>
    <w:rsid w:val="004A3FCB"/>
    <w:rsid w:val="004B390C"/>
    <w:rsid w:val="004C13AD"/>
    <w:rsid w:val="004D0B04"/>
    <w:rsid w:val="004D6362"/>
    <w:rsid w:val="004D70E7"/>
    <w:rsid w:val="004D78DE"/>
    <w:rsid w:val="004E01B1"/>
    <w:rsid w:val="004E1DD9"/>
    <w:rsid w:val="004E425F"/>
    <w:rsid w:val="004E450C"/>
    <w:rsid w:val="004E72BB"/>
    <w:rsid w:val="004E781E"/>
    <w:rsid w:val="004F193A"/>
    <w:rsid w:val="004F46F2"/>
    <w:rsid w:val="004F4903"/>
    <w:rsid w:val="004F5493"/>
    <w:rsid w:val="004F71F9"/>
    <w:rsid w:val="004F760E"/>
    <w:rsid w:val="00501F26"/>
    <w:rsid w:val="00502E82"/>
    <w:rsid w:val="00502F5B"/>
    <w:rsid w:val="00504205"/>
    <w:rsid w:val="005057FB"/>
    <w:rsid w:val="00505BAB"/>
    <w:rsid w:val="005073D8"/>
    <w:rsid w:val="00507E39"/>
    <w:rsid w:val="00507E3F"/>
    <w:rsid w:val="0051214C"/>
    <w:rsid w:val="00514201"/>
    <w:rsid w:val="00517E88"/>
    <w:rsid w:val="0052136D"/>
    <w:rsid w:val="00521B1A"/>
    <w:rsid w:val="00521D7A"/>
    <w:rsid w:val="00523CA8"/>
    <w:rsid w:val="00525AAE"/>
    <w:rsid w:val="00526F6C"/>
    <w:rsid w:val="0052775E"/>
    <w:rsid w:val="00530697"/>
    <w:rsid w:val="00532AE9"/>
    <w:rsid w:val="00533AEF"/>
    <w:rsid w:val="00534731"/>
    <w:rsid w:val="00534792"/>
    <w:rsid w:val="00534E7E"/>
    <w:rsid w:val="00535F12"/>
    <w:rsid w:val="005361B1"/>
    <w:rsid w:val="00537279"/>
    <w:rsid w:val="00537C25"/>
    <w:rsid w:val="0054026F"/>
    <w:rsid w:val="005404E4"/>
    <w:rsid w:val="00541DD3"/>
    <w:rsid w:val="005420F2"/>
    <w:rsid w:val="00543639"/>
    <w:rsid w:val="005444E2"/>
    <w:rsid w:val="00544965"/>
    <w:rsid w:val="00544DD7"/>
    <w:rsid w:val="005464B2"/>
    <w:rsid w:val="00554B30"/>
    <w:rsid w:val="00555DE7"/>
    <w:rsid w:val="005562E5"/>
    <w:rsid w:val="00556E8B"/>
    <w:rsid w:val="00561899"/>
    <w:rsid w:val="005628B6"/>
    <w:rsid w:val="00562BA6"/>
    <w:rsid w:val="00562C6B"/>
    <w:rsid w:val="00563BBF"/>
    <w:rsid w:val="0056744E"/>
    <w:rsid w:val="0056795A"/>
    <w:rsid w:val="00571BB5"/>
    <w:rsid w:val="00573645"/>
    <w:rsid w:val="005736CA"/>
    <w:rsid w:val="00573703"/>
    <w:rsid w:val="00574293"/>
    <w:rsid w:val="00574A82"/>
    <w:rsid w:val="00574C83"/>
    <w:rsid w:val="005750DF"/>
    <w:rsid w:val="00576B10"/>
    <w:rsid w:val="00576CD3"/>
    <w:rsid w:val="005802A0"/>
    <w:rsid w:val="00582E10"/>
    <w:rsid w:val="005830C0"/>
    <w:rsid w:val="005832F5"/>
    <w:rsid w:val="005848B3"/>
    <w:rsid w:val="00586EFC"/>
    <w:rsid w:val="005871C8"/>
    <w:rsid w:val="0058722C"/>
    <w:rsid w:val="005874FC"/>
    <w:rsid w:val="0058794D"/>
    <w:rsid w:val="00592849"/>
    <w:rsid w:val="00593E8B"/>
    <w:rsid w:val="005942E2"/>
    <w:rsid w:val="00594AF5"/>
    <w:rsid w:val="00595F52"/>
    <w:rsid w:val="005966FA"/>
    <w:rsid w:val="005A0D79"/>
    <w:rsid w:val="005A24D0"/>
    <w:rsid w:val="005A42EE"/>
    <w:rsid w:val="005A4940"/>
    <w:rsid w:val="005A623D"/>
    <w:rsid w:val="005A6A48"/>
    <w:rsid w:val="005B07DF"/>
    <w:rsid w:val="005B2DFB"/>
    <w:rsid w:val="005B3DB3"/>
    <w:rsid w:val="005B6525"/>
    <w:rsid w:val="005B674B"/>
    <w:rsid w:val="005B68C3"/>
    <w:rsid w:val="005B6DD8"/>
    <w:rsid w:val="005C037A"/>
    <w:rsid w:val="005C5D5D"/>
    <w:rsid w:val="005C6230"/>
    <w:rsid w:val="005C7CB6"/>
    <w:rsid w:val="005D01C5"/>
    <w:rsid w:val="005D0876"/>
    <w:rsid w:val="005D2590"/>
    <w:rsid w:val="005D47B9"/>
    <w:rsid w:val="005D7C4F"/>
    <w:rsid w:val="005E1563"/>
    <w:rsid w:val="005E16A7"/>
    <w:rsid w:val="005E1859"/>
    <w:rsid w:val="005E1DCC"/>
    <w:rsid w:val="005E2CB3"/>
    <w:rsid w:val="005E2D2B"/>
    <w:rsid w:val="005E5B88"/>
    <w:rsid w:val="005E7285"/>
    <w:rsid w:val="005F0FE0"/>
    <w:rsid w:val="005F1E3D"/>
    <w:rsid w:val="005F2DDF"/>
    <w:rsid w:val="005F2F29"/>
    <w:rsid w:val="005F3CB0"/>
    <w:rsid w:val="005F5390"/>
    <w:rsid w:val="005F5797"/>
    <w:rsid w:val="005F6878"/>
    <w:rsid w:val="005F7717"/>
    <w:rsid w:val="005F7968"/>
    <w:rsid w:val="005F7B75"/>
    <w:rsid w:val="006001EE"/>
    <w:rsid w:val="006004B0"/>
    <w:rsid w:val="006019AB"/>
    <w:rsid w:val="006034FE"/>
    <w:rsid w:val="00605042"/>
    <w:rsid w:val="00605051"/>
    <w:rsid w:val="00605D18"/>
    <w:rsid w:val="00605F98"/>
    <w:rsid w:val="00606B5C"/>
    <w:rsid w:val="00611FC4"/>
    <w:rsid w:val="00612491"/>
    <w:rsid w:val="0061368B"/>
    <w:rsid w:val="006176FB"/>
    <w:rsid w:val="00621B4A"/>
    <w:rsid w:val="006221C7"/>
    <w:rsid w:val="0062307D"/>
    <w:rsid w:val="00623516"/>
    <w:rsid w:val="00623724"/>
    <w:rsid w:val="00624650"/>
    <w:rsid w:val="006260ED"/>
    <w:rsid w:val="00626C9F"/>
    <w:rsid w:val="00630C59"/>
    <w:rsid w:val="006326B3"/>
    <w:rsid w:val="006346B5"/>
    <w:rsid w:val="0063570B"/>
    <w:rsid w:val="00635799"/>
    <w:rsid w:val="00636722"/>
    <w:rsid w:val="0063776F"/>
    <w:rsid w:val="006379DF"/>
    <w:rsid w:val="00640B26"/>
    <w:rsid w:val="006413D4"/>
    <w:rsid w:val="00641548"/>
    <w:rsid w:val="00641950"/>
    <w:rsid w:val="00642F2F"/>
    <w:rsid w:val="006433B4"/>
    <w:rsid w:val="00650E4E"/>
    <w:rsid w:val="00651797"/>
    <w:rsid w:val="00652D0A"/>
    <w:rsid w:val="006574C4"/>
    <w:rsid w:val="00662661"/>
    <w:rsid w:val="00662BB6"/>
    <w:rsid w:val="0066550E"/>
    <w:rsid w:val="00667391"/>
    <w:rsid w:val="006711B5"/>
    <w:rsid w:val="0067460C"/>
    <w:rsid w:val="0068088D"/>
    <w:rsid w:val="0068162E"/>
    <w:rsid w:val="0068327A"/>
    <w:rsid w:val="00684C21"/>
    <w:rsid w:val="0069189C"/>
    <w:rsid w:val="0069410D"/>
    <w:rsid w:val="00696DAC"/>
    <w:rsid w:val="00696E0A"/>
    <w:rsid w:val="00697B24"/>
    <w:rsid w:val="006A028E"/>
    <w:rsid w:val="006A1BB3"/>
    <w:rsid w:val="006A20A5"/>
    <w:rsid w:val="006A4E9F"/>
    <w:rsid w:val="006A68F7"/>
    <w:rsid w:val="006A758E"/>
    <w:rsid w:val="006B0A8F"/>
    <w:rsid w:val="006B1AB1"/>
    <w:rsid w:val="006B2105"/>
    <w:rsid w:val="006B2CB2"/>
    <w:rsid w:val="006B3153"/>
    <w:rsid w:val="006B3947"/>
    <w:rsid w:val="006B4AE0"/>
    <w:rsid w:val="006B60D5"/>
    <w:rsid w:val="006C2980"/>
    <w:rsid w:val="006D04DC"/>
    <w:rsid w:val="006D1CC2"/>
    <w:rsid w:val="006D1E0B"/>
    <w:rsid w:val="006D37AF"/>
    <w:rsid w:val="006D51D0"/>
    <w:rsid w:val="006D7E4D"/>
    <w:rsid w:val="006E13C0"/>
    <w:rsid w:val="006E43D9"/>
    <w:rsid w:val="006E564B"/>
    <w:rsid w:val="006E6434"/>
    <w:rsid w:val="006E7191"/>
    <w:rsid w:val="006E7A76"/>
    <w:rsid w:val="006E7BF0"/>
    <w:rsid w:val="006E7FF0"/>
    <w:rsid w:val="006F230F"/>
    <w:rsid w:val="006F2596"/>
    <w:rsid w:val="006F683D"/>
    <w:rsid w:val="006F6CF1"/>
    <w:rsid w:val="006F7709"/>
    <w:rsid w:val="00700153"/>
    <w:rsid w:val="0070083A"/>
    <w:rsid w:val="00703577"/>
    <w:rsid w:val="0070397E"/>
    <w:rsid w:val="00705D78"/>
    <w:rsid w:val="00705E36"/>
    <w:rsid w:val="0070734A"/>
    <w:rsid w:val="007074F2"/>
    <w:rsid w:val="0071150E"/>
    <w:rsid w:val="007136B6"/>
    <w:rsid w:val="007175AB"/>
    <w:rsid w:val="007179CA"/>
    <w:rsid w:val="007202D6"/>
    <w:rsid w:val="00720D2F"/>
    <w:rsid w:val="007210D2"/>
    <w:rsid w:val="00723CE5"/>
    <w:rsid w:val="0072632A"/>
    <w:rsid w:val="00727DA7"/>
    <w:rsid w:val="00732614"/>
    <w:rsid w:val="007327D5"/>
    <w:rsid w:val="00736C1B"/>
    <w:rsid w:val="0074021D"/>
    <w:rsid w:val="00740CAA"/>
    <w:rsid w:val="007412A0"/>
    <w:rsid w:val="00744D07"/>
    <w:rsid w:val="00744D33"/>
    <w:rsid w:val="00746A41"/>
    <w:rsid w:val="007478C4"/>
    <w:rsid w:val="00747EED"/>
    <w:rsid w:val="00750943"/>
    <w:rsid w:val="00750E09"/>
    <w:rsid w:val="00751811"/>
    <w:rsid w:val="007528EC"/>
    <w:rsid w:val="00753AA8"/>
    <w:rsid w:val="00753CE4"/>
    <w:rsid w:val="00754B27"/>
    <w:rsid w:val="00755188"/>
    <w:rsid w:val="007564CC"/>
    <w:rsid w:val="007569D9"/>
    <w:rsid w:val="007629C8"/>
    <w:rsid w:val="0076483F"/>
    <w:rsid w:val="007664FB"/>
    <w:rsid w:val="007672D3"/>
    <w:rsid w:val="0076766E"/>
    <w:rsid w:val="0077000D"/>
    <w:rsid w:val="00771CDE"/>
    <w:rsid w:val="00772739"/>
    <w:rsid w:val="007728F5"/>
    <w:rsid w:val="00775B5D"/>
    <w:rsid w:val="00776390"/>
    <w:rsid w:val="00781BDA"/>
    <w:rsid w:val="00782297"/>
    <w:rsid w:val="007864C1"/>
    <w:rsid w:val="007870C5"/>
    <w:rsid w:val="00787579"/>
    <w:rsid w:val="007875B7"/>
    <w:rsid w:val="00790D1B"/>
    <w:rsid w:val="00790F1D"/>
    <w:rsid w:val="00791932"/>
    <w:rsid w:val="00793824"/>
    <w:rsid w:val="00795C90"/>
    <w:rsid w:val="007968DB"/>
    <w:rsid w:val="00796BAF"/>
    <w:rsid w:val="00797A34"/>
    <w:rsid w:val="007A09BC"/>
    <w:rsid w:val="007A09F5"/>
    <w:rsid w:val="007A10D3"/>
    <w:rsid w:val="007A38E9"/>
    <w:rsid w:val="007A4177"/>
    <w:rsid w:val="007A535E"/>
    <w:rsid w:val="007B185A"/>
    <w:rsid w:val="007B41EB"/>
    <w:rsid w:val="007B4662"/>
    <w:rsid w:val="007B4E23"/>
    <w:rsid w:val="007B6B17"/>
    <w:rsid w:val="007B6BA5"/>
    <w:rsid w:val="007B7182"/>
    <w:rsid w:val="007B7633"/>
    <w:rsid w:val="007C0927"/>
    <w:rsid w:val="007C11D7"/>
    <w:rsid w:val="007C1679"/>
    <w:rsid w:val="007C1B55"/>
    <w:rsid w:val="007C3390"/>
    <w:rsid w:val="007C4F4B"/>
    <w:rsid w:val="007C6025"/>
    <w:rsid w:val="007C784F"/>
    <w:rsid w:val="007C7FD3"/>
    <w:rsid w:val="007D1027"/>
    <w:rsid w:val="007D32BF"/>
    <w:rsid w:val="007D3BB0"/>
    <w:rsid w:val="007D59D5"/>
    <w:rsid w:val="007D64A9"/>
    <w:rsid w:val="007D74B4"/>
    <w:rsid w:val="007E0B2D"/>
    <w:rsid w:val="007E1112"/>
    <w:rsid w:val="007E1246"/>
    <w:rsid w:val="007E2719"/>
    <w:rsid w:val="007E3154"/>
    <w:rsid w:val="007E3B45"/>
    <w:rsid w:val="007E46B8"/>
    <w:rsid w:val="007E4D0C"/>
    <w:rsid w:val="007E5C60"/>
    <w:rsid w:val="007E6979"/>
    <w:rsid w:val="007F03F9"/>
    <w:rsid w:val="007F0E2F"/>
    <w:rsid w:val="007F27D6"/>
    <w:rsid w:val="007F3F3F"/>
    <w:rsid w:val="007F3FB4"/>
    <w:rsid w:val="007F422F"/>
    <w:rsid w:val="007F6611"/>
    <w:rsid w:val="007F6A9F"/>
    <w:rsid w:val="007F75A4"/>
    <w:rsid w:val="00800204"/>
    <w:rsid w:val="00800AB3"/>
    <w:rsid w:val="00800E2E"/>
    <w:rsid w:val="00802B25"/>
    <w:rsid w:val="00803767"/>
    <w:rsid w:val="008042AA"/>
    <w:rsid w:val="0080458E"/>
    <w:rsid w:val="00806858"/>
    <w:rsid w:val="008105B8"/>
    <w:rsid w:val="00813EDB"/>
    <w:rsid w:val="008147FA"/>
    <w:rsid w:val="00815D95"/>
    <w:rsid w:val="00820F12"/>
    <w:rsid w:val="0082160A"/>
    <w:rsid w:val="008242D7"/>
    <w:rsid w:val="008257B1"/>
    <w:rsid w:val="00825D01"/>
    <w:rsid w:val="00826E68"/>
    <w:rsid w:val="008273FE"/>
    <w:rsid w:val="008300CF"/>
    <w:rsid w:val="00830964"/>
    <w:rsid w:val="00832226"/>
    <w:rsid w:val="0083278D"/>
    <w:rsid w:val="00833A50"/>
    <w:rsid w:val="00837347"/>
    <w:rsid w:val="008378CD"/>
    <w:rsid w:val="00842048"/>
    <w:rsid w:val="00843767"/>
    <w:rsid w:val="00843A20"/>
    <w:rsid w:val="0084549A"/>
    <w:rsid w:val="008466DF"/>
    <w:rsid w:val="0084696A"/>
    <w:rsid w:val="008508F5"/>
    <w:rsid w:val="00851046"/>
    <w:rsid w:val="00851476"/>
    <w:rsid w:val="0085752E"/>
    <w:rsid w:val="00857581"/>
    <w:rsid w:val="00857BEC"/>
    <w:rsid w:val="00860460"/>
    <w:rsid w:val="008604CD"/>
    <w:rsid w:val="00862DCA"/>
    <w:rsid w:val="00862FDB"/>
    <w:rsid w:val="0086427E"/>
    <w:rsid w:val="008655E3"/>
    <w:rsid w:val="00865D70"/>
    <w:rsid w:val="00866EE2"/>
    <w:rsid w:val="00867035"/>
    <w:rsid w:val="008679D9"/>
    <w:rsid w:val="0087120F"/>
    <w:rsid w:val="008730A8"/>
    <w:rsid w:val="00874559"/>
    <w:rsid w:val="0087719E"/>
    <w:rsid w:val="00883708"/>
    <w:rsid w:val="00885816"/>
    <w:rsid w:val="00886553"/>
    <w:rsid w:val="00886752"/>
    <w:rsid w:val="00887347"/>
    <w:rsid w:val="00887BC2"/>
    <w:rsid w:val="00892CE1"/>
    <w:rsid w:val="008969BB"/>
    <w:rsid w:val="008973AF"/>
    <w:rsid w:val="008979B1"/>
    <w:rsid w:val="008A04C4"/>
    <w:rsid w:val="008A1DB2"/>
    <w:rsid w:val="008A261F"/>
    <w:rsid w:val="008A3FEC"/>
    <w:rsid w:val="008A5354"/>
    <w:rsid w:val="008A6920"/>
    <w:rsid w:val="008A6B25"/>
    <w:rsid w:val="008A6C4F"/>
    <w:rsid w:val="008B04A1"/>
    <w:rsid w:val="008B0E98"/>
    <w:rsid w:val="008B2335"/>
    <w:rsid w:val="008B242C"/>
    <w:rsid w:val="008B3D3E"/>
    <w:rsid w:val="008B543A"/>
    <w:rsid w:val="008B668D"/>
    <w:rsid w:val="008B768B"/>
    <w:rsid w:val="008C2FE3"/>
    <w:rsid w:val="008C429B"/>
    <w:rsid w:val="008C6E72"/>
    <w:rsid w:val="008D2D3A"/>
    <w:rsid w:val="008D3989"/>
    <w:rsid w:val="008D4D7C"/>
    <w:rsid w:val="008E024A"/>
    <w:rsid w:val="008E0678"/>
    <w:rsid w:val="008E0924"/>
    <w:rsid w:val="008E160A"/>
    <w:rsid w:val="008E227A"/>
    <w:rsid w:val="008E39D2"/>
    <w:rsid w:val="008E737E"/>
    <w:rsid w:val="008E794D"/>
    <w:rsid w:val="008E7CF1"/>
    <w:rsid w:val="008F4537"/>
    <w:rsid w:val="008F734C"/>
    <w:rsid w:val="00901DD6"/>
    <w:rsid w:val="00902A80"/>
    <w:rsid w:val="0090328C"/>
    <w:rsid w:val="00904D5E"/>
    <w:rsid w:val="00905D99"/>
    <w:rsid w:val="00905E35"/>
    <w:rsid w:val="00907A68"/>
    <w:rsid w:val="00910F40"/>
    <w:rsid w:val="00911453"/>
    <w:rsid w:val="00912C08"/>
    <w:rsid w:val="009143BE"/>
    <w:rsid w:val="0092062E"/>
    <w:rsid w:val="009223CA"/>
    <w:rsid w:val="009236C6"/>
    <w:rsid w:val="00925F0F"/>
    <w:rsid w:val="0092632D"/>
    <w:rsid w:val="00932A13"/>
    <w:rsid w:val="00932B4A"/>
    <w:rsid w:val="00933FDD"/>
    <w:rsid w:val="00934005"/>
    <w:rsid w:val="00934361"/>
    <w:rsid w:val="009350CB"/>
    <w:rsid w:val="0093609A"/>
    <w:rsid w:val="00940F93"/>
    <w:rsid w:val="00945616"/>
    <w:rsid w:val="009464AF"/>
    <w:rsid w:val="0095131E"/>
    <w:rsid w:val="00952C7C"/>
    <w:rsid w:val="00952F2D"/>
    <w:rsid w:val="0095347F"/>
    <w:rsid w:val="00953A51"/>
    <w:rsid w:val="0096169C"/>
    <w:rsid w:val="0096260E"/>
    <w:rsid w:val="00962B65"/>
    <w:rsid w:val="00964B81"/>
    <w:rsid w:val="00965369"/>
    <w:rsid w:val="00966ACC"/>
    <w:rsid w:val="00966E4B"/>
    <w:rsid w:val="00974113"/>
    <w:rsid w:val="009744A4"/>
    <w:rsid w:val="00975168"/>
    <w:rsid w:val="009759D5"/>
    <w:rsid w:val="009760F3"/>
    <w:rsid w:val="00976768"/>
    <w:rsid w:val="00976C08"/>
    <w:rsid w:val="009803E4"/>
    <w:rsid w:val="00980ACA"/>
    <w:rsid w:val="00982110"/>
    <w:rsid w:val="00982FDB"/>
    <w:rsid w:val="00983708"/>
    <w:rsid w:val="009869FA"/>
    <w:rsid w:val="009879FE"/>
    <w:rsid w:val="00987FEC"/>
    <w:rsid w:val="009909F5"/>
    <w:rsid w:val="009920B9"/>
    <w:rsid w:val="00992533"/>
    <w:rsid w:val="00993071"/>
    <w:rsid w:val="009967A7"/>
    <w:rsid w:val="009A0488"/>
    <w:rsid w:val="009A0BDC"/>
    <w:rsid w:val="009A0E8D"/>
    <w:rsid w:val="009A155A"/>
    <w:rsid w:val="009A31A5"/>
    <w:rsid w:val="009A3D9B"/>
    <w:rsid w:val="009A7700"/>
    <w:rsid w:val="009A77B7"/>
    <w:rsid w:val="009B048C"/>
    <w:rsid w:val="009B1CDF"/>
    <w:rsid w:val="009B2503"/>
    <w:rsid w:val="009B26E7"/>
    <w:rsid w:val="009B35DE"/>
    <w:rsid w:val="009B64EA"/>
    <w:rsid w:val="009B67D2"/>
    <w:rsid w:val="009B7294"/>
    <w:rsid w:val="009C080D"/>
    <w:rsid w:val="009C1B8A"/>
    <w:rsid w:val="009C1BE7"/>
    <w:rsid w:val="009C1CE9"/>
    <w:rsid w:val="009C336A"/>
    <w:rsid w:val="009C5418"/>
    <w:rsid w:val="009D0735"/>
    <w:rsid w:val="009D155A"/>
    <w:rsid w:val="009D1943"/>
    <w:rsid w:val="009D38BD"/>
    <w:rsid w:val="009D61B5"/>
    <w:rsid w:val="009D6D97"/>
    <w:rsid w:val="009D7AA2"/>
    <w:rsid w:val="009E0018"/>
    <w:rsid w:val="009E201D"/>
    <w:rsid w:val="009E2041"/>
    <w:rsid w:val="009E409A"/>
    <w:rsid w:val="009E51A4"/>
    <w:rsid w:val="009F38B4"/>
    <w:rsid w:val="009F6414"/>
    <w:rsid w:val="00A00A3F"/>
    <w:rsid w:val="00A01404"/>
    <w:rsid w:val="00A01489"/>
    <w:rsid w:val="00A02BA5"/>
    <w:rsid w:val="00A064C3"/>
    <w:rsid w:val="00A078A0"/>
    <w:rsid w:val="00A102F2"/>
    <w:rsid w:val="00A1083F"/>
    <w:rsid w:val="00A1533E"/>
    <w:rsid w:val="00A154D9"/>
    <w:rsid w:val="00A16C9F"/>
    <w:rsid w:val="00A176E4"/>
    <w:rsid w:val="00A17961"/>
    <w:rsid w:val="00A2017A"/>
    <w:rsid w:val="00A20E8E"/>
    <w:rsid w:val="00A21744"/>
    <w:rsid w:val="00A217EA"/>
    <w:rsid w:val="00A22489"/>
    <w:rsid w:val="00A227EC"/>
    <w:rsid w:val="00A2356A"/>
    <w:rsid w:val="00A25C9F"/>
    <w:rsid w:val="00A26872"/>
    <w:rsid w:val="00A27669"/>
    <w:rsid w:val="00A30806"/>
    <w:rsid w:val="00A3183F"/>
    <w:rsid w:val="00A32B58"/>
    <w:rsid w:val="00A32DB1"/>
    <w:rsid w:val="00A331C9"/>
    <w:rsid w:val="00A338F1"/>
    <w:rsid w:val="00A35A88"/>
    <w:rsid w:val="00A35BEC"/>
    <w:rsid w:val="00A411C8"/>
    <w:rsid w:val="00A41207"/>
    <w:rsid w:val="00A42DBE"/>
    <w:rsid w:val="00A44101"/>
    <w:rsid w:val="00A44615"/>
    <w:rsid w:val="00A454CA"/>
    <w:rsid w:val="00A45AAD"/>
    <w:rsid w:val="00A4660B"/>
    <w:rsid w:val="00A50044"/>
    <w:rsid w:val="00A50944"/>
    <w:rsid w:val="00A51779"/>
    <w:rsid w:val="00A5214C"/>
    <w:rsid w:val="00A530BE"/>
    <w:rsid w:val="00A5424B"/>
    <w:rsid w:val="00A557FC"/>
    <w:rsid w:val="00A5649C"/>
    <w:rsid w:val="00A574A7"/>
    <w:rsid w:val="00A5796A"/>
    <w:rsid w:val="00A60307"/>
    <w:rsid w:val="00A633D3"/>
    <w:rsid w:val="00A651AA"/>
    <w:rsid w:val="00A66233"/>
    <w:rsid w:val="00A66952"/>
    <w:rsid w:val="00A709A6"/>
    <w:rsid w:val="00A70BA4"/>
    <w:rsid w:val="00A70E21"/>
    <w:rsid w:val="00A70E80"/>
    <w:rsid w:val="00A71AA5"/>
    <w:rsid w:val="00A72DDB"/>
    <w:rsid w:val="00A72F22"/>
    <w:rsid w:val="00A7360F"/>
    <w:rsid w:val="00A748A6"/>
    <w:rsid w:val="00A75312"/>
    <w:rsid w:val="00A769F4"/>
    <w:rsid w:val="00A771E3"/>
    <w:rsid w:val="00A776B4"/>
    <w:rsid w:val="00A80611"/>
    <w:rsid w:val="00A812C7"/>
    <w:rsid w:val="00A81BCD"/>
    <w:rsid w:val="00A82767"/>
    <w:rsid w:val="00A82DD0"/>
    <w:rsid w:val="00A83FB0"/>
    <w:rsid w:val="00A84AE9"/>
    <w:rsid w:val="00A85545"/>
    <w:rsid w:val="00A864A4"/>
    <w:rsid w:val="00A86504"/>
    <w:rsid w:val="00A91D4B"/>
    <w:rsid w:val="00A91E1A"/>
    <w:rsid w:val="00A93B7A"/>
    <w:rsid w:val="00A93E65"/>
    <w:rsid w:val="00A94361"/>
    <w:rsid w:val="00A956BA"/>
    <w:rsid w:val="00A96469"/>
    <w:rsid w:val="00AA0900"/>
    <w:rsid w:val="00AA194C"/>
    <w:rsid w:val="00AA1C50"/>
    <w:rsid w:val="00AA22FA"/>
    <w:rsid w:val="00AA293C"/>
    <w:rsid w:val="00AA383A"/>
    <w:rsid w:val="00AA478D"/>
    <w:rsid w:val="00AA7E8F"/>
    <w:rsid w:val="00AA7F00"/>
    <w:rsid w:val="00AB18F8"/>
    <w:rsid w:val="00AB27DE"/>
    <w:rsid w:val="00AB6EDF"/>
    <w:rsid w:val="00AB768D"/>
    <w:rsid w:val="00AC06CD"/>
    <w:rsid w:val="00AC11A5"/>
    <w:rsid w:val="00AC1DF2"/>
    <w:rsid w:val="00AC4B2A"/>
    <w:rsid w:val="00AC5B49"/>
    <w:rsid w:val="00AD3E1E"/>
    <w:rsid w:val="00AD5AD1"/>
    <w:rsid w:val="00AD657D"/>
    <w:rsid w:val="00AD7255"/>
    <w:rsid w:val="00AD7E77"/>
    <w:rsid w:val="00AE0CC0"/>
    <w:rsid w:val="00AE15FD"/>
    <w:rsid w:val="00AE5EA2"/>
    <w:rsid w:val="00AE66CC"/>
    <w:rsid w:val="00AE6991"/>
    <w:rsid w:val="00AE762A"/>
    <w:rsid w:val="00AE77D4"/>
    <w:rsid w:val="00AF132F"/>
    <w:rsid w:val="00AF139D"/>
    <w:rsid w:val="00AF27B5"/>
    <w:rsid w:val="00AF2E96"/>
    <w:rsid w:val="00AF3714"/>
    <w:rsid w:val="00AF3AAB"/>
    <w:rsid w:val="00AF3BFF"/>
    <w:rsid w:val="00AF467C"/>
    <w:rsid w:val="00AF488D"/>
    <w:rsid w:val="00AF555A"/>
    <w:rsid w:val="00B077AD"/>
    <w:rsid w:val="00B113CA"/>
    <w:rsid w:val="00B12533"/>
    <w:rsid w:val="00B12E2D"/>
    <w:rsid w:val="00B13E9B"/>
    <w:rsid w:val="00B16610"/>
    <w:rsid w:val="00B226CC"/>
    <w:rsid w:val="00B23D19"/>
    <w:rsid w:val="00B23E6F"/>
    <w:rsid w:val="00B24461"/>
    <w:rsid w:val="00B24964"/>
    <w:rsid w:val="00B25A71"/>
    <w:rsid w:val="00B26F19"/>
    <w:rsid w:val="00B274DD"/>
    <w:rsid w:val="00B27576"/>
    <w:rsid w:val="00B30179"/>
    <w:rsid w:val="00B306D8"/>
    <w:rsid w:val="00B30EFE"/>
    <w:rsid w:val="00B31A17"/>
    <w:rsid w:val="00B320CE"/>
    <w:rsid w:val="00B339A7"/>
    <w:rsid w:val="00B35F00"/>
    <w:rsid w:val="00B361FC"/>
    <w:rsid w:val="00B37CC8"/>
    <w:rsid w:val="00B37ECA"/>
    <w:rsid w:val="00B4001B"/>
    <w:rsid w:val="00B4096B"/>
    <w:rsid w:val="00B4231A"/>
    <w:rsid w:val="00B46089"/>
    <w:rsid w:val="00B46657"/>
    <w:rsid w:val="00B511A2"/>
    <w:rsid w:val="00B520D8"/>
    <w:rsid w:val="00B53255"/>
    <w:rsid w:val="00B53265"/>
    <w:rsid w:val="00B53E9D"/>
    <w:rsid w:val="00B56E4A"/>
    <w:rsid w:val="00B56E9C"/>
    <w:rsid w:val="00B60931"/>
    <w:rsid w:val="00B60A7B"/>
    <w:rsid w:val="00B62784"/>
    <w:rsid w:val="00B63A00"/>
    <w:rsid w:val="00B648AA"/>
    <w:rsid w:val="00B64B1F"/>
    <w:rsid w:val="00B64BEC"/>
    <w:rsid w:val="00B6553F"/>
    <w:rsid w:val="00B66E5E"/>
    <w:rsid w:val="00B67108"/>
    <w:rsid w:val="00B67DCD"/>
    <w:rsid w:val="00B70A4A"/>
    <w:rsid w:val="00B73A0E"/>
    <w:rsid w:val="00B74CF7"/>
    <w:rsid w:val="00B75590"/>
    <w:rsid w:val="00B77D05"/>
    <w:rsid w:val="00B81206"/>
    <w:rsid w:val="00B81E12"/>
    <w:rsid w:val="00B82DE1"/>
    <w:rsid w:val="00B832DD"/>
    <w:rsid w:val="00B8397A"/>
    <w:rsid w:val="00B84801"/>
    <w:rsid w:val="00B86399"/>
    <w:rsid w:val="00B86477"/>
    <w:rsid w:val="00B869CF"/>
    <w:rsid w:val="00B86D6B"/>
    <w:rsid w:val="00B9067B"/>
    <w:rsid w:val="00B91BF4"/>
    <w:rsid w:val="00B94535"/>
    <w:rsid w:val="00B94C24"/>
    <w:rsid w:val="00BA07CE"/>
    <w:rsid w:val="00BA1D37"/>
    <w:rsid w:val="00BA37B2"/>
    <w:rsid w:val="00BA4DB5"/>
    <w:rsid w:val="00BA65F1"/>
    <w:rsid w:val="00BA7B8E"/>
    <w:rsid w:val="00BB08E6"/>
    <w:rsid w:val="00BB3AD9"/>
    <w:rsid w:val="00BB3C87"/>
    <w:rsid w:val="00BB4C02"/>
    <w:rsid w:val="00BB5C37"/>
    <w:rsid w:val="00BB7976"/>
    <w:rsid w:val="00BC2C23"/>
    <w:rsid w:val="00BC3B90"/>
    <w:rsid w:val="00BC5EDE"/>
    <w:rsid w:val="00BC636E"/>
    <w:rsid w:val="00BC74E9"/>
    <w:rsid w:val="00BD0313"/>
    <w:rsid w:val="00BD1F19"/>
    <w:rsid w:val="00BD2B08"/>
    <w:rsid w:val="00BD434A"/>
    <w:rsid w:val="00BD4730"/>
    <w:rsid w:val="00BD5A19"/>
    <w:rsid w:val="00BD7119"/>
    <w:rsid w:val="00BE0F2E"/>
    <w:rsid w:val="00BE432C"/>
    <w:rsid w:val="00BE518F"/>
    <w:rsid w:val="00BE6668"/>
    <w:rsid w:val="00BF1A6D"/>
    <w:rsid w:val="00BF45E5"/>
    <w:rsid w:val="00BF5BA6"/>
    <w:rsid w:val="00BF6220"/>
    <w:rsid w:val="00BF6322"/>
    <w:rsid w:val="00BF68A8"/>
    <w:rsid w:val="00BF73C8"/>
    <w:rsid w:val="00C00975"/>
    <w:rsid w:val="00C00E67"/>
    <w:rsid w:val="00C03F0B"/>
    <w:rsid w:val="00C0496E"/>
    <w:rsid w:val="00C04C0B"/>
    <w:rsid w:val="00C0654B"/>
    <w:rsid w:val="00C06917"/>
    <w:rsid w:val="00C06E74"/>
    <w:rsid w:val="00C106E6"/>
    <w:rsid w:val="00C11A03"/>
    <w:rsid w:val="00C12007"/>
    <w:rsid w:val="00C1249D"/>
    <w:rsid w:val="00C14994"/>
    <w:rsid w:val="00C14A25"/>
    <w:rsid w:val="00C1506C"/>
    <w:rsid w:val="00C159A3"/>
    <w:rsid w:val="00C15D14"/>
    <w:rsid w:val="00C17102"/>
    <w:rsid w:val="00C17F7E"/>
    <w:rsid w:val="00C20962"/>
    <w:rsid w:val="00C21898"/>
    <w:rsid w:val="00C32A67"/>
    <w:rsid w:val="00C35814"/>
    <w:rsid w:val="00C365E1"/>
    <w:rsid w:val="00C375F5"/>
    <w:rsid w:val="00C41DF8"/>
    <w:rsid w:val="00C42D74"/>
    <w:rsid w:val="00C430C5"/>
    <w:rsid w:val="00C4365C"/>
    <w:rsid w:val="00C436C2"/>
    <w:rsid w:val="00C44731"/>
    <w:rsid w:val="00C461F0"/>
    <w:rsid w:val="00C463DD"/>
    <w:rsid w:val="00C46C30"/>
    <w:rsid w:val="00C4724C"/>
    <w:rsid w:val="00C50179"/>
    <w:rsid w:val="00C50DDA"/>
    <w:rsid w:val="00C5185B"/>
    <w:rsid w:val="00C528A2"/>
    <w:rsid w:val="00C5406D"/>
    <w:rsid w:val="00C54D17"/>
    <w:rsid w:val="00C558BE"/>
    <w:rsid w:val="00C558F8"/>
    <w:rsid w:val="00C55ACA"/>
    <w:rsid w:val="00C627B1"/>
    <w:rsid w:val="00C629A0"/>
    <w:rsid w:val="00C6363C"/>
    <w:rsid w:val="00C65F71"/>
    <w:rsid w:val="00C66848"/>
    <w:rsid w:val="00C66D4B"/>
    <w:rsid w:val="00C703BB"/>
    <w:rsid w:val="00C73296"/>
    <w:rsid w:val="00C745C3"/>
    <w:rsid w:val="00C74AD0"/>
    <w:rsid w:val="00C75A34"/>
    <w:rsid w:val="00C75A48"/>
    <w:rsid w:val="00C77474"/>
    <w:rsid w:val="00C80DF8"/>
    <w:rsid w:val="00C825FE"/>
    <w:rsid w:val="00C8363B"/>
    <w:rsid w:val="00C85C50"/>
    <w:rsid w:val="00C878AA"/>
    <w:rsid w:val="00C9039A"/>
    <w:rsid w:val="00C91186"/>
    <w:rsid w:val="00C9329C"/>
    <w:rsid w:val="00C9773A"/>
    <w:rsid w:val="00C97EA1"/>
    <w:rsid w:val="00CA044C"/>
    <w:rsid w:val="00CA4213"/>
    <w:rsid w:val="00CA5A54"/>
    <w:rsid w:val="00CA61E1"/>
    <w:rsid w:val="00CA6AAA"/>
    <w:rsid w:val="00CA7238"/>
    <w:rsid w:val="00CB0952"/>
    <w:rsid w:val="00CB36DB"/>
    <w:rsid w:val="00CB3865"/>
    <w:rsid w:val="00CB6BC4"/>
    <w:rsid w:val="00CB6CCF"/>
    <w:rsid w:val="00CB715F"/>
    <w:rsid w:val="00CC0484"/>
    <w:rsid w:val="00CC2D4A"/>
    <w:rsid w:val="00CC316E"/>
    <w:rsid w:val="00CC4802"/>
    <w:rsid w:val="00CC6C6B"/>
    <w:rsid w:val="00CD3BF8"/>
    <w:rsid w:val="00CD4631"/>
    <w:rsid w:val="00CD656C"/>
    <w:rsid w:val="00CD725D"/>
    <w:rsid w:val="00CD731C"/>
    <w:rsid w:val="00CE1EE8"/>
    <w:rsid w:val="00CE3334"/>
    <w:rsid w:val="00CE3E43"/>
    <w:rsid w:val="00CE3EC1"/>
    <w:rsid w:val="00CE4A8F"/>
    <w:rsid w:val="00CE657F"/>
    <w:rsid w:val="00CE675B"/>
    <w:rsid w:val="00CF0AD8"/>
    <w:rsid w:val="00CF13D2"/>
    <w:rsid w:val="00CF2865"/>
    <w:rsid w:val="00CF3C8E"/>
    <w:rsid w:val="00CF7402"/>
    <w:rsid w:val="00D0511F"/>
    <w:rsid w:val="00D11867"/>
    <w:rsid w:val="00D11C10"/>
    <w:rsid w:val="00D13023"/>
    <w:rsid w:val="00D131A6"/>
    <w:rsid w:val="00D132DE"/>
    <w:rsid w:val="00D13F99"/>
    <w:rsid w:val="00D158C9"/>
    <w:rsid w:val="00D15EA0"/>
    <w:rsid w:val="00D20029"/>
    <w:rsid w:val="00D2031B"/>
    <w:rsid w:val="00D206D7"/>
    <w:rsid w:val="00D210C2"/>
    <w:rsid w:val="00D23787"/>
    <w:rsid w:val="00D25FE2"/>
    <w:rsid w:val="00D277AD"/>
    <w:rsid w:val="00D32D0E"/>
    <w:rsid w:val="00D37AEC"/>
    <w:rsid w:val="00D42CBD"/>
    <w:rsid w:val="00D43252"/>
    <w:rsid w:val="00D43F1A"/>
    <w:rsid w:val="00D44AF6"/>
    <w:rsid w:val="00D45F5D"/>
    <w:rsid w:val="00D47EEA"/>
    <w:rsid w:val="00D5263E"/>
    <w:rsid w:val="00D55676"/>
    <w:rsid w:val="00D55ED1"/>
    <w:rsid w:val="00D568D8"/>
    <w:rsid w:val="00D5715A"/>
    <w:rsid w:val="00D6091B"/>
    <w:rsid w:val="00D617FE"/>
    <w:rsid w:val="00D65364"/>
    <w:rsid w:val="00D65DB9"/>
    <w:rsid w:val="00D661A0"/>
    <w:rsid w:val="00D66CF4"/>
    <w:rsid w:val="00D6745B"/>
    <w:rsid w:val="00D73C5B"/>
    <w:rsid w:val="00D76CC5"/>
    <w:rsid w:val="00D77773"/>
    <w:rsid w:val="00D81D27"/>
    <w:rsid w:val="00D827F5"/>
    <w:rsid w:val="00D82BC5"/>
    <w:rsid w:val="00D82F4D"/>
    <w:rsid w:val="00D832DA"/>
    <w:rsid w:val="00D84364"/>
    <w:rsid w:val="00D84CCF"/>
    <w:rsid w:val="00D851D0"/>
    <w:rsid w:val="00D869DB"/>
    <w:rsid w:val="00D90193"/>
    <w:rsid w:val="00D90A78"/>
    <w:rsid w:val="00D92866"/>
    <w:rsid w:val="00D93A79"/>
    <w:rsid w:val="00D95303"/>
    <w:rsid w:val="00D97833"/>
    <w:rsid w:val="00D978C6"/>
    <w:rsid w:val="00DA28F2"/>
    <w:rsid w:val="00DA3111"/>
    <w:rsid w:val="00DA3C1C"/>
    <w:rsid w:val="00DA70E3"/>
    <w:rsid w:val="00DB0C79"/>
    <w:rsid w:val="00DB1127"/>
    <w:rsid w:val="00DB25F0"/>
    <w:rsid w:val="00DB2999"/>
    <w:rsid w:val="00DB4209"/>
    <w:rsid w:val="00DB428C"/>
    <w:rsid w:val="00DC0AED"/>
    <w:rsid w:val="00DC1E19"/>
    <w:rsid w:val="00DC445F"/>
    <w:rsid w:val="00DD0802"/>
    <w:rsid w:val="00DD098C"/>
    <w:rsid w:val="00DD509D"/>
    <w:rsid w:val="00DD64EA"/>
    <w:rsid w:val="00DD7430"/>
    <w:rsid w:val="00DE13BA"/>
    <w:rsid w:val="00DE1AE5"/>
    <w:rsid w:val="00DE3048"/>
    <w:rsid w:val="00DE4446"/>
    <w:rsid w:val="00DE7EF4"/>
    <w:rsid w:val="00DF2BA5"/>
    <w:rsid w:val="00DF3389"/>
    <w:rsid w:val="00DF3D75"/>
    <w:rsid w:val="00DF403C"/>
    <w:rsid w:val="00DF5AC0"/>
    <w:rsid w:val="00DF63E8"/>
    <w:rsid w:val="00E00325"/>
    <w:rsid w:val="00E00E0D"/>
    <w:rsid w:val="00E0394E"/>
    <w:rsid w:val="00E05782"/>
    <w:rsid w:val="00E113B9"/>
    <w:rsid w:val="00E114A0"/>
    <w:rsid w:val="00E11A24"/>
    <w:rsid w:val="00E13475"/>
    <w:rsid w:val="00E13BAE"/>
    <w:rsid w:val="00E143CB"/>
    <w:rsid w:val="00E17D32"/>
    <w:rsid w:val="00E20A1F"/>
    <w:rsid w:val="00E22FFE"/>
    <w:rsid w:val="00E247E8"/>
    <w:rsid w:val="00E27346"/>
    <w:rsid w:val="00E30448"/>
    <w:rsid w:val="00E344BA"/>
    <w:rsid w:val="00E34899"/>
    <w:rsid w:val="00E354AF"/>
    <w:rsid w:val="00E36DB8"/>
    <w:rsid w:val="00E37F69"/>
    <w:rsid w:val="00E4162F"/>
    <w:rsid w:val="00E4267C"/>
    <w:rsid w:val="00E44C1F"/>
    <w:rsid w:val="00E52CA8"/>
    <w:rsid w:val="00E54C03"/>
    <w:rsid w:val="00E54CAB"/>
    <w:rsid w:val="00E564D0"/>
    <w:rsid w:val="00E56765"/>
    <w:rsid w:val="00E5678A"/>
    <w:rsid w:val="00E63CFF"/>
    <w:rsid w:val="00E652E6"/>
    <w:rsid w:val="00E66887"/>
    <w:rsid w:val="00E67D30"/>
    <w:rsid w:val="00E71BC8"/>
    <w:rsid w:val="00E7260F"/>
    <w:rsid w:val="00E7318B"/>
    <w:rsid w:val="00E74B7A"/>
    <w:rsid w:val="00E7534B"/>
    <w:rsid w:val="00E76910"/>
    <w:rsid w:val="00E76C21"/>
    <w:rsid w:val="00E779FC"/>
    <w:rsid w:val="00E822F1"/>
    <w:rsid w:val="00E82F23"/>
    <w:rsid w:val="00E87BB5"/>
    <w:rsid w:val="00E90740"/>
    <w:rsid w:val="00E90886"/>
    <w:rsid w:val="00E9224B"/>
    <w:rsid w:val="00E9275F"/>
    <w:rsid w:val="00E93DCD"/>
    <w:rsid w:val="00E9411F"/>
    <w:rsid w:val="00E94135"/>
    <w:rsid w:val="00E96630"/>
    <w:rsid w:val="00EA0F50"/>
    <w:rsid w:val="00EA684B"/>
    <w:rsid w:val="00EB03D8"/>
    <w:rsid w:val="00EB2581"/>
    <w:rsid w:val="00EB2617"/>
    <w:rsid w:val="00EB280B"/>
    <w:rsid w:val="00EB2B49"/>
    <w:rsid w:val="00EB3B91"/>
    <w:rsid w:val="00EB4A6F"/>
    <w:rsid w:val="00EC3B1F"/>
    <w:rsid w:val="00EC3DCA"/>
    <w:rsid w:val="00EC4DBA"/>
    <w:rsid w:val="00EC5A3A"/>
    <w:rsid w:val="00EC6418"/>
    <w:rsid w:val="00EC766A"/>
    <w:rsid w:val="00ED0A14"/>
    <w:rsid w:val="00ED4174"/>
    <w:rsid w:val="00ED4EC4"/>
    <w:rsid w:val="00ED5FE7"/>
    <w:rsid w:val="00ED60E8"/>
    <w:rsid w:val="00ED6B96"/>
    <w:rsid w:val="00ED7378"/>
    <w:rsid w:val="00ED7A2A"/>
    <w:rsid w:val="00EE1D5B"/>
    <w:rsid w:val="00EE206C"/>
    <w:rsid w:val="00EE3BDD"/>
    <w:rsid w:val="00EE5772"/>
    <w:rsid w:val="00EE6D29"/>
    <w:rsid w:val="00EE6DCD"/>
    <w:rsid w:val="00EE7BD8"/>
    <w:rsid w:val="00EF08D3"/>
    <w:rsid w:val="00EF09F7"/>
    <w:rsid w:val="00EF0FAC"/>
    <w:rsid w:val="00EF1CB5"/>
    <w:rsid w:val="00EF1D7F"/>
    <w:rsid w:val="00EF2080"/>
    <w:rsid w:val="00EF26E9"/>
    <w:rsid w:val="00EF32FD"/>
    <w:rsid w:val="00EF3348"/>
    <w:rsid w:val="00EF3D7C"/>
    <w:rsid w:val="00EF5566"/>
    <w:rsid w:val="00EF636E"/>
    <w:rsid w:val="00EF7033"/>
    <w:rsid w:val="00EF711E"/>
    <w:rsid w:val="00EF7CEA"/>
    <w:rsid w:val="00EF7E35"/>
    <w:rsid w:val="00F01D5F"/>
    <w:rsid w:val="00F02C62"/>
    <w:rsid w:val="00F05EA9"/>
    <w:rsid w:val="00F1009C"/>
    <w:rsid w:val="00F1094F"/>
    <w:rsid w:val="00F10D2D"/>
    <w:rsid w:val="00F113D2"/>
    <w:rsid w:val="00F1377E"/>
    <w:rsid w:val="00F2035D"/>
    <w:rsid w:val="00F20C3D"/>
    <w:rsid w:val="00F31478"/>
    <w:rsid w:val="00F32DCA"/>
    <w:rsid w:val="00F3462C"/>
    <w:rsid w:val="00F35A1C"/>
    <w:rsid w:val="00F37ECC"/>
    <w:rsid w:val="00F415DB"/>
    <w:rsid w:val="00F41C71"/>
    <w:rsid w:val="00F43AB8"/>
    <w:rsid w:val="00F43B54"/>
    <w:rsid w:val="00F43E9E"/>
    <w:rsid w:val="00F44A9C"/>
    <w:rsid w:val="00F45FBB"/>
    <w:rsid w:val="00F505D6"/>
    <w:rsid w:val="00F5213D"/>
    <w:rsid w:val="00F5297E"/>
    <w:rsid w:val="00F574CF"/>
    <w:rsid w:val="00F601DB"/>
    <w:rsid w:val="00F64CEC"/>
    <w:rsid w:val="00F67541"/>
    <w:rsid w:val="00F67880"/>
    <w:rsid w:val="00F70407"/>
    <w:rsid w:val="00F7069B"/>
    <w:rsid w:val="00F71EDF"/>
    <w:rsid w:val="00F731D6"/>
    <w:rsid w:val="00F74143"/>
    <w:rsid w:val="00F755C2"/>
    <w:rsid w:val="00F75ACF"/>
    <w:rsid w:val="00F7669D"/>
    <w:rsid w:val="00F80F9F"/>
    <w:rsid w:val="00F82CDC"/>
    <w:rsid w:val="00F86B47"/>
    <w:rsid w:val="00F86FD2"/>
    <w:rsid w:val="00F87173"/>
    <w:rsid w:val="00F9057C"/>
    <w:rsid w:val="00F906D7"/>
    <w:rsid w:val="00F9155F"/>
    <w:rsid w:val="00F93781"/>
    <w:rsid w:val="00F9443B"/>
    <w:rsid w:val="00F948A8"/>
    <w:rsid w:val="00F94D14"/>
    <w:rsid w:val="00F96226"/>
    <w:rsid w:val="00F965A4"/>
    <w:rsid w:val="00F96DFA"/>
    <w:rsid w:val="00FA08CB"/>
    <w:rsid w:val="00FA0C0C"/>
    <w:rsid w:val="00FA30E4"/>
    <w:rsid w:val="00FA34BC"/>
    <w:rsid w:val="00FA3C3E"/>
    <w:rsid w:val="00FA4BF2"/>
    <w:rsid w:val="00FA4F94"/>
    <w:rsid w:val="00FA5FB8"/>
    <w:rsid w:val="00FA63ED"/>
    <w:rsid w:val="00FA795D"/>
    <w:rsid w:val="00FB070F"/>
    <w:rsid w:val="00FB10A6"/>
    <w:rsid w:val="00FB13C3"/>
    <w:rsid w:val="00FB26A9"/>
    <w:rsid w:val="00FB2FC1"/>
    <w:rsid w:val="00FB3920"/>
    <w:rsid w:val="00FB613B"/>
    <w:rsid w:val="00FC68B7"/>
    <w:rsid w:val="00FC7C9E"/>
    <w:rsid w:val="00FD1028"/>
    <w:rsid w:val="00FD25C2"/>
    <w:rsid w:val="00FD66D7"/>
    <w:rsid w:val="00FD6988"/>
    <w:rsid w:val="00FD6C20"/>
    <w:rsid w:val="00FD7E5E"/>
    <w:rsid w:val="00FE0531"/>
    <w:rsid w:val="00FE0A6E"/>
    <w:rsid w:val="00FE0E37"/>
    <w:rsid w:val="00FE106A"/>
    <w:rsid w:val="00FE1345"/>
    <w:rsid w:val="00FE1379"/>
    <w:rsid w:val="00FE1891"/>
    <w:rsid w:val="00FE2F7E"/>
    <w:rsid w:val="00FE3D48"/>
    <w:rsid w:val="00FF01E2"/>
    <w:rsid w:val="00FF416D"/>
    <w:rsid w:val="00FF440F"/>
    <w:rsid w:val="00FF5631"/>
    <w:rsid w:val="00FF6847"/>
    <w:rsid w:val="00FF7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704331-280D-45EA-B71E-EB786F67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link w:val="Heading1Char"/>
    <w:qFormat/>
    <w:rsid w:val="000272B3"/>
    <w:pPr>
      <w:spacing w:after="0" w:line="240" w:lineRule="auto"/>
      <w:ind w:right="0"/>
      <w:jc w:val="left"/>
      <w:outlineLvl w:val="0"/>
    </w:pPr>
  </w:style>
  <w:style w:type="paragraph" w:styleId="Heading2">
    <w:name w:val="heading 2"/>
    <w:basedOn w:val="Normal"/>
    <w:next w:val="Normal"/>
    <w:link w:val="Heading2Char"/>
    <w:qFormat/>
    <w:rsid w:val="000272B3"/>
    <w:pPr>
      <w:spacing w:line="240" w:lineRule="auto"/>
      <w:outlineLvl w:val="1"/>
    </w:pPr>
  </w:style>
  <w:style w:type="paragraph" w:styleId="Heading3">
    <w:name w:val="heading 3"/>
    <w:basedOn w:val="Normal"/>
    <w:next w:val="Normal"/>
    <w:link w:val="Heading3Char"/>
    <w:qFormat/>
    <w:rsid w:val="000272B3"/>
    <w:pPr>
      <w:spacing w:line="240" w:lineRule="auto"/>
      <w:outlineLvl w:val="2"/>
    </w:pPr>
  </w:style>
  <w:style w:type="paragraph" w:styleId="Heading4">
    <w:name w:val="heading 4"/>
    <w:basedOn w:val="Normal"/>
    <w:next w:val="Normal"/>
    <w:link w:val="Heading4Char"/>
    <w:qFormat/>
    <w:rsid w:val="000272B3"/>
    <w:pPr>
      <w:spacing w:line="240" w:lineRule="auto"/>
      <w:outlineLvl w:val="3"/>
    </w:pPr>
  </w:style>
  <w:style w:type="paragraph" w:styleId="Heading5">
    <w:name w:val="heading 5"/>
    <w:basedOn w:val="Normal"/>
    <w:next w:val="Normal"/>
    <w:link w:val="Heading5Char"/>
    <w:qFormat/>
    <w:rsid w:val="000272B3"/>
    <w:pPr>
      <w:spacing w:line="240" w:lineRule="auto"/>
      <w:outlineLvl w:val="4"/>
    </w:pPr>
  </w:style>
  <w:style w:type="paragraph" w:styleId="Heading6">
    <w:name w:val="heading 6"/>
    <w:basedOn w:val="Normal"/>
    <w:next w:val="Normal"/>
    <w:link w:val="Heading6Char"/>
    <w:qFormat/>
    <w:rsid w:val="000272B3"/>
    <w:pPr>
      <w:spacing w:line="240" w:lineRule="auto"/>
      <w:outlineLvl w:val="5"/>
    </w:pPr>
  </w:style>
  <w:style w:type="paragraph" w:styleId="Heading7">
    <w:name w:val="heading 7"/>
    <w:basedOn w:val="Normal"/>
    <w:next w:val="Normal"/>
    <w:link w:val="Heading7Char"/>
    <w:qFormat/>
    <w:rsid w:val="000272B3"/>
    <w:pPr>
      <w:spacing w:line="240" w:lineRule="auto"/>
      <w:outlineLvl w:val="6"/>
    </w:pPr>
  </w:style>
  <w:style w:type="paragraph" w:styleId="Heading8">
    <w:name w:val="heading 8"/>
    <w:basedOn w:val="Normal"/>
    <w:next w:val="Normal"/>
    <w:link w:val="Heading8Char"/>
    <w:qFormat/>
    <w:rsid w:val="000272B3"/>
    <w:pPr>
      <w:spacing w:line="240" w:lineRule="auto"/>
      <w:outlineLvl w:val="7"/>
    </w:pPr>
  </w:style>
  <w:style w:type="paragraph" w:styleId="Heading9">
    <w:name w:val="heading 9"/>
    <w:basedOn w:val="Normal"/>
    <w:next w:val="Normal"/>
    <w:link w:val="Heading9Char"/>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character" w:customStyle="1" w:styleId="SingleTxtGChar">
    <w:name w:val="_ Single Txt_G Char"/>
    <w:link w:val="SingleTxtG"/>
    <w:locked/>
    <w:rsid w:val="0041431D"/>
    <w:rPr>
      <w:lang w:val="en-GB" w:eastAsia="en-US" w:bidi="ar-SA"/>
    </w:rPr>
  </w:style>
  <w:style w:type="character" w:customStyle="1" w:styleId="Heading1Char">
    <w:name w:val="Heading 1 Char"/>
    <w:aliases w:val="Table_G Char"/>
    <w:link w:val="Heading1"/>
    <w:locked/>
    <w:rsid w:val="0041431D"/>
    <w:rPr>
      <w:lang w:val="en-GB" w:eastAsia="en-US" w:bidi="ar-SA"/>
    </w:rPr>
  </w:style>
  <w:style w:type="character" w:customStyle="1" w:styleId="Heading2Char">
    <w:name w:val="Heading 2 Char"/>
    <w:link w:val="Heading2"/>
    <w:locked/>
    <w:rsid w:val="0041431D"/>
    <w:rPr>
      <w:lang w:val="en-GB" w:eastAsia="en-US" w:bidi="ar-SA"/>
    </w:rPr>
  </w:style>
  <w:style w:type="character" w:customStyle="1" w:styleId="Heading3Char">
    <w:name w:val="Heading 3 Char"/>
    <w:link w:val="Heading3"/>
    <w:locked/>
    <w:rsid w:val="0041431D"/>
    <w:rPr>
      <w:lang w:val="en-GB" w:eastAsia="en-US" w:bidi="ar-SA"/>
    </w:rPr>
  </w:style>
  <w:style w:type="character" w:customStyle="1" w:styleId="Heading4Char">
    <w:name w:val="Heading 4 Char"/>
    <w:link w:val="Heading4"/>
    <w:locked/>
    <w:rsid w:val="0041431D"/>
    <w:rPr>
      <w:lang w:val="en-GB" w:eastAsia="en-US" w:bidi="ar-SA"/>
    </w:rPr>
  </w:style>
  <w:style w:type="character" w:customStyle="1" w:styleId="Heading5Char">
    <w:name w:val="Heading 5 Char"/>
    <w:link w:val="Heading5"/>
    <w:locked/>
    <w:rsid w:val="0041431D"/>
    <w:rPr>
      <w:lang w:val="en-GB" w:eastAsia="en-US" w:bidi="ar-SA"/>
    </w:rPr>
  </w:style>
  <w:style w:type="character" w:customStyle="1" w:styleId="Heading6Char">
    <w:name w:val="Heading 6 Char"/>
    <w:link w:val="Heading6"/>
    <w:locked/>
    <w:rsid w:val="0041431D"/>
    <w:rPr>
      <w:lang w:val="en-GB" w:eastAsia="en-US" w:bidi="ar-SA"/>
    </w:rPr>
  </w:style>
  <w:style w:type="character" w:customStyle="1" w:styleId="Heading7Char">
    <w:name w:val="Heading 7 Char"/>
    <w:link w:val="Heading7"/>
    <w:locked/>
    <w:rsid w:val="0041431D"/>
    <w:rPr>
      <w:lang w:val="en-GB" w:eastAsia="en-US" w:bidi="ar-SA"/>
    </w:rPr>
  </w:style>
  <w:style w:type="character" w:customStyle="1" w:styleId="Heading8Char">
    <w:name w:val="Heading 8 Char"/>
    <w:link w:val="Heading8"/>
    <w:locked/>
    <w:rsid w:val="0041431D"/>
    <w:rPr>
      <w:lang w:val="en-GB" w:eastAsia="en-US" w:bidi="ar-SA"/>
    </w:rPr>
  </w:style>
  <w:style w:type="character" w:customStyle="1" w:styleId="Heading9Char">
    <w:name w:val="Heading 9 Char"/>
    <w:link w:val="Heading9"/>
    <w:locked/>
    <w:rsid w:val="0041431D"/>
    <w:rPr>
      <w:lang w:val="en-GB" w:eastAsia="en-US" w:bidi="ar-SA"/>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rsid w:val="000272B3"/>
    <w:pPr>
      <w:pBdr>
        <w:bottom w:val="single" w:sz="4" w:space="4" w:color="auto"/>
      </w:pBdr>
      <w:spacing w:line="240" w:lineRule="auto"/>
    </w:pPr>
    <w:rPr>
      <w:b/>
      <w:sz w:val="18"/>
    </w:rPr>
  </w:style>
  <w:style w:type="character" w:customStyle="1" w:styleId="HeaderChar">
    <w:name w:val="Header Char"/>
    <w:aliases w:val="6_G Char"/>
    <w:link w:val="Header"/>
    <w:locked/>
    <w:rsid w:val="0041431D"/>
    <w:rPr>
      <w:b/>
      <w:sz w:val="18"/>
      <w:lang w:val="en-GB" w:eastAsia="en-US" w:bidi="ar-SA"/>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Char"/>
    <w:basedOn w:val="Normal"/>
    <w:link w:val="FootnoteTextChar"/>
    <w:rsid w:val="000272B3"/>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Char Char"/>
    <w:link w:val="FootnoteText"/>
    <w:locked/>
    <w:rsid w:val="0041431D"/>
    <w:rPr>
      <w:sz w:val="18"/>
      <w:lang w:val="en-GB" w:eastAsia="en-US" w:bidi="ar-SA"/>
    </w:rPr>
  </w:style>
  <w:style w:type="paragraph" w:styleId="EndnoteText">
    <w:name w:val="endnote text"/>
    <w:aliases w:val="2_G"/>
    <w:basedOn w:val="FootnoteText"/>
    <w:link w:val="EndnoteTextChar"/>
    <w:rsid w:val="000272B3"/>
  </w:style>
  <w:style w:type="character" w:customStyle="1" w:styleId="EndnoteTextChar">
    <w:name w:val="Endnote Text Char"/>
    <w:aliases w:val="2_G Char"/>
    <w:link w:val="EndnoteText"/>
    <w:locked/>
    <w:rsid w:val="0041431D"/>
    <w:rPr>
      <w:sz w:val="18"/>
      <w:lang w:val="en-GB" w:eastAsia="en-US" w:bidi="ar-SA"/>
    </w:rPr>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basedOn w:val="FootnoteReference"/>
    <w:rsid w:val="000272B3"/>
    <w:rPr>
      <w:rFonts w:ascii="Times New Roman" w:hAnsi="Times New Roman"/>
      <w:sz w:val="18"/>
      <w:vertAlign w:val="superscript"/>
    </w:rPr>
  </w:style>
  <w:style w:type="character" w:styleId="FootnoteReference">
    <w:name w:val="footnote reference"/>
    <w:aliases w:val="4_G,Footnote number,ftref"/>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rsid w:val="000272B3"/>
    <w:pPr>
      <w:spacing w:line="240" w:lineRule="auto"/>
    </w:pPr>
    <w:rPr>
      <w:sz w:val="16"/>
    </w:rPr>
  </w:style>
  <w:style w:type="character" w:customStyle="1" w:styleId="FooterChar">
    <w:name w:val="Footer Char"/>
    <w:aliases w:val="3_G Char"/>
    <w:link w:val="Footer"/>
    <w:locked/>
    <w:rsid w:val="0041431D"/>
    <w:rPr>
      <w:sz w:val="16"/>
      <w:lang w:val="en-GB" w:eastAsia="en-US" w:bidi="ar-SA"/>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paragraph" w:styleId="NormalWeb">
    <w:name w:val="Normal (Web)"/>
    <w:basedOn w:val="Normal"/>
    <w:uiPriority w:val="99"/>
    <w:rsid w:val="0041431D"/>
    <w:pPr>
      <w:suppressAutoHyphens w:val="0"/>
      <w:spacing w:before="100" w:beforeAutospacing="1" w:after="100" w:afterAutospacing="1" w:line="240" w:lineRule="auto"/>
    </w:pPr>
    <w:rPr>
      <w:rFonts w:eastAsia="SimSun"/>
      <w:sz w:val="24"/>
      <w:szCs w:val="24"/>
      <w:lang w:val="ru-RU" w:eastAsia="zh-CN"/>
    </w:rPr>
  </w:style>
  <w:style w:type="paragraph" w:styleId="BalloonText">
    <w:name w:val="Balloon Text"/>
    <w:basedOn w:val="Normal"/>
    <w:link w:val="BalloonTextChar"/>
    <w:semiHidden/>
    <w:rsid w:val="0041431D"/>
    <w:pPr>
      <w:spacing w:line="240" w:lineRule="auto"/>
    </w:pPr>
    <w:rPr>
      <w:rFonts w:ascii="Tahoma" w:eastAsia="MS Mincho" w:hAnsi="Tahoma" w:cs="Tahoma"/>
      <w:sz w:val="16"/>
      <w:szCs w:val="16"/>
    </w:rPr>
  </w:style>
  <w:style w:type="character" w:customStyle="1" w:styleId="BalloonTextChar">
    <w:name w:val="Balloon Text Char"/>
    <w:link w:val="BalloonText"/>
    <w:locked/>
    <w:rsid w:val="0041431D"/>
    <w:rPr>
      <w:rFonts w:ascii="Tahoma" w:eastAsia="MS Mincho" w:hAnsi="Tahoma" w:cs="Tahoma"/>
      <w:sz w:val="16"/>
      <w:szCs w:val="16"/>
      <w:lang w:val="en-GB" w:eastAsia="en-US" w:bidi="ar-SA"/>
    </w:rPr>
  </w:style>
  <w:style w:type="paragraph" w:styleId="BodyText2">
    <w:name w:val="Body Text 2"/>
    <w:basedOn w:val="Normal"/>
    <w:link w:val="BodyText2Char"/>
    <w:rsid w:val="0041431D"/>
    <w:pPr>
      <w:suppressAutoHyphens w:val="0"/>
      <w:spacing w:line="240" w:lineRule="auto"/>
      <w:jc w:val="both"/>
    </w:pPr>
    <w:rPr>
      <w:rFonts w:eastAsia="MS Mincho"/>
      <w:sz w:val="24"/>
      <w:szCs w:val="24"/>
      <w:lang w:val="en-US"/>
    </w:rPr>
  </w:style>
  <w:style w:type="character" w:customStyle="1" w:styleId="BodyText2Char">
    <w:name w:val="Body Text 2 Char"/>
    <w:link w:val="BodyText2"/>
    <w:locked/>
    <w:rsid w:val="0041431D"/>
    <w:rPr>
      <w:rFonts w:eastAsia="MS Mincho"/>
      <w:sz w:val="24"/>
      <w:szCs w:val="24"/>
      <w:lang w:val="en-US" w:eastAsia="en-US" w:bidi="ar-SA"/>
    </w:rPr>
  </w:style>
  <w:style w:type="paragraph" w:styleId="CommentText">
    <w:name w:val="annotation text"/>
    <w:basedOn w:val="Normal"/>
    <w:link w:val="CommentTextChar"/>
    <w:semiHidden/>
    <w:rsid w:val="0041431D"/>
    <w:rPr>
      <w:rFonts w:eastAsia="MS Mincho"/>
    </w:rPr>
  </w:style>
  <w:style w:type="character" w:customStyle="1" w:styleId="CommentTextChar">
    <w:name w:val="Comment Text Char"/>
    <w:link w:val="CommentText"/>
    <w:semiHidden/>
    <w:locked/>
    <w:rsid w:val="0041431D"/>
    <w:rPr>
      <w:rFonts w:eastAsia="MS Mincho"/>
      <w:lang w:val="en-GB" w:eastAsia="en-US" w:bidi="ar-SA"/>
    </w:rPr>
  </w:style>
  <w:style w:type="paragraph" w:styleId="CommentSubject">
    <w:name w:val="annotation subject"/>
    <w:basedOn w:val="CommentText"/>
    <w:next w:val="CommentText"/>
    <w:link w:val="CommentSubjectChar"/>
    <w:semiHidden/>
    <w:rsid w:val="0041431D"/>
    <w:rPr>
      <w:b/>
      <w:bCs/>
    </w:rPr>
  </w:style>
  <w:style w:type="character" w:customStyle="1" w:styleId="CommentSubjectChar">
    <w:name w:val="Comment Subject Char"/>
    <w:link w:val="CommentSubject"/>
    <w:semiHidden/>
    <w:locked/>
    <w:rsid w:val="0041431D"/>
    <w:rPr>
      <w:rFonts w:eastAsia="MS Mincho"/>
      <w:b/>
      <w:bCs/>
      <w:lang w:val="en-GB" w:eastAsia="en-US" w:bidi="ar-SA"/>
    </w:rPr>
  </w:style>
  <w:style w:type="character" w:styleId="CommentReference">
    <w:name w:val="annotation reference"/>
    <w:rsid w:val="003002C1"/>
    <w:rPr>
      <w:sz w:val="16"/>
      <w:szCs w:val="16"/>
    </w:rPr>
  </w:style>
  <w:style w:type="paragraph" w:customStyle="1" w:styleId="ColorfulShading-Accent11">
    <w:name w:val="Colorful Shading - Accent 11"/>
    <w:hidden/>
    <w:uiPriority w:val="99"/>
    <w:semiHidden/>
    <w:rsid w:val="006A758E"/>
    <w:rPr>
      <w:lang w:eastAsia="en-US"/>
    </w:rPr>
  </w:style>
  <w:style w:type="paragraph" w:customStyle="1" w:styleId="s30eec3f8">
    <w:name w:val="s30eec3f8"/>
    <w:basedOn w:val="Normal"/>
    <w:rsid w:val="00043479"/>
    <w:pPr>
      <w:suppressAutoHyphens w:val="0"/>
      <w:spacing w:before="100" w:beforeAutospacing="1" w:after="100" w:afterAutospacing="1" w:line="240" w:lineRule="auto"/>
    </w:pPr>
    <w:rPr>
      <w:sz w:val="24"/>
      <w:szCs w:val="24"/>
      <w:lang w:eastAsia="en-GB"/>
    </w:rPr>
  </w:style>
  <w:style w:type="character" w:customStyle="1" w:styleId="sb8d990e2">
    <w:name w:val="sb8d990e2"/>
    <w:rsid w:val="00043479"/>
  </w:style>
  <w:style w:type="paragraph" w:customStyle="1" w:styleId="s70227c73">
    <w:name w:val="s70227c73"/>
    <w:basedOn w:val="Normal"/>
    <w:rsid w:val="00043479"/>
    <w:pPr>
      <w:suppressAutoHyphens w:val="0"/>
      <w:spacing w:before="100" w:beforeAutospacing="1" w:after="100" w:afterAutospacing="1" w:line="240" w:lineRule="auto"/>
    </w:pPr>
    <w:rPr>
      <w:sz w:val="24"/>
      <w:szCs w:val="24"/>
      <w:lang w:eastAsia="en-GB"/>
    </w:rPr>
  </w:style>
  <w:style w:type="character" w:customStyle="1" w:styleId="s6b621b36">
    <w:name w:val="s6b621b36"/>
    <w:rsid w:val="00043479"/>
  </w:style>
  <w:style w:type="paragraph" w:customStyle="1" w:styleId="ColorfulList-Accent11">
    <w:name w:val="Colorful List - Accent 11"/>
    <w:basedOn w:val="Normal"/>
    <w:uiPriority w:val="34"/>
    <w:qFormat/>
    <w:rsid w:val="00771CDE"/>
    <w:pPr>
      <w:ind w:left="720"/>
    </w:pPr>
  </w:style>
  <w:style w:type="paragraph" w:styleId="Revision">
    <w:name w:val="Revision"/>
    <w:hidden/>
    <w:uiPriority w:val="99"/>
    <w:semiHidden/>
    <w:rsid w:val="00FA795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4727">
      <w:bodyDiv w:val="1"/>
      <w:marLeft w:val="0"/>
      <w:marRight w:val="0"/>
      <w:marTop w:val="0"/>
      <w:marBottom w:val="0"/>
      <w:divBdr>
        <w:top w:val="none" w:sz="0" w:space="0" w:color="auto"/>
        <w:left w:val="none" w:sz="0" w:space="0" w:color="auto"/>
        <w:bottom w:val="none" w:sz="0" w:space="0" w:color="auto"/>
        <w:right w:val="none" w:sz="0" w:space="0" w:color="auto"/>
      </w:divBdr>
    </w:div>
    <w:div w:id="72364299">
      <w:bodyDiv w:val="1"/>
      <w:marLeft w:val="0"/>
      <w:marRight w:val="0"/>
      <w:marTop w:val="0"/>
      <w:marBottom w:val="0"/>
      <w:divBdr>
        <w:top w:val="none" w:sz="0" w:space="0" w:color="auto"/>
        <w:left w:val="none" w:sz="0" w:space="0" w:color="auto"/>
        <w:bottom w:val="none" w:sz="0" w:space="0" w:color="auto"/>
        <w:right w:val="none" w:sz="0" w:space="0" w:color="auto"/>
      </w:divBdr>
    </w:div>
    <w:div w:id="713240263">
      <w:bodyDiv w:val="1"/>
      <w:marLeft w:val="0"/>
      <w:marRight w:val="0"/>
      <w:marTop w:val="0"/>
      <w:marBottom w:val="0"/>
      <w:divBdr>
        <w:top w:val="none" w:sz="0" w:space="0" w:color="auto"/>
        <w:left w:val="none" w:sz="0" w:space="0" w:color="auto"/>
        <w:bottom w:val="none" w:sz="0" w:space="0" w:color="auto"/>
        <w:right w:val="none" w:sz="0" w:space="0" w:color="auto"/>
      </w:divBdr>
    </w:div>
    <w:div w:id="857542532">
      <w:bodyDiv w:val="1"/>
      <w:marLeft w:val="0"/>
      <w:marRight w:val="0"/>
      <w:marTop w:val="0"/>
      <w:marBottom w:val="0"/>
      <w:divBdr>
        <w:top w:val="none" w:sz="0" w:space="0" w:color="auto"/>
        <w:left w:val="none" w:sz="0" w:space="0" w:color="auto"/>
        <w:bottom w:val="none" w:sz="0" w:space="0" w:color="auto"/>
        <w:right w:val="none" w:sz="0" w:space="0" w:color="auto"/>
      </w:divBdr>
    </w:div>
    <w:div w:id="1160536385">
      <w:bodyDiv w:val="1"/>
      <w:marLeft w:val="0"/>
      <w:marRight w:val="0"/>
      <w:marTop w:val="0"/>
      <w:marBottom w:val="0"/>
      <w:divBdr>
        <w:top w:val="none" w:sz="0" w:space="0" w:color="auto"/>
        <w:left w:val="none" w:sz="0" w:space="0" w:color="auto"/>
        <w:bottom w:val="none" w:sz="0" w:space="0" w:color="auto"/>
        <w:right w:val="none" w:sz="0" w:space="0" w:color="auto"/>
      </w:divBdr>
      <w:divsChild>
        <w:div w:id="68357586">
          <w:marLeft w:val="0"/>
          <w:marRight w:val="0"/>
          <w:marTop w:val="0"/>
          <w:marBottom w:val="0"/>
          <w:divBdr>
            <w:top w:val="none" w:sz="0" w:space="0" w:color="auto"/>
            <w:left w:val="none" w:sz="0" w:space="0" w:color="auto"/>
            <w:bottom w:val="none" w:sz="0" w:space="0" w:color="auto"/>
            <w:right w:val="none" w:sz="0" w:space="0" w:color="auto"/>
          </w:divBdr>
          <w:divsChild>
            <w:div w:id="1686321476">
              <w:marLeft w:val="0"/>
              <w:marRight w:val="0"/>
              <w:marTop w:val="0"/>
              <w:marBottom w:val="0"/>
              <w:divBdr>
                <w:top w:val="none" w:sz="0" w:space="0" w:color="auto"/>
                <w:left w:val="none" w:sz="0" w:space="0" w:color="auto"/>
                <w:bottom w:val="none" w:sz="0" w:space="0" w:color="auto"/>
                <w:right w:val="none" w:sz="0" w:space="0" w:color="auto"/>
              </w:divBdr>
              <w:divsChild>
                <w:div w:id="1949120352">
                  <w:marLeft w:val="0"/>
                  <w:marRight w:val="0"/>
                  <w:marTop w:val="0"/>
                  <w:marBottom w:val="0"/>
                  <w:divBdr>
                    <w:top w:val="none" w:sz="0" w:space="0" w:color="auto"/>
                    <w:left w:val="none" w:sz="0" w:space="0" w:color="auto"/>
                    <w:bottom w:val="none" w:sz="0" w:space="0" w:color="auto"/>
                    <w:right w:val="none" w:sz="0" w:space="0" w:color="auto"/>
                  </w:divBdr>
                  <w:divsChild>
                    <w:div w:id="864514165">
                      <w:marLeft w:val="0"/>
                      <w:marRight w:val="0"/>
                      <w:marTop w:val="0"/>
                      <w:marBottom w:val="0"/>
                      <w:divBdr>
                        <w:top w:val="none" w:sz="0" w:space="0" w:color="auto"/>
                        <w:left w:val="none" w:sz="0" w:space="0" w:color="auto"/>
                        <w:bottom w:val="none" w:sz="0" w:space="0" w:color="auto"/>
                        <w:right w:val="none" w:sz="0" w:space="0" w:color="auto"/>
                      </w:divBdr>
                      <w:divsChild>
                        <w:div w:id="83305886">
                          <w:marLeft w:val="0"/>
                          <w:marRight w:val="0"/>
                          <w:marTop w:val="0"/>
                          <w:marBottom w:val="0"/>
                          <w:divBdr>
                            <w:top w:val="none" w:sz="0" w:space="0" w:color="auto"/>
                            <w:left w:val="none" w:sz="0" w:space="0" w:color="auto"/>
                            <w:bottom w:val="none" w:sz="0" w:space="0" w:color="auto"/>
                            <w:right w:val="none" w:sz="0" w:space="0" w:color="auto"/>
                          </w:divBdr>
                          <w:divsChild>
                            <w:div w:id="9015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680521">
      <w:bodyDiv w:val="1"/>
      <w:marLeft w:val="0"/>
      <w:marRight w:val="0"/>
      <w:marTop w:val="0"/>
      <w:marBottom w:val="0"/>
      <w:divBdr>
        <w:top w:val="none" w:sz="0" w:space="0" w:color="auto"/>
        <w:left w:val="none" w:sz="0" w:space="0" w:color="auto"/>
        <w:bottom w:val="none" w:sz="0" w:space="0" w:color="auto"/>
        <w:right w:val="none" w:sz="0" w:space="0" w:color="auto"/>
      </w:divBdr>
    </w:div>
    <w:div w:id="1341816690">
      <w:bodyDiv w:val="1"/>
      <w:marLeft w:val="0"/>
      <w:marRight w:val="0"/>
      <w:marTop w:val="0"/>
      <w:marBottom w:val="0"/>
      <w:divBdr>
        <w:top w:val="none" w:sz="0" w:space="0" w:color="auto"/>
        <w:left w:val="none" w:sz="0" w:space="0" w:color="auto"/>
        <w:bottom w:val="none" w:sz="0" w:space="0" w:color="auto"/>
        <w:right w:val="none" w:sz="0" w:space="0" w:color="auto"/>
      </w:divBdr>
    </w:div>
    <w:div w:id="1582830920">
      <w:bodyDiv w:val="1"/>
      <w:marLeft w:val="0"/>
      <w:marRight w:val="0"/>
      <w:marTop w:val="0"/>
      <w:marBottom w:val="0"/>
      <w:divBdr>
        <w:top w:val="none" w:sz="0" w:space="0" w:color="auto"/>
        <w:left w:val="none" w:sz="0" w:space="0" w:color="auto"/>
        <w:bottom w:val="none" w:sz="0" w:space="0" w:color="auto"/>
        <w:right w:val="none" w:sz="0" w:space="0" w:color="auto"/>
      </w:divBdr>
    </w:div>
    <w:div w:id="1904634103">
      <w:bodyDiv w:val="1"/>
      <w:marLeft w:val="0"/>
      <w:marRight w:val="0"/>
      <w:marTop w:val="0"/>
      <w:marBottom w:val="0"/>
      <w:divBdr>
        <w:top w:val="none" w:sz="0" w:space="0" w:color="auto"/>
        <w:left w:val="none" w:sz="0" w:space="0" w:color="auto"/>
        <w:bottom w:val="none" w:sz="0" w:space="0" w:color="auto"/>
        <w:right w:val="none" w:sz="0" w:space="0" w:color="auto"/>
      </w:divBdr>
      <w:divsChild>
        <w:div w:id="1780371184">
          <w:marLeft w:val="0"/>
          <w:marRight w:val="0"/>
          <w:marTop w:val="0"/>
          <w:marBottom w:val="0"/>
          <w:divBdr>
            <w:top w:val="none" w:sz="0" w:space="0" w:color="auto"/>
            <w:left w:val="none" w:sz="0" w:space="0" w:color="auto"/>
            <w:bottom w:val="none" w:sz="0" w:space="0" w:color="auto"/>
            <w:right w:val="none" w:sz="0" w:space="0" w:color="auto"/>
          </w:divBdr>
          <w:divsChild>
            <w:div w:id="1569415401">
              <w:marLeft w:val="0"/>
              <w:marRight w:val="0"/>
              <w:marTop w:val="0"/>
              <w:marBottom w:val="0"/>
              <w:divBdr>
                <w:top w:val="none" w:sz="0" w:space="0" w:color="auto"/>
                <w:left w:val="none" w:sz="0" w:space="0" w:color="auto"/>
                <w:bottom w:val="none" w:sz="0" w:space="0" w:color="auto"/>
                <w:right w:val="none" w:sz="0" w:space="0" w:color="auto"/>
              </w:divBdr>
              <w:divsChild>
                <w:div w:id="12005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17147">
      <w:bodyDiv w:val="1"/>
      <w:marLeft w:val="0"/>
      <w:marRight w:val="0"/>
      <w:marTop w:val="0"/>
      <w:marBottom w:val="0"/>
      <w:divBdr>
        <w:top w:val="none" w:sz="0" w:space="0" w:color="auto"/>
        <w:left w:val="none" w:sz="0" w:space="0" w:color="auto"/>
        <w:bottom w:val="none" w:sz="0" w:space="0" w:color="auto"/>
        <w:right w:val="none" w:sz="0" w:space="0" w:color="auto"/>
      </w:divBdr>
    </w:div>
    <w:div w:id="212542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D1E24-071D-4835-AC07-80E5F8EC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3424</Words>
  <Characters>19521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default</dc:creator>
  <cp:keywords/>
  <cp:lastModifiedBy>Sarah Willig</cp:lastModifiedBy>
  <cp:revision>2</cp:revision>
  <cp:lastPrinted>2015-01-27T12:56:00Z</cp:lastPrinted>
  <dcterms:created xsi:type="dcterms:W3CDTF">2017-04-05T19:14:00Z</dcterms:created>
  <dcterms:modified xsi:type="dcterms:W3CDTF">2017-04-05T19:14:00Z</dcterms:modified>
</cp:coreProperties>
</file>