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1C3108" w14:paraId="77249725" w14:textId="77777777">
        <w:trPr>
          <w:trHeight w:val="851"/>
        </w:trPr>
        <w:tc>
          <w:tcPr>
            <w:tcW w:w="1259" w:type="dxa"/>
            <w:tcBorders>
              <w:top w:val="nil"/>
              <w:left w:val="nil"/>
              <w:bottom w:val="single" w:sz="4" w:space="0" w:color="auto"/>
              <w:right w:val="nil"/>
            </w:tcBorders>
            <w:vAlign w:val="bottom"/>
          </w:tcPr>
          <w:p w14:paraId="49F91409" w14:textId="77777777" w:rsidR="001C3108" w:rsidRPr="002762E2" w:rsidRDefault="002762E2" w:rsidP="002762E2">
            <w:pPr>
              <w:spacing w:line="20" w:lineRule="exact"/>
              <w:jc w:val="right"/>
              <w:rPr>
                <w:sz w:val="2"/>
              </w:rPr>
            </w:pPr>
            <w:r>
              <w:rPr>
                <w:rStyle w:val="CommentReference"/>
              </w:rPr>
              <w:commentReference w:id="0"/>
            </w:r>
            <w:bookmarkStart w:id="1" w:name="_GoBack"/>
            <w:bookmarkEnd w:id="1"/>
          </w:p>
          <w:p w14:paraId="73826858" w14:textId="77777777" w:rsidR="002762E2" w:rsidRPr="007369EB" w:rsidRDefault="002762E2" w:rsidP="001C3108">
            <w:pPr>
              <w:jc w:val="right"/>
            </w:pPr>
          </w:p>
        </w:tc>
        <w:tc>
          <w:tcPr>
            <w:tcW w:w="2236" w:type="dxa"/>
            <w:tcBorders>
              <w:top w:val="nil"/>
              <w:left w:val="nil"/>
              <w:bottom w:val="single" w:sz="4" w:space="0" w:color="auto"/>
              <w:right w:val="nil"/>
            </w:tcBorders>
            <w:vAlign w:val="bottom"/>
          </w:tcPr>
          <w:p w14:paraId="6CE9F852" w14:textId="77777777" w:rsidR="001C3108" w:rsidRPr="007369EB" w:rsidRDefault="001C3108" w:rsidP="001C3108">
            <w:r>
              <w:rPr>
                <w:sz w:val="28"/>
                <w:szCs w:val="28"/>
              </w:rPr>
              <w:t>United Nations</w:t>
            </w:r>
          </w:p>
        </w:tc>
        <w:tc>
          <w:tcPr>
            <w:tcW w:w="6144" w:type="dxa"/>
            <w:gridSpan w:val="2"/>
            <w:tcBorders>
              <w:top w:val="nil"/>
              <w:left w:val="nil"/>
              <w:bottom w:val="single" w:sz="4" w:space="0" w:color="auto"/>
              <w:right w:val="nil"/>
            </w:tcBorders>
            <w:vAlign w:val="bottom"/>
          </w:tcPr>
          <w:p w14:paraId="66E84178" w14:textId="77777777" w:rsidR="001C3108" w:rsidRPr="00DE3EC0" w:rsidRDefault="001C3108" w:rsidP="00D004CE">
            <w:pPr>
              <w:jc w:val="right"/>
            </w:pPr>
            <w:r w:rsidRPr="007C1F31">
              <w:rPr>
                <w:sz w:val="40"/>
              </w:rPr>
              <w:t>CCPR</w:t>
            </w:r>
            <w:r>
              <w:t>/C/11</w:t>
            </w:r>
            <w:r w:rsidR="00B80F72">
              <w:t>5</w:t>
            </w:r>
            <w:r>
              <w:t>/D/2</w:t>
            </w:r>
            <w:r w:rsidR="00B80F72">
              <w:t>631</w:t>
            </w:r>
            <w:r>
              <w:t>/201</w:t>
            </w:r>
            <w:r w:rsidR="00B80F72">
              <w:t>5</w:t>
            </w:r>
          </w:p>
        </w:tc>
      </w:tr>
      <w:tr w:rsidR="001C3108" w14:paraId="1D375559" w14:textId="77777777">
        <w:trPr>
          <w:trHeight w:val="2835"/>
        </w:trPr>
        <w:tc>
          <w:tcPr>
            <w:tcW w:w="1259" w:type="dxa"/>
            <w:tcBorders>
              <w:top w:val="single" w:sz="4" w:space="0" w:color="auto"/>
              <w:left w:val="nil"/>
              <w:bottom w:val="single" w:sz="12" w:space="0" w:color="auto"/>
              <w:right w:val="nil"/>
            </w:tcBorders>
          </w:tcPr>
          <w:p w14:paraId="51C75EA0" w14:textId="77777777" w:rsidR="001C3108" w:rsidRDefault="00B65E5E" w:rsidP="001C3108">
            <w:r>
              <w:rPr>
                <w:noProof/>
                <w:lang w:val="en-US"/>
              </w:rPr>
              <w:drawing>
                <wp:inline distT="0" distB="0" distL="0" distR="0" wp14:anchorId="177A28AB" wp14:editId="4476E410">
                  <wp:extent cx="715010" cy="574675"/>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5010" cy="574675"/>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68860773" w14:textId="77777777" w:rsidR="001C3108" w:rsidRDefault="001C3108" w:rsidP="001C3108">
            <w:pPr>
              <w:rPr>
                <w:b/>
                <w:sz w:val="34"/>
                <w:szCs w:val="40"/>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p w14:paraId="78D8B31F" w14:textId="77777777" w:rsidR="00D004CE" w:rsidRPr="00D73681" w:rsidRDefault="00D004CE" w:rsidP="001C3108"/>
        </w:tc>
        <w:tc>
          <w:tcPr>
            <w:tcW w:w="2930" w:type="dxa"/>
            <w:tcBorders>
              <w:top w:val="single" w:sz="4" w:space="0" w:color="auto"/>
              <w:left w:val="nil"/>
              <w:bottom w:val="single" w:sz="12" w:space="0" w:color="auto"/>
              <w:right w:val="nil"/>
            </w:tcBorders>
          </w:tcPr>
          <w:p w14:paraId="2C5C9F21" w14:textId="77777777" w:rsidR="00B65E5E" w:rsidRDefault="00B65E5E" w:rsidP="00B65E5E">
            <w:pPr>
              <w:spacing w:before="240" w:line="240" w:lineRule="exact"/>
            </w:pPr>
            <w:r>
              <w:t xml:space="preserve">Distr.: </w:t>
            </w:r>
            <w:r w:rsidR="00D004CE">
              <w:t>General</w:t>
            </w:r>
          </w:p>
          <w:p w14:paraId="785179FE" w14:textId="77777777" w:rsidR="00B65E5E" w:rsidRDefault="007B04A4" w:rsidP="00B65E5E">
            <w:pPr>
              <w:spacing w:line="240" w:lineRule="exact"/>
            </w:pPr>
            <w:r>
              <w:t>1</w:t>
            </w:r>
            <w:r w:rsidR="007C76F0">
              <w:t>8</w:t>
            </w:r>
            <w:r w:rsidR="00301FD3">
              <w:t xml:space="preserve"> December</w:t>
            </w:r>
            <w:r w:rsidR="00B65E5E">
              <w:t xml:space="preserve"> 2015</w:t>
            </w:r>
          </w:p>
          <w:p w14:paraId="68C210A3" w14:textId="77777777" w:rsidR="00B65E5E" w:rsidRDefault="00B65E5E" w:rsidP="00B65E5E">
            <w:pPr>
              <w:spacing w:line="240" w:lineRule="exact"/>
            </w:pPr>
          </w:p>
          <w:p w14:paraId="780537B8" w14:textId="77777777" w:rsidR="00B65E5E" w:rsidRDefault="00B65E5E" w:rsidP="00B65E5E">
            <w:pPr>
              <w:spacing w:line="240" w:lineRule="exact"/>
            </w:pPr>
            <w:r>
              <w:t>Original: English</w:t>
            </w:r>
          </w:p>
          <w:p w14:paraId="7B378D5E" w14:textId="77777777" w:rsidR="001C3108" w:rsidRDefault="001C3108" w:rsidP="00B65E5E">
            <w:pPr>
              <w:spacing w:line="240" w:lineRule="exact"/>
            </w:pPr>
          </w:p>
        </w:tc>
      </w:tr>
    </w:tbl>
    <w:p w14:paraId="6ED1F718" w14:textId="77777777" w:rsidR="001C3108" w:rsidRPr="0041431D" w:rsidRDefault="001C3108" w:rsidP="001C3108">
      <w:pPr>
        <w:spacing w:before="120"/>
        <w:rPr>
          <w:b/>
          <w:sz w:val="24"/>
          <w:szCs w:val="24"/>
        </w:rPr>
      </w:pPr>
      <w:r w:rsidRPr="0041431D">
        <w:rPr>
          <w:b/>
          <w:sz w:val="24"/>
          <w:szCs w:val="24"/>
        </w:rPr>
        <w:t>Human Rights Committee</w:t>
      </w:r>
    </w:p>
    <w:p w14:paraId="080143AA" w14:textId="77777777" w:rsidR="001C3108" w:rsidRDefault="001C3108">
      <w:pPr>
        <w:pStyle w:val="HChG"/>
      </w:pPr>
      <w:r>
        <w:tab/>
      </w:r>
      <w:r>
        <w:tab/>
      </w:r>
      <w:r w:rsidRPr="007C1F31">
        <w:t xml:space="preserve">Communication No. </w:t>
      </w:r>
      <w:r>
        <w:t>2</w:t>
      </w:r>
      <w:r w:rsidR="00FB5740">
        <w:t>63</w:t>
      </w:r>
      <w:r w:rsidR="00CF19BE">
        <w:t>1</w:t>
      </w:r>
      <w:r>
        <w:t>/201</w:t>
      </w:r>
      <w:r w:rsidR="00FB5740">
        <w:t>5</w:t>
      </w:r>
    </w:p>
    <w:p w14:paraId="338D929F" w14:textId="77777777" w:rsidR="001C3108" w:rsidRPr="007D3E05" w:rsidRDefault="001C3108">
      <w:pPr>
        <w:pStyle w:val="H1G"/>
      </w:pPr>
      <w:r w:rsidRPr="007D3E05">
        <w:tab/>
      </w:r>
      <w:r w:rsidRPr="007D3E05">
        <w:tab/>
      </w:r>
      <w:r w:rsidR="00F0576E">
        <w:t>Decision</w:t>
      </w:r>
      <w:r w:rsidR="00F0576E" w:rsidRPr="00F91B3A">
        <w:t xml:space="preserve"> </w:t>
      </w:r>
      <w:r w:rsidR="00984CB9">
        <w:t>adopted by</w:t>
      </w:r>
      <w:r w:rsidR="003A5F89">
        <w:t xml:space="preserve"> the </w:t>
      </w:r>
      <w:r w:rsidR="00CD6B63" w:rsidRPr="00A36331">
        <w:t xml:space="preserve">Committee </w:t>
      </w:r>
      <w:r w:rsidR="00984CB9">
        <w:t>at its 115th session (19 October-6 November</w:t>
      </w:r>
      <w:r w:rsidR="00CD6B63" w:rsidRPr="007D3E05" w:rsidDel="00F0576E">
        <w:t xml:space="preserve"> </w:t>
      </w:r>
      <w:r w:rsidR="00984CB9">
        <w:t>2015)</w:t>
      </w:r>
    </w:p>
    <w:p w14:paraId="593EAAA3" w14:textId="77777777" w:rsidR="001C3108" w:rsidRPr="007C1F31" w:rsidRDefault="001C3108" w:rsidP="002A0D62">
      <w:pPr>
        <w:pStyle w:val="SingleTxtG"/>
        <w:ind w:left="4536" w:hanging="3402"/>
        <w:jc w:val="left"/>
      </w:pPr>
      <w:r w:rsidRPr="001C584B">
        <w:rPr>
          <w:i/>
        </w:rPr>
        <w:t>Submitted by:</w:t>
      </w:r>
      <w:r w:rsidRPr="007C1F31">
        <w:tab/>
      </w:r>
      <w:r w:rsidR="00FB5740" w:rsidRPr="003B52A3">
        <w:rPr>
          <w:lang w:val="en-GB"/>
        </w:rPr>
        <w:t>J.G.</w:t>
      </w:r>
      <w:r>
        <w:t xml:space="preserve"> (represented by counsel, </w:t>
      </w:r>
      <w:r w:rsidR="00FB5740" w:rsidRPr="003B52A3">
        <w:rPr>
          <w:lang w:val="en-GB"/>
        </w:rPr>
        <w:t>Ross Dillon</w:t>
      </w:r>
      <w:r>
        <w:t>)</w:t>
      </w:r>
    </w:p>
    <w:p w14:paraId="542516FD" w14:textId="77777777" w:rsidR="001C3108" w:rsidRPr="007C1F31" w:rsidRDefault="001C3108" w:rsidP="002A0D62">
      <w:pPr>
        <w:pStyle w:val="SingleTxtG"/>
        <w:ind w:left="4536" w:hanging="3402"/>
        <w:jc w:val="left"/>
      </w:pPr>
      <w:r w:rsidRPr="001C584B">
        <w:rPr>
          <w:i/>
        </w:rPr>
        <w:t>Alleged victim:</w:t>
      </w:r>
      <w:r>
        <w:tab/>
        <w:t>The author</w:t>
      </w:r>
    </w:p>
    <w:p w14:paraId="2DEFD7B4" w14:textId="77777777" w:rsidR="001C3108" w:rsidRPr="007C1F31" w:rsidRDefault="001C3108" w:rsidP="002A0D62">
      <w:pPr>
        <w:pStyle w:val="SingleTxtG"/>
        <w:ind w:left="4536" w:hanging="3402"/>
        <w:jc w:val="left"/>
      </w:pPr>
      <w:r w:rsidRPr="001C584B">
        <w:rPr>
          <w:i/>
        </w:rPr>
        <w:t>State party:</w:t>
      </w:r>
      <w:r w:rsidRPr="007C1F31">
        <w:tab/>
      </w:r>
      <w:r w:rsidR="00FB5740" w:rsidRPr="003B52A3">
        <w:rPr>
          <w:lang w:val="en-GB"/>
        </w:rPr>
        <w:t>New Zealand</w:t>
      </w:r>
    </w:p>
    <w:p w14:paraId="6532EE87" w14:textId="77777777" w:rsidR="001C3108" w:rsidRPr="007C1F31" w:rsidRDefault="001C3108" w:rsidP="002A0D62">
      <w:pPr>
        <w:pStyle w:val="SingleTxtG"/>
        <w:ind w:left="4536" w:hanging="3402"/>
        <w:jc w:val="left"/>
      </w:pPr>
      <w:r w:rsidRPr="001C584B">
        <w:rPr>
          <w:i/>
        </w:rPr>
        <w:t>Date of communication:</w:t>
      </w:r>
      <w:r w:rsidRPr="007C1F31">
        <w:tab/>
      </w:r>
      <w:r w:rsidR="00FB5740" w:rsidRPr="003B52A3">
        <w:rPr>
          <w:lang w:val="en-GB"/>
        </w:rPr>
        <w:t>24 June 2015</w:t>
      </w:r>
      <w:r w:rsidRPr="007C1F31">
        <w:t xml:space="preserve"> (initial submission)</w:t>
      </w:r>
    </w:p>
    <w:p w14:paraId="6DF59E96" w14:textId="77777777" w:rsidR="001C3108" w:rsidRDefault="001C3108" w:rsidP="002A0D62">
      <w:pPr>
        <w:pStyle w:val="SingleTxtG"/>
        <w:ind w:left="4536" w:hanging="3402"/>
        <w:jc w:val="left"/>
      </w:pPr>
      <w:r w:rsidRPr="001C584B">
        <w:rPr>
          <w:i/>
        </w:rPr>
        <w:t>Date of decision:</w:t>
      </w:r>
      <w:r w:rsidRPr="007C1F31">
        <w:tab/>
      </w:r>
      <w:r w:rsidR="00D004CE" w:rsidRPr="002A0D62">
        <w:rPr>
          <w:lang w:val="en-US"/>
        </w:rPr>
        <w:t>2 November</w:t>
      </w:r>
      <w:r>
        <w:t xml:space="preserve"> 2015</w:t>
      </w:r>
    </w:p>
    <w:p w14:paraId="02D1CFC4" w14:textId="77777777" w:rsidR="001C3108" w:rsidRPr="005468E7" w:rsidRDefault="001C3108" w:rsidP="002A0D62">
      <w:pPr>
        <w:pStyle w:val="SingleTxtG"/>
        <w:ind w:left="4536" w:hanging="3402"/>
        <w:jc w:val="left"/>
        <w:rPr>
          <w:highlight w:val="yellow"/>
        </w:rPr>
      </w:pPr>
      <w:r w:rsidRPr="007C1F31">
        <w:rPr>
          <w:i/>
        </w:rPr>
        <w:t>Subject matter:</w:t>
      </w:r>
      <w:r w:rsidR="006004F2">
        <w:rPr>
          <w:i/>
        </w:rPr>
        <w:t xml:space="preserve"> </w:t>
      </w:r>
      <w:r w:rsidRPr="007C1F31">
        <w:rPr>
          <w:i/>
        </w:rPr>
        <w:tab/>
      </w:r>
      <w:r w:rsidR="00FB5740" w:rsidRPr="002A0D62">
        <w:rPr>
          <w:i/>
          <w:iCs/>
          <w:lang w:val="en-GB"/>
        </w:rPr>
        <w:t>Ne bis in idem</w:t>
      </w:r>
      <w:r w:rsidR="00CB5A9C">
        <w:rPr>
          <w:lang w:val="en-GB"/>
        </w:rPr>
        <w:t>;</w:t>
      </w:r>
      <w:r w:rsidR="00FB5740" w:rsidRPr="003B52A3">
        <w:rPr>
          <w:lang w:val="en-GB"/>
        </w:rPr>
        <w:t xml:space="preserve"> d</w:t>
      </w:r>
      <w:r>
        <w:t xml:space="preserve">eportation to </w:t>
      </w:r>
      <w:r w:rsidR="00FB5740" w:rsidRPr="003B52A3">
        <w:rPr>
          <w:lang w:val="en-GB"/>
        </w:rPr>
        <w:t>China</w:t>
      </w:r>
      <w:r>
        <w:rPr>
          <w:highlight w:val="yellow"/>
        </w:rPr>
        <w:t xml:space="preserve"> </w:t>
      </w:r>
    </w:p>
    <w:p w14:paraId="461C3BA3" w14:textId="77777777" w:rsidR="001C3108" w:rsidRPr="00480264" w:rsidRDefault="001C3108" w:rsidP="002A0D62">
      <w:pPr>
        <w:pStyle w:val="SingleTxtG"/>
        <w:ind w:left="4536" w:hanging="3402"/>
        <w:jc w:val="left"/>
        <w:rPr>
          <w:i/>
        </w:rPr>
      </w:pPr>
      <w:r w:rsidRPr="009671D3">
        <w:rPr>
          <w:i/>
        </w:rPr>
        <w:t>Procedural issue</w:t>
      </w:r>
      <w:r w:rsidR="00984CB9">
        <w:rPr>
          <w:i/>
          <w:lang w:val="en-US"/>
        </w:rPr>
        <w:t>s</w:t>
      </w:r>
      <w:r w:rsidRPr="009671D3">
        <w:rPr>
          <w:i/>
        </w:rPr>
        <w:t xml:space="preserve">: </w:t>
      </w:r>
      <w:r w:rsidRPr="009671D3">
        <w:rPr>
          <w:i/>
        </w:rPr>
        <w:tab/>
      </w:r>
      <w:r w:rsidR="00007E38" w:rsidRPr="00480264">
        <w:rPr>
          <w:lang w:val="en-GB"/>
        </w:rPr>
        <w:t>Admissibility</w:t>
      </w:r>
      <w:r w:rsidR="00007E38" w:rsidRPr="002A0D62">
        <w:rPr>
          <w:i/>
          <w:iCs/>
          <w:lang w:val="en-GB"/>
        </w:rPr>
        <w:t xml:space="preserve"> ratione materiae</w:t>
      </w:r>
    </w:p>
    <w:p w14:paraId="4428C737" w14:textId="77777777" w:rsidR="00FB5CF4" w:rsidRPr="009671D3" w:rsidRDefault="00FB5CF4" w:rsidP="002A0D62">
      <w:pPr>
        <w:pStyle w:val="SingleTxtG"/>
        <w:ind w:left="4536" w:hanging="3402"/>
        <w:jc w:val="left"/>
      </w:pPr>
      <w:r w:rsidRPr="009671D3">
        <w:rPr>
          <w:i/>
        </w:rPr>
        <w:t>Substantive issue</w:t>
      </w:r>
      <w:r w:rsidR="00984CB9">
        <w:rPr>
          <w:i/>
          <w:lang w:val="en-US"/>
        </w:rPr>
        <w:t>s</w:t>
      </w:r>
      <w:r w:rsidRPr="009671D3">
        <w:rPr>
          <w:i/>
        </w:rPr>
        <w:t xml:space="preserve">: </w:t>
      </w:r>
      <w:r w:rsidRPr="009671D3">
        <w:rPr>
          <w:i/>
        </w:rPr>
        <w:tab/>
      </w:r>
      <w:r w:rsidR="00FB5740" w:rsidRPr="002A0D62">
        <w:rPr>
          <w:i/>
          <w:iCs/>
          <w:lang w:val="en-GB"/>
        </w:rPr>
        <w:t>Ne bis in idem</w:t>
      </w:r>
      <w:r w:rsidR="00FB5740" w:rsidRPr="003B52A3">
        <w:rPr>
          <w:lang w:val="en-GB"/>
        </w:rPr>
        <w:t xml:space="preserve"> </w:t>
      </w:r>
    </w:p>
    <w:p w14:paraId="6B6F6225" w14:textId="77777777" w:rsidR="001C3108" w:rsidRPr="009671D3" w:rsidRDefault="001C3108" w:rsidP="002A0D62">
      <w:pPr>
        <w:pStyle w:val="SingleTxtG"/>
        <w:ind w:left="4536" w:hanging="3402"/>
        <w:jc w:val="left"/>
      </w:pPr>
      <w:r w:rsidRPr="009671D3">
        <w:rPr>
          <w:i/>
        </w:rPr>
        <w:t>Article</w:t>
      </w:r>
      <w:r w:rsidR="00984CB9">
        <w:rPr>
          <w:i/>
          <w:lang w:val="en-US"/>
        </w:rPr>
        <w:t>s</w:t>
      </w:r>
      <w:r w:rsidRPr="009671D3">
        <w:rPr>
          <w:i/>
        </w:rPr>
        <w:t xml:space="preserve"> of the Covenant:</w:t>
      </w:r>
      <w:r>
        <w:t xml:space="preserve"> </w:t>
      </w:r>
      <w:r>
        <w:tab/>
      </w:r>
      <w:r w:rsidR="00FB5740" w:rsidRPr="003B52A3">
        <w:rPr>
          <w:lang w:val="en-GB"/>
        </w:rPr>
        <w:t xml:space="preserve">14 (7) </w:t>
      </w:r>
    </w:p>
    <w:p w14:paraId="2B150520" w14:textId="77777777" w:rsidR="001C3108" w:rsidRPr="009671D3" w:rsidRDefault="001C3108" w:rsidP="002A0D62">
      <w:pPr>
        <w:pStyle w:val="SingleTxtG"/>
        <w:ind w:left="4536" w:hanging="3402"/>
        <w:jc w:val="left"/>
        <w:rPr>
          <w:i/>
        </w:rPr>
      </w:pPr>
      <w:r w:rsidRPr="009671D3">
        <w:rPr>
          <w:i/>
        </w:rPr>
        <w:t>Article</w:t>
      </w:r>
      <w:r w:rsidR="00984CB9">
        <w:rPr>
          <w:i/>
          <w:lang w:val="en-US"/>
        </w:rPr>
        <w:t>s</w:t>
      </w:r>
      <w:r w:rsidRPr="009671D3">
        <w:rPr>
          <w:i/>
        </w:rPr>
        <w:t xml:space="preserve"> of the Optional Protocol:</w:t>
      </w:r>
      <w:r w:rsidRPr="009671D3">
        <w:rPr>
          <w:i/>
        </w:rPr>
        <w:tab/>
      </w:r>
      <w:r w:rsidR="000E5D0C" w:rsidRPr="00480264">
        <w:rPr>
          <w:lang w:val="en-GB"/>
        </w:rPr>
        <w:t>3</w:t>
      </w:r>
    </w:p>
    <w:p w14:paraId="607274D0" w14:textId="77777777" w:rsidR="00CB5A9C" w:rsidRDefault="001C3108" w:rsidP="00CB5A9C">
      <w:pPr>
        <w:pStyle w:val="H1G"/>
        <w:rPr>
          <w:i/>
        </w:rPr>
      </w:pPr>
      <w:r w:rsidRPr="007C1F31">
        <w:rPr>
          <w:i/>
        </w:rPr>
        <w:br w:type="page"/>
      </w:r>
    </w:p>
    <w:p w14:paraId="21F847C0" w14:textId="77777777" w:rsidR="00CB5A9C" w:rsidRDefault="00CB5A9C" w:rsidP="002A0D62">
      <w:pPr>
        <w:pStyle w:val="HChG"/>
      </w:pPr>
      <w:r>
        <w:lastRenderedPageBreak/>
        <w:t>Annex</w:t>
      </w:r>
    </w:p>
    <w:p w14:paraId="4CE551B6" w14:textId="77777777" w:rsidR="001C3108" w:rsidRDefault="00CB5A9C" w:rsidP="002A0D62">
      <w:pPr>
        <w:pStyle w:val="HChG"/>
      </w:pPr>
      <w:r>
        <w:tab/>
      </w:r>
      <w:r>
        <w:tab/>
        <w:t>Decision of the Human Rights Committee under the Optional Protocol to the International Covenant on Civil and Political Rights (115th session)</w:t>
      </w:r>
    </w:p>
    <w:p w14:paraId="147C9F77" w14:textId="77777777" w:rsidR="00984CB9" w:rsidRDefault="00984CB9" w:rsidP="002A0D62">
      <w:r>
        <w:tab/>
      </w:r>
      <w:r>
        <w:tab/>
        <w:t>concerning</w:t>
      </w:r>
    </w:p>
    <w:p w14:paraId="0BFE64BC" w14:textId="77777777" w:rsidR="00984CB9" w:rsidRPr="002A0D62" w:rsidRDefault="00984CB9" w:rsidP="002A0D62">
      <w:pPr>
        <w:pStyle w:val="H1G"/>
      </w:pPr>
      <w:r>
        <w:tab/>
      </w:r>
      <w:r>
        <w:tab/>
        <w:t>Communication No. 2631/2015</w:t>
      </w:r>
      <w:r w:rsidRPr="00026B89">
        <w:rPr>
          <w:rStyle w:val="FootnoteReference"/>
          <w:bCs/>
          <w:sz w:val="20"/>
          <w:vertAlign w:val="baseline"/>
        </w:rPr>
        <w:footnoteReference w:customMarkFollows="1" w:id="2"/>
        <w:t>*</w:t>
      </w:r>
    </w:p>
    <w:p w14:paraId="396B453B" w14:textId="77777777" w:rsidR="00D73681" w:rsidRPr="00A36331" w:rsidRDefault="00D73681" w:rsidP="00D73681">
      <w:pPr>
        <w:pStyle w:val="SingleTxtG"/>
      </w:pPr>
      <w:r w:rsidRPr="00A36331">
        <w:tab/>
      </w:r>
      <w:r w:rsidRPr="00A36331">
        <w:rPr>
          <w:i/>
        </w:rPr>
        <w:t>The Human Rights Committee</w:t>
      </w:r>
      <w:r w:rsidRPr="00A36331">
        <w:t xml:space="preserve">, established under article 28 of the International Covenant on Civil and Political Rights, </w:t>
      </w:r>
    </w:p>
    <w:p w14:paraId="634BC677" w14:textId="77777777" w:rsidR="00D73681" w:rsidRPr="00A36331" w:rsidRDefault="00D73681" w:rsidP="00D73681">
      <w:pPr>
        <w:pStyle w:val="SingleTxtG"/>
      </w:pPr>
      <w:r w:rsidRPr="00A36331">
        <w:tab/>
      </w:r>
      <w:r w:rsidRPr="00A36331">
        <w:rPr>
          <w:i/>
        </w:rPr>
        <w:t xml:space="preserve">Meeting </w:t>
      </w:r>
      <w:r w:rsidRPr="002A0D62">
        <w:rPr>
          <w:iCs/>
        </w:rPr>
        <w:t>on</w:t>
      </w:r>
      <w:r w:rsidRPr="00A36331">
        <w:t xml:space="preserve"> </w:t>
      </w:r>
      <w:r>
        <w:t>2 November 2015</w:t>
      </w:r>
      <w:r w:rsidRPr="00A36331">
        <w:t>,</w:t>
      </w:r>
    </w:p>
    <w:p w14:paraId="6D09C1DB" w14:textId="77777777" w:rsidR="00D73681" w:rsidRPr="00A36331" w:rsidRDefault="00D73681" w:rsidP="00CB5A9C">
      <w:pPr>
        <w:pStyle w:val="SingleTxtG"/>
        <w:rPr>
          <w:i/>
        </w:rPr>
      </w:pPr>
      <w:r w:rsidRPr="00A36331">
        <w:rPr>
          <w:i/>
        </w:rPr>
        <w:tab/>
        <w:t xml:space="preserve">Having concluded </w:t>
      </w:r>
      <w:r w:rsidRPr="00A36331">
        <w:t xml:space="preserve">its consideration of communication No. </w:t>
      </w:r>
      <w:r>
        <w:rPr>
          <w:lang w:val="en-GB"/>
        </w:rPr>
        <w:t>2631/2015</w:t>
      </w:r>
      <w:r w:rsidRPr="00A36331">
        <w:t xml:space="preserve">, submitted to </w:t>
      </w:r>
      <w:r w:rsidR="00EF1145">
        <w:rPr>
          <w:lang w:val="en-US"/>
        </w:rPr>
        <w:t>it</w:t>
      </w:r>
      <w:r w:rsidRPr="00A36331">
        <w:t xml:space="preserve"> </w:t>
      </w:r>
      <w:r>
        <w:rPr>
          <w:lang w:val="en-GB"/>
        </w:rPr>
        <w:t>on behalf of</w:t>
      </w:r>
      <w:r>
        <w:t xml:space="preserve"> </w:t>
      </w:r>
      <w:r>
        <w:rPr>
          <w:lang w:val="en-GB"/>
        </w:rPr>
        <w:t>J</w:t>
      </w:r>
      <w:r>
        <w:t>.</w:t>
      </w:r>
      <w:r>
        <w:rPr>
          <w:lang w:val="en-GB"/>
        </w:rPr>
        <w:t>G</w:t>
      </w:r>
      <w:r>
        <w:t xml:space="preserve">. </w:t>
      </w:r>
      <w:r w:rsidRPr="00A36331">
        <w:t>under the Optional Protocol to the International Covenant on Civil and Political Rights,</w:t>
      </w:r>
    </w:p>
    <w:p w14:paraId="2A5EEDB7" w14:textId="77777777" w:rsidR="00D73681" w:rsidRPr="00A36331" w:rsidRDefault="00D73681" w:rsidP="00D73681">
      <w:pPr>
        <w:pStyle w:val="SingleTxtG"/>
        <w:rPr>
          <w:i/>
        </w:rPr>
      </w:pPr>
      <w:r w:rsidRPr="00A36331">
        <w:rPr>
          <w:i/>
        </w:rPr>
        <w:tab/>
        <w:t xml:space="preserve">Having taken into account </w:t>
      </w:r>
      <w:r w:rsidRPr="00A36331">
        <w:t>all written information made available to it by the author of the communication and the State party,</w:t>
      </w:r>
    </w:p>
    <w:p w14:paraId="16D24266" w14:textId="77777777" w:rsidR="00D73681" w:rsidRPr="00A36331" w:rsidRDefault="00D73681" w:rsidP="00D73681">
      <w:pPr>
        <w:pStyle w:val="SingleTxtG"/>
        <w:rPr>
          <w:bCs/>
        </w:rPr>
      </w:pPr>
      <w:r w:rsidRPr="00A36331">
        <w:rPr>
          <w:bCs/>
        </w:rPr>
        <w:tab/>
      </w:r>
      <w:r w:rsidRPr="00A36331">
        <w:rPr>
          <w:bCs/>
          <w:i/>
        </w:rPr>
        <w:t xml:space="preserve">Adopts </w:t>
      </w:r>
      <w:r w:rsidRPr="002A0D62">
        <w:rPr>
          <w:bCs/>
          <w:iCs/>
        </w:rPr>
        <w:t>the following</w:t>
      </w:r>
      <w:r w:rsidRPr="00A36331">
        <w:rPr>
          <w:bCs/>
        </w:rPr>
        <w:t>:</w:t>
      </w:r>
    </w:p>
    <w:p w14:paraId="1B4A1062" w14:textId="77777777" w:rsidR="00CB5A9C" w:rsidRPr="00D73681" w:rsidRDefault="00CB5A9C">
      <w:pPr>
        <w:pStyle w:val="H1G"/>
      </w:pPr>
      <w:r>
        <w:tab/>
      </w:r>
      <w:r>
        <w:tab/>
      </w:r>
      <w:r w:rsidRPr="00704B15">
        <w:t>Decision on admissibility</w:t>
      </w:r>
    </w:p>
    <w:p w14:paraId="03634477" w14:textId="77777777" w:rsidR="001C3108" w:rsidRDefault="001C3108" w:rsidP="00CB5A9C">
      <w:pPr>
        <w:pStyle w:val="SingleTxtG"/>
        <w:spacing w:line="240" w:lineRule="auto"/>
      </w:pPr>
      <w:r w:rsidRPr="007C1F31">
        <w:t>1.</w:t>
      </w:r>
      <w:r>
        <w:t>1</w:t>
      </w:r>
      <w:r w:rsidRPr="007C1F31">
        <w:tab/>
      </w:r>
      <w:r>
        <w:t xml:space="preserve">The author of the communication is </w:t>
      </w:r>
      <w:r w:rsidR="00FB5740" w:rsidRPr="003B52A3">
        <w:rPr>
          <w:lang w:val="en-GB"/>
        </w:rPr>
        <w:t>J.G.</w:t>
      </w:r>
      <w:r>
        <w:t xml:space="preserve">, a </w:t>
      </w:r>
      <w:r w:rsidR="00F74189" w:rsidRPr="003B52A3">
        <w:rPr>
          <w:lang w:val="en-GB"/>
        </w:rPr>
        <w:t>Chinese</w:t>
      </w:r>
      <w:r>
        <w:t xml:space="preserve"> national born </w:t>
      </w:r>
      <w:r w:rsidR="00F74189" w:rsidRPr="003B52A3">
        <w:rPr>
          <w:lang w:val="en-GB"/>
        </w:rPr>
        <w:t>in</w:t>
      </w:r>
      <w:r>
        <w:t xml:space="preserve"> 19</w:t>
      </w:r>
      <w:r w:rsidR="00F74189" w:rsidRPr="003B52A3">
        <w:rPr>
          <w:lang w:val="en-GB"/>
        </w:rPr>
        <w:t>6</w:t>
      </w:r>
      <w:r>
        <w:t>3</w:t>
      </w:r>
      <w:r w:rsidR="00080A43" w:rsidRPr="005A1422">
        <w:rPr>
          <w:lang w:val="en-GB"/>
        </w:rPr>
        <w:t>, who</w:t>
      </w:r>
      <w:r w:rsidR="00DB4B79">
        <w:rPr>
          <w:lang w:val="en-GB"/>
        </w:rPr>
        <w:t>se application for</w:t>
      </w:r>
      <w:r w:rsidR="00080A43">
        <w:rPr>
          <w:lang w:val="en-GB"/>
        </w:rPr>
        <w:t xml:space="preserve"> asylum in New</w:t>
      </w:r>
      <w:r w:rsidR="007C7037">
        <w:rPr>
          <w:lang w:val="en-GB"/>
        </w:rPr>
        <w:t xml:space="preserve"> </w:t>
      </w:r>
      <w:r w:rsidR="00080A43">
        <w:rPr>
          <w:lang w:val="en-GB"/>
        </w:rPr>
        <w:t>Ze</w:t>
      </w:r>
      <w:r w:rsidR="00CF02F3">
        <w:rPr>
          <w:lang w:val="en-GB"/>
        </w:rPr>
        <w:t>a</w:t>
      </w:r>
      <w:r w:rsidR="00080A43">
        <w:rPr>
          <w:lang w:val="en-GB"/>
        </w:rPr>
        <w:t>land</w:t>
      </w:r>
      <w:r w:rsidR="00DB4B79">
        <w:rPr>
          <w:lang w:val="en-GB"/>
        </w:rPr>
        <w:t xml:space="preserve"> </w:t>
      </w:r>
      <w:r w:rsidR="00080A43">
        <w:rPr>
          <w:lang w:val="en-GB"/>
        </w:rPr>
        <w:t xml:space="preserve">was rejected. </w:t>
      </w:r>
      <w:r>
        <w:t xml:space="preserve">He claims that his deportation to </w:t>
      </w:r>
      <w:r w:rsidR="00F74189" w:rsidRPr="003B52A3">
        <w:rPr>
          <w:lang w:val="en-GB"/>
        </w:rPr>
        <w:t>China</w:t>
      </w:r>
      <w:r>
        <w:t xml:space="preserve"> by the State party would constitute a violation of his rights under article </w:t>
      </w:r>
      <w:r w:rsidR="00F74189" w:rsidRPr="003B52A3">
        <w:rPr>
          <w:lang w:val="en-GB"/>
        </w:rPr>
        <w:t>14 (7)</w:t>
      </w:r>
      <w:r>
        <w:t xml:space="preserve"> of the Covenant</w:t>
      </w:r>
      <w:r w:rsidR="00080A43" w:rsidRPr="005A1422">
        <w:rPr>
          <w:lang w:val="en-GB"/>
        </w:rPr>
        <w:t xml:space="preserve"> and invites th</w:t>
      </w:r>
      <w:r w:rsidR="00080A43">
        <w:rPr>
          <w:lang w:val="en-GB"/>
        </w:rPr>
        <w:t>e</w:t>
      </w:r>
      <w:r w:rsidR="00080A43" w:rsidRPr="005A1422">
        <w:rPr>
          <w:lang w:val="en-GB"/>
        </w:rPr>
        <w:t xml:space="preserve"> Committee to </w:t>
      </w:r>
      <w:r w:rsidR="00080A43">
        <w:rPr>
          <w:lang w:val="en-GB"/>
        </w:rPr>
        <w:t>issue a request for interim measures of protection to put his removal</w:t>
      </w:r>
      <w:r w:rsidR="00EF1145">
        <w:rPr>
          <w:lang w:val="en-GB"/>
        </w:rPr>
        <w:t xml:space="preserve"> on hold</w:t>
      </w:r>
      <w:r>
        <w:t>. The author is represented by counsel.</w:t>
      </w:r>
    </w:p>
    <w:p w14:paraId="124639F0" w14:textId="77777777" w:rsidR="001C3108" w:rsidRPr="00B65E5E" w:rsidRDefault="001C3108" w:rsidP="00B65E5E">
      <w:pPr>
        <w:pStyle w:val="SingleTxtG"/>
        <w:rPr>
          <w:lang w:val="en-GB"/>
        </w:rPr>
      </w:pPr>
      <w:r>
        <w:rPr>
          <w:lang w:val="en-CA"/>
        </w:rPr>
        <w:t>1.2</w:t>
      </w:r>
      <w:r w:rsidRPr="00090BCF">
        <w:rPr>
          <w:lang w:val="en-CA"/>
        </w:rPr>
        <w:tab/>
      </w:r>
      <w:r w:rsidRPr="00E0471D">
        <w:rPr>
          <w:lang w:val="en-CA"/>
        </w:rPr>
        <w:t xml:space="preserve">On </w:t>
      </w:r>
      <w:r w:rsidR="00F74189">
        <w:rPr>
          <w:lang w:val="en-CA"/>
        </w:rPr>
        <w:t>10</w:t>
      </w:r>
      <w:r w:rsidRPr="00E0471D">
        <w:rPr>
          <w:lang w:val="en-CA"/>
        </w:rPr>
        <w:t xml:space="preserve"> </w:t>
      </w:r>
      <w:r w:rsidR="00F74189">
        <w:rPr>
          <w:lang w:val="en-CA"/>
        </w:rPr>
        <w:t>July</w:t>
      </w:r>
      <w:r w:rsidRPr="00E0471D">
        <w:rPr>
          <w:lang w:val="en-CA"/>
        </w:rPr>
        <w:t xml:space="preserve"> 2015</w:t>
      </w:r>
      <w:r w:rsidRPr="00090BCF">
        <w:rPr>
          <w:lang w:val="en-CA"/>
        </w:rPr>
        <w:t xml:space="preserve">, the </w:t>
      </w:r>
      <w:r w:rsidR="00080A43">
        <w:rPr>
          <w:lang w:val="en-CA"/>
        </w:rPr>
        <w:t xml:space="preserve">Committee, acting through its </w:t>
      </w:r>
      <w:r w:rsidRPr="00090BCF">
        <w:rPr>
          <w:lang w:val="en-CA"/>
        </w:rPr>
        <w:t xml:space="preserve">Special Rapporteur on new communications and interim measures, </w:t>
      </w:r>
      <w:r>
        <w:rPr>
          <w:lang w:val="en-CA"/>
        </w:rPr>
        <w:t xml:space="preserve">decided not to issue a request for interim measures under rule 92 of the </w:t>
      </w:r>
      <w:r w:rsidRPr="00B65E5E">
        <w:t>Committee’s</w:t>
      </w:r>
      <w:r>
        <w:rPr>
          <w:lang w:val="en-CA"/>
        </w:rPr>
        <w:t xml:space="preserve"> rules of procedure</w:t>
      </w:r>
      <w:r w:rsidR="00007E38">
        <w:rPr>
          <w:lang w:val="en-CA"/>
        </w:rPr>
        <w:t xml:space="preserve"> </w:t>
      </w:r>
      <w:r w:rsidR="00007E38" w:rsidRPr="00B81E97">
        <w:rPr>
          <w:lang w:val="en-GB"/>
        </w:rPr>
        <w:t>and</w:t>
      </w:r>
      <w:r w:rsidR="00007E38">
        <w:rPr>
          <w:lang w:val="en-GB"/>
        </w:rPr>
        <w:t xml:space="preserve"> determined</w:t>
      </w:r>
      <w:r w:rsidR="00007E38" w:rsidRPr="00B81E97">
        <w:rPr>
          <w:lang w:val="en-GB"/>
        </w:rPr>
        <w:t xml:space="preserve"> that no observations from the State party were needed to ascertain the admissibility of the present communication.</w:t>
      </w:r>
    </w:p>
    <w:p w14:paraId="2B296236" w14:textId="77777777" w:rsidR="00F74189" w:rsidRPr="00480264" w:rsidRDefault="001C3108" w:rsidP="00B65E5E">
      <w:pPr>
        <w:pStyle w:val="H23G"/>
      </w:pPr>
      <w:r>
        <w:tab/>
      </w:r>
      <w:r>
        <w:tab/>
      </w:r>
      <w:r w:rsidRPr="00480264">
        <w:t>The facts as presented by the author</w:t>
      </w:r>
    </w:p>
    <w:p w14:paraId="6DA98A08" w14:textId="77777777" w:rsidR="0089606F" w:rsidRPr="0089606F" w:rsidRDefault="001C3108" w:rsidP="00CB5A9C">
      <w:pPr>
        <w:pStyle w:val="SingleTxtG"/>
        <w:rPr>
          <w:lang w:val="en-GB"/>
        </w:rPr>
      </w:pPr>
      <w:r>
        <w:t>2.1</w:t>
      </w:r>
      <w:r>
        <w:tab/>
      </w:r>
      <w:r w:rsidR="00080A43" w:rsidRPr="005A1422">
        <w:rPr>
          <w:lang w:val="en-GB"/>
        </w:rPr>
        <w:t>The author, together with h</w:t>
      </w:r>
      <w:r w:rsidR="00CF02F3">
        <w:rPr>
          <w:lang w:val="en-GB"/>
        </w:rPr>
        <w:t>i</w:t>
      </w:r>
      <w:r w:rsidR="00080A43" w:rsidRPr="005A1422">
        <w:rPr>
          <w:lang w:val="en-GB"/>
        </w:rPr>
        <w:t xml:space="preserve">s wife, ran </w:t>
      </w:r>
      <w:r w:rsidR="00080A43" w:rsidRPr="0089606F">
        <w:rPr>
          <w:lang w:val="en-GB"/>
        </w:rPr>
        <w:t>a granite</w:t>
      </w:r>
      <w:r w:rsidR="00EF1145">
        <w:rPr>
          <w:lang w:val="en-GB"/>
        </w:rPr>
        <w:t>-</w:t>
      </w:r>
      <w:r w:rsidR="00080A43" w:rsidRPr="0089606F">
        <w:rPr>
          <w:lang w:val="en-GB"/>
        </w:rPr>
        <w:t xml:space="preserve">exporting business </w:t>
      </w:r>
      <w:r w:rsidR="00080A43">
        <w:rPr>
          <w:lang w:val="en-GB"/>
        </w:rPr>
        <w:t xml:space="preserve">in China </w:t>
      </w:r>
      <w:r w:rsidR="00080A43" w:rsidRPr="0089606F">
        <w:rPr>
          <w:lang w:val="en-GB"/>
        </w:rPr>
        <w:t>from 1993 to 2002.</w:t>
      </w:r>
      <w:r w:rsidR="00080A43">
        <w:rPr>
          <w:lang w:val="en-GB"/>
        </w:rPr>
        <w:t xml:space="preserve"> He </w:t>
      </w:r>
      <w:r w:rsidR="0089606F" w:rsidRPr="0089606F">
        <w:rPr>
          <w:lang w:val="en-GB"/>
        </w:rPr>
        <w:t xml:space="preserve">arrived </w:t>
      </w:r>
      <w:r w:rsidR="0089606F" w:rsidRPr="00B65E5E">
        <w:t>with</w:t>
      </w:r>
      <w:r w:rsidR="0089606F" w:rsidRPr="0089606F">
        <w:rPr>
          <w:lang w:val="en-GB"/>
        </w:rPr>
        <w:t xml:space="preserve"> his </w:t>
      </w:r>
      <w:r w:rsidR="00DB4B79">
        <w:rPr>
          <w:lang w:val="en-GB"/>
        </w:rPr>
        <w:t>wife and child</w:t>
      </w:r>
      <w:r w:rsidR="0089606F" w:rsidRPr="0089606F">
        <w:rPr>
          <w:lang w:val="en-GB"/>
        </w:rPr>
        <w:t xml:space="preserve"> in New Zealand in March 2002</w:t>
      </w:r>
      <w:r w:rsidR="00080A43">
        <w:rPr>
          <w:lang w:val="en-GB"/>
        </w:rPr>
        <w:t xml:space="preserve"> and </w:t>
      </w:r>
      <w:r w:rsidR="00EF1145">
        <w:rPr>
          <w:lang w:val="en-GB"/>
        </w:rPr>
        <w:t>t</w:t>
      </w:r>
      <w:r w:rsidR="00080A43">
        <w:rPr>
          <w:lang w:val="en-GB"/>
        </w:rPr>
        <w:t>he</w:t>
      </w:r>
      <w:r w:rsidR="00EF1145">
        <w:rPr>
          <w:lang w:val="en-GB"/>
        </w:rPr>
        <w:t>y</w:t>
      </w:r>
      <w:r w:rsidR="00080A43">
        <w:rPr>
          <w:lang w:val="en-GB"/>
        </w:rPr>
        <w:t xml:space="preserve"> had two more </w:t>
      </w:r>
      <w:r w:rsidR="00DB4B79">
        <w:rPr>
          <w:lang w:val="en-GB"/>
        </w:rPr>
        <w:t>children</w:t>
      </w:r>
      <w:r w:rsidR="00080A43">
        <w:rPr>
          <w:lang w:val="en-GB"/>
        </w:rPr>
        <w:t xml:space="preserve"> there</w:t>
      </w:r>
      <w:r w:rsidR="0089606F" w:rsidRPr="0089606F">
        <w:rPr>
          <w:lang w:val="en-GB"/>
        </w:rPr>
        <w:t xml:space="preserve">. On 16 June 2006, he applied for </w:t>
      </w:r>
      <w:r w:rsidR="00080A43">
        <w:rPr>
          <w:lang w:val="en-GB"/>
        </w:rPr>
        <w:t>residency in New Zealand. O</w:t>
      </w:r>
      <w:r w:rsidR="0089606F" w:rsidRPr="0089606F">
        <w:rPr>
          <w:lang w:val="en-GB"/>
        </w:rPr>
        <w:t>n 6 September 2006</w:t>
      </w:r>
      <w:r w:rsidR="00080A43">
        <w:rPr>
          <w:lang w:val="en-GB"/>
        </w:rPr>
        <w:t>,</w:t>
      </w:r>
      <w:r w:rsidR="0089606F" w:rsidRPr="0089606F">
        <w:rPr>
          <w:lang w:val="en-GB"/>
        </w:rPr>
        <w:t xml:space="preserve"> he and his family w</w:t>
      </w:r>
      <w:r w:rsidR="00080A43">
        <w:rPr>
          <w:lang w:val="en-GB"/>
        </w:rPr>
        <w:t>ere</w:t>
      </w:r>
      <w:r w:rsidR="0089606F" w:rsidRPr="0089606F">
        <w:rPr>
          <w:lang w:val="en-GB"/>
        </w:rPr>
        <w:t xml:space="preserve"> granted residency under the Business (Entrepreneur) </w:t>
      </w:r>
      <w:r w:rsidR="00EF1145">
        <w:rPr>
          <w:lang w:val="en-GB"/>
        </w:rPr>
        <w:t>C</w:t>
      </w:r>
      <w:r w:rsidR="0089606F" w:rsidRPr="0089606F">
        <w:rPr>
          <w:lang w:val="en-GB"/>
        </w:rPr>
        <w:t>ategory. On the same day, the author was arrested and charged for import</w:t>
      </w:r>
      <w:r w:rsidR="00EF1145">
        <w:rPr>
          <w:lang w:val="en-GB"/>
        </w:rPr>
        <w:t>i</w:t>
      </w:r>
      <w:r w:rsidR="0089606F" w:rsidRPr="0089606F">
        <w:rPr>
          <w:lang w:val="en-GB"/>
        </w:rPr>
        <w:t>n</w:t>
      </w:r>
      <w:r w:rsidR="00EF1145">
        <w:rPr>
          <w:lang w:val="en-GB"/>
        </w:rPr>
        <w:t>g</w:t>
      </w:r>
      <w:r w:rsidR="0089606F" w:rsidRPr="0089606F">
        <w:rPr>
          <w:lang w:val="en-GB"/>
        </w:rPr>
        <w:t xml:space="preserve"> a </w:t>
      </w:r>
      <w:r w:rsidR="0089606F" w:rsidRPr="009B66D4">
        <w:rPr>
          <w:lang w:val="en-GB"/>
        </w:rPr>
        <w:t>Clas</w:t>
      </w:r>
      <w:r w:rsidR="0089606F" w:rsidRPr="0089606F">
        <w:rPr>
          <w:lang w:val="en-GB"/>
        </w:rPr>
        <w:t xml:space="preserve">s C controlled drug and possession of that drug </w:t>
      </w:r>
      <w:r w:rsidR="00310303">
        <w:rPr>
          <w:lang w:val="en-GB"/>
        </w:rPr>
        <w:t>for</w:t>
      </w:r>
      <w:r w:rsidR="00EF1145" w:rsidRPr="0089606F">
        <w:rPr>
          <w:lang w:val="en-GB"/>
        </w:rPr>
        <w:t xml:space="preserve"> </w:t>
      </w:r>
      <w:r w:rsidR="0089606F" w:rsidRPr="0089606F">
        <w:rPr>
          <w:lang w:val="en-GB"/>
        </w:rPr>
        <w:t>supply. On 12 December 2008, he was found guilty by a jury and</w:t>
      </w:r>
      <w:r w:rsidR="00080A43">
        <w:rPr>
          <w:lang w:val="en-GB"/>
        </w:rPr>
        <w:t>,</w:t>
      </w:r>
      <w:r w:rsidR="0089606F" w:rsidRPr="0089606F">
        <w:rPr>
          <w:lang w:val="en-GB"/>
        </w:rPr>
        <w:t xml:space="preserve"> on 13 February 2009</w:t>
      </w:r>
      <w:r w:rsidR="00080A43">
        <w:rPr>
          <w:lang w:val="en-GB"/>
        </w:rPr>
        <w:t>,</w:t>
      </w:r>
      <w:r w:rsidR="0089606F" w:rsidRPr="0089606F">
        <w:rPr>
          <w:lang w:val="en-GB"/>
        </w:rPr>
        <w:t xml:space="preserve"> he was convicted </w:t>
      </w:r>
      <w:r w:rsidR="0089606F" w:rsidRPr="0089606F">
        <w:rPr>
          <w:lang w:val="en-GB"/>
        </w:rPr>
        <w:lastRenderedPageBreak/>
        <w:t>and sentenced to five years and three months</w:t>
      </w:r>
      <w:r w:rsidR="00EF1145">
        <w:rPr>
          <w:lang w:val="en-GB"/>
        </w:rPr>
        <w:t>’</w:t>
      </w:r>
      <w:r w:rsidR="0089606F" w:rsidRPr="0089606F">
        <w:rPr>
          <w:lang w:val="en-GB"/>
        </w:rPr>
        <w:t xml:space="preserve"> imprisonment for each offence, to be served concurrently. The possibility of deportation was not considered as a penalty in this decision. On 21 December 2009, the author unsuccessfully appealed against the conviction to the Court of Appeal.</w:t>
      </w:r>
    </w:p>
    <w:p w14:paraId="1C213BA3" w14:textId="77777777" w:rsidR="0089606F" w:rsidRPr="0089606F" w:rsidRDefault="00B65E5E" w:rsidP="00CB5A9C">
      <w:pPr>
        <w:pStyle w:val="SingleTxtG"/>
        <w:rPr>
          <w:lang w:val="en-GB"/>
        </w:rPr>
      </w:pPr>
      <w:r>
        <w:rPr>
          <w:lang w:val="en-GB"/>
        </w:rPr>
        <w:t>2.2</w:t>
      </w:r>
      <w:r w:rsidR="0089606F">
        <w:rPr>
          <w:lang w:val="en-GB"/>
        </w:rPr>
        <w:tab/>
      </w:r>
      <w:r w:rsidR="0089606F" w:rsidRPr="0089606F">
        <w:rPr>
          <w:lang w:val="en-GB"/>
        </w:rPr>
        <w:t xml:space="preserve">On 25 June 2009, the author was served with a deportation order </w:t>
      </w:r>
      <w:r w:rsidR="00EF1145">
        <w:rPr>
          <w:lang w:val="en-GB"/>
        </w:rPr>
        <w:t>that</w:t>
      </w:r>
      <w:r w:rsidR="00EF1145" w:rsidRPr="0089606F">
        <w:rPr>
          <w:lang w:val="en-GB"/>
        </w:rPr>
        <w:t xml:space="preserve"> </w:t>
      </w:r>
      <w:r w:rsidR="0089606F" w:rsidRPr="0089606F">
        <w:rPr>
          <w:lang w:val="en-GB"/>
        </w:rPr>
        <w:t>specifie</w:t>
      </w:r>
      <w:r w:rsidR="00654604">
        <w:rPr>
          <w:lang w:val="en-GB"/>
        </w:rPr>
        <w:t>d</w:t>
      </w:r>
      <w:r w:rsidR="0089606F" w:rsidRPr="0089606F">
        <w:rPr>
          <w:lang w:val="en-GB"/>
        </w:rPr>
        <w:t xml:space="preserve"> his 13 February 2009 conviction as the reason for deportation. The deportation liability notice, issued by the Minister of </w:t>
      </w:r>
      <w:r w:rsidR="0089606F" w:rsidRPr="00B65E5E">
        <w:t>Immigration</w:t>
      </w:r>
      <w:r w:rsidR="00654604">
        <w:rPr>
          <w:lang w:val="en-GB"/>
        </w:rPr>
        <w:t>,</w:t>
      </w:r>
      <w:r w:rsidR="0089606F" w:rsidRPr="0089606F">
        <w:rPr>
          <w:lang w:val="en-GB"/>
        </w:rPr>
        <w:t xml:space="preserve"> stated that the ground </w:t>
      </w:r>
      <w:r w:rsidR="00DB4B79">
        <w:rPr>
          <w:lang w:val="en-GB"/>
        </w:rPr>
        <w:t>for</w:t>
      </w:r>
      <w:r w:rsidR="0089606F" w:rsidRPr="0089606F">
        <w:rPr>
          <w:lang w:val="en-GB"/>
        </w:rPr>
        <w:t xml:space="preserve"> deporting the author </w:t>
      </w:r>
      <w:r w:rsidR="00EF1145">
        <w:rPr>
          <w:lang w:val="en-GB"/>
        </w:rPr>
        <w:t>wa</w:t>
      </w:r>
      <w:r w:rsidR="0089606F" w:rsidRPr="0089606F">
        <w:rPr>
          <w:lang w:val="en-GB"/>
        </w:rPr>
        <w:t xml:space="preserve">s his conviction for importing drugs and possessing drugs </w:t>
      </w:r>
      <w:r w:rsidR="00310303">
        <w:rPr>
          <w:lang w:val="en-GB"/>
        </w:rPr>
        <w:t>for</w:t>
      </w:r>
      <w:r w:rsidR="00EF1145" w:rsidRPr="0089606F">
        <w:rPr>
          <w:lang w:val="en-GB"/>
        </w:rPr>
        <w:t xml:space="preserve"> </w:t>
      </w:r>
      <w:r w:rsidR="0089606F" w:rsidRPr="0089606F">
        <w:rPr>
          <w:lang w:val="en-GB"/>
        </w:rPr>
        <w:t xml:space="preserve">supply. On 27 April 2011, the Immigration Protection Tribunal dismissed his appeal against his deportation. </w:t>
      </w:r>
    </w:p>
    <w:p w14:paraId="41F990E4" w14:textId="77777777" w:rsidR="0089606F" w:rsidRPr="0089606F" w:rsidRDefault="00B65E5E" w:rsidP="00CB5A9C">
      <w:pPr>
        <w:pStyle w:val="SingleTxtG"/>
        <w:rPr>
          <w:lang w:val="en-GB"/>
        </w:rPr>
      </w:pPr>
      <w:r>
        <w:rPr>
          <w:lang w:val="en-GB"/>
        </w:rPr>
        <w:t>2.3</w:t>
      </w:r>
      <w:r w:rsidR="0089606F">
        <w:rPr>
          <w:lang w:val="en-GB"/>
        </w:rPr>
        <w:tab/>
      </w:r>
      <w:r w:rsidR="0089606F" w:rsidRPr="0089606F">
        <w:rPr>
          <w:lang w:val="en-GB"/>
        </w:rPr>
        <w:t xml:space="preserve">In May 2011, he applied for a judicial review of the </w:t>
      </w:r>
      <w:r w:rsidR="00EF1145">
        <w:rPr>
          <w:lang w:val="en-GB"/>
        </w:rPr>
        <w:t>Tribunal</w:t>
      </w:r>
      <w:r w:rsidR="0089606F" w:rsidRPr="0089606F">
        <w:rPr>
          <w:lang w:val="en-GB"/>
        </w:rPr>
        <w:t xml:space="preserve">’s decision. The High Court remitted the decision for a rehearing to a differently constituted </w:t>
      </w:r>
      <w:r w:rsidR="00EF1145">
        <w:rPr>
          <w:lang w:val="en-GB"/>
        </w:rPr>
        <w:t>Tribunal</w:t>
      </w:r>
      <w:r w:rsidR="0089606F" w:rsidRPr="0089606F">
        <w:rPr>
          <w:lang w:val="en-GB"/>
        </w:rPr>
        <w:t>. In December 2012, th</w:t>
      </w:r>
      <w:r w:rsidR="00EF1145">
        <w:rPr>
          <w:lang w:val="en-GB"/>
        </w:rPr>
        <w:t>at</w:t>
      </w:r>
      <w:r w:rsidR="0089606F" w:rsidRPr="0089606F">
        <w:rPr>
          <w:lang w:val="en-GB"/>
        </w:rPr>
        <w:t xml:space="preserve"> </w:t>
      </w:r>
      <w:r w:rsidR="00EF1145">
        <w:rPr>
          <w:lang w:val="en-GB"/>
        </w:rPr>
        <w:t>Tribunal</w:t>
      </w:r>
      <w:r w:rsidR="00EF1145" w:rsidRPr="0089606F">
        <w:rPr>
          <w:lang w:val="en-GB"/>
        </w:rPr>
        <w:t xml:space="preserve"> </w:t>
      </w:r>
      <w:r w:rsidR="0089606F" w:rsidRPr="0089606F">
        <w:rPr>
          <w:lang w:val="en-GB"/>
        </w:rPr>
        <w:t>conducted a rehearing</w:t>
      </w:r>
      <w:r w:rsidR="00654604">
        <w:rPr>
          <w:lang w:val="en-GB"/>
        </w:rPr>
        <w:t xml:space="preserve"> and </w:t>
      </w:r>
      <w:r w:rsidR="00654604" w:rsidRPr="00B65E5E">
        <w:t>dismissed</w:t>
      </w:r>
      <w:r w:rsidR="00654604">
        <w:rPr>
          <w:lang w:val="en-GB"/>
        </w:rPr>
        <w:t xml:space="preserve"> </w:t>
      </w:r>
      <w:r w:rsidR="0089606F" w:rsidRPr="0089606F">
        <w:rPr>
          <w:lang w:val="en-GB"/>
        </w:rPr>
        <w:t xml:space="preserve">the author’s appeal </w:t>
      </w:r>
      <w:r w:rsidR="00654604">
        <w:rPr>
          <w:lang w:val="en-GB"/>
        </w:rPr>
        <w:t xml:space="preserve">by decision of </w:t>
      </w:r>
      <w:r w:rsidR="0089606F" w:rsidRPr="0089606F">
        <w:rPr>
          <w:lang w:val="en-GB"/>
        </w:rPr>
        <w:t>10 July 2013.</w:t>
      </w:r>
      <w:r>
        <w:rPr>
          <w:lang w:val="en-GB"/>
        </w:rPr>
        <w:t xml:space="preserve"> </w:t>
      </w:r>
      <w:r w:rsidR="0089606F" w:rsidRPr="0089606F">
        <w:rPr>
          <w:lang w:val="en-GB"/>
        </w:rPr>
        <w:t xml:space="preserve">On 25 July 2013, the </w:t>
      </w:r>
      <w:r w:rsidR="00EF1145">
        <w:rPr>
          <w:lang w:val="en-GB"/>
        </w:rPr>
        <w:t>Tribunal</w:t>
      </w:r>
      <w:r w:rsidR="00EF1145" w:rsidRPr="0089606F">
        <w:rPr>
          <w:lang w:val="en-GB"/>
        </w:rPr>
        <w:t xml:space="preserve"> </w:t>
      </w:r>
      <w:r w:rsidR="0089606F" w:rsidRPr="0089606F">
        <w:rPr>
          <w:lang w:val="en-GB"/>
        </w:rPr>
        <w:t xml:space="preserve">reissued </w:t>
      </w:r>
      <w:r w:rsidR="00654604">
        <w:rPr>
          <w:lang w:val="en-GB"/>
        </w:rPr>
        <w:t>its</w:t>
      </w:r>
      <w:r w:rsidR="0089606F" w:rsidRPr="0089606F">
        <w:rPr>
          <w:lang w:val="en-GB"/>
        </w:rPr>
        <w:t xml:space="preserve"> decision</w:t>
      </w:r>
      <w:r w:rsidR="00EF1145">
        <w:rPr>
          <w:lang w:val="en-GB"/>
        </w:rPr>
        <w:t>,</w:t>
      </w:r>
      <w:r w:rsidR="00654604">
        <w:rPr>
          <w:lang w:val="en-GB"/>
        </w:rPr>
        <w:t xml:space="preserve"> </w:t>
      </w:r>
      <w:r w:rsidR="005F7932">
        <w:rPr>
          <w:lang w:val="en-GB"/>
        </w:rPr>
        <w:t xml:space="preserve">which remained unchanged </w:t>
      </w:r>
      <w:r w:rsidR="00654604">
        <w:rPr>
          <w:lang w:val="en-GB"/>
        </w:rPr>
        <w:t>regarding the removal of the author</w:t>
      </w:r>
      <w:r w:rsidR="00EF1145">
        <w:rPr>
          <w:lang w:val="en-GB"/>
        </w:rPr>
        <w:t>,</w:t>
      </w:r>
      <w:r w:rsidR="00A66F42">
        <w:rPr>
          <w:lang w:val="en-GB"/>
        </w:rPr>
        <w:t xml:space="preserve"> while the author’s wife</w:t>
      </w:r>
      <w:r w:rsidR="005F7932">
        <w:rPr>
          <w:lang w:val="en-GB"/>
        </w:rPr>
        <w:t xml:space="preserve">’s </w:t>
      </w:r>
      <w:r w:rsidR="00A66F42">
        <w:rPr>
          <w:lang w:val="en-GB"/>
        </w:rPr>
        <w:t>appe</w:t>
      </w:r>
      <w:r w:rsidR="005F7932">
        <w:rPr>
          <w:lang w:val="en-GB"/>
        </w:rPr>
        <w:t>a</w:t>
      </w:r>
      <w:r w:rsidR="00A66F42">
        <w:rPr>
          <w:lang w:val="en-GB"/>
        </w:rPr>
        <w:t>l</w:t>
      </w:r>
      <w:r w:rsidR="005F7932">
        <w:rPr>
          <w:lang w:val="en-GB"/>
        </w:rPr>
        <w:t xml:space="preserve"> was deemed to be withdrawn </w:t>
      </w:r>
      <w:r w:rsidR="00A66F42" w:rsidRPr="0089606F">
        <w:rPr>
          <w:lang w:val="en-GB"/>
        </w:rPr>
        <w:t>as she ha</w:t>
      </w:r>
      <w:r w:rsidR="00DB4B79">
        <w:rPr>
          <w:lang w:val="en-GB"/>
        </w:rPr>
        <w:t>d</w:t>
      </w:r>
      <w:r w:rsidR="00A66F42" w:rsidRPr="0089606F">
        <w:rPr>
          <w:lang w:val="en-GB"/>
        </w:rPr>
        <w:t xml:space="preserve"> left New Zealand</w:t>
      </w:r>
      <w:r w:rsidR="00A66F42">
        <w:rPr>
          <w:lang w:val="en-GB"/>
        </w:rPr>
        <w:t xml:space="preserve"> </w:t>
      </w:r>
      <w:r w:rsidR="00EF1145">
        <w:rPr>
          <w:lang w:val="en-GB"/>
        </w:rPr>
        <w:t>in the meantime</w:t>
      </w:r>
      <w:r w:rsidR="00A66F42" w:rsidRPr="0089606F">
        <w:rPr>
          <w:lang w:val="en-GB"/>
        </w:rPr>
        <w:t>.</w:t>
      </w:r>
      <w:r w:rsidR="0089606F" w:rsidRPr="0089606F">
        <w:rPr>
          <w:lang w:val="en-GB"/>
        </w:rPr>
        <w:t xml:space="preserve"> </w:t>
      </w:r>
    </w:p>
    <w:p w14:paraId="1E3848E8" w14:textId="77777777" w:rsidR="0089606F" w:rsidRPr="0089606F" w:rsidRDefault="00B65E5E">
      <w:pPr>
        <w:pStyle w:val="SingleTxtG"/>
        <w:rPr>
          <w:lang w:val="en-US"/>
        </w:rPr>
      </w:pPr>
      <w:r>
        <w:rPr>
          <w:lang w:val="en-US"/>
        </w:rPr>
        <w:t>2.4</w:t>
      </w:r>
      <w:r w:rsidR="0089606F">
        <w:rPr>
          <w:lang w:val="en-US"/>
        </w:rPr>
        <w:tab/>
      </w:r>
      <w:r w:rsidR="0089606F" w:rsidRPr="0089606F">
        <w:rPr>
          <w:lang w:val="en-US"/>
        </w:rPr>
        <w:t xml:space="preserve">On an unspecified date, the author applied again for a judicial review of the </w:t>
      </w:r>
      <w:r w:rsidR="00EF1145">
        <w:rPr>
          <w:lang w:val="en-GB"/>
        </w:rPr>
        <w:t>Immigration Protection Tribunal</w:t>
      </w:r>
      <w:r w:rsidR="0089606F" w:rsidRPr="0089606F">
        <w:rPr>
          <w:lang w:val="en-US"/>
        </w:rPr>
        <w:t>’s decision and leave to appeal. The hearing was held on 19 March 2014.</w:t>
      </w:r>
      <w:r w:rsidR="00AC3D6E">
        <w:rPr>
          <w:lang w:val="en-US"/>
        </w:rPr>
        <w:t xml:space="preserve"> The author has held that his deportation would constitute a double penalty for an offence for which he had already been convicted and served a prison term.</w:t>
      </w:r>
      <w:r w:rsidR="0089606F" w:rsidRPr="0089606F">
        <w:rPr>
          <w:lang w:val="en-US"/>
        </w:rPr>
        <w:t xml:space="preserve"> The High Court denied that </w:t>
      </w:r>
      <w:r w:rsidR="00AC3D6E">
        <w:rPr>
          <w:lang w:val="en-US"/>
        </w:rPr>
        <w:t xml:space="preserve">the </w:t>
      </w:r>
      <w:r w:rsidR="0089606F" w:rsidRPr="0089606F">
        <w:rPr>
          <w:lang w:val="en-US"/>
        </w:rPr>
        <w:t>deportation was a further criminal penalty and argued that it was more a means</w:t>
      </w:r>
      <w:r w:rsidR="00AC3D6E">
        <w:rPr>
          <w:lang w:val="en-US"/>
        </w:rPr>
        <w:t xml:space="preserve">, for </w:t>
      </w:r>
      <w:r w:rsidR="0089606F" w:rsidRPr="0089606F">
        <w:rPr>
          <w:lang w:val="en-US"/>
        </w:rPr>
        <w:t>the State</w:t>
      </w:r>
      <w:r w:rsidR="00AC3D6E">
        <w:rPr>
          <w:lang w:val="en-US"/>
        </w:rPr>
        <w:t>,</w:t>
      </w:r>
      <w:r w:rsidR="0089606F" w:rsidRPr="0089606F">
        <w:rPr>
          <w:lang w:val="en-US"/>
        </w:rPr>
        <w:t xml:space="preserve"> to remove undesirable migrants. On 16 April 2014, the High Court dismissed the author’s application for leave to appeal and for a judicial review of the </w:t>
      </w:r>
      <w:r w:rsidR="00EF1145">
        <w:rPr>
          <w:lang w:val="en-US"/>
        </w:rPr>
        <w:t>Tribunal</w:t>
      </w:r>
      <w:r w:rsidR="00EF1145" w:rsidRPr="0089606F">
        <w:rPr>
          <w:lang w:val="en-US"/>
        </w:rPr>
        <w:t xml:space="preserve">’s </w:t>
      </w:r>
      <w:r w:rsidR="0089606F" w:rsidRPr="0089606F">
        <w:rPr>
          <w:lang w:val="en-US"/>
        </w:rPr>
        <w:t>decision</w:t>
      </w:r>
      <w:r w:rsidR="00310303">
        <w:rPr>
          <w:lang w:val="en-US"/>
        </w:rPr>
        <w:t>,</w:t>
      </w:r>
      <w:r w:rsidR="0089606F" w:rsidRPr="0089606F">
        <w:rPr>
          <w:lang w:val="en-GB"/>
        </w:rPr>
        <w:t xml:space="preserve"> stating that the applicants (the author and his two</w:t>
      </w:r>
      <w:r w:rsidR="006A3D1E">
        <w:rPr>
          <w:lang w:val="en-GB"/>
        </w:rPr>
        <w:t xml:space="preserve"> children </w:t>
      </w:r>
      <w:r w:rsidR="00310303">
        <w:rPr>
          <w:lang w:val="en-GB"/>
        </w:rPr>
        <w:t xml:space="preserve">who did not have </w:t>
      </w:r>
      <w:r w:rsidR="00AC3D6E">
        <w:rPr>
          <w:lang w:val="en-GB"/>
        </w:rPr>
        <w:t>New Zealand</w:t>
      </w:r>
      <w:r w:rsidR="0089606F" w:rsidRPr="0089606F">
        <w:rPr>
          <w:lang w:val="en-GB"/>
        </w:rPr>
        <w:t xml:space="preserve"> citizens</w:t>
      </w:r>
      <w:r w:rsidR="006A3D1E">
        <w:rPr>
          <w:lang w:val="en-GB"/>
        </w:rPr>
        <w:t>hip</w:t>
      </w:r>
      <w:r w:rsidR="0089606F" w:rsidRPr="0089606F">
        <w:rPr>
          <w:lang w:val="en-GB"/>
        </w:rPr>
        <w:t xml:space="preserve">) in their appeal to the </w:t>
      </w:r>
      <w:r w:rsidR="00EF1145">
        <w:rPr>
          <w:lang w:val="en-GB"/>
        </w:rPr>
        <w:t>Tribunal</w:t>
      </w:r>
      <w:r w:rsidR="00EF1145" w:rsidRPr="0089606F">
        <w:rPr>
          <w:lang w:val="en-GB"/>
        </w:rPr>
        <w:t xml:space="preserve"> </w:t>
      </w:r>
      <w:r w:rsidR="0089606F" w:rsidRPr="0089606F">
        <w:rPr>
          <w:lang w:val="en-GB"/>
        </w:rPr>
        <w:t xml:space="preserve">were not able to cross the high threshold required even insofar as the initial point in appeal was concerned. As to the leave for judicial review, the High Court </w:t>
      </w:r>
      <w:r w:rsidR="00310303">
        <w:rPr>
          <w:lang w:val="en-GB"/>
        </w:rPr>
        <w:t>gave its assessment</w:t>
      </w:r>
      <w:r w:rsidR="00310303" w:rsidRPr="0089606F">
        <w:rPr>
          <w:lang w:val="en-GB"/>
        </w:rPr>
        <w:t xml:space="preserve"> </w:t>
      </w:r>
      <w:r w:rsidR="0089606F" w:rsidRPr="0089606F">
        <w:rPr>
          <w:lang w:val="en-GB"/>
        </w:rPr>
        <w:t>that the errors alleged by the author were of a type that could be simply dealt with on appeal if leave were to be granted and the question of any difference between appeal and review d</w:t>
      </w:r>
      <w:r w:rsidR="00310303">
        <w:rPr>
          <w:lang w:val="en-GB"/>
        </w:rPr>
        <w:t>id</w:t>
      </w:r>
      <w:r w:rsidR="0089606F" w:rsidRPr="0089606F">
        <w:rPr>
          <w:lang w:val="en-GB"/>
        </w:rPr>
        <w:t xml:space="preserve"> not arise</w:t>
      </w:r>
      <w:r w:rsidR="006A3D1E">
        <w:rPr>
          <w:lang w:val="en-GB"/>
        </w:rPr>
        <w:t xml:space="preserve"> in this case. </w:t>
      </w:r>
      <w:r w:rsidR="0089606F" w:rsidRPr="0089606F">
        <w:rPr>
          <w:lang w:val="en-US"/>
        </w:rPr>
        <w:t xml:space="preserve">On 24 October 2014, the Court of Appeal dismissed the author’s application for leave to appeal to the High Court against the decision of the </w:t>
      </w:r>
      <w:r w:rsidR="00EF1145">
        <w:rPr>
          <w:lang w:val="en-US"/>
        </w:rPr>
        <w:t>Tribunal</w:t>
      </w:r>
      <w:r w:rsidR="0089606F" w:rsidRPr="0089606F">
        <w:rPr>
          <w:lang w:val="en-US"/>
        </w:rPr>
        <w:t>.</w:t>
      </w:r>
    </w:p>
    <w:p w14:paraId="7051AA18" w14:textId="77777777" w:rsidR="001C3108" w:rsidRPr="00B65E5E" w:rsidRDefault="00B65E5E">
      <w:pPr>
        <w:pStyle w:val="SingleTxtG"/>
        <w:rPr>
          <w:lang w:val="en-US"/>
        </w:rPr>
      </w:pPr>
      <w:r>
        <w:rPr>
          <w:lang w:val="en-US"/>
        </w:rPr>
        <w:t>2.5</w:t>
      </w:r>
      <w:r w:rsidR="0089606F">
        <w:rPr>
          <w:lang w:val="en-US"/>
        </w:rPr>
        <w:tab/>
      </w:r>
      <w:r w:rsidR="0089606F" w:rsidRPr="0089606F">
        <w:rPr>
          <w:lang w:val="en-US"/>
        </w:rPr>
        <w:t xml:space="preserve">On 3 June 2015, the Supreme Court of New Zealand </w:t>
      </w:r>
      <w:r w:rsidR="00D71A7E">
        <w:rPr>
          <w:lang w:val="en-US"/>
        </w:rPr>
        <w:t xml:space="preserve">granted the applications for leave to appeal </w:t>
      </w:r>
      <w:r w:rsidR="0043523C">
        <w:rPr>
          <w:lang w:val="en-US"/>
        </w:rPr>
        <w:t>of</w:t>
      </w:r>
      <w:r w:rsidR="00D71A7E">
        <w:rPr>
          <w:lang w:val="en-US"/>
        </w:rPr>
        <w:t xml:space="preserve"> the author’s children</w:t>
      </w:r>
      <w:r w:rsidR="00310303">
        <w:rPr>
          <w:lang w:val="en-US"/>
        </w:rPr>
        <w:t xml:space="preserve"> who did not have New Zealand citizenship,</w:t>
      </w:r>
      <w:r w:rsidR="00D71A7E">
        <w:rPr>
          <w:lang w:val="en-US"/>
        </w:rPr>
        <w:t xml:space="preserve"> while </w:t>
      </w:r>
      <w:r w:rsidR="0089606F" w:rsidRPr="0089606F">
        <w:rPr>
          <w:lang w:val="en-US"/>
        </w:rPr>
        <w:t>dismiss</w:t>
      </w:r>
      <w:r w:rsidR="00D71A7E">
        <w:rPr>
          <w:lang w:val="en-US"/>
        </w:rPr>
        <w:t>ing</w:t>
      </w:r>
      <w:r w:rsidR="0089606F" w:rsidRPr="0089606F">
        <w:rPr>
          <w:lang w:val="en-US"/>
        </w:rPr>
        <w:t xml:space="preserve"> the author’s application for leave to appeal. The author therefore claims to have exhausted all available an</w:t>
      </w:r>
      <w:r>
        <w:rPr>
          <w:lang w:val="en-US"/>
        </w:rPr>
        <w:t xml:space="preserve">d effective domestic remedies. </w:t>
      </w:r>
    </w:p>
    <w:p w14:paraId="07F7554E" w14:textId="77777777" w:rsidR="001C3108" w:rsidRDefault="001C3108" w:rsidP="001C3108">
      <w:pPr>
        <w:pStyle w:val="H23G"/>
        <w:spacing w:line="240" w:lineRule="auto"/>
      </w:pPr>
      <w:r>
        <w:tab/>
      </w:r>
      <w:r>
        <w:tab/>
      </w:r>
      <w:r w:rsidRPr="007C1F31">
        <w:t>The complaint</w:t>
      </w:r>
    </w:p>
    <w:p w14:paraId="36904B1B" w14:textId="77777777" w:rsidR="00480264" w:rsidRPr="00B65E5E" w:rsidRDefault="00B65E5E" w:rsidP="00CB5A9C">
      <w:pPr>
        <w:pStyle w:val="SingleTxtG"/>
        <w:rPr>
          <w:lang w:val="en-US"/>
        </w:rPr>
      </w:pPr>
      <w:r>
        <w:rPr>
          <w:lang w:val="en-US"/>
        </w:rPr>
        <w:t>3.</w:t>
      </w:r>
      <w:r>
        <w:rPr>
          <w:lang w:val="en-US"/>
        </w:rPr>
        <w:tab/>
      </w:r>
      <w:r w:rsidR="0089606F" w:rsidRPr="0089606F">
        <w:rPr>
          <w:lang w:val="en-US"/>
        </w:rPr>
        <w:t xml:space="preserve">The author claims that New Zealand has violated his rights under article 14 (7) of the Covenant by issuing a deportation order </w:t>
      </w:r>
      <w:r w:rsidR="006A3D1E">
        <w:rPr>
          <w:lang w:val="en-US"/>
        </w:rPr>
        <w:t xml:space="preserve">based on </w:t>
      </w:r>
      <w:r w:rsidR="0089606F" w:rsidRPr="0089606F">
        <w:rPr>
          <w:lang w:val="en-US"/>
        </w:rPr>
        <w:t>his drug</w:t>
      </w:r>
      <w:r w:rsidR="00310303">
        <w:rPr>
          <w:lang w:val="en-US"/>
        </w:rPr>
        <w:t>-</w:t>
      </w:r>
      <w:r w:rsidR="006A3D1E">
        <w:rPr>
          <w:lang w:val="en-US"/>
        </w:rPr>
        <w:t>related</w:t>
      </w:r>
      <w:r w:rsidR="0089606F" w:rsidRPr="0089606F">
        <w:rPr>
          <w:lang w:val="en-US"/>
        </w:rPr>
        <w:t xml:space="preserve"> convictions</w:t>
      </w:r>
      <w:r w:rsidR="00310303">
        <w:rPr>
          <w:lang w:val="en-US"/>
        </w:rPr>
        <w:t xml:space="preserve"> and</w:t>
      </w:r>
      <w:r w:rsidR="0089606F" w:rsidRPr="0089606F">
        <w:rPr>
          <w:lang w:val="en-US"/>
        </w:rPr>
        <w:t xml:space="preserve"> thus subjecting him to double jeopardy. He further submits that the deportation order issued</w:t>
      </w:r>
      <w:r w:rsidR="00310303">
        <w:rPr>
          <w:lang w:val="en-US"/>
        </w:rPr>
        <w:t xml:space="preserve"> by the Minister of Immigration</w:t>
      </w:r>
      <w:r w:rsidR="0089606F" w:rsidRPr="0089606F">
        <w:rPr>
          <w:lang w:val="en-US"/>
        </w:rPr>
        <w:t xml:space="preserve"> on 25 June 2009, after his final conviction and sentencing for his drug offences, did not refer to any factors other than his offence of importing/exporting drugs and his offence of possessing drugs for supply. Therefore, the author argues</w:t>
      </w:r>
      <w:r w:rsidR="009C5A2E">
        <w:rPr>
          <w:lang w:val="en-US"/>
        </w:rPr>
        <w:t>,</w:t>
      </w:r>
      <w:r w:rsidR="0089606F" w:rsidRPr="0089606F">
        <w:rPr>
          <w:lang w:val="en-US"/>
        </w:rPr>
        <w:t xml:space="preserve"> he has been subjected to a further penalty for offences </w:t>
      </w:r>
      <w:r w:rsidR="00310303">
        <w:rPr>
          <w:lang w:val="en-US"/>
        </w:rPr>
        <w:t>for which</w:t>
      </w:r>
      <w:r w:rsidR="00310303" w:rsidRPr="0089606F">
        <w:rPr>
          <w:lang w:val="en-US"/>
        </w:rPr>
        <w:t xml:space="preserve"> </w:t>
      </w:r>
      <w:r w:rsidR="0089606F" w:rsidRPr="0089606F">
        <w:rPr>
          <w:lang w:val="en-US"/>
        </w:rPr>
        <w:t>he has already been convicted and sentenced, which is double jeopardy. The author has been imprisoned and sentenced in the same way as any New Zealand resident. He claims that</w:t>
      </w:r>
      <w:r w:rsidR="00310303">
        <w:rPr>
          <w:lang w:val="en-US"/>
        </w:rPr>
        <w:t>,</w:t>
      </w:r>
      <w:r w:rsidR="0089606F" w:rsidRPr="0089606F">
        <w:rPr>
          <w:lang w:val="en-US"/>
        </w:rPr>
        <w:t xml:space="preserve"> having served his sentence, he therefore should not be subject to a further penalty. </w:t>
      </w:r>
      <w:r w:rsidR="00B7156C">
        <w:rPr>
          <w:lang w:val="en-US"/>
        </w:rPr>
        <w:t xml:space="preserve">He </w:t>
      </w:r>
      <w:r w:rsidR="009C5A2E">
        <w:rPr>
          <w:lang w:val="en-US"/>
        </w:rPr>
        <w:t xml:space="preserve">adds </w:t>
      </w:r>
      <w:r w:rsidR="00B7156C">
        <w:rPr>
          <w:lang w:val="en-US"/>
        </w:rPr>
        <w:t>that</w:t>
      </w:r>
      <w:r w:rsidR="0089606F" w:rsidRPr="0089606F">
        <w:rPr>
          <w:lang w:val="en-US"/>
        </w:rPr>
        <w:t xml:space="preserve"> the deportation order is a punishment by administrative action outside </w:t>
      </w:r>
      <w:r w:rsidR="00B7156C">
        <w:rPr>
          <w:lang w:val="en-US"/>
        </w:rPr>
        <w:t xml:space="preserve">the </w:t>
      </w:r>
      <w:r w:rsidR="0089606F" w:rsidRPr="0089606F">
        <w:rPr>
          <w:lang w:val="en-US"/>
        </w:rPr>
        <w:t xml:space="preserve">judicial process, imposing a penalty on the author as a retribution for his drug offence, </w:t>
      </w:r>
      <w:r w:rsidR="00B7156C">
        <w:rPr>
          <w:lang w:val="en-US"/>
        </w:rPr>
        <w:t xml:space="preserve">and therefore amounting to </w:t>
      </w:r>
      <w:r w:rsidR="0089606F" w:rsidRPr="0089606F">
        <w:rPr>
          <w:lang w:val="en-US"/>
        </w:rPr>
        <w:t>double jeopardy. The author concludes that</w:t>
      </w:r>
      <w:r w:rsidR="00310303">
        <w:rPr>
          <w:lang w:val="en-US"/>
        </w:rPr>
        <w:t>,</w:t>
      </w:r>
      <w:r w:rsidR="0089606F" w:rsidRPr="0089606F">
        <w:rPr>
          <w:lang w:val="en-US"/>
        </w:rPr>
        <w:t xml:space="preserve"> if he is </w:t>
      </w:r>
      <w:r w:rsidR="00B7156C">
        <w:rPr>
          <w:lang w:val="en-US"/>
        </w:rPr>
        <w:t xml:space="preserve">to be </w:t>
      </w:r>
      <w:r w:rsidR="0089606F" w:rsidRPr="0089606F">
        <w:rPr>
          <w:lang w:val="en-US"/>
        </w:rPr>
        <w:t xml:space="preserve">deported, </w:t>
      </w:r>
      <w:r w:rsidR="00B7156C">
        <w:rPr>
          <w:lang w:val="en-US"/>
        </w:rPr>
        <w:t xml:space="preserve">his deportation </w:t>
      </w:r>
      <w:r w:rsidR="0089606F" w:rsidRPr="0089606F">
        <w:rPr>
          <w:lang w:val="en-US"/>
        </w:rPr>
        <w:t>defeat</w:t>
      </w:r>
      <w:r w:rsidR="00B7156C">
        <w:rPr>
          <w:lang w:val="en-US"/>
        </w:rPr>
        <w:t>s</w:t>
      </w:r>
      <w:r w:rsidR="0089606F" w:rsidRPr="0089606F">
        <w:rPr>
          <w:lang w:val="en-US"/>
        </w:rPr>
        <w:t xml:space="preserve"> the purpose of his communication to the Human Rights Committee and </w:t>
      </w:r>
      <w:r w:rsidR="00B7156C">
        <w:rPr>
          <w:lang w:val="en-US"/>
        </w:rPr>
        <w:t xml:space="preserve">thus </w:t>
      </w:r>
      <w:r w:rsidR="0089606F" w:rsidRPr="0089606F">
        <w:rPr>
          <w:lang w:val="en-US"/>
        </w:rPr>
        <w:t>cause</w:t>
      </w:r>
      <w:r w:rsidR="00B7156C">
        <w:rPr>
          <w:lang w:val="en-US"/>
        </w:rPr>
        <w:t>s</w:t>
      </w:r>
      <w:r w:rsidR="0089606F" w:rsidRPr="0089606F">
        <w:rPr>
          <w:lang w:val="en-US"/>
        </w:rPr>
        <w:t xml:space="preserve"> irreparable harm. </w:t>
      </w:r>
    </w:p>
    <w:p w14:paraId="589E265F" w14:textId="77777777" w:rsidR="001C3108" w:rsidRPr="00E300C5" w:rsidRDefault="00B65E5E" w:rsidP="00B65E5E">
      <w:pPr>
        <w:pStyle w:val="H23G"/>
      </w:pPr>
      <w:r>
        <w:lastRenderedPageBreak/>
        <w:tab/>
      </w:r>
      <w:r>
        <w:tab/>
      </w:r>
      <w:r w:rsidR="001C3108" w:rsidRPr="005A1422">
        <w:t>Issues and proceedings before the Committee</w:t>
      </w:r>
    </w:p>
    <w:p w14:paraId="4632E301" w14:textId="77777777" w:rsidR="001C3108" w:rsidRPr="007C1F31" w:rsidRDefault="001C3108" w:rsidP="00CB5A9C">
      <w:pPr>
        <w:pStyle w:val="SingleTxtG"/>
        <w:spacing w:line="240" w:lineRule="auto"/>
      </w:pPr>
      <w:r w:rsidRPr="007C1F31">
        <w:t>4.1</w:t>
      </w:r>
      <w:r w:rsidRPr="007C1F31">
        <w:tab/>
      </w:r>
      <w:r w:rsidRPr="00CD71F6">
        <w:t>Before considering any claim contained in a communication, the Committee must determine</w:t>
      </w:r>
      <w:r w:rsidR="007C76F0">
        <w:rPr>
          <w:lang w:val="en-US"/>
        </w:rPr>
        <w:t>, in accordance with rule 93 of its rules of procedure,</w:t>
      </w:r>
      <w:r w:rsidRPr="00CD71F6">
        <w:t xml:space="preserve"> whether it is admissible under the Optional Protocol.</w:t>
      </w:r>
    </w:p>
    <w:p w14:paraId="293B64B2" w14:textId="77777777" w:rsidR="001F4D20" w:rsidRDefault="00911AEA" w:rsidP="00CB5A9C">
      <w:pPr>
        <w:pStyle w:val="SingleTxtG"/>
        <w:rPr>
          <w:lang w:val="en-GB"/>
        </w:rPr>
      </w:pPr>
      <w:r>
        <w:rPr>
          <w:lang w:val="en-GB"/>
        </w:rPr>
        <w:t>4.</w:t>
      </w:r>
      <w:r w:rsidR="005D6A40">
        <w:rPr>
          <w:lang w:val="en-GB"/>
        </w:rPr>
        <w:t>2</w:t>
      </w:r>
      <w:r w:rsidR="00646E2F" w:rsidRPr="00951071">
        <w:rPr>
          <w:lang w:val="en-GB"/>
        </w:rPr>
        <w:tab/>
      </w:r>
      <w:r w:rsidR="00646E2F" w:rsidRPr="00830C5B">
        <w:rPr>
          <w:lang w:val="en-GB"/>
        </w:rPr>
        <w:t xml:space="preserve">The Committee </w:t>
      </w:r>
      <w:r w:rsidR="00646E2F">
        <w:t>observes that the author</w:t>
      </w:r>
      <w:r w:rsidR="008B4067" w:rsidRPr="003B52A3">
        <w:rPr>
          <w:lang w:val="en-GB"/>
        </w:rPr>
        <w:t xml:space="preserve"> and his family </w:t>
      </w:r>
      <w:r w:rsidR="00310303">
        <w:rPr>
          <w:lang w:val="en-GB"/>
        </w:rPr>
        <w:t>were</w:t>
      </w:r>
      <w:r w:rsidR="008B4067">
        <w:rPr>
          <w:lang w:val="en-GB"/>
        </w:rPr>
        <w:t xml:space="preserve"> granted residency under the Business (Entrepreneur) </w:t>
      </w:r>
      <w:r w:rsidR="00310303">
        <w:rPr>
          <w:lang w:val="en-GB"/>
        </w:rPr>
        <w:t>C</w:t>
      </w:r>
      <w:r w:rsidR="008B4067">
        <w:rPr>
          <w:lang w:val="en-GB"/>
        </w:rPr>
        <w:t>ategory on 6 September 2006.</w:t>
      </w:r>
      <w:r w:rsidR="008B4067" w:rsidRPr="003B52A3">
        <w:rPr>
          <w:lang w:val="en-GB"/>
        </w:rPr>
        <w:t xml:space="preserve"> </w:t>
      </w:r>
      <w:r w:rsidR="008B4067">
        <w:rPr>
          <w:lang w:val="en-GB"/>
        </w:rPr>
        <w:t xml:space="preserve">Subsequently, he was </w:t>
      </w:r>
      <w:r w:rsidR="001064E7">
        <w:rPr>
          <w:lang w:val="en-GB"/>
        </w:rPr>
        <w:t xml:space="preserve">arrested and charged for the importation of a large quantity of </w:t>
      </w:r>
      <w:r w:rsidR="00310303">
        <w:rPr>
          <w:lang w:val="en-GB"/>
        </w:rPr>
        <w:t>a C</w:t>
      </w:r>
      <w:r w:rsidR="001064E7">
        <w:rPr>
          <w:lang w:val="en-GB"/>
        </w:rPr>
        <w:t>lass C controlled drug and possession of th</w:t>
      </w:r>
      <w:r w:rsidR="004F05F2">
        <w:rPr>
          <w:lang w:val="en-GB"/>
        </w:rPr>
        <w:t xml:space="preserve">e same </w:t>
      </w:r>
      <w:r w:rsidR="001064E7">
        <w:rPr>
          <w:lang w:val="en-GB"/>
        </w:rPr>
        <w:t>drug for supply</w:t>
      </w:r>
      <w:r w:rsidR="004F05F2">
        <w:rPr>
          <w:lang w:val="en-GB"/>
        </w:rPr>
        <w:t xml:space="preserve">. He </w:t>
      </w:r>
      <w:r w:rsidR="001064E7">
        <w:rPr>
          <w:lang w:val="en-GB"/>
        </w:rPr>
        <w:t xml:space="preserve">was </w:t>
      </w:r>
      <w:r w:rsidR="008B4067">
        <w:rPr>
          <w:lang w:val="en-GB"/>
        </w:rPr>
        <w:t xml:space="preserve">sentenced to </w:t>
      </w:r>
      <w:r w:rsidR="004F05F2">
        <w:rPr>
          <w:lang w:val="en-GB"/>
        </w:rPr>
        <w:t xml:space="preserve">a term of imprisonment of </w:t>
      </w:r>
      <w:r w:rsidR="008B4067">
        <w:rPr>
          <w:lang w:val="en-GB"/>
        </w:rPr>
        <w:t xml:space="preserve">five years and three months </w:t>
      </w:r>
      <w:r w:rsidR="004F05F2">
        <w:rPr>
          <w:lang w:val="en-GB"/>
        </w:rPr>
        <w:t xml:space="preserve">and his appeal against </w:t>
      </w:r>
      <w:r w:rsidR="006C3F34">
        <w:rPr>
          <w:lang w:val="en-GB"/>
        </w:rPr>
        <w:t>his</w:t>
      </w:r>
      <w:r w:rsidR="004F05F2">
        <w:rPr>
          <w:lang w:val="en-GB"/>
        </w:rPr>
        <w:t xml:space="preserve"> convictions was dismissed by the court</w:t>
      </w:r>
      <w:r w:rsidR="001064E7">
        <w:rPr>
          <w:lang w:val="en-GB"/>
        </w:rPr>
        <w:t xml:space="preserve">. </w:t>
      </w:r>
      <w:r w:rsidR="006C3F34">
        <w:rPr>
          <w:lang w:val="en-GB"/>
        </w:rPr>
        <w:t xml:space="preserve">In </w:t>
      </w:r>
      <w:r w:rsidR="00310303">
        <w:rPr>
          <w:lang w:val="en-GB"/>
        </w:rPr>
        <w:t xml:space="preserve">the </w:t>
      </w:r>
      <w:r w:rsidR="006C3F34">
        <w:rPr>
          <w:lang w:val="en-GB"/>
        </w:rPr>
        <w:t>light of his criminal activities</w:t>
      </w:r>
      <w:r w:rsidR="001F4D20">
        <w:rPr>
          <w:lang w:val="en-GB"/>
        </w:rPr>
        <w:t xml:space="preserve">, the author was </w:t>
      </w:r>
      <w:r w:rsidR="00CD0E3B">
        <w:rPr>
          <w:lang w:val="en-GB"/>
        </w:rPr>
        <w:t xml:space="preserve">served with a deportation order. The </w:t>
      </w:r>
      <w:r w:rsidR="00CD0E3B" w:rsidRPr="00CD0E3B">
        <w:rPr>
          <w:lang w:val="en-GB"/>
        </w:rPr>
        <w:t>Immigration Protection Tribunal</w:t>
      </w:r>
      <w:r w:rsidR="00CD0E3B">
        <w:rPr>
          <w:lang w:val="en-GB"/>
        </w:rPr>
        <w:t xml:space="preserve"> dismissed his appeals against the deportation and the High Court, the Court of Appeal and the Supreme Court of New Zealand dismissed his applications for a judicial review and for leave to appeal. In doing so, the State party’s tribunals and courts found that it would not be unjust or unduly harsh for the author to be deported</w:t>
      </w:r>
      <w:r w:rsidR="00310303">
        <w:rPr>
          <w:lang w:val="en-GB"/>
        </w:rPr>
        <w:t>,</w:t>
      </w:r>
      <w:r w:rsidR="00CD0E3B">
        <w:rPr>
          <w:lang w:val="en-GB"/>
        </w:rPr>
        <w:t xml:space="preserve"> </w:t>
      </w:r>
      <w:r w:rsidR="004F05F2">
        <w:rPr>
          <w:lang w:val="en-GB"/>
        </w:rPr>
        <w:t xml:space="preserve">while giving adequate </w:t>
      </w:r>
      <w:r w:rsidR="00CD0E3B">
        <w:rPr>
          <w:lang w:val="en-GB"/>
        </w:rPr>
        <w:t xml:space="preserve">consideration </w:t>
      </w:r>
      <w:r w:rsidR="004F05F2">
        <w:rPr>
          <w:lang w:val="en-GB"/>
        </w:rPr>
        <w:t xml:space="preserve">to </w:t>
      </w:r>
      <w:r w:rsidR="00CD0E3B">
        <w:rPr>
          <w:lang w:val="en-GB"/>
        </w:rPr>
        <w:t xml:space="preserve">the </w:t>
      </w:r>
      <w:r w:rsidR="004F05F2">
        <w:rPr>
          <w:lang w:val="en-GB"/>
        </w:rPr>
        <w:t xml:space="preserve">best interests of the </w:t>
      </w:r>
      <w:r w:rsidR="00CD0E3B">
        <w:rPr>
          <w:lang w:val="en-GB"/>
        </w:rPr>
        <w:t>author’s children.</w:t>
      </w:r>
      <w:r w:rsidR="00D71A7E">
        <w:rPr>
          <w:rStyle w:val="FootnoteReference"/>
          <w:lang w:val="en-GB"/>
        </w:rPr>
        <w:footnoteReference w:id="3"/>
      </w:r>
    </w:p>
    <w:p w14:paraId="6692D781" w14:textId="77777777" w:rsidR="00383820" w:rsidRDefault="008469A5" w:rsidP="00B65E5E">
      <w:pPr>
        <w:pStyle w:val="SingleTxtG"/>
        <w:rPr>
          <w:lang w:val="en-GB" w:eastAsia="en-GB"/>
        </w:rPr>
      </w:pPr>
      <w:r>
        <w:rPr>
          <w:lang w:val="en-GB"/>
        </w:rPr>
        <w:t>4.</w:t>
      </w:r>
      <w:r w:rsidR="005D6A40">
        <w:rPr>
          <w:lang w:val="en-GB"/>
        </w:rPr>
        <w:t>3</w:t>
      </w:r>
      <w:r>
        <w:rPr>
          <w:lang w:val="en-GB"/>
        </w:rPr>
        <w:tab/>
      </w:r>
      <w:r w:rsidR="00646E2F" w:rsidRPr="00830C5B">
        <w:rPr>
          <w:lang w:val="en-GB"/>
        </w:rPr>
        <w:t xml:space="preserve">The </w:t>
      </w:r>
      <w:r w:rsidR="00646E2F" w:rsidRPr="00B65E5E">
        <w:t>author</w:t>
      </w:r>
      <w:r w:rsidR="00646E2F" w:rsidRPr="00830C5B">
        <w:rPr>
          <w:lang w:val="en-GB"/>
        </w:rPr>
        <w:t xml:space="preserve"> disagrees with </w:t>
      </w:r>
      <w:r w:rsidR="00646E2F">
        <w:rPr>
          <w:lang w:val="en-GB"/>
        </w:rPr>
        <w:t>th</w:t>
      </w:r>
      <w:r w:rsidR="00FC6FDB">
        <w:rPr>
          <w:lang w:val="en-GB"/>
        </w:rPr>
        <w:t>e</w:t>
      </w:r>
      <w:r w:rsidR="00646E2F">
        <w:rPr>
          <w:lang w:val="en-GB"/>
        </w:rPr>
        <w:t>s</w:t>
      </w:r>
      <w:r w:rsidR="00FC6FDB">
        <w:rPr>
          <w:lang w:val="en-GB"/>
        </w:rPr>
        <w:t>e</w:t>
      </w:r>
      <w:r w:rsidR="00646E2F">
        <w:rPr>
          <w:lang w:val="en-GB"/>
        </w:rPr>
        <w:t xml:space="preserve"> decision</w:t>
      </w:r>
      <w:r w:rsidR="00FC6FDB">
        <w:rPr>
          <w:lang w:val="en-GB"/>
        </w:rPr>
        <w:t xml:space="preserve">s and claims </w:t>
      </w:r>
      <w:r w:rsidR="006C3F34">
        <w:rPr>
          <w:lang w:val="en-GB"/>
        </w:rPr>
        <w:t xml:space="preserve">to be a victim of </w:t>
      </w:r>
      <w:r w:rsidR="00FC6FDB">
        <w:rPr>
          <w:lang w:val="en-GB"/>
        </w:rPr>
        <w:t>double jeopardy in violation of article 14 (7) of the Covenant</w:t>
      </w:r>
      <w:r w:rsidR="00646E2F">
        <w:rPr>
          <w:lang w:eastAsia="en-GB"/>
        </w:rPr>
        <w:t>.</w:t>
      </w:r>
      <w:r w:rsidR="00646E2F" w:rsidRPr="00830C5B">
        <w:rPr>
          <w:lang w:val="en-GB" w:eastAsia="en-GB"/>
        </w:rPr>
        <w:t xml:space="preserve"> </w:t>
      </w:r>
    </w:p>
    <w:p w14:paraId="2A625DB6" w14:textId="77777777" w:rsidR="00646E2F" w:rsidRPr="00607311" w:rsidRDefault="00B65E5E" w:rsidP="008E5513">
      <w:pPr>
        <w:pStyle w:val="SingleTxtG"/>
        <w:rPr>
          <w:lang w:val="en-GB" w:eastAsia="en-GB"/>
        </w:rPr>
      </w:pPr>
      <w:r>
        <w:rPr>
          <w:lang w:val="en-GB"/>
        </w:rPr>
        <w:t>4.</w:t>
      </w:r>
      <w:r w:rsidR="005D6A40">
        <w:rPr>
          <w:lang w:val="en-GB"/>
        </w:rPr>
        <w:t>4</w:t>
      </w:r>
      <w:r w:rsidR="00F53D53">
        <w:rPr>
          <w:lang w:val="en-GB"/>
        </w:rPr>
        <w:tab/>
      </w:r>
      <w:r w:rsidR="00383820">
        <w:rPr>
          <w:lang w:val="en-GB"/>
        </w:rPr>
        <w:t xml:space="preserve">The Committee notes first, that the </w:t>
      </w:r>
      <w:r w:rsidR="00383820" w:rsidRPr="00B70DD1">
        <w:rPr>
          <w:i/>
          <w:lang w:val="en-GB"/>
        </w:rPr>
        <w:t>n</w:t>
      </w:r>
      <w:r w:rsidR="00310303">
        <w:rPr>
          <w:i/>
          <w:lang w:val="en-GB"/>
        </w:rPr>
        <w:t>e</w:t>
      </w:r>
      <w:r w:rsidR="00383820" w:rsidRPr="00B70DD1">
        <w:rPr>
          <w:i/>
          <w:lang w:val="en-GB"/>
        </w:rPr>
        <w:t xml:space="preserve"> bis in idem</w:t>
      </w:r>
      <w:r w:rsidR="00383820">
        <w:rPr>
          <w:lang w:val="en-GB"/>
        </w:rPr>
        <w:t xml:space="preserve"> principle as protected by article 14 (7) of the Covenant prohibit</w:t>
      </w:r>
      <w:r w:rsidR="005A1422">
        <w:rPr>
          <w:lang w:val="en-GB"/>
        </w:rPr>
        <w:t>s</w:t>
      </w:r>
      <w:r w:rsidR="00383820">
        <w:rPr>
          <w:lang w:val="en-GB"/>
        </w:rPr>
        <w:t xml:space="preserve"> States from trying someone for the same offence</w:t>
      </w:r>
      <w:r w:rsidR="00B70DD1">
        <w:rPr>
          <w:lang w:val="en-GB"/>
        </w:rPr>
        <w:t xml:space="preserve"> </w:t>
      </w:r>
      <w:r w:rsidR="0028098A">
        <w:rPr>
          <w:lang w:val="en-GB"/>
        </w:rPr>
        <w:t>for which he/she have already been tried and sentenced</w:t>
      </w:r>
      <w:r w:rsidR="00383820">
        <w:rPr>
          <w:lang w:val="en-GB"/>
        </w:rPr>
        <w:t xml:space="preserve">. </w:t>
      </w:r>
      <w:r w:rsidR="00383820">
        <w:rPr>
          <w:lang w:val="en-GB" w:eastAsia="en-GB"/>
        </w:rPr>
        <w:t>T</w:t>
      </w:r>
      <w:r w:rsidR="00646E2F">
        <w:rPr>
          <w:lang w:val="en-GB" w:eastAsia="en-GB"/>
        </w:rPr>
        <w:t>he Committee observes that</w:t>
      </w:r>
      <w:r w:rsidR="00310303">
        <w:rPr>
          <w:lang w:val="en-GB" w:eastAsia="en-GB"/>
        </w:rPr>
        <w:t>,</w:t>
      </w:r>
      <w:r w:rsidR="00646E2F">
        <w:rPr>
          <w:lang w:val="en-GB" w:eastAsia="en-GB"/>
        </w:rPr>
        <w:t xml:space="preserve"> </w:t>
      </w:r>
      <w:r w:rsidR="00383820">
        <w:rPr>
          <w:lang w:val="en-GB" w:eastAsia="en-GB"/>
        </w:rPr>
        <w:t xml:space="preserve">in the circumstances of the present case, the decision to proceed with the </w:t>
      </w:r>
      <w:r w:rsidR="00FC6FDB">
        <w:rPr>
          <w:lang w:val="en-GB" w:eastAsia="en-GB"/>
        </w:rPr>
        <w:t xml:space="preserve">deportation </w:t>
      </w:r>
      <w:r w:rsidR="00383820">
        <w:rPr>
          <w:lang w:val="en-GB" w:eastAsia="en-GB"/>
        </w:rPr>
        <w:t xml:space="preserve">of the author </w:t>
      </w:r>
      <w:r w:rsidR="00FC6FDB">
        <w:rPr>
          <w:lang w:val="en-GB" w:eastAsia="en-GB"/>
        </w:rPr>
        <w:t xml:space="preserve">is a measure of administrative nature that </w:t>
      </w:r>
      <w:r w:rsidR="001C38C3">
        <w:rPr>
          <w:lang w:val="en-GB" w:eastAsia="en-GB"/>
        </w:rPr>
        <w:t xml:space="preserve">is independent </w:t>
      </w:r>
      <w:r w:rsidR="008E5513">
        <w:rPr>
          <w:lang w:val="en-GB" w:eastAsia="en-GB"/>
        </w:rPr>
        <w:t xml:space="preserve">of </w:t>
      </w:r>
      <w:r w:rsidR="001C38C3">
        <w:rPr>
          <w:lang w:val="en-GB" w:eastAsia="en-GB"/>
        </w:rPr>
        <w:t>his conviction and sentence under criminal law for drug-related crimes</w:t>
      </w:r>
      <w:r w:rsidR="008E5513">
        <w:rPr>
          <w:lang w:val="en-GB" w:eastAsia="en-GB"/>
        </w:rPr>
        <w:t xml:space="preserve">. </w:t>
      </w:r>
      <w:r w:rsidR="00F53D53">
        <w:rPr>
          <w:lang w:val="en-GB" w:eastAsia="en-GB"/>
        </w:rPr>
        <w:t>T</w:t>
      </w:r>
      <w:r w:rsidR="0028098A">
        <w:rPr>
          <w:lang w:val="en-GB" w:eastAsia="en-GB"/>
        </w:rPr>
        <w:t>hus</w:t>
      </w:r>
      <w:r w:rsidR="00F53D53">
        <w:rPr>
          <w:lang w:val="en-GB" w:eastAsia="en-GB"/>
        </w:rPr>
        <w:t>,</w:t>
      </w:r>
      <w:r w:rsidR="0028098A">
        <w:rPr>
          <w:lang w:val="en-GB" w:eastAsia="en-GB"/>
        </w:rPr>
        <w:t xml:space="preserve"> </w:t>
      </w:r>
      <w:r w:rsidR="000544ED">
        <w:rPr>
          <w:lang w:val="en-GB" w:eastAsia="en-GB"/>
        </w:rPr>
        <w:t xml:space="preserve">it </w:t>
      </w:r>
      <w:r w:rsidR="0028098A">
        <w:rPr>
          <w:lang w:val="en-GB" w:eastAsia="en-GB"/>
        </w:rPr>
        <w:t xml:space="preserve">cannot be seen as </w:t>
      </w:r>
      <w:r w:rsidR="00FC6FDB">
        <w:rPr>
          <w:lang w:val="en-GB" w:eastAsia="en-GB"/>
        </w:rPr>
        <w:t>constitut</w:t>
      </w:r>
      <w:r w:rsidR="0028098A">
        <w:rPr>
          <w:lang w:val="en-GB" w:eastAsia="en-GB"/>
        </w:rPr>
        <w:t>ing</w:t>
      </w:r>
      <w:r w:rsidR="00FC6FDB">
        <w:rPr>
          <w:lang w:val="en-GB" w:eastAsia="en-GB"/>
        </w:rPr>
        <w:t xml:space="preserve"> a</w:t>
      </w:r>
      <w:r w:rsidR="000544ED">
        <w:rPr>
          <w:lang w:val="en-GB" w:eastAsia="en-GB"/>
        </w:rPr>
        <w:t xml:space="preserve">n additional </w:t>
      </w:r>
      <w:r w:rsidR="00FC6FDB">
        <w:rPr>
          <w:lang w:val="en-GB" w:eastAsia="en-GB"/>
        </w:rPr>
        <w:t xml:space="preserve">punishment for the criminal offences the author has committed. </w:t>
      </w:r>
      <w:r w:rsidR="008E5513">
        <w:rPr>
          <w:lang w:val="en-GB" w:eastAsia="en-GB"/>
        </w:rPr>
        <w:t xml:space="preserve">Accordingly, </w:t>
      </w:r>
      <w:r w:rsidR="00646E2F" w:rsidRPr="005D7178">
        <w:t xml:space="preserve">the Committee considers that the </w:t>
      </w:r>
      <w:r w:rsidR="00646E2F">
        <w:t xml:space="preserve">author’s </w:t>
      </w:r>
      <w:r w:rsidR="00646E2F" w:rsidRPr="005D7178">
        <w:t>claim</w:t>
      </w:r>
      <w:r w:rsidR="00E22499" w:rsidRPr="00E22499">
        <w:rPr>
          <w:lang w:val="en-GB"/>
        </w:rPr>
        <w:t>s</w:t>
      </w:r>
      <w:r w:rsidR="00646E2F" w:rsidRPr="005D7178">
        <w:t xml:space="preserve"> </w:t>
      </w:r>
      <w:r w:rsidR="008E5513" w:rsidRPr="00480264">
        <w:rPr>
          <w:lang w:val="en-GB"/>
        </w:rPr>
        <w:t xml:space="preserve">do not raise any issue </w:t>
      </w:r>
      <w:r w:rsidR="00646E2F" w:rsidRPr="005D7178">
        <w:t>under article</w:t>
      </w:r>
      <w:r w:rsidR="00646E2F" w:rsidRPr="00470595">
        <w:rPr>
          <w:lang w:val="en-GB"/>
        </w:rPr>
        <w:t xml:space="preserve"> </w:t>
      </w:r>
      <w:r w:rsidR="008B4067">
        <w:rPr>
          <w:lang w:val="en-GB"/>
        </w:rPr>
        <w:t>14 (</w:t>
      </w:r>
      <w:r w:rsidR="00646E2F" w:rsidRPr="00470595">
        <w:rPr>
          <w:lang w:val="en-GB"/>
        </w:rPr>
        <w:t>7</w:t>
      </w:r>
      <w:r w:rsidR="008B4067">
        <w:rPr>
          <w:lang w:val="en-GB"/>
        </w:rPr>
        <w:t>)</w:t>
      </w:r>
      <w:r w:rsidR="00646E2F" w:rsidRPr="005D7178">
        <w:t xml:space="preserve"> </w:t>
      </w:r>
      <w:r w:rsidR="00646E2F">
        <w:t>of the Covenant</w:t>
      </w:r>
      <w:r w:rsidR="0028098A" w:rsidRPr="005A1422">
        <w:rPr>
          <w:lang w:val="en-GB"/>
        </w:rPr>
        <w:t>.</w:t>
      </w:r>
      <w:r w:rsidR="0028098A">
        <w:rPr>
          <w:lang w:val="en-GB"/>
        </w:rPr>
        <w:t xml:space="preserve"> Accordingly, the Committee </w:t>
      </w:r>
      <w:r w:rsidR="00646E2F" w:rsidRPr="005D7178">
        <w:t xml:space="preserve">concludes that </w:t>
      </w:r>
      <w:r w:rsidR="00646E2F">
        <w:t>the communication is</w:t>
      </w:r>
      <w:r w:rsidR="00646E2F" w:rsidRPr="005D7178">
        <w:t xml:space="preserve"> inadmissible </w:t>
      </w:r>
      <w:r w:rsidR="00007E38" w:rsidRPr="00480264">
        <w:rPr>
          <w:i/>
          <w:lang w:val="en-GB"/>
        </w:rPr>
        <w:t xml:space="preserve">ratione materiae </w:t>
      </w:r>
      <w:r w:rsidR="00646E2F" w:rsidRPr="005D7178">
        <w:t xml:space="preserve">under article </w:t>
      </w:r>
      <w:r w:rsidR="008E5513" w:rsidRPr="00480264">
        <w:rPr>
          <w:lang w:val="en-GB"/>
        </w:rPr>
        <w:t>3</w:t>
      </w:r>
      <w:r w:rsidR="00646E2F" w:rsidRPr="005D7178">
        <w:t xml:space="preserve"> of the Optional Protocol</w:t>
      </w:r>
      <w:r w:rsidR="00646E2F" w:rsidRPr="00607311">
        <w:rPr>
          <w:lang w:val="en-GB"/>
        </w:rPr>
        <w:t>.</w:t>
      </w:r>
    </w:p>
    <w:p w14:paraId="1AB1CD89" w14:textId="77777777" w:rsidR="00911AEA" w:rsidRPr="002A0D62" w:rsidRDefault="001C3108">
      <w:pPr>
        <w:pStyle w:val="SingleTxtG"/>
        <w:spacing w:line="240" w:lineRule="auto"/>
        <w:rPr>
          <w:lang w:val="en-GB"/>
        </w:rPr>
      </w:pPr>
      <w:r>
        <w:t>5.</w:t>
      </w:r>
      <w:r w:rsidRPr="007C1F31">
        <w:tab/>
      </w:r>
      <w:r w:rsidRPr="00CD71F6">
        <w:t>The Committee therefore decides:</w:t>
      </w:r>
    </w:p>
    <w:p w14:paraId="3226C003" w14:textId="77777777" w:rsidR="00911AEA" w:rsidRPr="00480264" w:rsidRDefault="00911AEA" w:rsidP="00911AEA">
      <w:pPr>
        <w:pStyle w:val="SingleTxtG"/>
        <w:spacing w:line="240" w:lineRule="auto"/>
        <w:rPr>
          <w:lang w:val="en-GB"/>
        </w:rPr>
      </w:pPr>
      <w:r w:rsidRPr="002A0D62">
        <w:rPr>
          <w:lang w:val="en-GB"/>
        </w:rPr>
        <w:tab/>
      </w:r>
      <w:r w:rsidR="001C3108">
        <w:t>(a)</w:t>
      </w:r>
      <w:r w:rsidR="001C3108" w:rsidRPr="001B7D7D">
        <w:tab/>
        <w:t xml:space="preserve">That the communication is inadmissible under article </w:t>
      </w:r>
      <w:r w:rsidR="00007E38" w:rsidRPr="00480264">
        <w:rPr>
          <w:lang w:val="en-GB"/>
        </w:rPr>
        <w:t>3</w:t>
      </w:r>
      <w:r w:rsidR="001C3108" w:rsidRPr="001B7D7D">
        <w:t xml:space="preserve"> of the Optional Protocol;</w:t>
      </w:r>
    </w:p>
    <w:p w14:paraId="13A0F242" w14:textId="77777777" w:rsidR="001C3108" w:rsidRPr="002A0D62" w:rsidRDefault="00911AEA">
      <w:pPr>
        <w:pStyle w:val="SingleTxtG"/>
        <w:spacing w:line="240" w:lineRule="auto"/>
        <w:rPr>
          <w:lang w:val="en-US"/>
        </w:rPr>
      </w:pPr>
      <w:r w:rsidRPr="00480264">
        <w:rPr>
          <w:lang w:val="en-GB"/>
        </w:rPr>
        <w:tab/>
      </w:r>
      <w:r w:rsidR="001C3108">
        <w:t>(b)</w:t>
      </w:r>
      <w:r w:rsidR="001C3108" w:rsidRPr="001B7D7D">
        <w:tab/>
      </w:r>
      <w:r w:rsidR="00557E2A">
        <w:rPr>
          <w:color w:val="000000"/>
          <w:lang w:eastAsia="en-GB"/>
        </w:rPr>
        <w:t xml:space="preserve">That the </w:t>
      </w:r>
      <w:r w:rsidR="00557E2A" w:rsidRPr="002A0D62">
        <w:t>decision</w:t>
      </w:r>
      <w:r w:rsidR="00557E2A">
        <w:rPr>
          <w:color w:val="000000"/>
          <w:lang w:eastAsia="en-GB"/>
        </w:rPr>
        <w:t xml:space="preserve"> be transmitted to the author and, for information, to the State party</w:t>
      </w:r>
      <w:r w:rsidR="00557E2A">
        <w:rPr>
          <w:color w:val="000000"/>
          <w:lang w:val="en-GB" w:eastAsia="en-GB"/>
        </w:rPr>
        <w:t>.</w:t>
      </w:r>
    </w:p>
    <w:p w14:paraId="207A862D" w14:textId="77777777" w:rsidR="00911AEA" w:rsidRPr="002A0D62" w:rsidRDefault="00911AEA" w:rsidP="00911AEA">
      <w:pPr>
        <w:pStyle w:val="SingleTxtG"/>
        <w:spacing w:before="240" w:after="0"/>
        <w:jc w:val="center"/>
        <w:rPr>
          <w:u w:val="single"/>
          <w:lang w:val="en-GB"/>
        </w:rPr>
      </w:pPr>
      <w:r w:rsidRPr="002A0D62">
        <w:rPr>
          <w:u w:val="single"/>
          <w:lang w:val="en-GB"/>
        </w:rPr>
        <w:tab/>
      </w:r>
      <w:r w:rsidRPr="002A0D62">
        <w:rPr>
          <w:u w:val="single"/>
          <w:lang w:val="en-GB"/>
        </w:rPr>
        <w:tab/>
      </w:r>
      <w:r w:rsidRPr="002A0D62">
        <w:rPr>
          <w:u w:val="single"/>
          <w:lang w:val="en-GB"/>
        </w:rPr>
        <w:tab/>
      </w:r>
    </w:p>
    <w:sectPr w:rsidR="00911AEA" w:rsidRPr="002A0D62" w:rsidSect="002762E2">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12-18T08:32:00Z" w:initials="Start">
    <w:p w14:paraId="20181FA4" w14:textId="77777777" w:rsidR="002762E2" w:rsidRDefault="002762E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NO&gt;&gt;N1528757E&lt;&lt;ODS JOB NO&gt;&gt;</w:t>
      </w:r>
    </w:p>
    <w:p w14:paraId="5882AAA6" w14:textId="77777777" w:rsidR="002762E2" w:rsidRDefault="002762E2">
      <w:pPr>
        <w:pStyle w:val="CommentText"/>
      </w:pPr>
      <w:r>
        <w:t>&lt;&lt;ODS DOC SYMBOL1&gt;&gt;CCPR/C/115/D/2631/2015&lt;&lt;ODS DOC SYMBOL1&gt;&gt;</w:t>
      </w:r>
    </w:p>
    <w:p w14:paraId="27D97481" w14:textId="77777777" w:rsidR="002762E2" w:rsidRDefault="002762E2">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D974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520E2" w14:textId="77777777" w:rsidR="0056790F" w:rsidRDefault="0056790F"/>
  </w:endnote>
  <w:endnote w:type="continuationSeparator" w:id="0">
    <w:p w14:paraId="247B9CD9" w14:textId="77777777" w:rsidR="0056790F" w:rsidRDefault="0056790F"/>
  </w:endnote>
  <w:endnote w:type="continuationNotice" w:id="1">
    <w:p w14:paraId="7EB5DDD9" w14:textId="77777777" w:rsidR="0056790F" w:rsidRDefault="005679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674FF" w14:textId="77777777" w:rsidR="001C3108" w:rsidRPr="00EF1126" w:rsidRDefault="001C3108" w:rsidP="001C3108">
    <w:pPr>
      <w:pStyle w:val="Footer"/>
      <w:tabs>
        <w:tab w:val="right" w:pos="9638"/>
      </w:tabs>
      <w:rPr>
        <w:sz w:val="18"/>
        <w:szCs w:val="18"/>
      </w:rPr>
    </w:pPr>
    <w:r w:rsidRPr="00EF1126">
      <w:rPr>
        <w:b/>
        <w:sz w:val="18"/>
        <w:szCs w:val="18"/>
      </w:rPr>
      <w:fldChar w:fldCharType="begin"/>
    </w:r>
    <w:r w:rsidRPr="00EF1126">
      <w:rPr>
        <w:b/>
        <w:sz w:val="18"/>
        <w:szCs w:val="18"/>
      </w:rPr>
      <w:instrText xml:space="preserve"> </w:instrText>
    </w:r>
    <w:r w:rsidR="003975F2">
      <w:rPr>
        <w:b/>
        <w:sz w:val="18"/>
        <w:szCs w:val="18"/>
      </w:rPr>
      <w:instrText>PAGE</w:instrText>
    </w:r>
    <w:r w:rsidRPr="00EF1126">
      <w:rPr>
        <w:b/>
        <w:sz w:val="18"/>
        <w:szCs w:val="18"/>
      </w:rPr>
      <w:instrText xml:space="preserve">  \* MERGEFORMAT </w:instrText>
    </w:r>
    <w:r w:rsidRPr="00EF1126">
      <w:rPr>
        <w:b/>
        <w:sz w:val="18"/>
        <w:szCs w:val="18"/>
      </w:rPr>
      <w:fldChar w:fldCharType="separate"/>
    </w:r>
    <w:r w:rsidR="00B21BD7">
      <w:rPr>
        <w:b/>
        <w:noProof/>
        <w:sz w:val="18"/>
        <w:szCs w:val="18"/>
      </w:rPr>
      <w:t>2</w:t>
    </w:r>
    <w:r w:rsidRPr="00EF1126">
      <w:rPr>
        <w:b/>
        <w:sz w:val="18"/>
        <w:szCs w:val="18"/>
      </w:rPr>
      <w:fldChar w:fldCharType="end"/>
    </w:r>
    <w:r w:rsidRPr="00EF1126">
      <w:rPr>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F5F8B" w14:textId="77777777" w:rsidR="001C3108" w:rsidRPr="007C1F31" w:rsidRDefault="001C3108" w:rsidP="001C3108">
    <w:pPr>
      <w:pStyle w:val="Footer"/>
      <w:tabs>
        <w:tab w:val="right" w:pos="9638"/>
      </w:tabs>
      <w:rPr>
        <w:b/>
        <w:sz w:val="18"/>
      </w:rPr>
    </w:pPr>
    <w:r>
      <w:tab/>
    </w:r>
    <w:r w:rsidRPr="007C1F31">
      <w:rPr>
        <w:b/>
        <w:sz w:val="18"/>
      </w:rPr>
      <w:fldChar w:fldCharType="begin"/>
    </w:r>
    <w:r w:rsidRPr="007C1F31">
      <w:rPr>
        <w:b/>
        <w:sz w:val="18"/>
      </w:rPr>
      <w:instrText xml:space="preserve"> </w:instrText>
    </w:r>
    <w:r w:rsidR="003975F2">
      <w:rPr>
        <w:b/>
        <w:sz w:val="18"/>
      </w:rPr>
      <w:instrText>PAGE</w:instrText>
    </w:r>
    <w:r w:rsidRPr="007C1F31">
      <w:rPr>
        <w:b/>
        <w:sz w:val="18"/>
      </w:rPr>
      <w:instrText xml:space="preserve">  \* MERGEFORMAT </w:instrText>
    </w:r>
    <w:r w:rsidRPr="007C1F31">
      <w:rPr>
        <w:b/>
        <w:sz w:val="18"/>
      </w:rPr>
      <w:fldChar w:fldCharType="separate"/>
    </w:r>
    <w:r w:rsidR="00B21BD7">
      <w:rPr>
        <w:b/>
        <w:noProof/>
        <w:sz w:val="18"/>
      </w:rPr>
      <w:t>3</w:t>
    </w:r>
    <w:r w:rsidRPr="007C1F31">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2762E2" w14:paraId="482209EB" w14:textId="77777777" w:rsidTr="002762E2">
      <w:tc>
        <w:tcPr>
          <w:tcW w:w="3614" w:type="dxa"/>
          <w:shd w:val="clear" w:color="auto" w:fill="auto"/>
        </w:tcPr>
        <w:p w14:paraId="7D787BB4" w14:textId="77777777" w:rsidR="002762E2" w:rsidRDefault="002762E2" w:rsidP="002762E2">
          <w:pPr>
            <w:pStyle w:val="Footer"/>
            <w:rPr>
              <w:sz w:val="20"/>
            </w:rPr>
          </w:pPr>
          <w:r>
            <w:rPr>
              <w:noProof/>
              <w:sz w:val="20"/>
              <w:lang w:val="en-US"/>
            </w:rPr>
            <w:drawing>
              <wp:anchor distT="0" distB="0" distL="114300" distR="114300" simplePos="0" relativeHeight="251658240" behindDoc="0" locked="0" layoutInCell="1" allowOverlap="1" wp14:anchorId="0BFEAE16" wp14:editId="446941E8">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CCPR/C/115/D/2631/2015&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5/D/2631/2015&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GE.15-22257(E)</w:t>
          </w:r>
        </w:p>
        <w:p w14:paraId="122EA228" w14:textId="77777777" w:rsidR="002762E2" w:rsidRPr="002762E2" w:rsidRDefault="002762E2" w:rsidP="002762E2">
          <w:pPr>
            <w:pStyle w:val="Footer"/>
            <w:rPr>
              <w:rFonts w:ascii="Barcode 3 of 9 by request" w:hAnsi="Barcode 3 of 9 by request"/>
              <w:sz w:val="24"/>
            </w:rPr>
          </w:pPr>
          <w:r>
            <w:rPr>
              <w:rFonts w:ascii="Barcode 3 of 9 by request" w:hAnsi="Barcode 3 of 9 by request"/>
              <w:sz w:val="24"/>
            </w:rPr>
            <w:t>*1522257*</w:t>
          </w:r>
        </w:p>
      </w:tc>
      <w:tc>
        <w:tcPr>
          <w:tcW w:w="4752" w:type="dxa"/>
          <w:shd w:val="clear" w:color="auto" w:fill="auto"/>
        </w:tcPr>
        <w:p w14:paraId="220F8305" w14:textId="77777777" w:rsidR="002762E2" w:rsidRDefault="002762E2" w:rsidP="002762E2">
          <w:pPr>
            <w:pStyle w:val="Footer"/>
            <w:spacing w:line="240" w:lineRule="atLeast"/>
            <w:jc w:val="right"/>
            <w:rPr>
              <w:sz w:val="20"/>
            </w:rPr>
          </w:pPr>
          <w:r>
            <w:rPr>
              <w:noProof/>
              <w:sz w:val="20"/>
              <w:lang w:val="en-US"/>
            </w:rPr>
            <w:drawing>
              <wp:inline distT="0" distB="0" distL="0" distR="0" wp14:anchorId="151238CD" wp14:editId="7719C9F1">
                <wp:extent cx="9296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5CE35190" w14:textId="77777777" w:rsidR="002762E2" w:rsidRPr="002762E2" w:rsidRDefault="002762E2" w:rsidP="002762E2">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29D95" w14:textId="77777777" w:rsidR="0056790F" w:rsidRPr="000B175B" w:rsidRDefault="0056790F" w:rsidP="001C3108">
      <w:pPr>
        <w:tabs>
          <w:tab w:val="right" w:pos="2155"/>
        </w:tabs>
        <w:spacing w:after="80"/>
        <w:ind w:left="680"/>
        <w:rPr>
          <w:u w:val="single"/>
        </w:rPr>
      </w:pPr>
      <w:r>
        <w:rPr>
          <w:u w:val="single"/>
        </w:rPr>
        <w:tab/>
      </w:r>
    </w:p>
  </w:footnote>
  <w:footnote w:type="continuationSeparator" w:id="0">
    <w:p w14:paraId="7A0D5F99" w14:textId="77777777" w:rsidR="0056790F" w:rsidRPr="00FC68B7" w:rsidRDefault="0056790F" w:rsidP="001C3108">
      <w:pPr>
        <w:tabs>
          <w:tab w:val="left" w:pos="2155"/>
        </w:tabs>
        <w:spacing w:after="80"/>
        <w:ind w:left="680"/>
        <w:rPr>
          <w:u w:val="single"/>
        </w:rPr>
      </w:pPr>
      <w:r>
        <w:rPr>
          <w:u w:val="single"/>
        </w:rPr>
        <w:tab/>
      </w:r>
    </w:p>
  </w:footnote>
  <w:footnote w:type="continuationNotice" w:id="1">
    <w:p w14:paraId="6102E106" w14:textId="77777777" w:rsidR="0056790F" w:rsidRDefault="0056790F"/>
  </w:footnote>
  <w:footnote w:id="2">
    <w:p w14:paraId="3365089B" w14:textId="77777777" w:rsidR="00984CB9" w:rsidRPr="00026B89" w:rsidRDefault="00984CB9">
      <w:pPr>
        <w:pStyle w:val="FootnoteText"/>
        <w:rPr>
          <w:lang w:val="en-GB"/>
        </w:rPr>
      </w:pPr>
      <w:r>
        <w:rPr>
          <w:rStyle w:val="FootnoteReference"/>
        </w:rPr>
        <w:tab/>
      </w:r>
      <w:r w:rsidRPr="00026B89">
        <w:rPr>
          <w:rStyle w:val="EndnoteReference"/>
          <w:sz w:val="20"/>
          <w:vertAlign w:val="baseline"/>
        </w:rPr>
        <w:t>*</w:t>
      </w:r>
      <w:r>
        <w:rPr>
          <w:szCs w:val="18"/>
          <w:lang w:val="en-GB"/>
        </w:rPr>
        <w:tab/>
      </w:r>
      <w:r>
        <w:rPr>
          <w:szCs w:val="18"/>
        </w:rPr>
        <w:t xml:space="preserve">The following members of the Committee participated in the examination of the present communication: Yadh Ben Achour, Lazhari Bouzid, Sarah Cleveland, Ahmed Amin Fathalla, Olivier </w:t>
      </w:r>
      <w:r>
        <w:rPr>
          <w:szCs w:val="18"/>
          <w:lang w:val="en-GB"/>
        </w:rPr>
        <w:t>d</w:t>
      </w:r>
      <w:r>
        <w:rPr>
          <w:szCs w:val="18"/>
        </w:rPr>
        <w:t>e Frouville, Yuji Iwasawa, Ivana Jeli</w:t>
      </w:r>
      <w:r w:rsidRPr="006D2BE8">
        <w:t>ć</w:t>
      </w:r>
      <w:r>
        <w:rPr>
          <w:szCs w:val="18"/>
        </w:rPr>
        <w:t xml:space="preserve">, Duncan Laki Muhumuza, Photini Pazartzis, Mauro Politi, </w:t>
      </w:r>
      <w:r>
        <w:rPr>
          <w:bCs/>
          <w:szCs w:val="18"/>
        </w:rPr>
        <w:t>Sir</w:t>
      </w:r>
      <w:r>
        <w:rPr>
          <w:szCs w:val="18"/>
        </w:rPr>
        <w:t xml:space="preserve"> Nigel Rodley, V</w:t>
      </w:r>
      <w:r>
        <w:t>í</w:t>
      </w:r>
      <w:r>
        <w:rPr>
          <w:szCs w:val="18"/>
        </w:rPr>
        <w:t>ctor Manuel Rodríguez-Rescia, Fabián Omar Salvioli, Dheerujlall Seetulsingh, Anja Seibert-Fohr, Yuval Shany, Konstantine Vardzelashvili and Margo Waterval</w:t>
      </w:r>
      <w:r>
        <w:rPr>
          <w:bCs/>
          <w:szCs w:val="18"/>
        </w:rPr>
        <w:t>.</w:t>
      </w:r>
    </w:p>
  </w:footnote>
  <w:footnote w:id="3">
    <w:p w14:paraId="4607E512" w14:textId="77777777" w:rsidR="00D71A7E" w:rsidRPr="00480264" w:rsidRDefault="00B65E5E">
      <w:pPr>
        <w:pStyle w:val="FootnoteText"/>
        <w:rPr>
          <w:lang w:val="en-GB"/>
        </w:rPr>
      </w:pPr>
      <w:r w:rsidRPr="002A0D62">
        <w:rPr>
          <w:lang w:val="en-GB"/>
        </w:rPr>
        <w:tab/>
      </w:r>
      <w:r w:rsidR="00D71A7E">
        <w:rPr>
          <w:rStyle w:val="FootnoteReference"/>
        </w:rPr>
        <w:footnoteRef/>
      </w:r>
      <w:r w:rsidRPr="002A0D62">
        <w:rPr>
          <w:lang w:val="en-GB"/>
        </w:rPr>
        <w:tab/>
      </w:r>
      <w:r w:rsidR="00AB167B" w:rsidRPr="00480264">
        <w:rPr>
          <w:lang w:val="en-GB"/>
        </w:rPr>
        <w:t xml:space="preserve">On 3 June 2015 the </w:t>
      </w:r>
      <w:r w:rsidR="00AB167B">
        <w:rPr>
          <w:lang w:val="en-GB"/>
        </w:rPr>
        <w:t xml:space="preserve">Supreme Court granted the </w:t>
      </w:r>
      <w:r w:rsidR="00AB167B" w:rsidRPr="00480264">
        <w:rPr>
          <w:lang w:val="en-GB"/>
        </w:rPr>
        <w:t xml:space="preserve">applications for leave to appeal </w:t>
      </w:r>
      <w:r w:rsidR="0043523C">
        <w:rPr>
          <w:lang w:val="en-GB"/>
        </w:rPr>
        <w:t>of</w:t>
      </w:r>
      <w:r w:rsidR="00AB167B" w:rsidRPr="00480264">
        <w:rPr>
          <w:lang w:val="en-GB"/>
        </w:rPr>
        <w:t xml:space="preserve"> the </w:t>
      </w:r>
      <w:r w:rsidR="00AB167B">
        <w:rPr>
          <w:lang w:val="en-GB"/>
        </w:rPr>
        <w:t xml:space="preserve">author’s </w:t>
      </w:r>
      <w:r w:rsidR="00AB167B" w:rsidRPr="00480264">
        <w:rPr>
          <w:lang w:val="en-GB"/>
        </w:rPr>
        <w:t>first and third child</w:t>
      </w:r>
      <w:r w:rsidR="00AB167B">
        <w:rPr>
          <w:lang w:val="en-GB"/>
        </w:rPr>
        <w:t>. This judgement</w:t>
      </w:r>
      <w:r w:rsidR="00AB167B" w:rsidRPr="00480264">
        <w:rPr>
          <w:lang w:val="en-GB"/>
        </w:rPr>
        <w:t xml:space="preserve"> </w:t>
      </w:r>
      <w:r w:rsidR="00AB167B">
        <w:rPr>
          <w:lang w:val="en-GB"/>
        </w:rPr>
        <w:t>opens the possibility for the first and third child to be permitted to stay in New Zealand together with the second child</w:t>
      </w:r>
      <w:r w:rsidR="00310303">
        <w:rPr>
          <w:lang w:val="en-GB"/>
        </w:rPr>
        <w:t>,</w:t>
      </w:r>
      <w:r w:rsidR="00AB167B">
        <w:rPr>
          <w:lang w:val="en-GB"/>
        </w:rPr>
        <w:t xml:space="preserve"> who is a New Zealand citizen, </w:t>
      </w:r>
      <w:r w:rsidR="00AB167B" w:rsidRPr="00480264">
        <w:rPr>
          <w:lang w:val="en-GB"/>
        </w:rPr>
        <w:t>given the age</w:t>
      </w:r>
      <w:r w:rsidR="00007E38" w:rsidRPr="00480264">
        <w:rPr>
          <w:lang w:val="en-GB"/>
        </w:rPr>
        <w:t xml:space="preserve"> (</w:t>
      </w:r>
      <w:r w:rsidR="000E5D0C" w:rsidRPr="00480264">
        <w:rPr>
          <w:lang w:val="en-GB"/>
        </w:rPr>
        <w:t>25</w:t>
      </w:r>
      <w:r w:rsidR="00704B15">
        <w:rPr>
          <w:lang w:val="en-GB"/>
        </w:rPr>
        <w:t> </w:t>
      </w:r>
      <w:r w:rsidR="000E5D0C" w:rsidRPr="00480264">
        <w:rPr>
          <w:lang w:val="en-GB"/>
        </w:rPr>
        <w:t>years old</w:t>
      </w:r>
      <w:r w:rsidR="00007E38" w:rsidRPr="00480264">
        <w:rPr>
          <w:lang w:val="en-GB"/>
        </w:rPr>
        <w:t>)</w:t>
      </w:r>
      <w:r w:rsidR="00AB167B">
        <w:rPr>
          <w:lang w:val="en-GB"/>
        </w:rPr>
        <w:t xml:space="preserve"> and the role within the family of the first child, and despite the absence of their parents.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271B6" w14:textId="77777777" w:rsidR="001C3108" w:rsidRPr="007C1F31" w:rsidRDefault="001C3108" w:rsidP="001C3108">
    <w:pPr>
      <w:pStyle w:val="Header"/>
    </w:pPr>
    <w:r>
      <w:t>CCPR/C/11</w:t>
    </w:r>
    <w:r w:rsidR="003B52A3">
      <w:t>5</w:t>
    </w:r>
    <w:r>
      <w:t>/D/2</w:t>
    </w:r>
    <w:r w:rsidR="003B52A3">
      <w:t>63</w:t>
    </w:r>
    <w:r>
      <w:t>1/201</w:t>
    </w:r>
    <w:r w:rsidR="003B52A3">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F2449" w14:textId="77777777" w:rsidR="001C3108" w:rsidRPr="007C1F31" w:rsidRDefault="001C3108" w:rsidP="001C3108">
    <w:pPr>
      <w:pStyle w:val="Header"/>
      <w:jc w:val="right"/>
    </w:pPr>
    <w:r>
      <w:t>CCPR/C/</w:t>
    </w:r>
    <w:r w:rsidR="00D004CE">
      <w:t>115</w:t>
    </w:r>
    <w:r>
      <w:t>/D/2</w:t>
    </w:r>
    <w:r w:rsidR="007038C8">
      <w:t>631</w:t>
    </w:r>
    <w:r>
      <w:t>/201</w:t>
    </w:r>
    <w:r w:rsidR="007038C8">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8DC39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C49F8"/>
    <w:multiLevelType w:val="hybridMultilevel"/>
    <w:tmpl w:val="57E679C2"/>
    <w:lvl w:ilvl="0" w:tplc="075A6416">
      <w:start w:val="1"/>
      <w:numFmt w:val="decimal"/>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A4C77"/>
    <w:multiLevelType w:val="multilevel"/>
    <w:tmpl w:val="7E0298D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48758B1"/>
    <w:multiLevelType w:val="hybridMultilevel"/>
    <w:tmpl w:val="1AA45662"/>
    <w:lvl w:ilvl="0" w:tplc="EE328C9A">
      <w:start w:val="3"/>
      <w:numFmt w:val="decimal"/>
      <w:lvlText w:val="3.%1"/>
      <w:lvlJc w:val="left"/>
      <w:pPr>
        <w:tabs>
          <w:tab w:val="num" w:pos="0"/>
        </w:tabs>
        <w:ind w:left="1134" w:firstLine="0"/>
      </w:pPr>
      <w:rPr>
        <w:rFonts w:ascii="Times New Roman" w:hAnsi="Times New Roman" w:cs="Times New Roman" w:hint="default"/>
        <w:b w:val="0"/>
        <w:bCs w:val="0"/>
        <w:i w:val="0"/>
        <w:iCs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72083A22">
      <w:start w:val="3"/>
      <w:numFmt w:val="decimal"/>
      <w:lvlText w:val="3.%3"/>
      <w:lvlJc w:val="left"/>
      <w:pPr>
        <w:tabs>
          <w:tab w:val="num" w:pos="0"/>
        </w:tabs>
        <w:ind w:left="1134" w:firstLine="0"/>
      </w:pPr>
      <w:rPr>
        <w:rFonts w:ascii="Times New Roman" w:hAnsi="Times New Roman" w:cs="Times New Roman" w:hint="default"/>
        <w:b w:val="0"/>
        <w:bCs w:val="0"/>
        <w:i w:val="0"/>
        <w:iCs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90A168E"/>
    <w:multiLevelType w:val="multilevel"/>
    <w:tmpl w:val="8CFAC89A"/>
    <w:lvl w:ilvl="0">
      <w:start w:val="3"/>
      <w:numFmt w:val="decimal"/>
      <w:lvlText w:val="3.%1"/>
      <w:lvlJc w:val="left"/>
      <w:pPr>
        <w:tabs>
          <w:tab w:val="num" w:pos="0"/>
        </w:tabs>
        <w:ind w:left="1134" w:firstLine="0"/>
      </w:pPr>
      <w:rPr>
        <w:rFonts w:ascii="Times New Roman" w:hAnsi="Times New Roman" w:cs="Times New Roman" w:hint="default"/>
        <w:b w:val="0"/>
        <w:bCs w:val="0"/>
        <w:i w:val="0"/>
        <w:iCs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3"/>
      <w:numFmt w:val="decimal"/>
      <w:lvlText w:val="3.%3"/>
      <w:lvlJc w:val="left"/>
      <w:pPr>
        <w:tabs>
          <w:tab w:val="num" w:pos="846"/>
        </w:tabs>
        <w:ind w:left="1980" w:firstLine="0"/>
      </w:pPr>
      <w:rPr>
        <w:rFonts w:ascii="Times New Roman" w:hAnsi="Times New Roman" w:cs="Times New Roman" w:hint="default"/>
        <w:b w:val="0"/>
        <w:bCs w:val="0"/>
        <w:i w:val="0"/>
        <w:iCs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DA96A0A"/>
    <w:multiLevelType w:val="multilevel"/>
    <w:tmpl w:val="23F48C0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59A1C03"/>
    <w:multiLevelType w:val="multilevel"/>
    <w:tmpl w:val="9C225246"/>
    <w:lvl w:ilvl="0">
      <w:start w:val="3"/>
      <w:numFmt w:val="decimal"/>
      <w:lvlText w:val="3.%1"/>
      <w:lvlJc w:val="left"/>
      <w:pPr>
        <w:tabs>
          <w:tab w:val="num" w:pos="0"/>
        </w:tabs>
        <w:ind w:left="1134" w:firstLine="0"/>
      </w:pPr>
      <w:rPr>
        <w:rFonts w:ascii="Times New Roman" w:hAnsi="Times New Roman" w:cs="Times New Roman" w:hint="default"/>
        <w:b w:val="0"/>
        <w:bCs w:val="0"/>
        <w:i w:val="0"/>
        <w:iCs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3"/>
  </w:num>
  <w:num w:numId="4">
    <w:abstractNumId w:val="4"/>
  </w:num>
  <w:num w:numId="5">
    <w:abstractNumId w:val="7"/>
  </w:num>
  <w:num w:numId="6">
    <w:abstractNumId w:val="5"/>
  </w:num>
  <w:num w:numId="7">
    <w:abstractNumId w:val="1"/>
  </w:num>
  <w:num w:numId="8">
    <w:abstractNumId w:val="6"/>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es-ES"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F31"/>
    <w:rsid w:val="00007E38"/>
    <w:rsid w:val="00024D04"/>
    <w:rsid w:val="0003230C"/>
    <w:rsid w:val="00044BD2"/>
    <w:rsid w:val="0005365F"/>
    <w:rsid w:val="000544ED"/>
    <w:rsid w:val="0006165B"/>
    <w:rsid w:val="00074DEC"/>
    <w:rsid w:val="00080A43"/>
    <w:rsid w:val="0008748B"/>
    <w:rsid w:val="0008778D"/>
    <w:rsid w:val="00095806"/>
    <w:rsid w:val="000C27AF"/>
    <w:rsid w:val="000E5D0C"/>
    <w:rsid w:val="000F27A6"/>
    <w:rsid w:val="000F6C63"/>
    <w:rsid w:val="001064E7"/>
    <w:rsid w:val="00107108"/>
    <w:rsid w:val="0015263E"/>
    <w:rsid w:val="0017218D"/>
    <w:rsid w:val="001C3108"/>
    <w:rsid w:val="001C38C3"/>
    <w:rsid w:val="001C49A6"/>
    <w:rsid w:val="001F4D20"/>
    <w:rsid w:val="002432AB"/>
    <w:rsid w:val="00251AF4"/>
    <w:rsid w:val="002762E2"/>
    <w:rsid w:val="0028098A"/>
    <w:rsid w:val="002A0D62"/>
    <w:rsid w:val="002C0BB7"/>
    <w:rsid w:val="002E2265"/>
    <w:rsid w:val="00301FD3"/>
    <w:rsid w:val="00310303"/>
    <w:rsid w:val="00327DE6"/>
    <w:rsid w:val="00341514"/>
    <w:rsid w:val="00341D69"/>
    <w:rsid w:val="003634B8"/>
    <w:rsid w:val="00371C5B"/>
    <w:rsid w:val="00383820"/>
    <w:rsid w:val="00395E33"/>
    <w:rsid w:val="003975F2"/>
    <w:rsid w:val="003A1F07"/>
    <w:rsid w:val="003A5F89"/>
    <w:rsid w:val="003B52A3"/>
    <w:rsid w:val="003C361B"/>
    <w:rsid w:val="003D14BF"/>
    <w:rsid w:val="003D5FD0"/>
    <w:rsid w:val="00407E3A"/>
    <w:rsid w:val="004134AA"/>
    <w:rsid w:val="00415250"/>
    <w:rsid w:val="00415837"/>
    <w:rsid w:val="00423058"/>
    <w:rsid w:val="0043523C"/>
    <w:rsid w:val="004358E9"/>
    <w:rsid w:val="00470595"/>
    <w:rsid w:val="00480264"/>
    <w:rsid w:val="00487C63"/>
    <w:rsid w:val="00490D4B"/>
    <w:rsid w:val="0049560C"/>
    <w:rsid w:val="004A57AD"/>
    <w:rsid w:val="004F05F2"/>
    <w:rsid w:val="0051462A"/>
    <w:rsid w:val="00521B20"/>
    <w:rsid w:val="00557E2A"/>
    <w:rsid w:val="0056790F"/>
    <w:rsid w:val="00572896"/>
    <w:rsid w:val="00585FE9"/>
    <w:rsid w:val="00590885"/>
    <w:rsid w:val="00592312"/>
    <w:rsid w:val="005A1422"/>
    <w:rsid w:val="005C0D7D"/>
    <w:rsid w:val="005D6A40"/>
    <w:rsid w:val="005F7932"/>
    <w:rsid w:val="006004F2"/>
    <w:rsid w:val="00600F89"/>
    <w:rsid w:val="006020B7"/>
    <w:rsid w:val="00607311"/>
    <w:rsid w:val="006271A0"/>
    <w:rsid w:val="00646E2F"/>
    <w:rsid w:val="00654604"/>
    <w:rsid w:val="006A3D1E"/>
    <w:rsid w:val="006B7DC5"/>
    <w:rsid w:val="006C3F34"/>
    <w:rsid w:val="006F0AC0"/>
    <w:rsid w:val="007038C8"/>
    <w:rsid w:val="00704B15"/>
    <w:rsid w:val="0072262B"/>
    <w:rsid w:val="007B04A4"/>
    <w:rsid w:val="007C1F31"/>
    <w:rsid w:val="007C7037"/>
    <w:rsid w:val="007C76F0"/>
    <w:rsid w:val="007E2616"/>
    <w:rsid w:val="007F1014"/>
    <w:rsid w:val="00811572"/>
    <w:rsid w:val="00830C5B"/>
    <w:rsid w:val="008469A5"/>
    <w:rsid w:val="0086764D"/>
    <w:rsid w:val="00894DBD"/>
    <w:rsid w:val="0089606F"/>
    <w:rsid w:val="008A4C63"/>
    <w:rsid w:val="008A6211"/>
    <w:rsid w:val="008A75DF"/>
    <w:rsid w:val="008B4067"/>
    <w:rsid w:val="008E5513"/>
    <w:rsid w:val="009068D9"/>
    <w:rsid w:val="00911AEA"/>
    <w:rsid w:val="00924B25"/>
    <w:rsid w:val="00947884"/>
    <w:rsid w:val="00951071"/>
    <w:rsid w:val="009742B0"/>
    <w:rsid w:val="00983070"/>
    <w:rsid w:val="00984CB9"/>
    <w:rsid w:val="009A6377"/>
    <w:rsid w:val="009B1305"/>
    <w:rsid w:val="009B519E"/>
    <w:rsid w:val="009B66D4"/>
    <w:rsid w:val="009B730A"/>
    <w:rsid w:val="009C0114"/>
    <w:rsid w:val="009C0902"/>
    <w:rsid w:val="009C2F7D"/>
    <w:rsid w:val="009C528F"/>
    <w:rsid w:val="009C5A2E"/>
    <w:rsid w:val="009C5AF6"/>
    <w:rsid w:val="009D0D6D"/>
    <w:rsid w:val="00A546C9"/>
    <w:rsid w:val="00A6468D"/>
    <w:rsid w:val="00A66F42"/>
    <w:rsid w:val="00AB167B"/>
    <w:rsid w:val="00AC3D6E"/>
    <w:rsid w:val="00AD183F"/>
    <w:rsid w:val="00AF04FC"/>
    <w:rsid w:val="00B20942"/>
    <w:rsid w:val="00B21BD7"/>
    <w:rsid w:val="00B24CF9"/>
    <w:rsid w:val="00B41E8D"/>
    <w:rsid w:val="00B526E1"/>
    <w:rsid w:val="00B645C4"/>
    <w:rsid w:val="00B65E5E"/>
    <w:rsid w:val="00B66D66"/>
    <w:rsid w:val="00B70DD1"/>
    <w:rsid w:val="00B7156C"/>
    <w:rsid w:val="00B80F72"/>
    <w:rsid w:val="00BA4E5C"/>
    <w:rsid w:val="00C11635"/>
    <w:rsid w:val="00C80F5E"/>
    <w:rsid w:val="00C950DE"/>
    <w:rsid w:val="00C95C11"/>
    <w:rsid w:val="00CB5A9C"/>
    <w:rsid w:val="00CC323C"/>
    <w:rsid w:val="00CC5578"/>
    <w:rsid w:val="00CD0E3B"/>
    <w:rsid w:val="00CD5F57"/>
    <w:rsid w:val="00CD6B63"/>
    <w:rsid w:val="00CE2973"/>
    <w:rsid w:val="00CE4B76"/>
    <w:rsid w:val="00CF02F3"/>
    <w:rsid w:val="00CF19BE"/>
    <w:rsid w:val="00D004CE"/>
    <w:rsid w:val="00D117C7"/>
    <w:rsid w:val="00D424DF"/>
    <w:rsid w:val="00D71A7E"/>
    <w:rsid w:val="00D73681"/>
    <w:rsid w:val="00D84C97"/>
    <w:rsid w:val="00DB4B79"/>
    <w:rsid w:val="00DF1E14"/>
    <w:rsid w:val="00E0261A"/>
    <w:rsid w:val="00E22499"/>
    <w:rsid w:val="00E27CE9"/>
    <w:rsid w:val="00E300C5"/>
    <w:rsid w:val="00E439B9"/>
    <w:rsid w:val="00E805A3"/>
    <w:rsid w:val="00E957A9"/>
    <w:rsid w:val="00EF1145"/>
    <w:rsid w:val="00EF52EF"/>
    <w:rsid w:val="00EF612C"/>
    <w:rsid w:val="00F0576E"/>
    <w:rsid w:val="00F1042E"/>
    <w:rsid w:val="00F53D53"/>
    <w:rsid w:val="00F72A3C"/>
    <w:rsid w:val="00F74189"/>
    <w:rsid w:val="00FB5740"/>
    <w:rsid w:val="00FB5CF4"/>
    <w:rsid w:val="00FC0ACD"/>
    <w:rsid w:val="00FC6FDB"/>
    <w:rsid w:val="00FC7F67"/>
    <w:rsid w:val="00FE17C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459E5"/>
  <w15:docId w15:val="{C8D726E3-0F10-478A-BB6A-D31A9E6B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228"/>
    <w:pPr>
      <w:suppressAutoHyphens/>
      <w:spacing w:line="240" w:lineRule="atLeast"/>
    </w:pPr>
    <w:rPr>
      <w:lang w:eastAsia="en-US"/>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qFormat/>
    <w:rsid w:val="00503228"/>
    <w:pPr>
      <w:spacing w:line="240" w:lineRule="auto"/>
      <w:outlineLvl w:val="1"/>
    </w:pPr>
  </w:style>
  <w:style w:type="paragraph" w:styleId="Heading3">
    <w:name w:val="heading 3"/>
    <w:basedOn w:val="Normal"/>
    <w:next w:val="Normal"/>
    <w:qFormat/>
    <w:rsid w:val="00503228"/>
    <w:pPr>
      <w:spacing w:line="240" w:lineRule="auto"/>
      <w:outlineLvl w:val="2"/>
    </w:pPr>
  </w:style>
  <w:style w:type="paragraph" w:styleId="Heading4">
    <w:name w:val="heading 4"/>
    <w:basedOn w:val="Normal"/>
    <w:next w:val="Normal"/>
    <w:qFormat/>
    <w:rsid w:val="00503228"/>
    <w:pPr>
      <w:spacing w:line="240" w:lineRule="auto"/>
      <w:outlineLvl w:val="3"/>
    </w:pPr>
  </w:style>
  <w:style w:type="paragraph" w:styleId="Heading5">
    <w:name w:val="heading 5"/>
    <w:basedOn w:val="Normal"/>
    <w:next w:val="Normal"/>
    <w:qFormat/>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qFormat/>
    <w:rsid w:val="00503228"/>
    <w:pPr>
      <w:spacing w:line="240" w:lineRule="auto"/>
      <w:outlineLvl w:val="6"/>
    </w:pPr>
  </w:style>
  <w:style w:type="paragraph" w:styleId="Heading8">
    <w:name w:val="heading 8"/>
    <w:basedOn w:val="Normal"/>
    <w:next w:val="Normal"/>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503228"/>
    <w:pPr>
      <w:spacing w:after="120"/>
      <w:ind w:left="1134" w:right="1134"/>
      <w:jc w:val="both"/>
    </w:pPr>
    <w:rPr>
      <w:lang w:val="x-none"/>
    </w:r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251AF4"/>
    <w:rPr>
      <w:rFonts w:ascii="Times New Roman" w:hAnsi="Times New Roman"/>
      <w:sz w:val="18"/>
      <w:vertAlign w:val="superscript"/>
    </w:rPr>
  </w:style>
  <w:style w:type="character" w:styleId="EndnoteReference">
    <w:name w:val="endnote reference"/>
    <w:aliases w:val="1_G"/>
    <w:basedOn w:val="FootnoteReference"/>
    <w:rsid w:val="00503228"/>
    <w:rPr>
      <w:rFonts w:ascii="Times New Roman" w:hAnsi="Times New Roman"/>
      <w:sz w:val="18"/>
      <w:vertAlign w:val="superscript"/>
    </w:rPr>
  </w:style>
  <w:style w:type="paragraph" w:styleId="Header">
    <w:name w:val="header"/>
    <w:aliases w:val="6_G"/>
    <w:basedOn w:val="Normal"/>
    <w:rsid w:val="00503228"/>
    <w:pPr>
      <w:pBdr>
        <w:bottom w:val="single" w:sz="4" w:space="4" w:color="auto"/>
      </w:pBdr>
      <w:spacing w:line="240" w:lineRule="auto"/>
    </w:pPr>
    <w:rPr>
      <w:b/>
      <w:sz w:val="18"/>
    </w:rPr>
  </w:style>
  <w:style w:type="table" w:styleId="TableGrid">
    <w:name w:val="Table Grid"/>
    <w:basedOn w:val="TableNormal"/>
    <w:semiHidden/>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251AF4"/>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paragraph" w:styleId="BalloonText">
    <w:name w:val="Balloon Text"/>
    <w:basedOn w:val="Normal"/>
    <w:semiHidden/>
    <w:rsid w:val="00A75AB7"/>
    <w:rPr>
      <w:rFonts w:ascii="Tahoma" w:hAnsi="Tahoma" w:cs="Tahoma"/>
      <w:sz w:val="16"/>
      <w:szCs w:val="16"/>
    </w:rPr>
  </w:style>
  <w:style w:type="character" w:customStyle="1" w:styleId="SingleTxtGChar">
    <w:name w:val="_ Single Txt_G Char"/>
    <w:link w:val="SingleTxtG"/>
    <w:rsid w:val="00A6498B"/>
    <w:rPr>
      <w:lang w:eastAsia="en-US"/>
    </w:rPr>
  </w:style>
  <w:style w:type="character" w:customStyle="1" w:styleId="FootnoteTextChar">
    <w:name w:val="Footnote Text Char"/>
    <w:aliases w:val="5_G Char"/>
    <w:link w:val="FootnoteText"/>
    <w:rsid w:val="00A6498B"/>
    <w:rPr>
      <w:rFonts w:eastAsia="SimSun"/>
      <w:sz w:val="18"/>
      <w:lang w:val="en-US" w:eastAsia="zh-CN"/>
    </w:rPr>
  </w:style>
  <w:style w:type="paragraph" w:customStyle="1" w:styleId="Default">
    <w:name w:val="Default"/>
    <w:rsid w:val="00A772FD"/>
    <w:pPr>
      <w:autoSpaceDE w:val="0"/>
      <w:autoSpaceDN w:val="0"/>
      <w:adjustRightInd w:val="0"/>
    </w:pPr>
    <w:rPr>
      <w:color w:val="000000"/>
      <w:sz w:val="24"/>
      <w:szCs w:val="24"/>
    </w:rPr>
  </w:style>
  <w:style w:type="paragraph" w:customStyle="1" w:styleId="ParaNoG">
    <w:name w:val="_ParaNo._G"/>
    <w:basedOn w:val="SingleTxtG"/>
    <w:rsid w:val="00D03FA1"/>
  </w:style>
  <w:style w:type="character" w:styleId="CommentReference">
    <w:name w:val="annotation reference"/>
    <w:rsid w:val="00750E7B"/>
    <w:rPr>
      <w:sz w:val="16"/>
      <w:szCs w:val="16"/>
    </w:rPr>
  </w:style>
  <w:style w:type="paragraph" w:styleId="CommentText">
    <w:name w:val="annotation text"/>
    <w:basedOn w:val="Normal"/>
    <w:link w:val="CommentTextChar"/>
    <w:rsid w:val="00750E7B"/>
  </w:style>
  <w:style w:type="character" w:customStyle="1" w:styleId="CommentTextChar">
    <w:name w:val="Comment Text Char"/>
    <w:link w:val="CommentText"/>
    <w:rsid w:val="00750E7B"/>
    <w:rPr>
      <w:lang w:val="en-GB" w:eastAsia="en-US"/>
    </w:rPr>
  </w:style>
  <w:style w:type="paragraph" w:styleId="CommentSubject">
    <w:name w:val="annotation subject"/>
    <w:basedOn w:val="CommentText"/>
    <w:next w:val="CommentText"/>
    <w:link w:val="CommentSubjectChar"/>
    <w:rsid w:val="00750E7B"/>
    <w:rPr>
      <w:b/>
      <w:bCs/>
    </w:rPr>
  </w:style>
  <w:style w:type="character" w:customStyle="1" w:styleId="CommentSubjectChar">
    <w:name w:val="Comment Subject Char"/>
    <w:link w:val="CommentSubject"/>
    <w:rsid w:val="00750E7B"/>
    <w:rPr>
      <w:b/>
      <w:bCs/>
      <w:lang w:val="en-GB" w:eastAsia="en-US"/>
    </w:rPr>
  </w:style>
  <w:style w:type="paragraph" w:customStyle="1" w:styleId="parrafo1">
    <w:name w:val="parrafo1"/>
    <w:basedOn w:val="Normal"/>
    <w:rsid w:val="00FE178B"/>
    <w:pPr>
      <w:suppressAutoHyphens w:val="0"/>
      <w:spacing w:before="180" w:after="180" w:line="240" w:lineRule="auto"/>
      <w:ind w:firstLine="360"/>
      <w:jc w:val="both"/>
    </w:pPr>
    <w:rPr>
      <w:sz w:val="24"/>
      <w:szCs w:val="24"/>
      <w:lang w:eastAsia="en-GB"/>
    </w:rPr>
  </w:style>
  <w:style w:type="character" w:customStyle="1" w:styleId="const">
    <w:name w:val="const"/>
    <w:rsid w:val="00B36BDD"/>
  </w:style>
  <w:style w:type="paragraph" w:customStyle="1" w:styleId="const1">
    <w:name w:val="const1"/>
    <w:basedOn w:val="Normal"/>
    <w:rsid w:val="00B36BDD"/>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416451">
      <w:bodyDiv w:val="1"/>
      <w:marLeft w:val="0"/>
      <w:marRight w:val="0"/>
      <w:marTop w:val="0"/>
      <w:marBottom w:val="0"/>
      <w:divBdr>
        <w:top w:val="none" w:sz="0" w:space="0" w:color="auto"/>
        <w:left w:val="none" w:sz="0" w:space="0" w:color="auto"/>
        <w:bottom w:val="none" w:sz="0" w:space="0" w:color="auto"/>
        <w:right w:val="none" w:sz="0" w:space="0" w:color="auto"/>
      </w:divBdr>
      <w:divsChild>
        <w:div w:id="269433147">
          <w:marLeft w:val="0"/>
          <w:marRight w:val="0"/>
          <w:marTop w:val="720"/>
          <w:marBottom w:val="720"/>
          <w:divBdr>
            <w:top w:val="none" w:sz="0" w:space="0" w:color="auto"/>
            <w:left w:val="none" w:sz="0" w:space="0" w:color="auto"/>
            <w:bottom w:val="none" w:sz="0" w:space="0" w:color="auto"/>
            <w:right w:val="none" w:sz="0" w:space="0" w:color="auto"/>
          </w:divBdr>
          <w:divsChild>
            <w:div w:id="81143334">
              <w:marLeft w:val="0"/>
              <w:marRight w:val="0"/>
              <w:marTop w:val="0"/>
              <w:marBottom w:val="0"/>
              <w:divBdr>
                <w:top w:val="none" w:sz="0" w:space="0" w:color="auto"/>
                <w:left w:val="none" w:sz="0" w:space="0" w:color="auto"/>
                <w:bottom w:val="none" w:sz="0" w:space="0" w:color="auto"/>
                <w:right w:val="none" w:sz="0" w:space="0" w:color="auto"/>
              </w:divBdr>
              <w:divsChild>
                <w:div w:id="916206145">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1738745077">
      <w:bodyDiv w:val="1"/>
      <w:marLeft w:val="0"/>
      <w:marRight w:val="0"/>
      <w:marTop w:val="0"/>
      <w:marBottom w:val="0"/>
      <w:divBdr>
        <w:top w:val="none" w:sz="0" w:space="0" w:color="auto"/>
        <w:left w:val="none" w:sz="0" w:space="0" w:color="auto"/>
        <w:bottom w:val="none" w:sz="0" w:space="0" w:color="auto"/>
        <w:right w:val="none" w:sz="0" w:space="0" w:color="auto"/>
      </w:divBdr>
      <w:divsChild>
        <w:div w:id="684088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BFE51-8757-47FC-B7F2-86F2917FD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CCPR/C/97/D/1744/2007</vt:lpstr>
    </vt:vector>
  </TitlesOfParts>
  <Company>CSD</Company>
  <LinksUpToDate>false</LinksUpToDate>
  <CharactersWithSpaces>9418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CCPR/C/97/D/1744/2007</dc:title>
  <dc:creator>Neogi</dc:creator>
  <cp:lastModifiedBy>Sarah Willig</cp:lastModifiedBy>
  <cp:revision>2</cp:revision>
  <cp:lastPrinted>2015-12-18T07:32:00Z</cp:lastPrinted>
  <dcterms:created xsi:type="dcterms:W3CDTF">2017-01-25T00:08:00Z</dcterms:created>
  <dcterms:modified xsi:type="dcterms:W3CDTF">2017-01-25T00:08:00Z</dcterms:modified>
</cp:coreProperties>
</file>