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DF53A3" w:rsidP="00AD64E7">
            <w:pPr>
              <w:jc w:val="right"/>
            </w:pPr>
            <w:r w:rsidRPr="00DF53A3">
              <w:rPr>
                <w:sz w:val="40"/>
              </w:rPr>
              <w:t>CCPR</w:t>
            </w:r>
            <w:r w:rsidR="000D24B8">
              <w:t>/C/112</w:t>
            </w:r>
            <w:r>
              <w:t>/D/</w:t>
            </w:r>
            <w:r w:rsidR="000D24B8">
              <w:t>2341</w:t>
            </w:r>
            <w:r>
              <w:t>/2</w:t>
            </w:r>
            <w:r w:rsidR="000D24B8">
              <w:t>014</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5D303B"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190A27" w:rsidRPr="00190A27" w:rsidRDefault="00190A27" w:rsidP="00267F5F">
            <w:pPr>
              <w:spacing w:before="120" w:line="380" w:lineRule="exact"/>
              <w:rPr>
                <w:sz w:val="34"/>
              </w:rPr>
            </w:pPr>
          </w:p>
        </w:tc>
        <w:tc>
          <w:tcPr>
            <w:tcW w:w="2835" w:type="dxa"/>
            <w:tcBorders>
              <w:top w:val="single" w:sz="4" w:space="0" w:color="auto"/>
              <w:bottom w:val="single" w:sz="12" w:space="0" w:color="auto"/>
            </w:tcBorders>
          </w:tcPr>
          <w:p w:rsidR="00B56E9C" w:rsidRDefault="00DF53A3" w:rsidP="00DF53A3">
            <w:pPr>
              <w:spacing w:before="240" w:line="240" w:lineRule="exact"/>
            </w:pPr>
            <w:r>
              <w:t xml:space="preserve">Distr.: </w:t>
            </w:r>
            <w:r w:rsidR="00AD64E7">
              <w:t>General</w:t>
            </w:r>
          </w:p>
          <w:p w:rsidR="00DF53A3" w:rsidRDefault="00780D1E" w:rsidP="00364AFF">
            <w:pPr>
              <w:spacing w:line="240" w:lineRule="exact"/>
            </w:pPr>
            <w:r>
              <w:t>2</w:t>
            </w:r>
            <w:r w:rsidR="00364AFF">
              <w:t>4</w:t>
            </w:r>
            <w:r w:rsidR="00190A27">
              <w:t xml:space="preserve"> November</w:t>
            </w:r>
            <w:r w:rsidR="00D25E87">
              <w:t xml:space="preserve"> 2014</w:t>
            </w:r>
          </w:p>
          <w:p w:rsidR="00DF53A3" w:rsidRDefault="00DF53A3" w:rsidP="00DF53A3">
            <w:pPr>
              <w:spacing w:line="240" w:lineRule="exact"/>
            </w:pPr>
          </w:p>
          <w:p w:rsidR="00DF53A3" w:rsidRDefault="00DF53A3" w:rsidP="00DF53A3">
            <w:pPr>
              <w:spacing w:line="240" w:lineRule="exact"/>
            </w:pPr>
            <w:r>
              <w:t>Original: English</w:t>
            </w:r>
          </w:p>
        </w:tc>
      </w:tr>
    </w:tbl>
    <w:p w:rsidR="000D24B8" w:rsidRPr="00977176" w:rsidRDefault="000D24B8" w:rsidP="000D24B8">
      <w:pPr>
        <w:spacing w:before="120"/>
        <w:rPr>
          <w:b/>
          <w:sz w:val="24"/>
          <w:szCs w:val="24"/>
          <w:lang w:val="en-US"/>
        </w:rPr>
      </w:pPr>
      <w:r w:rsidRPr="00977176">
        <w:rPr>
          <w:b/>
          <w:sz w:val="24"/>
          <w:szCs w:val="24"/>
          <w:lang w:val="en-US"/>
        </w:rPr>
        <w:t>Human Rights Committee</w:t>
      </w:r>
      <w:r w:rsidR="005D303B">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4&amp;Size=2 &amp;Lang=E"/>
            <w10:wrap anchorx="margin" anchory="margin"/>
          </v:shape>
        </w:pict>
      </w:r>
    </w:p>
    <w:p w:rsidR="00DF53A3" w:rsidRPr="00DF53A3" w:rsidRDefault="00E77220" w:rsidP="00027C00">
      <w:pPr>
        <w:pStyle w:val="HChG"/>
      </w:pPr>
      <w:r>
        <w:tab/>
      </w:r>
      <w:r>
        <w:tab/>
        <w:t>Communication No. </w:t>
      </w:r>
      <w:r w:rsidR="000D24B8">
        <w:t>2341</w:t>
      </w:r>
      <w:r w:rsidR="00DF53A3" w:rsidRPr="00DF53A3">
        <w:t>/20</w:t>
      </w:r>
      <w:r w:rsidR="000D24B8">
        <w:t>14</w:t>
      </w:r>
    </w:p>
    <w:p w:rsidR="00DF53A3" w:rsidRPr="00DF53A3" w:rsidRDefault="00DF53A3" w:rsidP="00027C00">
      <w:pPr>
        <w:pStyle w:val="H1G"/>
      </w:pPr>
      <w:r w:rsidRPr="00DF53A3">
        <w:tab/>
      </w:r>
      <w:r w:rsidRPr="00DF53A3">
        <w:tab/>
      </w:r>
      <w:r w:rsidR="00AD64E7">
        <w:t>Decision adopted by the Committee at its 112</w:t>
      </w:r>
      <w:r w:rsidR="00AD64E7" w:rsidRPr="0066543C">
        <w:rPr>
          <w:vertAlign w:val="superscript"/>
        </w:rPr>
        <w:t>th</w:t>
      </w:r>
      <w:r w:rsidR="00AD64E7">
        <w:t xml:space="preserve"> session</w:t>
      </w:r>
      <w:r w:rsidR="00190A27">
        <w:br/>
      </w:r>
      <w:r w:rsidR="00AD64E7">
        <w:t>(7-31 October 2014)</w:t>
      </w:r>
    </w:p>
    <w:p w:rsidR="00DF53A3" w:rsidRPr="00DF53A3" w:rsidRDefault="00DF53A3" w:rsidP="00E77220">
      <w:pPr>
        <w:pStyle w:val="SingleTxtG"/>
        <w:ind w:left="4536" w:hanging="3402"/>
        <w:jc w:val="left"/>
      </w:pPr>
      <w:r w:rsidRPr="00DF53A3">
        <w:rPr>
          <w:i/>
        </w:rPr>
        <w:t>Submitted by:</w:t>
      </w:r>
      <w:r w:rsidRPr="00DF53A3">
        <w:tab/>
      </w:r>
      <w:r w:rsidR="00343B90">
        <w:t>N.U.</w:t>
      </w:r>
      <w:r w:rsidRPr="00DF53A3">
        <w:t xml:space="preserve"> (</w:t>
      </w:r>
      <w:r w:rsidR="00027C00">
        <w:t xml:space="preserve">not </w:t>
      </w:r>
      <w:r w:rsidRPr="00DF53A3">
        <w:t>represented by counsel)</w:t>
      </w:r>
    </w:p>
    <w:p w:rsidR="00DF53A3" w:rsidRPr="00DF53A3" w:rsidRDefault="00DF53A3" w:rsidP="00E77220">
      <w:pPr>
        <w:pStyle w:val="SingleTxtG"/>
        <w:ind w:left="4536" w:hanging="3402"/>
        <w:jc w:val="left"/>
      </w:pPr>
      <w:r w:rsidRPr="00DF53A3">
        <w:rPr>
          <w:i/>
        </w:rPr>
        <w:t>Alleged victim:</w:t>
      </w:r>
      <w:r w:rsidRPr="00DF53A3">
        <w:tab/>
        <w:t>The author</w:t>
      </w:r>
    </w:p>
    <w:p w:rsidR="00DF53A3" w:rsidRPr="00DF53A3" w:rsidRDefault="00DF53A3" w:rsidP="00027C00">
      <w:pPr>
        <w:pStyle w:val="SingleTxtG"/>
        <w:ind w:left="4536" w:hanging="3402"/>
      </w:pPr>
      <w:r w:rsidRPr="00DF53A3">
        <w:rPr>
          <w:i/>
        </w:rPr>
        <w:t>State party:</w:t>
      </w:r>
      <w:r w:rsidRPr="00DF53A3">
        <w:tab/>
      </w:r>
      <w:r w:rsidR="00E93A03">
        <w:t>Norway</w:t>
      </w:r>
    </w:p>
    <w:p w:rsidR="00DF53A3" w:rsidRPr="00DF53A3" w:rsidRDefault="00DF53A3" w:rsidP="00027C00">
      <w:pPr>
        <w:pStyle w:val="SingleTxtG"/>
        <w:ind w:left="4536" w:hanging="3402"/>
      </w:pPr>
      <w:r w:rsidRPr="00DF53A3">
        <w:rPr>
          <w:i/>
        </w:rPr>
        <w:t>Date of communication:</w:t>
      </w:r>
      <w:r w:rsidRPr="00DF53A3">
        <w:tab/>
      </w:r>
      <w:r w:rsidR="00E93A03">
        <w:t>15 May</w:t>
      </w:r>
      <w:r w:rsidRPr="00DF53A3">
        <w:t xml:space="preserve"> 20</w:t>
      </w:r>
      <w:r w:rsidR="00E93A03">
        <w:t>13</w:t>
      </w:r>
      <w:r w:rsidR="00E77220">
        <w:t xml:space="preserve"> (initial submission)</w:t>
      </w:r>
    </w:p>
    <w:p w:rsidR="00DF53A3" w:rsidRPr="00DF53A3" w:rsidRDefault="00DF53A3" w:rsidP="00E77220">
      <w:pPr>
        <w:pStyle w:val="SingleTxtG"/>
        <w:ind w:left="4536" w:hanging="3402"/>
        <w:jc w:val="left"/>
      </w:pPr>
      <w:r w:rsidRPr="00DF53A3">
        <w:rPr>
          <w:i/>
        </w:rPr>
        <w:t>Document references:</w:t>
      </w:r>
      <w:r w:rsidRPr="00DF53A3">
        <w:tab/>
        <w:t xml:space="preserve">Special Rapporteur’s rule 97 decision, transmitted to the State party on </w:t>
      </w:r>
      <w:r w:rsidR="00E93A03">
        <w:t>5</w:t>
      </w:r>
      <w:r w:rsidRPr="00DF53A3">
        <w:t xml:space="preserve"> </w:t>
      </w:r>
      <w:r w:rsidR="00E93A03">
        <w:t xml:space="preserve">February 2014 </w:t>
      </w:r>
      <w:r w:rsidRPr="00DF53A3">
        <w:t>(not issued in document form)</w:t>
      </w:r>
    </w:p>
    <w:p w:rsidR="00DF53A3" w:rsidRDefault="00DF53A3" w:rsidP="00027C00">
      <w:pPr>
        <w:pStyle w:val="SingleTxtG"/>
        <w:ind w:left="4536" w:hanging="3402"/>
      </w:pPr>
      <w:r w:rsidRPr="00DF53A3">
        <w:rPr>
          <w:i/>
        </w:rPr>
        <w:t>Date of adoption of decision:</w:t>
      </w:r>
      <w:r w:rsidRPr="00DF53A3">
        <w:tab/>
      </w:r>
      <w:r w:rsidR="00AD64E7">
        <w:t>28</w:t>
      </w:r>
      <w:r w:rsidRPr="00DF53A3">
        <w:t xml:space="preserve"> </w:t>
      </w:r>
      <w:r w:rsidR="00E93A03" w:rsidRPr="0066543C">
        <w:t xml:space="preserve">October </w:t>
      </w:r>
      <w:r w:rsidRPr="0066543C">
        <w:t>201</w:t>
      </w:r>
      <w:r w:rsidR="00E93A03" w:rsidRPr="0066543C">
        <w:t>4</w:t>
      </w:r>
    </w:p>
    <w:p w:rsidR="00DF53A3" w:rsidRPr="00DD03AB" w:rsidRDefault="00E77220" w:rsidP="00E77220">
      <w:pPr>
        <w:pStyle w:val="SingleTxtG"/>
        <w:ind w:left="4536" w:hanging="3402"/>
        <w:jc w:val="left"/>
        <w:rPr>
          <w:lang w:val="en-US"/>
        </w:rPr>
      </w:pPr>
      <w:r w:rsidRPr="00340126">
        <w:rPr>
          <w:i/>
          <w:iCs/>
          <w:lang w:val="en-US"/>
        </w:rPr>
        <w:t>Subject</w:t>
      </w:r>
      <w:r w:rsidRPr="00DD03AB">
        <w:rPr>
          <w:i/>
          <w:iCs/>
          <w:lang w:val="en-US"/>
        </w:rPr>
        <w:t xml:space="preserve"> matter:</w:t>
      </w:r>
      <w:r w:rsidRPr="00DD03AB">
        <w:rPr>
          <w:i/>
          <w:iCs/>
          <w:lang w:val="en-US"/>
        </w:rPr>
        <w:tab/>
      </w:r>
      <w:r w:rsidRPr="00DD03AB">
        <w:rPr>
          <w:lang w:val="en-US"/>
        </w:rPr>
        <w:t xml:space="preserve">Non-refoulement </w:t>
      </w:r>
    </w:p>
    <w:p w:rsidR="00DF53A3" w:rsidRPr="00DF53A3" w:rsidRDefault="00DF53A3" w:rsidP="00E77220">
      <w:pPr>
        <w:pStyle w:val="SingleTxtG"/>
        <w:ind w:left="4536" w:hanging="3402"/>
        <w:jc w:val="left"/>
      </w:pPr>
      <w:r w:rsidRPr="00DF53A3">
        <w:rPr>
          <w:i/>
          <w:iCs/>
        </w:rPr>
        <w:t>Substantive issues:</w:t>
      </w:r>
      <w:r w:rsidR="00E77220">
        <w:rPr>
          <w:i/>
          <w:iCs/>
        </w:rPr>
        <w:t xml:space="preserve"> </w:t>
      </w:r>
      <w:r w:rsidRPr="00DF53A3">
        <w:rPr>
          <w:i/>
          <w:iCs/>
        </w:rPr>
        <w:tab/>
      </w:r>
      <w:r w:rsidR="00E93A03">
        <w:rPr>
          <w:iCs/>
        </w:rPr>
        <w:t>Inhuman, degrading treatment or punishment</w:t>
      </w:r>
      <w:r w:rsidRPr="00DF53A3">
        <w:t>.</w:t>
      </w:r>
    </w:p>
    <w:p w:rsidR="008D13EC" w:rsidRDefault="00DF53A3" w:rsidP="00E77220">
      <w:pPr>
        <w:pStyle w:val="SingleTxtG"/>
        <w:ind w:left="4536" w:hanging="3402"/>
        <w:jc w:val="left"/>
        <w:rPr>
          <w:iCs/>
        </w:rPr>
      </w:pPr>
      <w:r w:rsidRPr="00DF53A3">
        <w:rPr>
          <w:i/>
          <w:iCs/>
        </w:rPr>
        <w:t>Procedural issue:</w:t>
      </w:r>
      <w:r w:rsidR="00E77220">
        <w:rPr>
          <w:i/>
          <w:iCs/>
        </w:rPr>
        <w:t xml:space="preserve"> </w:t>
      </w:r>
      <w:r w:rsidRPr="00DF53A3">
        <w:rPr>
          <w:i/>
          <w:iCs/>
        </w:rPr>
        <w:tab/>
      </w:r>
      <w:r w:rsidR="008D13EC">
        <w:rPr>
          <w:iCs/>
        </w:rPr>
        <w:t>Exhaustion of domestic remedies</w:t>
      </w:r>
    </w:p>
    <w:p w:rsidR="00DF53A3" w:rsidRPr="00DF53A3" w:rsidRDefault="00DF53A3" w:rsidP="00027C00">
      <w:pPr>
        <w:pStyle w:val="SingleTxtG"/>
        <w:ind w:left="4536" w:hanging="3402"/>
      </w:pPr>
      <w:r w:rsidRPr="00DF53A3">
        <w:rPr>
          <w:i/>
          <w:iCs/>
        </w:rPr>
        <w:t>Article of the Covenant:</w:t>
      </w:r>
      <w:r w:rsidRPr="00DF53A3">
        <w:t xml:space="preserve"> </w:t>
      </w:r>
      <w:r w:rsidRPr="00DF53A3">
        <w:tab/>
      </w:r>
      <w:r w:rsidR="008D13EC">
        <w:t>7</w:t>
      </w:r>
    </w:p>
    <w:p w:rsidR="00DF53A3" w:rsidRPr="00DF53A3" w:rsidRDefault="00DF53A3" w:rsidP="00780D1E">
      <w:pPr>
        <w:pStyle w:val="SingleTxtG"/>
        <w:ind w:left="4536" w:hanging="3402"/>
      </w:pPr>
      <w:r w:rsidRPr="00DF53A3">
        <w:rPr>
          <w:i/>
          <w:iCs/>
        </w:rPr>
        <w:t xml:space="preserve">Article of the Optional Protocol: </w:t>
      </w:r>
      <w:r w:rsidRPr="00DF53A3">
        <w:rPr>
          <w:i/>
          <w:iCs/>
        </w:rPr>
        <w:tab/>
      </w:r>
      <w:r w:rsidRPr="00DF53A3">
        <w:t>5</w:t>
      </w:r>
      <w:r w:rsidR="00780D1E">
        <w:t>,</w:t>
      </w:r>
      <w:r w:rsidRPr="00DF53A3">
        <w:t xml:space="preserve"> </w:t>
      </w:r>
      <w:r w:rsidR="00780D1E">
        <w:t>para. </w:t>
      </w:r>
      <w:r w:rsidRPr="00DF53A3">
        <w:t>2 (</w:t>
      </w:r>
      <w:r w:rsidR="008D13EC">
        <w:t>b</w:t>
      </w:r>
      <w:r w:rsidRPr="00DF53A3">
        <w:t>)</w:t>
      </w:r>
    </w:p>
    <w:p w:rsidR="00027C00" w:rsidRDefault="00DF53A3" w:rsidP="00027C00">
      <w:pPr>
        <w:pStyle w:val="HChG"/>
      </w:pPr>
      <w:r w:rsidRPr="00DF53A3">
        <w:br w:type="page"/>
      </w:r>
      <w:r w:rsidR="00027C00" w:rsidRPr="00027C00">
        <w:lastRenderedPageBreak/>
        <w:t>Annex</w:t>
      </w:r>
    </w:p>
    <w:p w:rsidR="00DF53A3" w:rsidRPr="00DF53A3" w:rsidRDefault="00027C00" w:rsidP="00027C00">
      <w:pPr>
        <w:pStyle w:val="HChG"/>
        <w:rPr>
          <w:bCs/>
        </w:rPr>
      </w:pPr>
      <w:r>
        <w:tab/>
      </w:r>
      <w:r>
        <w:tab/>
      </w:r>
      <w:r w:rsidR="00DF53A3" w:rsidRPr="00DF53A3">
        <w:t>Decision of the Human Rights Committee under the Optional Protocol to the International Covenant on Civil and Political rights (11</w:t>
      </w:r>
      <w:r w:rsidR="008D13EC">
        <w:t>2</w:t>
      </w:r>
      <w:r w:rsidR="00DF53A3" w:rsidRPr="00DF53A3">
        <w:t xml:space="preserve">th </w:t>
      </w:r>
      <w:r w:rsidR="00DF53A3" w:rsidRPr="00DF53A3">
        <w:rPr>
          <w:bCs/>
        </w:rPr>
        <w:t>session)</w:t>
      </w:r>
    </w:p>
    <w:p w:rsidR="00DF53A3" w:rsidRPr="00DF53A3" w:rsidRDefault="00DF53A3" w:rsidP="00027C00">
      <w:pPr>
        <w:pStyle w:val="SingleTxtG"/>
        <w:rPr>
          <w:b/>
          <w:bCs/>
        </w:rPr>
      </w:pPr>
      <w:r w:rsidRPr="00DF53A3">
        <w:t>concerning</w:t>
      </w:r>
    </w:p>
    <w:p w:rsidR="00DF53A3" w:rsidRPr="00DF53A3" w:rsidRDefault="00E77220" w:rsidP="00027C00">
      <w:pPr>
        <w:pStyle w:val="H1G"/>
      </w:pPr>
      <w:r>
        <w:tab/>
      </w:r>
      <w:r>
        <w:tab/>
        <w:t>Communication No. </w:t>
      </w:r>
      <w:r w:rsidR="008D13EC">
        <w:t>2341</w:t>
      </w:r>
      <w:r w:rsidR="00DF53A3" w:rsidRPr="00DF53A3">
        <w:t>/20</w:t>
      </w:r>
      <w:r w:rsidR="008D13EC">
        <w:t>14</w:t>
      </w:r>
      <w:r w:rsidR="00190A27" w:rsidRPr="0066543C">
        <w:rPr>
          <w:rStyle w:val="FootnoteReference"/>
          <w:b w:val="0"/>
          <w:bCs/>
          <w:sz w:val="20"/>
          <w:vertAlign w:val="baseline"/>
        </w:rPr>
        <w:footnoteReference w:customMarkFollows="1" w:id="2"/>
        <w:t>*</w:t>
      </w:r>
    </w:p>
    <w:p w:rsidR="00DF53A3" w:rsidRPr="00DF53A3" w:rsidRDefault="00DF53A3" w:rsidP="00E77220">
      <w:pPr>
        <w:pStyle w:val="SingleTxtG"/>
        <w:ind w:left="4536" w:hanging="3402"/>
        <w:jc w:val="left"/>
      </w:pPr>
      <w:r w:rsidRPr="00DF53A3">
        <w:rPr>
          <w:i/>
        </w:rPr>
        <w:t>Submitted by:</w:t>
      </w:r>
      <w:r w:rsidRPr="00DF53A3">
        <w:tab/>
      </w:r>
      <w:r w:rsidR="00343B90">
        <w:t>N.U.</w:t>
      </w:r>
      <w:r w:rsidRPr="00DF53A3">
        <w:t xml:space="preserve"> (</w:t>
      </w:r>
      <w:r w:rsidR="00AD4AFB">
        <w:t xml:space="preserve">not </w:t>
      </w:r>
      <w:r w:rsidRPr="00DF53A3">
        <w:t>represented by counsel)</w:t>
      </w:r>
    </w:p>
    <w:p w:rsidR="00DF53A3" w:rsidRPr="00DF53A3" w:rsidRDefault="00DF53A3" w:rsidP="00E77220">
      <w:pPr>
        <w:pStyle w:val="SingleTxtG"/>
        <w:ind w:left="4536" w:hanging="3402"/>
        <w:jc w:val="left"/>
      </w:pPr>
      <w:r w:rsidRPr="00DF53A3">
        <w:rPr>
          <w:i/>
        </w:rPr>
        <w:t>Alleged victim:</w:t>
      </w:r>
      <w:r w:rsidRPr="00DF53A3">
        <w:tab/>
        <w:t>The author</w:t>
      </w:r>
    </w:p>
    <w:p w:rsidR="00DF53A3" w:rsidRPr="00DF53A3" w:rsidRDefault="00DF53A3" w:rsidP="00E77220">
      <w:pPr>
        <w:pStyle w:val="SingleTxtG"/>
        <w:ind w:left="4536" w:hanging="3402"/>
        <w:jc w:val="left"/>
      </w:pPr>
      <w:r w:rsidRPr="00DF53A3">
        <w:rPr>
          <w:i/>
        </w:rPr>
        <w:t>State party:</w:t>
      </w:r>
      <w:r w:rsidRPr="00DF53A3">
        <w:tab/>
      </w:r>
      <w:r w:rsidR="008D13EC">
        <w:t>Norway</w:t>
      </w:r>
    </w:p>
    <w:p w:rsidR="00DF53A3" w:rsidRPr="00DF53A3" w:rsidRDefault="00DF53A3" w:rsidP="00E77220">
      <w:pPr>
        <w:pStyle w:val="SingleTxtG"/>
        <w:ind w:left="4536" w:hanging="3402"/>
        <w:jc w:val="left"/>
      </w:pPr>
      <w:r w:rsidRPr="00DF53A3">
        <w:rPr>
          <w:i/>
        </w:rPr>
        <w:t>Date of communication:</w:t>
      </w:r>
      <w:r w:rsidRPr="00DF53A3">
        <w:tab/>
      </w:r>
      <w:r w:rsidR="008D13EC">
        <w:t>15 May</w:t>
      </w:r>
      <w:r w:rsidR="008D13EC" w:rsidRPr="00DF53A3">
        <w:t xml:space="preserve"> 20</w:t>
      </w:r>
      <w:r w:rsidR="008D13EC">
        <w:t>13</w:t>
      </w:r>
      <w:r w:rsidR="008D13EC" w:rsidRPr="00DF53A3">
        <w:t xml:space="preserve"> </w:t>
      </w:r>
      <w:r w:rsidR="00027C00">
        <w:t>(initial submission)</w:t>
      </w:r>
    </w:p>
    <w:p w:rsidR="00DA2E0D" w:rsidRPr="00AF590D" w:rsidRDefault="005D069F" w:rsidP="00DA2E0D">
      <w:pPr>
        <w:pStyle w:val="SingleTxtG"/>
      </w:pPr>
      <w:r>
        <w:rPr>
          <w:i/>
        </w:rPr>
        <w:tab/>
      </w:r>
      <w:r w:rsidR="00DF53A3" w:rsidRPr="00DF53A3">
        <w:rPr>
          <w:i/>
        </w:rPr>
        <w:t>The Human Rights Committee</w:t>
      </w:r>
      <w:r w:rsidR="00DF53A3" w:rsidRPr="00DF53A3">
        <w:t xml:space="preserve">, established under article 28 of the International Covenant on Civil and Political Rights, </w:t>
      </w:r>
    </w:p>
    <w:p w:rsidR="00DF53A3" w:rsidRDefault="00DF53A3" w:rsidP="00DA2E0D">
      <w:pPr>
        <w:pStyle w:val="SingleTxtG"/>
      </w:pPr>
      <w:r w:rsidRPr="00DF53A3">
        <w:tab/>
      </w:r>
      <w:r w:rsidRPr="00DF53A3">
        <w:rPr>
          <w:i/>
        </w:rPr>
        <w:t xml:space="preserve">Meeting </w:t>
      </w:r>
      <w:r w:rsidRPr="00971FF1">
        <w:rPr>
          <w:iCs/>
        </w:rPr>
        <w:t>on</w:t>
      </w:r>
      <w:r w:rsidRPr="00DF53A3">
        <w:t xml:space="preserve"> </w:t>
      </w:r>
      <w:r w:rsidR="00AD64E7">
        <w:t>28</w:t>
      </w:r>
      <w:r w:rsidRPr="00DF53A3">
        <w:t xml:space="preserve"> </w:t>
      </w:r>
      <w:r w:rsidR="008D13EC">
        <w:t>October</w:t>
      </w:r>
      <w:r w:rsidRPr="00DF53A3">
        <w:t xml:space="preserve"> 2014,</w:t>
      </w:r>
    </w:p>
    <w:p w:rsidR="00DF53A3" w:rsidRPr="00DF53A3" w:rsidRDefault="00DF53A3" w:rsidP="00027C00">
      <w:pPr>
        <w:pStyle w:val="SingleTxtG"/>
        <w:rPr>
          <w:i/>
        </w:rPr>
      </w:pPr>
      <w:r w:rsidRPr="00DF53A3">
        <w:tab/>
      </w:r>
      <w:r w:rsidRPr="00DF53A3">
        <w:rPr>
          <w:i/>
        </w:rPr>
        <w:t xml:space="preserve">Adopts </w:t>
      </w:r>
      <w:r w:rsidRPr="00971FF1">
        <w:rPr>
          <w:iCs/>
        </w:rPr>
        <w:t>the following:</w:t>
      </w:r>
      <w:r w:rsidR="005D069F">
        <w:rPr>
          <w:i/>
        </w:rPr>
        <w:t xml:space="preserve"> </w:t>
      </w:r>
    </w:p>
    <w:p w:rsidR="00DF53A3" w:rsidRPr="00DF53A3" w:rsidRDefault="00DF53A3" w:rsidP="00AD4AFB">
      <w:pPr>
        <w:pStyle w:val="H1G"/>
      </w:pPr>
      <w:r w:rsidRPr="00DF53A3">
        <w:tab/>
      </w:r>
      <w:r w:rsidRPr="00DF53A3">
        <w:tab/>
        <w:t>Decision on admissibility</w:t>
      </w:r>
    </w:p>
    <w:p w:rsidR="00DF53A3" w:rsidRDefault="00DF53A3" w:rsidP="00211A43">
      <w:pPr>
        <w:pStyle w:val="SingleTxtG"/>
      </w:pPr>
      <w:r w:rsidRPr="00DF53A3">
        <w:t>1.</w:t>
      </w:r>
      <w:r w:rsidR="00C17694">
        <w:t>1</w:t>
      </w:r>
      <w:r w:rsidRPr="00DF53A3">
        <w:tab/>
        <w:t xml:space="preserve">The author of the communication is </w:t>
      </w:r>
      <w:r w:rsidR="00497DA3">
        <w:t>Mr.</w:t>
      </w:r>
      <w:r w:rsidR="00E77220">
        <w:t> </w:t>
      </w:r>
      <w:r w:rsidR="00343B90">
        <w:t>N.U.</w:t>
      </w:r>
      <w:r w:rsidRPr="00DF53A3">
        <w:t xml:space="preserve">, a </w:t>
      </w:r>
      <w:r w:rsidR="008D13EC">
        <w:t>stateless person</w:t>
      </w:r>
      <w:r w:rsidR="005C0EEF">
        <w:t>,</w:t>
      </w:r>
      <w:r w:rsidR="008D13EC">
        <w:rPr>
          <w:rStyle w:val="FootnoteReference"/>
        </w:rPr>
        <w:footnoteReference w:id="3"/>
      </w:r>
      <w:r w:rsidRPr="00DF53A3">
        <w:t xml:space="preserve"> born in </w:t>
      </w:r>
      <w:r w:rsidR="008D13EC">
        <w:t xml:space="preserve">Myanmar in </w:t>
      </w:r>
      <w:r w:rsidRPr="00DF53A3">
        <w:t>197</w:t>
      </w:r>
      <w:r w:rsidR="008D13EC">
        <w:t xml:space="preserve">6. His </w:t>
      </w:r>
      <w:r w:rsidR="00B665BE">
        <w:t xml:space="preserve">request for </w:t>
      </w:r>
      <w:r w:rsidR="008D13EC">
        <w:t xml:space="preserve">asylum </w:t>
      </w:r>
      <w:r w:rsidR="00C17694">
        <w:t xml:space="preserve">in Norway </w:t>
      </w:r>
      <w:r w:rsidR="008D13EC">
        <w:t>was rejected and he faces deportation</w:t>
      </w:r>
      <w:r w:rsidR="00D213E9">
        <w:t xml:space="preserve"> to Myanmar</w:t>
      </w:r>
      <w:r w:rsidR="005C0EEF">
        <w:t>.</w:t>
      </w:r>
      <w:r w:rsidR="008D13EC">
        <w:t xml:space="preserve"> </w:t>
      </w:r>
      <w:r w:rsidR="000B55FA">
        <w:t xml:space="preserve">He </w:t>
      </w:r>
      <w:r w:rsidRPr="00DF53A3">
        <w:t>claims t</w:t>
      </w:r>
      <w:r w:rsidR="00C17694">
        <w:t>hat</w:t>
      </w:r>
      <w:r w:rsidR="00B665BE">
        <w:t>,</w:t>
      </w:r>
      <w:r w:rsidR="00C17694">
        <w:t xml:space="preserve"> if Norway </w:t>
      </w:r>
      <w:r w:rsidR="00D213E9">
        <w:t xml:space="preserve">proceeds with his deportation, it </w:t>
      </w:r>
      <w:r w:rsidR="00211A43">
        <w:t xml:space="preserve">will </w:t>
      </w:r>
      <w:r w:rsidR="00D213E9">
        <w:t xml:space="preserve">violate his rights under </w:t>
      </w:r>
      <w:r w:rsidR="005651D0">
        <w:t>article </w:t>
      </w:r>
      <w:r w:rsidRPr="00DF53A3">
        <w:t>7 of the International Covenant on Civil and Political Rights. The Optional Protocol entered into force for the State party on 2</w:t>
      </w:r>
      <w:r w:rsidR="000B55FA">
        <w:t>3 March 1976</w:t>
      </w:r>
      <w:r w:rsidRPr="00DF53A3">
        <w:t>. The author is unrepresented.</w:t>
      </w:r>
    </w:p>
    <w:p w:rsidR="00E82A61" w:rsidRDefault="00C17694" w:rsidP="00211A43">
      <w:pPr>
        <w:pStyle w:val="SingleTxtG"/>
      </w:pPr>
      <w:r>
        <w:t>1.2</w:t>
      </w:r>
      <w:r>
        <w:tab/>
      </w:r>
      <w:r w:rsidR="00E82A61">
        <w:t>On 5 February 201</w:t>
      </w:r>
      <w:r w:rsidR="00643494">
        <w:t>4</w:t>
      </w:r>
      <w:r w:rsidR="00E82A61">
        <w:t xml:space="preserve">, the Committee, acting through its </w:t>
      </w:r>
      <w:r w:rsidR="00D213E9">
        <w:t xml:space="preserve">Special </w:t>
      </w:r>
      <w:r w:rsidR="00E82A61">
        <w:t xml:space="preserve">Rapporteur on </w:t>
      </w:r>
      <w:r w:rsidR="00211A43">
        <w:t>n</w:t>
      </w:r>
      <w:r w:rsidR="00E82A61">
        <w:t xml:space="preserve">ew </w:t>
      </w:r>
      <w:r w:rsidR="00211A43">
        <w:t>c</w:t>
      </w:r>
      <w:r w:rsidR="00E82A61">
        <w:t xml:space="preserve">ommunications and </w:t>
      </w:r>
      <w:r w:rsidR="00211A43">
        <w:t>i</w:t>
      </w:r>
      <w:r w:rsidR="00E82A61">
        <w:t xml:space="preserve">nterim </w:t>
      </w:r>
      <w:r w:rsidR="00211A43">
        <w:t>m</w:t>
      </w:r>
      <w:r w:rsidR="00E82A61">
        <w:t xml:space="preserve">easures, requested the State party to refrain from deporting the author to Myanmar while his case </w:t>
      </w:r>
      <w:r w:rsidR="00211A43">
        <w:t xml:space="preserve">was </w:t>
      </w:r>
      <w:r w:rsidR="00E82A61">
        <w:t>under consideration by the Committee.</w:t>
      </w:r>
    </w:p>
    <w:p w:rsidR="00E5653C" w:rsidRDefault="00E5653C" w:rsidP="00E5653C">
      <w:pPr>
        <w:pStyle w:val="SingleTxtG"/>
      </w:pPr>
      <w:r>
        <w:t>1.3</w:t>
      </w:r>
      <w:r>
        <w:tab/>
        <w:t>On 19 May 2014, the Special Rapporteur on new communications and interim measures, acting on behalf of the Committee, decided that the admissibility of the communication should be examined separately from its merits.</w:t>
      </w:r>
    </w:p>
    <w:p w:rsidR="00DF53A3" w:rsidRPr="00DF53A3" w:rsidRDefault="00DF53A3" w:rsidP="00AD4AFB">
      <w:pPr>
        <w:pStyle w:val="H23G"/>
      </w:pPr>
      <w:r w:rsidRPr="00DF53A3">
        <w:lastRenderedPageBreak/>
        <w:tab/>
      </w:r>
      <w:r w:rsidRPr="00DF53A3">
        <w:tab/>
        <w:t>Factual background</w:t>
      </w:r>
    </w:p>
    <w:p w:rsidR="000B55FA" w:rsidRDefault="00DF53A3" w:rsidP="00211A43">
      <w:pPr>
        <w:pStyle w:val="SingleTxtG"/>
      </w:pPr>
      <w:r w:rsidRPr="00DF53A3">
        <w:t>2.1</w:t>
      </w:r>
      <w:r w:rsidRPr="00DF53A3">
        <w:tab/>
      </w:r>
      <w:r w:rsidR="000B55FA">
        <w:t>The author was born in Myanmar</w:t>
      </w:r>
      <w:r w:rsidR="00D213E9">
        <w:t xml:space="preserve"> in 1976</w:t>
      </w:r>
      <w:r w:rsidR="000B55FA">
        <w:t xml:space="preserve">. In 1982, his parents were shot </w:t>
      </w:r>
      <w:r w:rsidR="00C60E12">
        <w:t xml:space="preserve">dead </w:t>
      </w:r>
      <w:r w:rsidR="000B55FA">
        <w:t>by the army</w:t>
      </w:r>
      <w:r w:rsidR="00211A43">
        <w:t xml:space="preserve"> of Myanmar</w:t>
      </w:r>
      <w:r w:rsidR="000B55FA">
        <w:t xml:space="preserve">. </w:t>
      </w:r>
      <w:r w:rsidR="00211A43">
        <w:t xml:space="preserve">At that time, given </w:t>
      </w:r>
      <w:r w:rsidR="000B55FA">
        <w:t xml:space="preserve">his young age, he </w:t>
      </w:r>
      <w:r w:rsidR="00211A43">
        <w:t xml:space="preserve">did not know </w:t>
      </w:r>
      <w:r w:rsidR="000B55FA">
        <w:t xml:space="preserve">his parents’ origins </w:t>
      </w:r>
      <w:r w:rsidR="00211A43">
        <w:t xml:space="preserve">and </w:t>
      </w:r>
      <w:r w:rsidR="000B55FA">
        <w:t>religion</w:t>
      </w:r>
      <w:r w:rsidR="00211A43">
        <w:t>,</w:t>
      </w:r>
      <w:r w:rsidR="000B55FA">
        <w:t xml:space="preserve"> </w:t>
      </w:r>
      <w:r w:rsidR="00211A43">
        <w:t xml:space="preserve">nor </w:t>
      </w:r>
      <w:r w:rsidR="000B55FA">
        <w:t xml:space="preserve">why they were killed. In 1983, </w:t>
      </w:r>
      <w:r w:rsidR="00211A43">
        <w:t xml:space="preserve">he was taken </w:t>
      </w:r>
      <w:r w:rsidR="000B55FA">
        <w:t xml:space="preserve">to Bangladesh and placed in </w:t>
      </w:r>
      <w:r w:rsidR="00211A43">
        <w:t xml:space="preserve">the care of </w:t>
      </w:r>
      <w:r w:rsidR="000B55FA">
        <w:t xml:space="preserve">a family of Bengali farmers. In 1994, his application for a national </w:t>
      </w:r>
      <w:r w:rsidR="00211A43">
        <w:t xml:space="preserve">identification </w:t>
      </w:r>
      <w:r w:rsidR="00497DA3">
        <w:t>card</w:t>
      </w:r>
      <w:r w:rsidR="000B55FA">
        <w:t xml:space="preserve"> and a passport was rejected on the grounds that he was not born in Bangladesh. The author appealed the refusal to the court. The court decided to </w:t>
      </w:r>
      <w:r w:rsidR="00211A43" w:rsidRPr="00211A43">
        <w:t xml:space="preserve">issue him </w:t>
      </w:r>
      <w:r w:rsidR="00211A43">
        <w:t xml:space="preserve">with </w:t>
      </w:r>
      <w:r w:rsidR="000B55FA">
        <w:t>a refugee card</w:t>
      </w:r>
      <w:r w:rsidR="005C0EEF">
        <w:t>.</w:t>
      </w:r>
      <w:r w:rsidR="00D960CC">
        <w:rPr>
          <w:rStyle w:val="FootnoteReference"/>
        </w:rPr>
        <w:footnoteReference w:id="4"/>
      </w:r>
      <w:r w:rsidR="000B55FA">
        <w:t xml:space="preserve"> </w:t>
      </w:r>
      <w:r w:rsidR="00D960CC">
        <w:t>In 2007, the author’s foster parents lost his identity documents and the court decisions during cyclone</w:t>
      </w:r>
      <w:r w:rsidR="00211A43">
        <w:t xml:space="preserve"> Sidr</w:t>
      </w:r>
      <w:r w:rsidR="00D960CC">
        <w:t xml:space="preserve"> in Bangladesh.</w:t>
      </w:r>
    </w:p>
    <w:p w:rsidR="00DF53A3" w:rsidRPr="00DF53A3" w:rsidRDefault="00DF53A3" w:rsidP="00506ED3">
      <w:pPr>
        <w:pStyle w:val="SingleTxtG"/>
      </w:pPr>
      <w:r w:rsidRPr="00DF53A3">
        <w:t>2.2</w:t>
      </w:r>
      <w:r w:rsidRPr="00DF53A3">
        <w:tab/>
        <w:t xml:space="preserve">On </w:t>
      </w:r>
      <w:r w:rsidR="00D960CC">
        <w:t xml:space="preserve">an unspecified date, the author left Bangladesh </w:t>
      </w:r>
      <w:r w:rsidR="00113910">
        <w:t>because</w:t>
      </w:r>
      <w:r w:rsidR="00D960CC">
        <w:t xml:space="preserve"> he could not work there as a refugee</w:t>
      </w:r>
      <w:r w:rsidR="00C60E12">
        <w:t>,</w:t>
      </w:r>
      <w:r w:rsidR="00506ED3">
        <w:t xml:space="preserve"> and travelled </w:t>
      </w:r>
      <w:r w:rsidR="00D960CC">
        <w:t xml:space="preserve">to India, Pakistan, </w:t>
      </w:r>
      <w:r w:rsidR="00211A43">
        <w:t xml:space="preserve">the Islamic Republic of </w:t>
      </w:r>
      <w:r w:rsidR="00D960CC">
        <w:t>Iran and Turkey.</w:t>
      </w:r>
      <w:r w:rsidR="00211A43">
        <w:rPr>
          <w:rStyle w:val="FootnoteReference"/>
        </w:rPr>
        <w:footnoteReference w:id="5"/>
      </w:r>
      <w:r w:rsidR="00D960CC">
        <w:t xml:space="preserve"> He lived in Turkey for five years</w:t>
      </w:r>
      <w:r w:rsidR="00506ED3">
        <w:t>,</w:t>
      </w:r>
      <w:r w:rsidR="00D960CC">
        <w:t xml:space="preserve"> </w:t>
      </w:r>
      <w:r w:rsidR="00506ED3">
        <w:t xml:space="preserve">where he </w:t>
      </w:r>
      <w:r w:rsidR="00D960CC">
        <w:t xml:space="preserve">applied </w:t>
      </w:r>
      <w:r w:rsidR="00506ED3">
        <w:t xml:space="preserve">unsuccessfully </w:t>
      </w:r>
      <w:r w:rsidR="00D960CC">
        <w:t>for citizenship. He moved to Greece for one year</w:t>
      </w:r>
      <w:r w:rsidR="00506ED3">
        <w:t>,</w:t>
      </w:r>
      <w:r w:rsidR="00D960CC">
        <w:t xml:space="preserve"> </w:t>
      </w:r>
      <w:r w:rsidR="00506ED3">
        <w:t xml:space="preserve">where he </w:t>
      </w:r>
      <w:r w:rsidR="00D960CC">
        <w:t xml:space="preserve">applied </w:t>
      </w:r>
      <w:r w:rsidR="00506ED3">
        <w:t xml:space="preserve">unsuccessfully </w:t>
      </w:r>
      <w:r w:rsidR="00D960CC">
        <w:t xml:space="preserve">for asylum. </w:t>
      </w:r>
      <w:r w:rsidR="004517D1">
        <w:t xml:space="preserve">In 2012, he arrived </w:t>
      </w:r>
      <w:r w:rsidR="00200696">
        <w:t>in</w:t>
      </w:r>
      <w:r w:rsidR="004517D1">
        <w:t xml:space="preserve"> Norway</w:t>
      </w:r>
      <w:r w:rsidR="00506ED3">
        <w:t>,</w:t>
      </w:r>
      <w:r w:rsidR="004517D1">
        <w:t xml:space="preserve"> where he applied for asylum</w:t>
      </w:r>
      <w:r w:rsidR="00D5285F">
        <w:t xml:space="preserve"> on 23 April 2012</w:t>
      </w:r>
      <w:r w:rsidR="004517D1">
        <w:t>.</w:t>
      </w:r>
      <w:r w:rsidRPr="00DF53A3">
        <w:rPr>
          <w:vertAlign w:val="superscript"/>
        </w:rPr>
        <w:t xml:space="preserve"> </w:t>
      </w:r>
    </w:p>
    <w:p w:rsidR="00D5285F" w:rsidRDefault="00DF53A3" w:rsidP="00D80FD3">
      <w:pPr>
        <w:pStyle w:val="SingleTxtG"/>
      </w:pPr>
      <w:r w:rsidRPr="00DF53A3">
        <w:t>2.3</w:t>
      </w:r>
      <w:r w:rsidRPr="00DF53A3">
        <w:tab/>
        <w:t xml:space="preserve">On </w:t>
      </w:r>
      <w:r w:rsidR="004517D1">
        <w:t xml:space="preserve">7 June 2012, the author was interviewed by </w:t>
      </w:r>
      <w:r w:rsidR="00113910">
        <w:t xml:space="preserve">the </w:t>
      </w:r>
      <w:r w:rsidR="004517D1">
        <w:t xml:space="preserve">Norwegian asylum authorities. He submitted that he </w:t>
      </w:r>
      <w:r w:rsidR="003036A7">
        <w:t xml:space="preserve">had </w:t>
      </w:r>
      <w:r w:rsidR="004517D1">
        <w:t>left Bangladesh because his application for citizenship had been rejected and he could not find a job there. He feared deportation to Myanmar because he did not have any knowledge of the country or his relatives</w:t>
      </w:r>
      <w:r w:rsidR="00D5285F">
        <w:t>’</w:t>
      </w:r>
      <w:r w:rsidR="004517D1">
        <w:t xml:space="preserve"> whereabouts</w:t>
      </w:r>
      <w:r w:rsidR="003036A7">
        <w:t>.</w:t>
      </w:r>
      <w:r w:rsidR="00D5285F">
        <w:t xml:space="preserve"> </w:t>
      </w:r>
      <w:r w:rsidR="003036A7">
        <w:t xml:space="preserve">He </w:t>
      </w:r>
      <w:r w:rsidR="00D5285F">
        <w:t xml:space="preserve">also </w:t>
      </w:r>
      <w:r w:rsidR="003036A7">
        <w:t xml:space="preserve">feared that the </w:t>
      </w:r>
      <w:r w:rsidR="00D5285F">
        <w:t xml:space="preserve">Burmese authorities </w:t>
      </w:r>
      <w:r w:rsidR="003036A7">
        <w:t xml:space="preserve">would </w:t>
      </w:r>
      <w:r w:rsidR="00D5285F">
        <w:t xml:space="preserve">abuse him </w:t>
      </w:r>
      <w:r w:rsidR="003741BE">
        <w:t xml:space="preserve">as they would </w:t>
      </w:r>
      <w:r w:rsidR="00D5285F">
        <w:t>assum</w:t>
      </w:r>
      <w:r w:rsidR="003741BE">
        <w:t>e</w:t>
      </w:r>
      <w:r w:rsidR="00D5285F">
        <w:t xml:space="preserve"> </w:t>
      </w:r>
      <w:r w:rsidR="003741BE">
        <w:t xml:space="preserve">that he </w:t>
      </w:r>
      <w:r w:rsidR="003036A7">
        <w:t xml:space="preserve">was </w:t>
      </w:r>
      <w:r w:rsidR="00D5285F">
        <w:t>connect</w:t>
      </w:r>
      <w:r w:rsidR="003741BE">
        <w:t>ed</w:t>
      </w:r>
      <w:r w:rsidR="00D5285F">
        <w:t xml:space="preserve"> </w:t>
      </w:r>
      <w:r w:rsidR="003741BE">
        <w:t>to</w:t>
      </w:r>
      <w:r w:rsidR="00D5285F">
        <w:t xml:space="preserve"> </w:t>
      </w:r>
      <w:r w:rsidR="00D80FD3">
        <w:t>Al-</w:t>
      </w:r>
      <w:r w:rsidR="00D5285F">
        <w:t>Qaida</w:t>
      </w:r>
      <w:r w:rsidR="00DA2E0D">
        <w:t>.</w:t>
      </w:r>
      <w:r w:rsidR="00D5285F">
        <w:rPr>
          <w:rStyle w:val="FootnoteReference"/>
        </w:rPr>
        <w:footnoteReference w:id="6"/>
      </w:r>
    </w:p>
    <w:p w:rsidR="00D5285F" w:rsidRDefault="00DF53A3" w:rsidP="00564FEF">
      <w:pPr>
        <w:pStyle w:val="SingleTxtG"/>
      </w:pPr>
      <w:r w:rsidRPr="00DF53A3">
        <w:t>2.4</w:t>
      </w:r>
      <w:r w:rsidRPr="00DF53A3">
        <w:tab/>
      </w:r>
      <w:r w:rsidR="00D5285F">
        <w:t xml:space="preserve">On 15 June 2012, the Directorate of Immigration rejected the author’s asylum application on the grounds that he </w:t>
      </w:r>
      <w:r w:rsidR="00564FEF">
        <w:t xml:space="preserve">had </w:t>
      </w:r>
      <w:r w:rsidR="00D5285F">
        <w:t>not substantiated a well-founded fear of persecution</w:t>
      </w:r>
      <w:r w:rsidR="00113910">
        <w:t xml:space="preserve"> to a sufficient degree</w:t>
      </w:r>
      <w:r w:rsidR="00D5285F">
        <w:t>.</w:t>
      </w:r>
      <w:r w:rsidR="00113910">
        <w:t xml:space="preserve"> </w:t>
      </w:r>
      <w:r w:rsidR="00AF38F9">
        <w:t xml:space="preserve">The </w:t>
      </w:r>
      <w:r w:rsidR="00564FEF">
        <w:t xml:space="preserve">Directorate </w:t>
      </w:r>
      <w:r w:rsidR="00AF38F9">
        <w:t xml:space="preserve">has not been able to reach a conclusion concerning the applicant’s identity, including his nationality, and could </w:t>
      </w:r>
      <w:r w:rsidR="00564FEF">
        <w:t xml:space="preserve">therefore </w:t>
      </w:r>
      <w:r w:rsidR="00AF38F9">
        <w:t>not assess his need for protection. On 14 October 2013, the Immigration Appeals Board confirmed the decision</w:t>
      </w:r>
      <w:r w:rsidR="00564FEF">
        <w:t xml:space="preserve"> of the Directorate</w:t>
      </w:r>
      <w:r w:rsidR="00AF38F9">
        <w:t xml:space="preserve">. The </w:t>
      </w:r>
      <w:r w:rsidR="00564FEF">
        <w:t xml:space="preserve">Board </w:t>
      </w:r>
      <w:r w:rsidR="00AF38F9">
        <w:t xml:space="preserve">did not find the author’s submissions that he </w:t>
      </w:r>
      <w:r w:rsidR="00564FEF">
        <w:t xml:space="preserve">was </w:t>
      </w:r>
      <w:r w:rsidR="00AF38F9">
        <w:t xml:space="preserve">a Rohingya from Myanmar adequately substantiated. The </w:t>
      </w:r>
      <w:r w:rsidR="00564FEF">
        <w:t xml:space="preserve">Board </w:t>
      </w:r>
      <w:r w:rsidR="00AF38F9">
        <w:t xml:space="preserve">concluded that the conditions of recognizing the author as a refugee </w:t>
      </w:r>
      <w:r w:rsidR="00564FEF">
        <w:t xml:space="preserve">had not been </w:t>
      </w:r>
      <w:r w:rsidR="00AF38F9">
        <w:t xml:space="preserve">met and </w:t>
      </w:r>
      <w:r w:rsidR="00564FEF">
        <w:t xml:space="preserve">that he had </w:t>
      </w:r>
      <w:r w:rsidR="00AF38F9">
        <w:t xml:space="preserve">not substantiated that he </w:t>
      </w:r>
      <w:r w:rsidR="00564FEF">
        <w:t xml:space="preserve">came </w:t>
      </w:r>
      <w:r w:rsidR="00AF38F9">
        <w:t xml:space="preserve">from a country </w:t>
      </w:r>
      <w:r w:rsidR="00CE6F81">
        <w:t xml:space="preserve">or an area </w:t>
      </w:r>
      <w:r w:rsidR="00883735">
        <w:t>where</w:t>
      </w:r>
      <w:r w:rsidR="00CE6F81">
        <w:t xml:space="preserve"> he would risk abuse on an individual or a general basis</w:t>
      </w:r>
      <w:r w:rsidR="00AF38F9">
        <w:t xml:space="preserve">. </w:t>
      </w:r>
    </w:p>
    <w:p w:rsidR="00DF53A3" w:rsidRPr="00DF53A3" w:rsidRDefault="00DF53A3" w:rsidP="00AD4AFB">
      <w:pPr>
        <w:pStyle w:val="H23G"/>
      </w:pPr>
      <w:r w:rsidRPr="00DF53A3">
        <w:tab/>
      </w:r>
      <w:r w:rsidRPr="00DF53A3">
        <w:tab/>
        <w:t>The complaint</w:t>
      </w:r>
    </w:p>
    <w:p w:rsidR="00DF53A3" w:rsidRPr="00DF53A3" w:rsidRDefault="00DF53A3" w:rsidP="00564FEF">
      <w:pPr>
        <w:pStyle w:val="SingleTxtG"/>
      </w:pPr>
      <w:r w:rsidRPr="00DF53A3">
        <w:t>3</w:t>
      </w:r>
      <w:r w:rsidR="00CE6F81">
        <w:t>.</w:t>
      </w:r>
      <w:r w:rsidRPr="00DF53A3">
        <w:tab/>
        <w:t xml:space="preserve">The author claims </w:t>
      </w:r>
      <w:r w:rsidR="00CE6F81">
        <w:t>that his forcible removal from Norway to Myanmar would put his life at risk and expose him to torture</w:t>
      </w:r>
      <w:r w:rsidR="003741BE">
        <w:t>, in violat</w:t>
      </w:r>
      <w:r w:rsidR="005651D0">
        <w:t>ion of his rights under article </w:t>
      </w:r>
      <w:r w:rsidR="003741BE">
        <w:t>7 of the Covenant</w:t>
      </w:r>
      <w:r w:rsidR="00CE6F81">
        <w:t>.</w:t>
      </w:r>
    </w:p>
    <w:p w:rsidR="00DF53A3" w:rsidRPr="00DF53A3" w:rsidRDefault="00DF53A3" w:rsidP="0021221A">
      <w:pPr>
        <w:pStyle w:val="H23G"/>
      </w:pPr>
      <w:r w:rsidRPr="00DF53A3">
        <w:tab/>
      </w:r>
      <w:r w:rsidRPr="00DF53A3">
        <w:tab/>
        <w:t xml:space="preserve">State party's observations on admissibility </w:t>
      </w:r>
    </w:p>
    <w:p w:rsidR="00DF53A3" w:rsidRDefault="00DF53A3" w:rsidP="0021221A">
      <w:pPr>
        <w:pStyle w:val="SingleTxtG"/>
      </w:pPr>
      <w:r w:rsidRPr="00DF53A3">
        <w:t>4.1</w:t>
      </w:r>
      <w:r w:rsidRPr="00DF53A3">
        <w:tab/>
      </w:r>
      <w:r w:rsidR="00CE6F81">
        <w:t>On 19 March 2014</w:t>
      </w:r>
      <w:r w:rsidRPr="00DF53A3">
        <w:t>, the State party submitted its observations on admissibility</w:t>
      </w:r>
      <w:r w:rsidR="00CE6F81">
        <w:t xml:space="preserve">. </w:t>
      </w:r>
      <w:r w:rsidR="003741BE">
        <w:t>It</w:t>
      </w:r>
      <w:r w:rsidRPr="00DF53A3">
        <w:t xml:space="preserve"> maintain</w:t>
      </w:r>
      <w:r w:rsidR="003741BE">
        <w:t>s</w:t>
      </w:r>
      <w:r w:rsidRPr="00DF53A3">
        <w:t xml:space="preserve"> that the communicatio</w:t>
      </w:r>
      <w:r w:rsidR="00E77220">
        <w:t>n is inadmissible under article 5, paragraph </w:t>
      </w:r>
      <w:r w:rsidRPr="00DF53A3">
        <w:t>2 (</w:t>
      </w:r>
      <w:r w:rsidR="00CE6F81">
        <w:t>b</w:t>
      </w:r>
      <w:r w:rsidRPr="00DF53A3">
        <w:t xml:space="preserve">), of the Optional Protocol, </w:t>
      </w:r>
      <w:r w:rsidR="00CE6F81">
        <w:t>for a failure to satisfy the requirement of exhaustion of domestic remedies</w:t>
      </w:r>
      <w:r w:rsidR="003741BE">
        <w:t xml:space="preserve">, and </w:t>
      </w:r>
      <w:r w:rsidR="00197ACB">
        <w:t>request</w:t>
      </w:r>
      <w:r w:rsidR="003741BE">
        <w:t>s</w:t>
      </w:r>
      <w:r w:rsidR="00197ACB">
        <w:t xml:space="preserve"> </w:t>
      </w:r>
      <w:r w:rsidR="0025486E">
        <w:t xml:space="preserve">that </w:t>
      </w:r>
      <w:r w:rsidR="00197ACB">
        <w:t xml:space="preserve">the Committee lift its request </w:t>
      </w:r>
      <w:r w:rsidR="0021221A">
        <w:t xml:space="preserve">that the State party </w:t>
      </w:r>
      <w:r w:rsidR="00197ACB">
        <w:t>refrain from deporting the author from Norway.</w:t>
      </w:r>
    </w:p>
    <w:p w:rsidR="007C7EC6" w:rsidRDefault="00DF53A3" w:rsidP="0025486E">
      <w:pPr>
        <w:pStyle w:val="SingleTxtG"/>
      </w:pPr>
      <w:r w:rsidRPr="00DF53A3">
        <w:t>4.</w:t>
      </w:r>
      <w:r w:rsidR="00831105">
        <w:t>2</w:t>
      </w:r>
      <w:r w:rsidRPr="00DF53A3">
        <w:tab/>
      </w:r>
      <w:r w:rsidR="00B47017">
        <w:t>The State party submit</w:t>
      </w:r>
      <w:r w:rsidR="003741BE">
        <w:t>s</w:t>
      </w:r>
      <w:r w:rsidR="00B47017">
        <w:t xml:space="preserve"> that the author has not instituted legal proceedings </w:t>
      </w:r>
      <w:r w:rsidR="003741BE">
        <w:t xml:space="preserve">in </w:t>
      </w:r>
      <w:r w:rsidR="00B47017">
        <w:t xml:space="preserve">court </w:t>
      </w:r>
      <w:r w:rsidR="003741BE">
        <w:t xml:space="preserve">to </w:t>
      </w:r>
      <w:r w:rsidR="00B47017">
        <w:t>challeng</w:t>
      </w:r>
      <w:r w:rsidR="003741BE">
        <w:t>e</w:t>
      </w:r>
      <w:r w:rsidR="00B47017">
        <w:t xml:space="preserve"> the lawfulness of the decision taken by the Immigration Appeal Board. </w:t>
      </w:r>
      <w:r w:rsidR="007C7EC6">
        <w:t>Pursuant to the Code of Civi</w:t>
      </w:r>
      <w:r w:rsidR="00E77220">
        <w:t>l Procedure of 17 June 2005 No. </w:t>
      </w:r>
      <w:r w:rsidR="007C7EC6">
        <w:t>90</w:t>
      </w:r>
      <w:r w:rsidR="003741BE">
        <w:t xml:space="preserve">, </w:t>
      </w:r>
      <w:r w:rsidR="007C7EC6">
        <w:t xml:space="preserve">a decision by the Board </w:t>
      </w:r>
      <w:r w:rsidR="007C7EC6">
        <w:lastRenderedPageBreak/>
        <w:t xml:space="preserve">could be </w:t>
      </w:r>
      <w:r w:rsidR="0025486E">
        <w:t xml:space="preserve">the </w:t>
      </w:r>
      <w:r w:rsidR="007C7EC6">
        <w:t xml:space="preserve">subject </w:t>
      </w:r>
      <w:r w:rsidR="0025486E">
        <w:t xml:space="preserve">of </w:t>
      </w:r>
      <w:r w:rsidR="007C7EC6">
        <w:t>an appeal to the competent city or district court</w:t>
      </w:r>
      <w:r w:rsidR="0025486E">
        <w:t>,</w:t>
      </w:r>
      <w:r w:rsidR="007C7EC6">
        <w:t xml:space="preserve"> whose judgement could be appeal</w:t>
      </w:r>
      <w:r w:rsidR="003741BE">
        <w:t>ed</w:t>
      </w:r>
      <w:r w:rsidR="007C7EC6">
        <w:t xml:space="preserve"> </w:t>
      </w:r>
      <w:r w:rsidR="0025486E">
        <w:t xml:space="preserve">at </w:t>
      </w:r>
      <w:r w:rsidR="007C7EC6">
        <w:t>the High Court</w:t>
      </w:r>
      <w:r w:rsidR="003741BE">
        <w:t xml:space="preserve"> </w:t>
      </w:r>
      <w:r w:rsidR="007C7EC6">
        <w:t>and</w:t>
      </w:r>
      <w:r w:rsidR="003741BE">
        <w:t>,</w:t>
      </w:r>
      <w:r w:rsidR="007C7EC6">
        <w:t xml:space="preserve"> ultimately</w:t>
      </w:r>
      <w:r w:rsidR="003741BE">
        <w:t>,</w:t>
      </w:r>
      <w:r w:rsidR="007C7EC6">
        <w:t xml:space="preserve"> </w:t>
      </w:r>
      <w:r w:rsidR="0025486E">
        <w:t xml:space="preserve">at </w:t>
      </w:r>
      <w:r w:rsidR="007C7EC6">
        <w:t>the Supreme Court. The domestic court</w:t>
      </w:r>
      <w:r w:rsidR="003741BE">
        <w:t>s</w:t>
      </w:r>
      <w:r w:rsidR="007C7EC6">
        <w:t xml:space="preserve"> have full jurisdiction to review the lawfulness of the Board’s decision and are empowered to quash the decision should they find that it was unlawful.</w:t>
      </w:r>
    </w:p>
    <w:p w:rsidR="007C7EC6" w:rsidRDefault="007C7EC6" w:rsidP="0032122A">
      <w:pPr>
        <w:pStyle w:val="SingleTxtG"/>
      </w:pPr>
      <w:r>
        <w:t>4.3</w:t>
      </w:r>
      <w:r>
        <w:tab/>
        <w:t>The State party further submit</w:t>
      </w:r>
      <w:r w:rsidR="003741BE">
        <w:t>s</w:t>
      </w:r>
      <w:r>
        <w:t xml:space="preserve"> that t</w:t>
      </w:r>
      <w:r w:rsidR="00B47017">
        <w:t xml:space="preserve">he author has not </w:t>
      </w:r>
      <w:r w:rsidR="003741BE">
        <w:t xml:space="preserve">asked a court to rule </w:t>
      </w:r>
      <w:r w:rsidR="00B47017">
        <w:t xml:space="preserve">a temporary injunction against </w:t>
      </w:r>
      <w:r w:rsidR="003741BE">
        <w:t>his</w:t>
      </w:r>
      <w:r w:rsidR="00B47017">
        <w:t xml:space="preserve"> removal from Norway. </w:t>
      </w:r>
      <w:r w:rsidR="00E77220">
        <w:t xml:space="preserve">According to </w:t>
      </w:r>
      <w:r w:rsidR="0032122A">
        <w:t>c</w:t>
      </w:r>
      <w:r w:rsidR="00E77220">
        <w:t>hapters </w:t>
      </w:r>
      <w:r>
        <w:t xml:space="preserve">32 and 34 of the Code of Civil Procedure, a person whose expulsion had been </w:t>
      </w:r>
      <w:r w:rsidR="00857BCD">
        <w:t>ordered by the immigration authorities c</w:t>
      </w:r>
      <w:r w:rsidR="003741BE">
        <w:t>an</w:t>
      </w:r>
      <w:r w:rsidR="006E3186">
        <w:t xml:space="preserve"> </w:t>
      </w:r>
      <w:r w:rsidR="00857BCD">
        <w:t xml:space="preserve">apply to </w:t>
      </w:r>
      <w:r w:rsidR="0032122A">
        <w:t xml:space="preserve">a </w:t>
      </w:r>
      <w:r w:rsidR="00857BCD">
        <w:t>court for an interlocutory injunction to stay the implementation of the expulsion order.</w:t>
      </w:r>
    </w:p>
    <w:p w:rsidR="00DF53A3" w:rsidRPr="00DF53A3" w:rsidRDefault="00DF53A3" w:rsidP="00027C00">
      <w:pPr>
        <w:pStyle w:val="SingleTxtG"/>
      </w:pPr>
      <w:r w:rsidRPr="00DF53A3">
        <w:t>4.</w:t>
      </w:r>
      <w:r w:rsidR="003741BE">
        <w:t>4</w:t>
      </w:r>
      <w:r w:rsidRPr="00DF53A3">
        <w:tab/>
      </w:r>
      <w:r w:rsidR="00B47017">
        <w:t>The State party further submit</w:t>
      </w:r>
      <w:r w:rsidR="006E3186">
        <w:t>s</w:t>
      </w:r>
      <w:r w:rsidR="00B47017">
        <w:t xml:space="preserve"> that the author has not applied for free legal aid</w:t>
      </w:r>
      <w:r w:rsidR="006E3186">
        <w:t xml:space="preserve">, under </w:t>
      </w:r>
      <w:r w:rsidR="00B47017">
        <w:t xml:space="preserve">the </w:t>
      </w:r>
      <w:r w:rsidR="006E3186">
        <w:t xml:space="preserve">provisions of the </w:t>
      </w:r>
      <w:r w:rsidR="00B47017">
        <w:t xml:space="preserve">Legal Aid Act </w:t>
      </w:r>
      <w:r w:rsidR="00E77220">
        <w:t>of 13 June 1980 No. </w:t>
      </w:r>
      <w:r w:rsidR="00857BCD">
        <w:t xml:space="preserve">35 as amended, </w:t>
      </w:r>
      <w:r w:rsidR="00B47017">
        <w:t xml:space="preserve">in order to pursue legal action before domestic courts. He was entitled to do so </w:t>
      </w:r>
      <w:r w:rsidR="006E3186">
        <w:t xml:space="preserve">both </w:t>
      </w:r>
      <w:r w:rsidR="00B47017">
        <w:t xml:space="preserve">with regard to the institution of </w:t>
      </w:r>
      <w:r w:rsidR="0032122A">
        <w:t xml:space="preserve">a </w:t>
      </w:r>
      <w:r w:rsidR="00B47017">
        <w:t xml:space="preserve">temporary injunction and with regard to the institutions of proceedings seeking to invalidate </w:t>
      </w:r>
      <w:r w:rsidR="0032122A">
        <w:t xml:space="preserve">the </w:t>
      </w:r>
      <w:r w:rsidR="00B47017">
        <w:t>decision made by the Immigration Appeals Board.</w:t>
      </w:r>
    </w:p>
    <w:p w:rsidR="00831105" w:rsidRDefault="00DF53A3" w:rsidP="0032122A">
      <w:pPr>
        <w:pStyle w:val="SingleTxtG"/>
      </w:pPr>
      <w:r w:rsidRPr="00DF53A3">
        <w:t>4.</w:t>
      </w:r>
      <w:r w:rsidR="003741BE">
        <w:t>5</w:t>
      </w:r>
      <w:r w:rsidRPr="00DF53A3">
        <w:tab/>
      </w:r>
      <w:r w:rsidR="00B47017">
        <w:t xml:space="preserve">The State Party </w:t>
      </w:r>
      <w:r w:rsidR="006E3186">
        <w:t>point</w:t>
      </w:r>
      <w:r w:rsidR="0032122A">
        <w:t>s</w:t>
      </w:r>
      <w:r w:rsidR="006E3186">
        <w:t xml:space="preserve"> out </w:t>
      </w:r>
      <w:r w:rsidR="00B47017">
        <w:t xml:space="preserve">that the author </w:t>
      </w:r>
      <w:r w:rsidR="0032122A">
        <w:t xml:space="preserve">has not </w:t>
      </w:r>
      <w:r w:rsidR="00B47017">
        <w:t>offer</w:t>
      </w:r>
      <w:r w:rsidR="0032122A">
        <w:t>ed</w:t>
      </w:r>
      <w:r w:rsidR="00B47017">
        <w:t xml:space="preserve"> any </w:t>
      </w:r>
      <w:r w:rsidR="00B47017" w:rsidRPr="0032122A">
        <w:rPr>
          <w:iCs/>
        </w:rPr>
        <w:t>prima facie</w:t>
      </w:r>
      <w:r w:rsidR="00B47017">
        <w:t xml:space="preserve"> evidence that </w:t>
      </w:r>
      <w:r w:rsidR="006E3186">
        <w:t xml:space="preserve">the </w:t>
      </w:r>
      <w:r w:rsidR="0032122A">
        <w:t xml:space="preserve">above </w:t>
      </w:r>
      <w:r w:rsidR="00B47017">
        <w:t>domestic legal remedies w</w:t>
      </w:r>
      <w:r w:rsidR="006E3186">
        <w:t>ould be either un</w:t>
      </w:r>
      <w:r w:rsidR="00B47017">
        <w:t xml:space="preserve">available or </w:t>
      </w:r>
      <w:r w:rsidR="006E3186">
        <w:t>in</w:t>
      </w:r>
      <w:r w:rsidR="00B47017">
        <w:t>effective in his case.</w:t>
      </w:r>
    </w:p>
    <w:p w:rsidR="00DF53A3" w:rsidRPr="00DF53A3" w:rsidRDefault="00DF53A3" w:rsidP="00AD4AFB">
      <w:pPr>
        <w:pStyle w:val="H23G"/>
      </w:pPr>
      <w:r w:rsidRPr="00DF53A3">
        <w:tab/>
      </w:r>
      <w:r w:rsidRPr="00DF53A3">
        <w:tab/>
        <w:t>Author’s comments on the State party's observations</w:t>
      </w:r>
    </w:p>
    <w:p w:rsidR="00831105" w:rsidRPr="00DF53A3" w:rsidRDefault="00DF53A3" w:rsidP="0032122A">
      <w:pPr>
        <w:pStyle w:val="SingleTxtG"/>
      </w:pPr>
      <w:r w:rsidRPr="00DF53A3">
        <w:t>5.</w:t>
      </w:r>
      <w:r w:rsidRPr="00DF53A3">
        <w:tab/>
      </w:r>
      <w:r w:rsidR="00857BCD">
        <w:t>On 30 April 2014, the author reiterate</w:t>
      </w:r>
      <w:r w:rsidR="00A57414">
        <w:t>d</w:t>
      </w:r>
      <w:r w:rsidR="00857BCD">
        <w:t xml:space="preserve"> </w:t>
      </w:r>
      <w:r w:rsidR="0043680A">
        <w:t>the</w:t>
      </w:r>
      <w:r w:rsidR="00857BCD">
        <w:t xml:space="preserve"> comments</w:t>
      </w:r>
      <w:r w:rsidR="00CA78A4">
        <w:t xml:space="preserve"> he had provided to </w:t>
      </w:r>
      <w:r w:rsidR="006E3186">
        <w:t xml:space="preserve">the </w:t>
      </w:r>
      <w:r w:rsidR="0032122A">
        <w:t xml:space="preserve">Immigration Appeals Board </w:t>
      </w:r>
      <w:r w:rsidR="00CA78A4">
        <w:t xml:space="preserve">in </w:t>
      </w:r>
      <w:r w:rsidR="006E3186">
        <w:t>a</w:t>
      </w:r>
      <w:r w:rsidR="00CA78A4">
        <w:t xml:space="preserve"> letter </w:t>
      </w:r>
      <w:r w:rsidR="0032122A">
        <w:t xml:space="preserve">dated </w:t>
      </w:r>
      <w:r w:rsidR="00CA78A4">
        <w:t>15 October 2012</w:t>
      </w:r>
      <w:r w:rsidR="00DA2E0D">
        <w:t>,</w:t>
      </w:r>
      <w:r w:rsidR="00CA78A4">
        <w:rPr>
          <w:rStyle w:val="FootnoteReference"/>
        </w:rPr>
        <w:footnoteReference w:id="7"/>
      </w:r>
      <w:r w:rsidR="00397E97">
        <w:t xml:space="preserve"> </w:t>
      </w:r>
      <w:r w:rsidR="006E3186">
        <w:t xml:space="preserve">whereby he </w:t>
      </w:r>
      <w:r w:rsidR="00397E97">
        <w:t>contest</w:t>
      </w:r>
      <w:r w:rsidR="00D43975">
        <w:t>ed</w:t>
      </w:r>
      <w:r w:rsidR="00397E97">
        <w:t xml:space="preserve"> the decision</w:t>
      </w:r>
      <w:r w:rsidR="00D43975">
        <w:t xml:space="preserve"> </w:t>
      </w:r>
      <w:r w:rsidR="0032122A">
        <w:t xml:space="preserve">of the Directorate of Immigration </w:t>
      </w:r>
      <w:r w:rsidR="00D43975">
        <w:t xml:space="preserve">and claimed </w:t>
      </w:r>
      <w:r w:rsidR="00397E97">
        <w:t xml:space="preserve">that the Hindi </w:t>
      </w:r>
      <w:r w:rsidR="00D43975">
        <w:t xml:space="preserve">interpreter before the </w:t>
      </w:r>
      <w:r w:rsidR="0032122A">
        <w:t xml:space="preserve">Directorate </w:t>
      </w:r>
      <w:r w:rsidR="00397E97">
        <w:t xml:space="preserve">had not </w:t>
      </w:r>
      <w:r w:rsidR="0032122A">
        <w:t xml:space="preserve">understood </w:t>
      </w:r>
      <w:r w:rsidR="00397E97">
        <w:t>him correctly</w:t>
      </w:r>
      <w:r w:rsidR="00D43975">
        <w:t>;</w:t>
      </w:r>
      <w:r w:rsidR="00397E97">
        <w:t xml:space="preserve"> that he had been </w:t>
      </w:r>
      <w:r w:rsidR="00D43975">
        <w:t>un</w:t>
      </w:r>
      <w:r w:rsidR="00397E97">
        <w:t>able to obtain any information about his family</w:t>
      </w:r>
      <w:r w:rsidR="00D43975">
        <w:t>;</w:t>
      </w:r>
      <w:r w:rsidR="0043680A">
        <w:t xml:space="preserve"> and that it </w:t>
      </w:r>
      <w:r w:rsidR="00D43975">
        <w:t>wa</w:t>
      </w:r>
      <w:r w:rsidR="0043680A">
        <w:t xml:space="preserve">s </w:t>
      </w:r>
      <w:r w:rsidR="006E3186">
        <w:t>im</w:t>
      </w:r>
      <w:r w:rsidR="0043680A">
        <w:t>possible for him to return to Myanmar.</w:t>
      </w:r>
      <w:r w:rsidR="00E77220">
        <w:t xml:space="preserve"> </w:t>
      </w:r>
    </w:p>
    <w:p w:rsidR="00DF53A3" w:rsidRPr="00DF53A3" w:rsidRDefault="00DF53A3" w:rsidP="00AD4AFB">
      <w:pPr>
        <w:pStyle w:val="H23G"/>
      </w:pPr>
      <w:r w:rsidRPr="00DF53A3">
        <w:tab/>
      </w:r>
      <w:r w:rsidRPr="00DF53A3">
        <w:tab/>
        <w:t xml:space="preserve">Issues and proceedings before the Committee </w:t>
      </w:r>
    </w:p>
    <w:p w:rsidR="00DF53A3" w:rsidRPr="00DF53A3" w:rsidRDefault="00DF53A3" w:rsidP="00AD4AFB">
      <w:pPr>
        <w:pStyle w:val="H4G"/>
      </w:pPr>
      <w:r w:rsidRPr="00DF53A3">
        <w:tab/>
      </w:r>
      <w:r w:rsidRPr="00DF53A3">
        <w:tab/>
        <w:t xml:space="preserve">Consideration of admissibility </w:t>
      </w:r>
    </w:p>
    <w:p w:rsidR="00DF53A3" w:rsidRPr="00540589" w:rsidRDefault="00D43975" w:rsidP="00027C00">
      <w:pPr>
        <w:pStyle w:val="SingleTxtG"/>
      </w:pPr>
      <w:r>
        <w:t>6</w:t>
      </w:r>
      <w:r w:rsidR="00DF53A3" w:rsidRPr="00540589">
        <w:t>.1</w:t>
      </w:r>
      <w:r w:rsidR="00DF53A3" w:rsidRPr="00540589">
        <w:tab/>
        <w:t>Before considering any claim contained in a communication, the Human Rights Committee must, in accordance with rule 93 of its rules of procedure, decide whether or not it is admissible under the Optional Protocol to the Covenant.</w:t>
      </w:r>
    </w:p>
    <w:p w:rsidR="00A57414" w:rsidRPr="00540589" w:rsidRDefault="00D43975" w:rsidP="0032122A">
      <w:pPr>
        <w:pStyle w:val="SingleTxtG"/>
      </w:pPr>
      <w:r>
        <w:t>6</w:t>
      </w:r>
      <w:r w:rsidR="00DF53A3" w:rsidRPr="00540589">
        <w:t>.2</w:t>
      </w:r>
      <w:r w:rsidR="00DF53A3" w:rsidRPr="00540589">
        <w:tab/>
        <w:t xml:space="preserve">The State party has submitted that the Committee </w:t>
      </w:r>
      <w:r w:rsidR="0032122A">
        <w:t xml:space="preserve">should not consider </w:t>
      </w:r>
      <w:r w:rsidR="00DF53A3" w:rsidRPr="00540589">
        <w:t>the present communication</w:t>
      </w:r>
      <w:r w:rsidR="0032122A">
        <w:t>,</w:t>
      </w:r>
      <w:r w:rsidR="00DF53A3" w:rsidRPr="00540589">
        <w:t xml:space="preserve"> </w:t>
      </w:r>
      <w:r w:rsidR="00A57414" w:rsidRPr="00540589">
        <w:t xml:space="preserve">since the author has not instituted proceedings before </w:t>
      </w:r>
      <w:r w:rsidR="006E3186">
        <w:t xml:space="preserve">a </w:t>
      </w:r>
      <w:r w:rsidR="00A57414" w:rsidRPr="00540589">
        <w:t>court</w:t>
      </w:r>
      <w:r w:rsidR="00540589">
        <w:t xml:space="preserve"> </w:t>
      </w:r>
      <w:r w:rsidR="00E82A61">
        <w:t xml:space="preserve">to </w:t>
      </w:r>
      <w:r w:rsidR="00540589">
        <w:t>challeng</w:t>
      </w:r>
      <w:r w:rsidR="00E82A61">
        <w:t>e</w:t>
      </w:r>
      <w:r w:rsidR="00540589">
        <w:t xml:space="preserve"> the lawfulness of the decision taken by the Immigration Appeal Board </w:t>
      </w:r>
      <w:r w:rsidR="00E82A61">
        <w:t xml:space="preserve">and/or </w:t>
      </w:r>
      <w:r w:rsidR="00540589">
        <w:t>to seek a temporary injunction against hi</w:t>
      </w:r>
      <w:r w:rsidR="006E3186">
        <w:t>s</w:t>
      </w:r>
      <w:r w:rsidR="00540589">
        <w:t xml:space="preserve"> </w:t>
      </w:r>
      <w:r w:rsidR="006E3186">
        <w:t xml:space="preserve">forcible removal </w:t>
      </w:r>
      <w:r w:rsidR="00540589">
        <w:t>from Norway</w:t>
      </w:r>
      <w:r w:rsidR="00A57414" w:rsidRPr="00540589">
        <w:t xml:space="preserve">. </w:t>
      </w:r>
      <w:r w:rsidR="00E82A61">
        <w:t>The author did not avail himself of an opportunity to request free legal aid</w:t>
      </w:r>
      <w:r w:rsidR="006E3186">
        <w:t xml:space="preserve">, </w:t>
      </w:r>
      <w:r w:rsidR="0032122A">
        <w:t xml:space="preserve">despite being </w:t>
      </w:r>
      <w:r w:rsidR="006E3186">
        <w:t>entitled to do so</w:t>
      </w:r>
      <w:r w:rsidR="00E82A61">
        <w:t xml:space="preserve">. </w:t>
      </w:r>
      <w:r w:rsidR="0032122A">
        <w:t>T</w:t>
      </w:r>
      <w:r w:rsidR="00A57414" w:rsidRPr="00540589">
        <w:t xml:space="preserve">he author </w:t>
      </w:r>
      <w:r w:rsidR="0032122A">
        <w:t xml:space="preserve">also </w:t>
      </w:r>
      <w:r w:rsidR="00A57414" w:rsidRPr="00540589">
        <w:t xml:space="preserve">did not offer any </w:t>
      </w:r>
      <w:r w:rsidR="00A57414" w:rsidRPr="0032122A">
        <w:rPr>
          <w:iCs/>
        </w:rPr>
        <w:t>prima facie</w:t>
      </w:r>
      <w:r w:rsidR="00A57414" w:rsidRPr="00540589">
        <w:t xml:space="preserve"> evidence that domestic legal remedies w</w:t>
      </w:r>
      <w:r w:rsidR="006E3186">
        <w:t xml:space="preserve">ould be </w:t>
      </w:r>
      <w:r w:rsidR="00A57414" w:rsidRPr="00540589">
        <w:t xml:space="preserve">not available or </w:t>
      </w:r>
      <w:r w:rsidR="006E3186">
        <w:t>in</w:t>
      </w:r>
      <w:r w:rsidR="00A57414" w:rsidRPr="00540589">
        <w:t>effective in his case.</w:t>
      </w:r>
      <w:r w:rsidR="00DF53A3" w:rsidRPr="00540589">
        <w:t xml:space="preserve"> </w:t>
      </w:r>
    </w:p>
    <w:p w:rsidR="00DF53A3" w:rsidRPr="00540589" w:rsidRDefault="00D43975" w:rsidP="00947056">
      <w:pPr>
        <w:pStyle w:val="SingleTxtG"/>
      </w:pPr>
      <w:r>
        <w:t>6</w:t>
      </w:r>
      <w:r w:rsidR="00E82A61">
        <w:t>.3</w:t>
      </w:r>
      <w:r w:rsidR="00E82A61">
        <w:tab/>
      </w:r>
      <w:r w:rsidR="00DF53A3" w:rsidRPr="00540589">
        <w:t xml:space="preserve">In the absence of any pertinent information from the </w:t>
      </w:r>
      <w:r w:rsidR="00A57414" w:rsidRPr="00540589">
        <w:t>author</w:t>
      </w:r>
      <w:r w:rsidR="00DF53A3" w:rsidRPr="00540589">
        <w:t xml:space="preserve">, </w:t>
      </w:r>
      <w:r w:rsidR="00A57414" w:rsidRPr="00540589">
        <w:t xml:space="preserve">the Committee observes that </w:t>
      </w:r>
      <w:r w:rsidR="00947056">
        <w:t xml:space="preserve">he </w:t>
      </w:r>
      <w:r w:rsidR="00A57414" w:rsidRPr="00540589">
        <w:t>ha</w:t>
      </w:r>
      <w:r w:rsidR="00540589">
        <w:t>s</w:t>
      </w:r>
      <w:r w:rsidR="00A57414" w:rsidRPr="00540589">
        <w:t xml:space="preserve"> not pursued the domestic remedies available to </w:t>
      </w:r>
      <w:r w:rsidR="00E82A61">
        <w:t>him</w:t>
      </w:r>
      <w:r w:rsidR="006E3186">
        <w:t>, as pointed out by the State party</w:t>
      </w:r>
      <w:r w:rsidR="00A57414" w:rsidRPr="00540589">
        <w:t xml:space="preserve">. </w:t>
      </w:r>
      <w:r w:rsidR="006E3186">
        <w:t xml:space="preserve">In the absence of any other information on file in this connection, the </w:t>
      </w:r>
      <w:r w:rsidR="00DF53A3" w:rsidRPr="00540589">
        <w:t>Committee considers that the requirements of arti</w:t>
      </w:r>
      <w:r w:rsidR="00E77220">
        <w:t>cle 5, paragraph </w:t>
      </w:r>
      <w:r w:rsidR="00DF53A3" w:rsidRPr="00540589">
        <w:t>2 (b)</w:t>
      </w:r>
      <w:r w:rsidR="00947056">
        <w:t>,</w:t>
      </w:r>
      <w:r w:rsidR="00DF53A3" w:rsidRPr="00540589">
        <w:t xml:space="preserve"> of the Optional Protocol have </w:t>
      </w:r>
      <w:r w:rsidR="00883735">
        <w:t xml:space="preserve">not </w:t>
      </w:r>
      <w:r w:rsidR="00DF53A3" w:rsidRPr="00540589">
        <w:t>been met</w:t>
      </w:r>
      <w:r w:rsidR="006E3186">
        <w:t xml:space="preserve"> in the present case</w:t>
      </w:r>
      <w:r w:rsidR="00DF53A3" w:rsidRPr="00540589">
        <w:t>.</w:t>
      </w:r>
      <w:r w:rsidR="006E3186">
        <w:t xml:space="preserve"> Accordingly, it concludes </w:t>
      </w:r>
      <w:r w:rsidR="00E77220">
        <w:t>that it is precluded by article 5, paragraph </w:t>
      </w:r>
      <w:r w:rsidR="006E3186">
        <w:t>2 (b), of the Optional Protocol to examine the present communication.</w:t>
      </w:r>
      <w:r w:rsidR="00E77220">
        <w:t xml:space="preserve"> </w:t>
      </w:r>
    </w:p>
    <w:p w:rsidR="00DF53A3" w:rsidRPr="00DF53A3" w:rsidRDefault="00D43975" w:rsidP="00E77220">
      <w:pPr>
        <w:pStyle w:val="SingleTxtG"/>
        <w:keepNext/>
      </w:pPr>
      <w:r>
        <w:lastRenderedPageBreak/>
        <w:t>7</w:t>
      </w:r>
      <w:r w:rsidR="00DF53A3" w:rsidRPr="00DF53A3">
        <w:t>.</w:t>
      </w:r>
      <w:r w:rsidR="00DF53A3" w:rsidRPr="00DF53A3">
        <w:tab/>
        <w:t>The Human Rights Committee therefore decides:</w:t>
      </w:r>
    </w:p>
    <w:p w:rsidR="00DF53A3" w:rsidRPr="00DF53A3" w:rsidRDefault="00B419F6" w:rsidP="00AD4AFB">
      <w:pPr>
        <w:pStyle w:val="SingleTxtG"/>
        <w:ind w:firstLine="567"/>
      </w:pPr>
      <w:r>
        <w:t>(</w:t>
      </w:r>
      <w:r w:rsidR="005C0EEF">
        <w:t>a)</w:t>
      </w:r>
      <w:r w:rsidR="00AD4AFB">
        <w:tab/>
      </w:r>
      <w:r w:rsidR="00DF53A3" w:rsidRPr="00DF53A3">
        <w:t>That the communicatio</w:t>
      </w:r>
      <w:r w:rsidR="00E77220">
        <w:t>n is inadmissible under article 5, paragraph </w:t>
      </w:r>
      <w:r w:rsidR="00DF53A3" w:rsidRPr="00DF53A3">
        <w:t xml:space="preserve">2 </w:t>
      </w:r>
      <w:r w:rsidR="00540589">
        <w:t>(b)</w:t>
      </w:r>
      <w:r w:rsidR="00947056">
        <w:t>,</w:t>
      </w:r>
      <w:r w:rsidR="00540589">
        <w:t xml:space="preserve"> </w:t>
      </w:r>
      <w:r w:rsidR="00DF53A3" w:rsidRPr="00DF53A3">
        <w:t xml:space="preserve">of the Optional Protocol; </w:t>
      </w:r>
    </w:p>
    <w:p w:rsidR="00DA2E0D" w:rsidRDefault="00B419F6" w:rsidP="00E77220">
      <w:pPr>
        <w:pStyle w:val="SingleTxtG"/>
        <w:ind w:firstLine="567"/>
      </w:pPr>
      <w:r>
        <w:t>(</w:t>
      </w:r>
      <w:r w:rsidR="005C0EEF">
        <w:t>b)</w:t>
      </w:r>
      <w:r w:rsidR="00AD4AFB">
        <w:tab/>
      </w:r>
      <w:r w:rsidR="00DF53A3" w:rsidRPr="00DF53A3">
        <w:t>That this decision shall be communicated to the State party and to the author.</w:t>
      </w:r>
    </w:p>
    <w:p w:rsidR="00DA2E0D" w:rsidRPr="00DA2E0D" w:rsidRDefault="00DA2E0D" w:rsidP="00DA2E0D">
      <w:pPr>
        <w:pStyle w:val="SingleTxtG"/>
        <w:spacing w:before="240" w:after="0"/>
        <w:jc w:val="center"/>
        <w:rPr>
          <w:u w:val="single"/>
        </w:rPr>
      </w:pPr>
      <w:r>
        <w:rPr>
          <w:u w:val="single"/>
        </w:rPr>
        <w:tab/>
      </w:r>
      <w:r>
        <w:rPr>
          <w:u w:val="single"/>
        </w:rPr>
        <w:tab/>
      </w:r>
      <w:r>
        <w:rPr>
          <w:u w:val="single"/>
        </w:rPr>
        <w:tab/>
      </w:r>
    </w:p>
    <w:sectPr w:rsidR="00DA2E0D" w:rsidRPr="00DA2E0D" w:rsidSect="00E77220">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03B" w:rsidRDefault="005D303B"/>
  </w:endnote>
  <w:endnote w:type="continuationSeparator" w:id="0">
    <w:p w:rsidR="005D303B" w:rsidRDefault="005D303B"/>
  </w:endnote>
  <w:endnote w:type="continuationNotice" w:id="1">
    <w:p w:rsidR="005D303B" w:rsidRDefault="005D3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3A3" w:rsidRPr="00DF53A3" w:rsidRDefault="00DF53A3" w:rsidP="00DF53A3">
    <w:pPr>
      <w:pStyle w:val="Footer"/>
      <w:tabs>
        <w:tab w:val="right" w:pos="9638"/>
      </w:tabs>
    </w:pPr>
    <w:r w:rsidRPr="00DF53A3">
      <w:rPr>
        <w:b/>
        <w:sz w:val="18"/>
      </w:rPr>
      <w:fldChar w:fldCharType="begin"/>
    </w:r>
    <w:r w:rsidRPr="00DF53A3">
      <w:rPr>
        <w:b/>
        <w:sz w:val="18"/>
      </w:rPr>
      <w:instrText xml:space="preserve"> PAGE  \* MERGEFORMAT </w:instrText>
    </w:r>
    <w:r w:rsidRPr="00DF53A3">
      <w:rPr>
        <w:b/>
        <w:sz w:val="18"/>
      </w:rPr>
      <w:fldChar w:fldCharType="separate"/>
    </w:r>
    <w:r w:rsidR="009302B4">
      <w:rPr>
        <w:b/>
        <w:noProof/>
        <w:sz w:val="18"/>
      </w:rPr>
      <w:t>2</w:t>
    </w:r>
    <w:r w:rsidRPr="00DF53A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3A3" w:rsidRPr="00DF53A3" w:rsidRDefault="00DF53A3" w:rsidP="00DF53A3">
    <w:pPr>
      <w:pStyle w:val="Footer"/>
      <w:tabs>
        <w:tab w:val="right" w:pos="9638"/>
      </w:tabs>
      <w:rPr>
        <w:sz w:val="18"/>
      </w:rPr>
    </w:pPr>
    <w:r>
      <w:rPr>
        <w:b/>
        <w:sz w:val="18"/>
      </w:rPr>
      <w:tab/>
    </w:r>
    <w:r w:rsidRPr="00DF53A3">
      <w:rPr>
        <w:sz w:val="18"/>
      </w:rPr>
      <w:fldChar w:fldCharType="begin"/>
    </w:r>
    <w:r w:rsidRPr="00DF53A3">
      <w:rPr>
        <w:sz w:val="18"/>
      </w:rPr>
      <w:instrText xml:space="preserve"> PAGE  \* MERGEFORMAT </w:instrText>
    </w:r>
    <w:r w:rsidRPr="00DF53A3">
      <w:rPr>
        <w:sz w:val="18"/>
      </w:rPr>
      <w:fldChar w:fldCharType="separate"/>
    </w:r>
    <w:r w:rsidR="009302B4">
      <w:rPr>
        <w:noProof/>
        <w:sz w:val="18"/>
      </w:rPr>
      <w:t>3</w:t>
    </w:r>
    <w:r w:rsidRPr="00DF53A3">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B3" w:rsidRDefault="005D303B" w:rsidP="00F13D01">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37.3pt;margin-top:646.25pt;width:73.25pt;height:18.15pt;z-index:1;mso-position-horizontal-relative:margin;mso-position-vertical-relative:margin">
          <v:imagedata r:id="rId1" o:title="recycle_English"/>
          <w10:wrap anchorx="margin" anchory="margin"/>
        </v:shape>
      </w:pict>
    </w:r>
    <w:r w:rsidR="00DF53A3">
      <w:t>GE.14-</w:t>
    </w:r>
    <w:r w:rsidR="00C05874">
      <w:t>22674</w:t>
    </w:r>
    <w:r w:rsidR="00B03F52">
      <w:t xml:space="preserve">  (E)</w:t>
    </w:r>
    <w:r w:rsidR="00050629">
      <w:br/>
    </w:r>
    <w:r w:rsidR="00050629">
      <w:rPr>
        <w:rFonts w:ascii="C39T30Lfz" w:hAnsi="C39T30Lfz"/>
        <w:sz w:val="56"/>
      </w:rPr>
      <w:t></w:t>
    </w:r>
    <w:r w:rsidR="00050629">
      <w:rPr>
        <w:rFonts w:ascii="C39T30Lfz" w:hAnsi="C39T30Lfz"/>
        <w:sz w:val="56"/>
      </w:rPr>
      <w:t></w:t>
    </w:r>
    <w:r w:rsidR="00050629">
      <w:rPr>
        <w:rFonts w:ascii="C39T30Lfz" w:hAnsi="C39T30Lfz"/>
        <w:sz w:val="56"/>
      </w:rPr>
      <w:t></w:t>
    </w:r>
    <w:r w:rsidR="00050629">
      <w:rPr>
        <w:rFonts w:ascii="C39T30Lfz" w:hAnsi="C39T30Lfz"/>
        <w:sz w:val="56"/>
      </w:rPr>
      <w:t></w:t>
    </w:r>
    <w:r w:rsidR="00050629">
      <w:rPr>
        <w:rFonts w:ascii="C39T30Lfz" w:hAnsi="C39T30Lfz"/>
        <w:sz w:val="56"/>
      </w:rPr>
      <w:t></w:t>
    </w:r>
    <w:r w:rsidR="00050629">
      <w:rPr>
        <w:rFonts w:ascii="C39T30Lfz" w:hAnsi="C39T30Lfz"/>
        <w:sz w:val="56"/>
      </w:rPr>
      <w:t></w:t>
    </w:r>
    <w:r w:rsidR="00050629">
      <w:rPr>
        <w:rFonts w:ascii="C39T30Lfz" w:hAnsi="C39T30Lfz"/>
        <w:sz w:val="56"/>
      </w:rPr>
      <w:t></w:t>
    </w:r>
    <w:r w:rsidR="00050629">
      <w:rPr>
        <w:rFonts w:ascii="C39T30Lfz" w:hAnsi="C39T30Lfz"/>
        <w:sz w:val="56"/>
      </w:rPr>
      <w:t></w:t>
    </w:r>
    <w:r w:rsidR="00050629" w:rsidRPr="00050629">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03B" w:rsidRPr="000B175B" w:rsidRDefault="005D303B" w:rsidP="000B175B">
      <w:pPr>
        <w:tabs>
          <w:tab w:val="right" w:pos="2155"/>
        </w:tabs>
        <w:spacing w:after="80"/>
        <w:ind w:left="680"/>
        <w:rPr>
          <w:u w:val="single"/>
        </w:rPr>
      </w:pPr>
      <w:r>
        <w:rPr>
          <w:u w:val="single"/>
        </w:rPr>
        <w:tab/>
      </w:r>
    </w:p>
  </w:footnote>
  <w:footnote w:type="continuationSeparator" w:id="0">
    <w:p w:rsidR="005D303B" w:rsidRPr="00FC68B7" w:rsidRDefault="005D303B" w:rsidP="00FC68B7">
      <w:pPr>
        <w:tabs>
          <w:tab w:val="left" w:pos="2155"/>
        </w:tabs>
        <w:spacing w:after="80"/>
        <w:ind w:left="680"/>
        <w:rPr>
          <w:u w:val="single"/>
        </w:rPr>
      </w:pPr>
      <w:r>
        <w:rPr>
          <w:u w:val="single"/>
        </w:rPr>
        <w:tab/>
      </w:r>
    </w:p>
  </w:footnote>
  <w:footnote w:type="continuationNotice" w:id="1">
    <w:p w:rsidR="005D303B" w:rsidRDefault="005D303B"/>
  </w:footnote>
  <w:footnote w:id="2">
    <w:p w:rsidR="00190A27" w:rsidRPr="0066543C" w:rsidRDefault="00190A27" w:rsidP="00E77220">
      <w:pPr>
        <w:pStyle w:val="FootnoteText"/>
        <w:rPr>
          <w:lang w:val="fr-CH"/>
        </w:rPr>
      </w:pPr>
      <w:r>
        <w:rPr>
          <w:rStyle w:val="FootnoteReference"/>
        </w:rPr>
        <w:tab/>
      </w:r>
      <w:r w:rsidRPr="0066543C">
        <w:rPr>
          <w:rStyle w:val="FootnoteReference"/>
          <w:sz w:val="20"/>
          <w:vertAlign w:val="baseline"/>
        </w:rPr>
        <w:t>*</w:t>
      </w:r>
      <w:r>
        <w:rPr>
          <w:rStyle w:val="FootnoteReference"/>
          <w:sz w:val="20"/>
          <w:vertAlign w:val="baseline"/>
        </w:rPr>
        <w:tab/>
      </w:r>
      <w:r w:rsidRPr="0066543C">
        <w:t>The following members of the Committee participated in the examination of the present communication: Yadh Ben Achour, Lazhari Bouzid, Christine Chanet, Ahmad Amin Fathalla, Cornelis Flinterman, Walter Kälin, Yuji Iwasawa, Zonke Zanele Majodina, Gerald L. Neuman, Sir</w:t>
      </w:r>
      <w:r w:rsidR="00E77220">
        <w:t> </w:t>
      </w:r>
      <w:r w:rsidRPr="0066543C">
        <w:t>Nigel Rodley, Víctor Manuel Rodríguez-Rescia, Fabián Omar Salvioli, Anja Seibert-Fohr, Dheerujlall Seetulsingh, Yuval Shany, Konstantine Varzelashvili, Margo Waterval and Andrei Paul Zlătescu.</w:t>
      </w:r>
    </w:p>
  </w:footnote>
  <w:footnote w:id="3">
    <w:p w:rsidR="008D13EC" w:rsidRPr="008D13EC" w:rsidRDefault="00643494" w:rsidP="00B665BE">
      <w:pPr>
        <w:pStyle w:val="FootnoteText"/>
      </w:pPr>
      <w:r>
        <w:tab/>
      </w:r>
      <w:r w:rsidR="008D13EC">
        <w:rPr>
          <w:rStyle w:val="FootnoteReference"/>
        </w:rPr>
        <w:footnoteRef/>
      </w:r>
      <w:r w:rsidR="00D314A0">
        <w:tab/>
      </w:r>
      <w:r w:rsidR="008D13EC">
        <w:t>According to a copy of the author’s refugee card, he is a nation</w:t>
      </w:r>
      <w:r w:rsidR="00D213E9">
        <w:t>al</w:t>
      </w:r>
      <w:r w:rsidR="00B665BE">
        <w:t xml:space="preserve"> of Myanmar</w:t>
      </w:r>
      <w:r w:rsidR="008D13EC">
        <w:t>.</w:t>
      </w:r>
      <w:r w:rsidR="00E77220">
        <w:t xml:space="preserve"> </w:t>
      </w:r>
      <w:r w:rsidR="00D213E9">
        <w:t>However, the a</w:t>
      </w:r>
      <w:r w:rsidR="008D13EC">
        <w:t xml:space="preserve">uthenticity of </w:t>
      </w:r>
      <w:r w:rsidR="00B665BE">
        <w:t xml:space="preserve">that </w:t>
      </w:r>
      <w:r w:rsidR="008D13EC">
        <w:t>document was challenged by the Norwegian authorities.</w:t>
      </w:r>
    </w:p>
  </w:footnote>
  <w:footnote w:id="4">
    <w:p w:rsidR="00D960CC" w:rsidRPr="00D960CC" w:rsidRDefault="00D314A0" w:rsidP="00D960CC">
      <w:pPr>
        <w:pStyle w:val="FootnoteText"/>
        <w:ind w:left="0" w:firstLine="0"/>
      </w:pPr>
      <w:r>
        <w:tab/>
      </w:r>
      <w:r w:rsidR="00D960CC">
        <w:rPr>
          <w:rStyle w:val="FootnoteReference"/>
        </w:rPr>
        <w:footnoteRef/>
      </w:r>
      <w:r>
        <w:tab/>
      </w:r>
      <w:r w:rsidR="003741BE">
        <w:t>No copy of t</w:t>
      </w:r>
      <w:r w:rsidR="00D960CC" w:rsidRPr="00D960CC">
        <w:t>he court decision was provided.</w:t>
      </w:r>
    </w:p>
  </w:footnote>
  <w:footnote w:id="5">
    <w:p w:rsidR="00211A43" w:rsidRPr="00D960CC" w:rsidRDefault="00211A43" w:rsidP="00211A43">
      <w:pPr>
        <w:pStyle w:val="FootnoteText"/>
      </w:pPr>
      <w:r>
        <w:tab/>
      </w:r>
      <w:r>
        <w:rPr>
          <w:rStyle w:val="FootnoteReference"/>
        </w:rPr>
        <w:footnoteRef/>
      </w:r>
      <w:r>
        <w:tab/>
        <w:t xml:space="preserve">The author </w:t>
      </w:r>
      <w:r w:rsidRPr="00D960CC">
        <w:t>d</w:t>
      </w:r>
      <w:r>
        <w:t xml:space="preserve">oes </w:t>
      </w:r>
      <w:r w:rsidRPr="00D960CC">
        <w:t>not specif</w:t>
      </w:r>
      <w:r>
        <w:t>y</w:t>
      </w:r>
      <w:r w:rsidRPr="00D960CC">
        <w:t xml:space="preserve"> the duration of his stay in these countries.</w:t>
      </w:r>
    </w:p>
  </w:footnote>
  <w:footnote w:id="6">
    <w:p w:rsidR="00D5285F" w:rsidRPr="00D5285F" w:rsidRDefault="003F545F">
      <w:pPr>
        <w:pStyle w:val="FootnoteText"/>
      </w:pPr>
      <w:r>
        <w:tab/>
      </w:r>
      <w:r w:rsidR="00D5285F">
        <w:rPr>
          <w:rStyle w:val="FootnoteReference"/>
        </w:rPr>
        <w:footnoteRef/>
      </w:r>
      <w:r>
        <w:tab/>
      </w:r>
      <w:r w:rsidR="00D5285F">
        <w:t>No further information is provided in this connection.</w:t>
      </w:r>
    </w:p>
  </w:footnote>
  <w:footnote w:id="7">
    <w:p w:rsidR="00CA78A4" w:rsidRPr="00CA78A4" w:rsidRDefault="003F545F">
      <w:pPr>
        <w:pStyle w:val="FootnoteText"/>
      </w:pPr>
      <w:r>
        <w:tab/>
      </w:r>
      <w:r w:rsidR="00CA78A4">
        <w:rPr>
          <w:rStyle w:val="FootnoteReference"/>
        </w:rPr>
        <w:footnoteRef/>
      </w:r>
      <w:r>
        <w:tab/>
      </w:r>
      <w:r w:rsidR="006E3186">
        <w:t xml:space="preserve">A copy of the </w:t>
      </w:r>
      <w:r w:rsidR="00CA78A4" w:rsidRPr="00CA78A4">
        <w:t xml:space="preserve">letter is included </w:t>
      </w:r>
      <w:r w:rsidR="006E3186">
        <w:t xml:space="preserve">on </w:t>
      </w:r>
      <w:r w:rsidR="00CA78A4" w:rsidRPr="00CA78A4">
        <w:t>file.</w:t>
      </w:r>
      <w:r w:rsidR="000815A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3A3" w:rsidRPr="00DF53A3" w:rsidRDefault="005C0EEF" w:rsidP="00DF53A3">
    <w:pPr>
      <w:pStyle w:val="Header"/>
    </w:pPr>
    <w:r>
      <w:t>CCPR/C</w:t>
    </w:r>
    <w:r w:rsidR="00DF53A3">
      <w:t>/11</w:t>
    </w:r>
    <w:r w:rsidR="00E93A03">
      <w:t>2</w:t>
    </w:r>
    <w:r w:rsidR="00DF53A3">
      <w:t>/D/</w:t>
    </w:r>
    <w:r w:rsidR="00E93A03">
      <w:t>2341</w:t>
    </w:r>
    <w:r w:rsidR="00DF53A3">
      <w:t>/20</w:t>
    </w:r>
    <w:r w:rsidR="00E93A03">
      <w:t>14</w:t>
    </w:r>
    <w:r w:rsidR="00190A27" w:rsidRPr="00190A2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3A3" w:rsidRPr="00DF53A3" w:rsidRDefault="005C0EEF" w:rsidP="00DF53A3">
    <w:pPr>
      <w:pStyle w:val="Header"/>
      <w:jc w:val="right"/>
    </w:pPr>
    <w:r>
      <w:t>CCPR/C/</w:t>
    </w:r>
    <w:r w:rsidR="008D13EC">
      <w:t>112/D/2341/2014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63C4B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715B95"/>
    <w:multiLevelType w:val="multilevel"/>
    <w:tmpl w:val="7038955C"/>
    <w:lvl w:ilvl="0">
      <w:start w:val="4"/>
      <w:numFmt w:val="decimal"/>
      <w:lvlText w:val="%1"/>
      <w:lvlJc w:val="left"/>
      <w:pPr>
        <w:tabs>
          <w:tab w:val="num" w:pos="570"/>
        </w:tabs>
        <w:ind w:left="570" w:hanging="570"/>
      </w:pPr>
      <w:rPr>
        <w:rFonts w:hint="default"/>
      </w:rPr>
    </w:lvl>
    <w:lvl w:ilvl="1">
      <w:start w:val="1"/>
      <w:numFmt w:val="decimal"/>
      <w:lvlText w:val="6.%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3A3"/>
    <w:rsid w:val="000272B3"/>
    <w:rsid w:val="00027C00"/>
    <w:rsid w:val="00046744"/>
    <w:rsid w:val="00050629"/>
    <w:rsid w:val="00050F6B"/>
    <w:rsid w:val="00057E97"/>
    <w:rsid w:val="00060C3A"/>
    <w:rsid w:val="00072C8C"/>
    <w:rsid w:val="000733B5"/>
    <w:rsid w:val="000815AF"/>
    <w:rsid w:val="00081815"/>
    <w:rsid w:val="000931C0"/>
    <w:rsid w:val="000B175B"/>
    <w:rsid w:val="000B3A0F"/>
    <w:rsid w:val="000B4EF7"/>
    <w:rsid w:val="000B55FA"/>
    <w:rsid w:val="000C2C03"/>
    <w:rsid w:val="000C2D2E"/>
    <w:rsid w:val="000C439A"/>
    <w:rsid w:val="000D24B8"/>
    <w:rsid w:val="000E0415"/>
    <w:rsid w:val="001103AA"/>
    <w:rsid w:val="00113910"/>
    <w:rsid w:val="00115EB4"/>
    <w:rsid w:val="00160B7B"/>
    <w:rsid w:val="00165F3A"/>
    <w:rsid w:val="00170635"/>
    <w:rsid w:val="00183968"/>
    <w:rsid w:val="00190A27"/>
    <w:rsid w:val="00197ACB"/>
    <w:rsid w:val="001A6686"/>
    <w:rsid w:val="001B4B04"/>
    <w:rsid w:val="001C16D9"/>
    <w:rsid w:val="001C6663"/>
    <w:rsid w:val="001C7895"/>
    <w:rsid w:val="001D0C8C"/>
    <w:rsid w:val="001D26DF"/>
    <w:rsid w:val="001D3A03"/>
    <w:rsid w:val="001E7E57"/>
    <w:rsid w:val="00200696"/>
    <w:rsid w:val="00202DA8"/>
    <w:rsid w:val="00211A43"/>
    <w:rsid w:val="00211E0B"/>
    <w:rsid w:val="0021221A"/>
    <w:rsid w:val="00225EB0"/>
    <w:rsid w:val="0023210C"/>
    <w:rsid w:val="00232C19"/>
    <w:rsid w:val="00236BC6"/>
    <w:rsid w:val="0025486E"/>
    <w:rsid w:val="00267F5F"/>
    <w:rsid w:val="00270107"/>
    <w:rsid w:val="0027710C"/>
    <w:rsid w:val="00286B4D"/>
    <w:rsid w:val="002A736A"/>
    <w:rsid w:val="002B2097"/>
    <w:rsid w:val="002E1F0F"/>
    <w:rsid w:val="002F175C"/>
    <w:rsid w:val="003036A7"/>
    <w:rsid w:val="0032122A"/>
    <w:rsid w:val="003229D8"/>
    <w:rsid w:val="0032425C"/>
    <w:rsid w:val="00326B0F"/>
    <w:rsid w:val="00340126"/>
    <w:rsid w:val="00343B90"/>
    <w:rsid w:val="00352709"/>
    <w:rsid w:val="00364AFF"/>
    <w:rsid w:val="00367567"/>
    <w:rsid w:val="00371178"/>
    <w:rsid w:val="003741BE"/>
    <w:rsid w:val="00380B6A"/>
    <w:rsid w:val="0038336C"/>
    <w:rsid w:val="00397E97"/>
    <w:rsid w:val="003A6810"/>
    <w:rsid w:val="003C2CC4"/>
    <w:rsid w:val="003D4B23"/>
    <w:rsid w:val="003E1801"/>
    <w:rsid w:val="003F545F"/>
    <w:rsid w:val="004011B8"/>
    <w:rsid w:val="00410C89"/>
    <w:rsid w:val="00426B9B"/>
    <w:rsid w:val="004325CB"/>
    <w:rsid w:val="0043680A"/>
    <w:rsid w:val="00436B33"/>
    <w:rsid w:val="00442A83"/>
    <w:rsid w:val="0045075D"/>
    <w:rsid w:val="004517D1"/>
    <w:rsid w:val="0045495B"/>
    <w:rsid w:val="00456735"/>
    <w:rsid w:val="00487488"/>
    <w:rsid w:val="00497DA3"/>
    <w:rsid w:val="004A7FDE"/>
    <w:rsid w:val="00506A12"/>
    <w:rsid w:val="00506ED3"/>
    <w:rsid w:val="0052136D"/>
    <w:rsid w:val="0052775E"/>
    <w:rsid w:val="0053008D"/>
    <w:rsid w:val="00540589"/>
    <w:rsid w:val="005420F2"/>
    <w:rsid w:val="00551ECB"/>
    <w:rsid w:val="005532A9"/>
    <w:rsid w:val="005628B6"/>
    <w:rsid w:val="00564FEF"/>
    <w:rsid w:val="005651D0"/>
    <w:rsid w:val="005848B3"/>
    <w:rsid w:val="00586DE3"/>
    <w:rsid w:val="00590F87"/>
    <w:rsid w:val="00592C4A"/>
    <w:rsid w:val="0059429C"/>
    <w:rsid w:val="005B3DB3"/>
    <w:rsid w:val="005C0EEF"/>
    <w:rsid w:val="005D069F"/>
    <w:rsid w:val="005D303B"/>
    <w:rsid w:val="005F7717"/>
    <w:rsid w:val="005F7B75"/>
    <w:rsid w:val="006001EE"/>
    <w:rsid w:val="00605042"/>
    <w:rsid w:val="00611FC4"/>
    <w:rsid w:val="006176FB"/>
    <w:rsid w:val="00640B26"/>
    <w:rsid w:val="00643494"/>
    <w:rsid w:val="00652D0A"/>
    <w:rsid w:val="00662BB6"/>
    <w:rsid w:val="00664C18"/>
    <w:rsid w:val="0066543C"/>
    <w:rsid w:val="00684C21"/>
    <w:rsid w:val="006A5E77"/>
    <w:rsid w:val="006C40CF"/>
    <w:rsid w:val="006D37AF"/>
    <w:rsid w:val="006D3EC9"/>
    <w:rsid w:val="006D3F80"/>
    <w:rsid w:val="006D51D0"/>
    <w:rsid w:val="006E3186"/>
    <w:rsid w:val="006E564B"/>
    <w:rsid w:val="006E7191"/>
    <w:rsid w:val="00703113"/>
    <w:rsid w:val="00703577"/>
    <w:rsid w:val="007106B1"/>
    <w:rsid w:val="007160FD"/>
    <w:rsid w:val="00720BA2"/>
    <w:rsid w:val="0072632A"/>
    <w:rsid w:val="007327D5"/>
    <w:rsid w:val="00736F2C"/>
    <w:rsid w:val="007604B7"/>
    <w:rsid w:val="007629C8"/>
    <w:rsid w:val="00780D1E"/>
    <w:rsid w:val="00791CE8"/>
    <w:rsid w:val="00796166"/>
    <w:rsid w:val="0079707B"/>
    <w:rsid w:val="007B6BA5"/>
    <w:rsid w:val="007C3390"/>
    <w:rsid w:val="007C4F4B"/>
    <w:rsid w:val="007C784F"/>
    <w:rsid w:val="007C7EC6"/>
    <w:rsid w:val="007D611D"/>
    <w:rsid w:val="007D7685"/>
    <w:rsid w:val="007E0B2D"/>
    <w:rsid w:val="007F4730"/>
    <w:rsid w:val="007F6611"/>
    <w:rsid w:val="00810015"/>
    <w:rsid w:val="008105B8"/>
    <w:rsid w:val="00822531"/>
    <w:rsid w:val="008242D7"/>
    <w:rsid w:val="008257B1"/>
    <w:rsid w:val="0082638A"/>
    <w:rsid w:val="00831105"/>
    <w:rsid w:val="00843767"/>
    <w:rsid w:val="00857BCD"/>
    <w:rsid w:val="008679D9"/>
    <w:rsid w:val="0087709A"/>
    <w:rsid w:val="00883735"/>
    <w:rsid w:val="008979B1"/>
    <w:rsid w:val="008A1DB2"/>
    <w:rsid w:val="008A2EC2"/>
    <w:rsid w:val="008A6B25"/>
    <w:rsid w:val="008A6C4F"/>
    <w:rsid w:val="008B2335"/>
    <w:rsid w:val="008D13EC"/>
    <w:rsid w:val="008E0678"/>
    <w:rsid w:val="00910F40"/>
    <w:rsid w:val="00912C08"/>
    <w:rsid w:val="0091468D"/>
    <w:rsid w:val="00915194"/>
    <w:rsid w:val="009223CA"/>
    <w:rsid w:val="009302B4"/>
    <w:rsid w:val="00940F93"/>
    <w:rsid w:val="00947056"/>
    <w:rsid w:val="0095347F"/>
    <w:rsid w:val="0095681C"/>
    <w:rsid w:val="0096295E"/>
    <w:rsid w:val="00967B28"/>
    <w:rsid w:val="00971FF1"/>
    <w:rsid w:val="009760F3"/>
    <w:rsid w:val="009909F5"/>
    <w:rsid w:val="009A0E8D"/>
    <w:rsid w:val="009A33C1"/>
    <w:rsid w:val="009A5448"/>
    <w:rsid w:val="009B2431"/>
    <w:rsid w:val="009B26E7"/>
    <w:rsid w:val="009B43AB"/>
    <w:rsid w:val="009C516E"/>
    <w:rsid w:val="009D0277"/>
    <w:rsid w:val="00A00A3F"/>
    <w:rsid w:val="00A01489"/>
    <w:rsid w:val="00A17020"/>
    <w:rsid w:val="00A338F1"/>
    <w:rsid w:val="00A36378"/>
    <w:rsid w:val="00A44615"/>
    <w:rsid w:val="00A57414"/>
    <w:rsid w:val="00A72F22"/>
    <w:rsid w:val="00A7360F"/>
    <w:rsid w:val="00A748A6"/>
    <w:rsid w:val="00A769F4"/>
    <w:rsid w:val="00A776B4"/>
    <w:rsid w:val="00A94361"/>
    <w:rsid w:val="00AA293C"/>
    <w:rsid w:val="00AB5862"/>
    <w:rsid w:val="00AD4AFB"/>
    <w:rsid w:val="00AD64E7"/>
    <w:rsid w:val="00AF38F9"/>
    <w:rsid w:val="00B01E4A"/>
    <w:rsid w:val="00B03F52"/>
    <w:rsid w:val="00B13E9B"/>
    <w:rsid w:val="00B30179"/>
    <w:rsid w:val="00B339A7"/>
    <w:rsid w:val="00B419F6"/>
    <w:rsid w:val="00B47017"/>
    <w:rsid w:val="00B56E4A"/>
    <w:rsid w:val="00B56E9C"/>
    <w:rsid w:val="00B61ED1"/>
    <w:rsid w:val="00B64B1F"/>
    <w:rsid w:val="00B6553F"/>
    <w:rsid w:val="00B665BE"/>
    <w:rsid w:val="00B66E5E"/>
    <w:rsid w:val="00B77D05"/>
    <w:rsid w:val="00B81206"/>
    <w:rsid w:val="00B81262"/>
    <w:rsid w:val="00B81E12"/>
    <w:rsid w:val="00B831C3"/>
    <w:rsid w:val="00B9067B"/>
    <w:rsid w:val="00BA168B"/>
    <w:rsid w:val="00BC2C23"/>
    <w:rsid w:val="00BC74E9"/>
    <w:rsid w:val="00BF68A8"/>
    <w:rsid w:val="00C05874"/>
    <w:rsid w:val="00C05DC2"/>
    <w:rsid w:val="00C1014F"/>
    <w:rsid w:val="00C11A03"/>
    <w:rsid w:val="00C17694"/>
    <w:rsid w:val="00C3550F"/>
    <w:rsid w:val="00C463DD"/>
    <w:rsid w:val="00C4724C"/>
    <w:rsid w:val="00C60E12"/>
    <w:rsid w:val="00C629A0"/>
    <w:rsid w:val="00C745C3"/>
    <w:rsid w:val="00C83A3F"/>
    <w:rsid w:val="00C9115E"/>
    <w:rsid w:val="00CA3A37"/>
    <w:rsid w:val="00CA78A4"/>
    <w:rsid w:val="00CE4A8F"/>
    <w:rsid w:val="00CE6F81"/>
    <w:rsid w:val="00D2031B"/>
    <w:rsid w:val="00D213E9"/>
    <w:rsid w:val="00D25E87"/>
    <w:rsid w:val="00D25FE2"/>
    <w:rsid w:val="00D314A0"/>
    <w:rsid w:val="00D344DD"/>
    <w:rsid w:val="00D43252"/>
    <w:rsid w:val="00D435F5"/>
    <w:rsid w:val="00D43975"/>
    <w:rsid w:val="00D47EEA"/>
    <w:rsid w:val="00D5285F"/>
    <w:rsid w:val="00D64E6A"/>
    <w:rsid w:val="00D80FD3"/>
    <w:rsid w:val="00D95303"/>
    <w:rsid w:val="00D960CC"/>
    <w:rsid w:val="00D978C6"/>
    <w:rsid w:val="00DA2E0D"/>
    <w:rsid w:val="00DA3111"/>
    <w:rsid w:val="00DA3C1C"/>
    <w:rsid w:val="00DB0C79"/>
    <w:rsid w:val="00DD03AB"/>
    <w:rsid w:val="00DE1711"/>
    <w:rsid w:val="00DE5628"/>
    <w:rsid w:val="00DF53A3"/>
    <w:rsid w:val="00E27346"/>
    <w:rsid w:val="00E4189D"/>
    <w:rsid w:val="00E5653C"/>
    <w:rsid w:val="00E71BC8"/>
    <w:rsid w:val="00E7260F"/>
    <w:rsid w:val="00E77220"/>
    <w:rsid w:val="00E779FC"/>
    <w:rsid w:val="00E82A61"/>
    <w:rsid w:val="00E93A03"/>
    <w:rsid w:val="00E9625E"/>
    <w:rsid w:val="00E96630"/>
    <w:rsid w:val="00EB2581"/>
    <w:rsid w:val="00EC4C21"/>
    <w:rsid w:val="00ED7A2A"/>
    <w:rsid w:val="00EF1D7F"/>
    <w:rsid w:val="00F06745"/>
    <w:rsid w:val="00F13D01"/>
    <w:rsid w:val="00F20C3D"/>
    <w:rsid w:val="00F24BEA"/>
    <w:rsid w:val="00F26D6C"/>
    <w:rsid w:val="00F36194"/>
    <w:rsid w:val="00F43E9E"/>
    <w:rsid w:val="00F62046"/>
    <w:rsid w:val="00F9057C"/>
    <w:rsid w:val="00F906D7"/>
    <w:rsid w:val="00F93781"/>
    <w:rsid w:val="00FB613B"/>
    <w:rsid w:val="00FC68B7"/>
    <w:rsid w:val="00FE106A"/>
    <w:rsid w:val="00FF4F32"/>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283C24B-8BA1-426C-A380-41A5BBC5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E77220"/>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E77220"/>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DF53A3"/>
    <w:pPr>
      <w:spacing w:line="240" w:lineRule="auto"/>
    </w:pPr>
    <w:rPr>
      <w:rFonts w:ascii="Tahoma" w:hAnsi="Tahoma"/>
      <w:sz w:val="16"/>
      <w:szCs w:val="16"/>
    </w:rPr>
  </w:style>
  <w:style w:type="character" w:customStyle="1" w:styleId="BalloonTextChar">
    <w:name w:val="Balloon Text Char"/>
    <w:link w:val="BalloonText"/>
    <w:rsid w:val="00DF53A3"/>
    <w:rPr>
      <w:rFonts w:ascii="Tahoma" w:hAnsi="Tahoma" w:cs="Tahoma"/>
      <w:sz w:val="16"/>
      <w:szCs w:val="16"/>
      <w:lang w:eastAsia="en-US"/>
    </w:rPr>
  </w:style>
  <w:style w:type="character" w:styleId="CommentReference">
    <w:name w:val="annotation reference"/>
    <w:rsid w:val="00DF53A3"/>
    <w:rPr>
      <w:sz w:val="16"/>
      <w:szCs w:val="16"/>
    </w:rPr>
  </w:style>
  <w:style w:type="paragraph" w:styleId="CommentText">
    <w:name w:val="annotation text"/>
    <w:basedOn w:val="Normal"/>
    <w:link w:val="CommentTextChar"/>
    <w:rsid w:val="00DF53A3"/>
  </w:style>
  <w:style w:type="character" w:customStyle="1" w:styleId="CommentTextChar">
    <w:name w:val="Comment Text Char"/>
    <w:link w:val="CommentText"/>
    <w:rsid w:val="00DF53A3"/>
    <w:rPr>
      <w:lang w:eastAsia="en-US"/>
    </w:rPr>
  </w:style>
  <w:style w:type="paragraph" w:styleId="CommentSubject">
    <w:name w:val="annotation subject"/>
    <w:basedOn w:val="CommentText"/>
    <w:next w:val="CommentText"/>
    <w:link w:val="CommentSubjectChar"/>
    <w:rsid w:val="00DF53A3"/>
    <w:rPr>
      <w:b/>
      <w:bCs/>
    </w:rPr>
  </w:style>
  <w:style w:type="character" w:customStyle="1" w:styleId="CommentSubjectChar">
    <w:name w:val="Comment Subject Char"/>
    <w:link w:val="CommentSubject"/>
    <w:rsid w:val="00DF53A3"/>
    <w:rPr>
      <w:b/>
      <w:bCs/>
      <w:lang w:eastAsia="en-US"/>
    </w:rPr>
  </w:style>
  <w:style w:type="character" w:customStyle="1" w:styleId="st">
    <w:name w:val="st"/>
    <w:rsid w:val="00DF53A3"/>
  </w:style>
  <w:style w:type="paragraph" w:styleId="Revision">
    <w:name w:val="Revision"/>
    <w:hidden/>
    <w:uiPriority w:val="71"/>
    <w:rsid w:val="00DF53A3"/>
    <w:rPr>
      <w:lang w:val="en-GB"/>
    </w:rPr>
  </w:style>
  <w:style w:type="character" w:customStyle="1" w:styleId="FootnoteTextChar">
    <w:name w:val="Footnote Text Char"/>
    <w:aliases w:val="5_G Char"/>
    <w:link w:val="FootnoteText"/>
    <w:rsid w:val="00027C00"/>
    <w:rPr>
      <w:rFonts w:eastAsia="SimSun"/>
      <w:sz w:val="18"/>
      <w:lang w:val="en-GB"/>
    </w:rPr>
  </w:style>
  <w:style w:type="character" w:customStyle="1" w:styleId="SingleTxtGChar">
    <w:name w:val="_ Single Txt_G Char"/>
    <w:link w:val="SingleTxtG"/>
    <w:rsid w:val="00DA2E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2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5</Pages>
  <Words>1351</Words>
  <Characters>7705</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2014-11-05T10:24:00Z</cp:lastPrinted>
  <dcterms:created xsi:type="dcterms:W3CDTF">2017-04-05T20:00:00Z</dcterms:created>
  <dcterms:modified xsi:type="dcterms:W3CDTF">2017-04-05T20:00:00Z</dcterms:modified>
</cp:coreProperties>
</file>