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B56E9C" w14:paraId="58A52A14" w14:textId="77777777" w:rsidTr="00B6553F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44A7A492" w14:textId="77777777" w:rsidR="00B56E9C" w:rsidRPr="005809FC" w:rsidRDefault="005809FC" w:rsidP="005809FC">
            <w:pPr>
              <w:spacing w:line="20" w:lineRule="exact"/>
              <w:rPr>
                <w:sz w:val="2"/>
              </w:rPr>
            </w:pPr>
            <w:r>
              <w:rPr>
                <w:rStyle w:val="CommentReference"/>
                <w:rFonts w:ascii="Calibri" w:hAnsi="Calibri"/>
                <w:lang w:val="fr-FR" w:eastAsia="fr-FR"/>
              </w:rPr>
              <w:commentReference w:id="0"/>
            </w:r>
            <w:bookmarkStart w:id="1" w:name="_GoBack"/>
            <w:bookmarkEnd w:id="1"/>
          </w:p>
          <w:p w14:paraId="6E61607C" w14:textId="77777777" w:rsidR="005809FC" w:rsidRDefault="005809FC" w:rsidP="00B6553F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28BF7806" w14:textId="77777777" w:rsidR="00B56E9C" w:rsidRPr="00B97172" w:rsidRDefault="00B56E9C" w:rsidP="00B6553F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46C4523" w14:textId="77777777" w:rsidR="00B56E9C" w:rsidRPr="00D47EEA" w:rsidRDefault="00F62FAC" w:rsidP="0063453D">
            <w:pPr>
              <w:jc w:val="right"/>
            </w:pPr>
            <w:r w:rsidRPr="00F62FAC">
              <w:rPr>
                <w:sz w:val="40"/>
              </w:rPr>
              <w:t>CCPR</w:t>
            </w:r>
            <w:r w:rsidR="00775C96">
              <w:t>/C/11</w:t>
            </w:r>
            <w:r w:rsidR="00A458A1">
              <w:t>4</w:t>
            </w:r>
            <w:r w:rsidR="00775C96">
              <w:t>/D/2183</w:t>
            </w:r>
            <w:r>
              <w:t>/20</w:t>
            </w:r>
            <w:r w:rsidR="00775C96">
              <w:t>12</w:t>
            </w:r>
          </w:p>
        </w:tc>
      </w:tr>
      <w:tr w:rsidR="00B56E9C" w:rsidRPr="00725F30" w14:paraId="1617AECE" w14:textId="77777777" w:rsidTr="00B6553F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534C1D5A" w14:textId="77777777" w:rsidR="00B56E9C" w:rsidRPr="00725F30" w:rsidRDefault="00547499" w:rsidP="00B6553F">
            <w:pPr>
              <w:spacing w:before="120"/>
            </w:pPr>
            <w:r>
              <w:rPr>
                <w:noProof/>
                <w:lang w:val="en-US"/>
              </w:rPr>
              <w:drawing>
                <wp:inline distT="0" distB="0" distL="0" distR="0" wp14:anchorId="0269D7E4" wp14:editId="318BF675">
                  <wp:extent cx="711200" cy="590550"/>
                  <wp:effectExtent l="0" t="0" r="0" b="0"/>
                  <wp:docPr id="2" name="Pictur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A0EE89A" w14:textId="77777777" w:rsidR="00B56E9C" w:rsidRDefault="00B56E9C" w:rsidP="00267F5F">
            <w:pPr>
              <w:spacing w:before="120" w:line="380" w:lineRule="exact"/>
              <w:rPr>
                <w:b/>
                <w:sz w:val="34"/>
                <w:szCs w:val="40"/>
              </w:rPr>
            </w:pPr>
            <w:r w:rsidRPr="00725F30">
              <w:rPr>
                <w:b/>
                <w:sz w:val="34"/>
                <w:szCs w:val="40"/>
              </w:rPr>
              <w:t xml:space="preserve">International </w:t>
            </w:r>
            <w:r w:rsidR="00060C3A" w:rsidRPr="00725F30">
              <w:rPr>
                <w:b/>
                <w:sz w:val="34"/>
                <w:szCs w:val="40"/>
              </w:rPr>
              <w:t>Covenant on</w:t>
            </w:r>
            <w:r w:rsidR="00060C3A" w:rsidRPr="00725F30">
              <w:rPr>
                <w:b/>
                <w:sz w:val="34"/>
                <w:szCs w:val="40"/>
              </w:rPr>
              <w:br/>
              <w:t>Civil and Political R</w:t>
            </w:r>
            <w:r w:rsidR="00703577" w:rsidRPr="00725F30">
              <w:rPr>
                <w:b/>
                <w:sz w:val="34"/>
                <w:szCs w:val="40"/>
              </w:rPr>
              <w:t>ights</w:t>
            </w:r>
          </w:p>
          <w:p w14:paraId="18FE2CCC" w14:textId="77777777" w:rsidR="00133325" w:rsidRPr="00725F30" w:rsidRDefault="00133325" w:rsidP="00267F5F">
            <w:pPr>
              <w:spacing w:before="120" w:line="380" w:lineRule="exact"/>
              <w:rPr>
                <w:sz w:val="3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6A094135" w14:textId="77777777" w:rsidR="00B56E9C" w:rsidRPr="00725F30" w:rsidRDefault="00F62FAC" w:rsidP="00F62FAC">
            <w:pPr>
              <w:spacing w:before="240" w:line="240" w:lineRule="exact"/>
            </w:pPr>
            <w:r w:rsidRPr="00725F30">
              <w:t xml:space="preserve">Distr.: </w:t>
            </w:r>
            <w:r w:rsidR="0063453D">
              <w:t>General</w:t>
            </w:r>
          </w:p>
          <w:p w14:paraId="001789D1" w14:textId="77777777" w:rsidR="00F62FAC" w:rsidRPr="00725F30" w:rsidRDefault="006102E9" w:rsidP="00F62FAC">
            <w:pPr>
              <w:spacing w:line="240" w:lineRule="exact"/>
            </w:pPr>
            <w:r>
              <w:t>2</w:t>
            </w:r>
            <w:r w:rsidR="00E070C1">
              <w:t>7</w:t>
            </w:r>
            <w:r w:rsidR="0063453D">
              <w:t xml:space="preserve"> August</w:t>
            </w:r>
            <w:r w:rsidR="00A458A1" w:rsidRPr="00725F30">
              <w:t xml:space="preserve"> </w:t>
            </w:r>
            <w:r w:rsidR="00F62FAC" w:rsidRPr="00725F30">
              <w:t>201</w:t>
            </w:r>
            <w:r w:rsidR="00775C96" w:rsidRPr="00725F30">
              <w:t>5</w:t>
            </w:r>
          </w:p>
          <w:p w14:paraId="220EB832" w14:textId="77777777" w:rsidR="00F62FAC" w:rsidRPr="00725F30" w:rsidRDefault="00F62FAC" w:rsidP="00F62FAC">
            <w:pPr>
              <w:spacing w:line="240" w:lineRule="exact"/>
            </w:pPr>
          </w:p>
          <w:p w14:paraId="29BD2285" w14:textId="77777777" w:rsidR="00F62FAC" w:rsidRDefault="00F62FAC" w:rsidP="00F62FAC">
            <w:pPr>
              <w:spacing w:line="240" w:lineRule="exact"/>
            </w:pPr>
            <w:r w:rsidRPr="00725F30">
              <w:t>Original: English</w:t>
            </w:r>
          </w:p>
          <w:p w14:paraId="57E20CF3" w14:textId="77777777" w:rsidR="00CD19C5" w:rsidRPr="00725F30" w:rsidRDefault="00CD19C5" w:rsidP="00F62FAC">
            <w:pPr>
              <w:spacing w:line="240" w:lineRule="exact"/>
            </w:pPr>
          </w:p>
        </w:tc>
      </w:tr>
    </w:tbl>
    <w:p w14:paraId="2599D739" w14:textId="77777777" w:rsidR="004947AA" w:rsidRPr="00725F30" w:rsidRDefault="004947AA" w:rsidP="004947AA">
      <w:pPr>
        <w:spacing w:before="120"/>
        <w:jc w:val="both"/>
        <w:rPr>
          <w:b/>
          <w:sz w:val="24"/>
          <w:szCs w:val="24"/>
        </w:rPr>
      </w:pPr>
      <w:r w:rsidRPr="00725F30">
        <w:rPr>
          <w:b/>
          <w:sz w:val="24"/>
          <w:szCs w:val="24"/>
        </w:rPr>
        <w:t>Human Rights Committee</w:t>
      </w:r>
    </w:p>
    <w:p w14:paraId="19E27D00" w14:textId="77777777" w:rsidR="004947AA" w:rsidRPr="00725F30" w:rsidRDefault="004947AA" w:rsidP="004947AA">
      <w:pPr>
        <w:pStyle w:val="HChG"/>
      </w:pPr>
      <w:r w:rsidRPr="00725F30">
        <w:tab/>
      </w:r>
      <w:r w:rsidRPr="00725F30">
        <w:tab/>
        <w:t xml:space="preserve">Communication No. </w:t>
      </w:r>
      <w:r w:rsidR="00775C96" w:rsidRPr="00725F30">
        <w:t>2</w:t>
      </w:r>
      <w:r w:rsidRPr="00725F30">
        <w:t>1</w:t>
      </w:r>
      <w:r w:rsidR="00775C96" w:rsidRPr="00725F30">
        <w:t>8</w:t>
      </w:r>
      <w:r w:rsidRPr="00725F30">
        <w:t>3/20</w:t>
      </w:r>
      <w:r w:rsidR="00775C96" w:rsidRPr="00725F30">
        <w:t>12</w:t>
      </w:r>
    </w:p>
    <w:p w14:paraId="20E233EE" w14:textId="77777777" w:rsidR="004947AA" w:rsidRPr="00725F30" w:rsidRDefault="004947AA" w:rsidP="004947AA">
      <w:pPr>
        <w:pStyle w:val="H1G"/>
      </w:pPr>
      <w:r w:rsidRPr="00725F30">
        <w:tab/>
      </w:r>
      <w:r w:rsidRPr="00725F30">
        <w:tab/>
      </w:r>
      <w:r w:rsidR="008D3EC8">
        <w:t>Decision adopted by the Committee at its 114</w:t>
      </w:r>
      <w:r w:rsidR="008D3EC8" w:rsidRPr="001F2642">
        <w:t>th</w:t>
      </w:r>
      <w:r w:rsidR="008D3EC8">
        <w:t xml:space="preserve"> session </w:t>
      </w:r>
      <w:r w:rsidR="008D3EC8">
        <w:br/>
        <w:t>(</w:t>
      </w:r>
      <w:r w:rsidR="008D3EC8">
        <w:rPr>
          <w:bCs/>
          <w:lang w:val="en-US"/>
        </w:rPr>
        <w:t>29 June</w:t>
      </w:r>
      <w:r w:rsidR="008E448B">
        <w:rPr>
          <w:bCs/>
          <w:lang w:val="en-US"/>
        </w:rPr>
        <w:t>-</w:t>
      </w:r>
      <w:r w:rsidR="008D3EC8">
        <w:rPr>
          <w:bCs/>
          <w:lang w:val="en-US"/>
        </w:rPr>
        <w:t>24 July 2015)</w:t>
      </w:r>
    </w:p>
    <w:p w14:paraId="20EEFD84" w14:textId="77777777" w:rsidR="004947AA" w:rsidRPr="00725F30" w:rsidRDefault="004947AA" w:rsidP="001F2642">
      <w:pPr>
        <w:pStyle w:val="SingleTxtG"/>
        <w:ind w:left="4536" w:hanging="3402"/>
        <w:jc w:val="left"/>
      </w:pPr>
      <w:r w:rsidRPr="00725F30">
        <w:rPr>
          <w:i/>
        </w:rPr>
        <w:t>Submitted by:</w:t>
      </w:r>
      <w:r w:rsidRPr="00725F30">
        <w:tab/>
      </w:r>
      <w:r w:rsidR="0063453D" w:rsidRPr="00725F30">
        <w:t>M</w:t>
      </w:r>
      <w:r w:rsidR="0063453D">
        <w:t>.</w:t>
      </w:r>
      <w:r w:rsidR="00775C96" w:rsidRPr="00725F30">
        <w:t>G</w:t>
      </w:r>
      <w:r w:rsidR="0063453D">
        <w:t>.</w:t>
      </w:r>
      <w:r w:rsidRPr="00725F30">
        <w:t xml:space="preserve"> (</w:t>
      </w:r>
      <w:r w:rsidR="00775C96" w:rsidRPr="00725F30">
        <w:t xml:space="preserve">not </w:t>
      </w:r>
      <w:r w:rsidRPr="00725F30">
        <w:t>represented by counsel)</w:t>
      </w:r>
    </w:p>
    <w:p w14:paraId="0B807272" w14:textId="77777777" w:rsidR="004947AA" w:rsidRPr="00725F30" w:rsidRDefault="004947AA" w:rsidP="001F2642">
      <w:pPr>
        <w:pStyle w:val="SingleTxtG"/>
        <w:ind w:left="4536" w:hanging="3402"/>
        <w:jc w:val="left"/>
      </w:pPr>
      <w:r w:rsidRPr="00725F30">
        <w:rPr>
          <w:i/>
        </w:rPr>
        <w:t>Alleged victim:</w:t>
      </w:r>
      <w:r w:rsidRPr="00725F30">
        <w:tab/>
        <w:t>The author</w:t>
      </w:r>
    </w:p>
    <w:p w14:paraId="59B32973" w14:textId="77777777" w:rsidR="004947AA" w:rsidRPr="00725F30" w:rsidRDefault="004947AA" w:rsidP="001F2642">
      <w:pPr>
        <w:pStyle w:val="SingleTxtG"/>
        <w:ind w:left="4536" w:hanging="3402"/>
        <w:jc w:val="left"/>
      </w:pPr>
      <w:r w:rsidRPr="00725F30">
        <w:rPr>
          <w:i/>
        </w:rPr>
        <w:t>State party:</w:t>
      </w:r>
      <w:r w:rsidRPr="00725F30">
        <w:tab/>
      </w:r>
      <w:r w:rsidR="00775C96" w:rsidRPr="00725F30">
        <w:t>Poland</w:t>
      </w:r>
    </w:p>
    <w:p w14:paraId="4949F6CB" w14:textId="77777777" w:rsidR="004947AA" w:rsidRPr="00725F30" w:rsidRDefault="004947AA" w:rsidP="001F2642">
      <w:pPr>
        <w:pStyle w:val="SingleTxtG"/>
        <w:ind w:left="4536" w:hanging="3402"/>
        <w:jc w:val="left"/>
      </w:pPr>
      <w:r w:rsidRPr="00725F30">
        <w:rPr>
          <w:i/>
        </w:rPr>
        <w:t>Date of communication:</w:t>
      </w:r>
      <w:r w:rsidRPr="00725F30">
        <w:tab/>
        <w:t>1</w:t>
      </w:r>
      <w:r w:rsidR="00775C96" w:rsidRPr="00725F30">
        <w:t>5</w:t>
      </w:r>
      <w:r w:rsidRPr="00725F30">
        <w:t xml:space="preserve"> </w:t>
      </w:r>
      <w:r w:rsidR="00775C96" w:rsidRPr="00725F30">
        <w:t>April</w:t>
      </w:r>
      <w:r w:rsidRPr="00725F30">
        <w:t xml:space="preserve"> 20</w:t>
      </w:r>
      <w:r w:rsidR="00775C96" w:rsidRPr="00725F30">
        <w:t>12</w:t>
      </w:r>
      <w:r w:rsidRPr="00725F30">
        <w:t xml:space="preserve"> (initial submission)</w:t>
      </w:r>
    </w:p>
    <w:p w14:paraId="358DB7AB" w14:textId="77777777" w:rsidR="004947AA" w:rsidRPr="00725F30" w:rsidRDefault="004947AA" w:rsidP="001F2642">
      <w:pPr>
        <w:pStyle w:val="SingleTxtG"/>
        <w:ind w:left="4536" w:hanging="3402"/>
        <w:jc w:val="left"/>
      </w:pPr>
      <w:r w:rsidRPr="00725F30">
        <w:rPr>
          <w:i/>
        </w:rPr>
        <w:t>Document references:</w:t>
      </w:r>
      <w:r w:rsidRPr="00725F30">
        <w:tab/>
      </w:r>
      <w:r w:rsidR="00AB2E92" w:rsidRPr="00725F30">
        <w:t xml:space="preserve">Special Rapporteur’s rule 97 decision, transmitted to the State party on 26 </w:t>
      </w:r>
      <w:r w:rsidR="00775C96" w:rsidRPr="00725F30">
        <w:t>July</w:t>
      </w:r>
      <w:r w:rsidR="00AB2E92" w:rsidRPr="00725F30">
        <w:t xml:space="preserve"> 20</w:t>
      </w:r>
      <w:r w:rsidR="00775C96" w:rsidRPr="00725F30">
        <w:t>12</w:t>
      </w:r>
      <w:r w:rsidR="00AB2E92" w:rsidRPr="00725F30">
        <w:t xml:space="preserve"> (not issued in document form)</w:t>
      </w:r>
    </w:p>
    <w:p w14:paraId="18CBE082" w14:textId="77777777" w:rsidR="00B63E0A" w:rsidRDefault="004947AA" w:rsidP="001F2642">
      <w:pPr>
        <w:pStyle w:val="SingleTxtG"/>
        <w:ind w:left="4536" w:hanging="3402"/>
        <w:jc w:val="left"/>
      </w:pPr>
      <w:r w:rsidRPr="00725F30">
        <w:rPr>
          <w:i/>
        </w:rPr>
        <w:t>Date of adoption of decision:</w:t>
      </w:r>
      <w:r w:rsidRPr="00725F30">
        <w:tab/>
      </w:r>
      <w:r w:rsidR="0063453D">
        <w:t>23</w:t>
      </w:r>
      <w:r w:rsidR="0063453D" w:rsidRPr="00725F30">
        <w:t xml:space="preserve"> </w:t>
      </w:r>
      <w:r w:rsidR="00A458A1">
        <w:t>July</w:t>
      </w:r>
      <w:r w:rsidR="00A458A1" w:rsidRPr="00BC0234">
        <w:t xml:space="preserve"> </w:t>
      </w:r>
      <w:r w:rsidRPr="00BC0234">
        <w:t>201</w:t>
      </w:r>
      <w:r w:rsidR="00775C96">
        <w:t>5</w:t>
      </w:r>
    </w:p>
    <w:p w14:paraId="60709658" w14:textId="77777777" w:rsidR="004947AA" w:rsidRPr="00BC0234" w:rsidRDefault="00A844B9" w:rsidP="001F2642">
      <w:pPr>
        <w:pStyle w:val="SingleTxtG"/>
        <w:ind w:left="4536" w:hanging="3402"/>
        <w:jc w:val="left"/>
      </w:pPr>
      <w:r>
        <w:rPr>
          <w:i/>
        </w:rPr>
        <w:t>Subject matter:</w:t>
      </w:r>
      <w:r w:rsidRPr="00BC0234">
        <w:rPr>
          <w:i/>
        </w:rPr>
        <w:tab/>
      </w:r>
      <w:r>
        <w:t>Adequate compensation for inhuman conditions of detention</w:t>
      </w:r>
    </w:p>
    <w:p w14:paraId="5A4493DF" w14:textId="77777777" w:rsidR="00AB2E92" w:rsidRDefault="00AB2E92" w:rsidP="001F2642">
      <w:pPr>
        <w:pStyle w:val="SingleTxtG"/>
        <w:ind w:left="4536" w:hanging="3402"/>
        <w:jc w:val="left"/>
      </w:pPr>
      <w:r w:rsidRPr="00BC0234">
        <w:rPr>
          <w:i/>
        </w:rPr>
        <w:t xml:space="preserve">Procedural issues: </w:t>
      </w:r>
      <w:r w:rsidRPr="00BC0234">
        <w:rPr>
          <w:i/>
        </w:rPr>
        <w:tab/>
      </w:r>
      <w:r w:rsidR="00044FA7" w:rsidRPr="00044FA7">
        <w:t>A</w:t>
      </w:r>
      <w:r w:rsidR="00A60FE2">
        <w:t xml:space="preserve">dmissibility </w:t>
      </w:r>
      <w:r w:rsidR="008E448B">
        <w:rPr>
          <w:i/>
        </w:rPr>
        <w:t>—</w:t>
      </w:r>
      <w:r w:rsidR="008E2D1C">
        <w:t xml:space="preserve"> other procedure of international investigation or settlement</w:t>
      </w:r>
    </w:p>
    <w:p w14:paraId="13E9AD0D" w14:textId="77777777" w:rsidR="00B63E0A" w:rsidRDefault="00B63E0A" w:rsidP="001F2642">
      <w:pPr>
        <w:pStyle w:val="SingleTxtG"/>
        <w:ind w:left="4536" w:hanging="3402"/>
        <w:jc w:val="left"/>
      </w:pPr>
      <w:r w:rsidRPr="00BC0234">
        <w:rPr>
          <w:i/>
        </w:rPr>
        <w:t xml:space="preserve">Substantive issues: </w:t>
      </w:r>
      <w:r w:rsidRPr="00BC0234">
        <w:rPr>
          <w:i/>
        </w:rPr>
        <w:tab/>
      </w:r>
      <w:r>
        <w:t xml:space="preserve">Right of persons deprived of their liberty to be treated with dignity; right to an effective remedy </w:t>
      </w:r>
    </w:p>
    <w:p w14:paraId="06A099CD" w14:textId="77777777" w:rsidR="004947AA" w:rsidRPr="00BC0234" w:rsidRDefault="004947AA" w:rsidP="001F2642">
      <w:pPr>
        <w:pStyle w:val="SingleTxtG"/>
        <w:ind w:left="4536" w:hanging="3402"/>
        <w:jc w:val="left"/>
      </w:pPr>
      <w:r w:rsidRPr="00BC0234">
        <w:rPr>
          <w:i/>
        </w:rPr>
        <w:t>Articles of the Covenant:</w:t>
      </w:r>
      <w:r w:rsidRPr="00BC0234">
        <w:t xml:space="preserve"> </w:t>
      </w:r>
      <w:r w:rsidRPr="00BC0234">
        <w:tab/>
      </w:r>
      <w:r w:rsidR="00AB2E92" w:rsidRPr="000009FC">
        <w:t>7</w:t>
      </w:r>
      <w:r w:rsidR="008E448B">
        <w:t>,</w:t>
      </w:r>
      <w:r w:rsidR="00AB2E92" w:rsidRPr="000009FC">
        <w:t xml:space="preserve"> 9</w:t>
      </w:r>
      <w:r w:rsidR="008E448B">
        <w:t> (</w:t>
      </w:r>
      <w:r w:rsidR="002A10A9">
        <w:t>5</w:t>
      </w:r>
      <w:r w:rsidR="008E448B">
        <w:t>),</w:t>
      </w:r>
      <w:r w:rsidR="00AB2E92" w:rsidRPr="000009FC">
        <w:t xml:space="preserve"> 10</w:t>
      </w:r>
      <w:r w:rsidR="008E448B">
        <w:t> (</w:t>
      </w:r>
      <w:r w:rsidR="00C0519E">
        <w:t>1</w:t>
      </w:r>
      <w:r w:rsidR="008E448B">
        <w:t>)</w:t>
      </w:r>
    </w:p>
    <w:p w14:paraId="5A390B4A" w14:textId="77777777" w:rsidR="00AB2E92" w:rsidRDefault="004947AA" w:rsidP="001F2642">
      <w:pPr>
        <w:pStyle w:val="SingleTxtG"/>
        <w:jc w:val="left"/>
      </w:pPr>
      <w:r w:rsidRPr="00AB2E92">
        <w:rPr>
          <w:i/>
        </w:rPr>
        <w:t>Arti</w:t>
      </w:r>
      <w:r w:rsidR="00AB2E92" w:rsidRPr="00AB2E92">
        <w:rPr>
          <w:i/>
        </w:rPr>
        <w:t>cles of the Optional Protocol</w:t>
      </w:r>
      <w:r w:rsidR="00AB2E92">
        <w:t>:</w:t>
      </w:r>
      <w:r w:rsidR="00AB2E92">
        <w:tab/>
      </w:r>
      <w:r w:rsidR="00AB2E92">
        <w:tab/>
      </w:r>
      <w:r w:rsidR="00A458A1">
        <w:t>5</w:t>
      </w:r>
      <w:r w:rsidR="008E448B">
        <w:t> (</w:t>
      </w:r>
      <w:r w:rsidR="003A47ED">
        <w:t>2</w:t>
      </w:r>
      <w:r w:rsidR="008E448B">
        <w:t>) </w:t>
      </w:r>
      <w:r w:rsidR="003A47ED">
        <w:t>(a)</w:t>
      </w:r>
    </w:p>
    <w:p w14:paraId="5972EA1A" w14:textId="77777777" w:rsidR="004947AA" w:rsidRPr="000009FC" w:rsidRDefault="00AB2E92" w:rsidP="00AB2E92">
      <w:pPr>
        <w:pStyle w:val="HChG"/>
      </w:pPr>
      <w:r>
        <w:br w:type="page"/>
      </w:r>
      <w:r w:rsidR="004947AA" w:rsidRPr="000009FC">
        <w:lastRenderedPageBreak/>
        <w:t>Annex</w:t>
      </w:r>
    </w:p>
    <w:p w14:paraId="288BC794" w14:textId="77777777" w:rsidR="004947AA" w:rsidRPr="000009FC" w:rsidRDefault="004947AA" w:rsidP="003B6530">
      <w:pPr>
        <w:pStyle w:val="HChG"/>
      </w:pPr>
      <w:r w:rsidRPr="000009FC">
        <w:tab/>
      </w:r>
      <w:r w:rsidRPr="000009FC">
        <w:tab/>
      </w:r>
      <w:r w:rsidR="001B12AD">
        <w:t>Decision</w:t>
      </w:r>
      <w:r w:rsidR="001B12AD" w:rsidRPr="000009FC">
        <w:t xml:space="preserve"> </w:t>
      </w:r>
      <w:r w:rsidRPr="000009FC">
        <w:t>of the Human Rights Committee under the Optional Protocol to the International Covenant on</w:t>
      </w:r>
      <w:r w:rsidR="005D224F">
        <w:t xml:space="preserve"> Civil and Political Rights (11</w:t>
      </w:r>
      <w:r w:rsidR="00B63E0A">
        <w:t>4</w:t>
      </w:r>
      <w:r w:rsidRPr="000009FC">
        <w:t>th session)</w:t>
      </w:r>
    </w:p>
    <w:p w14:paraId="15745455" w14:textId="77777777" w:rsidR="004947AA" w:rsidRPr="000009FC" w:rsidRDefault="004947AA" w:rsidP="004947AA">
      <w:pPr>
        <w:ind w:left="1134" w:right="1134"/>
        <w:jc w:val="both"/>
        <w:rPr>
          <w:b/>
        </w:rPr>
      </w:pPr>
      <w:r w:rsidRPr="000009FC">
        <w:rPr>
          <w:b/>
        </w:rPr>
        <w:t>concerning</w:t>
      </w:r>
    </w:p>
    <w:p w14:paraId="2AD3F302" w14:textId="77777777" w:rsidR="004947AA" w:rsidRPr="000009FC" w:rsidRDefault="004947AA" w:rsidP="00AB2E92">
      <w:pPr>
        <w:pStyle w:val="H1G"/>
      </w:pPr>
      <w:r w:rsidRPr="000009FC">
        <w:tab/>
      </w:r>
      <w:r w:rsidRPr="000009FC">
        <w:tab/>
        <w:t xml:space="preserve">Communication No. </w:t>
      </w:r>
      <w:r w:rsidR="005D224F">
        <w:t>2183/2012</w:t>
      </w:r>
      <w:r w:rsidR="0063453D" w:rsidRPr="001F2642">
        <w:rPr>
          <w:rStyle w:val="FootnoteReference"/>
          <w:rFonts w:eastAsia="Calibri"/>
          <w:b w:val="0"/>
          <w:bCs/>
          <w:sz w:val="20"/>
          <w:vertAlign w:val="baseline"/>
        </w:rPr>
        <w:footnoteReference w:customMarkFollows="1" w:id="2"/>
        <w:t>*</w:t>
      </w:r>
    </w:p>
    <w:p w14:paraId="201E5B10" w14:textId="77777777" w:rsidR="004947AA" w:rsidRPr="00B63E0A" w:rsidRDefault="004947AA" w:rsidP="00B63E0A">
      <w:pPr>
        <w:pStyle w:val="SingleTxtG"/>
        <w:ind w:left="4536" w:hanging="3402"/>
        <w:jc w:val="left"/>
        <w:rPr>
          <w:i/>
        </w:rPr>
      </w:pPr>
      <w:r w:rsidRPr="00AB2E92">
        <w:rPr>
          <w:i/>
        </w:rPr>
        <w:t>Submitted by:</w:t>
      </w:r>
      <w:r w:rsidRPr="00AB2E92">
        <w:rPr>
          <w:i/>
        </w:rPr>
        <w:tab/>
      </w:r>
      <w:r w:rsidR="00AB2E92" w:rsidRPr="00B63E0A">
        <w:rPr>
          <w:i/>
        </w:rPr>
        <w:tab/>
      </w:r>
      <w:r w:rsidR="0063453D" w:rsidRPr="00B63E0A">
        <w:t>M</w:t>
      </w:r>
      <w:r w:rsidR="0063453D">
        <w:t>.</w:t>
      </w:r>
      <w:r w:rsidR="0063453D" w:rsidRPr="00B63E0A">
        <w:t>G</w:t>
      </w:r>
      <w:r w:rsidR="0063453D">
        <w:t>.</w:t>
      </w:r>
      <w:r w:rsidR="0063453D" w:rsidRPr="00B63E0A">
        <w:t xml:space="preserve"> </w:t>
      </w:r>
      <w:r w:rsidRPr="00B63E0A">
        <w:t>(</w:t>
      </w:r>
      <w:r w:rsidR="005D224F" w:rsidRPr="00B63E0A">
        <w:t xml:space="preserve">not </w:t>
      </w:r>
      <w:r w:rsidRPr="00B63E0A">
        <w:t>represented)</w:t>
      </w:r>
    </w:p>
    <w:p w14:paraId="4798254A" w14:textId="77777777" w:rsidR="004947AA" w:rsidRPr="00B63E0A" w:rsidRDefault="004947AA" w:rsidP="00B63E0A">
      <w:pPr>
        <w:pStyle w:val="SingleTxtG"/>
        <w:ind w:left="4536" w:hanging="3402"/>
        <w:jc w:val="left"/>
        <w:rPr>
          <w:i/>
        </w:rPr>
      </w:pPr>
      <w:r w:rsidRPr="00B63E0A">
        <w:rPr>
          <w:i/>
        </w:rPr>
        <w:t>Alleged</w:t>
      </w:r>
      <w:r w:rsidRPr="000009FC">
        <w:rPr>
          <w:i/>
        </w:rPr>
        <w:t xml:space="preserve"> victim:</w:t>
      </w:r>
      <w:r w:rsidRPr="00B63E0A">
        <w:rPr>
          <w:i/>
        </w:rPr>
        <w:tab/>
      </w:r>
      <w:r w:rsidR="00B63E0A" w:rsidRPr="00B63E0A">
        <w:t>T</w:t>
      </w:r>
      <w:r w:rsidR="005D224F" w:rsidRPr="00B63E0A">
        <w:t>he author</w:t>
      </w:r>
    </w:p>
    <w:p w14:paraId="32DB75BB" w14:textId="77777777" w:rsidR="004947AA" w:rsidRPr="00B63E0A" w:rsidRDefault="004947AA" w:rsidP="00B63E0A">
      <w:pPr>
        <w:pStyle w:val="SingleTxtG"/>
        <w:ind w:left="4536" w:hanging="3402"/>
        <w:jc w:val="left"/>
        <w:rPr>
          <w:i/>
        </w:rPr>
      </w:pPr>
      <w:r w:rsidRPr="000009FC">
        <w:rPr>
          <w:i/>
        </w:rPr>
        <w:t>State party:</w:t>
      </w:r>
      <w:r w:rsidRPr="00B63E0A">
        <w:rPr>
          <w:i/>
        </w:rPr>
        <w:tab/>
      </w:r>
      <w:r w:rsidR="00AB2E92" w:rsidRPr="00B63E0A">
        <w:rPr>
          <w:i/>
        </w:rPr>
        <w:tab/>
      </w:r>
      <w:r w:rsidR="005D224F" w:rsidRPr="00B63E0A">
        <w:t>Poland</w:t>
      </w:r>
    </w:p>
    <w:p w14:paraId="2840455A" w14:textId="77777777" w:rsidR="004947AA" w:rsidRPr="000009FC" w:rsidRDefault="004947AA" w:rsidP="00B63E0A">
      <w:pPr>
        <w:pStyle w:val="SingleTxtG"/>
        <w:ind w:left="4536" w:hanging="3402"/>
        <w:jc w:val="left"/>
      </w:pPr>
      <w:r w:rsidRPr="000009FC">
        <w:rPr>
          <w:i/>
        </w:rPr>
        <w:t>Date of communication:</w:t>
      </w:r>
      <w:r w:rsidRPr="00B63E0A">
        <w:rPr>
          <w:i/>
        </w:rPr>
        <w:tab/>
      </w:r>
      <w:r w:rsidR="00B63E0A">
        <w:rPr>
          <w:i/>
        </w:rPr>
        <w:tab/>
      </w:r>
      <w:r w:rsidR="005D224F" w:rsidRPr="00B63E0A">
        <w:t>5</w:t>
      </w:r>
      <w:r w:rsidRPr="00B63E0A">
        <w:t xml:space="preserve"> </w:t>
      </w:r>
      <w:r w:rsidR="005D224F" w:rsidRPr="00B63E0A">
        <w:t>April</w:t>
      </w:r>
      <w:r w:rsidRPr="00B63E0A">
        <w:t xml:space="preserve"> 20</w:t>
      </w:r>
      <w:r w:rsidR="005D224F" w:rsidRPr="00B63E0A">
        <w:t>12</w:t>
      </w:r>
      <w:r w:rsidRPr="00B63E0A">
        <w:t xml:space="preserve"> (initial submission) </w:t>
      </w:r>
    </w:p>
    <w:p w14:paraId="44B14CEF" w14:textId="77777777" w:rsidR="004947AA" w:rsidRPr="000009FC" w:rsidRDefault="004947AA" w:rsidP="00AB2E92">
      <w:pPr>
        <w:pStyle w:val="SingleTxtG"/>
      </w:pPr>
      <w:r w:rsidRPr="000009FC">
        <w:rPr>
          <w:i/>
        </w:rPr>
        <w:tab/>
        <w:t>The Human Rights Committee</w:t>
      </w:r>
      <w:r w:rsidRPr="000009FC">
        <w:t>, established under article 28 of the International Covenant on Civil and Political Rights,</w:t>
      </w:r>
    </w:p>
    <w:p w14:paraId="60E1525A" w14:textId="77777777" w:rsidR="004947AA" w:rsidRPr="000009FC" w:rsidRDefault="004947AA" w:rsidP="00AB2E92">
      <w:pPr>
        <w:pStyle w:val="SingleTxtG"/>
      </w:pPr>
      <w:r w:rsidRPr="000009FC">
        <w:tab/>
      </w:r>
      <w:r w:rsidRPr="000009FC">
        <w:rPr>
          <w:i/>
        </w:rPr>
        <w:t xml:space="preserve">Meeting </w:t>
      </w:r>
      <w:r w:rsidRPr="001F2642">
        <w:rPr>
          <w:iCs/>
        </w:rPr>
        <w:t>on</w:t>
      </w:r>
      <w:r w:rsidRPr="000009FC">
        <w:t xml:space="preserve"> </w:t>
      </w:r>
      <w:r w:rsidR="0063453D">
        <w:t>23</w:t>
      </w:r>
      <w:r w:rsidR="0063453D" w:rsidRPr="000009FC">
        <w:t xml:space="preserve"> </w:t>
      </w:r>
      <w:r w:rsidR="00B63E0A">
        <w:t>July</w:t>
      </w:r>
      <w:r w:rsidRPr="000009FC">
        <w:t xml:space="preserve"> 201</w:t>
      </w:r>
      <w:r w:rsidR="00B90B4C">
        <w:t>5</w:t>
      </w:r>
      <w:r w:rsidRPr="000009FC">
        <w:t>,</w:t>
      </w:r>
    </w:p>
    <w:p w14:paraId="3F212541" w14:textId="77777777" w:rsidR="004947AA" w:rsidRPr="000009FC" w:rsidRDefault="004947AA" w:rsidP="003B6530">
      <w:pPr>
        <w:pStyle w:val="SingleTxtG"/>
      </w:pPr>
      <w:r w:rsidRPr="000009FC">
        <w:tab/>
      </w:r>
      <w:r w:rsidRPr="000009FC">
        <w:rPr>
          <w:i/>
        </w:rPr>
        <w:t>Having concluded</w:t>
      </w:r>
      <w:r w:rsidRPr="000009FC">
        <w:t xml:space="preserve"> its consideration of communication No. </w:t>
      </w:r>
      <w:r w:rsidR="00B90B4C">
        <w:t>2</w:t>
      </w:r>
      <w:r w:rsidRPr="000009FC">
        <w:t>1</w:t>
      </w:r>
      <w:r w:rsidR="00B90B4C">
        <w:t>8</w:t>
      </w:r>
      <w:r w:rsidRPr="000009FC">
        <w:t>3/20</w:t>
      </w:r>
      <w:r w:rsidR="00B90B4C">
        <w:t>12</w:t>
      </w:r>
      <w:r w:rsidRPr="000009FC">
        <w:t xml:space="preserve">, submitted to </w:t>
      </w:r>
      <w:r w:rsidR="00365D4F">
        <w:t>it</w:t>
      </w:r>
      <w:r w:rsidRPr="000009FC">
        <w:t xml:space="preserve"> by </w:t>
      </w:r>
      <w:r w:rsidR="0063453D">
        <w:t>M.G.</w:t>
      </w:r>
      <w:r w:rsidR="0063453D" w:rsidRPr="00AB2E92">
        <w:t xml:space="preserve"> </w:t>
      </w:r>
      <w:r w:rsidRPr="000009FC">
        <w:t>under the Optional Protocol to the International Covenant on Civil and Political Rights,</w:t>
      </w:r>
    </w:p>
    <w:p w14:paraId="759F114A" w14:textId="77777777" w:rsidR="004947AA" w:rsidRPr="000009FC" w:rsidRDefault="004947AA" w:rsidP="00AB2E92">
      <w:pPr>
        <w:pStyle w:val="SingleTxtG"/>
      </w:pPr>
      <w:r w:rsidRPr="000009FC">
        <w:tab/>
      </w:r>
      <w:r w:rsidRPr="000009FC">
        <w:rPr>
          <w:i/>
        </w:rPr>
        <w:t>Having taken into account</w:t>
      </w:r>
      <w:r w:rsidRPr="000009FC">
        <w:t xml:space="preserve"> all written information made available to it by the author of the communication and the State party,</w:t>
      </w:r>
    </w:p>
    <w:p w14:paraId="72674C8D" w14:textId="77777777" w:rsidR="004947AA" w:rsidRPr="000009FC" w:rsidRDefault="004947AA" w:rsidP="00AB2E92">
      <w:pPr>
        <w:pStyle w:val="SingleTxtG"/>
      </w:pPr>
      <w:r w:rsidRPr="000009FC">
        <w:tab/>
      </w:r>
      <w:r w:rsidRPr="000009FC">
        <w:rPr>
          <w:i/>
        </w:rPr>
        <w:t>Adopts</w:t>
      </w:r>
      <w:r w:rsidRPr="000009FC">
        <w:t xml:space="preserve"> the following:</w:t>
      </w:r>
    </w:p>
    <w:p w14:paraId="7FF0A30C" w14:textId="77777777" w:rsidR="004947AA" w:rsidRPr="000009FC" w:rsidRDefault="00CC12A9" w:rsidP="003B6530">
      <w:pPr>
        <w:pStyle w:val="H1G"/>
      </w:pPr>
      <w:r>
        <w:tab/>
      </w:r>
      <w:r>
        <w:tab/>
      </w:r>
      <w:r w:rsidR="001B12AD">
        <w:t>Decision on admissibility</w:t>
      </w:r>
    </w:p>
    <w:p w14:paraId="4DABFDDE" w14:textId="77777777" w:rsidR="004947AA" w:rsidRPr="000009FC" w:rsidRDefault="004947AA" w:rsidP="003B6530">
      <w:pPr>
        <w:pStyle w:val="SingleTxtG"/>
        <w:numPr>
          <w:ilvl w:val="0"/>
          <w:numId w:val="11"/>
        </w:numPr>
        <w:ind w:left="1134" w:firstLine="0"/>
        <w:rPr>
          <w:b/>
        </w:rPr>
      </w:pPr>
      <w:r w:rsidRPr="00CC12A9">
        <w:t xml:space="preserve">The author is </w:t>
      </w:r>
      <w:r w:rsidR="0063453D">
        <w:t>M.G.</w:t>
      </w:r>
      <w:r w:rsidRPr="00CC12A9">
        <w:t xml:space="preserve">, a </w:t>
      </w:r>
      <w:r w:rsidR="00B90B4C">
        <w:t>Polish</w:t>
      </w:r>
      <w:r w:rsidRPr="00CC12A9">
        <w:t xml:space="preserve"> national born in 19</w:t>
      </w:r>
      <w:r w:rsidR="00B90B4C">
        <w:t>41</w:t>
      </w:r>
      <w:r w:rsidRPr="00CC12A9">
        <w:t xml:space="preserve">, who claims </w:t>
      </w:r>
      <w:r w:rsidR="00B90B4C">
        <w:t>to be</w:t>
      </w:r>
      <w:r w:rsidRPr="00CC12A9">
        <w:t xml:space="preserve"> a victim of violation</w:t>
      </w:r>
      <w:r w:rsidR="003B6530">
        <w:t>s</w:t>
      </w:r>
      <w:r w:rsidRPr="00CC12A9">
        <w:t xml:space="preserve">, by </w:t>
      </w:r>
      <w:r w:rsidR="00B90B4C">
        <w:t>Poland</w:t>
      </w:r>
      <w:r w:rsidRPr="00CC12A9">
        <w:t>, of his rights under articles 7</w:t>
      </w:r>
      <w:r w:rsidR="003B6530">
        <w:t>,</w:t>
      </w:r>
      <w:r w:rsidRPr="00CC12A9">
        <w:t xml:space="preserve"> 9</w:t>
      </w:r>
      <w:r w:rsidR="00672517">
        <w:t> </w:t>
      </w:r>
      <w:r w:rsidR="003B6530">
        <w:t>(</w:t>
      </w:r>
      <w:r w:rsidR="00B90B4C">
        <w:t>5</w:t>
      </w:r>
      <w:r w:rsidR="003B6530">
        <w:t>)</w:t>
      </w:r>
      <w:r w:rsidRPr="00CC12A9">
        <w:t xml:space="preserve"> </w:t>
      </w:r>
      <w:r w:rsidR="00B90B4C">
        <w:t xml:space="preserve">and </w:t>
      </w:r>
      <w:r w:rsidRPr="00CC12A9">
        <w:t>10</w:t>
      </w:r>
      <w:r w:rsidR="00672517">
        <w:t> </w:t>
      </w:r>
      <w:r w:rsidR="003B6530">
        <w:t>(</w:t>
      </w:r>
      <w:r w:rsidRPr="00CC12A9">
        <w:t>1</w:t>
      </w:r>
      <w:r w:rsidR="003B6530">
        <w:t>)</w:t>
      </w:r>
      <w:r w:rsidRPr="00CC12A9">
        <w:t xml:space="preserve"> of the </w:t>
      </w:r>
      <w:r w:rsidR="00941A35">
        <w:t xml:space="preserve">International </w:t>
      </w:r>
      <w:r w:rsidRPr="00CC12A9">
        <w:t>Covenant</w:t>
      </w:r>
      <w:r w:rsidR="00941A35">
        <w:t xml:space="preserve"> on Civil and Political Rights</w:t>
      </w:r>
      <w:r w:rsidR="00CC12A9">
        <w:t>.</w:t>
      </w:r>
      <w:r w:rsidRPr="00CC12A9">
        <w:t xml:space="preserve"> The Optional Protocol entered into force for the State party on </w:t>
      </w:r>
      <w:r w:rsidR="00B90B4C">
        <w:t>7</w:t>
      </w:r>
      <w:r w:rsidRPr="00CC12A9">
        <w:t xml:space="preserve"> </w:t>
      </w:r>
      <w:r w:rsidR="00BA64BF">
        <w:t>February</w:t>
      </w:r>
      <w:r w:rsidR="00BA64BF" w:rsidRPr="00CC12A9">
        <w:t xml:space="preserve"> </w:t>
      </w:r>
      <w:r w:rsidRPr="00CC12A9">
        <w:t>1992.</w:t>
      </w:r>
      <w:r w:rsidR="003E49EE">
        <w:rPr>
          <w:rStyle w:val="FootnoteReference"/>
        </w:rPr>
        <w:footnoteReference w:id="3"/>
      </w:r>
      <w:r w:rsidRPr="00CC12A9">
        <w:t xml:space="preserve"> The author is </w:t>
      </w:r>
      <w:r w:rsidR="00B90B4C">
        <w:t xml:space="preserve">not </w:t>
      </w:r>
      <w:r w:rsidRPr="00CC12A9">
        <w:t>represented.</w:t>
      </w:r>
    </w:p>
    <w:p w14:paraId="5A3706E3" w14:textId="77777777" w:rsidR="004947AA" w:rsidRPr="000009FC" w:rsidRDefault="00CC12A9" w:rsidP="00CC12A9">
      <w:pPr>
        <w:pStyle w:val="H23G"/>
      </w:pPr>
      <w:r>
        <w:tab/>
      </w:r>
      <w:r>
        <w:tab/>
      </w:r>
      <w:r w:rsidR="004947AA" w:rsidRPr="000009FC">
        <w:t>The facts as presented by the author</w:t>
      </w:r>
    </w:p>
    <w:p w14:paraId="0C10191F" w14:textId="77777777" w:rsidR="004947AA" w:rsidRPr="000009FC" w:rsidRDefault="00CC12A9" w:rsidP="00672517">
      <w:pPr>
        <w:pStyle w:val="SingleTxtG"/>
      </w:pPr>
      <w:r>
        <w:t>2.1</w:t>
      </w:r>
      <w:r>
        <w:tab/>
      </w:r>
      <w:r w:rsidR="00F804F7">
        <w:t xml:space="preserve">The author served a prison sentence at the </w:t>
      </w:r>
      <w:r w:rsidR="002B5CE3">
        <w:t>Detention</w:t>
      </w:r>
      <w:r w:rsidR="00F804F7">
        <w:t xml:space="preserve"> Centre of Warsaw-Mokoto</w:t>
      </w:r>
      <w:r w:rsidR="00CD42CA">
        <w:t>w</w:t>
      </w:r>
      <w:r w:rsidR="00F804F7">
        <w:t xml:space="preserve"> from 28 February to 8 October 2007</w:t>
      </w:r>
      <w:r w:rsidR="00F739B4">
        <w:t xml:space="preserve">, </w:t>
      </w:r>
      <w:r w:rsidR="00E02B6C">
        <w:t>after having been</w:t>
      </w:r>
      <w:r w:rsidR="00F739B4">
        <w:t xml:space="preserve"> found guilty of </w:t>
      </w:r>
      <w:r w:rsidR="00924FE3">
        <w:t xml:space="preserve">fraud </w:t>
      </w:r>
      <w:r w:rsidR="00F739B4">
        <w:t xml:space="preserve">by </w:t>
      </w:r>
      <w:r w:rsidR="00E02B6C">
        <w:t>the Warsaw District Court on</w:t>
      </w:r>
      <w:r w:rsidR="00F739B4">
        <w:t xml:space="preserve"> </w:t>
      </w:r>
      <w:r w:rsidR="00F739B4" w:rsidRPr="00F739B4">
        <w:t>26 October 2006</w:t>
      </w:r>
      <w:r w:rsidR="00F804F7">
        <w:t xml:space="preserve">. He </w:t>
      </w:r>
      <w:r w:rsidR="00326242">
        <w:t>underwent</w:t>
      </w:r>
      <w:r w:rsidR="00DE1FF0">
        <w:t xml:space="preserve"> his first </w:t>
      </w:r>
      <w:r w:rsidR="00F804F7">
        <w:t xml:space="preserve">medical examination three days </w:t>
      </w:r>
      <w:r w:rsidR="00F804F7">
        <w:lastRenderedPageBreak/>
        <w:t xml:space="preserve">after </w:t>
      </w:r>
      <w:r w:rsidR="00E456D4">
        <w:t xml:space="preserve">his arrival at the </w:t>
      </w:r>
      <w:r w:rsidR="00C708B9">
        <w:t>Detention Centre</w:t>
      </w:r>
      <w:r w:rsidR="00326242">
        <w:t>,</w:t>
      </w:r>
      <w:r w:rsidR="00F804F7">
        <w:t xml:space="preserve"> although he suffered from chronic h</w:t>
      </w:r>
      <w:r w:rsidR="00326242">
        <w:t>igh blood pressure</w:t>
      </w:r>
      <w:r w:rsidR="00F804F7">
        <w:t xml:space="preserve">. </w:t>
      </w:r>
      <w:r w:rsidR="009128B6">
        <w:t>H</w:t>
      </w:r>
      <w:r w:rsidR="009E44E8">
        <w:t>e share</w:t>
      </w:r>
      <w:r w:rsidR="00326242">
        <w:t>d</w:t>
      </w:r>
      <w:r w:rsidR="009E44E8">
        <w:t xml:space="preserve"> a cell with </w:t>
      </w:r>
      <w:r w:rsidR="003B6530">
        <w:t>five</w:t>
      </w:r>
      <w:r w:rsidR="00F804F7">
        <w:t xml:space="preserve"> other inmates, which</w:t>
      </w:r>
      <w:r w:rsidR="00326242">
        <w:t>, according to him</w:t>
      </w:r>
      <w:r w:rsidR="003B6530">
        <w:t>,</w:t>
      </w:r>
      <w:r w:rsidR="00326242">
        <w:t xml:space="preserve"> </w:t>
      </w:r>
      <w:r w:rsidR="00E456D4">
        <w:t xml:space="preserve">amounted to </w:t>
      </w:r>
      <w:r w:rsidR="00F804F7">
        <w:t>inhuman and humiliating</w:t>
      </w:r>
      <w:r w:rsidR="00E456D4">
        <w:t xml:space="preserve"> treatment</w:t>
      </w:r>
      <w:r w:rsidR="00F804F7">
        <w:t xml:space="preserve">. </w:t>
      </w:r>
      <w:r w:rsidR="00326242">
        <w:t xml:space="preserve">In substantiation, he explains that </w:t>
      </w:r>
      <w:r w:rsidR="00F804F7">
        <w:t>the surface of the cell</w:t>
      </w:r>
      <w:r w:rsidR="00C27B13">
        <w:t xml:space="preserve"> was</w:t>
      </w:r>
      <w:r w:rsidR="00F804F7">
        <w:t xml:space="preserve"> </w:t>
      </w:r>
      <w:r w:rsidR="00E456D4">
        <w:t xml:space="preserve">such that there was </w:t>
      </w:r>
      <w:r w:rsidR="00C27B13">
        <w:t>only 1.9 square met</w:t>
      </w:r>
      <w:r w:rsidR="003B6530">
        <w:t>r</w:t>
      </w:r>
      <w:r w:rsidR="00C27B13">
        <w:t xml:space="preserve">es per </w:t>
      </w:r>
      <w:r w:rsidR="00F804F7">
        <w:t>inmate</w:t>
      </w:r>
      <w:r w:rsidR="00E456D4">
        <w:t>,</w:t>
      </w:r>
      <w:r w:rsidR="00F804F7">
        <w:t xml:space="preserve"> while the </w:t>
      </w:r>
      <w:r w:rsidR="00E456D4">
        <w:t xml:space="preserve">national </w:t>
      </w:r>
      <w:r w:rsidR="00F804F7">
        <w:t xml:space="preserve">standard </w:t>
      </w:r>
      <w:r w:rsidR="00E456D4">
        <w:t xml:space="preserve">required </w:t>
      </w:r>
      <w:r w:rsidR="00F804F7">
        <w:t xml:space="preserve">3 </w:t>
      </w:r>
      <w:r w:rsidR="00326242">
        <w:t>square met</w:t>
      </w:r>
      <w:r w:rsidR="003B6530">
        <w:t>r</w:t>
      </w:r>
      <w:r w:rsidR="00326242">
        <w:t xml:space="preserve">es </w:t>
      </w:r>
      <w:r w:rsidR="00F804F7">
        <w:t xml:space="preserve">per person. The other inmates </w:t>
      </w:r>
      <w:r w:rsidR="003B6530">
        <w:t xml:space="preserve">had been </w:t>
      </w:r>
      <w:r w:rsidR="00F804F7">
        <w:t xml:space="preserve">sentenced for </w:t>
      </w:r>
      <w:r w:rsidR="00672517">
        <w:t xml:space="preserve">more serious </w:t>
      </w:r>
      <w:r w:rsidR="009128B6">
        <w:t>crimes</w:t>
      </w:r>
      <w:r w:rsidR="003B6530">
        <w:t>,</w:t>
      </w:r>
      <w:r w:rsidR="009128B6">
        <w:t xml:space="preserve"> such as murder</w:t>
      </w:r>
      <w:r w:rsidR="003B6530">
        <w:t xml:space="preserve"> and</w:t>
      </w:r>
      <w:r w:rsidR="009128B6">
        <w:t xml:space="preserve"> robbery, </w:t>
      </w:r>
      <w:r w:rsidR="003B6530">
        <w:t xml:space="preserve">and </w:t>
      </w:r>
      <w:r w:rsidR="009128B6">
        <w:t xml:space="preserve">some of them </w:t>
      </w:r>
      <w:r w:rsidR="00F804F7">
        <w:t xml:space="preserve">suffered from drug </w:t>
      </w:r>
      <w:r w:rsidR="00E456D4">
        <w:t xml:space="preserve">or alcohol </w:t>
      </w:r>
      <w:r w:rsidR="00F804F7">
        <w:t xml:space="preserve">addiction. </w:t>
      </w:r>
      <w:r w:rsidR="00250B89">
        <w:t xml:space="preserve">No separation among inmates based on the crimes committed was applied. </w:t>
      </w:r>
      <w:r w:rsidR="00D7406F">
        <w:t xml:space="preserve">The author </w:t>
      </w:r>
      <w:r w:rsidR="00250B89">
        <w:t>claims</w:t>
      </w:r>
      <w:r w:rsidR="00D7406F">
        <w:t xml:space="preserve"> that the culture, upbringing and behaviour of his </w:t>
      </w:r>
      <w:r w:rsidR="00672517">
        <w:t xml:space="preserve">fellow </w:t>
      </w:r>
      <w:r w:rsidR="00D7406F">
        <w:t>inmates were unacceptable to him</w:t>
      </w:r>
      <w:r w:rsidR="00C27B13">
        <w:t>,</w:t>
      </w:r>
      <w:r w:rsidR="00D7406F">
        <w:t xml:space="preserve"> causing him mental torture. </w:t>
      </w:r>
    </w:p>
    <w:p w14:paraId="60A067E4" w14:textId="77777777" w:rsidR="00A715C5" w:rsidRDefault="00CC12A9" w:rsidP="00D61711">
      <w:pPr>
        <w:pStyle w:val="SingleTxtG"/>
      </w:pPr>
      <w:r>
        <w:t>2.2</w:t>
      </w:r>
      <w:r>
        <w:tab/>
      </w:r>
      <w:r w:rsidR="00F804F7">
        <w:t xml:space="preserve">In the cell, the toilet was separated by a </w:t>
      </w:r>
      <w:r w:rsidR="00F739B4">
        <w:t xml:space="preserve">simple </w:t>
      </w:r>
      <w:r w:rsidR="00F804F7">
        <w:t>curtain</w:t>
      </w:r>
      <w:r w:rsidR="009E44E8">
        <w:t xml:space="preserve">, which </w:t>
      </w:r>
      <w:r w:rsidR="00D61711">
        <w:t xml:space="preserve">prevented </w:t>
      </w:r>
      <w:r w:rsidR="009E44E8">
        <w:t>any</w:t>
      </w:r>
      <w:r w:rsidR="00F804F7">
        <w:t xml:space="preserve"> </w:t>
      </w:r>
      <w:r w:rsidR="00D61711">
        <w:t xml:space="preserve">privacy </w:t>
      </w:r>
      <w:r w:rsidR="00A66FB5">
        <w:t xml:space="preserve">and </w:t>
      </w:r>
      <w:r w:rsidR="00326242">
        <w:t xml:space="preserve">caused inconveniences to all cellmates. </w:t>
      </w:r>
      <w:r w:rsidR="00E02B6C">
        <w:t xml:space="preserve">Because of the lack of space, inmates had to eat on their beds, which resulted in the </w:t>
      </w:r>
      <w:r w:rsidR="00E02B6C" w:rsidRPr="00326242">
        <w:t>bed linen</w:t>
      </w:r>
      <w:r w:rsidR="00E02B6C">
        <w:t xml:space="preserve"> being constantly dirty. </w:t>
      </w:r>
      <w:r w:rsidR="00F804F7">
        <w:t>The only window did n</w:t>
      </w:r>
      <w:r w:rsidR="004E0513">
        <w:t>ot allow for proper ventilation and t</w:t>
      </w:r>
      <w:r w:rsidR="00F804F7">
        <w:t xml:space="preserve">he light </w:t>
      </w:r>
      <w:r w:rsidR="009128B6">
        <w:t xml:space="preserve">from </w:t>
      </w:r>
      <w:r w:rsidR="00326242">
        <w:t>the</w:t>
      </w:r>
      <w:r w:rsidR="009128B6">
        <w:t xml:space="preserve"> two bulbs </w:t>
      </w:r>
      <w:r w:rsidR="00326242">
        <w:t xml:space="preserve">was insufficient for </w:t>
      </w:r>
      <w:r w:rsidR="00F804F7">
        <w:t>reading</w:t>
      </w:r>
      <w:r w:rsidR="004E0513">
        <w:t xml:space="preserve"> or writing</w:t>
      </w:r>
      <w:r w:rsidR="00F804F7">
        <w:t xml:space="preserve">. </w:t>
      </w:r>
      <w:r w:rsidR="009128B6">
        <w:t>There was constant noise in the cell</w:t>
      </w:r>
      <w:r w:rsidR="00672517">
        <w:t>,</w:t>
      </w:r>
      <w:r w:rsidR="009128B6">
        <w:t xml:space="preserve"> </w:t>
      </w:r>
      <w:r w:rsidR="00354C21">
        <w:t xml:space="preserve">caused by the inmates and the loud radio they listened to. </w:t>
      </w:r>
      <w:r w:rsidR="00A715C5">
        <w:t>The author contends that the conditions in his cell prevented him from preparing the materials for the planned publication of his new boo</w:t>
      </w:r>
      <w:r w:rsidR="00C27B13">
        <w:t xml:space="preserve">k. </w:t>
      </w:r>
    </w:p>
    <w:p w14:paraId="04BE876C" w14:textId="77777777" w:rsidR="004947AA" w:rsidRPr="000009FC" w:rsidRDefault="00A715C5" w:rsidP="00D61711">
      <w:pPr>
        <w:pStyle w:val="SingleTxtG"/>
      </w:pPr>
      <w:r>
        <w:t>2.3</w:t>
      </w:r>
      <w:r>
        <w:tab/>
        <w:t>According to the author, as a convicted person</w:t>
      </w:r>
      <w:r w:rsidR="00E456D4">
        <w:t>,</w:t>
      </w:r>
      <w:r>
        <w:t xml:space="preserve"> he was su</w:t>
      </w:r>
      <w:r w:rsidR="00D47DBC">
        <w:t>pposed to serve a sentence in a half-open type of penitentiary facility</w:t>
      </w:r>
      <w:r>
        <w:t>. The administration</w:t>
      </w:r>
      <w:r w:rsidR="00E02B6C">
        <w:t xml:space="preserve"> of the Detention Centre</w:t>
      </w:r>
      <w:r>
        <w:t>, however</w:t>
      </w:r>
      <w:r w:rsidR="00D61711">
        <w:t>,</w:t>
      </w:r>
      <w:r>
        <w:t xml:space="preserve"> decided that he should </w:t>
      </w:r>
      <w:r w:rsidR="00382597">
        <w:t>remain</w:t>
      </w:r>
      <w:r>
        <w:t xml:space="preserve"> in the</w:t>
      </w:r>
      <w:r w:rsidR="00E456D4">
        <w:t xml:space="preserve"> c</w:t>
      </w:r>
      <w:r>
        <w:t xml:space="preserve">entre in view of his high blood pressure, following the instruction of the physician who examined him. </w:t>
      </w:r>
      <w:r w:rsidR="00D61711">
        <w:t>The author</w:t>
      </w:r>
      <w:r>
        <w:t xml:space="preserve"> claims to have made numerous complaints to the </w:t>
      </w:r>
      <w:r w:rsidR="00B6205C">
        <w:t>administration</w:t>
      </w:r>
      <w:r w:rsidR="00E456D4">
        <w:t xml:space="preserve"> </w:t>
      </w:r>
      <w:r>
        <w:t xml:space="preserve">of the </w:t>
      </w:r>
      <w:r w:rsidR="00D61711">
        <w:t>c</w:t>
      </w:r>
      <w:r>
        <w:t xml:space="preserve">entre </w:t>
      </w:r>
      <w:r w:rsidR="00C27B13">
        <w:t>about</w:t>
      </w:r>
      <w:r>
        <w:t xml:space="preserve"> the detention conditions </w:t>
      </w:r>
      <w:r w:rsidR="00E456D4">
        <w:t xml:space="preserve">without </w:t>
      </w:r>
      <w:r>
        <w:t>receiv</w:t>
      </w:r>
      <w:r w:rsidR="00E456D4">
        <w:t>ing</w:t>
      </w:r>
      <w:r>
        <w:t xml:space="preserve"> a written answer</w:t>
      </w:r>
      <w:r w:rsidR="00861CDC">
        <w:t>.</w:t>
      </w:r>
      <w:r>
        <w:t xml:space="preserve"> </w:t>
      </w:r>
      <w:r w:rsidR="00C27B13">
        <w:t>An</w:t>
      </w:r>
      <w:r>
        <w:t xml:space="preserve"> officer who was his </w:t>
      </w:r>
      <w:r w:rsidR="00BA64BF">
        <w:t>“</w:t>
      </w:r>
      <w:r>
        <w:t>tutor</w:t>
      </w:r>
      <w:r w:rsidR="00BA64BF">
        <w:t>”</w:t>
      </w:r>
      <w:r>
        <w:t xml:space="preserve"> explained to him that the conditions were the same in all cells. </w:t>
      </w:r>
    </w:p>
    <w:p w14:paraId="1C5DFBCD" w14:textId="77777777" w:rsidR="00F804F7" w:rsidRDefault="00CC12A9" w:rsidP="00672517">
      <w:pPr>
        <w:pStyle w:val="SingleTxtG"/>
      </w:pPr>
      <w:r>
        <w:t>2.</w:t>
      </w:r>
      <w:r w:rsidR="00A715C5">
        <w:t>4</w:t>
      </w:r>
      <w:r>
        <w:tab/>
      </w:r>
      <w:r w:rsidR="00F804F7">
        <w:t xml:space="preserve">On 3 July 2007, the author </w:t>
      </w:r>
      <w:r w:rsidR="00E456D4">
        <w:t xml:space="preserve">complained </w:t>
      </w:r>
      <w:r w:rsidR="00F804F7">
        <w:t xml:space="preserve">to the </w:t>
      </w:r>
      <w:r w:rsidR="004E0513">
        <w:t xml:space="preserve">Warsaw </w:t>
      </w:r>
      <w:r w:rsidR="00F804F7">
        <w:t>District Court</w:t>
      </w:r>
      <w:r w:rsidR="00E456D4">
        <w:t xml:space="preserve"> </w:t>
      </w:r>
      <w:r w:rsidR="00F804F7">
        <w:t xml:space="preserve">about </w:t>
      </w:r>
      <w:r w:rsidR="00E456D4">
        <w:t xml:space="preserve">the </w:t>
      </w:r>
      <w:r w:rsidR="00F804F7">
        <w:t xml:space="preserve">conditions of </w:t>
      </w:r>
      <w:r w:rsidR="001E66BD">
        <w:t>detention</w:t>
      </w:r>
      <w:r w:rsidR="00F804F7">
        <w:t xml:space="preserve"> in his cell</w:t>
      </w:r>
      <w:r w:rsidR="00A66FB5">
        <w:t xml:space="preserve">, claiming </w:t>
      </w:r>
      <w:r w:rsidR="00F804F7">
        <w:t>financial compensation for the damage</w:t>
      </w:r>
      <w:r w:rsidR="00A66FB5">
        <w:t>s</w:t>
      </w:r>
      <w:r w:rsidR="00F804F7">
        <w:t xml:space="preserve"> </w:t>
      </w:r>
      <w:r w:rsidR="00CD42CA">
        <w:t>suffered</w:t>
      </w:r>
      <w:r w:rsidR="00E02B6C">
        <w:t xml:space="preserve">, which </w:t>
      </w:r>
      <w:r w:rsidR="00093AFF">
        <w:t>he estimated at PLN 450</w:t>
      </w:r>
      <w:r w:rsidR="00D61711">
        <w:t>,</w:t>
      </w:r>
      <w:r w:rsidR="00093AFF">
        <w:t>000</w:t>
      </w:r>
      <w:r w:rsidR="00F804F7">
        <w:t>.</w:t>
      </w:r>
      <w:r w:rsidR="00CD42CA">
        <w:rPr>
          <w:rStyle w:val="FootnoteReference"/>
        </w:rPr>
        <w:footnoteReference w:id="4"/>
      </w:r>
      <w:r w:rsidR="00F804F7">
        <w:t xml:space="preserve"> On 29 October 2008, the District Court </w:t>
      </w:r>
      <w:r w:rsidR="00A66FB5">
        <w:t xml:space="preserve">concluded </w:t>
      </w:r>
      <w:r w:rsidR="00601738">
        <w:t>that the author’s rights ha</w:t>
      </w:r>
      <w:r w:rsidR="00FC26C4">
        <w:t>d</w:t>
      </w:r>
      <w:r w:rsidR="00601738">
        <w:t xml:space="preserve"> been violated</w:t>
      </w:r>
      <w:r w:rsidR="00E456D4">
        <w:t xml:space="preserve">. In its decision, the court </w:t>
      </w:r>
      <w:r w:rsidR="00326242">
        <w:t>referr</w:t>
      </w:r>
      <w:r w:rsidR="00E456D4">
        <w:t>ed</w:t>
      </w:r>
      <w:r w:rsidR="00A66FB5">
        <w:t xml:space="preserve"> to a</w:t>
      </w:r>
      <w:r w:rsidR="00601738">
        <w:t xml:space="preserve"> decision </w:t>
      </w:r>
      <w:r w:rsidR="00382597">
        <w:t>of</w:t>
      </w:r>
      <w:r w:rsidR="00601738">
        <w:t xml:space="preserve"> the Polish Constitutional Court </w:t>
      </w:r>
      <w:r w:rsidR="00A66FB5">
        <w:t>of</w:t>
      </w:r>
      <w:r w:rsidR="00601738">
        <w:t xml:space="preserve"> 2008</w:t>
      </w:r>
      <w:r w:rsidR="00E456D4">
        <w:t>,</w:t>
      </w:r>
      <w:r w:rsidR="00601738">
        <w:t xml:space="preserve"> according to which excessive cell</w:t>
      </w:r>
      <w:r w:rsidR="00672517">
        <w:t xml:space="preserve">-occupation </w:t>
      </w:r>
      <w:r w:rsidR="00601738">
        <w:t xml:space="preserve">density could in itself constitute inhuman treatment and an accumulation of disadvantages could amount to torture. The District Court </w:t>
      </w:r>
      <w:r w:rsidR="00F804F7">
        <w:t>order</w:t>
      </w:r>
      <w:r w:rsidR="00601738">
        <w:t>ed</w:t>
      </w:r>
      <w:r w:rsidR="00F804F7">
        <w:t xml:space="preserve"> the Director of the </w:t>
      </w:r>
      <w:r w:rsidR="00E02B6C">
        <w:t>Detention Centre</w:t>
      </w:r>
      <w:r w:rsidR="00E456D4">
        <w:t xml:space="preserve"> </w:t>
      </w:r>
      <w:r w:rsidR="00F804F7">
        <w:t>to a</w:t>
      </w:r>
      <w:r w:rsidR="00E456D4">
        <w:t>ddress a</w:t>
      </w:r>
      <w:r w:rsidR="00F804F7">
        <w:t xml:space="preserve"> written statement to the author </w:t>
      </w:r>
      <w:r w:rsidR="00E456D4">
        <w:t xml:space="preserve">to </w:t>
      </w:r>
      <w:r w:rsidR="00F804F7">
        <w:t>acknowledg</w:t>
      </w:r>
      <w:r w:rsidR="00E456D4">
        <w:t>e</w:t>
      </w:r>
      <w:r w:rsidR="00F804F7">
        <w:t xml:space="preserve"> that </w:t>
      </w:r>
      <w:r w:rsidR="00E02B6C">
        <w:t xml:space="preserve">the conditions of detention violated his human rights </w:t>
      </w:r>
      <w:r w:rsidR="00F804F7">
        <w:t xml:space="preserve">and </w:t>
      </w:r>
      <w:r w:rsidR="00E456D4">
        <w:t xml:space="preserve">also </w:t>
      </w:r>
      <w:r w:rsidR="00F804F7">
        <w:t xml:space="preserve">to </w:t>
      </w:r>
      <w:r w:rsidR="00FC26C4">
        <w:t xml:space="preserve">make a </w:t>
      </w:r>
      <w:r w:rsidR="00093AFF">
        <w:t>commit</w:t>
      </w:r>
      <w:r w:rsidR="00FC26C4">
        <w:t>ment to</w:t>
      </w:r>
      <w:r w:rsidR="00093AFF">
        <w:t xml:space="preserve"> not allow</w:t>
      </w:r>
      <w:r w:rsidR="00F804F7">
        <w:t xml:space="preserve"> similar violations </w:t>
      </w:r>
      <w:r w:rsidR="00E456D4">
        <w:t xml:space="preserve">to </w:t>
      </w:r>
      <w:r w:rsidR="00F804F7">
        <w:t xml:space="preserve">occur in the future. </w:t>
      </w:r>
      <w:r w:rsidR="00021757">
        <w:t>Having assessed the duration of detention and the cumulative effect of the conditions of detention on the author’s health and personal rights, t</w:t>
      </w:r>
      <w:r w:rsidR="00601738">
        <w:t xml:space="preserve">he District Court considered that such a </w:t>
      </w:r>
      <w:r w:rsidR="0014658F">
        <w:t>statement</w:t>
      </w:r>
      <w:r w:rsidR="00601738">
        <w:t xml:space="preserve"> would suffice to remedy the violation</w:t>
      </w:r>
      <w:r w:rsidR="00E456D4">
        <w:t xml:space="preserve">. In </w:t>
      </w:r>
      <w:r w:rsidR="00FC26C4">
        <w:t xml:space="preserve">that </w:t>
      </w:r>
      <w:r w:rsidR="00E456D4">
        <w:t xml:space="preserve">light, the court rejected </w:t>
      </w:r>
      <w:r w:rsidR="00F804F7">
        <w:t>the author’s claim for financial compensation.</w:t>
      </w:r>
      <w:r w:rsidR="00021757">
        <w:t xml:space="preserve"> </w:t>
      </w:r>
    </w:p>
    <w:p w14:paraId="5C919879" w14:textId="77777777" w:rsidR="00F804F7" w:rsidRDefault="00F804F7" w:rsidP="00B63E0A">
      <w:pPr>
        <w:pStyle w:val="SingleTxtG"/>
      </w:pPr>
      <w:r>
        <w:t>2.</w:t>
      </w:r>
      <w:r w:rsidR="00A715C5">
        <w:t>5</w:t>
      </w:r>
      <w:r>
        <w:tab/>
        <w:t xml:space="preserve">On 24 November 2008, the author appealed to the </w:t>
      </w:r>
      <w:r w:rsidR="004E0513">
        <w:t xml:space="preserve">Warsaw </w:t>
      </w:r>
      <w:r>
        <w:t>Court of Appeal</w:t>
      </w:r>
      <w:r w:rsidR="00E456D4">
        <w:t xml:space="preserve"> against the District Court’s decision. </w:t>
      </w:r>
      <w:r w:rsidR="00E456D4" w:rsidRPr="00B63E0A">
        <w:t>H</w:t>
      </w:r>
      <w:r w:rsidR="00F739B4" w:rsidRPr="00B63E0A">
        <w:t>is</w:t>
      </w:r>
      <w:r w:rsidR="00F739B4">
        <w:t xml:space="preserve"> appeal </w:t>
      </w:r>
      <w:r w:rsidR="00E456D4">
        <w:t xml:space="preserve">was rejected </w:t>
      </w:r>
      <w:r>
        <w:t>on 16 April 2010</w:t>
      </w:r>
      <w:r w:rsidR="00F739B4">
        <w:t>,</w:t>
      </w:r>
      <w:r>
        <w:t xml:space="preserve"> on the ground that </w:t>
      </w:r>
      <w:r w:rsidR="001D6F1A">
        <w:t xml:space="preserve">the written statement required from the Director of the Detention Centre was a </w:t>
      </w:r>
      <w:r>
        <w:t>sufficient remedy</w:t>
      </w:r>
      <w:r w:rsidR="00E456D4">
        <w:t xml:space="preserve"> in th</w:t>
      </w:r>
      <w:r w:rsidR="00FC26C4">
        <w:t>e</w:t>
      </w:r>
      <w:r w:rsidR="00E456D4">
        <w:t xml:space="preserve"> case</w:t>
      </w:r>
      <w:r w:rsidR="00B63E0A">
        <w:t xml:space="preserve">. </w:t>
      </w:r>
    </w:p>
    <w:p w14:paraId="58935237" w14:textId="77777777" w:rsidR="00F804F7" w:rsidRDefault="00F804F7" w:rsidP="00AE428D">
      <w:pPr>
        <w:pStyle w:val="SingleTxtG"/>
      </w:pPr>
      <w:r>
        <w:t>2.</w:t>
      </w:r>
      <w:r w:rsidR="00A715C5">
        <w:t>6</w:t>
      </w:r>
      <w:r>
        <w:tab/>
        <w:t xml:space="preserve">On 3 February 2011, </w:t>
      </w:r>
      <w:r w:rsidR="00800FC0">
        <w:t xml:space="preserve">in </w:t>
      </w:r>
      <w:r w:rsidR="00FC26C4">
        <w:t xml:space="preserve">the </w:t>
      </w:r>
      <w:r w:rsidR="00800FC0">
        <w:t xml:space="preserve">light of the District Court’s decision, </w:t>
      </w:r>
      <w:r>
        <w:t>the Director of the</w:t>
      </w:r>
      <w:r w:rsidR="00800FC0">
        <w:t xml:space="preserve"> </w:t>
      </w:r>
      <w:r w:rsidR="002B5CE3">
        <w:t>Detention</w:t>
      </w:r>
      <w:r>
        <w:t xml:space="preserve"> Centre</w:t>
      </w:r>
      <w:r w:rsidR="00FC26C4">
        <w:t>,</w:t>
      </w:r>
      <w:r w:rsidR="00800FC0">
        <w:t xml:space="preserve"> </w:t>
      </w:r>
      <w:r w:rsidR="00FC26C4">
        <w:t xml:space="preserve">in </w:t>
      </w:r>
      <w:r>
        <w:t>a written statement</w:t>
      </w:r>
      <w:r w:rsidR="00FC26C4">
        <w:t xml:space="preserve">, </w:t>
      </w:r>
      <w:r>
        <w:t>acknowledg</w:t>
      </w:r>
      <w:r w:rsidR="00FC26C4">
        <w:t>ed</w:t>
      </w:r>
      <w:r>
        <w:t xml:space="preserve"> that during </w:t>
      </w:r>
      <w:r w:rsidR="00FC26C4">
        <w:t xml:space="preserve">the author’s </w:t>
      </w:r>
      <w:r>
        <w:t xml:space="preserve">imprisonment from 29 February </w:t>
      </w:r>
      <w:r w:rsidR="0014658F">
        <w:t>to</w:t>
      </w:r>
      <w:r>
        <w:t xml:space="preserve"> 8 October 2007 the </w:t>
      </w:r>
      <w:r w:rsidR="00084854">
        <w:t>cond</w:t>
      </w:r>
      <w:r w:rsidR="00F31789">
        <w:t xml:space="preserve">itions of detention </w:t>
      </w:r>
      <w:r w:rsidR="00FC26C4">
        <w:t xml:space="preserve">had </w:t>
      </w:r>
      <w:r w:rsidR="00F31789">
        <w:t xml:space="preserve">violated </w:t>
      </w:r>
      <w:r w:rsidR="00FC26C4">
        <w:t xml:space="preserve">the author’s </w:t>
      </w:r>
      <w:r w:rsidR="00F31789">
        <w:t>personal rights</w:t>
      </w:r>
      <w:r w:rsidR="001D6F1A">
        <w:t xml:space="preserve"> and</w:t>
      </w:r>
      <w:r w:rsidR="00FC26C4">
        <w:t xml:space="preserve"> stated</w:t>
      </w:r>
      <w:r w:rsidR="001D6F1A">
        <w:t xml:space="preserve"> that </w:t>
      </w:r>
      <w:r w:rsidR="00FC26C4">
        <w:t>that</w:t>
      </w:r>
      <w:r w:rsidR="001D6F1A">
        <w:t xml:space="preserve"> w</w:t>
      </w:r>
      <w:r w:rsidR="00FC26C4">
        <w:t>ould</w:t>
      </w:r>
      <w:r w:rsidR="001D6F1A">
        <w:t xml:space="preserve"> not happen again</w:t>
      </w:r>
      <w:r w:rsidR="00084854">
        <w:t>.</w:t>
      </w:r>
    </w:p>
    <w:p w14:paraId="26C5F647" w14:textId="77777777" w:rsidR="004947AA" w:rsidRPr="008804C0" w:rsidRDefault="00F804F7">
      <w:pPr>
        <w:pStyle w:val="SingleTxtG"/>
      </w:pPr>
      <w:r>
        <w:t>2.</w:t>
      </w:r>
      <w:r w:rsidR="00A715C5">
        <w:t>7</w:t>
      </w:r>
      <w:r>
        <w:tab/>
      </w:r>
      <w:r w:rsidR="00354C21">
        <w:t>According to the author</w:t>
      </w:r>
      <w:r w:rsidR="00F739B4">
        <w:t>,</w:t>
      </w:r>
      <w:r w:rsidR="00354C21">
        <w:t xml:space="preserve"> a</w:t>
      </w:r>
      <w:r w:rsidR="000C402A">
        <w:t>n</w:t>
      </w:r>
      <w:r w:rsidR="00DC1A42">
        <w:t xml:space="preserve"> </w:t>
      </w:r>
      <w:r w:rsidR="00354C21">
        <w:t>appeal to</w:t>
      </w:r>
      <w:r>
        <w:t xml:space="preserve"> the Supreme Court </w:t>
      </w:r>
      <w:r w:rsidR="00354C21">
        <w:t xml:space="preserve">is subject to limitations and </w:t>
      </w:r>
      <w:r w:rsidR="00800FC0">
        <w:t>i</w:t>
      </w:r>
      <w:r>
        <w:t xml:space="preserve">s not effectively open to </w:t>
      </w:r>
      <w:r w:rsidR="004E0513">
        <w:t>him</w:t>
      </w:r>
      <w:r>
        <w:t xml:space="preserve">. In Poland, judicial proceedings usually involve decisions of the </w:t>
      </w:r>
      <w:r w:rsidR="00DB5350">
        <w:t>f</w:t>
      </w:r>
      <w:r>
        <w:t xml:space="preserve">irst </w:t>
      </w:r>
      <w:r w:rsidR="00DB5350">
        <w:t>i</w:t>
      </w:r>
      <w:r>
        <w:t xml:space="preserve">nstance </w:t>
      </w:r>
      <w:r w:rsidR="00DB5350">
        <w:t>c</w:t>
      </w:r>
      <w:r>
        <w:t xml:space="preserve">ourt and the </w:t>
      </w:r>
      <w:r w:rsidR="00DB5350">
        <w:t xml:space="preserve">Court of </w:t>
      </w:r>
      <w:r>
        <w:t>Appeals. The basis for a</w:t>
      </w:r>
      <w:r w:rsidR="00DB5350">
        <w:t>n</w:t>
      </w:r>
      <w:r w:rsidR="00DC1A42">
        <w:t xml:space="preserve"> </w:t>
      </w:r>
      <w:r>
        <w:t>appeal cannot be the re-</w:t>
      </w:r>
      <w:r>
        <w:lastRenderedPageBreak/>
        <w:t xml:space="preserve">examination of facts but only the correct application of the law. Moreover, the plaintiff </w:t>
      </w:r>
      <w:r w:rsidR="000C402A">
        <w:t>must</w:t>
      </w:r>
      <w:r>
        <w:t xml:space="preserve"> be represented by a lawyer</w:t>
      </w:r>
      <w:r w:rsidR="00800FC0">
        <w:t xml:space="preserve"> and</w:t>
      </w:r>
      <w:r w:rsidR="00D3640D">
        <w:t>,</w:t>
      </w:r>
      <w:r w:rsidR="00800FC0">
        <w:t xml:space="preserve"> </w:t>
      </w:r>
      <w:r w:rsidR="00D3640D">
        <w:t>owing</w:t>
      </w:r>
      <w:r>
        <w:t xml:space="preserve"> to</w:t>
      </w:r>
      <w:r w:rsidR="00D3640D">
        <w:t xml:space="preserve"> a</w:t>
      </w:r>
      <w:r>
        <w:t xml:space="preserve"> lack of </w:t>
      </w:r>
      <w:r w:rsidR="00800FC0">
        <w:t xml:space="preserve">sufficient </w:t>
      </w:r>
      <w:r>
        <w:t>financial means, the author sought the assistance of a State-appointed lawyer</w:t>
      </w:r>
      <w:r w:rsidR="00800FC0">
        <w:t xml:space="preserve">. The lawyer explained </w:t>
      </w:r>
      <w:r>
        <w:t>to him that there were no prospects of success before the Supreme Court</w:t>
      </w:r>
      <w:r w:rsidR="00DC1A42">
        <w:t xml:space="preserve"> in his case</w:t>
      </w:r>
      <w:r>
        <w:t xml:space="preserve">. This avenue was therefore not open to the author. There are no more judicial remedies available to him </w:t>
      </w:r>
      <w:r w:rsidR="00DC1A42">
        <w:t>and</w:t>
      </w:r>
      <w:r w:rsidR="00D3640D">
        <w:t>,</w:t>
      </w:r>
      <w:r w:rsidR="00DC1A42">
        <w:t xml:space="preserve"> thus, he considers that he has exhausted the available domestic remedies</w:t>
      </w:r>
      <w:r>
        <w:t>.</w:t>
      </w:r>
    </w:p>
    <w:p w14:paraId="1385C3A8" w14:textId="77777777" w:rsidR="004947AA" w:rsidRPr="000009FC" w:rsidRDefault="008804C0" w:rsidP="00B63E0A">
      <w:pPr>
        <w:pStyle w:val="H23G"/>
      </w:pPr>
      <w:r>
        <w:tab/>
      </w:r>
      <w:r>
        <w:tab/>
      </w:r>
      <w:r w:rsidR="004947AA" w:rsidRPr="000009FC">
        <w:t>The complaint</w:t>
      </w:r>
    </w:p>
    <w:p w14:paraId="0DAFD0E9" w14:textId="77777777" w:rsidR="00322B19" w:rsidRDefault="0014658F" w:rsidP="00AE428D">
      <w:pPr>
        <w:pStyle w:val="SingleTxtG"/>
      </w:pPr>
      <w:r>
        <w:t>3</w:t>
      </w:r>
      <w:r w:rsidR="00F739B4">
        <w:t>.</w:t>
      </w:r>
      <w:r w:rsidR="008804C0">
        <w:tab/>
      </w:r>
      <w:r w:rsidR="00322B19">
        <w:t xml:space="preserve">The author considers that </w:t>
      </w:r>
      <w:r>
        <w:t xml:space="preserve">the </w:t>
      </w:r>
      <w:r w:rsidR="00396B25">
        <w:t>compensation awarded to him by the national courts, namely</w:t>
      </w:r>
      <w:r w:rsidR="00D3640D">
        <w:t>,</w:t>
      </w:r>
      <w:r w:rsidR="00396B25">
        <w:t xml:space="preserve"> the </w:t>
      </w:r>
      <w:r>
        <w:t xml:space="preserve">statement by the Director of the </w:t>
      </w:r>
      <w:r w:rsidR="002B5CE3">
        <w:t>Detention</w:t>
      </w:r>
      <w:r>
        <w:t xml:space="preserve"> Centre</w:t>
      </w:r>
      <w:r w:rsidR="00D3640D">
        <w:t>,</w:t>
      </w:r>
      <w:r>
        <w:t xml:space="preserve"> </w:t>
      </w:r>
      <w:r w:rsidR="00800FC0">
        <w:t>i</w:t>
      </w:r>
      <w:r>
        <w:t xml:space="preserve">s insufficient to </w:t>
      </w:r>
      <w:r w:rsidR="00396B25">
        <w:t>remedy</w:t>
      </w:r>
      <w:r>
        <w:t xml:space="preserve"> </w:t>
      </w:r>
      <w:r w:rsidR="0061628F">
        <w:t xml:space="preserve">the </w:t>
      </w:r>
      <w:r w:rsidR="00800FC0">
        <w:t>harm suffered</w:t>
      </w:r>
      <w:r w:rsidR="00396B25">
        <w:t xml:space="preserve">. </w:t>
      </w:r>
      <w:r w:rsidR="00861CDC">
        <w:t xml:space="preserve">He claims that he is a victim of </w:t>
      </w:r>
      <w:r w:rsidR="00F739B4">
        <w:t xml:space="preserve">a </w:t>
      </w:r>
      <w:r w:rsidR="0061628F">
        <w:t>violation of</w:t>
      </w:r>
      <w:r>
        <w:t xml:space="preserve"> his rights under articles 7</w:t>
      </w:r>
      <w:r w:rsidR="00D3640D">
        <w:t>,</w:t>
      </w:r>
      <w:r>
        <w:t xml:space="preserve"> 9</w:t>
      </w:r>
      <w:r w:rsidR="000C402A">
        <w:t> </w:t>
      </w:r>
      <w:r w:rsidR="00D3640D">
        <w:t>(</w:t>
      </w:r>
      <w:r>
        <w:t>5</w:t>
      </w:r>
      <w:r w:rsidR="00D3640D">
        <w:t>)</w:t>
      </w:r>
      <w:r>
        <w:t xml:space="preserve"> and 10</w:t>
      </w:r>
      <w:r w:rsidR="000C402A">
        <w:t> </w:t>
      </w:r>
      <w:r w:rsidR="00D3640D">
        <w:t>(</w:t>
      </w:r>
      <w:r>
        <w:t>1</w:t>
      </w:r>
      <w:r w:rsidR="00D3640D">
        <w:t>)</w:t>
      </w:r>
      <w:r>
        <w:t xml:space="preserve"> of the </w:t>
      </w:r>
      <w:r w:rsidR="00322B19">
        <w:t>Covenant</w:t>
      </w:r>
      <w:r w:rsidR="00861CDC">
        <w:t xml:space="preserve"> and asks to be granted financial compensation.</w:t>
      </w:r>
    </w:p>
    <w:p w14:paraId="2CEE3C0F" w14:textId="77777777" w:rsidR="004947AA" w:rsidRPr="000009FC" w:rsidRDefault="008804C0" w:rsidP="008804C0">
      <w:pPr>
        <w:pStyle w:val="H23G"/>
      </w:pPr>
      <w:r>
        <w:tab/>
      </w:r>
      <w:r>
        <w:tab/>
      </w:r>
      <w:r w:rsidR="004947AA" w:rsidRPr="000009FC">
        <w:t xml:space="preserve">State party’s observations on admissibility </w:t>
      </w:r>
    </w:p>
    <w:p w14:paraId="4A82D4E1" w14:textId="77777777" w:rsidR="009E1F0F" w:rsidRDefault="004947AA" w:rsidP="00BE1827">
      <w:pPr>
        <w:pStyle w:val="SingleTxtG"/>
      </w:pPr>
      <w:r w:rsidRPr="000009FC">
        <w:t>4.</w:t>
      </w:r>
      <w:r w:rsidR="008804C0">
        <w:t>1</w:t>
      </w:r>
      <w:r w:rsidR="008804C0">
        <w:tab/>
      </w:r>
      <w:r w:rsidR="009E1F0F">
        <w:t>On 26 October 2012 the State party submitted its observations on admissibility</w:t>
      </w:r>
      <w:r w:rsidR="00D3640D">
        <w:t>,</w:t>
      </w:r>
      <w:r w:rsidR="009E1F0F">
        <w:t xml:space="preserve"> </w:t>
      </w:r>
      <w:r w:rsidR="002D2A39">
        <w:t>asking the Committee to reject the communication as inadmissible</w:t>
      </w:r>
      <w:r w:rsidR="009E1F0F">
        <w:t xml:space="preserve">. </w:t>
      </w:r>
    </w:p>
    <w:p w14:paraId="182D95E1" w14:textId="77777777" w:rsidR="00BE1827" w:rsidRDefault="009E1F0F" w:rsidP="00D3640D">
      <w:pPr>
        <w:pStyle w:val="SingleTxtG"/>
      </w:pPr>
      <w:r>
        <w:t>4.2</w:t>
      </w:r>
      <w:r>
        <w:tab/>
        <w:t>The State party argued</w:t>
      </w:r>
      <w:r w:rsidR="00364DE5">
        <w:t xml:space="preserve">, first, </w:t>
      </w:r>
      <w:r>
        <w:t xml:space="preserve">that the author’s </w:t>
      </w:r>
      <w:r w:rsidR="00364DE5">
        <w:t xml:space="preserve">claim </w:t>
      </w:r>
      <w:r>
        <w:t>under article 9</w:t>
      </w:r>
      <w:r w:rsidR="00D3640D">
        <w:t> (</w:t>
      </w:r>
      <w:r>
        <w:t>5</w:t>
      </w:r>
      <w:r w:rsidR="00D3640D">
        <w:t>)</w:t>
      </w:r>
      <w:r>
        <w:t xml:space="preserve"> of the Covenant is inadmissible </w:t>
      </w:r>
      <w:r>
        <w:rPr>
          <w:i/>
        </w:rPr>
        <w:t>ratione materiae</w:t>
      </w:r>
      <w:r w:rsidR="00D84D8B">
        <w:rPr>
          <w:i/>
        </w:rPr>
        <w:t xml:space="preserve"> </w:t>
      </w:r>
      <w:r>
        <w:t xml:space="preserve">because his </w:t>
      </w:r>
      <w:r w:rsidR="001D6F1A">
        <w:t>detention</w:t>
      </w:r>
      <w:r>
        <w:t xml:space="preserve"> was not unlawful, but </w:t>
      </w:r>
      <w:r w:rsidR="00D3640D">
        <w:t xml:space="preserve">rather </w:t>
      </w:r>
      <w:r>
        <w:t>was ordered by the Warsaw District Court</w:t>
      </w:r>
      <w:r w:rsidR="00364DE5">
        <w:t xml:space="preserve">, by </w:t>
      </w:r>
      <w:r w:rsidR="00D3640D">
        <w:t xml:space="preserve">its </w:t>
      </w:r>
      <w:r w:rsidR="00364DE5">
        <w:t xml:space="preserve">decision of </w:t>
      </w:r>
      <w:r>
        <w:t>26 October 2006 under article 228</w:t>
      </w:r>
      <w:r w:rsidR="001D6F1A">
        <w:t>,</w:t>
      </w:r>
      <w:r>
        <w:t xml:space="preserve"> paragraph 1</w:t>
      </w:r>
      <w:r w:rsidR="00D3640D">
        <w:t>,</w:t>
      </w:r>
      <w:r>
        <w:t xml:space="preserve"> of the Criminal Code</w:t>
      </w:r>
      <w:r w:rsidR="00DC1A42">
        <w:t>, as the author ha</w:t>
      </w:r>
      <w:r w:rsidR="00D3640D">
        <w:t>d</w:t>
      </w:r>
      <w:r w:rsidR="00DC1A42">
        <w:t xml:space="preserve"> committed a crime punishable by </w:t>
      </w:r>
      <w:r w:rsidR="00D3640D">
        <w:t xml:space="preserve">a </w:t>
      </w:r>
      <w:r w:rsidR="00DC1A42">
        <w:t>prison term</w:t>
      </w:r>
      <w:r>
        <w:t xml:space="preserve">. </w:t>
      </w:r>
    </w:p>
    <w:p w14:paraId="27DB9FEC" w14:textId="77777777" w:rsidR="009E1F0F" w:rsidRPr="0032520E" w:rsidRDefault="009E1F0F" w:rsidP="00B6205C">
      <w:pPr>
        <w:pStyle w:val="SingleTxtG"/>
      </w:pPr>
      <w:r>
        <w:t>4.3</w:t>
      </w:r>
      <w:r>
        <w:tab/>
        <w:t>According to the State party, the author d</w:t>
      </w:r>
      <w:r w:rsidR="007B26AC">
        <w:t>id</w:t>
      </w:r>
      <w:r>
        <w:t xml:space="preserve"> not provide any evidence that the conditions of his </w:t>
      </w:r>
      <w:r w:rsidR="001E66BD">
        <w:t>detention</w:t>
      </w:r>
      <w:r>
        <w:t xml:space="preserve"> in the </w:t>
      </w:r>
      <w:r w:rsidR="00364DE5">
        <w:t xml:space="preserve">Warsaw-Mokotow </w:t>
      </w:r>
      <w:r w:rsidR="002B5CE3">
        <w:t>Detention</w:t>
      </w:r>
      <w:r>
        <w:t xml:space="preserve"> Centre attained such </w:t>
      </w:r>
      <w:r w:rsidR="00DC1A42">
        <w:t xml:space="preserve">level of </w:t>
      </w:r>
      <w:r>
        <w:t xml:space="preserve">severity as to fall within the scope of article 7 of the Covenant. The State party </w:t>
      </w:r>
      <w:r w:rsidR="00364DE5">
        <w:t xml:space="preserve">notes </w:t>
      </w:r>
      <w:r>
        <w:t>that under the Committee’s case</w:t>
      </w:r>
      <w:r w:rsidR="00D3640D">
        <w:t xml:space="preserve"> </w:t>
      </w:r>
      <w:r>
        <w:t>law</w:t>
      </w:r>
      <w:r w:rsidR="00DC1A42">
        <w:t xml:space="preserve">, issues related to </w:t>
      </w:r>
      <w:r>
        <w:t xml:space="preserve">inadequate conditions of </w:t>
      </w:r>
      <w:r w:rsidR="001E66BD">
        <w:t>detention</w:t>
      </w:r>
      <w:r>
        <w:t xml:space="preserve"> </w:t>
      </w:r>
      <w:r w:rsidR="00DC1A42">
        <w:t xml:space="preserve">fall </w:t>
      </w:r>
      <w:r>
        <w:t xml:space="preserve">under </w:t>
      </w:r>
      <w:r w:rsidR="00DC1A42">
        <w:t xml:space="preserve">the scope of </w:t>
      </w:r>
      <w:r>
        <w:t>article 10</w:t>
      </w:r>
      <w:r w:rsidR="000C402A">
        <w:t>,</w:t>
      </w:r>
      <w:r>
        <w:t xml:space="preserve"> rather than under article 7</w:t>
      </w:r>
      <w:r w:rsidR="000C402A">
        <w:t>,</w:t>
      </w:r>
      <w:r w:rsidRPr="009E1F0F">
        <w:t xml:space="preserve"> </w:t>
      </w:r>
      <w:r>
        <w:t>of the Covenant</w:t>
      </w:r>
      <w:r w:rsidR="00D3640D">
        <w:t>,</w:t>
      </w:r>
      <w:r w:rsidR="002031CD">
        <w:t xml:space="preserve"> and that there should be </w:t>
      </w:r>
      <w:r w:rsidR="00DC1A42">
        <w:t xml:space="preserve">serious </w:t>
      </w:r>
      <w:r w:rsidR="002031CD">
        <w:t>aggravating factor</w:t>
      </w:r>
      <w:r w:rsidR="00DC1A42">
        <w:t>s</w:t>
      </w:r>
      <w:r w:rsidR="002031CD">
        <w:t xml:space="preserve"> in order for the violation </w:t>
      </w:r>
      <w:r w:rsidR="00DC1A42">
        <w:t xml:space="preserve">resulting </w:t>
      </w:r>
      <w:r w:rsidR="0036366F">
        <w:t xml:space="preserve">from </w:t>
      </w:r>
      <w:r w:rsidR="004E0513">
        <w:t xml:space="preserve">the conditions of </w:t>
      </w:r>
      <w:r w:rsidR="001E66BD">
        <w:t>detention</w:t>
      </w:r>
      <w:r w:rsidR="004E0513">
        <w:t xml:space="preserve"> </w:t>
      </w:r>
      <w:r w:rsidR="002031CD">
        <w:t>to be elevated to a breach of article 7.</w:t>
      </w:r>
      <w:r w:rsidR="002031CD">
        <w:rPr>
          <w:rStyle w:val="FootnoteReference"/>
        </w:rPr>
        <w:footnoteReference w:id="5"/>
      </w:r>
      <w:r>
        <w:t xml:space="preserve"> </w:t>
      </w:r>
      <w:r w:rsidR="0032520E">
        <w:t>The State party admits that the author was placed in an overcrowded cell</w:t>
      </w:r>
      <w:r w:rsidR="00DC1A42">
        <w:t xml:space="preserve">, with </w:t>
      </w:r>
      <w:r w:rsidR="0032520E">
        <w:t xml:space="preserve">2 </w:t>
      </w:r>
      <w:r w:rsidR="00DC1A42">
        <w:t>square met</w:t>
      </w:r>
      <w:r w:rsidR="00CA2643">
        <w:t>r</w:t>
      </w:r>
      <w:r w:rsidR="00DC1A42">
        <w:t xml:space="preserve">es </w:t>
      </w:r>
      <w:r w:rsidR="0032520E" w:rsidRPr="0032520E">
        <w:t>per person</w:t>
      </w:r>
      <w:r w:rsidR="0032520E">
        <w:t xml:space="preserve"> instead of </w:t>
      </w:r>
      <w:r w:rsidR="00DC1A42">
        <w:t xml:space="preserve">the statutory </w:t>
      </w:r>
      <w:r w:rsidR="0032520E">
        <w:t>3</w:t>
      </w:r>
      <w:r w:rsidR="00DC1A42">
        <w:t xml:space="preserve"> square met</w:t>
      </w:r>
      <w:r w:rsidR="000C402A">
        <w:t>r</w:t>
      </w:r>
      <w:r w:rsidR="00DC1A42">
        <w:t>es</w:t>
      </w:r>
      <w:r w:rsidR="0032520E">
        <w:t xml:space="preserve">, </w:t>
      </w:r>
      <w:r w:rsidR="00DC1A42">
        <w:t xml:space="preserve">and that </w:t>
      </w:r>
      <w:r w:rsidR="0032520E">
        <w:t xml:space="preserve">the </w:t>
      </w:r>
      <w:r w:rsidR="00DC1A42">
        <w:t xml:space="preserve">cell’s </w:t>
      </w:r>
      <w:r w:rsidR="0032520E">
        <w:t xml:space="preserve">sanitary corner was not properly isolated. </w:t>
      </w:r>
      <w:r w:rsidR="00F739B4">
        <w:t xml:space="preserve">It </w:t>
      </w:r>
      <w:r w:rsidR="0032520E">
        <w:t>maintains</w:t>
      </w:r>
      <w:r w:rsidR="00DC1A42">
        <w:t xml:space="preserve">, however, </w:t>
      </w:r>
      <w:r w:rsidR="0032520E">
        <w:t xml:space="preserve">that the author was provided with all necessary </w:t>
      </w:r>
      <w:r w:rsidR="00B6205C">
        <w:t xml:space="preserve">supplies </w:t>
      </w:r>
      <w:r w:rsidR="0032520E">
        <w:t xml:space="preserve">and </w:t>
      </w:r>
      <w:r w:rsidR="00CA2643">
        <w:t>food</w:t>
      </w:r>
      <w:r w:rsidR="0032520E">
        <w:t>, and</w:t>
      </w:r>
      <w:r w:rsidR="00364DE5">
        <w:t xml:space="preserve"> </w:t>
      </w:r>
      <w:r w:rsidR="0032520E">
        <w:t xml:space="preserve">at no point </w:t>
      </w:r>
      <w:r w:rsidR="00CA2643">
        <w:t xml:space="preserve">was he </w:t>
      </w:r>
      <w:r w:rsidR="0032520E">
        <w:t xml:space="preserve">ill-treated. </w:t>
      </w:r>
      <w:r w:rsidR="00F06EAE">
        <w:t>The State party argues that</w:t>
      </w:r>
      <w:r w:rsidR="00DC1A42">
        <w:t xml:space="preserve">, therefore, </w:t>
      </w:r>
      <w:r w:rsidR="00F06EAE">
        <w:t xml:space="preserve">the author’s allegations </w:t>
      </w:r>
      <w:r w:rsidR="00CA2643">
        <w:t xml:space="preserve">of </w:t>
      </w:r>
      <w:r w:rsidR="00364DE5">
        <w:t xml:space="preserve">a </w:t>
      </w:r>
      <w:r w:rsidR="00F06EAE">
        <w:t xml:space="preserve">violation of his rights under article 7 of the Covenant are inadmissible </w:t>
      </w:r>
      <w:r w:rsidR="0032520E">
        <w:rPr>
          <w:i/>
        </w:rPr>
        <w:t xml:space="preserve">ratione materiae. </w:t>
      </w:r>
    </w:p>
    <w:p w14:paraId="2F92E9A4" w14:textId="77777777" w:rsidR="00D846DC" w:rsidRDefault="00D846DC">
      <w:pPr>
        <w:pStyle w:val="SingleTxtG"/>
      </w:pPr>
      <w:r>
        <w:t>4.4</w:t>
      </w:r>
      <w:r>
        <w:tab/>
      </w:r>
      <w:r w:rsidR="0032520E">
        <w:t xml:space="preserve">As </w:t>
      </w:r>
      <w:r w:rsidR="00F91678">
        <w:t>regards</w:t>
      </w:r>
      <w:r w:rsidR="0032520E">
        <w:t xml:space="preserve"> the author’s allegations about </w:t>
      </w:r>
      <w:r w:rsidR="00DC1A42">
        <w:t xml:space="preserve">a </w:t>
      </w:r>
      <w:r w:rsidR="0032520E">
        <w:t>violation of article 10</w:t>
      </w:r>
      <w:r w:rsidR="007B26AC">
        <w:t xml:space="preserve"> </w:t>
      </w:r>
      <w:r w:rsidR="00CA2643">
        <w:t>(</w:t>
      </w:r>
      <w:r w:rsidR="007B26AC">
        <w:t>1</w:t>
      </w:r>
      <w:r w:rsidR="00CA2643">
        <w:t>)</w:t>
      </w:r>
      <w:r w:rsidR="007B26AC">
        <w:t xml:space="preserve"> </w:t>
      </w:r>
      <w:r w:rsidR="00DC1A42">
        <w:t xml:space="preserve">of the Covenant, </w:t>
      </w:r>
      <w:r w:rsidR="007B26AC">
        <w:t>the State party declare</w:t>
      </w:r>
      <w:r w:rsidR="00CA2643">
        <w:t>s</w:t>
      </w:r>
      <w:r w:rsidR="0032520E">
        <w:t xml:space="preserve"> that it is inadmissible </w:t>
      </w:r>
      <w:r w:rsidR="0032520E">
        <w:rPr>
          <w:i/>
        </w:rPr>
        <w:t>ration</w:t>
      </w:r>
      <w:r w:rsidR="00DC1A42">
        <w:rPr>
          <w:i/>
        </w:rPr>
        <w:t>e</w:t>
      </w:r>
      <w:r w:rsidR="0032520E">
        <w:rPr>
          <w:i/>
        </w:rPr>
        <w:t xml:space="preserve"> personae. </w:t>
      </w:r>
      <w:r w:rsidR="0032520E" w:rsidRPr="0032520E">
        <w:t>T</w:t>
      </w:r>
      <w:r w:rsidR="0032520E">
        <w:t xml:space="preserve">he State party refers to articles 1 and 2 of the Optional Protocol to the Covenant, according to which a person should have </w:t>
      </w:r>
      <w:r w:rsidR="00F91678">
        <w:t>the</w:t>
      </w:r>
      <w:r w:rsidR="0032520E">
        <w:t xml:space="preserve"> status of a victim </w:t>
      </w:r>
      <w:r w:rsidR="00DC1A42">
        <w:t xml:space="preserve">in order </w:t>
      </w:r>
      <w:r w:rsidR="0032520E">
        <w:t xml:space="preserve">to submit a complaint to the Committee. The State party argues that the author lost his status as a victim when the domestic courts recognized the violation of his rights </w:t>
      </w:r>
      <w:r w:rsidR="00364DE5">
        <w:t xml:space="preserve">due to </w:t>
      </w:r>
      <w:r w:rsidR="005E2072">
        <w:t>the</w:t>
      </w:r>
      <w:r w:rsidR="0032520E">
        <w:t xml:space="preserve"> inadequate conditions of </w:t>
      </w:r>
      <w:r w:rsidR="001E66BD">
        <w:t>detention</w:t>
      </w:r>
      <w:r w:rsidR="00364DE5">
        <w:t xml:space="preserve">, </w:t>
      </w:r>
      <w:r w:rsidR="0032520E">
        <w:t>a</w:t>
      </w:r>
      <w:r w:rsidR="002D2A39">
        <w:t>nd redressed the violation by order</w:t>
      </w:r>
      <w:r w:rsidR="005E2072">
        <w:t>ing</w:t>
      </w:r>
      <w:r w:rsidR="002D2A39">
        <w:t xml:space="preserve"> a written apology from the </w:t>
      </w:r>
      <w:r w:rsidR="00F91678">
        <w:t>Director</w:t>
      </w:r>
      <w:r w:rsidR="002D2A39">
        <w:t xml:space="preserve"> of the </w:t>
      </w:r>
      <w:r w:rsidR="002B5CE3">
        <w:t>Detention</w:t>
      </w:r>
      <w:r w:rsidR="002D2A39">
        <w:t xml:space="preserve"> Centre. When examining the author’s pecuniary claim</w:t>
      </w:r>
      <w:r w:rsidR="00364DE5">
        <w:t>,</w:t>
      </w:r>
      <w:r w:rsidR="002D2A39">
        <w:t xml:space="preserve"> the domestic courts had taken into due consideration such factors as the length of </w:t>
      </w:r>
      <w:r w:rsidR="001D6F1A">
        <w:t>detention</w:t>
      </w:r>
      <w:r w:rsidR="002D2A39">
        <w:t>, the scope of the infringement, existence of cumulative factors, and the effects of the</w:t>
      </w:r>
      <w:r w:rsidR="001D6F1A">
        <w:t xml:space="preserve"> detention</w:t>
      </w:r>
      <w:r w:rsidR="0004300C">
        <w:t xml:space="preserve"> </w:t>
      </w:r>
      <w:r w:rsidR="002D2A39">
        <w:t xml:space="preserve">on the author’s health, both </w:t>
      </w:r>
      <w:r w:rsidR="002D2A39">
        <w:lastRenderedPageBreak/>
        <w:t>physical and mental. The courts reached a conclusion that all the circumstances in the author’s case do not constitute a sufficient ground for awarding pecuniary compensation under article 448 of the Civil Code.</w:t>
      </w:r>
      <w:r w:rsidR="0004300C">
        <w:t xml:space="preserve"> </w:t>
      </w:r>
    </w:p>
    <w:p w14:paraId="321A084E" w14:textId="77777777" w:rsidR="004947AA" w:rsidRPr="000009FC" w:rsidRDefault="00B63E0A" w:rsidP="008804C0">
      <w:pPr>
        <w:pStyle w:val="SingleTxtG"/>
      </w:pPr>
      <w:r>
        <w:t>4.5</w:t>
      </w:r>
      <w:r>
        <w:tab/>
      </w:r>
      <w:r w:rsidR="00DC1A42" w:rsidRPr="00DC1A42">
        <w:t>On 28 January 2013</w:t>
      </w:r>
      <w:r w:rsidR="00DC1A42">
        <w:t>,</w:t>
      </w:r>
      <w:r w:rsidR="00DC1A42" w:rsidRPr="00DC1A42">
        <w:t xml:space="preserve"> the State party reiterated its position on </w:t>
      </w:r>
      <w:r w:rsidR="00F739B4">
        <w:t xml:space="preserve">the </w:t>
      </w:r>
      <w:r w:rsidR="00DC1A42" w:rsidRPr="00DC1A42">
        <w:t>inadmissibility of the communication and requested the Committee to consider its admissibility separately from the merits.</w:t>
      </w:r>
      <w:r w:rsidR="004947AA" w:rsidRPr="000009FC">
        <w:t xml:space="preserve"> </w:t>
      </w:r>
    </w:p>
    <w:p w14:paraId="2BBD5601" w14:textId="77777777" w:rsidR="004947AA" w:rsidRPr="000009FC" w:rsidRDefault="008804C0" w:rsidP="008804C0">
      <w:pPr>
        <w:pStyle w:val="H23G"/>
      </w:pPr>
      <w:r>
        <w:tab/>
      </w:r>
      <w:r>
        <w:tab/>
      </w:r>
      <w:r w:rsidR="004947AA" w:rsidRPr="000009FC">
        <w:t>Author’s comments on the State party’s observations</w:t>
      </w:r>
    </w:p>
    <w:p w14:paraId="19992AA6" w14:textId="77777777" w:rsidR="004947AA" w:rsidRDefault="00B664DC" w:rsidP="008804C0">
      <w:pPr>
        <w:pStyle w:val="SingleTxtG"/>
      </w:pPr>
      <w:r>
        <w:t>5.1</w:t>
      </w:r>
      <w:r>
        <w:tab/>
      </w:r>
      <w:r w:rsidR="00E94330">
        <w:t>On 15 April 2013</w:t>
      </w:r>
      <w:r w:rsidR="001D3B8A">
        <w:t>,</w:t>
      </w:r>
      <w:r w:rsidR="00E94330">
        <w:t xml:space="preserve"> the author presented his comments </w:t>
      </w:r>
      <w:r w:rsidR="001D3B8A">
        <w:t>to</w:t>
      </w:r>
      <w:r w:rsidR="00E94330">
        <w:t xml:space="preserve"> the State party’s observations. </w:t>
      </w:r>
      <w:r w:rsidR="00E709D6">
        <w:t>He disagree</w:t>
      </w:r>
      <w:r w:rsidR="001D3B8A">
        <w:t>s</w:t>
      </w:r>
      <w:r w:rsidR="00E709D6">
        <w:t xml:space="preserve"> with the State party’s </w:t>
      </w:r>
      <w:r w:rsidR="001D3B8A">
        <w:t xml:space="preserve">argument </w:t>
      </w:r>
      <w:r w:rsidR="00364DE5">
        <w:t xml:space="preserve">on </w:t>
      </w:r>
      <w:r w:rsidR="00924FE3">
        <w:t>inadmissibility</w:t>
      </w:r>
      <w:r w:rsidR="00364DE5">
        <w:t>.</w:t>
      </w:r>
      <w:r w:rsidR="00E709D6">
        <w:t xml:space="preserve"> </w:t>
      </w:r>
    </w:p>
    <w:p w14:paraId="2405E452" w14:textId="77777777" w:rsidR="00444184" w:rsidRDefault="00E709D6">
      <w:pPr>
        <w:pStyle w:val="SingleTxtG"/>
      </w:pPr>
      <w:r>
        <w:t>5.2</w:t>
      </w:r>
      <w:r>
        <w:tab/>
      </w:r>
      <w:r w:rsidR="001D3B8A">
        <w:t xml:space="preserve">He </w:t>
      </w:r>
      <w:r>
        <w:t>reiterate</w:t>
      </w:r>
      <w:r w:rsidR="001D3B8A">
        <w:t>s</w:t>
      </w:r>
      <w:r>
        <w:t xml:space="preserve"> his </w:t>
      </w:r>
      <w:r w:rsidR="001D3B8A" w:rsidRPr="00A92742">
        <w:t>contentions</w:t>
      </w:r>
      <w:r w:rsidR="001D3B8A">
        <w:t xml:space="preserve"> regarding </w:t>
      </w:r>
      <w:r>
        <w:t xml:space="preserve">the conditions </w:t>
      </w:r>
      <w:r w:rsidR="001D3B8A">
        <w:t>of</w:t>
      </w:r>
      <w:r>
        <w:t xml:space="preserve"> </w:t>
      </w:r>
      <w:r w:rsidR="00D47DBC">
        <w:t>detention</w:t>
      </w:r>
      <w:r w:rsidR="00F739B4">
        <w:t xml:space="preserve"> and </w:t>
      </w:r>
      <w:r>
        <w:t>add</w:t>
      </w:r>
      <w:r w:rsidR="001D3B8A">
        <w:t>s</w:t>
      </w:r>
      <w:r>
        <w:t xml:space="preserve"> that at the time of </w:t>
      </w:r>
      <w:r w:rsidR="00D47DBC">
        <w:t>detention</w:t>
      </w:r>
      <w:r>
        <w:t xml:space="preserve"> he was 66 years old and </w:t>
      </w:r>
      <w:r w:rsidR="001D3B8A">
        <w:t xml:space="preserve">suffered from </w:t>
      </w:r>
      <w:r w:rsidR="007412D6">
        <w:t>high blood pressure</w:t>
      </w:r>
      <w:r w:rsidR="001D3B8A">
        <w:t xml:space="preserve">. Thus, the </w:t>
      </w:r>
      <w:r>
        <w:t xml:space="preserve">conditions </w:t>
      </w:r>
      <w:r w:rsidR="00C63075">
        <w:t xml:space="preserve">in which </w:t>
      </w:r>
      <w:r w:rsidR="001D3B8A">
        <w:t xml:space="preserve">he </w:t>
      </w:r>
      <w:r w:rsidR="002C538B">
        <w:t xml:space="preserve">had been </w:t>
      </w:r>
      <w:r w:rsidR="001D3B8A">
        <w:t xml:space="preserve">detained </w:t>
      </w:r>
      <w:r w:rsidR="00F739B4">
        <w:t>had</w:t>
      </w:r>
      <w:r w:rsidR="001D3B8A">
        <w:t xml:space="preserve"> </w:t>
      </w:r>
      <w:r>
        <w:t xml:space="preserve">put him in danger of a stroke or </w:t>
      </w:r>
      <w:r w:rsidR="001D3B8A">
        <w:t xml:space="preserve">a </w:t>
      </w:r>
      <w:r>
        <w:t xml:space="preserve">heart attack. </w:t>
      </w:r>
      <w:r w:rsidR="00EA7B43">
        <w:t>The author point</w:t>
      </w:r>
      <w:r w:rsidR="001D3B8A">
        <w:t>s</w:t>
      </w:r>
      <w:r w:rsidR="00EA7B43">
        <w:t xml:space="preserve"> out that he was initially sentenced to </w:t>
      </w:r>
      <w:r w:rsidR="00F739B4">
        <w:t xml:space="preserve">serve his sentence </w:t>
      </w:r>
      <w:r w:rsidR="00EA7B43">
        <w:t xml:space="preserve">in a </w:t>
      </w:r>
      <w:r w:rsidR="00364DE5">
        <w:t xml:space="preserve">penitentiary of a </w:t>
      </w:r>
      <w:r w:rsidR="00EA7B43">
        <w:t xml:space="preserve">half-open </w:t>
      </w:r>
      <w:r w:rsidR="001D3B8A">
        <w:t>type</w:t>
      </w:r>
      <w:r w:rsidR="00EA7B43">
        <w:t xml:space="preserve">, where residential cells remain open during daytime and </w:t>
      </w:r>
      <w:r w:rsidR="001D3B8A">
        <w:t xml:space="preserve">are </w:t>
      </w:r>
      <w:r w:rsidR="00EA7B43">
        <w:t>closed</w:t>
      </w:r>
      <w:r w:rsidR="00C63075">
        <w:t xml:space="preserve"> </w:t>
      </w:r>
      <w:r w:rsidR="00C63075" w:rsidRPr="00C63075">
        <w:t>only</w:t>
      </w:r>
      <w:r w:rsidR="00EA7B43">
        <w:t xml:space="preserve"> at night, but</w:t>
      </w:r>
      <w:r w:rsidR="001D3B8A">
        <w:t>,</w:t>
      </w:r>
      <w:r w:rsidR="00EA7B43">
        <w:t xml:space="preserve"> instead</w:t>
      </w:r>
      <w:r w:rsidR="001D3B8A">
        <w:t>,</w:t>
      </w:r>
      <w:r w:rsidR="00EA7B43">
        <w:t xml:space="preserve"> he was </w:t>
      </w:r>
      <w:r w:rsidR="001D3B8A">
        <w:t xml:space="preserve">placed </w:t>
      </w:r>
      <w:r w:rsidR="00EA7B43">
        <w:t>in an overcrowded cell</w:t>
      </w:r>
      <w:r w:rsidR="00C910AC">
        <w:t>,</w:t>
      </w:r>
      <w:r w:rsidR="00EA7B43">
        <w:t xml:space="preserve"> </w:t>
      </w:r>
      <w:r w:rsidR="00C910AC">
        <w:t xml:space="preserve">locked in </w:t>
      </w:r>
      <w:r w:rsidR="00EA7B43">
        <w:t>all day</w:t>
      </w:r>
      <w:r w:rsidR="00C910AC">
        <w:t>, with the</w:t>
      </w:r>
      <w:r w:rsidR="00EA7B43">
        <w:t xml:space="preserve"> except</w:t>
      </w:r>
      <w:r w:rsidR="00C910AC">
        <w:t>ion</w:t>
      </w:r>
      <w:r w:rsidR="00EA7B43">
        <w:t xml:space="preserve"> </w:t>
      </w:r>
      <w:r w:rsidR="00C910AC">
        <w:t>of</w:t>
      </w:r>
      <w:r w:rsidR="00EA7B43">
        <w:t xml:space="preserve"> a </w:t>
      </w:r>
      <w:r w:rsidR="00C910AC">
        <w:t xml:space="preserve">daily </w:t>
      </w:r>
      <w:r w:rsidR="00EA7B43">
        <w:t>one-hour walk.</w:t>
      </w:r>
    </w:p>
    <w:p w14:paraId="1114D23E" w14:textId="77777777" w:rsidR="00444184" w:rsidRPr="00444184" w:rsidRDefault="00444184" w:rsidP="00C910AC">
      <w:pPr>
        <w:pStyle w:val="SingleTxtG"/>
      </w:pPr>
      <w:r>
        <w:t>5.3</w:t>
      </w:r>
      <w:r>
        <w:tab/>
        <w:t xml:space="preserve">Concerning the State party’s observation on </w:t>
      </w:r>
      <w:r w:rsidR="00C910AC">
        <w:t xml:space="preserve">the </w:t>
      </w:r>
      <w:r>
        <w:t xml:space="preserve">inadmissibility </w:t>
      </w:r>
      <w:r>
        <w:rPr>
          <w:i/>
        </w:rPr>
        <w:t xml:space="preserve">ratione materiae </w:t>
      </w:r>
      <w:r>
        <w:t>of his clai</w:t>
      </w:r>
      <w:r w:rsidR="001D3B8A">
        <w:t>m</w:t>
      </w:r>
      <w:r>
        <w:t xml:space="preserve"> under article 9</w:t>
      </w:r>
      <w:r w:rsidR="00CE31E2">
        <w:t> </w:t>
      </w:r>
      <w:r w:rsidR="00C910AC">
        <w:t>(</w:t>
      </w:r>
      <w:r>
        <w:t>5</w:t>
      </w:r>
      <w:r w:rsidR="00C910AC">
        <w:t>)</w:t>
      </w:r>
      <w:r w:rsidR="001D3B8A">
        <w:t xml:space="preserve"> of the Covenant, </w:t>
      </w:r>
      <w:r>
        <w:t>he submit</w:t>
      </w:r>
      <w:r w:rsidR="001D3B8A">
        <w:t>s</w:t>
      </w:r>
      <w:r>
        <w:t xml:space="preserve"> that the fact that his </w:t>
      </w:r>
      <w:r w:rsidR="001E66BD">
        <w:t>detention</w:t>
      </w:r>
      <w:r>
        <w:t xml:space="preserve"> was ordered by a court is of no relevance, since by putting him in inhuman conditions of </w:t>
      </w:r>
      <w:r w:rsidR="001E66BD">
        <w:t>detention</w:t>
      </w:r>
      <w:r w:rsidR="001D3B8A">
        <w:t>,</w:t>
      </w:r>
      <w:r>
        <w:t xml:space="preserve"> the State made his imprisonment </w:t>
      </w:r>
      <w:r w:rsidR="001D3B8A">
        <w:t>unlawful</w:t>
      </w:r>
      <w:r>
        <w:t>.</w:t>
      </w:r>
    </w:p>
    <w:p w14:paraId="66D24DB1" w14:textId="77777777" w:rsidR="00444184" w:rsidRDefault="00444184" w:rsidP="00C910AC">
      <w:pPr>
        <w:pStyle w:val="SingleTxtG"/>
      </w:pPr>
      <w:r>
        <w:t>5.4</w:t>
      </w:r>
      <w:r>
        <w:tab/>
        <w:t>The author disagree</w:t>
      </w:r>
      <w:r w:rsidR="001D3B8A">
        <w:t>s</w:t>
      </w:r>
      <w:r>
        <w:t xml:space="preserve"> with the State party’s argument </w:t>
      </w:r>
      <w:r w:rsidR="001D3B8A">
        <w:t xml:space="preserve">regarding </w:t>
      </w:r>
      <w:r>
        <w:t xml:space="preserve">his </w:t>
      </w:r>
      <w:r w:rsidR="001D3B8A">
        <w:t>claim</w:t>
      </w:r>
      <w:r>
        <w:t xml:space="preserve"> under article 10</w:t>
      </w:r>
      <w:r w:rsidR="00CE31E2">
        <w:t> </w:t>
      </w:r>
      <w:r w:rsidR="00C910AC">
        <w:t>(</w:t>
      </w:r>
      <w:r>
        <w:t>1</w:t>
      </w:r>
      <w:r w:rsidR="00C910AC">
        <w:t>)</w:t>
      </w:r>
      <w:r w:rsidR="001D3B8A">
        <w:t xml:space="preserve"> of the Covenant to the effect </w:t>
      </w:r>
      <w:r>
        <w:t xml:space="preserve">that he had been provided with an effective remedy and should not be considered a victim. </w:t>
      </w:r>
      <w:r w:rsidR="00364DE5">
        <w:t xml:space="preserve">He </w:t>
      </w:r>
      <w:r>
        <w:t>argue</w:t>
      </w:r>
      <w:r w:rsidR="001D3B8A">
        <w:t>s</w:t>
      </w:r>
      <w:r>
        <w:t xml:space="preserve"> that he did not receive any apology from the State. </w:t>
      </w:r>
      <w:r w:rsidR="001D3B8A">
        <w:t xml:space="preserve">In </w:t>
      </w:r>
      <w:r w:rsidR="00F739B4">
        <w:t xml:space="preserve">his </w:t>
      </w:r>
      <w:r w:rsidR="001D3B8A">
        <w:t>view, t</w:t>
      </w:r>
      <w:r>
        <w:t xml:space="preserve">he written statement from the Director of the </w:t>
      </w:r>
      <w:r w:rsidR="002B5CE3">
        <w:t>Detention</w:t>
      </w:r>
      <w:r>
        <w:t xml:space="preserve"> Centre </w:t>
      </w:r>
      <w:r w:rsidR="00F739B4">
        <w:t xml:space="preserve">only </w:t>
      </w:r>
      <w:r>
        <w:t>confirm</w:t>
      </w:r>
      <w:r w:rsidR="00F739B4">
        <w:t>ed</w:t>
      </w:r>
      <w:r>
        <w:t xml:space="preserve"> </w:t>
      </w:r>
      <w:r w:rsidR="001D3B8A">
        <w:t xml:space="preserve">the </w:t>
      </w:r>
      <w:r>
        <w:t xml:space="preserve">violation of his rights, </w:t>
      </w:r>
      <w:r w:rsidR="00364DE5">
        <w:t xml:space="preserve">without </w:t>
      </w:r>
      <w:r w:rsidR="00F739B4">
        <w:t>constitut</w:t>
      </w:r>
      <w:r w:rsidR="00364DE5">
        <w:t>ing</w:t>
      </w:r>
      <w:r w:rsidR="00F739B4">
        <w:t xml:space="preserve"> </w:t>
      </w:r>
      <w:r>
        <w:t xml:space="preserve">an apology. </w:t>
      </w:r>
      <w:r w:rsidR="00640280">
        <w:t xml:space="preserve">In addition, since </w:t>
      </w:r>
      <w:r w:rsidR="001D3B8A">
        <w:t>no monetary compensation was</w:t>
      </w:r>
      <w:r w:rsidR="00640280">
        <w:t xml:space="preserve"> granted </w:t>
      </w:r>
      <w:r w:rsidR="00CE31E2">
        <w:t xml:space="preserve">to him </w:t>
      </w:r>
      <w:r w:rsidR="00640280">
        <w:t xml:space="preserve">by the domestic courts, </w:t>
      </w:r>
      <w:r w:rsidR="00F739B4">
        <w:t>t</w:t>
      </w:r>
      <w:r w:rsidR="00640280">
        <w:t>he</w:t>
      </w:r>
      <w:r w:rsidR="00F739B4">
        <w:t xml:space="preserve"> author</w:t>
      </w:r>
      <w:r w:rsidR="00640280">
        <w:t xml:space="preserve"> does not consider </w:t>
      </w:r>
      <w:r w:rsidR="00C910AC">
        <w:t>that he has</w:t>
      </w:r>
      <w:r w:rsidR="00640280">
        <w:t xml:space="preserve"> been </w:t>
      </w:r>
      <w:r w:rsidR="001D3B8A">
        <w:t xml:space="preserve">offered </w:t>
      </w:r>
      <w:r w:rsidR="00640280">
        <w:t>an</w:t>
      </w:r>
      <w:r w:rsidR="001D3B8A">
        <w:t>y</w:t>
      </w:r>
      <w:r w:rsidR="00640280">
        <w:t xml:space="preserve"> effective remedy. </w:t>
      </w:r>
    </w:p>
    <w:p w14:paraId="2CFB6FD8" w14:textId="77777777" w:rsidR="00E709D6" w:rsidRPr="000009FC" w:rsidRDefault="004B471F" w:rsidP="0004721A">
      <w:pPr>
        <w:pStyle w:val="SingleTxtG"/>
      </w:pPr>
      <w:r>
        <w:t>5.5</w:t>
      </w:r>
      <w:r>
        <w:tab/>
        <w:t xml:space="preserve">The author </w:t>
      </w:r>
      <w:r w:rsidR="0009224E">
        <w:t>f</w:t>
      </w:r>
      <w:r w:rsidR="00364DE5">
        <w:t xml:space="preserve">inally </w:t>
      </w:r>
      <w:r w:rsidR="0009224E">
        <w:t xml:space="preserve">contests the </w:t>
      </w:r>
      <w:r>
        <w:t xml:space="preserve">State party’s statement that the conditions of </w:t>
      </w:r>
      <w:r w:rsidR="001E66BD">
        <w:t>detention</w:t>
      </w:r>
      <w:r>
        <w:t xml:space="preserve"> fall </w:t>
      </w:r>
      <w:r w:rsidR="00CE31E2">
        <w:t xml:space="preserve">only </w:t>
      </w:r>
      <w:r>
        <w:t>under article 10</w:t>
      </w:r>
      <w:r w:rsidR="00CE31E2">
        <w:t>,</w:t>
      </w:r>
      <w:r w:rsidR="0009224E">
        <w:t xml:space="preserve"> and not under article 7</w:t>
      </w:r>
      <w:r w:rsidR="00CE31E2">
        <w:t>,</w:t>
      </w:r>
      <w:r w:rsidR="0009224E">
        <w:t xml:space="preserve"> of the Covenant</w:t>
      </w:r>
      <w:r>
        <w:t xml:space="preserve">. </w:t>
      </w:r>
      <w:r w:rsidR="00C910AC">
        <w:t>He maintains that</w:t>
      </w:r>
      <w:r w:rsidR="005E2072">
        <w:t>, if his complaint is considered only under article 10</w:t>
      </w:r>
      <w:r w:rsidR="0004721A">
        <w:t> </w:t>
      </w:r>
      <w:r w:rsidR="00C910AC">
        <w:t>(</w:t>
      </w:r>
      <w:r w:rsidR="005E2072">
        <w:t>1</w:t>
      </w:r>
      <w:r w:rsidR="00C910AC">
        <w:t>)</w:t>
      </w:r>
      <w:r w:rsidR="0009224E">
        <w:t xml:space="preserve">, </w:t>
      </w:r>
      <w:r w:rsidR="005E2072">
        <w:t>t</w:t>
      </w:r>
      <w:r w:rsidR="0009224E">
        <w:t>his</w:t>
      </w:r>
      <w:r w:rsidR="005E2072">
        <w:t xml:space="preserve"> would mean that he </w:t>
      </w:r>
      <w:r w:rsidR="00C910AC">
        <w:t xml:space="preserve">had </w:t>
      </w:r>
      <w:r w:rsidR="005E2072">
        <w:t xml:space="preserve">not </w:t>
      </w:r>
      <w:r w:rsidR="00C910AC">
        <w:t xml:space="preserve">been </w:t>
      </w:r>
      <w:r w:rsidR="005E2072">
        <w:t xml:space="preserve">subjected to cruel and inhuman treatment on account of the </w:t>
      </w:r>
      <w:r w:rsidR="0009224E">
        <w:t xml:space="preserve">poor </w:t>
      </w:r>
      <w:r w:rsidR="005E2072">
        <w:t xml:space="preserve">conditions of </w:t>
      </w:r>
      <w:r w:rsidR="001E66BD">
        <w:t>detention</w:t>
      </w:r>
      <w:r w:rsidR="005E2072">
        <w:t>.</w:t>
      </w:r>
    </w:p>
    <w:p w14:paraId="44FE8490" w14:textId="77777777" w:rsidR="004947AA" w:rsidRPr="000009FC" w:rsidRDefault="008804C0" w:rsidP="008804C0">
      <w:pPr>
        <w:pStyle w:val="H23G"/>
      </w:pPr>
      <w:r>
        <w:tab/>
      </w:r>
      <w:r>
        <w:tab/>
      </w:r>
      <w:r w:rsidR="004947AA" w:rsidRPr="000009FC">
        <w:t>State party’s additional observations</w:t>
      </w:r>
      <w:r w:rsidR="0004300C">
        <w:t xml:space="preserve"> </w:t>
      </w:r>
    </w:p>
    <w:p w14:paraId="73307302" w14:textId="77777777" w:rsidR="00B66415" w:rsidRDefault="00657C67" w:rsidP="005A7756">
      <w:pPr>
        <w:pStyle w:val="SingleTxtG"/>
      </w:pPr>
      <w:r>
        <w:t>6</w:t>
      </w:r>
      <w:r w:rsidR="00B84874">
        <w:t>.</w:t>
      </w:r>
      <w:r w:rsidR="00B66415">
        <w:t>1</w:t>
      </w:r>
      <w:r w:rsidR="00B84874">
        <w:tab/>
      </w:r>
      <w:r>
        <w:t xml:space="preserve">On 21 August 2013 </w:t>
      </w:r>
      <w:r w:rsidR="00A32091">
        <w:t>and 9 January 2014</w:t>
      </w:r>
      <w:r w:rsidR="0009224E">
        <w:t>,</w:t>
      </w:r>
      <w:r w:rsidR="00A32091">
        <w:t xml:space="preserve"> </w:t>
      </w:r>
      <w:r>
        <w:t xml:space="preserve">the State party </w:t>
      </w:r>
      <w:r w:rsidR="0009224E">
        <w:t xml:space="preserve">reiterated its previous observations, </w:t>
      </w:r>
      <w:r>
        <w:t>maintain</w:t>
      </w:r>
      <w:r w:rsidR="0009224E">
        <w:t>ing</w:t>
      </w:r>
      <w:r>
        <w:t xml:space="preserve"> its </w:t>
      </w:r>
      <w:r w:rsidR="0009224E" w:rsidRPr="00C910AC">
        <w:t>argument</w:t>
      </w:r>
      <w:r w:rsidR="0009224E">
        <w:t xml:space="preserve"> that the communication should be declared inadmissible</w:t>
      </w:r>
      <w:r w:rsidR="00235F07">
        <w:t xml:space="preserve">. </w:t>
      </w:r>
    </w:p>
    <w:p w14:paraId="24B906BE" w14:textId="77777777" w:rsidR="004947AA" w:rsidRPr="000009FC" w:rsidRDefault="00B66415" w:rsidP="008804C0">
      <w:pPr>
        <w:pStyle w:val="SingleTxtG"/>
      </w:pPr>
      <w:r>
        <w:t>6.2</w:t>
      </w:r>
      <w:r>
        <w:tab/>
        <w:t xml:space="preserve">By a </w:t>
      </w:r>
      <w:r w:rsidR="001B12AD">
        <w:t>n</w:t>
      </w:r>
      <w:r>
        <w:t xml:space="preserve">ote </w:t>
      </w:r>
      <w:r w:rsidR="001B12AD">
        <w:t>v</w:t>
      </w:r>
      <w:r>
        <w:t>erbale of 15 December 2014</w:t>
      </w:r>
      <w:r w:rsidR="00C910AC">
        <w:t>,</w:t>
      </w:r>
      <w:r>
        <w:t xml:space="preserve"> the State party informed the Committee that on 24 May 2010 the author ha</w:t>
      </w:r>
      <w:r w:rsidR="00C910AC">
        <w:t>d</w:t>
      </w:r>
      <w:r>
        <w:t xml:space="preserve"> lodged a complaint with the European Court of Human Rights concerning his conditions of</w:t>
      </w:r>
      <w:r w:rsidR="001B12AD">
        <w:t xml:space="preserve"> detention in the Warsaw</w:t>
      </w:r>
      <w:r w:rsidR="00BA64BF">
        <w:t>-</w:t>
      </w:r>
      <w:r w:rsidR="00BA64BF" w:rsidRPr="004102CB">
        <w:t>Mokotow</w:t>
      </w:r>
      <w:r w:rsidR="001B12AD">
        <w:t xml:space="preserve"> Detention C</w:t>
      </w:r>
      <w:r>
        <w:t>entre between 28 February and 8 October 2007. The application was registered by the European Court under the number 43325/10 and communicated to the Government on 6 October 2014.</w:t>
      </w:r>
      <w:r w:rsidR="0004300C">
        <w:t xml:space="preserve"> </w:t>
      </w:r>
    </w:p>
    <w:p w14:paraId="694479F8" w14:textId="77777777" w:rsidR="004947AA" w:rsidRPr="000009FC" w:rsidRDefault="008804C0" w:rsidP="008804C0">
      <w:pPr>
        <w:pStyle w:val="H23G"/>
      </w:pPr>
      <w:r>
        <w:tab/>
      </w:r>
      <w:r>
        <w:tab/>
      </w:r>
      <w:r w:rsidR="00A32091">
        <w:t>Additional comments from the author</w:t>
      </w:r>
      <w:r w:rsidR="004947AA" w:rsidRPr="000009FC">
        <w:t xml:space="preserve"> </w:t>
      </w:r>
    </w:p>
    <w:p w14:paraId="0307FBDC" w14:textId="77777777" w:rsidR="00B66415" w:rsidRDefault="00A32091" w:rsidP="008804C0">
      <w:pPr>
        <w:pStyle w:val="SingleTxtG"/>
      </w:pPr>
      <w:r>
        <w:t>7</w:t>
      </w:r>
      <w:r w:rsidR="00B84874">
        <w:t>.</w:t>
      </w:r>
      <w:r w:rsidR="00B66415">
        <w:t>1</w:t>
      </w:r>
      <w:r w:rsidR="00B84874">
        <w:tab/>
      </w:r>
      <w:r w:rsidR="00B66415">
        <w:t>Concerning the State party’s correspondence of 21 August 2013 and 9 January 2014, t</w:t>
      </w:r>
      <w:r>
        <w:t xml:space="preserve">he author submitted additional comments on 13 September 2013 and 6 February 2014, </w:t>
      </w:r>
      <w:r w:rsidR="0009224E">
        <w:t xml:space="preserve">noting that the </w:t>
      </w:r>
      <w:r>
        <w:t xml:space="preserve">State party </w:t>
      </w:r>
      <w:r w:rsidR="0009224E">
        <w:t xml:space="preserve">should </w:t>
      </w:r>
      <w:r>
        <w:t xml:space="preserve">provide </w:t>
      </w:r>
      <w:r w:rsidR="00B84874">
        <w:t xml:space="preserve">its </w:t>
      </w:r>
      <w:r w:rsidR="005B2579">
        <w:t>observation</w:t>
      </w:r>
      <w:r w:rsidR="00B84874">
        <w:t>s</w:t>
      </w:r>
      <w:r>
        <w:t xml:space="preserve"> on </w:t>
      </w:r>
      <w:r w:rsidR="00DA7D25">
        <w:t xml:space="preserve">the </w:t>
      </w:r>
      <w:r>
        <w:t>merits of his complaint.</w:t>
      </w:r>
      <w:r w:rsidR="0004300C">
        <w:t xml:space="preserve"> </w:t>
      </w:r>
    </w:p>
    <w:p w14:paraId="6455D573" w14:textId="77777777" w:rsidR="004947AA" w:rsidRDefault="00B66415" w:rsidP="0004721A">
      <w:pPr>
        <w:pStyle w:val="SingleTxtG"/>
      </w:pPr>
      <w:r>
        <w:lastRenderedPageBreak/>
        <w:t>7.2</w:t>
      </w:r>
      <w:r>
        <w:tab/>
        <w:t xml:space="preserve">On 25 January 2015, the </w:t>
      </w:r>
      <w:r w:rsidR="00891869">
        <w:t>author submitted</w:t>
      </w:r>
      <w:r>
        <w:t xml:space="preserve"> his comments </w:t>
      </w:r>
      <w:r w:rsidR="00DA7D25">
        <w:t>on</w:t>
      </w:r>
      <w:r>
        <w:t xml:space="preserve"> the information </w:t>
      </w:r>
      <w:r w:rsidR="00DA7D25">
        <w:t xml:space="preserve">provided by </w:t>
      </w:r>
      <w:r>
        <w:t>the State party concerning his submission to the European Court of Human Rights.</w:t>
      </w:r>
      <w:r w:rsidR="00E41D1F">
        <w:t xml:space="preserve"> He stated that </w:t>
      </w:r>
      <w:r w:rsidR="0004721A">
        <w:t>because</w:t>
      </w:r>
      <w:r w:rsidR="00E41D1F">
        <w:t xml:space="preserve"> his complaint to the European Court </w:t>
      </w:r>
      <w:r w:rsidR="00DA7D25">
        <w:t>had been</w:t>
      </w:r>
      <w:r w:rsidR="00E41D1F">
        <w:t xml:space="preserve"> registered only on 25 March 2014, he </w:t>
      </w:r>
      <w:r w:rsidR="00DA7D25">
        <w:t xml:space="preserve">had </w:t>
      </w:r>
      <w:r w:rsidR="00E41D1F">
        <w:t xml:space="preserve">considered that there was no case pending before the Court when submitting </w:t>
      </w:r>
      <w:r w:rsidR="0004721A">
        <w:t>his</w:t>
      </w:r>
      <w:r w:rsidR="00E41D1F">
        <w:t xml:space="preserve"> complaint to the Committee. He did not reply to the letter from the European Court asking him to confirm his standing interest in having his complaint considered by the Court</w:t>
      </w:r>
      <w:r w:rsidR="00487F56">
        <w:t xml:space="preserve">, </w:t>
      </w:r>
      <w:r w:rsidR="00891869">
        <w:t xml:space="preserve">believing that if his reply </w:t>
      </w:r>
      <w:r w:rsidR="00DA7D25">
        <w:t>wa</w:t>
      </w:r>
      <w:r w:rsidR="00891869">
        <w:t>s not received,</w:t>
      </w:r>
      <w:r w:rsidR="00487F56">
        <w:t xml:space="preserve"> the Court w</w:t>
      </w:r>
      <w:r w:rsidR="00DA7D25">
        <w:t>ould</w:t>
      </w:r>
      <w:r w:rsidR="00487F56">
        <w:t xml:space="preserve"> discontinue his case</w:t>
      </w:r>
      <w:r w:rsidR="00E41D1F">
        <w:t>.</w:t>
      </w:r>
    </w:p>
    <w:p w14:paraId="4BEA9544" w14:textId="77777777" w:rsidR="001B12AD" w:rsidRPr="000009FC" w:rsidRDefault="001B12AD" w:rsidP="0004721A">
      <w:pPr>
        <w:pStyle w:val="SingleTxtG"/>
      </w:pPr>
      <w:r>
        <w:t>7.3</w:t>
      </w:r>
      <w:r>
        <w:tab/>
        <w:t>On 16 February 2015, the author transmitted to the Committee his letter to the European Court, date</w:t>
      </w:r>
      <w:r w:rsidR="0004721A">
        <w:t>d</w:t>
      </w:r>
      <w:r>
        <w:t xml:space="preserve"> </w:t>
      </w:r>
      <w:r w:rsidR="0004721A">
        <w:t>the same day</w:t>
      </w:r>
      <w:r>
        <w:t>, in which he asks the Court to discontinue consideration of his complaint. The author insists on having his</w:t>
      </w:r>
      <w:r w:rsidR="00165F33">
        <w:t xml:space="preserve"> communication</w:t>
      </w:r>
      <w:r>
        <w:t xml:space="preserve"> considered by the Committee.</w:t>
      </w:r>
      <w:r w:rsidR="007D6206">
        <w:rPr>
          <w:rStyle w:val="FootnoteReference"/>
        </w:rPr>
        <w:footnoteReference w:id="6"/>
      </w:r>
    </w:p>
    <w:p w14:paraId="016D1F2F" w14:textId="77777777" w:rsidR="004947AA" w:rsidRPr="000009FC" w:rsidRDefault="008804C0" w:rsidP="00E41D1F">
      <w:pPr>
        <w:pStyle w:val="H23G"/>
      </w:pPr>
      <w:r>
        <w:tab/>
      </w:r>
      <w:r>
        <w:tab/>
      </w:r>
      <w:r w:rsidR="004947AA" w:rsidRPr="000009FC">
        <w:t xml:space="preserve">Issues and proceedings before the Committee </w:t>
      </w:r>
      <w:r w:rsidR="00E41D1F">
        <w:tab/>
      </w:r>
    </w:p>
    <w:p w14:paraId="5251FA82" w14:textId="77777777" w:rsidR="004947AA" w:rsidRPr="000009FC" w:rsidRDefault="008804C0" w:rsidP="008804C0">
      <w:pPr>
        <w:pStyle w:val="H4G"/>
      </w:pPr>
      <w:r>
        <w:tab/>
      </w:r>
      <w:r>
        <w:tab/>
      </w:r>
      <w:r w:rsidR="004947AA" w:rsidRPr="000009FC">
        <w:t>Consideration of admissibility</w:t>
      </w:r>
    </w:p>
    <w:p w14:paraId="2E041C0E" w14:textId="77777777" w:rsidR="004947AA" w:rsidRPr="000009FC" w:rsidRDefault="004947AA" w:rsidP="0004721A">
      <w:pPr>
        <w:pStyle w:val="SingleTxtG"/>
      </w:pPr>
      <w:r w:rsidRPr="000009FC">
        <w:t>8.1</w:t>
      </w:r>
      <w:r w:rsidR="008804C0">
        <w:tab/>
      </w:r>
      <w:r w:rsidRPr="000009FC">
        <w:t>Before considering any claim contained in a communication, the Committee must determine</w:t>
      </w:r>
      <w:r w:rsidR="00C129C8">
        <w:t xml:space="preserve">, </w:t>
      </w:r>
      <w:r w:rsidR="00C129C8" w:rsidRPr="00C129C8">
        <w:rPr>
          <w:lang w:val="en-US"/>
        </w:rPr>
        <w:t>in accordance with rule 93 of its rules of procedure</w:t>
      </w:r>
      <w:r w:rsidR="00C129C8">
        <w:rPr>
          <w:lang w:val="en-US"/>
        </w:rPr>
        <w:t>,</w:t>
      </w:r>
      <w:r w:rsidRPr="000009FC">
        <w:t xml:space="preserve"> whether it is admissible under the Optional Protocol.</w:t>
      </w:r>
    </w:p>
    <w:p w14:paraId="6EB50752" w14:textId="77777777" w:rsidR="00836CDA" w:rsidRDefault="00836CDA" w:rsidP="00C129C8">
      <w:pPr>
        <w:pStyle w:val="SingleTxtG"/>
      </w:pPr>
      <w:r w:rsidRPr="000009FC">
        <w:t>8.2</w:t>
      </w:r>
      <w:r>
        <w:tab/>
      </w:r>
      <w:r w:rsidRPr="0011275A">
        <w:t>In accordance with article 5</w:t>
      </w:r>
      <w:r w:rsidR="00C129C8">
        <w:t> (</w:t>
      </w:r>
      <w:r w:rsidRPr="0011275A">
        <w:t>2</w:t>
      </w:r>
      <w:r w:rsidR="00C129C8">
        <w:t>) </w:t>
      </w:r>
      <w:r w:rsidRPr="0011275A">
        <w:t xml:space="preserve">(a) of the Optional Protocol, the Committee </w:t>
      </w:r>
      <w:r>
        <w:t>shall not consider any communication from an individual unless it has ascertained that the same mat</w:t>
      </w:r>
      <w:r w:rsidR="00C129C8">
        <w:t>t</w:t>
      </w:r>
      <w:r>
        <w:t xml:space="preserve">er is not being examined under another procedure of international investigation or settlement. </w:t>
      </w:r>
    </w:p>
    <w:p w14:paraId="31E6C482" w14:textId="77777777" w:rsidR="00836CDA" w:rsidRPr="00B974D0" w:rsidRDefault="00B63E0A" w:rsidP="00951CB8">
      <w:pPr>
        <w:pStyle w:val="SingleTxtG"/>
      </w:pPr>
      <w:r>
        <w:t>8.3</w:t>
      </w:r>
      <w:r w:rsidR="00836CDA">
        <w:tab/>
        <w:t>The Committee notes that</w:t>
      </w:r>
      <w:r w:rsidR="00891869">
        <w:t xml:space="preserve"> </w:t>
      </w:r>
      <w:r w:rsidR="00A458A1">
        <w:t xml:space="preserve">while submitting his initial </w:t>
      </w:r>
      <w:r w:rsidR="00165F33">
        <w:t xml:space="preserve">communication </w:t>
      </w:r>
      <w:r w:rsidR="005050C8">
        <w:t>in April 2012</w:t>
      </w:r>
      <w:r w:rsidR="00A458A1">
        <w:t xml:space="preserve">, the author stated explicitly that he did not submit a similar complaint to any other procedure of international investigation or settlement. Nevertheless, on 15 December 2014, </w:t>
      </w:r>
      <w:r w:rsidR="00891869">
        <w:t>the State party</w:t>
      </w:r>
      <w:r w:rsidR="00A458A1">
        <w:t xml:space="preserve"> informed the Committee that</w:t>
      </w:r>
      <w:r w:rsidR="00836CDA">
        <w:t xml:space="preserve"> </w:t>
      </w:r>
      <w:r w:rsidR="00836CDA" w:rsidRPr="0011275A">
        <w:t xml:space="preserve">a similar complaint </w:t>
      </w:r>
      <w:r w:rsidR="00C129C8">
        <w:t>had been</w:t>
      </w:r>
      <w:r w:rsidR="00836CDA" w:rsidRPr="0011275A">
        <w:t xml:space="preserve"> filed by the author</w:t>
      </w:r>
      <w:r w:rsidR="00836CDA">
        <w:t xml:space="preserve"> with</w:t>
      </w:r>
      <w:r w:rsidR="00836CDA" w:rsidRPr="0011275A">
        <w:t xml:space="preserve"> the European Court of Human Rights</w:t>
      </w:r>
      <w:r w:rsidR="005050C8">
        <w:t xml:space="preserve"> </w:t>
      </w:r>
      <w:r w:rsidR="00836CDA">
        <w:t>in May 2010</w:t>
      </w:r>
      <w:r w:rsidR="00A458A1">
        <w:t xml:space="preserve"> and</w:t>
      </w:r>
      <w:r w:rsidR="00836CDA">
        <w:t xml:space="preserve"> </w:t>
      </w:r>
      <w:r w:rsidR="00C129C8">
        <w:t>had been</w:t>
      </w:r>
      <w:r w:rsidR="00836CDA">
        <w:t xml:space="preserve"> </w:t>
      </w:r>
      <w:r w:rsidR="00836CDA" w:rsidRPr="0011275A">
        <w:t>registered</w:t>
      </w:r>
      <w:r w:rsidR="00C129C8">
        <w:t xml:space="preserve"> </w:t>
      </w:r>
      <w:r w:rsidR="00C129C8" w:rsidRPr="00C129C8">
        <w:t>by the Court</w:t>
      </w:r>
      <w:r w:rsidR="00836CDA" w:rsidRPr="0011275A">
        <w:t xml:space="preserve"> as </w:t>
      </w:r>
      <w:r w:rsidR="00836CDA">
        <w:t>a</w:t>
      </w:r>
      <w:r w:rsidR="00836CDA" w:rsidRPr="0011275A">
        <w:t xml:space="preserve">pplication </w:t>
      </w:r>
      <w:r w:rsidR="00C129C8">
        <w:t>N</w:t>
      </w:r>
      <w:r w:rsidR="00836CDA" w:rsidRPr="0011275A">
        <w:t>o.</w:t>
      </w:r>
      <w:r w:rsidR="00C129C8">
        <w:t> </w:t>
      </w:r>
      <w:r w:rsidR="00836CDA" w:rsidRPr="0011275A">
        <w:t xml:space="preserve">43325/10. The Committee </w:t>
      </w:r>
      <w:r w:rsidR="00A458A1">
        <w:t xml:space="preserve">also notes that the author informed </w:t>
      </w:r>
      <w:r w:rsidR="00C129C8">
        <w:t>the Committee</w:t>
      </w:r>
      <w:r w:rsidR="00A458A1">
        <w:t xml:space="preserve"> about </w:t>
      </w:r>
      <w:r w:rsidR="00C129C8">
        <w:t xml:space="preserve">the </w:t>
      </w:r>
      <w:r w:rsidR="00A458A1">
        <w:t>request</w:t>
      </w:r>
      <w:r w:rsidR="00C129C8">
        <w:t xml:space="preserve"> </w:t>
      </w:r>
      <w:r w:rsidR="00A458A1">
        <w:t>to discontinue consideration of his case</w:t>
      </w:r>
      <w:r w:rsidR="00C129C8">
        <w:t xml:space="preserve"> that he </w:t>
      </w:r>
      <w:r w:rsidR="00C129C8" w:rsidRPr="00C129C8">
        <w:t xml:space="preserve">allegedly sent </w:t>
      </w:r>
      <w:r w:rsidR="00C129C8">
        <w:t>to the Court</w:t>
      </w:r>
      <w:r w:rsidR="00C129C8" w:rsidRPr="00C129C8">
        <w:t xml:space="preserve"> on 16 February 2015</w:t>
      </w:r>
      <w:r w:rsidR="00A458A1">
        <w:t xml:space="preserve">. However, according to the information on file, the case remains pending before the Court. The Committee </w:t>
      </w:r>
      <w:r w:rsidR="00836CDA" w:rsidRPr="0011275A">
        <w:t xml:space="preserve">recalls its jurisprudence that where the same matter is being examined under another procedure of international investigation or settlement, the Committee has no competence to deal with a communication under article 5 </w:t>
      </w:r>
      <w:r w:rsidR="00C129C8">
        <w:t>(</w:t>
      </w:r>
      <w:r w:rsidR="00836CDA" w:rsidRPr="0011275A">
        <w:t>2</w:t>
      </w:r>
      <w:r w:rsidR="00C129C8">
        <w:t>)</w:t>
      </w:r>
      <w:r w:rsidR="00836CDA" w:rsidRPr="0011275A">
        <w:t xml:space="preserve"> (a) of the Optional Protocol.</w:t>
      </w:r>
      <w:r w:rsidR="00836CDA" w:rsidRPr="0011275A">
        <w:rPr>
          <w:vertAlign w:val="superscript"/>
        </w:rPr>
        <w:footnoteReference w:id="7"/>
      </w:r>
      <w:r w:rsidR="00836CDA" w:rsidRPr="0011275A">
        <w:t xml:space="preserve"> In </w:t>
      </w:r>
      <w:r w:rsidR="00951CB8">
        <w:t xml:space="preserve">the </w:t>
      </w:r>
      <w:r w:rsidR="00836CDA">
        <w:t xml:space="preserve">light of the information before it, the Committee </w:t>
      </w:r>
      <w:r w:rsidR="00836CDA" w:rsidRPr="0011275A">
        <w:t>considers that</w:t>
      </w:r>
      <w:r w:rsidR="00836CDA" w:rsidRPr="002C08BB">
        <w:t xml:space="preserve"> </w:t>
      </w:r>
      <w:r w:rsidR="00836CDA">
        <w:t xml:space="preserve">it is precluded from considering the present communication by virtue of </w:t>
      </w:r>
      <w:r w:rsidR="00836CDA" w:rsidRPr="00E862AD">
        <w:t>article 5</w:t>
      </w:r>
      <w:r w:rsidR="00951CB8">
        <w:t> (</w:t>
      </w:r>
      <w:r w:rsidR="00836CDA" w:rsidRPr="00E862AD">
        <w:t>2</w:t>
      </w:r>
      <w:r w:rsidR="00951CB8">
        <w:t>) </w:t>
      </w:r>
      <w:r w:rsidR="00836CDA" w:rsidRPr="00E862AD">
        <w:t>(a) of the Optional Protocol</w:t>
      </w:r>
      <w:r w:rsidR="00836CDA">
        <w:t>.</w:t>
      </w:r>
      <w:r w:rsidR="00836CDA" w:rsidRPr="00B974D0">
        <w:t xml:space="preserve"> </w:t>
      </w:r>
    </w:p>
    <w:p w14:paraId="7D0D8278" w14:textId="77777777" w:rsidR="00836CDA" w:rsidRDefault="00B63E0A" w:rsidP="001F2642">
      <w:pPr>
        <w:pStyle w:val="SingleTxtG"/>
        <w:keepNext/>
      </w:pPr>
      <w:r>
        <w:t>9.</w:t>
      </w:r>
      <w:r>
        <w:tab/>
      </w:r>
      <w:r w:rsidR="00836CDA" w:rsidRPr="00E862AD">
        <w:t>The Committee therefore decides:</w:t>
      </w:r>
    </w:p>
    <w:p w14:paraId="0A532E3B" w14:textId="77777777" w:rsidR="00836CDA" w:rsidRDefault="00B63E0A" w:rsidP="00836CDA">
      <w:pPr>
        <w:pStyle w:val="SingleTxtG"/>
      </w:pPr>
      <w:r>
        <w:tab/>
      </w:r>
      <w:r w:rsidR="005D7CCD">
        <w:t>(</w:t>
      </w:r>
      <w:r>
        <w:t>a)</w:t>
      </w:r>
      <w:r>
        <w:tab/>
      </w:r>
      <w:r w:rsidR="00836CDA" w:rsidRPr="00E862AD">
        <w:t>That the communication is inadmissible under article</w:t>
      </w:r>
      <w:r w:rsidR="00B974D0">
        <w:t xml:space="preserve"> </w:t>
      </w:r>
      <w:r w:rsidR="00836CDA" w:rsidRPr="00E862AD">
        <w:t>5</w:t>
      </w:r>
      <w:r w:rsidR="00BF48CC">
        <w:t> (</w:t>
      </w:r>
      <w:r w:rsidR="00836CDA" w:rsidRPr="00E862AD">
        <w:t>2</w:t>
      </w:r>
      <w:r w:rsidR="00BF48CC">
        <w:t>) </w:t>
      </w:r>
      <w:r w:rsidR="00836CDA" w:rsidRPr="00E862AD">
        <w:t xml:space="preserve">(a) of the Optional Protocol; </w:t>
      </w:r>
    </w:p>
    <w:p w14:paraId="342151FE" w14:textId="77777777" w:rsidR="00B664DC" w:rsidRDefault="00B63E0A" w:rsidP="00B63E0A">
      <w:pPr>
        <w:pStyle w:val="SingleTxtG"/>
      </w:pPr>
      <w:r>
        <w:tab/>
      </w:r>
      <w:r w:rsidR="005D7CCD">
        <w:t>(</w:t>
      </w:r>
      <w:r>
        <w:t>b)</w:t>
      </w:r>
      <w:r>
        <w:tab/>
      </w:r>
      <w:r w:rsidR="00836CDA" w:rsidRPr="00E862AD">
        <w:t>That this decision shall be communicated to the State party and to the author</w:t>
      </w:r>
      <w:r w:rsidR="00BF48CC">
        <w:t xml:space="preserve"> of the communication</w:t>
      </w:r>
      <w:r w:rsidR="00836CDA" w:rsidRPr="00E862AD">
        <w:t>.</w:t>
      </w:r>
    </w:p>
    <w:p w14:paraId="7D535ED4" w14:textId="77777777" w:rsidR="00B63E0A" w:rsidRPr="00B63E0A" w:rsidRDefault="00B63E0A" w:rsidP="00B63E0A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63E0A" w:rsidRPr="00B63E0A" w:rsidSect="005809FC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701" w:right="1134" w:bottom="2268" w:left="1134" w:header="1134" w:footer="1411" w:gutter="0"/>
      <w:cols w:space="720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rt" w:date="2015-08-31T08:12:00Z" w:initials="Start">
    <w:p w14:paraId="617ABBEC" w14:textId="77777777" w:rsidR="005809FC" w:rsidRDefault="005809FC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&lt;&lt;ODS JOB NO&gt;&gt;N1519354E&lt;&lt;ODS JOB NO&gt;&gt;</w:t>
      </w:r>
    </w:p>
    <w:p w14:paraId="3C884046" w14:textId="77777777" w:rsidR="005809FC" w:rsidRDefault="005809FC">
      <w:pPr>
        <w:pStyle w:val="CommentText"/>
      </w:pPr>
      <w:r>
        <w:t>&lt;&lt;ODS DOC SYMBOL1&gt;&gt;CCPR/C/114/D/2183/2012&lt;&lt;ODS DOC SYMBOL1&gt;&gt;</w:t>
      </w:r>
    </w:p>
    <w:p w14:paraId="52169AB7" w14:textId="77777777" w:rsidR="005809FC" w:rsidRDefault="005809FC">
      <w:pPr>
        <w:pStyle w:val="CommentText"/>
      </w:pPr>
      <w:r>
        <w:t>&lt;&lt;ODS DOC SYMBOL2&gt;&gt;&lt;&lt;ODS DOC SYMBOL2&gt;&gt;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169A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695E3" w14:textId="77777777" w:rsidR="00A23250" w:rsidRDefault="00A23250"/>
  </w:endnote>
  <w:endnote w:type="continuationSeparator" w:id="0">
    <w:p w14:paraId="7DE0E4DC" w14:textId="77777777" w:rsidR="00A23250" w:rsidRDefault="00A23250"/>
  </w:endnote>
  <w:endnote w:type="continuationNotice" w:id="1">
    <w:p w14:paraId="45CC8CC5" w14:textId="77777777" w:rsidR="00A23250" w:rsidRDefault="00A23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rcode 3 of 9 by reques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731E4" w14:textId="77777777" w:rsidR="00C910AC" w:rsidRPr="00F62FAC" w:rsidRDefault="00C910AC" w:rsidP="00F62FAC">
    <w:pPr>
      <w:pStyle w:val="Footer"/>
      <w:tabs>
        <w:tab w:val="right" w:pos="9638"/>
      </w:tabs>
    </w:pPr>
    <w:r w:rsidRPr="00F62FAC">
      <w:rPr>
        <w:b/>
        <w:sz w:val="18"/>
      </w:rPr>
      <w:fldChar w:fldCharType="begin"/>
    </w:r>
    <w:r w:rsidRPr="00F62FAC">
      <w:rPr>
        <w:b/>
        <w:sz w:val="18"/>
      </w:rPr>
      <w:instrText xml:space="preserve"> PAGE  \* MERGEFORMAT </w:instrText>
    </w:r>
    <w:r w:rsidRPr="00F62FAC">
      <w:rPr>
        <w:b/>
        <w:sz w:val="18"/>
      </w:rPr>
      <w:fldChar w:fldCharType="separate"/>
    </w:r>
    <w:r w:rsidR="005A01DE">
      <w:rPr>
        <w:b/>
        <w:noProof/>
        <w:sz w:val="18"/>
      </w:rPr>
      <w:t>2</w:t>
    </w:r>
    <w:r w:rsidRPr="00F62FAC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E9BE3" w14:textId="77777777" w:rsidR="00C910AC" w:rsidRPr="00F62FAC" w:rsidRDefault="00C910AC" w:rsidP="00F62FAC">
    <w:pPr>
      <w:pStyle w:val="Footer"/>
      <w:tabs>
        <w:tab w:val="right" w:pos="9638"/>
      </w:tabs>
      <w:rPr>
        <w:b/>
        <w:sz w:val="18"/>
      </w:rPr>
    </w:pPr>
    <w:r>
      <w:tab/>
    </w:r>
    <w:r w:rsidRPr="00F62FAC">
      <w:rPr>
        <w:b/>
        <w:sz w:val="18"/>
      </w:rPr>
      <w:fldChar w:fldCharType="begin"/>
    </w:r>
    <w:r w:rsidRPr="00F62FAC">
      <w:rPr>
        <w:b/>
        <w:sz w:val="18"/>
      </w:rPr>
      <w:instrText xml:space="preserve"> PAGE  \* MERGEFORMAT </w:instrText>
    </w:r>
    <w:r w:rsidRPr="00F62FAC">
      <w:rPr>
        <w:b/>
        <w:sz w:val="18"/>
      </w:rPr>
      <w:fldChar w:fldCharType="separate"/>
    </w:r>
    <w:r w:rsidR="005A01DE">
      <w:rPr>
        <w:b/>
        <w:noProof/>
        <w:sz w:val="18"/>
      </w:rPr>
      <w:t>3</w:t>
    </w:r>
    <w:r w:rsidRPr="00F62FAC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4752"/>
    </w:tblGrid>
    <w:tr w:rsidR="005809FC" w14:paraId="3FC58F31" w14:textId="77777777" w:rsidTr="005809FC">
      <w:tc>
        <w:tcPr>
          <w:tcW w:w="3614" w:type="dxa"/>
          <w:shd w:val="clear" w:color="auto" w:fill="auto"/>
        </w:tcPr>
        <w:p w14:paraId="1A726E52" w14:textId="77777777" w:rsidR="005809FC" w:rsidRDefault="005809FC" w:rsidP="005809FC">
          <w:pPr>
            <w:pStyle w:val="Footer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0B9E6098" wp14:editId="55EC69AE">
                <wp:simplePos x="0" y="0"/>
                <wp:positionH relativeFrom="column">
                  <wp:posOffset>5339715</wp:posOffset>
                </wp:positionH>
                <wp:positionV relativeFrom="paragraph">
                  <wp:posOffset>-365760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CCPR/C/114/D/2183/2012&amp;Size =1&amp;Lang = 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CCPR/C/114/D/2183/2012&amp;Size =1&amp;Lang = 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sz w:val="20"/>
            </w:rPr>
            <w:t>GE.15-14507(E)</w:t>
          </w:r>
        </w:p>
        <w:p w14:paraId="32FEFE48" w14:textId="77777777" w:rsidR="005809FC" w:rsidRPr="005809FC" w:rsidRDefault="005809FC" w:rsidP="005809FC">
          <w:pPr>
            <w:pStyle w:val="Footer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t>*1514507*</w:t>
          </w:r>
        </w:p>
      </w:tc>
      <w:tc>
        <w:tcPr>
          <w:tcW w:w="4752" w:type="dxa"/>
          <w:shd w:val="clear" w:color="auto" w:fill="auto"/>
        </w:tcPr>
        <w:p w14:paraId="7B6DD65C" w14:textId="77777777" w:rsidR="005809FC" w:rsidRDefault="005809FC" w:rsidP="005809FC">
          <w:pPr>
            <w:pStyle w:val="Footer"/>
            <w:spacing w:line="240" w:lineRule="atLeast"/>
            <w:jc w:val="right"/>
            <w:rPr>
              <w:sz w:val="20"/>
            </w:rPr>
          </w:pPr>
          <w:r>
            <w:rPr>
              <w:noProof/>
              <w:sz w:val="20"/>
              <w:lang w:val="en-US"/>
            </w:rPr>
            <w:drawing>
              <wp:inline distT="0" distB="0" distL="0" distR="0" wp14:anchorId="699F1678" wp14:editId="172DE6C4">
                <wp:extent cx="9296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91329BD" w14:textId="77777777" w:rsidR="005809FC" w:rsidRPr="005809FC" w:rsidRDefault="005809FC" w:rsidP="005809FC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7A456" w14:textId="77777777" w:rsidR="00A23250" w:rsidRPr="000B175B" w:rsidRDefault="00A23250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31E3806" w14:textId="77777777" w:rsidR="00A23250" w:rsidRPr="00FC68B7" w:rsidRDefault="00A23250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D1834A1" w14:textId="77777777" w:rsidR="00A23250" w:rsidRDefault="00A23250"/>
  </w:footnote>
  <w:footnote w:id="2">
    <w:p w14:paraId="56FAB9A1" w14:textId="77777777" w:rsidR="00C910AC" w:rsidRPr="005474FA" w:rsidRDefault="00C910AC" w:rsidP="001F2642">
      <w:pPr>
        <w:pStyle w:val="FootnoteText"/>
      </w:pPr>
      <w:r w:rsidRPr="001F2642">
        <w:rPr>
          <w:rStyle w:val="FootnoteReference"/>
          <w:sz w:val="20"/>
          <w:vertAlign w:val="baseline"/>
        </w:rPr>
        <w:tab/>
        <w:t>*</w:t>
      </w:r>
      <w:r w:rsidRPr="001F2642">
        <w:rPr>
          <w:rStyle w:val="FootnoteReference"/>
          <w:sz w:val="20"/>
          <w:vertAlign w:val="baseline"/>
        </w:rPr>
        <w:tab/>
      </w:r>
      <w:r>
        <w:t xml:space="preserve">The following members of the </w:t>
      </w:r>
      <w:r w:rsidRPr="003D44CD">
        <w:t>Committee</w:t>
      </w:r>
      <w:r>
        <w:t xml:space="preserve"> participated in the </w:t>
      </w:r>
      <w:r w:rsidR="00672517">
        <w:t>consideration</w:t>
      </w:r>
      <w:r>
        <w:t xml:space="preserve"> of the present communication: Yadh Ben Achour, Sarah Cleveland, Olivier de Frouville, Yuji Iwasawa, Ivana Jelić, Duncan </w:t>
      </w:r>
      <w:r w:rsidRPr="003B2A82">
        <w:rPr>
          <w:lang w:val="en-GB"/>
        </w:rPr>
        <w:t>Laki</w:t>
      </w:r>
      <w:r>
        <w:rPr>
          <w:lang w:val="en-GB"/>
        </w:rPr>
        <w:t xml:space="preserve"> </w:t>
      </w:r>
      <w:r>
        <w:t>Muhumuza, Photini Pazartzis, Mauro Politi, Sir Nigel Rodley, Víctor Manuel Rodríguez-Rescia, Fabián Omar Salvioli, Dheerujlall Seetulsingh, Anja Seibert-Fohr, Yuval Shany, Konstantine Vardzelashvili and Margo Waterval.</w:t>
      </w:r>
    </w:p>
  </w:footnote>
  <w:footnote w:id="3">
    <w:p w14:paraId="6BB039D1" w14:textId="77777777" w:rsidR="00C910AC" w:rsidRPr="003E49EE" w:rsidRDefault="00C910AC" w:rsidP="003B6530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  <w:t>O</w:t>
      </w:r>
      <w:r w:rsidRPr="003E49EE">
        <w:t xml:space="preserve">n acceding to the Optional Protocol, </w:t>
      </w:r>
      <w:r>
        <w:t>the State party</w:t>
      </w:r>
      <w:r w:rsidRPr="003E49EE">
        <w:t xml:space="preserve"> </w:t>
      </w:r>
      <w:r>
        <w:t>made</w:t>
      </w:r>
      <w:r w:rsidRPr="003E49EE">
        <w:t xml:space="preserve"> a reservation to ar</w:t>
      </w:r>
      <w:r>
        <w:t>ticle 5 (2) (a) of the</w:t>
      </w:r>
      <w:r w:rsidRPr="003E49EE">
        <w:t xml:space="preserve"> </w:t>
      </w:r>
      <w:r w:rsidRPr="00B63E0A">
        <w:t>Protocol</w:t>
      </w:r>
      <w:r w:rsidRPr="003E49EE">
        <w:t xml:space="preserve"> </w:t>
      </w:r>
      <w:r>
        <w:t>“</w:t>
      </w:r>
      <w:r w:rsidRPr="003E49EE">
        <w:t>that would exclude the procedure set out in article 5 (2) (a), in cases where the matter has already been examined under another procedure of international investigation or settlement</w:t>
      </w:r>
      <w:r>
        <w:t>”</w:t>
      </w:r>
      <w:r w:rsidRPr="003E49EE">
        <w:t>.</w:t>
      </w:r>
    </w:p>
  </w:footnote>
  <w:footnote w:id="4">
    <w:p w14:paraId="62A6E914" w14:textId="77777777" w:rsidR="00C910AC" w:rsidRPr="00CD42CA" w:rsidRDefault="00C910AC" w:rsidP="00FC26C4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  <w:t xml:space="preserve">Approximately 120,000 euros as at 3 July 2007. Source: National Bank of Poland, </w:t>
      </w:r>
      <w:hyperlink r:id="rId1" w:history="1">
        <w:r w:rsidRPr="00451288">
          <w:rPr>
            <w:rStyle w:val="Hyperlink"/>
          </w:rPr>
          <w:t>www.nbp.pl</w:t>
        </w:r>
      </w:hyperlink>
      <w:r>
        <w:t xml:space="preserve">. </w:t>
      </w:r>
    </w:p>
  </w:footnote>
  <w:footnote w:id="5">
    <w:p w14:paraId="3848A2AC" w14:textId="77777777" w:rsidR="00C910AC" w:rsidRPr="00113F59" w:rsidRDefault="00C910AC" w:rsidP="00750ED7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  <w:t xml:space="preserve">In this context the State party refers to the Committee’s jurisprudence in communications No. 683/1996, </w:t>
      </w:r>
      <w:r>
        <w:rPr>
          <w:i/>
        </w:rPr>
        <w:t>Wanza v. Trinidad and Tobago</w:t>
      </w:r>
      <w:r>
        <w:t xml:space="preserve">, Views adopted on 26 March 2002; No. 458/1991, </w:t>
      </w:r>
      <w:r>
        <w:rPr>
          <w:i/>
        </w:rPr>
        <w:t xml:space="preserve">Mukong v. Cameroon, </w:t>
      </w:r>
      <w:r>
        <w:t>Views adopted on 21 July 1994; No. 8/1977,</w:t>
      </w:r>
      <w:r w:rsidRPr="002031CD">
        <w:rPr>
          <w:i/>
        </w:rPr>
        <w:t xml:space="preserve"> Weismann and Lanza Perdomo v. Uruguay</w:t>
      </w:r>
      <w:r w:rsidRPr="001F2642">
        <w:rPr>
          <w:iCs/>
        </w:rPr>
        <w:t>,</w:t>
      </w:r>
      <w:r>
        <w:rPr>
          <w:i/>
        </w:rPr>
        <w:t xml:space="preserve"> </w:t>
      </w:r>
      <w:r>
        <w:t xml:space="preserve">Views adopted on 3 April 1980; Nos. 241 and 242/1987, </w:t>
      </w:r>
      <w:r w:rsidRPr="002031CD">
        <w:rPr>
          <w:i/>
        </w:rPr>
        <w:t xml:space="preserve">Birindwa and Tshisekedi </w:t>
      </w:r>
      <w:r>
        <w:rPr>
          <w:i/>
        </w:rPr>
        <w:t>v. Zaire</w:t>
      </w:r>
      <w:r w:rsidRPr="001F2642">
        <w:rPr>
          <w:iCs/>
        </w:rPr>
        <w:t xml:space="preserve">, </w:t>
      </w:r>
      <w:r>
        <w:t xml:space="preserve">Views adopted on 2 November 1989; No. 731/1996, </w:t>
      </w:r>
      <w:r>
        <w:rPr>
          <w:i/>
        </w:rPr>
        <w:t>Robinson v. Jamaica</w:t>
      </w:r>
      <w:r w:rsidRPr="001F2642">
        <w:rPr>
          <w:iCs/>
        </w:rPr>
        <w:t>,</w:t>
      </w:r>
      <w:r>
        <w:rPr>
          <w:i/>
        </w:rPr>
        <w:t xml:space="preserve"> </w:t>
      </w:r>
      <w:r>
        <w:t xml:space="preserve">Views adopted on 29 March 2000; and No. 775/1997, </w:t>
      </w:r>
      <w:r>
        <w:rPr>
          <w:i/>
        </w:rPr>
        <w:t>Brown v. Jamaica</w:t>
      </w:r>
      <w:r w:rsidRPr="001F2642">
        <w:rPr>
          <w:iCs/>
        </w:rPr>
        <w:t>,</w:t>
      </w:r>
      <w:r>
        <w:rPr>
          <w:i/>
        </w:rPr>
        <w:t xml:space="preserve"> </w:t>
      </w:r>
      <w:r>
        <w:t>Views adopted on 23 March 1999.</w:t>
      </w:r>
    </w:p>
  </w:footnote>
  <w:footnote w:id="6">
    <w:p w14:paraId="5595645E" w14:textId="77777777" w:rsidR="00C910AC" w:rsidRPr="007D6206" w:rsidRDefault="00C910AC" w:rsidP="00DA7D25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  <w:t xml:space="preserve">On 27 February 2015, the </w:t>
      </w:r>
      <w:r w:rsidR="00DA7D25">
        <w:t>Registry of the European Court of Human Rights</w:t>
      </w:r>
      <w:r>
        <w:t xml:space="preserve"> confirmed that the author’s case was still pending before the Court.</w:t>
      </w:r>
    </w:p>
  </w:footnote>
  <w:footnote w:id="7">
    <w:p w14:paraId="5F3859B7" w14:textId="77777777" w:rsidR="00C910AC" w:rsidRPr="00512444" w:rsidRDefault="00C910AC" w:rsidP="00951CB8">
      <w:pPr>
        <w:pStyle w:val="FootnoteText"/>
      </w:pPr>
      <w:r>
        <w:tab/>
      </w:r>
      <w:r>
        <w:rPr>
          <w:rStyle w:val="FootnoteReference"/>
        </w:rPr>
        <w:footnoteRef/>
      </w:r>
      <w:r>
        <w:tab/>
      </w:r>
      <w:r w:rsidRPr="00512444">
        <w:t>See, for example</w:t>
      </w:r>
      <w:r w:rsidR="00951CB8">
        <w:t>,</w:t>
      </w:r>
      <w:r w:rsidRPr="00512444">
        <w:t xml:space="preserve"> </w:t>
      </w:r>
      <w:r w:rsidRPr="00B63E0A">
        <w:t>communication</w:t>
      </w:r>
      <w:r w:rsidRPr="00512444">
        <w:t xml:space="preserve"> No. 1573/2007, </w:t>
      </w:r>
      <w:r w:rsidR="00951CB8" w:rsidRPr="001F2642">
        <w:rPr>
          <w:i/>
          <w:iCs/>
        </w:rPr>
        <w:t>Š</w:t>
      </w:r>
      <w:r w:rsidRPr="00512444">
        <w:rPr>
          <w:i/>
        </w:rPr>
        <w:t xml:space="preserve">roub v. </w:t>
      </w:r>
      <w:r w:rsidR="00951CB8">
        <w:rPr>
          <w:i/>
        </w:rPr>
        <w:t>t</w:t>
      </w:r>
      <w:r w:rsidRPr="00512444">
        <w:rPr>
          <w:i/>
        </w:rPr>
        <w:t>he Czech Republic</w:t>
      </w:r>
      <w:r w:rsidRPr="00512444">
        <w:t xml:space="preserve">, </w:t>
      </w:r>
      <w:r w:rsidR="00951CB8">
        <w:t xml:space="preserve">decision of </w:t>
      </w:r>
      <w:r w:rsidRPr="00512444">
        <w:t xml:space="preserve">inadmissibility </w:t>
      </w:r>
      <w:r>
        <w:t>adopted on</w:t>
      </w:r>
      <w:r w:rsidRPr="00512444">
        <w:t xml:space="preserve"> 27 October 2009, para</w:t>
      </w:r>
      <w:r>
        <w:t>.</w:t>
      </w:r>
      <w:r w:rsidRPr="00512444">
        <w:t xml:space="preserve"> 8.2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EBB09" w14:textId="77777777" w:rsidR="00C910AC" w:rsidRPr="00F62FAC" w:rsidRDefault="00C910AC">
    <w:pPr>
      <w:pStyle w:val="Header"/>
    </w:pPr>
    <w:r>
      <w:t>CCPR/C/114/D/2183/2012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F008F" w14:textId="77777777" w:rsidR="00C910AC" w:rsidRPr="00F62FAC" w:rsidRDefault="00C910AC" w:rsidP="00BE1827">
    <w:pPr>
      <w:pStyle w:val="Header"/>
      <w:jc w:val="right"/>
    </w:pPr>
    <w:r>
      <w:t>CCPR/C/114/D/2183/2012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57A09"/>
    <w:multiLevelType w:val="hybridMultilevel"/>
    <w:tmpl w:val="ED824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2ABE"/>
    <w:multiLevelType w:val="hybridMultilevel"/>
    <w:tmpl w:val="0BB6A8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D5E44"/>
    <w:multiLevelType w:val="hybridMultilevel"/>
    <w:tmpl w:val="0838A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4D7C"/>
    <w:multiLevelType w:val="hybridMultilevel"/>
    <w:tmpl w:val="633A3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C33A5"/>
    <w:multiLevelType w:val="hybridMultilevel"/>
    <w:tmpl w:val="EBD02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83D17"/>
    <w:multiLevelType w:val="hybridMultilevel"/>
    <w:tmpl w:val="E0D26A94"/>
    <w:lvl w:ilvl="0" w:tplc="A4641B98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FE02FC8"/>
    <w:multiLevelType w:val="hybridMultilevel"/>
    <w:tmpl w:val="DB4A3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D1120"/>
    <w:multiLevelType w:val="hybridMultilevel"/>
    <w:tmpl w:val="546E8D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443C4"/>
    <w:multiLevelType w:val="hybridMultilevel"/>
    <w:tmpl w:val="AEE62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AC"/>
    <w:rsid w:val="00000EE0"/>
    <w:rsid w:val="0001780B"/>
    <w:rsid w:val="00021757"/>
    <w:rsid w:val="000272B3"/>
    <w:rsid w:val="00031C8B"/>
    <w:rsid w:val="00033712"/>
    <w:rsid w:val="00041765"/>
    <w:rsid w:val="00042143"/>
    <w:rsid w:val="0004300C"/>
    <w:rsid w:val="00043F33"/>
    <w:rsid w:val="00044FA7"/>
    <w:rsid w:val="0004721A"/>
    <w:rsid w:val="00050F6B"/>
    <w:rsid w:val="00057E97"/>
    <w:rsid w:val="00060C3A"/>
    <w:rsid w:val="00072C8C"/>
    <w:rsid w:val="000733B5"/>
    <w:rsid w:val="00081036"/>
    <w:rsid w:val="00081815"/>
    <w:rsid w:val="00084854"/>
    <w:rsid w:val="0009019A"/>
    <w:rsid w:val="0009224E"/>
    <w:rsid w:val="000931C0"/>
    <w:rsid w:val="00093AFF"/>
    <w:rsid w:val="00096197"/>
    <w:rsid w:val="000A5DF3"/>
    <w:rsid w:val="000B175B"/>
    <w:rsid w:val="000B3A0F"/>
    <w:rsid w:val="000B4EF7"/>
    <w:rsid w:val="000C2C03"/>
    <w:rsid w:val="000C2D2E"/>
    <w:rsid w:val="000C402A"/>
    <w:rsid w:val="000D61E0"/>
    <w:rsid w:val="000E0415"/>
    <w:rsid w:val="000F2AB6"/>
    <w:rsid w:val="00102611"/>
    <w:rsid w:val="001103AA"/>
    <w:rsid w:val="0011275A"/>
    <w:rsid w:val="00113F59"/>
    <w:rsid w:val="001144C0"/>
    <w:rsid w:val="001202EA"/>
    <w:rsid w:val="00120622"/>
    <w:rsid w:val="001323C2"/>
    <w:rsid w:val="00133325"/>
    <w:rsid w:val="00133350"/>
    <w:rsid w:val="00134567"/>
    <w:rsid w:val="00141295"/>
    <w:rsid w:val="0014386A"/>
    <w:rsid w:val="0014658F"/>
    <w:rsid w:val="001600F9"/>
    <w:rsid w:val="00162D66"/>
    <w:rsid w:val="00165F33"/>
    <w:rsid w:val="00165F3A"/>
    <w:rsid w:val="00170822"/>
    <w:rsid w:val="00183968"/>
    <w:rsid w:val="00185878"/>
    <w:rsid w:val="001A6686"/>
    <w:rsid w:val="001B12AD"/>
    <w:rsid w:val="001B4B04"/>
    <w:rsid w:val="001C6663"/>
    <w:rsid w:val="001C7895"/>
    <w:rsid w:val="001D0C8C"/>
    <w:rsid w:val="001D26DF"/>
    <w:rsid w:val="001D3A03"/>
    <w:rsid w:val="001D3B8A"/>
    <w:rsid w:val="001D6F1A"/>
    <w:rsid w:val="001E66BD"/>
    <w:rsid w:val="001F2642"/>
    <w:rsid w:val="001F4714"/>
    <w:rsid w:val="00202DA8"/>
    <w:rsid w:val="002031CD"/>
    <w:rsid w:val="002079E7"/>
    <w:rsid w:val="00211E0B"/>
    <w:rsid w:val="002175E8"/>
    <w:rsid w:val="002253BC"/>
    <w:rsid w:val="0023210C"/>
    <w:rsid w:val="00235F07"/>
    <w:rsid w:val="00247A17"/>
    <w:rsid w:val="00250954"/>
    <w:rsid w:val="00250B89"/>
    <w:rsid w:val="002654C3"/>
    <w:rsid w:val="00267F5F"/>
    <w:rsid w:val="00286B4D"/>
    <w:rsid w:val="002A10A9"/>
    <w:rsid w:val="002B24A3"/>
    <w:rsid w:val="002B5CE3"/>
    <w:rsid w:val="002C08BB"/>
    <w:rsid w:val="002C14FF"/>
    <w:rsid w:val="002C1B12"/>
    <w:rsid w:val="002C538B"/>
    <w:rsid w:val="002D2A39"/>
    <w:rsid w:val="002D709F"/>
    <w:rsid w:val="002D7C95"/>
    <w:rsid w:val="002E24F2"/>
    <w:rsid w:val="002E4EE7"/>
    <w:rsid w:val="002E66BD"/>
    <w:rsid w:val="002F175C"/>
    <w:rsid w:val="003229D8"/>
    <w:rsid w:val="00322B19"/>
    <w:rsid w:val="0032520E"/>
    <w:rsid w:val="00326242"/>
    <w:rsid w:val="00342225"/>
    <w:rsid w:val="00352602"/>
    <w:rsid w:val="00352709"/>
    <w:rsid w:val="00354C21"/>
    <w:rsid w:val="0036366F"/>
    <w:rsid w:val="00364DE5"/>
    <w:rsid w:val="00365D4F"/>
    <w:rsid w:val="00367567"/>
    <w:rsid w:val="00371178"/>
    <w:rsid w:val="00382597"/>
    <w:rsid w:val="0038336C"/>
    <w:rsid w:val="0039242A"/>
    <w:rsid w:val="00396B25"/>
    <w:rsid w:val="003A47ED"/>
    <w:rsid w:val="003A6810"/>
    <w:rsid w:val="003B2A82"/>
    <w:rsid w:val="003B3030"/>
    <w:rsid w:val="003B6530"/>
    <w:rsid w:val="003B7AF9"/>
    <w:rsid w:val="003C2CC4"/>
    <w:rsid w:val="003D49CD"/>
    <w:rsid w:val="003D4B23"/>
    <w:rsid w:val="003E49EE"/>
    <w:rsid w:val="00400765"/>
    <w:rsid w:val="004102CB"/>
    <w:rsid w:val="00410C89"/>
    <w:rsid w:val="004133C5"/>
    <w:rsid w:val="00413902"/>
    <w:rsid w:val="00414B65"/>
    <w:rsid w:val="00426B9B"/>
    <w:rsid w:val="004325CB"/>
    <w:rsid w:val="00434249"/>
    <w:rsid w:val="00436B33"/>
    <w:rsid w:val="00442A83"/>
    <w:rsid w:val="00444184"/>
    <w:rsid w:val="004446B1"/>
    <w:rsid w:val="004456A2"/>
    <w:rsid w:val="00447D46"/>
    <w:rsid w:val="0045495B"/>
    <w:rsid w:val="00463AC1"/>
    <w:rsid w:val="00476160"/>
    <w:rsid w:val="00482CA1"/>
    <w:rsid w:val="00487488"/>
    <w:rsid w:val="00487F56"/>
    <w:rsid w:val="004947AA"/>
    <w:rsid w:val="004A005B"/>
    <w:rsid w:val="004B471F"/>
    <w:rsid w:val="004D0DA9"/>
    <w:rsid w:val="004D5D87"/>
    <w:rsid w:val="004E0513"/>
    <w:rsid w:val="004E4ED6"/>
    <w:rsid w:val="005050C8"/>
    <w:rsid w:val="00512444"/>
    <w:rsid w:val="0052136D"/>
    <w:rsid w:val="005261B5"/>
    <w:rsid w:val="00527613"/>
    <w:rsid w:val="0052775E"/>
    <w:rsid w:val="00530F09"/>
    <w:rsid w:val="005420F2"/>
    <w:rsid w:val="00547499"/>
    <w:rsid w:val="005628B6"/>
    <w:rsid w:val="0057503F"/>
    <w:rsid w:val="005772A9"/>
    <w:rsid w:val="005809FC"/>
    <w:rsid w:val="005848B3"/>
    <w:rsid w:val="00590F87"/>
    <w:rsid w:val="00592C4A"/>
    <w:rsid w:val="00593F64"/>
    <w:rsid w:val="0059524E"/>
    <w:rsid w:val="005A01DE"/>
    <w:rsid w:val="005A52B2"/>
    <w:rsid w:val="005A7756"/>
    <w:rsid w:val="005B2579"/>
    <w:rsid w:val="005B3DB3"/>
    <w:rsid w:val="005B7B82"/>
    <w:rsid w:val="005C082E"/>
    <w:rsid w:val="005D024D"/>
    <w:rsid w:val="005D224F"/>
    <w:rsid w:val="005D7CCD"/>
    <w:rsid w:val="005E2072"/>
    <w:rsid w:val="005F256E"/>
    <w:rsid w:val="005F7717"/>
    <w:rsid w:val="005F7B75"/>
    <w:rsid w:val="006001EE"/>
    <w:rsid w:val="00601738"/>
    <w:rsid w:val="00605042"/>
    <w:rsid w:val="006102E9"/>
    <w:rsid w:val="00610B27"/>
    <w:rsid w:val="00611FC4"/>
    <w:rsid w:val="00612481"/>
    <w:rsid w:val="0061628F"/>
    <w:rsid w:val="006176FB"/>
    <w:rsid w:val="006247FA"/>
    <w:rsid w:val="0063453D"/>
    <w:rsid w:val="006364F1"/>
    <w:rsid w:val="0063653C"/>
    <w:rsid w:val="00640280"/>
    <w:rsid w:val="00640B26"/>
    <w:rsid w:val="00652670"/>
    <w:rsid w:val="00652D0A"/>
    <w:rsid w:val="00657C67"/>
    <w:rsid w:val="00662BB6"/>
    <w:rsid w:val="00672517"/>
    <w:rsid w:val="00684C21"/>
    <w:rsid w:val="00687CF2"/>
    <w:rsid w:val="006B1676"/>
    <w:rsid w:val="006C1B62"/>
    <w:rsid w:val="006D37AF"/>
    <w:rsid w:val="006D51D0"/>
    <w:rsid w:val="006E0ACF"/>
    <w:rsid w:val="006E3C64"/>
    <w:rsid w:val="006E4754"/>
    <w:rsid w:val="006E564B"/>
    <w:rsid w:val="006E7191"/>
    <w:rsid w:val="0070216B"/>
    <w:rsid w:val="00703577"/>
    <w:rsid w:val="007212F5"/>
    <w:rsid w:val="00725F30"/>
    <w:rsid w:val="0072632A"/>
    <w:rsid w:val="00731ADF"/>
    <w:rsid w:val="007327D5"/>
    <w:rsid w:val="007412D6"/>
    <w:rsid w:val="00742EB5"/>
    <w:rsid w:val="00750ED7"/>
    <w:rsid w:val="007517A4"/>
    <w:rsid w:val="007629C8"/>
    <w:rsid w:val="007753F7"/>
    <w:rsid w:val="00775C96"/>
    <w:rsid w:val="007B26AC"/>
    <w:rsid w:val="007B4768"/>
    <w:rsid w:val="007B6BA5"/>
    <w:rsid w:val="007C3390"/>
    <w:rsid w:val="007C4A2C"/>
    <w:rsid w:val="007C4F4B"/>
    <w:rsid w:val="007C784F"/>
    <w:rsid w:val="007D13BF"/>
    <w:rsid w:val="007D6206"/>
    <w:rsid w:val="007E0B2D"/>
    <w:rsid w:val="007F6611"/>
    <w:rsid w:val="00800FC0"/>
    <w:rsid w:val="008105B8"/>
    <w:rsid w:val="008105C3"/>
    <w:rsid w:val="0081526D"/>
    <w:rsid w:val="008242D7"/>
    <w:rsid w:val="008257B1"/>
    <w:rsid w:val="00832881"/>
    <w:rsid w:val="00836CDA"/>
    <w:rsid w:val="008424CF"/>
    <w:rsid w:val="00842FD7"/>
    <w:rsid w:val="00843767"/>
    <w:rsid w:val="008557D5"/>
    <w:rsid w:val="00861CDC"/>
    <w:rsid w:val="008679D9"/>
    <w:rsid w:val="008747BD"/>
    <w:rsid w:val="008804C0"/>
    <w:rsid w:val="00891869"/>
    <w:rsid w:val="008979B1"/>
    <w:rsid w:val="008A1DB2"/>
    <w:rsid w:val="008A6B25"/>
    <w:rsid w:val="008A6C4F"/>
    <w:rsid w:val="008B2335"/>
    <w:rsid w:val="008D3EC8"/>
    <w:rsid w:val="008E0678"/>
    <w:rsid w:val="008E2D1C"/>
    <w:rsid w:val="008E448B"/>
    <w:rsid w:val="008F7637"/>
    <w:rsid w:val="00901178"/>
    <w:rsid w:val="00910F40"/>
    <w:rsid w:val="009128B6"/>
    <w:rsid w:val="00912C08"/>
    <w:rsid w:val="009223CA"/>
    <w:rsid w:val="00924FE3"/>
    <w:rsid w:val="0093701F"/>
    <w:rsid w:val="00940F93"/>
    <w:rsid w:val="00941A35"/>
    <w:rsid w:val="00951CB8"/>
    <w:rsid w:val="0095347F"/>
    <w:rsid w:val="009534CC"/>
    <w:rsid w:val="00956B39"/>
    <w:rsid w:val="00961795"/>
    <w:rsid w:val="009702C6"/>
    <w:rsid w:val="00973AAE"/>
    <w:rsid w:val="009760F3"/>
    <w:rsid w:val="00985C06"/>
    <w:rsid w:val="00987EE6"/>
    <w:rsid w:val="009909F5"/>
    <w:rsid w:val="009A0E8D"/>
    <w:rsid w:val="009A12F0"/>
    <w:rsid w:val="009A2B5F"/>
    <w:rsid w:val="009A4F0C"/>
    <w:rsid w:val="009B26E7"/>
    <w:rsid w:val="009B6100"/>
    <w:rsid w:val="009D4F9B"/>
    <w:rsid w:val="009D5B82"/>
    <w:rsid w:val="009E1F0F"/>
    <w:rsid w:val="009E44E8"/>
    <w:rsid w:val="00A00A3F"/>
    <w:rsid w:val="00A01489"/>
    <w:rsid w:val="00A04C17"/>
    <w:rsid w:val="00A23250"/>
    <w:rsid w:val="00A24858"/>
    <w:rsid w:val="00A32091"/>
    <w:rsid w:val="00A338F1"/>
    <w:rsid w:val="00A429C0"/>
    <w:rsid w:val="00A44615"/>
    <w:rsid w:val="00A458A1"/>
    <w:rsid w:val="00A531B9"/>
    <w:rsid w:val="00A55670"/>
    <w:rsid w:val="00A60FE2"/>
    <w:rsid w:val="00A66FB5"/>
    <w:rsid w:val="00A715C5"/>
    <w:rsid w:val="00A72F22"/>
    <w:rsid w:val="00A7360F"/>
    <w:rsid w:val="00A748A6"/>
    <w:rsid w:val="00A769F4"/>
    <w:rsid w:val="00A776B4"/>
    <w:rsid w:val="00A80FEB"/>
    <w:rsid w:val="00A844B9"/>
    <w:rsid w:val="00A85B06"/>
    <w:rsid w:val="00A92742"/>
    <w:rsid w:val="00A94361"/>
    <w:rsid w:val="00A96E65"/>
    <w:rsid w:val="00AA293C"/>
    <w:rsid w:val="00AB2E92"/>
    <w:rsid w:val="00AE1242"/>
    <w:rsid w:val="00AE428D"/>
    <w:rsid w:val="00AF2226"/>
    <w:rsid w:val="00AF43A9"/>
    <w:rsid w:val="00B00565"/>
    <w:rsid w:val="00B13E9B"/>
    <w:rsid w:val="00B30179"/>
    <w:rsid w:val="00B338BB"/>
    <w:rsid w:val="00B339A7"/>
    <w:rsid w:val="00B46FCC"/>
    <w:rsid w:val="00B5260C"/>
    <w:rsid w:val="00B56E4A"/>
    <w:rsid w:val="00B56E9C"/>
    <w:rsid w:val="00B6205C"/>
    <w:rsid w:val="00B63E0A"/>
    <w:rsid w:val="00B64B1F"/>
    <w:rsid w:val="00B6553F"/>
    <w:rsid w:val="00B66415"/>
    <w:rsid w:val="00B664DC"/>
    <w:rsid w:val="00B66E5E"/>
    <w:rsid w:val="00B70DB3"/>
    <w:rsid w:val="00B72A21"/>
    <w:rsid w:val="00B765DB"/>
    <w:rsid w:val="00B77D05"/>
    <w:rsid w:val="00B8101A"/>
    <w:rsid w:val="00B81206"/>
    <w:rsid w:val="00B81E12"/>
    <w:rsid w:val="00B84874"/>
    <w:rsid w:val="00B9067B"/>
    <w:rsid w:val="00B90B4C"/>
    <w:rsid w:val="00B95933"/>
    <w:rsid w:val="00B974D0"/>
    <w:rsid w:val="00BA2027"/>
    <w:rsid w:val="00BA442B"/>
    <w:rsid w:val="00BA64BF"/>
    <w:rsid w:val="00BB0FCA"/>
    <w:rsid w:val="00BB5DBE"/>
    <w:rsid w:val="00BC2C23"/>
    <w:rsid w:val="00BC2E63"/>
    <w:rsid w:val="00BC74E9"/>
    <w:rsid w:val="00BE1827"/>
    <w:rsid w:val="00BF48CC"/>
    <w:rsid w:val="00BF68A8"/>
    <w:rsid w:val="00C03BE7"/>
    <w:rsid w:val="00C0519E"/>
    <w:rsid w:val="00C06E32"/>
    <w:rsid w:val="00C11A03"/>
    <w:rsid w:val="00C129C8"/>
    <w:rsid w:val="00C15C0E"/>
    <w:rsid w:val="00C25565"/>
    <w:rsid w:val="00C27B13"/>
    <w:rsid w:val="00C27BB6"/>
    <w:rsid w:val="00C34D38"/>
    <w:rsid w:val="00C463DD"/>
    <w:rsid w:val="00C4724C"/>
    <w:rsid w:val="00C548A3"/>
    <w:rsid w:val="00C629A0"/>
    <w:rsid w:val="00C63075"/>
    <w:rsid w:val="00C70324"/>
    <w:rsid w:val="00C708B9"/>
    <w:rsid w:val="00C745C3"/>
    <w:rsid w:val="00C7621C"/>
    <w:rsid w:val="00C77C60"/>
    <w:rsid w:val="00C83475"/>
    <w:rsid w:val="00C910AC"/>
    <w:rsid w:val="00CA2643"/>
    <w:rsid w:val="00CC12A9"/>
    <w:rsid w:val="00CC2133"/>
    <w:rsid w:val="00CC72C0"/>
    <w:rsid w:val="00CD19C5"/>
    <w:rsid w:val="00CD42CA"/>
    <w:rsid w:val="00CE0383"/>
    <w:rsid w:val="00CE31E2"/>
    <w:rsid w:val="00CE4A8F"/>
    <w:rsid w:val="00CF22F8"/>
    <w:rsid w:val="00CF5525"/>
    <w:rsid w:val="00CF7E35"/>
    <w:rsid w:val="00D1641F"/>
    <w:rsid w:val="00D16E3F"/>
    <w:rsid w:val="00D2031B"/>
    <w:rsid w:val="00D21526"/>
    <w:rsid w:val="00D25FE2"/>
    <w:rsid w:val="00D33A3D"/>
    <w:rsid w:val="00D3640D"/>
    <w:rsid w:val="00D43252"/>
    <w:rsid w:val="00D45809"/>
    <w:rsid w:val="00D47DBC"/>
    <w:rsid w:val="00D47EEA"/>
    <w:rsid w:val="00D51484"/>
    <w:rsid w:val="00D53239"/>
    <w:rsid w:val="00D55897"/>
    <w:rsid w:val="00D61711"/>
    <w:rsid w:val="00D676D0"/>
    <w:rsid w:val="00D72A42"/>
    <w:rsid w:val="00D7406F"/>
    <w:rsid w:val="00D846DC"/>
    <w:rsid w:val="00D84D8B"/>
    <w:rsid w:val="00D84FC4"/>
    <w:rsid w:val="00D85847"/>
    <w:rsid w:val="00D87779"/>
    <w:rsid w:val="00D95303"/>
    <w:rsid w:val="00D978C6"/>
    <w:rsid w:val="00DA156F"/>
    <w:rsid w:val="00DA3111"/>
    <w:rsid w:val="00DA3C1C"/>
    <w:rsid w:val="00DA525C"/>
    <w:rsid w:val="00DA7D25"/>
    <w:rsid w:val="00DB0C79"/>
    <w:rsid w:val="00DB5350"/>
    <w:rsid w:val="00DC1342"/>
    <w:rsid w:val="00DC1A42"/>
    <w:rsid w:val="00DC6FCD"/>
    <w:rsid w:val="00DE1FF0"/>
    <w:rsid w:val="00E02B6C"/>
    <w:rsid w:val="00E070C1"/>
    <w:rsid w:val="00E1250A"/>
    <w:rsid w:val="00E27346"/>
    <w:rsid w:val="00E41D1F"/>
    <w:rsid w:val="00E456D4"/>
    <w:rsid w:val="00E500AF"/>
    <w:rsid w:val="00E53CE7"/>
    <w:rsid w:val="00E572EB"/>
    <w:rsid w:val="00E709D6"/>
    <w:rsid w:val="00E71BC8"/>
    <w:rsid w:val="00E7260F"/>
    <w:rsid w:val="00E779FC"/>
    <w:rsid w:val="00E862AD"/>
    <w:rsid w:val="00E91AA3"/>
    <w:rsid w:val="00E933AF"/>
    <w:rsid w:val="00E94330"/>
    <w:rsid w:val="00E96630"/>
    <w:rsid w:val="00EA7B43"/>
    <w:rsid w:val="00EB2581"/>
    <w:rsid w:val="00ED1F26"/>
    <w:rsid w:val="00ED7A2A"/>
    <w:rsid w:val="00EF1D7F"/>
    <w:rsid w:val="00EF792F"/>
    <w:rsid w:val="00F01B8A"/>
    <w:rsid w:val="00F06EAE"/>
    <w:rsid w:val="00F07CEB"/>
    <w:rsid w:val="00F10249"/>
    <w:rsid w:val="00F16B56"/>
    <w:rsid w:val="00F20C3D"/>
    <w:rsid w:val="00F263B2"/>
    <w:rsid w:val="00F31789"/>
    <w:rsid w:val="00F41660"/>
    <w:rsid w:val="00F43E9E"/>
    <w:rsid w:val="00F53306"/>
    <w:rsid w:val="00F62338"/>
    <w:rsid w:val="00F62FAC"/>
    <w:rsid w:val="00F724D8"/>
    <w:rsid w:val="00F739B4"/>
    <w:rsid w:val="00F804F7"/>
    <w:rsid w:val="00F9057C"/>
    <w:rsid w:val="00F906D7"/>
    <w:rsid w:val="00F91678"/>
    <w:rsid w:val="00F93781"/>
    <w:rsid w:val="00FA2A70"/>
    <w:rsid w:val="00FB613B"/>
    <w:rsid w:val="00FC26C4"/>
    <w:rsid w:val="00FC4719"/>
    <w:rsid w:val="00FC68B7"/>
    <w:rsid w:val="00FD2FFC"/>
    <w:rsid w:val="00FD77BE"/>
    <w:rsid w:val="00FE106A"/>
    <w:rsid w:val="00FE185C"/>
    <w:rsid w:val="00FE2B4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E1258"/>
  <w15:docId w15:val="{878A61E3-B5B7-489C-8899-3AECF642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2B3"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uiPriority w:val="9"/>
    <w:qFormat/>
    <w:rsid w:val="000272B3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0272B3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0272B3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0272B3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uiPriority w:val="9"/>
    <w:qFormat/>
    <w:rsid w:val="000272B3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0272B3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uiPriority w:val="9"/>
    <w:qFormat/>
    <w:rsid w:val="000272B3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0272B3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9"/>
    <w:qFormat/>
    <w:rsid w:val="000272B3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rsid w:val="000272B3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rsid w:val="000272B3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rsid w:val="000272B3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styleId="Header">
    <w:name w:val="header"/>
    <w:aliases w:val="6_G"/>
    <w:basedOn w:val="Normal"/>
    <w:link w:val="HeaderChar"/>
    <w:uiPriority w:val="99"/>
    <w:rsid w:val="000272B3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0272B3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semiHidden/>
    <w:rsid w:val="000272B3"/>
    <w:rPr>
      <w:color w:val="auto"/>
      <w:u w:val="none"/>
    </w:rPr>
  </w:style>
  <w:style w:type="character" w:styleId="FollowedHyperlink">
    <w:name w:val="FollowedHyperlink"/>
    <w:semiHidden/>
    <w:rsid w:val="000272B3"/>
    <w:rPr>
      <w:color w:val="auto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5D7CCD"/>
    <w:pPr>
      <w:tabs>
        <w:tab w:val="right" w:pos="1021"/>
      </w:tabs>
      <w:kinsoku w:val="0"/>
      <w:overflowPunct w:val="0"/>
      <w:autoSpaceDE w:val="0"/>
      <w:autoSpaceDN w:val="0"/>
      <w:adjustRightInd w:val="0"/>
      <w:snapToGrid w:val="0"/>
      <w:spacing w:line="220" w:lineRule="exact"/>
      <w:ind w:left="1134" w:right="1134" w:hanging="1134"/>
    </w:pPr>
    <w:rPr>
      <w:rFonts w:eastAsia="SimSun"/>
      <w:sz w:val="18"/>
      <w:lang w:val="en-US" w:eastAsia="zh-CN"/>
    </w:rPr>
  </w:style>
  <w:style w:type="paragraph" w:styleId="EndnoteText">
    <w:name w:val="endnote text"/>
    <w:aliases w:val="2_G"/>
    <w:basedOn w:val="FootnoteText"/>
    <w:rsid w:val="000272B3"/>
  </w:style>
  <w:style w:type="paragraph" w:customStyle="1" w:styleId="SMG">
    <w:name w:val="__S_M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0272B3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0272B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rsid w:val="000272B3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qFormat/>
    <w:rsid w:val="005D7CCD"/>
    <w:rPr>
      <w:rFonts w:ascii="Times New Roman" w:hAnsi="Times New Roman"/>
      <w:sz w:val="18"/>
      <w:vertAlign w:val="superscript"/>
    </w:rPr>
  </w:style>
  <w:style w:type="character" w:styleId="PageNumber">
    <w:name w:val="page number"/>
    <w:aliases w:val="7_G"/>
    <w:rsid w:val="000272B3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0272B3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rsid w:val="000272B3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link w:val="FooterChar"/>
    <w:uiPriority w:val="99"/>
    <w:rsid w:val="000272B3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rsid w:val="000272B3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rsid w:val="000272B3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rsid w:val="000272B3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character" w:customStyle="1" w:styleId="FootnoteTextChar">
    <w:name w:val="Footnote Text Char"/>
    <w:aliases w:val="5_G Char"/>
    <w:link w:val="FootnoteText"/>
    <w:rsid w:val="004947AA"/>
    <w:rPr>
      <w:rFonts w:eastAsia="SimSun"/>
      <w:sz w:val="18"/>
      <w:lang w:val="en-US" w:eastAsia="zh-CN"/>
    </w:rPr>
  </w:style>
  <w:style w:type="character" w:customStyle="1" w:styleId="Heading1Char">
    <w:name w:val="Heading 1 Char"/>
    <w:aliases w:val="Table_G Char"/>
    <w:link w:val="Heading1"/>
    <w:uiPriority w:val="9"/>
    <w:rsid w:val="004947AA"/>
    <w:rPr>
      <w:lang w:eastAsia="en-US"/>
    </w:rPr>
  </w:style>
  <w:style w:type="character" w:customStyle="1" w:styleId="Heading2Char">
    <w:name w:val="Heading 2 Char"/>
    <w:link w:val="Heading2"/>
    <w:uiPriority w:val="9"/>
    <w:rsid w:val="004947AA"/>
    <w:rPr>
      <w:lang w:eastAsia="en-US"/>
    </w:rPr>
  </w:style>
  <w:style w:type="character" w:customStyle="1" w:styleId="Heading3Char">
    <w:name w:val="Heading 3 Char"/>
    <w:link w:val="Heading3"/>
    <w:uiPriority w:val="9"/>
    <w:rsid w:val="004947AA"/>
    <w:rPr>
      <w:lang w:eastAsia="en-US"/>
    </w:rPr>
  </w:style>
  <w:style w:type="character" w:customStyle="1" w:styleId="Heading4Char">
    <w:name w:val="Heading 4 Char"/>
    <w:link w:val="Heading4"/>
    <w:uiPriority w:val="9"/>
    <w:rsid w:val="004947AA"/>
    <w:rPr>
      <w:lang w:eastAsia="en-US"/>
    </w:rPr>
  </w:style>
  <w:style w:type="character" w:customStyle="1" w:styleId="Heading5Char">
    <w:name w:val="Heading 5 Char"/>
    <w:link w:val="Heading5"/>
    <w:uiPriority w:val="9"/>
    <w:rsid w:val="004947AA"/>
    <w:rPr>
      <w:lang w:eastAsia="en-US"/>
    </w:rPr>
  </w:style>
  <w:style w:type="character" w:customStyle="1" w:styleId="Heading6Char">
    <w:name w:val="Heading 6 Char"/>
    <w:link w:val="Heading6"/>
    <w:uiPriority w:val="9"/>
    <w:rsid w:val="004947AA"/>
    <w:rPr>
      <w:lang w:eastAsia="en-US"/>
    </w:rPr>
  </w:style>
  <w:style w:type="character" w:customStyle="1" w:styleId="Heading7Char">
    <w:name w:val="Heading 7 Char"/>
    <w:link w:val="Heading7"/>
    <w:uiPriority w:val="9"/>
    <w:rsid w:val="004947AA"/>
    <w:rPr>
      <w:lang w:eastAsia="en-US"/>
    </w:rPr>
  </w:style>
  <w:style w:type="character" w:customStyle="1" w:styleId="Heading8Char">
    <w:name w:val="Heading 8 Char"/>
    <w:link w:val="Heading8"/>
    <w:uiPriority w:val="9"/>
    <w:rsid w:val="004947AA"/>
    <w:rPr>
      <w:lang w:eastAsia="en-US"/>
    </w:rPr>
  </w:style>
  <w:style w:type="character" w:customStyle="1" w:styleId="Heading9Char">
    <w:name w:val="Heading 9 Char"/>
    <w:link w:val="Heading9"/>
    <w:uiPriority w:val="9"/>
    <w:rsid w:val="004947AA"/>
    <w:rPr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47AA"/>
    <w:pPr>
      <w:suppressAutoHyphens w:val="0"/>
      <w:spacing w:after="120" w:line="240" w:lineRule="auto"/>
    </w:pPr>
    <w:rPr>
      <w:rFonts w:ascii="Calibri" w:hAnsi="Calibri"/>
      <w:b/>
      <w:bCs/>
      <w:smallCaps/>
      <w:color w:val="595959"/>
      <w:spacing w:val="6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4947AA"/>
    <w:pPr>
      <w:suppressAutoHyphens w:val="0"/>
      <w:spacing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  <w:lang w:val="fr-FR" w:eastAsia="fr-FR"/>
    </w:rPr>
  </w:style>
  <w:style w:type="character" w:customStyle="1" w:styleId="TitleChar">
    <w:name w:val="Title Char"/>
    <w:link w:val="Title"/>
    <w:uiPriority w:val="10"/>
    <w:rsid w:val="004947AA"/>
    <w:rPr>
      <w:rFonts w:ascii="Calibri Light" w:eastAsia="SimSun" w:hAnsi="Calibri Light"/>
      <w:color w:val="5B9BD5"/>
      <w:spacing w:val="-10"/>
      <w:sz w:val="56"/>
      <w:szCs w:val="56"/>
      <w:lang w:val="fr-FR" w:eastAsia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7AA"/>
    <w:pPr>
      <w:numPr>
        <w:ilvl w:val="1"/>
      </w:numPr>
      <w:suppressAutoHyphens w:val="0"/>
      <w:spacing w:after="120" w:line="240" w:lineRule="auto"/>
    </w:pPr>
    <w:rPr>
      <w:rFonts w:ascii="Calibri Light" w:eastAsia="SimSun" w:hAnsi="Calibri Light"/>
      <w:sz w:val="24"/>
      <w:szCs w:val="24"/>
      <w:lang w:val="fr-FR" w:eastAsia="fr-FR"/>
    </w:rPr>
  </w:style>
  <w:style w:type="character" w:customStyle="1" w:styleId="SubtitleChar">
    <w:name w:val="Subtitle Char"/>
    <w:link w:val="Subtitle"/>
    <w:uiPriority w:val="11"/>
    <w:rsid w:val="004947AA"/>
    <w:rPr>
      <w:rFonts w:ascii="Calibri Light" w:eastAsia="SimSun" w:hAnsi="Calibri Light"/>
      <w:sz w:val="24"/>
      <w:szCs w:val="24"/>
      <w:lang w:val="fr-FR" w:eastAsia="fr-FR"/>
    </w:rPr>
  </w:style>
  <w:style w:type="character" w:styleId="Strong">
    <w:name w:val="Strong"/>
    <w:uiPriority w:val="22"/>
    <w:qFormat/>
    <w:rsid w:val="004947AA"/>
    <w:rPr>
      <w:b/>
      <w:bCs/>
    </w:rPr>
  </w:style>
  <w:style w:type="character" w:styleId="Emphasis">
    <w:name w:val="Emphasis"/>
    <w:uiPriority w:val="20"/>
    <w:qFormat/>
    <w:rsid w:val="004947AA"/>
    <w:rPr>
      <w:i/>
      <w:iCs/>
    </w:rPr>
  </w:style>
  <w:style w:type="paragraph" w:styleId="NoSpacing">
    <w:name w:val="No Spacing"/>
    <w:uiPriority w:val="1"/>
    <w:qFormat/>
    <w:rsid w:val="004947AA"/>
    <w:rPr>
      <w:rFonts w:ascii="Calibri" w:hAnsi="Calibri"/>
      <w:lang w:val="fr-FR" w:eastAsia="fr-FR"/>
    </w:rPr>
  </w:style>
  <w:style w:type="paragraph" w:styleId="Quote">
    <w:name w:val="Quote"/>
    <w:basedOn w:val="Normal"/>
    <w:next w:val="Normal"/>
    <w:link w:val="QuoteChar"/>
    <w:uiPriority w:val="29"/>
    <w:qFormat/>
    <w:rsid w:val="004947AA"/>
    <w:pPr>
      <w:suppressAutoHyphens w:val="0"/>
      <w:spacing w:before="160" w:after="120" w:line="264" w:lineRule="auto"/>
      <w:ind w:left="720" w:right="720"/>
    </w:pPr>
    <w:rPr>
      <w:rFonts w:ascii="Calibri" w:hAnsi="Calibri"/>
      <w:i/>
      <w:iCs/>
      <w:color w:val="404040"/>
      <w:lang w:val="fr-FR" w:eastAsia="fr-FR"/>
    </w:rPr>
  </w:style>
  <w:style w:type="character" w:customStyle="1" w:styleId="QuoteChar">
    <w:name w:val="Quote Char"/>
    <w:link w:val="Quote"/>
    <w:uiPriority w:val="29"/>
    <w:rsid w:val="004947AA"/>
    <w:rPr>
      <w:rFonts w:ascii="Calibri" w:hAnsi="Calibri"/>
      <w:i/>
      <w:iCs/>
      <w:color w:val="404040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7AA"/>
    <w:pPr>
      <w:pBdr>
        <w:left w:val="single" w:sz="18" w:space="12" w:color="5B9BD5"/>
      </w:pBdr>
      <w:suppressAutoHyphens w:val="0"/>
      <w:spacing w:before="100" w:beforeAutospacing="1" w:after="120" w:line="300" w:lineRule="auto"/>
      <w:ind w:left="1224" w:right="1224"/>
    </w:pPr>
    <w:rPr>
      <w:rFonts w:ascii="Calibri Light" w:eastAsia="SimSun" w:hAnsi="Calibri Light"/>
      <w:color w:val="5B9BD5"/>
      <w:sz w:val="28"/>
      <w:szCs w:val="28"/>
      <w:lang w:val="fr-FR" w:eastAsia="fr-FR"/>
    </w:rPr>
  </w:style>
  <w:style w:type="character" w:customStyle="1" w:styleId="IntenseQuoteChar">
    <w:name w:val="Intense Quote Char"/>
    <w:link w:val="IntenseQuote"/>
    <w:uiPriority w:val="30"/>
    <w:rsid w:val="004947AA"/>
    <w:rPr>
      <w:rFonts w:ascii="Calibri Light" w:eastAsia="SimSun" w:hAnsi="Calibri Light"/>
      <w:color w:val="5B9BD5"/>
      <w:sz w:val="28"/>
      <w:szCs w:val="28"/>
      <w:lang w:val="fr-FR" w:eastAsia="fr-FR"/>
    </w:rPr>
  </w:style>
  <w:style w:type="character" w:styleId="SubtleEmphasis">
    <w:name w:val="Subtle Emphasis"/>
    <w:uiPriority w:val="19"/>
    <w:qFormat/>
    <w:rsid w:val="004947AA"/>
    <w:rPr>
      <w:i/>
      <w:iCs/>
      <w:color w:val="404040"/>
    </w:rPr>
  </w:style>
  <w:style w:type="character" w:styleId="IntenseEmphasis">
    <w:name w:val="Intense Emphasis"/>
    <w:uiPriority w:val="21"/>
    <w:qFormat/>
    <w:rsid w:val="004947AA"/>
    <w:rPr>
      <w:b/>
      <w:bCs/>
      <w:i/>
      <w:iCs/>
    </w:rPr>
  </w:style>
  <w:style w:type="character" w:styleId="SubtleReference">
    <w:name w:val="Subtle Reference"/>
    <w:uiPriority w:val="31"/>
    <w:qFormat/>
    <w:rsid w:val="004947AA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4947AA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4947A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47AA"/>
    <w:pPr>
      <w:keepNext/>
      <w:keepLines/>
      <w:suppressAutoHyphens w:val="0"/>
      <w:spacing w:before="320"/>
      <w:ind w:left="0"/>
      <w:outlineLvl w:val="9"/>
    </w:pPr>
    <w:rPr>
      <w:rFonts w:ascii="Calibri Light" w:eastAsia="SimSun" w:hAnsi="Calibri Light"/>
      <w:color w:val="2E74B5"/>
      <w:sz w:val="32"/>
      <w:szCs w:val="32"/>
      <w:lang w:val="fr-FR" w:eastAsia="fr-FR"/>
    </w:rPr>
  </w:style>
  <w:style w:type="paragraph" w:styleId="Revision">
    <w:name w:val="Revision"/>
    <w:hidden/>
    <w:uiPriority w:val="99"/>
    <w:semiHidden/>
    <w:rsid w:val="004947AA"/>
    <w:rPr>
      <w:rFonts w:ascii="Calibri" w:hAnsi="Calibri"/>
      <w:lang w:val="fr-FR" w:eastAsia="fr-FR"/>
    </w:rPr>
  </w:style>
  <w:style w:type="paragraph" w:styleId="BalloonText">
    <w:name w:val="Balloon Text"/>
    <w:basedOn w:val="Normal"/>
    <w:link w:val="BalloonTextChar"/>
    <w:uiPriority w:val="99"/>
    <w:unhideWhenUsed/>
    <w:rsid w:val="004947AA"/>
    <w:pPr>
      <w:suppressAutoHyphens w:val="0"/>
      <w:spacing w:line="240" w:lineRule="auto"/>
    </w:pPr>
    <w:rPr>
      <w:rFonts w:ascii="Segoe UI" w:hAnsi="Segoe UI" w:cs="Segoe UI"/>
      <w:sz w:val="18"/>
      <w:szCs w:val="18"/>
      <w:lang w:val="fr-FR" w:eastAsia="fr-FR"/>
    </w:rPr>
  </w:style>
  <w:style w:type="character" w:customStyle="1" w:styleId="BalloonTextChar">
    <w:name w:val="Balloon Text Char"/>
    <w:link w:val="BalloonText"/>
    <w:uiPriority w:val="99"/>
    <w:rsid w:val="004947AA"/>
    <w:rPr>
      <w:rFonts w:ascii="Segoe UI" w:hAnsi="Segoe UI" w:cs="Segoe UI"/>
      <w:sz w:val="18"/>
      <w:szCs w:val="18"/>
      <w:lang w:val="fr-FR" w:eastAsia="fr-FR"/>
    </w:rPr>
  </w:style>
  <w:style w:type="character" w:styleId="CommentReference">
    <w:name w:val="annotation reference"/>
    <w:uiPriority w:val="99"/>
    <w:unhideWhenUsed/>
    <w:rsid w:val="004947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7AA"/>
    <w:pPr>
      <w:suppressAutoHyphens w:val="0"/>
      <w:spacing w:after="120" w:line="240" w:lineRule="auto"/>
    </w:pPr>
    <w:rPr>
      <w:rFonts w:ascii="Calibri" w:hAnsi="Calibri"/>
      <w:lang w:val="fr-FR" w:eastAsia="fr-FR"/>
    </w:rPr>
  </w:style>
  <w:style w:type="character" w:customStyle="1" w:styleId="CommentTextChar">
    <w:name w:val="Comment Text Char"/>
    <w:link w:val="CommentText"/>
    <w:uiPriority w:val="99"/>
    <w:rsid w:val="004947AA"/>
    <w:rPr>
      <w:rFonts w:ascii="Calibri" w:hAnsi="Calibri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947AA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947AA"/>
    <w:rPr>
      <w:rFonts w:ascii="Calibri" w:hAnsi="Calibri"/>
      <w:b/>
      <w:bCs/>
      <w:lang w:val="fr-FR" w:eastAsia="fr-FR"/>
    </w:rPr>
  </w:style>
  <w:style w:type="character" w:customStyle="1" w:styleId="HeaderChar">
    <w:name w:val="Header Char"/>
    <w:aliases w:val="6_G Char"/>
    <w:link w:val="Header"/>
    <w:uiPriority w:val="99"/>
    <w:rsid w:val="004947AA"/>
    <w:rPr>
      <w:b/>
      <w:sz w:val="18"/>
      <w:lang w:eastAsia="en-US"/>
    </w:rPr>
  </w:style>
  <w:style w:type="character" w:customStyle="1" w:styleId="FooterChar">
    <w:name w:val="Footer Char"/>
    <w:aliases w:val="3_G Char"/>
    <w:link w:val="Footer"/>
    <w:uiPriority w:val="99"/>
    <w:rsid w:val="004947AA"/>
    <w:rPr>
      <w:sz w:val="16"/>
      <w:lang w:eastAsia="en-US"/>
    </w:rPr>
  </w:style>
  <w:style w:type="character" w:customStyle="1" w:styleId="SingleTxtGChar">
    <w:name w:val="_ Single Txt_G Char"/>
    <w:link w:val="SingleTxtG"/>
    <w:rsid w:val="004947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p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%20Docs%202010\CCPR_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3EFD-F3A5-4D8E-A6B2-277B76D5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CCPR_E</Template>
  <TotalTime>0</TotalTime>
  <Pages>6</Pages>
  <Words>2425</Words>
  <Characters>13825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United Nations</vt:lpstr>
      <vt:lpstr>United Nations</vt:lpstr>
    </vt:vector>
  </TitlesOfParts>
  <Company>CSD</Company>
  <LinksUpToDate>false</LinksUpToDate>
  <CharactersWithSpaces>16218</CharactersWithSpaces>
  <SharedDoc>false</SharedDoc>
  <HLinks>
    <vt:vector size="6" baseType="variant">
      <vt:variant>
        <vt:i4>6946928</vt:i4>
      </vt:variant>
      <vt:variant>
        <vt:i4>0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</dc:title>
  <dc:creator>Viktoria Saprykina-Houdemer</dc:creator>
  <cp:lastModifiedBy>Sarah Willig</cp:lastModifiedBy>
  <cp:revision>2</cp:revision>
  <cp:lastPrinted>2015-08-25T06:50:00Z</cp:lastPrinted>
  <dcterms:created xsi:type="dcterms:W3CDTF">2017-01-25T00:17:00Z</dcterms:created>
  <dcterms:modified xsi:type="dcterms:W3CDTF">2017-01-25T00:17:00Z</dcterms:modified>
</cp:coreProperties>
</file>