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F50CDA">
        <w:trPr>
          <w:trHeight w:val="851"/>
        </w:trPr>
        <w:tc>
          <w:tcPr>
            <w:tcW w:w="1259" w:type="dxa"/>
            <w:tcBorders>
              <w:top w:val="nil"/>
              <w:left w:val="nil"/>
              <w:bottom w:val="single" w:sz="4" w:space="0" w:color="auto"/>
              <w:right w:val="nil"/>
            </w:tcBorders>
            <w:vAlign w:val="bottom"/>
          </w:tcPr>
          <w:p w:rsidR="00F50CDA" w:rsidRPr="007369EB" w:rsidRDefault="00F50CDA" w:rsidP="00F50CDA">
            <w:pPr>
              <w:jc w:val="right"/>
            </w:pPr>
            <w:bookmarkStart w:id="0" w:name="_GoBack"/>
            <w:bookmarkEnd w:id="0"/>
          </w:p>
        </w:tc>
        <w:tc>
          <w:tcPr>
            <w:tcW w:w="2236" w:type="dxa"/>
            <w:tcBorders>
              <w:top w:val="nil"/>
              <w:left w:val="nil"/>
              <w:bottom w:val="single" w:sz="4" w:space="0" w:color="auto"/>
              <w:right w:val="nil"/>
            </w:tcBorders>
            <w:vAlign w:val="bottom"/>
          </w:tcPr>
          <w:p w:rsidR="00F50CDA" w:rsidRPr="007369EB" w:rsidRDefault="00F50CDA" w:rsidP="007376D3">
            <w:r w:rsidRPr="004455A2">
              <w:rPr>
                <w:sz w:val="28"/>
                <w:szCs w:val="28"/>
              </w:rPr>
              <w:t>United Nations</w:t>
            </w:r>
          </w:p>
        </w:tc>
        <w:tc>
          <w:tcPr>
            <w:tcW w:w="6144" w:type="dxa"/>
            <w:gridSpan w:val="2"/>
            <w:tcBorders>
              <w:top w:val="nil"/>
              <w:left w:val="nil"/>
              <w:bottom w:val="single" w:sz="4" w:space="0" w:color="auto"/>
              <w:right w:val="nil"/>
            </w:tcBorders>
            <w:vAlign w:val="bottom"/>
          </w:tcPr>
          <w:p w:rsidR="00F50CDA" w:rsidRPr="00DE3EC0" w:rsidRDefault="00F50CDA" w:rsidP="001C3236">
            <w:pPr>
              <w:jc w:val="right"/>
            </w:pPr>
            <w:r w:rsidRPr="009E31DB">
              <w:rPr>
                <w:sz w:val="40"/>
              </w:rPr>
              <w:t>CCPR</w:t>
            </w:r>
            <w:r>
              <w:t>/C/10</w:t>
            </w:r>
            <w:r w:rsidR="000D11C6">
              <w:t>6</w:t>
            </w:r>
            <w:r>
              <w:t>/D/1</w:t>
            </w:r>
            <w:r w:rsidR="009E0376">
              <w:t>932</w:t>
            </w:r>
            <w:r>
              <w:t>/20</w:t>
            </w:r>
            <w:r w:rsidR="009E0376">
              <w:t>1</w:t>
            </w:r>
            <w:r>
              <w:t>0</w:t>
            </w:r>
          </w:p>
        </w:tc>
      </w:tr>
      <w:tr w:rsidR="007369EB">
        <w:trPr>
          <w:trHeight w:val="2835"/>
        </w:trPr>
        <w:tc>
          <w:tcPr>
            <w:tcW w:w="1259" w:type="dxa"/>
            <w:tcBorders>
              <w:top w:val="single" w:sz="4" w:space="0" w:color="auto"/>
              <w:left w:val="nil"/>
              <w:bottom w:val="single" w:sz="12" w:space="0" w:color="auto"/>
              <w:right w:val="nil"/>
            </w:tcBorders>
          </w:tcPr>
          <w:p w:rsidR="007369EB" w:rsidRDefault="00282B57" w:rsidP="007369E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46.5pt">
                  <v:imagedata r:id="rId7" o:title="_unlogo"/>
                </v:shape>
              </w:pict>
            </w:r>
          </w:p>
        </w:tc>
        <w:tc>
          <w:tcPr>
            <w:tcW w:w="5450" w:type="dxa"/>
            <w:gridSpan w:val="2"/>
            <w:tcBorders>
              <w:top w:val="single" w:sz="4" w:space="0" w:color="auto"/>
              <w:left w:val="nil"/>
              <w:bottom w:val="single" w:sz="12" w:space="0" w:color="auto"/>
              <w:right w:val="nil"/>
            </w:tcBorders>
          </w:tcPr>
          <w:p w:rsidR="00633A4D" w:rsidRPr="007369EB" w:rsidRDefault="00F50CDA" w:rsidP="00633A4D">
            <w:r w:rsidRPr="00FF41D4">
              <w:rPr>
                <w:b/>
                <w:sz w:val="34"/>
                <w:szCs w:val="40"/>
              </w:rPr>
              <w:t>International Covenant on</w:t>
            </w:r>
            <w:r w:rsidRPr="00FF41D4">
              <w:rPr>
                <w:b/>
                <w:sz w:val="34"/>
                <w:szCs w:val="40"/>
              </w:rPr>
              <w:br/>
              <w:t>Civil and Political Rights</w:t>
            </w:r>
          </w:p>
        </w:tc>
        <w:tc>
          <w:tcPr>
            <w:tcW w:w="2930" w:type="dxa"/>
            <w:tcBorders>
              <w:top w:val="single" w:sz="4" w:space="0" w:color="auto"/>
              <w:left w:val="nil"/>
              <w:bottom w:val="single" w:sz="12" w:space="0" w:color="auto"/>
              <w:right w:val="nil"/>
            </w:tcBorders>
          </w:tcPr>
          <w:p w:rsidR="009E31DB" w:rsidRDefault="009E31DB" w:rsidP="009E31DB">
            <w:pPr>
              <w:spacing w:before="240" w:line="240" w:lineRule="exact"/>
            </w:pPr>
            <w:r>
              <w:t xml:space="preserve">Distr.: </w:t>
            </w:r>
            <w:r w:rsidR="001C3236">
              <w:t>General</w:t>
            </w:r>
          </w:p>
          <w:p w:rsidR="009E31DB" w:rsidRDefault="00C17D5B" w:rsidP="00F50CDA">
            <w:pPr>
              <w:spacing w:line="240" w:lineRule="exact"/>
            </w:pPr>
            <w:r>
              <w:rPr>
                <w:lang w:val="en-US"/>
              </w:rPr>
              <w:t>30</w:t>
            </w:r>
            <w:r w:rsidR="001C3236">
              <w:t xml:space="preserve"> November</w:t>
            </w:r>
            <w:r w:rsidR="009E31DB">
              <w:t xml:space="preserve"> 201</w:t>
            </w:r>
            <w:r w:rsidR="00F50CDA">
              <w:t>2</w:t>
            </w:r>
          </w:p>
          <w:p w:rsidR="009E31DB" w:rsidRDefault="009E31DB" w:rsidP="009E31DB">
            <w:pPr>
              <w:spacing w:line="240" w:lineRule="exact"/>
            </w:pPr>
          </w:p>
          <w:p w:rsidR="007369EB" w:rsidRDefault="009E31DB" w:rsidP="009E31DB">
            <w:pPr>
              <w:spacing w:line="240" w:lineRule="exact"/>
            </w:pPr>
            <w:r>
              <w:t>Original: English</w:t>
            </w:r>
          </w:p>
          <w:p w:rsidR="00012DE7" w:rsidRPr="001C3236" w:rsidRDefault="00012DE7" w:rsidP="001C3236">
            <w:pPr>
              <w:spacing w:line="240" w:lineRule="exact"/>
              <w:rPr>
                <w:b/>
              </w:rPr>
            </w:pPr>
          </w:p>
        </w:tc>
      </w:tr>
    </w:tbl>
    <w:p w:rsidR="009E31DB" w:rsidRPr="008649F9" w:rsidRDefault="009E31DB" w:rsidP="008649F9">
      <w:pPr>
        <w:spacing w:before="120"/>
        <w:rPr>
          <w:b/>
          <w:sz w:val="24"/>
          <w:szCs w:val="24"/>
          <w:lang w:val="en-US"/>
        </w:rPr>
      </w:pPr>
      <w:r w:rsidRPr="008649F9">
        <w:rPr>
          <w:b/>
          <w:sz w:val="24"/>
          <w:szCs w:val="24"/>
          <w:lang w:val="en-US"/>
        </w:rPr>
        <w:t>Human Rights Committee</w:t>
      </w:r>
    </w:p>
    <w:p w:rsidR="00106513" w:rsidRDefault="009E31DB" w:rsidP="008C18D3">
      <w:pPr>
        <w:pStyle w:val="HChG"/>
      </w:pPr>
      <w:r w:rsidRPr="009E31DB">
        <w:tab/>
      </w:r>
      <w:r w:rsidRPr="009E31DB">
        <w:tab/>
      </w:r>
      <w:r w:rsidR="00106513" w:rsidRPr="009E31DB">
        <w:t>Communication No. 1</w:t>
      </w:r>
      <w:r w:rsidR="00BE16B8">
        <w:t>932</w:t>
      </w:r>
      <w:r w:rsidR="008C18D3">
        <w:t>/20</w:t>
      </w:r>
      <w:r w:rsidR="00BE16B8">
        <w:t>10</w:t>
      </w:r>
    </w:p>
    <w:p w:rsidR="009E31DB" w:rsidRPr="009E31DB" w:rsidRDefault="00106513" w:rsidP="00076AB4">
      <w:pPr>
        <w:pStyle w:val="H1G"/>
      </w:pPr>
      <w:r>
        <w:tab/>
      </w:r>
      <w:r>
        <w:tab/>
      </w:r>
      <w:r w:rsidR="001C3236">
        <w:t>Views adopted by the Committee at its 106th session (15 October–2 November 2012)</w:t>
      </w:r>
    </w:p>
    <w:p w:rsidR="009E31DB" w:rsidRPr="009E31DB" w:rsidRDefault="009E31DB" w:rsidP="008C18D3">
      <w:pPr>
        <w:pStyle w:val="SingleTxtG"/>
        <w:ind w:left="4536" w:hanging="3402"/>
      </w:pPr>
      <w:r w:rsidRPr="00CD337D">
        <w:rPr>
          <w:i/>
        </w:rPr>
        <w:t>Submitted by:</w:t>
      </w:r>
      <w:r w:rsidRPr="009E31DB">
        <w:tab/>
      </w:r>
      <w:r w:rsidR="00BE16B8">
        <w:t>Irina Fedotova</w:t>
      </w:r>
      <w:r w:rsidRPr="009E31DB">
        <w:t xml:space="preserve"> (not represented by counsel)</w:t>
      </w:r>
    </w:p>
    <w:p w:rsidR="009E31DB" w:rsidRPr="009E31DB" w:rsidRDefault="009E31DB" w:rsidP="008649F9">
      <w:pPr>
        <w:pStyle w:val="SingleTxtG"/>
        <w:ind w:left="4536" w:hanging="3402"/>
      </w:pPr>
      <w:r w:rsidRPr="00CD337D">
        <w:rPr>
          <w:i/>
        </w:rPr>
        <w:t>Alleged victim:</w:t>
      </w:r>
      <w:r w:rsidRPr="009E31DB">
        <w:tab/>
        <w:t>The author</w:t>
      </w:r>
    </w:p>
    <w:p w:rsidR="009E31DB" w:rsidRPr="009E31DB" w:rsidRDefault="009E31DB" w:rsidP="008649F9">
      <w:pPr>
        <w:pStyle w:val="SingleTxtG"/>
        <w:ind w:left="4536" w:hanging="3402"/>
      </w:pPr>
      <w:r w:rsidRPr="00CD337D">
        <w:rPr>
          <w:i/>
        </w:rPr>
        <w:t>State party:</w:t>
      </w:r>
      <w:r w:rsidRPr="009E31DB">
        <w:tab/>
      </w:r>
      <w:smartTag w:uri="urn:schemas-microsoft-com:office:smarttags" w:element="place">
        <w:smartTag w:uri="urn:schemas-microsoft-com:office:smarttags" w:element="country-region">
          <w:r w:rsidR="00BE16B8">
            <w:t>Russian Federation</w:t>
          </w:r>
        </w:smartTag>
      </w:smartTag>
    </w:p>
    <w:p w:rsidR="009E31DB" w:rsidRPr="009E31DB" w:rsidRDefault="009E31DB" w:rsidP="008649F9">
      <w:pPr>
        <w:pStyle w:val="SingleTxtG"/>
        <w:ind w:left="4536" w:hanging="3402"/>
      </w:pPr>
      <w:r w:rsidRPr="00CD337D">
        <w:rPr>
          <w:i/>
        </w:rPr>
        <w:t>Date of communication:</w:t>
      </w:r>
      <w:r w:rsidR="001427F5">
        <w:tab/>
      </w:r>
      <w:r w:rsidR="00312EE1">
        <w:t>10</w:t>
      </w:r>
      <w:r w:rsidR="001427F5">
        <w:t xml:space="preserve"> </w:t>
      </w:r>
      <w:r w:rsidR="00312EE1">
        <w:t xml:space="preserve">February </w:t>
      </w:r>
      <w:r w:rsidR="001427F5">
        <w:t>20</w:t>
      </w:r>
      <w:r w:rsidR="00312EE1">
        <w:t>10</w:t>
      </w:r>
      <w:r w:rsidRPr="009E31DB">
        <w:t xml:space="preserve"> (initial submission)</w:t>
      </w:r>
    </w:p>
    <w:p w:rsidR="009E31DB" w:rsidRPr="009E31DB" w:rsidRDefault="009E31DB" w:rsidP="001427F5">
      <w:pPr>
        <w:pStyle w:val="SingleTxtG"/>
        <w:ind w:left="4536" w:hanging="3402"/>
      </w:pPr>
      <w:r w:rsidRPr="00CD337D">
        <w:rPr>
          <w:i/>
        </w:rPr>
        <w:t>Document references:</w:t>
      </w:r>
      <w:r w:rsidRPr="009E31DB">
        <w:tab/>
        <w:t>Special Rapporteur’s rule 97 decision, tran</w:t>
      </w:r>
      <w:r w:rsidR="001427F5">
        <w:t xml:space="preserve">smitted to the State party on </w:t>
      </w:r>
      <w:smartTag w:uri="urn:schemas-microsoft-com:office:smarttags" w:element="date">
        <w:smartTagPr>
          <w:attr w:name="Month" w:val="3"/>
          <w:attr w:name="Day" w:val="18"/>
          <w:attr w:name="Year" w:val="2010"/>
        </w:smartTagPr>
        <w:r w:rsidR="00581D6E">
          <w:t>18</w:t>
        </w:r>
        <w:r w:rsidR="001427F5">
          <w:t xml:space="preserve"> Ma</w:t>
        </w:r>
        <w:r w:rsidR="00581D6E">
          <w:t>rch</w:t>
        </w:r>
        <w:r w:rsidRPr="009E31DB">
          <w:t xml:space="preserve"> </w:t>
        </w:r>
        <w:r w:rsidR="001427F5">
          <w:t>20</w:t>
        </w:r>
        <w:r w:rsidR="00581D6E">
          <w:t>10</w:t>
        </w:r>
      </w:smartTag>
      <w:r w:rsidRPr="009E31DB">
        <w:t xml:space="preserve"> (not issued in document form)</w:t>
      </w:r>
    </w:p>
    <w:p w:rsidR="009E31DB" w:rsidRPr="009E31DB" w:rsidRDefault="009E31DB" w:rsidP="005B6A9F">
      <w:pPr>
        <w:pStyle w:val="SingleTxtG"/>
        <w:ind w:left="4536" w:hanging="3402"/>
      </w:pPr>
      <w:r w:rsidRPr="00CD337D">
        <w:rPr>
          <w:i/>
        </w:rPr>
        <w:t>Date of adoption of Views:</w:t>
      </w:r>
      <w:r w:rsidRPr="009E31DB">
        <w:tab/>
      </w:r>
      <w:r w:rsidR="001C3236">
        <w:t>31</w:t>
      </w:r>
      <w:r w:rsidRPr="009E31DB">
        <w:t xml:space="preserve"> </w:t>
      </w:r>
      <w:r w:rsidR="000D11C6">
        <w:t>October</w:t>
      </w:r>
      <w:r w:rsidR="005B6A9F" w:rsidRPr="009E31DB">
        <w:t xml:space="preserve"> </w:t>
      </w:r>
      <w:r w:rsidRPr="009E31DB">
        <w:t>201</w:t>
      </w:r>
      <w:r w:rsidR="005B6A9F">
        <w:t>2</w:t>
      </w:r>
    </w:p>
    <w:p w:rsidR="009E31DB" w:rsidRPr="0035709A" w:rsidRDefault="009E31DB" w:rsidP="00575E70">
      <w:pPr>
        <w:pStyle w:val="SingleTxtG"/>
        <w:ind w:left="4536" w:hanging="3402"/>
      </w:pPr>
      <w:r w:rsidRPr="0035709A">
        <w:rPr>
          <w:i/>
          <w:iCs/>
        </w:rPr>
        <w:t>Subject matter:</w:t>
      </w:r>
      <w:r w:rsidRPr="0035709A">
        <w:tab/>
      </w:r>
      <w:r w:rsidR="00575E70" w:rsidRPr="0035709A">
        <w:t>Bringing the author to administrative responsibility for “public actions aimed at propaganda of homosexuality among minors”</w:t>
      </w:r>
      <w:r w:rsidR="00EB6FCA" w:rsidRPr="0035709A">
        <w:t>.</w:t>
      </w:r>
      <w:r w:rsidRPr="0035709A">
        <w:t xml:space="preserve"> </w:t>
      </w:r>
    </w:p>
    <w:p w:rsidR="009E31DB" w:rsidRPr="0035709A" w:rsidRDefault="009E31DB" w:rsidP="0035709A">
      <w:pPr>
        <w:pStyle w:val="SingleTxtG"/>
        <w:ind w:left="4536" w:hanging="3402"/>
      </w:pPr>
      <w:r w:rsidRPr="0035709A">
        <w:rPr>
          <w:i/>
          <w:iCs/>
        </w:rPr>
        <w:t xml:space="preserve">Substantive issues: </w:t>
      </w:r>
      <w:r w:rsidRPr="0035709A">
        <w:rPr>
          <w:i/>
          <w:iCs/>
        </w:rPr>
        <w:tab/>
      </w:r>
      <w:r w:rsidR="0035709A" w:rsidRPr="0035709A">
        <w:t>Right to impart information and ideas; permissible restrictions; right to the equal protection of the law without any discrimination.</w:t>
      </w:r>
    </w:p>
    <w:p w:rsidR="009E31DB" w:rsidRPr="0093664B" w:rsidRDefault="009E31DB" w:rsidP="008649F9">
      <w:pPr>
        <w:pStyle w:val="SingleTxtG"/>
        <w:ind w:left="4536" w:hanging="3402"/>
      </w:pPr>
      <w:r w:rsidRPr="0093664B">
        <w:rPr>
          <w:i/>
          <w:iCs/>
        </w:rPr>
        <w:t>Procedural issue</w:t>
      </w:r>
      <w:r w:rsidR="0093664B" w:rsidRPr="0093664B">
        <w:rPr>
          <w:i/>
          <w:iCs/>
        </w:rPr>
        <w:t>s</w:t>
      </w:r>
      <w:r w:rsidRPr="0093664B">
        <w:rPr>
          <w:i/>
          <w:iCs/>
        </w:rPr>
        <w:t xml:space="preserve">: </w:t>
      </w:r>
      <w:r w:rsidRPr="0093664B">
        <w:rPr>
          <w:i/>
          <w:iCs/>
        </w:rPr>
        <w:tab/>
      </w:r>
      <w:r w:rsidR="0093664B" w:rsidRPr="0093664B">
        <w:rPr>
          <w:iCs/>
        </w:rPr>
        <w:t>Ab</w:t>
      </w:r>
      <w:r w:rsidR="0093664B" w:rsidRPr="0093664B">
        <w:t>use of the right of submission; e</w:t>
      </w:r>
      <w:r w:rsidR="00A45519" w:rsidRPr="0093664B">
        <w:t>xhaustion of domestic remedies</w:t>
      </w:r>
    </w:p>
    <w:p w:rsidR="009E31DB" w:rsidRPr="0093664B" w:rsidRDefault="009E31DB" w:rsidP="0035709A">
      <w:pPr>
        <w:pStyle w:val="SingleTxtG"/>
        <w:ind w:left="4536" w:hanging="3402"/>
      </w:pPr>
      <w:r w:rsidRPr="0093664B">
        <w:rPr>
          <w:i/>
          <w:iCs/>
        </w:rPr>
        <w:t>Articles of the Covenant:</w:t>
      </w:r>
      <w:r w:rsidRPr="0093664B">
        <w:t xml:space="preserve"> </w:t>
      </w:r>
      <w:r w:rsidRPr="0093664B">
        <w:tab/>
      </w:r>
      <w:r w:rsidR="00216206" w:rsidRPr="0093664B">
        <w:t>19</w:t>
      </w:r>
      <w:r w:rsidR="0035709A" w:rsidRPr="0093664B">
        <w:t>; 26</w:t>
      </w:r>
    </w:p>
    <w:p w:rsidR="00C17D5B" w:rsidRDefault="009E31DB" w:rsidP="008649F9">
      <w:pPr>
        <w:pStyle w:val="SingleTxtG"/>
        <w:ind w:left="4536" w:hanging="3402"/>
      </w:pPr>
      <w:r w:rsidRPr="0093664B">
        <w:rPr>
          <w:i/>
          <w:iCs/>
        </w:rPr>
        <w:t>Article</w:t>
      </w:r>
      <w:r w:rsidR="0093664B" w:rsidRPr="0093664B">
        <w:rPr>
          <w:i/>
          <w:iCs/>
        </w:rPr>
        <w:t>s</w:t>
      </w:r>
      <w:r w:rsidRPr="0093664B">
        <w:rPr>
          <w:i/>
          <w:iCs/>
        </w:rPr>
        <w:t xml:space="preserve"> of the Optional Protocol:</w:t>
      </w:r>
      <w:r w:rsidRPr="0093664B">
        <w:rPr>
          <w:i/>
          <w:iCs/>
        </w:rPr>
        <w:tab/>
      </w:r>
      <w:r w:rsidR="0093664B" w:rsidRPr="0093664B">
        <w:rPr>
          <w:iCs/>
        </w:rPr>
        <w:t xml:space="preserve">3; </w:t>
      </w:r>
      <w:r w:rsidR="00A45519" w:rsidRPr="0093664B">
        <w:t xml:space="preserve">5, </w:t>
      </w:r>
      <w:r w:rsidR="00277882" w:rsidRPr="0093664B">
        <w:t>paragraph 2</w:t>
      </w:r>
      <w:r w:rsidR="007370FC">
        <w:t xml:space="preserve"> </w:t>
      </w:r>
      <w:r w:rsidR="00277882" w:rsidRPr="0093664B">
        <w:t>(b)</w:t>
      </w:r>
    </w:p>
    <w:p w:rsidR="009E31DB" w:rsidRPr="009E31DB" w:rsidRDefault="00C17D5B" w:rsidP="00C17D5B">
      <w:pPr>
        <w:pStyle w:val="HChG"/>
      </w:pPr>
      <w:r>
        <w:br w:type="page"/>
      </w:r>
      <w:r w:rsidR="009E31DB" w:rsidRPr="009E31DB">
        <w:lastRenderedPageBreak/>
        <w:t>Annex</w:t>
      </w:r>
    </w:p>
    <w:p w:rsidR="009E31DB" w:rsidRPr="009E31DB" w:rsidRDefault="009E31DB" w:rsidP="00DE5B51">
      <w:pPr>
        <w:pStyle w:val="HChG"/>
        <w:rPr>
          <w:bCs/>
        </w:rPr>
      </w:pPr>
      <w:r w:rsidRPr="009E31DB">
        <w:tab/>
      </w:r>
      <w:r w:rsidRPr="009E31DB">
        <w:tab/>
        <w:t>Views of the Human Rights Committee under article 5, paragraph 4, of the Optional Protocol to the International Covenant on Civil and Political rights (</w:t>
      </w:r>
      <w:r w:rsidR="00DE5B51">
        <w:t>10</w:t>
      </w:r>
      <w:r w:rsidR="00473EDF">
        <w:t>6</w:t>
      </w:r>
      <w:r w:rsidR="00DE5B51">
        <w:t xml:space="preserve">th </w:t>
      </w:r>
      <w:r w:rsidRPr="009E31DB">
        <w:rPr>
          <w:bCs/>
        </w:rPr>
        <w:t>session)</w:t>
      </w:r>
    </w:p>
    <w:p w:rsidR="009E31DB" w:rsidRPr="009E31DB" w:rsidRDefault="009E31DB" w:rsidP="008649F9">
      <w:pPr>
        <w:pStyle w:val="SingleTxtG"/>
        <w:rPr>
          <w:b/>
          <w:bCs/>
        </w:rPr>
      </w:pPr>
      <w:r w:rsidRPr="009E31DB">
        <w:t>concerning</w:t>
      </w:r>
    </w:p>
    <w:p w:rsidR="009E31DB" w:rsidRPr="009E31DB" w:rsidRDefault="009E31DB" w:rsidP="001427F5">
      <w:pPr>
        <w:pStyle w:val="H1G"/>
      </w:pPr>
      <w:r w:rsidRPr="009E31DB">
        <w:tab/>
      </w:r>
      <w:r w:rsidRPr="009E31DB">
        <w:tab/>
        <w:t>Communication No. 1</w:t>
      </w:r>
      <w:r w:rsidR="001427F5">
        <w:t>9</w:t>
      </w:r>
      <w:r w:rsidR="00310FA7">
        <w:t>32</w:t>
      </w:r>
      <w:r w:rsidR="001427F5">
        <w:t>/20</w:t>
      </w:r>
      <w:r w:rsidR="00310FA7">
        <w:t>10</w:t>
      </w:r>
      <w:r w:rsidR="001C3236">
        <w:rPr>
          <w:rStyle w:val="FootnoteReference"/>
        </w:rPr>
        <w:footnoteReference w:customMarkFollows="1" w:id="2"/>
        <w:t>*</w:t>
      </w:r>
    </w:p>
    <w:p w:rsidR="009E31DB" w:rsidRPr="009E31DB" w:rsidRDefault="009E31DB" w:rsidP="001427F5">
      <w:pPr>
        <w:pStyle w:val="SingleTxtG"/>
        <w:ind w:left="4536" w:hanging="3402"/>
      </w:pPr>
      <w:r w:rsidRPr="00CD337D">
        <w:rPr>
          <w:i/>
        </w:rPr>
        <w:t>Submitted by:</w:t>
      </w:r>
      <w:r w:rsidRPr="009E31DB">
        <w:tab/>
      </w:r>
      <w:r w:rsidR="00ED0536">
        <w:t>Irina Fedotova</w:t>
      </w:r>
      <w:r w:rsidR="001427F5" w:rsidRPr="009E31DB">
        <w:t xml:space="preserve"> (not represented by counsel)</w:t>
      </w:r>
    </w:p>
    <w:p w:rsidR="009E31DB" w:rsidRPr="009E31DB" w:rsidRDefault="009E31DB" w:rsidP="008649F9">
      <w:pPr>
        <w:pStyle w:val="SingleTxtG"/>
        <w:ind w:left="4536" w:hanging="3402"/>
      </w:pPr>
      <w:r w:rsidRPr="00CD337D">
        <w:rPr>
          <w:i/>
        </w:rPr>
        <w:t>Alleged victim:</w:t>
      </w:r>
      <w:r w:rsidRPr="009E31DB">
        <w:tab/>
        <w:t>The author</w:t>
      </w:r>
    </w:p>
    <w:p w:rsidR="009E31DB" w:rsidRPr="009E31DB" w:rsidRDefault="009E31DB" w:rsidP="008649F9">
      <w:pPr>
        <w:pStyle w:val="SingleTxtG"/>
        <w:ind w:left="4536" w:hanging="3402"/>
      </w:pPr>
      <w:r w:rsidRPr="00CD337D">
        <w:rPr>
          <w:i/>
        </w:rPr>
        <w:t>State party:</w:t>
      </w:r>
      <w:r w:rsidRPr="009E31DB">
        <w:tab/>
      </w:r>
      <w:smartTag w:uri="urn:schemas-microsoft-com:office:smarttags" w:element="place">
        <w:smartTag w:uri="urn:schemas-microsoft-com:office:smarttags" w:element="country-region">
          <w:r w:rsidR="00F54CC1">
            <w:t>Russian Federation</w:t>
          </w:r>
        </w:smartTag>
      </w:smartTag>
    </w:p>
    <w:p w:rsidR="009E31DB" w:rsidRPr="009E31DB" w:rsidRDefault="009E31DB" w:rsidP="001427F5">
      <w:pPr>
        <w:pStyle w:val="SingleTxtG"/>
        <w:ind w:left="4536" w:hanging="3402"/>
      </w:pPr>
      <w:r w:rsidRPr="00CD337D">
        <w:rPr>
          <w:i/>
        </w:rPr>
        <w:t>Date of communication:</w:t>
      </w:r>
      <w:r w:rsidRPr="009E31DB">
        <w:tab/>
      </w:r>
      <w:smartTag w:uri="urn:schemas-microsoft-com:office:smarttags" w:element="date">
        <w:smartTagPr>
          <w:attr w:name="Month" w:val="2"/>
          <w:attr w:name="Day" w:val="10"/>
          <w:attr w:name="Year" w:val="2010"/>
        </w:smartTagPr>
        <w:r w:rsidR="00F54CC1">
          <w:t>10 February 2010</w:t>
        </w:r>
      </w:smartTag>
      <w:r w:rsidR="00F54CC1" w:rsidRPr="009E31DB">
        <w:t xml:space="preserve"> </w:t>
      </w:r>
      <w:r w:rsidRPr="009E31DB">
        <w:t>(initial submission)</w:t>
      </w:r>
    </w:p>
    <w:p w:rsidR="009E31DB" w:rsidRPr="009E31DB" w:rsidRDefault="009E31DB" w:rsidP="008649F9">
      <w:pPr>
        <w:pStyle w:val="SingleTxtG"/>
      </w:pPr>
      <w:r w:rsidRPr="009E31DB">
        <w:tab/>
      </w:r>
      <w:r w:rsidRPr="00CD337D">
        <w:rPr>
          <w:i/>
        </w:rPr>
        <w:t>The Human Rights Committee</w:t>
      </w:r>
      <w:r w:rsidRPr="009E31DB">
        <w:t xml:space="preserve">, established under article 28 of the International Covenant on Civil and Political Rights, </w:t>
      </w:r>
    </w:p>
    <w:p w:rsidR="009E31DB" w:rsidRPr="009E31DB" w:rsidRDefault="009E31DB" w:rsidP="00DE5B51">
      <w:pPr>
        <w:pStyle w:val="SingleTxtG"/>
      </w:pPr>
      <w:r w:rsidRPr="009E31DB">
        <w:tab/>
      </w:r>
      <w:r w:rsidRPr="00CD337D">
        <w:rPr>
          <w:i/>
        </w:rPr>
        <w:t>Meeting on</w:t>
      </w:r>
      <w:r w:rsidRPr="009E31DB">
        <w:t xml:space="preserve"> </w:t>
      </w:r>
      <w:r w:rsidR="00677155">
        <w:t>31</w:t>
      </w:r>
      <w:r w:rsidRPr="009E31DB">
        <w:t xml:space="preserve"> </w:t>
      </w:r>
      <w:r w:rsidR="000D11C6">
        <w:t>October</w:t>
      </w:r>
      <w:r w:rsidR="00DE5B51" w:rsidRPr="009E31DB">
        <w:t xml:space="preserve"> </w:t>
      </w:r>
      <w:r w:rsidRPr="009E31DB">
        <w:t>201</w:t>
      </w:r>
      <w:r w:rsidR="00DE5B51">
        <w:t>2</w:t>
      </w:r>
      <w:r w:rsidRPr="009E31DB">
        <w:t>,</w:t>
      </w:r>
    </w:p>
    <w:p w:rsidR="009E31DB" w:rsidRPr="009E31DB" w:rsidRDefault="009E31DB" w:rsidP="00D63775">
      <w:pPr>
        <w:pStyle w:val="SingleTxtG"/>
      </w:pPr>
      <w:r w:rsidRPr="009E31DB">
        <w:tab/>
      </w:r>
      <w:r w:rsidRPr="00CD337D">
        <w:rPr>
          <w:i/>
        </w:rPr>
        <w:t>Having concluded</w:t>
      </w:r>
      <w:r w:rsidRPr="009E31DB">
        <w:t xml:space="preserve"> its consideration of communication No. </w:t>
      </w:r>
      <w:r w:rsidR="00F54CC1">
        <w:t>1932</w:t>
      </w:r>
      <w:r w:rsidRPr="009E31DB">
        <w:t>/20</w:t>
      </w:r>
      <w:r w:rsidR="00F54CC1">
        <w:t>10</w:t>
      </w:r>
      <w:r w:rsidRPr="009E31DB">
        <w:t xml:space="preserve">, submitted to the Human Rights Committee by </w:t>
      </w:r>
      <w:r w:rsidR="002438FD">
        <w:t>Irina Fedotova</w:t>
      </w:r>
      <w:r w:rsidR="002438FD" w:rsidRPr="009E31DB">
        <w:t xml:space="preserve"> </w:t>
      </w:r>
      <w:r w:rsidRPr="009E31DB">
        <w:t>under the Optional Protocol to the International Covenant on Civil and Political Rights,</w:t>
      </w:r>
    </w:p>
    <w:p w:rsidR="009E31DB" w:rsidRPr="009E31DB" w:rsidRDefault="009E31DB" w:rsidP="008649F9">
      <w:pPr>
        <w:pStyle w:val="SingleTxtG"/>
      </w:pPr>
      <w:r w:rsidRPr="009E31DB">
        <w:tab/>
      </w:r>
      <w:r w:rsidRPr="00CD337D">
        <w:rPr>
          <w:i/>
        </w:rPr>
        <w:t>Having taken into account</w:t>
      </w:r>
      <w:r w:rsidRPr="009E31DB">
        <w:t xml:space="preserve"> all written information made available to it by the author of the communication and the State party,</w:t>
      </w:r>
    </w:p>
    <w:p w:rsidR="009E31DB" w:rsidRPr="00CD337D" w:rsidRDefault="009E31DB" w:rsidP="008649F9">
      <w:pPr>
        <w:pStyle w:val="SingleTxtG"/>
        <w:rPr>
          <w:i/>
        </w:rPr>
      </w:pPr>
      <w:r w:rsidRPr="009E31DB">
        <w:tab/>
      </w:r>
      <w:r w:rsidRPr="00CD337D">
        <w:rPr>
          <w:i/>
        </w:rPr>
        <w:t>Adopts the following:</w:t>
      </w:r>
    </w:p>
    <w:p w:rsidR="009E31DB" w:rsidRPr="009E31DB" w:rsidRDefault="009E31DB" w:rsidP="008649F9">
      <w:pPr>
        <w:pStyle w:val="H1G"/>
      </w:pPr>
      <w:r w:rsidRPr="009E31DB">
        <w:tab/>
      </w:r>
      <w:r w:rsidRPr="009E31DB">
        <w:tab/>
        <w:t>Views under article 5, paragraph 4, of the Optional Protocol</w:t>
      </w:r>
    </w:p>
    <w:p w:rsidR="009E31DB" w:rsidRDefault="009E31DB" w:rsidP="007123F4">
      <w:pPr>
        <w:pStyle w:val="SingleTxtG"/>
      </w:pPr>
      <w:r w:rsidRPr="009E31DB">
        <w:t>1.</w:t>
      </w:r>
      <w:r w:rsidR="00D3502B">
        <w:t>1</w:t>
      </w:r>
      <w:r w:rsidRPr="009E31DB">
        <w:tab/>
        <w:t>The author</w:t>
      </w:r>
      <w:r w:rsidR="00F92377">
        <w:t xml:space="preserve"> of the communication </w:t>
      </w:r>
      <w:r w:rsidR="002438FD">
        <w:t>is Irina Fedotova</w:t>
      </w:r>
      <w:r w:rsidR="00F92377">
        <w:t xml:space="preserve">, </w:t>
      </w:r>
      <w:r w:rsidR="002438FD">
        <w:t xml:space="preserve">a Russian national </w:t>
      </w:r>
      <w:r w:rsidR="00F92377">
        <w:t>born in 19</w:t>
      </w:r>
      <w:r w:rsidR="002438FD">
        <w:t>78</w:t>
      </w:r>
      <w:r w:rsidRPr="009E31DB">
        <w:t xml:space="preserve">. </w:t>
      </w:r>
      <w:r w:rsidR="002438FD">
        <w:t xml:space="preserve">She claims </w:t>
      </w:r>
      <w:r w:rsidRPr="009E31DB">
        <w:t xml:space="preserve">to be </w:t>
      </w:r>
      <w:r w:rsidR="002438FD">
        <w:t xml:space="preserve">a </w:t>
      </w:r>
      <w:r w:rsidRPr="009E31DB">
        <w:t xml:space="preserve">victim of </w:t>
      </w:r>
      <w:r w:rsidR="007123F4">
        <w:t>a violation</w:t>
      </w:r>
      <w:r w:rsidRPr="009E31DB">
        <w:t xml:space="preserve"> </w:t>
      </w:r>
      <w:r w:rsidR="002438FD" w:rsidRPr="00C02CA4">
        <w:t xml:space="preserve">by the </w:t>
      </w:r>
      <w:smartTag w:uri="urn:schemas-microsoft-com:office:smarttags" w:element="place">
        <w:smartTag w:uri="urn:schemas-microsoft-com:office:smarttags" w:element="country-region">
          <w:r w:rsidR="002438FD" w:rsidRPr="00C02CA4">
            <w:t>Russian Federation</w:t>
          </w:r>
        </w:smartTag>
      </w:smartTag>
      <w:r w:rsidR="002438FD" w:rsidRPr="00C02CA4">
        <w:t xml:space="preserve"> of h</w:t>
      </w:r>
      <w:r w:rsidR="002438FD">
        <w:t>er</w:t>
      </w:r>
      <w:r w:rsidR="002438FD" w:rsidRPr="00C02CA4">
        <w:t xml:space="preserve"> rights under article </w:t>
      </w:r>
      <w:r w:rsidR="00BA3004">
        <w:t xml:space="preserve">19 and article 26 </w:t>
      </w:r>
      <w:r w:rsidR="002438FD" w:rsidRPr="00C02CA4">
        <w:t xml:space="preserve">of the International Covenant on Civil and Political Rights. The Optional Protocol entered into force for the State party on </w:t>
      </w:r>
      <w:smartTag w:uri="urn:schemas-microsoft-com:office:smarttags" w:element="date">
        <w:smartTagPr>
          <w:attr w:name="Month" w:val="1"/>
          <w:attr w:name="Day" w:val="1"/>
          <w:attr w:name="Year" w:val="1992"/>
        </w:smartTagPr>
        <w:r w:rsidR="002438FD" w:rsidRPr="00C02CA4">
          <w:t>1 January 1992</w:t>
        </w:r>
      </w:smartTag>
      <w:r w:rsidR="002438FD" w:rsidRPr="00C02CA4">
        <w:t>. The author is not represented.</w:t>
      </w:r>
      <w:r w:rsidRPr="009E31DB">
        <w:t xml:space="preserve"> </w:t>
      </w:r>
    </w:p>
    <w:p w:rsidR="00D3502B" w:rsidRDefault="00D3502B" w:rsidP="00D3502B">
      <w:pPr>
        <w:pStyle w:val="SingleTxtG"/>
      </w:pPr>
      <w:r>
        <w:t>1.2</w:t>
      </w:r>
      <w:r>
        <w:tab/>
      </w:r>
      <w:r w:rsidRPr="00D3502B">
        <w:t xml:space="preserve">On </w:t>
      </w:r>
      <w:r w:rsidR="00BA3004">
        <w:t>2</w:t>
      </w:r>
      <w:r>
        <w:t xml:space="preserve">0 </w:t>
      </w:r>
      <w:r w:rsidR="00BA3004">
        <w:t xml:space="preserve">May </w:t>
      </w:r>
      <w:r>
        <w:t>20</w:t>
      </w:r>
      <w:r w:rsidR="00BA3004">
        <w:t>10</w:t>
      </w:r>
      <w:r w:rsidRPr="00D3502B">
        <w:t xml:space="preserve">, the State party requested the Committee to examine the admissibility of the communication separately from its merits, in accordance with </w:t>
      </w:r>
      <w:r w:rsidR="00473EDF">
        <w:t>r</w:t>
      </w:r>
      <w:r w:rsidRPr="00D3502B">
        <w:t>ule 97, paragraph 3, of the Comm</w:t>
      </w:r>
      <w:r>
        <w:t>ittee</w:t>
      </w:r>
      <w:r w:rsidR="008E5521">
        <w:t>’</w:t>
      </w:r>
      <w:r>
        <w:t xml:space="preserve">s rules of procedure. On </w:t>
      </w:r>
      <w:r w:rsidR="00BA3004">
        <w:t xml:space="preserve">13 August </w:t>
      </w:r>
      <w:r>
        <w:t>20</w:t>
      </w:r>
      <w:r w:rsidR="00BA3004">
        <w:t>10</w:t>
      </w:r>
      <w:r w:rsidRPr="00D3502B">
        <w:t xml:space="preserve">, the </w:t>
      </w:r>
      <w:r w:rsidR="0017458F">
        <w:t xml:space="preserve">Chairperson </w:t>
      </w:r>
      <w:r w:rsidRPr="00D3502B">
        <w:t>decided, on behalf of the Committee, to examine the admissibility of the communication together with the merits.</w:t>
      </w:r>
    </w:p>
    <w:p w:rsidR="009E31DB" w:rsidRPr="009E31DB" w:rsidRDefault="009E31DB" w:rsidP="008649F9">
      <w:pPr>
        <w:pStyle w:val="H23G"/>
      </w:pPr>
      <w:r w:rsidRPr="009E31DB">
        <w:lastRenderedPageBreak/>
        <w:tab/>
      </w:r>
      <w:r w:rsidRPr="009E31DB">
        <w:tab/>
        <w:t>The facts as presented by the author</w:t>
      </w:r>
    </w:p>
    <w:p w:rsidR="008E7F15" w:rsidRPr="008E7F15" w:rsidRDefault="00E07BE3" w:rsidP="008E7F15">
      <w:pPr>
        <w:pStyle w:val="SingleTxtG"/>
      </w:pPr>
      <w:r w:rsidRPr="00E07BE3">
        <w:t>2.1</w:t>
      </w:r>
      <w:r w:rsidRPr="00E07BE3">
        <w:tab/>
      </w:r>
      <w:r w:rsidR="008E7F15" w:rsidRPr="008E7F15">
        <w:t>The author i</w:t>
      </w:r>
      <w:r w:rsidR="00CD2FC9">
        <w:t xml:space="preserve">s an openly lesbian woman and an </w:t>
      </w:r>
      <w:r w:rsidR="00CD2FC9" w:rsidRPr="00D07C75">
        <w:t xml:space="preserve">activist in the field of </w:t>
      </w:r>
      <w:r w:rsidR="00D07C75" w:rsidRPr="00D07C75">
        <w:rPr>
          <w:lang w:val="en-US"/>
        </w:rPr>
        <w:t>lesbian, gay, bisexual and transgender</w:t>
      </w:r>
      <w:r w:rsidR="00D07C75" w:rsidRPr="00D07C75">
        <w:t xml:space="preserve"> (</w:t>
      </w:r>
      <w:r w:rsidR="00EF7F14" w:rsidRPr="00D07C75">
        <w:t>LGBT</w:t>
      </w:r>
      <w:r w:rsidR="00D07C75" w:rsidRPr="00D07C75">
        <w:t>)</w:t>
      </w:r>
      <w:r w:rsidR="00EF7F14" w:rsidRPr="00D07C75">
        <w:t xml:space="preserve"> </w:t>
      </w:r>
      <w:r w:rsidR="008E7F15" w:rsidRPr="00D07C75">
        <w:t xml:space="preserve">rights </w:t>
      </w:r>
      <w:r w:rsidR="00CD2FC9" w:rsidRPr="00D07C75">
        <w:t xml:space="preserve">in the </w:t>
      </w:r>
      <w:smartTag w:uri="urn:schemas-microsoft-com:office:smarttags" w:element="place">
        <w:smartTag w:uri="urn:schemas-microsoft-com:office:smarttags" w:element="country-region">
          <w:r w:rsidR="00CD2FC9" w:rsidRPr="00D07C75">
            <w:t>Russian Fe</w:t>
          </w:r>
          <w:r w:rsidR="00CD2FC9">
            <w:t>deration</w:t>
          </w:r>
        </w:smartTag>
      </w:smartTag>
      <w:r w:rsidR="008E7F15" w:rsidRPr="008E7F15">
        <w:t xml:space="preserve">. In 2009 she, together with other </w:t>
      </w:r>
      <w:r w:rsidR="000D2012">
        <w:t>individuals</w:t>
      </w:r>
      <w:r w:rsidR="008E7F15" w:rsidRPr="008E7F15">
        <w:t xml:space="preserve">, tried to hold a peaceful assembly in </w:t>
      </w:r>
      <w:smartTag w:uri="urn:schemas-microsoft-com:office:smarttags" w:element="City">
        <w:r w:rsidR="008E7F15" w:rsidRPr="008E7F15">
          <w:t>Moscow</w:t>
        </w:r>
      </w:smartTag>
      <w:r w:rsidR="008E7F15" w:rsidRPr="008E7F15">
        <w:t xml:space="preserve"> (so called </w:t>
      </w:r>
      <w:r w:rsidR="002B6223">
        <w:t>“</w:t>
      </w:r>
      <w:r w:rsidR="008E7F15" w:rsidRPr="008E7F15">
        <w:t>Gay Pride</w:t>
      </w:r>
      <w:r w:rsidR="002B6223">
        <w:t>”</w:t>
      </w:r>
      <w:r w:rsidR="008E7F15" w:rsidRPr="008E7F15">
        <w:t xml:space="preserve">), which was banned by the </w:t>
      </w:r>
      <w:smartTag w:uri="urn:schemas-microsoft-com:office:smarttags" w:element="place">
        <w:smartTag w:uri="urn:schemas-microsoft-com:office:smarttags" w:element="City">
          <w:r w:rsidR="008E7F15" w:rsidRPr="008E7F15">
            <w:t>Moscow</w:t>
          </w:r>
        </w:smartTag>
      </w:smartTag>
      <w:r w:rsidR="008E7F15" w:rsidRPr="008E7F15">
        <w:t xml:space="preserve"> authorities. </w:t>
      </w:r>
      <w:r w:rsidR="006C4427">
        <w:t>A s</w:t>
      </w:r>
      <w:r w:rsidR="008E7F15" w:rsidRPr="008E7F15">
        <w:t xml:space="preserve">imilar initiative to hold a march and a </w:t>
      </w:r>
      <w:r w:rsidR="000D2012">
        <w:t>“</w:t>
      </w:r>
      <w:r w:rsidR="008E7F15" w:rsidRPr="008E7F15">
        <w:t>picket</w:t>
      </w:r>
      <w:r w:rsidR="000D2012">
        <w:t>”</w:t>
      </w:r>
      <w:r w:rsidR="008E7F15" w:rsidRPr="008E7F15">
        <w:t xml:space="preserve"> to promote tolerance towards gays and lesbians was banned in the city of </w:t>
      </w:r>
      <w:smartTag w:uri="urn:schemas-microsoft-com:office:smarttags" w:element="place">
        <w:smartTag w:uri="urn:schemas-microsoft-com:office:smarttags" w:element="City">
          <w:r w:rsidR="008E7F15" w:rsidRPr="008E7F15">
            <w:t>Ryazan</w:t>
          </w:r>
        </w:smartTag>
      </w:smartTag>
      <w:r w:rsidR="008E7F15" w:rsidRPr="008E7F15">
        <w:t xml:space="preserve"> in 2009.</w:t>
      </w:r>
    </w:p>
    <w:p w:rsidR="008E7F15" w:rsidRPr="00CD2FC9" w:rsidRDefault="008E7F15" w:rsidP="00EA2539">
      <w:pPr>
        <w:pStyle w:val="SingleTxtG"/>
      </w:pPr>
      <w:r w:rsidRPr="00CD2FC9">
        <w:t>2.2</w:t>
      </w:r>
      <w:r w:rsidRPr="00CD2FC9">
        <w:tab/>
        <w:t xml:space="preserve">On </w:t>
      </w:r>
      <w:smartTag w:uri="urn:schemas-microsoft-com:office:smarttags" w:element="date">
        <w:smartTagPr>
          <w:attr w:name="Month" w:val="3"/>
          <w:attr w:name="Day" w:val="30"/>
          <w:attr w:name="Year" w:val="2009"/>
        </w:smartTagPr>
        <w:r w:rsidRPr="00CD2FC9">
          <w:t>30 March 2009</w:t>
        </w:r>
      </w:smartTag>
      <w:r w:rsidRPr="00CD2FC9">
        <w:t xml:space="preserve">, the author displayed posters </w:t>
      </w:r>
      <w:r w:rsidR="000D2012">
        <w:t>that declared</w:t>
      </w:r>
      <w:r w:rsidRPr="00CD2FC9">
        <w:t xml:space="preserve"> “Homosexuality is normal”</w:t>
      </w:r>
      <w:r w:rsidR="0046608F">
        <w:rPr>
          <w:rStyle w:val="FootnoteReference"/>
        </w:rPr>
        <w:footnoteReference w:id="3"/>
      </w:r>
      <w:r w:rsidRPr="00CD2FC9">
        <w:t xml:space="preserve"> and “I am proud of my homosexuality”</w:t>
      </w:r>
      <w:r w:rsidR="00691B1E">
        <w:rPr>
          <w:rStyle w:val="FootnoteReference"/>
        </w:rPr>
        <w:footnoteReference w:id="4"/>
      </w:r>
      <w:r w:rsidRPr="00CD2FC9">
        <w:t xml:space="preserve"> near </w:t>
      </w:r>
      <w:r w:rsidR="000D2012">
        <w:t xml:space="preserve">a </w:t>
      </w:r>
      <w:r w:rsidRPr="00CD2FC9">
        <w:t xml:space="preserve">secondary school </w:t>
      </w:r>
      <w:r w:rsidR="000D2012">
        <w:t xml:space="preserve">building </w:t>
      </w:r>
      <w:r w:rsidRPr="00CD2FC9">
        <w:t xml:space="preserve">in </w:t>
      </w:r>
      <w:smartTag w:uri="urn:schemas-microsoft-com:office:smarttags" w:element="place">
        <w:smartTag w:uri="urn:schemas-microsoft-com:office:smarttags" w:element="City">
          <w:r w:rsidRPr="00CD2FC9">
            <w:t>Ryazan</w:t>
          </w:r>
        </w:smartTag>
      </w:smartTag>
      <w:r w:rsidRPr="00CD2FC9">
        <w:t xml:space="preserve">. </w:t>
      </w:r>
      <w:r w:rsidR="00EA2539">
        <w:t>According to her, t</w:t>
      </w:r>
      <w:r w:rsidRPr="00CD2FC9">
        <w:t xml:space="preserve">he purpose of this action was to promote tolerance towards gay and lesbian </w:t>
      </w:r>
      <w:r w:rsidR="006C4427">
        <w:t>individuals</w:t>
      </w:r>
      <w:r w:rsidRPr="00CD2FC9">
        <w:t xml:space="preserve"> in the </w:t>
      </w:r>
      <w:smartTag w:uri="urn:schemas-microsoft-com:office:smarttags" w:element="place">
        <w:smartTag w:uri="urn:schemas-microsoft-com:office:smarttags" w:element="country-region">
          <w:r w:rsidRPr="00CD2FC9">
            <w:t>Russian Federation</w:t>
          </w:r>
        </w:smartTag>
      </w:smartTag>
      <w:r w:rsidRPr="00CD2FC9">
        <w:t>.</w:t>
      </w:r>
    </w:p>
    <w:p w:rsidR="0003452F" w:rsidRPr="0003452F" w:rsidRDefault="008E7F15" w:rsidP="007A43D6">
      <w:pPr>
        <w:pStyle w:val="SingleTxtG"/>
      </w:pPr>
      <w:r w:rsidRPr="00CD2FC9">
        <w:t>2.3</w:t>
      </w:r>
      <w:r w:rsidRPr="00CD2FC9">
        <w:tab/>
        <w:t xml:space="preserve">The author’s action was interrupted by police and, on 6 April 2009, she was </w:t>
      </w:r>
      <w:r w:rsidR="007A43D6">
        <w:t>convicted</w:t>
      </w:r>
      <w:r w:rsidRPr="00CD2FC9">
        <w:t xml:space="preserve"> by the </w:t>
      </w:r>
      <w:r w:rsidR="00D85760">
        <w:t>J</w:t>
      </w:r>
      <w:r w:rsidRPr="00CD2FC9">
        <w:t xml:space="preserve">ustice of the </w:t>
      </w:r>
      <w:r w:rsidR="00D85760">
        <w:t>P</w:t>
      </w:r>
      <w:r w:rsidRPr="00CD2FC9">
        <w:t xml:space="preserve">eace </w:t>
      </w:r>
      <w:r w:rsidR="007A43D6">
        <w:t xml:space="preserve">of </w:t>
      </w:r>
      <w:r w:rsidRPr="00CD2FC9">
        <w:t xml:space="preserve">an administrative offence </w:t>
      </w:r>
      <w:r w:rsidRPr="0003452F">
        <w:t xml:space="preserve">under section 3.10 of the Ryazan Region Law </w:t>
      </w:r>
      <w:r w:rsidR="00CD2FC9" w:rsidRPr="0003452F">
        <w:t>o</w:t>
      </w:r>
      <w:r w:rsidRPr="0003452F">
        <w:t>n Administra</w:t>
      </w:r>
      <w:r w:rsidR="00CD2FC9" w:rsidRPr="0003452F">
        <w:t>tive Offences</w:t>
      </w:r>
      <w:r w:rsidRPr="0003452F">
        <w:t xml:space="preserve"> of 4 December 2008</w:t>
      </w:r>
      <w:r w:rsidR="007A43D6" w:rsidRPr="0003452F">
        <w:t xml:space="preserve"> (Ryazan Region Law) for having displayed the posters in question. This provision </w:t>
      </w:r>
      <w:r w:rsidRPr="0003452F">
        <w:t>reads</w:t>
      </w:r>
      <w:r w:rsidR="007A43D6" w:rsidRPr="0003452F">
        <w:t xml:space="preserve"> in relevant part</w:t>
      </w:r>
      <w:r w:rsidRPr="0003452F">
        <w:t>: “Public actions aimed at propaganda of homosexuality (</w:t>
      </w:r>
      <w:r w:rsidR="00AB1541">
        <w:t>sexual act between men</w:t>
      </w:r>
      <w:r w:rsidRPr="0003452F">
        <w:t xml:space="preserve"> or lesbianism) among minors shall be punished with administrative fine </w:t>
      </w:r>
      <w:r w:rsidR="008E5521">
        <w:t>of between</w:t>
      </w:r>
      <w:r w:rsidRPr="0003452F">
        <w:t xml:space="preserve"> one thousand five hundred </w:t>
      </w:r>
      <w:r w:rsidR="008E5521">
        <w:t>and</w:t>
      </w:r>
      <w:r w:rsidR="008E5521" w:rsidRPr="0003452F">
        <w:t xml:space="preserve"> </w:t>
      </w:r>
      <w:r w:rsidRPr="0003452F">
        <w:t>two thousand roubles”.</w:t>
      </w:r>
      <w:r w:rsidR="00691B1E">
        <w:rPr>
          <w:rStyle w:val="FootnoteReference"/>
        </w:rPr>
        <w:footnoteReference w:id="5"/>
      </w:r>
      <w:r w:rsidRPr="0003452F">
        <w:t xml:space="preserve"> The author was ordered to pay a fine of 1</w:t>
      </w:r>
      <w:r w:rsidR="008E5521">
        <w:t>,</w:t>
      </w:r>
      <w:r w:rsidRPr="0003452F">
        <w:t xml:space="preserve">500 </w:t>
      </w:r>
      <w:r w:rsidR="000D2012" w:rsidRPr="0003452F">
        <w:t xml:space="preserve">Russian </w:t>
      </w:r>
      <w:r w:rsidRPr="0003452F">
        <w:t>roubles.</w:t>
      </w:r>
      <w:r w:rsidR="007A43D6" w:rsidRPr="0003452F">
        <w:rPr>
          <w:rStyle w:val="FootnoteReference"/>
        </w:rPr>
        <w:footnoteReference w:id="6"/>
      </w:r>
      <w:r w:rsidRPr="0003452F">
        <w:t xml:space="preserve"> </w:t>
      </w:r>
    </w:p>
    <w:p w:rsidR="00052D60" w:rsidRDefault="0003452F" w:rsidP="007A43D6">
      <w:pPr>
        <w:pStyle w:val="SingleTxtG"/>
      </w:pPr>
      <w:r>
        <w:t>2.4</w:t>
      </w:r>
      <w:r>
        <w:tab/>
      </w:r>
      <w:r w:rsidR="008E7F15" w:rsidRPr="00CD2FC9">
        <w:t xml:space="preserve">On an unspecified date, </w:t>
      </w:r>
      <w:r>
        <w:t>the author</w:t>
      </w:r>
      <w:r w:rsidR="008E7F15" w:rsidRPr="00CD2FC9">
        <w:t xml:space="preserve"> appealed the ruling of the </w:t>
      </w:r>
      <w:r w:rsidR="00D85760">
        <w:t>J</w:t>
      </w:r>
      <w:r w:rsidR="008E7F15" w:rsidRPr="00CD2FC9">
        <w:t xml:space="preserve">ustice of the </w:t>
      </w:r>
      <w:r w:rsidR="00D85760">
        <w:t>P</w:t>
      </w:r>
      <w:r w:rsidR="008E7F15" w:rsidRPr="00CD2FC9">
        <w:t>eace to the Oktyabrsky District Court of Ryazan</w:t>
      </w:r>
      <w:r w:rsidR="00052D60">
        <w:t xml:space="preserve"> (</w:t>
      </w:r>
      <w:r w:rsidR="00052D60" w:rsidRPr="00CD2FC9">
        <w:t>Oktyabrsky District Court</w:t>
      </w:r>
      <w:r w:rsidR="00052D60">
        <w:t>)</w:t>
      </w:r>
      <w:r w:rsidR="008E7F15" w:rsidRPr="00CD2FC9">
        <w:t xml:space="preserve">. </w:t>
      </w:r>
      <w:r w:rsidR="00052D60">
        <w:t xml:space="preserve">In her appeal, she asked the </w:t>
      </w:r>
      <w:r w:rsidR="00052D60" w:rsidRPr="00CD2FC9">
        <w:t>Oktyabrsky District Court</w:t>
      </w:r>
      <w:r w:rsidR="00052D60">
        <w:t xml:space="preserve"> to revoke the ruling and to request the </w:t>
      </w:r>
      <w:smartTag w:uri="urn:schemas-microsoft-com:office:smarttags" w:element="Street">
        <w:smartTag w:uri="urn:schemas-microsoft-com:office:smarttags" w:element="address">
          <w:r w:rsidR="00052D60">
            <w:t>Constitutional Court</w:t>
          </w:r>
        </w:smartTag>
      </w:smartTag>
      <w:r w:rsidR="00052D60">
        <w:t xml:space="preserve"> </w:t>
      </w:r>
      <w:r w:rsidR="00C01FFE">
        <w:t xml:space="preserve">to assess the compatibility of </w:t>
      </w:r>
      <w:r w:rsidR="00C01FFE" w:rsidRPr="0003452F">
        <w:t>section 3.10 of the Ryazan Region Law</w:t>
      </w:r>
      <w:r w:rsidR="00C01FFE">
        <w:t xml:space="preserve"> with articles 19, 29 and 55, part 3, of the Constitution of the </w:t>
      </w:r>
      <w:smartTag w:uri="urn:schemas-microsoft-com:office:smarttags" w:element="place">
        <w:smartTag w:uri="urn:schemas-microsoft-com:office:smarttags" w:element="country-region">
          <w:r w:rsidR="00C01FFE">
            <w:t>Russian Federation</w:t>
          </w:r>
        </w:smartTag>
      </w:smartTag>
      <w:r w:rsidR="00793227">
        <w:t xml:space="preserve"> </w:t>
      </w:r>
      <w:r w:rsidR="002E2744">
        <w:t xml:space="preserve">of </w:t>
      </w:r>
      <w:r w:rsidR="002E2744" w:rsidRPr="007A43D6">
        <w:t>12 December 1993</w:t>
      </w:r>
      <w:r w:rsidR="002E2744">
        <w:t xml:space="preserve"> </w:t>
      </w:r>
      <w:r w:rsidR="00793227">
        <w:t>(Constitution)</w:t>
      </w:r>
      <w:r w:rsidR="00C01FFE">
        <w:t xml:space="preserve">. She also asked to suspend proceedings in her case, pending the ruling of the </w:t>
      </w:r>
      <w:smartTag w:uri="urn:schemas-microsoft-com:office:smarttags" w:element="Street">
        <w:smartTag w:uri="urn:schemas-microsoft-com:office:smarttags" w:element="address">
          <w:r w:rsidR="00C01FFE">
            <w:t>Constitution</w:t>
          </w:r>
          <w:r w:rsidR="00473EDF">
            <w:t>al</w:t>
          </w:r>
          <w:r w:rsidR="00C01FFE">
            <w:t xml:space="preserve"> Court</w:t>
          </w:r>
        </w:smartTag>
      </w:smartTag>
      <w:r w:rsidR="00C01FFE">
        <w:t xml:space="preserve"> on the matter.</w:t>
      </w:r>
      <w:r w:rsidR="0040049A">
        <w:t xml:space="preserve"> </w:t>
      </w:r>
    </w:p>
    <w:p w:rsidR="0009520C" w:rsidRDefault="0040049A" w:rsidP="0028573D">
      <w:pPr>
        <w:pStyle w:val="SingleTxtG"/>
      </w:pPr>
      <w:r>
        <w:t>2.5</w:t>
      </w:r>
      <w:r>
        <w:tab/>
        <w:t xml:space="preserve">In her appeal </w:t>
      </w:r>
      <w:r w:rsidR="00793227">
        <w:t xml:space="preserve">to the </w:t>
      </w:r>
      <w:r w:rsidR="00793227" w:rsidRPr="00CD2FC9">
        <w:t>Oktyabrsky District Court</w:t>
      </w:r>
      <w:r w:rsidR="00793227">
        <w:t xml:space="preserve"> the author stated that she did not dispute the facts but considered that the </w:t>
      </w:r>
      <w:r w:rsidR="00793227" w:rsidRPr="00CD2FC9">
        <w:t xml:space="preserve">ruling of the </w:t>
      </w:r>
      <w:r w:rsidR="002865AC">
        <w:t>J</w:t>
      </w:r>
      <w:r w:rsidR="00793227" w:rsidRPr="00CD2FC9">
        <w:t xml:space="preserve">ustice of the </w:t>
      </w:r>
      <w:r w:rsidR="002865AC">
        <w:t>P</w:t>
      </w:r>
      <w:r w:rsidR="00793227" w:rsidRPr="00CD2FC9">
        <w:t>eace</w:t>
      </w:r>
      <w:r w:rsidR="00793227">
        <w:t xml:space="preserve"> was based on </w:t>
      </w:r>
      <w:r w:rsidR="007B4619">
        <w:t xml:space="preserve">a </w:t>
      </w:r>
      <w:r w:rsidR="00793227">
        <w:t>provision of law that was contrary to articles 19 and 29 of the Constitutio</w:t>
      </w:r>
      <w:r w:rsidR="006C4427">
        <w:t xml:space="preserve">n that, </w:t>
      </w:r>
      <w:r w:rsidR="006C4427" w:rsidRPr="0017458F">
        <w:t>respectively, prohibit</w:t>
      </w:r>
      <w:r w:rsidR="00793227" w:rsidRPr="0017458F">
        <w:t xml:space="preserve"> discrimination on the ground</w:t>
      </w:r>
      <w:r w:rsidR="006C4427" w:rsidRPr="0017458F">
        <w:t xml:space="preserve"> of social status and guarantee</w:t>
      </w:r>
      <w:r w:rsidR="00793227" w:rsidRPr="0017458F">
        <w:t xml:space="preserve"> the right </w:t>
      </w:r>
      <w:r w:rsidR="006C4427" w:rsidRPr="0017458F">
        <w:t>to freedom of thought</w:t>
      </w:r>
      <w:r w:rsidR="00626817" w:rsidRPr="0017458F">
        <w:t xml:space="preserve"> and </w:t>
      </w:r>
      <w:r w:rsidR="006C4427" w:rsidRPr="0017458F">
        <w:t>expression</w:t>
      </w:r>
      <w:r w:rsidR="00626817" w:rsidRPr="0017458F">
        <w:t>.</w:t>
      </w:r>
      <w:r w:rsidR="0075177B" w:rsidRPr="0017458F">
        <w:t xml:space="preserve"> She</w:t>
      </w:r>
      <w:r w:rsidR="0075177B">
        <w:t xml:space="preserve"> further submitted that it was unclear from the wording of </w:t>
      </w:r>
      <w:r w:rsidR="0075177B" w:rsidRPr="0003452F">
        <w:t>section 3.10 of the Ryazan Region Law</w:t>
      </w:r>
      <w:r w:rsidR="0075177B">
        <w:t xml:space="preserve"> what was meant </w:t>
      </w:r>
      <w:r w:rsidR="006C4427">
        <w:t>with</w:t>
      </w:r>
      <w:r w:rsidR="0075177B">
        <w:t xml:space="preserve"> “propaganda of homosexuality”, because from the constitutional point of view “propaganda” was an essential component </w:t>
      </w:r>
      <w:r w:rsidR="001E0936">
        <w:t xml:space="preserve">of </w:t>
      </w:r>
      <w:r w:rsidR="0075177B">
        <w:t>the exercise of the right to freedom of expression. Therefore, the author added, she had a right to promote certain points o</w:t>
      </w:r>
      <w:r w:rsidR="001E0936">
        <w:t>f</w:t>
      </w:r>
      <w:r w:rsidR="0075177B">
        <w:t xml:space="preserve"> view in relation to </w:t>
      </w:r>
      <w:r w:rsidR="00697934">
        <w:t>homosexuality</w:t>
      </w:r>
      <w:r w:rsidR="001E0936">
        <w:t xml:space="preserve">. </w:t>
      </w:r>
      <w:r w:rsidR="00E828AA">
        <w:t xml:space="preserve">She argued that </w:t>
      </w:r>
      <w:r w:rsidR="00697934" w:rsidRPr="0003452F">
        <w:t>section 3.10 of the Ryazan Region Law</w:t>
      </w:r>
      <w:r w:rsidR="00697934">
        <w:t xml:space="preserve"> </w:t>
      </w:r>
      <w:r w:rsidR="00E828AA">
        <w:t xml:space="preserve">unreasonably </w:t>
      </w:r>
      <w:r w:rsidR="00697934">
        <w:t>discrimi</w:t>
      </w:r>
      <w:r w:rsidR="00EA2539">
        <w:t>nated against individuals with “non-standard sexual orientation”</w:t>
      </w:r>
      <w:r w:rsidR="00E828AA">
        <w:t xml:space="preserve"> by prohibiting any dissemination of information about them</w:t>
      </w:r>
      <w:r w:rsidR="00697934">
        <w:t xml:space="preserve">. </w:t>
      </w:r>
      <w:r w:rsidR="0028573D">
        <w:t xml:space="preserve">The author submitted that, by displaying posters, she acted on the basis of article 29 of the Constitution with the aim </w:t>
      </w:r>
      <w:r w:rsidR="007B4619">
        <w:t xml:space="preserve">of </w:t>
      </w:r>
      <w:r w:rsidR="0028573D" w:rsidRPr="00CD2FC9">
        <w:t>promot</w:t>
      </w:r>
      <w:r w:rsidR="007B4619">
        <w:t>ing</w:t>
      </w:r>
      <w:r w:rsidR="0028573D" w:rsidRPr="00CD2FC9">
        <w:t xml:space="preserve"> tolerance towards </w:t>
      </w:r>
      <w:r w:rsidR="0028573D">
        <w:t>homosexuality among minors and t</w:t>
      </w:r>
      <w:r w:rsidR="00EA2539">
        <w:t>he idea that homosexuality was “normal”</w:t>
      </w:r>
      <w:r w:rsidR="0028573D">
        <w:t xml:space="preserve"> from the point of view of medical science. </w:t>
      </w:r>
      <w:r w:rsidR="0009520C">
        <w:t>Finally, she argued that s</w:t>
      </w:r>
      <w:r w:rsidR="0009520C" w:rsidRPr="0003452F">
        <w:t>ection 3.10 of the Ryazan Region Law</w:t>
      </w:r>
      <w:r w:rsidR="0009520C">
        <w:t xml:space="preserve"> established restrictions on the exercise of her right to freedom of expression, although </w:t>
      </w:r>
      <w:r w:rsidR="0009520C">
        <w:lastRenderedPageBreak/>
        <w:t>u</w:t>
      </w:r>
      <w:r w:rsidR="0009520C" w:rsidRPr="007A43D6">
        <w:t xml:space="preserve">nder article 55, paragraph 3, of the Constitution, </w:t>
      </w:r>
      <w:r w:rsidR="0009520C">
        <w:t xml:space="preserve">this right could </w:t>
      </w:r>
      <w:r w:rsidR="0009520C" w:rsidRPr="007A43D6">
        <w:t>be restricted only by federal law</w:t>
      </w:r>
      <w:r w:rsidR="0009520C">
        <w:t xml:space="preserve">. </w:t>
      </w:r>
    </w:p>
    <w:p w:rsidR="00F01098" w:rsidRDefault="0009520C" w:rsidP="007A43D6">
      <w:pPr>
        <w:pStyle w:val="SingleTxtG"/>
      </w:pPr>
      <w:r>
        <w:t>2.6</w:t>
      </w:r>
      <w:r>
        <w:tab/>
      </w:r>
      <w:r w:rsidR="008E7F15" w:rsidRPr="00CD2FC9">
        <w:t xml:space="preserve">On 14 May 2009, the ruling of the </w:t>
      </w:r>
      <w:r w:rsidR="006618CA">
        <w:t>J</w:t>
      </w:r>
      <w:r w:rsidR="008E7F15" w:rsidRPr="00CD2FC9">
        <w:t xml:space="preserve">ustice of the </w:t>
      </w:r>
      <w:r w:rsidR="006618CA">
        <w:t>P</w:t>
      </w:r>
      <w:r w:rsidR="008E7F15" w:rsidRPr="00CD2FC9">
        <w:t xml:space="preserve">eace was upheld by the </w:t>
      </w:r>
      <w:r w:rsidR="006618CA">
        <w:t>F</w:t>
      </w:r>
      <w:r w:rsidR="008E7F15" w:rsidRPr="00CD2FC9">
        <w:t xml:space="preserve">ederal </w:t>
      </w:r>
      <w:r w:rsidR="006618CA">
        <w:t>J</w:t>
      </w:r>
      <w:r w:rsidR="008E7F15" w:rsidRPr="00CD2FC9">
        <w:t xml:space="preserve">udge of the Oktyabrsky District Court. </w:t>
      </w:r>
      <w:r w:rsidR="00F01098">
        <w:t>The Court determined that</w:t>
      </w:r>
      <w:r w:rsidR="006618CA">
        <w:t>,</w:t>
      </w:r>
      <w:r w:rsidR="00F01098">
        <w:t xml:space="preserve"> u</w:t>
      </w:r>
      <w:r w:rsidR="00F01098" w:rsidRPr="007A43D6">
        <w:t>nder article 55</w:t>
      </w:r>
      <w:r w:rsidR="00F01098">
        <w:t xml:space="preserve"> </w:t>
      </w:r>
      <w:r w:rsidR="00F01098" w:rsidRPr="007A43D6">
        <w:t xml:space="preserve">of the Constitution, </w:t>
      </w:r>
      <w:r w:rsidR="00F01098">
        <w:t xml:space="preserve">individual rights and </w:t>
      </w:r>
      <w:r w:rsidR="00F01098" w:rsidRPr="007A43D6">
        <w:t>freedom</w:t>
      </w:r>
      <w:r w:rsidR="00EB4DC5">
        <w:t>s</w:t>
      </w:r>
      <w:r w:rsidR="00F01098">
        <w:t xml:space="preserve">, including those guaranteed under articles 19 and 29 of the Constitution, </w:t>
      </w:r>
      <w:r w:rsidR="00EB4DC5">
        <w:t>could</w:t>
      </w:r>
      <w:r w:rsidR="00F01098" w:rsidRPr="007A43D6">
        <w:t xml:space="preserve"> be restricted </w:t>
      </w:r>
      <w:r w:rsidR="00EB4DC5">
        <w:t>by federal law</w:t>
      </w:r>
      <w:r w:rsidR="00F01098" w:rsidRPr="007A43D6">
        <w:t xml:space="preserve"> and only to the extent necessary for the protection of the foundations of the constitutional order, public morals, health, or the rights and lawful interests of other persons, or for ensuring the </w:t>
      </w:r>
      <w:r w:rsidR="006618CA">
        <w:t>S</w:t>
      </w:r>
      <w:r w:rsidR="00F01098" w:rsidRPr="007A43D6">
        <w:t>tate defence and national security.</w:t>
      </w:r>
      <w:r w:rsidR="00EB4DC5">
        <w:t xml:space="preserve"> It added that the Code on </w:t>
      </w:r>
      <w:r w:rsidR="00EB4DC5" w:rsidRPr="0003452F">
        <w:t>Administrative Offences</w:t>
      </w:r>
      <w:r w:rsidR="00EB4DC5">
        <w:t xml:space="preserve"> of the Russian Federation was in fact such </w:t>
      </w:r>
      <w:r w:rsidR="00E815AF">
        <w:t xml:space="preserve">a </w:t>
      </w:r>
      <w:r w:rsidR="00EB4DC5">
        <w:t xml:space="preserve">federal law and that, according to article 1.1 of the said Code, </w:t>
      </w:r>
      <w:r w:rsidR="00E815AF">
        <w:t xml:space="preserve">the </w:t>
      </w:r>
      <w:r w:rsidR="00EB4DC5">
        <w:t xml:space="preserve">law on administrative offences consisted of the present Code and laws on administrative offences adopted </w:t>
      </w:r>
      <w:r w:rsidR="003E55A9">
        <w:t xml:space="preserve">in compliance with it </w:t>
      </w:r>
      <w:r w:rsidR="00EB4DC5">
        <w:t xml:space="preserve">by the </w:t>
      </w:r>
      <w:r w:rsidR="007F4175">
        <w:t>entities</w:t>
      </w:r>
      <w:r w:rsidR="007F4175" w:rsidRPr="0017458F">
        <w:t xml:space="preserve"> </w:t>
      </w:r>
      <w:r w:rsidR="00EB4DC5" w:rsidRPr="0017458F">
        <w:t>of the Russian</w:t>
      </w:r>
      <w:r w:rsidR="00EB4DC5">
        <w:t xml:space="preserve"> Federation</w:t>
      </w:r>
      <w:r w:rsidR="003E55A9">
        <w:t xml:space="preserve">. The Court </w:t>
      </w:r>
      <w:r w:rsidR="002E2744">
        <w:t xml:space="preserve">stated </w:t>
      </w:r>
      <w:r w:rsidR="003E55A9">
        <w:t xml:space="preserve">that the </w:t>
      </w:r>
      <w:r w:rsidR="003E55A9" w:rsidRPr="0003452F">
        <w:t>Ryazan Region Law</w:t>
      </w:r>
      <w:r w:rsidR="003E55A9">
        <w:t xml:space="preserve"> was based on the Constitution and the Code on Administrative Offences, thus it was a part of the law on administrative offences. It concluded that </w:t>
      </w:r>
      <w:r w:rsidR="003E55A9" w:rsidRPr="0003452F">
        <w:t>section 3.10 of the Ryazan Region Law</w:t>
      </w:r>
      <w:r w:rsidR="003E55A9">
        <w:t xml:space="preserve"> was not contrary to the Constitution and </w:t>
      </w:r>
      <w:r w:rsidR="00521021">
        <w:t xml:space="preserve">that it established restrictions (administrative liability) on the right to freedom of expression, including freedom to impart information, that </w:t>
      </w:r>
      <w:r w:rsidR="004F5519">
        <w:t>w</w:t>
      </w:r>
      <w:r w:rsidR="00521021">
        <w:t xml:space="preserve">ere </w:t>
      </w:r>
      <w:r w:rsidR="004F5519">
        <w:t xml:space="preserve">aimed at </w:t>
      </w:r>
      <w:r w:rsidR="002E2744">
        <w:t xml:space="preserve">protecting morals, health, rights and legitimate interests of minors. </w:t>
      </w:r>
    </w:p>
    <w:p w:rsidR="007A43D6" w:rsidRDefault="002E2744" w:rsidP="007A43D6">
      <w:pPr>
        <w:pStyle w:val="SingleTxtG"/>
      </w:pPr>
      <w:r>
        <w:t>2.7</w:t>
      </w:r>
      <w:r>
        <w:tab/>
      </w:r>
      <w:r w:rsidRPr="00F21001">
        <w:t>The author</w:t>
      </w:r>
      <w:r>
        <w:t xml:space="preserve"> submits </w:t>
      </w:r>
      <w:r w:rsidRPr="00F21001">
        <w:t xml:space="preserve">that </w:t>
      </w:r>
      <w:r>
        <w:t xml:space="preserve">she has </w:t>
      </w:r>
      <w:r w:rsidRPr="00F21001">
        <w:t xml:space="preserve">exhausted all </w:t>
      </w:r>
      <w:r>
        <w:t xml:space="preserve">available and effective domestic remedies </w:t>
      </w:r>
      <w:r>
        <w:rPr>
          <w:rFonts w:ascii="sans-serif" w:hAnsi="sans-serif"/>
        </w:rPr>
        <w:t>for purposes of article 5, paragraph 2</w:t>
      </w:r>
      <w:r w:rsidR="007F4175">
        <w:rPr>
          <w:rFonts w:ascii="sans-serif" w:hAnsi="sans-serif"/>
        </w:rPr>
        <w:t xml:space="preserve"> </w:t>
      </w:r>
      <w:r>
        <w:rPr>
          <w:rFonts w:ascii="sans-serif" w:hAnsi="sans-serif"/>
        </w:rPr>
        <w:t xml:space="preserve">(b), of the Optional Protocol. </w:t>
      </w:r>
    </w:p>
    <w:p w:rsidR="008E7F15" w:rsidRPr="007A43D6" w:rsidRDefault="00402044" w:rsidP="00076AB4">
      <w:pPr>
        <w:pStyle w:val="H23G"/>
      </w:pPr>
      <w:r>
        <w:tab/>
      </w:r>
      <w:r>
        <w:tab/>
      </w:r>
      <w:r w:rsidR="008E7F15" w:rsidRPr="007A43D6">
        <w:t>The complaint</w:t>
      </w:r>
    </w:p>
    <w:p w:rsidR="008E7F15" w:rsidRPr="007A43D6" w:rsidRDefault="008E7F15" w:rsidP="007A43D6">
      <w:pPr>
        <w:pStyle w:val="SingleTxtG"/>
      </w:pPr>
      <w:r w:rsidRPr="007A43D6">
        <w:t>3.</w:t>
      </w:r>
      <w:r w:rsidR="002E2744">
        <w:t>1</w:t>
      </w:r>
      <w:r w:rsidRPr="007A43D6">
        <w:tab/>
        <w:t xml:space="preserve">The author submits that the ruling </w:t>
      </w:r>
      <w:r w:rsidR="00091455" w:rsidRPr="00CD2FC9">
        <w:t xml:space="preserve">of the </w:t>
      </w:r>
      <w:r w:rsidR="007F4175" w:rsidRPr="00FF41D4">
        <w:t>J</w:t>
      </w:r>
      <w:r w:rsidR="00091455" w:rsidRPr="00FF41D4">
        <w:t xml:space="preserve">ustice of the </w:t>
      </w:r>
      <w:r w:rsidR="007F4175" w:rsidRPr="00D858D4">
        <w:t>P</w:t>
      </w:r>
      <w:r w:rsidR="00091455" w:rsidRPr="00D858D4">
        <w:t>eace</w:t>
      </w:r>
      <w:r w:rsidR="00091455" w:rsidRPr="00CD2FC9">
        <w:t xml:space="preserve"> </w:t>
      </w:r>
      <w:r w:rsidRPr="007A43D6">
        <w:t xml:space="preserve">of 6 April 2009 interfered with her right to freedom of expression </w:t>
      </w:r>
      <w:r w:rsidR="002E2744">
        <w:t xml:space="preserve">guaranteed </w:t>
      </w:r>
      <w:r w:rsidRPr="007A43D6">
        <w:t xml:space="preserve">under article 19 of the Covenant, because she was banned from </w:t>
      </w:r>
      <w:r w:rsidR="00EA2539">
        <w:t>disseminating ideas of</w:t>
      </w:r>
      <w:r w:rsidR="003449BB">
        <w:t xml:space="preserve"> a</w:t>
      </w:r>
      <w:r w:rsidR="00EA2539">
        <w:t xml:space="preserve"> tolerant attitude</w:t>
      </w:r>
      <w:r w:rsidRPr="007A43D6">
        <w:t xml:space="preserve"> towards sexual minorities and </w:t>
      </w:r>
      <w:r w:rsidR="00091455">
        <w:t xml:space="preserve">convicted </w:t>
      </w:r>
      <w:r w:rsidRPr="007A43D6">
        <w:t xml:space="preserve">of an administrative offence for doing so. </w:t>
      </w:r>
      <w:r w:rsidR="00091455">
        <w:t xml:space="preserve">Such </w:t>
      </w:r>
      <w:r w:rsidRPr="007A43D6">
        <w:t xml:space="preserve">restrictions </w:t>
      </w:r>
      <w:r w:rsidR="00091455">
        <w:t xml:space="preserve">can be </w:t>
      </w:r>
      <w:r w:rsidR="00091455" w:rsidRPr="007A43D6">
        <w:t>justif</w:t>
      </w:r>
      <w:r w:rsidR="00091455">
        <w:t xml:space="preserve">ied </w:t>
      </w:r>
      <w:r w:rsidRPr="007A43D6">
        <w:t xml:space="preserve">under article 19, paragraph 3, </w:t>
      </w:r>
      <w:r w:rsidR="00091455">
        <w:t xml:space="preserve">only </w:t>
      </w:r>
      <w:r w:rsidRPr="007A43D6">
        <w:t xml:space="preserve">if they were “provided by law” and “necessary” for one of the legitimate </w:t>
      </w:r>
      <w:r w:rsidR="004B0E52">
        <w:t>aims</w:t>
      </w:r>
      <w:r w:rsidRPr="007A43D6">
        <w:t>.</w:t>
      </w:r>
    </w:p>
    <w:p w:rsidR="008E7F15" w:rsidRPr="007A43D6" w:rsidRDefault="00091455" w:rsidP="007A43D6">
      <w:pPr>
        <w:pStyle w:val="SingleTxtG"/>
      </w:pPr>
      <w:r>
        <w:t>3.2</w:t>
      </w:r>
      <w:r w:rsidR="008E7F15" w:rsidRPr="007A43D6">
        <w:tab/>
      </w:r>
      <w:r>
        <w:t xml:space="preserve">The author further submits that she was convicted </w:t>
      </w:r>
      <w:r w:rsidRPr="007A43D6">
        <w:t xml:space="preserve">of an administrative offence </w:t>
      </w:r>
      <w:r>
        <w:t xml:space="preserve">under </w:t>
      </w:r>
      <w:r w:rsidR="008E7F15" w:rsidRPr="007A43D6">
        <w:t>sec</w:t>
      </w:r>
      <w:r>
        <w:t>tion 3.10 of the Ryazan Region</w:t>
      </w:r>
      <w:r w:rsidR="008E7F15" w:rsidRPr="007A43D6">
        <w:t xml:space="preserve"> Law and </w:t>
      </w:r>
      <w:r>
        <w:t>that, therefore, the restriction on the exercise of h</w:t>
      </w:r>
      <w:r w:rsidR="00860DCA">
        <w:t>er right to freedom of expression</w:t>
      </w:r>
      <w:r>
        <w:t xml:space="preserve"> </w:t>
      </w:r>
      <w:r w:rsidR="008E7F15" w:rsidRPr="007A43D6">
        <w:t xml:space="preserve">was </w:t>
      </w:r>
      <w:r w:rsidR="004B0E52" w:rsidRPr="007F4175">
        <w:t xml:space="preserve">de jure </w:t>
      </w:r>
      <w:r w:rsidR="008E7F15" w:rsidRPr="007A43D6">
        <w:t xml:space="preserve">“provided by law”. </w:t>
      </w:r>
      <w:r>
        <w:t>She argues</w:t>
      </w:r>
      <w:r w:rsidR="008E7F15" w:rsidRPr="007A43D6">
        <w:t xml:space="preserve">, however, that under </w:t>
      </w:r>
      <w:r w:rsidR="008E7F15" w:rsidRPr="00FF41D4">
        <w:t>article 55, paragraph 3</w:t>
      </w:r>
      <w:r w:rsidR="008E7F15" w:rsidRPr="007A43D6">
        <w:t xml:space="preserve">, of the Constitution, freedom of expression can be restricted only by </w:t>
      </w:r>
      <w:r>
        <w:t xml:space="preserve">federal law. </w:t>
      </w:r>
      <w:r w:rsidR="004B0E52">
        <w:t>Since t</w:t>
      </w:r>
      <w:r>
        <w:t>he Ryazan Region</w:t>
      </w:r>
      <w:r w:rsidR="008E7F15" w:rsidRPr="007A43D6">
        <w:t xml:space="preserve"> Law is not a federal law</w:t>
      </w:r>
      <w:r w:rsidR="004B0E52">
        <w:t xml:space="preserve">, </w:t>
      </w:r>
      <w:r w:rsidR="008E7F15" w:rsidRPr="007A43D6">
        <w:t xml:space="preserve">the interference with her </w:t>
      </w:r>
      <w:r w:rsidR="004B0E52">
        <w:t xml:space="preserve">right to </w:t>
      </w:r>
      <w:r w:rsidR="008E7F15" w:rsidRPr="007A43D6">
        <w:t>freedom of expression did not comply with the Constitution, and</w:t>
      </w:r>
      <w:r w:rsidR="004B0E52">
        <w:t>,</w:t>
      </w:r>
      <w:r w:rsidR="008E7F15" w:rsidRPr="007A43D6">
        <w:t xml:space="preserve"> therefore</w:t>
      </w:r>
      <w:r w:rsidR="004B0E52">
        <w:t>,</w:t>
      </w:r>
      <w:r w:rsidR="008E7F15" w:rsidRPr="007A43D6">
        <w:t xml:space="preserve"> cannot be regarded as being “provided by law”</w:t>
      </w:r>
      <w:r w:rsidR="004B0E52">
        <w:t xml:space="preserve"> within the meaning of article 19, paragraph 3, of the Covenant</w:t>
      </w:r>
      <w:r w:rsidR="008E7F15" w:rsidRPr="007A43D6">
        <w:t>.</w:t>
      </w:r>
    </w:p>
    <w:p w:rsidR="008E7F15" w:rsidRPr="00235205" w:rsidRDefault="004B0E52" w:rsidP="00F96659">
      <w:pPr>
        <w:pStyle w:val="SingleTxtG"/>
      </w:pPr>
      <w:r>
        <w:t>3.3</w:t>
      </w:r>
      <w:r w:rsidR="008E7F15" w:rsidRPr="00235205">
        <w:tab/>
      </w:r>
      <w:r>
        <w:t>The author claims that, e</w:t>
      </w:r>
      <w:r w:rsidR="008E7F15" w:rsidRPr="00235205">
        <w:t xml:space="preserve">ven if the interference was “provided by law”, it was not “necessary”, because it did not pursue one of the legitimate aims </w:t>
      </w:r>
      <w:r>
        <w:t xml:space="preserve">set out </w:t>
      </w:r>
      <w:r w:rsidR="008E7F15" w:rsidRPr="00235205">
        <w:t xml:space="preserve">in article 19, paragraph 3, of the Covenant. </w:t>
      </w:r>
      <w:r w:rsidR="00BA3398">
        <w:t xml:space="preserve">She </w:t>
      </w:r>
      <w:r>
        <w:t xml:space="preserve">acknowledges </w:t>
      </w:r>
      <w:r w:rsidR="008E7F15" w:rsidRPr="00235205">
        <w:t xml:space="preserve">that the aim of the restriction was </w:t>
      </w:r>
      <w:r w:rsidR="009D3D2B">
        <w:t xml:space="preserve">to </w:t>
      </w:r>
      <w:r w:rsidR="008E7F15" w:rsidRPr="00235205">
        <w:t xml:space="preserve">protect public health or morals of minors (in the </w:t>
      </w:r>
      <w:smartTag w:uri="urn:schemas-microsoft-com:office:smarttags" w:element="place">
        <w:smartTag w:uri="urn:schemas-microsoft-com:office:smarttags" w:element="country-region">
          <w:r w:rsidR="008E7F15" w:rsidRPr="00235205">
            <w:t>Russian Federation</w:t>
          </w:r>
        </w:smartTag>
      </w:smartTag>
      <w:r w:rsidR="008E7F15" w:rsidRPr="00235205">
        <w:t xml:space="preserve">, persons under 18) by prohibiting others from </w:t>
      </w:r>
      <w:r w:rsidR="00F96659">
        <w:t>“</w:t>
      </w:r>
      <w:r w:rsidR="008E7F15" w:rsidRPr="00235205">
        <w:t xml:space="preserve">inciting minors to have intimate </w:t>
      </w:r>
      <w:r w:rsidR="00BA3398" w:rsidRPr="00235205">
        <w:t xml:space="preserve">relations between persons of </w:t>
      </w:r>
      <w:r w:rsidR="003449BB">
        <w:t xml:space="preserve">the </w:t>
      </w:r>
      <w:r w:rsidR="00BA3398" w:rsidRPr="00235205">
        <w:t>same sex</w:t>
      </w:r>
      <w:r w:rsidR="00F96659">
        <w:t>”</w:t>
      </w:r>
      <w:r w:rsidR="008E7F15" w:rsidRPr="00235205">
        <w:t>.</w:t>
      </w:r>
      <w:r w:rsidR="00BA3398">
        <w:t xml:space="preserve"> In this regard, the author submits that she </w:t>
      </w:r>
      <w:r w:rsidR="008E7F15" w:rsidRPr="00235205">
        <w:t xml:space="preserve">did not promote any ideas </w:t>
      </w:r>
      <w:r w:rsidR="00BA3398">
        <w:t>that would incite minors to such actions and that t</w:t>
      </w:r>
      <w:r w:rsidR="008E7F15" w:rsidRPr="00235205">
        <w:t xml:space="preserve">he purpose of her </w:t>
      </w:r>
      <w:r w:rsidR="00C4006B">
        <w:t xml:space="preserve">displaying posters </w:t>
      </w:r>
      <w:r w:rsidR="008E7F15" w:rsidRPr="00235205">
        <w:t xml:space="preserve">was to educate </w:t>
      </w:r>
      <w:r w:rsidR="003449BB">
        <w:t xml:space="preserve">the </w:t>
      </w:r>
      <w:r w:rsidR="008E7F15" w:rsidRPr="00235205">
        <w:t xml:space="preserve">public, including minors, about </w:t>
      </w:r>
      <w:r w:rsidR="003449BB">
        <w:t xml:space="preserve">a </w:t>
      </w:r>
      <w:r w:rsidR="008E7F15" w:rsidRPr="00235205">
        <w:t xml:space="preserve">tolerant attitude towards homosexuality. </w:t>
      </w:r>
      <w:r w:rsidR="00C4006B">
        <w:t xml:space="preserve">She </w:t>
      </w:r>
      <w:r w:rsidR="008E7F15" w:rsidRPr="00235205">
        <w:t>further claims that th</w:t>
      </w:r>
      <w:r w:rsidR="00C4006B">
        <w:t>e wording of the Ryazan Region</w:t>
      </w:r>
      <w:r w:rsidR="008E7F15" w:rsidRPr="00235205">
        <w:t xml:space="preserve"> Law is not sufficiently clear, because it puts an absolute ban on disseminating any ideas related to homosexuality, including objective or neutral information aimed at educating minors and helping them to develop a tolerant attitude towards homosexual individuals. The </w:t>
      </w:r>
      <w:r w:rsidR="001E0936">
        <w:t xml:space="preserve">author argues that the </w:t>
      </w:r>
      <w:r w:rsidR="008E7F15" w:rsidRPr="00235205">
        <w:t xml:space="preserve">blanket ban on </w:t>
      </w:r>
      <w:r w:rsidR="008E7F15" w:rsidRPr="00235205">
        <w:lastRenderedPageBreak/>
        <w:t xml:space="preserve">imparting any information on homosexuality to minors makes </w:t>
      </w:r>
      <w:r w:rsidR="001E0936">
        <w:t>her</w:t>
      </w:r>
      <w:r w:rsidR="008E7F15" w:rsidRPr="00235205">
        <w:t xml:space="preserve"> freedom of expression merely theoretic and illusory.</w:t>
      </w:r>
      <w:r w:rsidR="008E7F15" w:rsidRPr="00C4006B">
        <w:rPr>
          <w:rStyle w:val="FootnoteReference"/>
        </w:rPr>
        <w:footnoteReference w:id="7"/>
      </w:r>
    </w:p>
    <w:p w:rsidR="008E7F15" w:rsidRPr="008B436A" w:rsidRDefault="006D70E6" w:rsidP="00C4006B">
      <w:pPr>
        <w:pStyle w:val="SingleTxtG"/>
      </w:pPr>
      <w:r w:rsidRPr="008B436A">
        <w:t>3.4</w:t>
      </w:r>
      <w:r w:rsidR="008E7F15" w:rsidRPr="008B436A">
        <w:tab/>
        <w:t xml:space="preserve">In the present case, the author </w:t>
      </w:r>
      <w:r w:rsidR="00D83F76">
        <w:t xml:space="preserve">was fined for having </w:t>
      </w:r>
      <w:r w:rsidR="008E7F15" w:rsidRPr="008B436A">
        <w:t xml:space="preserve">displayed posters </w:t>
      </w:r>
      <w:r w:rsidR="001E3246" w:rsidRPr="008B436A">
        <w:t xml:space="preserve">that declared </w:t>
      </w:r>
      <w:r w:rsidR="008E7F15" w:rsidRPr="008B436A">
        <w:t>“Homosexuality is normal” and “I am proud of my homosexuality” which, pursuant to section 3.10 of the Ryazan Region Law</w:t>
      </w:r>
      <w:r w:rsidR="00C21DFD">
        <w:t>,</w:t>
      </w:r>
      <w:r w:rsidR="008E7F15" w:rsidRPr="008B436A">
        <w:t xml:space="preserve"> is an administrative offence against public morals defined as “propaganda of homosexuality among minors”. </w:t>
      </w:r>
      <w:r w:rsidR="001E3246" w:rsidRPr="008B436A">
        <w:t xml:space="preserve">In this connection, the author </w:t>
      </w:r>
      <w:r w:rsidR="008E7F15" w:rsidRPr="008B436A">
        <w:t xml:space="preserve">submits that propaganda always implies dissemination of certain ideas or educating public on certain issues in order to change public </w:t>
      </w:r>
      <w:r w:rsidR="001E3246" w:rsidRPr="008B436A">
        <w:t>opinion</w:t>
      </w:r>
      <w:r w:rsidR="008E7F15" w:rsidRPr="008B436A">
        <w:t xml:space="preserve">. From the Covenant’s perspective, propaganda is one of </w:t>
      </w:r>
      <w:r w:rsidR="001E3246" w:rsidRPr="008B436A">
        <w:t>components</w:t>
      </w:r>
      <w:r w:rsidR="008E7F15" w:rsidRPr="008B436A">
        <w:t xml:space="preserve"> of freedom of expression and, </w:t>
      </w:r>
      <w:r w:rsidR="001E3246" w:rsidRPr="008B436A">
        <w:t>therefore</w:t>
      </w:r>
      <w:r w:rsidR="008E7F15" w:rsidRPr="008B436A">
        <w:t>, anyone has the right to advocate for certain ideas</w:t>
      </w:r>
      <w:r w:rsidR="001E3246" w:rsidRPr="008B436A">
        <w:t xml:space="preserve"> in relation to </w:t>
      </w:r>
      <w:r w:rsidR="008E7F15" w:rsidRPr="008B436A">
        <w:t>homosexuality.</w:t>
      </w:r>
    </w:p>
    <w:p w:rsidR="008E7F15" w:rsidRPr="00C4006B" w:rsidRDefault="008B436A" w:rsidP="00C4006B">
      <w:pPr>
        <w:pStyle w:val="SingleTxtG"/>
      </w:pPr>
      <w:r>
        <w:t>3.5</w:t>
      </w:r>
      <w:r w:rsidR="008E7F15" w:rsidRPr="00C4006B">
        <w:tab/>
        <w:t>The author further submits that homosexuality is an objective characteristic of a large group of individuals in any society. In the p</w:t>
      </w:r>
      <w:r>
        <w:t xml:space="preserve">resent case, </w:t>
      </w:r>
      <w:r w:rsidR="0017458F">
        <w:t xml:space="preserve">the author claims that </w:t>
      </w:r>
      <w:r>
        <w:t>the Ryazan Region</w:t>
      </w:r>
      <w:r w:rsidR="008E7F15" w:rsidRPr="00C4006B">
        <w:t xml:space="preserve"> Law prohibits dissemination of any information re</w:t>
      </w:r>
      <w:r>
        <w:t xml:space="preserve">lated to </w:t>
      </w:r>
      <w:r w:rsidR="008E7F15" w:rsidRPr="00C4006B">
        <w:t xml:space="preserve">homosexuality, including neutral in its content, among minors. Judging by the </w:t>
      </w:r>
      <w:r>
        <w:t xml:space="preserve">fact that </w:t>
      </w:r>
      <w:r w:rsidR="008E7F15" w:rsidRPr="00C4006B">
        <w:t xml:space="preserve">section 3.10 </w:t>
      </w:r>
      <w:r>
        <w:t xml:space="preserve">is placed </w:t>
      </w:r>
      <w:r w:rsidR="008E7F15" w:rsidRPr="00C4006B">
        <w:t xml:space="preserve">in </w:t>
      </w:r>
      <w:r>
        <w:t>c</w:t>
      </w:r>
      <w:r w:rsidR="008E7F15" w:rsidRPr="00C4006B">
        <w:t xml:space="preserve">hapter 3 of the </w:t>
      </w:r>
      <w:r>
        <w:t>Ryazan Region</w:t>
      </w:r>
      <w:r w:rsidRPr="00C4006B">
        <w:t xml:space="preserve"> Law </w:t>
      </w:r>
      <w:r w:rsidR="008E7F15" w:rsidRPr="00C4006B">
        <w:t>(</w:t>
      </w:r>
      <w:r w:rsidR="00CF040D">
        <w:t>a</w:t>
      </w:r>
      <w:r w:rsidR="008E7F15" w:rsidRPr="00C4006B">
        <w:t>dministrative offences against health, sanitary and epidemiologic well</w:t>
      </w:r>
      <w:r w:rsidR="00C21DFD">
        <w:t>-</w:t>
      </w:r>
      <w:r w:rsidR="008E7F15" w:rsidRPr="00C4006B">
        <w:t>being and public morals</w:t>
      </w:r>
      <w:r w:rsidR="00CF040D">
        <w:t>)</w:t>
      </w:r>
      <w:r w:rsidR="00C21DFD">
        <w:t>,</w:t>
      </w:r>
      <w:r w:rsidR="004B0CBA">
        <w:rPr>
          <w:rStyle w:val="FootnoteReference"/>
        </w:rPr>
        <w:footnoteReference w:id="8"/>
      </w:r>
      <w:r w:rsidR="008E7F15" w:rsidRPr="00C4006B">
        <w:t xml:space="preserve"> the aim of this prohibition is to protect morals of minors. It follows that the said law </w:t>
      </w:r>
      <w:r w:rsidR="00CF040D">
        <w:t>is based on the as</w:t>
      </w:r>
      <w:r w:rsidR="008E7F15" w:rsidRPr="00C4006B">
        <w:t xml:space="preserve">sumption that homosexuality is something immoral, which is clearly against modern understanding of homosexuality as a characteristic based on sexual </w:t>
      </w:r>
      <w:r w:rsidR="008E7F15" w:rsidRPr="0017458F">
        <w:t xml:space="preserve">orientation and not on someone’s </w:t>
      </w:r>
      <w:r w:rsidR="00E16374" w:rsidRPr="0017458F">
        <w:t>conscious</w:t>
      </w:r>
      <w:r w:rsidR="00D83F76" w:rsidRPr="0017458F">
        <w:t xml:space="preserve"> </w:t>
      </w:r>
      <w:r w:rsidR="008E7F15" w:rsidRPr="0017458F">
        <w:t>choice</w:t>
      </w:r>
      <w:r w:rsidR="00140CAA" w:rsidRPr="0017458F">
        <w:t xml:space="preserve"> of sexual behaviour</w:t>
      </w:r>
      <w:r w:rsidR="008E7F15" w:rsidRPr="0017458F">
        <w:t>.</w:t>
      </w:r>
      <w:r w:rsidR="008E7F15" w:rsidRPr="00C4006B">
        <w:t xml:space="preserve"> </w:t>
      </w:r>
    </w:p>
    <w:p w:rsidR="008E7F15" w:rsidRPr="00C4006B" w:rsidRDefault="00CF040D" w:rsidP="00C4006B">
      <w:pPr>
        <w:pStyle w:val="SingleTxtG"/>
      </w:pPr>
      <w:r>
        <w:t>3.6</w:t>
      </w:r>
      <w:r w:rsidR="008E7F15" w:rsidRPr="00C4006B">
        <w:tab/>
        <w:t>The author claims, the</w:t>
      </w:r>
      <w:r>
        <w:t>refore, that the Ryazan Region</w:t>
      </w:r>
      <w:r w:rsidR="008E7F15" w:rsidRPr="00C4006B">
        <w:t xml:space="preserve"> Law is also contrary to article 26 of the Covenant, which states that all persons are equal before the law and are entitled without any discrimination to the equal protection of the law. </w:t>
      </w:r>
      <w:r>
        <w:t>She adds that t</w:t>
      </w:r>
      <w:r w:rsidR="008E7F15" w:rsidRPr="00C4006B">
        <w:t>he Ryazan Region Law discriminates against homosexual individuals by</w:t>
      </w:r>
      <w:r w:rsidR="0017458F" w:rsidRPr="00C21DFD">
        <w:t xml:space="preserve"> de facto</w:t>
      </w:r>
      <w:r w:rsidR="008E7F15" w:rsidRPr="00C4006B">
        <w:t xml:space="preserve"> prohibiting dissemination of any information about them among minors</w:t>
      </w:r>
      <w:r>
        <w:t xml:space="preserve"> and that t</w:t>
      </w:r>
      <w:r w:rsidR="008E7F15" w:rsidRPr="00C4006B">
        <w:t xml:space="preserve">here is no objective justification for such difference in treatment under the Covenant. In this respect, the author refers to the Committee’s concluding observations </w:t>
      </w:r>
      <w:r>
        <w:t xml:space="preserve">on </w:t>
      </w:r>
      <w:r w:rsidR="008E7F15" w:rsidRPr="00C4006B">
        <w:t xml:space="preserve">the sixth periodic report of the </w:t>
      </w:r>
      <w:smartTag w:uri="urn:schemas-microsoft-com:office:smarttags" w:element="country-region">
        <w:smartTag w:uri="urn:schemas-microsoft-com:office:smarttags" w:element="place">
          <w:r w:rsidR="008E7F15" w:rsidRPr="00C4006B">
            <w:t>Russian Federation</w:t>
          </w:r>
        </w:smartTag>
      </w:smartTag>
      <w:r w:rsidR="00C21DFD">
        <w:t xml:space="preserve"> (CCPR/C/RUS/CO/6)</w:t>
      </w:r>
      <w:r w:rsidR="008E7F15" w:rsidRPr="00C4006B">
        <w:t>. The Committee noted with concern “the systematic discrimination against individuals on the basis of their sexual orientation in the State party, including hate speech and manifestations of intolerance and prejudice by public officials, religious leaders and in the media”</w:t>
      </w:r>
      <w:r w:rsidR="00C21DFD">
        <w:t xml:space="preserve"> (ibid., para. 27)</w:t>
      </w:r>
      <w:r w:rsidR="008E7F15" w:rsidRPr="00C4006B">
        <w:t>.</w:t>
      </w:r>
    </w:p>
    <w:p w:rsidR="00C4006B" w:rsidRDefault="008E7F15" w:rsidP="00F223B6">
      <w:pPr>
        <w:pStyle w:val="SingleTxtG"/>
        <w:spacing w:after="0" w:line="240" w:lineRule="auto"/>
      </w:pPr>
      <w:r w:rsidRPr="00C4006B">
        <w:t>3.</w:t>
      </w:r>
      <w:r w:rsidR="00650E05">
        <w:t>7</w:t>
      </w:r>
      <w:r w:rsidRPr="00C4006B">
        <w:tab/>
        <w:t xml:space="preserve">The author concludes by asking the Committee to find that the ruling </w:t>
      </w:r>
      <w:r w:rsidR="00650E05" w:rsidRPr="00CD2FC9">
        <w:t xml:space="preserve">of the </w:t>
      </w:r>
      <w:r w:rsidR="00C21DFD">
        <w:t>J</w:t>
      </w:r>
      <w:r w:rsidR="00650E05" w:rsidRPr="00CD2FC9">
        <w:t xml:space="preserve">ustice of the </w:t>
      </w:r>
      <w:r w:rsidR="00C21DFD">
        <w:t>P</w:t>
      </w:r>
      <w:r w:rsidR="00650E05" w:rsidRPr="00CD2FC9">
        <w:t xml:space="preserve">eace </w:t>
      </w:r>
      <w:r w:rsidR="00650E05" w:rsidRPr="007A43D6">
        <w:t>of 6 April 2009</w:t>
      </w:r>
      <w:r w:rsidRPr="00C4006B">
        <w:t xml:space="preserve">, </w:t>
      </w:r>
      <w:r w:rsidR="00650E05">
        <w:t xml:space="preserve">convicting her of </w:t>
      </w:r>
      <w:r w:rsidRPr="00C4006B">
        <w:t xml:space="preserve">an administrative offence </w:t>
      </w:r>
      <w:r w:rsidR="00650E05">
        <w:t>for “</w:t>
      </w:r>
      <w:r w:rsidRPr="00C4006B">
        <w:t>propaganda of homosexuality among minors</w:t>
      </w:r>
      <w:r w:rsidR="00650E05">
        <w:t>”</w:t>
      </w:r>
      <w:r w:rsidRPr="00C4006B">
        <w:t xml:space="preserve">, was disproportionate to any legitimate aims pursued and therefore violated article 19 and article 26 of the Covenant. </w:t>
      </w:r>
    </w:p>
    <w:p w:rsidR="009E31DB" w:rsidRDefault="009E31DB" w:rsidP="00076AB4">
      <w:pPr>
        <w:pStyle w:val="H23G"/>
      </w:pPr>
      <w:r w:rsidRPr="009E31DB">
        <w:tab/>
      </w:r>
      <w:r w:rsidRPr="009E31DB">
        <w:tab/>
        <w:t>State party</w:t>
      </w:r>
      <w:r w:rsidR="00C21DFD">
        <w:t>’</w:t>
      </w:r>
      <w:r w:rsidRPr="009E31DB">
        <w:t xml:space="preserve">s observations on </w:t>
      </w:r>
      <w:r w:rsidR="00D3502B">
        <w:t>admissibility</w:t>
      </w:r>
    </w:p>
    <w:p w:rsidR="008D1EA4" w:rsidRDefault="00B94530" w:rsidP="008D1EA4">
      <w:pPr>
        <w:pStyle w:val="SingleTxtG"/>
      </w:pPr>
      <w:r w:rsidRPr="00B94530">
        <w:t>4.1</w:t>
      </w:r>
      <w:r w:rsidRPr="00B94530">
        <w:tab/>
      </w:r>
      <w:r>
        <w:t xml:space="preserve">On </w:t>
      </w:r>
      <w:r w:rsidR="005B41A9">
        <w:t>20 May</w:t>
      </w:r>
      <w:r>
        <w:t xml:space="preserve"> 20</w:t>
      </w:r>
      <w:r w:rsidR="005B41A9">
        <w:t>10</w:t>
      </w:r>
      <w:r>
        <w:t>, t</w:t>
      </w:r>
      <w:r w:rsidRPr="00B94530">
        <w:t xml:space="preserve">he State party </w:t>
      </w:r>
      <w:r w:rsidR="005B41A9">
        <w:t xml:space="preserve">recalls the facts of the case and </w:t>
      </w:r>
      <w:r w:rsidR="00841DDB">
        <w:t>challenges</w:t>
      </w:r>
      <w:r>
        <w:t xml:space="preserve"> the </w:t>
      </w:r>
      <w:r w:rsidRPr="00B94530">
        <w:t xml:space="preserve">admissibility </w:t>
      </w:r>
      <w:r>
        <w:t>of the communi</w:t>
      </w:r>
      <w:r w:rsidR="005B41A9">
        <w:t>cation, arguing that the author</w:t>
      </w:r>
      <w:r>
        <w:t xml:space="preserve"> did not exhaust all available domestic remedies</w:t>
      </w:r>
      <w:r w:rsidR="008D1EA4">
        <w:t>. It</w:t>
      </w:r>
      <w:r w:rsidR="008D1EA4" w:rsidRPr="008D1EA4">
        <w:t xml:space="preserve"> </w:t>
      </w:r>
      <w:r w:rsidR="008D1EA4">
        <w:t xml:space="preserve">submits </w:t>
      </w:r>
      <w:r w:rsidR="008D1EA4" w:rsidRPr="008D1EA4">
        <w:t xml:space="preserve">that the author </w:t>
      </w:r>
      <w:r w:rsidR="008D1EA4">
        <w:t>c</w:t>
      </w:r>
      <w:r w:rsidR="008D1EA4" w:rsidRPr="008D1EA4">
        <w:t>ould have used the ordinary appeal procedure</w:t>
      </w:r>
      <w:r w:rsidR="00E13477">
        <w:t>s</w:t>
      </w:r>
      <w:r w:rsidR="008D1EA4" w:rsidRPr="008D1EA4">
        <w:t xml:space="preserve"> envisaged by article 30.9 of the Code on Administrative Offences and appealed the decision of the </w:t>
      </w:r>
      <w:r w:rsidR="00D13344" w:rsidRPr="00FF41D4">
        <w:t>Federal Judge</w:t>
      </w:r>
      <w:r w:rsidR="00D13344" w:rsidRPr="008D1EA4">
        <w:t xml:space="preserve"> </w:t>
      </w:r>
      <w:r w:rsidR="008D1EA4" w:rsidRPr="008D1EA4">
        <w:t xml:space="preserve">of the Oktyabrsky District Court dated </w:t>
      </w:r>
      <w:smartTag w:uri="urn:schemas-microsoft-com:office:smarttags" w:element="date">
        <w:smartTagPr>
          <w:attr w:name="Month" w:val="5"/>
          <w:attr w:name="Day" w:val="14"/>
          <w:attr w:name="Year" w:val="2009"/>
        </w:smartTagPr>
        <w:r w:rsidR="008D1EA4" w:rsidRPr="008D1EA4">
          <w:t>14 May 2009</w:t>
        </w:r>
      </w:smartTag>
      <w:r w:rsidR="008D1EA4" w:rsidRPr="008D1EA4">
        <w:t xml:space="preserve"> to </w:t>
      </w:r>
      <w:r w:rsidR="008D1EA4" w:rsidRPr="008D1EA4">
        <w:lastRenderedPageBreak/>
        <w:t xml:space="preserve">another judge of the same Oktyabrsky District Court or to the Ryazan City Court. </w:t>
      </w:r>
      <w:r w:rsidR="008D1EA4">
        <w:t xml:space="preserve">Furthermore, </w:t>
      </w:r>
      <w:r w:rsidR="008D1EA4" w:rsidRPr="008D1EA4">
        <w:t xml:space="preserve">the author </w:t>
      </w:r>
      <w:r w:rsidR="008D1EA4">
        <w:t>c</w:t>
      </w:r>
      <w:r w:rsidR="008D1EA4" w:rsidRPr="008D1EA4">
        <w:t>ould have lodged an appeal to the Supreme Court of the Ryazan Region and then, if necessary, to the Supreme Court of the Russian Federation, against the decision of the Oktyabrsky District Court</w:t>
      </w:r>
      <w:r w:rsidR="008D1EA4">
        <w:t>,</w:t>
      </w:r>
      <w:r w:rsidR="008D1EA4" w:rsidRPr="008D1EA4">
        <w:t xml:space="preserve"> which already became </w:t>
      </w:r>
      <w:r w:rsidR="008D1EA4">
        <w:t>executor</w:t>
      </w:r>
      <w:r w:rsidR="00747B73">
        <w:t>y</w:t>
      </w:r>
      <w:r w:rsidR="008D1EA4">
        <w:t>,</w:t>
      </w:r>
      <w:r w:rsidR="008D1EA4" w:rsidRPr="008D1EA4">
        <w:t xml:space="preserve"> </w:t>
      </w:r>
      <w:r w:rsidR="008D1EA4">
        <w:t xml:space="preserve">under </w:t>
      </w:r>
      <w:r w:rsidR="008D1EA4" w:rsidRPr="008D1EA4">
        <w:t>the supervisory review procedure envisaged by article 30.12, part 1, of the Co</w:t>
      </w:r>
      <w:r w:rsidR="00AB2F9F">
        <w:t>de on Administrative Offences. The State party argues that the author has deliberately not avail</w:t>
      </w:r>
      <w:r w:rsidR="00F40E2B">
        <w:t>ed</w:t>
      </w:r>
      <w:r w:rsidR="00AB2F9F">
        <w:t xml:space="preserve"> herself</w:t>
      </w:r>
      <w:r w:rsidR="00AB2F9F" w:rsidRPr="00B94530">
        <w:t xml:space="preserve"> of the</w:t>
      </w:r>
      <w:r w:rsidR="00AB2F9F">
        <w:t xml:space="preserve">se avenues for appeal and, consequently, her assertion that she had exhausted all domestic remedies does not </w:t>
      </w:r>
      <w:r w:rsidR="00FE76BD">
        <w:t>“</w:t>
      </w:r>
      <w:r w:rsidR="00AB2F9F">
        <w:t>correspond to the facts</w:t>
      </w:r>
      <w:r w:rsidR="00FE76BD">
        <w:t>”</w:t>
      </w:r>
      <w:r w:rsidR="00AB2F9F">
        <w:t>.</w:t>
      </w:r>
    </w:p>
    <w:p w:rsidR="008D1EA4" w:rsidRDefault="008D1EA4" w:rsidP="008D1EA4">
      <w:pPr>
        <w:pStyle w:val="SingleTxtG"/>
      </w:pPr>
      <w:r>
        <w:t>4.2</w:t>
      </w:r>
      <w:r>
        <w:tab/>
        <w:t xml:space="preserve">The </w:t>
      </w:r>
      <w:r w:rsidRPr="008D1EA4">
        <w:t>State party also considers the present communicat</w:t>
      </w:r>
      <w:r w:rsidR="00E24703">
        <w:t xml:space="preserve">ion to be an abuse of the right </w:t>
      </w:r>
      <w:r w:rsidRPr="008D1EA4">
        <w:t>of submission</w:t>
      </w:r>
      <w:r w:rsidR="00E24703">
        <w:t>, because the author was not subjected to discrimination on any ground</w:t>
      </w:r>
      <w:r w:rsidRPr="008D1EA4">
        <w:t>.</w:t>
      </w:r>
      <w:r w:rsidR="00E24703">
        <w:t xml:space="preserve"> </w:t>
      </w:r>
      <w:r w:rsidR="003101FD">
        <w:t>It states that the i</w:t>
      </w:r>
      <w:r w:rsidR="00BE7F59">
        <w:t>nstitution of a</w:t>
      </w:r>
      <w:r w:rsidR="00E24703">
        <w:t xml:space="preserve">dministrative proceedings against </w:t>
      </w:r>
      <w:r w:rsidR="003101FD">
        <w:t xml:space="preserve">her </w:t>
      </w:r>
      <w:r w:rsidR="00BE7F59">
        <w:t xml:space="preserve">was based </w:t>
      </w:r>
      <w:r w:rsidR="00A61FB6">
        <w:t xml:space="preserve">on </w:t>
      </w:r>
      <w:r w:rsidR="00E24703">
        <w:t>the fact that she breached specific legal provisions – and the author herself does not dispute this fact – and</w:t>
      </w:r>
      <w:r w:rsidR="00A61FB6">
        <w:t xml:space="preserve"> was</w:t>
      </w:r>
      <w:r w:rsidR="00E24703">
        <w:t xml:space="preserve"> unrelated to her sexual orientation.</w:t>
      </w:r>
      <w:r w:rsidR="00A61FB6">
        <w:t xml:space="preserve"> </w:t>
      </w:r>
      <w:r w:rsidR="008725D0">
        <w:t>The State party submits, therefore, that the communication should be declared inadmissible under article 3 and article 5, paragraph 2</w:t>
      </w:r>
      <w:r w:rsidR="00D85760">
        <w:t xml:space="preserve"> </w:t>
      </w:r>
      <w:r w:rsidR="008725D0">
        <w:t xml:space="preserve">(b), of the Optional Protocol. </w:t>
      </w:r>
    </w:p>
    <w:p w:rsidR="004B74B6" w:rsidRPr="009E31DB" w:rsidRDefault="004B74B6" w:rsidP="004B74B6">
      <w:pPr>
        <w:pStyle w:val="H23G"/>
      </w:pPr>
      <w:r>
        <w:tab/>
      </w:r>
      <w:r>
        <w:tab/>
      </w:r>
      <w:r w:rsidRPr="009E31DB">
        <w:t>Author</w:t>
      </w:r>
      <w:r>
        <w:t>’</w:t>
      </w:r>
      <w:r w:rsidRPr="009E31DB">
        <w:t>s comments on the State party’s observations</w:t>
      </w:r>
    </w:p>
    <w:p w:rsidR="00FE76BD" w:rsidRDefault="004B74B6" w:rsidP="004B74B6">
      <w:pPr>
        <w:pStyle w:val="SingleTxtG"/>
        <w:rPr>
          <w:lang w:val="en-US"/>
        </w:rPr>
      </w:pPr>
      <w:r w:rsidRPr="009E31DB">
        <w:t>5.1</w:t>
      </w:r>
      <w:r w:rsidRPr="009E31DB">
        <w:tab/>
      </w:r>
      <w:r>
        <w:t xml:space="preserve">On </w:t>
      </w:r>
      <w:r w:rsidR="00D5110B">
        <w:t>22 July 2010</w:t>
      </w:r>
      <w:r w:rsidR="001F4BE6">
        <w:t xml:space="preserve">, the author </w:t>
      </w:r>
      <w:r w:rsidR="001F4BE6">
        <w:rPr>
          <w:lang w:val="en-US"/>
        </w:rPr>
        <w:t>submits</w:t>
      </w:r>
      <w:r w:rsidR="001F4BE6" w:rsidRPr="001F4BE6">
        <w:rPr>
          <w:lang w:val="en-US"/>
        </w:rPr>
        <w:t xml:space="preserve"> that the State party</w:t>
      </w:r>
      <w:r w:rsidR="00D85760">
        <w:rPr>
          <w:lang w:val="en-US"/>
        </w:rPr>
        <w:t>’</w:t>
      </w:r>
      <w:r w:rsidR="001F4BE6" w:rsidRPr="001F4BE6">
        <w:rPr>
          <w:lang w:val="en-US"/>
        </w:rPr>
        <w:t xml:space="preserve">s claim in relation to article 30.9 of the Code on Administrative Offences is based on </w:t>
      </w:r>
      <w:r w:rsidR="00FE76BD">
        <w:rPr>
          <w:lang w:val="en-US"/>
        </w:rPr>
        <w:t>the “</w:t>
      </w:r>
      <w:r w:rsidR="001F4BE6" w:rsidRPr="001F4BE6">
        <w:rPr>
          <w:lang w:val="en-US"/>
        </w:rPr>
        <w:t>misinterpretation of the basic provisions of the Russian adminis</w:t>
      </w:r>
      <w:r w:rsidR="00FE76BD">
        <w:rPr>
          <w:lang w:val="en-US"/>
        </w:rPr>
        <w:t>trative proceedings</w:t>
      </w:r>
      <w:r w:rsidR="00D85760">
        <w:rPr>
          <w:lang w:val="en-US"/>
        </w:rPr>
        <w:t>”</w:t>
      </w:r>
      <w:r w:rsidR="00FE76BD">
        <w:rPr>
          <w:lang w:val="en-US"/>
        </w:rPr>
        <w:t>. She argues</w:t>
      </w:r>
      <w:r w:rsidR="001F4BE6" w:rsidRPr="001F4BE6">
        <w:rPr>
          <w:lang w:val="en-US"/>
        </w:rPr>
        <w:t xml:space="preserve"> that</w:t>
      </w:r>
      <w:r w:rsidR="00D85760">
        <w:rPr>
          <w:lang w:val="en-US"/>
        </w:rPr>
        <w:t>,</w:t>
      </w:r>
      <w:r w:rsidR="001F4BE6" w:rsidRPr="001F4BE6">
        <w:rPr>
          <w:lang w:val="en-US"/>
        </w:rPr>
        <w:t xml:space="preserve"> under article 30.1 of the Code on Adm</w:t>
      </w:r>
      <w:r w:rsidR="00FE76BD">
        <w:rPr>
          <w:lang w:val="en-US"/>
        </w:rPr>
        <w:t>inistrative Offences, a ruling</w:t>
      </w:r>
      <w:r w:rsidR="001F4BE6" w:rsidRPr="001F4BE6">
        <w:rPr>
          <w:lang w:val="en-US"/>
        </w:rPr>
        <w:t xml:space="preserve"> on an administrative offence issued by a judge (as in her case) may be appealed to a higher court. For this reason,</w:t>
      </w:r>
      <w:r w:rsidR="00FE76BD">
        <w:rPr>
          <w:lang w:val="en-US"/>
        </w:rPr>
        <w:t xml:space="preserve"> she appealed the ruling </w:t>
      </w:r>
      <w:r w:rsidR="001F4BE6" w:rsidRPr="001F4BE6">
        <w:rPr>
          <w:lang w:val="en-US"/>
        </w:rPr>
        <w:t xml:space="preserve">of the </w:t>
      </w:r>
      <w:r w:rsidR="00D85760">
        <w:rPr>
          <w:lang w:val="en-US"/>
        </w:rPr>
        <w:t>J</w:t>
      </w:r>
      <w:r w:rsidR="001F4BE6" w:rsidRPr="001F4BE6">
        <w:rPr>
          <w:lang w:val="en-US"/>
        </w:rPr>
        <w:t xml:space="preserve">ustice of </w:t>
      </w:r>
      <w:r w:rsidR="00D85760">
        <w:rPr>
          <w:lang w:val="en-US"/>
        </w:rPr>
        <w:t>the P</w:t>
      </w:r>
      <w:r w:rsidR="001F4BE6" w:rsidRPr="001F4BE6">
        <w:rPr>
          <w:lang w:val="en-US"/>
        </w:rPr>
        <w:t xml:space="preserve">eace dated 6 April 2009 to a higher </w:t>
      </w:r>
      <w:r w:rsidR="00ED1253">
        <w:rPr>
          <w:lang w:val="en-US"/>
        </w:rPr>
        <w:t xml:space="preserve">(second instance) </w:t>
      </w:r>
      <w:r w:rsidR="001F4BE6" w:rsidRPr="001F4BE6">
        <w:rPr>
          <w:lang w:val="en-US"/>
        </w:rPr>
        <w:t xml:space="preserve">court, that is, the Oktyabrsky District Court. </w:t>
      </w:r>
      <w:r w:rsidR="00FE76BD">
        <w:rPr>
          <w:lang w:val="en-US"/>
        </w:rPr>
        <w:t>The author further submits that a</w:t>
      </w:r>
      <w:r w:rsidR="001F4BE6" w:rsidRPr="001F4BE6">
        <w:rPr>
          <w:lang w:val="en-US"/>
        </w:rPr>
        <w:t xml:space="preserve">rticle 30.9 of the Code on Administrative Offences invoked by the State party, does not apply to </w:t>
      </w:r>
      <w:r w:rsidR="00FE76BD">
        <w:rPr>
          <w:lang w:val="en-US"/>
        </w:rPr>
        <w:t>her case</w:t>
      </w:r>
      <w:r w:rsidR="001F4BE6" w:rsidRPr="001F4BE6">
        <w:rPr>
          <w:lang w:val="en-US"/>
        </w:rPr>
        <w:t xml:space="preserve">, because the </w:t>
      </w:r>
      <w:r w:rsidR="00FE76BD">
        <w:rPr>
          <w:lang w:val="en-US"/>
        </w:rPr>
        <w:t xml:space="preserve">provision </w:t>
      </w:r>
      <w:r w:rsidR="001F4BE6" w:rsidRPr="001F4BE6">
        <w:rPr>
          <w:lang w:val="en-US"/>
        </w:rPr>
        <w:t xml:space="preserve">in question covers appeals against decisions on administrative offences issued by non-judicial authorities, that is, </w:t>
      </w:r>
      <w:r w:rsidR="00D85760">
        <w:rPr>
          <w:lang w:val="en-US"/>
        </w:rPr>
        <w:t>S</w:t>
      </w:r>
      <w:r w:rsidR="001F4BE6" w:rsidRPr="001F4BE6">
        <w:rPr>
          <w:lang w:val="en-US"/>
        </w:rPr>
        <w:t xml:space="preserve">tate officials. </w:t>
      </w:r>
    </w:p>
    <w:p w:rsidR="001F4BE6" w:rsidRDefault="00FE76BD" w:rsidP="006B28FB">
      <w:pPr>
        <w:pStyle w:val="SingleTxtG"/>
      </w:pPr>
      <w:r>
        <w:rPr>
          <w:lang w:val="en-US"/>
        </w:rPr>
        <w:t>5.2</w:t>
      </w:r>
      <w:r>
        <w:rPr>
          <w:lang w:val="en-US"/>
        </w:rPr>
        <w:tab/>
        <w:t>The author states that</w:t>
      </w:r>
      <w:r w:rsidR="00D85760">
        <w:rPr>
          <w:lang w:val="en-US"/>
        </w:rPr>
        <w:t>,</w:t>
      </w:r>
      <w:r>
        <w:rPr>
          <w:lang w:val="en-US"/>
        </w:rPr>
        <w:t xml:space="preserve"> pursuant </w:t>
      </w:r>
      <w:r>
        <w:t xml:space="preserve">to 329 </w:t>
      </w:r>
      <w:r w:rsidRPr="00E80943">
        <w:t xml:space="preserve">of the Civil Procedure Code, </w:t>
      </w:r>
      <w:r>
        <w:t xml:space="preserve">decision </w:t>
      </w:r>
      <w:r w:rsidRPr="00E80943">
        <w:t xml:space="preserve">of the </w:t>
      </w:r>
      <w:r w:rsidR="00ED1253">
        <w:t>higher (second instance)</w:t>
      </w:r>
      <w:r>
        <w:t xml:space="preserve"> </w:t>
      </w:r>
      <w:r w:rsidRPr="00E80943">
        <w:t>court becomes executory from the moment of its adoption</w:t>
      </w:r>
      <w:r>
        <w:t xml:space="preserve">. </w:t>
      </w:r>
      <w:r w:rsidR="006B28FB">
        <w:t xml:space="preserve">She adds in this regard that </w:t>
      </w:r>
      <w:r w:rsidR="001F4BE6" w:rsidRPr="001F4BE6">
        <w:rPr>
          <w:lang w:val="en-US"/>
        </w:rPr>
        <w:t xml:space="preserve">the Supreme Court of the Russian Federation </w:t>
      </w:r>
      <w:r w:rsidR="00F40E2B">
        <w:rPr>
          <w:lang w:val="en-US"/>
        </w:rPr>
        <w:t xml:space="preserve">has </w:t>
      </w:r>
      <w:r w:rsidR="001F4BE6" w:rsidRPr="001F4BE6">
        <w:rPr>
          <w:lang w:val="en-US"/>
        </w:rPr>
        <w:t>explained that article 30.9 of the Code on Administrative Offences d</w:t>
      </w:r>
      <w:r w:rsidR="00F40E2B">
        <w:rPr>
          <w:lang w:val="en-US"/>
        </w:rPr>
        <w:t>oes</w:t>
      </w:r>
      <w:r w:rsidR="001F4BE6" w:rsidRPr="001F4BE6">
        <w:rPr>
          <w:lang w:val="en-US"/>
        </w:rPr>
        <w:t xml:space="preserve"> not provide for an opportunity to appeal against the decision </w:t>
      </w:r>
      <w:r w:rsidR="00ED1253">
        <w:rPr>
          <w:lang w:val="en-US"/>
        </w:rPr>
        <w:t>of</w:t>
      </w:r>
      <w:r w:rsidR="001F4BE6" w:rsidRPr="001F4BE6">
        <w:rPr>
          <w:lang w:val="en-US"/>
        </w:rPr>
        <w:t xml:space="preserve"> a higher </w:t>
      </w:r>
      <w:r w:rsidR="00ED1253">
        <w:rPr>
          <w:lang w:val="en-US"/>
        </w:rPr>
        <w:t xml:space="preserve">(second instance) </w:t>
      </w:r>
      <w:r w:rsidR="001F4BE6" w:rsidRPr="001F4BE6">
        <w:rPr>
          <w:lang w:val="en-US"/>
        </w:rPr>
        <w:t>court</w:t>
      </w:r>
      <w:r w:rsidR="006B28FB">
        <w:rPr>
          <w:lang w:val="en-US"/>
        </w:rPr>
        <w:t xml:space="preserve"> and that</w:t>
      </w:r>
      <w:r w:rsidR="001F4BE6" w:rsidRPr="001F4BE6">
        <w:rPr>
          <w:lang w:val="en-US"/>
        </w:rPr>
        <w:t xml:space="preserve">, </w:t>
      </w:r>
      <w:r w:rsidR="006B28FB">
        <w:rPr>
          <w:lang w:val="en-US"/>
        </w:rPr>
        <w:t xml:space="preserve">therefore, such decision </w:t>
      </w:r>
      <w:r w:rsidR="009E2F82">
        <w:rPr>
          <w:lang w:val="en-US"/>
        </w:rPr>
        <w:t>became</w:t>
      </w:r>
      <w:r w:rsidR="001F4BE6" w:rsidRPr="001F4BE6">
        <w:rPr>
          <w:lang w:val="en-US"/>
        </w:rPr>
        <w:t xml:space="preserve"> executory </w:t>
      </w:r>
      <w:r w:rsidR="006B28FB">
        <w:rPr>
          <w:lang w:val="en-US"/>
        </w:rPr>
        <w:t>from the moment of its adoption.</w:t>
      </w:r>
      <w:r w:rsidR="006B28FB">
        <w:rPr>
          <w:rStyle w:val="FootnoteReference"/>
          <w:lang w:val="en-US"/>
        </w:rPr>
        <w:footnoteReference w:id="9"/>
      </w:r>
      <w:r w:rsidR="006B28FB">
        <w:rPr>
          <w:lang w:val="en-US"/>
        </w:rPr>
        <w:t xml:space="preserve"> </w:t>
      </w:r>
      <w:r w:rsidR="00BA5378">
        <w:rPr>
          <w:lang w:val="en-US"/>
        </w:rPr>
        <w:t xml:space="preserve">The author submits, therefore, that she has used all </w:t>
      </w:r>
      <w:r w:rsidR="00BA5378" w:rsidRPr="008D1EA4">
        <w:t>ordinary appeal procedure</w:t>
      </w:r>
      <w:r w:rsidR="00BA5378">
        <w:t xml:space="preserve">s available to her under the State party’s law. </w:t>
      </w:r>
    </w:p>
    <w:p w:rsidR="00692580" w:rsidRDefault="00BA5378" w:rsidP="00747B73">
      <w:pPr>
        <w:pStyle w:val="SingleTxtG"/>
        <w:rPr>
          <w:lang w:val="en-US"/>
        </w:rPr>
      </w:pPr>
      <w:r>
        <w:t>5.3</w:t>
      </w:r>
      <w:r>
        <w:tab/>
      </w:r>
      <w:r w:rsidR="00747B73" w:rsidRPr="00747B73">
        <w:rPr>
          <w:lang w:val="en-US"/>
        </w:rPr>
        <w:t>As to the State party</w:t>
      </w:r>
      <w:r w:rsidR="00747B73">
        <w:rPr>
          <w:lang w:val="en-US"/>
        </w:rPr>
        <w:t>’</w:t>
      </w:r>
      <w:r w:rsidR="00747B73" w:rsidRPr="00747B73">
        <w:rPr>
          <w:lang w:val="en-US"/>
        </w:rPr>
        <w:t xml:space="preserve">s claim </w:t>
      </w:r>
      <w:r w:rsidR="00747B73">
        <w:rPr>
          <w:lang w:val="en-US"/>
        </w:rPr>
        <w:t xml:space="preserve">that the author </w:t>
      </w:r>
      <w:r w:rsidR="00747B73">
        <w:t>c</w:t>
      </w:r>
      <w:r w:rsidR="00747B73" w:rsidRPr="008D1EA4">
        <w:t xml:space="preserve">ould have lodged an appeal </w:t>
      </w:r>
      <w:r w:rsidR="00747B73">
        <w:t xml:space="preserve">under the supervisory review procedure, </w:t>
      </w:r>
      <w:r w:rsidR="00747B73">
        <w:rPr>
          <w:lang w:val="en-US"/>
        </w:rPr>
        <w:t>she argues</w:t>
      </w:r>
      <w:r w:rsidR="00747B73" w:rsidRPr="00747B73">
        <w:rPr>
          <w:lang w:val="en-US"/>
        </w:rPr>
        <w:t xml:space="preserve"> that such </w:t>
      </w:r>
      <w:r w:rsidR="00B705B5">
        <w:rPr>
          <w:lang w:val="en-US"/>
        </w:rPr>
        <w:t xml:space="preserve">a </w:t>
      </w:r>
      <w:r w:rsidR="00747B73" w:rsidRPr="00747B73">
        <w:rPr>
          <w:lang w:val="en-US"/>
        </w:rPr>
        <w:t xml:space="preserve">procedure </w:t>
      </w:r>
      <w:r w:rsidR="00747B73">
        <w:rPr>
          <w:lang w:val="en-US"/>
        </w:rPr>
        <w:t>is</w:t>
      </w:r>
      <w:r w:rsidR="00747B73" w:rsidRPr="00747B73">
        <w:rPr>
          <w:lang w:val="en-US"/>
        </w:rPr>
        <w:t xml:space="preserve"> not an effective remedy within the meaning</w:t>
      </w:r>
      <w:r w:rsidR="00747B73">
        <w:rPr>
          <w:lang w:val="en-US"/>
        </w:rPr>
        <w:t xml:space="preserve"> of the </w:t>
      </w:r>
      <w:r w:rsidR="00B705B5">
        <w:rPr>
          <w:lang w:val="en-US"/>
        </w:rPr>
        <w:t>Optional Protocol</w:t>
      </w:r>
      <w:r w:rsidR="00747B73">
        <w:rPr>
          <w:lang w:val="en-US"/>
        </w:rPr>
        <w:t>, because it does</w:t>
      </w:r>
      <w:r w:rsidR="00747B73" w:rsidRPr="00747B73">
        <w:rPr>
          <w:lang w:val="en-US"/>
        </w:rPr>
        <w:t xml:space="preserve"> not guarantee an automatic right to have the merits of the supervisory appeal considered by a panel of judges (the Presidium of the Ryazan Region Court or the Supreme Court</w:t>
      </w:r>
      <w:r w:rsidR="00692580">
        <w:rPr>
          <w:lang w:val="en-US"/>
        </w:rPr>
        <w:t xml:space="preserve"> of the Russian Federation</w:t>
      </w:r>
      <w:r w:rsidR="00747B73" w:rsidRPr="00747B73">
        <w:rPr>
          <w:lang w:val="en-US"/>
        </w:rPr>
        <w:t xml:space="preserve">). </w:t>
      </w:r>
      <w:r w:rsidR="00692580">
        <w:rPr>
          <w:lang w:val="en-US"/>
        </w:rPr>
        <w:t>The author states that</w:t>
      </w:r>
      <w:r w:rsidR="00D85760">
        <w:rPr>
          <w:lang w:val="en-US"/>
        </w:rPr>
        <w:t>,</w:t>
      </w:r>
      <w:r w:rsidR="00692580">
        <w:rPr>
          <w:lang w:val="en-US"/>
        </w:rPr>
        <w:t xml:space="preserve"> a</w:t>
      </w:r>
      <w:r w:rsidR="00747B73" w:rsidRPr="00747B73">
        <w:rPr>
          <w:lang w:val="en-US"/>
        </w:rPr>
        <w:t>ccording to article 381 of the Civil Procedure Code, a supervisory appeal is considered by a judge of the supervisory review court, who has a right to reject it without</w:t>
      </w:r>
      <w:r w:rsidR="004B1ABF">
        <w:rPr>
          <w:lang w:val="en-US"/>
        </w:rPr>
        <w:t xml:space="preserve"> requesting the case file from the</w:t>
      </w:r>
      <w:r w:rsidR="00747B73" w:rsidRPr="00747B73">
        <w:rPr>
          <w:lang w:val="en-US"/>
        </w:rPr>
        <w:t xml:space="preserve"> lower </w:t>
      </w:r>
      <w:r w:rsidR="004B1ABF">
        <w:rPr>
          <w:lang w:val="en-US"/>
        </w:rPr>
        <w:t>instance</w:t>
      </w:r>
      <w:r w:rsidR="00747B73" w:rsidRPr="00747B73">
        <w:rPr>
          <w:lang w:val="en-US"/>
        </w:rPr>
        <w:t>. Only</w:t>
      </w:r>
      <w:r w:rsidR="00692580">
        <w:rPr>
          <w:lang w:val="en-US"/>
        </w:rPr>
        <w:t xml:space="preserve"> if this judge finds the appeal’</w:t>
      </w:r>
      <w:r w:rsidR="00747B73" w:rsidRPr="00747B73">
        <w:rPr>
          <w:lang w:val="en-US"/>
        </w:rPr>
        <w:t>s arguments convincing</w:t>
      </w:r>
      <w:r w:rsidR="00692580">
        <w:rPr>
          <w:lang w:val="en-US"/>
        </w:rPr>
        <w:t xml:space="preserve"> </w:t>
      </w:r>
      <w:r w:rsidR="00692580" w:rsidRPr="00747B73">
        <w:rPr>
          <w:lang w:val="en-US"/>
        </w:rPr>
        <w:t>enough</w:t>
      </w:r>
      <w:r w:rsidR="00747B73" w:rsidRPr="00747B73">
        <w:rPr>
          <w:lang w:val="en-US"/>
        </w:rPr>
        <w:t xml:space="preserve">, s/he may decide to request </w:t>
      </w:r>
      <w:r w:rsidR="00692580">
        <w:rPr>
          <w:lang w:val="en-US"/>
        </w:rPr>
        <w:t xml:space="preserve">the case file and, </w:t>
      </w:r>
      <w:r w:rsidR="009E2F82">
        <w:rPr>
          <w:lang w:val="en-US"/>
        </w:rPr>
        <w:t>at</w:t>
      </w:r>
      <w:r w:rsidR="00692580">
        <w:rPr>
          <w:lang w:val="en-US"/>
        </w:rPr>
        <w:t xml:space="preserve"> the judge’</w:t>
      </w:r>
      <w:r w:rsidR="00747B73" w:rsidRPr="00747B73">
        <w:rPr>
          <w:lang w:val="en-US"/>
        </w:rPr>
        <w:t xml:space="preserve">s discretion, transmit the case for consideration by the panel of judges of the supervisory review court. </w:t>
      </w:r>
    </w:p>
    <w:p w:rsidR="00747B73" w:rsidRDefault="00692580" w:rsidP="00747B73">
      <w:pPr>
        <w:pStyle w:val="SingleTxtG"/>
        <w:rPr>
          <w:lang w:val="en-US"/>
        </w:rPr>
      </w:pPr>
      <w:r>
        <w:rPr>
          <w:lang w:val="en-US"/>
        </w:rPr>
        <w:lastRenderedPageBreak/>
        <w:t>5.4</w:t>
      </w:r>
      <w:r>
        <w:rPr>
          <w:lang w:val="en-US"/>
        </w:rPr>
        <w:tab/>
        <w:t>In deciding on the admissibility of the present communication, t</w:t>
      </w:r>
      <w:r w:rsidR="00747B73" w:rsidRPr="00747B73">
        <w:rPr>
          <w:lang w:val="en-US"/>
        </w:rPr>
        <w:t xml:space="preserve">he author </w:t>
      </w:r>
      <w:r>
        <w:rPr>
          <w:lang w:val="en-US"/>
        </w:rPr>
        <w:t xml:space="preserve">respectfully </w:t>
      </w:r>
      <w:r w:rsidR="00747B73" w:rsidRPr="00747B73">
        <w:rPr>
          <w:lang w:val="en-US"/>
        </w:rPr>
        <w:t>ask</w:t>
      </w:r>
      <w:r>
        <w:rPr>
          <w:lang w:val="en-US"/>
        </w:rPr>
        <w:t>s</w:t>
      </w:r>
      <w:r w:rsidR="00747B73" w:rsidRPr="00747B73">
        <w:rPr>
          <w:lang w:val="en-US"/>
        </w:rPr>
        <w:t xml:space="preserve"> the </w:t>
      </w:r>
      <w:r>
        <w:rPr>
          <w:lang w:val="en-US"/>
        </w:rPr>
        <w:t xml:space="preserve">Committee </w:t>
      </w:r>
      <w:r w:rsidR="00747B73" w:rsidRPr="00747B73">
        <w:rPr>
          <w:lang w:val="en-US"/>
        </w:rPr>
        <w:t xml:space="preserve">to consider </w:t>
      </w:r>
      <w:r w:rsidR="00DF7B70">
        <w:rPr>
          <w:lang w:val="en-US"/>
        </w:rPr>
        <w:t xml:space="preserve">the </w:t>
      </w:r>
      <w:r w:rsidR="00747B73" w:rsidRPr="00747B73">
        <w:rPr>
          <w:lang w:val="en-US"/>
        </w:rPr>
        <w:t>position of the E</w:t>
      </w:r>
      <w:r>
        <w:rPr>
          <w:lang w:val="en-US"/>
        </w:rPr>
        <w:t xml:space="preserve">uropean Court of Human Rights, </w:t>
      </w:r>
      <w:r w:rsidR="00747B73" w:rsidRPr="00747B73">
        <w:rPr>
          <w:lang w:val="en-US"/>
        </w:rPr>
        <w:t xml:space="preserve">which held on numerous occasions that the supervisory review procedure was not an effective remedy </w:t>
      </w:r>
      <w:r w:rsidR="009E2F82">
        <w:rPr>
          <w:lang w:val="en-US"/>
        </w:rPr>
        <w:t xml:space="preserve">within the meaning of the </w:t>
      </w:r>
      <w:r w:rsidR="009E2F82" w:rsidRPr="009E2F82">
        <w:rPr>
          <w:lang w:val="en-US"/>
        </w:rPr>
        <w:t>Convention for the</w:t>
      </w:r>
      <w:r w:rsidR="009E2F82">
        <w:rPr>
          <w:lang w:val="en-US"/>
        </w:rPr>
        <w:t xml:space="preserve"> Protection of Human Rights and </w:t>
      </w:r>
      <w:r w:rsidR="009E2F82" w:rsidRPr="009E2F82">
        <w:rPr>
          <w:lang w:val="en-US"/>
        </w:rPr>
        <w:t>Fundamental Freedoms</w:t>
      </w:r>
      <w:r w:rsidR="00CE1BA4">
        <w:rPr>
          <w:lang w:val="en-US"/>
        </w:rPr>
        <w:t xml:space="preserve"> (European Convention)</w:t>
      </w:r>
      <w:r w:rsidR="009E2F82">
        <w:rPr>
          <w:lang w:val="en-US"/>
        </w:rPr>
        <w:t>,</w:t>
      </w:r>
      <w:r w:rsidR="00747B73" w:rsidRPr="00747B73">
        <w:rPr>
          <w:lang w:val="en-US"/>
        </w:rPr>
        <w:t xml:space="preserve"> as the grounds for quashing final </w:t>
      </w:r>
      <w:r w:rsidR="009E2F82" w:rsidRPr="00747B73">
        <w:rPr>
          <w:lang w:val="en-US"/>
        </w:rPr>
        <w:t>judgments</w:t>
      </w:r>
      <w:r w:rsidR="00747B73" w:rsidRPr="00747B73">
        <w:rPr>
          <w:lang w:val="en-US"/>
        </w:rPr>
        <w:t xml:space="preserve"> of the lower courts were not clear from the Civil Procedure Code and the procedure was not directl</w:t>
      </w:r>
      <w:r w:rsidR="009E2F82">
        <w:rPr>
          <w:lang w:val="en-US"/>
        </w:rPr>
        <w:t>y accessible to the applicants.</w:t>
      </w:r>
      <w:bookmarkStart w:id="1" w:name="_Ref325386147"/>
      <w:r w:rsidR="009E2F82">
        <w:rPr>
          <w:rStyle w:val="FootnoteReference"/>
          <w:lang w:val="en-US"/>
        </w:rPr>
        <w:footnoteReference w:id="10"/>
      </w:r>
      <w:bookmarkEnd w:id="1"/>
    </w:p>
    <w:p w:rsidR="00A420E2" w:rsidRPr="00CE1BA4" w:rsidRDefault="00A125A0" w:rsidP="002E4936">
      <w:pPr>
        <w:pStyle w:val="SingleTxtG"/>
        <w:rPr>
          <w:lang w:val="en-US"/>
        </w:rPr>
      </w:pPr>
      <w:r>
        <w:rPr>
          <w:lang w:val="en-US"/>
        </w:rPr>
        <w:t>5.5</w:t>
      </w:r>
      <w:r>
        <w:rPr>
          <w:lang w:val="en-US"/>
        </w:rPr>
        <w:tab/>
      </w:r>
      <w:r w:rsidR="00047DCA" w:rsidRPr="00047DCA">
        <w:rPr>
          <w:lang w:val="en-US"/>
        </w:rPr>
        <w:t>The author further submit</w:t>
      </w:r>
      <w:r w:rsidR="00047DCA">
        <w:rPr>
          <w:lang w:val="en-US"/>
        </w:rPr>
        <w:t xml:space="preserve">s </w:t>
      </w:r>
      <w:r w:rsidR="00047DCA" w:rsidRPr="00047DCA">
        <w:rPr>
          <w:lang w:val="en-US"/>
        </w:rPr>
        <w:t>that she</w:t>
      </w:r>
      <w:r w:rsidR="003101F2">
        <w:rPr>
          <w:lang w:val="en-US"/>
        </w:rPr>
        <w:t>, together with the other two individuals,</w:t>
      </w:r>
      <w:r w:rsidR="00047DCA" w:rsidRPr="00047DCA">
        <w:rPr>
          <w:lang w:val="en-US"/>
        </w:rPr>
        <w:t xml:space="preserve"> has made a last attempt to seek justice </w:t>
      </w:r>
      <w:r w:rsidR="00047DCA">
        <w:rPr>
          <w:lang w:val="en-US"/>
        </w:rPr>
        <w:t>on</w:t>
      </w:r>
      <w:r w:rsidR="00047DCA" w:rsidRPr="00047DCA">
        <w:rPr>
          <w:lang w:val="en-US"/>
        </w:rPr>
        <w:t xml:space="preserve"> the domestic level by app</w:t>
      </w:r>
      <w:r w:rsidR="00047DCA">
        <w:rPr>
          <w:lang w:val="en-US"/>
        </w:rPr>
        <w:t xml:space="preserve">ealing </w:t>
      </w:r>
      <w:r w:rsidR="00047DCA" w:rsidRPr="00047DCA">
        <w:rPr>
          <w:lang w:val="en-US"/>
        </w:rPr>
        <w:t xml:space="preserve">to the </w:t>
      </w:r>
      <w:smartTag w:uri="urn:schemas-microsoft-com:office:smarttags" w:element="Street">
        <w:smartTag w:uri="urn:schemas-microsoft-com:office:smarttags" w:element="address">
          <w:r w:rsidR="00047DCA" w:rsidRPr="00047DCA">
            <w:rPr>
              <w:lang w:val="en-US"/>
            </w:rPr>
            <w:t>Constitutional Court</w:t>
          </w:r>
        </w:smartTag>
      </w:smartTag>
      <w:r w:rsidR="00047DCA" w:rsidRPr="00047DCA">
        <w:rPr>
          <w:lang w:val="en-US"/>
        </w:rPr>
        <w:t xml:space="preserve">. In its </w:t>
      </w:r>
      <w:r w:rsidR="00047DCA">
        <w:rPr>
          <w:lang w:val="en-US"/>
        </w:rPr>
        <w:t>ruling</w:t>
      </w:r>
      <w:r w:rsidR="00047DCA" w:rsidRPr="00047DCA">
        <w:rPr>
          <w:lang w:val="en-US"/>
        </w:rPr>
        <w:t xml:space="preserve"> of 19 January 2010, the Constituti</w:t>
      </w:r>
      <w:r w:rsidR="00047DCA">
        <w:rPr>
          <w:lang w:val="en-US"/>
        </w:rPr>
        <w:t xml:space="preserve">onal Court dismissed her </w:t>
      </w:r>
      <w:r w:rsidR="00047DCA" w:rsidRPr="00047DCA">
        <w:rPr>
          <w:lang w:val="en-US"/>
        </w:rPr>
        <w:t xml:space="preserve">appeal and held that the prohibition of propaganda of homosexuality as </w:t>
      </w:r>
      <w:r w:rsidR="00ED5747">
        <w:rPr>
          <w:lang w:val="en-US"/>
        </w:rPr>
        <w:t>“i</w:t>
      </w:r>
      <w:r w:rsidR="00047DCA" w:rsidRPr="00047DCA">
        <w:rPr>
          <w:lang w:val="en-US"/>
        </w:rPr>
        <w:t>ntentional and un</w:t>
      </w:r>
      <w:r w:rsidR="002E4936">
        <w:rPr>
          <w:lang w:val="en-US"/>
        </w:rPr>
        <w:t xml:space="preserve">controlled </w:t>
      </w:r>
      <w:r w:rsidR="00047DCA" w:rsidRPr="00047DCA">
        <w:rPr>
          <w:lang w:val="en-US"/>
        </w:rPr>
        <w:t xml:space="preserve">dissemination of information </w:t>
      </w:r>
      <w:r w:rsidR="002E4936">
        <w:rPr>
          <w:lang w:val="en-US"/>
        </w:rPr>
        <w:t xml:space="preserve">capable of </w:t>
      </w:r>
      <w:r w:rsidR="00047DCA" w:rsidRPr="00047DCA">
        <w:rPr>
          <w:lang w:val="en-US"/>
        </w:rPr>
        <w:t>harm</w:t>
      </w:r>
      <w:r w:rsidR="002E4936">
        <w:rPr>
          <w:lang w:val="en-US"/>
        </w:rPr>
        <w:t>ing</w:t>
      </w:r>
      <w:r w:rsidR="00047DCA" w:rsidRPr="00047DCA">
        <w:rPr>
          <w:lang w:val="en-US"/>
        </w:rPr>
        <w:t xml:space="preserve"> health, moral</w:t>
      </w:r>
      <w:r w:rsidR="00047DCA">
        <w:rPr>
          <w:lang w:val="en-US"/>
        </w:rPr>
        <w:t>s</w:t>
      </w:r>
      <w:r w:rsidR="00047DCA" w:rsidRPr="00047DCA">
        <w:rPr>
          <w:lang w:val="en-US"/>
        </w:rPr>
        <w:t xml:space="preserve"> and spiritual development, as well as form</w:t>
      </w:r>
      <w:r w:rsidR="000F40BB">
        <w:rPr>
          <w:lang w:val="en-US"/>
        </w:rPr>
        <w:t>ing</w:t>
      </w:r>
      <w:r w:rsidR="00047DCA" w:rsidRPr="00047DCA">
        <w:rPr>
          <w:lang w:val="en-US"/>
        </w:rPr>
        <w:t xml:space="preserve"> perverted conceptions about equal social value of traditional and non-traditional family relations </w:t>
      </w:r>
      <w:r w:rsidR="009D31F5">
        <w:rPr>
          <w:lang w:val="en-US"/>
        </w:rPr>
        <w:t>–</w:t>
      </w:r>
      <w:r w:rsidR="00047DCA" w:rsidRPr="00047DCA">
        <w:rPr>
          <w:lang w:val="en-US"/>
        </w:rPr>
        <w:t xml:space="preserve"> among individuals who, due to their age, </w:t>
      </w:r>
      <w:r w:rsidR="002E4936">
        <w:rPr>
          <w:lang w:val="en-US"/>
        </w:rPr>
        <w:t xml:space="preserve">lack the capacity </w:t>
      </w:r>
      <w:r w:rsidR="00047DCA" w:rsidRPr="00047DCA">
        <w:rPr>
          <w:lang w:val="en-US"/>
        </w:rPr>
        <w:t>to critically and independently assess such in</w:t>
      </w:r>
      <w:r w:rsidR="002E4936">
        <w:rPr>
          <w:lang w:val="en-US"/>
        </w:rPr>
        <w:t>formation</w:t>
      </w:r>
      <w:r w:rsidR="009D31F5">
        <w:rPr>
          <w:lang w:val="en-US"/>
        </w:rPr>
        <w:t>”</w:t>
      </w:r>
      <w:r w:rsidR="002E4936">
        <w:rPr>
          <w:lang w:val="en-US"/>
        </w:rPr>
        <w:t xml:space="preserve"> could not be considered</w:t>
      </w:r>
      <w:r w:rsidR="00047DCA" w:rsidRPr="00047DCA">
        <w:rPr>
          <w:lang w:val="en-US"/>
        </w:rPr>
        <w:t xml:space="preserve"> as </w:t>
      </w:r>
      <w:r w:rsidR="00047DCA">
        <w:rPr>
          <w:lang w:val="en-US"/>
        </w:rPr>
        <w:t xml:space="preserve">a </w:t>
      </w:r>
      <w:r w:rsidR="00047DCA" w:rsidRPr="00047DCA">
        <w:rPr>
          <w:lang w:val="en-US"/>
        </w:rPr>
        <w:t>violati</w:t>
      </w:r>
      <w:r w:rsidR="00047DCA">
        <w:rPr>
          <w:lang w:val="en-US"/>
        </w:rPr>
        <w:t>on</w:t>
      </w:r>
      <w:r w:rsidR="00047DCA" w:rsidRPr="00047DCA">
        <w:rPr>
          <w:lang w:val="en-US"/>
        </w:rPr>
        <w:t xml:space="preserve"> </w:t>
      </w:r>
      <w:r w:rsidR="00047DCA">
        <w:rPr>
          <w:lang w:val="en-US"/>
        </w:rPr>
        <w:t xml:space="preserve">of </w:t>
      </w:r>
      <w:r w:rsidR="00047DCA" w:rsidRPr="00047DCA">
        <w:rPr>
          <w:lang w:val="en-US"/>
        </w:rPr>
        <w:t xml:space="preserve">constitutional rights. </w:t>
      </w:r>
      <w:r w:rsidR="00047DCA">
        <w:rPr>
          <w:lang w:val="en-US"/>
        </w:rPr>
        <w:t>Therefore, t</w:t>
      </w:r>
      <w:r w:rsidR="00047DCA" w:rsidRPr="00047DCA">
        <w:rPr>
          <w:lang w:val="en-US"/>
        </w:rPr>
        <w:t>he author request</w:t>
      </w:r>
      <w:r w:rsidR="00047DCA">
        <w:rPr>
          <w:lang w:val="en-US"/>
        </w:rPr>
        <w:t xml:space="preserve">s </w:t>
      </w:r>
      <w:r w:rsidR="00047DCA" w:rsidRPr="00047DCA">
        <w:rPr>
          <w:lang w:val="en-US"/>
        </w:rPr>
        <w:t>the Committee to conclude that the positio</w:t>
      </w:r>
      <w:r w:rsidR="00047DCA">
        <w:rPr>
          <w:lang w:val="en-US"/>
        </w:rPr>
        <w:t xml:space="preserve">n of the </w:t>
      </w:r>
      <w:smartTag w:uri="urn:schemas-microsoft-com:office:smarttags" w:element="Street">
        <w:smartTag w:uri="urn:schemas-microsoft-com:office:smarttags" w:element="address">
          <w:r w:rsidR="00047DCA">
            <w:rPr>
              <w:lang w:val="en-US"/>
            </w:rPr>
            <w:t>Constitutional Court</w:t>
          </w:r>
        </w:smartTag>
      </w:smartTag>
      <w:r w:rsidR="00047DCA">
        <w:rPr>
          <w:lang w:val="en-US"/>
        </w:rPr>
        <w:t xml:space="preserve"> i</w:t>
      </w:r>
      <w:r w:rsidR="00047DCA" w:rsidRPr="00047DCA">
        <w:rPr>
          <w:lang w:val="en-US"/>
        </w:rPr>
        <w:t xml:space="preserve">s contrary to the standards enshrined in the Covenant, because in a modern democratic society </w:t>
      </w:r>
      <w:r w:rsidR="009D31F5">
        <w:rPr>
          <w:lang w:val="en-US"/>
        </w:rPr>
        <w:t>“</w:t>
      </w:r>
      <w:r w:rsidR="00047DCA" w:rsidRPr="00047DCA">
        <w:rPr>
          <w:lang w:val="en-US"/>
        </w:rPr>
        <w:t>"traditional</w:t>
      </w:r>
      <w:r w:rsidR="009D31F5">
        <w:rPr>
          <w:lang w:val="en-US"/>
        </w:rPr>
        <w:t>”</w:t>
      </w:r>
      <w:r w:rsidR="00047DCA" w:rsidRPr="00047DCA">
        <w:rPr>
          <w:lang w:val="en-US"/>
        </w:rPr>
        <w:t xml:space="preserve"> (different-sex) and </w:t>
      </w:r>
      <w:r w:rsidR="009D31F5">
        <w:rPr>
          <w:lang w:val="en-US"/>
        </w:rPr>
        <w:t>“</w:t>
      </w:r>
      <w:r w:rsidR="00047DCA" w:rsidRPr="00047DCA">
        <w:rPr>
          <w:lang w:val="en-US"/>
        </w:rPr>
        <w:t>non-traditional</w:t>
      </w:r>
      <w:r w:rsidR="009D31F5">
        <w:rPr>
          <w:lang w:val="en-US"/>
        </w:rPr>
        <w:t>”</w:t>
      </w:r>
      <w:r w:rsidR="00047DCA" w:rsidRPr="00047DCA">
        <w:rPr>
          <w:lang w:val="en-US"/>
        </w:rPr>
        <w:t xml:space="preserve"> (same-sex) relations should be considered as equally valuable. In </w:t>
      </w:r>
      <w:r w:rsidR="00047DCA">
        <w:rPr>
          <w:lang w:val="en-US"/>
        </w:rPr>
        <w:t xml:space="preserve">her </w:t>
      </w:r>
      <w:r w:rsidR="00047DCA" w:rsidRPr="00047DCA">
        <w:rPr>
          <w:lang w:val="en-US"/>
        </w:rPr>
        <w:t>opinion, the Constitutional Court effectively upheld the approac</w:t>
      </w:r>
      <w:r w:rsidR="00047DCA">
        <w:rPr>
          <w:lang w:val="en-US"/>
        </w:rPr>
        <w:t xml:space="preserve">h of </w:t>
      </w:r>
      <w:r w:rsidR="00047DCA">
        <w:t>the Ryazan Region</w:t>
      </w:r>
      <w:r w:rsidR="00047DCA" w:rsidRPr="007A43D6">
        <w:t xml:space="preserve"> Law </w:t>
      </w:r>
      <w:r w:rsidR="00047DCA">
        <w:t xml:space="preserve">and the Ryazan Region Law </w:t>
      </w:r>
      <w:r w:rsidR="00A420E2">
        <w:t>o</w:t>
      </w:r>
      <w:r w:rsidR="00047DCA">
        <w:t xml:space="preserve">n Protection of Morals </w:t>
      </w:r>
      <w:r w:rsidR="00A420E2">
        <w:t xml:space="preserve">of Children in </w:t>
      </w:r>
      <w:r w:rsidR="00047DCA" w:rsidRPr="00047DCA">
        <w:rPr>
          <w:lang w:val="en-US"/>
        </w:rPr>
        <w:t xml:space="preserve">Ryazan </w:t>
      </w:r>
      <w:r w:rsidR="00A420E2">
        <w:rPr>
          <w:lang w:val="en-US"/>
        </w:rPr>
        <w:t xml:space="preserve">Region </w:t>
      </w:r>
      <w:r w:rsidR="00047DCA" w:rsidRPr="00047DCA">
        <w:rPr>
          <w:lang w:val="en-US"/>
        </w:rPr>
        <w:t xml:space="preserve">that any </w:t>
      </w:r>
      <w:r w:rsidR="00047DCA" w:rsidRPr="00CE1BA4">
        <w:rPr>
          <w:lang w:val="en-US"/>
        </w:rPr>
        <w:t xml:space="preserve">information about homosexuality is </w:t>
      </w:r>
      <w:r w:rsidR="00047DCA" w:rsidRPr="009D31F5">
        <w:rPr>
          <w:lang w:val="en-US"/>
        </w:rPr>
        <w:t>prima facie</w:t>
      </w:r>
      <w:r w:rsidR="00047DCA" w:rsidRPr="00CE1BA4">
        <w:rPr>
          <w:lang w:val="en-US"/>
        </w:rPr>
        <w:t xml:space="preserve"> immoral and detrimental to </w:t>
      </w:r>
      <w:r w:rsidR="00A420E2" w:rsidRPr="00CE1BA4">
        <w:rPr>
          <w:lang w:val="en-US"/>
        </w:rPr>
        <w:t xml:space="preserve">the development of </w:t>
      </w:r>
      <w:r w:rsidR="00047DCA" w:rsidRPr="00CE1BA4">
        <w:rPr>
          <w:lang w:val="en-US"/>
        </w:rPr>
        <w:t xml:space="preserve">a child. </w:t>
      </w:r>
      <w:r w:rsidR="00A420E2" w:rsidRPr="00CE1BA4">
        <w:rPr>
          <w:lang w:val="en-US"/>
        </w:rPr>
        <w:t>The author argues that she has a right to disseminate information aimed at promoting the idea of equal value of homosexuals in the Russian society.</w:t>
      </w:r>
    </w:p>
    <w:p w:rsidR="00A420E2" w:rsidRPr="00CE1BA4" w:rsidRDefault="00A420E2" w:rsidP="00747B73">
      <w:pPr>
        <w:pStyle w:val="SingleTxtG"/>
        <w:rPr>
          <w:lang w:val="en-US"/>
        </w:rPr>
      </w:pPr>
      <w:r w:rsidRPr="00CE1BA4">
        <w:rPr>
          <w:lang w:val="en-US"/>
        </w:rPr>
        <w:t>5.6</w:t>
      </w:r>
      <w:r w:rsidRPr="00CE1BA4">
        <w:rPr>
          <w:lang w:val="en-US"/>
        </w:rPr>
        <w:tab/>
      </w:r>
      <w:r w:rsidR="003101F2" w:rsidRPr="00CE1BA4">
        <w:rPr>
          <w:lang w:val="en-US"/>
        </w:rPr>
        <w:t xml:space="preserve">As transpires from the ruling of 19 January 2010, the </w:t>
      </w:r>
      <w:smartTag w:uri="urn:schemas-microsoft-com:office:smarttags" w:element="Street">
        <w:smartTag w:uri="urn:schemas-microsoft-com:office:smarttags" w:element="address">
          <w:r w:rsidR="003101F2" w:rsidRPr="00CE1BA4">
            <w:rPr>
              <w:lang w:val="en-US"/>
            </w:rPr>
            <w:t>Constitutional Court</w:t>
          </w:r>
        </w:smartTag>
      </w:smartTag>
      <w:r w:rsidR="009C26BC" w:rsidRPr="00CE1BA4">
        <w:rPr>
          <w:lang w:val="en-US"/>
        </w:rPr>
        <w:t xml:space="preserve"> noted that article 38 of the Con</w:t>
      </w:r>
      <w:r w:rsidR="000F40BB">
        <w:rPr>
          <w:lang w:val="en-US"/>
        </w:rPr>
        <w:t>stitution specifically protects</w:t>
      </w:r>
      <w:r w:rsidR="009C26BC" w:rsidRPr="00CE1BA4">
        <w:rPr>
          <w:lang w:val="en-US"/>
        </w:rPr>
        <w:t xml:space="preserve"> motherhood, childhood and the family. In the Court’s view, the traditional understandings of famil</w:t>
      </w:r>
      <w:r w:rsidR="000F40BB">
        <w:rPr>
          <w:lang w:val="en-US"/>
        </w:rPr>
        <w:t>y, motherhood and childhood are values that require</w:t>
      </w:r>
      <w:r w:rsidR="009C26BC" w:rsidRPr="00CE1BA4">
        <w:rPr>
          <w:lang w:val="en-US"/>
        </w:rPr>
        <w:t xml:space="preserve"> special protection from the State. According to the Court, legislators acted on the premise that the interests of minors were an important social value. One of the aims of State policy on the protection of children was the protection of minors from factors that could negatively impact their physical, intellectual, </w:t>
      </w:r>
      <w:r w:rsidR="00D90A50">
        <w:rPr>
          <w:lang w:val="en-US"/>
        </w:rPr>
        <w:t>mental</w:t>
      </w:r>
      <w:r w:rsidR="009C26BC" w:rsidRPr="00CE1BA4">
        <w:rPr>
          <w:lang w:val="en-US"/>
        </w:rPr>
        <w:t xml:space="preserve">, spiritual and moral development. More precisely, the </w:t>
      </w:r>
      <w:r w:rsidR="009C26BC" w:rsidRPr="00D858D4">
        <w:rPr>
          <w:lang w:val="en-US"/>
        </w:rPr>
        <w:t xml:space="preserve">Federal Law on the Basic </w:t>
      </w:r>
      <w:r w:rsidR="002E4936" w:rsidRPr="00D858D4">
        <w:rPr>
          <w:lang w:val="en-US"/>
        </w:rPr>
        <w:t xml:space="preserve">Guarantees of the Rights of the Child in the </w:t>
      </w:r>
      <w:smartTag w:uri="urn:schemas-microsoft-com:office:smarttags" w:element="country-region">
        <w:smartTag w:uri="urn:schemas-microsoft-com:office:smarttags" w:element="place">
          <w:r w:rsidR="002E4936" w:rsidRPr="00D858D4">
            <w:rPr>
              <w:lang w:val="en-US"/>
            </w:rPr>
            <w:t>Russian Federation</w:t>
          </w:r>
        </w:smartTag>
      </w:smartTag>
      <w:r w:rsidR="002E4936" w:rsidRPr="00CE1BA4">
        <w:rPr>
          <w:lang w:val="en-US"/>
        </w:rPr>
        <w:t xml:space="preserve"> protected children from information, propaganda and agitation that could harm their “health [and] moral and spiritual development”. In the Court’s view, the provisions</w:t>
      </w:r>
      <w:r w:rsidR="009D31F5" w:rsidRPr="009D31F5">
        <w:rPr>
          <w:lang w:val="en-US"/>
        </w:rPr>
        <w:t xml:space="preserve"> </w:t>
      </w:r>
      <w:r w:rsidR="009D31F5" w:rsidRPr="00CE1BA4">
        <w:rPr>
          <w:lang w:val="en-US"/>
        </w:rPr>
        <w:t>challenged</w:t>
      </w:r>
      <w:r w:rsidR="002E4936" w:rsidRPr="00CE1BA4">
        <w:rPr>
          <w:lang w:val="en-US"/>
        </w:rPr>
        <w:t xml:space="preserve"> </w:t>
      </w:r>
      <w:r w:rsidR="000F40BB">
        <w:rPr>
          <w:lang w:val="en-US"/>
        </w:rPr>
        <w:t xml:space="preserve">were adopted </w:t>
      </w:r>
      <w:r w:rsidR="002E4936" w:rsidRPr="00CE1BA4">
        <w:rPr>
          <w:lang w:val="en-US"/>
        </w:rPr>
        <w:t xml:space="preserve">with the aim of ensuring the intellectual, moral and </w:t>
      </w:r>
      <w:r w:rsidR="009D31F5">
        <w:rPr>
          <w:lang w:val="en-US"/>
        </w:rPr>
        <w:t>psychological</w:t>
      </w:r>
      <w:r w:rsidR="009D31F5" w:rsidRPr="00CE1BA4">
        <w:rPr>
          <w:lang w:val="en-US"/>
        </w:rPr>
        <w:t xml:space="preserve"> </w:t>
      </w:r>
      <w:r w:rsidR="002E4936" w:rsidRPr="00CE1BA4">
        <w:rPr>
          <w:lang w:val="en-US"/>
        </w:rPr>
        <w:t xml:space="preserve">security of children. </w:t>
      </w:r>
    </w:p>
    <w:p w:rsidR="002E4936" w:rsidRPr="00363A2B" w:rsidRDefault="002E4936" w:rsidP="00CE1BA4">
      <w:pPr>
        <w:pStyle w:val="SingleTxtG"/>
        <w:rPr>
          <w:lang w:val="en-US"/>
        </w:rPr>
      </w:pPr>
      <w:r w:rsidRPr="00CE1BA4">
        <w:rPr>
          <w:lang w:val="en-US"/>
        </w:rPr>
        <w:t>5.7</w:t>
      </w:r>
      <w:r w:rsidRPr="00CE1BA4">
        <w:rPr>
          <w:lang w:val="en-US"/>
        </w:rPr>
        <w:tab/>
        <w:t>The Constitutional Court then analy</w:t>
      </w:r>
      <w:r w:rsidR="009D31F5">
        <w:rPr>
          <w:lang w:val="en-US"/>
        </w:rPr>
        <w:t>s</w:t>
      </w:r>
      <w:r w:rsidRPr="00CE1BA4">
        <w:rPr>
          <w:lang w:val="en-US"/>
        </w:rPr>
        <w:t>ed the protection of the right to freedom of expression provided by the Constitution. Article 2</w:t>
      </w:r>
      <w:r w:rsidR="000F40BB">
        <w:rPr>
          <w:lang w:val="en-US"/>
        </w:rPr>
        <w:t>9 of the Constitution guarantees</w:t>
      </w:r>
      <w:r w:rsidRPr="00CE1BA4">
        <w:rPr>
          <w:lang w:val="en-US"/>
        </w:rPr>
        <w:t xml:space="preserve"> the right to freedom of speech, as well as the right to freely disseminate information by all lawful means. </w:t>
      </w:r>
      <w:r w:rsidR="00CE1BA4" w:rsidRPr="00CE1BA4">
        <w:rPr>
          <w:lang w:val="en-US"/>
        </w:rPr>
        <w:t>However, the Court noted that</w:t>
      </w:r>
      <w:r w:rsidR="009D31F5">
        <w:rPr>
          <w:lang w:val="en-US"/>
        </w:rPr>
        <w:t>,</w:t>
      </w:r>
      <w:r w:rsidR="00CE1BA4" w:rsidRPr="00CE1BA4">
        <w:rPr>
          <w:lang w:val="en-US"/>
        </w:rPr>
        <w:t xml:space="preserve"> under article 10 of the European Convention, freedom of expression was subject to limitations, provided such limitations were established by law, had a legitimate purpose and were necessary in a democratic society. Finally, the Court established that </w:t>
      </w:r>
      <w:r w:rsidR="00CE1BA4" w:rsidRPr="00CE1BA4">
        <w:t xml:space="preserve">the Ryazan Region Law and the Ryazan Region Law on Protection of Morals of Children in </w:t>
      </w:r>
      <w:r w:rsidR="00CE1BA4" w:rsidRPr="00CE1BA4">
        <w:rPr>
          <w:lang w:val="en-US"/>
        </w:rPr>
        <w:t>Ryazan Region did not prohibit or disparage homosexuality. They did not discriminate against homose</w:t>
      </w:r>
      <w:r w:rsidR="00CE1BA4">
        <w:rPr>
          <w:lang w:val="en-US"/>
        </w:rPr>
        <w:t xml:space="preserve">xuals nor did they grant excessive powers to public authorities. The Court therefore concluded that the provisions of the said </w:t>
      </w:r>
      <w:r w:rsidR="00467594">
        <w:rPr>
          <w:lang w:val="en-US"/>
        </w:rPr>
        <w:t>l</w:t>
      </w:r>
      <w:r w:rsidR="00CE1BA4">
        <w:rPr>
          <w:lang w:val="en-US"/>
        </w:rPr>
        <w:t>aws</w:t>
      </w:r>
      <w:r w:rsidR="00467594">
        <w:rPr>
          <w:lang w:val="en-US"/>
        </w:rPr>
        <w:t xml:space="preserve"> that were</w:t>
      </w:r>
      <w:r w:rsidR="00CE1BA4">
        <w:rPr>
          <w:lang w:val="en-US"/>
        </w:rPr>
        <w:t xml:space="preserve"> </w:t>
      </w:r>
      <w:r w:rsidR="00467594">
        <w:rPr>
          <w:lang w:val="en-US"/>
        </w:rPr>
        <w:t xml:space="preserve">challenged </w:t>
      </w:r>
      <w:r w:rsidR="00CE1BA4">
        <w:rPr>
          <w:lang w:val="en-US"/>
        </w:rPr>
        <w:t>could not be considered to limit freedom of expression excessively.</w:t>
      </w:r>
    </w:p>
    <w:p w:rsidR="00F952D2" w:rsidRDefault="00FA7C9E" w:rsidP="0019761D">
      <w:pPr>
        <w:pStyle w:val="SingleTxtG"/>
        <w:rPr>
          <w:lang w:val="en-US"/>
        </w:rPr>
      </w:pPr>
      <w:r>
        <w:rPr>
          <w:lang w:val="en-US"/>
        </w:rPr>
        <w:t>5.8</w:t>
      </w:r>
      <w:r>
        <w:rPr>
          <w:lang w:val="en-US"/>
        </w:rPr>
        <w:tab/>
      </w:r>
      <w:r w:rsidR="00047DCA" w:rsidRPr="00047DCA">
        <w:rPr>
          <w:lang w:val="en-US"/>
        </w:rPr>
        <w:t xml:space="preserve">The author </w:t>
      </w:r>
      <w:r w:rsidR="0019761D">
        <w:rPr>
          <w:lang w:val="en-US"/>
        </w:rPr>
        <w:t xml:space="preserve">submits </w:t>
      </w:r>
      <w:r w:rsidR="00047DCA" w:rsidRPr="00047DCA">
        <w:rPr>
          <w:lang w:val="en-US"/>
        </w:rPr>
        <w:t>a copy of the legal opinion prepared by the International Commission of Ju</w:t>
      </w:r>
      <w:r w:rsidR="0019761D">
        <w:rPr>
          <w:lang w:val="en-US"/>
        </w:rPr>
        <w:t>rists</w:t>
      </w:r>
      <w:r w:rsidR="00F952D2">
        <w:rPr>
          <w:lang w:val="en-US"/>
        </w:rPr>
        <w:t xml:space="preserve"> </w:t>
      </w:r>
      <w:r w:rsidR="0019761D">
        <w:rPr>
          <w:lang w:val="en-US"/>
        </w:rPr>
        <w:t>upon her request and asks</w:t>
      </w:r>
      <w:r w:rsidR="00047DCA" w:rsidRPr="00047DCA">
        <w:rPr>
          <w:lang w:val="en-US"/>
        </w:rPr>
        <w:t xml:space="preserve"> the Committee to take it into account in considering the merits of her communication.</w:t>
      </w:r>
      <w:r w:rsidR="00F952D2">
        <w:rPr>
          <w:lang w:val="en-US"/>
        </w:rPr>
        <w:t xml:space="preserve"> </w:t>
      </w:r>
    </w:p>
    <w:p w:rsidR="00BD5E2C" w:rsidRDefault="00F952D2" w:rsidP="00BD5E2C">
      <w:pPr>
        <w:pStyle w:val="SingleTxtG"/>
        <w:rPr>
          <w:lang w:val="en-US"/>
        </w:rPr>
      </w:pPr>
      <w:r>
        <w:rPr>
          <w:lang w:val="en-US"/>
        </w:rPr>
        <w:t>5.9</w:t>
      </w:r>
      <w:r>
        <w:rPr>
          <w:lang w:val="en-US"/>
        </w:rPr>
        <w:tab/>
        <w:t xml:space="preserve">In its legal opinion, the </w:t>
      </w:r>
      <w:r w:rsidR="00FD063B">
        <w:rPr>
          <w:lang w:val="en-US"/>
        </w:rPr>
        <w:t xml:space="preserve">International Commission of Jurists </w:t>
      </w:r>
      <w:r>
        <w:rPr>
          <w:lang w:val="en-US"/>
        </w:rPr>
        <w:t xml:space="preserve">firstly </w:t>
      </w:r>
      <w:r w:rsidR="00120C92">
        <w:rPr>
          <w:lang w:val="en-US"/>
        </w:rPr>
        <w:t xml:space="preserve">considers the effect of the Committee’s Views in </w:t>
      </w:r>
      <w:r w:rsidR="00120C92" w:rsidRPr="00FD063B">
        <w:rPr>
          <w:i/>
          <w:lang w:val="en-US"/>
        </w:rPr>
        <w:t xml:space="preserve">Hertzberg et al. </w:t>
      </w:r>
      <w:r w:rsidR="00120C92" w:rsidRPr="00FD063B">
        <w:rPr>
          <w:lang w:val="en-US"/>
        </w:rPr>
        <w:t>v.</w:t>
      </w:r>
      <w:r w:rsidR="00120C92" w:rsidRPr="00FD063B">
        <w:rPr>
          <w:i/>
          <w:lang w:val="en-US"/>
        </w:rPr>
        <w:t xml:space="preserve"> Finland</w:t>
      </w:r>
      <w:r w:rsidR="00120C92" w:rsidRPr="00120C92">
        <w:rPr>
          <w:lang w:val="en-US"/>
        </w:rPr>
        <w:t>,</w:t>
      </w:r>
      <w:bookmarkStart w:id="2" w:name="_Ref324870142"/>
      <w:r w:rsidR="00120C92" w:rsidRPr="00120C92">
        <w:rPr>
          <w:rStyle w:val="FootnoteReference"/>
          <w:lang w:val="en-US"/>
        </w:rPr>
        <w:footnoteReference w:id="11"/>
      </w:r>
      <w:bookmarkEnd w:id="2"/>
      <w:r w:rsidR="00120C92">
        <w:rPr>
          <w:lang w:val="en-US"/>
        </w:rPr>
        <w:t xml:space="preserve"> in which it accepted, as a justification provided for in article 19, paragraph 3</w:t>
      </w:r>
      <w:r w:rsidR="00BD5E2C">
        <w:rPr>
          <w:lang w:val="en-US"/>
        </w:rPr>
        <w:t>, of the Covenant</w:t>
      </w:r>
      <w:r w:rsidR="00120C92">
        <w:rPr>
          <w:lang w:val="en-US"/>
        </w:rPr>
        <w:t xml:space="preserve">, the public morals limitation </w:t>
      </w:r>
      <w:r w:rsidR="00BD5E2C">
        <w:rPr>
          <w:lang w:val="en-US"/>
        </w:rPr>
        <w:t>invoked by the Government</w:t>
      </w:r>
      <w:r w:rsidR="00FD063B">
        <w:rPr>
          <w:lang w:val="en-US"/>
        </w:rPr>
        <w:t xml:space="preserve"> of Finland</w:t>
      </w:r>
      <w:r w:rsidR="00BD5E2C">
        <w:rPr>
          <w:lang w:val="en-US"/>
        </w:rPr>
        <w:t xml:space="preserve"> in defen</w:t>
      </w:r>
      <w:r w:rsidR="00FD063B">
        <w:rPr>
          <w:lang w:val="en-US"/>
        </w:rPr>
        <w:t>c</w:t>
      </w:r>
      <w:r w:rsidR="00BD5E2C">
        <w:rPr>
          <w:lang w:val="en-US"/>
        </w:rPr>
        <w:t xml:space="preserve">e of paragraph 9 of chapter 20 of the Finnish Penal Code, which provided that anyone </w:t>
      </w:r>
      <w:r w:rsidR="00FD063B">
        <w:rPr>
          <w:lang w:val="en-US"/>
        </w:rPr>
        <w:t xml:space="preserve">who </w:t>
      </w:r>
      <w:r w:rsidR="00BD5E2C">
        <w:rPr>
          <w:lang w:val="en-US"/>
        </w:rPr>
        <w:t>“publicly encourage</w:t>
      </w:r>
      <w:r w:rsidR="00FD063B">
        <w:rPr>
          <w:lang w:val="en-US"/>
        </w:rPr>
        <w:t>s</w:t>
      </w:r>
      <w:r w:rsidR="00BD5E2C">
        <w:rPr>
          <w:lang w:val="en-US"/>
        </w:rPr>
        <w:t xml:space="preserve"> indecent behavio</w:t>
      </w:r>
      <w:r w:rsidR="00FD063B">
        <w:rPr>
          <w:lang w:val="en-US"/>
        </w:rPr>
        <w:t>u</w:t>
      </w:r>
      <w:r w:rsidR="00BD5E2C">
        <w:rPr>
          <w:lang w:val="en-US"/>
        </w:rPr>
        <w:t xml:space="preserve">r between persons of the same sex” was subject to a six-month prison sentence or a fine. The </w:t>
      </w:r>
      <w:r w:rsidR="00FD063B">
        <w:rPr>
          <w:lang w:val="en-US"/>
        </w:rPr>
        <w:t>International Commission of Jurists</w:t>
      </w:r>
      <w:r w:rsidR="00BD5E2C">
        <w:rPr>
          <w:lang w:val="en-US"/>
        </w:rPr>
        <w:t xml:space="preserve"> </w:t>
      </w:r>
      <w:r w:rsidR="00120C92">
        <w:rPr>
          <w:lang w:val="en-US"/>
        </w:rPr>
        <w:t>submits that</w:t>
      </w:r>
      <w:r w:rsidR="00BD5E2C">
        <w:rPr>
          <w:lang w:val="en-US"/>
        </w:rPr>
        <w:t xml:space="preserve"> the outcome in the said communication is not dispositive of this matter, because:</w:t>
      </w:r>
    </w:p>
    <w:p w:rsidR="00AE092A" w:rsidRDefault="00FD063B" w:rsidP="00076AB4">
      <w:pPr>
        <w:pStyle w:val="SingleTxtG"/>
        <w:ind w:firstLine="567"/>
        <w:rPr>
          <w:lang w:val="en-US"/>
        </w:rPr>
      </w:pPr>
      <w:r>
        <w:rPr>
          <w:lang w:val="en-US"/>
        </w:rPr>
        <w:t>(</w:t>
      </w:r>
      <w:r w:rsidR="00B1630F">
        <w:rPr>
          <w:lang w:val="en-US"/>
        </w:rPr>
        <w:t xml:space="preserve">a) </w:t>
      </w:r>
      <w:r w:rsidR="00402044">
        <w:rPr>
          <w:lang w:val="en-US"/>
        </w:rPr>
        <w:tab/>
      </w:r>
      <w:r w:rsidR="00B1630F">
        <w:rPr>
          <w:lang w:val="en-US"/>
        </w:rPr>
        <w:t xml:space="preserve">Equality law, in the jurisprudence of the Committee and other human rights bodies, has developed significantly since April 1982 when the Views in </w:t>
      </w:r>
      <w:r w:rsidR="00B1630F" w:rsidRPr="00FD063B">
        <w:rPr>
          <w:i/>
          <w:lang w:val="en-US"/>
        </w:rPr>
        <w:t>Hertzberg et al.</w:t>
      </w:r>
      <w:r w:rsidR="00B1630F" w:rsidRPr="00FD063B">
        <w:rPr>
          <w:lang w:val="en-US"/>
        </w:rPr>
        <w:t xml:space="preserve"> v. </w:t>
      </w:r>
      <w:smartTag w:uri="urn:schemas-microsoft-com:office:smarttags" w:element="country-region">
        <w:smartTag w:uri="urn:schemas-microsoft-com:office:smarttags" w:element="place">
          <w:r w:rsidR="00B1630F" w:rsidRPr="00FD063B">
            <w:rPr>
              <w:i/>
              <w:lang w:val="en-US"/>
            </w:rPr>
            <w:t>Finland</w:t>
          </w:r>
        </w:smartTag>
      </w:smartTag>
      <w:r w:rsidR="00B1630F">
        <w:rPr>
          <w:lang w:val="en-US"/>
        </w:rPr>
        <w:t xml:space="preserve"> </w:t>
      </w:r>
      <w:r>
        <w:rPr>
          <w:lang w:val="en-US"/>
        </w:rPr>
        <w:t>were</w:t>
      </w:r>
      <w:r w:rsidR="00B1630F">
        <w:rPr>
          <w:lang w:val="en-US"/>
        </w:rPr>
        <w:t xml:space="preserve"> adopted. At that time, sexual orientation was not recognized as a status protected from discrimination and now it is</w:t>
      </w:r>
      <w:r>
        <w:rPr>
          <w:lang w:val="en-US"/>
        </w:rPr>
        <w:t>;</w:t>
      </w:r>
      <w:bookmarkStart w:id="3" w:name="_Ref324870541"/>
      <w:r w:rsidR="00B1630F">
        <w:rPr>
          <w:rStyle w:val="FootnoteReference"/>
          <w:lang w:val="en-US"/>
        </w:rPr>
        <w:footnoteReference w:id="12"/>
      </w:r>
      <w:bookmarkEnd w:id="3"/>
      <w:r w:rsidR="00AE092A">
        <w:rPr>
          <w:lang w:val="en-US"/>
        </w:rPr>
        <w:t xml:space="preserve"> </w:t>
      </w:r>
    </w:p>
    <w:p w:rsidR="00AE092A" w:rsidRDefault="00FD063B" w:rsidP="00076AB4">
      <w:pPr>
        <w:pStyle w:val="SingleTxtG"/>
        <w:ind w:firstLine="567"/>
        <w:rPr>
          <w:lang w:val="en-US"/>
        </w:rPr>
      </w:pPr>
      <w:r>
        <w:rPr>
          <w:lang w:val="en-US"/>
        </w:rPr>
        <w:t>(</w:t>
      </w:r>
      <w:r w:rsidR="00AE092A">
        <w:rPr>
          <w:lang w:val="en-US"/>
        </w:rPr>
        <w:t xml:space="preserve">b) </w:t>
      </w:r>
      <w:r w:rsidR="00402044">
        <w:rPr>
          <w:lang w:val="en-US"/>
        </w:rPr>
        <w:tab/>
      </w:r>
      <w:r w:rsidR="00AE092A">
        <w:rPr>
          <w:lang w:val="en-US"/>
        </w:rPr>
        <w:t>Also since 1982, the Committee and other institutions have recognized that limitations on rights must not violate the prohibition of discrimination. Even a limitation with a permissible aim – such as the protection of public morality – may not be discriminatory</w:t>
      </w:r>
      <w:r>
        <w:rPr>
          <w:lang w:val="en-US"/>
        </w:rPr>
        <w:t>;</w:t>
      </w:r>
    </w:p>
    <w:p w:rsidR="00A125A0" w:rsidRDefault="00FD063B" w:rsidP="00076AB4">
      <w:pPr>
        <w:pStyle w:val="SingleTxtG"/>
        <w:ind w:firstLine="567"/>
        <w:rPr>
          <w:lang w:val="en-US"/>
        </w:rPr>
      </w:pPr>
      <w:r>
        <w:rPr>
          <w:lang w:val="en-US"/>
        </w:rPr>
        <w:t>(</w:t>
      </w:r>
      <w:r w:rsidR="00AE092A">
        <w:rPr>
          <w:lang w:val="en-US"/>
        </w:rPr>
        <w:t xml:space="preserve">c) </w:t>
      </w:r>
      <w:r w:rsidR="00402044">
        <w:rPr>
          <w:lang w:val="en-US"/>
        </w:rPr>
        <w:tab/>
      </w:r>
      <w:r w:rsidR="00AE092A">
        <w:rPr>
          <w:lang w:val="en-US"/>
        </w:rPr>
        <w:t>Conceptions of public morality are subject to change</w:t>
      </w:r>
      <w:r w:rsidR="00AE092A">
        <w:rPr>
          <w:rStyle w:val="FootnoteReference"/>
          <w:lang w:val="en-US"/>
        </w:rPr>
        <w:footnoteReference w:id="13"/>
      </w:r>
      <w:r w:rsidR="007911E6">
        <w:rPr>
          <w:lang w:val="en-US"/>
        </w:rPr>
        <w:t xml:space="preserve"> and what was considered justifiable with reference to public morality </w:t>
      </w:r>
      <w:r w:rsidR="000F40BB">
        <w:rPr>
          <w:lang w:val="en-US"/>
        </w:rPr>
        <w:t xml:space="preserve">in 1982 </w:t>
      </w:r>
      <w:r w:rsidR="007911E6">
        <w:rPr>
          <w:lang w:val="en-US"/>
        </w:rPr>
        <w:t xml:space="preserve">is no longer the case today. Laws similar to paragraph 9 of chapter 20 of the Finnish Penal Code have since been repealed in </w:t>
      </w:r>
      <w:r w:rsidR="00693FFE">
        <w:rPr>
          <w:lang w:val="en-US"/>
        </w:rPr>
        <w:t>S</w:t>
      </w:r>
      <w:r w:rsidR="007911E6">
        <w:rPr>
          <w:lang w:val="en-US"/>
        </w:rPr>
        <w:t xml:space="preserve">tates such as </w:t>
      </w:r>
      <w:smartTag w:uri="urn:schemas-microsoft-com:office:smarttags" w:element="country-region">
        <w:smartTag w:uri="urn:schemas-microsoft-com:office:smarttags" w:element="place">
          <w:r w:rsidR="007911E6">
            <w:rPr>
              <w:lang w:val="en-US"/>
            </w:rPr>
            <w:t>Austria</w:t>
          </w:r>
        </w:smartTag>
      </w:smartTag>
      <w:r w:rsidR="007911E6">
        <w:rPr>
          <w:lang w:val="en-US"/>
        </w:rPr>
        <w:t xml:space="preserve"> and the United Kingdom</w:t>
      </w:r>
      <w:r w:rsidR="00693FFE">
        <w:rPr>
          <w:lang w:val="en-US"/>
        </w:rPr>
        <w:t xml:space="preserve"> of Great Britain and Northern Ireland</w:t>
      </w:r>
      <w:r w:rsidR="007911E6">
        <w:rPr>
          <w:lang w:val="en-US"/>
        </w:rPr>
        <w:t xml:space="preserve">. Furthermore, the </w:t>
      </w:r>
      <w:r w:rsidR="0017458F">
        <w:rPr>
          <w:lang w:val="en-US"/>
        </w:rPr>
        <w:t xml:space="preserve">Committee’s jurisprudence reflects the </w:t>
      </w:r>
      <w:r w:rsidR="000F40BB">
        <w:rPr>
          <w:lang w:val="en-US"/>
        </w:rPr>
        <w:t>evol</w:t>
      </w:r>
      <w:r w:rsidR="00FC1984">
        <w:rPr>
          <w:lang w:val="en-US"/>
        </w:rPr>
        <w:t>ution of the “</w:t>
      </w:r>
      <w:r w:rsidR="007911E6">
        <w:rPr>
          <w:lang w:val="en-US"/>
        </w:rPr>
        <w:t>public morals</w:t>
      </w:r>
      <w:r w:rsidR="00FC1984">
        <w:rPr>
          <w:lang w:val="en-US"/>
        </w:rPr>
        <w:t>” conceptions</w:t>
      </w:r>
      <w:r w:rsidR="0017458F">
        <w:rPr>
          <w:lang w:val="en-US"/>
        </w:rPr>
        <w:t>, as does the case</w:t>
      </w:r>
      <w:r w:rsidR="00693FFE">
        <w:rPr>
          <w:lang w:val="en-US"/>
        </w:rPr>
        <w:t xml:space="preserve"> </w:t>
      </w:r>
      <w:r w:rsidR="0017458F">
        <w:rPr>
          <w:lang w:val="en-US"/>
        </w:rPr>
        <w:t xml:space="preserve">law </w:t>
      </w:r>
      <w:r w:rsidR="007911E6">
        <w:rPr>
          <w:lang w:val="en-US"/>
        </w:rPr>
        <w:t xml:space="preserve">of the </w:t>
      </w:r>
      <w:r w:rsidR="007911E6" w:rsidRPr="00747B73">
        <w:rPr>
          <w:lang w:val="en-US"/>
        </w:rPr>
        <w:t>E</w:t>
      </w:r>
      <w:r w:rsidR="007911E6">
        <w:rPr>
          <w:lang w:val="en-US"/>
        </w:rPr>
        <w:t>uropean Court of Human Rights</w:t>
      </w:r>
      <w:r w:rsidR="00E90143">
        <w:rPr>
          <w:lang w:val="en-US"/>
        </w:rPr>
        <w:t>.</w:t>
      </w:r>
      <w:r w:rsidR="00E90143">
        <w:rPr>
          <w:rStyle w:val="FootnoteReference"/>
          <w:lang w:val="en-US"/>
        </w:rPr>
        <w:footnoteReference w:id="14"/>
      </w:r>
      <w:r w:rsidR="00E90143">
        <w:rPr>
          <w:lang w:val="en-US"/>
        </w:rPr>
        <w:t xml:space="preserve"> </w:t>
      </w:r>
    </w:p>
    <w:p w:rsidR="00F952D2" w:rsidRDefault="00B460DE" w:rsidP="003B461E">
      <w:pPr>
        <w:pStyle w:val="SingleTxtG"/>
        <w:rPr>
          <w:lang w:val="en-US"/>
        </w:rPr>
      </w:pPr>
      <w:r>
        <w:rPr>
          <w:lang w:val="en-US"/>
        </w:rPr>
        <w:t>5.10</w:t>
      </w:r>
      <w:r>
        <w:rPr>
          <w:lang w:val="en-US"/>
        </w:rPr>
        <w:tab/>
        <w:t xml:space="preserve">The </w:t>
      </w:r>
      <w:r w:rsidR="00FD063B">
        <w:rPr>
          <w:lang w:val="en-US"/>
        </w:rPr>
        <w:t>International Commission of Jurists</w:t>
      </w:r>
      <w:r>
        <w:rPr>
          <w:lang w:val="en-US"/>
        </w:rPr>
        <w:t xml:space="preserve"> then submits that the Ryazan Region Law is an impermissible limitation of freedom of expression because it is discriminatory</w:t>
      </w:r>
      <w:r w:rsidR="003B461E">
        <w:rPr>
          <w:lang w:val="en-US"/>
        </w:rPr>
        <w:t xml:space="preserve">, </w:t>
      </w:r>
      <w:r w:rsidR="00E908C2">
        <w:rPr>
          <w:lang w:val="en-US"/>
        </w:rPr>
        <w:t>for the following reasons</w:t>
      </w:r>
      <w:r w:rsidR="003B461E">
        <w:rPr>
          <w:lang w:val="en-US"/>
        </w:rPr>
        <w:t>: (</w:t>
      </w:r>
      <w:r w:rsidR="00CA7F49">
        <w:rPr>
          <w:lang w:val="en-US"/>
        </w:rPr>
        <w:t>a</w:t>
      </w:r>
      <w:r w:rsidR="003B461E">
        <w:rPr>
          <w:lang w:val="en-US"/>
        </w:rPr>
        <w:t>)</w:t>
      </w:r>
      <w:r>
        <w:rPr>
          <w:lang w:val="en-US"/>
        </w:rPr>
        <w:t xml:space="preserve"> </w:t>
      </w:r>
      <w:r w:rsidR="00CA7F49">
        <w:rPr>
          <w:lang w:val="en-US"/>
        </w:rPr>
        <w:t>s</w:t>
      </w:r>
      <w:r>
        <w:rPr>
          <w:lang w:val="en-US"/>
        </w:rPr>
        <w:t>exual orientation is a protected ground under articles 2 and 26 of the Covenant</w:t>
      </w:r>
      <w:r w:rsidR="003B461E">
        <w:rPr>
          <w:lang w:val="en-US"/>
        </w:rPr>
        <w:t>;</w:t>
      </w:r>
      <w:bookmarkStart w:id="4" w:name="_Ref325007348"/>
      <w:r w:rsidR="00C3670B">
        <w:rPr>
          <w:rStyle w:val="FootnoteReference"/>
          <w:lang w:val="en-US"/>
        </w:rPr>
        <w:footnoteReference w:id="15"/>
      </w:r>
      <w:bookmarkEnd w:id="4"/>
      <w:r w:rsidR="003B461E">
        <w:rPr>
          <w:lang w:val="en-US"/>
        </w:rPr>
        <w:t xml:space="preserve"> (</w:t>
      </w:r>
      <w:r w:rsidR="00510C13">
        <w:rPr>
          <w:lang w:val="en-US"/>
        </w:rPr>
        <w:t>b</w:t>
      </w:r>
      <w:r w:rsidR="003B461E">
        <w:rPr>
          <w:lang w:val="en-US"/>
        </w:rPr>
        <w:t xml:space="preserve">) </w:t>
      </w:r>
      <w:r w:rsidR="00510C13">
        <w:rPr>
          <w:lang w:val="en-US"/>
        </w:rPr>
        <w:t>l</w:t>
      </w:r>
      <w:r>
        <w:rPr>
          <w:lang w:val="en-US"/>
        </w:rPr>
        <w:t>imitations on rights cannot be discriminatory, whether in law or practice</w:t>
      </w:r>
      <w:r w:rsidR="00510C13">
        <w:rPr>
          <w:lang w:val="en-US"/>
        </w:rPr>
        <w:t xml:space="preserve"> – a</w:t>
      </w:r>
      <w:r>
        <w:rPr>
          <w:lang w:val="en-US"/>
        </w:rPr>
        <w:t xml:space="preserve"> law that differentiates on the basis of sexual orientation is therefore discriminatory</w:t>
      </w:r>
      <w:r w:rsidR="00F56D45">
        <w:rPr>
          <w:lang w:val="en-US"/>
        </w:rPr>
        <w:t xml:space="preserve">, in violation of the Covenant, </w:t>
      </w:r>
      <w:r w:rsidR="002C4EF7">
        <w:rPr>
          <w:lang w:val="en-US"/>
        </w:rPr>
        <w:t>unless it has a reasonable and objective justification, and is aimed at a legitimate purpose</w:t>
      </w:r>
      <w:r w:rsidR="003B461E">
        <w:rPr>
          <w:lang w:val="en-US"/>
        </w:rPr>
        <w:t>; and (</w:t>
      </w:r>
      <w:r w:rsidR="00DD6CD8">
        <w:rPr>
          <w:lang w:val="en-US"/>
        </w:rPr>
        <w:t>c</w:t>
      </w:r>
      <w:r w:rsidR="003B461E">
        <w:rPr>
          <w:lang w:val="en-US"/>
        </w:rPr>
        <w:t>)</w:t>
      </w:r>
      <w:r w:rsidR="002C4EF7">
        <w:rPr>
          <w:lang w:val="en-US"/>
        </w:rPr>
        <w:t xml:space="preserve"> </w:t>
      </w:r>
      <w:r w:rsidR="00DD6CD8">
        <w:rPr>
          <w:lang w:val="en-US"/>
        </w:rPr>
        <w:t>p</w:t>
      </w:r>
      <w:r w:rsidR="002C4EF7">
        <w:rPr>
          <w:lang w:val="en-US"/>
        </w:rPr>
        <w:t xml:space="preserve">ublic morality is not a reasonable and objective </w:t>
      </w:r>
      <w:r w:rsidR="00780AC8">
        <w:rPr>
          <w:lang w:val="en-US"/>
        </w:rPr>
        <w:t>justification.</w:t>
      </w:r>
    </w:p>
    <w:p w:rsidR="007A4E81" w:rsidRDefault="007A4E81" w:rsidP="00410BCE">
      <w:pPr>
        <w:pStyle w:val="SingleTxtG"/>
        <w:rPr>
          <w:lang w:val="en-US"/>
        </w:rPr>
      </w:pPr>
      <w:r>
        <w:rPr>
          <w:lang w:val="en-US"/>
        </w:rPr>
        <w:t>5.11</w:t>
      </w:r>
      <w:r>
        <w:rPr>
          <w:lang w:val="en-US"/>
        </w:rPr>
        <w:tab/>
      </w:r>
      <w:r w:rsidR="00410BCE">
        <w:rPr>
          <w:lang w:val="en-US"/>
        </w:rPr>
        <w:t>T</w:t>
      </w:r>
      <w:r>
        <w:rPr>
          <w:lang w:val="en-US"/>
        </w:rPr>
        <w:t xml:space="preserve">he </w:t>
      </w:r>
      <w:r w:rsidR="00FD063B">
        <w:rPr>
          <w:lang w:val="en-US"/>
        </w:rPr>
        <w:t>International Commission of Jurists</w:t>
      </w:r>
      <w:r>
        <w:rPr>
          <w:lang w:val="en-US"/>
        </w:rPr>
        <w:t xml:space="preserve"> </w:t>
      </w:r>
      <w:r w:rsidR="00410BCE">
        <w:rPr>
          <w:lang w:val="en-US"/>
        </w:rPr>
        <w:t xml:space="preserve">argues </w:t>
      </w:r>
      <w:r>
        <w:rPr>
          <w:lang w:val="en-US"/>
        </w:rPr>
        <w:t xml:space="preserve">that enjoyment of all Convention rights without discrimination </w:t>
      </w:r>
      <w:r w:rsidRPr="0017458F">
        <w:rPr>
          <w:lang w:val="en-US"/>
        </w:rPr>
        <w:t>means that the freedom of expression of LGBT individuals</w:t>
      </w:r>
      <w:r w:rsidR="0017458F" w:rsidRPr="0017458F">
        <w:rPr>
          <w:lang w:val="en-US"/>
        </w:rPr>
        <w:t xml:space="preserve">, as well as the </w:t>
      </w:r>
      <w:r w:rsidRPr="0017458F">
        <w:rPr>
          <w:lang w:val="en-US"/>
        </w:rPr>
        <w:t>expression concerning sexual orientation and same-sex relationships cannot be restricted</w:t>
      </w:r>
      <w:r>
        <w:rPr>
          <w:lang w:val="en-US"/>
        </w:rPr>
        <w:t xml:space="preserve"> in a discriminatory manner. Any restriction on expression about sexuality must be neutral with respect to sexual orientation.</w:t>
      </w:r>
      <w:bookmarkStart w:id="5" w:name="_Ref325005773"/>
      <w:r>
        <w:rPr>
          <w:rStyle w:val="FootnoteReference"/>
          <w:lang w:val="en-US"/>
        </w:rPr>
        <w:footnoteReference w:id="16"/>
      </w:r>
      <w:bookmarkEnd w:id="5"/>
      <w:r>
        <w:rPr>
          <w:lang w:val="en-US"/>
        </w:rPr>
        <w:t xml:space="preserve"> </w:t>
      </w:r>
      <w:r w:rsidR="00FC1984">
        <w:rPr>
          <w:lang w:val="en-US"/>
        </w:rPr>
        <w:t>L</w:t>
      </w:r>
      <w:r w:rsidR="00B866F0">
        <w:rPr>
          <w:lang w:val="en-US"/>
        </w:rPr>
        <w:t>aws restricting freedom of expression must be compatible with the aims and objectives of the Covenant and must not violate its non-discrimination provisions.</w:t>
      </w:r>
      <w:r w:rsidR="00B866F0">
        <w:rPr>
          <w:rStyle w:val="FootnoteReference"/>
          <w:lang w:val="en-US"/>
        </w:rPr>
        <w:footnoteReference w:id="17"/>
      </w:r>
      <w:r w:rsidR="00B866F0">
        <w:rPr>
          <w:lang w:val="en-US"/>
        </w:rPr>
        <w:t xml:space="preserve"> They may not be imposed for discriminatory purposes or applied in a discriminatory manner.</w:t>
      </w:r>
      <w:r w:rsidR="002114F8">
        <w:rPr>
          <w:rStyle w:val="FootnoteReference"/>
          <w:lang w:val="en-US"/>
        </w:rPr>
        <w:footnoteReference w:id="18"/>
      </w:r>
      <w:r w:rsidR="00B866F0">
        <w:rPr>
          <w:lang w:val="en-US"/>
        </w:rPr>
        <w:t xml:space="preserve"> The </w:t>
      </w:r>
      <w:r w:rsidR="00FD063B">
        <w:rPr>
          <w:lang w:val="en-US"/>
        </w:rPr>
        <w:t>International Commission of Jurists</w:t>
      </w:r>
      <w:r w:rsidR="00B866F0">
        <w:rPr>
          <w:lang w:val="en-US"/>
        </w:rPr>
        <w:t xml:space="preserve"> argues that even the proportionate use of a permissible aim, such as public morality, cannot be the basis for a restriction on freedom of expression if it is applied in a discriminatory manner. </w:t>
      </w:r>
      <w:r w:rsidR="00F464BD">
        <w:rPr>
          <w:lang w:val="en-US"/>
        </w:rPr>
        <w:t>Therefore, by penalizing “public actions aimed at propaganda of homosexuality” – as opposed to propaganda of heterosexuality or sexuality generally – the Ryazan Region Law enacts a difference in treatment that cannot be justified. It sing</w:t>
      </w:r>
      <w:r w:rsidR="00B713A7">
        <w:rPr>
          <w:lang w:val="en-US"/>
        </w:rPr>
        <w:t>l</w:t>
      </w:r>
      <w:r w:rsidR="00F464BD">
        <w:rPr>
          <w:lang w:val="en-US"/>
        </w:rPr>
        <w:t xml:space="preserve">es out one particular kind of sexual </w:t>
      </w:r>
      <w:r w:rsidR="00FC1984">
        <w:rPr>
          <w:lang w:val="en-US"/>
        </w:rPr>
        <w:t>behavio</w:t>
      </w:r>
      <w:r w:rsidR="00D95062">
        <w:rPr>
          <w:lang w:val="en-US"/>
        </w:rPr>
        <w:t>u</w:t>
      </w:r>
      <w:r w:rsidR="00FC1984">
        <w:rPr>
          <w:lang w:val="en-US"/>
        </w:rPr>
        <w:t xml:space="preserve">r </w:t>
      </w:r>
      <w:r w:rsidR="00F464BD">
        <w:rPr>
          <w:lang w:val="en-US"/>
        </w:rPr>
        <w:t xml:space="preserve">for differential treatment. It does so even though sexual relationships between consenting adults of the same sex are not illegal in the </w:t>
      </w:r>
      <w:smartTag w:uri="urn:schemas-microsoft-com:office:smarttags" w:element="place">
        <w:smartTag w:uri="urn:schemas-microsoft-com:office:smarttags" w:element="country-region">
          <w:r w:rsidR="00F464BD">
            <w:rPr>
              <w:lang w:val="en-US"/>
            </w:rPr>
            <w:t>Russian Federation</w:t>
          </w:r>
        </w:smartTag>
      </w:smartTag>
      <w:r w:rsidR="00F464BD">
        <w:rPr>
          <w:lang w:val="en-US"/>
        </w:rPr>
        <w:t>.</w:t>
      </w:r>
    </w:p>
    <w:p w:rsidR="002E5719" w:rsidRDefault="00F464BD" w:rsidP="002E5719">
      <w:pPr>
        <w:pStyle w:val="SingleTxtG"/>
        <w:rPr>
          <w:lang w:val="en-US"/>
        </w:rPr>
      </w:pPr>
      <w:r>
        <w:rPr>
          <w:lang w:val="en-US"/>
        </w:rPr>
        <w:t>5.12</w:t>
      </w:r>
      <w:r>
        <w:rPr>
          <w:lang w:val="en-US"/>
        </w:rPr>
        <w:tab/>
      </w:r>
      <w:r w:rsidR="00562D44">
        <w:rPr>
          <w:lang w:val="en-US"/>
        </w:rPr>
        <w:t xml:space="preserve">Furthermore, although not every differentiation of treatment will constitute discrimination, the criteria for such differentiation must be reasonable and </w:t>
      </w:r>
      <w:r w:rsidR="00184CAE">
        <w:rPr>
          <w:lang w:val="en-US"/>
        </w:rPr>
        <w:t>objective and the aim must be to achieve a purpose that is legitimate under the Covenant.</w:t>
      </w:r>
      <w:bookmarkStart w:id="6" w:name="_Ref325451192"/>
      <w:r w:rsidR="00184CAE">
        <w:rPr>
          <w:rStyle w:val="FootnoteReference"/>
          <w:lang w:val="en-US"/>
        </w:rPr>
        <w:footnoteReference w:id="19"/>
      </w:r>
      <w:bookmarkEnd w:id="6"/>
      <w:r w:rsidR="00562D44">
        <w:rPr>
          <w:lang w:val="en-US"/>
        </w:rPr>
        <w:t xml:space="preserve"> </w:t>
      </w:r>
      <w:r w:rsidR="00AA019B">
        <w:rPr>
          <w:lang w:val="en-US"/>
        </w:rPr>
        <w:t>Because sexual orientation is a prohibited ground, a difference in treatment founded on sexual orientation constitutes discrimination, in violation of the Covenant, unless there is a “reasonable and objective” justification.</w:t>
      </w:r>
      <w:r w:rsidR="00AA019B">
        <w:rPr>
          <w:rStyle w:val="FootnoteReference"/>
          <w:lang w:val="en-US"/>
        </w:rPr>
        <w:footnoteReference w:id="20"/>
      </w:r>
      <w:r w:rsidR="00E15469">
        <w:rPr>
          <w:lang w:val="en-US"/>
        </w:rPr>
        <w:t xml:space="preserve"> </w:t>
      </w:r>
      <w:r w:rsidR="00DD3FD2">
        <w:rPr>
          <w:lang w:val="en-US"/>
        </w:rPr>
        <w:t xml:space="preserve">Public morality does not amount to such a justification. Since </w:t>
      </w:r>
      <w:r w:rsidR="00DD3FD2" w:rsidRPr="00310DD1">
        <w:rPr>
          <w:i/>
          <w:lang w:val="en-US"/>
        </w:rPr>
        <w:t xml:space="preserve">Hertzberg et al. </w:t>
      </w:r>
      <w:r w:rsidR="00DD3FD2" w:rsidRPr="00310DD1">
        <w:rPr>
          <w:lang w:val="en-US"/>
        </w:rPr>
        <w:t>v.</w:t>
      </w:r>
      <w:r w:rsidR="00DD3FD2" w:rsidRPr="00310DD1">
        <w:rPr>
          <w:i/>
          <w:lang w:val="en-US"/>
        </w:rPr>
        <w:t xml:space="preserve"> </w:t>
      </w:r>
      <w:smartTag w:uri="urn:schemas-microsoft-com:office:smarttags" w:element="country-region">
        <w:smartTag w:uri="urn:schemas-microsoft-com:office:smarttags" w:element="place">
          <w:r w:rsidR="00DD3FD2" w:rsidRPr="00310DD1">
            <w:rPr>
              <w:i/>
              <w:lang w:val="en-US"/>
            </w:rPr>
            <w:t>Finland</w:t>
          </w:r>
        </w:smartTag>
      </w:smartTag>
      <w:r w:rsidR="00DD3FD2" w:rsidRPr="00DD3FD2">
        <w:rPr>
          <w:lang w:val="en-US"/>
        </w:rPr>
        <w:t xml:space="preserve">, public morality arguments have diminished </w:t>
      </w:r>
      <w:r w:rsidR="00FC1984">
        <w:rPr>
          <w:lang w:val="en-US"/>
        </w:rPr>
        <w:t xml:space="preserve">in </w:t>
      </w:r>
      <w:r w:rsidR="00DD3FD2" w:rsidRPr="00DD3FD2">
        <w:rPr>
          <w:lang w:val="en-US"/>
        </w:rPr>
        <w:t>weight.</w:t>
      </w:r>
      <w:r w:rsidR="00965E2D">
        <w:rPr>
          <w:rStyle w:val="FootnoteReference"/>
          <w:lang w:val="en-US"/>
        </w:rPr>
        <w:footnoteReference w:id="21"/>
      </w:r>
      <w:r w:rsidR="00965E2D">
        <w:rPr>
          <w:lang w:val="en-US"/>
        </w:rPr>
        <w:t xml:space="preserve"> The </w:t>
      </w:r>
      <w:r w:rsidR="00FD063B">
        <w:rPr>
          <w:lang w:val="en-US"/>
        </w:rPr>
        <w:t>International Commission of Jurists</w:t>
      </w:r>
      <w:r w:rsidR="00965E2D">
        <w:rPr>
          <w:lang w:val="en-US"/>
        </w:rPr>
        <w:t xml:space="preserve"> submits that courts around the world have held that public morality is not a sufficient reason to justify a difference in treatment and established that concerns about public morality cannot serve to defend disparate treatment based on sexual orientation.</w:t>
      </w:r>
      <w:r w:rsidR="00C3282E">
        <w:rPr>
          <w:rStyle w:val="FootnoteReference"/>
          <w:lang w:val="en-US"/>
        </w:rPr>
        <w:footnoteReference w:id="22"/>
      </w:r>
      <w:r w:rsidR="002E5719">
        <w:rPr>
          <w:lang w:val="en-US"/>
        </w:rPr>
        <w:t xml:space="preserve"> It adds that the Ryazan Region Law is clearly intended to target any information about homosexuality, including information that is in no manner “obscene” under criminal law. </w:t>
      </w:r>
    </w:p>
    <w:p w:rsidR="00562D44" w:rsidRDefault="002E5719" w:rsidP="006D1F2E">
      <w:pPr>
        <w:pStyle w:val="SingleTxtG"/>
        <w:rPr>
          <w:lang w:val="en-US"/>
        </w:rPr>
      </w:pPr>
      <w:r>
        <w:rPr>
          <w:lang w:val="en-US"/>
        </w:rPr>
        <w:t>5.13</w:t>
      </w:r>
      <w:r>
        <w:rPr>
          <w:lang w:val="en-US"/>
        </w:rPr>
        <w:tab/>
        <w:t xml:space="preserve">The </w:t>
      </w:r>
      <w:r w:rsidR="00FD063B">
        <w:rPr>
          <w:lang w:val="en-US"/>
        </w:rPr>
        <w:t>International Commission of Jurists</w:t>
      </w:r>
      <w:r>
        <w:rPr>
          <w:lang w:val="en-US"/>
        </w:rPr>
        <w:t xml:space="preserve"> further submits that</w:t>
      </w:r>
      <w:r w:rsidR="00870B67">
        <w:rPr>
          <w:lang w:val="en-US"/>
        </w:rPr>
        <w:t xml:space="preserve"> </w:t>
      </w:r>
      <w:r>
        <w:rPr>
          <w:lang w:val="en-US"/>
        </w:rPr>
        <w:t xml:space="preserve">the Ryazan Region Law also has serious implications for the right of children to receive information. </w:t>
      </w:r>
      <w:r w:rsidR="006D1F2E">
        <w:rPr>
          <w:lang w:val="en-US"/>
        </w:rPr>
        <w:t xml:space="preserve">In addition to </w:t>
      </w:r>
      <w:r>
        <w:rPr>
          <w:lang w:val="en-US"/>
        </w:rPr>
        <w:t>article 1</w:t>
      </w:r>
      <w:r w:rsidR="006D1F2E">
        <w:rPr>
          <w:lang w:val="en-US"/>
        </w:rPr>
        <w:t xml:space="preserve">9, paragraph 2, of the Covenant, the right of children to receive information concerning sexuality is </w:t>
      </w:r>
      <w:r w:rsidR="002551CA">
        <w:rPr>
          <w:lang w:val="en-US"/>
        </w:rPr>
        <w:t xml:space="preserve">specifically </w:t>
      </w:r>
      <w:r w:rsidR="006D1F2E">
        <w:rPr>
          <w:lang w:val="en-US"/>
        </w:rPr>
        <w:t>protected under article 13 of the Convention on the Rights of the Child.</w:t>
      </w:r>
      <w:r w:rsidR="006D1F2E">
        <w:rPr>
          <w:rStyle w:val="FootnoteReference"/>
          <w:lang w:val="en-US"/>
        </w:rPr>
        <w:footnoteReference w:id="23"/>
      </w:r>
      <w:r w:rsidR="006D1F2E">
        <w:rPr>
          <w:lang w:val="en-US"/>
        </w:rPr>
        <w:t xml:space="preserve"> </w:t>
      </w:r>
      <w:r w:rsidR="00D43FEE">
        <w:rPr>
          <w:lang w:val="en-US"/>
        </w:rPr>
        <w:t>The right of children to receive information about sexuality and sexual orientation is related to their rights to education and to health.</w:t>
      </w:r>
      <w:r w:rsidR="0045313A">
        <w:rPr>
          <w:rStyle w:val="FootnoteReference"/>
          <w:lang w:val="en-US"/>
        </w:rPr>
        <w:footnoteReference w:id="24"/>
      </w:r>
      <w:r>
        <w:rPr>
          <w:lang w:val="en-US"/>
        </w:rPr>
        <w:t xml:space="preserve">   </w:t>
      </w:r>
    </w:p>
    <w:p w:rsidR="00562D44" w:rsidRDefault="0045313A" w:rsidP="00562D44">
      <w:pPr>
        <w:pStyle w:val="SingleTxtG"/>
        <w:rPr>
          <w:lang w:val="en-US"/>
        </w:rPr>
      </w:pPr>
      <w:r>
        <w:rPr>
          <w:lang w:val="en-US"/>
        </w:rPr>
        <w:t>5.14</w:t>
      </w:r>
      <w:r>
        <w:rPr>
          <w:lang w:val="en-US"/>
        </w:rPr>
        <w:tab/>
        <w:t xml:space="preserve">For the foregoing reasons, the </w:t>
      </w:r>
      <w:r w:rsidR="00FD063B">
        <w:rPr>
          <w:lang w:val="en-US"/>
        </w:rPr>
        <w:t>International Commission of Jurists</w:t>
      </w:r>
      <w:r>
        <w:rPr>
          <w:lang w:val="en-US"/>
        </w:rPr>
        <w:t xml:space="preserve"> concludes that section 3.10 of the Ryazan Region Law contravenes the State party’s obligations under the Covenant.</w:t>
      </w:r>
    </w:p>
    <w:p w:rsidR="0045313A" w:rsidRPr="004A31E8" w:rsidRDefault="00402044" w:rsidP="00076AB4">
      <w:pPr>
        <w:pStyle w:val="H23G"/>
      </w:pPr>
      <w:r>
        <w:tab/>
      </w:r>
      <w:r>
        <w:tab/>
      </w:r>
      <w:r w:rsidR="0045313A" w:rsidRPr="004A31E8">
        <w:t>State party</w:t>
      </w:r>
      <w:r w:rsidR="00C36BC3">
        <w:t>’</w:t>
      </w:r>
      <w:r w:rsidR="0045313A" w:rsidRPr="004A31E8">
        <w:t xml:space="preserve">s </w:t>
      </w:r>
      <w:r w:rsidR="0045313A">
        <w:t xml:space="preserve">further </w:t>
      </w:r>
      <w:r w:rsidR="0045313A" w:rsidRPr="004A31E8">
        <w:t>observations on admissibility</w:t>
      </w:r>
      <w:r w:rsidR="0045313A">
        <w:t xml:space="preserve"> and merits</w:t>
      </w:r>
    </w:p>
    <w:p w:rsidR="0045313A" w:rsidRDefault="0045313A" w:rsidP="00DF1E47">
      <w:pPr>
        <w:pStyle w:val="SingleTxtG"/>
        <w:rPr>
          <w:lang w:val="en-US"/>
        </w:rPr>
      </w:pPr>
      <w:r>
        <w:t>6.1</w:t>
      </w:r>
      <w:r>
        <w:tab/>
        <w:t xml:space="preserve">On 9 December 2010, the State party recalls the facts of the case and states that </w:t>
      </w:r>
      <w:r w:rsidR="00F571C0">
        <w:t xml:space="preserve">the administrative fine imposed by the </w:t>
      </w:r>
      <w:r w:rsidR="00D85760">
        <w:t>J</w:t>
      </w:r>
      <w:r w:rsidR="00F571C0">
        <w:t xml:space="preserve">ustice of the </w:t>
      </w:r>
      <w:r w:rsidR="00D85760">
        <w:t>P</w:t>
      </w:r>
      <w:r w:rsidR="00F571C0">
        <w:t xml:space="preserve">eace on the author was the minimal penalty provided for under </w:t>
      </w:r>
      <w:r w:rsidR="00F571C0">
        <w:rPr>
          <w:lang w:val="en-US"/>
        </w:rPr>
        <w:t xml:space="preserve">section 3.10 of the Ryazan Region Law and was not “burdensome” for her. The State party then </w:t>
      </w:r>
      <w:r w:rsidR="00675D7C">
        <w:rPr>
          <w:lang w:val="en-US"/>
        </w:rPr>
        <w:t xml:space="preserve">submits that all court decisions in the author’s case are lawful and well-founded, and </w:t>
      </w:r>
      <w:r w:rsidR="00F571C0">
        <w:rPr>
          <w:lang w:val="en-US"/>
        </w:rPr>
        <w:t xml:space="preserve">puts forward its arguments, which are similar in substance to those of the </w:t>
      </w:r>
      <w:r w:rsidR="00675D7C">
        <w:rPr>
          <w:lang w:val="en-US"/>
        </w:rPr>
        <w:t xml:space="preserve">Oktyabrsky District Court (see </w:t>
      </w:r>
      <w:r w:rsidR="00675D7C" w:rsidRPr="00FF41D4">
        <w:rPr>
          <w:lang w:val="en-US"/>
        </w:rPr>
        <w:t>paragraph 2.6</w:t>
      </w:r>
      <w:r w:rsidR="00675D7C">
        <w:rPr>
          <w:lang w:val="en-US"/>
        </w:rPr>
        <w:t xml:space="preserve"> above) and of the Constitutional Court (see </w:t>
      </w:r>
      <w:r w:rsidR="00675D7C" w:rsidRPr="00FF41D4">
        <w:rPr>
          <w:lang w:val="en-US"/>
        </w:rPr>
        <w:t>paragraph 5.6</w:t>
      </w:r>
      <w:r w:rsidR="00675D7C">
        <w:rPr>
          <w:lang w:val="en-US"/>
        </w:rPr>
        <w:t xml:space="preserve"> above). It states that the author’s claims about her being brought to administrative responsibility for </w:t>
      </w:r>
      <w:r w:rsidR="00DF1E47">
        <w:rPr>
          <w:lang w:val="en-US"/>
        </w:rPr>
        <w:t>her tolerant attitude towards homosexuality and for the f</w:t>
      </w:r>
      <w:r w:rsidR="009F4ED6">
        <w:rPr>
          <w:lang w:val="en-US"/>
        </w:rPr>
        <w:t>ree expression of her views do</w:t>
      </w:r>
      <w:r w:rsidR="00DF1E47">
        <w:rPr>
          <w:lang w:val="en-US"/>
        </w:rPr>
        <w:t xml:space="preserve"> not “correspond to the facts”. She was brought to administrative responsibility for </w:t>
      </w:r>
      <w:r w:rsidR="00DF1E47" w:rsidRPr="00140CAA">
        <w:rPr>
          <w:bCs/>
          <w:i/>
          <w:lang w:val="en-US"/>
        </w:rPr>
        <w:t>propaganda of homosexuality (</w:t>
      </w:r>
      <w:r w:rsidR="0018062A">
        <w:rPr>
          <w:bCs/>
          <w:i/>
          <w:lang w:val="en-US"/>
        </w:rPr>
        <w:t>sexual act between men</w:t>
      </w:r>
      <w:r w:rsidR="00DF1E47" w:rsidRPr="00140CAA">
        <w:rPr>
          <w:bCs/>
          <w:i/>
          <w:lang w:val="en-US"/>
        </w:rPr>
        <w:t xml:space="preserve"> and lesbianism) among minors</w:t>
      </w:r>
      <w:r w:rsidR="00DF1E47">
        <w:rPr>
          <w:lang w:val="en-US"/>
        </w:rPr>
        <w:t>.</w:t>
      </w:r>
      <w:r w:rsidR="00DF1E47">
        <w:rPr>
          <w:rStyle w:val="FootnoteReference"/>
          <w:lang w:val="en-US"/>
        </w:rPr>
        <w:footnoteReference w:id="25"/>
      </w:r>
      <w:r w:rsidR="00675D7C">
        <w:rPr>
          <w:lang w:val="en-US"/>
        </w:rPr>
        <w:t xml:space="preserve"> </w:t>
      </w:r>
    </w:p>
    <w:p w:rsidR="009F4ED6" w:rsidRDefault="00DF1E47" w:rsidP="00B97A52">
      <w:pPr>
        <w:pStyle w:val="SingleTxtG"/>
        <w:rPr>
          <w:lang w:val="en-US"/>
        </w:rPr>
      </w:pPr>
      <w:r>
        <w:rPr>
          <w:lang w:val="en-US"/>
        </w:rPr>
        <w:t>6.2</w:t>
      </w:r>
      <w:r>
        <w:rPr>
          <w:lang w:val="en-US"/>
        </w:rPr>
        <w:tab/>
        <w:t xml:space="preserve">The State party further submits that, according to the author, the aim of her actions was to promote a tolerant attitude towards homosexuality in the society, including among minors. Therefore, </w:t>
      </w:r>
      <w:r w:rsidR="00B97A52">
        <w:rPr>
          <w:lang w:val="en-US"/>
        </w:rPr>
        <w:t>she had a deliberate intent to engage children in the discussion of these issues. As a result, the public became aware of the author’s views exclusively on the initiative of the latter. Furthermore, her actions from the very beginning had an “element of provocation”. The State party adds that the author’s private life was not of interest either to the public or to minors</w:t>
      </w:r>
      <w:r w:rsidR="00870B67">
        <w:rPr>
          <w:lang w:val="en-US"/>
        </w:rPr>
        <w:t>, and that t</w:t>
      </w:r>
      <w:r w:rsidR="009F4ED6">
        <w:rPr>
          <w:lang w:val="en-US"/>
        </w:rPr>
        <w:t>he public authorities did not interfere with her private life. For these reasons, the State party reiterates its initial argument that the present communication is an abuse of the right of submission and is thus incompatible with article 3 of the Optional Protocol.</w:t>
      </w:r>
    </w:p>
    <w:p w:rsidR="009F4ED6" w:rsidRDefault="00870B67" w:rsidP="009F6B25">
      <w:pPr>
        <w:pStyle w:val="SingleTxtG"/>
        <w:rPr>
          <w:lang w:val="en-US"/>
        </w:rPr>
      </w:pPr>
      <w:r>
        <w:rPr>
          <w:lang w:val="en-US"/>
        </w:rPr>
        <w:t>6.3</w:t>
      </w:r>
      <w:r w:rsidR="009F4ED6">
        <w:rPr>
          <w:lang w:val="en-US"/>
        </w:rPr>
        <w:tab/>
      </w:r>
      <w:r w:rsidR="00800B61">
        <w:rPr>
          <w:lang w:val="en-US"/>
        </w:rPr>
        <w:t>The State party recalls that the author has deliberately not avail</w:t>
      </w:r>
      <w:r w:rsidR="00CF4388">
        <w:rPr>
          <w:lang w:val="en-US"/>
        </w:rPr>
        <w:t>ed</w:t>
      </w:r>
      <w:r w:rsidR="00800B61">
        <w:rPr>
          <w:lang w:val="en-US"/>
        </w:rPr>
        <w:t xml:space="preserve"> herself of </w:t>
      </w:r>
      <w:r w:rsidR="009F6B25">
        <w:rPr>
          <w:lang w:val="en-US"/>
        </w:rPr>
        <w:t xml:space="preserve">the </w:t>
      </w:r>
      <w:r w:rsidR="00800B61">
        <w:rPr>
          <w:lang w:val="en-US"/>
        </w:rPr>
        <w:t xml:space="preserve">right to </w:t>
      </w:r>
      <w:r w:rsidR="00CF4388">
        <w:rPr>
          <w:lang w:val="en-US"/>
        </w:rPr>
        <w:t>have</w:t>
      </w:r>
      <w:r w:rsidR="009F6B25">
        <w:rPr>
          <w:lang w:val="en-US"/>
        </w:rPr>
        <w:t xml:space="preserve"> recourse to the supervisory review procedure and that, therefore, her assertion that she had exhausted all domestic remedies does not “correspond to the facts”. For the foregoing reasons, the State party concludes that the author’s claims are groundless, the interference with her rights </w:t>
      </w:r>
      <w:r w:rsidR="00CF4388">
        <w:rPr>
          <w:lang w:val="en-US"/>
        </w:rPr>
        <w:t>wa</w:t>
      </w:r>
      <w:r w:rsidR="009F6B25">
        <w:rPr>
          <w:lang w:val="en-US"/>
        </w:rPr>
        <w:t>s proportionate and the communication itself is inadmissible under article 5, paragraph 2</w:t>
      </w:r>
      <w:r w:rsidR="00C36BC3">
        <w:rPr>
          <w:lang w:val="en-US"/>
        </w:rPr>
        <w:t xml:space="preserve"> </w:t>
      </w:r>
      <w:r w:rsidR="009F6B25">
        <w:rPr>
          <w:lang w:val="en-US"/>
        </w:rPr>
        <w:t xml:space="preserve">(b), of the Optional Protocol. </w:t>
      </w:r>
    </w:p>
    <w:p w:rsidR="009F6B25" w:rsidRDefault="00402044" w:rsidP="00076AB4">
      <w:pPr>
        <w:pStyle w:val="H23G"/>
        <w:rPr>
          <w:lang w:val="en-US"/>
        </w:rPr>
      </w:pPr>
      <w:r>
        <w:tab/>
      </w:r>
      <w:r>
        <w:tab/>
      </w:r>
      <w:r w:rsidR="009F6B25" w:rsidRPr="00733096">
        <w:t xml:space="preserve">Authors’ comments on the State party’s </w:t>
      </w:r>
      <w:r w:rsidR="009F6B25">
        <w:t xml:space="preserve">further </w:t>
      </w:r>
      <w:r w:rsidR="009F6B25" w:rsidRPr="00733096">
        <w:t>observations</w:t>
      </w:r>
      <w:r w:rsidR="009F6B25" w:rsidRPr="00733096">
        <w:rPr>
          <w:lang w:val="en-US"/>
        </w:rPr>
        <w:t xml:space="preserve"> </w:t>
      </w:r>
    </w:p>
    <w:p w:rsidR="009F6B25" w:rsidRDefault="009F6B25" w:rsidP="0072060A">
      <w:pPr>
        <w:pStyle w:val="SingleTxtG"/>
        <w:rPr>
          <w:lang w:val="en-US"/>
        </w:rPr>
      </w:pPr>
      <w:r w:rsidRPr="009F6B25">
        <w:rPr>
          <w:lang w:val="en-US"/>
        </w:rPr>
        <w:t>7.1</w:t>
      </w:r>
      <w:r w:rsidRPr="009F6B25">
        <w:rPr>
          <w:lang w:val="en-US"/>
        </w:rPr>
        <w:tab/>
      </w:r>
      <w:r>
        <w:rPr>
          <w:lang w:val="en-US"/>
        </w:rPr>
        <w:t xml:space="preserve">On </w:t>
      </w:r>
      <w:smartTag w:uri="urn:schemas-microsoft-com:office:smarttags" w:element="date">
        <w:smartTagPr>
          <w:attr w:name="Month" w:val="2"/>
          <w:attr w:name="Day" w:val="3"/>
          <w:attr w:name="Year" w:val="2011"/>
        </w:smartTagPr>
        <w:r>
          <w:rPr>
            <w:lang w:val="en-US"/>
          </w:rPr>
          <w:t>3 February 2011</w:t>
        </w:r>
      </w:smartTag>
      <w:r>
        <w:rPr>
          <w:lang w:val="en-US"/>
        </w:rPr>
        <w:t xml:space="preserve">, the author recalls the State party’s argument that bringing her to administrative responsibility had a legitimate aim of protecting children from “propaganda of homosexuality”, i.e. from information harmful to children from a moral point of view. In this respect, she submits that </w:t>
      </w:r>
      <w:r w:rsidR="004408DB">
        <w:rPr>
          <w:lang w:val="en-US"/>
        </w:rPr>
        <w:t>this approach is clearly discriminatory, as it is based on a presumption that homosexuality – as opposed to heterosexuality – is something immoral. The author adds that this approach lacks objective and reasonable justification</w:t>
      </w:r>
      <w:r w:rsidR="00662055">
        <w:rPr>
          <w:lang w:val="en-US"/>
        </w:rPr>
        <w:t xml:space="preserve"> because, in her opinion, </w:t>
      </w:r>
      <w:r w:rsidR="004408DB">
        <w:rPr>
          <w:lang w:val="en-US"/>
        </w:rPr>
        <w:t xml:space="preserve">it prohibits dissemination of any information on homosexuality, including neutral information, such as in the present communication. She draws the Committee’s attention to the findings of the European Court of Human Rights in </w:t>
      </w:r>
      <w:r w:rsidR="004408DB" w:rsidRPr="00306A0C">
        <w:rPr>
          <w:i/>
          <w:lang w:val="en-US"/>
        </w:rPr>
        <w:t>Alekseyev</w:t>
      </w:r>
      <w:r w:rsidR="004408DB" w:rsidRPr="00306A0C">
        <w:rPr>
          <w:lang w:val="en-US"/>
        </w:rPr>
        <w:t xml:space="preserve"> v.</w:t>
      </w:r>
      <w:r w:rsidR="004408DB" w:rsidRPr="00306A0C">
        <w:rPr>
          <w:i/>
          <w:lang w:val="en-US"/>
        </w:rPr>
        <w:t xml:space="preserve"> </w:t>
      </w:r>
      <w:smartTag w:uri="urn:schemas-microsoft-com:office:smarttags" w:element="country-region">
        <w:r w:rsidR="004408DB" w:rsidRPr="00306A0C">
          <w:rPr>
            <w:i/>
            <w:lang w:val="en-US"/>
          </w:rPr>
          <w:t>Russia</w:t>
        </w:r>
      </w:smartTag>
      <w:r w:rsidR="004408DB">
        <w:rPr>
          <w:lang w:val="en-US"/>
        </w:rPr>
        <w:t>,</w:t>
      </w:r>
      <w:r w:rsidR="004408DB">
        <w:rPr>
          <w:rStyle w:val="FootnoteReference"/>
          <w:lang w:val="en-US"/>
        </w:rPr>
        <w:footnoteReference w:id="26"/>
      </w:r>
      <w:r w:rsidR="004408DB">
        <w:rPr>
          <w:lang w:val="en-US"/>
        </w:rPr>
        <w:t xml:space="preserve"> </w:t>
      </w:r>
      <w:r w:rsidR="0072060A">
        <w:rPr>
          <w:lang w:val="en-US"/>
        </w:rPr>
        <w:t xml:space="preserve">concerning the ban by the </w:t>
      </w:r>
      <w:smartTag w:uri="urn:schemas-microsoft-com:office:smarttags" w:element="City">
        <w:smartTag w:uri="urn:schemas-microsoft-com:office:smarttags" w:element="place">
          <w:r w:rsidR="0072060A">
            <w:rPr>
              <w:lang w:val="en-US"/>
            </w:rPr>
            <w:t>Moscow</w:t>
          </w:r>
        </w:smartTag>
      </w:smartTag>
      <w:r w:rsidR="0072060A">
        <w:rPr>
          <w:lang w:val="en-US"/>
        </w:rPr>
        <w:t xml:space="preserve"> authorities on the so called “Gay Prides” in 2006</w:t>
      </w:r>
      <w:r w:rsidR="00306A0C">
        <w:rPr>
          <w:lang w:val="en-US"/>
        </w:rPr>
        <w:t>–</w:t>
      </w:r>
      <w:r w:rsidR="0072060A">
        <w:rPr>
          <w:lang w:val="en-US"/>
        </w:rPr>
        <w:t xml:space="preserve">2008. </w:t>
      </w:r>
      <w:r w:rsidR="00226B89">
        <w:rPr>
          <w:lang w:val="en-US"/>
        </w:rPr>
        <w:t>The author respectfully asks the Committee to consider the position of the European Court of Human Rights with regard to the public morality arguments raised by the State party.</w:t>
      </w:r>
    </w:p>
    <w:p w:rsidR="00226B89" w:rsidRPr="004408DB" w:rsidRDefault="00226B89" w:rsidP="00C1284A">
      <w:pPr>
        <w:pStyle w:val="SingleTxtG"/>
        <w:rPr>
          <w:lang w:val="en-US"/>
        </w:rPr>
      </w:pPr>
      <w:r>
        <w:rPr>
          <w:lang w:val="en-US"/>
        </w:rPr>
        <w:t>7.2</w:t>
      </w:r>
      <w:r>
        <w:rPr>
          <w:lang w:val="en-US"/>
        </w:rPr>
        <w:tab/>
      </w:r>
      <w:r w:rsidR="00C1284A">
        <w:rPr>
          <w:lang w:val="en-US"/>
        </w:rPr>
        <w:t xml:space="preserve">With regard to the State party’s argument concerning the alleged non-exhaustion of domestic remedies, the author reiterates her earlier position explained in the submission of 22 July 2010 that </w:t>
      </w:r>
      <w:r w:rsidR="00306A0C">
        <w:rPr>
          <w:lang w:val="en-US"/>
        </w:rPr>
        <w:t xml:space="preserve">the </w:t>
      </w:r>
      <w:r w:rsidR="00C1284A">
        <w:rPr>
          <w:lang w:val="en-US"/>
        </w:rPr>
        <w:t xml:space="preserve">supervisory review procedure is not an effective remedy. Moreover, any doubts in this regard have been dispelled by the decision of the Constitutional Court of </w:t>
      </w:r>
      <w:smartTag w:uri="urn:schemas-microsoft-com:office:smarttags" w:element="date">
        <w:smartTagPr>
          <w:attr w:name="Month" w:val="1"/>
          <w:attr w:name="Day" w:val="19"/>
          <w:attr w:name="Year" w:val="2010"/>
        </w:smartTagPr>
        <w:r w:rsidR="00C1284A">
          <w:rPr>
            <w:lang w:val="en-US"/>
          </w:rPr>
          <w:t>19 January 2010</w:t>
        </w:r>
      </w:smartTag>
      <w:r w:rsidR="00C1284A">
        <w:rPr>
          <w:lang w:val="en-US"/>
        </w:rPr>
        <w:t>.</w:t>
      </w:r>
    </w:p>
    <w:p w:rsidR="00662055" w:rsidRDefault="00C1284A" w:rsidP="009F6B25">
      <w:pPr>
        <w:pStyle w:val="SingleTxtG"/>
      </w:pPr>
      <w:r>
        <w:rPr>
          <w:lang w:val="en-US"/>
        </w:rPr>
        <w:t>7.3</w:t>
      </w:r>
      <w:r>
        <w:rPr>
          <w:lang w:val="en-US"/>
        </w:rPr>
        <w:tab/>
      </w:r>
      <w:r w:rsidR="009F6B25" w:rsidRPr="009F6B25">
        <w:rPr>
          <w:lang w:val="en-US"/>
        </w:rPr>
        <w:t>On 21 November 2011, the author asks the Committee to give priority treatment to the present communication, which is seen by her as being of significance for the development of jurisprudence in the field of LGBT rights.</w:t>
      </w:r>
      <w:r w:rsidR="00662055">
        <w:rPr>
          <w:lang w:val="en-US"/>
        </w:rPr>
        <w:t xml:space="preserve"> </w:t>
      </w:r>
      <w:r w:rsidR="00662055">
        <w:t xml:space="preserve">She submits that recent developments threaten the fundamental human rights of LGBT individuals in the </w:t>
      </w:r>
      <w:smartTag w:uri="urn:schemas-microsoft-com:office:smarttags" w:element="place">
        <w:smartTag w:uri="urn:schemas-microsoft-com:office:smarttags" w:element="country-region">
          <w:r w:rsidR="00662055">
            <w:t>Russian Federation</w:t>
          </w:r>
        </w:smartTag>
      </w:smartTag>
      <w:r w:rsidR="00885E75">
        <w:rPr>
          <w:rStyle w:val="FootnoteReference"/>
        </w:rPr>
        <w:footnoteReference w:id="27"/>
      </w:r>
      <w:r w:rsidR="00662055">
        <w:t xml:space="preserve"> and in other parts of the world,</w:t>
      </w:r>
      <w:r w:rsidR="00885E75">
        <w:rPr>
          <w:rStyle w:val="FootnoteReference"/>
        </w:rPr>
        <w:footnoteReference w:id="28"/>
      </w:r>
      <w:r w:rsidR="00662055">
        <w:t xml:space="preserve"> including the freedom of expression, freedom of assembly and freedom of association.</w:t>
      </w:r>
    </w:p>
    <w:p w:rsidR="000D11C6" w:rsidRDefault="000D11C6" w:rsidP="00306A0C">
      <w:pPr>
        <w:pStyle w:val="SingleTxtG"/>
        <w:keepNext/>
        <w:ind w:left="1138" w:right="1138"/>
        <w:rPr>
          <w:b/>
        </w:rPr>
      </w:pPr>
      <w:r w:rsidRPr="00C67753">
        <w:rPr>
          <w:b/>
        </w:rPr>
        <w:t xml:space="preserve">State party’s </w:t>
      </w:r>
      <w:r w:rsidR="00C67753" w:rsidRPr="00C67753">
        <w:rPr>
          <w:b/>
        </w:rPr>
        <w:t>additional observations</w:t>
      </w:r>
    </w:p>
    <w:p w:rsidR="002E1437" w:rsidRDefault="00C67753" w:rsidP="009F6B25">
      <w:pPr>
        <w:pStyle w:val="SingleTxtG"/>
      </w:pPr>
      <w:r w:rsidRPr="00C67753">
        <w:t>8.1</w:t>
      </w:r>
      <w:r w:rsidR="00BD0578">
        <w:tab/>
      </w:r>
      <w:r w:rsidR="00BD0578">
        <w:rPr>
          <w:bCs/>
        </w:rPr>
        <w:t>On 17 August 2012, the State party submits its addi</w:t>
      </w:r>
      <w:r w:rsidR="00BD0578" w:rsidRPr="004667C7">
        <w:rPr>
          <w:bCs/>
        </w:rPr>
        <w:t>tional observations</w:t>
      </w:r>
      <w:r w:rsidR="00BD0578">
        <w:rPr>
          <w:bCs/>
        </w:rPr>
        <w:t xml:space="preserve">. It states that the amendments to </w:t>
      </w:r>
      <w:r w:rsidR="006610A0">
        <w:rPr>
          <w:bCs/>
        </w:rPr>
        <w:t xml:space="preserve">the </w:t>
      </w:r>
      <w:r w:rsidR="00BD0578">
        <w:rPr>
          <w:bCs/>
        </w:rPr>
        <w:t xml:space="preserve">St. Petersburg and the Arkhangelsk Region Laws on Administrative Offences were </w:t>
      </w:r>
      <w:r w:rsidR="000804E5">
        <w:rPr>
          <w:bCs/>
        </w:rPr>
        <w:t xml:space="preserve">introduced </w:t>
      </w:r>
      <w:r w:rsidR="00BD0578">
        <w:rPr>
          <w:bCs/>
        </w:rPr>
        <w:t xml:space="preserve">with the aim of </w:t>
      </w:r>
      <w:r w:rsidR="000804E5">
        <w:rPr>
          <w:bCs/>
        </w:rPr>
        <w:t xml:space="preserve">“combating the propaganda of </w:t>
      </w:r>
      <w:r w:rsidR="00FC52B5">
        <w:rPr>
          <w:bCs/>
        </w:rPr>
        <w:t>sexual act between men</w:t>
      </w:r>
      <w:r w:rsidR="000804E5">
        <w:t>, lesbianism, bisexualism and transgenderism among minors, as well as the propaganda of paedophilia</w:t>
      </w:r>
      <w:r w:rsidR="000D26C4" w:rsidRPr="000D26C4">
        <w:t>,</w:t>
      </w:r>
      <w:r w:rsidR="000804E5">
        <w:t xml:space="preserve"> due to the numerous and collective requests of community representatives who expressed their protest against such propaganda</w:t>
      </w:r>
      <w:r w:rsidR="0033637E">
        <w:t>”</w:t>
      </w:r>
      <w:r w:rsidR="000804E5">
        <w:t xml:space="preserve">. The State party refers to the Model Law on Protection of Children </w:t>
      </w:r>
      <w:r w:rsidR="009D7941">
        <w:t>against</w:t>
      </w:r>
      <w:r w:rsidR="000804E5">
        <w:t xml:space="preserve"> Information </w:t>
      </w:r>
      <w:r w:rsidR="00DE2459">
        <w:t xml:space="preserve">Detrimental to Their Health and Development that was adopted by the Interparliamentary Assembly of the Member States of the Commonwealth of Independent States on 3 December 2009. According to this Law, “propaganda” stands for “activities of natural and (or) legal persons </w:t>
      </w:r>
      <w:r w:rsidR="00F05E77">
        <w:t xml:space="preserve">disseminating information aimed at conditioning children’s behaviour and (or) creating stereotypes, or aimed at </w:t>
      </w:r>
      <w:r w:rsidR="002E1437">
        <w:t xml:space="preserve">encouraging or effectively encouraging addressees of such information to perform certain actions or to refrain from performing certain actions”. </w:t>
      </w:r>
    </w:p>
    <w:p w:rsidR="00E61317" w:rsidRDefault="002E1437" w:rsidP="00F27AF3">
      <w:pPr>
        <w:pStyle w:val="SingleTxtG"/>
        <w:rPr>
          <w:lang w:val="en-US"/>
        </w:rPr>
      </w:pPr>
      <w:r>
        <w:t>8.2</w:t>
      </w:r>
      <w:r>
        <w:tab/>
        <w:t xml:space="preserve">The State party adds that the said </w:t>
      </w:r>
      <w:r w:rsidR="006610A0">
        <w:t>l</w:t>
      </w:r>
      <w:r>
        <w:t xml:space="preserve">aw considers as “information detrimental to children’s health and development information </w:t>
      </w:r>
      <w:r w:rsidR="00F4768B">
        <w:t>–</w:t>
      </w:r>
      <w:r w:rsidR="000D26C4">
        <w:t xml:space="preserve"> </w:t>
      </w:r>
      <w:r>
        <w:t xml:space="preserve">the contents, presentation </w:t>
      </w:r>
      <w:r w:rsidR="00150F10">
        <w:t>and (</w:t>
      </w:r>
      <w:r>
        <w:t>or</w:t>
      </w:r>
      <w:r w:rsidR="00F27AF3">
        <w:t>) use</w:t>
      </w:r>
      <w:r w:rsidR="00150F10">
        <w:t xml:space="preserve"> of which </w:t>
      </w:r>
      <w:r w:rsidR="00F4768B">
        <w:t>–</w:t>
      </w:r>
      <w:r w:rsidR="000D26C4">
        <w:t xml:space="preserve"> </w:t>
      </w:r>
      <w:r w:rsidR="00F27AF3">
        <w:t>influence one’s subconscious mind and are capable of</w:t>
      </w:r>
      <w:r w:rsidR="00F27AF3">
        <w:rPr>
          <w:lang w:val="en-US"/>
        </w:rPr>
        <w:t xml:space="preserve"> </w:t>
      </w:r>
      <w:r w:rsidR="00F27AF3" w:rsidRPr="00047DCA">
        <w:rPr>
          <w:lang w:val="en-US"/>
        </w:rPr>
        <w:t>harm</w:t>
      </w:r>
      <w:r w:rsidR="00F27AF3">
        <w:rPr>
          <w:lang w:val="en-US"/>
        </w:rPr>
        <w:t>ing</w:t>
      </w:r>
      <w:r w:rsidR="00F27AF3" w:rsidRPr="00047DCA">
        <w:rPr>
          <w:lang w:val="en-US"/>
        </w:rPr>
        <w:t xml:space="preserve"> </w:t>
      </w:r>
      <w:r w:rsidR="00F27AF3">
        <w:rPr>
          <w:lang w:val="en-US"/>
        </w:rPr>
        <w:t xml:space="preserve">children’s physical or mental health and (or) provoking derangements of their spiritual, mental, physical and social development”. Such “derangements” include “development of perverted </w:t>
      </w:r>
      <w:r w:rsidR="00F55C6A">
        <w:rPr>
          <w:lang w:val="en-US"/>
        </w:rPr>
        <w:t xml:space="preserve">social preferences and attitudes, instigation to commit potentially dangerous deeds and acts, aggression, cruelty, violence or other antisocial actions (including those punishable by criminal law), inculcation of pathologic fear and horror or encouragement of children’s premature interest in sex and </w:t>
      </w:r>
      <w:r w:rsidR="00E61317">
        <w:rPr>
          <w:lang w:val="en-US"/>
        </w:rPr>
        <w:t>in early commencement of sexual life”.</w:t>
      </w:r>
    </w:p>
    <w:p w:rsidR="00D90A50" w:rsidRDefault="00E61317" w:rsidP="00C819D5">
      <w:pPr>
        <w:pStyle w:val="SingleTxtG"/>
        <w:rPr>
          <w:lang w:val="en-US"/>
        </w:rPr>
      </w:pPr>
      <w:r>
        <w:rPr>
          <w:lang w:val="en-US"/>
        </w:rPr>
        <w:t>8.3</w:t>
      </w:r>
      <w:r>
        <w:rPr>
          <w:lang w:val="en-US"/>
        </w:rPr>
        <w:tab/>
      </w:r>
      <w:r w:rsidR="00C819D5">
        <w:rPr>
          <w:lang w:val="en-US"/>
        </w:rPr>
        <w:t xml:space="preserve">The State party also refers to article 4, paragraph 1, </w:t>
      </w:r>
      <w:r w:rsidR="009D7941">
        <w:rPr>
          <w:lang w:val="en-US"/>
        </w:rPr>
        <w:t xml:space="preserve">article 5, paragraph 2, </w:t>
      </w:r>
      <w:r w:rsidR="00C819D5">
        <w:rPr>
          <w:lang w:val="en-US"/>
        </w:rPr>
        <w:t xml:space="preserve">and article 14 of the </w:t>
      </w:r>
      <w:r w:rsidR="00C819D5" w:rsidRPr="00CE1BA4">
        <w:rPr>
          <w:lang w:val="en-US"/>
        </w:rPr>
        <w:t xml:space="preserve">Federal Law on the Basic Guarantees of the Rights of the Child in the Russian Federation </w:t>
      </w:r>
      <w:r w:rsidR="00C819D5">
        <w:rPr>
          <w:lang w:val="en-US"/>
        </w:rPr>
        <w:t>and submits that one of the objectives</w:t>
      </w:r>
      <w:r w:rsidR="00D90A50">
        <w:rPr>
          <w:lang w:val="en-US"/>
        </w:rPr>
        <w:t xml:space="preserve"> of the S</w:t>
      </w:r>
      <w:r w:rsidR="00C819D5">
        <w:rPr>
          <w:lang w:val="en-US"/>
        </w:rPr>
        <w:t xml:space="preserve">tate policy carried out in the Russian Federation in the interests of the children is to </w:t>
      </w:r>
      <w:r w:rsidR="00C819D5" w:rsidRPr="00CE1BA4">
        <w:rPr>
          <w:lang w:val="en-US"/>
        </w:rPr>
        <w:t>protect</w:t>
      </w:r>
      <w:r w:rsidR="00C819D5">
        <w:rPr>
          <w:lang w:val="en-US"/>
        </w:rPr>
        <w:t xml:space="preserve"> them from the factors</w:t>
      </w:r>
      <w:r w:rsidR="00D90A50" w:rsidRPr="00D90A50">
        <w:rPr>
          <w:lang w:val="en-US"/>
        </w:rPr>
        <w:t xml:space="preserve"> </w:t>
      </w:r>
      <w:r w:rsidR="00D90A50" w:rsidRPr="00CE1BA4">
        <w:rPr>
          <w:lang w:val="en-US"/>
        </w:rPr>
        <w:t>that could negatively impact their physi</w:t>
      </w:r>
      <w:r w:rsidR="00D90A50">
        <w:rPr>
          <w:lang w:val="en-US"/>
        </w:rPr>
        <w:t>cal, intellectual, mental</w:t>
      </w:r>
      <w:r w:rsidR="00D90A50" w:rsidRPr="00CE1BA4">
        <w:rPr>
          <w:lang w:val="en-US"/>
        </w:rPr>
        <w:t>, spiritual and moral development</w:t>
      </w:r>
      <w:r w:rsidR="00D90A50">
        <w:rPr>
          <w:lang w:val="en-US"/>
        </w:rPr>
        <w:t xml:space="preserve">. </w:t>
      </w:r>
    </w:p>
    <w:p w:rsidR="00D90A50" w:rsidRDefault="009D7941" w:rsidP="00C819D5">
      <w:pPr>
        <w:pStyle w:val="SingleTxtG"/>
      </w:pPr>
      <w:r>
        <w:rPr>
          <w:lang w:val="en-US"/>
        </w:rPr>
        <w:t>8.4</w:t>
      </w:r>
      <w:r>
        <w:rPr>
          <w:lang w:val="en-US"/>
        </w:rPr>
        <w:tab/>
        <w:t xml:space="preserve">The State party further submits that in order to protect children from information detrimental to their health and (or) development, the </w:t>
      </w:r>
      <w:r w:rsidRPr="00FF41D4">
        <w:rPr>
          <w:lang w:val="en-US"/>
        </w:rPr>
        <w:t xml:space="preserve">Federal Law on Protection of Children </w:t>
      </w:r>
      <w:r w:rsidRPr="00D858D4">
        <w:t>against Information Detrimental to Their Health and Development</w:t>
      </w:r>
      <w:r>
        <w:t xml:space="preserve"> of 29 December 2010 (in force as of September 2012) </w:t>
      </w:r>
      <w:r w:rsidR="00D0074D">
        <w:t>establishe</w:t>
      </w:r>
      <w:r w:rsidR="00645171">
        <w:t xml:space="preserve">d requirements for the dissemination of information to children. The requirements include classification of information outputs, </w:t>
      </w:r>
      <w:r w:rsidR="00CC0A82">
        <w:t>their</w:t>
      </w:r>
      <w:r w:rsidR="00645171">
        <w:t xml:space="preserve"> expert assessment, </w:t>
      </w:r>
      <w:r w:rsidR="00CC0A82">
        <w:t xml:space="preserve">as well as the </w:t>
      </w:r>
      <w:r w:rsidR="00645171">
        <w:t xml:space="preserve">State oversight and control of the compliance with the law on protection of children against information detrimental to their health and (or) development.      </w:t>
      </w:r>
    </w:p>
    <w:p w:rsidR="00C365CF" w:rsidRDefault="000F381D" w:rsidP="00C819D5">
      <w:pPr>
        <w:pStyle w:val="SingleTxtG"/>
        <w:rPr>
          <w:lang w:val="en-US"/>
        </w:rPr>
      </w:pPr>
      <w:r>
        <w:t>8.5</w:t>
      </w:r>
      <w:r>
        <w:tab/>
        <w:t xml:space="preserve">The State party </w:t>
      </w:r>
      <w:r w:rsidR="00ED3534">
        <w:t>recalls that the rights guaranteed under article 19, paragraph 2, of the Covenant are subject to certain restrictions provided for in paragraph 3 of the same article. It refer</w:t>
      </w:r>
      <w:r w:rsidR="00391AD7">
        <w:t>s</w:t>
      </w:r>
      <w:r w:rsidR="00ED3534">
        <w:t xml:space="preserve"> in this context to articles 17 and 34 of the Convention </w:t>
      </w:r>
      <w:r w:rsidR="00ED3534">
        <w:rPr>
          <w:lang w:val="en-US"/>
        </w:rPr>
        <w:t>on the Rights of the Child</w:t>
      </w:r>
      <w:r w:rsidR="00391AD7">
        <w:t xml:space="preserve">, as well as to </w:t>
      </w:r>
      <w:r w:rsidR="00391AD7">
        <w:rPr>
          <w:lang w:val="en-US"/>
        </w:rPr>
        <w:t xml:space="preserve">article 4, paragraph 2, of the </w:t>
      </w:r>
      <w:r w:rsidR="00391AD7" w:rsidRPr="00CE1BA4">
        <w:rPr>
          <w:lang w:val="en-US"/>
        </w:rPr>
        <w:t>Federal Law on the Basic Guarantees of the Rights of the Child in the Russian Federation</w:t>
      </w:r>
      <w:r w:rsidR="00391AD7">
        <w:rPr>
          <w:lang w:val="en-US"/>
        </w:rPr>
        <w:t>, which sets out standards for the dissemination of printed, audio, video and other materials</w:t>
      </w:r>
      <w:r w:rsidR="00C365CF">
        <w:rPr>
          <w:lang w:val="en-US"/>
        </w:rPr>
        <w:t xml:space="preserve"> inadvisable for children below the age of 18. </w:t>
      </w:r>
    </w:p>
    <w:p w:rsidR="000F381D" w:rsidRDefault="00C365CF" w:rsidP="00C819D5">
      <w:pPr>
        <w:pStyle w:val="SingleTxtG"/>
        <w:rPr>
          <w:lang w:val="en-US"/>
        </w:rPr>
      </w:pPr>
      <w:r>
        <w:rPr>
          <w:lang w:val="en-US"/>
        </w:rPr>
        <w:t>8.6</w:t>
      </w:r>
      <w:r>
        <w:rPr>
          <w:lang w:val="en-US"/>
        </w:rPr>
        <w:tab/>
        <w:t xml:space="preserve">The State party maintains that the Constitutional Court has carefully examined the facts of </w:t>
      </w:r>
      <w:r w:rsidR="0027115C">
        <w:rPr>
          <w:lang w:val="en-US"/>
        </w:rPr>
        <w:t xml:space="preserve">the </w:t>
      </w:r>
      <w:r>
        <w:rPr>
          <w:lang w:val="en-US"/>
        </w:rPr>
        <w:t>case submitted by the author and two</w:t>
      </w:r>
      <w:r w:rsidR="0027115C">
        <w:rPr>
          <w:lang w:val="en-US"/>
        </w:rPr>
        <w:t xml:space="preserve"> others</w:t>
      </w:r>
      <w:r>
        <w:rPr>
          <w:lang w:val="en-US"/>
        </w:rPr>
        <w:t>, as well as their arguments be</w:t>
      </w:r>
      <w:r w:rsidR="00E245B6">
        <w:rPr>
          <w:lang w:val="en-US"/>
        </w:rPr>
        <w:t xml:space="preserve">fore arriving at the conclusion that pursuant to the requirements of the Federal Law on Protection of Children </w:t>
      </w:r>
      <w:r w:rsidR="00E245B6">
        <w:t xml:space="preserve">against Information Detrimental to Their Health and Development, lawmakers of the Ryazan Region adopted measures aimed at ensuring intellectual, moral and mental safety of children in the Ryazan Region by, </w:t>
      </w:r>
      <w:r w:rsidR="00E245B6" w:rsidRPr="00105950">
        <w:t>inter alia</w:t>
      </w:r>
      <w:r w:rsidR="00E245B6">
        <w:t>,</w:t>
      </w:r>
      <w:r w:rsidR="00FA5599">
        <w:t xml:space="preserve"> prohibiting</w:t>
      </w:r>
      <w:r w:rsidR="00E245B6">
        <w:t xml:space="preserve"> public actions aimed at propaganda of homosexuality. The State party also reiterates the finding of the Constitutional Court that </w:t>
      </w:r>
      <w:r w:rsidR="00267A68">
        <w:rPr>
          <w:lang w:val="en-US"/>
        </w:rPr>
        <w:t xml:space="preserve">the prohibition </w:t>
      </w:r>
      <w:r w:rsidR="000D26C4">
        <w:rPr>
          <w:lang w:val="en-US"/>
        </w:rPr>
        <w:t xml:space="preserve">of </w:t>
      </w:r>
      <w:r w:rsidR="00267A68">
        <w:rPr>
          <w:lang w:val="en-US"/>
        </w:rPr>
        <w:t>such</w:t>
      </w:r>
      <w:r w:rsidR="00E245B6" w:rsidRPr="00047DCA">
        <w:rPr>
          <w:lang w:val="en-US"/>
        </w:rPr>
        <w:t xml:space="preserve"> propaganda </w:t>
      </w:r>
      <w:r w:rsidR="00267A68" w:rsidRPr="00105950">
        <w:rPr>
          <w:lang w:val="en-US"/>
        </w:rPr>
        <w:t>per se</w:t>
      </w:r>
      <w:r w:rsidR="00267A68">
        <w:rPr>
          <w:lang w:val="en-US"/>
        </w:rPr>
        <w:t xml:space="preserve"> </w:t>
      </w:r>
      <w:r w:rsidR="00E245B6" w:rsidRPr="00047DCA">
        <w:rPr>
          <w:lang w:val="en-US"/>
        </w:rPr>
        <w:t xml:space="preserve">as </w:t>
      </w:r>
      <w:r w:rsidR="00105950">
        <w:rPr>
          <w:lang w:val="en-US"/>
        </w:rPr>
        <w:t>“</w:t>
      </w:r>
      <w:r w:rsidR="00E245B6" w:rsidRPr="00047DCA">
        <w:rPr>
          <w:lang w:val="en-US"/>
        </w:rPr>
        <w:t>intentional and un</w:t>
      </w:r>
      <w:r w:rsidR="00E245B6">
        <w:rPr>
          <w:lang w:val="en-US"/>
        </w:rPr>
        <w:t xml:space="preserve">controlled </w:t>
      </w:r>
      <w:r w:rsidR="00E245B6" w:rsidRPr="00047DCA">
        <w:rPr>
          <w:lang w:val="en-US"/>
        </w:rPr>
        <w:t xml:space="preserve">dissemination of information </w:t>
      </w:r>
      <w:r w:rsidR="00E245B6">
        <w:rPr>
          <w:lang w:val="en-US"/>
        </w:rPr>
        <w:t xml:space="preserve">capable of </w:t>
      </w:r>
      <w:r w:rsidR="00E245B6" w:rsidRPr="00047DCA">
        <w:rPr>
          <w:lang w:val="en-US"/>
        </w:rPr>
        <w:t>harm</w:t>
      </w:r>
      <w:r w:rsidR="00E245B6">
        <w:rPr>
          <w:lang w:val="en-US"/>
        </w:rPr>
        <w:t>ing</w:t>
      </w:r>
      <w:r w:rsidR="00E245B6" w:rsidRPr="00047DCA">
        <w:rPr>
          <w:lang w:val="en-US"/>
        </w:rPr>
        <w:t xml:space="preserve"> health, moral</w:t>
      </w:r>
      <w:r w:rsidR="00E245B6">
        <w:rPr>
          <w:lang w:val="en-US"/>
        </w:rPr>
        <w:t>s</w:t>
      </w:r>
      <w:r w:rsidR="00E245B6" w:rsidRPr="00047DCA">
        <w:rPr>
          <w:lang w:val="en-US"/>
        </w:rPr>
        <w:t xml:space="preserve"> and spiritual development, as well as form</w:t>
      </w:r>
      <w:r w:rsidR="00E245B6">
        <w:rPr>
          <w:lang w:val="en-US"/>
        </w:rPr>
        <w:t>ing</w:t>
      </w:r>
      <w:r w:rsidR="00E245B6" w:rsidRPr="00047DCA">
        <w:rPr>
          <w:lang w:val="en-US"/>
        </w:rPr>
        <w:t xml:space="preserve"> perverted conceptions about equal social value of traditional and non-traditional family relations </w:t>
      </w:r>
      <w:r w:rsidR="00105950">
        <w:rPr>
          <w:lang w:val="en-US"/>
        </w:rPr>
        <w:t>–</w:t>
      </w:r>
      <w:r w:rsidR="00E245B6" w:rsidRPr="00047DCA">
        <w:rPr>
          <w:lang w:val="en-US"/>
        </w:rPr>
        <w:t xml:space="preserve"> among individuals who, due to their age, </w:t>
      </w:r>
      <w:r w:rsidR="00E245B6">
        <w:rPr>
          <w:lang w:val="en-US"/>
        </w:rPr>
        <w:t xml:space="preserve">lack the capacity </w:t>
      </w:r>
      <w:r w:rsidR="00E245B6" w:rsidRPr="00047DCA">
        <w:rPr>
          <w:lang w:val="en-US"/>
        </w:rPr>
        <w:t>to critically and independently assess such in</w:t>
      </w:r>
      <w:r w:rsidR="00E245B6">
        <w:rPr>
          <w:lang w:val="en-US"/>
        </w:rPr>
        <w:t>formation</w:t>
      </w:r>
      <w:r w:rsidR="00105950">
        <w:rPr>
          <w:lang w:val="en-US"/>
        </w:rPr>
        <w:t>”</w:t>
      </w:r>
      <w:r w:rsidR="00E245B6">
        <w:rPr>
          <w:lang w:val="en-US"/>
        </w:rPr>
        <w:t xml:space="preserve"> could not be considered</w:t>
      </w:r>
      <w:r w:rsidR="00E245B6" w:rsidRPr="00047DCA">
        <w:rPr>
          <w:lang w:val="en-US"/>
        </w:rPr>
        <w:t xml:space="preserve"> as </w:t>
      </w:r>
      <w:r w:rsidR="00E245B6">
        <w:rPr>
          <w:lang w:val="en-US"/>
        </w:rPr>
        <w:t xml:space="preserve">a </w:t>
      </w:r>
      <w:r w:rsidR="00E245B6" w:rsidRPr="00047DCA">
        <w:rPr>
          <w:lang w:val="en-US"/>
        </w:rPr>
        <w:t>violati</w:t>
      </w:r>
      <w:r w:rsidR="00E245B6">
        <w:rPr>
          <w:lang w:val="en-US"/>
        </w:rPr>
        <w:t>on</w:t>
      </w:r>
      <w:r w:rsidR="00E245B6" w:rsidRPr="00047DCA">
        <w:rPr>
          <w:lang w:val="en-US"/>
        </w:rPr>
        <w:t xml:space="preserve"> </w:t>
      </w:r>
      <w:r w:rsidR="00E245B6">
        <w:rPr>
          <w:lang w:val="en-US"/>
        </w:rPr>
        <w:t xml:space="preserve">of </w:t>
      </w:r>
      <w:r w:rsidR="00E245B6" w:rsidRPr="00047DCA">
        <w:rPr>
          <w:lang w:val="en-US"/>
        </w:rPr>
        <w:t>constitutional rights.</w:t>
      </w:r>
    </w:p>
    <w:p w:rsidR="00C67753" w:rsidRPr="00BD0578" w:rsidRDefault="00267A68" w:rsidP="009F6B25">
      <w:pPr>
        <w:pStyle w:val="SingleTxtG"/>
        <w:rPr>
          <w:lang w:val="en-US"/>
        </w:rPr>
      </w:pPr>
      <w:r>
        <w:rPr>
          <w:lang w:val="en-US"/>
        </w:rPr>
        <w:t>8.7</w:t>
      </w:r>
      <w:r>
        <w:rPr>
          <w:lang w:val="en-US"/>
        </w:rPr>
        <w:tab/>
        <w:t>The State party argues that, in her comments, the author does not put forward any new arguments in relation to the substance of the present communication but rath</w:t>
      </w:r>
      <w:r w:rsidR="00FA5599">
        <w:rPr>
          <w:lang w:val="en-US"/>
        </w:rPr>
        <w:t xml:space="preserve">er interprets </w:t>
      </w:r>
      <w:r>
        <w:rPr>
          <w:lang w:val="en-US"/>
        </w:rPr>
        <w:t xml:space="preserve">provisions of international law. </w:t>
      </w:r>
      <w:r w:rsidR="002608E0">
        <w:rPr>
          <w:lang w:val="en-US"/>
        </w:rPr>
        <w:t>It adds that the State party’s submission</w:t>
      </w:r>
      <w:r w:rsidR="00FA5599">
        <w:rPr>
          <w:lang w:val="en-US"/>
        </w:rPr>
        <w:t>s</w:t>
      </w:r>
      <w:r w:rsidR="002608E0">
        <w:rPr>
          <w:lang w:val="en-US"/>
        </w:rPr>
        <w:t xml:space="preserve"> of 20 May 2010 and 9 December 2010 </w:t>
      </w:r>
      <w:r w:rsidR="00FA5599">
        <w:rPr>
          <w:lang w:val="en-US"/>
        </w:rPr>
        <w:t>cover</w:t>
      </w:r>
      <w:r w:rsidR="002608E0" w:rsidRPr="008D7960">
        <w:rPr>
          <w:lang w:val="en-US"/>
        </w:rPr>
        <w:t xml:space="preserve"> both the admissibility and the merits</w:t>
      </w:r>
      <w:r w:rsidR="00FA5599">
        <w:rPr>
          <w:lang w:val="en-US"/>
        </w:rPr>
        <w:t>. As to the author’s comments in relation to the adoption of the laws prohibiting</w:t>
      </w:r>
      <w:r w:rsidR="00BC4BAD">
        <w:rPr>
          <w:lang w:val="en-US"/>
        </w:rPr>
        <w:t xml:space="preserve"> </w:t>
      </w:r>
      <w:r w:rsidR="00BC4BAD">
        <w:rPr>
          <w:bCs/>
        </w:rPr>
        <w:t xml:space="preserve">propaganda of </w:t>
      </w:r>
      <w:r w:rsidR="0018062A">
        <w:rPr>
          <w:bCs/>
        </w:rPr>
        <w:t>sexual act between men</w:t>
      </w:r>
      <w:r w:rsidR="00BC4BAD">
        <w:t xml:space="preserve">, lesbianism, bisexualism and transgenderism among minors at the regional level, the State party submits that such laws are in full compliance with the international obligations of the Russian Federation and are aimed at protecting moral, spiritual, physical and mental development of children. </w:t>
      </w:r>
    </w:p>
    <w:p w:rsidR="00AD5FA5" w:rsidRPr="00415757" w:rsidRDefault="00402044" w:rsidP="00076AB4">
      <w:pPr>
        <w:pStyle w:val="H23G"/>
      </w:pPr>
      <w:r>
        <w:tab/>
      </w:r>
      <w:r>
        <w:tab/>
      </w:r>
      <w:r w:rsidR="00AD5FA5" w:rsidRPr="00415757">
        <w:t>Issues and proceedings before the Committee</w:t>
      </w:r>
    </w:p>
    <w:p w:rsidR="00AD5FA5" w:rsidRPr="00415757" w:rsidRDefault="00402044" w:rsidP="00076AB4">
      <w:pPr>
        <w:pStyle w:val="H4G"/>
      </w:pPr>
      <w:r>
        <w:tab/>
      </w:r>
      <w:r>
        <w:tab/>
      </w:r>
      <w:r w:rsidR="00AD5FA5" w:rsidRPr="00415757">
        <w:t>Consideration of admissibility</w:t>
      </w:r>
    </w:p>
    <w:p w:rsidR="00AD5FA5" w:rsidRPr="00AF6C3B" w:rsidRDefault="00C67753" w:rsidP="00AD5FA5">
      <w:pPr>
        <w:pStyle w:val="SingleTxtG"/>
        <w:rPr>
          <w:bCs/>
        </w:rPr>
      </w:pPr>
      <w:r>
        <w:rPr>
          <w:bCs/>
        </w:rPr>
        <w:t>9</w:t>
      </w:r>
      <w:r w:rsidR="00AD5FA5" w:rsidRPr="00AF6C3B">
        <w:rPr>
          <w:bCs/>
        </w:rPr>
        <w:t>.1</w:t>
      </w:r>
      <w:r w:rsidR="00AD5FA5" w:rsidRPr="00AF6C3B">
        <w:rPr>
          <w:bCs/>
        </w:rPr>
        <w:tab/>
        <w:t xml:space="preserve">Before considering any claim contained in a communication, the Human Rights Committee must, in accordance with rule 93 of its </w:t>
      </w:r>
      <w:r w:rsidR="00AD5FA5">
        <w:rPr>
          <w:bCs/>
        </w:rPr>
        <w:t>r</w:t>
      </w:r>
      <w:r w:rsidR="00AD5FA5" w:rsidRPr="00AF6C3B">
        <w:rPr>
          <w:bCs/>
        </w:rPr>
        <w:t>ules of procedure, decide whether or not the case is admissible under the Optional Protocol to the Covenant.</w:t>
      </w:r>
    </w:p>
    <w:p w:rsidR="00AD5FA5" w:rsidRDefault="00C67753" w:rsidP="00AD5FA5">
      <w:pPr>
        <w:pStyle w:val="SingleTxtG"/>
      </w:pPr>
      <w:r>
        <w:t>9</w:t>
      </w:r>
      <w:r w:rsidR="00AD5FA5" w:rsidRPr="00AF6C3B">
        <w:t>.2</w:t>
      </w:r>
      <w:r w:rsidR="00AD5FA5" w:rsidRPr="00AF6C3B">
        <w:tab/>
        <w:t>The Committee has ascertained, as required under article 5, paragraph 2</w:t>
      </w:r>
      <w:r w:rsidR="0011431A">
        <w:t xml:space="preserve"> </w:t>
      </w:r>
      <w:r w:rsidR="00AD5FA5" w:rsidRPr="00AF6C3B">
        <w:t xml:space="preserve">(a), of the Optional Protocol, that the same matter is not being examined under another procedure of international investigation or settlement. </w:t>
      </w:r>
    </w:p>
    <w:p w:rsidR="000B341A" w:rsidRDefault="00C67753" w:rsidP="0098001A">
      <w:pPr>
        <w:pStyle w:val="SingleTxtG"/>
        <w:rPr>
          <w:lang w:val="en-US"/>
        </w:rPr>
      </w:pPr>
      <w:r>
        <w:rPr>
          <w:lang w:val="en-US"/>
        </w:rPr>
        <w:t>9</w:t>
      </w:r>
      <w:r w:rsidR="0098001A">
        <w:rPr>
          <w:lang w:val="en-US"/>
        </w:rPr>
        <w:t>.3</w:t>
      </w:r>
      <w:r w:rsidR="0098001A">
        <w:rPr>
          <w:lang w:val="en-US"/>
        </w:rPr>
        <w:tab/>
      </w:r>
      <w:r w:rsidR="0098001A" w:rsidRPr="00D7468C">
        <w:rPr>
          <w:lang w:val="en-US"/>
        </w:rPr>
        <w:t>With regard to the requirement laid</w:t>
      </w:r>
      <w:r w:rsidR="00EA3F8A">
        <w:rPr>
          <w:lang w:val="en-US"/>
        </w:rPr>
        <w:t xml:space="preserve"> down in article 5, paragraph 2</w:t>
      </w:r>
      <w:r w:rsidR="0011431A">
        <w:rPr>
          <w:lang w:val="en-US"/>
        </w:rPr>
        <w:t xml:space="preserve"> </w:t>
      </w:r>
      <w:r w:rsidR="0098001A" w:rsidRPr="00D7468C">
        <w:rPr>
          <w:lang w:val="en-US"/>
        </w:rPr>
        <w:t>(b), of the Optional Protocol, the Committee takes note of the State party’s argument that the author</w:t>
      </w:r>
      <w:r w:rsidR="0098001A">
        <w:rPr>
          <w:lang w:val="en-US"/>
        </w:rPr>
        <w:t xml:space="preserve"> could have used the ordinary appeal procedures envisaged by article 30.9 of the Code on Administrative Offences. </w:t>
      </w:r>
      <w:r w:rsidR="00D466DB">
        <w:rPr>
          <w:lang w:val="en-US"/>
        </w:rPr>
        <w:t>In this respect, the Committee recalls that the State party must describe in detail which</w:t>
      </w:r>
      <w:r w:rsidR="00D466DB" w:rsidRPr="00D466DB">
        <w:rPr>
          <w:lang w:val="en-US"/>
        </w:rPr>
        <w:t xml:space="preserve"> </w:t>
      </w:r>
      <w:r w:rsidR="00D466DB">
        <w:rPr>
          <w:lang w:val="en-US"/>
        </w:rPr>
        <w:t xml:space="preserve">legal </w:t>
      </w:r>
      <w:r w:rsidR="00D466DB" w:rsidRPr="00D466DB">
        <w:rPr>
          <w:lang w:val="en-US"/>
        </w:rPr>
        <w:t xml:space="preserve">remedies </w:t>
      </w:r>
      <w:r w:rsidR="00D466DB">
        <w:rPr>
          <w:lang w:val="en-US"/>
        </w:rPr>
        <w:t xml:space="preserve">would have been available </w:t>
      </w:r>
      <w:r w:rsidR="00D466DB" w:rsidRPr="00D466DB">
        <w:rPr>
          <w:lang w:val="en-US"/>
        </w:rPr>
        <w:t>to the au</w:t>
      </w:r>
      <w:r w:rsidR="00D466DB">
        <w:rPr>
          <w:lang w:val="en-US"/>
        </w:rPr>
        <w:t>thor in the circumstances of her</w:t>
      </w:r>
      <w:r w:rsidR="00D466DB" w:rsidRPr="00D466DB">
        <w:rPr>
          <w:lang w:val="en-US"/>
        </w:rPr>
        <w:t xml:space="preserve"> case, together with evidence that there would be a reasonable prospect that such remedies would be effective.</w:t>
      </w:r>
      <w:r w:rsidR="00D466DB">
        <w:rPr>
          <w:rStyle w:val="FootnoteReference"/>
          <w:lang w:val="en-US"/>
        </w:rPr>
        <w:footnoteReference w:id="29"/>
      </w:r>
      <w:r w:rsidR="00E233B1">
        <w:rPr>
          <w:lang w:val="en-US"/>
        </w:rPr>
        <w:t xml:space="preserve"> Given the fact that article 30.9 of the Code on Administrative Offences does not seem to be applicable to the present communication</w:t>
      </w:r>
      <w:r w:rsidR="00D924C8">
        <w:rPr>
          <w:lang w:val="en-US"/>
        </w:rPr>
        <w:t xml:space="preserve"> as argued by the author</w:t>
      </w:r>
      <w:r w:rsidR="00E233B1">
        <w:rPr>
          <w:lang w:val="en-US"/>
        </w:rPr>
        <w:t>, because it covers appeals against decisions on administrative offences issued by non-judicial authorities, the Committee accepts the author’s argument</w:t>
      </w:r>
      <w:r w:rsidR="00E96F75">
        <w:rPr>
          <w:lang w:val="en-US"/>
        </w:rPr>
        <w:t>, which has not been challenged b</w:t>
      </w:r>
      <w:r w:rsidR="00E96F75" w:rsidRPr="00270B11">
        <w:t>y the State party,</w:t>
      </w:r>
      <w:r w:rsidR="00E233B1">
        <w:rPr>
          <w:lang w:val="en-US"/>
        </w:rPr>
        <w:t xml:space="preserve"> that she has used all ordinary appeals procedures available to her under the State party’s law. </w:t>
      </w:r>
    </w:p>
    <w:p w:rsidR="00D21B33" w:rsidRDefault="00C67753" w:rsidP="0098001A">
      <w:pPr>
        <w:pStyle w:val="SingleTxtG"/>
        <w:rPr>
          <w:lang w:val="en-US"/>
        </w:rPr>
      </w:pPr>
      <w:r>
        <w:rPr>
          <w:lang w:val="en-US"/>
        </w:rPr>
        <w:t>9</w:t>
      </w:r>
      <w:r w:rsidR="000B341A">
        <w:rPr>
          <w:lang w:val="en-US"/>
        </w:rPr>
        <w:t>.</w:t>
      </w:r>
      <w:r w:rsidR="00DB39B4">
        <w:rPr>
          <w:lang w:val="en-US"/>
        </w:rPr>
        <w:t>4</w:t>
      </w:r>
      <w:r w:rsidR="00DB39B4">
        <w:rPr>
          <w:lang w:val="en-US"/>
        </w:rPr>
        <w:tab/>
        <w:t xml:space="preserve">The Committee also notes the State party’s claim that the author could have lodged an </w:t>
      </w:r>
      <w:r w:rsidR="00AD6B08" w:rsidRPr="008D1EA4">
        <w:t xml:space="preserve">appeal </w:t>
      </w:r>
      <w:r w:rsidR="00AD6B08">
        <w:t xml:space="preserve">against the decision of the Oktyabrsky District Court, which already became executory, under the supervisory review procedure envisaged by article 30.12, part 1, of the Code on Administrative Offences. </w:t>
      </w:r>
      <w:r w:rsidR="00AD6B08" w:rsidRPr="00D7468C">
        <w:rPr>
          <w:lang w:val="en-US"/>
        </w:rPr>
        <w:t xml:space="preserve">The Committee further </w:t>
      </w:r>
      <w:r w:rsidR="00AD6B08">
        <w:rPr>
          <w:lang w:val="en-US"/>
        </w:rPr>
        <w:t>notes the author’</w:t>
      </w:r>
      <w:r w:rsidR="00AD6B08" w:rsidRPr="00D7468C">
        <w:rPr>
          <w:lang w:val="en-US"/>
        </w:rPr>
        <w:t>s</w:t>
      </w:r>
      <w:r w:rsidR="00AD6B08">
        <w:rPr>
          <w:lang w:val="en-US"/>
        </w:rPr>
        <w:t xml:space="preserve"> argument </w:t>
      </w:r>
      <w:r w:rsidR="00AD6B08" w:rsidRPr="00747B73">
        <w:rPr>
          <w:lang w:val="en-US"/>
        </w:rPr>
        <w:t xml:space="preserve">that such procedure </w:t>
      </w:r>
      <w:r w:rsidR="00AD6B08">
        <w:rPr>
          <w:lang w:val="en-US"/>
        </w:rPr>
        <w:t>is</w:t>
      </w:r>
      <w:r w:rsidR="00AD6B08" w:rsidRPr="00747B73">
        <w:rPr>
          <w:lang w:val="en-US"/>
        </w:rPr>
        <w:t xml:space="preserve"> not an effective remedy within the meaning</w:t>
      </w:r>
      <w:r w:rsidR="00AD6B08">
        <w:rPr>
          <w:lang w:val="en-US"/>
        </w:rPr>
        <w:t xml:space="preserve"> of the </w:t>
      </w:r>
      <w:r w:rsidR="00140CAA">
        <w:rPr>
          <w:lang w:val="en-US"/>
        </w:rPr>
        <w:t>Optional Protocol</w:t>
      </w:r>
      <w:r w:rsidR="00AD6B08">
        <w:rPr>
          <w:lang w:val="en-US"/>
        </w:rPr>
        <w:t>, because it does</w:t>
      </w:r>
      <w:r w:rsidR="00AD6B08" w:rsidRPr="00747B73">
        <w:rPr>
          <w:lang w:val="en-US"/>
        </w:rPr>
        <w:t xml:space="preserve"> not guarantee an automatic right to have the merits of the supervisory appeal considered by a panel of judges</w:t>
      </w:r>
      <w:r w:rsidR="00AD6B08">
        <w:rPr>
          <w:lang w:val="en-US"/>
        </w:rPr>
        <w:t xml:space="preserve">. </w:t>
      </w:r>
      <w:r w:rsidR="005575F1">
        <w:rPr>
          <w:lang w:val="en-US"/>
        </w:rPr>
        <w:t xml:space="preserve">Moreover, she </w:t>
      </w:r>
      <w:r w:rsidR="005A6E1C">
        <w:rPr>
          <w:lang w:val="en-US"/>
        </w:rPr>
        <w:t>has already</w:t>
      </w:r>
      <w:r w:rsidR="005575F1" w:rsidRPr="005575F1">
        <w:rPr>
          <w:lang w:val="en-US"/>
        </w:rPr>
        <w:t xml:space="preserve"> unsuccessfully challenged the constitutionality of the Ryazan Region Law on the basis of which </w:t>
      </w:r>
      <w:r w:rsidR="00270B11">
        <w:rPr>
          <w:lang w:val="en-US"/>
        </w:rPr>
        <w:t xml:space="preserve">she </w:t>
      </w:r>
      <w:r w:rsidR="005575F1" w:rsidRPr="005575F1">
        <w:t xml:space="preserve">was convicted of an administrative offence </w:t>
      </w:r>
      <w:r w:rsidR="005575F1" w:rsidRPr="005575F1">
        <w:rPr>
          <w:lang w:val="en-US"/>
        </w:rPr>
        <w:t xml:space="preserve">before the </w:t>
      </w:r>
      <w:smartTag w:uri="urn:schemas-microsoft-com:office:smarttags" w:element="Street">
        <w:smartTag w:uri="urn:schemas-microsoft-com:office:smarttags" w:element="address">
          <w:r w:rsidR="005575F1" w:rsidRPr="005575F1">
            <w:rPr>
              <w:lang w:val="en-US"/>
            </w:rPr>
            <w:t>Constitutional Court</w:t>
          </w:r>
        </w:smartTag>
      </w:smartTag>
      <w:r w:rsidR="005575F1" w:rsidRPr="005575F1">
        <w:rPr>
          <w:lang w:val="en-US"/>
        </w:rPr>
        <w:t xml:space="preserve">. </w:t>
      </w:r>
    </w:p>
    <w:p w:rsidR="00AD6B08" w:rsidRPr="00D924C8" w:rsidRDefault="00C67753" w:rsidP="00D924C8">
      <w:pPr>
        <w:pStyle w:val="SingleTxtG"/>
        <w:rPr>
          <w:lang w:val="en-US"/>
        </w:rPr>
      </w:pPr>
      <w:r>
        <w:rPr>
          <w:lang w:val="en-US"/>
        </w:rPr>
        <w:t>9</w:t>
      </w:r>
      <w:r w:rsidR="00D21B33">
        <w:rPr>
          <w:lang w:val="en-US"/>
        </w:rPr>
        <w:t>.5</w:t>
      </w:r>
      <w:r w:rsidR="00D21B33">
        <w:rPr>
          <w:lang w:val="en-US"/>
        </w:rPr>
        <w:tab/>
      </w:r>
      <w:r w:rsidR="00C6024E" w:rsidRPr="00D7468C">
        <w:rPr>
          <w:lang w:val="en-US"/>
        </w:rPr>
        <w:t xml:space="preserve">In this regard, the Committee </w:t>
      </w:r>
      <w:r w:rsidR="00E664DF">
        <w:rPr>
          <w:lang w:val="en-US"/>
        </w:rPr>
        <w:t xml:space="preserve">recalls that </w:t>
      </w:r>
      <w:r w:rsidR="00E664DF" w:rsidRPr="00E664DF">
        <w:t>domestic remedies need not be exhausted if they objectively have no prospect of success: where under applicable domestic laws the claim would inevitably be dismissed, or where established jurisprudence of the highest domestic tribunals would preclude a positive result.</w:t>
      </w:r>
      <w:r w:rsidR="00E664DF">
        <w:rPr>
          <w:rStyle w:val="FootnoteReference"/>
        </w:rPr>
        <w:footnoteReference w:id="30"/>
      </w:r>
      <w:r w:rsidR="00E664DF">
        <w:rPr>
          <w:lang w:val="en-US"/>
        </w:rPr>
        <w:t xml:space="preserve"> It </w:t>
      </w:r>
      <w:r w:rsidR="00C6024E">
        <w:t>not</w:t>
      </w:r>
      <w:r w:rsidR="00E664DF">
        <w:t>es</w:t>
      </w:r>
      <w:r w:rsidR="00C6024E">
        <w:t xml:space="preserve"> that the Constitutional Court </w:t>
      </w:r>
      <w:r w:rsidR="005A6E1C">
        <w:t>has dismissed the author’s appeal holding that the prohibition of propaganda of homosexuality could not be considered as a violation of her constitutional rights</w:t>
      </w:r>
      <w:r w:rsidR="00E664DF">
        <w:t xml:space="preserve"> and that t</w:t>
      </w:r>
      <w:r w:rsidR="00E34677">
        <w:t>he State party does not claim that the courts that could have considered the author’s case under the supervisory review procedure would (or even could) have arrived at a</w:t>
      </w:r>
      <w:r w:rsidR="00D924C8">
        <w:t>n</w:t>
      </w:r>
      <w:r w:rsidR="00E34677">
        <w:t xml:space="preserve"> outcome </w:t>
      </w:r>
      <w:r w:rsidR="00D924C8">
        <w:t xml:space="preserve">different </w:t>
      </w:r>
      <w:r w:rsidR="00E34677">
        <w:t xml:space="preserve">to that of the Constitutional Court. </w:t>
      </w:r>
      <w:r w:rsidR="00E664DF">
        <w:t>T</w:t>
      </w:r>
      <w:r w:rsidR="00E664DF" w:rsidRPr="00D7468C">
        <w:t>he Committee considers</w:t>
      </w:r>
      <w:r w:rsidR="00E664DF">
        <w:t>, therefore,</w:t>
      </w:r>
      <w:r w:rsidR="00E664DF" w:rsidRPr="00D7468C">
        <w:t xml:space="preserve"> that </w:t>
      </w:r>
      <w:r w:rsidR="00E664DF">
        <w:t xml:space="preserve">it would not be reasonable to require the author to have recourse to the supervisory review procedure, because </w:t>
      </w:r>
      <w:r w:rsidR="00D871C3">
        <w:t>s</w:t>
      </w:r>
      <w:r w:rsidR="00D1101D">
        <w:t xml:space="preserve">uch </w:t>
      </w:r>
      <w:r w:rsidR="00D1101D" w:rsidRPr="00D1101D">
        <w:t>remedy could no longer be seen as an effective remedy within the me</w:t>
      </w:r>
      <w:r w:rsidR="00D1101D">
        <w:t>aning of article 5, paragraph 2</w:t>
      </w:r>
      <w:r w:rsidR="003478ED">
        <w:t xml:space="preserve"> </w:t>
      </w:r>
      <w:r w:rsidR="00D1101D" w:rsidRPr="00D1101D">
        <w:t>(b), of the Optional Protocol, i.e. a remedy that would provide the author with a reasonable prospect of judicial redress.</w:t>
      </w:r>
      <w:r w:rsidR="00EA3F8A">
        <w:rPr>
          <w:rStyle w:val="FootnoteReference"/>
        </w:rPr>
        <w:footnoteReference w:id="31"/>
      </w:r>
      <w:r w:rsidR="00D1101D">
        <w:t xml:space="preserve"> The Committee, therefore, </w:t>
      </w:r>
      <w:r w:rsidR="00C6024E" w:rsidRPr="00D7468C">
        <w:t>is not precluded, for purposes of admissibi</w:t>
      </w:r>
      <w:r w:rsidR="00D1101D">
        <w:t>lity, by article 5, paragraph 2</w:t>
      </w:r>
      <w:r w:rsidR="003478ED">
        <w:t xml:space="preserve"> </w:t>
      </w:r>
      <w:r w:rsidR="00C6024E" w:rsidRPr="00D7468C">
        <w:t>(b)</w:t>
      </w:r>
      <w:r w:rsidR="003478ED">
        <w:t>,</w:t>
      </w:r>
      <w:r w:rsidR="00C6024E" w:rsidRPr="00D7468C">
        <w:t xml:space="preserve"> of the Optional Protocol, from examining the communication.</w:t>
      </w:r>
    </w:p>
    <w:p w:rsidR="00270B11" w:rsidRDefault="00C67753" w:rsidP="00AD5FA5">
      <w:pPr>
        <w:pStyle w:val="SingleTxtG"/>
      </w:pPr>
      <w:r>
        <w:t>9</w:t>
      </w:r>
      <w:r w:rsidR="00D21B33" w:rsidRPr="00D21B33">
        <w:t>.6</w:t>
      </w:r>
      <w:r w:rsidR="00D21B33" w:rsidRPr="00D21B33">
        <w:tab/>
      </w:r>
      <w:r w:rsidR="00996906" w:rsidRPr="00D21B33">
        <w:t xml:space="preserve">The State party </w:t>
      </w:r>
      <w:r w:rsidR="007C3E2C" w:rsidRPr="00D21B33">
        <w:t xml:space="preserve">further </w:t>
      </w:r>
      <w:r w:rsidR="00E92994" w:rsidRPr="00D21B33">
        <w:t>argue</w:t>
      </w:r>
      <w:r w:rsidR="00996906" w:rsidRPr="00D21B33">
        <w:t xml:space="preserve">s that the </w:t>
      </w:r>
      <w:r w:rsidR="00E92994" w:rsidRPr="00D21B33">
        <w:t xml:space="preserve">present </w:t>
      </w:r>
      <w:r w:rsidR="00996906" w:rsidRPr="00D21B33">
        <w:t xml:space="preserve">communication is </w:t>
      </w:r>
      <w:r w:rsidR="00E92994" w:rsidRPr="00D21B33">
        <w:t>inadmissible under article 3 of the Optional Protocol and constitutes an abuse of the right of submission, because the author was not subjected to discrimination on any ground, in particular, on the ground of her sexual orientation</w:t>
      </w:r>
      <w:r w:rsidR="006618AB" w:rsidRPr="00D21B33">
        <w:t xml:space="preserve">, and the State party’s public authorities did not interfere with her private life. </w:t>
      </w:r>
      <w:r w:rsidR="00996906" w:rsidRPr="00D21B33">
        <w:t xml:space="preserve">The Committee considers, however, that the arguments put forward by the </w:t>
      </w:r>
      <w:r w:rsidR="006618AB" w:rsidRPr="00D21B33">
        <w:t>author – that she was convicted of an administrative offence on the basis</w:t>
      </w:r>
      <w:r w:rsidR="007D4E06" w:rsidRPr="00D21B33">
        <w:t xml:space="preserve"> of section 3.10 of the Ryazan R</w:t>
      </w:r>
      <w:r w:rsidR="006618AB" w:rsidRPr="00D21B33">
        <w:t xml:space="preserve">egion Law </w:t>
      </w:r>
      <w:r w:rsidR="007C3E2C" w:rsidRPr="00D21B33">
        <w:t xml:space="preserve">which </w:t>
      </w:r>
      <w:r w:rsidR="00D924C8">
        <w:t xml:space="preserve">allegedly </w:t>
      </w:r>
      <w:r w:rsidR="007C3E2C" w:rsidRPr="00D21B33">
        <w:t xml:space="preserve">discriminates against homosexual individuals </w:t>
      </w:r>
      <w:r w:rsidR="007D4E06" w:rsidRPr="00D21B33">
        <w:t xml:space="preserve">– </w:t>
      </w:r>
      <w:r w:rsidR="00996906" w:rsidRPr="00D21B33">
        <w:t>raise substantive issues</w:t>
      </w:r>
      <w:r w:rsidR="007C3E2C" w:rsidRPr="00D21B33">
        <w:t xml:space="preserve"> and </w:t>
      </w:r>
      <w:r w:rsidR="00996906" w:rsidRPr="00D21B33">
        <w:t xml:space="preserve">should be dealt with </w:t>
      </w:r>
      <w:r w:rsidR="0098001A" w:rsidRPr="00D21B33">
        <w:t>at the merits stage of the proceedings.</w:t>
      </w:r>
      <w:r w:rsidR="00996906" w:rsidRPr="00D21B33">
        <w:t xml:space="preserve"> </w:t>
      </w:r>
    </w:p>
    <w:p w:rsidR="00996906" w:rsidRPr="00D21B33" w:rsidRDefault="00270B11" w:rsidP="00AD5FA5">
      <w:pPr>
        <w:pStyle w:val="SingleTxtG"/>
      </w:pPr>
      <w:r>
        <w:t>9.7</w:t>
      </w:r>
      <w:r>
        <w:tab/>
      </w:r>
      <w:r w:rsidR="00996906" w:rsidRPr="00D21B33">
        <w:t xml:space="preserve">Accordingly, the Committee finds no further obstacles to the admissibility and declares </w:t>
      </w:r>
      <w:r w:rsidR="007C3E2C" w:rsidRPr="00D21B33">
        <w:t xml:space="preserve">the author’s claims under articles 19 and 26 of the Covenant </w:t>
      </w:r>
      <w:r w:rsidR="0098001A" w:rsidRPr="00D21B33">
        <w:t>sufficiently substantiated, for purposes of admissibility</w:t>
      </w:r>
      <w:r w:rsidR="00996906" w:rsidRPr="00D21B33">
        <w:t xml:space="preserve">. </w:t>
      </w:r>
    </w:p>
    <w:p w:rsidR="009E31DB" w:rsidRPr="002639CB" w:rsidRDefault="009E31DB" w:rsidP="00402044">
      <w:pPr>
        <w:pStyle w:val="H4G"/>
      </w:pPr>
      <w:r w:rsidRPr="009E31DB">
        <w:tab/>
      </w:r>
      <w:r w:rsidRPr="009E31DB">
        <w:tab/>
      </w:r>
      <w:r w:rsidRPr="002639CB">
        <w:t>Consideration of the merits</w:t>
      </w:r>
    </w:p>
    <w:p w:rsidR="009E31DB" w:rsidRDefault="00C67753" w:rsidP="008649F9">
      <w:pPr>
        <w:pStyle w:val="SingleTxtG"/>
      </w:pPr>
      <w:r>
        <w:t>10</w:t>
      </w:r>
      <w:r w:rsidR="009E31DB" w:rsidRPr="009E31DB">
        <w:t>.1</w:t>
      </w:r>
      <w:r w:rsidR="009E31DB" w:rsidRPr="009E31DB">
        <w:tab/>
        <w:t>The Human Rights Committee has considered the communication in</w:t>
      </w:r>
      <w:r w:rsidR="001264D1">
        <w:t xml:space="preserve"> the</w:t>
      </w:r>
      <w:r w:rsidR="009E31DB" w:rsidRPr="009E31DB">
        <w:t xml:space="preserve"> light of all the information made available to it by the parties, as provided under article 5, paragraph 1, of the Optional Protocol.</w:t>
      </w:r>
    </w:p>
    <w:p w:rsidR="001021E2" w:rsidRDefault="00C67753" w:rsidP="00BB394B">
      <w:pPr>
        <w:pStyle w:val="SingleTxtG"/>
      </w:pPr>
      <w:r>
        <w:t>10</w:t>
      </w:r>
      <w:r w:rsidR="00BB394B" w:rsidRPr="00D7468C">
        <w:t>.2</w:t>
      </w:r>
      <w:r w:rsidR="00BB394B" w:rsidRPr="00D7468C">
        <w:tab/>
        <w:t xml:space="preserve">The first issue before the Committee is whether or not the application of </w:t>
      </w:r>
      <w:r w:rsidR="00BB394B">
        <w:t xml:space="preserve">section 3.10 of the Ryazan Region Law </w:t>
      </w:r>
      <w:r w:rsidR="00BB394B" w:rsidRPr="00D7468C">
        <w:t xml:space="preserve">to the author’s case, resulting in </w:t>
      </w:r>
      <w:r w:rsidR="00BB394B">
        <w:t xml:space="preserve">her conviction of an administrative offence </w:t>
      </w:r>
      <w:r w:rsidR="00BB394B" w:rsidRPr="00D7468C">
        <w:t xml:space="preserve">and the subsequent fine, constituted a restriction within the meaning of article 19, paragraph 3, on the author’s right to </w:t>
      </w:r>
      <w:r w:rsidR="00BB394B">
        <w:t>freedom of expression</w:t>
      </w:r>
      <w:r w:rsidR="00BB394B" w:rsidRPr="00D7468C">
        <w:t>.</w:t>
      </w:r>
      <w:r w:rsidR="00494427">
        <w:t xml:space="preserve"> </w:t>
      </w:r>
      <w:r w:rsidR="00BB394B" w:rsidRPr="00D7468C">
        <w:t xml:space="preserve">The Committee notes that </w:t>
      </w:r>
      <w:r w:rsidR="00494427">
        <w:t xml:space="preserve">section 3.10 of the Ryazan Region Law </w:t>
      </w:r>
      <w:r w:rsidR="00BB394B" w:rsidRPr="00D7468C">
        <w:t xml:space="preserve">establishes administrative liability for </w:t>
      </w:r>
      <w:r w:rsidR="00494427">
        <w:t>“propaganda of homosexuality (</w:t>
      </w:r>
      <w:r w:rsidR="00FC52B5">
        <w:t>sexual act between men</w:t>
      </w:r>
      <w:r w:rsidR="00494427">
        <w:t xml:space="preserve"> or lesbianism) among minors”</w:t>
      </w:r>
      <w:r w:rsidR="00BB394B" w:rsidRPr="00D7468C">
        <w:t xml:space="preserve">. </w:t>
      </w:r>
      <w:r w:rsidR="001021E2">
        <w:t>The Committee observes</w:t>
      </w:r>
      <w:r w:rsidR="00B655E7" w:rsidRPr="00B655E7">
        <w:t>, however,</w:t>
      </w:r>
      <w:r w:rsidR="001021E2">
        <w:t xml:space="preserve"> that the wording of section 3.10 of the Ryazan Region Law is ambiguous</w:t>
      </w:r>
      <w:r w:rsidR="00B655E7">
        <w:t xml:space="preserve"> as to whether</w:t>
      </w:r>
      <w:r w:rsidR="001021E2">
        <w:t xml:space="preserve"> the term “homosexuality (sexual act between men or lesbianism)” </w:t>
      </w:r>
      <w:r w:rsidR="00B655E7">
        <w:t xml:space="preserve">refers to </w:t>
      </w:r>
      <w:r w:rsidR="000C2670">
        <w:t xml:space="preserve">one’s sexual </w:t>
      </w:r>
      <w:r w:rsidR="001021E2">
        <w:t xml:space="preserve">identity </w:t>
      </w:r>
      <w:r w:rsidR="00B655E7">
        <w:t>or</w:t>
      </w:r>
      <w:r w:rsidR="001021E2">
        <w:t xml:space="preserve"> sexual activity</w:t>
      </w:r>
      <w:r w:rsidR="00B655E7">
        <w:t xml:space="preserve"> or both</w:t>
      </w:r>
      <w:r w:rsidR="001021E2">
        <w:t xml:space="preserve">. </w:t>
      </w:r>
      <w:r w:rsidR="00B655E7">
        <w:t>In any case</w:t>
      </w:r>
      <w:r w:rsidR="001021E2">
        <w:t>, t</w:t>
      </w:r>
      <w:r w:rsidR="00494427">
        <w:t xml:space="preserve">here is no doubt that there has been a restriction </w:t>
      </w:r>
      <w:r w:rsidR="00494427" w:rsidRPr="00D7468C">
        <w:t xml:space="preserve">on the </w:t>
      </w:r>
      <w:r w:rsidR="00AE59C4">
        <w:t xml:space="preserve">exercise of the </w:t>
      </w:r>
      <w:r w:rsidR="00494427" w:rsidRPr="00D7468C">
        <w:t xml:space="preserve">author’s right to </w:t>
      </w:r>
      <w:r w:rsidR="00494427">
        <w:t>freedom of expression</w:t>
      </w:r>
      <w:r w:rsidR="00494427" w:rsidRPr="00D7468C">
        <w:t xml:space="preserve"> </w:t>
      </w:r>
      <w:r w:rsidR="00494427">
        <w:t>guaranteed by article 19, paragraph 2, of the Covenant.</w:t>
      </w:r>
      <w:bookmarkStart w:id="7" w:name="_Ref264288571"/>
      <w:r w:rsidR="00BB394B" w:rsidRPr="00D7468C">
        <w:rPr>
          <w:vertAlign w:val="superscript"/>
        </w:rPr>
        <w:footnoteReference w:id="32"/>
      </w:r>
      <w:bookmarkEnd w:id="7"/>
      <w:r w:rsidR="00AE59C4">
        <w:t xml:space="preserve"> In fact, the existence of the restriction in the present communication is not in dispute between the </w:t>
      </w:r>
      <w:r w:rsidR="0047074A">
        <w:t>parties.</w:t>
      </w:r>
      <w:r w:rsidR="00093E93">
        <w:t xml:space="preserve"> </w:t>
      </w:r>
    </w:p>
    <w:p w:rsidR="0047074A" w:rsidRDefault="00C67753" w:rsidP="00BB394B">
      <w:pPr>
        <w:pStyle w:val="SingleTxtG"/>
      </w:pPr>
      <w:r>
        <w:t>10</w:t>
      </w:r>
      <w:r w:rsidR="0047074A">
        <w:t>.3</w:t>
      </w:r>
      <w:r w:rsidR="0047074A">
        <w:tab/>
        <w:t>The Committee then has to consider whether the restriction imposed on the author</w:t>
      </w:r>
      <w:r w:rsidR="00860DCA">
        <w:t>’</w:t>
      </w:r>
      <w:r w:rsidR="0047074A">
        <w:t xml:space="preserve">s </w:t>
      </w:r>
      <w:r w:rsidR="00860DCA">
        <w:t xml:space="preserve">right to </w:t>
      </w:r>
      <w:r w:rsidR="0047074A">
        <w:t xml:space="preserve">freedom </w:t>
      </w:r>
      <w:r w:rsidR="00862081">
        <w:t>of expression is</w:t>
      </w:r>
      <w:r w:rsidR="0047074A">
        <w:t xml:space="preserve"> </w:t>
      </w:r>
      <w:r w:rsidR="0047074A" w:rsidRPr="00AF6C3B">
        <w:t xml:space="preserve">justified under article 19, paragraph 3, of the Covenant, </w:t>
      </w:r>
      <w:r w:rsidR="0047074A">
        <w:t xml:space="preserve">i.e. </w:t>
      </w:r>
      <w:r w:rsidR="0047074A" w:rsidRPr="00AF6C3B">
        <w:t>provided by law and necessary: (a) for respect of the rights or reputations of others; and (b) for the protection of national security or of public order (</w:t>
      </w:r>
      <w:r w:rsidR="0047074A" w:rsidRPr="00552099">
        <w:rPr>
          <w:iCs/>
        </w:rPr>
        <w:t>ordre public</w:t>
      </w:r>
      <w:r w:rsidR="0047074A" w:rsidRPr="00AF6C3B">
        <w:t xml:space="preserve">), or of public health or morals. The Committee </w:t>
      </w:r>
      <w:r w:rsidR="0047074A" w:rsidRPr="00AF6C3B">
        <w:rPr>
          <w:lang w:val="en-US"/>
        </w:rPr>
        <w:t>recalls</w:t>
      </w:r>
      <w:r w:rsidR="0047074A">
        <w:rPr>
          <w:lang w:val="en-US"/>
        </w:rPr>
        <w:t xml:space="preserve"> in this respect its </w:t>
      </w:r>
      <w:r w:rsidR="00552099">
        <w:rPr>
          <w:lang w:val="en-US"/>
        </w:rPr>
        <w:t>g</w:t>
      </w:r>
      <w:r w:rsidR="0047074A">
        <w:rPr>
          <w:lang w:val="en-US"/>
        </w:rPr>
        <w:t xml:space="preserve">eneral </w:t>
      </w:r>
      <w:r w:rsidR="00552099">
        <w:rPr>
          <w:lang w:val="en-US"/>
        </w:rPr>
        <w:t>c</w:t>
      </w:r>
      <w:r w:rsidR="0047074A">
        <w:rPr>
          <w:lang w:val="en-US"/>
        </w:rPr>
        <w:t>omment No. 34</w:t>
      </w:r>
      <w:r w:rsidR="00552099">
        <w:rPr>
          <w:lang w:val="en-US"/>
        </w:rPr>
        <w:t xml:space="preserve"> (2011) on article 19 (freedoms of opinion and expression) of the International Covenant on Civil and Political Rights</w:t>
      </w:r>
      <w:r w:rsidR="0047074A">
        <w:rPr>
          <w:lang w:val="en-US"/>
        </w:rPr>
        <w:t>,</w:t>
      </w:r>
      <w:r w:rsidR="00552099">
        <w:rPr>
          <w:rStyle w:val="FootnoteReference"/>
          <w:lang w:val="en-US"/>
        </w:rPr>
        <w:footnoteReference w:id="33"/>
      </w:r>
      <w:r w:rsidR="0047074A">
        <w:rPr>
          <w:lang w:val="en-US"/>
        </w:rPr>
        <w:t xml:space="preserve"> in which it stated</w:t>
      </w:r>
      <w:r w:rsidR="00E245B6">
        <w:rPr>
          <w:lang w:val="en-US"/>
        </w:rPr>
        <w:t>,</w:t>
      </w:r>
      <w:r w:rsidR="0047074A">
        <w:rPr>
          <w:lang w:val="en-US"/>
        </w:rPr>
        <w:t xml:space="preserve"> </w:t>
      </w:r>
      <w:r w:rsidR="0047074A" w:rsidRPr="00552099">
        <w:rPr>
          <w:lang w:val="en-US"/>
        </w:rPr>
        <w:t>inter alia</w:t>
      </w:r>
      <w:r w:rsidR="00E245B6" w:rsidRPr="00552099">
        <w:rPr>
          <w:lang w:val="en-US"/>
        </w:rPr>
        <w:t>,</w:t>
      </w:r>
      <w:r w:rsidR="0047074A" w:rsidRPr="00AF6C3B">
        <w:rPr>
          <w:lang w:val="en-US"/>
        </w:rPr>
        <w:t xml:space="preserve"> that freedom of opinion and freedom of expression are indispensable conditions for the full development of the person, that they are essential for any society, and that they constitute the foundation stone for every free and democratic society.</w:t>
      </w:r>
      <w:bookmarkStart w:id="8" w:name="_Ref325447823"/>
      <w:r w:rsidR="0047074A" w:rsidRPr="00AF6C3B">
        <w:rPr>
          <w:vertAlign w:val="superscript"/>
          <w:lang w:val="en-US"/>
        </w:rPr>
        <w:footnoteReference w:id="34"/>
      </w:r>
      <w:bookmarkEnd w:id="8"/>
      <w:r w:rsidR="0047074A" w:rsidRPr="00AF6C3B">
        <w:rPr>
          <w:lang w:val="en-US"/>
        </w:rPr>
        <w:t xml:space="preserve"> Any restrictions to their exercise must conform</w:t>
      </w:r>
      <w:r w:rsidR="0047074A" w:rsidRPr="00AF6C3B">
        <w:t xml:space="preserve"> to the strict tests of necessity and proportionality and “must be applied only for those purposes for which they were prescribed and must be directly related to the specific need on which they are predicated”</w:t>
      </w:r>
      <w:r w:rsidR="00552099">
        <w:t>.</w:t>
      </w:r>
      <w:r w:rsidR="0047074A" w:rsidRPr="00AF6C3B">
        <w:rPr>
          <w:vertAlign w:val="superscript"/>
        </w:rPr>
        <w:footnoteReference w:id="35"/>
      </w:r>
    </w:p>
    <w:p w:rsidR="00012DE7" w:rsidRDefault="00C67753" w:rsidP="00402044">
      <w:pPr>
        <w:pStyle w:val="SingleTxtG"/>
      </w:pPr>
      <w:r>
        <w:t>10</w:t>
      </w:r>
      <w:r w:rsidR="00862081">
        <w:t>.4</w:t>
      </w:r>
      <w:r w:rsidR="00862081">
        <w:tab/>
      </w:r>
      <w:r w:rsidR="00CC2DAC">
        <w:t>The Committee observes that, in the present case, the author and the State party disagree as to whether the restriction on the exercise of the r</w:t>
      </w:r>
      <w:r w:rsidR="00264D5B">
        <w:t>ight to freedom of expression i</w:t>
      </w:r>
      <w:r w:rsidR="00CC2DAC">
        <w:t xml:space="preserve">s “provided by law”. </w:t>
      </w:r>
      <w:r w:rsidR="003C1BDC">
        <w:t>In particular, the author argues with reference to article 55, paragraph 3, of the Constitution, that freedom of expression can be restricted only by federal law</w:t>
      </w:r>
      <w:r w:rsidR="000838B7">
        <w:t xml:space="preserve">, whereas </w:t>
      </w:r>
      <w:r w:rsidR="003C1BDC">
        <w:t xml:space="preserve">the Ryazan Region Law on the basis of which she was convicted of an administrative offence for “propaganda of homosexuality among minors” is not a federal law. </w:t>
      </w:r>
      <w:r w:rsidR="000838B7">
        <w:t xml:space="preserve">The State party in turn submits that </w:t>
      </w:r>
      <w:r w:rsidR="001B2FAF">
        <w:t xml:space="preserve">the </w:t>
      </w:r>
      <w:r w:rsidR="001B2FAF" w:rsidRPr="0003452F">
        <w:t>Ryazan Region Law</w:t>
      </w:r>
      <w:r w:rsidR="001B2FAF">
        <w:t xml:space="preserve"> is based on the Constitution and the Code on Administrative Offences, thus it is a part of the law on administrative offences. </w:t>
      </w:r>
      <w:r w:rsidR="00012DE7">
        <w:t xml:space="preserve">The Committee may dispense with </w:t>
      </w:r>
      <w:r w:rsidR="00801BFE">
        <w:t xml:space="preserve">considering </w:t>
      </w:r>
      <w:r w:rsidR="00012DE7">
        <w:t>th</w:t>
      </w:r>
      <w:r w:rsidR="00CB575F">
        <w:t>i</w:t>
      </w:r>
      <w:r w:rsidR="00012DE7">
        <w:t>s</w:t>
      </w:r>
      <w:r w:rsidR="00CB575F">
        <w:t xml:space="preserve"> point</w:t>
      </w:r>
      <w:r w:rsidR="00012DE7">
        <w:t xml:space="preserve"> because, irrespective of the domestic lawfulness of the restriction in question, laws restricting the rights enumerated in article 19, paragraph 2, must not only comply with the strict requirements of article 19, paragraph 3, of the Covenant but must also themselves be compatible with the provisions, aims</w:t>
      </w:r>
      <w:r w:rsidR="00DE5F8E">
        <w:t xml:space="preserve"> and objectives of the Covenant,</w:t>
      </w:r>
      <w:r w:rsidR="00CB575F">
        <w:rPr>
          <w:rStyle w:val="FootnoteReference"/>
        </w:rPr>
        <w:footnoteReference w:id="36"/>
      </w:r>
      <w:r w:rsidR="00012DE7">
        <w:t xml:space="preserve"> </w:t>
      </w:r>
      <w:r w:rsidR="00DE5F8E">
        <w:t xml:space="preserve">including </w:t>
      </w:r>
      <w:r w:rsidR="00012DE7">
        <w:t>the non-discrimination provisions of the Covenant.</w:t>
      </w:r>
      <w:r w:rsidR="00CB575F">
        <w:rPr>
          <w:rStyle w:val="FootnoteReference"/>
        </w:rPr>
        <w:footnoteReference w:id="37"/>
      </w:r>
      <w:r w:rsidR="00147204" w:rsidRPr="00402044">
        <w:t xml:space="preserve"> </w:t>
      </w:r>
    </w:p>
    <w:p w:rsidR="00012DE7" w:rsidRDefault="00012DE7" w:rsidP="00012DE7">
      <w:pPr>
        <w:pStyle w:val="SingleTxtG"/>
      </w:pPr>
      <w:r>
        <w:t>10.5</w:t>
      </w:r>
      <w:r>
        <w:tab/>
      </w:r>
      <w:r w:rsidR="00147204" w:rsidRPr="00076AB4">
        <w:t>In this respect, the Committee recalls, as sta</w:t>
      </w:r>
      <w:r w:rsidR="00131A47" w:rsidRPr="00402044">
        <w:t xml:space="preserve">ted in its General </w:t>
      </w:r>
      <w:r w:rsidR="00131A47">
        <w:t>C</w:t>
      </w:r>
      <w:r w:rsidR="00147204" w:rsidRPr="00076AB4">
        <w:t>omment</w:t>
      </w:r>
      <w:r w:rsidR="00131A47">
        <w:t xml:space="preserve"> No</w:t>
      </w:r>
      <w:r>
        <w:t>.</w:t>
      </w:r>
      <w:r w:rsidR="00147204" w:rsidRPr="00076AB4">
        <w:t xml:space="preserve"> 34, </w:t>
      </w:r>
      <w:r>
        <w:t>that “</w:t>
      </w:r>
      <w:r w:rsidR="00A87870">
        <w:t>‘</w:t>
      </w:r>
      <w:r>
        <w:t>the concept of morals derives from many social, philosophical and religious traditions; consequently, limitations … for the purpose of protecting morals must be based on principles not deriving exclusively from a single tradition</w:t>
      </w:r>
      <w:r w:rsidR="00A87870">
        <w:t>’</w:t>
      </w:r>
      <w:r>
        <w:t>. Any such limitations must be understood in the light of universality of human rights and the principle of non-discrimination”.</w:t>
      </w:r>
      <w:r w:rsidR="00CB575F">
        <w:rPr>
          <w:rStyle w:val="FootnoteReference"/>
        </w:rPr>
        <w:footnoteReference w:id="38"/>
      </w:r>
      <w:r>
        <w:t xml:space="preserve"> </w:t>
      </w:r>
      <w:r w:rsidRPr="008E4095">
        <w:t>In the present case,</w:t>
      </w:r>
      <w:r>
        <w:t xml:space="preserve"> the Committee observes that section 3.10 of the Ryazan Region Law establishes administrative </w:t>
      </w:r>
      <w:r w:rsidRPr="00D7468C">
        <w:t xml:space="preserve">liability for </w:t>
      </w:r>
      <w:r>
        <w:t>“public actions aimed at propaganda of homosexuality (</w:t>
      </w:r>
      <w:r w:rsidR="00FC52B5">
        <w:t>sexual act between men</w:t>
      </w:r>
      <w:r>
        <w:t xml:space="preserve"> or lesbianism)” – as opposed to propaganda of heterosexuality or sexuality generally – among minors</w:t>
      </w:r>
      <w:r w:rsidRPr="00D7468C">
        <w:t>.</w:t>
      </w:r>
      <w:r>
        <w:t xml:space="preserve"> </w:t>
      </w:r>
      <w:r w:rsidRPr="00503758">
        <w:t xml:space="preserve">With reference to its </w:t>
      </w:r>
      <w:r>
        <w:t>earlier jurisprudence</w:t>
      </w:r>
      <w:r w:rsidRPr="00503758">
        <w:t>,</w:t>
      </w:r>
      <w:bookmarkStart w:id="9" w:name="_Ref325462154"/>
      <w:r w:rsidR="00CB575F">
        <w:rPr>
          <w:rStyle w:val="FootnoteReference"/>
        </w:rPr>
        <w:footnoteReference w:id="39"/>
      </w:r>
      <w:bookmarkEnd w:id="9"/>
      <w:r w:rsidRPr="00503758">
        <w:t xml:space="preserve"> the Committee </w:t>
      </w:r>
      <w:r>
        <w:t xml:space="preserve">recalls that the prohibition against discrimination under article 26 comprises also discrimination based on sexual orientation. </w:t>
      </w:r>
    </w:p>
    <w:p w:rsidR="00DE5F8E" w:rsidRDefault="00012DE7" w:rsidP="00FD3796">
      <w:pPr>
        <w:pStyle w:val="SingleTxtG"/>
      </w:pPr>
      <w:r>
        <w:t>10.6</w:t>
      </w:r>
      <w:r>
        <w:tab/>
      </w:r>
      <w:r w:rsidRPr="00D0430F">
        <w:t xml:space="preserve">The Committee </w:t>
      </w:r>
      <w:r>
        <w:t xml:space="preserve">also </w:t>
      </w:r>
      <w:r w:rsidRPr="00D0430F">
        <w:t xml:space="preserve">recalls its constant jurisprudence that not </w:t>
      </w:r>
      <w:r>
        <w:t xml:space="preserve">every differentiation based on the grounds listed in article 26 of the Covenant amounts to discrimination, as long as it is based on reasonable and objective </w:t>
      </w:r>
      <w:r w:rsidRPr="00664DA6">
        <w:t>criteria,</w:t>
      </w:r>
      <w:r w:rsidR="00CB575F">
        <w:rPr>
          <w:rStyle w:val="FootnoteReference"/>
        </w:rPr>
        <w:footnoteReference w:id="40"/>
      </w:r>
      <w:r w:rsidRPr="00664DA6">
        <w:t xml:space="preserve"> in pursuit of an aim that is legitimate under the Covenant.</w:t>
      </w:r>
      <w:r w:rsidR="00F75064">
        <w:rPr>
          <w:rStyle w:val="FootnoteReference"/>
        </w:rPr>
        <w:footnoteReference w:id="41"/>
      </w:r>
      <w:r w:rsidRPr="00664DA6">
        <w:t xml:space="preserve"> </w:t>
      </w:r>
      <w:r w:rsidR="00390E72">
        <w:t xml:space="preserve">While noting that the State party invokes the </w:t>
      </w:r>
      <w:r>
        <w:t xml:space="preserve">aim to protect the morals, health, rights and legitimate interests of minors, </w:t>
      </w:r>
      <w:r w:rsidR="00390E72">
        <w:t xml:space="preserve">the Committee considers that </w:t>
      </w:r>
      <w:r>
        <w:t xml:space="preserve">the </w:t>
      </w:r>
      <w:r w:rsidRPr="00D0430F">
        <w:t xml:space="preserve">State party </w:t>
      </w:r>
      <w:r>
        <w:t xml:space="preserve">has </w:t>
      </w:r>
      <w:r w:rsidR="00390E72">
        <w:t xml:space="preserve">not shown </w:t>
      </w:r>
      <w:r>
        <w:t xml:space="preserve">that a restriction on the right to freedom of expression in relation to “propaganda of homosexuality” – as opposed to propaganda of heterosexuality or sexuality generally – among minors is based on </w:t>
      </w:r>
      <w:r w:rsidRPr="00D0430F">
        <w:t>reasonable and objective</w:t>
      </w:r>
      <w:r>
        <w:t xml:space="preserve"> criteria. </w:t>
      </w:r>
      <w:r w:rsidR="00FB5FFF">
        <w:t>Moreover</w:t>
      </w:r>
      <w:r>
        <w:t xml:space="preserve">, </w:t>
      </w:r>
      <w:r w:rsidRPr="00D0430F">
        <w:t>no evidence which would point to the existence of factors justifying such a distinction has been advanced.</w:t>
      </w:r>
      <w:r w:rsidR="00F75064">
        <w:rPr>
          <w:rStyle w:val="FootnoteReference"/>
        </w:rPr>
        <w:footnoteReference w:id="42"/>
      </w:r>
      <w:r w:rsidRPr="00D0430F">
        <w:t xml:space="preserve"> </w:t>
      </w:r>
    </w:p>
    <w:p w:rsidR="00CB575F" w:rsidRDefault="00DE5F8E" w:rsidP="00243360">
      <w:pPr>
        <w:pStyle w:val="SingleTxtG"/>
      </w:pPr>
      <w:r>
        <w:t>10.7</w:t>
      </w:r>
      <w:r>
        <w:tab/>
      </w:r>
      <w:r w:rsidR="00FB5FFF">
        <w:t xml:space="preserve">Furthermore, the </w:t>
      </w:r>
      <w:r>
        <w:t>Committee is of the view that</w:t>
      </w:r>
      <w:r w:rsidR="00F011F4">
        <w:t>,</w:t>
      </w:r>
      <w:r>
        <w:t xml:space="preserve"> </w:t>
      </w:r>
      <w:r w:rsidR="00F011F4">
        <w:t xml:space="preserve">by </w:t>
      </w:r>
      <w:r>
        <w:t>displaying posters that declared</w:t>
      </w:r>
      <w:r w:rsidRPr="00CD2FC9">
        <w:t xml:space="preserve"> “Homosexuality is normal” and “I am proud of my homosexuality” near </w:t>
      </w:r>
      <w:r>
        <w:t xml:space="preserve">a </w:t>
      </w:r>
      <w:r w:rsidR="00F011F4">
        <w:t xml:space="preserve">secondary school </w:t>
      </w:r>
      <w:r>
        <w:t xml:space="preserve">building, </w:t>
      </w:r>
      <w:r w:rsidR="00F011F4">
        <w:t>the author has not made any public actions aimed at involving minors</w:t>
      </w:r>
      <w:r>
        <w:t xml:space="preserve"> in </w:t>
      </w:r>
      <w:r w:rsidR="00CB575F">
        <w:t xml:space="preserve">any particular </w:t>
      </w:r>
      <w:r>
        <w:t>sexual activity</w:t>
      </w:r>
      <w:r w:rsidR="00F011F4">
        <w:t xml:space="preserve"> or </w:t>
      </w:r>
      <w:r w:rsidR="00F24413">
        <w:t xml:space="preserve">at </w:t>
      </w:r>
      <w:r w:rsidR="00F011F4">
        <w:t xml:space="preserve">advocating any </w:t>
      </w:r>
      <w:r w:rsidR="00F24413">
        <w:t>particular sexual orientation. Instead, s</w:t>
      </w:r>
      <w:r>
        <w:t xml:space="preserve">he </w:t>
      </w:r>
      <w:r w:rsidR="00243360">
        <w:t xml:space="preserve">was giving expression to her sexual </w:t>
      </w:r>
      <w:r w:rsidR="00F24413">
        <w:t>identity</w:t>
      </w:r>
      <w:r w:rsidR="00EC5F1A">
        <w:t xml:space="preserve"> and seeking understanding for it</w:t>
      </w:r>
      <w:r w:rsidR="00243360">
        <w:t xml:space="preserve">. </w:t>
      </w:r>
    </w:p>
    <w:p w:rsidR="00E16374" w:rsidRPr="00D0430F" w:rsidRDefault="00CB575F" w:rsidP="00FF41D4">
      <w:pPr>
        <w:pStyle w:val="SingleTxtG"/>
      </w:pPr>
      <w:r>
        <w:t>10.8</w:t>
      </w:r>
      <w:r>
        <w:tab/>
        <w:t>T</w:t>
      </w:r>
      <w:r w:rsidR="00243360">
        <w:t xml:space="preserve">he Committee notes the </w:t>
      </w:r>
      <w:r w:rsidR="00FB5FFF">
        <w:t>State party</w:t>
      </w:r>
      <w:r w:rsidR="00243360">
        <w:t>’s</w:t>
      </w:r>
      <w:r w:rsidR="00FB5FFF">
        <w:t xml:space="preserve"> arguments</w:t>
      </w:r>
      <w:r w:rsidR="00243360">
        <w:t xml:space="preserve"> that the author </w:t>
      </w:r>
      <w:r w:rsidR="00243360">
        <w:rPr>
          <w:lang w:val="en-US"/>
        </w:rPr>
        <w:t xml:space="preserve">had a deliberate intent to engage children in the discussion of the issues raised by her actions; </w:t>
      </w:r>
      <w:r w:rsidR="00390E72">
        <w:rPr>
          <w:lang w:val="en-US"/>
        </w:rPr>
        <w:t xml:space="preserve">that </w:t>
      </w:r>
      <w:r w:rsidR="00243360">
        <w:rPr>
          <w:lang w:val="en-US"/>
        </w:rPr>
        <w:t xml:space="preserve">the public became aware of the author’s views exclusively on the initiative of the latter; </w:t>
      </w:r>
      <w:r w:rsidR="00390E72">
        <w:rPr>
          <w:lang w:val="en-US"/>
        </w:rPr>
        <w:t xml:space="preserve">that </w:t>
      </w:r>
      <w:r w:rsidR="00243360">
        <w:rPr>
          <w:lang w:val="en-US"/>
        </w:rPr>
        <w:t xml:space="preserve">her actions from the very beginning had an “element of provocation” and her private life was not of interest either to the public or to minors, and that the public authorities did not interfere with her private life (see </w:t>
      </w:r>
      <w:r w:rsidR="00243360" w:rsidRPr="00FF41D4">
        <w:rPr>
          <w:lang w:val="en-US"/>
        </w:rPr>
        <w:t>paragraph 6.2</w:t>
      </w:r>
      <w:r w:rsidR="00243360">
        <w:rPr>
          <w:lang w:val="en-US"/>
        </w:rPr>
        <w:t xml:space="preserve"> above). </w:t>
      </w:r>
      <w:r w:rsidR="00F24413">
        <w:rPr>
          <w:lang w:val="en-US"/>
        </w:rPr>
        <w:t xml:space="preserve">While the Committee recognizes the role of the State party’s authorities in protecting the welfare of minors, </w:t>
      </w:r>
      <w:r w:rsidR="00801FA5">
        <w:rPr>
          <w:lang w:val="en-US"/>
        </w:rPr>
        <w:t xml:space="preserve">it observes </w:t>
      </w:r>
      <w:r w:rsidR="00F24413">
        <w:rPr>
          <w:lang w:val="en-US"/>
        </w:rPr>
        <w:t xml:space="preserve">that </w:t>
      </w:r>
      <w:r w:rsidR="00801FA5">
        <w:rPr>
          <w:lang w:val="en-US"/>
        </w:rPr>
        <w:t xml:space="preserve">the State party </w:t>
      </w:r>
      <w:r w:rsidR="00801FA5" w:rsidRPr="00CE6542">
        <w:rPr>
          <w:bCs/>
        </w:rPr>
        <w:t xml:space="preserve">failed to demonstrate </w:t>
      </w:r>
      <w:r w:rsidR="00801FA5">
        <w:rPr>
          <w:bCs/>
        </w:rPr>
        <w:t>why</w:t>
      </w:r>
      <w:r w:rsidR="00710B70">
        <w:rPr>
          <w:bCs/>
        </w:rPr>
        <w:t>,</w:t>
      </w:r>
      <w:r w:rsidR="00D11614">
        <w:rPr>
          <w:bCs/>
        </w:rPr>
        <w:t xml:space="preserve"> on the facts of th</w:t>
      </w:r>
      <w:r>
        <w:rPr>
          <w:bCs/>
        </w:rPr>
        <w:t xml:space="preserve">e present </w:t>
      </w:r>
      <w:r w:rsidR="00D11614">
        <w:rPr>
          <w:bCs/>
        </w:rPr>
        <w:t>communication</w:t>
      </w:r>
      <w:r w:rsidR="00710B70">
        <w:rPr>
          <w:bCs/>
        </w:rPr>
        <w:t>,</w:t>
      </w:r>
      <w:r w:rsidR="00801FA5">
        <w:rPr>
          <w:bCs/>
        </w:rPr>
        <w:t xml:space="preserve"> it was necessary </w:t>
      </w:r>
      <w:r w:rsidR="00801FA5" w:rsidRPr="00CE6542">
        <w:rPr>
          <w:bCs/>
        </w:rPr>
        <w:t xml:space="preserve">for </w:t>
      </w:r>
      <w:r w:rsidR="00801FA5">
        <w:rPr>
          <w:bCs/>
        </w:rPr>
        <w:t xml:space="preserve">one of the legitimate </w:t>
      </w:r>
      <w:r w:rsidR="00801FA5" w:rsidRPr="00CE6542">
        <w:rPr>
          <w:bCs/>
        </w:rPr>
        <w:t xml:space="preserve">purposes of </w:t>
      </w:r>
      <w:r w:rsidR="00801FA5">
        <w:rPr>
          <w:bCs/>
        </w:rPr>
        <w:t xml:space="preserve">article 19, paragraph 3, of the Covenant to restrict the author’s right to freedom of expression on the basis of </w:t>
      </w:r>
      <w:r w:rsidR="00801FA5">
        <w:t>section 3.10 of the Ryazan Region Law</w:t>
      </w:r>
      <w:r w:rsidR="00390E72">
        <w:t>,</w:t>
      </w:r>
      <w:r w:rsidR="00801FA5">
        <w:rPr>
          <w:bCs/>
        </w:rPr>
        <w:t xml:space="preserve"> for expressing her sexual identity</w:t>
      </w:r>
      <w:r w:rsidR="00EC5F1A">
        <w:rPr>
          <w:bCs/>
        </w:rPr>
        <w:t xml:space="preserve"> </w:t>
      </w:r>
      <w:r w:rsidR="00EC5F1A">
        <w:t>and seeking understanding for it</w:t>
      </w:r>
      <w:r w:rsidR="00801FA5">
        <w:rPr>
          <w:bCs/>
        </w:rPr>
        <w:t xml:space="preserve">, even if indeed, as argued by the State party, she intended </w:t>
      </w:r>
      <w:r w:rsidR="00801FA5">
        <w:rPr>
          <w:lang w:val="en-US"/>
        </w:rPr>
        <w:t xml:space="preserve">to engage children in the discussion of </w:t>
      </w:r>
      <w:r w:rsidR="00D11614">
        <w:rPr>
          <w:lang w:val="en-US"/>
        </w:rPr>
        <w:t xml:space="preserve">issues related to homosexuality. </w:t>
      </w:r>
      <w:r w:rsidR="00131A47">
        <w:t>Accordingly</w:t>
      </w:r>
      <w:r w:rsidR="00CF4CF0" w:rsidRPr="00076AB4">
        <w:t xml:space="preserve">, the Committee concludes that the author’s conviction of an administrative offence for “propaganda of homosexuality among minors” on the basis of </w:t>
      </w:r>
      <w:r w:rsidR="00FD3796">
        <w:t xml:space="preserve">the </w:t>
      </w:r>
      <w:r w:rsidR="00D11614">
        <w:rPr>
          <w:bCs/>
        </w:rPr>
        <w:t xml:space="preserve">ambiguous and </w:t>
      </w:r>
      <w:r w:rsidR="00FD3796">
        <w:t xml:space="preserve">discriminatory </w:t>
      </w:r>
      <w:r w:rsidR="00CF4CF0" w:rsidRPr="00076AB4">
        <w:t>section 3.10 of the Ryazan Region Law, amounted to a violation of her rights under article 19</w:t>
      </w:r>
      <w:r w:rsidR="00FD3796">
        <w:t>, paragraph 2, read in conjunction with article 26</w:t>
      </w:r>
      <w:r w:rsidR="00CF4CF0" w:rsidRPr="00076AB4">
        <w:t xml:space="preserve"> of the Covenant. </w:t>
      </w:r>
    </w:p>
    <w:p w:rsidR="006F3B94" w:rsidRDefault="00D579B1" w:rsidP="008649F9">
      <w:pPr>
        <w:pStyle w:val="SingleTxtG"/>
      </w:pPr>
      <w:r>
        <w:t>1</w:t>
      </w:r>
      <w:r w:rsidR="00C67753">
        <w:t>1</w:t>
      </w:r>
      <w:r w:rsidR="009E31DB" w:rsidRPr="009E31DB">
        <w:t>.</w:t>
      </w:r>
      <w:r w:rsidR="009E31DB" w:rsidRPr="009E31DB">
        <w:tab/>
      </w:r>
      <w:r w:rsidR="006F3B94" w:rsidRPr="00AF6C3B">
        <w:t xml:space="preserve">The Human Rights Committee, acting under article 5, paragraph 4, of the Optional Protocol to the International Covenant on Civil and Political Rights, is of the view that the facts before it disclose a violation by </w:t>
      </w:r>
      <w:r w:rsidR="00265C63">
        <w:t xml:space="preserve">the Russian Federation </w:t>
      </w:r>
      <w:r w:rsidR="006F3B94" w:rsidRPr="00AF6C3B">
        <w:t>of article 19</w:t>
      </w:r>
      <w:r w:rsidR="00FD3796">
        <w:t>, paragraph 2, read in conjunction with article 26</w:t>
      </w:r>
      <w:r w:rsidR="00265C63">
        <w:t xml:space="preserve"> </w:t>
      </w:r>
      <w:r w:rsidR="006F3B94" w:rsidRPr="00AF6C3B">
        <w:t>of the Covenant.</w:t>
      </w:r>
    </w:p>
    <w:p w:rsidR="00265C63" w:rsidRDefault="006F3B94" w:rsidP="008649F9">
      <w:pPr>
        <w:pStyle w:val="SingleTxtG"/>
      </w:pPr>
      <w:r>
        <w:t>1</w:t>
      </w:r>
      <w:r w:rsidR="00C67753">
        <w:t>2</w:t>
      </w:r>
      <w:r w:rsidR="009E31DB" w:rsidRPr="009E31DB">
        <w:t>.</w:t>
      </w:r>
      <w:r w:rsidR="009E31DB" w:rsidRPr="009E31DB">
        <w:tab/>
        <w:t>In accordance with article 2, paragraph 3</w:t>
      </w:r>
      <w:r w:rsidR="00710B70">
        <w:t xml:space="preserve"> </w:t>
      </w:r>
      <w:r w:rsidR="009E31DB" w:rsidRPr="009E31DB">
        <w:t>(a), of the Covenant, the State party is under an obligation to provide the author</w:t>
      </w:r>
      <w:r w:rsidR="00265C63">
        <w:t xml:space="preserve"> with an </w:t>
      </w:r>
      <w:r w:rsidR="00265C63" w:rsidRPr="009E31DB">
        <w:t xml:space="preserve">effective remedy, including </w:t>
      </w:r>
      <w:r w:rsidR="00265C63" w:rsidRPr="00AF6C3B">
        <w:rPr>
          <w:lang w:val="en-US"/>
        </w:rPr>
        <w:t xml:space="preserve">reimbursement of the value of the fine as at the situation of </w:t>
      </w:r>
      <w:r w:rsidR="00265C63">
        <w:rPr>
          <w:lang w:val="en-US"/>
        </w:rPr>
        <w:t>April 2009</w:t>
      </w:r>
      <w:r w:rsidR="00265C63" w:rsidRPr="00AF6C3B">
        <w:rPr>
          <w:lang w:val="en-US"/>
        </w:rPr>
        <w:t xml:space="preserve"> and any legal costs incurred by the author, as well as </w:t>
      </w:r>
      <w:r w:rsidR="00265C63" w:rsidRPr="009E31DB">
        <w:t xml:space="preserve">compensation. The State party is also under an obligation to prevent similar violations in the future and should ensure that the </w:t>
      </w:r>
      <w:r w:rsidR="00265C63">
        <w:t xml:space="preserve">relevant provisions of the domestic law </w:t>
      </w:r>
      <w:r w:rsidR="00265C63" w:rsidRPr="009E31DB">
        <w:t>are made compatible with article</w:t>
      </w:r>
      <w:r w:rsidR="00FD3796">
        <w:t>s</w:t>
      </w:r>
      <w:r w:rsidR="00265C63">
        <w:t xml:space="preserve"> 19 </w:t>
      </w:r>
      <w:r w:rsidR="00FD3796">
        <w:t xml:space="preserve">and 26 </w:t>
      </w:r>
      <w:r w:rsidR="00265C63" w:rsidRPr="009E31DB">
        <w:t>of the Covenant.</w:t>
      </w:r>
    </w:p>
    <w:p w:rsidR="008C21D6" w:rsidRPr="009E31DB" w:rsidRDefault="009E31DB" w:rsidP="008649F9">
      <w:pPr>
        <w:pStyle w:val="SingleTxtG"/>
      </w:pPr>
      <w:r w:rsidRPr="009E31DB">
        <w:t>1</w:t>
      </w:r>
      <w:r w:rsidR="00C67753">
        <w:t>3</w:t>
      </w:r>
      <w:r w:rsidRPr="009E31DB">
        <w:t>.</w:t>
      </w:r>
      <w:r w:rsidRPr="009E31DB">
        <w:tab/>
        <w:t>Bearing in mind that, by becoming a party to the Optional Protocol, the State party has recognized the competence of the Committee to determine whether there has been a violation of the Covenant or not and that, pursuant to article 2 of the Covenant, the State party has undertaken to ensure to all individuals within its territory or subject to its jurisdiction the rights recognized in the Covenant and to provide an effective and enforceable remedy when it has been determined that a violation has occurred, the Committee wishes to receive from the State party, within 180 days, information about the measures taken to give effect to the Committee</w:t>
      </w:r>
      <w:r w:rsidR="00395858">
        <w:rPr>
          <w:lang w:val="en-US"/>
        </w:rPr>
        <w:t>’</w:t>
      </w:r>
      <w:r w:rsidRPr="009E31DB">
        <w:t xml:space="preserve">s Views. </w:t>
      </w:r>
      <w:r w:rsidR="008C21D6" w:rsidRPr="00F33CD4">
        <w:t xml:space="preserve">The State party is also requested to publish the </w:t>
      </w:r>
      <w:r w:rsidR="008C21D6">
        <w:t>present</w:t>
      </w:r>
      <w:r w:rsidR="008C21D6" w:rsidRPr="00F33CD4">
        <w:t xml:space="preserve"> Views</w:t>
      </w:r>
      <w:r w:rsidR="008C21D6">
        <w:t xml:space="preserve"> and to have them widely disseminated in the official language of the State party.</w:t>
      </w:r>
    </w:p>
    <w:p w:rsidR="00E130AB" w:rsidRDefault="009E31DB" w:rsidP="008649F9">
      <w:pPr>
        <w:pStyle w:val="SingleTxtG"/>
      </w:pPr>
      <w:r w:rsidRPr="009E31DB">
        <w:t>[Adopted in English, French and Spanish, the English text being the original version. Subsequently to be issued also in Arabic, Chinese and Russian as part of the Committee's annual report to the General Assembly.]</w:t>
      </w:r>
    </w:p>
    <w:p w:rsidR="009E31DB" w:rsidRPr="009E31DB" w:rsidRDefault="009E31DB" w:rsidP="009E31DB">
      <w:pPr>
        <w:jc w:val="center"/>
        <w:rPr>
          <w:u w:val="single"/>
        </w:rPr>
      </w:pPr>
      <w:r>
        <w:rPr>
          <w:u w:val="single"/>
        </w:rPr>
        <w:tab/>
      </w:r>
      <w:r>
        <w:rPr>
          <w:u w:val="single"/>
        </w:rPr>
        <w:tab/>
      </w:r>
      <w:r>
        <w:rPr>
          <w:u w:val="single"/>
        </w:rPr>
        <w:tab/>
      </w:r>
    </w:p>
    <w:sectPr w:rsidR="009E31DB" w:rsidRPr="009E31DB" w:rsidSect="009E31DB">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2B57" w:rsidRDefault="00282B57"/>
  </w:endnote>
  <w:endnote w:type="continuationSeparator" w:id="0">
    <w:p w:rsidR="00282B57" w:rsidRDefault="00282B57"/>
  </w:endnote>
  <w:endnote w:type="continuationNotice" w:id="1">
    <w:p w:rsidR="00282B57" w:rsidRDefault="00282B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7" w:rsidRPr="009E31DB" w:rsidRDefault="00757FB7" w:rsidP="009E31DB">
    <w:pPr>
      <w:pStyle w:val="Footer"/>
      <w:tabs>
        <w:tab w:val="right" w:pos="9638"/>
      </w:tabs>
    </w:pPr>
    <w:r w:rsidRPr="009E31DB">
      <w:rPr>
        <w:b/>
        <w:sz w:val="18"/>
      </w:rPr>
      <w:fldChar w:fldCharType="begin"/>
    </w:r>
    <w:r w:rsidRPr="009E31DB">
      <w:rPr>
        <w:b/>
        <w:sz w:val="18"/>
      </w:rPr>
      <w:instrText xml:space="preserve"> PAGE  \* MERGEFORMAT </w:instrText>
    </w:r>
    <w:r w:rsidRPr="009E31DB">
      <w:rPr>
        <w:b/>
        <w:sz w:val="18"/>
      </w:rPr>
      <w:fldChar w:fldCharType="separate"/>
    </w:r>
    <w:r w:rsidR="00A2542A">
      <w:rPr>
        <w:b/>
        <w:noProof/>
        <w:sz w:val="18"/>
      </w:rPr>
      <w:t>2</w:t>
    </w:r>
    <w:r w:rsidRPr="009E31DB">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7" w:rsidRPr="009E31DB" w:rsidRDefault="00757FB7" w:rsidP="009E31DB">
    <w:pPr>
      <w:pStyle w:val="Footer"/>
      <w:tabs>
        <w:tab w:val="right" w:pos="9638"/>
      </w:tabs>
      <w:rPr>
        <w:sz w:val="18"/>
      </w:rPr>
    </w:pPr>
    <w:r>
      <w:rPr>
        <w:b/>
        <w:sz w:val="18"/>
      </w:rPr>
      <w:tab/>
    </w:r>
    <w:r w:rsidRPr="009E31DB">
      <w:rPr>
        <w:sz w:val="18"/>
      </w:rPr>
      <w:fldChar w:fldCharType="begin"/>
    </w:r>
    <w:r w:rsidRPr="009E31DB">
      <w:rPr>
        <w:sz w:val="18"/>
      </w:rPr>
      <w:instrText xml:space="preserve"> PAGE  \* MERGEFORMAT </w:instrText>
    </w:r>
    <w:r w:rsidRPr="009E31DB">
      <w:rPr>
        <w:sz w:val="18"/>
      </w:rPr>
      <w:fldChar w:fldCharType="separate"/>
    </w:r>
    <w:r w:rsidR="00A2542A">
      <w:rPr>
        <w:noProof/>
        <w:sz w:val="18"/>
      </w:rPr>
      <w:t>3</w:t>
    </w:r>
    <w:r w:rsidRPr="009E31DB">
      <w:rPr>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7" w:rsidRDefault="00282B57">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recycle_English"/>
          <w10:anchorlock/>
        </v:shape>
      </w:pict>
    </w:r>
    <w:r w:rsidR="00757FB7">
      <w:t>GE.12</w:t>
    </w:r>
    <w:r w:rsidR="009956E3">
      <w:t>-48331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2B57" w:rsidRPr="000B175B" w:rsidRDefault="00282B57" w:rsidP="000B175B">
      <w:pPr>
        <w:tabs>
          <w:tab w:val="right" w:pos="2155"/>
        </w:tabs>
        <w:spacing w:after="80"/>
        <w:ind w:left="680"/>
        <w:rPr>
          <w:u w:val="single"/>
        </w:rPr>
      </w:pPr>
      <w:r>
        <w:rPr>
          <w:u w:val="single"/>
        </w:rPr>
        <w:tab/>
      </w:r>
    </w:p>
  </w:footnote>
  <w:footnote w:type="continuationSeparator" w:id="0">
    <w:p w:rsidR="00282B57" w:rsidRPr="00FC68B7" w:rsidRDefault="00282B57" w:rsidP="00FC68B7">
      <w:pPr>
        <w:tabs>
          <w:tab w:val="left" w:pos="2155"/>
        </w:tabs>
        <w:spacing w:after="80"/>
        <w:ind w:left="680"/>
        <w:rPr>
          <w:u w:val="single"/>
        </w:rPr>
      </w:pPr>
      <w:r>
        <w:rPr>
          <w:u w:val="single"/>
        </w:rPr>
        <w:tab/>
      </w:r>
    </w:p>
  </w:footnote>
  <w:footnote w:type="continuationNotice" w:id="1">
    <w:p w:rsidR="00282B57" w:rsidRDefault="00282B57"/>
  </w:footnote>
  <w:footnote w:id="2">
    <w:p w:rsidR="00757FB7" w:rsidRPr="001C3236" w:rsidRDefault="00757FB7" w:rsidP="001C3236">
      <w:pPr>
        <w:pStyle w:val="FootnoteText"/>
        <w:jc w:val="both"/>
      </w:pPr>
      <w:r>
        <w:rPr>
          <w:rStyle w:val="FootnoteReference"/>
        </w:rPr>
        <w:tab/>
        <w:t>*</w:t>
      </w:r>
      <w:r>
        <w:t xml:space="preserve"> </w:t>
      </w:r>
      <w:r>
        <w:tab/>
        <w:t xml:space="preserve">The </w:t>
      </w:r>
      <w:r w:rsidRPr="002251B8">
        <w:rPr>
          <w:szCs w:val="18"/>
        </w:rPr>
        <w:t xml:space="preserve">following members of the </w:t>
      </w:r>
      <w:r>
        <w:rPr>
          <w:szCs w:val="18"/>
        </w:rPr>
        <w:t>Committee</w:t>
      </w:r>
      <w:r w:rsidRPr="002251B8">
        <w:rPr>
          <w:szCs w:val="18"/>
        </w:rPr>
        <w:t xml:space="preserve"> participated in the examination of the present communication:  </w:t>
      </w:r>
      <w:r>
        <w:rPr>
          <w:szCs w:val="18"/>
        </w:rPr>
        <w:t xml:space="preserve">Mr. Yadh Ben Achour, </w:t>
      </w:r>
      <w:r w:rsidRPr="002251B8">
        <w:rPr>
          <w:bCs/>
          <w:szCs w:val="18"/>
        </w:rPr>
        <w:t xml:space="preserve">Mr. Lazhari Bouzid, </w:t>
      </w:r>
      <w:r w:rsidRPr="002251B8">
        <w:rPr>
          <w:bCs/>
          <w:szCs w:val="18"/>
          <w:lang w:val="en-US"/>
        </w:rPr>
        <w:t xml:space="preserve">Ms. Christine Chanet, </w:t>
      </w:r>
      <w:r>
        <w:rPr>
          <w:szCs w:val="18"/>
        </w:rPr>
        <w:t xml:space="preserve">Mr. Ahmad Amin Fathalla, </w:t>
      </w:r>
      <w:r w:rsidRPr="002251B8">
        <w:rPr>
          <w:bCs/>
          <w:szCs w:val="18"/>
        </w:rPr>
        <w:t>Mr.</w:t>
      </w:r>
      <w:r>
        <w:rPr>
          <w:bCs/>
          <w:szCs w:val="18"/>
        </w:rPr>
        <w:t> </w:t>
      </w:r>
      <w:r w:rsidRPr="002251B8">
        <w:rPr>
          <w:bCs/>
          <w:szCs w:val="18"/>
        </w:rPr>
        <w:t xml:space="preserve">Cornelis Flinterman, </w:t>
      </w:r>
      <w:r>
        <w:rPr>
          <w:bCs/>
          <w:szCs w:val="18"/>
        </w:rPr>
        <w:t xml:space="preserve">Mr. Yuji Iwasawa, Mr. Walter </w:t>
      </w:r>
      <w:r w:rsidRPr="00223EFE">
        <w:rPr>
          <w:bCs/>
          <w:szCs w:val="18"/>
        </w:rPr>
        <w:t>K</w:t>
      </w:r>
      <w:r>
        <w:rPr>
          <w:bCs/>
          <w:szCs w:val="18"/>
        </w:rPr>
        <w:t>ä</w:t>
      </w:r>
      <w:r w:rsidRPr="00223EFE">
        <w:rPr>
          <w:bCs/>
          <w:szCs w:val="18"/>
        </w:rPr>
        <w:t>lin</w:t>
      </w:r>
      <w:r>
        <w:rPr>
          <w:bCs/>
          <w:szCs w:val="18"/>
        </w:rPr>
        <w:t xml:space="preserve">, </w:t>
      </w:r>
      <w:r w:rsidRPr="002251B8">
        <w:rPr>
          <w:bCs/>
          <w:szCs w:val="18"/>
        </w:rPr>
        <w:t xml:space="preserve">Ms. Zonke Zanele Majodina, </w:t>
      </w:r>
      <w:r>
        <w:rPr>
          <w:szCs w:val="18"/>
        </w:rPr>
        <w:t xml:space="preserve">Ms. Iulia Antoanela Motoc, </w:t>
      </w:r>
      <w:r>
        <w:rPr>
          <w:bCs/>
          <w:szCs w:val="18"/>
        </w:rPr>
        <w:t xml:space="preserve">Mr. Gerald L. Neuman, </w:t>
      </w:r>
      <w:r w:rsidRPr="002251B8">
        <w:rPr>
          <w:bCs/>
          <w:szCs w:val="18"/>
        </w:rPr>
        <w:t>Mr. Michael O’Flaherty, Mr. Rafael Rivas Posada,</w:t>
      </w:r>
      <w:r>
        <w:rPr>
          <w:bCs/>
          <w:szCs w:val="18"/>
        </w:rPr>
        <w:t xml:space="preserve"> </w:t>
      </w:r>
      <w:r w:rsidRPr="002251B8">
        <w:rPr>
          <w:bCs/>
          <w:szCs w:val="18"/>
          <w:lang w:val="en-US"/>
        </w:rPr>
        <w:t>Mr. Fabi</w:t>
      </w:r>
      <w:r>
        <w:rPr>
          <w:bCs/>
          <w:szCs w:val="18"/>
          <w:lang w:val="en-US"/>
        </w:rPr>
        <w:t>á</w:t>
      </w:r>
      <w:r w:rsidRPr="002251B8">
        <w:rPr>
          <w:bCs/>
          <w:szCs w:val="18"/>
          <w:lang w:val="en-US"/>
        </w:rPr>
        <w:t>n Omar Salvioli</w:t>
      </w:r>
      <w:r>
        <w:rPr>
          <w:bCs/>
          <w:szCs w:val="18"/>
          <w:lang w:val="en-US"/>
        </w:rPr>
        <w:t>, Mr. Marat Sarsembayev, Mr. Krister Thelin</w:t>
      </w:r>
      <w:r w:rsidRPr="002251B8">
        <w:rPr>
          <w:bCs/>
          <w:szCs w:val="18"/>
          <w:lang w:val="en-US"/>
        </w:rPr>
        <w:t xml:space="preserve"> and </w:t>
      </w:r>
      <w:r w:rsidRPr="002251B8">
        <w:rPr>
          <w:bCs/>
          <w:szCs w:val="18"/>
        </w:rPr>
        <w:t>Ms.</w:t>
      </w:r>
      <w:r>
        <w:rPr>
          <w:bCs/>
          <w:szCs w:val="18"/>
        </w:rPr>
        <w:t> </w:t>
      </w:r>
      <w:r w:rsidRPr="002251B8">
        <w:rPr>
          <w:bCs/>
          <w:szCs w:val="18"/>
        </w:rPr>
        <w:t>Margo Waterval.</w:t>
      </w:r>
      <w:r>
        <w:rPr>
          <w:bCs/>
          <w:szCs w:val="18"/>
        </w:rPr>
        <w:t xml:space="preserve"> </w:t>
      </w:r>
      <w:r>
        <w:t xml:space="preserve">Pursuant to rule 90 of the Committee’s rules of procedure, Committee member </w:t>
      </w:r>
      <w:r>
        <w:rPr>
          <w:bCs/>
          <w:szCs w:val="18"/>
        </w:rPr>
        <w:t>Sir Nigel Rodley</w:t>
      </w:r>
      <w:r>
        <w:t xml:space="preserve"> did not participate in the adoption of the present decision.</w:t>
      </w:r>
    </w:p>
  </w:footnote>
  <w:footnote w:id="3">
    <w:p w:rsidR="00757FB7" w:rsidRPr="00691B1E" w:rsidRDefault="00757FB7">
      <w:pPr>
        <w:pStyle w:val="FootnoteText"/>
      </w:pPr>
      <w:r>
        <w:tab/>
      </w:r>
      <w:r>
        <w:rPr>
          <w:rStyle w:val="FootnoteReference"/>
        </w:rPr>
        <w:footnoteRef/>
      </w:r>
      <w:r>
        <w:tab/>
        <w:t>The original text in Russian reads as follows:  “</w:t>
      </w:r>
      <w:r>
        <w:rPr>
          <w:lang w:val="ru-RU"/>
        </w:rPr>
        <w:t>Гомосексуализм</w:t>
      </w:r>
      <w:r w:rsidRPr="00691B1E">
        <w:t xml:space="preserve"> – </w:t>
      </w:r>
      <w:r>
        <w:rPr>
          <w:lang w:val="ru-RU"/>
        </w:rPr>
        <w:t>это</w:t>
      </w:r>
      <w:r w:rsidRPr="00691B1E">
        <w:t xml:space="preserve"> </w:t>
      </w:r>
      <w:r>
        <w:rPr>
          <w:lang w:val="ru-RU"/>
        </w:rPr>
        <w:t>нормально</w:t>
      </w:r>
      <w:r>
        <w:t>”</w:t>
      </w:r>
      <w:r w:rsidRPr="00691B1E">
        <w:t>.</w:t>
      </w:r>
    </w:p>
  </w:footnote>
  <w:footnote w:id="4">
    <w:p w:rsidR="00757FB7" w:rsidRPr="00691B1E" w:rsidRDefault="00757FB7">
      <w:pPr>
        <w:pStyle w:val="FootnoteText"/>
      </w:pPr>
      <w:r w:rsidRPr="001C3236">
        <w:tab/>
      </w:r>
      <w:r>
        <w:rPr>
          <w:rStyle w:val="FootnoteReference"/>
        </w:rPr>
        <w:footnoteRef/>
      </w:r>
      <w:r>
        <w:t xml:space="preserve"> </w:t>
      </w:r>
      <w:r w:rsidRPr="00691B1E">
        <w:tab/>
        <w:t xml:space="preserve">The original text in Russian reads as follows: </w:t>
      </w:r>
      <w:r>
        <w:t>“</w:t>
      </w:r>
      <w:r>
        <w:rPr>
          <w:lang w:val="ru-RU"/>
        </w:rPr>
        <w:t>Я</w:t>
      </w:r>
      <w:r w:rsidRPr="00691B1E">
        <w:t xml:space="preserve"> </w:t>
      </w:r>
      <w:r>
        <w:rPr>
          <w:lang w:val="ru-RU"/>
        </w:rPr>
        <w:t>горжусь</w:t>
      </w:r>
      <w:r w:rsidRPr="00691B1E">
        <w:t xml:space="preserve"> </w:t>
      </w:r>
      <w:r>
        <w:rPr>
          <w:lang w:val="ru-RU"/>
        </w:rPr>
        <w:t>своей</w:t>
      </w:r>
      <w:r w:rsidRPr="00691B1E">
        <w:t xml:space="preserve"> </w:t>
      </w:r>
      <w:r>
        <w:rPr>
          <w:lang w:val="ru-RU"/>
        </w:rPr>
        <w:t>гомосексуальностью</w:t>
      </w:r>
      <w:r>
        <w:t>”</w:t>
      </w:r>
      <w:r w:rsidRPr="00691B1E">
        <w:t>.</w:t>
      </w:r>
    </w:p>
  </w:footnote>
  <w:footnote w:id="5">
    <w:p w:rsidR="00757FB7" w:rsidRPr="00691B1E" w:rsidRDefault="00757FB7" w:rsidP="00691B1E">
      <w:pPr>
        <w:pStyle w:val="FootnoteText"/>
        <w:jc w:val="both"/>
        <w:rPr>
          <w:lang w:val="ru-RU"/>
        </w:rPr>
      </w:pPr>
      <w:r>
        <w:rPr>
          <w:lang w:val="ru-RU"/>
        </w:rPr>
        <w:tab/>
      </w:r>
      <w:r>
        <w:rPr>
          <w:rStyle w:val="FootnoteReference"/>
        </w:rPr>
        <w:footnoteRef/>
      </w:r>
      <w:r w:rsidRPr="00691B1E">
        <w:rPr>
          <w:lang w:val="ru-RU"/>
        </w:rPr>
        <w:tab/>
      </w:r>
      <w:r w:rsidRPr="00691B1E">
        <w:t>The</w:t>
      </w:r>
      <w:r w:rsidRPr="00691B1E">
        <w:rPr>
          <w:lang w:val="ru-RU"/>
        </w:rPr>
        <w:t xml:space="preserve"> </w:t>
      </w:r>
      <w:r w:rsidRPr="00691B1E">
        <w:t>original</w:t>
      </w:r>
      <w:r w:rsidRPr="00691B1E">
        <w:rPr>
          <w:lang w:val="ru-RU"/>
        </w:rPr>
        <w:t xml:space="preserve"> </w:t>
      </w:r>
      <w:r w:rsidRPr="00691B1E">
        <w:t>text</w:t>
      </w:r>
      <w:r w:rsidRPr="00691B1E">
        <w:rPr>
          <w:lang w:val="ru-RU"/>
        </w:rPr>
        <w:t xml:space="preserve"> </w:t>
      </w:r>
      <w:r w:rsidRPr="00691B1E">
        <w:t>in</w:t>
      </w:r>
      <w:r w:rsidRPr="00691B1E">
        <w:rPr>
          <w:lang w:val="ru-RU"/>
        </w:rPr>
        <w:t xml:space="preserve"> </w:t>
      </w:r>
      <w:r w:rsidRPr="00691B1E">
        <w:t>Russian</w:t>
      </w:r>
      <w:r w:rsidRPr="00691B1E">
        <w:rPr>
          <w:lang w:val="ru-RU"/>
        </w:rPr>
        <w:t xml:space="preserve"> </w:t>
      </w:r>
      <w:r w:rsidRPr="00691B1E">
        <w:t>reads</w:t>
      </w:r>
      <w:r w:rsidRPr="00691B1E">
        <w:rPr>
          <w:lang w:val="ru-RU"/>
        </w:rPr>
        <w:t xml:space="preserve"> </w:t>
      </w:r>
      <w:r w:rsidRPr="00691B1E">
        <w:t>as</w:t>
      </w:r>
      <w:r w:rsidRPr="00691B1E">
        <w:rPr>
          <w:lang w:val="ru-RU"/>
        </w:rPr>
        <w:t xml:space="preserve"> </w:t>
      </w:r>
      <w:r w:rsidRPr="00691B1E">
        <w:t>follows</w:t>
      </w:r>
      <w:r w:rsidRPr="00691B1E">
        <w:rPr>
          <w:lang w:val="ru-RU"/>
        </w:rPr>
        <w:t xml:space="preserve">: </w:t>
      </w:r>
      <w:r w:rsidRPr="008E4095">
        <w:rPr>
          <w:lang w:val="ru-RU"/>
        </w:rPr>
        <w:t>“</w:t>
      </w:r>
      <w:r>
        <w:rPr>
          <w:lang w:val="ru-RU"/>
        </w:rPr>
        <w:t>Публичные действия, направленные на пропаганду гомосексуализма (мужеложства и лесбиянства) среди несовершеннолетних, - влекут наложение административного штрафа на граждан в размере от одной тысячи пятисот до двух тысяч рублей</w:t>
      </w:r>
      <w:r w:rsidRPr="008E4095">
        <w:rPr>
          <w:lang w:val="ru-RU"/>
        </w:rPr>
        <w:t>”</w:t>
      </w:r>
      <w:r>
        <w:rPr>
          <w:lang w:val="ru-RU"/>
        </w:rPr>
        <w:t xml:space="preserve">. </w:t>
      </w:r>
    </w:p>
  </w:footnote>
  <w:footnote w:id="6">
    <w:p w:rsidR="00757FB7" w:rsidRPr="007A43D6" w:rsidRDefault="00757FB7" w:rsidP="00076AB4">
      <w:pPr>
        <w:pStyle w:val="FootnoteText"/>
        <w:jc w:val="both"/>
      </w:pPr>
      <w:r w:rsidRPr="00691B1E">
        <w:rPr>
          <w:lang w:val="ru-RU"/>
        </w:rPr>
        <w:tab/>
      </w:r>
      <w:r>
        <w:rPr>
          <w:rStyle w:val="FootnoteReference"/>
        </w:rPr>
        <w:footnoteRef/>
      </w:r>
      <w:r>
        <w:t xml:space="preserve"> </w:t>
      </w:r>
      <w:r>
        <w:tab/>
        <w:t xml:space="preserve">Approximately US$ 44.9/33.6 euros. </w:t>
      </w:r>
    </w:p>
  </w:footnote>
  <w:footnote w:id="7">
    <w:p w:rsidR="00757FB7" w:rsidRPr="00C4006B" w:rsidRDefault="00757FB7" w:rsidP="00580BAD">
      <w:pPr>
        <w:pStyle w:val="FootnoteText"/>
        <w:jc w:val="both"/>
      </w:pPr>
      <w:r>
        <w:tab/>
      </w:r>
      <w:r>
        <w:rPr>
          <w:rStyle w:val="FootnoteReference"/>
        </w:rPr>
        <w:footnoteRef/>
      </w:r>
      <w:r>
        <w:t xml:space="preserve"> </w:t>
      </w:r>
      <w:r>
        <w:tab/>
      </w:r>
      <w:r w:rsidRPr="0017458F">
        <w:t>Reference is made the</w:t>
      </w:r>
      <w:r>
        <w:t xml:space="preserve"> judgment of the European Court of Human Rights in </w:t>
      </w:r>
      <w:r w:rsidRPr="00C4006B">
        <w:rPr>
          <w:i/>
          <w:iCs/>
        </w:rPr>
        <w:t xml:space="preserve">Church of Scientology Moscow </w:t>
      </w:r>
      <w:r w:rsidRPr="004866DB">
        <w:rPr>
          <w:iCs/>
        </w:rPr>
        <w:t>v.</w:t>
      </w:r>
      <w:r w:rsidRPr="00C4006B">
        <w:rPr>
          <w:i/>
          <w:iCs/>
        </w:rPr>
        <w:t xml:space="preserve"> Russia</w:t>
      </w:r>
      <w:r>
        <w:t xml:space="preserve"> (application No. </w:t>
      </w:r>
      <w:r w:rsidRPr="00C4006B">
        <w:t>18147/02</w:t>
      </w:r>
      <w:r>
        <w:t xml:space="preserve">), </w:t>
      </w:r>
      <w:r w:rsidRPr="00C4006B">
        <w:t xml:space="preserve">5 April 2007, </w:t>
      </w:r>
      <w:r>
        <w:t>paragraph</w:t>
      </w:r>
      <w:r w:rsidRPr="0081731A">
        <w:t xml:space="preserve"> 92</w:t>
      </w:r>
      <w:r>
        <w:t>,</w:t>
      </w:r>
      <w:r w:rsidRPr="00C4006B">
        <w:t xml:space="preserve"> and </w:t>
      </w:r>
      <w:r>
        <w:t xml:space="preserve">judgment of the European Court of Human Rights in </w:t>
      </w:r>
      <w:r w:rsidRPr="009867D2">
        <w:rPr>
          <w:i/>
        </w:rPr>
        <w:t>Handyside</w:t>
      </w:r>
      <w:r>
        <w:t xml:space="preserve"> v. </w:t>
      </w:r>
      <w:smartTag w:uri="urn:schemas-microsoft-com:office:smarttags" w:element="place">
        <w:smartTag w:uri="urn:schemas-microsoft-com:office:smarttags" w:element="country-region">
          <w:r w:rsidRPr="009867D2">
            <w:rPr>
              <w:i/>
            </w:rPr>
            <w:t>United Kingdom</w:t>
          </w:r>
        </w:smartTag>
      </w:smartTag>
      <w:r>
        <w:t xml:space="preserve"> (application No. 5493/72), </w:t>
      </w:r>
      <w:smartTag w:uri="urn:schemas-microsoft-com:office:smarttags" w:element="date">
        <w:smartTagPr>
          <w:attr w:name="Year" w:val="1976"/>
          <w:attr w:name="Day" w:val="7"/>
          <w:attr w:name="Month" w:val="12"/>
        </w:smartTagPr>
        <w:r>
          <w:t>7 December 1976</w:t>
        </w:r>
      </w:smartTag>
      <w:r>
        <w:t xml:space="preserve">, paragraph 49.  </w:t>
      </w:r>
    </w:p>
  </w:footnote>
  <w:footnote w:id="8">
    <w:p w:rsidR="00757FB7" w:rsidRPr="004B0CBA" w:rsidRDefault="00757FB7" w:rsidP="004B0CBA">
      <w:pPr>
        <w:pStyle w:val="FootnoteText"/>
        <w:jc w:val="both"/>
        <w:rPr>
          <w:lang w:val="ru-RU"/>
        </w:rPr>
      </w:pPr>
      <w:r>
        <w:rPr>
          <w:lang w:val="ru-RU"/>
        </w:rPr>
        <w:tab/>
      </w:r>
      <w:r>
        <w:rPr>
          <w:rStyle w:val="FootnoteReference"/>
        </w:rPr>
        <w:footnoteRef/>
      </w:r>
      <w:r w:rsidRPr="004B0CBA">
        <w:rPr>
          <w:lang w:val="ru-RU"/>
        </w:rPr>
        <w:tab/>
      </w:r>
      <w:r w:rsidRPr="00691B1E">
        <w:t>The</w:t>
      </w:r>
      <w:r w:rsidRPr="004B0CBA">
        <w:rPr>
          <w:lang w:val="ru-RU"/>
        </w:rPr>
        <w:t xml:space="preserve"> </w:t>
      </w:r>
      <w:r w:rsidRPr="00691B1E">
        <w:t>original</w:t>
      </w:r>
      <w:r w:rsidRPr="004B0CBA">
        <w:rPr>
          <w:lang w:val="ru-RU"/>
        </w:rPr>
        <w:t xml:space="preserve"> </w:t>
      </w:r>
      <w:r w:rsidRPr="00691B1E">
        <w:t>text</w:t>
      </w:r>
      <w:r w:rsidRPr="004B0CBA">
        <w:rPr>
          <w:lang w:val="ru-RU"/>
        </w:rPr>
        <w:t xml:space="preserve"> </w:t>
      </w:r>
      <w:r w:rsidRPr="00691B1E">
        <w:t>in</w:t>
      </w:r>
      <w:r w:rsidRPr="004B0CBA">
        <w:rPr>
          <w:lang w:val="ru-RU"/>
        </w:rPr>
        <w:t xml:space="preserve"> </w:t>
      </w:r>
      <w:r w:rsidRPr="00691B1E">
        <w:t>Russian</w:t>
      </w:r>
      <w:r w:rsidRPr="004B0CBA">
        <w:rPr>
          <w:lang w:val="ru-RU"/>
        </w:rPr>
        <w:t xml:space="preserve"> </w:t>
      </w:r>
      <w:r w:rsidRPr="00691B1E">
        <w:t>reads</w:t>
      </w:r>
      <w:r w:rsidRPr="004B0CBA">
        <w:rPr>
          <w:lang w:val="ru-RU"/>
        </w:rPr>
        <w:t xml:space="preserve"> </w:t>
      </w:r>
      <w:r w:rsidRPr="00691B1E">
        <w:t>as</w:t>
      </w:r>
      <w:r w:rsidRPr="004B0CBA">
        <w:rPr>
          <w:lang w:val="ru-RU"/>
        </w:rPr>
        <w:t xml:space="preserve"> </w:t>
      </w:r>
      <w:r w:rsidRPr="00691B1E">
        <w:t>follows</w:t>
      </w:r>
      <w:r w:rsidRPr="004B0CBA">
        <w:rPr>
          <w:lang w:val="ru-RU"/>
        </w:rPr>
        <w:t>: "</w:t>
      </w:r>
      <w:r>
        <w:rPr>
          <w:lang w:val="ru-RU"/>
        </w:rPr>
        <w:t>Административные</w:t>
      </w:r>
      <w:r w:rsidRPr="004B0CBA">
        <w:rPr>
          <w:lang w:val="ru-RU"/>
        </w:rPr>
        <w:t xml:space="preserve"> </w:t>
      </w:r>
      <w:r>
        <w:rPr>
          <w:lang w:val="ru-RU"/>
        </w:rPr>
        <w:t>правонарушения</w:t>
      </w:r>
      <w:r w:rsidRPr="004B0CBA">
        <w:rPr>
          <w:lang w:val="ru-RU"/>
        </w:rPr>
        <w:t xml:space="preserve">, </w:t>
      </w:r>
      <w:r>
        <w:rPr>
          <w:lang w:val="ru-RU"/>
        </w:rPr>
        <w:t>посягающие</w:t>
      </w:r>
      <w:r w:rsidRPr="004B0CBA">
        <w:rPr>
          <w:lang w:val="ru-RU"/>
        </w:rPr>
        <w:t xml:space="preserve"> </w:t>
      </w:r>
      <w:r>
        <w:rPr>
          <w:lang w:val="ru-RU"/>
        </w:rPr>
        <w:t>на здоровье, санитарно-эпидемиологическое благополучие населения и общественную нравственость".</w:t>
      </w:r>
      <w:r w:rsidRPr="004B0CBA">
        <w:rPr>
          <w:lang w:val="ru-RU"/>
        </w:rPr>
        <w:t xml:space="preserve"> </w:t>
      </w:r>
    </w:p>
  </w:footnote>
  <w:footnote w:id="9">
    <w:p w:rsidR="00757FB7" w:rsidRPr="00ED1253" w:rsidRDefault="00757FB7" w:rsidP="00580BAD">
      <w:pPr>
        <w:pStyle w:val="FootnoteText"/>
        <w:jc w:val="both"/>
      </w:pPr>
      <w:r>
        <w:tab/>
      </w:r>
      <w:r>
        <w:rPr>
          <w:rStyle w:val="FootnoteReference"/>
        </w:rPr>
        <w:footnoteRef/>
      </w:r>
      <w:r>
        <w:t xml:space="preserve"> </w:t>
      </w:r>
      <w:r>
        <w:tab/>
        <w:t xml:space="preserve">Reference is made to </w:t>
      </w:r>
      <w:r w:rsidRPr="001F4BE6">
        <w:rPr>
          <w:lang w:val="en-US"/>
        </w:rPr>
        <w:t>letter No. 15</w:t>
      </w:r>
      <w:r>
        <w:rPr>
          <w:lang w:val="en-US"/>
        </w:rPr>
        <w:t xml:space="preserve">36-7/gen of the Supreme Court dated </w:t>
      </w:r>
      <w:smartTag w:uri="urn:schemas-microsoft-com:office:smarttags" w:element="date">
        <w:smartTagPr>
          <w:attr w:name="Month" w:val="8"/>
          <w:attr w:name="Day" w:val="20"/>
          <w:attr w:name="Year" w:val="2003"/>
        </w:smartTagPr>
        <w:r w:rsidRPr="001F4BE6">
          <w:rPr>
            <w:lang w:val="en-US"/>
          </w:rPr>
          <w:t>20</w:t>
        </w:r>
        <w:r>
          <w:rPr>
            <w:lang w:val="en-US"/>
          </w:rPr>
          <w:t xml:space="preserve"> August 2003</w:t>
        </w:r>
      </w:smartTag>
      <w:r>
        <w:rPr>
          <w:lang w:val="en-US"/>
        </w:rPr>
        <w:t xml:space="preserve"> on the explanations in relation to the procedure for entry into force of the rulings and/or decisions on administrative offences when they are being appealed</w:t>
      </w:r>
      <w:r w:rsidRPr="001F4BE6">
        <w:rPr>
          <w:lang w:val="en-US"/>
        </w:rPr>
        <w:t>.</w:t>
      </w:r>
    </w:p>
  </w:footnote>
  <w:footnote w:id="10">
    <w:p w:rsidR="00757FB7" w:rsidRPr="00F4637A" w:rsidRDefault="00757FB7" w:rsidP="00580BAD">
      <w:pPr>
        <w:pStyle w:val="FootnoteText"/>
        <w:jc w:val="both"/>
      </w:pPr>
      <w:r>
        <w:tab/>
      </w:r>
      <w:r>
        <w:rPr>
          <w:rStyle w:val="FootnoteReference"/>
        </w:rPr>
        <w:footnoteRef/>
      </w:r>
      <w:r>
        <w:t xml:space="preserve"> </w:t>
      </w:r>
      <w:r>
        <w:tab/>
        <w:t xml:space="preserve">Reference is made to the decision of the European Court of Human Rights in </w:t>
      </w:r>
      <w:r w:rsidRPr="00F4637A">
        <w:rPr>
          <w:i/>
        </w:rPr>
        <w:t>Martynets</w:t>
      </w:r>
      <w:r w:rsidRPr="00C4006B">
        <w:rPr>
          <w:i/>
          <w:iCs/>
        </w:rPr>
        <w:t xml:space="preserve"> </w:t>
      </w:r>
      <w:r w:rsidRPr="004866DB">
        <w:rPr>
          <w:iCs/>
        </w:rPr>
        <w:t>v.</w:t>
      </w:r>
      <w:r w:rsidRPr="00C4006B">
        <w:rPr>
          <w:i/>
          <w:iCs/>
        </w:rPr>
        <w:t xml:space="preserve"> Russia</w:t>
      </w:r>
      <w:r>
        <w:t xml:space="preserve"> (application No. 29612/09), </w:t>
      </w:r>
      <w:r w:rsidRPr="00747B73">
        <w:rPr>
          <w:lang w:val="en-US"/>
        </w:rPr>
        <w:t>5 November 2009</w:t>
      </w:r>
      <w:r>
        <w:rPr>
          <w:lang w:val="en-US"/>
        </w:rPr>
        <w:t>, in which the Court examined the “new”</w:t>
      </w:r>
      <w:r w:rsidRPr="00747B73">
        <w:rPr>
          <w:lang w:val="en-US"/>
        </w:rPr>
        <w:t xml:space="preserve"> supervisory review </w:t>
      </w:r>
      <w:r w:rsidRPr="00F4637A">
        <w:rPr>
          <w:lang w:val="en-US"/>
        </w:rPr>
        <w:t>procedure (in force since 7 January 2008) governed by the Civil Procedure Code and concluded that “</w:t>
      </w:r>
      <w:r w:rsidRPr="00F4637A">
        <w:t>the supervisory review procedure in the courts of general jurisdiction retain</w:t>
      </w:r>
      <w:r>
        <w:t>s</w:t>
      </w:r>
      <w:r w:rsidRPr="00F4637A">
        <w:t xml:space="preserve"> the essential features that earlier compelled the Court to consider it as being outside the chain of domestic remedies subject to exhaustion under </w:t>
      </w:r>
      <w:r>
        <w:t>A</w:t>
      </w:r>
      <w:r w:rsidRPr="00F4637A">
        <w:t xml:space="preserve">rticle 35, 1 </w:t>
      </w:r>
      <w:r>
        <w:t xml:space="preserve">§ </w:t>
      </w:r>
      <w:r w:rsidRPr="00F4637A">
        <w:t xml:space="preserve">of the Convention”. Furthermore, the Court found that “the supervisory review proceedings in respect of legally binding judgments </w:t>
      </w:r>
      <w:r>
        <w:t>may</w:t>
      </w:r>
      <w:r w:rsidRPr="00F4637A">
        <w:t xml:space="preserve"> still be conducted through multiple instances, with an ensuing risk that the case </w:t>
      </w:r>
      <w:r>
        <w:t>will</w:t>
      </w:r>
      <w:r w:rsidRPr="00F4637A">
        <w:t xml:space="preserve"> go back and forth from one instance to another for an indefinite period”. </w:t>
      </w:r>
    </w:p>
  </w:footnote>
  <w:footnote w:id="11">
    <w:p w:rsidR="00757FB7" w:rsidRPr="00120C92" w:rsidRDefault="00757FB7" w:rsidP="00076AB4">
      <w:pPr>
        <w:pStyle w:val="FootnoteText"/>
        <w:jc w:val="both"/>
      </w:pPr>
      <w:r>
        <w:tab/>
      </w:r>
      <w:r>
        <w:rPr>
          <w:rStyle w:val="FootnoteReference"/>
        </w:rPr>
        <w:footnoteRef/>
      </w:r>
      <w:r w:rsidRPr="00120C92">
        <w:t xml:space="preserve"> </w:t>
      </w:r>
      <w:r>
        <w:tab/>
      </w:r>
      <w:r w:rsidRPr="00120C92">
        <w:t xml:space="preserve">Communication No. 61/1979, </w:t>
      </w:r>
      <w:r w:rsidRPr="00120C92">
        <w:rPr>
          <w:i/>
          <w:iCs/>
        </w:rPr>
        <w:t>Hertzberg et al.</w:t>
      </w:r>
      <w:r w:rsidRPr="00120C92">
        <w:t xml:space="preserve"> v. </w:t>
      </w:r>
      <w:smartTag w:uri="urn:schemas-microsoft-com:office:smarttags" w:element="place">
        <w:smartTag w:uri="urn:schemas-microsoft-com:office:smarttags" w:element="country-region">
          <w:r w:rsidRPr="00120C92">
            <w:rPr>
              <w:i/>
              <w:iCs/>
            </w:rPr>
            <w:t>Finland</w:t>
          </w:r>
        </w:smartTag>
      </w:smartTag>
      <w:r w:rsidRPr="00120C92">
        <w:t xml:space="preserve">, Views adopted on </w:t>
      </w:r>
      <w:smartTag w:uri="urn:schemas-microsoft-com:office:smarttags" w:element="date">
        <w:smartTagPr>
          <w:attr w:name="Month" w:val="4"/>
          <w:attr w:name="Day" w:val="2"/>
          <w:attr w:name="Year" w:val="1982"/>
        </w:smartTagPr>
        <w:r w:rsidRPr="00120C92">
          <w:t>2 April 1982</w:t>
        </w:r>
      </w:smartTag>
      <w:r w:rsidRPr="00120C92">
        <w:t>.</w:t>
      </w:r>
    </w:p>
  </w:footnote>
  <w:footnote w:id="12">
    <w:p w:rsidR="00757FB7" w:rsidRPr="00B1630F" w:rsidRDefault="00757FB7" w:rsidP="00580BAD">
      <w:pPr>
        <w:pStyle w:val="FootnoteText"/>
        <w:jc w:val="both"/>
      </w:pPr>
      <w:r>
        <w:tab/>
      </w:r>
      <w:r>
        <w:rPr>
          <w:rStyle w:val="FootnoteReference"/>
        </w:rPr>
        <w:footnoteRef/>
      </w:r>
      <w:r>
        <w:t xml:space="preserve"> </w:t>
      </w:r>
      <w:r>
        <w:tab/>
        <w:t xml:space="preserve">Reference is made to communication No. 488/1992, </w:t>
      </w:r>
      <w:r w:rsidRPr="00B1630F">
        <w:rPr>
          <w:i/>
          <w:iCs/>
        </w:rPr>
        <w:t>Toonen</w:t>
      </w:r>
      <w:r>
        <w:t xml:space="preserve"> v. </w:t>
      </w:r>
      <w:smartTag w:uri="urn:schemas-microsoft-com:office:smarttags" w:element="country-region">
        <w:smartTag w:uri="urn:schemas-microsoft-com:office:smarttags" w:element="place">
          <w:r w:rsidRPr="00B1630F">
            <w:rPr>
              <w:i/>
              <w:iCs/>
            </w:rPr>
            <w:t>Australia</w:t>
          </w:r>
        </w:smartTag>
      </w:smartTag>
      <w:r>
        <w:t xml:space="preserve">, Views adopted on 31 March 1994, paragraph 8.7. </w:t>
      </w:r>
    </w:p>
  </w:footnote>
  <w:footnote w:id="13">
    <w:p w:rsidR="00757FB7" w:rsidRPr="00AE092A" w:rsidRDefault="00757FB7" w:rsidP="00580BAD">
      <w:pPr>
        <w:pStyle w:val="FootnoteText"/>
        <w:jc w:val="both"/>
      </w:pPr>
      <w:r>
        <w:tab/>
      </w:r>
      <w:r>
        <w:rPr>
          <w:rStyle w:val="FootnoteReference"/>
        </w:rPr>
        <w:footnoteRef/>
      </w:r>
      <w:r>
        <w:t xml:space="preserve"> </w:t>
      </w:r>
      <w:r>
        <w:tab/>
        <w:t xml:space="preserve">Reference is made to the Individual Opinion of Torkel Opsahl in </w:t>
      </w:r>
      <w:r w:rsidRPr="00120C92">
        <w:rPr>
          <w:i/>
          <w:iCs/>
        </w:rPr>
        <w:t>Hertzberg et al.</w:t>
      </w:r>
      <w:r w:rsidRPr="00120C92">
        <w:t xml:space="preserve"> v. </w:t>
      </w:r>
      <w:smartTag w:uri="urn:schemas-microsoft-com:office:smarttags" w:element="country-region">
        <w:smartTag w:uri="urn:schemas-microsoft-com:office:smarttags" w:element="place">
          <w:r w:rsidRPr="00120C92">
            <w:rPr>
              <w:i/>
              <w:iCs/>
            </w:rPr>
            <w:t>Finland</w:t>
          </w:r>
        </w:smartTag>
      </w:smartTag>
      <w:r>
        <w:t>.</w:t>
      </w:r>
    </w:p>
  </w:footnote>
  <w:footnote w:id="14">
    <w:p w:rsidR="00757FB7" w:rsidRPr="00E90143" w:rsidRDefault="00757FB7" w:rsidP="00580BAD">
      <w:pPr>
        <w:pStyle w:val="FootnoteText"/>
        <w:jc w:val="both"/>
      </w:pPr>
      <w:r>
        <w:tab/>
      </w:r>
      <w:r>
        <w:rPr>
          <w:rStyle w:val="FootnoteReference"/>
        </w:rPr>
        <w:footnoteRef/>
      </w:r>
      <w:r>
        <w:t xml:space="preserve"> </w:t>
      </w:r>
      <w:r>
        <w:tab/>
        <w:t xml:space="preserve">Reference is made to </w:t>
      </w:r>
      <w:r w:rsidRPr="00B1630F">
        <w:rPr>
          <w:i/>
          <w:iCs/>
        </w:rPr>
        <w:t>Toonen</w:t>
      </w:r>
      <w:r>
        <w:t xml:space="preserve"> v. </w:t>
      </w:r>
      <w:smartTag w:uri="urn:schemas-microsoft-com:office:smarttags" w:element="country-region">
        <w:r w:rsidRPr="00B1630F">
          <w:rPr>
            <w:i/>
            <w:iCs/>
          </w:rPr>
          <w:t>Australia</w:t>
        </w:r>
      </w:smartTag>
      <w:r>
        <w:t xml:space="preserve">; and judgment of the European Court of Human Rights in </w:t>
      </w:r>
      <w:r w:rsidRPr="00E90143">
        <w:rPr>
          <w:i/>
          <w:iCs/>
        </w:rPr>
        <w:t>Dudgeon</w:t>
      </w:r>
      <w:r>
        <w:t xml:space="preserve"> v. </w:t>
      </w:r>
      <w:smartTag w:uri="urn:schemas-microsoft-com:office:smarttags" w:element="place">
        <w:smartTag w:uri="urn:schemas-microsoft-com:office:smarttags" w:element="country-region">
          <w:r w:rsidRPr="009867D2">
            <w:rPr>
              <w:i/>
            </w:rPr>
            <w:t>United Kingdom</w:t>
          </w:r>
        </w:smartTag>
      </w:smartTag>
      <w:r>
        <w:t xml:space="preserve"> (application No. 7525/76), </w:t>
      </w:r>
      <w:smartTag w:uri="urn:schemas-microsoft-com:office:smarttags" w:element="date">
        <w:smartTagPr>
          <w:attr w:name="Month" w:val="10"/>
          <w:attr w:name="Day" w:val="22"/>
          <w:attr w:name="Year" w:val="1981"/>
        </w:smartTagPr>
        <w:r>
          <w:t>22 October 1981</w:t>
        </w:r>
      </w:smartTag>
      <w:r>
        <w:t xml:space="preserve">.  </w:t>
      </w:r>
    </w:p>
  </w:footnote>
  <w:footnote w:id="15">
    <w:p w:rsidR="00757FB7" w:rsidRPr="00C3670B" w:rsidRDefault="00757FB7" w:rsidP="00076AB4">
      <w:pPr>
        <w:pStyle w:val="FootnoteText"/>
        <w:jc w:val="both"/>
      </w:pPr>
      <w:r>
        <w:tab/>
      </w:r>
      <w:r>
        <w:rPr>
          <w:rStyle w:val="FootnoteReference"/>
        </w:rPr>
        <w:footnoteRef/>
      </w:r>
      <w:r>
        <w:t xml:space="preserve"> </w:t>
      </w:r>
      <w:r>
        <w:tab/>
        <w:t xml:space="preserve">Reference is made to </w:t>
      </w:r>
      <w:r w:rsidRPr="00B1630F">
        <w:rPr>
          <w:i/>
          <w:iCs/>
        </w:rPr>
        <w:t>Toonen</w:t>
      </w:r>
      <w:r>
        <w:t xml:space="preserve"> v. </w:t>
      </w:r>
      <w:smartTag w:uri="urn:schemas-microsoft-com:office:smarttags" w:element="country-region">
        <w:r w:rsidRPr="00B1630F">
          <w:rPr>
            <w:i/>
            <w:iCs/>
          </w:rPr>
          <w:t>Australia</w:t>
        </w:r>
      </w:smartTag>
      <w:r>
        <w:t xml:space="preserve">; communication No. 941/2000, </w:t>
      </w:r>
      <w:r w:rsidRPr="00C3670B">
        <w:rPr>
          <w:i/>
          <w:iCs/>
        </w:rPr>
        <w:t xml:space="preserve">Young </w:t>
      </w:r>
      <w:r>
        <w:t xml:space="preserve">v. </w:t>
      </w:r>
      <w:smartTag w:uri="urn:schemas-microsoft-com:office:smarttags" w:element="country-region">
        <w:smartTag w:uri="urn:schemas-microsoft-com:office:smarttags" w:element="place">
          <w:r w:rsidRPr="00C3670B">
            <w:rPr>
              <w:i/>
              <w:iCs/>
            </w:rPr>
            <w:t>Australia</w:t>
          </w:r>
        </w:smartTag>
      </w:smartTag>
      <w:r>
        <w:t xml:space="preserve">, Views adopted on 6 August 2003, paragraph 10.4. See also, general comment No. 20 (2009) of the Committee on Economic, Social and Cultural Rights on non-discrimination in economic, social and cultural rights, </w:t>
      </w:r>
      <w:r>
        <w:rPr>
          <w:i/>
        </w:rPr>
        <w:t xml:space="preserve">Official Records of the Economic and Social Council, 2010, Supplement No. 2 </w:t>
      </w:r>
      <w:r>
        <w:t xml:space="preserve">(E/2010/22), </w:t>
      </w:r>
      <w:r w:rsidRPr="00FF41D4">
        <w:t>annex</w:t>
      </w:r>
      <w:r>
        <w:t xml:space="preserve"> VI, para. 32; general comment No. 2 (2007) of the Committee against Torture on implementation of article 2 by States parties, </w:t>
      </w:r>
      <w:r>
        <w:rPr>
          <w:i/>
        </w:rPr>
        <w:t xml:space="preserve">Official Records of the General Assembly, Sixty-third Session, Supplement No. 44 </w:t>
      </w:r>
      <w:r>
        <w:t xml:space="preserve">(A/63/44), annex VI, para. 21; general comment No. 4 (2003) of the Committee on the Rights of the Child on adolescent health and development in the context of the Convention on the Rights of the Child, </w:t>
      </w:r>
      <w:r>
        <w:rPr>
          <w:i/>
        </w:rPr>
        <w:t xml:space="preserve">Official Records of the General Assembly, Fifty-ninth Session, Supplement No. 41 </w:t>
      </w:r>
      <w:r>
        <w:t>(A/59/41), annex X, para. 6.</w:t>
      </w:r>
    </w:p>
  </w:footnote>
  <w:footnote w:id="16">
    <w:p w:rsidR="00757FB7" w:rsidRPr="00B866F0" w:rsidRDefault="00757FB7" w:rsidP="00580BAD">
      <w:pPr>
        <w:pStyle w:val="FootnoteText"/>
        <w:jc w:val="both"/>
      </w:pPr>
      <w:r>
        <w:tab/>
      </w:r>
      <w:r>
        <w:rPr>
          <w:rStyle w:val="FootnoteReference"/>
        </w:rPr>
        <w:footnoteRef/>
      </w:r>
      <w:r>
        <w:t xml:space="preserve"> </w:t>
      </w:r>
      <w:r>
        <w:tab/>
        <w:t xml:space="preserve">Reference is made to the recommendation CM/Rec(2010)5 of the Committee of Ministers of the Council of Europe to member states on measures to combat discrimination on grounds of sexual orientation or gender identity, adopted on 31 March 2010. Available from </w:t>
      </w:r>
      <w:r w:rsidRPr="009840F5">
        <w:t>https://wcd.coe.int/ViewDoc.jsp?id=1606669</w:t>
      </w:r>
      <w:r>
        <w:t>.</w:t>
      </w:r>
    </w:p>
  </w:footnote>
  <w:footnote w:id="17">
    <w:p w:rsidR="00757FB7" w:rsidRPr="002B1AD5" w:rsidRDefault="00757FB7" w:rsidP="00580BAD">
      <w:pPr>
        <w:pStyle w:val="FootnoteText"/>
        <w:jc w:val="both"/>
      </w:pPr>
      <w:r>
        <w:tab/>
      </w:r>
      <w:r>
        <w:rPr>
          <w:rStyle w:val="FootnoteReference"/>
        </w:rPr>
        <w:footnoteRef/>
      </w:r>
      <w:r>
        <w:t xml:space="preserve"> </w:t>
      </w:r>
      <w:r>
        <w:tab/>
        <w:t xml:space="preserve">Siracusa Principles on the Limitation and Derogation of Provisions in the International Covenant on Civil and Political Rights, annex, E/CN.4/1985/4, principle 2; Committee’s general comment No. 22 </w:t>
      </w:r>
      <w:r w:rsidRPr="008765F8">
        <w:rPr>
          <w:szCs w:val="24"/>
        </w:rPr>
        <w:t>(</w:t>
      </w:r>
      <w:r>
        <w:rPr>
          <w:szCs w:val="24"/>
        </w:rPr>
        <w:t>1993</w:t>
      </w:r>
      <w:r w:rsidRPr="008765F8">
        <w:rPr>
          <w:szCs w:val="24"/>
        </w:rPr>
        <w:t xml:space="preserve">) </w:t>
      </w:r>
      <w:r>
        <w:rPr>
          <w:szCs w:val="24"/>
        </w:rPr>
        <w:t>on t</w:t>
      </w:r>
      <w:r w:rsidRPr="001A6945">
        <w:rPr>
          <w:szCs w:val="24"/>
        </w:rPr>
        <w:t>he right to freedom of thought, conscience and religion</w:t>
      </w:r>
      <w:r>
        <w:rPr>
          <w:szCs w:val="24"/>
        </w:rPr>
        <w:t>,</w:t>
      </w:r>
      <w:r w:rsidRPr="00D95062">
        <w:rPr>
          <w:i/>
          <w:iCs/>
        </w:rPr>
        <w:t xml:space="preserve"> </w:t>
      </w:r>
      <w:r w:rsidRPr="00905474">
        <w:rPr>
          <w:i/>
          <w:iCs/>
        </w:rPr>
        <w:t>Official Records of the General Assembly, Forty-eighth Session, Supplement No. 40</w:t>
      </w:r>
      <w:r w:rsidRPr="00905474">
        <w:t xml:space="preserve"> (A/48/40), annex VI</w:t>
      </w:r>
      <w:r>
        <w:t>, para. 8.</w:t>
      </w:r>
    </w:p>
  </w:footnote>
  <w:footnote w:id="18">
    <w:p w:rsidR="00757FB7" w:rsidRPr="002114F8" w:rsidRDefault="00757FB7" w:rsidP="00580BAD">
      <w:pPr>
        <w:pStyle w:val="FootnoteText"/>
        <w:jc w:val="both"/>
      </w:pPr>
      <w:r>
        <w:tab/>
      </w:r>
      <w:r>
        <w:rPr>
          <w:rStyle w:val="FootnoteReference"/>
        </w:rPr>
        <w:footnoteRef/>
      </w:r>
      <w:r>
        <w:t xml:space="preserve"> </w:t>
      </w:r>
      <w:r>
        <w:tab/>
        <w:t xml:space="preserve">Committee’s general comment No. 22, para. 8; and the Individual Opinion of Torkel Opsahl in </w:t>
      </w:r>
      <w:r w:rsidRPr="00120C92">
        <w:rPr>
          <w:i/>
          <w:iCs/>
        </w:rPr>
        <w:t>Hertzberg et al.</w:t>
      </w:r>
      <w:r w:rsidRPr="00120C92">
        <w:t xml:space="preserve"> v. </w:t>
      </w:r>
      <w:smartTag w:uri="urn:schemas-microsoft-com:office:smarttags" w:element="country-region">
        <w:smartTag w:uri="urn:schemas-microsoft-com:office:smarttags" w:element="place">
          <w:r w:rsidRPr="00120C92">
            <w:rPr>
              <w:i/>
              <w:iCs/>
            </w:rPr>
            <w:t>Finland</w:t>
          </w:r>
        </w:smartTag>
      </w:smartTag>
      <w:r>
        <w:t>.</w:t>
      </w:r>
    </w:p>
  </w:footnote>
  <w:footnote w:id="19">
    <w:p w:rsidR="00757FB7" w:rsidRPr="00184CAE" w:rsidRDefault="00757FB7" w:rsidP="00580BAD">
      <w:pPr>
        <w:pStyle w:val="FootnoteText"/>
        <w:jc w:val="both"/>
      </w:pPr>
      <w:r>
        <w:tab/>
      </w:r>
      <w:r>
        <w:rPr>
          <w:rStyle w:val="FootnoteReference"/>
        </w:rPr>
        <w:footnoteRef/>
      </w:r>
      <w:r>
        <w:t xml:space="preserve"> </w:t>
      </w:r>
      <w:r>
        <w:tab/>
        <w:t xml:space="preserve">Reference is made to the Committee’s general comment No. 18 (1989) on non-discrimination, </w:t>
      </w:r>
      <w:r w:rsidRPr="00D95062">
        <w:rPr>
          <w:i/>
          <w:iCs/>
        </w:rPr>
        <w:t>Official Records of the General Assembly, Forty-fifth Session, Supplement No. 40</w:t>
      </w:r>
      <w:r w:rsidRPr="00D95062">
        <w:rPr>
          <w:iCs/>
        </w:rPr>
        <w:t xml:space="preserve">, </w:t>
      </w:r>
      <w:r w:rsidRPr="00D95062">
        <w:t>vol. I (A/45/40 (Vol. I)), annex VI, sect. A</w:t>
      </w:r>
      <w:r>
        <w:t>,</w:t>
      </w:r>
      <w:r w:rsidRPr="00D95062" w:rsidDel="00D95062">
        <w:t xml:space="preserve"> </w:t>
      </w:r>
      <w:r>
        <w:t>paragraph 13.</w:t>
      </w:r>
    </w:p>
  </w:footnote>
  <w:footnote w:id="20">
    <w:p w:rsidR="00757FB7" w:rsidRPr="00AA019B" w:rsidRDefault="00757FB7" w:rsidP="00580BAD">
      <w:pPr>
        <w:pStyle w:val="FootnoteText"/>
        <w:jc w:val="both"/>
      </w:pPr>
      <w:r>
        <w:tab/>
      </w:r>
      <w:r>
        <w:rPr>
          <w:rStyle w:val="FootnoteReference"/>
        </w:rPr>
        <w:footnoteRef/>
      </w:r>
      <w:r>
        <w:tab/>
        <w:t>General comment No. 20 (2009) of the Committee on Economic, Social and Cultural Rights, para. 13.</w:t>
      </w:r>
    </w:p>
  </w:footnote>
  <w:footnote w:id="21">
    <w:p w:rsidR="00757FB7" w:rsidRPr="00965E2D" w:rsidRDefault="00757FB7" w:rsidP="00580BAD">
      <w:pPr>
        <w:pStyle w:val="FootnoteText"/>
        <w:jc w:val="both"/>
      </w:pPr>
      <w:r>
        <w:tab/>
      </w:r>
      <w:r>
        <w:rPr>
          <w:rStyle w:val="FootnoteReference"/>
        </w:rPr>
        <w:footnoteRef/>
      </w:r>
      <w:r>
        <w:t xml:space="preserve"> </w:t>
      </w:r>
      <w:r>
        <w:tab/>
        <w:t xml:space="preserve">Reference is made to </w:t>
      </w:r>
      <w:r w:rsidRPr="00B1630F">
        <w:rPr>
          <w:i/>
          <w:iCs/>
        </w:rPr>
        <w:t>Toonen</w:t>
      </w:r>
      <w:r>
        <w:t xml:space="preserve"> v. </w:t>
      </w:r>
      <w:r w:rsidRPr="00B1630F">
        <w:rPr>
          <w:i/>
          <w:iCs/>
        </w:rPr>
        <w:t>Australia</w:t>
      </w:r>
      <w:r>
        <w:t xml:space="preserve">, paragraph 8.6; and judgment of the European Court of Human Rights in </w:t>
      </w:r>
      <w:r w:rsidRPr="00965E2D">
        <w:rPr>
          <w:i/>
          <w:iCs/>
        </w:rPr>
        <w:t xml:space="preserve">Open </w:t>
      </w:r>
      <w:r>
        <w:rPr>
          <w:i/>
          <w:iCs/>
        </w:rPr>
        <w:t xml:space="preserve">Door and Dublin Well Woman </w:t>
      </w:r>
      <w:r w:rsidRPr="00965E2D">
        <w:t xml:space="preserve">v. </w:t>
      </w:r>
      <w:r>
        <w:rPr>
          <w:i/>
          <w:iCs/>
        </w:rPr>
        <w:t xml:space="preserve">Ireland </w:t>
      </w:r>
      <w:r>
        <w:t xml:space="preserve">(applications Nos. 14234/88 and 14235/88), 29 October 1992, paragraphs 65–66.  </w:t>
      </w:r>
    </w:p>
  </w:footnote>
  <w:footnote w:id="22">
    <w:p w:rsidR="00757FB7" w:rsidRPr="00410BCE" w:rsidRDefault="00757FB7" w:rsidP="00580BAD">
      <w:pPr>
        <w:pStyle w:val="FootnoteText"/>
        <w:jc w:val="both"/>
      </w:pPr>
      <w:r>
        <w:tab/>
      </w:r>
      <w:r>
        <w:rPr>
          <w:rStyle w:val="FootnoteReference"/>
        </w:rPr>
        <w:footnoteRef/>
      </w:r>
      <w:r>
        <w:t xml:space="preserve"> </w:t>
      </w:r>
      <w:r>
        <w:tab/>
        <w:t xml:space="preserve">The legal opinion, </w:t>
      </w:r>
      <w:r w:rsidRPr="00310DD1">
        <w:rPr>
          <w:iCs/>
        </w:rPr>
        <w:t>inter alia</w:t>
      </w:r>
      <w:r w:rsidRPr="00310DD1">
        <w:t>,</w:t>
      </w:r>
      <w:r>
        <w:t xml:space="preserve"> quotes the case law of the United States Supreme Court, the Constitutional Court of South Africa and the Philippines Supreme Court.     </w:t>
      </w:r>
    </w:p>
  </w:footnote>
  <w:footnote w:id="23">
    <w:p w:rsidR="00757FB7" w:rsidRPr="00D43FEE" w:rsidRDefault="00757FB7" w:rsidP="00580BAD">
      <w:pPr>
        <w:pStyle w:val="FootnoteText"/>
        <w:jc w:val="both"/>
      </w:pPr>
      <w:r>
        <w:tab/>
      </w:r>
      <w:r>
        <w:rPr>
          <w:rStyle w:val="FootnoteReference"/>
        </w:rPr>
        <w:footnoteRef/>
      </w:r>
      <w:r>
        <w:t xml:space="preserve"> </w:t>
      </w:r>
      <w:r>
        <w:tab/>
        <w:t xml:space="preserve">Reference is also made to the general comment No. 3 (2003) of the Committee on the Rights of the Child on HIV/AIDS and the Rights of the Child, </w:t>
      </w:r>
      <w:r>
        <w:rPr>
          <w:i/>
        </w:rPr>
        <w:t>Official Records of the General Assembly, Fifty-ninth Session, Supplement No. 41</w:t>
      </w:r>
      <w:r>
        <w:t xml:space="preserve"> (A59/41), annex IX, para. 16; and the concluding observations of the Committee on the Rights of the Child on the second periodic report of the</w:t>
      </w:r>
      <w:r w:rsidRPr="002F7C4F">
        <w:t xml:space="preserve"> </w:t>
      </w:r>
      <w:r>
        <w:t xml:space="preserve">United Kingdom of Great Britain and Northern Ireland, CRC/C/15/Add.188, para. 44 (d). </w:t>
      </w:r>
    </w:p>
  </w:footnote>
  <w:footnote w:id="24">
    <w:p w:rsidR="00757FB7" w:rsidRPr="0045313A" w:rsidRDefault="00757FB7" w:rsidP="00580BAD">
      <w:pPr>
        <w:pStyle w:val="FootnoteText"/>
        <w:jc w:val="both"/>
      </w:pPr>
      <w:r>
        <w:tab/>
      </w:r>
      <w:r>
        <w:rPr>
          <w:rStyle w:val="FootnoteReference"/>
        </w:rPr>
        <w:footnoteRef/>
      </w:r>
      <w:r>
        <w:t xml:space="preserve"> </w:t>
      </w:r>
      <w:r>
        <w:tab/>
        <w:t xml:space="preserve">Reference is made to the reports of the Special Rapporteur on the right to education, A/HRC/8/10/Add.1, paragraphs 79–84, and A/HRC/4/29/Add.1, paragraphs 34–37. See also, decision of the European Committee of Social Rights, </w:t>
      </w:r>
      <w:r w:rsidRPr="0045313A">
        <w:rPr>
          <w:i/>
          <w:iCs/>
        </w:rPr>
        <w:t>INTERIGHTS</w:t>
      </w:r>
      <w:r>
        <w:t xml:space="preserve"> v. </w:t>
      </w:r>
      <w:smartTag w:uri="urn:schemas-microsoft-com:office:smarttags" w:element="country-region">
        <w:smartTag w:uri="urn:schemas-microsoft-com:office:smarttags" w:element="place">
          <w:r w:rsidRPr="0045313A">
            <w:rPr>
              <w:i/>
              <w:iCs/>
            </w:rPr>
            <w:t>Croatia</w:t>
          </w:r>
        </w:smartTag>
      </w:smartTag>
      <w:r>
        <w:rPr>
          <w:i/>
          <w:iCs/>
        </w:rPr>
        <w:t xml:space="preserve"> </w:t>
      </w:r>
      <w:r>
        <w:rPr>
          <w:iCs/>
        </w:rPr>
        <w:t>(complaint No. 45/2007)</w:t>
      </w:r>
      <w:r>
        <w:t>, 30 March 2009.</w:t>
      </w:r>
    </w:p>
  </w:footnote>
  <w:footnote w:id="25">
    <w:p w:rsidR="00757FB7" w:rsidRPr="00DF1E47" w:rsidRDefault="00757FB7" w:rsidP="00076AB4">
      <w:pPr>
        <w:pStyle w:val="FootnoteText"/>
        <w:jc w:val="both"/>
      </w:pPr>
      <w:r>
        <w:tab/>
      </w:r>
      <w:r>
        <w:rPr>
          <w:rStyle w:val="FootnoteReference"/>
        </w:rPr>
        <w:footnoteRef/>
      </w:r>
      <w:r>
        <w:t xml:space="preserve"> </w:t>
      </w:r>
      <w:r>
        <w:tab/>
        <w:t xml:space="preserve">Emphasis added by the State party. </w:t>
      </w:r>
    </w:p>
  </w:footnote>
  <w:footnote w:id="26">
    <w:p w:rsidR="00757FB7" w:rsidRPr="004408DB" w:rsidRDefault="00757FB7" w:rsidP="00580BAD">
      <w:pPr>
        <w:pStyle w:val="FootnoteText"/>
        <w:jc w:val="both"/>
      </w:pPr>
      <w:r>
        <w:tab/>
      </w:r>
      <w:r>
        <w:rPr>
          <w:rStyle w:val="FootnoteReference"/>
        </w:rPr>
        <w:footnoteRef/>
      </w:r>
      <w:r>
        <w:t xml:space="preserve"> </w:t>
      </w:r>
      <w:r>
        <w:tab/>
        <w:t xml:space="preserve">Judgment of the European Court of Human Rights in </w:t>
      </w:r>
      <w:r w:rsidRPr="004408DB">
        <w:rPr>
          <w:i/>
          <w:iCs/>
        </w:rPr>
        <w:t>Alekseyev</w:t>
      </w:r>
      <w:r>
        <w:t xml:space="preserve"> v. </w:t>
      </w:r>
      <w:smartTag w:uri="urn:schemas-microsoft-com:office:smarttags" w:element="place">
        <w:smartTag w:uri="urn:schemas-microsoft-com:office:smarttags" w:element="country-region">
          <w:r w:rsidRPr="004408DB">
            <w:rPr>
              <w:i/>
              <w:iCs/>
            </w:rPr>
            <w:t>Russia</w:t>
          </w:r>
        </w:smartTag>
      </w:smartTag>
      <w:r>
        <w:rPr>
          <w:i/>
          <w:iCs/>
        </w:rPr>
        <w:t xml:space="preserve"> </w:t>
      </w:r>
      <w:r>
        <w:t xml:space="preserve">(applications Nos. 4916/07, 25924/08 and 14599/09), </w:t>
      </w:r>
      <w:smartTag w:uri="urn:schemas-microsoft-com:office:smarttags" w:element="date">
        <w:smartTagPr>
          <w:attr w:name="Month" w:val="10"/>
          <w:attr w:name="Day" w:val="21"/>
          <w:attr w:name="Year" w:val="2010"/>
        </w:smartTagPr>
        <w:r>
          <w:t>21 October 2010</w:t>
        </w:r>
      </w:smartTag>
      <w:r>
        <w:t>, paras. 82–84. The Court found a violation of article 11; article 13 in conjunction with article 11; and article 14 in conjunction with article 11 of the European Convention.</w:t>
      </w:r>
    </w:p>
  </w:footnote>
  <w:footnote w:id="27">
    <w:p w:rsidR="00757FB7" w:rsidRPr="00885E75" w:rsidRDefault="00757FB7" w:rsidP="00580BAD">
      <w:pPr>
        <w:pStyle w:val="FootnoteText"/>
        <w:jc w:val="both"/>
      </w:pPr>
      <w:r>
        <w:tab/>
      </w:r>
      <w:r>
        <w:rPr>
          <w:rStyle w:val="FootnoteReference"/>
        </w:rPr>
        <w:footnoteRef/>
      </w:r>
      <w:r>
        <w:t xml:space="preserve"> </w:t>
      </w:r>
      <w:r>
        <w:tab/>
        <w:t>Notably: (</w:t>
      </w:r>
      <w:r w:rsidRPr="009F6B25">
        <w:t xml:space="preserve">a) On </w:t>
      </w:r>
      <w:r w:rsidRPr="009F6B25">
        <w:rPr>
          <w:lang w:val="en-US"/>
        </w:rPr>
        <w:t xml:space="preserve">28 September 2011, </w:t>
      </w:r>
      <w:r>
        <w:rPr>
          <w:lang w:val="en-US"/>
        </w:rPr>
        <w:t>the P</w:t>
      </w:r>
      <w:r w:rsidRPr="009F6B25">
        <w:rPr>
          <w:lang w:val="en-US"/>
        </w:rPr>
        <w:t>arliament of the Arkhangelsk Region passed a similar law which</w:t>
      </w:r>
      <w:r w:rsidRPr="009F6B25">
        <w:t xml:space="preserve"> prohibited propaganda of homosexuality among minors. This law came into force in October 2011. On 16 November 2011, the same Parliament passed amendments to the Arkhangelsk Region Law on Administrative Offences establishing administrative liability for propaganda of homosexuality among minors</w:t>
      </w:r>
      <w:r>
        <w:t>; (b) on 16 November 2011, the St. Petersburg Legislative Assembly adopted at its first reading a law which prohibited “propaganda of sexual act between men, lesbianism, bisexualism, transgenderism and paedophilia” and introduced fines for such actions. According to the media reports, an amendment of 7 March 2012 to the Law on Administrative Offences in St. Petersburg established administrative liability for “public actions aimed at propaganda of sexual act between men, lesbianism, bisexualism and transgenderism among minors” (art. 7.1) and “public actions aimed at propaganda of paedophilia” (art. 7.2); (c) on 16 November 2011, the speaker of the Moscow City Duma (parliament) said in an interview that a law banning propaganda of homosexuality among minors would definitely be passed in Moscow; (d) on 17 November 2011, the speaker of the Federation Council (upper chamber of the State Duma) supported introduction of a similar law on federal level.</w:t>
      </w:r>
    </w:p>
  </w:footnote>
  <w:footnote w:id="28">
    <w:p w:rsidR="00757FB7" w:rsidRPr="00D924C8" w:rsidRDefault="00757FB7" w:rsidP="00580BAD">
      <w:pPr>
        <w:pStyle w:val="FootnoteText"/>
        <w:jc w:val="both"/>
      </w:pPr>
      <w:r>
        <w:tab/>
      </w:r>
      <w:r>
        <w:rPr>
          <w:rStyle w:val="FootnoteReference"/>
        </w:rPr>
        <w:footnoteRef/>
      </w:r>
      <w:r>
        <w:t xml:space="preserve"> </w:t>
      </w:r>
      <w:r>
        <w:tab/>
        <w:t xml:space="preserve">Earlier attempts to introduce a similar law were taken on the national level in </w:t>
      </w:r>
      <w:smartTag w:uri="urn:schemas-microsoft-com:office:smarttags" w:element="place">
        <w:smartTag w:uri="urn:schemas-microsoft-com:office:smarttags" w:element="country-region">
          <w:r>
            <w:t>Lithuania</w:t>
          </w:r>
        </w:smartTag>
      </w:smartTag>
      <w:r>
        <w:t xml:space="preserve">. The proposals were rejected only after the intervention from the European Union. A similar law which prohibits propaganda of homosexuality is currently being discussed in </w:t>
      </w:r>
      <w:smartTag w:uri="urn:schemas-microsoft-com:office:smarttags" w:element="place">
        <w:smartTag w:uri="urn:schemas-microsoft-com:office:smarttags" w:element="country-region">
          <w:r>
            <w:t>Ukraine</w:t>
          </w:r>
        </w:smartTag>
      </w:smartTag>
      <w:r>
        <w:t>.</w:t>
      </w:r>
    </w:p>
  </w:footnote>
  <w:footnote w:id="29">
    <w:p w:rsidR="00757FB7" w:rsidRPr="00D466DB" w:rsidRDefault="00757FB7" w:rsidP="00076AB4">
      <w:pPr>
        <w:pStyle w:val="FootnoteText"/>
        <w:jc w:val="both"/>
      </w:pPr>
      <w:r>
        <w:tab/>
      </w:r>
      <w:r>
        <w:rPr>
          <w:rStyle w:val="FootnoteReference"/>
        </w:rPr>
        <w:footnoteRef/>
      </w:r>
      <w:r>
        <w:t xml:space="preserve"> </w:t>
      </w:r>
      <w:r>
        <w:tab/>
        <w:t xml:space="preserve">See communication No. 4/1977, </w:t>
      </w:r>
      <w:r w:rsidRPr="00D466DB">
        <w:rPr>
          <w:i/>
        </w:rPr>
        <w:t>Ramirez</w:t>
      </w:r>
      <w:r>
        <w:t xml:space="preserve"> v. </w:t>
      </w:r>
      <w:smartTag w:uri="urn:schemas-microsoft-com:office:smarttags" w:element="place">
        <w:smartTag w:uri="urn:schemas-microsoft-com:office:smarttags" w:element="country-region">
          <w:r w:rsidRPr="00D466DB">
            <w:rPr>
              <w:i/>
            </w:rPr>
            <w:t>Uruguay</w:t>
          </w:r>
        </w:smartTag>
      </w:smartTag>
      <w:r>
        <w:t xml:space="preserve">, Views adopted on 23 July 1980, para. 5. </w:t>
      </w:r>
    </w:p>
  </w:footnote>
  <w:footnote w:id="30">
    <w:p w:rsidR="00757FB7" w:rsidRPr="00E664DF" w:rsidRDefault="00757FB7" w:rsidP="00076AB4">
      <w:pPr>
        <w:pStyle w:val="FootnoteText"/>
        <w:jc w:val="both"/>
      </w:pPr>
      <w:r>
        <w:tab/>
      </w:r>
      <w:r>
        <w:rPr>
          <w:rStyle w:val="FootnoteReference"/>
        </w:rPr>
        <w:footnoteRef/>
      </w:r>
      <w:r>
        <w:t xml:space="preserve"> </w:t>
      </w:r>
      <w:r>
        <w:tab/>
        <w:t xml:space="preserve">Communication No. 327/1988, </w:t>
      </w:r>
      <w:r w:rsidRPr="00E664DF">
        <w:rPr>
          <w:i/>
        </w:rPr>
        <w:t>Barzhig</w:t>
      </w:r>
      <w:r>
        <w:t xml:space="preserve"> v. </w:t>
      </w:r>
      <w:smartTag w:uri="urn:schemas-microsoft-com:office:smarttags" w:element="place">
        <w:smartTag w:uri="urn:schemas-microsoft-com:office:smarttags" w:element="country-region">
          <w:r w:rsidRPr="00E664DF">
            <w:rPr>
              <w:i/>
            </w:rPr>
            <w:t>France</w:t>
          </w:r>
        </w:smartTag>
      </w:smartTag>
      <w:r>
        <w:t xml:space="preserve">, Views adopted on 11 April 1991, para. 5.1, and </w:t>
      </w:r>
      <w:r w:rsidRPr="00C3670B">
        <w:rPr>
          <w:i/>
          <w:iCs/>
        </w:rPr>
        <w:t xml:space="preserve">Young </w:t>
      </w:r>
      <w:r>
        <w:t xml:space="preserve">v. </w:t>
      </w:r>
      <w:smartTag w:uri="urn:schemas-microsoft-com:office:smarttags" w:element="country-region">
        <w:smartTag w:uri="urn:schemas-microsoft-com:office:smarttags" w:element="place">
          <w:r w:rsidRPr="00C3670B">
            <w:rPr>
              <w:i/>
              <w:iCs/>
            </w:rPr>
            <w:t>Australia</w:t>
          </w:r>
        </w:smartTag>
      </w:smartTag>
      <w:r>
        <w:rPr>
          <w:iCs/>
        </w:rPr>
        <w:t>, para. 9.4.</w:t>
      </w:r>
    </w:p>
  </w:footnote>
  <w:footnote w:id="31">
    <w:p w:rsidR="00757FB7" w:rsidRPr="00993E9A" w:rsidRDefault="00757FB7" w:rsidP="00580BAD">
      <w:pPr>
        <w:pStyle w:val="FootnoteText"/>
        <w:jc w:val="both"/>
      </w:pPr>
      <w:r>
        <w:tab/>
      </w:r>
      <w:r>
        <w:rPr>
          <w:rStyle w:val="FootnoteReference"/>
        </w:rPr>
        <w:footnoteRef/>
      </w:r>
      <w:r w:rsidRPr="00993E9A">
        <w:t xml:space="preserve"> </w:t>
      </w:r>
      <w:r>
        <w:tab/>
      </w:r>
      <w:r w:rsidRPr="00993E9A">
        <w:t xml:space="preserve">Communication No. 550/1993, </w:t>
      </w:r>
      <w:r w:rsidRPr="00993E9A">
        <w:rPr>
          <w:i/>
        </w:rPr>
        <w:t>Faurisson</w:t>
      </w:r>
      <w:r w:rsidRPr="00993E9A">
        <w:t xml:space="preserve"> v. </w:t>
      </w:r>
      <w:smartTag w:uri="urn:schemas-microsoft-com:office:smarttags" w:element="place">
        <w:smartTag w:uri="urn:schemas-microsoft-com:office:smarttags" w:element="country-region">
          <w:r w:rsidRPr="00993E9A">
            <w:rPr>
              <w:i/>
            </w:rPr>
            <w:t>France</w:t>
          </w:r>
        </w:smartTag>
      </w:smartTag>
      <w:r w:rsidRPr="00993E9A">
        <w:t xml:space="preserve">, Views adopted on 8 November 1996, para. 6.1. </w:t>
      </w:r>
    </w:p>
  </w:footnote>
  <w:footnote w:id="32">
    <w:p w:rsidR="00757FB7" w:rsidRDefault="00757FB7" w:rsidP="00580BAD">
      <w:pPr>
        <w:pStyle w:val="FootnoteText"/>
        <w:jc w:val="both"/>
      </w:pPr>
      <w:r>
        <w:tab/>
      </w:r>
      <w:r>
        <w:rPr>
          <w:rStyle w:val="FootnoteReference"/>
        </w:rPr>
        <w:footnoteRef/>
      </w:r>
      <w:r>
        <w:t xml:space="preserve"> </w:t>
      </w:r>
      <w:r>
        <w:tab/>
        <w:t xml:space="preserve">Communication No.780/1997, </w:t>
      </w:r>
      <w:r>
        <w:rPr>
          <w:i/>
          <w:iCs/>
        </w:rPr>
        <w:t>Laptsevich</w:t>
      </w:r>
      <w:r>
        <w:t xml:space="preserve"> </w:t>
      </w:r>
      <w:r w:rsidRPr="002612FA">
        <w:t>v.</w:t>
      </w:r>
      <w:r>
        <w:rPr>
          <w:i/>
        </w:rPr>
        <w:t xml:space="preserve"> </w:t>
      </w:r>
      <w:smartTag w:uri="urn:schemas-microsoft-com:office:smarttags" w:element="place">
        <w:smartTag w:uri="urn:schemas-microsoft-com:office:smarttags" w:element="country-region">
          <w:r>
            <w:rPr>
              <w:i/>
            </w:rPr>
            <w:t>Belarus</w:t>
          </w:r>
        </w:smartTag>
      </w:smartTag>
      <w:r>
        <w:t>, Views adopted on 20 March 2000, para. 8.1.</w:t>
      </w:r>
    </w:p>
  </w:footnote>
  <w:footnote w:id="33">
    <w:p w:rsidR="00757FB7" w:rsidRPr="00552099" w:rsidRDefault="00757FB7" w:rsidP="00552099">
      <w:pPr>
        <w:pStyle w:val="FootnoteText"/>
        <w:widowControl w:val="0"/>
        <w:tabs>
          <w:tab w:val="clear" w:pos="1021"/>
          <w:tab w:val="right" w:pos="1020"/>
        </w:tabs>
        <w:rPr>
          <w:lang w:val="en-US"/>
        </w:rPr>
      </w:pPr>
      <w:r>
        <w:tab/>
      </w:r>
      <w:r>
        <w:rPr>
          <w:rStyle w:val="FootnoteReference"/>
        </w:rPr>
        <w:footnoteRef/>
      </w:r>
      <w:r>
        <w:tab/>
      </w:r>
      <w:r>
        <w:rPr>
          <w:i/>
        </w:rPr>
        <w:t xml:space="preserve">Official Records of the General Assembly, Sixty-sixth session, Supplement No. 40 </w:t>
      </w:r>
      <w:r>
        <w:t xml:space="preserve">(A/66/40 (Vol. I)), annex V. </w:t>
      </w:r>
    </w:p>
  </w:footnote>
  <w:footnote w:id="34">
    <w:p w:rsidR="00757FB7" w:rsidRDefault="00757FB7" w:rsidP="00580BAD">
      <w:pPr>
        <w:pStyle w:val="FootnoteText"/>
        <w:jc w:val="both"/>
      </w:pPr>
      <w:r>
        <w:tab/>
      </w:r>
      <w:r>
        <w:rPr>
          <w:rStyle w:val="FootnoteReference"/>
        </w:rPr>
        <w:footnoteRef/>
      </w:r>
      <w:r>
        <w:t xml:space="preserve"> </w:t>
      </w:r>
      <w:r>
        <w:tab/>
        <w:t xml:space="preserve">See </w:t>
      </w:r>
      <w:r w:rsidRPr="00552099">
        <w:t xml:space="preserve">ibid., </w:t>
      </w:r>
      <w:r>
        <w:t>para. 2.</w:t>
      </w:r>
    </w:p>
  </w:footnote>
  <w:footnote w:id="35">
    <w:p w:rsidR="00757FB7" w:rsidRDefault="00757FB7" w:rsidP="00580BAD">
      <w:pPr>
        <w:pStyle w:val="FootnoteText"/>
        <w:jc w:val="both"/>
      </w:pPr>
      <w:r>
        <w:tab/>
      </w:r>
      <w:r>
        <w:rPr>
          <w:rStyle w:val="FootnoteReference"/>
        </w:rPr>
        <w:footnoteRef/>
      </w:r>
      <w:r>
        <w:t xml:space="preserve"> </w:t>
      </w:r>
      <w:r>
        <w:tab/>
        <w:t>Ibid., para. 22.</w:t>
      </w:r>
    </w:p>
  </w:footnote>
  <w:footnote w:id="36">
    <w:p w:rsidR="00757FB7" w:rsidRPr="008E4095" w:rsidRDefault="00757FB7">
      <w:pPr>
        <w:pStyle w:val="FootnoteText"/>
        <w:rPr>
          <w:lang w:val="en-US"/>
        </w:rPr>
      </w:pPr>
      <w:r>
        <w:tab/>
      </w:r>
      <w:r>
        <w:rPr>
          <w:rStyle w:val="FootnoteReference"/>
        </w:rPr>
        <w:footnoteRef/>
      </w:r>
      <w:r>
        <w:t xml:space="preserve"> </w:t>
      </w:r>
      <w:r>
        <w:tab/>
        <w:t xml:space="preserve">See ibid., para. 26; and </w:t>
      </w:r>
      <w:r w:rsidRPr="00606CE1">
        <w:rPr>
          <w:i/>
        </w:rPr>
        <w:t>Toonen</w:t>
      </w:r>
      <w:r>
        <w:t xml:space="preserve"> v. </w:t>
      </w:r>
      <w:smartTag w:uri="urn:schemas-microsoft-com:office:smarttags" w:element="country-region">
        <w:smartTag w:uri="urn:schemas-microsoft-com:office:smarttags" w:element="place">
          <w:r w:rsidRPr="00606CE1">
            <w:rPr>
              <w:i/>
            </w:rPr>
            <w:t>Australia</w:t>
          </w:r>
        </w:smartTag>
      </w:smartTag>
      <w:r>
        <w:t>, para. 8.3.</w:t>
      </w:r>
    </w:p>
  </w:footnote>
  <w:footnote w:id="37">
    <w:p w:rsidR="00757FB7" w:rsidRPr="00CB575F" w:rsidRDefault="00757FB7">
      <w:pPr>
        <w:pStyle w:val="FootnoteText"/>
      </w:pPr>
      <w:r>
        <w:tab/>
      </w:r>
      <w:r>
        <w:rPr>
          <w:rStyle w:val="FootnoteReference"/>
        </w:rPr>
        <w:footnoteRef/>
      </w:r>
      <w:r>
        <w:tab/>
        <w:t xml:space="preserve">General comment No. 34, para. 26, and </w:t>
      </w:r>
      <w:r w:rsidRPr="008E4095">
        <w:t xml:space="preserve">General </w:t>
      </w:r>
      <w:r>
        <w:t>c</w:t>
      </w:r>
      <w:r w:rsidRPr="008E4095">
        <w:t>omment No. 18, para. 13</w:t>
      </w:r>
      <w:r>
        <w:t xml:space="preserve">. </w:t>
      </w:r>
    </w:p>
  </w:footnote>
  <w:footnote w:id="38">
    <w:p w:rsidR="00757FB7" w:rsidRPr="00D13344" w:rsidRDefault="00757FB7">
      <w:pPr>
        <w:pStyle w:val="FootnoteText"/>
        <w:rPr>
          <w:lang w:val="en-US"/>
        </w:rPr>
      </w:pPr>
      <w:r>
        <w:tab/>
      </w:r>
      <w:r>
        <w:rPr>
          <w:rStyle w:val="FootnoteReference"/>
        </w:rPr>
        <w:footnoteRef/>
      </w:r>
      <w:r>
        <w:tab/>
        <w:t xml:space="preserve">General comment No. 34, para. 32. </w:t>
      </w:r>
    </w:p>
  </w:footnote>
  <w:footnote w:id="39">
    <w:p w:rsidR="00757FB7" w:rsidRPr="00CB575F" w:rsidRDefault="00757FB7" w:rsidP="002D05F8">
      <w:pPr>
        <w:pStyle w:val="FootnoteText"/>
        <w:jc w:val="both"/>
        <w:rPr>
          <w:lang w:val="es-ES"/>
        </w:rPr>
      </w:pPr>
      <w:r>
        <w:tab/>
      </w:r>
      <w:r>
        <w:rPr>
          <w:rStyle w:val="FootnoteReference"/>
        </w:rPr>
        <w:footnoteRef/>
      </w:r>
      <w:r w:rsidRPr="00CB575F">
        <w:rPr>
          <w:lang w:val="es-ES"/>
        </w:rPr>
        <w:tab/>
      </w:r>
      <w:r w:rsidRPr="00503758">
        <w:rPr>
          <w:lang w:val="es-ES"/>
        </w:rPr>
        <w:t xml:space="preserve">See </w:t>
      </w:r>
      <w:r w:rsidRPr="00503758">
        <w:rPr>
          <w:i/>
          <w:lang w:val="es-ES"/>
        </w:rPr>
        <w:t>Toonen</w:t>
      </w:r>
      <w:r w:rsidRPr="00503758">
        <w:rPr>
          <w:lang w:val="es-ES"/>
        </w:rPr>
        <w:t xml:space="preserve"> v. </w:t>
      </w:r>
      <w:r w:rsidRPr="00503758">
        <w:rPr>
          <w:i/>
          <w:lang w:val="es-ES"/>
        </w:rPr>
        <w:t>Australia</w:t>
      </w:r>
      <w:r w:rsidRPr="00503758">
        <w:rPr>
          <w:lang w:val="es-ES"/>
        </w:rPr>
        <w:t xml:space="preserve">, para. </w:t>
      </w:r>
      <w:r w:rsidRPr="00C17D5B">
        <w:rPr>
          <w:lang w:val="es-ES"/>
        </w:rPr>
        <w:t xml:space="preserve">8.7; </w:t>
      </w:r>
      <w:r w:rsidRPr="00C17D5B">
        <w:rPr>
          <w:i/>
          <w:iCs/>
          <w:lang w:val="es-ES"/>
        </w:rPr>
        <w:t xml:space="preserve">Young </w:t>
      </w:r>
      <w:r w:rsidRPr="00C17D5B">
        <w:rPr>
          <w:lang w:val="es-ES"/>
        </w:rPr>
        <w:t xml:space="preserve">v. </w:t>
      </w:r>
      <w:r w:rsidRPr="00C17D5B">
        <w:rPr>
          <w:i/>
          <w:iCs/>
          <w:lang w:val="es-ES"/>
        </w:rPr>
        <w:t>Australia</w:t>
      </w:r>
      <w:r w:rsidRPr="00C17D5B">
        <w:rPr>
          <w:iCs/>
          <w:lang w:val="es-ES"/>
        </w:rPr>
        <w:t xml:space="preserve">, para. </w:t>
      </w:r>
      <w:r>
        <w:rPr>
          <w:iCs/>
        </w:rPr>
        <w:t xml:space="preserve">10.4; and communication No. 1361/2005, </w:t>
      </w:r>
      <w:r w:rsidRPr="00EE175F">
        <w:rPr>
          <w:i/>
          <w:iCs/>
        </w:rPr>
        <w:t>X.</w:t>
      </w:r>
      <w:r>
        <w:rPr>
          <w:iCs/>
        </w:rPr>
        <w:t xml:space="preserve"> v. </w:t>
      </w:r>
      <w:smartTag w:uri="urn:schemas-microsoft-com:office:smarttags" w:element="place">
        <w:smartTag w:uri="urn:schemas-microsoft-com:office:smarttags" w:element="country-region">
          <w:r w:rsidRPr="00EE175F">
            <w:rPr>
              <w:i/>
              <w:iCs/>
            </w:rPr>
            <w:t>Colombia</w:t>
          </w:r>
        </w:smartTag>
      </w:smartTag>
      <w:r>
        <w:rPr>
          <w:iCs/>
        </w:rPr>
        <w:t>, Views adopted on 30 March 2007, para. 7.2.</w:t>
      </w:r>
      <w:r w:rsidRPr="00CB575F">
        <w:rPr>
          <w:lang w:val="es-ES"/>
        </w:rPr>
        <w:t xml:space="preserve"> </w:t>
      </w:r>
    </w:p>
  </w:footnote>
  <w:footnote w:id="40">
    <w:p w:rsidR="00757FB7" w:rsidRPr="00CB575F" w:rsidRDefault="00757FB7" w:rsidP="002D05F8">
      <w:pPr>
        <w:pStyle w:val="FootnoteText"/>
        <w:jc w:val="both"/>
      </w:pPr>
      <w:r>
        <w:tab/>
      </w:r>
      <w:r>
        <w:rPr>
          <w:rStyle w:val="FootnoteReference"/>
        </w:rPr>
        <w:footnoteRef/>
      </w:r>
      <w:r>
        <w:tab/>
      </w:r>
      <w:r w:rsidRPr="002E45B3">
        <w:t xml:space="preserve">See, </w:t>
      </w:r>
      <w:r w:rsidRPr="00E5415E">
        <w:t>inter alia</w:t>
      </w:r>
      <w:r w:rsidRPr="002E45B3">
        <w:t xml:space="preserve">, </w:t>
      </w:r>
      <w:r>
        <w:t xml:space="preserve">communication No. 172/1984, </w:t>
      </w:r>
      <w:r w:rsidRPr="002E45B3">
        <w:rPr>
          <w:i/>
        </w:rPr>
        <w:t>Broeks</w:t>
      </w:r>
      <w:r w:rsidRPr="002E45B3">
        <w:t xml:space="preserve"> v. </w:t>
      </w:r>
      <w:r w:rsidRPr="002E45B3">
        <w:rPr>
          <w:i/>
        </w:rPr>
        <w:t xml:space="preserve">the </w:t>
      </w:r>
      <w:smartTag w:uri="urn:schemas-microsoft-com:office:smarttags" w:element="place">
        <w:smartTag w:uri="urn:schemas-microsoft-com:office:smarttags" w:element="country-region">
          <w:r w:rsidRPr="002E45B3">
            <w:rPr>
              <w:i/>
            </w:rPr>
            <w:t>Netherlands</w:t>
          </w:r>
        </w:smartTag>
      </w:smartTag>
      <w:r>
        <w:t>, Views adopted on 9 April 1982</w:t>
      </w:r>
      <w:r w:rsidRPr="002E45B3">
        <w:t>, para. 13; communication No.</w:t>
      </w:r>
      <w:r>
        <w:t xml:space="preserve"> 182/1984, </w:t>
      </w:r>
      <w:r w:rsidRPr="002E45B3">
        <w:rPr>
          <w:i/>
        </w:rPr>
        <w:t>Zwaan-de Vries</w:t>
      </w:r>
      <w:r w:rsidRPr="002E45B3">
        <w:t xml:space="preserve"> v. </w:t>
      </w:r>
      <w:r w:rsidRPr="002E45B3">
        <w:rPr>
          <w:i/>
        </w:rPr>
        <w:t>the Netherlands</w:t>
      </w:r>
      <w:r>
        <w:t xml:space="preserve">, Views adopted on 9 April 1987, </w:t>
      </w:r>
      <w:r w:rsidRPr="002E45B3">
        <w:t>para.13</w:t>
      </w:r>
      <w:r>
        <w:t>; communication No. 218/1986,</w:t>
      </w:r>
      <w:r w:rsidRPr="002E45B3">
        <w:rPr>
          <w:i/>
        </w:rPr>
        <w:t xml:space="preserve"> Vos</w:t>
      </w:r>
      <w:r w:rsidRPr="002E45B3">
        <w:t xml:space="preserve"> v. </w:t>
      </w:r>
      <w:r w:rsidRPr="002E45B3">
        <w:rPr>
          <w:i/>
        </w:rPr>
        <w:t>the Netherlands</w:t>
      </w:r>
      <w:r>
        <w:t xml:space="preserve">, Views adopted on 29 March 1989, </w:t>
      </w:r>
      <w:r w:rsidRPr="002E45B3">
        <w:t>para 11.3</w:t>
      </w:r>
      <w:r>
        <w:t xml:space="preserve">; communication No. 415/1990, </w:t>
      </w:r>
      <w:r w:rsidRPr="002E45B3">
        <w:rPr>
          <w:i/>
        </w:rPr>
        <w:t>Pauger</w:t>
      </w:r>
      <w:r>
        <w:t xml:space="preserve"> v.</w:t>
      </w:r>
      <w:r w:rsidRPr="002E45B3">
        <w:t xml:space="preserve"> </w:t>
      </w:r>
      <w:r w:rsidRPr="002E45B3">
        <w:rPr>
          <w:i/>
        </w:rPr>
        <w:t>Austria</w:t>
      </w:r>
      <w:r>
        <w:rPr>
          <w:i/>
        </w:rPr>
        <w:t xml:space="preserve">, </w:t>
      </w:r>
      <w:r>
        <w:t xml:space="preserve">Views adopted on 26 March 1992, </w:t>
      </w:r>
      <w:r w:rsidRPr="002E45B3">
        <w:t>para 7.3</w:t>
      </w:r>
      <w:r>
        <w:t xml:space="preserve">; communication No. 919/2000, </w:t>
      </w:r>
      <w:r w:rsidRPr="002E45B3">
        <w:rPr>
          <w:i/>
        </w:rPr>
        <w:t>Müller and Engelhard</w:t>
      </w:r>
      <w:r w:rsidRPr="002E45B3">
        <w:t xml:space="preserve"> v. </w:t>
      </w:r>
      <w:r w:rsidRPr="002E45B3">
        <w:rPr>
          <w:i/>
        </w:rPr>
        <w:t>Namibia</w:t>
      </w:r>
      <w:r>
        <w:t xml:space="preserve">, Views adopted on 26 March 2002, </w:t>
      </w:r>
      <w:r w:rsidRPr="002E45B3">
        <w:t>para 6.7</w:t>
      </w:r>
      <w:r>
        <w:t xml:space="preserve">; and communication No. 976/2001, </w:t>
      </w:r>
      <w:r w:rsidRPr="00C36323">
        <w:rPr>
          <w:i/>
        </w:rPr>
        <w:t>Derksen</w:t>
      </w:r>
      <w:r w:rsidRPr="002E45B3">
        <w:t xml:space="preserve"> v. </w:t>
      </w:r>
      <w:r w:rsidRPr="00C36323">
        <w:rPr>
          <w:i/>
        </w:rPr>
        <w:t>the Netherlands</w:t>
      </w:r>
      <w:r>
        <w:t>, Views adopted on 1 April 2004, para. 9.2</w:t>
      </w:r>
      <w:r w:rsidRPr="002E45B3">
        <w:t>.</w:t>
      </w:r>
      <w:r>
        <w:t xml:space="preserve"> </w:t>
      </w:r>
    </w:p>
  </w:footnote>
  <w:footnote w:id="41">
    <w:p w:rsidR="00757FB7" w:rsidRPr="00F75064" w:rsidRDefault="00757FB7" w:rsidP="00F75064">
      <w:pPr>
        <w:pStyle w:val="FootnoteText"/>
        <w:jc w:val="both"/>
      </w:pPr>
      <w:r>
        <w:tab/>
      </w:r>
      <w:r>
        <w:rPr>
          <w:rStyle w:val="FootnoteReference"/>
        </w:rPr>
        <w:footnoteRef/>
      </w:r>
      <w:r>
        <w:tab/>
        <w:t xml:space="preserve">See, </w:t>
      </w:r>
      <w:r w:rsidRPr="00AA236C">
        <w:t>inter alia</w:t>
      </w:r>
      <w:r>
        <w:t xml:space="preserve">, communication No. 1314/2004, </w:t>
      </w:r>
      <w:r w:rsidRPr="00C36323">
        <w:rPr>
          <w:i/>
        </w:rPr>
        <w:t>O’Neill and Quinn</w:t>
      </w:r>
      <w:r>
        <w:t xml:space="preserve"> v. </w:t>
      </w:r>
      <w:smartTag w:uri="urn:schemas-microsoft-com:office:smarttags" w:element="place">
        <w:smartTag w:uri="urn:schemas-microsoft-com:office:smarttags" w:element="country-region">
          <w:r w:rsidRPr="00C36323">
            <w:rPr>
              <w:i/>
            </w:rPr>
            <w:t>Ireland</w:t>
          </w:r>
        </w:smartTag>
      </w:smartTag>
      <w:r>
        <w:t xml:space="preserve">, Views adopted on 24 July 2006, para. </w:t>
      </w:r>
      <w:r w:rsidRPr="00012DE7">
        <w:rPr>
          <w:lang w:val="es-ES"/>
        </w:rPr>
        <w:t>8.3</w:t>
      </w:r>
      <w:r>
        <w:rPr>
          <w:lang w:val="es-ES"/>
        </w:rPr>
        <w:t>.</w:t>
      </w:r>
      <w:r>
        <w:t xml:space="preserve"> </w:t>
      </w:r>
    </w:p>
  </w:footnote>
  <w:footnote w:id="42">
    <w:p w:rsidR="00757FB7" w:rsidRPr="00F75064" w:rsidRDefault="00757FB7">
      <w:pPr>
        <w:pStyle w:val="FootnoteText"/>
        <w:rPr>
          <w:lang w:val="es-ES"/>
        </w:rPr>
      </w:pPr>
      <w:r>
        <w:tab/>
      </w:r>
      <w:r>
        <w:rPr>
          <w:rStyle w:val="FootnoteReference"/>
        </w:rPr>
        <w:footnoteRef/>
      </w:r>
      <w:r>
        <w:tab/>
        <w:t>See</w:t>
      </w:r>
      <w:r w:rsidRPr="00F75064">
        <w:t xml:space="preserve"> </w:t>
      </w:r>
      <w:r w:rsidRPr="00F75064">
        <w:rPr>
          <w:i/>
          <w:iCs/>
        </w:rPr>
        <w:t xml:space="preserve">Young </w:t>
      </w:r>
      <w:r w:rsidRPr="00F75064">
        <w:t xml:space="preserve">v. </w:t>
      </w:r>
      <w:smartTag w:uri="urn:schemas-microsoft-com:office:smarttags" w:element="country-region">
        <w:smartTag w:uri="urn:schemas-microsoft-com:office:smarttags" w:element="place">
          <w:r w:rsidRPr="00F75064">
            <w:rPr>
              <w:i/>
              <w:iCs/>
            </w:rPr>
            <w:t>Australia</w:t>
          </w:r>
        </w:smartTag>
      </w:smartTag>
      <w:r w:rsidRPr="00C17D5B">
        <w:rPr>
          <w:iCs/>
        </w:rPr>
        <w:t xml:space="preserve">, para. 10.4; and  </w:t>
      </w:r>
      <w:r w:rsidRPr="00C17D5B">
        <w:rPr>
          <w:i/>
          <w:iCs/>
        </w:rPr>
        <w:t>X.</w:t>
      </w:r>
      <w:r w:rsidRPr="00C17D5B">
        <w:rPr>
          <w:iCs/>
        </w:rPr>
        <w:t xml:space="preserve"> v. </w:t>
      </w:r>
      <w:smartTag w:uri="urn:schemas-microsoft-com:office:smarttags" w:element="country-region">
        <w:smartTag w:uri="urn:schemas-microsoft-com:office:smarttags" w:element="place">
          <w:r w:rsidRPr="00012DE7">
            <w:rPr>
              <w:i/>
              <w:iCs/>
              <w:lang w:val="es-ES"/>
            </w:rPr>
            <w:t>Colombia</w:t>
          </w:r>
        </w:smartTag>
      </w:smartTag>
      <w:r w:rsidRPr="00012DE7">
        <w:rPr>
          <w:iCs/>
          <w:lang w:val="es-ES"/>
        </w:rPr>
        <w:t xml:space="preserve">, para. </w:t>
      </w:r>
      <w:r>
        <w:rPr>
          <w:iCs/>
        </w:rPr>
        <w:t>7.2.</w:t>
      </w:r>
      <w:r w:rsidRPr="00F75064">
        <w:rPr>
          <w:lang w:val="es-E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7" w:rsidRPr="009E31DB" w:rsidRDefault="00757FB7" w:rsidP="001427F5">
    <w:pPr>
      <w:pStyle w:val="Header"/>
    </w:pPr>
    <w:r>
      <w:t>CCPR/C/106/D/1932/2010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FB7" w:rsidRPr="009E31DB" w:rsidRDefault="00757FB7" w:rsidP="001427F5">
    <w:pPr>
      <w:pStyle w:val="Header"/>
      <w:jc w:val="right"/>
    </w:pPr>
    <w:r>
      <w:t>CCPR/C/106/D/1932/2010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6E3" w:rsidRDefault="009956E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ED7117"/>
    <w:multiLevelType w:val="hybridMultilevel"/>
    <w:tmpl w:val="372E409E"/>
    <w:lvl w:ilvl="0" w:tplc="3A3EE5B0">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es-E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2"/>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31DB"/>
    <w:rsid w:val="000008D2"/>
    <w:rsid w:val="0000135F"/>
    <w:rsid w:val="00001CDD"/>
    <w:rsid w:val="00006689"/>
    <w:rsid w:val="00012DE7"/>
    <w:rsid w:val="000169D5"/>
    <w:rsid w:val="00023264"/>
    <w:rsid w:val="00024AF6"/>
    <w:rsid w:val="0003452F"/>
    <w:rsid w:val="00035A9F"/>
    <w:rsid w:val="000360BF"/>
    <w:rsid w:val="00036CC8"/>
    <w:rsid w:val="0004215B"/>
    <w:rsid w:val="00042CC3"/>
    <w:rsid w:val="00047DCA"/>
    <w:rsid w:val="00050F6B"/>
    <w:rsid w:val="00051418"/>
    <w:rsid w:val="00052D60"/>
    <w:rsid w:val="00057EF4"/>
    <w:rsid w:val="00062C86"/>
    <w:rsid w:val="00063D8B"/>
    <w:rsid w:val="000710EC"/>
    <w:rsid w:val="00072C8C"/>
    <w:rsid w:val="00075AA7"/>
    <w:rsid w:val="00076AB4"/>
    <w:rsid w:val="00076F79"/>
    <w:rsid w:val="000804E5"/>
    <w:rsid w:val="000838B7"/>
    <w:rsid w:val="00087420"/>
    <w:rsid w:val="000909D2"/>
    <w:rsid w:val="00091455"/>
    <w:rsid w:val="000931C0"/>
    <w:rsid w:val="00093E93"/>
    <w:rsid w:val="0009520C"/>
    <w:rsid w:val="00097D9E"/>
    <w:rsid w:val="000B1611"/>
    <w:rsid w:val="000B175B"/>
    <w:rsid w:val="000B341A"/>
    <w:rsid w:val="000B3A0F"/>
    <w:rsid w:val="000B548B"/>
    <w:rsid w:val="000C2670"/>
    <w:rsid w:val="000C2988"/>
    <w:rsid w:val="000C39CB"/>
    <w:rsid w:val="000D11C6"/>
    <w:rsid w:val="000D2012"/>
    <w:rsid w:val="000D26C4"/>
    <w:rsid w:val="000D4FE5"/>
    <w:rsid w:val="000D624A"/>
    <w:rsid w:val="000E0415"/>
    <w:rsid w:val="000E1DA8"/>
    <w:rsid w:val="000F04F0"/>
    <w:rsid w:val="000F2C70"/>
    <w:rsid w:val="000F381D"/>
    <w:rsid w:val="000F40BB"/>
    <w:rsid w:val="001021E2"/>
    <w:rsid w:val="00103122"/>
    <w:rsid w:val="00105950"/>
    <w:rsid w:val="00106513"/>
    <w:rsid w:val="0011216A"/>
    <w:rsid w:val="0011431A"/>
    <w:rsid w:val="00114651"/>
    <w:rsid w:val="001155E1"/>
    <w:rsid w:val="00116A37"/>
    <w:rsid w:val="00120C92"/>
    <w:rsid w:val="00125F06"/>
    <w:rsid w:val="001264BA"/>
    <w:rsid w:val="001264D1"/>
    <w:rsid w:val="00130ADC"/>
    <w:rsid w:val="00131A47"/>
    <w:rsid w:val="00131A50"/>
    <w:rsid w:val="00137FB3"/>
    <w:rsid w:val="00140CAA"/>
    <w:rsid w:val="001427F5"/>
    <w:rsid w:val="00143DA6"/>
    <w:rsid w:val="00144609"/>
    <w:rsid w:val="00147204"/>
    <w:rsid w:val="00150F10"/>
    <w:rsid w:val="001518AF"/>
    <w:rsid w:val="00156380"/>
    <w:rsid w:val="00165EEE"/>
    <w:rsid w:val="0017458F"/>
    <w:rsid w:val="0018062A"/>
    <w:rsid w:val="001822FA"/>
    <w:rsid w:val="00184CAE"/>
    <w:rsid w:val="00185AA1"/>
    <w:rsid w:val="00190E57"/>
    <w:rsid w:val="00193029"/>
    <w:rsid w:val="0019761D"/>
    <w:rsid w:val="001B2FAF"/>
    <w:rsid w:val="001B35E1"/>
    <w:rsid w:val="001B4B04"/>
    <w:rsid w:val="001C01A0"/>
    <w:rsid w:val="001C2CAC"/>
    <w:rsid w:val="001C3236"/>
    <w:rsid w:val="001C6663"/>
    <w:rsid w:val="001C7895"/>
    <w:rsid w:val="001C7DFB"/>
    <w:rsid w:val="001D26DF"/>
    <w:rsid w:val="001D451E"/>
    <w:rsid w:val="001E0936"/>
    <w:rsid w:val="001E3246"/>
    <w:rsid w:val="001E6C35"/>
    <w:rsid w:val="001F3810"/>
    <w:rsid w:val="001F4BE6"/>
    <w:rsid w:val="00207D6B"/>
    <w:rsid w:val="002114F8"/>
    <w:rsid w:val="00211E0B"/>
    <w:rsid w:val="00213AF2"/>
    <w:rsid w:val="00216206"/>
    <w:rsid w:val="00221C77"/>
    <w:rsid w:val="00226B89"/>
    <w:rsid w:val="00235205"/>
    <w:rsid w:val="00243360"/>
    <w:rsid w:val="002438FD"/>
    <w:rsid w:val="00246CDE"/>
    <w:rsid w:val="002540D9"/>
    <w:rsid w:val="0025474A"/>
    <w:rsid w:val="002551CA"/>
    <w:rsid w:val="002608E0"/>
    <w:rsid w:val="00262280"/>
    <w:rsid w:val="002639CB"/>
    <w:rsid w:val="00264D5B"/>
    <w:rsid w:val="00265C63"/>
    <w:rsid w:val="00267A68"/>
    <w:rsid w:val="00270B11"/>
    <w:rsid w:val="0027115C"/>
    <w:rsid w:val="0027550B"/>
    <w:rsid w:val="00277882"/>
    <w:rsid w:val="00277952"/>
    <w:rsid w:val="00281441"/>
    <w:rsid w:val="00282B57"/>
    <w:rsid w:val="002839FD"/>
    <w:rsid w:val="00285470"/>
    <w:rsid w:val="0028573D"/>
    <w:rsid w:val="002865AC"/>
    <w:rsid w:val="00287A29"/>
    <w:rsid w:val="002B1AD5"/>
    <w:rsid w:val="002B6223"/>
    <w:rsid w:val="002C3B6F"/>
    <w:rsid w:val="002C3D37"/>
    <w:rsid w:val="002C4EF7"/>
    <w:rsid w:val="002D05F8"/>
    <w:rsid w:val="002D4629"/>
    <w:rsid w:val="002D4D5A"/>
    <w:rsid w:val="002D56DA"/>
    <w:rsid w:val="002D7027"/>
    <w:rsid w:val="002E1437"/>
    <w:rsid w:val="002E2744"/>
    <w:rsid w:val="002E45B3"/>
    <w:rsid w:val="002E4936"/>
    <w:rsid w:val="002E5719"/>
    <w:rsid w:val="002F18C9"/>
    <w:rsid w:val="002F3AB8"/>
    <w:rsid w:val="002F6E7D"/>
    <w:rsid w:val="002F7C4F"/>
    <w:rsid w:val="00306A0C"/>
    <w:rsid w:val="003101F2"/>
    <w:rsid w:val="003101FD"/>
    <w:rsid w:val="003107FA"/>
    <w:rsid w:val="00310DD1"/>
    <w:rsid w:val="00310FA7"/>
    <w:rsid w:val="00312EE1"/>
    <w:rsid w:val="00315B5C"/>
    <w:rsid w:val="003229D8"/>
    <w:rsid w:val="0033090F"/>
    <w:rsid w:val="003353E6"/>
    <w:rsid w:val="0033637E"/>
    <w:rsid w:val="0033745A"/>
    <w:rsid w:val="003449BB"/>
    <w:rsid w:val="00344E56"/>
    <w:rsid w:val="00345351"/>
    <w:rsid w:val="003478ED"/>
    <w:rsid w:val="003512E9"/>
    <w:rsid w:val="0035709A"/>
    <w:rsid w:val="003613AC"/>
    <w:rsid w:val="0036313E"/>
    <w:rsid w:val="00363A2B"/>
    <w:rsid w:val="00370EC8"/>
    <w:rsid w:val="003723DA"/>
    <w:rsid w:val="003833BD"/>
    <w:rsid w:val="00390E72"/>
    <w:rsid w:val="00391AD7"/>
    <w:rsid w:val="0039277A"/>
    <w:rsid w:val="00395858"/>
    <w:rsid w:val="003972E0"/>
    <w:rsid w:val="003A16EB"/>
    <w:rsid w:val="003A3E55"/>
    <w:rsid w:val="003A6BA3"/>
    <w:rsid w:val="003B461E"/>
    <w:rsid w:val="003B6857"/>
    <w:rsid w:val="003C1BDC"/>
    <w:rsid w:val="003C2CC4"/>
    <w:rsid w:val="003C2CFB"/>
    <w:rsid w:val="003D4B23"/>
    <w:rsid w:val="003D65E4"/>
    <w:rsid w:val="003E55A9"/>
    <w:rsid w:val="003F243C"/>
    <w:rsid w:val="003F739A"/>
    <w:rsid w:val="003F7CC1"/>
    <w:rsid w:val="0040049A"/>
    <w:rsid w:val="00401BC2"/>
    <w:rsid w:val="00402044"/>
    <w:rsid w:val="00402F97"/>
    <w:rsid w:val="0040627C"/>
    <w:rsid w:val="00407A95"/>
    <w:rsid w:val="00410BCE"/>
    <w:rsid w:val="00411399"/>
    <w:rsid w:val="0041534A"/>
    <w:rsid w:val="00415757"/>
    <w:rsid w:val="00424C07"/>
    <w:rsid w:val="004325CB"/>
    <w:rsid w:val="004334E9"/>
    <w:rsid w:val="00436D37"/>
    <w:rsid w:val="004408DB"/>
    <w:rsid w:val="004441E4"/>
    <w:rsid w:val="00445144"/>
    <w:rsid w:val="00446DE4"/>
    <w:rsid w:val="0045313A"/>
    <w:rsid w:val="0045546B"/>
    <w:rsid w:val="004557CD"/>
    <w:rsid w:val="004628B2"/>
    <w:rsid w:val="00463107"/>
    <w:rsid w:val="0046345F"/>
    <w:rsid w:val="0046608F"/>
    <w:rsid w:val="00467594"/>
    <w:rsid w:val="0047041F"/>
    <w:rsid w:val="0047074A"/>
    <w:rsid w:val="00473EDF"/>
    <w:rsid w:val="00481277"/>
    <w:rsid w:val="004818DA"/>
    <w:rsid w:val="00483A31"/>
    <w:rsid w:val="00483EEC"/>
    <w:rsid w:val="00486442"/>
    <w:rsid w:val="004866DB"/>
    <w:rsid w:val="00494427"/>
    <w:rsid w:val="004946AA"/>
    <w:rsid w:val="004A31E8"/>
    <w:rsid w:val="004A3361"/>
    <w:rsid w:val="004A41CA"/>
    <w:rsid w:val="004A60C2"/>
    <w:rsid w:val="004B0CBA"/>
    <w:rsid w:val="004B0E52"/>
    <w:rsid w:val="004B1ABF"/>
    <w:rsid w:val="004B74B6"/>
    <w:rsid w:val="004C22FA"/>
    <w:rsid w:val="004C32CF"/>
    <w:rsid w:val="004C4E3F"/>
    <w:rsid w:val="004D3AA0"/>
    <w:rsid w:val="004D4B60"/>
    <w:rsid w:val="004D5703"/>
    <w:rsid w:val="004D5A58"/>
    <w:rsid w:val="004F25AC"/>
    <w:rsid w:val="004F274D"/>
    <w:rsid w:val="004F3F2B"/>
    <w:rsid w:val="004F5519"/>
    <w:rsid w:val="00503228"/>
    <w:rsid w:val="00503758"/>
    <w:rsid w:val="00504539"/>
    <w:rsid w:val="00505345"/>
    <w:rsid w:val="00505384"/>
    <w:rsid w:val="00510C13"/>
    <w:rsid w:val="00512C83"/>
    <w:rsid w:val="005131CC"/>
    <w:rsid w:val="005146D6"/>
    <w:rsid w:val="00521021"/>
    <w:rsid w:val="00521981"/>
    <w:rsid w:val="0053447A"/>
    <w:rsid w:val="00537B5B"/>
    <w:rsid w:val="005420F2"/>
    <w:rsid w:val="00552099"/>
    <w:rsid w:val="005571B9"/>
    <w:rsid w:val="005575F1"/>
    <w:rsid w:val="00557CC0"/>
    <w:rsid w:val="00560C9A"/>
    <w:rsid w:val="00562D44"/>
    <w:rsid w:val="00565256"/>
    <w:rsid w:val="00575597"/>
    <w:rsid w:val="005758FB"/>
    <w:rsid w:val="00575E70"/>
    <w:rsid w:val="00576BD9"/>
    <w:rsid w:val="00580BAD"/>
    <w:rsid w:val="00581D6E"/>
    <w:rsid w:val="00584474"/>
    <w:rsid w:val="005A69D1"/>
    <w:rsid w:val="005A6E1C"/>
    <w:rsid w:val="005B2CAB"/>
    <w:rsid w:val="005B3DB3"/>
    <w:rsid w:val="005B41A9"/>
    <w:rsid w:val="005B6A9F"/>
    <w:rsid w:val="005E45EE"/>
    <w:rsid w:val="00601B8D"/>
    <w:rsid w:val="00606CE1"/>
    <w:rsid w:val="0061151B"/>
    <w:rsid w:val="00611FC4"/>
    <w:rsid w:val="006176FB"/>
    <w:rsid w:val="00620A3A"/>
    <w:rsid w:val="00620B6B"/>
    <w:rsid w:val="00626817"/>
    <w:rsid w:val="00626991"/>
    <w:rsid w:val="00627ED0"/>
    <w:rsid w:val="00630D6E"/>
    <w:rsid w:val="00633A4D"/>
    <w:rsid w:val="00640B26"/>
    <w:rsid w:val="00641CF3"/>
    <w:rsid w:val="00644C7D"/>
    <w:rsid w:val="00645171"/>
    <w:rsid w:val="00645F1F"/>
    <w:rsid w:val="00650E05"/>
    <w:rsid w:val="00653E5E"/>
    <w:rsid w:val="0065611B"/>
    <w:rsid w:val="00656DF6"/>
    <w:rsid w:val="00657F3B"/>
    <w:rsid w:val="006610A0"/>
    <w:rsid w:val="006618AB"/>
    <w:rsid w:val="006618CA"/>
    <w:rsid w:val="00662055"/>
    <w:rsid w:val="00664DA6"/>
    <w:rsid w:val="00665595"/>
    <w:rsid w:val="006738CA"/>
    <w:rsid w:val="00673AD0"/>
    <w:rsid w:val="006748EA"/>
    <w:rsid w:val="006751C6"/>
    <w:rsid w:val="00675D7C"/>
    <w:rsid w:val="00677059"/>
    <w:rsid w:val="00677155"/>
    <w:rsid w:val="006817DA"/>
    <w:rsid w:val="00686240"/>
    <w:rsid w:val="00691714"/>
    <w:rsid w:val="00691B1E"/>
    <w:rsid w:val="00692580"/>
    <w:rsid w:val="00693FFE"/>
    <w:rsid w:val="00697934"/>
    <w:rsid w:val="006A3DC9"/>
    <w:rsid w:val="006A3DD7"/>
    <w:rsid w:val="006A7392"/>
    <w:rsid w:val="006A7FEA"/>
    <w:rsid w:val="006B0EBB"/>
    <w:rsid w:val="006B28FB"/>
    <w:rsid w:val="006C2EEF"/>
    <w:rsid w:val="006C4427"/>
    <w:rsid w:val="006D12B5"/>
    <w:rsid w:val="006D1F2E"/>
    <w:rsid w:val="006D384F"/>
    <w:rsid w:val="006D59B8"/>
    <w:rsid w:val="006D70E6"/>
    <w:rsid w:val="006E017B"/>
    <w:rsid w:val="006E564B"/>
    <w:rsid w:val="006F12B9"/>
    <w:rsid w:val="006F1961"/>
    <w:rsid w:val="006F2003"/>
    <w:rsid w:val="006F3B94"/>
    <w:rsid w:val="00705038"/>
    <w:rsid w:val="00710B70"/>
    <w:rsid w:val="007123F4"/>
    <w:rsid w:val="0072060A"/>
    <w:rsid w:val="00721FDE"/>
    <w:rsid w:val="0072632A"/>
    <w:rsid w:val="00733096"/>
    <w:rsid w:val="00734AE9"/>
    <w:rsid w:val="007369EB"/>
    <w:rsid w:val="00736C92"/>
    <w:rsid w:val="007370FC"/>
    <w:rsid w:val="007376D3"/>
    <w:rsid w:val="007467E5"/>
    <w:rsid w:val="00747B73"/>
    <w:rsid w:val="0075177B"/>
    <w:rsid w:val="00752BD9"/>
    <w:rsid w:val="00757FB7"/>
    <w:rsid w:val="007600B6"/>
    <w:rsid w:val="00762718"/>
    <w:rsid w:val="00765687"/>
    <w:rsid w:val="00767747"/>
    <w:rsid w:val="00780AC8"/>
    <w:rsid w:val="007861A4"/>
    <w:rsid w:val="00787782"/>
    <w:rsid w:val="00790484"/>
    <w:rsid w:val="007911E6"/>
    <w:rsid w:val="007917F9"/>
    <w:rsid w:val="00793227"/>
    <w:rsid w:val="00796F4B"/>
    <w:rsid w:val="007A157D"/>
    <w:rsid w:val="007A43D6"/>
    <w:rsid w:val="007A4E81"/>
    <w:rsid w:val="007A50BB"/>
    <w:rsid w:val="007B2E78"/>
    <w:rsid w:val="007B3186"/>
    <w:rsid w:val="007B409E"/>
    <w:rsid w:val="007B4619"/>
    <w:rsid w:val="007B6BA5"/>
    <w:rsid w:val="007C3390"/>
    <w:rsid w:val="007C3E2C"/>
    <w:rsid w:val="007C4D8F"/>
    <w:rsid w:val="007C4F4B"/>
    <w:rsid w:val="007D4E06"/>
    <w:rsid w:val="007E2EC5"/>
    <w:rsid w:val="007E4739"/>
    <w:rsid w:val="007F0B83"/>
    <w:rsid w:val="007F385B"/>
    <w:rsid w:val="007F4175"/>
    <w:rsid w:val="007F6611"/>
    <w:rsid w:val="007F7407"/>
    <w:rsid w:val="00800B61"/>
    <w:rsid w:val="00801BFE"/>
    <w:rsid w:val="00801FA5"/>
    <w:rsid w:val="00804398"/>
    <w:rsid w:val="008124E0"/>
    <w:rsid w:val="00812CF9"/>
    <w:rsid w:val="0081354A"/>
    <w:rsid w:val="00813B03"/>
    <w:rsid w:val="0081731A"/>
    <w:rsid w:val="008175E9"/>
    <w:rsid w:val="008242D7"/>
    <w:rsid w:val="00830352"/>
    <w:rsid w:val="00830AED"/>
    <w:rsid w:val="00830FB7"/>
    <w:rsid w:val="008311A3"/>
    <w:rsid w:val="00841DDB"/>
    <w:rsid w:val="008447C8"/>
    <w:rsid w:val="008479EC"/>
    <w:rsid w:val="00851D87"/>
    <w:rsid w:val="00860DCA"/>
    <w:rsid w:val="00861BE7"/>
    <w:rsid w:val="00862081"/>
    <w:rsid w:val="008649F9"/>
    <w:rsid w:val="008662E9"/>
    <w:rsid w:val="00870B67"/>
    <w:rsid w:val="00871FD5"/>
    <w:rsid w:val="00872179"/>
    <w:rsid w:val="008725D0"/>
    <w:rsid w:val="00877F53"/>
    <w:rsid w:val="00885E75"/>
    <w:rsid w:val="0089498B"/>
    <w:rsid w:val="008979B1"/>
    <w:rsid w:val="008A407D"/>
    <w:rsid w:val="008A6B25"/>
    <w:rsid w:val="008A6C4F"/>
    <w:rsid w:val="008B436A"/>
    <w:rsid w:val="008C18D3"/>
    <w:rsid w:val="008C21D6"/>
    <w:rsid w:val="008D1EA4"/>
    <w:rsid w:val="008D45E9"/>
    <w:rsid w:val="008E0E46"/>
    <w:rsid w:val="008E4095"/>
    <w:rsid w:val="008E484F"/>
    <w:rsid w:val="008E5521"/>
    <w:rsid w:val="008E7F15"/>
    <w:rsid w:val="008F1D8C"/>
    <w:rsid w:val="008F234A"/>
    <w:rsid w:val="008F54D2"/>
    <w:rsid w:val="00903AFD"/>
    <w:rsid w:val="00907AD2"/>
    <w:rsid w:val="00911AF4"/>
    <w:rsid w:val="00925C32"/>
    <w:rsid w:val="00926BD9"/>
    <w:rsid w:val="009275AB"/>
    <w:rsid w:val="009331DC"/>
    <w:rsid w:val="009349FA"/>
    <w:rsid w:val="0093664B"/>
    <w:rsid w:val="00942668"/>
    <w:rsid w:val="00947ABE"/>
    <w:rsid w:val="00950864"/>
    <w:rsid w:val="009619B7"/>
    <w:rsid w:val="00963CBA"/>
    <w:rsid w:val="00965E2D"/>
    <w:rsid w:val="009716D2"/>
    <w:rsid w:val="009729F7"/>
    <w:rsid w:val="00974A8D"/>
    <w:rsid w:val="0098001A"/>
    <w:rsid w:val="009840F5"/>
    <w:rsid w:val="009843C5"/>
    <w:rsid w:val="00985CCD"/>
    <w:rsid w:val="009867D2"/>
    <w:rsid w:val="00991261"/>
    <w:rsid w:val="00993479"/>
    <w:rsid w:val="00993E9A"/>
    <w:rsid w:val="009956E3"/>
    <w:rsid w:val="00995936"/>
    <w:rsid w:val="00996906"/>
    <w:rsid w:val="009974C9"/>
    <w:rsid w:val="009A0BB2"/>
    <w:rsid w:val="009B6145"/>
    <w:rsid w:val="009B680B"/>
    <w:rsid w:val="009B7829"/>
    <w:rsid w:val="009C00D6"/>
    <w:rsid w:val="009C26BC"/>
    <w:rsid w:val="009C78E1"/>
    <w:rsid w:val="009D31F5"/>
    <w:rsid w:val="009D3D2B"/>
    <w:rsid w:val="009D7941"/>
    <w:rsid w:val="009E0376"/>
    <w:rsid w:val="009E10DA"/>
    <w:rsid w:val="009E2F82"/>
    <w:rsid w:val="009E31DB"/>
    <w:rsid w:val="009E4208"/>
    <w:rsid w:val="009F1EC8"/>
    <w:rsid w:val="009F3A17"/>
    <w:rsid w:val="009F4ED6"/>
    <w:rsid w:val="009F6B25"/>
    <w:rsid w:val="009F7151"/>
    <w:rsid w:val="009F7627"/>
    <w:rsid w:val="00A03F3E"/>
    <w:rsid w:val="00A125A0"/>
    <w:rsid w:val="00A1427D"/>
    <w:rsid w:val="00A1637D"/>
    <w:rsid w:val="00A171B5"/>
    <w:rsid w:val="00A2542A"/>
    <w:rsid w:val="00A25DA7"/>
    <w:rsid w:val="00A3140E"/>
    <w:rsid w:val="00A3533B"/>
    <w:rsid w:val="00A37D4B"/>
    <w:rsid w:val="00A420E2"/>
    <w:rsid w:val="00A45519"/>
    <w:rsid w:val="00A5052A"/>
    <w:rsid w:val="00A513AA"/>
    <w:rsid w:val="00A605D8"/>
    <w:rsid w:val="00A61FB6"/>
    <w:rsid w:val="00A61FDE"/>
    <w:rsid w:val="00A65BDC"/>
    <w:rsid w:val="00A72F22"/>
    <w:rsid w:val="00A746CA"/>
    <w:rsid w:val="00A748A6"/>
    <w:rsid w:val="00A84449"/>
    <w:rsid w:val="00A87870"/>
    <w:rsid w:val="00A879A4"/>
    <w:rsid w:val="00A908D5"/>
    <w:rsid w:val="00A9528F"/>
    <w:rsid w:val="00A97D7D"/>
    <w:rsid w:val="00AA019B"/>
    <w:rsid w:val="00AA236C"/>
    <w:rsid w:val="00AB1541"/>
    <w:rsid w:val="00AB2F9F"/>
    <w:rsid w:val="00AB3939"/>
    <w:rsid w:val="00AB5BFD"/>
    <w:rsid w:val="00AB7B0D"/>
    <w:rsid w:val="00AC39A2"/>
    <w:rsid w:val="00AC78EE"/>
    <w:rsid w:val="00AD3692"/>
    <w:rsid w:val="00AD4A8D"/>
    <w:rsid w:val="00AD5FA5"/>
    <w:rsid w:val="00AD6B08"/>
    <w:rsid w:val="00AE092A"/>
    <w:rsid w:val="00AE1E0F"/>
    <w:rsid w:val="00AE2A60"/>
    <w:rsid w:val="00AE3C78"/>
    <w:rsid w:val="00AE4459"/>
    <w:rsid w:val="00AE59C4"/>
    <w:rsid w:val="00B04FC8"/>
    <w:rsid w:val="00B07A7B"/>
    <w:rsid w:val="00B11F2F"/>
    <w:rsid w:val="00B1630F"/>
    <w:rsid w:val="00B17B47"/>
    <w:rsid w:val="00B2058C"/>
    <w:rsid w:val="00B219BF"/>
    <w:rsid w:val="00B30179"/>
    <w:rsid w:val="00B33EC0"/>
    <w:rsid w:val="00B35291"/>
    <w:rsid w:val="00B3550A"/>
    <w:rsid w:val="00B4129C"/>
    <w:rsid w:val="00B460DE"/>
    <w:rsid w:val="00B53850"/>
    <w:rsid w:val="00B55F59"/>
    <w:rsid w:val="00B56A48"/>
    <w:rsid w:val="00B6202E"/>
    <w:rsid w:val="00B655E7"/>
    <w:rsid w:val="00B705B5"/>
    <w:rsid w:val="00B713A7"/>
    <w:rsid w:val="00B81E12"/>
    <w:rsid w:val="00B8455E"/>
    <w:rsid w:val="00B85708"/>
    <w:rsid w:val="00B866F0"/>
    <w:rsid w:val="00B94530"/>
    <w:rsid w:val="00B97A52"/>
    <w:rsid w:val="00BA0314"/>
    <w:rsid w:val="00BA3004"/>
    <w:rsid w:val="00BA3398"/>
    <w:rsid w:val="00BA5378"/>
    <w:rsid w:val="00BA65B8"/>
    <w:rsid w:val="00BA795F"/>
    <w:rsid w:val="00BB2E26"/>
    <w:rsid w:val="00BB394B"/>
    <w:rsid w:val="00BC4BAD"/>
    <w:rsid w:val="00BC4E1F"/>
    <w:rsid w:val="00BC74E9"/>
    <w:rsid w:val="00BD01B0"/>
    <w:rsid w:val="00BD0578"/>
    <w:rsid w:val="00BD1719"/>
    <w:rsid w:val="00BD3E68"/>
    <w:rsid w:val="00BD5072"/>
    <w:rsid w:val="00BD5E2C"/>
    <w:rsid w:val="00BE06C3"/>
    <w:rsid w:val="00BE16B8"/>
    <w:rsid w:val="00BE4F74"/>
    <w:rsid w:val="00BE618E"/>
    <w:rsid w:val="00BE7F59"/>
    <w:rsid w:val="00BF19D8"/>
    <w:rsid w:val="00C00B0A"/>
    <w:rsid w:val="00C01FCB"/>
    <w:rsid w:val="00C01FFE"/>
    <w:rsid w:val="00C1284A"/>
    <w:rsid w:val="00C13477"/>
    <w:rsid w:val="00C17699"/>
    <w:rsid w:val="00C17D5B"/>
    <w:rsid w:val="00C20AC3"/>
    <w:rsid w:val="00C21DFD"/>
    <w:rsid w:val="00C31689"/>
    <w:rsid w:val="00C3282E"/>
    <w:rsid w:val="00C34167"/>
    <w:rsid w:val="00C36323"/>
    <w:rsid w:val="00C365CF"/>
    <w:rsid w:val="00C3670B"/>
    <w:rsid w:val="00C36BC3"/>
    <w:rsid w:val="00C4006B"/>
    <w:rsid w:val="00C40AEF"/>
    <w:rsid w:val="00C41EAE"/>
    <w:rsid w:val="00C463DD"/>
    <w:rsid w:val="00C47358"/>
    <w:rsid w:val="00C54BE0"/>
    <w:rsid w:val="00C55CA2"/>
    <w:rsid w:val="00C6024E"/>
    <w:rsid w:val="00C634C5"/>
    <w:rsid w:val="00C637C5"/>
    <w:rsid w:val="00C653C9"/>
    <w:rsid w:val="00C66415"/>
    <w:rsid w:val="00C67753"/>
    <w:rsid w:val="00C745C3"/>
    <w:rsid w:val="00C76B8B"/>
    <w:rsid w:val="00C819D5"/>
    <w:rsid w:val="00C857F8"/>
    <w:rsid w:val="00C91F9D"/>
    <w:rsid w:val="00C93AB1"/>
    <w:rsid w:val="00C9630E"/>
    <w:rsid w:val="00CA41D2"/>
    <w:rsid w:val="00CA7922"/>
    <w:rsid w:val="00CA7F49"/>
    <w:rsid w:val="00CB575F"/>
    <w:rsid w:val="00CC0A82"/>
    <w:rsid w:val="00CC28F1"/>
    <w:rsid w:val="00CC2DAC"/>
    <w:rsid w:val="00CD2FC9"/>
    <w:rsid w:val="00CD337D"/>
    <w:rsid w:val="00CE1BA4"/>
    <w:rsid w:val="00CE2D37"/>
    <w:rsid w:val="00CE3F44"/>
    <w:rsid w:val="00CE4A8F"/>
    <w:rsid w:val="00CE7309"/>
    <w:rsid w:val="00CF040D"/>
    <w:rsid w:val="00CF0C8F"/>
    <w:rsid w:val="00CF32AC"/>
    <w:rsid w:val="00CF4388"/>
    <w:rsid w:val="00CF4CF0"/>
    <w:rsid w:val="00D0074D"/>
    <w:rsid w:val="00D02067"/>
    <w:rsid w:val="00D0365E"/>
    <w:rsid w:val="00D0430F"/>
    <w:rsid w:val="00D0541D"/>
    <w:rsid w:val="00D07C75"/>
    <w:rsid w:val="00D1076A"/>
    <w:rsid w:val="00D1101D"/>
    <w:rsid w:val="00D11614"/>
    <w:rsid w:val="00D13344"/>
    <w:rsid w:val="00D2031B"/>
    <w:rsid w:val="00D21B33"/>
    <w:rsid w:val="00D22EEA"/>
    <w:rsid w:val="00D233F7"/>
    <w:rsid w:val="00D25FE2"/>
    <w:rsid w:val="00D317BB"/>
    <w:rsid w:val="00D3502B"/>
    <w:rsid w:val="00D43252"/>
    <w:rsid w:val="00D43FEE"/>
    <w:rsid w:val="00D466DB"/>
    <w:rsid w:val="00D47A16"/>
    <w:rsid w:val="00D5110B"/>
    <w:rsid w:val="00D565A8"/>
    <w:rsid w:val="00D56BDC"/>
    <w:rsid w:val="00D579B1"/>
    <w:rsid w:val="00D63775"/>
    <w:rsid w:val="00D66FEF"/>
    <w:rsid w:val="00D708DC"/>
    <w:rsid w:val="00D75BE5"/>
    <w:rsid w:val="00D83F76"/>
    <w:rsid w:val="00D85760"/>
    <w:rsid w:val="00D858D4"/>
    <w:rsid w:val="00D871C3"/>
    <w:rsid w:val="00D90A50"/>
    <w:rsid w:val="00D90F7E"/>
    <w:rsid w:val="00D914AA"/>
    <w:rsid w:val="00D924C8"/>
    <w:rsid w:val="00D94B0B"/>
    <w:rsid w:val="00D95062"/>
    <w:rsid w:val="00D978C6"/>
    <w:rsid w:val="00DA67AD"/>
    <w:rsid w:val="00DB39B4"/>
    <w:rsid w:val="00DB5D0F"/>
    <w:rsid w:val="00DC5D63"/>
    <w:rsid w:val="00DC66E7"/>
    <w:rsid w:val="00DC6F62"/>
    <w:rsid w:val="00DC70B0"/>
    <w:rsid w:val="00DD2C2A"/>
    <w:rsid w:val="00DD3FD2"/>
    <w:rsid w:val="00DD6CD8"/>
    <w:rsid w:val="00DE2459"/>
    <w:rsid w:val="00DE5B51"/>
    <w:rsid w:val="00DE5F8E"/>
    <w:rsid w:val="00DF0F82"/>
    <w:rsid w:val="00DF12F7"/>
    <w:rsid w:val="00DF1901"/>
    <w:rsid w:val="00DF1E47"/>
    <w:rsid w:val="00DF3E84"/>
    <w:rsid w:val="00DF496F"/>
    <w:rsid w:val="00DF62DC"/>
    <w:rsid w:val="00DF7B70"/>
    <w:rsid w:val="00E002BF"/>
    <w:rsid w:val="00E02C81"/>
    <w:rsid w:val="00E07BE3"/>
    <w:rsid w:val="00E07D8F"/>
    <w:rsid w:val="00E130AB"/>
    <w:rsid w:val="00E13477"/>
    <w:rsid w:val="00E14523"/>
    <w:rsid w:val="00E15469"/>
    <w:rsid w:val="00E16374"/>
    <w:rsid w:val="00E17EAC"/>
    <w:rsid w:val="00E233B1"/>
    <w:rsid w:val="00E245B6"/>
    <w:rsid w:val="00E24703"/>
    <w:rsid w:val="00E258D0"/>
    <w:rsid w:val="00E34677"/>
    <w:rsid w:val="00E41241"/>
    <w:rsid w:val="00E4386E"/>
    <w:rsid w:val="00E461E0"/>
    <w:rsid w:val="00E46E72"/>
    <w:rsid w:val="00E5415E"/>
    <w:rsid w:val="00E6127C"/>
    <w:rsid w:val="00E61317"/>
    <w:rsid w:val="00E64273"/>
    <w:rsid w:val="00E6480C"/>
    <w:rsid w:val="00E664DF"/>
    <w:rsid w:val="00E67A50"/>
    <w:rsid w:val="00E7260F"/>
    <w:rsid w:val="00E72650"/>
    <w:rsid w:val="00E726DC"/>
    <w:rsid w:val="00E74150"/>
    <w:rsid w:val="00E76EFB"/>
    <w:rsid w:val="00E775FC"/>
    <w:rsid w:val="00E80943"/>
    <w:rsid w:val="00E815AF"/>
    <w:rsid w:val="00E828AA"/>
    <w:rsid w:val="00E87921"/>
    <w:rsid w:val="00E90143"/>
    <w:rsid w:val="00E908C2"/>
    <w:rsid w:val="00E92994"/>
    <w:rsid w:val="00E933D8"/>
    <w:rsid w:val="00E94E65"/>
    <w:rsid w:val="00E96630"/>
    <w:rsid w:val="00E96F75"/>
    <w:rsid w:val="00EA2539"/>
    <w:rsid w:val="00EA3F8A"/>
    <w:rsid w:val="00EB2426"/>
    <w:rsid w:val="00EB4DC5"/>
    <w:rsid w:val="00EB6FCA"/>
    <w:rsid w:val="00EB7BD8"/>
    <w:rsid w:val="00EC5858"/>
    <w:rsid w:val="00EC5F1A"/>
    <w:rsid w:val="00EC647A"/>
    <w:rsid w:val="00ED0536"/>
    <w:rsid w:val="00ED1253"/>
    <w:rsid w:val="00ED3534"/>
    <w:rsid w:val="00ED5747"/>
    <w:rsid w:val="00ED7589"/>
    <w:rsid w:val="00ED7A2A"/>
    <w:rsid w:val="00EE0EDE"/>
    <w:rsid w:val="00EE175F"/>
    <w:rsid w:val="00EE6B48"/>
    <w:rsid w:val="00EF1D7F"/>
    <w:rsid w:val="00EF7E6A"/>
    <w:rsid w:val="00EF7F14"/>
    <w:rsid w:val="00F01098"/>
    <w:rsid w:val="00F011F4"/>
    <w:rsid w:val="00F05E77"/>
    <w:rsid w:val="00F10BB7"/>
    <w:rsid w:val="00F12809"/>
    <w:rsid w:val="00F1504F"/>
    <w:rsid w:val="00F16DE0"/>
    <w:rsid w:val="00F202A3"/>
    <w:rsid w:val="00F21001"/>
    <w:rsid w:val="00F221A7"/>
    <w:rsid w:val="00F223B6"/>
    <w:rsid w:val="00F24413"/>
    <w:rsid w:val="00F27AF3"/>
    <w:rsid w:val="00F40E2B"/>
    <w:rsid w:val="00F42163"/>
    <w:rsid w:val="00F42B6F"/>
    <w:rsid w:val="00F430D7"/>
    <w:rsid w:val="00F4637A"/>
    <w:rsid w:val="00F464BD"/>
    <w:rsid w:val="00F4768B"/>
    <w:rsid w:val="00F50CDA"/>
    <w:rsid w:val="00F51027"/>
    <w:rsid w:val="00F52A8F"/>
    <w:rsid w:val="00F53EDA"/>
    <w:rsid w:val="00F53EFE"/>
    <w:rsid w:val="00F54CC1"/>
    <w:rsid w:val="00F55C6A"/>
    <w:rsid w:val="00F56D45"/>
    <w:rsid w:val="00F571C0"/>
    <w:rsid w:val="00F6098F"/>
    <w:rsid w:val="00F61F53"/>
    <w:rsid w:val="00F62625"/>
    <w:rsid w:val="00F64B9F"/>
    <w:rsid w:val="00F70034"/>
    <w:rsid w:val="00F75064"/>
    <w:rsid w:val="00F75364"/>
    <w:rsid w:val="00F76941"/>
    <w:rsid w:val="00F7753D"/>
    <w:rsid w:val="00F81BC7"/>
    <w:rsid w:val="00F85F34"/>
    <w:rsid w:val="00F91E27"/>
    <w:rsid w:val="00F92377"/>
    <w:rsid w:val="00F952D2"/>
    <w:rsid w:val="00F95318"/>
    <w:rsid w:val="00F96659"/>
    <w:rsid w:val="00FA06F7"/>
    <w:rsid w:val="00FA5599"/>
    <w:rsid w:val="00FA7C9E"/>
    <w:rsid w:val="00FB171A"/>
    <w:rsid w:val="00FB48C8"/>
    <w:rsid w:val="00FB5FFF"/>
    <w:rsid w:val="00FC083E"/>
    <w:rsid w:val="00FC1984"/>
    <w:rsid w:val="00FC52B5"/>
    <w:rsid w:val="00FC68B7"/>
    <w:rsid w:val="00FC7D20"/>
    <w:rsid w:val="00FD0010"/>
    <w:rsid w:val="00FD063B"/>
    <w:rsid w:val="00FD0ED9"/>
    <w:rsid w:val="00FD3796"/>
    <w:rsid w:val="00FD7BF6"/>
    <w:rsid w:val="00FE76BD"/>
    <w:rsid w:val="00FF41D4"/>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E2D293A2-316C-4C52-A3A9-E7D64963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228"/>
    <w:pPr>
      <w:suppressAutoHyphens/>
      <w:spacing w:line="240" w:lineRule="atLeast"/>
    </w:pPr>
    <w:rPr>
      <w:lang w:val="en-GB"/>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number,ftref"/>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rsid w:val="00503228"/>
    <w:pPr>
      <w:pBdr>
        <w:bottom w:val="single" w:sz="4" w:space="4" w:color="auto"/>
      </w:pBdr>
      <w:spacing w:line="240" w:lineRule="auto"/>
    </w:pPr>
    <w:rPr>
      <w:b/>
      <w:sz w:val="18"/>
    </w:rPr>
  </w:style>
  <w:style w:type="table" w:styleId="TableGrid">
    <w:name w:val="Table Grid"/>
    <w:basedOn w:val="TableNormal"/>
    <w:semiHidden/>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Footnote Text Char Char Char Char Char,Footnote Text Char Char Char Char,Footnote reference,FA Fu,Footnote Text Char Char Char"/>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paragraph" w:styleId="BalloonText">
    <w:name w:val="Balloon Text"/>
    <w:basedOn w:val="Normal"/>
    <w:semiHidden/>
    <w:rsid w:val="00F50CDA"/>
    <w:rPr>
      <w:rFonts w:ascii="Tahoma" w:hAnsi="Tahoma" w:cs="Tahoma"/>
      <w:sz w:val="16"/>
      <w:szCs w:val="16"/>
    </w:rPr>
  </w:style>
  <w:style w:type="character" w:styleId="CommentReference">
    <w:name w:val="annotation reference"/>
    <w:semiHidden/>
    <w:rsid w:val="00B56A48"/>
    <w:rPr>
      <w:sz w:val="16"/>
      <w:szCs w:val="16"/>
    </w:rPr>
  </w:style>
  <w:style w:type="paragraph" w:styleId="CommentText">
    <w:name w:val="annotation text"/>
    <w:basedOn w:val="Normal"/>
    <w:semiHidden/>
    <w:rsid w:val="00B56A48"/>
  </w:style>
  <w:style w:type="paragraph" w:styleId="CommentSubject">
    <w:name w:val="annotation subject"/>
    <w:basedOn w:val="CommentText"/>
    <w:next w:val="CommentText"/>
    <w:semiHidden/>
    <w:rsid w:val="00B56A48"/>
    <w:rPr>
      <w:b/>
      <w:bCs/>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rsid w:val="00925C32"/>
    <w:rPr>
      <w:sz w:val="18"/>
      <w:lang w:val="en-GB" w:eastAsia="en-US" w:bidi="ar-SA"/>
    </w:rPr>
  </w:style>
  <w:style w:type="character" w:customStyle="1" w:styleId="SingleTxtGChar">
    <w:name w:val="_ Single Txt_G Char"/>
    <w:link w:val="SingleTxtG"/>
    <w:rsid w:val="00A605D8"/>
    <w:rPr>
      <w:lang w:val="en-GB" w:eastAsia="en-US" w:bidi="ar-SA"/>
    </w:rPr>
  </w:style>
  <w:style w:type="paragraph" w:styleId="NormalWeb">
    <w:name w:val="Normal (Web)"/>
    <w:basedOn w:val="Normal"/>
    <w:rsid w:val="00E07BE3"/>
    <w:pPr>
      <w:suppressAutoHyphens w:val="0"/>
      <w:spacing w:before="100" w:beforeAutospacing="1" w:after="100" w:afterAutospacing="1" w:line="240" w:lineRule="auto"/>
    </w:pPr>
    <w:rPr>
      <w:rFonts w:eastAsia="SimSun"/>
      <w:sz w:val="24"/>
      <w:szCs w:val="24"/>
      <w:lang w:val="ru-RU" w:eastAsia="zh-CN"/>
    </w:rPr>
  </w:style>
  <w:style w:type="paragraph" w:customStyle="1" w:styleId="Revision1">
    <w:name w:val="Revision1"/>
    <w:hidden/>
    <w:uiPriority w:val="99"/>
    <w:semiHidden/>
    <w:rsid w:val="00402044"/>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647283">
      <w:bodyDiv w:val="1"/>
      <w:marLeft w:val="0"/>
      <w:marRight w:val="0"/>
      <w:marTop w:val="0"/>
      <w:marBottom w:val="0"/>
      <w:divBdr>
        <w:top w:val="none" w:sz="0" w:space="0" w:color="auto"/>
        <w:left w:val="none" w:sz="0" w:space="0" w:color="auto"/>
        <w:bottom w:val="none" w:sz="0" w:space="0" w:color="auto"/>
        <w:right w:val="none" w:sz="0" w:space="0" w:color="auto"/>
      </w:divBdr>
      <w:divsChild>
        <w:div w:id="177932846">
          <w:marLeft w:val="0"/>
          <w:marRight w:val="0"/>
          <w:marTop w:val="0"/>
          <w:marBottom w:val="0"/>
          <w:divBdr>
            <w:top w:val="none" w:sz="0" w:space="0" w:color="auto"/>
            <w:left w:val="none" w:sz="0" w:space="0" w:color="auto"/>
            <w:bottom w:val="none" w:sz="0" w:space="0" w:color="auto"/>
            <w:right w:val="none" w:sz="0" w:space="0" w:color="auto"/>
          </w:divBdr>
          <w:divsChild>
            <w:div w:id="764885076">
              <w:marLeft w:val="0"/>
              <w:marRight w:val="0"/>
              <w:marTop w:val="0"/>
              <w:marBottom w:val="0"/>
              <w:divBdr>
                <w:top w:val="none" w:sz="0" w:space="0" w:color="auto"/>
                <w:left w:val="none" w:sz="0" w:space="0" w:color="auto"/>
                <w:bottom w:val="none" w:sz="0" w:space="0" w:color="auto"/>
                <w:right w:val="none" w:sz="0" w:space="0" w:color="auto"/>
              </w:divBdr>
              <w:divsChild>
                <w:div w:id="680203647">
                  <w:marLeft w:val="0"/>
                  <w:marRight w:val="0"/>
                  <w:marTop w:val="0"/>
                  <w:marBottom w:val="0"/>
                  <w:divBdr>
                    <w:top w:val="none" w:sz="0" w:space="0" w:color="auto"/>
                    <w:left w:val="none" w:sz="0" w:space="0" w:color="auto"/>
                    <w:bottom w:val="none" w:sz="0" w:space="0" w:color="auto"/>
                    <w:right w:val="none" w:sz="0" w:space="0" w:color="auto"/>
                  </w:divBdr>
                  <w:divsChild>
                    <w:div w:id="1696148394">
                      <w:marLeft w:val="0"/>
                      <w:marRight w:val="0"/>
                      <w:marTop w:val="0"/>
                      <w:marBottom w:val="0"/>
                      <w:divBdr>
                        <w:top w:val="none" w:sz="0" w:space="0" w:color="auto"/>
                        <w:left w:val="none" w:sz="0" w:space="0" w:color="auto"/>
                        <w:bottom w:val="none" w:sz="0" w:space="0" w:color="auto"/>
                        <w:right w:val="none" w:sz="0" w:space="0" w:color="auto"/>
                      </w:divBdr>
                      <w:divsChild>
                        <w:div w:id="445581312">
                          <w:marLeft w:val="0"/>
                          <w:marRight w:val="0"/>
                          <w:marTop w:val="0"/>
                          <w:marBottom w:val="0"/>
                          <w:divBdr>
                            <w:top w:val="none" w:sz="0" w:space="0" w:color="auto"/>
                            <w:left w:val="none" w:sz="0" w:space="0" w:color="auto"/>
                            <w:bottom w:val="none" w:sz="0" w:space="0" w:color="auto"/>
                            <w:right w:val="none" w:sz="0" w:space="0" w:color="auto"/>
                          </w:divBdr>
                          <w:divsChild>
                            <w:div w:id="952512669">
                              <w:marLeft w:val="0"/>
                              <w:marRight w:val="0"/>
                              <w:marTop w:val="0"/>
                              <w:marBottom w:val="0"/>
                              <w:divBdr>
                                <w:top w:val="none" w:sz="0" w:space="0" w:color="auto"/>
                                <w:left w:val="none" w:sz="0" w:space="0" w:color="auto"/>
                                <w:bottom w:val="none" w:sz="0" w:space="0" w:color="auto"/>
                                <w:right w:val="none" w:sz="0" w:space="0" w:color="auto"/>
                              </w:divBdr>
                              <w:divsChild>
                                <w:div w:id="1283342595">
                                  <w:marLeft w:val="0"/>
                                  <w:marRight w:val="0"/>
                                  <w:marTop w:val="0"/>
                                  <w:marBottom w:val="0"/>
                                  <w:divBdr>
                                    <w:top w:val="none" w:sz="0" w:space="0" w:color="auto"/>
                                    <w:left w:val="none" w:sz="0" w:space="0" w:color="auto"/>
                                    <w:bottom w:val="none" w:sz="0" w:space="0" w:color="auto"/>
                                    <w:right w:val="none" w:sz="0" w:space="0" w:color="auto"/>
                                  </w:divBdr>
                                  <w:divsChild>
                                    <w:div w:id="110327031">
                                      <w:marLeft w:val="0"/>
                                      <w:marRight w:val="0"/>
                                      <w:marTop w:val="0"/>
                                      <w:marBottom w:val="0"/>
                                      <w:divBdr>
                                        <w:top w:val="none" w:sz="0" w:space="0" w:color="auto"/>
                                        <w:left w:val="none" w:sz="0" w:space="0" w:color="auto"/>
                                        <w:bottom w:val="none" w:sz="0" w:space="0" w:color="auto"/>
                                        <w:right w:val="none" w:sz="0" w:space="0" w:color="auto"/>
                                      </w:divBdr>
                                      <w:divsChild>
                                        <w:div w:id="371462048">
                                          <w:marLeft w:val="0"/>
                                          <w:marRight w:val="0"/>
                                          <w:marTop w:val="0"/>
                                          <w:marBottom w:val="0"/>
                                          <w:divBdr>
                                            <w:top w:val="none" w:sz="0" w:space="0" w:color="auto"/>
                                            <w:left w:val="none" w:sz="0" w:space="0" w:color="auto"/>
                                            <w:bottom w:val="none" w:sz="0" w:space="0" w:color="auto"/>
                                            <w:right w:val="none" w:sz="0" w:space="0" w:color="auto"/>
                                          </w:divBdr>
                                          <w:divsChild>
                                            <w:div w:id="1120144832">
                                              <w:marLeft w:val="0"/>
                                              <w:marRight w:val="0"/>
                                              <w:marTop w:val="0"/>
                                              <w:marBottom w:val="0"/>
                                              <w:divBdr>
                                                <w:top w:val="none" w:sz="0" w:space="0" w:color="auto"/>
                                                <w:left w:val="none" w:sz="0" w:space="0" w:color="auto"/>
                                                <w:bottom w:val="none" w:sz="0" w:space="0" w:color="auto"/>
                                                <w:right w:val="none" w:sz="0" w:space="0" w:color="auto"/>
                                              </w:divBdr>
                                              <w:divsChild>
                                                <w:div w:id="1043679205">
                                                  <w:marLeft w:val="0"/>
                                                  <w:marRight w:val="0"/>
                                                  <w:marTop w:val="0"/>
                                                  <w:marBottom w:val="0"/>
                                                  <w:divBdr>
                                                    <w:top w:val="none" w:sz="0" w:space="0" w:color="auto"/>
                                                    <w:left w:val="none" w:sz="0" w:space="0" w:color="auto"/>
                                                    <w:bottom w:val="none" w:sz="0" w:space="0" w:color="auto"/>
                                                    <w:right w:val="none" w:sz="0" w:space="0" w:color="auto"/>
                                                  </w:divBdr>
                                                  <w:divsChild>
                                                    <w:div w:id="506363668">
                                                      <w:marLeft w:val="0"/>
                                                      <w:marRight w:val="0"/>
                                                      <w:marTop w:val="0"/>
                                                      <w:marBottom w:val="0"/>
                                                      <w:divBdr>
                                                        <w:top w:val="none" w:sz="0" w:space="0" w:color="auto"/>
                                                        <w:left w:val="none" w:sz="0" w:space="0" w:color="auto"/>
                                                        <w:bottom w:val="none" w:sz="0" w:space="0" w:color="auto"/>
                                                        <w:right w:val="none" w:sz="0" w:space="0" w:color="auto"/>
                                                      </w:divBdr>
                                                      <w:divsChild>
                                                        <w:div w:id="1256745969">
                                                          <w:marLeft w:val="0"/>
                                                          <w:marRight w:val="0"/>
                                                          <w:marTop w:val="0"/>
                                                          <w:marBottom w:val="0"/>
                                                          <w:divBdr>
                                                            <w:top w:val="none" w:sz="0" w:space="0" w:color="auto"/>
                                                            <w:left w:val="none" w:sz="0" w:space="0" w:color="auto"/>
                                                            <w:bottom w:val="none" w:sz="0" w:space="0" w:color="auto"/>
                                                            <w:right w:val="none" w:sz="0" w:space="0" w:color="auto"/>
                                                          </w:divBdr>
                                                          <w:divsChild>
                                                            <w:div w:id="1035496871">
                                                              <w:marLeft w:val="0"/>
                                                              <w:marRight w:val="0"/>
                                                              <w:marTop w:val="0"/>
                                                              <w:marBottom w:val="0"/>
                                                              <w:divBdr>
                                                                <w:top w:val="none" w:sz="0" w:space="0" w:color="auto"/>
                                                                <w:left w:val="none" w:sz="0" w:space="0" w:color="auto"/>
                                                                <w:bottom w:val="none" w:sz="0" w:space="0" w:color="auto"/>
                                                                <w:right w:val="none" w:sz="0" w:space="0" w:color="auto"/>
                                                              </w:divBdr>
                                                              <w:divsChild>
                                                                <w:div w:id="1402288364">
                                                                  <w:marLeft w:val="0"/>
                                                                  <w:marRight w:val="0"/>
                                                                  <w:marTop w:val="0"/>
                                                                  <w:marBottom w:val="0"/>
                                                                  <w:divBdr>
                                                                    <w:top w:val="none" w:sz="0" w:space="0" w:color="auto"/>
                                                                    <w:left w:val="none" w:sz="0" w:space="0" w:color="auto"/>
                                                                    <w:bottom w:val="none" w:sz="0" w:space="0" w:color="auto"/>
                                                                    <w:right w:val="none" w:sz="0" w:space="0" w:color="auto"/>
                                                                  </w:divBdr>
                                                                  <w:divsChild>
                                                                    <w:div w:id="1446844580">
                                                                      <w:marLeft w:val="0"/>
                                                                      <w:marRight w:val="0"/>
                                                                      <w:marTop w:val="0"/>
                                                                      <w:marBottom w:val="0"/>
                                                                      <w:divBdr>
                                                                        <w:top w:val="none" w:sz="0" w:space="0" w:color="auto"/>
                                                                        <w:left w:val="none" w:sz="0" w:space="0" w:color="auto"/>
                                                                        <w:bottom w:val="none" w:sz="0" w:space="0" w:color="auto"/>
                                                                        <w:right w:val="none" w:sz="0" w:space="0" w:color="auto"/>
                                                                      </w:divBdr>
                                                                      <w:divsChild>
                                                                        <w:div w:id="495196347">
                                                                          <w:marLeft w:val="0"/>
                                                                          <w:marRight w:val="0"/>
                                                                          <w:marTop w:val="0"/>
                                                                          <w:marBottom w:val="0"/>
                                                                          <w:divBdr>
                                                                            <w:top w:val="none" w:sz="0" w:space="0" w:color="auto"/>
                                                                            <w:left w:val="none" w:sz="0" w:space="0" w:color="auto"/>
                                                                            <w:bottom w:val="none" w:sz="0" w:space="0" w:color="auto"/>
                                                                            <w:right w:val="none" w:sz="0" w:space="0" w:color="auto"/>
                                                                          </w:divBdr>
                                                                          <w:divsChild>
                                                                            <w:div w:id="283001308">
                                                                              <w:marLeft w:val="0"/>
                                                                              <w:marRight w:val="0"/>
                                                                              <w:marTop w:val="0"/>
                                                                              <w:marBottom w:val="0"/>
                                                                              <w:divBdr>
                                                                                <w:top w:val="none" w:sz="0" w:space="0" w:color="auto"/>
                                                                                <w:left w:val="none" w:sz="0" w:space="0" w:color="auto"/>
                                                                                <w:bottom w:val="none" w:sz="0" w:space="0" w:color="auto"/>
                                                                                <w:right w:val="none" w:sz="0" w:space="0" w:color="auto"/>
                                                                              </w:divBdr>
                                                                              <w:divsChild>
                                                                                <w:div w:id="427122285">
                                                                                  <w:marLeft w:val="0"/>
                                                                                  <w:marRight w:val="0"/>
                                                                                  <w:marTop w:val="0"/>
                                                                                  <w:marBottom w:val="0"/>
                                                                                  <w:divBdr>
                                                                                    <w:top w:val="none" w:sz="0" w:space="0" w:color="auto"/>
                                                                                    <w:left w:val="none" w:sz="0" w:space="0" w:color="auto"/>
                                                                                    <w:bottom w:val="none" w:sz="0" w:space="0" w:color="auto"/>
                                                                                    <w:right w:val="none" w:sz="0" w:space="0" w:color="auto"/>
                                                                                  </w:divBdr>
                                                                                  <w:divsChild>
                                                                                    <w:div w:id="410388998">
                                                                                      <w:marLeft w:val="0"/>
                                                                                      <w:marRight w:val="0"/>
                                                                                      <w:marTop w:val="0"/>
                                                                                      <w:marBottom w:val="0"/>
                                                                                      <w:divBdr>
                                                                                        <w:top w:val="single" w:sz="4"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094894">
      <w:bodyDiv w:val="1"/>
      <w:marLeft w:val="0"/>
      <w:marRight w:val="0"/>
      <w:marTop w:val="0"/>
      <w:marBottom w:val="0"/>
      <w:divBdr>
        <w:top w:val="none" w:sz="0" w:space="0" w:color="auto"/>
        <w:left w:val="none" w:sz="0" w:space="0" w:color="auto"/>
        <w:bottom w:val="none" w:sz="0" w:space="0" w:color="auto"/>
        <w:right w:val="none" w:sz="0" w:space="0" w:color="auto"/>
      </w:divBdr>
    </w:div>
    <w:div w:id="703675541">
      <w:bodyDiv w:val="1"/>
      <w:marLeft w:val="0"/>
      <w:marRight w:val="0"/>
      <w:marTop w:val="0"/>
      <w:marBottom w:val="0"/>
      <w:divBdr>
        <w:top w:val="none" w:sz="0" w:space="0" w:color="auto"/>
        <w:left w:val="none" w:sz="0" w:space="0" w:color="auto"/>
        <w:bottom w:val="none" w:sz="0" w:space="0" w:color="auto"/>
        <w:right w:val="none" w:sz="0" w:space="0" w:color="auto"/>
      </w:divBdr>
      <w:divsChild>
        <w:div w:id="1981420680">
          <w:marLeft w:val="0"/>
          <w:marRight w:val="0"/>
          <w:marTop w:val="0"/>
          <w:marBottom w:val="0"/>
          <w:divBdr>
            <w:top w:val="none" w:sz="0" w:space="0" w:color="auto"/>
            <w:left w:val="none" w:sz="0" w:space="0" w:color="auto"/>
            <w:bottom w:val="none" w:sz="0" w:space="0" w:color="auto"/>
            <w:right w:val="none" w:sz="0" w:space="0" w:color="auto"/>
          </w:divBdr>
          <w:divsChild>
            <w:div w:id="471481978">
              <w:marLeft w:val="0"/>
              <w:marRight w:val="0"/>
              <w:marTop w:val="0"/>
              <w:marBottom w:val="0"/>
              <w:divBdr>
                <w:top w:val="none" w:sz="0" w:space="0" w:color="auto"/>
                <w:left w:val="none" w:sz="0" w:space="0" w:color="auto"/>
                <w:bottom w:val="none" w:sz="0" w:space="0" w:color="auto"/>
                <w:right w:val="none" w:sz="0" w:space="0" w:color="auto"/>
              </w:divBdr>
              <w:divsChild>
                <w:div w:id="60565347">
                  <w:marLeft w:val="0"/>
                  <w:marRight w:val="0"/>
                  <w:marTop w:val="0"/>
                  <w:marBottom w:val="0"/>
                  <w:divBdr>
                    <w:top w:val="none" w:sz="0" w:space="0" w:color="auto"/>
                    <w:left w:val="none" w:sz="0" w:space="0" w:color="auto"/>
                    <w:bottom w:val="none" w:sz="0" w:space="0" w:color="auto"/>
                    <w:right w:val="none" w:sz="0" w:space="0" w:color="auto"/>
                  </w:divBdr>
                  <w:divsChild>
                    <w:div w:id="1753233118">
                      <w:marLeft w:val="0"/>
                      <w:marRight w:val="0"/>
                      <w:marTop w:val="0"/>
                      <w:marBottom w:val="0"/>
                      <w:divBdr>
                        <w:top w:val="none" w:sz="0" w:space="0" w:color="auto"/>
                        <w:left w:val="none" w:sz="0" w:space="0" w:color="auto"/>
                        <w:bottom w:val="none" w:sz="0" w:space="0" w:color="auto"/>
                        <w:right w:val="none" w:sz="0" w:space="0" w:color="auto"/>
                      </w:divBdr>
                      <w:divsChild>
                        <w:div w:id="1391534225">
                          <w:marLeft w:val="0"/>
                          <w:marRight w:val="0"/>
                          <w:marTop w:val="0"/>
                          <w:marBottom w:val="0"/>
                          <w:divBdr>
                            <w:top w:val="none" w:sz="0" w:space="0" w:color="auto"/>
                            <w:left w:val="none" w:sz="0" w:space="0" w:color="auto"/>
                            <w:bottom w:val="none" w:sz="0" w:space="0" w:color="auto"/>
                            <w:right w:val="none" w:sz="0" w:space="0" w:color="auto"/>
                          </w:divBdr>
                          <w:divsChild>
                            <w:div w:id="1986667524">
                              <w:marLeft w:val="0"/>
                              <w:marRight w:val="0"/>
                              <w:marTop w:val="0"/>
                              <w:marBottom w:val="0"/>
                              <w:divBdr>
                                <w:top w:val="none" w:sz="0" w:space="0" w:color="auto"/>
                                <w:left w:val="none" w:sz="0" w:space="0" w:color="auto"/>
                                <w:bottom w:val="none" w:sz="0" w:space="0" w:color="auto"/>
                                <w:right w:val="none" w:sz="0" w:space="0" w:color="auto"/>
                              </w:divBdr>
                              <w:divsChild>
                                <w:div w:id="155538778">
                                  <w:marLeft w:val="0"/>
                                  <w:marRight w:val="0"/>
                                  <w:marTop w:val="0"/>
                                  <w:marBottom w:val="0"/>
                                  <w:divBdr>
                                    <w:top w:val="none" w:sz="0" w:space="0" w:color="auto"/>
                                    <w:left w:val="none" w:sz="0" w:space="0" w:color="auto"/>
                                    <w:bottom w:val="none" w:sz="0" w:space="0" w:color="auto"/>
                                    <w:right w:val="none" w:sz="0" w:space="0" w:color="auto"/>
                                  </w:divBdr>
                                  <w:divsChild>
                                    <w:div w:id="508373045">
                                      <w:marLeft w:val="0"/>
                                      <w:marRight w:val="0"/>
                                      <w:marTop w:val="0"/>
                                      <w:marBottom w:val="0"/>
                                      <w:divBdr>
                                        <w:top w:val="single" w:sz="6" w:space="0" w:color="F5F5F5"/>
                                        <w:left w:val="single" w:sz="6" w:space="0" w:color="F5F5F5"/>
                                        <w:bottom w:val="single" w:sz="6" w:space="0" w:color="F5F5F5"/>
                                        <w:right w:val="single" w:sz="6" w:space="0" w:color="F5F5F5"/>
                                      </w:divBdr>
                                      <w:divsChild>
                                        <w:div w:id="958071275">
                                          <w:marLeft w:val="0"/>
                                          <w:marRight w:val="0"/>
                                          <w:marTop w:val="0"/>
                                          <w:marBottom w:val="0"/>
                                          <w:divBdr>
                                            <w:top w:val="none" w:sz="0" w:space="0" w:color="auto"/>
                                            <w:left w:val="none" w:sz="0" w:space="0" w:color="auto"/>
                                            <w:bottom w:val="none" w:sz="0" w:space="0" w:color="auto"/>
                                            <w:right w:val="none" w:sz="0" w:space="0" w:color="auto"/>
                                          </w:divBdr>
                                          <w:divsChild>
                                            <w:div w:id="8701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524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7549</Words>
  <Characters>43033</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CCPR/C/WG/101/DR/1226/2003</vt:lpstr>
    </vt:vector>
  </TitlesOfParts>
  <Company>CSD</Company>
  <LinksUpToDate>false</LinksUpToDate>
  <CharactersWithSpaces>50482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CCPR/C/WG/101/DR/1226/2003</dc:title>
  <dc:subject/>
  <dc:creator>Neogi</dc:creator>
  <cp:keywords/>
  <cp:lastModifiedBy>Sarah Willig</cp:lastModifiedBy>
  <cp:revision>2</cp:revision>
  <cp:lastPrinted>2012-11-15T14:47:00Z</cp:lastPrinted>
  <dcterms:created xsi:type="dcterms:W3CDTF">2017-01-25T00:36:00Z</dcterms:created>
  <dcterms:modified xsi:type="dcterms:W3CDTF">2017-01-25T00:36:00Z</dcterms:modified>
</cp:coreProperties>
</file>