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343B02" w14:paraId="0311A4C7" w14:textId="77777777" w:rsidTr="00B6553F">
        <w:trPr>
          <w:cantSplit/>
          <w:trHeight w:hRule="exact" w:val="851"/>
        </w:trPr>
        <w:tc>
          <w:tcPr>
            <w:tcW w:w="1276" w:type="dxa"/>
            <w:tcBorders>
              <w:bottom w:val="single" w:sz="4" w:space="0" w:color="auto"/>
            </w:tcBorders>
            <w:vAlign w:val="bottom"/>
          </w:tcPr>
          <w:p w14:paraId="76E146AE" w14:textId="77777777" w:rsidR="00B56E9C" w:rsidRPr="0042596A" w:rsidRDefault="0042596A" w:rsidP="0042596A">
            <w:pPr>
              <w:spacing w:line="20" w:lineRule="exact"/>
              <w:rPr>
                <w:sz w:val="2"/>
              </w:rPr>
            </w:pPr>
            <w:r>
              <w:rPr>
                <w:rStyle w:val="CommentReference"/>
              </w:rPr>
              <w:commentReference w:id="0"/>
            </w:r>
            <w:bookmarkStart w:id="1" w:name="_GoBack"/>
            <w:bookmarkEnd w:id="1"/>
          </w:p>
          <w:p w14:paraId="3B616F0E" w14:textId="77777777" w:rsidR="0042596A" w:rsidRPr="00343B02" w:rsidRDefault="0042596A" w:rsidP="00B6553F">
            <w:pPr>
              <w:spacing w:after="80"/>
            </w:pPr>
          </w:p>
        </w:tc>
        <w:tc>
          <w:tcPr>
            <w:tcW w:w="2268" w:type="dxa"/>
            <w:tcBorders>
              <w:bottom w:val="single" w:sz="4" w:space="0" w:color="auto"/>
            </w:tcBorders>
            <w:vAlign w:val="bottom"/>
          </w:tcPr>
          <w:p w14:paraId="23EE5104" w14:textId="77777777" w:rsidR="00B56E9C" w:rsidRPr="00343B02" w:rsidRDefault="00B56E9C" w:rsidP="00B6553F">
            <w:pPr>
              <w:spacing w:after="80" w:line="300" w:lineRule="exact"/>
              <w:rPr>
                <w:b/>
                <w:sz w:val="24"/>
                <w:szCs w:val="24"/>
              </w:rPr>
            </w:pPr>
            <w:r w:rsidRPr="00343B02">
              <w:rPr>
                <w:sz w:val="28"/>
                <w:szCs w:val="28"/>
              </w:rPr>
              <w:t>United Nations</w:t>
            </w:r>
          </w:p>
        </w:tc>
        <w:tc>
          <w:tcPr>
            <w:tcW w:w="6095" w:type="dxa"/>
            <w:gridSpan w:val="2"/>
            <w:tcBorders>
              <w:bottom w:val="single" w:sz="4" w:space="0" w:color="auto"/>
            </w:tcBorders>
            <w:vAlign w:val="bottom"/>
          </w:tcPr>
          <w:p w14:paraId="08A6D3A2" w14:textId="77777777" w:rsidR="00B56E9C" w:rsidRPr="00343B02" w:rsidRDefault="008216A5" w:rsidP="007E0BD8">
            <w:pPr>
              <w:jc w:val="right"/>
            </w:pPr>
            <w:r w:rsidRPr="00343B02">
              <w:rPr>
                <w:sz w:val="40"/>
              </w:rPr>
              <w:t>CCPR</w:t>
            </w:r>
            <w:r w:rsidRPr="00343B02">
              <w:t>/C/1</w:t>
            </w:r>
            <w:r w:rsidR="00711F00" w:rsidRPr="00343B02">
              <w:t>1</w:t>
            </w:r>
            <w:r w:rsidR="00A41ADD" w:rsidRPr="00343B02">
              <w:t>4</w:t>
            </w:r>
            <w:r w:rsidR="00272837" w:rsidRPr="00343B02">
              <w:t>/</w:t>
            </w:r>
            <w:r w:rsidRPr="00343B02">
              <w:t>D/</w:t>
            </w:r>
            <w:r w:rsidR="00692477" w:rsidRPr="00343B02">
              <w:t>20</w:t>
            </w:r>
            <w:r w:rsidR="00934F39" w:rsidRPr="00343B02">
              <w:t>43</w:t>
            </w:r>
            <w:r w:rsidRPr="00343B02">
              <w:t>/</w:t>
            </w:r>
            <w:r w:rsidR="000308D4" w:rsidRPr="00343B02">
              <w:t>201</w:t>
            </w:r>
            <w:r w:rsidR="00692477" w:rsidRPr="00343B02">
              <w:t>1</w:t>
            </w:r>
          </w:p>
        </w:tc>
      </w:tr>
      <w:tr w:rsidR="00B56E9C" w:rsidRPr="00343B02" w14:paraId="528127FA" w14:textId="77777777" w:rsidTr="00B6553F">
        <w:trPr>
          <w:cantSplit/>
          <w:trHeight w:hRule="exact" w:val="2835"/>
        </w:trPr>
        <w:tc>
          <w:tcPr>
            <w:tcW w:w="1276" w:type="dxa"/>
            <w:tcBorders>
              <w:top w:val="single" w:sz="4" w:space="0" w:color="auto"/>
              <w:bottom w:val="single" w:sz="12" w:space="0" w:color="auto"/>
            </w:tcBorders>
          </w:tcPr>
          <w:p w14:paraId="56EB1F3D" w14:textId="77777777" w:rsidR="00B56E9C" w:rsidRPr="00343B02" w:rsidRDefault="0099284E" w:rsidP="00B6553F">
            <w:pPr>
              <w:spacing w:before="120"/>
            </w:pPr>
            <w:r w:rsidRPr="00343B02">
              <w:rPr>
                <w:noProof/>
                <w:lang w:val="en-US"/>
              </w:rPr>
              <w:drawing>
                <wp:inline distT="0" distB="0" distL="0" distR="0" wp14:anchorId="5E19A089" wp14:editId="1830A32E">
                  <wp:extent cx="709295" cy="598170"/>
                  <wp:effectExtent l="0" t="0" r="0"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9295" cy="59817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51A42CE" w14:textId="77777777" w:rsidR="00B56E9C" w:rsidRPr="00343B02" w:rsidRDefault="00B56E9C" w:rsidP="00272837">
            <w:pPr>
              <w:spacing w:before="120" w:line="380" w:lineRule="exact"/>
              <w:rPr>
                <w:b/>
                <w:sz w:val="34"/>
                <w:szCs w:val="40"/>
              </w:rPr>
            </w:pPr>
            <w:r w:rsidRPr="00343B02">
              <w:rPr>
                <w:b/>
                <w:sz w:val="34"/>
                <w:szCs w:val="40"/>
              </w:rPr>
              <w:t xml:space="preserve">International </w:t>
            </w:r>
            <w:r w:rsidR="00060C3A" w:rsidRPr="00343B02">
              <w:rPr>
                <w:b/>
                <w:sz w:val="34"/>
                <w:szCs w:val="40"/>
              </w:rPr>
              <w:t>Covenant on</w:t>
            </w:r>
            <w:r w:rsidR="00060C3A" w:rsidRPr="00343B02">
              <w:rPr>
                <w:b/>
                <w:sz w:val="34"/>
                <w:szCs w:val="40"/>
              </w:rPr>
              <w:br/>
              <w:t>Civil and Political R</w:t>
            </w:r>
            <w:r w:rsidR="00703577" w:rsidRPr="00343B02">
              <w:rPr>
                <w:b/>
                <w:sz w:val="34"/>
                <w:szCs w:val="40"/>
              </w:rPr>
              <w:t>ights</w:t>
            </w:r>
          </w:p>
          <w:p w14:paraId="2B818293" w14:textId="77777777" w:rsidR="007E0BD8" w:rsidRPr="00343B02" w:rsidRDefault="007E0BD8" w:rsidP="00272837">
            <w:pPr>
              <w:spacing w:before="120" w:line="380" w:lineRule="exact"/>
              <w:rPr>
                <w:sz w:val="34"/>
              </w:rPr>
            </w:pPr>
          </w:p>
        </w:tc>
        <w:tc>
          <w:tcPr>
            <w:tcW w:w="2835" w:type="dxa"/>
            <w:tcBorders>
              <w:top w:val="single" w:sz="4" w:space="0" w:color="auto"/>
              <w:bottom w:val="single" w:sz="12" w:space="0" w:color="auto"/>
            </w:tcBorders>
          </w:tcPr>
          <w:p w14:paraId="227AFB8D" w14:textId="77777777" w:rsidR="00B56E9C" w:rsidRPr="00343B02" w:rsidRDefault="008216A5" w:rsidP="008216A5">
            <w:pPr>
              <w:spacing w:before="240" w:line="240" w:lineRule="exact"/>
            </w:pPr>
            <w:r w:rsidRPr="00343B02">
              <w:t xml:space="preserve">Distr.: </w:t>
            </w:r>
            <w:r w:rsidR="007E0BD8" w:rsidRPr="00343B02">
              <w:t>General</w:t>
            </w:r>
          </w:p>
          <w:p w14:paraId="631101E6" w14:textId="77777777" w:rsidR="008216A5" w:rsidRPr="00343B02" w:rsidRDefault="0045628A" w:rsidP="00090EFF">
            <w:pPr>
              <w:spacing w:line="240" w:lineRule="exact"/>
            </w:pPr>
            <w:r>
              <w:t>7</w:t>
            </w:r>
            <w:r w:rsidR="009968F8">
              <w:t xml:space="preserve"> </w:t>
            </w:r>
            <w:r w:rsidR="009B1DF4" w:rsidRPr="00343B02">
              <w:t>September</w:t>
            </w:r>
            <w:r w:rsidR="007E0BD8" w:rsidRPr="00343B02">
              <w:t xml:space="preserve"> </w:t>
            </w:r>
            <w:r w:rsidR="00307752" w:rsidRPr="00343B02">
              <w:t>2015</w:t>
            </w:r>
          </w:p>
          <w:p w14:paraId="1E82BECE" w14:textId="77777777" w:rsidR="008216A5" w:rsidRPr="00343B02" w:rsidRDefault="008216A5" w:rsidP="008216A5">
            <w:pPr>
              <w:spacing w:line="240" w:lineRule="exact"/>
            </w:pPr>
          </w:p>
          <w:p w14:paraId="18DEAE0B" w14:textId="77777777" w:rsidR="008216A5" w:rsidRPr="00343B02" w:rsidRDefault="008216A5" w:rsidP="008216A5">
            <w:pPr>
              <w:spacing w:line="240" w:lineRule="exact"/>
            </w:pPr>
            <w:r w:rsidRPr="00343B02">
              <w:t>Original: English</w:t>
            </w:r>
          </w:p>
          <w:p w14:paraId="31C7A13B" w14:textId="77777777" w:rsidR="00326293" w:rsidRPr="00343B02" w:rsidRDefault="00326293" w:rsidP="008216A5">
            <w:pPr>
              <w:spacing w:line="240" w:lineRule="exact"/>
            </w:pPr>
          </w:p>
        </w:tc>
      </w:tr>
    </w:tbl>
    <w:p w14:paraId="3FE78FF7" w14:textId="77777777" w:rsidR="005C7E97" w:rsidRPr="00343B02" w:rsidRDefault="008216A5" w:rsidP="002A1382">
      <w:pPr>
        <w:spacing w:before="120"/>
      </w:pPr>
      <w:r w:rsidRPr="00343B02">
        <w:rPr>
          <w:sz w:val="24"/>
          <w:szCs w:val="24"/>
        </w:rPr>
        <w:t>Human Rights Committee</w:t>
      </w:r>
    </w:p>
    <w:p w14:paraId="318AD105" w14:textId="77777777" w:rsidR="003134AC" w:rsidRPr="00343B02" w:rsidRDefault="003134AC" w:rsidP="003134AC">
      <w:pPr>
        <w:pStyle w:val="HChG"/>
      </w:pPr>
      <w:r w:rsidRPr="00343B02">
        <w:tab/>
      </w:r>
      <w:r w:rsidRPr="00343B02">
        <w:tab/>
        <w:t xml:space="preserve">Communication No. </w:t>
      </w:r>
      <w:r w:rsidR="00692477" w:rsidRPr="00343B02">
        <w:t>20</w:t>
      </w:r>
      <w:r w:rsidR="00661073" w:rsidRPr="00343B02">
        <w:t>43</w:t>
      </w:r>
      <w:r w:rsidR="002D77A1" w:rsidRPr="00343B02">
        <w:t>/20</w:t>
      </w:r>
      <w:r w:rsidR="00ED08C9" w:rsidRPr="00343B02">
        <w:t>1</w:t>
      </w:r>
      <w:r w:rsidR="00692477" w:rsidRPr="00343B02">
        <w:t>1</w:t>
      </w:r>
    </w:p>
    <w:p w14:paraId="358181F0" w14:textId="77777777" w:rsidR="003134AC" w:rsidRPr="00343B02" w:rsidRDefault="003134AC" w:rsidP="003C0126">
      <w:pPr>
        <w:pStyle w:val="H1G"/>
      </w:pPr>
      <w:r w:rsidRPr="00343B02">
        <w:tab/>
      </w:r>
      <w:r w:rsidRPr="00343B02">
        <w:tab/>
      </w:r>
      <w:r w:rsidR="007E0BD8" w:rsidRPr="00343B02">
        <w:rPr>
          <w:rFonts w:eastAsia="MS Mincho"/>
        </w:rPr>
        <w:t>Views adopted by the Committee at its 114</w:t>
      </w:r>
      <w:r w:rsidR="007E0BD8" w:rsidRPr="00A808EF">
        <w:rPr>
          <w:rFonts w:eastAsia="MS Mincho"/>
        </w:rPr>
        <w:t>th</w:t>
      </w:r>
      <w:r w:rsidR="007E0BD8" w:rsidRPr="00343B02">
        <w:rPr>
          <w:rFonts w:eastAsia="MS Mincho"/>
        </w:rPr>
        <w:t xml:space="preserve"> session</w:t>
      </w:r>
      <w:r w:rsidR="007E0BD8" w:rsidRPr="00343B02">
        <w:rPr>
          <w:rFonts w:eastAsia="MS Mincho"/>
        </w:rPr>
        <w:br/>
        <w:t>(</w:t>
      </w:r>
      <w:r w:rsidR="007E0BD8" w:rsidRPr="00343B02">
        <w:rPr>
          <w:rFonts w:eastAsia="MS Mincho"/>
          <w:bCs/>
        </w:rPr>
        <w:t>29 June</w:t>
      </w:r>
      <w:r w:rsidR="003C0126" w:rsidRPr="00343B02">
        <w:rPr>
          <w:rFonts w:eastAsia="MS Mincho"/>
          <w:bCs/>
        </w:rPr>
        <w:t>-</w:t>
      </w:r>
      <w:r w:rsidR="007E0BD8" w:rsidRPr="00343B02">
        <w:rPr>
          <w:rFonts w:eastAsia="MS Mincho"/>
          <w:bCs/>
        </w:rPr>
        <w:t>24 July 2015)</w:t>
      </w:r>
    </w:p>
    <w:p w14:paraId="446294DA" w14:textId="77777777" w:rsidR="004B44C6" w:rsidRPr="00343B02" w:rsidRDefault="004B44C6" w:rsidP="002A1382">
      <w:pPr>
        <w:pStyle w:val="SingleTxtG"/>
        <w:ind w:left="4536" w:hanging="3402"/>
        <w:jc w:val="left"/>
      </w:pPr>
      <w:r w:rsidRPr="00343B02">
        <w:rPr>
          <w:i/>
        </w:rPr>
        <w:t>Submitted by:</w:t>
      </w:r>
      <w:r w:rsidRPr="00343B02">
        <w:tab/>
      </w:r>
      <w:r w:rsidR="00661073" w:rsidRPr="00343B02">
        <w:t>V</w:t>
      </w:r>
      <w:r w:rsidR="00223C72" w:rsidRPr="00343B02">
        <w:t>.</w:t>
      </w:r>
      <w:r w:rsidR="00661073" w:rsidRPr="00343B02">
        <w:t xml:space="preserve"> M</w:t>
      </w:r>
      <w:r w:rsidR="00223C72" w:rsidRPr="00343B02">
        <w:t>.</w:t>
      </w:r>
      <w:r w:rsidRPr="00343B02">
        <w:t xml:space="preserve"> (</w:t>
      </w:r>
      <w:r w:rsidR="00BD5F5C" w:rsidRPr="00343B02">
        <w:t xml:space="preserve">not </w:t>
      </w:r>
      <w:r w:rsidRPr="00343B02">
        <w:t>represented by counsel)</w:t>
      </w:r>
    </w:p>
    <w:p w14:paraId="14F53FAC" w14:textId="77777777" w:rsidR="004B44C6" w:rsidRPr="00343B02" w:rsidRDefault="004B44C6" w:rsidP="002A1382">
      <w:pPr>
        <w:pStyle w:val="SingleTxtG"/>
        <w:ind w:left="4536" w:hanging="3402"/>
        <w:jc w:val="left"/>
      </w:pPr>
      <w:r w:rsidRPr="00343B02">
        <w:rPr>
          <w:i/>
        </w:rPr>
        <w:t>Alleged victim:</w:t>
      </w:r>
      <w:r w:rsidRPr="00343B02">
        <w:tab/>
        <w:t>The author</w:t>
      </w:r>
    </w:p>
    <w:p w14:paraId="1F98601C" w14:textId="77777777" w:rsidR="004B44C6" w:rsidRPr="00343B02" w:rsidRDefault="004B44C6" w:rsidP="002A1382">
      <w:pPr>
        <w:pStyle w:val="SingleTxtG"/>
        <w:ind w:left="4536" w:hanging="3402"/>
        <w:jc w:val="left"/>
      </w:pPr>
      <w:r w:rsidRPr="00343B02">
        <w:rPr>
          <w:i/>
        </w:rPr>
        <w:t>State party:</w:t>
      </w:r>
      <w:r w:rsidR="00692477" w:rsidRPr="00343B02">
        <w:tab/>
      </w:r>
      <w:r w:rsidR="00F92F08" w:rsidRPr="00343B02">
        <w:t>T</w:t>
      </w:r>
      <w:r w:rsidR="00692477" w:rsidRPr="00343B02">
        <w:t>he Russian Federation</w:t>
      </w:r>
    </w:p>
    <w:p w14:paraId="33ABD59C" w14:textId="77777777" w:rsidR="004B44C6" w:rsidRPr="00343B02" w:rsidRDefault="004B44C6" w:rsidP="002A1382">
      <w:pPr>
        <w:pStyle w:val="SingleTxtG"/>
        <w:ind w:left="4536" w:hanging="3402"/>
        <w:jc w:val="left"/>
      </w:pPr>
      <w:r w:rsidRPr="00343B02">
        <w:rPr>
          <w:i/>
        </w:rPr>
        <w:t>Date of communication:</w:t>
      </w:r>
      <w:r w:rsidRPr="00343B02">
        <w:tab/>
      </w:r>
      <w:r w:rsidR="00661073" w:rsidRPr="00343B02">
        <w:t>9 November</w:t>
      </w:r>
      <w:r w:rsidR="00692477" w:rsidRPr="00343B02">
        <w:t xml:space="preserve"> 20</w:t>
      </w:r>
      <w:r w:rsidR="00661073" w:rsidRPr="00343B02">
        <w:t>10</w:t>
      </w:r>
      <w:r w:rsidRPr="00343B02">
        <w:t xml:space="preserve"> (initial submission)</w:t>
      </w:r>
    </w:p>
    <w:p w14:paraId="622E876E" w14:textId="77777777" w:rsidR="004B44C6" w:rsidRPr="00343B02" w:rsidRDefault="004B44C6" w:rsidP="002A1382">
      <w:pPr>
        <w:pStyle w:val="SingleTxtG"/>
        <w:ind w:left="4536" w:hanging="3402"/>
        <w:jc w:val="left"/>
      </w:pPr>
      <w:r w:rsidRPr="00343B02">
        <w:rPr>
          <w:i/>
        </w:rPr>
        <w:t>Document references:</w:t>
      </w:r>
      <w:r w:rsidRPr="00343B02">
        <w:tab/>
        <w:t xml:space="preserve">Special Rapporteur’s rule 97 decision, transmitted to the State party on </w:t>
      </w:r>
      <w:r w:rsidR="00661073" w:rsidRPr="00343B02">
        <w:t>12</w:t>
      </w:r>
      <w:r w:rsidR="001A3477" w:rsidRPr="00343B02">
        <w:t xml:space="preserve"> </w:t>
      </w:r>
      <w:r w:rsidR="00692477" w:rsidRPr="00343B02">
        <w:t>April</w:t>
      </w:r>
      <w:r w:rsidR="001A3477" w:rsidRPr="00343B02">
        <w:t xml:space="preserve"> 201</w:t>
      </w:r>
      <w:r w:rsidR="00692477" w:rsidRPr="00343B02">
        <w:t>1</w:t>
      </w:r>
      <w:r w:rsidR="001A3477" w:rsidRPr="00343B02">
        <w:t xml:space="preserve"> </w:t>
      </w:r>
      <w:r w:rsidRPr="00343B02">
        <w:t>(not issued in document form)</w:t>
      </w:r>
    </w:p>
    <w:p w14:paraId="2E0E64EC" w14:textId="77777777" w:rsidR="005C7E97" w:rsidRPr="00343B02" w:rsidRDefault="004B44C6" w:rsidP="002A1382">
      <w:pPr>
        <w:pStyle w:val="SingleTxtG"/>
        <w:ind w:left="4536" w:hanging="3402"/>
        <w:jc w:val="left"/>
      </w:pPr>
      <w:r w:rsidRPr="00343B02">
        <w:rPr>
          <w:i/>
        </w:rPr>
        <w:t xml:space="preserve">Date of adoption of </w:t>
      </w:r>
      <w:r w:rsidR="00396E77" w:rsidRPr="00343B02">
        <w:rPr>
          <w:i/>
        </w:rPr>
        <w:t>Views</w:t>
      </w:r>
      <w:r w:rsidRPr="00343B02">
        <w:rPr>
          <w:i/>
        </w:rPr>
        <w:t>:</w:t>
      </w:r>
      <w:r w:rsidRPr="00343B02">
        <w:tab/>
      </w:r>
      <w:r w:rsidR="001227F1" w:rsidRPr="00343B02">
        <w:t>15</w:t>
      </w:r>
      <w:r w:rsidR="001A3477" w:rsidRPr="00343B02">
        <w:t xml:space="preserve"> </w:t>
      </w:r>
      <w:r w:rsidR="00A41ADD" w:rsidRPr="00343B02">
        <w:t>July</w:t>
      </w:r>
      <w:r w:rsidRPr="00343B02">
        <w:t xml:space="preserve"> 201</w:t>
      </w:r>
      <w:r w:rsidR="001A3477" w:rsidRPr="00343B02">
        <w:t>5</w:t>
      </w:r>
    </w:p>
    <w:p w14:paraId="79428307" w14:textId="77777777" w:rsidR="004B44C6" w:rsidRPr="00343B02" w:rsidRDefault="005C7E97">
      <w:pPr>
        <w:pStyle w:val="SingleTxtG"/>
        <w:ind w:left="4536" w:hanging="3402"/>
        <w:jc w:val="left"/>
      </w:pPr>
      <w:r w:rsidRPr="00343B02">
        <w:rPr>
          <w:i/>
          <w:iCs/>
        </w:rPr>
        <w:t>Subject matter:</w:t>
      </w:r>
      <w:r w:rsidRPr="00343B02">
        <w:rPr>
          <w:i/>
          <w:iCs/>
        </w:rPr>
        <w:tab/>
      </w:r>
      <w:r w:rsidR="003C0682" w:rsidRPr="00343B02">
        <w:t>E</w:t>
      </w:r>
      <w:r w:rsidRPr="00343B02">
        <w:t>rr</w:t>
      </w:r>
      <w:r w:rsidR="003C0682" w:rsidRPr="00343B02">
        <w:t>or</w:t>
      </w:r>
      <w:r w:rsidRPr="00343B02">
        <w:t xml:space="preserve"> in calculati</w:t>
      </w:r>
      <w:r w:rsidR="003C0682" w:rsidRPr="00343B02">
        <w:t>on of</w:t>
      </w:r>
      <w:r w:rsidRPr="00343B02">
        <w:t xml:space="preserve"> sentence </w:t>
      </w:r>
      <w:r w:rsidR="003C0682" w:rsidRPr="00343B02">
        <w:t>under</w:t>
      </w:r>
      <w:r w:rsidRPr="00343B02">
        <w:t xml:space="preserve"> new legislation</w:t>
      </w:r>
    </w:p>
    <w:p w14:paraId="07A9A6D2" w14:textId="77777777" w:rsidR="004B44C6" w:rsidRPr="00343B02" w:rsidRDefault="004B44C6" w:rsidP="002A1382">
      <w:pPr>
        <w:pStyle w:val="SingleTxtG"/>
        <w:ind w:left="4536" w:hanging="3402"/>
        <w:jc w:val="left"/>
        <w:rPr>
          <w:iCs/>
        </w:rPr>
      </w:pPr>
      <w:r w:rsidRPr="00343B02">
        <w:rPr>
          <w:i/>
          <w:iCs/>
        </w:rPr>
        <w:t>Procedural issues:</w:t>
      </w:r>
      <w:r w:rsidR="005C7E97" w:rsidRPr="00343B02">
        <w:rPr>
          <w:i/>
          <w:iCs/>
        </w:rPr>
        <w:tab/>
      </w:r>
      <w:r w:rsidR="00820F2B" w:rsidRPr="00343B02">
        <w:rPr>
          <w:iCs/>
        </w:rPr>
        <w:t>Substantiation of claims</w:t>
      </w:r>
    </w:p>
    <w:p w14:paraId="127182C2" w14:textId="77777777" w:rsidR="00326293" w:rsidRPr="00343B02" w:rsidRDefault="00326293" w:rsidP="002A1382">
      <w:pPr>
        <w:pStyle w:val="SingleTxtG"/>
        <w:ind w:left="4536" w:hanging="3402"/>
        <w:jc w:val="left"/>
        <w:rPr>
          <w:iCs/>
        </w:rPr>
      </w:pPr>
      <w:r w:rsidRPr="00343B02">
        <w:rPr>
          <w:i/>
          <w:iCs/>
        </w:rPr>
        <w:t>Substantive issues:</w:t>
      </w:r>
      <w:r w:rsidR="005C7E97" w:rsidRPr="00343B02">
        <w:rPr>
          <w:i/>
          <w:iCs/>
        </w:rPr>
        <w:tab/>
      </w:r>
      <w:r w:rsidR="00661073" w:rsidRPr="00343B02">
        <w:rPr>
          <w:iCs/>
        </w:rPr>
        <w:t xml:space="preserve">Retroactive application of criminal law </w:t>
      </w:r>
    </w:p>
    <w:p w14:paraId="27B2165C" w14:textId="77777777" w:rsidR="00820F2B" w:rsidRPr="00343B02" w:rsidRDefault="004B44C6" w:rsidP="003C0682">
      <w:pPr>
        <w:pStyle w:val="SingleTxtG"/>
        <w:ind w:left="4536" w:hanging="3402"/>
        <w:jc w:val="left"/>
      </w:pPr>
      <w:r w:rsidRPr="00343B02">
        <w:rPr>
          <w:i/>
          <w:iCs/>
        </w:rPr>
        <w:t>Articles of the Covenant:</w:t>
      </w:r>
      <w:r w:rsidR="005C7E97" w:rsidRPr="00343B02">
        <w:tab/>
      </w:r>
      <w:r w:rsidR="003C0126" w:rsidRPr="00343B02">
        <w:t xml:space="preserve">Articles </w:t>
      </w:r>
      <w:r w:rsidR="00057174" w:rsidRPr="00343B02">
        <w:t xml:space="preserve">2 </w:t>
      </w:r>
      <w:r w:rsidR="003C0126" w:rsidRPr="00343B02">
        <w:t>(</w:t>
      </w:r>
      <w:r w:rsidR="00057174" w:rsidRPr="00343B02">
        <w:t>2</w:t>
      </w:r>
      <w:r w:rsidR="003C0126" w:rsidRPr="00343B02">
        <w:t>)</w:t>
      </w:r>
      <w:r w:rsidR="00057174" w:rsidRPr="00343B02">
        <w:t xml:space="preserve"> and </w:t>
      </w:r>
      <w:r w:rsidR="003C0682" w:rsidRPr="00343B02">
        <w:t>(</w:t>
      </w:r>
      <w:r w:rsidR="00057174" w:rsidRPr="00343B02">
        <w:t>3</w:t>
      </w:r>
      <w:r w:rsidR="003C0682" w:rsidRPr="00343B02">
        <w:t>)</w:t>
      </w:r>
      <w:r w:rsidR="00820F2B" w:rsidRPr="00343B02">
        <w:t xml:space="preserve"> (a)</w:t>
      </w:r>
      <w:r w:rsidR="003C0126" w:rsidRPr="00343B02">
        <w:t>,</w:t>
      </w:r>
      <w:r w:rsidR="00820F2B" w:rsidRPr="00343B02">
        <w:t xml:space="preserve"> </w:t>
      </w:r>
      <w:r w:rsidR="00C3165A">
        <w:t xml:space="preserve">9 (5), </w:t>
      </w:r>
      <w:r w:rsidR="00820F2B" w:rsidRPr="00343B02">
        <w:t>14 (1) and (5)</w:t>
      </w:r>
      <w:r w:rsidR="003C0126" w:rsidRPr="00343B02">
        <w:t>,</w:t>
      </w:r>
      <w:r w:rsidR="00820F2B" w:rsidRPr="00343B02">
        <w:t xml:space="preserve"> 15 (1) and 26</w:t>
      </w:r>
    </w:p>
    <w:p w14:paraId="76107EA4" w14:textId="77777777" w:rsidR="004B44C6" w:rsidRPr="00343B02" w:rsidRDefault="004B44C6" w:rsidP="003C0126">
      <w:pPr>
        <w:pStyle w:val="SingleTxtG"/>
        <w:ind w:left="4536" w:hanging="3402"/>
        <w:jc w:val="left"/>
      </w:pPr>
      <w:r w:rsidRPr="00343B02">
        <w:rPr>
          <w:i/>
          <w:iCs/>
        </w:rPr>
        <w:t>Article of the Optional Protocol:</w:t>
      </w:r>
      <w:r w:rsidRPr="00343B02">
        <w:rPr>
          <w:i/>
          <w:iCs/>
        </w:rPr>
        <w:tab/>
      </w:r>
      <w:r w:rsidR="003C0126" w:rsidRPr="00343B02">
        <w:t xml:space="preserve">Article </w:t>
      </w:r>
      <w:r w:rsidR="00820F2B" w:rsidRPr="00343B02">
        <w:rPr>
          <w:iCs/>
        </w:rPr>
        <w:t>2</w:t>
      </w:r>
    </w:p>
    <w:p w14:paraId="71D754C2" w14:textId="77777777" w:rsidR="004B44C6" w:rsidRPr="00343B02" w:rsidRDefault="004B44C6" w:rsidP="00860860">
      <w:pPr>
        <w:pStyle w:val="HChG"/>
      </w:pPr>
      <w:r w:rsidRPr="00343B02">
        <w:rPr>
          <w:b w:val="0"/>
        </w:rPr>
        <w:br w:type="page"/>
      </w:r>
      <w:r w:rsidRPr="00343B02">
        <w:lastRenderedPageBreak/>
        <w:t>Annex</w:t>
      </w:r>
    </w:p>
    <w:p w14:paraId="6CDB87FE" w14:textId="77777777" w:rsidR="004B44C6" w:rsidRPr="00343B02" w:rsidRDefault="004B44C6" w:rsidP="004B44C6">
      <w:pPr>
        <w:pStyle w:val="HChG"/>
        <w:rPr>
          <w:bCs/>
        </w:rPr>
      </w:pPr>
      <w:r w:rsidRPr="00343B02">
        <w:tab/>
      </w:r>
      <w:r w:rsidRPr="00343B02">
        <w:tab/>
      </w:r>
      <w:r w:rsidR="00396E77" w:rsidRPr="00343B02">
        <w:t>Views</w:t>
      </w:r>
      <w:r w:rsidRPr="00343B02">
        <w:t xml:space="preserve"> of the Human Rights Committee under article 5, paragraph 4, of the Optional Protocol to the International Covenant on Civil and Political rights (11</w:t>
      </w:r>
      <w:r w:rsidR="00657584" w:rsidRPr="00343B02">
        <w:t>4</w:t>
      </w:r>
      <w:r w:rsidRPr="00343B02">
        <w:t xml:space="preserve">th </w:t>
      </w:r>
      <w:r w:rsidRPr="00343B02">
        <w:rPr>
          <w:bCs/>
        </w:rPr>
        <w:t>session)</w:t>
      </w:r>
    </w:p>
    <w:p w14:paraId="3CFCFC4E" w14:textId="77777777" w:rsidR="004B44C6" w:rsidRPr="00343B02" w:rsidRDefault="004B44C6" w:rsidP="004B44C6">
      <w:pPr>
        <w:pStyle w:val="SingleTxtG"/>
        <w:rPr>
          <w:b/>
          <w:bCs/>
        </w:rPr>
      </w:pPr>
      <w:r w:rsidRPr="00343B02">
        <w:t>concerning</w:t>
      </w:r>
    </w:p>
    <w:p w14:paraId="50681EDE" w14:textId="77777777" w:rsidR="004B44C6" w:rsidRPr="00343B02" w:rsidRDefault="001A3477" w:rsidP="004B44C6">
      <w:pPr>
        <w:pStyle w:val="H1G"/>
      </w:pPr>
      <w:r w:rsidRPr="00343B02">
        <w:tab/>
      </w:r>
      <w:r w:rsidRPr="00343B02">
        <w:tab/>
        <w:t>Communication No.</w:t>
      </w:r>
      <w:r w:rsidR="005C7E97" w:rsidRPr="00343B02">
        <w:t xml:space="preserve"> </w:t>
      </w:r>
      <w:r w:rsidR="00E56DDC" w:rsidRPr="00343B02">
        <w:t>20</w:t>
      </w:r>
      <w:r w:rsidR="00661073" w:rsidRPr="00343B02">
        <w:t>43</w:t>
      </w:r>
      <w:r w:rsidR="004B44C6" w:rsidRPr="00343B02">
        <w:t>/20</w:t>
      </w:r>
      <w:r w:rsidRPr="00343B02">
        <w:t>1</w:t>
      </w:r>
      <w:r w:rsidR="00E56DDC" w:rsidRPr="00343B02">
        <w:t>1</w:t>
      </w:r>
      <w:r w:rsidR="007E0BD8" w:rsidRPr="00343B02">
        <w:rPr>
          <w:rStyle w:val="FootnoteReference"/>
          <w:b w:val="0"/>
          <w:sz w:val="20"/>
          <w:vertAlign w:val="baseline"/>
        </w:rPr>
        <w:footnoteReference w:customMarkFollows="1" w:id="2"/>
        <w:t>*</w:t>
      </w:r>
    </w:p>
    <w:p w14:paraId="4574FF05" w14:textId="77777777" w:rsidR="004B44C6" w:rsidRPr="00343B02" w:rsidRDefault="004B44C6" w:rsidP="004B44C6">
      <w:pPr>
        <w:pStyle w:val="SingleTxtG"/>
        <w:ind w:left="4536" w:hanging="3402"/>
        <w:jc w:val="left"/>
      </w:pPr>
      <w:r w:rsidRPr="00343B02">
        <w:rPr>
          <w:i/>
        </w:rPr>
        <w:t>Submitted by:</w:t>
      </w:r>
      <w:r w:rsidRPr="00343B02">
        <w:tab/>
      </w:r>
      <w:r w:rsidR="00661073" w:rsidRPr="00343B02">
        <w:t>V</w:t>
      </w:r>
      <w:r w:rsidR="00223C72" w:rsidRPr="00343B02">
        <w:t>.</w:t>
      </w:r>
      <w:r w:rsidR="00661073" w:rsidRPr="00343B02">
        <w:t xml:space="preserve"> M</w:t>
      </w:r>
      <w:r w:rsidR="00223C72" w:rsidRPr="00343B02">
        <w:t>.</w:t>
      </w:r>
      <w:r w:rsidR="00B33BCA" w:rsidRPr="00343B02">
        <w:t xml:space="preserve"> </w:t>
      </w:r>
      <w:r w:rsidRPr="00343B02">
        <w:t>(</w:t>
      </w:r>
      <w:r w:rsidR="005A7B9A" w:rsidRPr="00343B02">
        <w:t xml:space="preserve">not </w:t>
      </w:r>
      <w:r w:rsidRPr="00343B02">
        <w:t>represented by counsel)</w:t>
      </w:r>
    </w:p>
    <w:p w14:paraId="34682A86" w14:textId="77777777" w:rsidR="004B44C6" w:rsidRPr="00343B02" w:rsidRDefault="004B44C6" w:rsidP="004B44C6">
      <w:pPr>
        <w:pStyle w:val="SingleTxtG"/>
        <w:ind w:left="4536" w:hanging="3402"/>
        <w:jc w:val="left"/>
      </w:pPr>
      <w:r w:rsidRPr="00343B02">
        <w:rPr>
          <w:i/>
        </w:rPr>
        <w:t>Alleged victim:</w:t>
      </w:r>
      <w:r w:rsidRPr="00343B02">
        <w:tab/>
        <w:t>The author</w:t>
      </w:r>
    </w:p>
    <w:p w14:paraId="1B342A01" w14:textId="77777777" w:rsidR="004B44C6" w:rsidRPr="00343B02" w:rsidRDefault="004B44C6" w:rsidP="004B44C6">
      <w:pPr>
        <w:pStyle w:val="SingleTxtG"/>
        <w:ind w:left="4536" w:hanging="3402"/>
        <w:jc w:val="left"/>
      </w:pPr>
      <w:r w:rsidRPr="00343B02">
        <w:rPr>
          <w:i/>
        </w:rPr>
        <w:t>State party:</w:t>
      </w:r>
      <w:r w:rsidRPr="00343B02">
        <w:tab/>
      </w:r>
      <w:r w:rsidR="00F92F08" w:rsidRPr="00343B02">
        <w:t>T</w:t>
      </w:r>
      <w:r w:rsidR="00E56DDC" w:rsidRPr="00343B02">
        <w:t>he Russian Federation</w:t>
      </w:r>
    </w:p>
    <w:p w14:paraId="3B3C1B3D" w14:textId="77777777" w:rsidR="004B44C6" w:rsidRPr="00343B02" w:rsidRDefault="004B44C6" w:rsidP="004B44C6">
      <w:pPr>
        <w:pStyle w:val="SingleTxtG"/>
        <w:ind w:left="4536" w:hanging="3402"/>
        <w:jc w:val="left"/>
      </w:pPr>
      <w:r w:rsidRPr="00343B02">
        <w:rPr>
          <w:i/>
        </w:rPr>
        <w:t>Date of communication:</w:t>
      </w:r>
      <w:r w:rsidRPr="00343B02">
        <w:tab/>
      </w:r>
      <w:r w:rsidR="00661073" w:rsidRPr="00343B02">
        <w:t>9 November</w:t>
      </w:r>
      <w:r w:rsidR="001A3477" w:rsidRPr="00343B02">
        <w:t xml:space="preserve"> 2010</w:t>
      </w:r>
      <w:r w:rsidRPr="00343B02">
        <w:t xml:space="preserve"> (initial submission)</w:t>
      </w:r>
    </w:p>
    <w:p w14:paraId="0BEDD9D1" w14:textId="77777777" w:rsidR="004B44C6" w:rsidRPr="00343B02" w:rsidRDefault="004B44C6" w:rsidP="002A1382">
      <w:pPr>
        <w:pStyle w:val="SingleTxtG"/>
        <w:spacing w:before="240"/>
      </w:pPr>
      <w:r w:rsidRPr="00343B02">
        <w:tab/>
      </w:r>
      <w:r w:rsidRPr="00343B02">
        <w:rPr>
          <w:i/>
        </w:rPr>
        <w:t>The Human Rights Committee</w:t>
      </w:r>
      <w:r w:rsidRPr="00343B02">
        <w:t>, established under article</w:t>
      </w:r>
      <w:r w:rsidR="005C7E97" w:rsidRPr="00343B02">
        <w:t xml:space="preserve"> </w:t>
      </w:r>
      <w:r w:rsidRPr="00343B02">
        <w:t xml:space="preserve">28 of the International Covenant on Civil and Political Rights, </w:t>
      </w:r>
    </w:p>
    <w:p w14:paraId="3EC9D48F" w14:textId="77777777" w:rsidR="004B44C6" w:rsidRPr="00343B02" w:rsidRDefault="004B44C6" w:rsidP="004B44C6">
      <w:pPr>
        <w:pStyle w:val="SingleTxtG"/>
      </w:pPr>
      <w:r w:rsidRPr="00343B02">
        <w:tab/>
      </w:r>
      <w:r w:rsidRPr="00343B02">
        <w:rPr>
          <w:i/>
        </w:rPr>
        <w:t xml:space="preserve">Meeting </w:t>
      </w:r>
      <w:r w:rsidRPr="00A808EF">
        <w:rPr>
          <w:iCs/>
        </w:rPr>
        <w:t>on</w:t>
      </w:r>
      <w:r w:rsidRPr="00343B02">
        <w:t xml:space="preserve"> </w:t>
      </w:r>
      <w:r w:rsidR="007E0BD8" w:rsidRPr="00343B02">
        <w:t xml:space="preserve">15 </w:t>
      </w:r>
      <w:r w:rsidR="00B33BCA" w:rsidRPr="00343B02">
        <w:t>July</w:t>
      </w:r>
      <w:r w:rsidRPr="00343B02">
        <w:t xml:space="preserve"> 201</w:t>
      </w:r>
      <w:r w:rsidR="001A3477" w:rsidRPr="00343B02">
        <w:t>5</w:t>
      </w:r>
      <w:r w:rsidRPr="00343B02">
        <w:t>,</w:t>
      </w:r>
    </w:p>
    <w:p w14:paraId="5FEC3D2D" w14:textId="77777777" w:rsidR="004B44C6" w:rsidRPr="00343B02" w:rsidRDefault="004B44C6" w:rsidP="004B44C6">
      <w:pPr>
        <w:pStyle w:val="SingleTxtG"/>
      </w:pPr>
      <w:r w:rsidRPr="00343B02">
        <w:tab/>
      </w:r>
      <w:r w:rsidRPr="00343B02">
        <w:rPr>
          <w:i/>
        </w:rPr>
        <w:t>Having concluded</w:t>
      </w:r>
      <w:r w:rsidRPr="00343B02">
        <w:t xml:space="preserve"> its consideration of communication No.</w:t>
      </w:r>
      <w:r w:rsidR="005C7E97" w:rsidRPr="00343B02">
        <w:t xml:space="preserve"> </w:t>
      </w:r>
      <w:r w:rsidR="00E56DDC" w:rsidRPr="00343B02">
        <w:t>20</w:t>
      </w:r>
      <w:r w:rsidR="00661073" w:rsidRPr="00343B02">
        <w:t>43</w:t>
      </w:r>
      <w:r w:rsidRPr="00343B02">
        <w:t>/</w:t>
      </w:r>
      <w:r w:rsidR="001A3477" w:rsidRPr="00343B02">
        <w:t>201</w:t>
      </w:r>
      <w:r w:rsidR="00E56DDC" w:rsidRPr="00343B02">
        <w:t>1</w:t>
      </w:r>
      <w:r w:rsidRPr="00343B02">
        <w:t xml:space="preserve">, submitted to the Human Rights Committee by </w:t>
      </w:r>
      <w:r w:rsidR="00661073" w:rsidRPr="00343B02">
        <w:t>V</w:t>
      </w:r>
      <w:r w:rsidR="00223C72" w:rsidRPr="00343B02">
        <w:t>.</w:t>
      </w:r>
      <w:r w:rsidR="00661073" w:rsidRPr="00343B02">
        <w:t xml:space="preserve"> M</w:t>
      </w:r>
      <w:r w:rsidR="00223C72" w:rsidRPr="00343B02">
        <w:t>.</w:t>
      </w:r>
      <w:r w:rsidRPr="00343B02">
        <w:t xml:space="preserve"> under the Optional Protocol to the International Covenant on Civil and Political Rights,</w:t>
      </w:r>
    </w:p>
    <w:p w14:paraId="04F3CF47" w14:textId="77777777" w:rsidR="004B44C6" w:rsidRPr="00343B02" w:rsidRDefault="004B44C6" w:rsidP="004B44C6">
      <w:pPr>
        <w:pStyle w:val="SingleTxtG"/>
      </w:pPr>
      <w:r w:rsidRPr="00343B02">
        <w:tab/>
      </w:r>
      <w:r w:rsidRPr="00343B02">
        <w:rPr>
          <w:i/>
        </w:rPr>
        <w:t>Having taken into account</w:t>
      </w:r>
      <w:r w:rsidRPr="00343B02">
        <w:t xml:space="preserve"> all written information made available to it by the author of the communication and the State party,</w:t>
      </w:r>
    </w:p>
    <w:p w14:paraId="186387CC" w14:textId="77777777" w:rsidR="004B44C6" w:rsidRPr="00343B02" w:rsidRDefault="004B44C6" w:rsidP="004B44C6">
      <w:pPr>
        <w:pStyle w:val="SingleTxtG"/>
      </w:pPr>
      <w:r w:rsidRPr="00343B02">
        <w:tab/>
      </w:r>
      <w:r w:rsidRPr="00343B02">
        <w:rPr>
          <w:i/>
        </w:rPr>
        <w:t xml:space="preserve">Adopts </w:t>
      </w:r>
      <w:r w:rsidRPr="00343B02">
        <w:t>the following:</w:t>
      </w:r>
      <w:r w:rsidR="006053D4">
        <w:t xml:space="preserve"> </w:t>
      </w:r>
    </w:p>
    <w:p w14:paraId="3D5D6F02" w14:textId="77777777" w:rsidR="004B44C6" w:rsidRPr="00343B02" w:rsidRDefault="004B44C6" w:rsidP="004B44C6">
      <w:pPr>
        <w:pStyle w:val="H1G"/>
      </w:pPr>
      <w:r w:rsidRPr="00343B02">
        <w:tab/>
      </w:r>
      <w:r w:rsidRPr="00343B02">
        <w:tab/>
      </w:r>
      <w:r w:rsidR="00396E77" w:rsidRPr="00343B02">
        <w:t>Views</w:t>
      </w:r>
      <w:r w:rsidRPr="00343B02">
        <w:t xml:space="preserve"> under article 5, paragraph 4, of the Optional Protocol</w:t>
      </w:r>
    </w:p>
    <w:p w14:paraId="447867A8" w14:textId="77777777" w:rsidR="004B44C6" w:rsidRPr="00343B02" w:rsidRDefault="00860860" w:rsidP="003C0682">
      <w:pPr>
        <w:pStyle w:val="SingleTxtG"/>
      </w:pPr>
      <w:r w:rsidRPr="00343B02">
        <w:t>1.</w:t>
      </w:r>
      <w:r w:rsidR="004B44C6" w:rsidRPr="00343B02">
        <w:tab/>
        <w:t xml:space="preserve">The author of the communication is </w:t>
      </w:r>
      <w:r w:rsidR="00661073" w:rsidRPr="00343B02">
        <w:t>V</w:t>
      </w:r>
      <w:r w:rsidR="00223C72" w:rsidRPr="00343B02">
        <w:t>.</w:t>
      </w:r>
      <w:r w:rsidR="00661073" w:rsidRPr="00343B02">
        <w:t xml:space="preserve"> M</w:t>
      </w:r>
      <w:r w:rsidR="00223C72" w:rsidRPr="00343B02">
        <w:t>.</w:t>
      </w:r>
      <w:r w:rsidR="004B44C6" w:rsidRPr="00343B02">
        <w:t xml:space="preserve">, a </w:t>
      </w:r>
      <w:r w:rsidR="003C0682" w:rsidRPr="00343B02">
        <w:t xml:space="preserve">national of the </w:t>
      </w:r>
      <w:r w:rsidR="00E56DDC" w:rsidRPr="00343B02">
        <w:t>Russian Federation</w:t>
      </w:r>
      <w:r w:rsidR="004B44C6" w:rsidRPr="00343B02">
        <w:t xml:space="preserve"> born in 19</w:t>
      </w:r>
      <w:r w:rsidR="00661073" w:rsidRPr="00343B02">
        <w:t>66</w:t>
      </w:r>
      <w:r w:rsidR="00D61036" w:rsidRPr="00343B02">
        <w:t xml:space="preserve">. </w:t>
      </w:r>
      <w:r w:rsidR="004B44C6" w:rsidRPr="00343B02">
        <w:t xml:space="preserve">The author claims to be a victim of </w:t>
      </w:r>
      <w:r w:rsidR="003C0682" w:rsidRPr="00343B02">
        <w:t xml:space="preserve">a </w:t>
      </w:r>
      <w:r w:rsidR="004B44C6" w:rsidRPr="00343B02">
        <w:t>violation</w:t>
      </w:r>
      <w:r w:rsidR="00E43F6E" w:rsidRPr="00343B02">
        <w:t xml:space="preserve"> by </w:t>
      </w:r>
      <w:r w:rsidR="00E56DDC" w:rsidRPr="00343B02">
        <w:t>the Russian Federation</w:t>
      </w:r>
      <w:r w:rsidR="004B44C6" w:rsidRPr="00343B02">
        <w:t xml:space="preserve"> of h</w:t>
      </w:r>
      <w:r w:rsidR="008D45A7" w:rsidRPr="00343B02">
        <w:t>is</w:t>
      </w:r>
      <w:r w:rsidR="004B44C6" w:rsidRPr="00343B02">
        <w:t xml:space="preserve"> rights under </w:t>
      </w:r>
      <w:r w:rsidR="00B12E1C" w:rsidRPr="00343B02">
        <w:t>article</w:t>
      </w:r>
      <w:r w:rsidR="003C0682" w:rsidRPr="00343B02">
        <w:t>s</w:t>
      </w:r>
      <w:r w:rsidR="00B12E1C" w:rsidRPr="00343B02">
        <w:t xml:space="preserve"> </w:t>
      </w:r>
      <w:r w:rsidR="00E56DDC" w:rsidRPr="00343B02">
        <w:t>2</w:t>
      </w:r>
      <w:r w:rsidR="00B12E1C" w:rsidRPr="00343B02">
        <w:t xml:space="preserve"> </w:t>
      </w:r>
      <w:r w:rsidR="003C0682" w:rsidRPr="00343B02">
        <w:t>(</w:t>
      </w:r>
      <w:r w:rsidR="00E56DDC" w:rsidRPr="00343B02">
        <w:t>2</w:t>
      </w:r>
      <w:r w:rsidR="003C0682" w:rsidRPr="00343B02">
        <w:t>)</w:t>
      </w:r>
      <w:r w:rsidR="00E56DDC" w:rsidRPr="00343B02">
        <w:t xml:space="preserve"> and</w:t>
      </w:r>
      <w:r w:rsidR="00D61036" w:rsidRPr="00343B02">
        <w:t xml:space="preserve"> </w:t>
      </w:r>
      <w:r w:rsidR="003C0682" w:rsidRPr="00343B02">
        <w:t>(</w:t>
      </w:r>
      <w:r w:rsidR="00D61036" w:rsidRPr="00343B02">
        <w:t>3</w:t>
      </w:r>
      <w:r w:rsidR="003C0682" w:rsidRPr="00343B02">
        <w:t>)</w:t>
      </w:r>
      <w:r w:rsidR="00820F2B" w:rsidRPr="00343B02">
        <w:t xml:space="preserve"> (a)</w:t>
      </w:r>
      <w:r w:rsidR="003C0682" w:rsidRPr="00343B02">
        <w:t>,</w:t>
      </w:r>
      <w:r w:rsidR="00820F2B" w:rsidRPr="00343B02">
        <w:t xml:space="preserve"> </w:t>
      </w:r>
      <w:r w:rsidR="00E56DDC" w:rsidRPr="00343B02">
        <w:t xml:space="preserve">9 </w:t>
      </w:r>
      <w:r w:rsidR="003C0682" w:rsidRPr="00343B02">
        <w:t>(</w:t>
      </w:r>
      <w:r w:rsidR="00E56DDC" w:rsidRPr="00343B02">
        <w:t>5</w:t>
      </w:r>
      <w:r w:rsidR="003C0682" w:rsidRPr="00343B02">
        <w:t>),</w:t>
      </w:r>
      <w:r w:rsidR="00820F2B" w:rsidRPr="00343B02">
        <w:t xml:space="preserve"> 14 </w:t>
      </w:r>
      <w:r w:rsidR="003C0682" w:rsidRPr="00343B02">
        <w:t>(</w:t>
      </w:r>
      <w:r w:rsidR="00820F2B" w:rsidRPr="00343B02">
        <w:t>1</w:t>
      </w:r>
      <w:r w:rsidR="003C0682" w:rsidRPr="00343B02">
        <w:t>)</w:t>
      </w:r>
      <w:r w:rsidR="00820F2B" w:rsidRPr="00343B02">
        <w:t xml:space="preserve"> and </w:t>
      </w:r>
      <w:r w:rsidR="003C0682" w:rsidRPr="00343B02">
        <w:t>(</w:t>
      </w:r>
      <w:r w:rsidR="00820F2B" w:rsidRPr="00343B02">
        <w:t>5</w:t>
      </w:r>
      <w:r w:rsidR="003C0682" w:rsidRPr="00343B02">
        <w:t>),</w:t>
      </w:r>
      <w:r w:rsidR="00820F2B" w:rsidRPr="00343B02">
        <w:t xml:space="preserve"> 15 </w:t>
      </w:r>
      <w:r w:rsidR="003C0682" w:rsidRPr="00343B02">
        <w:t>(</w:t>
      </w:r>
      <w:r w:rsidR="00820F2B" w:rsidRPr="00343B02">
        <w:t>1</w:t>
      </w:r>
      <w:r w:rsidR="003C0682" w:rsidRPr="00343B02">
        <w:t>)</w:t>
      </w:r>
      <w:r w:rsidR="00820F2B" w:rsidRPr="00343B02">
        <w:t xml:space="preserve"> and 26</w:t>
      </w:r>
      <w:r w:rsidR="00D61036" w:rsidRPr="00343B02">
        <w:t xml:space="preserve"> </w:t>
      </w:r>
      <w:r w:rsidR="004B44C6" w:rsidRPr="00343B02">
        <w:t>of the International Covenant on Civil and Political Rights.</w:t>
      </w:r>
      <w:r w:rsidR="004F03BA" w:rsidRPr="00343B02">
        <w:t xml:space="preserve"> </w:t>
      </w:r>
      <w:r w:rsidR="004B44C6" w:rsidRPr="00343B02">
        <w:t xml:space="preserve">The Optional Protocol entered into force for the State party on </w:t>
      </w:r>
      <w:r w:rsidR="00E56DDC" w:rsidRPr="00343B02">
        <w:t xml:space="preserve">1 </w:t>
      </w:r>
      <w:r w:rsidR="001227F1" w:rsidRPr="00343B02">
        <w:t>January</w:t>
      </w:r>
      <w:r w:rsidR="00E56DDC" w:rsidRPr="00343B02">
        <w:t xml:space="preserve"> 199</w:t>
      </w:r>
      <w:r w:rsidR="001227F1" w:rsidRPr="00343B02">
        <w:t>2</w:t>
      </w:r>
      <w:r w:rsidR="004B44C6" w:rsidRPr="00343B02">
        <w:t xml:space="preserve">. The author is </w:t>
      </w:r>
      <w:r w:rsidR="00D61036" w:rsidRPr="00343B02">
        <w:t xml:space="preserve">not </w:t>
      </w:r>
      <w:r w:rsidR="004B44C6" w:rsidRPr="00343B02">
        <w:t>represented by counsel.</w:t>
      </w:r>
    </w:p>
    <w:p w14:paraId="5A2D8041" w14:textId="77777777" w:rsidR="004B44C6" w:rsidRPr="00343B02" w:rsidRDefault="004B44C6" w:rsidP="00860860">
      <w:pPr>
        <w:pStyle w:val="H23G"/>
      </w:pPr>
      <w:r w:rsidRPr="00343B02">
        <w:tab/>
      </w:r>
      <w:r w:rsidRPr="00343B02">
        <w:tab/>
        <w:t>The facts as submitted by the author</w:t>
      </w:r>
    </w:p>
    <w:p w14:paraId="1E9E30DB" w14:textId="77777777" w:rsidR="00E2284A" w:rsidRPr="00343B02" w:rsidRDefault="00E56DDC" w:rsidP="00C37191">
      <w:pPr>
        <w:pStyle w:val="SingleTxtG"/>
      </w:pPr>
      <w:r w:rsidRPr="00343B02">
        <w:t>2.1</w:t>
      </w:r>
      <w:r w:rsidR="00517FB5" w:rsidRPr="00343B02">
        <w:tab/>
      </w:r>
      <w:r w:rsidR="00E2284A" w:rsidRPr="00343B02">
        <w:t xml:space="preserve">The author submits that on 10 June 1999, he was found guilty by the </w:t>
      </w:r>
      <w:r w:rsidR="00057174" w:rsidRPr="00343B02">
        <w:t xml:space="preserve">Court of the </w:t>
      </w:r>
      <w:r w:rsidR="00E2284A" w:rsidRPr="00343B02">
        <w:t>Nerchinsk</w:t>
      </w:r>
      <w:r w:rsidR="00F11DA4" w:rsidRPr="00343B02">
        <w:t>y</w:t>
      </w:r>
      <w:r w:rsidR="00E2284A" w:rsidRPr="00343B02">
        <w:t xml:space="preserve"> District of</w:t>
      </w:r>
      <w:r w:rsidR="00F11DA4" w:rsidRPr="00343B02">
        <w:t xml:space="preserve"> the Chita</w:t>
      </w:r>
      <w:r w:rsidR="00E2284A" w:rsidRPr="00343B02">
        <w:t xml:space="preserve"> </w:t>
      </w:r>
      <w:r w:rsidR="00F11DA4" w:rsidRPr="00343B02">
        <w:t>r</w:t>
      </w:r>
      <w:r w:rsidR="00E2284A" w:rsidRPr="00343B02">
        <w:t>egion under several article</w:t>
      </w:r>
      <w:r w:rsidR="00B86D25" w:rsidRPr="00343B02">
        <w:t>s</w:t>
      </w:r>
      <w:r w:rsidR="00E2284A" w:rsidRPr="00343B02">
        <w:t xml:space="preserve"> of the Criminal Code of the Russian Federation, such as article 116 (battery); article 119 (threat of murder</w:t>
      </w:r>
      <w:r w:rsidR="00B3314F" w:rsidRPr="00343B02">
        <w:t xml:space="preserve"> or great bodily injury</w:t>
      </w:r>
      <w:r w:rsidR="00E2284A" w:rsidRPr="00343B02">
        <w:t xml:space="preserve">); </w:t>
      </w:r>
      <w:r w:rsidR="00B3314F" w:rsidRPr="00343B02">
        <w:t xml:space="preserve">article </w:t>
      </w:r>
      <w:r w:rsidR="00E2284A" w:rsidRPr="00343B02">
        <w:t>131, paragraph 2 (a) (d) (rape of a juvenile by a previously</w:t>
      </w:r>
      <w:r w:rsidR="00517FB5" w:rsidRPr="00343B02">
        <w:t>/repeatedly</w:t>
      </w:r>
      <w:r w:rsidR="00E2284A" w:rsidRPr="00343B02">
        <w:t xml:space="preserve"> </w:t>
      </w:r>
      <w:r w:rsidR="00E2284A" w:rsidRPr="00343B02">
        <w:lastRenderedPageBreak/>
        <w:t xml:space="preserve">convicted person); </w:t>
      </w:r>
      <w:r w:rsidR="00343B02" w:rsidRPr="00343B02">
        <w:t xml:space="preserve">and article </w:t>
      </w:r>
      <w:r w:rsidR="00E2284A" w:rsidRPr="00343B02">
        <w:t>132, paragraph 2 (a) (d) (</w:t>
      </w:r>
      <w:r w:rsidR="00B3314F" w:rsidRPr="00343B02">
        <w:t>sexual violence</w:t>
      </w:r>
      <w:r w:rsidR="00E2284A" w:rsidRPr="00343B02">
        <w:t xml:space="preserve"> committed against a juvenile by a previously</w:t>
      </w:r>
      <w:r w:rsidR="00517FB5" w:rsidRPr="00343B02">
        <w:t>/repeatedly</w:t>
      </w:r>
      <w:r w:rsidR="00E2284A" w:rsidRPr="00343B02">
        <w:t xml:space="preserve"> convicted person)</w:t>
      </w:r>
      <w:r w:rsidR="00C56839" w:rsidRPr="00343B02">
        <w:t xml:space="preserve">. </w:t>
      </w:r>
      <w:r w:rsidR="00B86D25" w:rsidRPr="00343B02">
        <w:t>The author was</w:t>
      </w:r>
      <w:r w:rsidR="00C56839" w:rsidRPr="00343B02">
        <w:t xml:space="preserve"> sentenced</w:t>
      </w:r>
      <w:r w:rsidR="00B86D25" w:rsidRPr="00343B02">
        <w:t xml:space="preserve"> </w:t>
      </w:r>
      <w:r w:rsidR="00C56839" w:rsidRPr="00343B02">
        <w:t>to seven years</w:t>
      </w:r>
      <w:r w:rsidR="00C37191">
        <w:t>’</w:t>
      </w:r>
      <w:r w:rsidR="00C56839" w:rsidRPr="00343B02">
        <w:t xml:space="preserve"> imprisonment under article 131; another seven under article 132</w:t>
      </w:r>
      <w:r w:rsidR="00965DF9" w:rsidRPr="00343B02">
        <w:t>;</w:t>
      </w:r>
      <w:r w:rsidR="00C56839" w:rsidRPr="00343B02">
        <w:t xml:space="preserve"> 2 years under article 119</w:t>
      </w:r>
      <w:r w:rsidR="00965DF9" w:rsidRPr="00343B02">
        <w:t>;</w:t>
      </w:r>
      <w:r w:rsidR="00C56839" w:rsidRPr="00343B02">
        <w:t xml:space="preserve"> and six months of correctional labour. </w:t>
      </w:r>
      <w:r w:rsidR="00E61FFA" w:rsidRPr="00343B02">
        <w:t xml:space="preserve">Adding </w:t>
      </w:r>
      <w:r w:rsidR="00E80EF3">
        <w:t xml:space="preserve">together </w:t>
      </w:r>
      <w:r w:rsidR="00E61FFA" w:rsidRPr="00343B02">
        <w:t xml:space="preserve">all the sentences </w:t>
      </w:r>
      <w:r w:rsidR="00216766" w:rsidRPr="00343B02">
        <w:t>under the</w:t>
      </w:r>
      <w:r w:rsidR="00343B02">
        <w:t xml:space="preserve"> </w:t>
      </w:r>
      <w:r w:rsidR="00343B02" w:rsidRPr="00343B02">
        <w:t>“partial addition”</w:t>
      </w:r>
      <w:r w:rsidR="00216766" w:rsidRPr="00343B02">
        <w:t xml:space="preserve"> rule, </w:t>
      </w:r>
      <w:r w:rsidR="00E61FFA" w:rsidRPr="00343B02">
        <w:t>the court sentenced the author to 15 years</w:t>
      </w:r>
      <w:r w:rsidR="00C37191">
        <w:t>’</w:t>
      </w:r>
      <w:r w:rsidR="00E61FFA" w:rsidRPr="00343B02">
        <w:t xml:space="preserve"> imprisonment</w:t>
      </w:r>
      <w:r w:rsidR="00F11DA4" w:rsidRPr="00343B02">
        <w:t xml:space="preserve">, to be served in </w:t>
      </w:r>
      <w:r w:rsidR="00C37191">
        <w:t xml:space="preserve">a </w:t>
      </w:r>
      <w:r w:rsidR="00F11DA4" w:rsidRPr="00343B02">
        <w:t xml:space="preserve">correctional colony </w:t>
      </w:r>
      <w:r w:rsidR="00C37191">
        <w:t>under</w:t>
      </w:r>
      <w:r w:rsidR="00F11DA4" w:rsidRPr="00343B02">
        <w:t xml:space="preserve"> </w:t>
      </w:r>
      <w:r w:rsidR="00343B02">
        <w:t xml:space="preserve">a </w:t>
      </w:r>
      <w:r w:rsidR="00F11DA4" w:rsidRPr="00343B02">
        <w:t>special regime</w:t>
      </w:r>
      <w:r w:rsidR="00E61FFA" w:rsidRPr="00343B02">
        <w:t>.</w:t>
      </w:r>
      <w:r w:rsidR="005C7E97" w:rsidRPr="00343B02">
        <w:t xml:space="preserve"> </w:t>
      </w:r>
    </w:p>
    <w:p w14:paraId="35C502F9" w14:textId="77777777" w:rsidR="00E2284A" w:rsidRPr="00343B02" w:rsidRDefault="00E2284A" w:rsidP="00CF04D1">
      <w:pPr>
        <w:pStyle w:val="SingleTxtG"/>
      </w:pPr>
      <w:r w:rsidRPr="00343B02">
        <w:t>2.2</w:t>
      </w:r>
      <w:r w:rsidR="00517FB5" w:rsidRPr="00343B02">
        <w:tab/>
        <w:t>The author submits that o</w:t>
      </w:r>
      <w:r w:rsidRPr="00343B02">
        <w:t xml:space="preserve">n 17 June 1999, </w:t>
      </w:r>
      <w:r w:rsidR="00517FB5" w:rsidRPr="00343B02">
        <w:t>he</w:t>
      </w:r>
      <w:r w:rsidRPr="00343B02">
        <w:t xml:space="preserve"> filed a cassation appeal to </w:t>
      </w:r>
      <w:r w:rsidR="00F11DA4" w:rsidRPr="00343B02">
        <w:t>Chita</w:t>
      </w:r>
      <w:r w:rsidRPr="00343B02">
        <w:t xml:space="preserve"> Regional Court, challenging his conviction. On 23 August 1999, </w:t>
      </w:r>
      <w:r w:rsidR="00F11DA4" w:rsidRPr="00343B02">
        <w:t>Chita</w:t>
      </w:r>
      <w:r w:rsidRPr="00343B02">
        <w:t xml:space="preserve"> Regional Court upheld the decision of the first instance court. On 12 April 2001, </w:t>
      </w:r>
      <w:r w:rsidR="00A07462" w:rsidRPr="00343B02">
        <w:t>Chita Regional Court</w:t>
      </w:r>
      <w:r w:rsidRPr="00343B02">
        <w:t xml:space="preserve">, following the </w:t>
      </w:r>
      <w:r w:rsidR="00CF04D1">
        <w:t>complaint</w:t>
      </w:r>
      <w:r w:rsidRPr="00343B02">
        <w:t xml:space="preserve"> filed</w:t>
      </w:r>
      <w:r w:rsidR="00517FB5" w:rsidRPr="00343B02">
        <w:t xml:space="preserve"> by the Chairman of Chita</w:t>
      </w:r>
      <w:r w:rsidRPr="00343B02">
        <w:t xml:space="preserve"> Regional Court</w:t>
      </w:r>
      <w:r w:rsidR="00BD509D" w:rsidRPr="00343B02">
        <w:t xml:space="preserve"> under the supervisory review proced</w:t>
      </w:r>
      <w:r w:rsidR="00CF04D1">
        <w:t>ure</w:t>
      </w:r>
      <w:r w:rsidRPr="00343B02">
        <w:t xml:space="preserve">, changed the author’s correctional regime from </w:t>
      </w:r>
      <w:r w:rsidR="00343B02">
        <w:t xml:space="preserve">a </w:t>
      </w:r>
      <w:r w:rsidRPr="00343B02">
        <w:t>general</w:t>
      </w:r>
      <w:r w:rsidR="008D45A7" w:rsidRPr="00343B02">
        <w:rPr>
          <w:rStyle w:val="FootnoteReference"/>
        </w:rPr>
        <w:footnoteReference w:id="3"/>
      </w:r>
      <w:r w:rsidRPr="00343B02">
        <w:t xml:space="preserve"> to </w:t>
      </w:r>
      <w:r w:rsidR="00343B02">
        <w:t xml:space="preserve">a </w:t>
      </w:r>
      <w:r w:rsidRPr="00343B02">
        <w:t xml:space="preserve">strict regime. </w:t>
      </w:r>
      <w:r w:rsidR="00343B02">
        <w:t>In addition</w:t>
      </w:r>
      <w:r w:rsidRPr="00343B02">
        <w:t>, the author’s acts were qualified as “dangerous recidivism” (article 18, paragraph 2, of the Criminal Code).</w:t>
      </w:r>
    </w:p>
    <w:p w14:paraId="620FD3E3" w14:textId="77777777" w:rsidR="00E2284A" w:rsidRPr="00343B02" w:rsidRDefault="00E2284A" w:rsidP="00E61DD8">
      <w:pPr>
        <w:pStyle w:val="SingleTxtG"/>
      </w:pPr>
      <w:r w:rsidRPr="00343B02">
        <w:t>2.</w:t>
      </w:r>
      <w:r w:rsidR="00860860" w:rsidRPr="00343B02">
        <w:t>3</w:t>
      </w:r>
      <w:r w:rsidR="00517FB5" w:rsidRPr="00343B02">
        <w:tab/>
      </w:r>
      <w:r w:rsidRPr="00343B02">
        <w:t xml:space="preserve">On 8 December 2003, the State Duma (the lower house of the Federal Assembly) of the Russian Federation adopted Federal Law </w:t>
      </w:r>
      <w:r w:rsidR="000C6693" w:rsidRPr="00343B02">
        <w:t xml:space="preserve">No. </w:t>
      </w:r>
      <w:r w:rsidRPr="00343B02">
        <w:t xml:space="preserve">162 </w:t>
      </w:r>
      <w:r w:rsidR="001218B5">
        <w:t>o</w:t>
      </w:r>
      <w:r w:rsidRPr="00343B02">
        <w:t xml:space="preserve">n </w:t>
      </w:r>
      <w:r w:rsidR="001218B5">
        <w:t>a</w:t>
      </w:r>
      <w:r w:rsidRPr="00343B02">
        <w:t xml:space="preserve">mendments and </w:t>
      </w:r>
      <w:r w:rsidR="001218B5">
        <w:t>a</w:t>
      </w:r>
      <w:r w:rsidRPr="00343B02">
        <w:t>dditions to the Criminal Code of the Russian Federation. The law excluded from all the articles of the Criminal Code the element of crime</w:t>
      </w:r>
      <w:r w:rsidR="00E61DD8">
        <w:t xml:space="preserve">s committed by </w:t>
      </w:r>
      <w:r w:rsidR="00E61DD8" w:rsidRPr="00343B02">
        <w:t>previously/</w:t>
      </w:r>
      <w:r w:rsidRPr="00343B02">
        <w:t>repeatedly</w:t>
      </w:r>
      <w:r w:rsidR="00E61DD8">
        <w:t xml:space="preserve"> convicted persons</w:t>
      </w:r>
      <w:r w:rsidRPr="00343B02">
        <w:t>. The author claims that article 69 of the Criminal Code was also amended, and the maximum term of imprisonment under article 69, paragraph 3, was lowered from 25 to 15 years</w:t>
      </w:r>
      <w:r w:rsidR="00596740" w:rsidRPr="00343B02">
        <w:t>.</w:t>
      </w:r>
      <w:r w:rsidRPr="00343B02">
        <w:t xml:space="preserve"> </w:t>
      </w:r>
    </w:p>
    <w:p w14:paraId="1440859B" w14:textId="77777777" w:rsidR="00F71C3F" w:rsidRPr="00343B02" w:rsidRDefault="00E2284A">
      <w:pPr>
        <w:pStyle w:val="SingleTxtG"/>
      </w:pPr>
      <w:r w:rsidRPr="00343B02">
        <w:t>2.</w:t>
      </w:r>
      <w:r w:rsidR="00860860" w:rsidRPr="00343B02">
        <w:t>4</w:t>
      </w:r>
      <w:r w:rsidR="00F71C3F" w:rsidRPr="00343B02">
        <w:tab/>
      </w:r>
      <w:r w:rsidRPr="00343B02">
        <w:t xml:space="preserve">In March 2004, the author </w:t>
      </w:r>
      <w:r w:rsidR="00F71C3F" w:rsidRPr="00343B02">
        <w:t>filed a</w:t>
      </w:r>
      <w:r w:rsidRPr="00343B02">
        <w:t xml:space="preserve"> </w:t>
      </w:r>
      <w:r w:rsidR="00F71C3F" w:rsidRPr="00343B02">
        <w:t>complaint</w:t>
      </w:r>
      <w:r w:rsidRPr="00343B02">
        <w:t xml:space="preserve"> with the </w:t>
      </w:r>
      <w:r w:rsidR="00965DF9" w:rsidRPr="00343B02">
        <w:t xml:space="preserve">Court of the </w:t>
      </w:r>
      <w:r w:rsidRPr="00343B02">
        <w:t>Nerchinsk</w:t>
      </w:r>
      <w:r w:rsidR="00F71C3F" w:rsidRPr="00343B02">
        <w:t>y District</w:t>
      </w:r>
      <w:r w:rsidR="00965DF9" w:rsidRPr="00343B02">
        <w:t xml:space="preserve"> of the</w:t>
      </w:r>
      <w:r w:rsidR="00F71C3F" w:rsidRPr="00343B02">
        <w:t xml:space="preserve"> Chita</w:t>
      </w:r>
      <w:r w:rsidRPr="00343B02">
        <w:t xml:space="preserve"> </w:t>
      </w:r>
      <w:r w:rsidR="00287BBA" w:rsidRPr="00343B02">
        <w:t>r</w:t>
      </w:r>
      <w:r w:rsidRPr="00343B02">
        <w:t>egion, requesting the review of h</w:t>
      </w:r>
      <w:r w:rsidR="00C37191">
        <w:t>is</w:t>
      </w:r>
      <w:r w:rsidRPr="00343B02">
        <w:t xml:space="preserve"> sentence in </w:t>
      </w:r>
      <w:r w:rsidR="00C37191">
        <w:t xml:space="preserve">the </w:t>
      </w:r>
      <w:r w:rsidR="00F71C3F" w:rsidRPr="00343B02">
        <w:t>light of</w:t>
      </w:r>
      <w:r w:rsidRPr="00343B02">
        <w:t xml:space="preserve"> the new criminal law</w:t>
      </w:r>
      <w:r w:rsidR="00F71C3F" w:rsidRPr="00343B02">
        <w:t xml:space="preserve"> provisions</w:t>
      </w:r>
      <w:r w:rsidRPr="00343B02">
        <w:t xml:space="preserve"> introduced </w:t>
      </w:r>
      <w:r w:rsidR="00E80EF3">
        <w:t>under</w:t>
      </w:r>
      <w:r w:rsidRPr="00343B02">
        <w:t xml:space="preserve"> Federal Law </w:t>
      </w:r>
      <w:r w:rsidR="000C6693" w:rsidRPr="00343B02">
        <w:t xml:space="preserve">No. </w:t>
      </w:r>
      <w:r w:rsidRPr="00343B02">
        <w:t>162. He asked for the following changes to be introduced</w:t>
      </w:r>
      <w:r w:rsidR="00F71C3F" w:rsidRPr="00343B02">
        <w:t xml:space="preserve"> to his sentence</w:t>
      </w:r>
      <w:r w:rsidRPr="00343B02">
        <w:t>: (</w:t>
      </w:r>
      <w:r w:rsidR="00C37191">
        <w:t>a</w:t>
      </w:r>
      <w:r w:rsidRPr="00343B02">
        <w:t>) the exclusion from the acts qualified under article 131, paragraph 2 (a) and (d), and under article 132, paragraph 2 (a) and (d)</w:t>
      </w:r>
      <w:r w:rsidR="00C37191">
        <w:t>,</w:t>
      </w:r>
      <w:r w:rsidRPr="00343B02">
        <w:t xml:space="preserve"> of the word “repeatedly”; (</w:t>
      </w:r>
      <w:r w:rsidR="00C37191">
        <w:t>b</w:t>
      </w:r>
      <w:r w:rsidRPr="00343B02">
        <w:t>) the reclassification of his acts as falling under article</w:t>
      </w:r>
      <w:r w:rsidR="00C37191">
        <w:t>s</w:t>
      </w:r>
      <w:r w:rsidRPr="00343B02">
        <w:t xml:space="preserve"> 131, paragraph 1, and 132, paragraph 1</w:t>
      </w:r>
      <w:r w:rsidR="00C37191">
        <w:t>,</w:t>
      </w:r>
      <w:r w:rsidRPr="00343B02">
        <w:t xml:space="preserve"> of the Criminal Code; (</w:t>
      </w:r>
      <w:r w:rsidR="00C37191">
        <w:t>c</w:t>
      </w:r>
      <w:r w:rsidRPr="00343B02">
        <w:t>) on the basis of article 10 of the Criminal Code</w:t>
      </w:r>
      <w:r w:rsidRPr="00343B02">
        <w:rPr>
          <w:rStyle w:val="FootnoteReference"/>
        </w:rPr>
        <w:footnoteReference w:id="4"/>
      </w:r>
      <w:r w:rsidRPr="00343B02">
        <w:t xml:space="preserve"> and the provision of article 69, paragraph 3 (as amended by Federal </w:t>
      </w:r>
      <w:r w:rsidR="008D45A7" w:rsidRPr="00343B02">
        <w:t>L</w:t>
      </w:r>
      <w:r w:rsidRPr="00343B02">
        <w:t xml:space="preserve">aw </w:t>
      </w:r>
      <w:r w:rsidR="000C6693" w:rsidRPr="00343B02">
        <w:t xml:space="preserve">No. </w:t>
      </w:r>
      <w:r w:rsidRPr="00343B02">
        <w:t xml:space="preserve">162), </w:t>
      </w:r>
      <w:r w:rsidR="00C37191">
        <w:t xml:space="preserve">the </w:t>
      </w:r>
      <w:r w:rsidRPr="00343B02">
        <w:t>proportional</w:t>
      </w:r>
      <w:r w:rsidR="00257DCA" w:rsidRPr="00343B02">
        <w:t xml:space="preserve"> </w:t>
      </w:r>
      <w:r w:rsidRPr="00343B02">
        <w:t>lower</w:t>
      </w:r>
      <w:r w:rsidR="00C37191">
        <w:t>ing of</w:t>
      </w:r>
      <w:r w:rsidRPr="00343B02">
        <w:t xml:space="preserve"> his penalty from 15 to 9 years’ imprisonment</w:t>
      </w:r>
      <w:r w:rsidR="00596740" w:rsidRPr="00343B02">
        <w:t>,</w:t>
      </w:r>
      <w:r w:rsidRPr="00343B02">
        <w:rPr>
          <w:rStyle w:val="FootnoteReference"/>
        </w:rPr>
        <w:footnoteReference w:id="5"/>
      </w:r>
      <w:r w:rsidRPr="00343B02">
        <w:t xml:space="preserve"> as provided for by the new criminal law</w:t>
      </w:r>
      <w:r w:rsidR="00596740" w:rsidRPr="00343B02">
        <w:t>.</w:t>
      </w:r>
      <w:r w:rsidRPr="00343B02">
        <w:rPr>
          <w:rStyle w:val="FootnoteReference"/>
        </w:rPr>
        <w:footnoteReference w:id="6"/>
      </w:r>
      <w:r w:rsidRPr="00343B02">
        <w:t xml:space="preserve"> </w:t>
      </w:r>
    </w:p>
    <w:p w14:paraId="0A52527E" w14:textId="77777777" w:rsidR="00E2284A" w:rsidRPr="00343B02" w:rsidRDefault="00F71C3F" w:rsidP="00E61DD8">
      <w:pPr>
        <w:pStyle w:val="SingleTxtG"/>
      </w:pPr>
      <w:r w:rsidRPr="00343B02">
        <w:t>2.</w:t>
      </w:r>
      <w:r w:rsidR="00860860" w:rsidRPr="00343B02">
        <w:t>5</w:t>
      </w:r>
      <w:r w:rsidRPr="00343B02">
        <w:tab/>
      </w:r>
      <w:r w:rsidR="00802E1F" w:rsidRPr="00343B02">
        <w:t>By decision of 26 May 2004, t</w:t>
      </w:r>
      <w:r w:rsidR="00541C81" w:rsidRPr="00343B02">
        <w:t xml:space="preserve">he </w:t>
      </w:r>
      <w:r w:rsidR="00802E1F" w:rsidRPr="00343B02">
        <w:t xml:space="preserve">Court of the </w:t>
      </w:r>
      <w:r w:rsidR="00541C81" w:rsidRPr="00343B02">
        <w:t>Nerchinsky District</w:t>
      </w:r>
      <w:r w:rsidR="00802E1F" w:rsidRPr="00343B02">
        <w:t xml:space="preserve"> </w:t>
      </w:r>
      <w:r w:rsidR="00541C81" w:rsidRPr="00343B02">
        <w:t>partially agreed with the author,</w:t>
      </w:r>
      <w:r w:rsidR="00E2284A" w:rsidRPr="00343B02">
        <w:t xml:space="preserve"> in line with Federal Law </w:t>
      </w:r>
      <w:r w:rsidR="000C6693" w:rsidRPr="00343B02">
        <w:t xml:space="preserve">No. </w:t>
      </w:r>
      <w:r w:rsidR="00E2284A" w:rsidRPr="00343B02">
        <w:t xml:space="preserve">162, and considered the author convicted </w:t>
      </w:r>
      <w:r w:rsidR="00E2284A" w:rsidRPr="00343B02">
        <w:lastRenderedPageBreak/>
        <w:t xml:space="preserve">under </w:t>
      </w:r>
      <w:r w:rsidRPr="00343B02">
        <w:t>article</w:t>
      </w:r>
      <w:r w:rsidR="00E61DD8">
        <w:t>s</w:t>
      </w:r>
      <w:r w:rsidRPr="00343B02">
        <w:t xml:space="preserve"> </w:t>
      </w:r>
      <w:r w:rsidR="00E2284A" w:rsidRPr="00343B02">
        <w:t>116 (</w:t>
      </w:r>
      <w:r w:rsidRPr="00343B02">
        <w:t>b</w:t>
      </w:r>
      <w:r w:rsidR="00E2284A" w:rsidRPr="00343B02">
        <w:t>attery); 119 (</w:t>
      </w:r>
      <w:r w:rsidRPr="00343B02">
        <w:t>t</w:t>
      </w:r>
      <w:r w:rsidR="00E2284A" w:rsidRPr="00343B02">
        <w:t>hreat of</w:t>
      </w:r>
      <w:r w:rsidR="00391621" w:rsidRPr="00343B02">
        <w:t xml:space="preserve"> a</w:t>
      </w:r>
      <w:r w:rsidR="00E2284A" w:rsidRPr="00343B02">
        <w:t xml:space="preserve"> murder</w:t>
      </w:r>
      <w:r w:rsidRPr="00343B02">
        <w:t xml:space="preserve"> or </w:t>
      </w:r>
      <w:r w:rsidR="00391621" w:rsidRPr="00343B02">
        <w:t xml:space="preserve">a </w:t>
      </w:r>
      <w:r w:rsidRPr="00343B02">
        <w:t>great bodily injury</w:t>
      </w:r>
      <w:r w:rsidR="00E2284A" w:rsidRPr="00343B02">
        <w:t>); 131, paragraph 2 (d) (rape of a juvenile)</w:t>
      </w:r>
      <w:r w:rsidR="00E61DD8">
        <w:t>;</w:t>
      </w:r>
      <w:r w:rsidR="00E2284A" w:rsidRPr="00343B02">
        <w:t xml:space="preserve"> and 132, paragraph 2 (d) (</w:t>
      </w:r>
      <w:r w:rsidRPr="00343B02">
        <w:t>sexual violence</w:t>
      </w:r>
      <w:r w:rsidR="00E2284A" w:rsidRPr="00343B02">
        <w:t xml:space="preserve"> committed against a juvenile)</w:t>
      </w:r>
      <w:r w:rsidR="00596740" w:rsidRPr="00343B02">
        <w:t>.</w:t>
      </w:r>
      <w:r w:rsidR="00E2284A" w:rsidRPr="00343B02">
        <w:t xml:space="preserve"> </w:t>
      </w:r>
      <w:r w:rsidR="00391621" w:rsidRPr="00343B02">
        <w:t>The court, however, refused to change the author’s overall sentence, which remained 15 years</w:t>
      </w:r>
      <w:r w:rsidR="00E61DD8">
        <w:t>’</w:t>
      </w:r>
      <w:r w:rsidR="00391621" w:rsidRPr="00343B02">
        <w:t xml:space="preserve"> imprisonment. </w:t>
      </w:r>
    </w:p>
    <w:p w14:paraId="133374AF" w14:textId="77777777" w:rsidR="00E2284A" w:rsidRPr="00343B02" w:rsidRDefault="00E2284A" w:rsidP="00E01791">
      <w:pPr>
        <w:pStyle w:val="SingleTxtG"/>
      </w:pPr>
      <w:r w:rsidRPr="00343B02">
        <w:t>2.6</w:t>
      </w:r>
      <w:r w:rsidR="00E11AD7" w:rsidRPr="00343B02">
        <w:tab/>
      </w:r>
      <w:r w:rsidRPr="00343B02">
        <w:t xml:space="preserve">On 7 July 2004, the author lodged a cassation appeal </w:t>
      </w:r>
      <w:r w:rsidR="00E61DD8">
        <w:t>before</w:t>
      </w:r>
      <w:r w:rsidR="00E61DD8" w:rsidRPr="00343B02">
        <w:t xml:space="preserve"> Chita Regional Court</w:t>
      </w:r>
      <w:r w:rsidR="00E61DD8">
        <w:t xml:space="preserve"> </w:t>
      </w:r>
      <w:r w:rsidRPr="00343B02">
        <w:t xml:space="preserve">against the decision </w:t>
      </w:r>
      <w:r w:rsidR="00E61DD8" w:rsidRPr="00343B02">
        <w:t>of 26 May 2004</w:t>
      </w:r>
      <w:r w:rsidR="00E61DD8">
        <w:t xml:space="preserve"> </w:t>
      </w:r>
      <w:r w:rsidRPr="00343B02">
        <w:t xml:space="preserve">of the </w:t>
      </w:r>
      <w:r w:rsidR="00820F2B" w:rsidRPr="00343B02">
        <w:t xml:space="preserve">Court of the </w:t>
      </w:r>
      <w:r w:rsidR="00E71DF5" w:rsidRPr="00343B02">
        <w:t>Nerchinsky</w:t>
      </w:r>
      <w:r w:rsidRPr="00343B02">
        <w:t xml:space="preserve"> District. On 19 July 2004, </w:t>
      </w:r>
      <w:r w:rsidR="00ED44EC" w:rsidRPr="00343B02">
        <w:t xml:space="preserve">Chita Regional </w:t>
      </w:r>
      <w:r w:rsidRPr="00343B02">
        <w:t>Court upheld the previous decision</w:t>
      </w:r>
      <w:r w:rsidR="00E61DD8">
        <w:t>,</w:t>
      </w:r>
      <w:r w:rsidRPr="00343B02">
        <w:t xml:space="preserve"> ruling that on the basis of art</w:t>
      </w:r>
      <w:r w:rsidR="00ED44EC" w:rsidRPr="00343B02">
        <w:t>icle</w:t>
      </w:r>
      <w:r w:rsidRPr="00343B02">
        <w:t xml:space="preserve"> 69 of the Criminal Code, the author was sentenced to 15 years</w:t>
      </w:r>
      <w:r w:rsidR="00E61DD8">
        <w:t>’</w:t>
      </w:r>
      <w:r w:rsidR="00ED44EC" w:rsidRPr="00343B02">
        <w:t xml:space="preserve"> </w:t>
      </w:r>
      <w:r w:rsidRPr="00343B02">
        <w:t>imprisonment and his penalty was not heavier than the upper limit of sanctions established for the crimes committed</w:t>
      </w:r>
      <w:r w:rsidR="00596740" w:rsidRPr="00343B02">
        <w:t>.</w:t>
      </w:r>
      <w:r w:rsidRPr="00343B02">
        <w:rPr>
          <w:rStyle w:val="FootnoteReference"/>
        </w:rPr>
        <w:footnoteReference w:id="7"/>
      </w:r>
      <w:r w:rsidRPr="00343B02">
        <w:t xml:space="preserve"> </w:t>
      </w:r>
      <w:r w:rsidR="00E829A0" w:rsidRPr="00343B02">
        <w:t>Chita Regional</w:t>
      </w:r>
      <w:r w:rsidRPr="00343B02">
        <w:t xml:space="preserve"> Court </w:t>
      </w:r>
      <w:r w:rsidR="00E829A0" w:rsidRPr="00343B02">
        <w:t>reasoned</w:t>
      </w:r>
      <w:r w:rsidRPr="00343B02">
        <w:t xml:space="preserve"> that the author’s </w:t>
      </w:r>
      <w:r w:rsidR="00E829A0" w:rsidRPr="00343B02">
        <w:t>sentence</w:t>
      </w:r>
      <w:r w:rsidRPr="00343B02">
        <w:t xml:space="preserve"> was within the </w:t>
      </w:r>
      <w:r w:rsidR="00E829A0" w:rsidRPr="00343B02">
        <w:t>range of sentences that could have been</w:t>
      </w:r>
      <w:r w:rsidRPr="00343B02">
        <w:t xml:space="preserve"> imposed for commi</w:t>
      </w:r>
      <w:r w:rsidR="00E01791">
        <w:t>tting</w:t>
      </w:r>
      <w:r w:rsidRPr="00343B02">
        <w:t xml:space="preserve"> the crimes </w:t>
      </w:r>
      <w:r w:rsidR="00E01791">
        <w:t>of which the author</w:t>
      </w:r>
      <w:r w:rsidRPr="00343B02">
        <w:t xml:space="preserve"> was found guilty, and therefore his penalty was not subject to review.</w:t>
      </w:r>
    </w:p>
    <w:p w14:paraId="381006EF" w14:textId="77777777" w:rsidR="00701F97" w:rsidRPr="00343B02" w:rsidRDefault="00E2284A">
      <w:pPr>
        <w:pStyle w:val="SingleTxtG"/>
      </w:pPr>
      <w:r w:rsidRPr="00343B02">
        <w:t>2.7</w:t>
      </w:r>
      <w:r w:rsidR="00ED44EC" w:rsidRPr="00343B02">
        <w:tab/>
      </w:r>
      <w:r w:rsidRPr="00343B02">
        <w:t xml:space="preserve">The author attempted </w:t>
      </w:r>
      <w:r w:rsidR="00E01791">
        <w:t xml:space="preserve">to bring </w:t>
      </w:r>
      <w:r w:rsidRPr="00343B02">
        <w:t xml:space="preserve">appeals through the supervisory review </w:t>
      </w:r>
      <w:r w:rsidR="00E829A0" w:rsidRPr="00343B02">
        <w:t>proc</w:t>
      </w:r>
      <w:r w:rsidR="00820F2B" w:rsidRPr="00343B02">
        <w:t>e</w:t>
      </w:r>
      <w:r w:rsidR="00E829A0" w:rsidRPr="00343B02">
        <w:t>d</w:t>
      </w:r>
      <w:r w:rsidR="00CF04D1">
        <w:t>ure</w:t>
      </w:r>
      <w:r w:rsidRPr="00343B02">
        <w:t>. His appeals were dismissed by Chit</w:t>
      </w:r>
      <w:r w:rsidR="00E71DF5" w:rsidRPr="00343B02">
        <w:t>a</w:t>
      </w:r>
      <w:r w:rsidRPr="00343B02">
        <w:t xml:space="preserve"> Regional Court</w:t>
      </w:r>
      <w:r w:rsidR="00E829A0" w:rsidRPr="00343B02">
        <w:t xml:space="preserve"> on 24 February 2005, </w:t>
      </w:r>
      <w:r w:rsidR="008C68F4">
        <w:t xml:space="preserve">by </w:t>
      </w:r>
      <w:r w:rsidR="00E829A0" w:rsidRPr="00343B02">
        <w:t>the Chairperson</w:t>
      </w:r>
      <w:r w:rsidRPr="00343B02">
        <w:t xml:space="preserve"> of Chit</w:t>
      </w:r>
      <w:r w:rsidR="00E71DF5" w:rsidRPr="00343B02">
        <w:t>a</w:t>
      </w:r>
      <w:r w:rsidRPr="00343B02">
        <w:t xml:space="preserve"> Regional Court</w:t>
      </w:r>
      <w:r w:rsidR="00E829A0" w:rsidRPr="00343B02">
        <w:t xml:space="preserve"> 20 May 2005</w:t>
      </w:r>
      <w:r w:rsidRPr="00343B02">
        <w:t xml:space="preserve">, </w:t>
      </w:r>
      <w:r w:rsidR="008C68F4">
        <w:t xml:space="preserve">by </w:t>
      </w:r>
      <w:r w:rsidRPr="00343B02">
        <w:t>the Supreme Court</w:t>
      </w:r>
      <w:r w:rsidR="00E829A0" w:rsidRPr="00343B02">
        <w:t xml:space="preserve"> on 25 April 2006</w:t>
      </w:r>
      <w:r w:rsidRPr="00343B02">
        <w:t xml:space="preserve"> and </w:t>
      </w:r>
      <w:r w:rsidR="008C68F4">
        <w:t xml:space="preserve">by </w:t>
      </w:r>
      <w:r w:rsidRPr="00343B02">
        <w:t>the Deputy Chairman of the Supreme Court on</w:t>
      </w:r>
      <w:r w:rsidR="00E829A0" w:rsidRPr="00343B02">
        <w:t xml:space="preserve"> 23 January 2007</w:t>
      </w:r>
      <w:r w:rsidRPr="00343B02">
        <w:t>.</w:t>
      </w:r>
      <w:r w:rsidR="00E829A0" w:rsidRPr="00343B02">
        <w:t xml:space="preserve"> </w:t>
      </w:r>
    </w:p>
    <w:p w14:paraId="59E6E2DA" w14:textId="77777777" w:rsidR="00E2284A" w:rsidRPr="00343B02" w:rsidRDefault="00E2284A" w:rsidP="00CF04D1">
      <w:pPr>
        <w:pStyle w:val="SingleTxtG"/>
      </w:pPr>
      <w:r w:rsidRPr="00343B02">
        <w:t>2.8</w:t>
      </w:r>
      <w:r w:rsidR="00287BBA" w:rsidRPr="00343B02">
        <w:tab/>
      </w:r>
      <w:r w:rsidRPr="00343B02">
        <w:t xml:space="preserve">On 20 April 2006, the Constitutional Court of the Russian Federation confirmed the constitutionality of the provision </w:t>
      </w:r>
      <w:r w:rsidR="00CF04D1">
        <w:t>in</w:t>
      </w:r>
      <w:r w:rsidRPr="00343B02">
        <w:t xml:space="preserve"> article 10</w:t>
      </w:r>
      <w:r w:rsidR="00E01791">
        <w:t xml:space="preserve"> </w:t>
      </w:r>
      <w:r w:rsidRPr="00343B02">
        <w:t>(2) of the Criminal Code</w:t>
      </w:r>
      <w:r w:rsidR="00596740" w:rsidRPr="00343B02">
        <w:t>,</w:t>
      </w:r>
      <w:r w:rsidRPr="00343B02">
        <w:rPr>
          <w:rStyle w:val="FootnoteReference"/>
        </w:rPr>
        <w:footnoteReference w:id="8"/>
      </w:r>
      <w:r w:rsidRPr="00343B02">
        <w:t xml:space="preserve"> and of certain provisions of the Criminal Procedure Code concerning the procedure f</w:t>
      </w:r>
      <w:r w:rsidR="00CF04D1">
        <w:t>or</w:t>
      </w:r>
      <w:r w:rsidRPr="00343B02">
        <w:t xml:space="preserve"> bringing judicial decisions in</w:t>
      </w:r>
      <w:r w:rsidR="00CF04D1">
        <w:t>to</w:t>
      </w:r>
      <w:r w:rsidRPr="00343B02">
        <w:t xml:space="preserve"> conformity with the new criminal law which eliminates or mitigates the responsibility for a committed crime. After th</w:t>
      </w:r>
      <w:r w:rsidR="00CF04D1">
        <w:t>at</w:t>
      </w:r>
      <w:r w:rsidRPr="00343B02">
        <w:t xml:space="preserve"> Constitutional Court</w:t>
      </w:r>
      <w:r w:rsidR="00CF04D1">
        <w:t xml:space="preserve"> </w:t>
      </w:r>
      <w:r w:rsidR="00CF04D1" w:rsidRPr="00343B02">
        <w:t>ruling</w:t>
      </w:r>
      <w:r w:rsidRPr="00343B02">
        <w:t xml:space="preserve">, the author attempted again to appeal against the decision of 26 May 2004 </w:t>
      </w:r>
      <w:r w:rsidR="00820F2B" w:rsidRPr="00343B02">
        <w:t xml:space="preserve">of the Court </w:t>
      </w:r>
      <w:r w:rsidRPr="00343B02">
        <w:t xml:space="preserve">of the </w:t>
      </w:r>
      <w:r w:rsidR="00E71DF5" w:rsidRPr="00343B02">
        <w:t>Nerchinsky</w:t>
      </w:r>
      <w:r w:rsidRPr="00343B02">
        <w:t xml:space="preserve"> District</w:t>
      </w:r>
      <w:r w:rsidR="00820F2B" w:rsidRPr="00343B02">
        <w:t xml:space="preserve"> </w:t>
      </w:r>
      <w:r w:rsidRPr="00343B02">
        <w:t>and the cassation decision of 19 July 2004 of Chit</w:t>
      </w:r>
      <w:r w:rsidR="00E71DF5" w:rsidRPr="00343B02">
        <w:t>a</w:t>
      </w:r>
      <w:r w:rsidRPr="00343B02">
        <w:t xml:space="preserve"> Regional Court through the supervisory review </w:t>
      </w:r>
      <w:r w:rsidR="00820F2B" w:rsidRPr="00343B02">
        <w:t>proced</w:t>
      </w:r>
      <w:r w:rsidR="00CF04D1">
        <w:t>ure</w:t>
      </w:r>
      <w:r w:rsidRPr="00343B02">
        <w:t>. However, his appeals were rejected on the basis of art</w:t>
      </w:r>
      <w:r w:rsidR="00701F97" w:rsidRPr="00343B02">
        <w:t>icle</w:t>
      </w:r>
      <w:r w:rsidRPr="00343B02">
        <w:t xml:space="preserve"> 412</w:t>
      </w:r>
      <w:r w:rsidR="00701F97" w:rsidRPr="00343B02">
        <w:t>, paragraph 1,</w:t>
      </w:r>
      <w:r w:rsidRPr="00343B02">
        <w:t xml:space="preserve"> of the Criminal Procedure Code</w:t>
      </w:r>
      <w:r w:rsidR="000941D9" w:rsidRPr="00343B02">
        <w:t>.</w:t>
      </w:r>
      <w:r w:rsidRPr="00343B02">
        <w:rPr>
          <w:rStyle w:val="FootnoteReference"/>
        </w:rPr>
        <w:footnoteReference w:id="9"/>
      </w:r>
    </w:p>
    <w:p w14:paraId="0999B1D8" w14:textId="77777777" w:rsidR="00E2284A" w:rsidRPr="00343B02" w:rsidRDefault="00E2284A">
      <w:pPr>
        <w:pStyle w:val="SingleTxtG"/>
      </w:pPr>
      <w:r w:rsidRPr="00343B02">
        <w:t>2.9</w:t>
      </w:r>
      <w:r w:rsidR="00701F97" w:rsidRPr="00343B02">
        <w:tab/>
      </w:r>
      <w:r w:rsidRPr="00343B02">
        <w:t>In November 2008, the author lodged an application with the Constitutional Court with a request to consider the constitutionality of art</w:t>
      </w:r>
      <w:r w:rsidR="00701F97" w:rsidRPr="00343B02">
        <w:t>icle</w:t>
      </w:r>
      <w:r w:rsidRPr="00343B02">
        <w:t xml:space="preserve"> 412, paragraph 1, of the Criminal Procedure Code, and claimed that it violate</w:t>
      </w:r>
      <w:r w:rsidR="008C68F4">
        <w:t>d</w:t>
      </w:r>
      <w:r w:rsidRPr="00343B02">
        <w:t xml:space="preserve"> his right to judicial protection. On 29 January 2009, the </w:t>
      </w:r>
      <w:r w:rsidR="00820F2B" w:rsidRPr="00343B02">
        <w:t xml:space="preserve">Constitutional </w:t>
      </w:r>
      <w:r w:rsidRPr="00343B02">
        <w:t>Court confirmed the constitutionality of th</w:t>
      </w:r>
      <w:r w:rsidR="00CF04D1">
        <w:t>at</w:t>
      </w:r>
      <w:r w:rsidRPr="00343B02">
        <w:t xml:space="preserve"> provision. </w:t>
      </w:r>
      <w:r w:rsidR="00701F97" w:rsidRPr="00343B02">
        <w:t>On 1 April 2009, the author again appeal</w:t>
      </w:r>
      <w:r w:rsidR="00820F2B" w:rsidRPr="00343B02">
        <w:t>ed</w:t>
      </w:r>
      <w:r w:rsidR="00701F97" w:rsidRPr="00343B02">
        <w:t xml:space="preserve"> through the supervisory review </w:t>
      </w:r>
      <w:r w:rsidR="00820F2B" w:rsidRPr="00343B02">
        <w:t>proced</w:t>
      </w:r>
      <w:r w:rsidR="00CF04D1">
        <w:t>ure</w:t>
      </w:r>
      <w:r w:rsidR="00820F2B" w:rsidRPr="00343B02">
        <w:t xml:space="preserve"> </w:t>
      </w:r>
      <w:r w:rsidR="00701F97" w:rsidRPr="00343B02">
        <w:t>to the Chairperson of the Supreme Court. His appeal was dismissed on 24 April 2009 for the same reason</w:t>
      </w:r>
      <w:r w:rsidR="00CF04D1">
        <w:t>,</w:t>
      </w:r>
      <w:r w:rsidR="00701F97" w:rsidRPr="00343B02">
        <w:t xml:space="preserve"> spelled out in article 412, paragraph 1, of the Criminal Procedure Code. The author therefore claims to have exhausted all available and effective domestic remedies. </w:t>
      </w:r>
    </w:p>
    <w:p w14:paraId="68486D7A" w14:textId="77777777" w:rsidR="005C3EA4" w:rsidRPr="00343B02" w:rsidRDefault="004B44C6" w:rsidP="00596740">
      <w:pPr>
        <w:pStyle w:val="H23G"/>
      </w:pPr>
      <w:r w:rsidRPr="00343B02">
        <w:tab/>
      </w:r>
      <w:r w:rsidRPr="00343B02">
        <w:tab/>
        <w:t>The complaint</w:t>
      </w:r>
    </w:p>
    <w:p w14:paraId="3D9CE27F" w14:textId="77777777" w:rsidR="00B3314F" w:rsidRPr="00343B02" w:rsidRDefault="00B3314F" w:rsidP="00CF04D1">
      <w:pPr>
        <w:pStyle w:val="SingleTxtG"/>
      </w:pPr>
      <w:r w:rsidRPr="00343B02">
        <w:t>3.1</w:t>
      </w:r>
      <w:r w:rsidR="00701F97" w:rsidRPr="00343B02">
        <w:tab/>
      </w:r>
      <w:r w:rsidRPr="00343B02">
        <w:t xml:space="preserve">The author claims that the refusal of </w:t>
      </w:r>
      <w:r w:rsidR="00820F2B" w:rsidRPr="00343B02">
        <w:t xml:space="preserve">the </w:t>
      </w:r>
      <w:r w:rsidRPr="00343B02">
        <w:t xml:space="preserve">courts to review his </w:t>
      </w:r>
      <w:r w:rsidR="00701F97" w:rsidRPr="00343B02">
        <w:t>sentence</w:t>
      </w:r>
      <w:r w:rsidRPr="00343B02">
        <w:t xml:space="preserve"> after the adoption of Federal Law </w:t>
      </w:r>
      <w:r w:rsidR="000C6693" w:rsidRPr="00343B02">
        <w:t xml:space="preserve">No. </w:t>
      </w:r>
      <w:r w:rsidRPr="00343B02">
        <w:t>162 amounts to a violation of article 15</w:t>
      </w:r>
      <w:r w:rsidR="00343B02">
        <w:t xml:space="preserve"> (</w:t>
      </w:r>
      <w:r w:rsidRPr="00343B02">
        <w:t>1</w:t>
      </w:r>
      <w:r w:rsidR="00343B02">
        <w:t>)</w:t>
      </w:r>
      <w:r w:rsidRPr="00343B02">
        <w:t xml:space="preserve"> of the Covenant. </w:t>
      </w:r>
    </w:p>
    <w:p w14:paraId="46AA01AC" w14:textId="77777777" w:rsidR="00B3314F" w:rsidRPr="00343B02" w:rsidRDefault="00B3314F" w:rsidP="00CF04D1">
      <w:pPr>
        <w:pStyle w:val="SingleTxtG"/>
      </w:pPr>
      <w:r w:rsidRPr="00343B02">
        <w:t>3.2</w:t>
      </w:r>
      <w:r w:rsidR="00701F97" w:rsidRPr="00343B02">
        <w:tab/>
        <w:t>Th</w:t>
      </w:r>
      <w:r w:rsidRPr="00343B02">
        <w:t>e</w:t>
      </w:r>
      <w:r w:rsidR="00701F97" w:rsidRPr="00343B02">
        <w:t xml:space="preserve"> author</w:t>
      </w:r>
      <w:r w:rsidRPr="00343B02">
        <w:t xml:space="preserve"> submits that the courts failed to address all his allegations and to provide </w:t>
      </w:r>
      <w:r w:rsidR="00CF04D1">
        <w:t xml:space="preserve">a </w:t>
      </w:r>
      <w:r w:rsidRPr="00343B02">
        <w:t xml:space="preserve">legal basis for their conclusions. Moreover, his numerous appeals were dismissed, which </w:t>
      </w:r>
      <w:r w:rsidR="000A16E8" w:rsidRPr="00343B02">
        <w:t xml:space="preserve">amounts to </w:t>
      </w:r>
      <w:r w:rsidRPr="00343B02">
        <w:t>a violation of article 14</w:t>
      </w:r>
      <w:r w:rsidR="00343B02">
        <w:t xml:space="preserve"> (</w:t>
      </w:r>
      <w:r w:rsidRPr="00343B02">
        <w:t>1</w:t>
      </w:r>
      <w:r w:rsidR="00343B02">
        <w:t>)</w:t>
      </w:r>
      <w:r w:rsidRPr="00343B02">
        <w:t xml:space="preserve"> of the Covenant. </w:t>
      </w:r>
    </w:p>
    <w:p w14:paraId="030EEDAB" w14:textId="77777777" w:rsidR="00B3314F" w:rsidRPr="00343B02" w:rsidRDefault="00B3314F" w:rsidP="00CF04D1">
      <w:pPr>
        <w:pStyle w:val="SingleTxtG"/>
      </w:pPr>
      <w:r w:rsidRPr="00343B02">
        <w:t>3.3</w:t>
      </w:r>
      <w:r w:rsidR="00701F97" w:rsidRPr="00343B02">
        <w:tab/>
      </w:r>
      <w:r w:rsidR="006B5103" w:rsidRPr="00343B02">
        <w:t xml:space="preserve">The author claims </w:t>
      </w:r>
      <w:r w:rsidRPr="00343B02">
        <w:t>that his request</w:t>
      </w:r>
      <w:r w:rsidR="00701F97" w:rsidRPr="00343B02">
        <w:t>s</w:t>
      </w:r>
      <w:r w:rsidRPr="00343B02">
        <w:t xml:space="preserve"> for </w:t>
      </w:r>
      <w:r w:rsidR="00CF04D1" w:rsidRPr="00343B02">
        <w:t xml:space="preserve">his sentence </w:t>
      </w:r>
      <w:r w:rsidRPr="00343B02">
        <w:t>t</w:t>
      </w:r>
      <w:r w:rsidR="00CF04D1">
        <w:t>o b</w:t>
      </w:r>
      <w:r w:rsidRPr="00343B02">
        <w:t>e review</w:t>
      </w:r>
      <w:r w:rsidR="00CF04D1">
        <w:t>ed</w:t>
      </w:r>
      <w:r w:rsidRPr="00343B02">
        <w:t xml:space="preserve"> w</w:t>
      </w:r>
      <w:r w:rsidR="00701F97" w:rsidRPr="00343B02">
        <w:t>ere</w:t>
      </w:r>
      <w:r w:rsidRPr="00343B02">
        <w:t xml:space="preserve"> dismissed by </w:t>
      </w:r>
      <w:r w:rsidR="00CF04D1">
        <w:t xml:space="preserve">the </w:t>
      </w:r>
      <w:r w:rsidRPr="00343B02">
        <w:t xml:space="preserve">courts in violation of article 14 </w:t>
      </w:r>
      <w:r w:rsidR="00343B02">
        <w:t>(</w:t>
      </w:r>
      <w:r w:rsidRPr="00343B02">
        <w:t>5</w:t>
      </w:r>
      <w:r w:rsidR="00343B02">
        <w:t>)</w:t>
      </w:r>
      <w:r w:rsidRPr="00343B02">
        <w:t xml:space="preserve"> of the Covenant. The rejection of all his appeals from 2006 to 2009 under the supervisory </w:t>
      </w:r>
      <w:r w:rsidR="006B5103" w:rsidRPr="00343B02">
        <w:t xml:space="preserve">review </w:t>
      </w:r>
      <w:r w:rsidRPr="00343B02">
        <w:t xml:space="preserve">procedure also amounts to a violation of article 14 </w:t>
      </w:r>
      <w:r w:rsidR="00343B02">
        <w:t>(</w:t>
      </w:r>
      <w:r w:rsidRPr="00343B02">
        <w:t>5</w:t>
      </w:r>
      <w:r w:rsidR="00343B02">
        <w:t>)</w:t>
      </w:r>
      <w:r w:rsidRPr="00343B02">
        <w:t xml:space="preserve"> of the Covenant. </w:t>
      </w:r>
    </w:p>
    <w:p w14:paraId="6EC065DA" w14:textId="77777777" w:rsidR="00B3314F" w:rsidRPr="00343B02" w:rsidRDefault="00B3314F" w:rsidP="00CF04D1">
      <w:pPr>
        <w:pStyle w:val="SingleTxtG"/>
      </w:pPr>
      <w:r w:rsidRPr="00343B02">
        <w:t>3.4</w:t>
      </w:r>
      <w:r w:rsidR="006B5103" w:rsidRPr="00343B02">
        <w:tab/>
      </w:r>
      <w:r w:rsidRPr="00343B02">
        <w:t>The author alleges that his penalty should have been reduced from 15 years</w:t>
      </w:r>
      <w:r w:rsidR="00CF04D1">
        <w:t>’</w:t>
      </w:r>
      <w:r w:rsidR="006B5103" w:rsidRPr="00343B02">
        <w:t xml:space="preserve"> </w:t>
      </w:r>
      <w:r w:rsidRPr="00343B02">
        <w:t xml:space="preserve">imprisonment to 9 years after the adoption of Federal Law </w:t>
      </w:r>
      <w:r w:rsidR="006B5103" w:rsidRPr="00343B02">
        <w:t>N</w:t>
      </w:r>
      <w:r w:rsidRPr="00343B02">
        <w:t xml:space="preserve">o. 162. He claims that his prison term </w:t>
      </w:r>
      <w:r w:rsidR="000A16E8" w:rsidRPr="00343B02">
        <w:t xml:space="preserve">should have </w:t>
      </w:r>
      <w:r w:rsidRPr="00343B02">
        <w:t>ended on 7 December 2007</w:t>
      </w:r>
      <w:r w:rsidR="000941D9" w:rsidRPr="00343B02">
        <w:t>,</w:t>
      </w:r>
      <w:r w:rsidRPr="00343B02">
        <w:rPr>
          <w:rStyle w:val="FootnoteReference"/>
        </w:rPr>
        <w:footnoteReference w:id="10"/>
      </w:r>
      <w:r w:rsidRPr="00343B02">
        <w:t xml:space="preserve"> and </w:t>
      </w:r>
      <w:r w:rsidR="000A16E8" w:rsidRPr="00343B02">
        <w:t xml:space="preserve">thus </w:t>
      </w:r>
      <w:r w:rsidR="00CF04D1">
        <w:t xml:space="preserve">that </w:t>
      </w:r>
      <w:r w:rsidRPr="00343B02">
        <w:t>he has been a victim of unlawful detention since</w:t>
      </w:r>
      <w:r w:rsidR="00CF04D1">
        <w:t xml:space="preserve"> then</w:t>
      </w:r>
      <w:r w:rsidRPr="00343B02">
        <w:t>. Accordingly,</w:t>
      </w:r>
      <w:r w:rsidR="006B5103" w:rsidRPr="00343B02">
        <w:t xml:space="preserve"> the author contends,</w:t>
      </w:r>
      <w:r w:rsidRPr="00343B02">
        <w:t xml:space="preserve"> his right</w:t>
      </w:r>
      <w:r w:rsidR="006B5103" w:rsidRPr="00343B02">
        <w:t>s</w:t>
      </w:r>
      <w:r w:rsidRPr="00343B02">
        <w:t xml:space="preserve"> under article 9 </w:t>
      </w:r>
      <w:r w:rsidR="00343B02">
        <w:t>(</w:t>
      </w:r>
      <w:r w:rsidRPr="00343B02">
        <w:t>5</w:t>
      </w:r>
      <w:r w:rsidR="00343B02">
        <w:t>)</w:t>
      </w:r>
      <w:r w:rsidRPr="00343B02">
        <w:t xml:space="preserve"> of the Covenant</w:t>
      </w:r>
      <w:r w:rsidR="006B5103" w:rsidRPr="00343B02">
        <w:t xml:space="preserve"> have also</w:t>
      </w:r>
      <w:r w:rsidRPr="00343B02">
        <w:t xml:space="preserve"> been violated. </w:t>
      </w:r>
    </w:p>
    <w:p w14:paraId="661046E5" w14:textId="77777777" w:rsidR="00B3314F" w:rsidRPr="00343B02" w:rsidRDefault="00B3314F" w:rsidP="00CF04D1">
      <w:pPr>
        <w:pStyle w:val="SingleTxtG"/>
      </w:pPr>
      <w:r w:rsidRPr="00343B02">
        <w:t>3.5</w:t>
      </w:r>
      <w:r w:rsidR="006B5103" w:rsidRPr="00343B02">
        <w:tab/>
      </w:r>
      <w:r w:rsidRPr="00343B02">
        <w:t xml:space="preserve">The author claims a violation of article 26 of the Covenant, pointing to </w:t>
      </w:r>
      <w:r w:rsidR="00CF04D1">
        <w:t xml:space="preserve">what he calls </w:t>
      </w:r>
      <w:r w:rsidRPr="00343B02">
        <w:t xml:space="preserve">the </w:t>
      </w:r>
      <w:r w:rsidR="006B5103" w:rsidRPr="00343B02">
        <w:t>“</w:t>
      </w:r>
      <w:r w:rsidRPr="00343B02">
        <w:t>unjustified differentiation</w:t>
      </w:r>
      <w:r w:rsidR="006B5103" w:rsidRPr="00343B02">
        <w:t>”</w:t>
      </w:r>
      <w:r w:rsidRPr="00343B02">
        <w:t xml:space="preserve"> employed by</w:t>
      </w:r>
      <w:r w:rsidR="006B5103" w:rsidRPr="00343B02">
        <w:t xml:space="preserve"> the</w:t>
      </w:r>
      <w:r w:rsidRPr="00343B02">
        <w:t xml:space="preserve"> national courts by refusing to review his penalty under the new criminal law, as opposed to other </w:t>
      </w:r>
      <w:r w:rsidR="00CF04D1">
        <w:t xml:space="preserve">cases in which </w:t>
      </w:r>
      <w:r w:rsidRPr="00343B02">
        <w:t>offenders have had their penalt</w:t>
      </w:r>
      <w:r w:rsidR="00CF04D1">
        <w:t>ies</w:t>
      </w:r>
      <w:r w:rsidRPr="00343B02">
        <w:t xml:space="preserve"> reviewed and</w:t>
      </w:r>
      <w:r w:rsidR="006B5103" w:rsidRPr="00343B02">
        <w:t xml:space="preserve"> reduced</w:t>
      </w:r>
      <w:r w:rsidRPr="00343B02">
        <w:t xml:space="preserve"> accordingly. </w:t>
      </w:r>
    </w:p>
    <w:p w14:paraId="197CA2EC" w14:textId="77777777" w:rsidR="00FD5528" w:rsidRPr="00343B02" w:rsidRDefault="00B3314F" w:rsidP="00CF04D1">
      <w:pPr>
        <w:pStyle w:val="SingleTxtG"/>
      </w:pPr>
      <w:r w:rsidRPr="00343B02">
        <w:t>3.6</w:t>
      </w:r>
      <w:r w:rsidR="006B5103" w:rsidRPr="00343B02">
        <w:tab/>
      </w:r>
      <w:r w:rsidR="00CF04D1">
        <w:t>Last</w:t>
      </w:r>
      <w:r w:rsidR="006B5103" w:rsidRPr="00343B02">
        <w:t>ly, t</w:t>
      </w:r>
      <w:r w:rsidRPr="00343B02">
        <w:t xml:space="preserve">he author alleges that the State party </w:t>
      </w:r>
      <w:r w:rsidR="00CF04D1">
        <w:t>has</w:t>
      </w:r>
      <w:r w:rsidRPr="00343B02">
        <w:t xml:space="preserve"> also violat</w:t>
      </w:r>
      <w:r w:rsidR="00CF04D1">
        <w:t>ed</w:t>
      </w:r>
      <w:r w:rsidRPr="00343B02">
        <w:t xml:space="preserve"> article</w:t>
      </w:r>
      <w:r w:rsidR="00DF2C8F">
        <w:t>s</w:t>
      </w:r>
      <w:r w:rsidRPr="00343B02">
        <w:t xml:space="preserve"> 2 </w:t>
      </w:r>
      <w:r w:rsidR="00343B02">
        <w:t>(</w:t>
      </w:r>
      <w:r w:rsidRPr="00343B02">
        <w:t>1</w:t>
      </w:r>
      <w:r w:rsidR="00343B02">
        <w:t>)</w:t>
      </w:r>
      <w:r w:rsidRPr="00343B02">
        <w:t xml:space="preserve"> and </w:t>
      </w:r>
      <w:r w:rsidR="00343B02">
        <w:t>(</w:t>
      </w:r>
      <w:r w:rsidRPr="00343B02">
        <w:t>3</w:t>
      </w:r>
      <w:r w:rsidR="00343B02">
        <w:t>)</w:t>
      </w:r>
      <w:r w:rsidRPr="00343B02">
        <w:t xml:space="preserve"> (a) of the Covenant.</w:t>
      </w:r>
    </w:p>
    <w:p w14:paraId="5D830881" w14:textId="77777777" w:rsidR="005C3EA4" w:rsidRPr="00343B02" w:rsidRDefault="00FD5528" w:rsidP="00596740">
      <w:pPr>
        <w:pStyle w:val="H23G"/>
      </w:pPr>
      <w:r w:rsidRPr="00343B02">
        <w:tab/>
      </w:r>
      <w:r w:rsidRPr="00343B02">
        <w:tab/>
      </w:r>
      <w:r w:rsidR="004B44C6" w:rsidRPr="00343B02">
        <w:t>State party’</w:t>
      </w:r>
      <w:r w:rsidR="0049482E" w:rsidRPr="00343B02">
        <w:t>s observations on admissibility</w:t>
      </w:r>
      <w:r w:rsidR="00CF5D2C" w:rsidRPr="00343B02">
        <w:t xml:space="preserve"> and </w:t>
      </w:r>
      <w:r w:rsidR="00DF2C8F">
        <w:t xml:space="preserve">the </w:t>
      </w:r>
      <w:r w:rsidR="00CF5D2C" w:rsidRPr="00343B02">
        <w:t>merits</w:t>
      </w:r>
    </w:p>
    <w:p w14:paraId="06EA35BA" w14:textId="77777777" w:rsidR="00766117" w:rsidRPr="00343B02" w:rsidRDefault="004B44C6" w:rsidP="00506870">
      <w:pPr>
        <w:pStyle w:val="SingleTxtG"/>
      </w:pPr>
      <w:r w:rsidRPr="00343B02">
        <w:t>4.</w:t>
      </w:r>
      <w:r w:rsidR="0049482E" w:rsidRPr="00343B02">
        <w:t>1</w:t>
      </w:r>
      <w:r w:rsidRPr="00343B02">
        <w:tab/>
      </w:r>
      <w:r w:rsidR="000A16E8" w:rsidRPr="00343B02">
        <w:t xml:space="preserve">By </w:t>
      </w:r>
      <w:r w:rsidR="00CE7D94" w:rsidRPr="00343B02">
        <w:t xml:space="preserve">note verbale </w:t>
      </w:r>
      <w:r w:rsidR="000A16E8" w:rsidRPr="00343B02">
        <w:t>of</w:t>
      </w:r>
      <w:r w:rsidR="00CE7D94" w:rsidRPr="00343B02">
        <w:t xml:space="preserve"> </w:t>
      </w:r>
      <w:r w:rsidR="00C57EE3" w:rsidRPr="00343B02">
        <w:t>12</w:t>
      </w:r>
      <w:r w:rsidR="00CE7D94" w:rsidRPr="00343B02">
        <w:t xml:space="preserve"> July 2011, the State party submits that the author was indeed </w:t>
      </w:r>
      <w:r w:rsidR="00C57EE3" w:rsidRPr="00343B02">
        <w:t>sentenced to 15 years</w:t>
      </w:r>
      <w:r w:rsidR="00506870">
        <w:t>’</w:t>
      </w:r>
      <w:r w:rsidR="00C57EE3" w:rsidRPr="00343B02">
        <w:t xml:space="preserve"> imprisonment</w:t>
      </w:r>
      <w:r w:rsidR="00E00101" w:rsidRPr="00343B02">
        <w:t xml:space="preserve"> for </w:t>
      </w:r>
      <w:r w:rsidR="000F471C" w:rsidRPr="00343B02">
        <w:t xml:space="preserve">the </w:t>
      </w:r>
      <w:r w:rsidR="00E00101" w:rsidRPr="00343B02">
        <w:t xml:space="preserve">crimes </w:t>
      </w:r>
      <w:r w:rsidR="000F471C" w:rsidRPr="00343B02">
        <w:t xml:space="preserve">he </w:t>
      </w:r>
      <w:r w:rsidR="00E00101" w:rsidRPr="00343B02">
        <w:t xml:space="preserve">committed. </w:t>
      </w:r>
      <w:r w:rsidR="00766117" w:rsidRPr="00343B02">
        <w:t xml:space="preserve">Furthermore, in accordance with Federal </w:t>
      </w:r>
      <w:r w:rsidR="008D45A7" w:rsidRPr="00343B02">
        <w:t>L</w:t>
      </w:r>
      <w:r w:rsidR="00766117" w:rsidRPr="00343B02">
        <w:t xml:space="preserve">aw No. 162, the author’s sentence was amended in that it no longer included references to </w:t>
      </w:r>
      <w:r w:rsidR="00582F24" w:rsidRPr="00343B02">
        <w:t>the</w:t>
      </w:r>
      <w:r w:rsidR="00766117" w:rsidRPr="00343B02">
        <w:t xml:space="preserve"> repeated nature of the author’s previous offences. </w:t>
      </w:r>
    </w:p>
    <w:p w14:paraId="621BD385" w14:textId="77777777" w:rsidR="00AA3412" w:rsidRPr="00343B02" w:rsidRDefault="005C3EA4" w:rsidP="00506870">
      <w:pPr>
        <w:pStyle w:val="SingleTxtG"/>
      </w:pPr>
      <w:r w:rsidRPr="00343B02">
        <w:t>4.2</w:t>
      </w:r>
      <w:r w:rsidRPr="00343B02">
        <w:tab/>
      </w:r>
      <w:r w:rsidR="00AA3412" w:rsidRPr="00343B02">
        <w:t xml:space="preserve">The author </w:t>
      </w:r>
      <w:r w:rsidR="00506870">
        <w:t>requested that</w:t>
      </w:r>
      <w:r w:rsidR="00AA3412" w:rsidRPr="00343B02">
        <w:t xml:space="preserve"> his sentence be reduced from 15 to 9 years</w:t>
      </w:r>
      <w:r w:rsidR="00506870">
        <w:t>’</w:t>
      </w:r>
      <w:r w:rsidR="00AA3412" w:rsidRPr="00343B02">
        <w:t xml:space="preserve"> imprisonment since, according to his calculations based on </w:t>
      </w:r>
      <w:r w:rsidR="00582F24" w:rsidRPr="00343B02">
        <w:t xml:space="preserve">his understanding of </w:t>
      </w:r>
      <w:r w:rsidR="00AA3412" w:rsidRPr="00343B02">
        <w:t>article 69, paragraph 3, of the Criminal Code, the</w:t>
      </w:r>
      <w:r w:rsidR="005C7E97" w:rsidRPr="00343B02">
        <w:t xml:space="preserve"> </w:t>
      </w:r>
      <w:r w:rsidR="00AA3412" w:rsidRPr="00343B02">
        <w:t>upper limit o</w:t>
      </w:r>
      <w:r w:rsidR="00506870">
        <w:t>f</w:t>
      </w:r>
      <w:r w:rsidR="00AA3412" w:rsidRPr="00343B02">
        <w:t xml:space="preserve"> </w:t>
      </w:r>
      <w:r w:rsidR="00506870">
        <w:t xml:space="preserve">the </w:t>
      </w:r>
      <w:r w:rsidR="00AA3412" w:rsidRPr="00343B02">
        <w:t xml:space="preserve">sentences for </w:t>
      </w:r>
      <w:r w:rsidR="00506870">
        <w:t xml:space="preserve">the crimes of </w:t>
      </w:r>
      <w:r w:rsidR="00AA3412" w:rsidRPr="00343B02">
        <w:t xml:space="preserve">which he was convicted </w:t>
      </w:r>
      <w:r w:rsidR="00506870">
        <w:t>was</w:t>
      </w:r>
      <w:r w:rsidR="00AA3412" w:rsidRPr="00343B02">
        <w:t xml:space="preserve"> 15 years. Accordingly, the author argues, his sentence should be reduced proportionally. </w:t>
      </w:r>
    </w:p>
    <w:p w14:paraId="608E82EF" w14:textId="77777777" w:rsidR="00B7389B" w:rsidRPr="00343B02" w:rsidRDefault="00AA3412" w:rsidP="00506870">
      <w:pPr>
        <w:pStyle w:val="SingleTxtG"/>
      </w:pPr>
      <w:r w:rsidRPr="00343B02">
        <w:t>4.3</w:t>
      </w:r>
      <w:r w:rsidRPr="00343B02">
        <w:tab/>
        <w:t>The State party submits that the author’s calculations are incorrect. Russian law does not mandate the proportional reduction of sentences</w:t>
      </w:r>
      <w:r w:rsidR="00506870">
        <w:t>, nor is this</w:t>
      </w:r>
      <w:r w:rsidRPr="00343B02">
        <w:t xml:space="preserve"> supported by article 15 </w:t>
      </w:r>
      <w:r w:rsidR="00343B02">
        <w:t>(</w:t>
      </w:r>
      <w:r w:rsidRPr="00343B02">
        <w:t>1</w:t>
      </w:r>
      <w:r w:rsidR="00343B02">
        <w:t>)</w:t>
      </w:r>
      <w:r w:rsidRPr="00343B02">
        <w:t xml:space="preserve"> of the Covenant. The courts refused to amend the author’s sentence, since </w:t>
      </w:r>
      <w:r w:rsidR="00506870">
        <w:t>i</w:t>
      </w:r>
      <w:r w:rsidRPr="00343B02">
        <w:t xml:space="preserve">t was within the </w:t>
      </w:r>
      <w:r w:rsidR="00F03AB9" w:rsidRPr="00343B02">
        <w:t xml:space="preserve">limits set under the new </w:t>
      </w:r>
      <w:r w:rsidRPr="00343B02">
        <w:t>article 69, paragraph 3</w:t>
      </w:r>
      <w:r w:rsidR="00506870">
        <w:t>,</w:t>
      </w:r>
      <w:r w:rsidRPr="00343B02">
        <w:t xml:space="preserve"> of the Criminal Code</w:t>
      </w:r>
      <w:r w:rsidR="00506870">
        <w:t>;</w:t>
      </w:r>
      <w:r w:rsidRPr="00343B02">
        <w:t xml:space="preserve"> the 15-year sentence </w:t>
      </w:r>
      <w:r w:rsidR="00F03AB9" w:rsidRPr="00343B02">
        <w:t>f</w:t>
      </w:r>
      <w:r w:rsidR="00506870">
        <w:t>e</w:t>
      </w:r>
      <w:r w:rsidR="00F03AB9" w:rsidRPr="00343B02">
        <w:t xml:space="preserve">ll </w:t>
      </w:r>
      <w:r w:rsidRPr="00343B02">
        <w:t>within the upper limit impos</w:t>
      </w:r>
      <w:r w:rsidR="00506870">
        <w:t>able</w:t>
      </w:r>
      <w:r w:rsidRPr="00343B02">
        <w:t xml:space="preserve"> </w:t>
      </w:r>
      <w:r w:rsidR="00506870">
        <w:t>under</w:t>
      </w:r>
      <w:r w:rsidRPr="00343B02">
        <w:t xml:space="preserve"> th</w:t>
      </w:r>
      <w:r w:rsidR="00506870">
        <w:t>at</w:t>
      </w:r>
      <w:r w:rsidRPr="00343B02">
        <w:t xml:space="preserve"> </w:t>
      </w:r>
      <w:r w:rsidR="00F03AB9" w:rsidRPr="00343B02">
        <w:t>provision</w:t>
      </w:r>
      <w:r w:rsidRPr="00343B02">
        <w:t xml:space="preserve">. </w:t>
      </w:r>
    </w:p>
    <w:p w14:paraId="5642010F" w14:textId="77777777" w:rsidR="00B7389B" w:rsidRPr="00343B02" w:rsidRDefault="00B7389B" w:rsidP="00506870">
      <w:pPr>
        <w:pStyle w:val="SingleTxtG"/>
      </w:pPr>
      <w:r w:rsidRPr="00343B02">
        <w:t>4.4</w:t>
      </w:r>
      <w:r w:rsidRPr="00343B02">
        <w:tab/>
        <w:t xml:space="preserve">The author’s allegations regarding </w:t>
      </w:r>
      <w:r w:rsidR="00F03AB9" w:rsidRPr="00343B02">
        <w:t xml:space="preserve">the </w:t>
      </w:r>
      <w:r w:rsidRPr="00343B02">
        <w:t xml:space="preserve">violations of article 14 </w:t>
      </w:r>
      <w:r w:rsidR="00343B02">
        <w:t>(</w:t>
      </w:r>
      <w:r w:rsidRPr="00343B02">
        <w:t>5</w:t>
      </w:r>
      <w:r w:rsidR="00343B02">
        <w:t>)</w:t>
      </w:r>
      <w:r w:rsidRPr="00343B02">
        <w:t xml:space="preserve"> of the Covenant are also without merit. The courts considered the author’s appeal</w:t>
      </w:r>
      <w:r w:rsidR="00F03AB9" w:rsidRPr="00343B02">
        <w:t>s</w:t>
      </w:r>
      <w:r w:rsidRPr="00343B02">
        <w:t xml:space="preserve"> </w:t>
      </w:r>
      <w:r w:rsidR="00F03AB9" w:rsidRPr="00343B02">
        <w:t xml:space="preserve">both </w:t>
      </w:r>
      <w:r w:rsidRPr="00343B02">
        <w:t>in cassation and supervisory review procedures.</w:t>
      </w:r>
      <w:r w:rsidR="005C7E97" w:rsidRPr="00343B02">
        <w:t xml:space="preserve"> </w:t>
      </w:r>
    </w:p>
    <w:p w14:paraId="3D2F8E6A" w14:textId="77777777" w:rsidR="00B7389B" w:rsidRPr="00343B02" w:rsidRDefault="00B7389B" w:rsidP="00596740">
      <w:pPr>
        <w:pStyle w:val="SingleTxtG"/>
      </w:pPr>
      <w:r w:rsidRPr="00343B02">
        <w:t>4.5</w:t>
      </w:r>
      <w:r w:rsidRPr="00343B02">
        <w:tab/>
        <w:t xml:space="preserve">Regarding the author’s claims relating to articles 2 and 26 of the Covenant, the State party considers them </w:t>
      </w:r>
      <w:r w:rsidR="00F03AB9" w:rsidRPr="00343B02">
        <w:t xml:space="preserve">to be </w:t>
      </w:r>
      <w:r w:rsidRPr="00343B02">
        <w:t xml:space="preserve">unsubstantiated. The author has not presented any information regarding the alleged discrimination. The same is true for the author’s contentions regarding </w:t>
      </w:r>
      <w:r w:rsidR="00F03AB9" w:rsidRPr="00343B02">
        <w:t xml:space="preserve">the </w:t>
      </w:r>
      <w:r w:rsidRPr="00343B02">
        <w:t xml:space="preserve">alleged violations of article 9 </w:t>
      </w:r>
      <w:r w:rsidR="00F03AB9" w:rsidRPr="00343B02">
        <w:t>of the Covenant</w:t>
      </w:r>
      <w:r w:rsidRPr="00343B02">
        <w:t xml:space="preserve">. The author is serving a sentence pursuant to an order of </w:t>
      </w:r>
      <w:r w:rsidR="00F03AB9" w:rsidRPr="00343B02">
        <w:t xml:space="preserve">a </w:t>
      </w:r>
      <w:r w:rsidRPr="00343B02">
        <w:t xml:space="preserve">court, and thus, his imprisonment cannot be considered </w:t>
      </w:r>
      <w:r w:rsidR="00F03AB9" w:rsidRPr="00343B02">
        <w:t xml:space="preserve">to be </w:t>
      </w:r>
      <w:r w:rsidRPr="00343B02">
        <w:t xml:space="preserve">arbitrary. </w:t>
      </w:r>
    </w:p>
    <w:p w14:paraId="64775CE9" w14:textId="77777777" w:rsidR="00770F8E" w:rsidRPr="00343B02" w:rsidRDefault="004B44C6" w:rsidP="00596740">
      <w:pPr>
        <w:pStyle w:val="H23G"/>
      </w:pPr>
      <w:r w:rsidRPr="00343B02">
        <w:tab/>
      </w:r>
      <w:r w:rsidRPr="00343B02">
        <w:tab/>
        <w:t>Author’s comments on the State party’s observations</w:t>
      </w:r>
    </w:p>
    <w:p w14:paraId="52343FC5" w14:textId="77777777" w:rsidR="00B727CA" w:rsidRPr="00343B02" w:rsidRDefault="004B44C6" w:rsidP="00506870">
      <w:pPr>
        <w:pStyle w:val="SingleTxtG"/>
      </w:pPr>
      <w:r w:rsidRPr="00343B02">
        <w:t>5.1</w:t>
      </w:r>
      <w:r w:rsidRPr="00343B02">
        <w:tab/>
      </w:r>
      <w:r w:rsidR="00770F8E" w:rsidRPr="00343B02">
        <w:t xml:space="preserve">On </w:t>
      </w:r>
      <w:r w:rsidR="00216766" w:rsidRPr="00343B02">
        <w:t>6</w:t>
      </w:r>
      <w:r w:rsidR="00770F8E" w:rsidRPr="00343B02">
        <w:t xml:space="preserve"> </w:t>
      </w:r>
      <w:r w:rsidR="00216766" w:rsidRPr="00343B02">
        <w:t>September</w:t>
      </w:r>
      <w:r w:rsidR="00770F8E" w:rsidRPr="00343B02">
        <w:t xml:space="preserve"> 2011, the author </w:t>
      </w:r>
      <w:r w:rsidR="00216766" w:rsidRPr="00343B02">
        <w:t>submit</w:t>
      </w:r>
      <w:r w:rsidR="00506870">
        <w:t>ted</w:t>
      </w:r>
      <w:r w:rsidR="00216766" w:rsidRPr="00343B02">
        <w:t xml:space="preserve"> that under the amendment to the Criminal Code, the courts ha</w:t>
      </w:r>
      <w:r w:rsidR="00506870">
        <w:t>d</w:t>
      </w:r>
      <w:r w:rsidR="00216766" w:rsidRPr="00343B02">
        <w:t xml:space="preserve"> worsened his position compared to his initial sentence, thus violating the </w:t>
      </w:r>
      <w:r w:rsidR="00506870">
        <w:t>provisions</w:t>
      </w:r>
      <w:r w:rsidR="00216766" w:rsidRPr="00343B02">
        <w:t xml:space="preserve"> of article 15 </w:t>
      </w:r>
      <w:r w:rsidR="00343B02">
        <w:t>(</w:t>
      </w:r>
      <w:r w:rsidR="00216766" w:rsidRPr="00343B02">
        <w:t>1</w:t>
      </w:r>
      <w:r w:rsidR="00343B02">
        <w:t>)</w:t>
      </w:r>
      <w:r w:rsidR="00216766" w:rsidRPr="00343B02">
        <w:t xml:space="preserve"> of the Covenant. While during his initial sentencing, the court used the “partial addition” rules </w:t>
      </w:r>
      <w:r w:rsidR="00506870">
        <w:t>t</w:t>
      </w:r>
      <w:r w:rsidR="00216766" w:rsidRPr="00343B02">
        <w:t>o calculat</w:t>
      </w:r>
      <w:r w:rsidR="00506870">
        <w:t>e</w:t>
      </w:r>
      <w:r w:rsidR="00E403D7" w:rsidRPr="00343B02">
        <w:t xml:space="preserve"> his sentence, the new ruling dated 26 May 2004 used the full addition rules. </w:t>
      </w:r>
    </w:p>
    <w:p w14:paraId="397F3C56" w14:textId="77777777" w:rsidR="00E403D7" w:rsidRPr="00343B02" w:rsidRDefault="00E403D7" w:rsidP="00506870">
      <w:pPr>
        <w:pStyle w:val="SingleTxtG"/>
      </w:pPr>
      <w:r w:rsidRPr="00343B02">
        <w:t>5.2</w:t>
      </w:r>
      <w:r w:rsidRPr="00343B02">
        <w:tab/>
        <w:t>The author claims that</w:t>
      </w:r>
      <w:r w:rsidR="00506870">
        <w:t>,</w:t>
      </w:r>
      <w:r w:rsidRPr="00343B02">
        <w:t xml:space="preserve"> in accordance with article 9 </w:t>
      </w:r>
      <w:r w:rsidR="00343B02">
        <w:t>(</w:t>
      </w:r>
      <w:r w:rsidRPr="00343B02">
        <w:t>5</w:t>
      </w:r>
      <w:r w:rsidR="00343B02">
        <w:t>)</w:t>
      </w:r>
      <w:r w:rsidRPr="00343B02">
        <w:t xml:space="preserve"> of the Covenant and </w:t>
      </w:r>
      <w:r w:rsidR="00F03AB9" w:rsidRPr="00343B02">
        <w:t xml:space="preserve">the </w:t>
      </w:r>
      <w:r w:rsidR="008D45A7" w:rsidRPr="00343B02">
        <w:t>provisions of Federal L</w:t>
      </w:r>
      <w:r w:rsidRPr="00343B02">
        <w:t xml:space="preserve">aw No. 68 dated 30 April 2010, he has an enforceable right to </w:t>
      </w:r>
      <w:r w:rsidR="00A633F1" w:rsidRPr="00343B02">
        <w:t>compensation</w:t>
      </w:r>
      <w:r w:rsidRPr="00343B02">
        <w:t xml:space="preserve"> as a victim of arbitrary detention by </w:t>
      </w:r>
      <w:r w:rsidR="00F03AB9" w:rsidRPr="00343B02">
        <w:t>the</w:t>
      </w:r>
      <w:r w:rsidRPr="00343B02">
        <w:t xml:space="preserve"> State party. </w:t>
      </w:r>
    </w:p>
    <w:p w14:paraId="613A8BED" w14:textId="77777777" w:rsidR="006A6E38" w:rsidRPr="00343B02" w:rsidRDefault="00A633F1" w:rsidP="00506870">
      <w:pPr>
        <w:pStyle w:val="SingleTxtG"/>
      </w:pPr>
      <w:r w:rsidRPr="00343B02">
        <w:t>5.3</w:t>
      </w:r>
      <w:r w:rsidRPr="00343B02">
        <w:tab/>
        <w:t xml:space="preserve">The author submits that his rights to appeal </w:t>
      </w:r>
      <w:r w:rsidR="00F03AB9" w:rsidRPr="00343B02">
        <w:t xml:space="preserve">against </w:t>
      </w:r>
      <w:r w:rsidRPr="00343B02">
        <w:t xml:space="preserve">court decisions were also violated. He argues that </w:t>
      </w:r>
      <w:r w:rsidR="002E6668" w:rsidRPr="00343B02">
        <w:t xml:space="preserve">instead of rejecting his supervisory review requests, the Supreme Court should have considered them on </w:t>
      </w:r>
      <w:r w:rsidR="00506870">
        <w:t xml:space="preserve">the </w:t>
      </w:r>
      <w:r w:rsidR="002E6668" w:rsidRPr="00343B02">
        <w:t xml:space="preserve">merits. </w:t>
      </w:r>
    </w:p>
    <w:p w14:paraId="1E16F764" w14:textId="77777777" w:rsidR="00A633F1" w:rsidRPr="00343B02" w:rsidRDefault="006A6E38">
      <w:pPr>
        <w:pStyle w:val="SingleTxtG"/>
      </w:pPr>
      <w:r w:rsidRPr="00343B02">
        <w:t>5.4</w:t>
      </w:r>
      <w:r w:rsidRPr="00343B02">
        <w:tab/>
        <w:t xml:space="preserve">In </w:t>
      </w:r>
      <w:r w:rsidR="00F03AB9" w:rsidRPr="00343B02">
        <w:t>a</w:t>
      </w:r>
      <w:r w:rsidR="00906F42">
        <w:t>n additional</w:t>
      </w:r>
      <w:r w:rsidRPr="00343B02">
        <w:t xml:space="preserve"> submission</w:t>
      </w:r>
      <w:r w:rsidR="00506870">
        <w:t xml:space="preserve"> dated</w:t>
      </w:r>
      <w:r w:rsidR="00F03AB9" w:rsidRPr="00343B02">
        <w:t xml:space="preserve"> </w:t>
      </w:r>
      <w:r w:rsidRPr="00343B02">
        <w:t>15 January 2</w:t>
      </w:r>
      <w:r w:rsidR="00F408D9" w:rsidRPr="00343B02">
        <w:t>0</w:t>
      </w:r>
      <w:r w:rsidRPr="00343B02">
        <w:t xml:space="preserve">13, the author </w:t>
      </w:r>
      <w:r w:rsidR="00ED6F49">
        <w:t>indicated</w:t>
      </w:r>
      <w:r w:rsidRPr="00343B02">
        <w:t xml:space="preserve"> that on </w:t>
      </w:r>
      <w:r w:rsidR="002716E5" w:rsidRPr="00343B02">
        <w:t>29 November 2012</w:t>
      </w:r>
      <w:r w:rsidRPr="00343B02">
        <w:t xml:space="preserve">, Zabaikalsk Regional Court, acting </w:t>
      </w:r>
      <w:r w:rsidR="00F408D9" w:rsidRPr="00343B02">
        <w:t>upon a</w:t>
      </w:r>
      <w:r w:rsidRPr="00343B02">
        <w:t xml:space="preserve"> request by the prosecutor’s office, reduced the author’s sentence to 14 years and 10 months</w:t>
      </w:r>
      <w:r w:rsidR="00B25AC8">
        <w:t>’</w:t>
      </w:r>
      <w:r w:rsidRPr="00343B02">
        <w:t xml:space="preserve"> imprisonment. Zabaikalsk Regional Court based its decision on the </w:t>
      </w:r>
      <w:r w:rsidR="00ED6F49">
        <w:t>o</w:t>
      </w:r>
      <w:r w:rsidRPr="00343B02">
        <w:t xml:space="preserve">rder </w:t>
      </w:r>
      <w:r w:rsidR="00ED6F49" w:rsidRPr="00343B02">
        <w:t>of 20 April 2006</w:t>
      </w:r>
      <w:r w:rsidR="00ED6F49">
        <w:t xml:space="preserve"> </w:t>
      </w:r>
      <w:r w:rsidRPr="00343B02">
        <w:t xml:space="preserve">of the Constitutional Court of the Russian Federation. </w:t>
      </w:r>
      <w:r w:rsidR="00B67C3E" w:rsidRPr="00343B02">
        <w:t>Th</w:t>
      </w:r>
      <w:r w:rsidR="00ED6F49">
        <w:t>at</w:t>
      </w:r>
      <w:r w:rsidR="00B67C3E" w:rsidRPr="00343B02">
        <w:t xml:space="preserve"> order establishes that </w:t>
      </w:r>
      <w:r w:rsidR="00ED6F49">
        <w:t>a</w:t>
      </w:r>
      <w:r w:rsidR="00B67C3E" w:rsidRPr="00343B02">
        <w:t xml:space="preserve"> law that improves </w:t>
      </w:r>
      <w:r w:rsidR="00ED6F49">
        <w:t>a</w:t>
      </w:r>
      <w:r w:rsidR="00B67C3E" w:rsidRPr="00343B02">
        <w:t xml:space="preserve"> convicted person’s status should be applied in every case. In applying th</w:t>
      </w:r>
      <w:r w:rsidR="00ED6F49">
        <w:t>at</w:t>
      </w:r>
      <w:r w:rsidR="00B67C3E" w:rsidRPr="00343B02">
        <w:t xml:space="preserve"> rule, the court can lower the lowest or highest possible sentence, or annul certain aggravating circumstances that would affect the sentence. </w:t>
      </w:r>
    </w:p>
    <w:p w14:paraId="721D6734" w14:textId="77777777" w:rsidR="00B67C3E" w:rsidRPr="00343B02" w:rsidRDefault="00B67C3E" w:rsidP="00197E9E">
      <w:pPr>
        <w:pStyle w:val="SingleTxtG"/>
      </w:pPr>
      <w:r w:rsidRPr="00343B02">
        <w:t>5.5</w:t>
      </w:r>
      <w:r w:rsidRPr="00343B02">
        <w:tab/>
      </w:r>
      <w:r w:rsidR="00667B14" w:rsidRPr="00343B02">
        <w:t>Zabaikalsk Regional Court decided to lower the initial sentence imposed on the author</w:t>
      </w:r>
      <w:r w:rsidR="00F03AB9" w:rsidRPr="00343B02">
        <w:t xml:space="preserve"> </w:t>
      </w:r>
      <w:r w:rsidR="00667B14" w:rsidRPr="00343B02">
        <w:t>relat</w:t>
      </w:r>
      <w:r w:rsidR="00F03AB9" w:rsidRPr="00343B02">
        <w:t>ing</w:t>
      </w:r>
      <w:r w:rsidR="00667B14" w:rsidRPr="00343B02">
        <w:t xml:space="preserve"> to charges under article</w:t>
      </w:r>
      <w:r w:rsidR="00197E9E">
        <w:t>s</w:t>
      </w:r>
      <w:r w:rsidR="00667B14" w:rsidRPr="00343B02">
        <w:t xml:space="preserve"> 131 and </w:t>
      </w:r>
      <w:r w:rsidR="00F408D9" w:rsidRPr="00343B02">
        <w:t>132 of the Criminal Code</w:t>
      </w:r>
      <w:r w:rsidR="00F03AB9" w:rsidRPr="00343B02">
        <w:t>. His sentence</w:t>
      </w:r>
      <w:r w:rsidR="00197E9E">
        <w:t>s</w:t>
      </w:r>
      <w:r w:rsidR="00F03AB9" w:rsidRPr="00343B02">
        <w:t xml:space="preserve"> in th</w:t>
      </w:r>
      <w:r w:rsidR="00197E9E">
        <w:t>at</w:t>
      </w:r>
      <w:r w:rsidR="00F03AB9" w:rsidRPr="00343B02">
        <w:t xml:space="preserve"> </w:t>
      </w:r>
      <w:r w:rsidR="00197E9E">
        <w:t>regard</w:t>
      </w:r>
      <w:r w:rsidR="00F03AB9" w:rsidRPr="00343B02">
        <w:t xml:space="preserve"> </w:t>
      </w:r>
      <w:r w:rsidR="00F408D9" w:rsidRPr="00343B02">
        <w:t>w</w:t>
      </w:r>
      <w:r w:rsidR="00197E9E">
        <w:t>ere</w:t>
      </w:r>
      <w:r w:rsidR="00667B14" w:rsidRPr="00343B02">
        <w:t xml:space="preserve"> reduced to 6 years </w:t>
      </w:r>
      <w:r w:rsidR="00197E9E">
        <w:t xml:space="preserve">and </w:t>
      </w:r>
      <w:r w:rsidR="00667B14" w:rsidRPr="00343B02">
        <w:t xml:space="preserve">11 months each. </w:t>
      </w:r>
      <w:r w:rsidR="00F408D9" w:rsidRPr="00343B02">
        <w:t>By adding th</w:t>
      </w:r>
      <w:r w:rsidR="00197E9E">
        <w:t>o</w:t>
      </w:r>
      <w:r w:rsidR="00F408D9" w:rsidRPr="00343B02">
        <w:t>se two reduced sentences</w:t>
      </w:r>
      <w:r w:rsidR="00667B14" w:rsidRPr="00343B02">
        <w:t xml:space="preserve">, the court </w:t>
      </w:r>
      <w:r w:rsidR="00197E9E">
        <w:t xml:space="preserve">amended the author’s </w:t>
      </w:r>
      <w:r w:rsidR="00667B14" w:rsidRPr="00343B02">
        <w:t xml:space="preserve">sentence to </w:t>
      </w:r>
      <w:r w:rsidR="00F03AB9" w:rsidRPr="00343B02">
        <w:t xml:space="preserve">a total of </w:t>
      </w:r>
      <w:r w:rsidR="00667B14" w:rsidRPr="00343B02">
        <w:t xml:space="preserve">14 years </w:t>
      </w:r>
      <w:r w:rsidR="00197E9E">
        <w:t xml:space="preserve">and </w:t>
      </w:r>
      <w:r w:rsidR="00667B14" w:rsidRPr="00343B02">
        <w:t xml:space="preserve">10 months of imprisonment. </w:t>
      </w:r>
    </w:p>
    <w:p w14:paraId="6D0D38B7" w14:textId="77777777" w:rsidR="002716E5" w:rsidRPr="00343B02" w:rsidRDefault="002716E5" w:rsidP="00197E9E">
      <w:pPr>
        <w:pStyle w:val="SingleTxtG"/>
      </w:pPr>
      <w:r w:rsidRPr="00343B02">
        <w:t>5.6</w:t>
      </w:r>
      <w:r w:rsidRPr="00343B02">
        <w:tab/>
        <w:t>The author submits that he disagrees with th</w:t>
      </w:r>
      <w:r w:rsidR="00197E9E">
        <w:t>at</w:t>
      </w:r>
      <w:r w:rsidRPr="00343B02">
        <w:t xml:space="preserve"> decision, and that based on his previous reasoning, his overall sentence should have been reduced to 9 years</w:t>
      </w:r>
      <w:r w:rsidR="00197E9E">
        <w:t>’</w:t>
      </w:r>
      <w:r w:rsidRPr="00343B02">
        <w:t xml:space="preserve"> imprisonment. </w:t>
      </w:r>
      <w:r w:rsidR="00F03AB9" w:rsidRPr="00343B02">
        <w:t xml:space="preserve">He </w:t>
      </w:r>
      <w:r w:rsidR="0085056A" w:rsidRPr="00343B02">
        <w:t>argues that the State party</w:t>
      </w:r>
      <w:r w:rsidR="00F03AB9" w:rsidRPr="00343B02">
        <w:t>’s</w:t>
      </w:r>
      <w:r w:rsidR="0085056A" w:rsidRPr="00343B02">
        <w:t xml:space="preserve"> </w:t>
      </w:r>
      <w:r w:rsidR="00F03AB9" w:rsidRPr="00343B02">
        <w:t xml:space="preserve">authorities </w:t>
      </w:r>
      <w:r w:rsidR="0085056A" w:rsidRPr="00343B02">
        <w:t xml:space="preserve">refuse to </w:t>
      </w:r>
      <w:r w:rsidR="00F03AB9" w:rsidRPr="00343B02">
        <w:t xml:space="preserve">modify </w:t>
      </w:r>
      <w:r w:rsidR="0085056A" w:rsidRPr="00343B02">
        <w:t>his sentence to 9 years because if t</w:t>
      </w:r>
      <w:r w:rsidR="00F03AB9" w:rsidRPr="00343B02">
        <w:t>hey</w:t>
      </w:r>
      <w:r w:rsidR="0085056A" w:rsidRPr="00343B02">
        <w:t xml:space="preserve"> do so, </w:t>
      </w:r>
      <w:r w:rsidR="009A0444" w:rsidRPr="00343B02">
        <w:t>they</w:t>
      </w:r>
      <w:r w:rsidR="0085056A" w:rsidRPr="00343B02">
        <w:t xml:space="preserve"> will have to pay </w:t>
      </w:r>
      <w:r w:rsidR="00197E9E">
        <w:t xml:space="preserve">him </w:t>
      </w:r>
      <w:r w:rsidR="0085056A" w:rsidRPr="00343B02">
        <w:t>compensation for damages</w:t>
      </w:r>
      <w:r w:rsidR="00596740" w:rsidRPr="00343B02">
        <w:t>.</w:t>
      </w:r>
      <w:r w:rsidR="0085056A" w:rsidRPr="00343B02">
        <w:t xml:space="preserve"> </w:t>
      </w:r>
    </w:p>
    <w:p w14:paraId="2F45A404" w14:textId="77777777" w:rsidR="0085056A" w:rsidRPr="00343B02" w:rsidRDefault="0085056A" w:rsidP="00197E9E">
      <w:pPr>
        <w:pStyle w:val="SingleTxtG"/>
      </w:pPr>
      <w:r w:rsidRPr="00343B02">
        <w:t>5.7</w:t>
      </w:r>
      <w:r w:rsidRPr="00343B02">
        <w:tab/>
        <w:t>The author subsequently tried to appeal th</w:t>
      </w:r>
      <w:r w:rsidR="00197E9E">
        <w:t>at</w:t>
      </w:r>
      <w:r w:rsidRPr="00343B02">
        <w:t xml:space="preserve"> latest court decision </w:t>
      </w:r>
      <w:r w:rsidR="00197E9E">
        <w:t>before</w:t>
      </w:r>
      <w:r w:rsidRPr="00343B02">
        <w:t xml:space="preserve"> the prosecutor’s office of </w:t>
      </w:r>
      <w:r w:rsidR="00197E9E">
        <w:t xml:space="preserve">the </w:t>
      </w:r>
      <w:r w:rsidRPr="00343B02">
        <w:t xml:space="preserve">Zabaikalsk region, the </w:t>
      </w:r>
      <w:r w:rsidR="00F03AB9" w:rsidRPr="00343B02">
        <w:t xml:space="preserve">Court of the </w:t>
      </w:r>
      <w:r w:rsidRPr="00343B02">
        <w:t>Chernishevsky District</w:t>
      </w:r>
      <w:r w:rsidR="00596740" w:rsidRPr="00343B02">
        <w:t>,</w:t>
      </w:r>
      <w:r w:rsidR="00F408D9" w:rsidRPr="00343B02">
        <w:t xml:space="preserve"> the Supreme Court and the Constitutional Court of the Russian Federation. All his appeals were rejected. </w:t>
      </w:r>
    </w:p>
    <w:p w14:paraId="1DB1F7B6" w14:textId="77777777" w:rsidR="00B67C3E" w:rsidRPr="00343B02" w:rsidRDefault="009A48B2" w:rsidP="00197E9E">
      <w:pPr>
        <w:pStyle w:val="SingleTxtG"/>
      </w:pPr>
      <w:r w:rsidRPr="00343B02">
        <w:t>5.8</w:t>
      </w:r>
      <w:r w:rsidRPr="00343B02">
        <w:tab/>
        <w:t xml:space="preserve">The author submits that on 5 July 2013, he was released from prison. On 26 June 2013, by the decision </w:t>
      </w:r>
      <w:r w:rsidR="00F03AB9" w:rsidRPr="00343B02">
        <w:t xml:space="preserve">of the Court </w:t>
      </w:r>
      <w:r w:rsidRPr="00343B02">
        <w:t>of the Nerchinsky District, he was placed on administrative supervision for the period of 6 years. According to th</w:t>
      </w:r>
      <w:r w:rsidR="00197E9E">
        <w:t>at</w:t>
      </w:r>
      <w:r w:rsidRPr="00343B02">
        <w:t xml:space="preserve"> court decision, the author ha</w:t>
      </w:r>
      <w:r w:rsidR="00197E9E">
        <w:t>s</w:t>
      </w:r>
      <w:r w:rsidRPr="00343B02">
        <w:t xml:space="preserve"> to report to the local police station in the place </w:t>
      </w:r>
      <w:r w:rsidR="00C44D88" w:rsidRPr="00343B02">
        <w:t>of his</w:t>
      </w:r>
      <w:r w:rsidRPr="00343B02">
        <w:t xml:space="preserve"> residence</w:t>
      </w:r>
      <w:r w:rsidR="00FD5528" w:rsidRPr="00343B02">
        <w:t xml:space="preserve"> twice a month</w:t>
      </w:r>
      <w:r w:rsidRPr="00343B02">
        <w:t xml:space="preserve">, </w:t>
      </w:r>
      <w:r w:rsidR="00C44D88" w:rsidRPr="00343B02">
        <w:t xml:space="preserve">and he </w:t>
      </w:r>
      <w:r w:rsidR="00F03AB9" w:rsidRPr="00343B02">
        <w:t xml:space="preserve">is </w:t>
      </w:r>
      <w:r w:rsidR="00C44D88" w:rsidRPr="00343B02">
        <w:t>not allowed to leave the cit</w:t>
      </w:r>
      <w:r w:rsidR="00FD5528" w:rsidRPr="00343B02">
        <w:t xml:space="preserve">y limits </w:t>
      </w:r>
      <w:r w:rsidR="00197E9E">
        <w:t>of</w:t>
      </w:r>
      <w:r w:rsidR="00FD5528" w:rsidRPr="00343B02">
        <w:t xml:space="preserve"> the city of Kansk in</w:t>
      </w:r>
      <w:r w:rsidR="00C44D88" w:rsidRPr="00343B02">
        <w:t xml:space="preserve"> </w:t>
      </w:r>
      <w:r w:rsidR="00197E9E">
        <w:t xml:space="preserve">the </w:t>
      </w:r>
      <w:r w:rsidR="00C44D88" w:rsidRPr="00343B02">
        <w:t>Krasnoyarsk region</w:t>
      </w:r>
      <w:r w:rsidR="00596740" w:rsidRPr="00343B02">
        <w:t>.</w:t>
      </w:r>
      <w:r w:rsidR="00C44D88" w:rsidRPr="00343B02">
        <w:t xml:space="preserve"> </w:t>
      </w:r>
    </w:p>
    <w:p w14:paraId="4F78B4D1" w14:textId="77777777" w:rsidR="00CA776F" w:rsidRPr="00343B02" w:rsidRDefault="00596740" w:rsidP="00906F42">
      <w:pPr>
        <w:pStyle w:val="H23G"/>
      </w:pPr>
      <w:r w:rsidRPr="00343B02">
        <w:tab/>
      </w:r>
      <w:r w:rsidRPr="00343B02">
        <w:tab/>
      </w:r>
      <w:r w:rsidR="00CA776F" w:rsidRPr="00343B02">
        <w:t xml:space="preserve">State party’s </w:t>
      </w:r>
      <w:r w:rsidR="00906F42">
        <w:t>additional</w:t>
      </w:r>
      <w:r w:rsidR="00CA776F" w:rsidRPr="00343B02">
        <w:t xml:space="preserve"> submissions</w:t>
      </w:r>
    </w:p>
    <w:p w14:paraId="64BD9C80" w14:textId="77777777" w:rsidR="00CA776F" w:rsidRPr="00343B02" w:rsidRDefault="00CA776F">
      <w:pPr>
        <w:pStyle w:val="SingleTxtG"/>
      </w:pPr>
      <w:r w:rsidRPr="00343B02">
        <w:t>6.1</w:t>
      </w:r>
      <w:r w:rsidRPr="00343B02">
        <w:tab/>
      </w:r>
      <w:r w:rsidR="00FF7F94" w:rsidRPr="00343B02">
        <w:t>By n</w:t>
      </w:r>
      <w:r w:rsidRPr="00343B02">
        <w:t xml:space="preserve">ote </w:t>
      </w:r>
      <w:r w:rsidR="00FF7F94" w:rsidRPr="00343B02">
        <w:t>ve</w:t>
      </w:r>
      <w:r w:rsidRPr="00343B02">
        <w:t xml:space="preserve">rbale </w:t>
      </w:r>
      <w:r w:rsidR="00FF7F94" w:rsidRPr="00343B02">
        <w:t xml:space="preserve">of </w:t>
      </w:r>
      <w:r w:rsidRPr="00343B02">
        <w:t xml:space="preserve">23 May 2013, </w:t>
      </w:r>
      <w:r w:rsidR="00FF7F94" w:rsidRPr="00343B02">
        <w:t xml:space="preserve">the State party reiterated </w:t>
      </w:r>
      <w:r w:rsidRPr="00343B02">
        <w:t xml:space="preserve">that </w:t>
      </w:r>
      <w:r w:rsidR="00906F42">
        <w:t>t</w:t>
      </w:r>
      <w:r w:rsidRPr="00343B02">
        <w:t>he author’s claims are without merit, and that the State party</w:t>
      </w:r>
      <w:r w:rsidR="00FF7F94" w:rsidRPr="00343B02">
        <w:t xml:space="preserve">’s authorities </w:t>
      </w:r>
      <w:r w:rsidRPr="00343B02">
        <w:t>did not violate any domestic law or its international obligations. The final sentence of 14 years and 10 months</w:t>
      </w:r>
      <w:r w:rsidR="00906F42">
        <w:t>,</w:t>
      </w:r>
      <w:r w:rsidRPr="00343B02">
        <w:t xml:space="preserve"> </w:t>
      </w:r>
      <w:r w:rsidR="00FF7F94" w:rsidRPr="00343B02">
        <w:t xml:space="preserve">as </w:t>
      </w:r>
      <w:r w:rsidRPr="00343B02">
        <w:t>set by Zabaikalsk Regional Court</w:t>
      </w:r>
      <w:r w:rsidR="00906F42">
        <w:t>,</w:t>
      </w:r>
      <w:r w:rsidRPr="00343B02">
        <w:t xml:space="preserve"> reflects the requirements of </w:t>
      </w:r>
      <w:r w:rsidR="00FF7F94" w:rsidRPr="00343B02">
        <w:t xml:space="preserve">all </w:t>
      </w:r>
      <w:r w:rsidR="00906F42">
        <w:t xml:space="preserve">the </w:t>
      </w:r>
      <w:r w:rsidRPr="00343B02">
        <w:t xml:space="preserve">changes that </w:t>
      </w:r>
      <w:r w:rsidR="008D45A7" w:rsidRPr="00343B02">
        <w:t xml:space="preserve">were introduced </w:t>
      </w:r>
      <w:r w:rsidR="00906F42">
        <w:t>under</w:t>
      </w:r>
      <w:r w:rsidR="008D45A7" w:rsidRPr="00343B02">
        <w:t xml:space="preserve"> Federal L</w:t>
      </w:r>
      <w:r w:rsidRPr="00343B02">
        <w:t>aw No. 162. Th</w:t>
      </w:r>
      <w:r w:rsidR="00906F42">
        <w:t>e</w:t>
      </w:r>
      <w:r w:rsidRPr="00343B02">
        <w:t xml:space="preserve"> </w:t>
      </w:r>
      <w:r w:rsidR="00906F42">
        <w:t xml:space="preserve">court </w:t>
      </w:r>
      <w:r w:rsidRPr="00343B02">
        <w:t xml:space="preserve">decision was based on the </w:t>
      </w:r>
      <w:r w:rsidR="00906F42">
        <w:t>o</w:t>
      </w:r>
      <w:r w:rsidRPr="00343B02">
        <w:t xml:space="preserve">rder </w:t>
      </w:r>
      <w:r w:rsidR="00906F42" w:rsidRPr="00343B02">
        <w:t>of 20 April 2006</w:t>
      </w:r>
      <w:r w:rsidR="00906F42">
        <w:t xml:space="preserve"> </w:t>
      </w:r>
      <w:r w:rsidRPr="00343B02">
        <w:t xml:space="preserve">of the Constitutional Court of the Russian Federation. </w:t>
      </w:r>
    </w:p>
    <w:p w14:paraId="5929CDE3" w14:textId="77777777" w:rsidR="00CA776F" w:rsidRPr="00343B02" w:rsidRDefault="00CA776F" w:rsidP="00906F42">
      <w:pPr>
        <w:pStyle w:val="SingleTxtG"/>
      </w:pPr>
      <w:r w:rsidRPr="00343B02">
        <w:t>6.2</w:t>
      </w:r>
      <w:r w:rsidRPr="00343B02">
        <w:tab/>
        <w:t xml:space="preserve">The Supreme Court of the Russian </w:t>
      </w:r>
      <w:r w:rsidR="009A48B2" w:rsidRPr="00343B02">
        <w:t>Federation</w:t>
      </w:r>
      <w:r w:rsidR="00FF7F94" w:rsidRPr="00343B02">
        <w:t>,</w:t>
      </w:r>
      <w:r w:rsidRPr="00343B02">
        <w:t xml:space="preserve"> </w:t>
      </w:r>
      <w:r w:rsidR="009A48B2" w:rsidRPr="00343B02">
        <w:t xml:space="preserve">by </w:t>
      </w:r>
      <w:r w:rsidRPr="00343B02">
        <w:t>reject</w:t>
      </w:r>
      <w:r w:rsidR="00906F42">
        <w:t>ing</w:t>
      </w:r>
      <w:r w:rsidRPr="00343B02">
        <w:t xml:space="preserve"> the author’s supervisory revi</w:t>
      </w:r>
      <w:r w:rsidR="009A48B2" w:rsidRPr="00343B02">
        <w:t>ew request on 13 February 2013, acted within its authority and in accordance with the legislation</w:t>
      </w:r>
      <w:r w:rsidR="00596740" w:rsidRPr="00343B02">
        <w:t>.</w:t>
      </w:r>
      <w:r w:rsidR="009A48B2" w:rsidRPr="00343B02">
        <w:rPr>
          <w:rStyle w:val="FootnoteReference"/>
        </w:rPr>
        <w:footnoteReference w:id="11"/>
      </w:r>
      <w:r w:rsidR="009A48B2" w:rsidRPr="00343B02">
        <w:t xml:space="preserve"> </w:t>
      </w:r>
    </w:p>
    <w:p w14:paraId="33CC732E" w14:textId="77777777" w:rsidR="004B44C6" w:rsidRPr="00343B02" w:rsidRDefault="004B44C6" w:rsidP="00596740">
      <w:pPr>
        <w:pStyle w:val="H23G"/>
      </w:pPr>
      <w:r w:rsidRPr="00343B02">
        <w:tab/>
      </w:r>
      <w:r w:rsidRPr="00343B02">
        <w:tab/>
        <w:t xml:space="preserve">Issues and </w:t>
      </w:r>
      <w:r w:rsidRPr="00BD316C">
        <w:t>proceedings before</w:t>
      </w:r>
      <w:r w:rsidRPr="00343B02">
        <w:t xml:space="preserve"> the Committee</w:t>
      </w:r>
    </w:p>
    <w:p w14:paraId="456B6CE6" w14:textId="77777777" w:rsidR="004B44C6" w:rsidRPr="00343B02" w:rsidRDefault="004B44C6" w:rsidP="00596740">
      <w:pPr>
        <w:pStyle w:val="H4G"/>
      </w:pPr>
      <w:r w:rsidRPr="00343B02">
        <w:tab/>
      </w:r>
      <w:r w:rsidRPr="00343B02">
        <w:tab/>
        <w:t>Consideration of admissibility</w:t>
      </w:r>
    </w:p>
    <w:p w14:paraId="453D8E71" w14:textId="77777777" w:rsidR="0090563A" w:rsidRPr="00343B02" w:rsidRDefault="004B44C6" w:rsidP="00906F42">
      <w:pPr>
        <w:pStyle w:val="SingleTxtG"/>
      </w:pPr>
      <w:r w:rsidRPr="00343B02">
        <w:t>7.1</w:t>
      </w:r>
      <w:r w:rsidRPr="00343B02">
        <w:tab/>
      </w:r>
      <w:r w:rsidR="0090563A" w:rsidRPr="00343B02">
        <w:t>Before considering any claim contained in a communication, the Human Rights Committee must</w:t>
      </w:r>
      <w:r w:rsidR="00906F42">
        <w:t xml:space="preserve"> decide</w:t>
      </w:r>
      <w:r w:rsidR="0090563A" w:rsidRPr="00343B02">
        <w:t xml:space="preserve">, in accordance with rule 93 of its rules of procedure, whether </w:t>
      </w:r>
      <w:r w:rsidR="00906F42">
        <w:t>the communication</w:t>
      </w:r>
      <w:r w:rsidR="0090563A" w:rsidRPr="00343B02">
        <w:t xml:space="preserve"> is admissible under the Optional Protocol to the Covenant.</w:t>
      </w:r>
    </w:p>
    <w:p w14:paraId="658E6B8D" w14:textId="77777777" w:rsidR="00206E35" w:rsidRPr="00343B02" w:rsidRDefault="0090563A" w:rsidP="00906F42">
      <w:pPr>
        <w:pStyle w:val="SingleTxtG"/>
        <w:rPr>
          <w:lang w:bidi="he-IL"/>
        </w:rPr>
      </w:pPr>
      <w:r w:rsidRPr="00A808EF">
        <w:t>7.2</w:t>
      </w:r>
      <w:r w:rsidRPr="00343B02">
        <w:tab/>
      </w:r>
      <w:r w:rsidR="00906F42">
        <w:t>A</w:t>
      </w:r>
      <w:r w:rsidRPr="00343B02">
        <w:t xml:space="preserve">s required under article 5 </w:t>
      </w:r>
      <w:r w:rsidR="00343B02">
        <w:t>(</w:t>
      </w:r>
      <w:r w:rsidRPr="00343B02">
        <w:t>2</w:t>
      </w:r>
      <w:r w:rsidR="00343B02">
        <w:t>)</w:t>
      </w:r>
      <w:r w:rsidRPr="00343B02">
        <w:t xml:space="preserve"> (a) of the Optional Protocol, </w:t>
      </w:r>
      <w:r w:rsidR="00906F42">
        <w:t>t</w:t>
      </w:r>
      <w:r w:rsidR="00906F42" w:rsidRPr="00343B02">
        <w:t xml:space="preserve">he Committee has ascertained </w:t>
      </w:r>
      <w:r w:rsidRPr="00343B02">
        <w:t>that the same matter is not being examined under another procedure of international investigation or settlement</w:t>
      </w:r>
      <w:r w:rsidR="00206E35" w:rsidRPr="00343B02">
        <w:rPr>
          <w:lang w:bidi="he-IL"/>
        </w:rPr>
        <w:t>.</w:t>
      </w:r>
    </w:p>
    <w:p w14:paraId="23C0ECA5" w14:textId="77777777" w:rsidR="0090563A" w:rsidRPr="00343B02" w:rsidRDefault="00206E35" w:rsidP="00343B02">
      <w:pPr>
        <w:pStyle w:val="SingleTxtG"/>
      </w:pPr>
      <w:r w:rsidRPr="00343B02">
        <w:rPr>
          <w:lang w:bidi="he-IL"/>
        </w:rPr>
        <w:t>7.3</w:t>
      </w:r>
      <w:r w:rsidRPr="00343B02">
        <w:rPr>
          <w:lang w:bidi="he-IL"/>
        </w:rPr>
        <w:tab/>
      </w:r>
      <w:r w:rsidRPr="00343B02">
        <w:rPr>
          <w:color w:val="000000"/>
          <w:lang w:eastAsia="en-GB"/>
        </w:rPr>
        <w:t xml:space="preserve">The Committee takes note of the author’s claim that he has exhausted all effective domestic remedies available to him. In the absence of any objection by the State party in this connection, the Committee considers that the requirements of article 5 </w:t>
      </w:r>
      <w:r w:rsidR="00343B02">
        <w:rPr>
          <w:color w:val="000000"/>
          <w:lang w:eastAsia="en-GB"/>
        </w:rPr>
        <w:t>(</w:t>
      </w:r>
      <w:r w:rsidRPr="00343B02">
        <w:rPr>
          <w:color w:val="000000"/>
          <w:lang w:eastAsia="en-GB"/>
        </w:rPr>
        <w:t>2</w:t>
      </w:r>
      <w:r w:rsidR="00343B02">
        <w:rPr>
          <w:color w:val="000000"/>
          <w:lang w:eastAsia="en-GB"/>
        </w:rPr>
        <w:t>)</w:t>
      </w:r>
      <w:r w:rsidRPr="00343B02">
        <w:rPr>
          <w:color w:val="000000"/>
          <w:lang w:eastAsia="en-GB"/>
        </w:rPr>
        <w:t xml:space="preserve"> (b) of the Optional Protocol have been met.</w:t>
      </w:r>
    </w:p>
    <w:p w14:paraId="3B43496A" w14:textId="77777777" w:rsidR="009A4F1D" w:rsidRPr="00343B02" w:rsidRDefault="00F27556" w:rsidP="00906F42">
      <w:pPr>
        <w:pStyle w:val="SingleTxtG"/>
      </w:pPr>
      <w:r w:rsidRPr="00343B02">
        <w:t>7.</w:t>
      </w:r>
      <w:r w:rsidR="00206E35" w:rsidRPr="00343B02">
        <w:rPr>
          <w:lang w:bidi="he-IL"/>
        </w:rPr>
        <w:t>4</w:t>
      </w:r>
      <w:r w:rsidR="00906F42">
        <w:tab/>
      </w:r>
      <w:r w:rsidR="009A4F1D" w:rsidRPr="00343B02">
        <w:t xml:space="preserve">The Committee </w:t>
      </w:r>
      <w:r w:rsidR="004E33C4" w:rsidRPr="00343B02">
        <w:t>has noted the author’s claims under article</w:t>
      </w:r>
      <w:r w:rsidR="00906F42">
        <w:t>s</w:t>
      </w:r>
      <w:r w:rsidR="004E33C4" w:rsidRPr="00343B02">
        <w:t xml:space="preserve"> 2 </w:t>
      </w:r>
      <w:r w:rsidR="00343B02">
        <w:t>(</w:t>
      </w:r>
      <w:r w:rsidR="004E33C4" w:rsidRPr="00343B02">
        <w:t>1</w:t>
      </w:r>
      <w:r w:rsidR="00343B02">
        <w:t>)</w:t>
      </w:r>
      <w:r w:rsidR="004E33C4" w:rsidRPr="00343B02">
        <w:t xml:space="preserve"> and </w:t>
      </w:r>
      <w:r w:rsidR="00343B02">
        <w:t>(</w:t>
      </w:r>
      <w:r w:rsidR="004E33C4" w:rsidRPr="00343B02">
        <w:t>3</w:t>
      </w:r>
      <w:r w:rsidR="00343B02">
        <w:t>)</w:t>
      </w:r>
      <w:r w:rsidR="004E33C4" w:rsidRPr="00343B02">
        <w:t xml:space="preserve"> (a), 9 </w:t>
      </w:r>
      <w:r w:rsidR="00343B02">
        <w:t>(</w:t>
      </w:r>
      <w:r w:rsidR="004E33C4" w:rsidRPr="00343B02">
        <w:t>5</w:t>
      </w:r>
      <w:r w:rsidR="00343B02">
        <w:t>)</w:t>
      </w:r>
      <w:r w:rsidR="004E33C4" w:rsidRPr="00343B02">
        <w:t xml:space="preserve">, 14 </w:t>
      </w:r>
      <w:r w:rsidR="00343B02">
        <w:t>(</w:t>
      </w:r>
      <w:r w:rsidR="004E33C4" w:rsidRPr="00343B02">
        <w:t>1</w:t>
      </w:r>
      <w:r w:rsidR="00343B02">
        <w:t>)</w:t>
      </w:r>
      <w:r w:rsidR="004E33C4" w:rsidRPr="00343B02">
        <w:t xml:space="preserve"> and </w:t>
      </w:r>
      <w:r w:rsidR="00343B02">
        <w:t>(</w:t>
      </w:r>
      <w:r w:rsidR="004E33C4" w:rsidRPr="00343B02">
        <w:t>5</w:t>
      </w:r>
      <w:r w:rsidR="00343B02">
        <w:t>)</w:t>
      </w:r>
      <w:r w:rsidR="004E33C4" w:rsidRPr="00343B02">
        <w:t xml:space="preserve"> and 26 of the Covenant. In the absence of any further pertinent information on file, the Committee </w:t>
      </w:r>
      <w:r w:rsidR="009A4F1D" w:rsidRPr="00343B02">
        <w:t xml:space="preserve">considers that the author </w:t>
      </w:r>
      <w:r w:rsidR="00906F42">
        <w:t xml:space="preserve">has </w:t>
      </w:r>
      <w:r w:rsidR="009A4F1D" w:rsidRPr="00343B02">
        <w:t xml:space="preserve">failed to substantiate, for purposes of admissibility, </w:t>
      </w:r>
      <w:r w:rsidR="004E33C4" w:rsidRPr="00343B02">
        <w:t>t</w:t>
      </w:r>
      <w:r w:rsidR="009A4F1D" w:rsidRPr="00343B02">
        <w:t>h</w:t>
      </w:r>
      <w:r w:rsidR="004E33C4" w:rsidRPr="00343B02">
        <w:t>e</w:t>
      </w:r>
      <w:r w:rsidR="009A4F1D" w:rsidRPr="00343B02">
        <w:t>s</w:t>
      </w:r>
      <w:r w:rsidR="004E33C4" w:rsidRPr="00343B02">
        <w:t>e</w:t>
      </w:r>
      <w:r w:rsidR="009A4F1D" w:rsidRPr="00343B02">
        <w:t xml:space="preserve"> allegations</w:t>
      </w:r>
      <w:r w:rsidR="004E33C4" w:rsidRPr="00343B02">
        <w:t xml:space="preserve">. Accordingly, it </w:t>
      </w:r>
      <w:r w:rsidR="009A4F1D" w:rsidRPr="00343B02">
        <w:t>declares this part of the communication inadmissible under article 2 of the Optional Protocol.</w:t>
      </w:r>
    </w:p>
    <w:p w14:paraId="1F642853" w14:textId="77777777" w:rsidR="009A4F1D" w:rsidRPr="00343B02" w:rsidRDefault="009A4F1D" w:rsidP="00906F42">
      <w:pPr>
        <w:pStyle w:val="SingleTxtG"/>
      </w:pPr>
      <w:r w:rsidRPr="00343B02">
        <w:t>7.</w:t>
      </w:r>
      <w:r w:rsidR="00206E35" w:rsidRPr="00343B02">
        <w:t>5</w:t>
      </w:r>
      <w:r w:rsidRPr="00343B02">
        <w:tab/>
        <w:t>The Committee considers that the author’s remaining claims raising issues under article 15</w:t>
      </w:r>
      <w:r w:rsidR="00343B02">
        <w:t xml:space="preserve"> (</w:t>
      </w:r>
      <w:r w:rsidRPr="00343B02">
        <w:t>1</w:t>
      </w:r>
      <w:r w:rsidR="00343B02">
        <w:t>)</w:t>
      </w:r>
      <w:r w:rsidRPr="00343B02">
        <w:t xml:space="preserve"> of the Covenant have been sufficiently substantiated, for purposes of admissibility. It therefore declares this part of the communication admissible and proceeds to its examination on the merits.</w:t>
      </w:r>
    </w:p>
    <w:p w14:paraId="606BB032" w14:textId="77777777" w:rsidR="009A4F1D" w:rsidRPr="00343B02" w:rsidRDefault="009A4F1D" w:rsidP="00596740">
      <w:pPr>
        <w:pStyle w:val="H4G"/>
      </w:pPr>
      <w:r w:rsidRPr="00343B02">
        <w:tab/>
      </w:r>
      <w:r w:rsidRPr="00343B02">
        <w:tab/>
        <w:t xml:space="preserve">Consideration of </w:t>
      </w:r>
      <w:r w:rsidR="00FD5528" w:rsidRPr="00343B02">
        <w:t xml:space="preserve">the </w:t>
      </w:r>
      <w:r w:rsidRPr="00343B02">
        <w:t>merits</w:t>
      </w:r>
    </w:p>
    <w:p w14:paraId="1E536946" w14:textId="77777777" w:rsidR="009A4F1D" w:rsidRPr="00343B02" w:rsidRDefault="00596740" w:rsidP="00343B02">
      <w:pPr>
        <w:pStyle w:val="SingleTxtG"/>
      </w:pPr>
      <w:r w:rsidRPr="00343B02">
        <w:t>8.1</w:t>
      </w:r>
      <w:r w:rsidR="009A4F1D" w:rsidRPr="00343B02">
        <w:tab/>
        <w:t xml:space="preserve">The Human Rights Committee has considered the present communication in the light of all </w:t>
      </w:r>
      <w:r w:rsidR="00906F42">
        <w:t xml:space="preserve">the </w:t>
      </w:r>
      <w:r w:rsidR="009A4F1D" w:rsidRPr="00343B02">
        <w:t xml:space="preserve">information made available to it, in accordance with article 5 </w:t>
      </w:r>
      <w:r w:rsidR="00343B02">
        <w:t>(</w:t>
      </w:r>
      <w:r w:rsidR="009A4F1D" w:rsidRPr="00343B02">
        <w:t>1</w:t>
      </w:r>
      <w:r w:rsidR="00343B02">
        <w:t>)</w:t>
      </w:r>
      <w:r w:rsidR="009A4F1D" w:rsidRPr="00343B02">
        <w:t xml:space="preserve"> of the Optional Protocol.</w:t>
      </w:r>
    </w:p>
    <w:p w14:paraId="00FA669E" w14:textId="77777777" w:rsidR="002A1B3F" w:rsidRPr="00343B02" w:rsidRDefault="009A4F1D" w:rsidP="00F552BE">
      <w:pPr>
        <w:pStyle w:val="SingleTxtG"/>
        <w:rPr>
          <w:lang w:bidi="he-IL"/>
        </w:rPr>
      </w:pPr>
      <w:r w:rsidRPr="00343B02">
        <w:rPr>
          <w:lang w:eastAsia="en-GB"/>
        </w:rPr>
        <w:t>8.2</w:t>
      </w:r>
      <w:r w:rsidRPr="00343B02">
        <w:rPr>
          <w:lang w:eastAsia="en-GB"/>
        </w:rPr>
        <w:tab/>
        <w:t xml:space="preserve">With regard to the claim made under article 15 </w:t>
      </w:r>
      <w:r w:rsidR="00343B02">
        <w:rPr>
          <w:lang w:eastAsia="en-GB"/>
        </w:rPr>
        <w:t>(</w:t>
      </w:r>
      <w:r w:rsidRPr="00343B02">
        <w:rPr>
          <w:lang w:eastAsia="en-GB"/>
        </w:rPr>
        <w:t>1</w:t>
      </w:r>
      <w:r w:rsidR="00343B02">
        <w:rPr>
          <w:lang w:eastAsia="en-GB"/>
        </w:rPr>
        <w:t>)</w:t>
      </w:r>
      <w:r w:rsidRPr="00343B02">
        <w:rPr>
          <w:lang w:eastAsia="en-GB"/>
        </w:rPr>
        <w:t xml:space="preserve"> of the Covenant, the Committee takes note of the author’s argument that his sentence should have been reduced </w:t>
      </w:r>
      <w:r w:rsidR="00722BDA" w:rsidRPr="00343B02">
        <w:rPr>
          <w:lang w:eastAsia="en-GB"/>
        </w:rPr>
        <w:t xml:space="preserve">proportionally, </w:t>
      </w:r>
      <w:r w:rsidRPr="00343B02">
        <w:rPr>
          <w:lang w:eastAsia="en-GB"/>
        </w:rPr>
        <w:t xml:space="preserve">based on the amendments to the Criminal </w:t>
      </w:r>
      <w:r w:rsidR="008D45A7" w:rsidRPr="00343B02">
        <w:rPr>
          <w:lang w:eastAsia="en-GB"/>
        </w:rPr>
        <w:t>Code introduced by Federal L</w:t>
      </w:r>
      <w:r w:rsidRPr="00343B02">
        <w:rPr>
          <w:lang w:eastAsia="en-GB"/>
        </w:rPr>
        <w:t xml:space="preserve">aw No. 162 dated </w:t>
      </w:r>
      <w:r w:rsidRPr="00343B02">
        <w:t xml:space="preserve">8 December 2003. These amendments introduced a new upper limit on the sentences that can be handed down as a result of </w:t>
      </w:r>
      <w:r w:rsidR="00722BDA" w:rsidRPr="00343B02">
        <w:t xml:space="preserve">a </w:t>
      </w:r>
      <w:r w:rsidRPr="00343B02">
        <w:t>criminal conviction</w:t>
      </w:r>
      <w:r w:rsidR="003D3583" w:rsidRPr="00343B02">
        <w:t>, using the full or partial addition of sentences</w:t>
      </w:r>
      <w:r w:rsidRPr="00343B02">
        <w:t xml:space="preserve">. </w:t>
      </w:r>
      <w:r w:rsidR="003D3583" w:rsidRPr="00343B02">
        <w:t xml:space="preserve">According to this formula, the courts calculated the </w:t>
      </w:r>
      <w:r w:rsidR="00F552BE">
        <w:t>maximum</w:t>
      </w:r>
      <w:r w:rsidR="003D3583" w:rsidRPr="00343B02">
        <w:t xml:space="preserve"> sentence for the author to be 15 years, </w:t>
      </w:r>
      <w:r w:rsidR="00722BDA" w:rsidRPr="00343B02">
        <w:t xml:space="preserve">but </w:t>
      </w:r>
      <w:r w:rsidR="003D3583" w:rsidRPr="00343B02">
        <w:t>the author argues that the upper limit should have been reduced to 9 years. The author argues that the State party</w:t>
      </w:r>
      <w:r w:rsidR="00AE1F63" w:rsidRPr="00343B02">
        <w:t>’s</w:t>
      </w:r>
      <w:r w:rsidR="003D3583" w:rsidRPr="00343B02">
        <w:t xml:space="preserve"> courts should have observed </w:t>
      </w:r>
      <w:r w:rsidR="00722BDA" w:rsidRPr="00343B02">
        <w:t>the</w:t>
      </w:r>
      <w:r w:rsidR="003D3583" w:rsidRPr="00343B02">
        <w:t xml:space="preserve"> proportionality rule and should have reduced the upper limit of his sentence, which under the old law used to </w:t>
      </w:r>
      <w:r w:rsidR="00722BDA" w:rsidRPr="00343B02">
        <w:t xml:space="preserve">be </w:t>
      </w:r>
      <w:r w:rsidR="003D3583" w:rsidRPr="00343B02">
        <w:t>25 years. Indeed, the calculations show that if the State party</w:t>
      </w:r>
      <w:r w:rsidR="00AE1F63" w:rsidRPr="00343B02">
        <w:t>’s</w:t>
      </w:r>
      <w:r w:rsidR="003D3583" w:rsidRPr="00343B02">
        <w:t xml:space="preserve"> courts used the principle of proportionality, the upper limit would have been </w:t>
      </w:r>
      <w:r w:rsidR="00F552BE">
        <w:t>reduced</w:t>
      </w:r>
      <w:r w:rsidR="003D3583" w:rsidRPr="00343B02">
        <w:t xml:space="preserve"> to 15 years under the new law, resulting in 9 years</w:t>
      </w:r>
      <w:r w:rsidR="00F552BE">
        <w:t>’</w:t>
      </w:r>
      <w:r w:rsidR="003D3583" w:rsidRPr="00343B02">
        <w:t xml:space="preserve"> imprisonment for the author</w:t>
      </w:r>
      <w:r w:rsidR="00596740" w:rsidRPr="00343B02">
        <w:t>.</w:t>
      </w:r>
      <w:r w:rsidR="003D3583" w:rsidRPr="00343B02">
        <w:t xml:space="preserve"> </w:t>
      </w:r>
    </w:p>
    <w:p w14:paraId="213F7A1E" w14:textId="77777777" w:rsidR="002978B9" w:rsidRPr="00343B02" w:rsidRDefault="00B7574D" w:rsidP="00F552BE">
      <w:pPr>
        <w:pStyle w:val="SingleTxtG"/>
        <w:rPr>
          <w:lang w:eastAsia="en-GB"/>
        </w:rPr>
      </w:pPr>
      <w:r w:rsidRPr="00343B02">
        <w:t>8.3</w:t>
      </w:r>
      <w:r w:rsidR="003D3583" w:rsidRPr="00343B02">
        <w:tab/>
        <w:t>The Committee also notes the State party’s argument t</w:t>
      </w:r>
      <w:r w:rsidR="008D45A7" w:rsidRPr="00343B02">
        <w:t>hat nothing in the new Federal L</w:t>
      </w:r>
      <w:r w:rsidR="003D3583" w:rsidRPr="00343B02">
        <w:t xml:space="preserve">aw No. 162 calls the courts to apply </w:t>
      </w:r>
      <w:r w:rsidR="00722BDA" w:rsidRPr="00343B02">
        <w:t xml:space="preserve">any </w:t>
      </w:r>
      <w:r w:rsidR="003D3583" w:rsidRPr="00343B02">
        <w:t xml:space="preserve">proportionality rule. The author’s </w:t>
      </w:r>
      <w:r w:rsidR="00F552BE">
        <w:t>maximum</w:t>
      </w:r>
      <w:r w:rsidR="003D3583" w:rsidRPr="00343B02">
        <w:t xml:space="preserve"> sentence was established at 15 years, and the author’s original sentence dated 10 June 1999 was within this range of sentences. The Committee also notes the State party’s </w:t>
      </w:r>
      <w:r w:rsidR="00724531" w:rsidRPr="00343B02">
        <w:t>reasoning</w:t>
      </w:r>
      <w:r w:rsidR="003D3583" w:rsidRPr="00343B02">
        <w:t xml:space="preserve"> that on 29 November 2012, Zabaikalsk Regional Court did indeed lower the author</w:t>
      </w:r>
      <w:r w:rsidR="00F552BE">
        <w:t>’s</w:t>
      </w:r>
      <w:r w:rsidR="003D3583" w:rsidRPr="00343B02">
        <w:t xml:space="preserve"> sentence from 15 years to 14 years and 10 months. </w:t>
      </w:r>
      <w:r w:rsidR="00F27556" w:rsidRPr="00343B02">
        <w:t xml:space="preserve">The Committee notes that, even assuming </w:t>
      </w:r>
      <w:r w:rsidR="00F27556" w:rsidRPr="00A808EF">
        <w:t>for the purpose</w:t>
      </w:r>
      <w:r w:rsidR="00223C72" w:rsidRPr="00343B02">
        <w:t>s</w:t>
      </w:r>
      <w:r w:rsidR="00F27556" w:rsidRPr="00A808EF">
        <w:t xml:space="preserve"> of argument</w:t>
      </w:r>
      <w:r w:rsidR="00F27556" w:rsidRPr="00343B02">
        <w:t xml:space="preserve"> </w:t>
      </w:r>
      <w:r w:rsidR="007E10C5" w:rsidRPr="00343B02">
        <w:t>that a</w:t>
      </w:r>
      <w:r w:rsidR="00F27556" w:rsidRPr="00343B02">
        <w:t>rticle 15</w:t>
      </w:r>
      <w:r w:rsidR="0065686A" w:rsidRPr="00343B02">
        <w:t xml:space="preserve"> </w:t>
      </w:r>
      <w:r w:rsidR="00343B02">
        <w:t>(</w:t>
      </w:r>
      <w:r w:rsidR="00F27556" w:rsidRPr="00343B02">
        <w:t>1</w:t>
      </w:r>
      <w:r w:rsidR="00343B02">
        <w:t>)</w:t>
      </w:r>
      <w:r w:rsidR="00F27556" w:rsidRPr="00343B02">
        <w:t xml:space="preserve"> of the Covenant applies to the period after the final conviction</w:t>
      </w:r>
      <w:r w:rsidR="00206E35" w:rsidRPr="00343B02">
        <w:t>,</w:t>
      </w:r>
      <w:r w:rsidR="00F27556" w:rsidRPr="00343B02">
        <w:t xml:space="preserve"> the author has not shown that </w:t>
      </w:r>
      <w:r w:rsidR="00724531" w:rsidRPr="00343B02">
        <w:t xml:space="preserve">the sentence that was handed down under the previous version of the law </w:t>
      </w:r>
      <w:r w:rsidR="00F27556" w:rsidRPr="00343B02">
        <w:t xml:space="preserve">does not </w:t>
      </w:r>
      <w:r w:rsidR="00724531" w:rsidRPr="00343B02">
        <w:t>fall within the sentencing</w:t>
      </w:r>
      <w:r w:rsidR="002A1B3F" w:rsidRPr="00343B02">
        <w:rPr>
          <w:lang w:bidi="he-IL"/>
        </w:rPr>
        <w:t xml:space="preserve"> margins</w:t>
      </w:r>
      <w:r w:rsidR="00724531" w:rsidRPr="00343B02">
        <w:t xml:space="preserve"> of the new law</w:t>
      </w:r>
      <w:r w:rsidR="007E10C5" w:rsidRPr="00343B02">
        <w:t>.</w:t>
      </w:r>
      <w:r w:rsidR="00724531" w:rsidRPr="00343B02">
        <w:t xml:space="preserve"> </w:t>
      </w:r>
      <w:r w:rsidRPr="00343B02">
        <w:t xml:space="preserve">In this regard, the Committee refers to its previous jurisprudence in </w:t>
      </w:r>
      <w:r w:rsidRPr="00343B02">
        <w:rPr>
          <w:i/>
        </w:rPr>
        <w:t>Gavrilin v. Belaru</w:t>
      </w:r>
      <w:r w:rsidR="00626304" w:rsidRPr="00343B02">
        <w:rPr>
          <w:i/>
        </w:rPr>
        <w:t>s</w:t>
      </w:r>
      <w:r w:rsidR="00626304" w:rsidRPr="00343B02">
        <w:rPr>
          <w:rStyle w:val="FootnoteReference"/>
        </w:rPr>
        <w:footnoteReference w:id="12"/>
      </w:r>
      <w:r w:rsidRPr="00343B02">
        <w:t xml:space="preserve"> and </w:t>
      </w:r>
      <w:r w:rsidRPr="00343B02">
        <w:rPr>
          <w:i/>
        </w:rPr>
        <w:t>Filipovich v. Lithuania</w:t>
      </w:r>
      <w:r w:rsidR="00596740" w:rsidRPr="00A808EF">
        <w:rPr>
          <w:iCs/>
        </w:rPr>
        <w:t>,</w:t>
      </w:r>
      <w:r w:rsidRPr="00343B02">
        <w:rPr>
          <w:rStyle w:val="FootnoteReference"/>
        </w:rPr>
        <w:footnoteReference w:id="13"/>
      </w:r>
      <w:r w:rsidRPr="00343B02">
        <w:t xml:space="preserve"> </w:t>
      </w:r>
      <w:r w:rsidR="00F552BE">
        <w:t xml:space="preserve">in </w:t>
      </w:r>
      <w:r w:rsidR="00815233" w:rsidRPr="00343B02">
        <w:t>wh</w:t>
      </w:r>
      <w:r w:rsidR="00F552BE">
        <w:t>ich</w:t>
      </w:r>
      <w:r w:rsidR="00815233" w:rsidRPr="00343B02">
        <w:t xml:space="preserve"> it concluded</w:t>
      </w:r>
      <w:r w:rsidR="007E10C5" w:rsidRPr="00343B02">
        <w:t xml:space="preserve"> </w:t>
      </w:r>
      <w:r w:rsidR="00815233" w:rsidRPr="00343B02">
        <w:t xml:space="preserve">that there was </w:t>
      </w:r>
      <w:r w:rsidR="007E10C5" w:rsidRPr="00343B02">
        <w:t xml:space="preserve">no violation of article </w:t>
      </w:r>
      <w:r w:rsidR="00815233" w:rsidRPr="00343B02">
        <w:t xml:space="preserve">15 </w:t>
      </w:r>
      <w:r w:rsidR="00343B02">
        <w:t>(</w:t>
      </w:r>
      <w:r w:rsidR="00815233" w:rsidRPr="00343B02">
        <w:t>1</w:t>
      </w:r>
      <w:r w:rsidR="00343B02">
        <w:t>)</w:t>
      </w:r>
      <w:r w:rsidR="00815233" w:rsidRPr="00343B02">
        <w:t xml:space="preserve"> of the Covenant because the author’s conviction was well within the </w:t>
      </w:r>
      <w:r w:rsidR="002A1B3F" w:rsidRPr="00343B02">
        <w:rPr>
          <w:lang w:bidi="he-IL"/>
        </w:rPr>
        <w:t xml:space="preserve">margins of </w:t>
      </w:r>
      <w:r w:rsidR="00815233" w:rsidRPr="00343B02">
        <w:t>the new sentencing scheme</w:t>
      </w:r>
      <w:r w:rsidR="00F552BE">
        <w:t>,</w:t>
      </w:r>
      <w:r w:rsidR="00815233" w:rsidRPr="00343B02">
        <w:t xml:space="preserve"> </w:t>
      </w:r>
      <w:r w:rsidRPr="00343B02">
        <w:t xml:space="preserve">and notes that the author’s initial sentence was within the margins provided both by the old law and the new version of the law, as amended by Federal </w:t>
      </w:r>
      <w:r w:rsidR="008D45A7" w:rsidRPr="00343B02">
        <w:t>L</w:t>
      </w:r>
      <w:r w:rsidRPr="00343B02">
        <w:t>aw No. 162</w:t>
      </w:r>
      <w:r w:rsidR="00722BDA" w:rsidRPr="00343B02">
        <w:t xml:space="preserve"> of</w:t>
      </w:r>
      <w:r w:rsidRPr="00343B02">
        <w:t xml:space="preserve"> 8 December 2003. The Committee </w:t>
      </w:r>
      <w:r w:rsidR="00F552BE">
        <w:t>also</w:t>
      </w:r>
      <w:r w:rsidRPr="00343B02">
        <w:t xml:space="preserve"> notes that in determining the sentence, the domestic courts reviewed and took into account</w:t>
      </w:r>
      <w:r w:rsidR="00626304" w:rsidRPr="00343B02">
        <w:t xml:space="preserve"> the</w:t>
      </w:r>
      <w:r w:rsidRPr="00343B02">
        <w:t xml:space="preserve"> specific circumstances of the case</w:t>
      </w:r>
      <w:r w:rsidR="00626304" w:rsidRPr="00343B02">
        <w:t>, and that upon order of the Constitutional Court of the Russian Federation, Zabaikalsk Regional Court reduced the author’s sentence to 14 years and 10 months</w:t>
      </w:r>
      <w:r w:rsidRPr="00343B02">
        <w:t xml:space="preserve">. </w:t>
      </w:r>
      <w:r w:rsidR="001958B0" w:rsidRPr="00343B02">
        <w:t>In the circumstances of the present case t</w:t>
      </w:r>
      <w:r w:rsidRPr="00343B02">
        <w:t>he Committee cannot, based on the material before it, conclude that the author’s sentence was incompatible with</w:t>
      </w:r>
      <w:r w:rsidR="00624296" w:rsidRPr="00343B02">
        <w:t xml:space="preserve"> </w:t>
      </w:r>
      <w:r w:rsidRPr="00343B02">
        <w:t xml:space="preserve">article 15 </w:t>
      </w:r>
      <w:r w:rsidR="00343B02">
        <w:t>(</w:t>
      </w:r>
      <w:r w:rsidRPr="00343B02">
        <w:t>1</w:t>
      </w:r>
      <w:r w:rsidR="00343B02">
        <w:t>)</w:t>
      </w:r>
      <w:r w:rsidRPr="00343B02">
        <w:t xml:space="preserve"> of the Covenant. </w:t>
      </w:r>
    </w:p>
    <w:p w14:paraId="1B3C85A7" w14:textId="77777777" w:rsidR="0068702F" w:rsidRPr="00343B02" w:rsidRDefault="00724531" w:rsidP="00343B02">
      <w:pPr>
        <w:pStyle w:val="SingleTxtG"/>
      </w:pPr>
      <w:r w:rsidRPr="00343B02">
        <w:t>9.</w:t>
      </w:r>
      <w:r w:rsidRPr="00343B02">
        <w:tab/>
        <w:t xml:space="preserve">The Human Rights Committee, acting under article 5 </w:t>
      </w:r>
      <w:r w:rsidR="00343B02">
        <w:t>(</w:t>
      </w:r>
      <w:r w:rsidRPr="00343B02">
        <w:t>4</w:t>
      </w:r>
      <w:r w:rsidR="00343B02">
        <w:t>)</w:t>
      </w:r>
      <w:r w:rsidRPr="00343B02">
        <w:t xml:space="preserve"> of the Optional Protocol to the International Covenant on Civil and Political Rights, is of the view that the facts before it do not reveal a breach of any provision of the Covenant. </w:t>
      </w:r>
    </w:p>
    <w:p w14:paraId="7BE011D9" w14:textId="77777777" w:rsidR="00596740" w:rsidRPr="00343B02" w:rsidRDefault="00596740" w:rsidP="00596740">
      <w:pPr>
        <w:pStyle w:val="SingleTxtG"/>
        <w:spacing w:before="240" w:after="0"/>
        <w:jc w:val="center"/>
        <w:rPr>
          <w:u w:val="single"/>
        </w:rPr>
      </w:pPr>
      <w:r w:rsidRPr="00343B02">
        <w:rPr>
          <w:u w:val="single"/>
        </w:rPr>
        <w:tab/>
      </w:r>
      <w:r w:rsidRPr="00343B02">
        <w:rPr>
          <w:u w:val="single"/>
        </w:rPr>
        <w:tab/>
      </w:r>
      <w:r w:rsidRPr="00343B02">
        <w:rPr>
          <w:u w:val="single"/>
        </w:rPr>
        <w:tab/>
      </w:r>
    </w:p>
    <w:sectPr w:rsidR="00596740" w:rsidRPr="00343B02" w:rsidSect="0042596A">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411"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rt" w:date="2015-09-09T10:32:00Z" w:initials="Start">
    <w:p w14:paraId="1CF0D568" w14:textId="77777777" w:rsidR="0042596A" w:rsidRDefault="0042596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NO&gt;&gt;N1520098E&lt;&lt;ODS JOB NO&gt;&gt;</w:t>
      </w:r>
    </w:p>
    <w:p w14:paraId="5E37CB60" w14:textId="77777777" w:rsidR="0042596A" w:rsidRDefault="0042596A">
      <w:pPr>
        <w:pStyle w:val="CommentText"/>
      </w:pPr>
      <w:r>
        <w:t>&lt;&lt;ODS DOC SYMBOL1&gt;&gt;CCPR/C/114/D/2043/2011&lt;&lt;ODS DOC SYMBOL1&gt;&gt;</w:t>
      </w:r>
    </w:p>
    <w:p w14:paraId="1D81FE7D" w14:textId="77777777" w:rsidR="0042596A" w:rsidRDefault="0042596A">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81FE7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F3037" w14:textId="77777777" w:rsidR="00416F62" w:rsidRDefault="00416F62"/>
  </w:endnote>
  <w:endnote w:type="continuationSeparator" w:id="0">
    <w:p w14:paraId="09181083" w14:textId="77777777" w:rsidR="00416F62" w:rsidRDefault="00416F62"/>
  </w:endnote>
  <w:endnote w:type="continuationNotice" w:id="1">
    <w:p w14:paraId="19603784" w14:textId="77777777" w:rsidR="00416F62" w:rsidRDefault="00416F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rcode 3 of 9 by request">
    <w:altName w:val="Trebuchet M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7D8A6" w14:textId="77777777" w:rsidR="00E61DD8" w:rsidRPr="00781C83" w:rsidRDefault="00E61DD8" w:rsidP="00781C83">
    <w:pPr>
      <w:pStyle w:val="Footer"/>
      <w:tabs>
        <w:tab w:val="right" w:pos="9638"/>
      </w:tabs>
    </w:pPr>
    <w:r w:rsidRPr="00781C83">
      <w:rPr>
        <w:b/>
        <w:sz w:val="18"/>
      </w:rPr>
      <w:fldChar w:fldCharType="begin"/>
    </w:r>
    <w:r w:rsidRPr="00781C83">
      <w:rPr>
        <w:b/>
        <w:sz w:val="18"/>
      </w:rPr>
      <w:instrText xml:space="preserve"> PAGE  \* MERGEFORMAT </w:instrText>
    </w:r>
    <w:r w:rsidRPr="00781C83">
      <w:rPr>
        <w:b/>
        <w:sz w:val="18"/>
      </w:rPr>
      <w:fldChar w:fldCharType="separate"/>
    </w:r>
    <w:r w:rsidR="002A47D2">
      <w:rPr>
        <w:b/>
        <w:noProof/>
        <w:sz w:val="18"/>
      </w:rPr>
      <w:t>2</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07155" w14:textId="77777777" w:rsidR="00E61DD8" w:rsidRPr="001B6D0E" w:rsidRDefault="00E61DD8" w:rsidP="00781C83">
    <w:pPr>
      <w:pStyle w:val="Footer"/>
      <w:tabs>
        <w:tab w:val="right" w:pos="9638"/>
      </w:tabs>
      <w:rPr>
        <w:b/>
        <w:sz w:val="18"/>
      </w:rPr>
    </w:pPr>
    <w:r>
      <w:rPr>
        <w:b/>
        <w:sz w:val="18"/>
      </w:rPr>
      <w:tab/>
    </w:r>
    <w:r w:rsidRPr="001B6D0E">
      <w:rPr>
        <w:b/>
        <w:sz w:val="18"/>
      </w:rPr>
      <w:fldChar w:fldCharType="begin"/>
    </w:r>
    <w:r w:rsidRPr="001B6D0E">
      <w:rPr>
        <w:b/>
        <w:sz w:val="18"/>
      </w:rPr>
      <w:instrText xml:space="preserve"> PAGE  \* MERGEFORMAT </w:instrText>
    </w:r>
    <w:r w:rsidRPr="001B6D0E">
      <w:rPr>
        <w:b/>
        <w:sz w:val="18"/>
      </w:rPr>
      <w:fldChar w:fldCharType="separate"/>
    </w:r>
    <w:r w:rsidR="002A47D2">
      <w:rPr>
        <w:b/>
        <w:noProof/>
        <w:sz w:val="18"/>
      </w:rPr>
      <w:t>3</w:t>
    </w:r>
    <w:r w:rsidRPr="001B6D0E">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42596A" w14:paraId="623F8906" w14:textId="77777777" w:rsidTr="0042596A">
      <w:tc>
        <w:tcPr>
          <w:tcW w:w="3614" w:type="dxa"/>
          <w:shd w:val="clear" w:color="auto" w:fill="auto"/>
        </w:tcPr>
        <w:p w14:paraId="365B3E2D" w14:textId="77777777" w:rsidR="0042596A" w:rsidRDefault="0042596A" w:rsidP="0042596A">
          <w:pPr>
            <w:pStyle w:val="Footer"/>
            <w:rPr>
              <w:sz w:val="20"/>
            </w:rPr>
          </w:pPr>
          <w:r>
            <w:rPr>
              <w:noProof/>
              <w:sz w:val="20"/>
              <w:lang w:val="en-US"/>
            </w:rPr>
            <w:drawing>
              <wp:anchor distT="0" distB="0" distL="114300" distR="114300" simplePos="0" relativeHeight="251658240" behindDoc="0" locked="0" layoutInCell="1" allowOverlap="1" wp14:anchorId="5BB46953" wp14:editId="3339761C">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CCPR/C/114/D/2043/2011&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CPR/C/114/D/2043/2011&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GE.15-13663(E)</w:t>
          </w:r>
        </w:p>
        <w:p w14:paraId="656D15A5" w14:textId="77777777" w:rsidR="0042596A" w:rsidRPr="0042596A" w:rsidRDefault="0042596A" w:rsidP="0042596A">
          <w:pPr>
            <w:pStyle w:val="Footer"/>
            <w:rPr>
              <w:rFonts w:ascii="Barcode 3 of 9 by request" w:hAnsi="Barcode 3 of 9 by request"/>
              <w:sz w:val="24"/>
            </w:rPr>
          </w:pPr>
          <w:r>
            <w:rPr>
              <w:rFonts w:ascii="Barcode 3 of 9 by request" w:hAnsi="Barcode 3 of 9 by request"/>
              <w:sz w:val="24"/>
            </w:rPr>
            <w:t>*1513663*</w:t>
          </w:r>
        </w:p>
      </w:tc>
      <w:tc>
        <w:tcPr>
          <w:tcW w:w="4752" w:type="dxa"/>
          <w:shd w:val="clear" w:color="auto" w:fill="auto"/>
        </w:tcPr>
        <w:p w14:paraId="24E437DB" w14:textId="77777777" w:rsidR="0042596A" w:rsidRDefault="0042596A" w:rsidP="0042596A">
          <w:pPr>
            <w:pStyle w:val="Footer"/>
            <w:spacing w:line="240" w:lineRule="atLeast"/>
            <w:jc w:val="right"/>
            <w:rPr>
              <w:sz w:val="20"/>
            </w:rPr>
          </w:pPr>
          <w:r>
            <w:rPr>
              <w:noProof/>
              <w:sz w:val="20"/>
              <w:lang w:val="en-US"/>
            </w:rPr>
            <w:drawing>
              <wp:inline distT="0" distB="0" distL="0" distR="0" wp14:anchorId="3E74EBA9" wp14:editId="268183EB">
                <wp:extent cx="929642" cy="231648"/>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3A789B6C" w14:textId="77777777" w:rsidR="0042596A" w:rsidRPr="0042596A" w:rsidRDefault="0042596A" w:rsidP="0042596A">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B02F6" w14:textId="77777777" w:rsidR="00416F62" w:rsidRPr="000B175B" w:rsidRDefault="00416F62" w:rsidP="000B175B">
      <w:pPr>
        <w:tabs>
          <w:tab w:val="right" w:pos="2155"/>
        </w:tabs>
        <w:spacing w:after="80"/>
        <w:ind w:left="680"/>
        <w:rPr>
          <w:u w:val="single"/>
        </w:rPr>
      </w:pPr>
      <w:r>
        <w:rPr>
          <w:u w:val="single"/>
        </w:rPr>
        <w:tab/>
      </w:r>
    </w:p>
  </w:footnote>
  <w:footnote w:type="continuationSeparator" w:id="0">
    <w:p w14:paraId="6C53CEE4" w14:textId="77777777" w:rsidR="00416F62" w:rsidRPr="00FC68B7" w:rsidRDefault="00416F62" w:rsidP="00FC68B7">
      <w:pPr>
        <w:tabs>
          <w:tab w:val="left" w:pos="2155"/>
        </w:tabs>
        <w:spacing w:after="80"/>
        <w:ind w:left="680"/>
        <w:rPr>
          <w:u w:val="single"/>
        </w:rPr>
      </w:pPr>
      <w:r>
        <w:rPr>
          <w:u w:val="single"/>
        </w:rPr>
        <w:tab/>
      </w:r>
    </w:p>
  </w:footnote>
  <w:footnote w:type="continuationNotice" w:id="1">
    <w:p w14:paraId="15735B56" w14:textId="77777777" w:rsidR="00416F62" w:rsidRDefault="00416F62"/>
  </w:footnote>
  <w:footnote w:id="2">
    <w:p w14:paraId="51AE99D3" w14:textId="77777777" w:rsidR="00E61DD8" w:rsidRPr="00BC2A08" w:rsidRDefault="00E61DD8" w:rsidP="003C0126">
      <w:pPr>
        <w:pStyle w:val="FootnoteText"/>
      </w:pPr>
      <w:r>
        <w:rPr>
          <w:rStyle w:val="FootnoteReference"/>
        </w:rPr>
        <w:tab/>
      </w:r>
      <w:r w:rsidRPr="002A1382">
        <w:rPr>
          <w:rStyle w:val="FootnoteReference"/>
          <w:sz w:val="20"/>
          <w:vertAlign w:val="baseline"/>
        </w:rPr>
        <w:t>*</w:t>
      </w:r>
      <w:r>
        <w:rPr>
          <w:rStyle w:val="FootnoteReference"/>
          <w:sz w:val="20"/>
          <w:vertAlign w:val="baseline"/>
        </w:rPr>
        <w:tab/>
      </w:r>
      <w:r w:rsidRPr="009131F3">
        <w:rPr>
          <w:szCs w:val="18"/>
        </w:rPr>
        <w:t xml:space="preserve">The following members of the Committee participated in the </w:t>
      </w:r>
      <w:r>
        <w:rPr>
          <w:szCs w:val="18"/>
        </w:rPr>
        <w:t>consider</w:t>
      </w:r>
      <w:r w:rsidRPr="009131F3">
        <w:rPr>
          <w:szCs w:val="18"/>
        </w:rPr>
        <w:t xml:space="preserve">ation of the present communication: </w:t>
      </w:r>
      <w:r>
        <w:rPr>
          <w:szCs w:val="18"/>
        </w:rPr>
        <w:t>Yadh Ben Achour,</w:t>
      </w:r>
      <w:r>
        <w:rPr>
          <w:bCs/>
          <w:szCs w:val="18"/>
        </w:rPr>
        <w:t xml:space="preserve"> </w:t>
      </w:r>
      <w:r w:rsidRPr="009131F3">
        <w:rPr>
          <w:bCs/>
          <w:szCs w:val="18"/>
        </w:rPr>
        <w:t xml:space="preserve">Lazhari Bouzid, </w:t>
      </w:r>
      <w:r>
        <w:rPr>
          <w:bCs/>
          <w:szCs w:val="18"/>
        </w:rPr>
        <w:t xml:space="preserve">Sarah Cleveland, </w:t>
      </w:r>
      <w:r w:rsidRPr="0004778D">
        <w:rPr>
          <w:bCs/>
          <w:szCs w:val="18"/>
        </w:rPr>
        <w:t>Ahmed Amin Fathalla,</w:t>
      </w:r>
      <w:r>
        <w:rPr>
          <w:bCs/>
          <w:szCs w:val="18"/>
        </w:rPr>
        <w:br/>
        <w:t xml:space="preserve">Olivier de Frouville, </w:t>
      </w:r>
      <w:r w:rsidRPr="009131F3">
        <w:rPr>
          <w:bCs/>
          <w:szCs w:val="18"/>
        </w:rPr>
        <w:t xml:space="preserve">Yuji Iwasawa, </w:t>
      </w:r>
      <w:r>
        <w:rPr>
          <w:bCs/>
          <w:szCs w:val="18"/>
        </w:rPr>
        <w:t>Ivana Jeli</w:t>
      </w:r>
      <w:r w:rsidRPr="002B11CC">
        <w:rPr>
          <w:bCs/>
          <w:szCs w:val="18"/>
        </w:rPr>
        <w:t>ć</w:t>
      </w:r>
      <w:r>
        <w:rPr>
          <w:bCs/>
          <w:szCs w:val="18"/>
        </w:rPr>
        <w:t>, Photini Pazartzis, Mauro Politi, Sir Nigel Rodley, Víctor Manuel Rodríguez-Rescia,</w:t>
      </w:r>
      <w:r>
        <w:rPr>
          <w:bCs/>
          <w:szCs w:val="18"/>
          <w:lang w:val="en-US"/>
        </w:rPr>
        <w:t xml:space="preserve"> </w:t>
      </w:r>
      <w:r w:rsidRPr="009131F3">
        <w:rPr>
          <w:bCs/>
          <w:szCs w:val="18"/>
          <w:lang w:val="en-US"/>
        </w:rPr>
        <w:t>Fabi</w:t>
      </w:r>
      <w:r>
        <w:rPr>
          <w:bCs/>
          <w:szCs w:val="18"/>
          <w:lang w:val="en-US"/>
        </w:rPr>
        <w:t>á</w:t>
      </w:r>
      <w:r w:rsidRPr="009131F3">
        <w:rPr>
          <w:bCs/>
          <w:szCs w:val="18"/>
          <w:lang w:val="en-US"/>
        </w:rPr>
        <w:t xml:space="preserve">n Omar Salvioli, </w:t>
      </w:r>
      <w:r>
        <w:rPr>
          <w:bCs/>
          <w:szCs w:val="18"/>
          <w:lang w:val="en-US"/>
        </w:rPr>
        <w:t>Dheerujlall Seetulsingh, Anja Seibert-Fohr, Yuval Shany, Konstantine Vardzelashvili</w:t>
      </w:r>
      <w:r>
        <w:rPr>
          <w:bCs/>
          <w:szCs w:val="18"/>
        </w:rPr>
        <w:t xml:space="preserve"> and Margo Waterval</w:t>
      </w:r>
      <w:r w:rsidRPr="009131F3">
        <w:rPr>
          <w:bCs/>
          <w:szCs w:val="18"/>
        </w:rPr>
        <w:t>.</w:t>
      </w:r>
    </w:p>
  </w:footnote>
  <w:footnote w:id="3">
    <w:p w14:paraId="32500A1F" w14:textId="77777777" w:rsidR="00E61DD8" w:rsidRDefault="00E61DD8" w:rsidP="00860860">
      <w:pPr>
        <w:pStyle w:val="FootnoteText"/>
      </w:pPr>
      <w:r>
        <w:tab/>
      </w:r>
      <w:r>
        <w:rPr>
          <w:rStyle w:val="FootnoteReference"/>
        </w:rPr>
        <w:footnoteRef/>
      </w:r>
      <w:r>
        <w:tab/>
        <w:t xml:space="preserve">The author also </w:t>
      </w:r>
      <w:r w:rsidRPr="00860860">
        <w:t>refers</w:t>
      </w:r>
      <w:r>
        <w:t xml:space="preserve"> to this as a “special regime”. </w:t>
      </w:r>
    </w:p>
  </w:footnote>
  <w:footnote w:id="4">
    <w:p w14:paraId="43A11244" w14:textId="77777777" w:rsidR="00E61DD8" w:rsidRDefault="00E61DD8" w:rsidP="00C37191">
      <w:pPr>
        <w:pStyle w:val="FootnoteText"/>
      </w:pPr>
      <w:r>
        <w:tab/>
      </w:r>
      <w:r>
        <w:rPr>
          <w:rStyle w:val="FootnoteReference"/>
        </w:rPr>
        <w:footnoteRef/>
      </w:r>
      <w:r>
        <w:tab/>
      </w:r>
      <w:r w:rsidRPr="00596740">
        <w:t>Article</w:t>
      </w:r>
      <w:r>
        <w:t xml:space="preserve"> 10 of the Criminal Code is worded in similar terms as article 15 (1) of the Covenant. </w:t>
      </w:r>
    </w:p>
  </w:footnote>
  <w:footnote w:id="5">
    <w:p w14:paraId="15468DBA" w14:textId="77777777" w:rsidR="00E61DD8" w:rsidRDefault="00E61DD8">
      <w:pPr>
        <w:pStyle w:val="FootnoteText"/>
      </w:pPr>
      <w:r>
        <w:tab/>
      </w:r>
      <w:r>
        <w:rPr>
          <w:rStyle w:val="FootnoteReference"/>
        </w:rPr>
        <w:footnoteRef/>
      </w:r>
      <w:r>
        <w:tab/>
        <w:t xml:space="preserve">The author </w:t>
      </w:r>
      <w:r w:rsidRPr="00860860">
        <w:t>argues</w:t>
      </w:r>
      <w:r>
        <w:t xml:space="preserve"> that his penalty should have been reduced to 9 years’ imprisonment after the adoption of Federal Law No. 162. It seems that he means the following: on 10 June 1999, he was convicted for battery, threat of murder, rape of a juvenile and violent sexual acts committed against a juvenile. Under article 69, paragraph 3, of the Criminal Code, the final penalty imposed was 15 years’ imprisonment. The upper limit of the penalty for the most severe crime committed by the author was 25 years’ imprisonment. As he was sentenced to 15 years’ imprisonment (15 is three fifths of 25), when the court brought the judgement of 10 June 1999 into line with Federal Law No. 162 and deleted the reference to article</w:t>
      </w:r>
      <w:r w:rsidR="00191673">
        <w:t>s</w:t>
      </w:r>
      <w:r>
        <w:t xml:space="preserve"> 131(2) (a) and 132 (2) (a), part of these articles became void: subparagraph (a) referred to acts committed by a </w:t>
      </w:r>
      <w:r w:rsidRPr="00A808EF">
        <w:rPr>
          <w:iCs/>
        </w:rPr>
        <w:t xml:space="preserve">repeatedly/previously </w:t>
      </w:r>
      <w:r>
        <w:t>convicted person. As the indication “repeatedly/previously” was removed from the Criminal Code under Federal Law No. 162, and the upper limit for the most serious crime therefore became 15 years, the author claims that the court should also have proportionally reduced his penalty. Under the previous law, three fifths of 25 resulted in 15 years’ imprisonment, so under the current law, the author claims, three fifths of 15 is equal to 9 years’ imprisonment.</w:t>
      </w:r>
    </w:p>
  </w:footnote>
  <w:footnote w:id="6">
    <w:p w14:paraId="4EB7D5F0" w14:textId="77777777" w:rsidR="00E61DD8" w:rsidRDefault="00E61DD8" w:rsidP="00E61DD8">
      <w:pPr>
        <w:pStyle w:val="FootnoteText"/>
      </w:pPr>
      <w:r>
        <w:tab/>
      </w:r>
      <w:r>
        <w:rPr>
          <w:rStyle w:val="FootnoteReference"/>
        </w:rPr>
        <w:footnoteRef/>
      </w:r>
      <w:r>
        <w:tab/>
        <w:t xml:space="preserve">The </w:t>
      </w:r>
      <w:r w:rsidRPr="00596740">
        <w:t>author</w:t>
      </w:r>
      <w:r>
        <w:t xml:space="preserve"> perceives Federal Law No. 162 as a new criminal law and uses this wording in his communication. </w:t>
      </w:r>
    </w:p>
  </w:footnote>
  <w:footnote w:id="7">
    <w:p w14:paraId="7D9728F5" w14:textId="77777777" w:rsidR="00E61DD8" w:rsidRDefault="00E61DD8" w:rsidP="00596740">
      <w:pPr>
        <w:pStyle w:val="FootnoteText"/>
      </w:pPr>
      <w:r>
        <w:tab/>
      </w:r>
      <w:r>
        <w:rPr>
          <w:rStyle w:val="FootnoteReference"/>
        </w:rPr>
        <w:footnoteRef/>
      </w:r>
      <w:r>
        <w:tab/>
        <w:t xml:space="preserve">It </w:t>
      </w:r>
      <w:r w:rsidRPr="00596740">
        <w:t>appears</w:t>
      </w:r>
      <w:r>
        <w:t xml:space="preserve"> that the upper limit was 25 years’ imprisonment.</w:t>
      </w:r>
    </w:p>
  </w:footnote>
  <w:footnote w:id="8">
    <w:p w14:paraId="2B0B37DD" w14:textId="77777777" w:rsidR="00E61DD8" w:rsidRDefault="00E61DD8" w:rsidP="00E01791">
      <w:pPr>
        <w:pStyle w:val="FootnoteText"/>
      </w:pPr>
      <w:r>
        <w:tab/>
      </w:r>
      <w:r>
        <w:rPr>
          <w:rStyle w:val="FootnoteReference"/>
        </w:rPr>
        <w:footnoteRef/>
      </w:r>
      <w:r>
        <w:tab/>
        <w:t>Article 10</w:t>
      </w:r>
      <w:r w:rsidR="00E01791">
        <w:t>, on r</w:t>
      </w:r>
      <w:r w:rsidRPr="00596740">
        <w:t>etroactivity</w:t>
      </w:r>
      <w:r>
        <w:t xml:space="preserve"> of a criminal law</w:t>
      </w:r>
      <w:r w:rsidR="00E01791">
        <w:t>,</w:t>
      </w:r>
      <w:r>
        <w:t xml:space="preserve"> provides in paragraph 2</w:t>
      </w:r>
      <w:r w:rsidR="00E01791">
        <w:t xml:space="preserve"> that i</w:t>
      </w:r>
      <w:r>
        <w:rPr>
          <w:lang w:val="en"/>
        </w:rPr>
        <w:t xml:space="preserve">f a new criminal law mitigates the punishment for a crime, the penalty served by a person who committed that crime shall be subject to </w:t>
      </w:r>
      <w:r w:rsidR="00E01791">
        <w:rPr>
          <w:lang w:val="en"/>
        </w:rPr>
        <w:t xml:space="preserve">a </w:t>
      </w:r>
      <w:r>
        <w:rPr>
          <w:lang w:val="en"/>
        </w:rPr>
        <w:t>reduction within the limits provided for by the new criminal law.</w:t>
      </w:r>
    </w:p>
  </w:footnote>
  <w:footnote w:id="9">
    <w:p w14:paraId="686AF2AC" w14:textId="77777777" w:rsidR="00E61DD8" w:rsidRPr="00A2366C" w:rsidRDefault="00E61DD8" w:rsidP="00CF04D1">
      <w:pPr>
        <w:pStyle w:val="FootnoteText"/>
        <w:rPr>
          <w:lang w:val="en"/>
        </w:rPr>
      </w:pPr>
      <w:r>
        <w:tab/>
      </w:r>
      <w:r>
        <w:rPr>
          <w:rStyle w:val="FootnoteReference"/>
        </w:rPr>
        <w:footnoteRef/>
      </w:r>
      <w:r>
        <w:tab/>
        <w:t>Article 412, paragraph 1, provides that submi</w:t>
      </w:r>
      <w:r w:rsidR="00CF04D1">
        <w:t>tting</w:t>
      </w:r>
      <w:r>
        <w:t xml:space="preserve"> complaints or applications to the supervisory review courts that </w:t>
      </w:r>
      <w:r w:rsidR="00CF04D1">
        <w:t>have</w:t>
      </w:r>
      <w:r w:rsidR="00E01791">
        <w:t xml:space="preserve"> </w:t>
      </w:r>
      <w:r>
        <w:t xml:space="preserve">dismissed them </w:t>
      </w:r>
      <w:r w:rsidR="00CF04D1">
        <w:t>previously i</w:t>
      </w:r>
      <w:r>
        <w:t xml:space="preserve">s inadmissible. </w:t>
      </w:r>
    </w:p>
  </w:footnote>
  <w:footnote w:id="10">
    <w:p w14:paraId="69ECA512" w14:textId="77777777" w:rsidR="00E61DD8" w:rsidRDefault="00E61DD8" w:rsidP="000941D9">
      <w:pPr>
        <w:pStyle w:val="FootnoteText"/>
      </w:pPr>
      <w:r>
        <w:tab/>
      </w:r>
      <w:r>
        <w:rPr>
          <w:rStyle w:val="FootnoteReference"/>
        </w:rPr>
        <w:footnoteRef/>
      </w:r>
      <w:r>
        <w:tab/>
        <w:t>According to the judgement of the first instance court, the author’s prison term started on 7 December 1998.</w:t>
      </w:r>
    </w:p>
  </w:footnote>
  <w:footnote w:id="11">
    <w:p w14:paraId="368595A8" w14:textId="77777777" w:rsidR="00E61DD8" w:rsidRDefault="00E61DD8" w:rsidP="00596740">
      <w:pPr>
        <w:pStyle w:val="FootnoteText"/>
      </w:pPr>
      <w:r>
        <w:tab/>
      </w:r>
      <w:r>
        <w:rPr>
          <w:rStyle w:val="FootnoteReference"/>
        </w:rPr>
        <w:footnoteRef/>
      </w:r>
      <w:r>
        <w:tab/>
        <w:t>In its submission dated 25 October 2013, the State party reiterated its position regarding the author’s claims.</w:t>
      </w:r>
    </w:p>
  </w:footnote>
  <w:footnote w:id="12">
    <w:p w14:paraId="3DCB1A02" w14:textId="77777777" w:rsidR="00E61DD8" w:rsidRDefault="00E61DD8" w:rsidP="00F552BE">
      <w:pPr>
        <w:pStyle w:val="FootnoteText"/>
      </w:pPr>
      <w:r>
        <w:tab/>
      </w:r>
      <w:r>
        <w:rPr>
          <w:rStyle w:val="FootnoteReference"/>
        </w:rPr>
        <w:footnoteRef/>
      </w:r>
      <w:r>
        <w:tab/>
      </w:r>
      <w:r w:rsidRPr="00A808EF">
        <w:t>See</w:t>
      </w:r>
      <w:r w:rsidRPr="002A1382">
        <w:t xml:space="preserve"> </w:t>
      </w:r>
      <w:r w:rsidR="00F552BE">
        <w:t>c</w:t>
      </w:r>
      <w:r w:rsidRPr="00596740">
        <w:t>ommunication</w:t>
      </w:r>
      <w:r>
        <w:t xml:space="preserve"> No. 1342/2005, </w:t>
      </w:r>
      <w:r w:rsidRPr="00626304">
        <w:rPr>
          <w:i/>
        </w:rPr>
        <w:t>Gavrilin v. Belarus</w:t>
      </w:r>
      <w:r>
        <w:t>, Views adopted on 28 March 2007, para</w:t>
      </w:r>
      <w:r w:rsidR="00F552BE">
        <w:t>.</w:t>
      </w:r>
      <w:r>
        <w:t xml:space="preserve"> 8.3. </w:t>
      </w:r>
    </w:p>
  </w:footnote>
  <w:footnote w:id="13">
    <w:p w14:paraId="33B19F9C" w14:textId="77777777" w:rsidR="00E61DD8" w:rsidRPr="00B7574D" w:rsidRDefault="00E61DD8" w:rsidP="00F552BE">
      <w:pPr>
        <w:pStyle w:val="FootnoteText"/>
      </w:pPr>
      <w:r>
        <w:tab/>
      </w:r>
      <w:r>
        <w:rPr>
          <w:rStyle w:val="FootnoteReference"/>
        </w:rPr>
        <w:footnoteRef/>
      </w:r>
      <w:r>
        <w:tab/>
      </w:r>
      <w:r w:rsidRPr="00A808EF">
        <w:t>See</w:t>
      </w:r>
      <w:r w:rsidRPr="002A1382">
        <w:t xml:space="preserve"> </w:t>
      </w:r>
      <w:r w:rsidR="00F552BE">
        <w:t>c</w:t>
      </w:r>
      <w:r w:rsidRPr="00B7574D">
        <w:t>ommunication No.</w:t>
      </w:r>
      <w:r w:rsidR="00F552BE">
        <w:t xml:space="preserve"> </w:t>
      </w:r>
      <w:r w:rsidRPr="00B7574D">
        <w:t>875/1999</w:t>
      </w:r>
      <w:r>
        <w:t xml:space="preserve">, </w:t>
      </w:r>
      <w:r w:rsidRPr="00626304">
        <w:rPr>
          <w:i/>
        </w:rPr>
        <w:t>Filipovich v. Lithuania</w:t>
      </w:r>
      <w:r w:rsidRPr="00B7574D">
        <w:t>, Views adopted on 4 August 2003</w:t>
      </w:r>
      <w:r>
        <w:t>,</w:t>
      </w:r>
      <w:r w:rsidR="00F552BE">
        <w:br/>
      </w:r>
      <w:r>
        <w:t>para</w:t>
      </w:r>
      <w:r w:rsidR="00F552BE">
        <w:t xml:space="preserve">. </w:t>
      </w:r>
      <w:r>
        <w:t xml:space="preserve">7.2.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3D970" w14:textId="77777777" w:rsidR="00E61DD8" w:rsidRPr="00781C83" w:rsidRDefault="00E61DD8" w:rsidP="00781C83">
    <w:pPr>
      <w:pStyle w:val="Header"/>
    </w:pPr>
    <w:r>
      <w:t>CCPR/C/114/D/2043/2011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966C0" w14:textId="77777777" w:rsidR="00E61DD8" w:rsidRPr="00781C83" w:rsidRDefault="00E61DD8" w:rsidP="00781C83">
    <w:pPr>
      <w:pStyle w:val="Header"/>
      <w:jc w:val="right"/>
    </w:pPr>
    <w:r>
      <w:t>CCPR/C/114/D/2043/2011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572556"/>
    <w:multiLevelType w:val="multilevel"/>
    <w:tmpl w:val="2314305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E723E4B"/>
    <w:multiLevelType w:val="multilevel"/>
    <w:tmpl w:val="E1F0726A"/>
    <w:lvl w:ilvl="0">
      <w:start w:val="2"/>
      <w:numFmt w:val="decimal"/>
      <w:lvlText w:val="%1"/>
      <w:lvlJc w:val="left"/>
      <w:pPr>
        <w:tabs>
          <w:tab w:val="num" w:pos="720"/>
        </w:tabs>
        <w:ind w:left="720" w:hanging="720"/>
      </w:pPr>
    </w:lvl>
    <w:lvl w:ilvl="1">
      <w:start w:val="1"/>
      <w:numFmt w:val="decimal"/>
      <w:lvlText w:val="%1.%2"/>
      <w:lvlJc w:val="left"/>
      <w:pPr>
        <w:tabs>
          <w:tab w:val="num" w:pos="1080"/>
        </w:tabs>
        <w:ind w:left="108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5306ABD"/>
    <w:multiLevelType w:val="multilevel"/>
    <w:tmpl w:val="23F6FBA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F5D195E"/>
    <w:multiLevelType w:val="hybridMultilevel"/>
    <w:tmpl w:val="BDC82ED6"/>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15:restartNumberingAfterBreak="0">
    <w:nsid w:val="600024E8"/>
    <w:multiLevelType w:val="hybridMultilevel"/>
    <w:tmpl w:val="2E8AED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156EAE"/>
    <w:multiLevelType w:val="multilevel"/>
    <w:tmpl w:val="99A83FA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480"/>
        </w:tabs>
        <w:ind w:left="480" w:hanging="720"/>
      </w:pPr>
    </w:lvl>
    <w:lvl w:ilvl="3">
      <w:start w:val="1"/>
      <w:numFmt w:val="decimal"/>
      <w:lvlText w:val="%1.%2.%3.%4"/>
      <w:lvlJc w:val="left"/>
      <w:pPr>
        <w:tabs>
          <w:tab w:val="num" w:pos="360"/>
        </w:tabs>
        <w:ind w:left="360" w:hanging="720"/>
      </w:pPr>
    </w:lvl>
    <w:lvl w:ilvl="4">
      <w:start w:val="1"/>
      <w:numFmt w:val="decimal"/>
      <w:lvlText w:val="%1.%2.%3.%4.%5"/>
      <w:lvlJc w:val="left"/>
      <w:pPr>
        <w:tabs>
          <w:tab w:val="num" w:pos="600"/>
        </w:tabs>
        <w:ind w:left="600" w:hanging="1080"/>
      </w:pPr>
    </w:lvl>
    <w:lvl w:ilvl="5">
      <w:start w:val="1"/>
      <w:numFmt w:val="decimal"/>
      <w:lvlText w:val="%1.%2.%3.%4.%5.%6"/>
      <w:lvlJc w:val="left"/>
      <w:pPr>
        <w:tabs>
          <w:tab w:val="num" w:pos="480"/>
        </w:tabs>
        <w:ind w:left="480" w:hanging="1080"/>
      </w:pPr>
    </w:lvl>
    <w:lvl w:ilvl="6">
      <w:start w:val="1"/>
      <w:numFmt w:val="decimal"/>
      <w:lvlText w:val="%1.%2.%3.%4.%5.%6.%7"/>
      <w:lvlJc w:val="left"/>
      <w:pPr>
        <w:tabs>
          <w:tab w:val="num" w:pos="720"/>
        </w:tabs>
        <w:ind w:left="720" w:hanging="1440"/>
      </w:pPr>
    </w:lvl>
    <w:lvl w:ilvl="7">
      <w:start w:val="1"/>
      <w:numFmt w:val="decimal"/>
      <w:lvlText w:val="%1.%2.%3.%4.%5.%6.%7.%8"/>
      <w:lvlJc w:val="left"/>
      <w:pPr>
        <w:tabs>
          <w:tab w:val="num" w:pos="600"/>
        </w:tabs>
        <w:ind w:left="600" w:hanging="1440"/>
      </w:pPr>
    </w:lvl>
    <w:lvl w:ilvl="8">
      <w:start w:val="1"/>
      <w:numFmt w:val="decimal"/>
      <w:lvlText w:val="%1.%2.%3.%4.%5.%6.%7.%8.%9"/>
      <w:lvlJc w:val="left"/>
      <w:pPr>
        <w:tabs>
          <w:tab w:val="num" w:pos="840"/>
        </w:tabs>
        <w:ind w:left="840" w:hanging="1800"/>
      </w:pPr>
    </w:lvl>
  </w:abstractNum>
  <w:num w:numId="1">
    <w:abstractNumId w:val="0"/>
  </w:num>
  <w:num w:numId="2">
    <w:abstractNumId w:val="6"/>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5"/>
  </w:num>
  <w:num w:numId="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A5"/>
    <w:rsid w:val="00001C66"/>
    <w:rsid w:val="0000256E"/>
    <w:rsid w:val="000038FB"/>
    <w:rsid w:val="000044E2"/>
    <w:rsid w:val="00004609"/>
    <w:rsid w:val="000143D6"/>
    <w:rsid w:val="000150A6"/>
    <w:rsid w:val="00015C4E"/>
    <w:rsid w:val="000170C3"/>
    <w:rsid w:val="00020025"/>
    <w:rsid w:val="00023024"/>
    <w:rsid w:val="000254A9"/>
    <w:rsid w:val="00025D41"/>
    <w:rsid w:val="0002635B"/>
    <w:rsid w:val="00026C96"/>
    <w:rsid w:val="000272B3"/>
    <w:rsid w:val="000308D4"/>
    <w:rsid w:val="00032252"/>
    <w:rsid w:val="0003387B"/>
    <w:rsid w:val="00033CA8"/>
    <w:rsid w:val="00035143"/>
    <w:rsid w:val="00036F3F"/>
    <w:rsid w:val="000377A5"/>
    <w:rsid w:val="00037AD0"/>
    <w:rsid w:val="0004092D"/>
    <w:rsid w:val="00041994"/>
    <w:rsid w:val="00044639"/>
    <w:rsid w:val="00050F6B"/>
    <w:rsid w:val="00051509"/>
    <w:rsid w:val="000547DC"/>
    <w:rsid w:val="00055FFE"/>
    <w:rsid w:val="00056F3B"/>
    <w:rsid w:val="00057174"/>
    <w:rsid w:val="0005782B"/>
    <w:rsid w:val="00057E97"/>
    <w:rsid w:val="0006027B"/>
    <w:rsid w:val="0006055C"/>
    <w:rsid w:val="00060C3A"/>
    <w:rsid w:val="00065867"/>
    <w:rsid w:val="00066439"/>
    <w:rsid w:val="00066476"/>
    <w:rsid w:val="00072C8C"/>
    <w:rsid w:val="00073226"/>
    <w:rsid w:val="000733B5"/>
    <w:rsid w:val="000745A7"/>
    <w:rsid w:val="00075EAD"/>
    <w:rsid w:val="00081815"/>
    <w:rsid w:val="00081BF7"/>
    <w:rsid w:val="0008245C"/>
    <w:rsid w:val="00090DEA"/>
    <w:rsid w:val="00090EFF"/>
    <w:rsid w:val="00091F15"/>
    <w:rsid w:val="00092E23"/>
    <w:rsid w:val="0009314E"/>
    <w:rsid w:val="000931C0"/>
    <w:rsid w:val="000941D9"/>
    <w:rsid w:val="0009482E"/>
    <w:rsid w:val="000970C1"/>
    <w:rsid w:val="000A1007"/>
    <w:rsid w:val="000A16E8"/>
    <w:rsid w:val="000A310C"/>
    <w:rsid w:val="000A34B1"/>
    <w:rsid w:val="000A419F"/>
    <w:rsid w:val="000A5559"/>
    <w:rsid w:val="000B02C3"/>
    <w:rsid w:val="000B1424"/>
    <w:rsid w:val="000B175B"/>
    <w:rsid w:val="000B1788"/>
    <w:rsid w:val="000B20E9"/>
    <w:rsid w:val="000B3A0F"/>
    <w:rsid w:val="000B4EF7"/>
    <w:rsid w:val="000C2AB9"/>
    <w:rsid w:val="000C2C03"/>
    <w:rsid w:val="000C2D2E"/>
    <w:rsid w:val="000C2E06"/>
    <w:rsid w:val="000C46B7"/>
    <w:rsid w:val="000C4DA0"/>
    <w:rsid w:val="000C6635"/>
    <w:rsid w:val="000C6693"/>
    <w:rsid w:val="000C7E5C"/>
    <w:rsid w:val="000D0858"/>
    <w:rsid w:val="000D0ABB"/>
    <w:rsid w:val="000E0415"/>
    <w:rsid w:val="000E1E5F"/>
    <w:rsid w:val="000E20F8"/>
    <w:rsid w:val="000E4A6F"/>
    <w:rsid w:val="000F39F9"/>
    <w:rsid w:val="000F471C"/>
    <w:rsid w:val="000F6A6B"/>
    <w:rsid w:val="000F7273"/>
    <w:rsid w:val="000F7E69"/>
    <w:rsid w:val="00100C94"/>
    <w:rsid w:val="001037D9"/>
    <w:rsid w:val="00104A40"/>
    <w:rsid w:val="001103AA"/>
    <w:rsid w:val="001114B3"/>
    <w:rsid w:val="001133DB"/>
    <w:rsid w:val="00117506"/>
    <w:rsid w:val="0011787A"/>
    <w:rsid w:val="001213FA"/>
    <w:rsid w:val="001218B5"/>
    <w:rsid w:val="001227F1"/>
    <w:rsid w:val="00123712"/>
    <w:rsid w:val="001247FE"/>
    <w:rsid w:val="001304B5"/>
    <w:rsid w:val="001306DD"/>
    <w:rsid w:val="00130D48"/>
    <w:rsid w:val="00131B64"/>
    <w:rsid w:val="0013235B"/>
    <w:rsid w:val="001340B3"/>
    <w:rsid w:val="001350B1"/>
    <w:rsid w:val="00137249"/>
    <w:rsid w:val="00142286"/>
    <w:rsid w:val="0014393C"/>
    <w:rsid w:val="00147AE4"/>
    <w:rsid w:val="00150412"/>
    <w:rsid w:val="00151655"/>
    <w:rsid w:val="00153D29"/>
    <w:rsid w:val="00154DA5"/>
    <w:rsid w:val="0015757D"/>
    <w:rsid w:val="00157820"/>
    <w:rsid w:val="00161364"/>
    <w:rsid w:val="00162DB2"/>
    <w:rsid w:val="00164592"/>
    <w:rsid w:val="00164C92"/>
    <w:rsid w:val="00165F3A"/>
    <w:rsid w:val="0017068F"/>
    <w:rsid w:val="00170DDB"/>
    <w:rsid w:val="001721A9"/>
    <w:rsid w:val="0017277A"/>
    <w:rsid w:val="001756D6"/>
    <w:rsid w:val="001758E2"/>
    <w:rsid w:val="00177A3E"/>
    <w:rsid w:val="00183968"/>
    <w:rsid w:val="001861DE"/>
    <w:rsid w:val="00187211"/>
    <w:rsid w:val="00187687"/>
    <w:rsid w:val="00187A7F"/>
    <w:rsid w:val="00191673"/>
    <w:rsid w:val="00192AD3"/>
    <w:rsid w:val="001936B1"/>
    <w:rsid w:val="001958B0"/>
    <w:rsid w:val="001965C0"/>
    <w:rsid w:val="00196964"/>
    <w:rsid w:val="00196CDF"/>
    <w:rsid w:val="00197E9E"/>
    <w:rsid w:val="001A09DE"/>
    <w:rsid w:val="001A11CB"/>
    <w:rsid w:val="001A2C08"/>
    <w:rsid w:val="001A32CB"/>
    <w:rsid w:val="001A3477"/>
    <w:rsid w:val="001A4429"/>
    <w:rsid w:val="001A660B"/>
    <w:rsid w:val="001A6686"/>
    <w:rsid w:val="001A688B"/>
    <w:rsid w:val="001A6A20"/>
    <w:rsid w:val="001A723C"/>
    <w:rsid w:val="001A7E43"/>
    <w:rsid w:val="001B296C"/>
    <w:rsid w:val="001B34E6"/>
    <w:rsid w:val="001B4041"/>
    <w:rsid w:val="001B4B04"/>
    <w:rsid w:val="001B504F"/>
    <w:rsid w:val="001B6D0E"/>
    <w:rsid w:val="001C5BED"/>
    <w:rsid w:val="001C657F"/>
    <w:rsid w:val="001C6663"/>
    <w:rsid w:val="001C6B73"/>
    <w:rsid w:val="001C7895"/>
    <w:rsid w:val="001D0C8C"/>
    <w:rsid w:val="001D15CF"/>
    <w:rsid w:val="001D26DF"/>
    <w:rsid w:val="001D3743"/>
    <w:rsid w:val="001D3A03"/>
    <w:rsid w:val="001E06D9"/>
    <w:rsid w:val="001E10EC"/>
    <w:rsid w:val="001E48A9"/>
    <w:rsid w:val="001E718D"/>
    <w:rsid w:val="001F22C0"/>
    <w:rsid w:val="002014C3"/>
    <w:rsid w:val="00202DA8"/>
    <w:rsid w:val="002069CC"/>
    <w:rsid w:val="00206CCD"/>
    <w:rsid w:val="00206E35"/>
    <w:rsid w:val="00211E0B"/>
    <w:rsid w:val="00213231"/>
    <w:rsid w:val="00215415"/>
    <w:rsid w:val="00216766"/>
    <w:rsid w:val="00217D74"/>
    <w:rsid w:val="00220677"/>
    <w:rsid w:val="00221F0A"/>
    <w:rsid w:val="00222689"/>
    <w:rsid w:val="00223C72"/>
    <w:rsid w:val="0022501D"/>
    <w:rsid w:val="002256A1"/>
    <w:rsid w:val="002314F8"/>
    <w:rsid w:val="0023210C"/>
    <w:rsid w:val="00235981"/>
    <w:rsid w:val="002361D0"/>
    <w:rsid w:val="00237215"/>
    <w:rsid w:val="00240564"/>
    <w:rsid w:val="00240896"/>
    <w:rsid w:val="002509A6"/>
    <w:rsid w:val="0025162E"/>
    <w:rsid w:val="00252A1C"/>
    <w:rsid w:val="0025397B"/>
    <w:rsid w:val="0025487E"/>
    <w:rsid w:val="00256E15"/>
    <w:rsid w:val="00256FFF"/>
    <w:rsid w:val="00257DCA"/>
    <w:rsid w:val="002633B3"/>
    <w:rsid w:val="002650C2"/>
    <w:rsid w:val="00266EB7"/>
    <w:rsid w:val="00267F5F"/>
    <w:rsid w:val="00271484"/>
    <w:rsid w:val="002716E5"/>
    <w:rsid w:val="00272837"/>
    <w:rsid w:val="00273AA5"/>
    <w:rsid w:val="00273B14"/>
    <w:rsid w:val="00275D62"/>
    <w:rsid w:val="00277C4F"/>
    <w:rsid w:val="002803F6"/>
    <w:rsid w:val="00281144"/>
    <w:rsid w:val="00282899"/>
    <w:rsid w:val="00283604"/>
    <w:rsid w:val="002847AE"/>
    <w:rsid w:val="00284812"/>
    <w:rsid w:val="002863A9"/>
    <w:rsid w:val="00286B4D"/>
    <w:rsid w:val="00287BBA"/>
    <w:rsid w:val="0029365C"/>
    <w:rsid w:val="00293B90"/>
    <w:rsid w:val="0029571B"/>
    <w:rsid w:val="0029754C"/>
    <w:rsid w:val="002978B9"/>
    <w:rsid w:val="002A1382"/>
    <w:rsid w:val="002A1B3F"/>
    <w:rsid w:val="002A47D2"/>
    <w:rsid w:val="002A4B67"/>
    <w:rsid w:val="002A5CAA"/>
    <w:rsid w:val="002A63E7"/>
    <w:rsid w:val="002A6B45"/>
    <w:rsid w:val="002A728F"/>
    <w:rsid w:val="002B3B76"/>
    <w:rsid w:val="002B3F1E"/>
    <w:rsid w:val="002C0CE6"/>
    <w:rsid w:val="002C1604"/>
    <w:rsid w:val="002C3114"/>
    <w:rsid w:val="002C5BCD"/>
    <w:rsid w:val="002D18B7"/>
    <w:rsid w:val="002D3481"/>
    <w:rsid w:val="002D3AF5"/>
    <w:rsid w:val="002D3C63"/>
    <w:rsid w:val="002D4CB1"/>
    <w:rsid w:val="002D5E67"/>
    <w:rsid w:val="002D7312"/>
    <w:rsid w:val="002D77A1"/>
    <w:rsid w:val="002D78C4"/>
    <w:rsid w:val="002D7B9A"/>
    <w:rsid w:val="002E1084"/>
    <w:rsid w:val="002E2676"/>
    <w:rsid w:val="002E296F"/>
    <w:rsid w:val="002E52B1"/>
    <w:rsid w:val="002E5C99"/>
    <w:rsid w:val="002E6668"/>
    <w:rsid w:val="002E69AE"/>
    <w:rsid w:val="002E7E1D"/>
    <w:rsid w:val="002F039C"/>
    <w:rsid w:val="002F175C"/>
    <w:rsid w:val="002F1942"/>
    <w:rsid w:val="002F4557"/>
    <w:rsid w:val="002F5159"/>
    <w:rsid w:val="002F582A"/>
    <w:rsid w:val="002F6E95"/>
    <w:rsid w:val="003011E9"/>
    <w:rsid w:val="0030138D"/>
    <w:rsid w:val="003023A7"/>
    <w:rsid w:val="00302B85"/>
    <w:rsid w:val="00302E2C"/>
    <w:rsid w:val="00306124"/>
    <w:rsid w:val="00307164"/>
    <w:rsid w:val="00307752"/>
    <w:rsid w:val="00307DE2"/>
    <w:rsid w:val="003134AC"/>
    <w:rsid w:val="00314FBB"/>
    <w:rsid w:val="0031786D"/>
    <w:rsid w:val="00320E07"/>
    <w:rsid w:val="003229D8"/>
    <w:rsid w:val="0032321C"/>
    <w:rsid w:val="00323632"/>
    <w:rsid w:val="003241CF"/>
    <w:rsid w:val="00326293"/>
    <w:rsid w:val="00327502"/>
    <w:rsid w:val="00330D27"/>
    <w:rsid w:val="00331F5B"/>
    <w:rsid w:val="00333808"/>
    <w:rsid w:val="00335E3A"/>
    <w:rsid w:val="00341696"/>
    <w:rsid w:val="00341D96"/>
    <w:rsid w:val="00343B02"/>
    <w:rsid w:val="003449C7"/>
    <w:rsid w:val="00352709"/>
    <w:rsid w:val="003544BE"/>
    <w:rsid w:val="00354AA8"/>
    <w:rsid w:val="00363A98"/>
    <w:rsid w:val="00364B76"/>
    <w:rsid w:val="00365CF8"/>
    <w:rsid w:val="0036645D"/>
    <w:rsid w:val="00367567"/>
    <w:rsid w:val="003705C9"/>
    <w:rsid w:val="00371095"/>
    <w:rsid w:val="00371178"/>
    <w:rsid w:val="00372B3F"/>
    <w:rsid w:val="0037301C"/>
    <w:rsid w:val="003730DD"/>
    <w:rsid w:val="00373489"/>
    <w:rsid w:val="003736A1"/>
    <w:rsid w:val="00375119"/>
    <w:rsid w:val="0037562B"/>
    <w:rsid w:val="003771A2"/>
    <w:rsid w:val="00377828"/>
    <w:rsid w:val="00383356"/>
    <w:rsid w:val="0038336C"/>
    <w:rsid w:val="00383AA6"/>
    <w:rsid w:val="00383BB7"/>
    <w:rsid w:val="00386624"/>
    <w:rsid w:val="00391621"/>
    <w:rsid w:val="0039347E"/>
    <w:rsid w:val="003939C2"/>
    <w:rsid w:val="00394F89"/>
    <w:rsid w:val="00395FA4"/>
    <w:rsid w:val="00396E77"/>
    <w:rsid w:val="003A1602"/>
    <w:rsid w:val="003A4933"/>
    <w:rsid w:val="003A6810"/>
    <w:rsid w:val="003A70FC"/>
    <w:rsid w:val="003A7654"/>
    <w:rsid w:val="003A7AF2"/>
    <w:rsid w:val="003B1B42"/>
    <w:rsid w:val="003B6980"/>
    <w:rsid w:val="003C0126"/>
    <w:rsid w:val="003C02AB"/>
    <w:rsid w:val="003C0682"/>
    <w:rsid w:val="003C2CC4"/>
    <w:rsid w:val="003C61F6"/>
    <w:rsid w:val="003C730E"/>
    <w:rsid w:val="003D1C5A"/>
    <w:rsid w:val="003D1CE6"/>
    <w:rsid w:val="003D2795"/>
    <w:rsid w:val="003D3583"/>
    <w:rsid w:val="003D3E59"/>
    <w:rsid w:val="003D42FB"/>
    <w:rsid w:val="003D4B23"/>
    <w:rsid w:val="003D4D19"/>
    <w:rsid w:val="003D52B0"/>
    <w:rsid w:val="003D774D"/>
    <w:rsid w:val="003E2BA4"/>
    <w:rsid w:val="003E5AAB"/>
    <w:rsid w:val="003E6A36"/>
    <w:rsid w:val="003E6F7E"/>
    <w:rsid w:val="003F2847"/>
    <w:rsid w:val="00401B52"/>
    <w:rsid w:val="00402308"/>
    <w:rsid w:val="00405473"/>
    <w:rsid w:val="00405D94"/>
    <w:rsid w:val="00410C89"/>
    <w:rsid w:val="00414931"/>
    <w:rsid w:val="00414B35"/>
    <w:rsid w:val="00416F62"/>
    <w:rsid w:val="004227C0"/>
    <w:rsid w:val="0042596A"/>
    <w:rsid w:val="0042653E"/>
    <w:rsid w:val="00426B9B"/>
    <w:rsid w:val="0043003F"/>
    <w:rsid w:val="0043136D"/>
    <w:rsid w:val="00431952"/>
    <w:rsid w:val="004325CB"/>
    <w:rsid w:val="0043356D"/>
    <w:rsid w:val="0043560C"/>
    <w:rsid w:val="00436B33"/>
    <w:rsid w:val="00441384"/>
    <w:rsid w:val="00442A83"/>
    <w:rsid w:val="00442C9D"/>
    <w:rsid w:val="0044391E"/>
    <w:rsid w:val="0044569C"/>
    <w:rsid w:val="00445A57"/>
    <w:rsid w:val="00450D0E"/>
    <w:rsid w:val="00452A3C"/>
    <w:rsid w:val="00454782"/>
    <w:rsid w:val="0045495B"/>
    <w:rsid w:val="00455C43"/>
    <w:rsid w:val="0045628A"/>
    <w:rsid w:val="004607BF"/>
    <w:rsid w:val="004613DA"/>
    <w:rsid w:val="004623A9"/>
    <w:rsid w:val="00464446"/>
    <w:rsid w:val="00466936"/>
    <w:rsid w:val="00466B4C"/>
    <w:rsid w:val="00466FA4"/>
    <w:rsid w:val="00467FD9"/>
    <w:rsid w:val="0047173A"/>
    <w:rsid w:val="00473963"/>
    <w:rsid w:val="00476073"/>
    <w:rsid w:val="00481CB1"/>
    <w:rsid w:val="00483C98"/>
    <w:rsid w:val="00487488"/>
    <w:rsid w:val="00487FB8"/>
    <w:rsid w:val="004915E8"/>
    <w:rsid w:val="0049219B"/>
    <w:rsid w:val="0049418F"/>
    <w:rsid w:val="0049482E"/>
    <w:rsid w:val="00496433"/>
    <w:rsid w:val="00497CBC"/>
    <w:rsid w:val="004A28A7"/>
    <w:rsid w:val="004A4E95"/>
    <w:rsid w:val="004B0A2C"/>
    <w:rsid w:val="004B231E"/>
    <w:rsid w:val="004B23B2"/>
    <w:rsid w:val="004B2989"/>
    <w:rsid w:val="004B44C6"/>
    <w:rsid w:val="004B6A14"/>
    <w:rsid w:val="004C0120"/>
    <w:rsid w:val="004C0335"/>
    <w:rsid w:val="004C0B81"/>
    <w:rsid w:val="004C17A4"/>
    <w:rsid w:val="004C1F17"/>
    <w:rsid w:val="004C1FEA"/>
    <w:rsid w:val="004C41C7"/>
    <w:rsid w:val="004C55DD"/>
    <w:rsid w:val="004C5CCC"/>
    <w:rsid w:val="004C6EEF"/>
    <w:rsid w:val="004D150D"/>
    <w:rsid w:val="004D5429"/>
    <w:rsid w:val="004D5BD1"/>
    <w:rsid w:val="004E1503"/>
    <w:rsid w:val="004E15CC"/>
    <w:rsid w:val="004E2932"/>
    <w:rsid w:val="004E2BC5"/>
    <w:rsid w:val="004E33C4"/>
    <w:rsid w:val="004E5775"/>
    <w:rsid w:val="004F03BA"/>
    <w:rsid w:val="004F0BF2"/>
    <w:rsid w:val="004F1D45"/>
    <w:rsid w:val="004F1EAF"/>
    <w:rsid w:val="004F5078"/>
    <w:rsid w:val="004F79A8"/>
    <w:rsid w:val="00501A1B"/>
    <w:rsid w:val="00501CB1"/>
    <w:rsid w:val="0050328D"/>
    <w:rsid w:val="00503BEC"/>
    <w:rsid w:val="00506870"/>
    <w:rsid w:val="00511D0D"/>
    <w:rsid w:val="00513D07"/>
    <w:rsid w:val="005167F1"/>
    <w:rsid w:val="00517FB5"/>
    <w:rsid w:val="0052136D"/>
    <w:rsid w:val="005232E6"/>
    <w:rsid w:val="00523F32"/>
    <w:rsid w:val="00525395"/>
    <w:rsid w:val="00526FF4"/>
    <w:rsid w:val="0052775E"/>
    <w:rsid w:val="005327C2"/>
    <w:rsid w:val="00535B0F"/>
    <w:rsid w:val="005409DC"/>
    <w:rsid w:val="0054109A"/>
    <w:rsid w:val="0054150C"/>
    <w:rsid w:val="00541C81"/>
    <w:rsid w:val="005420F2"/>
    <w:rsid w:val="005446A8"/>
    <w:rsid w:val="00545B97"/>
    <w:rsid w:val="00550D3B"/>
    <w:rsid w:val="005514FD"/>
    <w:rsid w:val="00560319"/>
    <w:rsid w:val="005609D7"/>
    <w:rsid w:val="00560BA5"/>
    <w:rsid w:val="00560C2D"/>
    <w:rsid w:val="00561B68"/>
    <w:rsid w:val="005628B6"/>
    <w:rsid w:val="00564714"/>
    <w:rsid w:val="00566179"/>
    <w:rsid w:val="0056624F"/>
    <w:rsid w:val="0057115D"/>
    <w:rsid w:val="005722B3"/>
    <w:rsid w:val="005728FB"/>
    <w:rsid w:val="00572DA9"/>
    <w:rsid w:val="005747B1"/>
    <w:rsid w:val="005806FC"/>
    <w:rsid w:val="00582F24"/>
    <w:rsid w:val="005848AE"/>
    <w:rsid w:val="005848B3"/>
    <w:rsid w:val="00590F87"/>
    <w:rsid w:val="00591D8C"/>
    <w:rsid w:val="00592C4A"/>
    <w:rsid w:val="00596740"/>
    <w:rsid w:val="005967A6"/>
    <w:rsid w:val="005A0415"/>
    <w:rsid w:val="005A1538"/>
    <w:rsid w:val="005A2ACD"/>
    <w:rsid w:val="005A4536"/>
    <w:rsid w:val="005A7B9A"/>
    <w:rsid w:val="005B09AE"/>
    <w:rsid w:val="005B15AD"/>
    <w:rsid w:val="005B271F"/>
    <w:rsid w:val="005B38A5"/>
    <w:rsid w:val="005B3DB3"/>
    <w:rsid w:val="005B4F61"/>
    <w:rsid w:val="005B62ED"/>
    <w:rsid w:val="005C2131"/>
    <w:rsid w:val="005C223E"/>
    <w:rsid w:val="005C3EA4"/>
    <w:rsid w:val="005C413D"/>
    <w:rsid w:val="005C4A9E"/>
    <w:rsid w:val="005C7E97"/>
    <w:rsid w:val="005C7EF8"/>
    <w:rsid w:val="005D4079"/>
    <w:rsid w:val="005D5721"/>
    <w:rsid w:val="005D5AF5"/>
    <w:rsid w:val="005D7CB5"/>
    <w:rsid w:val="005E0578"/>
    <w:rsid w:val="005E2541"/>
    <w:rsid w:val="005E2F71"/>
    <w:rsid w:val="005E395D"/>
    <w:rsid w:val="005E39A3"/>
    <w:rsid w:val="005E5805"/>
    <w:rsid w:val="005E783D"/>
    <w:rsid w:val="005F2A25"/>
    <w:rsid w:val="005F322F"/>
    <w:rsid w:val="005F5699"/>
    <w:rsid w:val="005F659F"/>
    <w:rsid w:val="005F7717"/>
    <w:rsid w:val="005F7B75"/>
    <w:rsid w:val="005F7F93"/>
    <w:rsid w:val="00600072"/>
    <w:rsid w:val="006001EE"/>
    <w:rsid w:val="00602852"/>
    <w:rsid w:val="00605042"/>
    <w:rsid w:val="0060538A"/>
    <w:rsid w:val="006053D4"/>
    <w:rsid w:val="00607BC1"/>
    <w:rsid w:val="006108E0"/>
    <w:rsid w:val="0061102A"/>
    <w:rsid w:val="0061152B"/>
    <w:rsid w:val="00611FC4"/>
    <w:rsid w:val="00612F9B"/>
    <w:rsid w:val="0061466F"/>
    <w:rsid w:val="006148AF"/>
    <w:rsid w:val="006165FA"/>
    <w:rsid w:val="006176FB"/>
    <w:rsid w:val="00617C93"/>
    <w:rsid w:val="006207A2"/>
    <w:rsid w:val="00620934"/>
    <w:rsid w:val="00623FD3"/>
    <w:rsid w:val="00624296"/>
    <w:rsid w:val="0062462D"/>
    <w:rsid w:val="00625110"/>
    <w:rsid w:val="00625776"/>
    <w:rsid w:val="00625EF4"/>
    <w:rsid w:val="00626304"/>
    <w:rsid w:val="006274AD"/>
    <w:rsid w:val="00627FB0"/>
    <w:rsid w:val="00631C31"/>
    <w:rsid w:val="00632FA5"/>
    <w:rsid w:val="0063379B"/>
    <w:rsid w:val="00640B26"/>
    <w:rsid w:val="00640C76"/>
    <w:rsid w:val="00645379"/>
    <w:rsid w:val="0064660E"/>
    <w:rsid w:val="00652D0A"/>
    <w:rsid w:val="00653DBF"/>
    <w:rsid w:val="00654447"/>
    <w:rsid w:val="0065488D"/>
    <w:rsid w:val="00655BF6"/>
    <w:rsid w:val="0065686A"/>
    <w:rsid w:val="00657584"/>
    <w:rsid w:val="00661073"/>
    <w:rsid w:val="00661C41"/>
    <w:rsid w:val="00662BB6"/>
    <w:rsid w:val="00662D2D"/>
    <w:rsid w:val="006637A4"/>
    <w:rsid w:val="00667B14"/>
    <w:rsid w:val="00671948"/>
    <w:rsid w:val="00671E55"/>
    <w:rsid w:val="00672110"/>
    <w:rsid w:val="00673B22"/>
    <w:rsid w:val="006743E9"/>
    <w:rsid w:val="00681702"/>
    <w:rsid w:val="00682284"/>
    <w:rsid w:val="006838C8"/>
    <w:rsid w:val="00684241"/>
    <w:rsid w:val="00684C21"/>
    <w:rsid w:val="00685BEA"/>
    <w:rsid w:val="00685FA6"/>
    <w:rsid w:val="0068656F"/>
    <w:rsid w:val="0068702F"/>
    <w:rsid w:val="0068743C"/>
    <w:rsid w:val="006920E5"/>
    <w:rsid w:val="00692477"/>
    <w:rsid w:val="006929D6"/>
    <w:rsid w:val="00692BBE"/>
    <w:rsid w:val="00694948"/>
    <w:rsid w:val="00694AE6"/>
    <w:rsid w:val="006954C6"/>
    <w:rsid w:val="0069763E"/>
    <w:rsid w:val="006979F0"/>
    <w:rsid w:val="00697F3E"/>
    <w:rsid w:val="006A68FC"/>
    <w:rsid w:val="006A6E38"/>
    <w:rsid w:val="006B3D12"/>
    <w:rsid w:val="006B5103"/>
    <w:rsid w:val="006B58E5"/>
    <w:rsid w:val="006B767A"/>
    <w:rsid w:val="006C0435"/>
    <w:rsid w:val="006C3AD1"/>
    <w:rsid w:val="006C4CD3"/>
    <w:rsid w:val="006C79E9"/>
    <w:rsid w:val="006D2F5C"/>
    <w:rsid w:val="006D37AF"/>
    <w:rsid w:val="006D425B"/>
    <w:rsid w:val="006D51D0"/>
    <w:rsid w:val="006D65D9"/>
    <w:rsid w:val="006E1F68"/>
    <w:rsid w:val="006E3A63"/>
    <w:rsid w:val="006E564B"/>
    <w:rsid w:val="006E7191"/>
    <w:rsid w:val="006E7196"/>
    <w:rsid w:val="006F08BE"/>
    <w:rsid w:val="006F0E56"/>
    <w:rsid w:val="006F4020"/>
    <w:rsid w:val="006F6515"/>
    <w:rsid w:val="006F74A2"/>
    <w:rsid w:val="00701AD4"/>
    <w:rsid w:val="00701F97"/>
    <w:rsid w:val="00703577"/>
    <w:rsid w:val="007038A7"/>
    <w:rsid w:val="00704E12"/>
    <w:rsid w:val="00705625"/>
    <w:rsid w:val="00705827"/>
    <w:rsid w:val="0071171F"/>
    <w:rsid w:val="00711D7A"/>
    <w:rsid w:val="00711F00"/>
    <w:rsid w:val="007123A5"/>
    <w:rsid w:val="00713C74"/>
    <w:rsid w:val="00715DDD"/>
    <w:rsid w:val="00716EC7"/>
    <w:rsid w:val="00720EB5"/>
    <w:rsid w:val="00722A27"/>
    <w:rsid w:val="00722BDA"/>
    <w:rsid w:val="0072328C"/>
    <w:rsid w:val="007233D2"/>
    <w:rsid w:val="00724531"/>
    <w:rsid w:val="0072632A"/>
    <w:rsid w:val="00726A48"/>
    <w:rsid w:val="007327D5"/>
    <w:rsid w:val="00734ABE"/>
    <w:rsid w:val="007350AC"/>
    <w:rsid w:val="00735CA1"/>
    <w:rsid w:val="00736EAD"/>
    <w:rsid w:val="007412E7"/>
    <w:rsid w:val="00741A85"/>
    <w:rsid w:val="00743A83"/>
    <w:rsid w:val="00743EB0"/>
    <w:rsid w:val="007477E4"/>
    <w:rsid w:val="00747E8E"/>
    <w:rsid w:val="007509D5"/>
    <w:rsid w:val="007509EB"/>
    <w:rsid w:val="00750FC5"/>
    <w:rsid w:val="0075395D"/>
    <w:rsid w:val="00755565"/>
    <w:rsid w:val="00755C7D"/>
    <w:rsid w:val="00760043"/>
    <w:rsid w:val="00760B80"/>
    <w:rsid w:val="0076135D"/>
    <w:rsid w:val="00762878"/>
    <w:rsid w:val="007629C8"/>
    <w:rsid w:val="00762E39"/>
    <w:rsid w:val="007635DF"/>
    <w:rsid w:val="00764972"/>
    <w:rsid w:val="00765894"/>
    <w:rsid w:val="00766117"/>
    <w:rsid w:val="007670C1"/>
    <w:rsid w:val="007679E4"/>
    <w:rsid w:val="00770F8E"/>
    <w:rsid w:val="007740F1"/>
    <w:rsid w:val="00777322"/>
    <w:rsid w:val="00781C83"/>
    <w:rsid w:val="0078300D"/>
    <w:rsid w:val="007853A6"/>
    <w:rsid w:val="007856A4"/>
    <w:rsid w:val="00785DB2"/>
    <w:rsid w:val="00785DE0"/>
    <w:rsid w:val="00787E5D"/>
    <w:rsid w:val="0079034E"/>
    <w:rsid w:val="0079170F"/>
    <w:rsid w:val="00793EA6"/>
    <w:rsid w:val="00794A82"/>
    <w:rsid w:val="0079681E"/>
    <w:rsid w:val="00797924"/>
    <w:rsid w:val="007A0727"/>
    <w:rsid w:val="007A212F"/>
    <w:rsid w:val="007A2979"/>
    <w:rsid w:val="007A36C9"/>
    <w:rsid w:val="007B126A"/>
    <w:rsid w:val="007B28C1"/>
    <w:rsid w:val="007B3302"/>
    <w:rsid w:val="007B5006"/>
    <w:rsid w:val="007B6251"/>
    <w:rsid w:val="007B6BA5"/>
    <w:rsid w:val="007B7EB2"/>
    <w:rsid w:val="007C1241"/>
    <w:rsid w:val="007C3390"/>
    <w:rsid w:val="007C3FFB"/>
    <w:rsid w:val="007C47FA"/>
    <w:rsid w:val="007C4F4B"/>
    <w:rsid w:val="007C55AE"/>
    <w:rsid w:val="007C784F"/>
    <w:rsid w:val="007D00CF"/>
    <w:rsid w:val="007D0FCD"/>
    <w:rsid w:val="007D302F"/>
    <w:rsid w:val="007D564F"/>
    <w:rsid w:val="007E0B2D"/>
    <w:rsid w:val="007E0BD8"/>
    <w:rsid w:val="007E10C5"/>
    <w:rsid w:val="007E300F"/>
    <w:rsid w:val="007E4594"/>
    <w:rsid w:val="007E4BBE"/>
    <w:rsid w:val="007E533F"/>
    <w:rsid w:val="007E5EA4"/>
    <w:rsid w:val="007F0329"/>
    <w:rsid w:val="007F12FC"/>
    <w:rsid w:val="007F1A3F"/>
    <w:rsid w:val="007F2D0D"/>
    <w:rsid w:val="007F3A2C"/>
    <w:rsid w:val="007F4853"/>
    <w:rsid w:val="007F6611"/>
    <w:rsid w:val="0080191B"/>
    <w:rsid w:val="00802E1F"/>
    <w:rsid w:val="008031F8"/>
    <w:rsid w:val="00807168"/>
    <w:rsid w:val="008105B8"/>
    <w:rsid w:val="00811D06"/>
    <w:rsid w:val="008123D2"/>
    <w:rsid w:val="00812971"/>
    <w:rsid w:val="00813327"/>
    <w:rsid w:val="00813650"/>
    <w:rsid w:val="00815233"/>
    <w:rsid w:val="00816972"/>
    <w:rsid w:val="00816E23"/>
    <w:rsid w:val="00816E4A"/>
    <w:rsid w:val="00820F2B"/>
    <w:rsid w:val="008216A5"/>
    <w:rsid w:val="0082192D"/>
    <w:rsid w:val="00821A8D"/>
    <w:rsid w:val="008242D7"/>
    <w:rsid w:val="00824C73"/>
    <w:rsid w:val="00824F3E"/>
    <w:rsid w:val="00824FE2"/>
    <w:rsid w:val="00825659"/>
    <w:rsid w:val="008257B1"/>
    <w:rsid w:val="0083185A"/>
    <w:rsid w:val="00835ED8"/>
    <w:rsid w:val="00836985"/>
    <w:rsid w:val="00837CD7"/>
    <w:rsid w:val="00840639"/>
    <w:rsid w:val="008406D2"/>
    <w:rsid w:val="0084126F"/>
    <w:rsid w:val="00843359"/>
    <w:rsid w:val="00843767"/>
    <w:rsid w:val="00846666"/>
    <w:rsid w:val="0085056A"/>
    <w:rsid w:val="0085089C"/>
    <w:rsid w:val="00851F2A"/>
    <w:rsid w:val="008562B1"/>
    <w:rsid w:val="00860860"/>
    <w:rsid w:val="00861DD8"/>
    <w:rsid w:val="00861F22"/>
    <w:rsid w:val="00864BE5"/>
    <w:rsid w:val="00864F77"/>
    <w:rsid w:val="008655A1"/>
    <w:rsid w:val="008667C6"/>
    <w:rsid w:val="00866B90"/>
    <w:rsid w:val="008679D9"/>
    <w:rsid w:val="00871051"/>
    <w:rsid w:val="00872F86"/>
    <w:rsid w:val="008730D5"/>
    <w:rsid w:val="00874ABF"/>
    <w:rsid w:val="00875FE5"/>
    <w:rsid w:val="00880AF2"/>
    <w:rsid w:val="00880CEF"/>
    <w:rsid w:val="0088719B"/>
    <w:rsid w:val="00890222"/>
    <w:rsid w:val="0089025A"/>
    <w:rsid w:val="00891C2B"/>
    <w:rsid w:val="00895468"/>
    <w:rsid w:val="00896924"/>
    <w:rsid w:val="008979B1"/>
    <w:rsid w:val="00897F0A"/>
    <w:rsid w:val="008A09B5"/>
    <w:rsid w:val="008A1DB2"/>
    <w:rsid w:val="008A6AA9"/>
    <w:rsid w:val="008A6B25"/>
    <w:rsid w:val="008A6C4F"/>
    <w:rsid w:val="008A7288"/>
    <w:rsid w:val="008A7B45"/>
    <w:rsid w:val="008B012F"/>
    <w:rsid w:val="008B2335"/>
    <w:rsid w:val="008B2D88"/>
    <w:rsid w:val="008B3A9C"/>
    <w:rsid w:val="008B5909"/>
    <w:rsid w:val="008B7413"/>
    <w:rsid w:val="008C0D17"/>
    <w:rsid w:val="008C22CC"/>
    <w:rsid w:val="008C3223"/>
    <w:rsid w:val="008C4B5A"/>
    <w:rsid w:val="008C4EDC"/>
    <w:rsid w:val="008C68F4"/>
    <w:rsid w:val="008C6E58"/>
    <w:rsid w:val="008C77CB"/>
    <w:rsid w:val="008D1459"/>
    <w:rsid w:val="008D2914"/>
    <w:rsid w:val="008D3285"/>
    <w:rsid w:val="008D45A7"/>
    <w:rsid w:val="008D5FC5"/>
    <w:rsid w:val="008E0678"/>
    <w:rsid w:val="008E22D9"/>
    <w:rsid w:val="008E3E27"/>
    <w:rsid w:val="008E4C4F"/>
    <w:rsid w:val="008E5FF6"/>
    <w:rsid w:val="008E6067"/>
    <w:rsid w:val="008E7B56"/>
    <w:rsid w:val="008F02E2"/>
    <w:rsid w:val="008F0336"/>
    <w:rsid w:val="008F1FA8"/>
    <w:rsid w:val="008F40A4"/>
    <w:rsid w:val="00900036"/>
    <w:rsid w:val="0090331C"/>
    <w:rsid w:val="00903876"/>
    <w:rsid w:val="00905076"/>
    <w:rsid w:val="0090563A"/>
    <w:rsid w:val="00905EBD"/>
    <w:rsid w:val="0090637F"/>
    <w:rsid w:val="00906F42"/>
    <w:rsid w:val="00910F40"/>
    <w:rsid w:val="00911542"/>
    <w:rsid w:val="00911864"/>
    <w:rsid w:val="00912C08"/>
    <w:rsid w:val="00913616"/>
    <w:rsid w:val="0091377B"/>
    <w:rsid w:val="00921284"/>
    <w:rsid w:val="009223CA"/>
    <w:rsid w:val="0092410E"/>
    <w:rsid w:val="0092473E"/>
    <w:rsid w:val="00931728"/>
    <w:rsid w:val="00934083"/>
    <w:rsid w:val="00934F39"/>
    <w:rsid w:val="00935B05"/>
    <w:rsid w:val="00935DEF"/>
    <w:rsid w:val="009376BE"/>
    <w:rsid w:val="0093797F"/>
    <w:rsid w:val="00940F93"/>
    <w:rsid w:val="0094143E"/>
    <w:rsid w:val="0094258F"/>
    <w:rsid w:val="00945B75"/>
    <w:rsid w:val="00945EE1"/>
    <w:rsid w:val="009516B6"/>
    <w:rsid w:val="00951EAC"/>
    <w:rsid w:val="0095347F"/>
    <w:rsid w:val="00953E71"/>
    <w:rsid w:val="009545FF"/>
    <w:rsid w:val="009568BE"/>
    <w:rsid w:val="00956FE4"/>
    <w:rsid w:val="0095750B"/>
    <w:rsid w:val="00957A3A"/>
    <w:rsid w:val="0096073F"/>
    <w:rsid w:val="00960911"/>
    <w:rsid w:val="009633D7"/>
    <w:rsid w:val="009654ED"/>
    <w:rsid w:val="00965DF9"/>
    <w:rsid w:val="00966036"/>
    <w:rsid w:val="009678AA"/>
    <w:rsid w:val="00967F59"/>
    <w:rsid w:val="009701C4"/>
    <w:rsid w:val="00972C38"/>
    <w:rsid w:val="009735A8"/>
    <w:rsid w:val="0097381F"/>
    <w:rsid w:val="00974EF5"/>
    <w:rsid w:val="009760F3"/>
    <w:rsid w:val="00976956"/>
    <w:rsid w:val="009800FA"/>
    <w:rsid w:val="00980EA8"/>
    <w:rsid w:val="009812E4"/>
    <w:rsid w:val="009817F4"/>
    <w:rsid w:val="00983732"/>
    <w:rsid w:val="00984808"/>
    <w:rsid w:val="009857B1"/>
    <w:rsid w:val="009909F5"/>
    <w:rsid w:val="009923C0"/>
    <w:rsid w:val="0099284E"/>
    <w:rsid w:val="00993D2D"/>
    <w:rsid w:val="00994443"/>
    <w:rsid w:val="0099515D"/>
    <w:rsid w:val="009951B6"/>
    <w:rsid w:val="009968F8"/>
    <w:rsid w:val="009A0444"/>
    <w:rsid w:val="009A0B8A"/>
    <w:rsid w:val="009A0E8D"/>
    <w:rsid w:val="009A19F8"/>
    <w:rsid w:val="009A48B2"/>
    <w:rsid w:val="009A4F1D"/>
    <w:rsid w:val="009B0FC5"/>
    <w:rsid w:val="009B1DF4"/>
    <w:rsid w:val="009B26E7"/>
    <w:rsid w:val="009B48EE"/>
    <w:rsid w:val="009B53C8"/>
    <w:rsid w:val="009B5A35"/>
    <w:rsid w:val="009B6A19"/>
    <w:rsid w:val="009C0491"/>
    <w:rsid w:val="009C162C"/>
    <w:rsid w:val="009C26B0"/>
    <w:rsid w:val="009C2A5C"/>
    <w:rsid w:val="009C2F39"/>
    <w:rsid w:val="009C6DFE"/>
    <w:rsid w:val="009C76E2"/>
    <w:rsid w:val="009C7AD9"/>
    <w:rsid w:val="009C7D56"/>
    <w:rsid w:val="009D2394"/>
    <w:rsid w:val="009D4323"/>
    <w:rsid w:val="009E2F54"/>
    <w:rsid w:val="009E39EB"/>
    <w:rsid w:val="009E5D5A"/>
    <w:rsid w:val="009E6C26"/>
    <w:rsid w:val="009E7D26"/>
    <w:rsid w:val="009F1A65"/>
    <w:rsid w:val="009F2AC1"/>
    <w:rsid w:val="009F2B34"/>
    <w:rsid w:val="009F2FF8"/>
    <w:rsid w:val="009F5C84"/>
    <w:rsid w:val="009F6595"/>
    <w:rsid w:val="009F7636"/>
    <w:rsid w:val="00A00A3F"/>
    <w:rsid w:val="00A01489"/>
    <w:rsid w:val="00A018AB"/>
    <w:rsid w:val="00A02BED"/>
    <w:rsid w:val="00A03ED0"/>
    <w:rsid w:val="00A07462"/>
    <w:rsid w:val="00A07F04"/>
    <w:rsid w:val="00A200D6"/>
    <w:rsid w:val="00A2225D"/>
    <w:rsid w:val="00A230A0"/>
    <w:rsid w:val="00A233C8"/>
    <w:rsid w:val="00A260E7"/>
    <w:rsid w:val="00A267BE"/>
    <w:rsid w:val="00A26951"/>
    <w:rsid w:val="00A31B81"/>
    <w:rsid w:val="00A338F1"/>
    <w:rsid w:val="00A343D0"/>
    <w:rsid w:val="00A368D5"/>
    <w:rsid w:val="00A377A8"/>
    <w:rsid w:val="00A37B41"/>
    <w:rsid w:val="00A41A5C"/>
    <w:rsid w:val="00A41ADD"/>
    <w:rsid w:val="00A4238D"/>
    <w:rsid w:val="00A44153"/>
    <w:rsid w:val="00A44487"/>
    <w:rsid w:val="00A44615"/>
    <w:rsid w:val="00A45390"/>
    <w:rsid w:val="00A46186"/>
    <w:rsid w:val="00A4728C"/>
    <w:rsid w:val="00A47874"/>
    <w:rsid w:val="00A55D9D"/>
    <w:rsid w:val="00A5649C"/>
    <w:rsid w:val="00A60643"/>
    <w:rsid w:val="00A633F1"/>
    <w:rsid w:val="00A660A5"/>
    <w:rsid w:val="00A66C25"/>
    <w:rsid w:val="00A7005A"/>
    <w:rsid w:val="00A70EA1"/>
    <w:rsid w:val="00A71B88"/>
    <w:rsid w:val="00A72C70"/>
    <w:rsid w:val="00A72F22"/>
    <w:rsid w:val="00A72FDB"/>
    <w:rsid w:val="00A7360F"/>
    <w:rsid w:val="00A748A6"/>
    <w:rsid w:val="00A75355"/>
    <w:rsid w:val="00A75A88"/>
    <w:rsid w:val="00A76648"/>
    <w:rsid w:val="00A769F4"/>
    <w:rsid w:val="00A776B4"/>
    <w:rsid w:val="00A777CF"/>
    <w:rsid w:val="00A808EF"/>
    <w:rsid w:val="00A81A7B"/>
    <w:rsid w:val="00A81D4E"/>
    <w:rsid w:val="00A85E52"/>
    <w:rsid w:val="00A86E2B"/>
    <w:rsid w:val="00A90E87"/>
    <w:rsid w:val="00A94361"/>
    <w:rsid w:val="00A9633A"/>
    <w:rsid w:val="00A964C6"/>
    <w:rsid w:val="00A96BCF"/>
    <w:rsid w:val="00AA293C"/>
    <w:rsid w:val="00AA2D0D"/>
    <w:rsid w:val="00AA3412"/>
    <w:rsid w:val="00AA6FA4"/>
    <w:rsid w:val="00AA7FD8"/>
    <w:rsid w:val="00AB0648"/>
    <w:rsid w:val="00AB19FA"/>
    <w:rsid w:val="00AB2855"/>
    <w:rsid w:val="00AB45A3"/>
    <w:rsid w:val="00AB4CA5"/>
    <w:rsid w:val="00AB4EF3"/>
    <w:rsid w:val="00AB51F0"/>
    <w:rsid w:val="00AC2375"/>
    <w:rsid w:val="00AC23E1"/>
    <w:rsid w:val="00AC2549"/>
    <w:rsid w:val="00AC505B"/>
    <w:rsid w:val="00AC6A0A"/>
    <w:rsid w:val="00AC6A89"/>
    <w:rsid w:val="00AC71CC"/>
    <w:rsid w:val="00AC7462"/>
    <w:rsid w:val="00AD0404"/>
    <w:rsid w:val="00AD46B8"/>
    <w:rsid w:val="00AD553F"/>
    <w:rsid w:val="00AE19F7"/>
    <w:rsid w:val="00AE1CFF"/>
    <w:rsid w:val="00AE1EFE"/>
    <w:rsid w:val="00AE1F63"/>
    <w:rsid w:val="00AE3DEA"/>
    <w:rsid w:val="00AE4583"/>
    <w:rsid w:val="00AE4730"/>
    <w:rsid w:val="00AE50CE"/>
    <w:rsid w:val="00AE5CCB"/>
    <w:rsid w:val="00AF0881"/>
    <w:rsid w:val="00AF0BB7"/>
    <w:rsid w:val="00AF1A44"/>
    <w:rsid w:val="00AF3148"/>
    <w:rsid w:val="00AF34D9"/>
    <w:rsid w:val="00AF5BB4"/>
    <w:rsid w:val="00AF5CCF"/>
    <w:rsid w:val="00AF7286"/>
    <w:rsid w:val="00B000F0"/>
    <w:rsid w:val="00B015A6"/>
    <w:rsid w:val="00B019D2"/>
    <w:rsid w:val="00B01D27"/>
    <w:rsid w:val="00B02347"/>
    <w:rsid w:val="00B03884"/>
    <w:rsid w:val="00B04543"/>
    <w:rsid w:val="00B05BDC"/>
    <w:rsid w:val="00B101F5"/>
    <w:rsid w:val="00B10640"/>
    <w:rsid w:val="00B11BA1"/>
    <w:rsid w:val="00B12D13"/>
    <w:rsid w:val="00B12E1C"/>
    <w:rsid w:val="00B13E9B"/>
    <w:rsid w:val="00B1559A"/>
    <w:rsid w:val="00B1708C"/>
    <w:rsid w:val="00B174D5"/>
    <w:rsid w:val="00B2280C"/>
    <w:rsid w:val="00B23D94"/>
    <w:rsid w:val="00B24D92"/>
    <w:rsid w:val="00B25AC8"/>
    <w:rsid w:val="00B25D3D"/>
    <w:rsid w:val="00B2683D"/>
    <w:rsid w:val="00B30179"/>
    <w:rsid w:val="00B30D6F"/>
    <w:rsid w:val="00B3314F"/>
    <w:rsid w:val="00B33697"/>
    <w:rsid w:val="00B339A7"/>
    <w:rsid w:val="00B33ABD"/>
    <w:rsid w:val="00B33BCA"/>
    <w:rsid w:val="00B40171"/>
    <w:rsid w:val="00B4049D"/>
    <w:rsid w:val="00B4149D"/>
    <w:rsid w:val="00B41A37"/>
    <w:rsid w:val="00B41ACB"/>
    <w:rsid w:val="00B4354D"/>
    <w:rsid w:val="00B443A6"/>
    <w:rsid w:val="00B46514"/>
    <w:rsid w:val="00B47532"/>
    <w:rsid w:val="00B55522"/>
    <w:rsid w:val="00B56E4A"/>
    <w:rsid w:val="00B56E9C"/>
    <w:rsid w:val="00B579C3"/>
    <w:rsid w:val="00B57C32"/>
    <w:rsid w:val="00B60748"/>
    <w:rsid w:val="00B620B6"/>
    <w:rsid w:val="00B62EC2"/>
    <w:rsid w:val="00B64B1F"/>
    <w:rsid w:val="00B6524C"/>
    <w:rsid w:val="00B6553F"/>
    <w:rsid w:val="00B66593"/>
    <w:rsid w:val="00B66ACE"/>
    <w:rsid w:val="00B66E5E"/>
    <w:rsid w:val="00B67C3E"/>
    <w:rsid w:val="00B71840"/>
    <w:rsid w:val="00B71D2A"/>
    <w:rsid w:val="00B727CA"/>
    <w:rsid w:val="00B7389B"/>
    <w:rsid w:val="00B7514A"/>
    <w:rsid w:val="00B7574D"/>
    <w:rsid w:val="00B77D05"/>
    <w:rsid w:val="00B80902"/>
    <w:rsid w:val="00B80DB6"/>
    <w:rsid w:val="00B81206"/>
    <w:rsid w:val="00B81E12"/>
    <w:rsid w:val="00B82FD9"/>
    <w:rsid w:val="00B84567"/>
    <w:rsid w:val="00B85756"/>
    <w:rsid w:val="00B85AF8"/>
    <w:rsid w:val="00B86C63"/>
    <w:rsid w:val="00B86D25"/>
    <w:rsid w:val="00B879A7"/>
    <w:rsid w:val="00B9067B"/>
    <w:rsid w:val="00B915E0"/>
    <w:rsid w:val="00B94491"/>
    <w:rsid w:val="00B9463A"/>
    <w:rsid w:val="00B95A99"/>
    <w:rsid w:val="00B97AFE"/>
    <w:rsid w:val="00BA0869"/>
    <w:rsid w:val="00BA434C"/>
    <w:rsid w:val="00BA62CF"/>
    <w:rsid w:val="00BA653A"/>
    <w:rsid w:val="00BB08D0"/>
    <w:rsid w:val="00BB1F90"/>
    <w:rsid w:val="00BB22D5"/>
    <w:rsid w:val="00BB2C65"/>
    <w:rsid w:val="00BB3BC1"/>
    <w:rsid w:val="00BB57D3"/>
    <w:rsid w:val="00BC01E3"/>
    <w:rsid w:val="00BC288A"/>
    <w:rsid w:val="00BC2C23"/>
    <w:rsid w:val="00BC48F3"/>
    <w:rsid w:val="00BC4DAF"/>
    <w:rsid w:val="00BC4EA1"/>
    <w:rsid w:val="00BC5363"/>
    <w:rsid w:val="00BC6E5E"/>
    <w:rsid w:val="00BC74BB"/>
    <w:rsid w:val="00BC74E9"/>
    <w:rsid w:val="00BC7569"/>
    <w:rsid w:val="00BD316C"/>
    <w:rsid w:val="00BD509D"/>
    <w:rsid w:val="00BD5F5C"/>
    <w:rsid w:val="00BE0D9E"/>
    <w:rsid w:val="00BE4C79"/>
    <w:rsid w:val="00BF3C4F"/>
    <w:rsid w:val="00BF4613"/>
    <w:rsid w:val="00BF61C5"/>
    <w:rsid w:val="00BF68A8"/>
    <w:rsid w:val="00BF72FD"/>
    <w:rsid w:val="00C02CF5"/>
    <w:rsid w:val="00C02E7A"/>
    <w:rsid w:val="00C02FF9"/>
    <w:rsid w:val="00C0580E"/>
    <w:rsid w:val="00C11207"/>
    <w:rsid w:val="00C11870"/>
    <w:rsid w:val="00C11A03"/>
    <w:rsid w:val="00C12802"/>
    <w:rsid w:val="00C12CBC"/>
    <w:rsid w:val="00C14491"/>
    <w:rsid w:val="00C144EC"/>
    <w:rsid w:val="00C20A72"/>
    <w:rsid w:val="00C215C0"/>
    <w:rsid w:val="00C2284D"/>
    <w:rsid w:val="00C25634"/>
    <w:rsid w:val="00C2599D"/>
    <w:rsid w:val="00C2781F"/>
    <w:rsid w:val="00C314ED"/>
    <w:rsid w:val="00C3165A"/>
    <w:rsid w:val="00C33C6F"/>
    <w:rsid w:val="00C34926"/>
    <w:rsid w:val="00C37191"/>
    <w:rsid w:val="00C40638"/>
    <w:rsid w:val="00C409F7"/>
    <w:rsid w:val="00C41CC1"/>
    <w:rsid w:val="00C42151"/>
    <w:rsid w:val="00C42190"/>
    <w:rsid w:val="00C44D49"/>
    <w:rsid w:val="00C44D88"/>
    <w:rsid w:val="00C463DD"/>
    <w:rsid w:val="00C46474"/>
    <w:rsid w:val="00C4724C"/>
    <w:rsid w:val="00C50356"/>
    <w:rsid w:val="00C518FB"/>
    <w:rsid w:val="00C52EC0"/>
    <w:rsid w:val="00C55779"/>
    <w:rsid w:val="00C56114"/>
    <w:rsid w:val="00C56839"/>
    <w:rsid w:val="00C57EE3"/>
    <w:rsid w:val="00C606D3"/>
    <w:rsid w:val="00C61C48"/>
    <w:rsid w:val="00C629A0"/>
    <w:rsid w:val="00C745C3"/>
    <w:rsid w:val="00C74B7E"/>
    <w:rsid w:val="00C76890"/>
    <w:rsid w:val="00C803EC"/>
    <w:rsid w:val="00C80EA3"/>
    <w:rsid w:val="00C82D53"/>
    <w:rsid w:val="00C834B6"/>
    <w:rsid w:val="00C84DC4"/>
    <w:rsid w:val="00C8504E"/>
    <w:rsid w:val="00C85B6E"/>
    <w:rsid w:val="00C93035"/>
    <w:rsid w:val="00C96828"/>
    <w:rsid w:val="00C97582"/>
    <w:rsid w:val="00CA776F"/>
    <w:rsid w:val="00CB2929"/>
    <w:rsid w:val="00CB38F4"/>
    <w:rsid w:val="00CC5202"/>
    <w:rsid w:val="00CD04A2"/>
    <w:rsid w:val="00CD4339"/>
    <w:rsid w:val="00CD5606"/>
    <w:rsid w:val="00CE0DD9"/>
    <w:rsid w:val="00CE1B3A"/>
    <w:rsid w:val="00CE4A8F"/>
    <w:rsid w:val="00CE7D94"/>
    <w:rsid w:val="00CF04D1"/>
    <w:rsid w:val="00CF1984"/>
    <w:rsid w:val="00CF1A5B"/>
    <w:rsid w:val="00CF2621"/>
    <w:rsid w:val="00CF3358"/>
    <w:rsid w:val="00CF4CEB"/>
    <w:rsid w:val="00CF5D2C"/>
    <w:rsid w:val="00CF6C9B"/>
    <w:rsid w:val="00D011B3"/>
    <w:rsid w:val="00D016F5"/>
    <w:rsid w:val="00D02633"/>
    <w:rsid w:val="00D02C2A"/>
    <w:rsid w:val="00D06AB9"/>
    <w:rsid w:val="00D06B7E"/>
    <w:rsid w:val="00D10237"/>
    <w:rsid w:val="00D1315B"/>
    <w:rsid w:val="00D141CF"/>
    <w:rsid w:val="00D16565"/>
    <w:rsid w:val="00D17E37"/>
    <w:rsid w:val="00D2031B"/>
    <w:rsid w:val="00D21020"/>
    <w:rsid w:val="00D24A49"/>
    <w:rsid w:val="00D257E7"/>
    <w:rsid w:val="00D25FE2"/>
    <w:rsid w:val="00D2637A"/>
    <w:rsid w:val="00D30034"/>
    <w:rsid w:val="00D34E45"/>
    <w:rsid w:val="00D377C4"/>
    <w:rsid w:val="00D37A6E"/>
    <w:rsid w:val="00D42815"/>
    <w:rsid w:val="00D43252"/>
    <w:rsid w:val="00D46C27"/>
    <w:rsid w:val="00D4767A"/>
    <w:rsid w:val="00D47EEA"/>
    <w:rsid w:val="00D501D0"/>
    <w:rsid w:val="00D50721"/>
    <w:rsid w:val="00D509AE"/>
    <w:rsid w:val="00D514FC"/>
    <w:rsid w:val="00D51D6E"/>
    <w:rsid w:val="00D53BAD"/>
    <w:rsid w:val="00D543C9"/>
    <w:rsid w:val="00D55CE7"/>
    <w:rsid w:val="00D61036"/>
    <w:rsid w:val="00D61188"/>
    <w:rsid w:val="00D630B0"/>
    <w:rsid w:val="00D64809"/>
    <w:rsid w:val="00D70242"/>
    <w:rsid w:val="00D729E4"/>
    <w:rsid w:val="00D73CB8"/>
    <w:rsid w:val="00D760F4"/>
    <w:rsid w:val="00D80EDF"/>
    <w:rsid w:val="00D823F1"/>
    <w:rsid w:val="00D864CC"/>
    <w:rsid w:val="00D8702F"/>
    <w:rsid w:val="00D90F93"/>
    <w:rsid w:val="00D913B0"/>
    <w:rsid w:val="00D95235"/>
    <w:rsid w:val="00D95303"/>
    <w:rsid w:val="00D96E57"/>
    <w:rsid w:val="00D97597"/>
    <w:rsid w:val="00D975A7"/>
    <w:rsid w:val="00D978C6"/>
    <w:rsid w:val="00DA10B1"/>
    <w:rsid w:val="00DA1219"/>
    <w:rsid w:val="00DA2043"/>
    <w:rsid w:val="00DA3111"/>
    <w:rsid w:val="00DA324A"/>
    <w:rsid w:val="00DA3C1C"/>
    <w:rsid w:val="00DA4BBB"/>
    <w:rsid w:val="00DA5D76"/>
    <w:rsid w:val="00DB0C79"/>
    <w:rsid w:val="00DB27DD"/>
    <w:rsid w:val="00DB2CE7"/>
    <w:rsid w:val="00DB43B8"/>
    <w:rsid w:val="00DB5B2F"/>
    <w:rsid w:val="00DC0714"/>
    <w:rsid w:val="00DC1E6B"/>
    <w:rsid w:val="00DC2A12"/>
    <w:rsid w:val="00DC3DA8"/>
    <w:rsid w:val="00DC7425"/>
    <w:rsid w:val="00DD00C7"/>
    <w:rsid w:val="00DD1753"/>
    <w:rsid w:val="00DD2793"/>
    <w:rsid w:val="00DD593B"/>
    <w:rsid w:val="00DD64DE"/>
    <w:rsid w:val="00DE1319"/>
    <w:rsid w:val="00DE1DF6"/>
    <w:rsid w:val="00DE79A8"/>
    <w:rsid w:val="00DF14DE"/>
    <w:rsid w:val="00DF2C8F"/>
    <w:rsid w:val="00DF2CDE"/>
    <w:rsid w:val="00DF528D"/>
    <w:rsid w:val="00E00101"/>
    <w:rsid w:val="00E01791"/>
    <w:rsid w:val="00E028EE"/>
    <w:rsid w:val="00E04D11"/>
    <w:rsid w:val="00E11A47"/>
    <w:rsid w:val="00E11AD7"/>
    <w:rsid w:val="00E12ED9"/>
    <w:rsid w:val="00E142AF"/>
    <w:rsid w:val="00E15626"/>
    <w:rsid w:val="00E15847"/>
    <w:rsid w:val="00E15CC1"/>
    <w:rsid w:val="00E165BF"/>
    <w:rsid w:val="00E17226"/>
    <w:rsid w:val="00E17C73"/>
    <w:rsid w:val="00E209FD"/>
    <w:rsid w:val="00E21400"/>
    <w:rsid w:val="00E2284A"/>
    <w:rsid w:val="00E25E54"/>
    <w:rsid w:val="00E27346"/>
    <w:rsid w:val="00E27538"/>
    <w:rsid w:val="00E31E79"/>
    <w:rsid w:val="00E37E62"/>
    <w:rsid w:val="00E403D7"/>
    <w:rsid w:val="00E40A07"/>
    <w:rsid w:val="00E41BFE"/>
    <w:rsid w:val="00E41E67"/>
    <w:rsid w:val="00E4363C"/>
    <w:rsid w:val="00E43F6E"/>
    <w:rsid w:val="00E44C65"/>
    <w:rsid w:val="00E4563E"/>
    <w:rsid w:val="00E4762A"/>
    <w:rsid w:val="00E507EC"/>
    <w:rsid w:val="00E53451"/>
    <w:rsid w:val="00E53D02"/>
    <w:rsid w:val="00E56DDC"/>
    <w:rsid w:val="00E577D4"/>
    <w:rsid w:val="00E6074E"/>
    <w:rsid w:val="00E61088"/>
    <w:rsid w:val="00E61DD8"/>
    <w:rsid w:val="00E61FFA"/>
    <w:rsid w:val="00E632CC"/>
    <w:rsid w:val="00E65396"/>
    <w:rsid w:val="00E71BC8"/>
    <w:rsid w:val="00E71DF5"/>
    <w:rsid w:val="00E7260F"/>
    <w:rsid w:val="00E74206"/>
    <w:rsid w:val="00E75FBB"/>
    <w:rsid w:val="00E76D39"/>
    <w:rsid w:val="00E77185"/>
    <w:rsid w:val="00E779FC"/>
    <w:rsid w:val="00E8097C"/>
    <w:rsid w:val="00E80EF3"/>
    <w:rsid w:val="00E81356"/>
    <w:rsid w:val="00E8217E"/>
    <w:rsid w:val="00E827FB"/>
    <w:rsid w:val="00E829A0"/>
    <w:rsid w:val="00E8329D"/>
    <w:rsid w:val="00E848D3"/>
    <w:rsid w:val="00E85728"/>
    <w:rsid w:val="00E86349"/>
    <w:rsid w:val="00E87748"/>
    <w:rsid w:val="00E921CF"/>
    <w:rsid w:val="00E95257"/>
    <w:rsid w:val="00E96433"/>
    <w:rsid w:val="00E96630"/>
    <w:rsid w:val="00E96A6E"/>
    <w:rsid w:val="00E9788D"/>
    <w:rsid w:val="00EA31F7"/>
    <w:rsid w:val="00EA5142"/>
    <w:rsid w:val="00EB11F3"/>
    <w:rsid w:val="00EB1D55"/>
    <w:rsid w:val="00EB2581"/>
    <w:rsid w:val="00EB48C1"/>
    <w:rsid w:val="00EB4C39"/>
    <w:rsid w:val="00EB5B31"/>
    <w:rsid w:val="00EB737B"/>
    <w:rsid w:val="00EC0363"/>
    <w:rsid w:val="00EC14EF"/>
    <w:rsid w:val="00EC7574"/>
    <w:rsid w:val="00ED00FD"/>
    <w:rsid w:val="00ED052D"/>
    <w:rsid w:val="00ED08C9"/>
    <w:rsid w:val="00ED0DBA"/>
    <w:rsid w:val="00ED303B"/>
    <w:rsid w:val="00ED44EC"/>
    <w:rsid w:val="00ED535F"/>
    <w:rsid w:val="00ED6ED8"/>
    <w:rsid w:val="00ED6F49"/>
    <w:rsid w:val="00ED7A2A"/>
    <w:rsid w:val="00ED7E6E"/>
    <w:rsid w:val="00EE18DC"/>
    <w:rsid w:val="00EE2BA0"/>
    <w:rsid w:val="00EE416D"/>
    <w:rsid w:val="00EE621C"/>
    <w:rsid w:val="00EE6929"/>
    <w:rsid w:val="00EF0235"/>
    <w:rsid w:val="00EF0F6A"/>
    <w:rsid w:val="00EF1996"/>
    <w:rsid w:val="00EF1D7F"/>
    <w:rsid w:val="00EF3FBC"/>
    <w:rsid w:val="00EF5227"/>
    <w:rsid w:val="00EF5FA3"/>
    <w:rsid w:val="00F03190"/>
    <w:rsid w:val="00F03A99"/>
    <w:rsid w:val="00F03AB9"/>
    <w:rsid w:val="00F03D89"/>
    <w:rsid w:val="00F0403F"/>
    <w:rsid w:val="00F04CDE"/>
    <w:rsid w:val="00F075CC"/>
    <w:rsid w:val="00F11DA4"/>
    <w:rsid w:val="00F12AE2"/>
    <w:rsid w:val="00F20C3D"/>
    <w:rsid w:val="00F2301C"/>
    <w:rsid w:val="00F243C6"/>
    <w:rsid w:val="00F2653D"/>
    <w:rsid w:val="00F26F57"/>
    <w:rsid w:val="00F27556"/>
    <w:rsid w:val="00F30E08"/>
    <w:rsid w:val="00F33AE4"/>
    <w:rsid w:val="00F33AF0"/>
    <w:rsid w:val="00F33F23"/>
    <w:rsid w:val="00F34D48"/>
    <w:rsid w:val="00F34FBB"/>
    <w:rsid w:val="00F35149"/>
    <w:rsid w:val="00F36B91"/>
    <w:rsid w:val="00F373CD"/>
    <w:rsid w:val="00F408D9"/>
    <w:rsid w:val="00F41576"/>
    <w:rsid w:val="00F4204E"/>
    <w:rsid w:val="00F43270"/>
    <w:rsid w:val="00F43E9E"/>
    <w:rsid w:val="00F44820"/>
    <w:rsid w:val="00F501AF"/>
    <w:rsid w:val="00F51311"/>
    <w:rsid w:val="00F52453"/>
    <w:rsid w:val="00F52BE2"/>
    <w:rsid w:val="00F546EA"/>
    <w:rsid w:val="00F54806"/>
    <w:rsid w:val="00F552BE"/>
    <w:rsid w:val="00F55BAA"/>
    <w:rsid w:val="00F55FC7"/>
    <w:rsid w:val="00F61536"/>
    <w:rsid w:val="00F63125"/>
    <w:rsid w:val="00F668B0"/>
    <w:rsid w:val="00F70D30"/>
    <w:rsid w:val="00F71C3F"/>
    <w:rsid w:val="00F727A3"/>
    <w:rsid w:val="00F7343F"/>
    <w:rsid w:val="00F73A4B"/>
    <w:rsid w:val="00F748B6"/>
    <w:rsid w:val="00F75DD2"/>
    <w:rsid w:val="00F82DCC"/>
    <w:rsid w:val="00F82F23"/>
    <w:rsid w:val="00F83261"/>
    <w:rsid w:val="00F8467B"/>
    <w:rsid w:val="00F86121"/>
    <w:rsid w:val="00F8772A"/>
    <w:rsid w:val="00F9057C"/>
    <w:rsid w:val="00F906D7"/>
    <w:rsid w:val="00F90FD3"/>
    <w:rsid w:val="00F92F08"/>
    <w:rsid w:val="00F93781"/>
    <w:rsid w:val="00F9431C"/>
    <w:rsid w:val="00F9592D"/>
    <w:rsid w:val="00F9653B"/>
    <w:rsid w:val="00F9682C"/>
    <w:rsid w:val="00F96BA5"/>
    <w:rsid w:val="00FA1718"/>
    <w:rsid w:val="00FA5B0F"/>
    <w:rsid w:val="00FA6064"/>
    <w:rsid w:val="00FB2745"/>
    <w:rsid w:val="00FB45D9"/>
    <w:rsid w:val="00FB5EB5"/>
    <w:rsid w:val="00FB613B"/>
    <w:rsid w:val="00FC0622"/>
    <w:rsid w:val="00FC1A0B"/>
    <w:rsid w:val="00FC2A5A"/>
    <w:rsid w:val="00FC68B7"/>
    <w:rsid w:val="00FD0381"/>
    <w:rsid w:val="00FD201E"/>
    <w:rsid w:val="00FD28AF"/>
    <w:rsid w:val="00FD446A"/>
    <w:rsid w:val="00FD4F04"/>
    <w:rsid w:val="00FD4FB8"/>
    <w:rsid w:val="00FD5528"/>
    <w:rsid w:val="00FD61DA"/>
    <w:rsid w:val="00FD66D2"/>
    <w:rsid w:val="00FE106A"/>
    <w:rsid w:val="00FE23AF"/>
    <w:rsid w:val="00FE2786"/>
    <w:rsid w:val="00FE3889"/>
    <w:rsid w:val="00FE6DA5"/>
    <w:rsid w:val="00FF0000"/>
    <w:rsid w:val="00FF1ADC"/>
    <w:rsid w:val="00FF4BF4"/>
    <w:rsid w:val="00FF511B"/>
    <w:rsid w:val="00FF7D02"/>
    <w:rsid w:val="00FF7F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EF17E"/>
  <w15:docId w15:val="{AE3E6906-B7A7-4604-B7E7-E9F99E03D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Footnote Reference1,Char, Char"/>
    <w:basedOn w:val="Normal"/>
    <w:link w:val="FootnoteTextChar"/>
    <w:uiPriority w:val="99"/>
    <w:qFormat/>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Footnote number,ftref"/>
    <w:uiPriority w:val="99"/>
    <w:qFormat/>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Char Char, Char Char"/>
    <w:link w:val="FootnoteText"/>
    <w:uiPriority w:val="99"/>
    <w:rsid w:val="008216A5"/>
    <w:rPr>
      <w:sz w:val="18"/>
      <w:lang w:eastAsia="en-US"/>
    </w:rPr>
  </w:style>
  <w:style w:type="paragraph" w:styleId="BalloonText">
    <w:name w:val="Balloon Text"/>
    <w:basedOn w:val="Normal"/>
    <w:link w:val="BalloonTextChar"/>
    <w:rsid w:val="006743E9"/>
    <w:pPr>
      <w:spacing w:line="240" w:lineRule="auto"/>
    </w:pPr>
    <w:rPr>
      <w:rFonts w:ascii="Tahoma" w:hAnsi="Tahoma"/>
      <w:sz w:val="16"/>
      <w:szCs w:val="16"/>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character" w:customStyle="1" w:styleId="SingleTxtGChar">
    <w:name w:val="_ Single Txt_G Char"/>
    <w:link w:val="SingleTxtG"/>
    <w:rsid w:val="003134AC"/>
    <w:rPr>
      <w:lang w:eastAsia="en-US"/>
    </w:rPr>
  </w:style>
  <w:style w:type="character" w:styleId="CommentReference">
    <w:name w:val="annotation reference"/>
    <w:rsid w:val="00824FE2"/>
    <w:rPr>
      <w:sz w:val="16"/>
      <w:szCs w:val="16"/>
    </w:rPr>
  </w:style>
  <w:style w:type="paragraph" w:styleId="CommentText">
    <w:name w:val="annotation text"/>
    <w:basedOn w:val="Normal"/>
    <w:link w:val="CommentTextChar"/>
    <w:rsid w:val="00824FE2"/>
  </w:style>
  <w:style w:type="character" w:customStyle="1" w:styleId="CommentTextChar">
    <w:name w:val="Comment Text Char"/>
    <w:link w:val="CommentText"/>
    <w:rsid w:val="00824FE2"/>
    <w:rPr>
      <w:lang w:eastAsia="en-US"/>
    </w:rPr>
  </w:style>
  <w:style w:type="paragraph" w:styleId="CommentSubject">
    <w:name w:val="annotation subject"/>
    <w:basedOn w:val="CommentText"/>
    <w:next w:val="CommentText"/>
    <w:link w:val="CommentSubjectChar"/>
    <w:rsid w:val="00824FE2"/>
    <w:rPr>
      <w:b/>
      <w:bCs/>
    </w:rPr>
  </w:style>
  <w:style w:type="character" w:customStyle="1" w:styleId="CommentSubjectChar">
    <w:name w:val="Comment Subject Char"/>
    <w:link w:val="CommentSubject"/>
    <w:rsid w:val="00824FE2"/>
    <w:rPr>
      <w:b/>
      <w:bCs/>
      <w:lang w:eastAsia="en-US"/>
    </w:rPr>
  </w:style>
  <w:style w:type="character" w:styleId="Emphasis">
    <w:name w:val="Emphasis"/>
    <w:uiPriority w:val="20"/>
    <w:qFormat/>
    <w:rsid w:val="00341D96"/>
    <w:rPr>
      <w:b/>
      <w:bCs/>
      <w:i w:val="0"/>
      <w:iCs w:val="0"/>
    </w:rPr>
  </w:style>
  <w:style w:type="character" w:customStyle="1" w:styleId="st">
    <w:name w:val="st"/>
    <w:rsid w:val="00341D96"/>
  </w:style>
  <w:style w:type="character" w:customStyle="1" w:styleId="hps">
    <w:name w:val="hps"/>
    <w:rsid w:val="007B126A"/>
  </w:style>
  <w:style w:type="character" w:customStyle="1" w:styleId="apple-converted-space">
    <w:name w:val="apple-converted-space"/>
    <w:rsid w:val="00ED08C9"/>
  </w:style>
  <w:style w:type="paragraph" w:styleId="Revision">
    <w:name w:val="Revision"/>
    <w:hidden/>
    <w:uiPriority w:val="99"/>
    <w:semiHidden/>
    <w:rsid w:val="002A138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3661">
      <w:bodyDiv w:val="1"/>
      <w:marLeft w:val="0"/>
      <w:marRight w:val="0"/>
      <w:marTop w:val="0"/>
      <w:marBottom w:val="0"/>
      <w:divBdr>
        <w:top w:val="none" w:sz="0" w:space="0" w:color="auto"/>
        <w:left w:val="none" w:sz="0" w:space="0" w:color="auto"/>
        <w:bottom w:val="none" w:sz="0" w:space="0" w:color="auto"/>
        <w:right w:val="none" w:sz="0" w:space="0" w:color="auto"/>
      </w:divBdr>
    </w:div>
    <w:div w:id="92170967">
      <w:bodyDiv w:val="1"/>
      <w:marLeft w:val="0"/>
      <w:marRight w:val="0"/>
      <w:marTop w:val="0"/>
      <w:marBottom w:val="0"/>
      <w:divBdr>
        <w:top w:val="none" w:sz="0" w:space="0" w:color="auto"/>
        <w:left w:val="none" w:sz="0" w:space="0" w:color="auto"/>
        <w:bottom w:val="none" w:sz="0" w:space="0" w:color="auto"/>
        <w:right w:val="none" w:sz="0" w:space="0" w:color="auto"/>
      </w:divBdr>
    </w:div>
    <w:div w:id="141511432">
      <w:bodyDiv w:val="1"/>
      <w:marLeft w:val="0"/>
      <w:marRight w:val="0"/>
      <w:marTop w:val="0"/>
      <w:marBottom w:val="0"/>
      <w:divBdr>
        <w:top w:val="none" w:sz="0" w:space="0" w:color="auto"/>
        <w:left w:val="none" w:sz="0" w:space="0" w:color="auto"/>
        <w:bottom w:val="none" w:sz="0" w:space="0" w:color="auto"/>
        <w:right w:val="none" w:sz="0" w:space="0" w:color="auto"/>
      </w:divBdr>
    </w:div>
    <w:div w:id="198052814">
      <w:bodyDiv w:val="1"/>
      <w:marLeft w:val="0"/>
      <w:marRight w:val="0"/>
      <w:marTop w:val="0"/>
      <w:marBottom w:val="0"/>
      <w:divBdr>
        <w:top w:val="none" w:sz="0" w:space="0" w:color="auto"/>
        <w:left w:val="none" w:sz="0" w:space="0" w:color="auto"/>
        <w:bottom w:val="none" w:sz="0" w:space="0" w:color="auto"/>
        <w:right w:val="none" w:sz="0" w:space="0" w:color="auto"/>
      </w:divBdr>
    </w:div>
    <w:div w:id="282154956">
      <w:bodyDiv w:val="1"/>
      <w:marLeft w:val="0"/>
      <w:marRight w:val="0"/>
      <w:marTop w:val="0"/>
      <w:marBottom w:val="0"/>
      <w:divBdr>
        <w:top w:val="none" w:sz="0" w:space="0" w:color="auto"/>
        <w:left w:val="none" w:sz="0" w:space="0" w:color="auto"/>
        <w:bottom w:val="none" w:sz="0" w:space="0" w:color="auto"/>
        <w:right w:val="none" w:sz="0" w:space="0" w:color="auto"/>
      </w:divBdr>
    </w:div>
    <w:div w:id="360664077">
      <w:bodyDiv w:val="1"/>
      <w:marLeft w:val="0"/>
      <w:marRight w:val="0"/>
      <w:marTop w:val="0"/>
      <w:marBottom w:val="0"/>
      <w:divBdr>
        <w:top w:val="none" w:sz="0" w:space="0" w:color="auto"/>
        <w:left w:val="none" w:sz="0" w:space="0" w:color="auto"/>
        <w:bottom w:val="none" w:sz="0" w:space="0" w:color="auto"/>
        <w:right w:val="none" w:sz="0" w:space="0" w:color="auto"/>
      </w:divBdr>
    </w:div>
    <w:div w:id="367608978">
      <w:bodyDiv w:val="1"/>
      <w:marLeft w:val="0"/>
      <w:marRight w:val="0"/>
      <w:marTop w:val="0"/>
      <w:marBottom w:val="0"/>
      <w:divBdr>
        <w:top w:val="none" w:sz="0" w:space="0" w:color="auto"/>
        <w:left w:val="none" w:sz="0" w:space="0" w:color="auto"/>
        <w:bottom w:val="none" w:sz="0" w:space="0" w:color="auto"/>
        <w:right w:val="none" w:sz="0" w:space="0" w:color="auto"/>
      </w:divBdr>
    </w:div>
    <w:div w:id="411247176">
      <w:bodyDiv w:val="1"/>
      <w:marLeft w:val="0"/>
      <w:marRight w:val="0"/>
      <w:marTop w:val="0"/>
      <w:marBottom w:val="0"/>
      <w:divBdr>
        <w:top w:val="none" w:sz="0" w:space="0" w:color="auto"/>
        <w:left w:val="none" w:sz="0" w:space="0" w:color="auto"/>
        <w:bottom w:val="none" w:sz="0" w:space="0" w:color="auto"/>
        <w:right w:val="none" w:sz="0" w:space="0" w:color="auto"/>
      </w:divBdr>
    </w:div>
    <w:div w:id="580918298">
      <w:bodyDiv w:val="1"/>
      <w:marLeft w:val="0"/>
      <w:marRight w:val="0"/>
      <w:marTop w:val="0"/>
      <w:marBottom w:val="0"/>
      <w:divBdr>
        <w:top w:val="none" w:sz="0" w:space="0" w:color="auto"/>
        <w:left w:val="none" w:sz="0" w:space="0" w:color="auto"/>
        <w:bottom w:val="none" w:sz="0" w:space="0" w:color="auto"/>
        <w:right w:val="none" w:sz="0" w:space="0" w:color="auto"/>
      </w:divBdr>
    </w:div>
    <w:div w:id="616067344">
      <w:bodyDiv w:val="1"/>
      <w:marLeft w:val="0"/>
      <w:marRight w:val="0"/>
      <w:marTop w:val="0"/>
      <w:marBottom w:val="0"/>
      <w:divBdr>
        <w:top w:val="none" w:sz="0" w:space="0" w:color="auto"/>
        <w:left w:val="none" w:sz="0" w:space="0" w:color="auto"/>
        <w:bottom w:val="none" w:sz="0" w:space="0" w:color="auto"/>
        <w:right w:val="none" w:sz="0" w:space="0" w:color="auto"/>
      </w:divBdr>
    </w:div>
    <w:div w:id="616646681">
      <w:bodyDiv w:val="1"/>
      <w:marLeft w:val="0"/>
      <w:marRight w:val="0"/>
      <w:marTop w:val="0"/>
      <w:marBottom w:val="0"/>
      <w:divBdr>
        <w:top w:val="none" w:sz="0" w:space="0" w:color="auto"/>
        <w:left w:val="none" w:sz="0" w:space="0" w:color="auto"/>
        <w:bottom w:val="none" w:sz="0" w:space="0" w:color="auto"/>
        <w:right w:val="none" w:sz="0" w:space="0" w:color="auto"/>
      </w:divBdr>
    </w:div>
    <w:div w:id="698431879">
      <w:bodyDiv w:val="1"/>
      <w:marLeft w:val="0"/>
      <w:marRight w:val="0"/>
      <w:marTop w:val="0"/>
      <w:marBottom w:val="0"/>
      <w:divBdr>
        <w:top w:val="none" w:sz="0" w:space="0" w:color="auto"/>
        <w:left w:val="none" w:sz="0" w:space="0" w:color="auto"/>
        <w:bottom w:val="none" w:sz="0" w:space="0" w:color="auto"/>
        <w:right w:val="none" w:sz="0" w:space="0" w:color="auto"/>
      </w:divBdr>
    </w:div>
    <w:div w:id="724253976">
      <w:bodyDiv w:val="1"/>
      <w:marLeft w:val="0"/>
      <w:marRight w:val="0"/>
      <w:marTop w:val="0"/>
      <w:marBottom w:val="0"/>
      <w:divBdr>
        <w:top w:val="none" w:sz="0" w:space="0" w:color="auto"/>
        <w:left w:val="none" w:sz="0" w:space="0" w:color="auto"/>
        <w:bottom w:val="none" w:sz="0" w:space="0" w:color="auto"/>
        <w:right w:val="none" w:sz="0" w:space="0" w:color="auto"/>
      </w:divBdr>
    </w:div>
    <w:div w:id="745110457">
      <w:bodyDiv w:val="1"/>
      <w:marLeft w:val="0"/>
      <w:marRight w:val="0"/>
      <w:marTop w:val="0"/>
      <w:marBottom w:val="0"/>
      <w:divBdr>
        <w:top w:val="none" w:sz="0" w:space="0" w:color="auto"/>
        <w:left w:val="none" w:sz="0" w:space="0" w:color="auto"/>
        <w:bottom w:val="none" w:sz="0" w:space="0" w:color="auto"/>
        <w:right w:val="none" w:sz="0" w:space="0" w:color="auto"/>
      </w:divBdr>
    </w:div>
    <w:div w:id="849757263">
      <w:bodyDiv w:val="1"/>
      <w:marLeft w:val="0"/>
      <w:marRight w:val="0"/>
      <w:marTop w:val="0"/>
      <w:marBottom w:val="0"/>
      <w:divBdr>
        <w:top w:val="none" w:sz="0" w:space="0" w:color="auto"/>
        <w:left w:val="none" w:sz="0" w:space="0" w:color="auto"/>
        <w:bottom w:val="none" w:sz="0" w:space="0" w:color="auto"/>
        <w:right w:val="none" w:sz="0" w:space="0" w:color="auto"/>
      </w:divBdr>
    </w:div>
    <w:div w:id="929505981">
      <w:bodyDiv w:val="1"/>
      <w:marLeft w:val="0"/>
      <w:marRight w:val="0"/>
      <w:marTop w:val="0"/>
      <w:marBottom w:val="0"/>
      <w:divBdr>
        <w:top w:val="none" w:sz="0" w:space="0" w:color="auto"/>
        <w:left w:val="none" w:sz="0" w:space="0" w:color="auto"/>
        <w:bottom w:val="none" w:sz="0" w:space="0" w:color="auto"/>
        <w:right w:val="none" w:sz="0" w:space="0" w:color="auto"/>
      </w:divBdr>
    </w:div>
    <w:div w:id="932130737">
      <w:bodyDiv w:val="1"/>
      <w:marLeft w:val="0"/>
      <w:marRight w:val="0"/>
      <w:marTop w:val="0"/>
      <w:marBottom w:val="0"/>
      <w:divBdr>
        <w:top w:val="none" w:sz="0" w:space="0" w:color="auto"/>
        <w:left w:val="none" w:sz="0" w:space="0" w:color="auto"/>
        <w:bottom w:val="none" w:sz="0" w:space="0" w:color="auto"/>
        <w:right w:val="none" w:sz="0" w:space="0" w:color="auto"/>
      </w:divBdr>
    </w:div>
    <w:div w:id="1195847634">
      <w:bodyDiv w:val="1"/>
      <w:marLeft w:val="0"/>
      <w:marRight w:val="0"/>
      <w:marTop w:val="0"/>
      <w:marBottom w:val="0"/>
      <w:divBdr>
        <w:top w:val="none" w:sz="0" w:space="0" w:color="auto"/>
        <w:left w:val="none" w:sz="0" w:space="0" w:color="auto"/>
        <w:bottom w:val="none" w:sz="0" w:space="0" w:color="auto"/>
        <w:right w:val="none" w:sz="0" w:space="0" w:color="auto"/>
      </w:divBdr>
    </w:div>
    <w:div w:id="1454205690">
      <w:bodyDiv w:val="1"/>
      <w:marLeft w:val="0"/>
      <w:marRight w:val="0"/>
      <w:marTop w:val="0"/>
      <w:marBottom w:val="0"/>
      <w:divBdr>
        <w:top w:val="none" w:sz="0" w:space="0" w:color="auto"/>
        <w:left w:val="none" w:sz="0" w:space="0" w:color="auto"/>
        <w:bottom w:val="none" w:sz="0" w:space="0" w:color="auto"/>
        <w:right w:val="none" w:sz="0" w:space="0" w:color="auto"/>
      </w:divBdr>
    </w:div>
    <w:div w:id="1540707193">
      <w:bodyDiv w:val="1"/>
      <w:marLeft w:val="0"/>
      <w:marRight w:val="0"/>
      <w:marTop w:val="0"/>
      <w:marBottom w:val="0"/>
      <w:divBdr>
        <w:top w:val="none" w:sz="0" w:space="0" w:color="auto"/>
        <w:left w:val="none" w:sz="0" w:space="0" w:color="auto"/>
        <w:bottom w:val="none" w:sz="0" w:space="0" w:color="auto"/>
        <w:right w:val="none" w:sz="0" w:space="0" w:color="auto"/>
      </w:divBdr>
    </w:div>
    <w:div w:id="1561867311">
      <w:bodyDiv w:val="1"/>
      <w:marLeft w:val="0"/>
      <w:marRight w:val="0"/>
      <w:marTop w:val="0"/>
      <w:marBottom w:val="0"/>
      <w:divBdr>
        <w:top w:val="none" w:sz="0" w:space="0" w:color="auto"/>
        <w:left w:val="none" w:sz="0" w:space="0" w:color="auto"/>
        <w:bottom w:val="none" w:sz="0" w:space="0" w:color="auto"/>
        <w:right w:val="none" w:sz="0" w:space="0" w:color="auto"/>
      </w:divBdr>
    </w:div>
    <w:div w:id="1698038412">
      <w:bodyDiv w:val="1"/>
      <w:marLeft w:val="0"/>
      <w:marRight w:val="0"/>
      <w:marTop w:val="0"/>
      <w:marBottom w:val="0"/>
      <w:divBdr>
        <w:top w:val="none" w:sz="0" w:space="0" w:color="auto"/>
        <w:left w:val="none" w:sz="0" w:space="0" w:color="auto"/>
        <w:bottom w:val="none" w:sz="0" w:space="0" w:color="auto"/>
        <w:right w:val="none" w:sz="0" w:space="0" w:color="auto"/>
      </w:divBdr>
    </w:div>
    <w:div w:id="1784110505">
      <w:bodyDiv w:val="1"/>
      <w:marLeft w:val="0"/>
      <w:marRight w:val="0"/>
      <w:marTop w:val="0"/>
      <w:marBottom w:val="0"/>
      <w:divBdr>
        <w:top w:val="none" w:sz="0" w:space="0" w:color="auto"/>
        <w:left w:val="none" w:sz="0" w:space="0" w:color="auto"/>
        <w:bottom w:val="none" w:sz="0" w:space="0" w:color="auto"/>
        <w:right w:val="none" w:sz="0" w:space="0" w:color="auto"/>
      </w:divBdr>
    </w:div>
    <w:div w:id="1955937353">
      <w:bodyDiv w:val="1"/>
      <w:marLeft w:val="0"/>
      <w:marRight w:val="0"/>
      <w:marTop w:val="0"/>
      <w:marBottom w:val="0"/>
      <w:divBdr>
        <w:top w:val="none" w:sz="0" w:space="0" w:color="auto"/>
        <w:left w:val="none" w:sz="0" w:space="0" w:color="auto"/>
        <w:bottom w:val="none" w:sz="0" w:space="0" w:color="auto"/>
        <w:right w:val="none" w:sz="0" w:space="0" w:color="auto"/>
      </w:divBdr>
    </w:div>
    <w:div w:id="1959755108">
      <w:bodyDiv w:val="1"/>
      <w:marLeft w:val="0"/>
      <w:marRight w:val="0"/>
      <w:marTop w:val="0"/>
      <w:marBottom w:val="0"/>
      <w:divBdr>
        <w:top w:val="none" w:sz="0" w:space="0" w:color="auto"/>
        <w:left w:val="none" w:sz="0" w:space="0" w:color="auto"/>
        <w:bottom w:val="none" w:sz="0" w:space="0" w:color="auto"/>
        <w:right w:val="none" w:sz="0" w:space="0" w:color="auto"/>
      </w:divBdr>
    </w:div>
    <w:div w:id="1993479878">
      <w:bodyDiv w:val="1"/>
      <w:marLeft w:val="0"/>
      <w:marRight w:val="0"/>
      <w:marTop w:val="0"/>
      <w:marBottom w:val="0"/>
      <w:divBdr>
        <w:top w:val="none" w:sz="0" w:space="0" w:color="auto"/>
        <w:left w:val="none" w:sz="0" w:space="0" w:color="auto"/>
        <w:bottom w:val="none" w:sz="0" w:space="0" w:color="auto"/>
        <w:right w:val="none" w:sz="0" w:space="0" w:color="auto"/>
      </w:divBdr>
    </w:div>
    <w:div w:id="200713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DC8F4-5EC4-4BD6-AE73-A3246FC3E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4</Pages>
  <Words>3005</Words>
  <Characters>17132</Characters>
  <Application>Microsoft Office Word</Application>
  <DocSecurity>0</DocSecurity>
  <Lines>142</Lines>
  <Paragraphs>40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United Nations</vt:lpstr>
      <vt:lpstr>United Nations</vt:lpstr>
      <vt:lpstr>United Nations</vt:lpstr>
    </vt:vector>
  </TitlesOfParts>
  <Company>CSD</Company>
  <LinksUpToDate>false</LinksUpToDate>
  <CharactersWithSpaces>20097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temp Neogi</dc:creator>
  <cp:lastModifiedBy>Sarah Willig</cp:lastModifiedBy>
  <cp:revision>2</cp:revision>
  <cp:lastPrinted>2015-09-09T08:34:00Z</cp:lastPrinted>
  <dcterms:created xsi:type="dcterms:W3CDTF">2017-01-25T00:42:00Z</dcterms:created>
  <dcterms:modified xsi:type="dcterms:W3CDTF">2017-01-25T00:42:00Z</dcterms:modified>
</cp:coreProperties>
</file>