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C02635">
            <w:pPr>
              <w:spacing w:after="80"/>
              <w:jc w:val="right"/>
            </w:pPr>
            <w:bookmarkStart w:id="0" w:name="_GoBack"/>
            <w:bookmarkEnd w:id="0"/>
          </w:p>
        </w:tc>
        <w:tc>
          <w:tcPr>
            <w:tcW w:w="2268" w:type="dxa"/>
            <w:tcBorders>
              <w:bottom w:val="single" w:sz="4" w:space="0" w:color="auto"/>
            </w:tcBorders>
            <w:vAlign w:val="bottom"/>
          </w:tcPr>
          <w:p w:rsidR="00B56E9C" w:rsidRPr="00B97172" w:rsidRDefault="00B56E9C" w:rsidP="00C02635">
            <w:pPr>
              <w:spacing w:after="80" w:line="300" w:lineRule="exact"/>
              <w:jc w:val="righ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E01A93">
            <w:pPr>
              <w:jc w:val="right"/>
            </w:pPr>
            <w:r w:rsidRPr="008216A5">
              <w:rPr>
                <w:sz w:val="40"/>
              </w:rPr>
              <w:t>CCPR</w:t>
            </w:r>
            <w:r>
              <w:t>/C/1</w:t>
            </w:r>
            <w:r w:rsidR="00711F00">
              <w:t>1</w:t>
            </w:r>
            <w:r w:rsidR="00540F02">
              <w:t>3</w:t>
            </w:r>
            <w:r>
              <w:t>/D/</w:t>
            </w:r>
            <w:r w:rsidR="00A165F9">
              <w:t>2</w:t>
            </w:r>
            <w:r w:rsidR="002A60A2">
              <w:t>192</w:t>
            </w:r>
            <w:r>
              <w:t>/</w:t>
            </w:r>
            <w:r w:rsidR="00AE50CE">
              <w:t>20</w:t>
            </w:r>
            <w:r w:rsidR="00540F02">
              <w:t>1</w:t>
            </w:r>
            <w:r w:rsidR="002A60A2">
              <w:t>2</w:t>
            </w:r>
          </w:p>
        </w:tc>
      </w:tr>
      <w:tr w:rsidR="00B56E9C" w:rsidTr="00A9008E">
        <w:trPr>
          <w:cantSplit/>
          <w:trHeight w:hRule="exact" w:val="2706"/>
        </w:trPr>
        <w:tc>
          <w:tcPr>
            <w:tcW w:w="1276" w:type="dxa"/>
            <w:tcBorders>
              <w:top w:val="single" w:sz="4" w:space="0" w:color="auto"/>
              <w:bottom w:val="single" w:sz="12" w:space="0" w:color="auto"/>
            </w:tcBorders>
          </w:tcPr>
          <w:p w:rsidR="00B56E9C" w:rsidRDefault="00ED49FA" w:rsidP="002E0AFA">
            <w:pPr>
              <w:spacing w:before="120"/>
              <w:jc w:val="both"/>
            </w:pPr>
            <w:r>
              <w:rPr>
                <w:noProof/>
                <w:lang w:val="en-US"/>
              </w:rPr>
              <w:drawing>
                <wp:inline distT="0" distB="0" distL="0" distR="0" wp14:anchorId="46BF1986" wp14:editId="2C4307D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C02635">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1B3645" w:rsidRPr="00267F5F" w:rsidRDefault="001B3645" w:rsidP="00BD746A">
            <w:pPr>
              <w:spacing w:before="120" w:line="380" w:lineRule="exact"/>
              <w:rPr>
                <w:sz w:val="34"/>
              </w:rPr>
            </w:pPr>
          </w:p>
        </w:tc>
        <w:tc>
          <w:tcPr>
            <w:tcW w:w="2835" w:type="dxa"/>
            <w:tcBorders>
              <w:top w:val="single" w:sz="4" w:space="0" w:color="auto"/>
              <w:bottom w:val="single" w:sz="12" w:space="0" w:color="auto"/>
            </w:tcBorders>
          </w:tcPr>
          <w:p w:rsidR="00B56E9C" w:rsidRDefault="008216A5" w:rsidP="002E0AFA">
            <w:pPr>
              <w:spacing w:before="240" w:line="240" w:lineRule="exact"/>
              <w:jc w:val="both"/>
            </w:pPr>
            <w:r>
              <w:t xml:space="preserve">Distr.: </w:t>
            </w:r>
            <w:r w:rsidR="001B3645">
              <w:t>General</w:t>
            </w:r>
          </w:p>
          <w:p w:rsidR="008216A5" w:rsidRDefault="00D85E38" w:rsidP="002E0AFA">
            <w:pPr>
              <w:spacing w:line="240" w:lineRule="exact"/>
              <w:jc w:val="both"/>
            </w:pPr>
            <w:r>
              <w:t>1 June</w:t>
            </w:r>
            <w:r w:rsidR="00C11092">
              <w:t xml:space="preserve"> </w:t>
            </w:r>
            <w:r w:rsidR="008216A5">
              <w:t>201</w:t>
            </w:r>
            <w:r w:rsidR="00540F02">
              <w:t>5</w:t>
            </w:r>
          </w:p>
          <w:p w:rsidR="008216A5" w:rsidRDefault="008216A5" w:rsidP="002E0AFA">
            <w:pPr>
              <w:spacing w:line="240" w:lineRule="exact"/>
              <w:jc w:val="both"/>
            </w:pPr>
          </w:p>
          <w:p w:rsidR="008216A5" w:rsidRDefault="008216A5" w:rsidP="002E0AFA">
            <w:pPr>
              <w:spacing w:line="240" w:lineRule="exact"/>
              <w:jc w:val="both"/>
            </w:pPr>
            <w:r>
              <w:t>Original: English</w:t>
            </w:r>
          </w:p>
          <w:p w:rsidR="003C4C89" w:rsidRDefault="003C4C89" w:rsidP="002E0AFA">
            <w:pPr>
              <w:spacing w:line="240" w:lineRule="exact"/>
              <w:jc w:val="both"/>
            </w:pPr>
          </w:p>
        </w:tc>
      </w:tr>
    </w:tbl>
    <w:p w:rsidR="008216A5" w:rsidRPr="008216A5" w:rsidRDefault="008216A5" w:rsidP="00A642CA">
      <w:pPr>
        <w:spacing w:before="120"/>
        <w:rPr>
          <w:b/>
          <w:sz w:val="24"/>
          <w:szCs w:val="24"/>
          <w:lang w:val="en-US"/>
        </w:rPr>
      </w:pPr>
      <w:r w:rsidRPr="008216A5">
        <w:rPr>
          <w:b/>
          <w:sz w:val="24"/>
          <w:szCs w:val="24"/>
          <w:lang w:val="en-US"/>
        </w:rPr>
        <w:t>Human Rights Committee</w:t>
      </w:r>
    </w:p>
    <w:p w:rsidR="003134AC" w:rsidRDefault="003134AC" w:rsidP="00A642CA">
      <w:pPr>
        <w:pStyle w:val="HChG"/>
      </w:pPr>
      <w:r w:rsidRPr="009E31DB">
        <w:tab/>
      </w:r>
      <w:r w:rsidRPr="009E31DB">
        <w:tab/>
        <w:t xml:space="preserve">Communication No. </w:t>
      </w:r>
      <w:r w:rsidR="00A165F9">
        <w:t>2</w:t>
      </w:r>
      <w:r w:rsidR="002A60A2">
        <w:t>192</w:t>
      </w:r>
      <w:r>
        <w:t>/20</w:t>
      </w:r>
      <w:r w:rsidR="00540F02">
        <w:t>1</w:t>
      </w:r>
      <w:r w:rsidR="002A60A2">
        <w:t>2</w:t>
      </w:r>
    </w:p>
    <w:p w:rsidR="008402F1" w:rsidRPr="008402F1" w:rsidRDefault="008402F1" w:rsidP="008402F1">
      <w:pPr>
        <w:pStyle w:val="H1G"/>
      </w:pPr>
      <w:r>
        <w:tab/>
      </w:r>
      <w:r>
        <w:tab/>
      </w:r>
      <w:r w:rsidRPr="00F91B3A">
        <w:t>Views adopted by the Committee at its 11</w:t>
      </w:r>
      <w:r>
        <w:t>3</w:t>
      </w:r>
      <w:r w:rsidR="000E2C9F">
        <w:t>th</w:t>
      </w:r>
      <w:r>
        <w:t xml:space="preserve"> session </w:t>
      </w:r>
      <w:r>
        <w:br/>
        <w:t>(</w:t>
      </w:r>
      <w:r>
        <w:rPr>
          <w:lang w:val="en-US"/>
        </w:rPr>
        <w:t xml:space="preserve">16 March–2 April </w:t>
      </w:r>
      <w:r w:rsidRPr="00735F4E">
        <w:rPr>
          <w:lang w:val="en-US"/>
        </w:rPr>
        <w:t>201</w:t>
      </w:r>
      <w:r>
        <w:rPr>
          <w:lang w:val="en-US"/>
        </w:rPr>
        <w:t>5)</w:t>
      </w:r>
    </w:p>
    <w:p w:rsidR="00A8797C" w:rsidRPr="009E31DB" w:rsidRDefault="00A8797C" w:rsidP="000E2C9F">
      <w:pPr>
        <w:pStyle w:val="SingleTxtG"/>
        <w:ind w:left="4536" w:hanging="3402"/>
        <w:jc w:val="left"/>
      </w:pPr>
      <w:r w:rsidRPr="009707F5">
        <w:rPr>
          <w:i/>
        </w:rPr>
        <w:t>Submitted by:</w:t>
      </w:r>
      <w:r w:rsidRPr="009E31DB">
        <w:tab/>
      </w:r>
      <w:r w:rsidR="002A60A2">
        <w:rPr>
          <w:lang w:val="en-US"/>
        </w:rPr>
        <w:t>N</w:t>
      </w:r>
      <w:r w:rsidR="004B2630">
        <w:rPr>
          <w:lang w:val="en-US"/>
        </w:rPr>
        <w:t>.</w:t>
      </w:r>
      <w:r w:rsidR="002A60A2">
        <w:rPr>
          <w:lang w:val="en-US"/>
        </w:rPr>
        <w:t>S</w:t>
      </w:r>
      <w:r w:rsidR="004B2630">
        <w:rPr>
          <w:lang w:val="en-US"/>
        </w:rPr>
        <w:t>.</w:t>
      </w:r>
      <w:r w:rsidR="002A60A2">
        <w:rPr>
          <w:lang w:val="en-US"/>
        </w:rPr>
        <w:t xml:space="preserve"> </w:t>
      </w:r>
      <w:r>
        <w:rPr>
          <w:lang w:val="en-US"/>
        </w:rPr>
        <w:t xml:space="preserve">(represented by counsel, </w:t>
      </w:r>
      <w:r w:rsidR="002A60A2" w:rsidRPr="002A60A2">
        <w:rPr>
          <w:lang w:val="en-US"/>
        </w:rPr>
        <w:t>Irina Birukova</w:t>
      </w:r>
      <w:r>
        <w:rPr>
          <w:lang w:val="en-US"/>
        </w:rPr>
        <w:t>)</w:t>
      </w:r>
    </w:p>
    <w:p w:rsidR="00A8797C" w:rsidRPr="00A9008E" w:rsidRDefault="00A8797C" w:rsidP="000E2C9F">
      <w:pPr>
        <w:pStyle w:val="SingleTxtG"/>
        <w:ind w:left="4536" w:hanging="3402"/>
        <w:jc w:val="left"/>
        <w:rPr>
          <w:lang w:val="en-GB"/>
        </w:rPr>
      </w:pPr>
      <w:r w:rsidRPr="009707F5">
        <w:rPr>
          <w:i/>
        </w:rPr>
        <w:t>Alleged victim:</w:t>
      </w:r>
      <w:r w:rsidRPr="009E31DB">
        <w:tab/>
        <w:t>The author</w:t>
      </w:r>
    </w:p>
    <w:p w:rsidR="00A8797C" w:rsidRPr="00A9008E" w:rsidRDefault="00A8797C" w:rsidP="000E2C9F">
      <w:pPr>
        <w:pStyle w:val="SingleTxtG"/>
        <w:ind w:left="4536" w:hanging="3402"/>
        <w:jc w:val="left"/>
        <w:rPr>
          <w:lang w:val="en-GB"/>
        </w:rPr>
      </w:pPr>
      <w:r w:rsidRPr="009707F5">
        <w:rPr>
          <w:i/>
        </w:rPr>
        <w:t>State party:</w:t>
      </w:r>
      <w:r w:rsidRPr="009E31DB">
        <w:tab/>
      </w:r>
      <w:r w:rsidR="002A60A2" w:rsidRPr="00420107">
        <w:rPr>
          <w:lang w:val="en-GB"/>
        </w:rPr>
        <w:t>Russian Federation</w:t>
      </w:r>
    </w:p>
    <w:p w:rsidR="00A8797C" w:rsidRPr="005C5E73" w:rsidRDefault="00A8797C" w:rsidP="000E2C9F">
      <w:pPr>
        <w:pStyle w:val="SingleTxtG"/>
        <w:ind w:left="4536" w:hanging="3402"/>
        <w:jc w:val="left"/>
        <w:rPr>
          <w:lang w:val="en-US"/>
        </w:rPr>
      </w:pPr>
      <w:r w:rsidRPr="009707F5">
        <w:rPr>
          <w:i/>
        </w:rPr>
        <w:t>Date of communication:</w:t>
      </w:r>
      <w:r w:rsidRPr="009E31DB">
        <w:tab/>
      </w:r>
      <w:r w:rsidR="002A60A2" w:rsidRPr="002A60A2">
        <w:rPr>
          <w:lang w:val="en-GB"/>
        </w:rPr>
        <w:t>2</w:t>
      </w:r>
      <w:r>
        <w:rPr>
          <w:lang w:val="en-GB"/>
        </w:rPr>
        <w:t xml:space="preserve">1 </w:t>
      </w:r>
      <w:r w:rsidR="002A60A2">
        <w:rPr>
          <w:lang w:val="en-GB"/>
        </w:rPr>
        <w:t>August</w:t>
      </w:r>
      <w:r>
        <w:rPr>
          <w:lang w:val="en-GB"/>
        </w:rPr>
        <w:t xml:space="preserve"> 201</w:t>
      </w:r>
      <w:r w:rsidR="002A60A2">
        <w:rPr>
          <w:lang w:val="en-GB"/>
        </w:rPr>
        <w:t>2</w:t>
      </w:r>
      <w:r w:rsidRPr="009E31DB">
        <w:t xml:space="preserve"> (initial submission)</w:t>
      </w:r>
    </w:p>
    <w:p w:rsidR="003134AC" w:rsidRPr="009E31DB" w:rsidRDefault="003134AC" w:rsidP="002A1E01">
      <w:pPr>
        <w:pStyle w:val="SingleTxtG"/>
        <w:ind w:left="4536" w:hanging="3402"/>
        <w:jc w:val="left"/>
      </w:pPr>
      <w:r w:rsidRPr="009707F5">
        <w:rPr>
          <w:i/>
        </w:rPr>
        <w:t>Document references:</w:t>
      </w:r>
      <w:r w:rsidRPr="009E31DB">
        <w:tab/>
        <w:t>Special Rapporteur’s decision</w:t>
      </w:r>
      <w:r w:rsidR="002A1E01" w:rsidRPr="005C5E73">
        <w:rPr>
          <w:lang w:val="en-US"/>
        </w:rPr>
        <w:t xml:space="preserve"> und</w:t>
      </w:r>
      <w:r w:rsidR="002A1E01">
        <w:rPr>
          <w:lang w:val="en-US"/>
        </w:rPr>
        <w:t>er rules 92 and 97</w:t>
      </w:r>
      <w:r w:rsidRPr="009E31DB">
        <w:t xml:space="preserve">, transmitted to the State party on </w:t>
      </w:r>
      <w:r w:rsidR="002A60A2" w:rsidRPr="002A60A2">
        <w:rPr>
          <w:lang w:val="en-GB"/>
        </w:rPr>
        <w:t>22</w:t>
      </w:r>
      <w:r w:rsidR="00123121">
        <w:rPr>
          <w:lang w:val="en-GB"/>
        </w:rPr>
        <w:t> </w:t>
      </w:r>
      <w:r w:rsidR="002A60A2" w:rsidRPr="002A60A2">
        <w:rPr>
          <w:lang w:val="en-GB"/>
        </w:rPr>
        <w:t>August</w:t>
      </w:r>
      <w:r w:rsidR="001844A0">
        <w:rPr>
          <w:lang w:val="en-GB"/>
        </w:rPr>
        <w:t xml:space="preserve"> 201</w:t>
      </w:r>
      <w:r w:rsidR="002A60A2">
        <w:rPr>
          <w:lang w:val="en-GB"/>
        </w:rPr>
        <w:t>2</w:t>
      </w:r>
      <w:r>
        <w:t xml:space="preserve"> </w:t>
      </w:r>
      <w:r w:rsidRPr="009E31DB">
        <w:t>(not issued in document form)</w:t>
      </w:r>
    </w:p>
    <w:p w:rsidR="003134AC" w:rsidRDefault="003134AC" w:rsidP="000E2C9F">
      <w:pPr>
        <w:pStyle w:val="SingleTxtG"/>
        <w:ind w:left="4536" w:hanging="3402"/>
        <w:jc w:val="left"/>
        <w:rPr>
          <w:lang w:val="en-GB"/>
        </w:rPr>
      </w:pPr>
      <w:r w:rsidRPr="009707F5">
        <w:rPr>
          <w:i/>
        </w:rPr>
        <w:t>Date of adoption of Views:</w:t>
      </w:r>
      <w:r w:rsidRPr="009E31DB">
        <w:tab/>
      </w:r>
      <w:r w:rsidR="004B2630">
        <w:rPr>
          <w:lang w:val="en-GB"/>
        </w:rPr>
        <w:t>27</w:t>
      </w:r>
      <w:r w:rsidRPr="009E31DB">
        <w:t xml:space="preserve"> </w:t>
      </w:r>
      <w:r w:rsidR="001844A0">
        <w:rPr>
          <w:lang w:val="en-GB"/>
        </w:rPr>
        <w:t>March</w:t>
      </w:r>
      <w:r w:rsidRPr="009E31DB">
        <w:t xml:space="preserve"> 201</w:t>
      </w:r>
      <w:r w:rsidR="001844A0" w:rsidRPr="001844A0">
        <w:rPr>
          <w:lang w:val="en-GB"/>
        </w:rPr>
        <w:t>5</w:t>
      </w:r>
    </w:p>
    <w:p w:rsidR="003134AC" w:rsidRPr="004906FF" w:rsidRDefault="009B3C1C" w:rsidP="000E2C9F">
      <w:pPr>
        <w:pStyle w:val="SingleTxtG"/>
        <w:ind w:left="4536" w:hanging="3402"/>
        <w:jc w:val="left"/>
        <w:rPr>
          <w:lang w:val="en-GB"/>
        </w:rPr>
      </w:pPr>
      <w:r w:rsidRPr="009E31DB">
        <w:rPr>
          <w:i/>
          <w:iCs/>
        </w:rPr>
        <w:t>Subject matter:</w:t>
      </w:r>
      <w:r w:rsidRPr="009E31DB">
        <w:tab/>
      </w:r>
      <w:r w:rsidRPr="004906FF">
        <w:rPr>
          <w:lang w:val="en-GB"/>
        </w:rPr>
        <w:t>Author facing extradition to K</w:t>
      </w:r>
      <w:r>
        <w:rPr>
          <w:lang w:val="en-GB"/>
        </w:rPr>
        <w:t>yrgyzs</w:t>
      </w:r>
      <w:r w:rsidRPr="004906FF">
        <w:rPr>
          <w:lang w:val="en-GB"/>
        </w:rPr>
        <w:t>tan where he alleges that he will be subjected to torture</w:t>
      </w:r>
    </w:p>
    <w:p w:rsidR="00D43E03" w:rsidRPr="00D43E03" w:rsidRDefault="00D43E03" w:rsidP="000E2C9F">
      <w:pPr>
        <w:pStyle w:val="SingleTxtG"/>
        <w:ind w:left="4536" w:hanging="3402"/>
        <w:jc w:val="left"/>
        <w:rPr>
          <w:lang w:val="en-GB"/>
        </w:rPr>
      </w:pPr>
      <w:r w:rsidRPr="005B6047">
        <w:rPr>
          <w:i/>
          <w:iCs/>
        </w:rPr>
        <w:t xml:space="preserve">Procedural issues: </w:t>
      </w:r>
      <w:r w:rsidRPr="005B6047">
        <w:rPr>
          <w:i/>
          <w:iCs/>
        </w:rPr>
        <w:tab/>
      </w:r>
      <w:r w:rsidRPr="009F48AB">
        <w:rPr>
          <w:iCs/>
          <w:lang w:val="en-GB"/>
        </w:rPr>
        <w:t>A</w:t>
      </w:r>
      <w:r w:rsidRPr="009F48AB">
        <w:rPr>
          <w:iCs/>
        </w:rPr>
        <w:t xml:space="preserve">dmissibility </w:t>
      </w:r>
      <w:r w:rsidR="009B3C1C" w:rsidRPr="005C5E73">
        <w:rPr>
          <w:iCs/>
          <w:lang w:val="en-US"/>
        </w:rPr>
        <w:t>–</w:t>
      </w:r>
      <w:r w:rsidRPr="009F48AB">
        <w:rPr>
          <w:iCs/>
        </w:rPr>
        <w:t xml:space="preserve"> exhaustion of domestic remedies</w:t>
      </w:r>
    </w:p>
    <w:p w:rsidR="003134AC" w:rsidRPr="00590094" w:rsidRDefault="003134AC" w:rsidP="000E2C9F">
      <w:pPr>
        <w:pStyle w:val="SingleTxtG"/>
        <w:ind w:left="4536" w:hanging="3402"/>
        <w:jc w:val="left"/>
        <w:rPr>
          <w:lang w:val="en-US"/>
        </w:rPr>
      </w:pPr>
      <w:r w:rsidRPr="005B6047">
        <w:rPr>
          <w:i/>
          <w:iCs/>
        </w:rPr>
        <w:t xml:space="preserve">Substantive issues: </w:t>
      </w:r>
      <w:r w:rsidRPr="005B6047">
        <w:rPr>
          <w:i/>
          <w:iCs/>
        </w:rPr>
        <w:tab/>
      </w:r>
      <w:r w:rsidR="009F48AB" w:rsidRPr="00590094">
        <w:rPr>
          <w:iCs/>
          <w:lang w:val="en-US"/>
        </w:rPr>
        <w:t>Torture</w:t>
      </w:r>
      <w:r w:rsidR="00CE2C50" w:rsidRPr="00590094">
        <w:rPr>
          <w:iCs/>
          <w:lang w:val="en-US"/>
        </w:rPr>
        <w:t>,</w:t>
      </w:r>
      <w:r w:rsidR="009F48AB" w:rsidRPr="00590094">
        <w:rPr>
          <w:iCs/>
          <w:lang w:val="en-US"/>
        </w:rPr>
        <w:t xml:space="preserve"> a</w:t>
      </w:r>
      <w:r w:rsidR="009F48AB" w:rsidRPr="009F48AB">
        <w:rPr>
          <w:iCs/>
        </w:rPr>
        <w:t>rbitrary detention</w:t>
      </w:r>
      <w:r w:rsidR="00CE2C50" w:rsidRPr="00590094">
        <w:rPr>
          <w:iCs/>
          <w:lang w:val="en-US"/>
        </w:rPr>
        <w:t xml:space="preserve"> and</w:t>
      </w:r>
      <w:r w:rsidR="00C02635" w:rsidRPr="00590094">
        <w:rPr>
          <w:iCs/>
          <w:lang w:val="en-US"/>
        </w:rPr>
        <w:t xml:space="preserve"> non-refoulement</w:t>
      </w:r>
    </w:p>
    <w:p w:rsidR="005C11C1" w:rsidRPr="005C5E73" w:rsidRDefault="003134AC" w:rsidP="002A1E01">
      <w:pPr>
        <w:pStyle w:val="SingleTxtG"/>
        <w:ind w:left="4536" w:hanging="3402"/>
        <w:jc w:val="left"/>
        <w:rPr>
          <w:lang w:val="en-US"/>
        </w:rPr>
      </w:pPr>
      <w:r w:rsidRPr="005C11C1">
        <w:rPr>
          <w:i/>
          <w:iCs/>
        </w:rPr>
        <w:t>Articles of the Covenant:</w:t>
      </w:r>
      <w:r w:rsidRPr="005C11C1">
        <w:t xml:space="preserve"> </w:t>
      </w:r>
      <w:r w:rsidRPr="005C11C1">
        <w:tab/>
      </w:r>
      <w:r w:rsidR="00E306CE" w:rsidRPr="009F48AB">
        <w:rPr>
          <w:lang w:val="en-GB"/>
        </w:rPr>
        <w:t>7</w:t>
      </w:r>
      <w:r w:rsidR="002A1E01">
        <w:rPr>
          <w:lang w:val="en-GB"/>
        </w:rPr>
        <w:t xml:space="preserve"> and</w:t>
      </w:r>
      <w:r w:rsidR="00E306CE" w:rsidRPr="009F48AB">
        <w:rPr>
          <w:lang w:val="en-GB"/>
        </w:rPr>
        <w:t xml:space="preserve"> 9</w:t>
      </w:r>
    </w:p>
    <w:p w:rsidR="003134AC" w:rsidRPr="009E31DB" w:rsidRDefault="003134AC" w:rsidP="005C5E73">
      <w:pPr>
        <w:pStyle w:val="SingleTxtG"/>
        <w:ind w:left="4536" w:hanging="3402"/>
        <w:jc w:val="left"/>
      </w:pPr>
      <w:r w:rsidRPr="009E31DB">
        <w:rPr>
          <w:i/>
          <w:iCs/>
        </w:rPr>
        <w:t>Art</w:t>
      </w:r>
      <w:r>
        <w:rPr>
          <w:i/>
          <w:iCs/>
        </w:rPr>
        <w:t>icles of the Optional Protocol:</w:t>
      </w:r>
      <w:r w:rsidR="00735F4E" w:rsidRPr="00735F4E">
        <w:rPr>
          <w:i/>
          <w:iCs/>
          <w:lang w:val="en-GB"/>
        </w:rPr>
        <w:tab/>
      </w:r>
      <w:r w:rsidRPr="002575B5">
        <w:rPr>
          <w:iCs/>
        </w:rPr>
        <w:t>2</w:t>
      </w:r>
      <w:r w:rsidR="002A1E01" w:rsidRPr="005C5E73">
        <w:rPr>
          <w:iCs/>
          <w:lang w:val="en-US"/>
        </w:rPr>
        <w:t xml:space="preserve"> and</w:t>
      </w:r>
      <w:r w:rsidRPr="002575B5">
        <w:rPr>
          <w:iCs/>
        </w:rPr>
        <w:t xml:space="preserve"> </w:t>
      </w:r>
      <w:r w:rsidR="00A777CF">
        <w:t xml:space="preserve">5 </w:t>
      </w:r>
      <w:r w:rsidR="000E2C9F">
        <w:rPr>
          <w:lang w:val="en-US"/>
        </w:rPr>
        <w:t>(</w:t>
      </w:r>
      <w:r w:rsidR="00A777CF">
        <w:t>2</w:t>
      </w:r>
      <w:r w:rsidR="000E2C9F">
        <w:rPr>
          <w:lang w:val="en-US"/>
        </w:rPr>
        <w:t>)</w:t>
      </w:r>
      <w:r w:rsidR="00A777CF">
        <w:t xml:space="preserve"> (b)</w:t>
      </w:r>
    </w:p>
    <w:p w:rsidR="003134AC" w:rsidRPr="009E31DB" w:rsidRDefault="00DB63E4" w:rsidP="002E0AFA">
      <w:pPr>
        <w:pStyle w:val="HChG"/>
        <w:jc w:val="both"/>
      </w:pPr>
      <w:r>
        <w:rPr>
          <w:noProof/>
          <w:sz w:val="40"/>
          <w:lang w:val="en-US"/>
        </w:rPr>
        <w:drawing>
          <wp:anchor distT="0" distB="0" distL="114300" distR="114300" simplePos="0" relativeHeight="251658240" behindDoc="0" locked="0" layoutInCell="1" allowOverlap="0" wp14:anchorId="5956C0BC" wp14:editId="702CDB6A">
            <wp:simplePos x="0" y="0"/>
            <wp:positionH relativeFrom="margin">
              <wp:posOffset>5459730</wp:posOffset>
            </wp:positionH>
            <wp:positionV relativeFrom="margin">
              <wp:posOffset>8032750</wp:posOffset>
            </wp:positionV>
            <wp:extent cx="638175" cy="638175"/>
            <wp:effectExtent l="0" t="0" r="9525" b="9525"/>
            <wp:wrapNone/>
            <wp:docPr id="3" name="Picture 2" descr="http://undocs.org/m2/QRCode.ashx?DS=CCPR/C/113/D/2192/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192/2012&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AC" w:rsidRPr="009E31DB">
        <w:br w:type="page"/>
      </w:r>
      <w:r w:rsidR="003134AC" w:rsidRPr="009E31DB">
        <w:lastRenderedPageBreak/>
        <w:t>Annex</w:t>
      </w:r>
    </w:p>
    <w:p w:rsidR="003134AC" w:rsidRPr="000E2C9F" w:rsidRDefault="003134AC" w:rsidP="00C36048">
      <w:pPr>
        <w:pStyle w:val="HChG"/>
      </w:pPr>
      <w:r w:rsidRPr="009E31DB">
        <w:tab/>
      </w:r>
      <w:r w:rsidRPr="009E31DB">
        <w:tab/>
        <w:t xml:space="preserve">Views of the Human Rights Committee under </w:t>
      </w:r>
      <w:r w:rsidR="004E0D75">
        <w:t>article </w:t>
      </w:r>
      <w:r w:rsidRPr="009E31DB">
        <w:t xml:space="preserve">5 </w:t>
      </w:r>
      <w:r w:rsidR="00C268AF">
        <w:t>(</w:t>
      </w:r>
      <w:r w:rsidRPr="009E31DB">
        <w:t>4</w:t>
      </w:r>
      <w:r w:rsidR="00C268AF">
        <w:t>)</w:t>
      </w:r>
      <w:r w:rsidRPr="009E31DB">
        <w:t xml:space="preserve"> of the Optional Protocol to the International Covenant on Civil and Political rights (</w:t>
      </w:r>
      <w:r>
        <w:t>11</w:t>
      </w:r>
      <w:r w:rsidR="001844A0">
        <w:t>3</w:t>
      </w:r>
      <w:r>
        <w:t xml:space="preserve">th </w:t>
      </w:r>
      <w:r w:rsidRPr="009E31DB">
        <w:rPr>
          <w:bCs/>
        </w:rPr>
        <w:t>session)</w:t>
      </w:r>
    </w:p>
    <w:p w:rsidR="003134AC" w:rsidRPr="009E31DB" w:rsidRDefault="003134AC" w:rsidP="002E0AFA">
      <w:pPr>
        <w:pStyle w:val="SingleTxtG"/>
        <w:rPr>
          <w:b/>
          <w:bCs/>
        </w:rPr>
      </w:pPr>
      <w:r w:rsidRPr="009E31DB">
        <w:t>concerning</w:t>
      </w:r>
    </w:p>
    <w:p w:rsidR="003134AC" w:rsidRPr="009E31DB" w:rsidRDefault="003134AC" w:rsidP="000E2C9F">
      <w:pPr>
        <w:pStyle w:val="H1G"/>
        <w:jc w:val="both"/>
      </w:pPr>
      <w:r w:rsidRPr="009E31DB">
        <w:tab/>
      </w:r>
      <w:r w:rsidRPr="009E31DB">
        <w:tab/>
        <w:t>Communication No.</w:t>
      </w:r>
      <w:r w:rsidR="00DC3202">
        <w:t> </w:t>
      </w:r>
      <w:r w:rsidR="00A165F9">
        <w:t>2</w:t>
      </w:r>
      <w:r w:rsidR="002A60A2">
        <w:t>192</w:t>
      </w:r>
      <w:r>
        <w:t>/</w:t>
      </w:r>
      <w:r w:rsidR="002A60A2">
        <w:t>2012</w:t>
      </w:r>
      <w:r w:rsidR="001B3645" w:rsidRPr="000E2C9F">
        <w:rPr>
          <w:rStyle w:val="FootnoteReference"/>
          <w:b w:val="0"/>
          <w:bCs/>
          <w:sz w:val="20"/>
          <w:vertAlign w:val="baseline"/>
        </w:rPr>
        <w:footnoteReference w:customMarkFollows="1" w:id="2"/>
        <w:t>*</w:t>
      </w:r>
    </w:p>
    <w:p w:rsidR="002A60A2" w:rsidRPr="009E31DB" w:rsidRDefault="002A60A2" w:rsidP="000E2C9F">
      <w:pPr>
        <w:pStyle w:val="SingleTxtG"/>
        <w:ind w:left="4536" w:hanging="3402"/>
        <w:jc w:val="left"/>
      </w:pPr>
      <w:r w:rsidRPr="009707F5">
        <w:rPr>
          <w:i/>
        </w:rPr>
        <w:t>Submitted by:</w:t>
      </w:r>
      <w:r w:rsidRPr="009E31DB">
        <w:tab/>
      </w:r>
      <w:r w:rsidR="001B3645">
        <w:rPr>
          <w:lang w:val="en-US"/>
        </w:rPr>
        <w:t xml:space="preserve">N.S. </w:t>
      </w:r>
      <w:r>
        <w:rPr>
          <w:lang w:val="en-US"/>
        </w:rPr>
        <w:t xml:space="preserve">(represented by counsel, </w:t>
      </w:r>
      <w:r w:rsidRPr="002A60A2">
        <w:rPr>
          <w:lang w:val="en-US"/>
        </w:rPr>
        <w:t>Irina Birukova</w:t>
      </w:r>
      <w:r>
        <w:rPr>
          <w:lang w:val="en-US"/>
        </w:rPr>
        <w:t>)</w:t>
      </w:r>
    </w:p>
    <w:p w:rsidR="002A60A2" w:rsidRPr="00A9008E" w:rsidRDefault="002A60A2" w:rsidP="000E2C9F">
      <w:pPr>
        <w:pStyle w:val="SingleTxtG"/>
        <w:ind w:left="4536" w:hanging="3402"/>
        <w:jc w:val="left"/>
        <w:rPr>
          <w:lang w:val="en-GB"/>
        </w:rPr>
      </w:pPr>
      <w:r w:rsidRPr="009707F5">
        <w:rPr>
          <w:i/>
        </w:rPr>
        <w:t>Alleged victim:</w:t>
      </w:r>
      <w:r w:rsidRPr="009E31DB">
        <w:tab/>
        <w:t>The author</w:t>
      </w:r>
    </w:p>
    <w:p w:rsidR="002A60A2" w:rsidRPr="00A9008E" w:rsidRDefault="002A60A2" w:rsidP="000E2C9F">
      <w:pPr>
        <w:pStyle w:val="SingleTxtG"/>
        <w:ind w:left="4536" w:hanging="3402"/>
        <w:jc w:val="left"/>
        <w:rPr>
          <w:lang w:val="en-GB"/>
        </w:rPr>
      </w:pPr>
      <w:r w:rsidRPr="009707F5">
        <w:rPr>
          <w:i/>
        </w:rPr>
        <w:t>State party:</w:t>
      </w:r>
      <w:r w:rsidRPr="009E31DB">
        <w:tab/>
      </w:r>
      <w:r w:rsidRPr="002A60A2">
        <w:rPr>
          <w:lang w:val="en-GB"/>
        </w:rPr>
        <w:t>Russian Federation</w:t>
      </w:r>
    </w:p>
    <w:p w:rsidR="002A60A2" w:rsidRPr="005C5E73" w:rsidRDefault="002A60A2" w:rsidP="000E2C9F">
      <w:pPr>
        <w:pStyle w:val="SingleTxtG"/>
        <w:ind w:left="4536" w:hanging="3402"/>
        <w:jc w:val="left"/>
        <w:rPr>
          <w:lang w:val="en-US"/>
        </w:rPr>
      </w:pPr>
      <w:r w:rsidRPr="009707F5">
        <w:rPr>
          <w:i/>
        </w:rPr>
        <w:t>Date of communication:</w:t>
      </w:r>
      <w:r w:rsidRPr="009E31DB">
        <w:tab/>
      </w:r>
      <w:r w:rsidRPr="002A60A2">
        <w:rPr>
          <w:lang w:val="en-GB"/>
        </w:rPr>
        <w:t>2</w:t>
      </w:r>
      <w:r>
        <w:rPr>
          <w:lang w:val="en-GB"/>
        </w:rPr>
        <w:t>1 August 2012</w:t>
      </w:r>
      <w:r w:rsidRPr="009E31DB">
        <w:t xml:space="preserve"> (initial submission)</w:t>
      </w:r>
    </w:p>
    <w:p w:rsidR="003134AC" w:rsidRPr="009E31DB" w:rsidRDefault="003134AC" w:rsidP="002E0AFA">
      <w:pPr>
        <w:pStyle w:val="SingleTxtG"/>
      </w:pPr>
      <w:r w:rsidRPr="009E31DB">
        <w:tab/>
      </w:r>
      <w:r w:rsidRPr="009707F5">
        <w:rPr>
          <w:i/>
        </w:rPr>
        <w:t>The Human Rights Committee</w:t>
      </w:r>
      <w:r w:rsidRPr="009E31DB">
        <w:t xml:space="preserve">, established under </w:t>
      </w:r>
      <w:r w:rsidR="004E0D75">
        <w:t>article </w:t>
      </w:r>
      <w:r w:rsidRPr="009E31DB">
        <w:t xml:space="preserve">28 of the International Covenant on Civil and Political Rights, </w:t>
      </w:r>
    </w:p>
    <w:p w:rsidR="003134AC" w:rsidRPr="009E31DB" w:rsidRDefault="003134AC" w:rsidP="002E0AFA">
      <w:pPr>
        <w:pStyle w:val="SingleTxtG"/>
      </w:pPr>
      <w:r w:rsidRPr="009E31DB">
        <w:tab/>
      </w:r>
      <w:r w:rsidRPr="009707F5">
        <w:rPr>
          <w:i/>
        </w:rPr>
        <w:t xml:space="preserve">Meeting </w:t>
      </w:r>
      <w:r w:rsidRPr="005C5E73">
        <w:t>on</w:t>
      </w:r>
      <w:r w:rsidRPr="009E31DB">
        <w:t xml:space="preserve"> </w:t>
      </w:r>
      <w:r w:rsidR="0010475A">
        <w:rPr>
          <w:lang w:val="en-GB"/>
        </w:rPr>
        <w:t>27</w:t>
      </w:r>
      <w:r w:rsidRPr="009E31DB">
        <w:t xml:space="preserve"> </w:t>
      </w:r>
      <w:r w:rsidR="001844A0" w:rsidRPr="001844A0">
        <w:rPr>
          <w:lang w:val="en-GB"/>
        </w:rPr>
        <w:t>March</w:t>
      </w:r>
      <w:r w:rsidRPr="009E31DB">
        <w:t xml:space="preserve"> 201</w:t>
      </w:r>
      <w:r w:rsidR="001844A0" w:rsidRPr="001844A0">
        <w:rPr>
          <w:lang w:val="en-GB"/>
        </w:rPr>
        <w:t>5</w:t>
      </w:r>
      <w:r w:rsidRPr="009E31DB">
        <w:t>,</w:t>
      </w:r>
    </w:p>
    <w:p w:rsidR="003134AC" w:rsidRPr="009E31DB" w:rsidRDefault="003134AC" w:rsidP="002E0AFA">
      <w:pPr>
        <w:pStyle w:val="SingleTxtG"/>
      </w:pPr>
      <w:r w:rsidRPr="009E31DB">
        <w:tab/>
      </w:r>
      <w:r w:rsidRPr="009707F5">
        <w:rPr>
          <w:i/>
        </w:rPr>
        <w:t>Having concluded</w:t>
      </w:r>
      <w:r w:rsidRPr="009E31DB">
        <w:t xml:space="preserve"> its consideration of communication No.</w:t>
      </w:r>
      <w:r w:rsidR="0089096C" w:rsidRPr="005C5E73">
        <w:rPr>
          <w:lang w:val="en-US"/>
        </w:rPr>
        <w:t> </w:t>
      </w:r>
      <w:r w:rsidR="00A165F9" w:rsidRPr="00A165F9">
        <w:rPr>
          <w:lang w:val="en-GB"/>
        </w:rPr>
        <w:t>2</w:t>
      </w:r>
      <w:r w:rsidR="002A60A2">
        <w:rPr>
          <w:lang w:val="en-GB"/>
        </w:rPr>
        <w:t>192</w:t>
      </w:r>
      <w:r>
        <w:t>/20</w:t>
      </w:r>
      <w:r w:rsidR="001844A0" w:rsidRPr="001844A0">
        <w:rPr>
          <w:lang w:val="en-GB"/>
        </w:rPr>
        <w:t>1</w:t>
      </w:r>
      <w:r w:rsidR="002A60A2">
        <w:rPr>
          <w:lang w:val="en-GB"/>
        </w:rPr>
        <w:t>2</w:t>
      </w:r>
      <w:r w:rsidRPr="009E31DB">
        <w:t xml:space="preserve">, submitted to </w:t>
      </w:r>
      <w:r>
        <w:t xml:space="preserve">the Human Rights Committee </w:t>
      </w:r>
      <w:r w:rsidRPr="009E31DB">
        <w:t>under the Optional Protocol to the International Covenant on Civil and Political Rights,</w:t>
      </w:r>
    </w:p>
    <w:p w:rsidR="003134AC" w:rsidRPr="009E31DB" w:rsidRDefault="003134AC" w:rsidP="002E0AFA">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rsidR="00AB6FA6" w:rsidRPr="005C5E73" w:rsidRDefault="003134AC" w:rsidP="00D43E03">
      <w:pPr>
        <w:pStyle w:val="SingleTxtG"/>
        <w:rPr>
          <w:iCs/>
          <w:lang w:val="en-US"/>
        </w:rPr>
      </w:pPr>
      <w:r w:rsidRPr="009E31DB">
        <w:tab/>
      </w:r>
      <w:r w:rsidRPr="009707F5">
        <w:rPr>
          <w:i/>
        </w:rPr>
        <w:t xml:space="preserve">Adopts </w:t>
      </w:r>
      <w:r w:rsidRPr="000E2C9F">
        <w:rPr>
          <w:iCs/>
        </w:rPr>
        <w:t>the following</w:t>
      </w:r>
      <w:r w:rsidR="00D43E03" w:rsidRPr="000E2C9F">
        <w:rPr>
          <w:iCs/>
        </w:rPr>
        <w:t>:</w:t>
      </w:r>
    </w:p>
    <w:p w:rsidR="003134AC" w:rsidRPr="007B3302" w:rsidRDefault="00AB6FA6" w:rsidP="005C5E73">
      <w:pPr>
        <w:pStyle w:val="H1G"/>
        <w:jc w:val="both"/>
        <w:rPr>
          <w:i/>
          <w:iCs/>
        </w:rPr>
      </w:pPr>
      <w:r>
        <w:tab/>
      </w:r>
      <w:r>
        <w:tab/>
      </w:r>
      <w:r w:rsidR="003134AC" w:rsidRPr="009E31DB">
        <w:t xml:space="preserve">Views under </w:t>
      </w:r>
      <w:r w:rsidR="004E0D75">
        <w:t>article </w:t>
      </w:r>
      <w:r w:rsidR="003134AC" w:rsidRPr="009E31DB">
        <w:t xml:space="preserve">5 </w:t>
      </w:r>
      <w:r w:rsidR="000E2C9F">
        <w:t>(</w:t>
      </w:r>
      <w:r w:rsidR="003134AC" w:rsidRPr="009E31DB">
        <w:t>4</w:t>
      </w:r>
      <w:r w:rsidR="000E2C9F">
        <w:t>)</w:t>
      </w:r>
      <w:r w:rsidR="003134AC" w:rsidRPr="009E31DB">
        <w:t xml:space="preserve"> of the Optional Protocol</w:t>
      </w:r>
    </w:p>
    <w:p w:rsidR="002A60A2" w:rsidRPr="002A60A2" w:rsidRDefault="00A9008E" w:rsidP="000E2C9F">
      <w:pPr>
        <w:pStyle w:val="SingleTxtG"/>
        <w:rPr>
          <w:lang w:val="en-US"/>
        </w:rPr>
      </w:pPr>
      <w:r w:rsidRPr="00A9008E">
        <w:rPr>
          <w:lang w:val="en-US"/>
        </w:rPr>
        <w:t>1.</w:t>
      </w:r>
      <w:r w:rsidR="004906FF">
        <w:rPr>
          <w:lang w:val="en-US"/>
        </w:rPr>
        <w:t>1</w:t>
      </w:r>
      <w:r w:rsidRPr="00A9008E">
        <w:rPr>
          <w:lang w:val="en-US"/>
        </w:rPr>
        <w:tab/>
      </w:r>
      <w:r w:rsidR="002A60A2" w:rsidRPr="002A60A2">
        <w:rPr>
          <w:lang w:val="en-US"/>
        </w:rPr>
        <w:t>The author of the communication is N</w:t>
      </w:r>
      <w:r w:rsidR="00EB3D88">
        <w:rPr>
          <w:lang w:val="en-US"/>
        </w:rPr>
        <w:t>.</w:t>
      </w:r>
      <w:r w:rsidR="002A60A2" w:rsidRPr="002A60A2">
        <w:rPr>
          <w:lang w:val="en-US"/>
        </w:rPr>
        <w:t>S</w:t>
      </w:r>
      <w:r w:rsidR="00EB3D88">
        <w:rPr>
          <w:lang w:val="en-US"/>
        </w:rPr>
        <w:t>.</w:t>
      </w:r>
      <w:r w:rsidR="002A60A2" w:rsidRPr="002A60A2">
        <w:rPr>
          <w:lang w:val="en-US"/>
        </w:rPr>
        <w:t>, a national of Kyrgyzstan, of Kyrgyz ethnicity, born on 4 June 1983. At the</w:t>
      </w:r>
      <w:r w:rsidR="00241AE8">
        <w:rPr>
          <w:lang w:val="en-US"/>
        </w:rPr>
        <w:t xml:space="preserve"> time of the initial communication</w:t>
      </w:r>
      <w:r w:rsidR="000E2C9F">
        <w:rPr>
          <w:lang w:val="en-US"/>
        </w:rPr>
        <w:t>,</w:t>
      </w:r>
      <w:r w:rsidR="00241AE8">
        <w:rPr>
          <w:lang w:val="en-US"/>
        </w:rPr>
        <w:t xml:space="preserve"> the author wa</w:t>
      </w:r>
      <w:r w:rsidR="002A60A2" w:rsidRPr="002A60A2">
        <w:rPr>
          <w:lang w:val="en-US"/>
        </w:rPr>
        <w:t xml:space="preserve">s detained, pending the </w:t>
      </w:r>
      <w:r w:rsidR="00241AE8">
        <w:rPr>
          <w:lang w:val="en-US"/>
        </w:rPr>
        <w:t xml:space="preserve">finalization </w:t>
      </w:r>
      <w:r w:rsidR="002A60A2" w:rsidRPr="002A60A2">
        <w:rPr>
          <w:lang w:val="en-US"/>
        </w:rPr>
        <w:t>of extradition proceedings</w:t>
      </w:r>
      <w:r w:rsidR="00241AE8">
        <w:rPr>
          <w:lang w:val="en-US"/>
        </w:rPr>
        <w:t xml:space="preserve"> following an extradition request by</w:t>
      </w:r>
      <w:r w:rsidR="002A60A2" w:rsidRPr="002A60A2">
        <w:rPr>
          <w:lang w:val="en-US"/>
        </w:rPr>
        <w:t xml:space="preserve"> Kyrgyzstan. </w:t>
      </w:r>
      <w:r w:rsidR="00241AE8" w:rsidRPr="002A60A2">
        <w:rPr>
          <w:lang w:val="en-US"/>
        </w:rPr>
        <w:t xml:space="preserve">The author claims to be a victim of violations by the Russian Federation of his rights under </w:t>
      </w:r>
      <w:r w:rsidR="004E0D75">
        <w:rPr>
          <w:lang w:val="en-US"/>
        </w:rPr>
        <w:t>article </w:t>
      </w:r>
      <w:r w:rsidR="00241AE8" w:rsidRPr="002A60A2">
        <w:rPr>
          <w:lang w:val="en-US"/>
        </w:rPr>
        <w:t xml:space="preserve">9 of the International Covenant on Civil and Political Rights. </w:t>
      </w:r>
      <w:r w:rsidR="002A60A2" w:rsidRPr="002A60A2">
        <w:rPr>
          <w:lang w:val="en-US"/>
        </w:rPr>
        <w:t xml:space="preserve">He </w:t>
      </w:r>
      <w:r w:rsidR="00241AE8">
        <w:rPr>
          <w:lang w:val="en-US"/>
        </w:rPr>
        <w:t xml:space="preserve">also </w:t>
      </w:r>
      <w:r w:rsidR="002A60A2" w:rsidRPr="002A60A2">
        <w:rPr>
          <w:lang w:val="en-US"/>
        </w:rPr>
        <w:t>maintains that</w:t>
      </w:r>
      <w:r w:rsidR="00FE4EEA">
        <w:rPr>
          <w:lang w:val="en-US"/>
        </w:rPr>
        <w:t>,</w:t>
      </w:r>
      <w:r w:rsidR="002A60A2" w:rsidRPr="002A60A2">
        <w:rPr>
          <w:lang w:val="en-US"/>
        </w:rPr>
        <w:t xml:space="preserve"> if the Russian Federation proceeds with his extradition</w:t>
      </w:r>
      <w:r w:rsidR="00FE4EEA">
        <w:rPr>
          <w:lang w:val="en-US"/>
        </w:rPr>
        <w:t>,</w:t>
      </w:r>
      <w:r w:rsidR="002A60A2" w:rsidRPr="002A60A2">
        <w:rPr>
          <w:lang w:val="en-US"/>
        </w:rPr>
        <w:t xml:space="preserve"> that would constitute a violation of his rights under article</w:t>
      </w:r>
      <w:r w:rsidR="0089096C">
        <w:rPr>
          <w:lang w:val="en-US"/>
        </w:rPr>
        <w:t> </w:t>
      </w:r>
      <w:r w:rsidR="002A60A2" w:rsidRPr="002A60A2">
        <w:rPr>
          <w:lang w:val="en-US"/>
        </w:rPr>
        <w:t>7 of the Covenant.</w:t>
      </w:r>
      <w:r w:rsidR="00241AE8" w:rsidRPr="00ED6399">
        <w:rPr>
          <w:rStyle w:val="FootnoteReference"/>
        </w:rPr>
        <w:footnoteReference w:id="3"/>
      </w:r>
      <w:r w:rsidR="002A60A2" w:rsidRPr="002A60A2">
        <w:rPr>
          <w:lang w:val="en-US"/>
        </w:rPr>
        <w:t xml:space="preserve"> The author is represented by counsel. </w:t>
      </w:r>
    </w:p>
    <w:p w:rsidR="002A60A2" w:rsidRPr="002A60A2" w:rsidRDefault="002A60A2" w:rsidP="002E0AFA">
      <w:pPr>
        <w:pStyle w:val="SingleTxtG"/>
        <w:rPr>
          <w:lang w:val="en-US"/>
        </w:rPr>
      </w:pPr>
      <w:r w:rsidRPr="002A60A2">
        <w:rPr>
          <w:lang w:val="en-US"/>
        </w:rPr>
        <w:t>1.2</w:t>
      </w:r>
      <w:r w:rsidRPr="002A60A2">
        <w:rPr>
          <w:lang w:val="en-US"/>
        </w:rPr>
        <w:tab/>
      </w:r>
      <w:r w:rsidR="00241AE8">
        <w:rPr>
          <w:lang w:val="en-GB"/>
        </w:rPr>
        <w:t>On 22 August</w:t>
      </w:r>
      <w:r w:rsidR="00241AE8" w:rsidRPr="00241AE8">
        <w:rPr>
          <w:lang w:val="en-GB"/>
        </w:rPr>
        <w:t xml:space="preserve"> 20</w:t>
      </w:r>
      <w:r w:rsidR="00241AE8">
        <w:rPr>
          <w:lang w:val="en-GB"/>
        </w:rPr>
        <w:t>12</w:t>
      </w:r>
      <w:r w:rsidR="00241AE8" w:rsidRPr="00241AE8">
        <w:rPr>
          <w:lang w:val="en-GB"/>
        </w:rPr>
        <w:t xml:space="preserve">, </w:t>
      </w:r>
      <w:r w:rsidR="00F67C5B" w:rsidRPr="0087662F">
        <w:t>pursuant to rule 92 of its rules of procedure, the Committee</w:t>
      </w:r>
      <w:r w:rsidR="00F67C5B">
        <w:rPr>
          <w:lang w:val="en-US"/>
        </w:rPr>
        <w:t>,</w:t>
      </w:r>
      <w:r w:rsidR="00F67C5B" w:rsidRPr="0087662F">
        <w:t xml:space="preserve"> acting through its Special Rapporteur on </w:t>
      </w:r>
      <w:r w:rsidR="00F67C5B">
        <w:rPr>
          <w:lang w:val="en-US"/>
        </w:rPr>
        <w:t>n</w:t>
      </w:r>
      <w:r w:rsidR="00F67C5B" w:rsidRPr="0087662F">
        <w:t xml:space="preserve">ew </w:t>
      </w:r>
      <w:r w:rsidR="00F67C5B">
        <w:rPr>
          <w:lang w:val="en-US"/>
        </w:rPr>
        <w:t>c</w:t>
      </w:r>
      <w:r w:rsidR="00F67C5B" w:rsidRPr="0087662F">
        <w:t xml:space="preserve">ommunications and </w:t>
      </w:r>
      <w:r w:rsidR="00F67C5B">
        <w:rPr>
          <w:lang w:val="en-US"/>
        </w:rPr>
        <w:t>i</w:t>
      </w:r>
      <w:r w:rsidR="00F67C5B" w:rsidRPr="0087662F">
        <w:t xml:space="preserve">nterim </w:t>
      </w:r>
      <w:r w:rsidR="00F67C5B">
        <w:rPr>
          <w:lang w:val="en-US"/>
        </w:rPr>
        <w:t>m</w:t>
      </w:r>
      <w:r w:rsidR="00F67C5B" w:rsidRPr="0087662F">
        <w:t xml:space="preserve">easures, </w:t>
      </w:r>
      <w:r w:rsidR="00F67C5B">
        <w:lastRenderedPageBreak/>
        <w:t xml:space="preserve">requested </w:t>
      </w:r>
      <w:r w:rsidR="00F67C5B" w:rsidRPr="0087662F">
        <w:t>the State party not to ex</w:t>
      </w:r>
      <w:r w:rsidR="00F67C5B" w:rsidRPr="00F67C5B">
        <w:rPr>
          <w:lang w:val="en-GB"/>
        </w:rPr>
        <w:t xml:space="preserve">tradite </w:t>
      </w:r>
      <w:r w:rsidR="00F67C5B" w:rsidRPr="0087662F">
        <w:t xml:space="preserve">the author to </w:t>
      </w:r>
      <w:r w:rsidR="00F67C5B" w:rsidRPr="00F67C5B">
        <w:rPr>
          <w:lang w:val="en-GB"/>
        </w:rPr>
        <w:t>Kyrgyzstan</w:t>
      </w:r>
      <w:r w:rsidR="00F67C5B" w:rsidRPr="0087662F">
        <w:t xml:space="preserve"> pending consideration of his c</w:t>
      </w:r>
      <w:r w:rsidR="00F67C5B">
        <w:t>ommunication</w:t>
      </w:r>
      <w:r w:rsidR="00F67C5B" w:rsidRPr="0087662F">
        <w:t>.</w:t>
      </w:r>
    </w:p>
    <w:p w:rsidR="002A60A2" w:rsidRPr="002A60A2" w:rsidRDefault="00D43E03" w:rsidP="00D43E03">
      <w:pPr>
        <w:pStyle w:val="H23G"/>
        <w:rPr>
          <w:lang w:val="en-US"/>
        </w:rPr>
      </w:pPr>
      <w:r>
        <w:rPr>
          <w:lang w:val="en-US"/>
        </w:rPr>
        <w:tab/>
      </w:r>
      <w:r>
        <w:rPr>
          <w:lang w:val="en-US"/>
        </w:rPr>
        <w:tab/>
      </w:r>
      <w:r w:rsidR="002A60A2" w:rsidRPr="002A60A2">
        <w:rPr>
          <w:lang w:val="en-US"/>
        </w:rPr>
        <w:t>The facts as presented by the author</w:t>
      </w:r>
    </w:p>
    <w:p w:rsidR="002A60A2" w:rsidRPr="002A60A2" w:rsidRDefault="002A60A2" w:rsidP="00C36048">
      <w:pPr>
        <w:pStyle w:val="SingleTxtG"/>
        <w:rPr>
          <w:lang w:val="en-US"/>
        </w:rPr>
      </w:pPr>
      <w:r w:rsidRPr="002A60A2">
        <w:rPr>
          <w:lang w:val="en-US"/>
        </w:rPr>
        <w:t>2.1</w:t>
      </w:r>
      <w:r w:rsidRPr="002A60A2">
        <w:rPr>
          <w:lang w:val="en-US"/>
        </w:rPr>
        <w:tab/>
        <w:t>The author lived and worked in Kyrgyzstan until 2008. Between 2005 and 2008</w:t>
      </w:r>
      <w:r w:rsidR="000E2C9F">
        <w:rPr>
          <w:lang w:val="en-US"/>
        </w:rPr>
        <w:t>,</w:t>
      </w:r>
      <w:r w:rsidRPr="002A60A2">
        <w:rPr>
          <w:lang w:val="en-US"/>
        </w:rPr>
        <w:t xml:space="preserve"> he worked as a horse trainer in stables </w:t>
      </w:r>
      <w:r w:rsidR="00CA1D62">
        <w:rPr>
          <w:lang w:val="en-US"/>
        </w:rPr>
        <w:t>that</w:t>
      </w:r>
      <w:r w:rsidR="00CA1D62" w:rsidRPr="002A60A2">
        <w:rPr>
          <w:lang w:val="en-US"/>
        </w:rPr>
        <w:t xml:space="preserve"> </w:t>
      </w:r>
      <w:r w:rsidRPr="002A60A2">
        <w:rPr>
          <w:lang w:val="en-US"/>
        </w:rPr>
        <w:t xml:space="preserve">were owned by a relative of former </w:t>
      </w:r>
      <w:r w:rsidR="000E2C9F">
        <w:rPr>
          <w:lang w:val="en-US"/>
        </w:rPr>
        <w:t>P</w:t>
      </w:r>
      <w:r w:rsidRPr="002A60A2">
        <w:rPr>
          <w:lang w:val="en-US"/>
        </w:rPr>
        <w:t xml:space="preserve">resident </w:t>
      </w:r>
      <w:r w:rsidR="00FE4EEA" w:rsidRPr="005C5E73">
        <w:rPr>
          <w:lang w:val="en-GB"/>
        </w:rPr>
        <w:t>Askar</w:t>
      </w:r>
      <w:r w:rsidR="0089096C">
        <w:rPr>
          <w:lang w:val="en-US"/>
        </w:rPr>
        <w:t> </w:t>
      </w:r>
      <w:r w:rsidRPr="002A60A2">
        <w:rPr>
          <w:lang w:val="en-US"/>
        </w:rPr>
        <w:t>Aka</w:t>
      </w:r>
      <w:r w:rsidR="000E2C9F">
        <w:rPr>
          <w:lang w:val="en-US"/>
        </w:rPr>
        <w:t>y</w:t>
      </w:r>
      <w:r w:rsidRPr="002A60A2">
        <w:rPr>
          <w:lang w:val="en-US"/>
        </w:rPr>
        <w:t xml:space="preserve">ev. Horses trained by him often won competitions against horses </w:t>
      </w:r>
      <w:r w:rsidR="00CA1D62">
        <w:rPr>
          <w:lang w:val="en-US"/>
        </w:rPr>
        <w:t>that</w:t>
      </w:r>
      <w:r w:rsidR="00CA1D62" w:rsidRPr="002A60A2">
        <w:rPr>
          <w:lang w:val="en-US"/>
        </w:rPr>
        <w:t xml:space="preserve"> </w:t>
      </w:r>
      <w:r w:rsidRPr="002A60A2">
        <w:rPr>
          <w:lang w:val="en-US"/>
        </w:rPr>
        <w:t xml:space="preserve">belonged to </w:t>
      </w:r>
      <w:r w:rsidR="0040596E">
        <w:rPr>
          <w:lang w:val="en-US"/>
        </w:rPr>
        <w:t xml:space="preserve">a certain </w:t>
      </w:r>
      <w:r w:rsidRPr="002A60A2">
        <w:rPr>
          <w:lang w:val="en-US"/>
        </w:rPr>
        <w:t>Mr.</w:t>
      </w:r>
      <w:r w:rsidR="008A64A6">
        <w:rPr>
          <w:lang w:val="en-US"/>
        </w:rPr>
        <w:t> </w:t>
      </w:r>
      <w:r w:rsidRPr="00D43E03">
        <w:t>Krasnokutsky</w:t>
      </w:r>
      <w:r w:rsidRPr="002A60A2">
        <w:rPr>
          <w:lang w:val="en-US"/>
        </w:rPr>
        <w:t xml:space="preserve">, son of one of the most prominent businessmen in Bishkek. The latter </w:t>
      </w:r>
      <w:r w:rsidR="00CA1D62">
        <w:rPr>
          <w:lang w:val="en-US"/>
        </w:rPr>
        <w:t>proposed that</w:t>
      </w:r>
      <w:r w:rsidR="00CA1D62" w:rsidRPr="002A60A2">
        <w:rPr>
          <w:lang w:val="en-US"/>
        </w:rPr>
        <w:t xml:space="preserve"> </w:t>
      </w:r>
      <w:r w:rsidRPr="002A60A2">
        <w:rPr>
          <w:lang w:val="en-US"/>
        </w:rPr>
        <w:t>the author come and work for him. The author refused and Mr.</w:t>
      </w:r>
      <w:r w:rsidR="008A64A6">
        <w:rPr>
          <w:lang w:val="en-US"/>
        </w:rPr>
        <w:t> </w:t>
      </w:r>
      <w:r w:rsidRPr="002A60A2">
        <w:rPr>
          <w:lang w:val="en-US"/>
        </w:rPr>
        <w:t xml:space="preserve">Krasnokutsky threatened that </w:t>
      </w:r>
      <w:r w:rsidR="00CA1D62">
        <w:rPr>
          <w:lang w:val="en-US"/>
        </w:rPr>
        <w:t>the author</w:t>
      </w:r>
      <w:r w:rsidR="00CA1D62" w:rsidRPr="002A60A2">
        <w:rPr>
          <w:lang w:val="en-US"/>
        </w:rPr>
        <w:t xml:space="preserve"> </w:t>
      </w:r>
      <w:r w:rsidR="00CA1D62">
        <w:rPr>
          <w:lang w:val="en-US"/>
        </w:rPr>
        <w:t>would</w:t>
      </w:r>
      <w:r w:rsidR="00CA1D62" w:rsidRPr="002A60A2">
        <w:rPr>
          <w:lang w:val="en-US"/>
        </w:rPr>
        <w:t xml:space="preserve"> </w:t>
      </w:r>
      <w:r w:rsidRPr="002A60A2">
        <w:rPr>
          <w:lang w:val="en-US"/>
        </w:rPr>
        <w:t>have “problems”. In 2005</w:t>
      </w:r>
      <w:r w:rsidR="00CA1D62">
        <w:rPr>
          <w:lang w:val="en-US"/>
        </w:rPr>
        <w:t>,</w:t>
      </w:r>
      <w:r w:rsidRPr="002A60A2">
        <w:rPr>
          <w:lang w:val="en-US"/>
        </w:rPr>
        <w:t xml:space="preserve"> Mr.</w:t>
      </w:r>
      <w:r w:rsidR="008A64A6">
        <w:rPr>
          <w:lang w:val="en-US"/>
        </w:rPr>
        <w:t> </w:t>
      </w:r>
      <w:r w:rsidRPr="002A60A2">
        <w:rPr>
          <w:lang w:val="en-US"/>
        </w:rPr>
        <w:t xml:space="preserve">Krasnokutsky was appointed assistant to the </w:t>
      </w:r>
      <w:r w:rsidR="00CA1D62">
        <w:rPr>
          <w:lang w:val="en-US"/>
        </w:rPr>
        <w:t xml:space="preserve">Procurator </w:t>
      </w:r>
      <w:r w:rsidRPr="002A60A2">
        <w:rPr>
          <w:lang w:val="en-US"/>
        </w:rPr>
        <w:t xml:space="preserve">General of Kyrgyzstan. In 2006, </w:t>
      </w:r>
      <w:r w:rsidR="0040596E">
        <w:rPr>
          <w:lang w:val="en-US"/>
        </w:rPr>
        <w:t xml:space="preserve">a </w:t>
      </w:r>
      <w:r w:rsidRPr="002A60A2">
        <w:rPr>
          <w:lang w:val="en-US"/>
        </w:rPr>
        <w:t>criminal prosecution against the author was initiated</w:t>
      </w:r>
      <w:r w:rsidR="00CA1D62">
        <w:rPr>
          <w:lang w:val="en-US"/>
        </w:rPr>
        <w:t xml:space="preserve"> by Mr. Krasnokutsky</w:t>
      </w:r>
      <w:r w:rsidRPr="002A60A2">
        <w:rPr>
          <w:lang w:val="en-US"/>
        </w:rPr>
        <w:t>.</w:t>
      </w:r>
      <w:r w:rsidR="00EA6090">
        <w:rPr>
          <w:lang w:val="en-US"/>
        </w:rPr>
        <w:t xml:space="preserve"> </w:t>
      </w:r>
      <w:r w:rsidRPr="002A60A2">
        <w:rPr>
          <w:lang w:val="en-US"/>
        </w:rPr>
        <w:t>The police arrested the author and tortured him to make him confess to crimes that he did not commit. The author alleges that he was handcuffed</w:t>
      </w:r>
      <w:r w:rsidR="00C36048">
        <w:rPr>
          <w:lang w:val="en-US"/>
        </w:rPr>
        <w:t xml:space="preserve"> and</w:t>
      </w:r>
      <w:r w:rsidRPr="002A60A2">
        <w:rPr>
          <w:lang w:val="en-US"/>
        </w:rPr>
        <w:t xml:space="preserve"> forced to sit on the floor and </w:t>
      </w:r>
      <w:r w:rsidR="00C36048">
        <w:rPr>
          <w:lang w:val="en-US"/>
        </w:rPr>
        <w:t xml:space="preserve">that </w:t>
      </w:r>
      <w:r w:rsidRPr="002A60A2">
        <w:rPr>
          <w:lang w:val="en-US"/>
        </w:rPr>
        <w:t xml:space="preserve">a gas mask was forcibly placed on his head. One police officer held him down and </w:t>
      </w:r>
      <w:r w:rsidR="006262A6">
        <w:rPr>
          <w:lang w:val="en-US"/>
        </w:rPr>
        <w:t>another</w:t>
      </w:r>
      <w:r w:rsidR="009B1A5E">
        <w:rPr>
          <w:lang w:val="en-US"/>
        </w:rPr>
        <w:t xml:space="preserve"> </w:t>
      </w:r>
      <w:r w:rsidR="006262A6">
        <w:rPr>
          <w:lang w:val="en-US"/>
        </w:rPr>
        <w:t>poured</w:t>
      </w:r>
      <w:r w:rsidRPr="002A60A2">
        <w:rPr>
          <w:lang w:val="en-US"/>
        </w:rPr>
        <w:t xml:space="preserve"> vinegar in the gas mask, causing the author to choke. </w:t>
      </w:r>
      <w:r w:rsidR="00C36048">
        <w:rPr>
          <w:lang w:val="en-US"/>
        </w:rPr>
        <w:t>He was beaten</w:t>
      </w:r>
      <w:r w:rsidRPr="002A60A2">
        <w:rPr>
          <w:lang w:val="en-US"/>
        </w:rPr>
        <w:t xml:space="preserve"> with sticks on the soles of his feet. The torture lasted three days. After that</w:t>
      </w:r>
      <w:r w:rsidR="00C36048">
        <w:rPr>
          <w:lang w:val="en-US"/>
        </w:rPr>
        <w:t>,</w:t>
      </w:r>
      <w:r w:rsidRPr="002A60A2">
        <w:rPr>
          <w:lang w:val="en-US"/>
        </w:rPr>
        <w:t xml:space="preserve"> the police attempted to transfer him to a pretrial detention cent</w:t>
      </w:r>
      <w:r w:rsidR="00CA1D62">
        <w:rPr>
          <w:lang w:val="en-US"/>
        </w:rPr>
        <w:t>r</w:t>
      </w:r>
      <w:r w:rsidRPr="002A60A2">
        <w:rPr>
          <w:lang w:val="en-US"/>
        </w:rPr>
        <w:t xml:space="preserve">e, but the staff did not accept him, because of the traces of beatings on his body. He was </w:t>
      </w:r>
      <w:r w:rsidR="006262A6">
        <w:rPr>
          <w:lang w:val="en-US"/>
        </w:rPr>
        <w:t xml:space="preserve">taken to the </w:t>
      </w:r>
      <w:r w:rsidR="006262A6" w:rsidRPr="004B515A">
        <w:rPr>
          <w:lang w:val="en-US"/>
        </w:rPr>
        <w:t xml:space="preserve">Central </w:t>
      </w:r>
      <w:r w:rsidR="004B515A">
        <w:rPr>
          <w:lang w:val="en-US"/>
        </w:rPr>
        <w:t>Temporary Holding Facility</w:t>
      </w:r>
      <w:r w:rsidRPr="004B515A">
        <w:rPr>
          <w:lang w:val="en-US"/>
        </w:rPr>
        <w:t>,</w:t>
      </w:r>
      <w:r w:rsidRPr="002A60A2">
        <w:rPr>
          <w:lang w:val="en-US"/>
        </w:rPr>
        <w:t xml:space="preserve"> where he was examined by doctors and placed </w:t>
      </w:r>
      <w:r w:rsidR="00225871">
        <w:rPr>
          <w:lang w:val="en-US"/>
        </w:rPr>
        <w:t>in</w:t>
      </w:r>
      <w:r w:rsidR="00225871" w:rsidRPr="002A60A2">
        <w:rPr>
          <w:lang w:val="en-US"/>
        </w:rPr>
        <w:t xml:space="preserve"> </w:t>
      </w:r>
      <w:r w:rsidRPr="002A60A2">
        <w:rPr>
          <w:lang w:val="en-US"/>
        </w:rPr>
        <w:t>quarantine for two months and 17 days. After that</w:t>
      </w:r>
      <w:r w:rsidR="00C36048">
        <w:rPr>
          <w:lang w:val="en-US"/>
        </w:rPr>
        <w:t>,</w:t>
      </w:r>
      <w:r w:rsidRPr="002A60A2">
        <w:rPr>
          <w:lang w:val="en-US"/>
        </w:rPr>
        <w:t xml:space="preserve"> he was tried and acquitted of all charges.</w:t>
      </w:r>
    </w:p>
    <w:p w:rsidR="002A60A2" w:rsidRPr="002A60A2" w:rsidRDefault="002A60A2" w:rsidP="00C36048">
      <w:pPr>
        <w:pStyle w:val="SingleTxtG"/>
        <w:rPr>
          <w:lang w:val="en-US"/>
        </w:rPr>
      </w:pPr>
      <w:r w:rsidRPr="002A60A2">
        <w:rPr>
          <w:lang w:val="en-US"/>
        </w:rPr>
        <w:t>2.2</w:t>
      </w:r>
      <w:r w:rsidRPr="002A60A2">
        <w:rPr>
          <w:lang w:val="en-US"/>
        </w:rPr>
        <w:tab/>
        <w:t>In 2008</w:t>
      </w:r>
      <w:r w:rsidR="00C36048">
        <w:rPr>
          <w:lang w:val="en-US"/>
        </w:rPr>
        <w:t>,</w:t>
      </w:r>
      <w:r w:rsidRPr="002A60A2">
        <w:rPr>
          <w:lang w:val="en-US"/>
        </w:rPr>
        <w:t xml:space="preserve"> the author was again arrested and accused of </w:t>
      </w:r>
      <w:r w:rsidR="00225871">
        <w:rPr>
          <w:lang w:val="en-US"/>
        </w:rPr>
        <w:t>being a member of</w:t>
      </w:r>
      <w:r w:rsidRPr="002A60A2">
        <w:rPr>
          <w:lang w:val="en-US"/>
        </w:rPr>
        <w:t xml:space="preserve"> an organi</w:t>
      </w:r>
      <w:r w:rsidR="00225871">
        <w:rPr>
          <w:lang w:val="en-US"/>
        </w:rPr>
        <w:t>z</w:t>
      </w:r>
      <w:r w:rsidRPr="002A60A2">
        <w:rPr>
          <w:lang w:val="en-US"/>
        </w:rPr>
        <w:t>ed criminal group. He was again tortured, but did not confess. He was tried for a second time, acquitted and released in the courtroom.</w:t>
      </w:r>
      <w:r w:rsidR="00EA6090">
        <w:rPr>
          <w:lang w:val="en-US"/>
        </w:rPr>
        <w:t xml:space="preserve"> </w:t>
      </w:r>
      <w:r w:rsidR="00C36048">
        <w:rPr>
          <w:lang w:val="en-US"/>
        </w:rPr>
        <w:t>T</w:t>
      </w:r>
      <w:r w:rsidRPr="002A60A2">
        <w:rPr>
          <w:lang w:val="en-US"/>
        </w:rPr>
        <w:t xml:space="preserve">he author </w:t>
      </w:r>
      <w:r w:rsidR="00C36048">
        <w:rPr>
          <w:lang w:val="en-US"/>
        </w:rPr>
        <w:t xml:space="preserve">subsequently </w:t>
      </w:r>
      <w:r w:rsidRPr="002A60A2">
        <w:rPr>
          <w:lang w:val="en-US"/>
        </w:rPr>
        <w:t>understood that he would not be left alone and decided to move to the Russian Federation with his family. He settled in Moscow.</w:t>
      </w:r>
    </w:p>
    <w:p w:rsidR="002A60A2" w:rsidRPr="002A60A2" w:rsidRDefault="002A60A2" w:rsidP="00C36048">
      <w:pPr>
        <w:pStyle w:val="SingleTxtG"/>
        <w:rPr>
          <w:lang w:val="en-US"/>
        </w:rPr>
      </w:pPr>
      <w:r w:rsidRPr="002A60A2">
        <w:rPr>
          <w:lang w:val="en-US"/>
        </w:rPr>
        <w:t>2.3</w:t>
      </w:r>
      <w:r w:rsidRPr="002A60A2">
        <w:rPr>
          <w:lang w:val="en-US"/>
        </w:rPr>
        <w:tab/>
        <w:t xml:space="preserve">On 16 August 2011, the </w:t>
      </w:r>
      <w:r w:rsidRPr="007E4FA4">
        <w:rPr>
          <w:lang w:val="en-US"/>
        </w:rPr>
        <w:t>Ysyk</w:t>
      </w:r>
      <w:r w:rsidR="007E4FA4">
        <w:rPr>
          <w:lang w:val="en-US"/>
        </w:rPr>
        <w:t>-A</w:t>
      </w:r>
      <w:r w:rsidRPr="007E4FA4">
        <w:rPr>
          <w:lang w:val="en-US"/>
        </w:rPr>
        <w:t>t</w:t>
      </w:r>
      <w:r w:rsidR="007E4FA4">
        <w:rPr>
          <w:lang w:val="en-US"/>
        </w:rPr>
        <w:t>a</w:t>
      </w:r>
      <w:r w:rsidRPr="007E4FA4">
        <w:rPr>
          <w:lang w:val="en-US"/>
        </w:rPr>
        <w:t xml:space="preserve"> District Court</w:t>
      </w:r>
      <w:r w:rsidR="007E4FA4">
        <w:rPr>
          <w:lang w:val="en-US"/>
        </w:rPr>
        <w:t xml:space="preserve"> in Kyrgyzstan</w:t>
      </w:r>
      <w:r w:rsidRPr="002A60A2">
        <w:rPr>
          <w:lang w:val="en-US"/>
        </w:rPr>
        <w:t xml:space="preserve"> order</w:t>
      </w:r>
      <w:r w:rsidR="00D3661C">
        <w:rPr>
          <w:lang w:val="en-US"/>
        </w:rPr>
        <w:t>ed the author’s arrest</w:t>
      </w:r>
      <w:r w:rsidRPr="002A60A2">
        <w:rPr>
          <w:lang w:val="en-US"/>
        </w:rPr>
        <w:t xml:space="preserve">, in relation to charges of </w:t>
      </w:r>
      <w:r w:rsidRPr="007E4FA4">
        <w:rPr>
          <w:lang w:val="en-US"/>
        </w:rPr>
        <w:t>banditry</w:t>
      </w:r>
      <w:r w:rsidRPr="002A60A2">
        <w:rPr>
          <w:lang w:val="en-US"/>
        </w:rPr>
        <w:t xml:space="preserve"> and armed robberies by an organi</w:t>
      </w:r>
      <w:r w:rsidR="00225871">
        <w:rPr>
          <w:lang w:val="en-US"/>
        </w:rPr>
        <w:t>z</w:t>
      </w:r>
      <w:r w:rsidRPr="002A60A2">
        <w:rPr>
          <w:lang w:val="en-US"/>
        </w:rPr>
        <w:t>ed criminal group. On 14 September 2011, the author was arrested in Moscow and detained on remand pending extradition. On 14 Octob</w:t>
      </w:r>
      <w:r w:rsidR="008B25A1">
        <w:rPr>
          <w:lang w:val="en-US"/>
        </w:rPr>
        <w:t xml:space="preserve">er 2011, the </w:t>
      </w:r>
      <w:r w:rsidR="008B25A1" w:rsidRPr="00EB4137">
        <w:rPr>
          <w:lang w:val="en-US"/>
        </w:rPr>
        <w:t>Butyrsky District C</w:t>
      </w:r>
      <w:r w:rsidRPr="00EB4137">
        <w:rPr>
          <w:lang w:val="en-US"/>
        </w:rPr>
        <w:t>ourt</w:t>
      </w:r>
      <w:r w:rsidRPr="002A60A2">
        <w:rPr>
          <w:lang w:val="en-US"/>
        </w:rPr>
        <w:t xml:space="preserve"> ordered an extension of his detention by four months. On 11 Marc</w:t>
      </w:r>
      <w:r w:rsidR="008B25A1">
        <w:rPr>
          <w:lang w:val="en-US"/>
        </w:rPr>
        <w:t xml:space="preserve">h 2012, the </w:t>
      </w:r>
      <w:r w:rsidR="008B25A1" w:rsidRPr="00EB4137">
        <w:rPr>
          <w:lang w:val="en-US"/>
        </w:rPr>
        <w:t>Babushkin District C</w:t>
      </w:r>
      <w:r w:rsidRPr="00EB4137">
        <w:rPr>
          <w:lang w:val="en-US"/>
        </w:rPr>
        <w:t>ourt</w:t>
      </w:r>
      <w:r w:rsidRPr="002A60A2">
        <w:rPr>
          <w:lang w:val="en-US"/>
        </w:rPr>
        <w:t xml:space="preserve"> extended the detention by two months. The author’s appeal against that decision was rejected by the Moscow </w:t>
      </w:r>
      <w:r w:rsidR="00D22370">
        <w:rPr>
          <w:lang w:val="en-US"/>
        </w:rPr>
        <w:t>C</w:t>
      </w:r>
      <w:r w:rsidRPr="002A60A2">
        <w:rPr>
          <w:lang w:val="en-US"/>
        </w:rPr>
        <w:t xml:space="preserve">ity </w:t>
      </w:r>
      <w:r w:rsidR="00D22370">
        <w:rPr>
          <w:lang w:val="en-US"/>
        </w:rPr>
        <w:t>C</w:t>
      </w:r>
      <w:r w:rsidRPr="002A60A2">
        <w:rPr>
          <w:lang w:val="en-US"/>
        </w:rPr>
        <w:t>ourt on 16 April 2012. On 4 Ma</w:t>
      </w:r>
      <w:r w:rsidR="008B25A1">
        <w:rPr>
          <w:lang w:val="en-US"/>
        </w:rPr>
        <w:t>y 2012, the Babushkin District C</w:t>
      </w:r>
      <w:r w:rsidRPr="002A60A2">
        <w:rPr>
          <w:lang w:val="en-US"/>
        </w:rPr>
        <w:t xml:space="preserve">ourt extended the detention by two more months. The author’s appeal against that decision was rejected by the Moscow </w:t>
      </w:r>
      <w:r w:rsidR="00D22370">
        <w:rPr>
          <w:lang w:val="en-US"/>
        </w:rPr>
        <w:t>C</w:t>
      </w:r>
      <w:r w:rsidRPr="002A60A2">
        <w:rPr>
          <w:lang w:val="en-US"/>
        </w:rPr>
        <w:t xml:space="preserve">ity </w:t>
      </w:r>
      <w:r w:rsidR="00D22370">
        <w:rPr>
          <w:lang w:val="en-US"/>
        </w:rPr>
        <w:t>C</w:t>
      </w:r>
      <w:r w:rsidRPr="002A60A2">
        <w:rPr>
          <w:lang w:val="en-US"/>
        </w:rPr>
        <w:t xml:space="preserve">ourt on 13 June 2012. On 11 July 2012, the Babushkin District </w:t>
      </w:r>
      <w:r w:rsidR="008B25A1">
        <w:rPr>
          <w:lang w:val="en-US"/>
        </w:rPr>
        <w:t>C</w:t>
      </w:r>
      <w:r w:rsidRPr="002A60A2">
        <w:rPr>
          <w:lang w:val="en-US"/>
        </w:rPr>
        <w:t xml:space="preserve">ourt extended the detention by two more months. The author’s appeal against that decision was rejected by the Moscow </w:t>
      </w:r>
      <w:r w:rsidR="009A42EC">
        <w:rPr>
          <w:lang w:val="en-US"/>
        </w:rPr>
        <w:t>C</w:t>
      </w:r>
      <w:r w:rsidRPr="002A60A2">
        <w:rPr>
          <w:lang w:val="en-US"/>
        </w:rPr>
        <w:t xml:space="preserve">ity </w:t>
      </w:r>
      <w:r w:rsidR="009A42EC">
        <w:rPr>
          <w:lang w:val="en-US"/>
        </w:rPr>
        <w:t>C</w:t>
      </w:r>
      <w:r w:rsidRPr="002A60A2">
        <w:rPr>
          <w:lang w:val="en-US"/>
        </w:rPr>
        <w:t>ourt on 13 August 2012</w:t>
      </w:r>
      <w:r w:rsidR="00C36048">
        <w:rPr>
          <w:lang w:val="en-US"/>
        </w:rPr>
        <w:t xml:space="preserve">. In </w:t>
      </w:r>
      <w:r w:rsidRPr="002A60A2">
        <w:rPr>
          <w:lang w:val="en-US"/>
        </w:rPr>
        <w:t>all</w:t>
      </w:r>
      <w:r w:rsidR="00C36048">
        <w:rPr>
          <w:lang w:val="en-US"/>
        </w:rPr>
        <w:t>, the</w:t>
      </w:r>
      <w:r w:rsidRPr="002A60A2">
        <w:rPr>
          <w:lang w:val="en-US"/>
        </w:rPr>
        <w:t xml:space="preserve"> detention of the author </w:t>
      </w:r>
      <w:r w:rsidR="00C36048">
        <w:rPr>
          <w:lang w:val="en-US"/>
        </w:rPr>
        <w:t>was extended by</w:t>
      </w:r>
      <w:r w:rsidRPr="002A60A2">
        <w:rPr>
          <w:lang w:val="en-US"/>
        </w:rPr>
        <w:t xml:space="preserve"> </w:t>
      </w:r>
      <w:r w:rsidR="00DC323F">
        <w:rPr>
          <w:lang w:val="en-US"/>
        </w:rPr>
        <w:t>a</w:t>
      </w:r>
      <w:r w:rsidRPr="002A60A2">
        <w:rPr>
          <w:lang w:val="en-US"/>
        </w:rPr>
        <w:t xml:space="preserve"> period of one year. </w:t>
      </w:r>
    </w:p>
    <w:p w:rsidR="002A60A2" w:rsidRPr="002A60A2" w:rsidRDefault="002A60A2" w:rsidP="00C36048">
      <w:pPr>
        <w:pStyle w:val="SingleTxtG"/>
        <w:rPr>
          <w:lang w:val="en-US"/>
        </w:rPr>
      </w:pPr>
      <w:r w:rsidRPr="002A60A2">
        <w:rPr>
          <w:lang w:val="en-US"/>
        </w:rPr>
        <w:t>2.4</w:t>
      </w:r>
      <w:r w:rsidRPr="002A60A2">
        <w:rPr>
          <w:lang w:val="en-US"/>
        </w:rPr>
        <w:tab/>
        <w:t xml:space="preserve">The author maintains that his detention does not correspond to the requirements of </w:t>
      </w:r>
      <w:r w:rsidR="004E0D75">
        <w:rPr>
          <w:lang w:val="en-US"/>
        </w:rPr>
        <w:t>article </w:t>
      </w:r>
      <w:r w:rsidRPr="002A60A2">
        <w:rPr>
          <w:lang w:val="en-US"/>
        </w:rPr>
        <w:t xml:space="preserve">9 of the Covenant, since it violates </w:t>
      </w:r>
      <w:r w:rsidR="004E0D75">
        <w:rPr>
          <w:lang w:val="en-US"/>
        </w:rPr>
        <w:t>article </w:t>
      </w:r>
      <w:r w:rsidRPr="002A60A2">
        <w:rPr>
          <w:lang w:val="en-US"/>
        </w:rPr>
        <w:t xml:space="preserve">22 of the Constitution and </w:t>
      </w:r>
      <w:r w:rsidR="004E0D75">
        <w:rPr>
          <w:lang w:val="en-US"/>
        </w:rPr>
        <w:t>article </w:t>
      </w:r>
      <w:r w:rsidRPr="002A60A2">
        <w:rPr>
          <w:lang w:val="en-US"/>
        </w:rPr>
        <w:t xml:space="preserve">108.4 of the Code </w:t>
      </w:r>
      <w:r w:rsidR="009A42EC">
        <w:rPr>
          <w:lang w:val="en-US"/>
        </w:rPr>
        <w:t xml:space="preserve">of </w:t>
      </w:r>
      <w:r w:rsidR="009A42EC" w:rsidRPr="002A60A2">
        <w:rPr>
          <w:lang w:val="en-US"/>
        </w:rPr>
        <w:t xml:space="preserve">Criminal Procedure </w:t>
      </w:r>
      <w:r w:rsidRPr="002A60A2">
        <w:rPr>
          <w:lang w:val="en-US"/>
        </w:rPr>
        <w:t xml:space="preserve">of the Russian Federation. The author refers to </w:t>
      </w:r>
      <w:r w:rsidR="00B4047A">
        <w:rPr>
          <w:lang w:val="en-US"/>
        </w:rPr>
        <w:t xml:space="preserve">a </w:t>
      </w:r>
      <w:r w:rsidRPr="002A60A2">
        <w:rPr>
          <w:lang w:val="en-US"/>
        </w:rPr>
        <w:t xml:space="preserve">decision of the Constitutional Court </w:t>
      </w:r>
      <w:r w:rsidR="0040596E">
        <w:rPr>
          <w:lang w:val="en-US"/>
        </w:rPr>
        <w:t xml:space="preserve">of the Russian Federation </w:t>
      </w:r>
      <w:r w:rsidRPr="002A60A2">
        <w:rPr>
          <w:lang w:val="en-US"/>
        </w:rPr>
        <w:t xml:space="preserve">in </w:t>
      </w:r>
      <w:r w:rsidR="002E0AFA">
        <w:rPr>
          <w:lang w:val="bg-BG"/>
        </w:rPr>
        <w:t xml:space="preserve">а </w:t>
      </w:r>
      <w:r w:rsidRPr="002A60A2">
        <w:rPr>
          <w:lang w:val="en-US"/>
        </w:rPr>
        <w:t>similar case</w:t>
      </w:r>
      <w:r w:rsidR="00B4047A">
        <w:rPr>
          <w:lang w:val="en-US"/>
        </w:rPr>
        <w:t>,</w:t>
      </w:r>
      <w:r w:rsidR="0040596E" w:rsidRPr="00ED6399">
        <w:rPr>
          <w:rStyle w:val="FootnoteReference"/>
        </w:rPr>
        <w:footnoteReference w:id="4"/>
      </w:r>
      <w:r w:rsidRPr="002A60A2">
        <w:rPr>
          <w:lang w:val="en-US"/>
        </w:rPr>
        <w:t xml:space="preserve"> </w:t>
      </w:r>
      <w:r w:rsidR="00C36048">
        <w:rPr>
          <w:lang w:val="en-US"/>
        </w:rPr>
        <w:t xml:space="preserve">in </w:t>
      </w:r>
      <w:r w:rsidRPr="002A60A2">
        <w:rPr>
          <w:lang w:val="en-US"/>
        </w:rPr>
        <w:t xml:space="preserve">which </w:t>
      </w:r>
      <w:r w:rsidR="00C36048">
        <w:rPr>
          <w:lang w:val="en-US"/>
        </w:rPr>
        <w:t xml:space="preserve">it is </w:t>
      </w:r>
      <w:r w:rsidRPr="002A60A2">
        <w:rPr>
          <w:lang w:val="en-US"/>
        </w:rPr>
        <w:t>state</w:t>
      </w:r>
      <w:r w:rsidR="00C36048">
        <w:rPr>
          <w:lang w:val="en-US"/>
        </w:rPr>
        <w:t>d</w:t>
      </w:r>
      <w:r w:rsidRPr="002A60A2">
        <w:rPr>
          <w:lang w:val="en-US"/>
        </w:rPr>
        <w:t xml:space="preserve"> that detentions should fulfil the requirements of </w:t>
      </w:r>
      <w:r w:rsidR="004E0D75">
        <w:rPr>
          <w:lang w:val="en-US"/>
        </w:rPr>
        <w:t>article </w:t>
      </w:r>
      <w:r w:rsidRPr="002A60A2">
        <w:rPr>
          <w:lang w:val="en-US"/>
        </w:rPr>
        <w:t xml:space="preserve">22 of the Constitution and </w:t>
      </w:r>
      <w:r w:rsidR="004E0D75">
        <w:rPr>
          <w:lang w:val="en-US"/>
        </w:rPr>
        <w:t>article </w:t>
      </w:r>
      <w:r w:rsidRPr="002A60A2">
        <w:rPr>
          <w:lang w:val="en-US"/>
        </w:rPr>
        <w:t>108.4 of the Code</w:t>
      </w:r>
      <w:r w:rsidR="009A42EC">
        <w:rPr>
          <w:lang w:val="en-US"/>
        </w:rPr>
        <w:t xml:space="preserve"> of Criminal Procedure</w:t>
      </w:r>
      <w:r w:rsidRPr="002A60A2">
        <w:rPr>
          <w:lang w:val="en-US"/>
        </w:rPr>
        <w:t xml:space="preserve">, namely that decisions regarding pretrial detention should be taken in a court hearing in the presence of the accused. </w:t>
      </w:r>
      <w:r w:rsidR="008B25A1">
        <w:rPr>
          <w:lang w:val="en-US"/>
        </w:rPr>
        <w:t>T</w:t>
      </w:r>
      <w:r w:rsidRPr="002A60A2">
        <w:rPr>
          <w:lang w:val="en-US"/>
        </w:rPr>
        <w:t xml:space="preserve">he author maintains that the initial ruling of the Ysykatinsky District Court of 16 August 2011, which </w:t>
      </w:r>
      <w:r w:rsidRPr="002A60A2">
        <w:rPr>
          <w:lang w:val="en-US"/>
        </w:rPr>
        <w:lastRenderedPageBreak/>
        <w:t xml:space="preserve">was taken in his absence, was unlawful. He also maintains that the subsequent court reviews disregarded that fact and extended his detention regardless of his appeals. </w:t>
      </w:r>
    </w:p>
    <w:p w:rsidR="002A60A2" w:rsidRPr="002A60A2" w:rsidRDefault="002A60A2" w:rsidP="002E0AFA">
      <w:pPr>
        <w:pStyle w:val="SingleTxtG"/>
        <w:rPr>
          <w:lang w:val="en-US"/>
        </w:rPr>
      </w:pPr>
      <w:r w:rsidRPr="002A60A2">
        <w:rPr>
          <w:lang w:val="en-US"/>
        </w:rPr>
        <w:t>2.5</w:t>
      </w:r>
      <w:r w:rsidRPr="002A60A2">
        <w:rPr>
          <w:lang w:val="en-US"/>
        </w:rPr>
        <w:tab/>
        <w:t xml:space="preserve">On 24 March 2012, the Deputy </w:t>
      </w:r>
      <w:r w:rsidR="009A42EC">
        <w:rPr>
          <w:lang w:val="en-US"/>
        </w:rPr>
        <w:t xml:space="preserve">Procurator </w:t>
      </w:r>
      <w:r w:rsidRPr="002A60A2">
        <w:rPr>
          <w:lang w:val="en-US"/>
        </w:rPr>
        <w:t xml:space="preserve">General of the Russian Federation issued a </w:t>
      </w:r>
      <w:r w:rsidR="009A42EC">
        <w:rPr>
          <w:lang w:val="en-US"/>
        </w:rPr>
        <w:t>r</w:t>
      </w:r>
      <w:r w:rsidRPr="002A60A2">
        <w:rPr>
          <w:lang w:val="en-US"/>
        </w:rPr>
        <w:t xml:space="preserve">uling ordering the author’s extradition to Kyrgyzstan. On 11 April 2012, the author appealed the </w:t>
      </w:r>
      <w:r w:rsidR="009A42EC">
        <w:rPr>
          <w:lang w:val="en-US"/>
        </w:rPr>
        <w:t>r</w:t>
      </w:r>
      <w:r w:rsidRPr="002A60A2">
        <w:rPr>
          <w:lang w:val="en-US"/>
        </w:rPr>
        <w:t xml:space="preserve">uling before the Moscow </w:t>
      </w:r>
      <w:r w:rsidR="00B4047A">
        <w:rPr>
          <w:lang w:val="en-US"/>
        </w:rPr>
        <w:t>C</w:t>
      </w:r>
      <w:r w:rsidRPr="002A60A2">
        <w:rPr>
          <w:lang w:val="en-US"/>
        </w:rPr>
        <w:t xml:space="preserve">ity </w:t>
      </w:r>
      <w:r w:rsidR="00B4047A">
        <w:rPr>
          <w:lang w:val="en-US"/>
        </w:rPr>
        <w:t>C</w:t>
      </w:r>
      <w:r w:rsidRPr="002A60A2">
        <w:rPr>
          <w:lang w:val="en-US"/>
        </w:rPr>
        <w:t>ourt, alleging</w:t>
      </w:r>
      <w:r w:rsidR="00C36048">
        <w:rPr>
          <w:lang w:val="en-US"/>
        </w:rPr>
        <w:t>,</w:t>
      </w:r>
      <w:r w:rsidRPr="002A60A2">
        <w:rPr>
          <w:lang w:val="en-US"/>
        </w:rPr>
        <w:t xml:space="preserve"> </w:t>
      </w:r>
      <w:r w:rsidRPr="005C5E73">
        <w:rPr>
          <w:lang w:val="en-US"/>
        </w:rPr>
        <w:t>inter alia</w:t>
      </w:r>
      <w:r w:rsidR="00C36048">
        <w:rPr>
          <w:lang w:val="en-US"/>
        </w:rPr>
        <w:t>,</w:t>
      </w:r>
      <w:r w:rsidRPr="002A60A2">
        <w:rPr>
          <w:lang w:val="en-US"/>
        </w:rPr>
        <w:t xml:space="preserve"> that</w:t>
      </w:r>
      <w:r w:rsidR="009A42EC">
        <w:rPr>
          <w:lang w:val="en-US"/>
        </w:rPr>
        <w:t>,</w:t>
      </w:r>
      <w:r w:rsidRPr="002A60A2">
        <w:rPr>
          <w:lang w:val="en-US"/>
        </w:rPr>
        <w:t xml:space="preserve"> if returned to Kyrgyzstan</w:t>
      </w:r>
      <w:r w:rsidR="009A42EC">
        <w:rPr>
          <w:lang w:val="en-US"/>
        </w:rPr>
        <w:t>,</w:t>
      </w:r>
      <w:r w:rsidRPr="002A60A2">
        <w:rPr>
          <w:lang w:val="en-US"/>
        </w:rPr>
        <w:t xml:space="preserve"> he would be subjected to torture. On 25 June 2012, the appeal was rejected. On the same date, the author filed a cassation appeal before the Supreme Court, which the latter rejected on 15 August 2012. </w:t>
      </w:r>
    </w:p>
    <w:p w:rsidR="002A60A2" w:rsidRDefault="002A60A2" w:rsidP="00C01395">
      <w:pPr>
        <w:pStyle w:val="SingleTxtG"/>
        <w:rPr>
          <w:lang w:val="en-US"/>
        </w:rPr>
      </w:pPr>
      <w:r w:rsidRPr="002A60A2">
        <w:rPr>
          <w:lang w:val="en-US"/>
        </w:rPr>
        <w:t>2.6</w:t>
      </w:r>
      <w:r w:rsidRPr="002A60A2">
        <w:rPr>
          <w:lang w:val="en-US"/>
        </w:rPr>
        <w:tab/>
        <w:t xml:space="preserve">On 6 December 2011, the author filed an application for refugee status in the Russian Federation. On 28 February 2012, the </w:t>
      </w:r>
      <w:r w:rsidRPr="00915919">
        <w:rPr>
          <w:lang w:val="en-US"/>
        </w:rPr>
        <w:t>Moscow Department</w:t>
      </w:r>
      <w:r w:rsidRPr="002A60A2">
        <w:rPr>
          <w:lang w:val="en-US"/>
        </w:rPr>
        <w:t xml:space="preserve"> of the Federal Migration Service rejected his application. On 19 April 2012, the author appealed the decision before the Federal Migration Service, which rejected his appeal on 8 June 2012. On 17 July 2012, the author appealed the rejection before the </w:t>
      </w:r>
      <w:r w:rsidRPr="007E4FA4">
        <w:rPr>
          <w:lang w:val="en-US"/>
        </w:rPr>
        <w:t>Basman</w:t>
      </w:r>
      <w:r w:rsidR="007E4FA4">
        <w:rPr>
          <w:lang w:val="en-US"/>
        </w:rPr>
        <w:t>n</w:t>
      </w:r>
      <w:r w:rsidRPr="007E4FA4">
        <w:rPr>
          <w:lang w:val="en-US"/>
        </w:rPr>
        <w:t>y Court in Moscow</w:t>
      </w:r>
      <w:r w:rsidRPr="002A60A2">
        <w:rPr>
          <w:lang w:val="en-US"/>
        </w:rPr>
        <w:t xml:space="preserve">. The author submits that, by the date of </w:t>
      </w:r>
      <w:r w:rsidR="00F45F6B">
        <w:rPr>
          <w:lang w:val="en-US"/>
        </w:rPr>
        <w:t xml:space="preserve">his initial </w:t>
      </w:r>
      <w:r w:rsidRPr="002A60A2">
        <w:rPr>
          <w:lang w:val="en-US"/>
        </w:rPr>
        <w:t>submission</w:t>
      </w:r>
      <w:r w:rsidR="00F45F6B">
        <w:rPr>
          <w:lang w:val="en-US"/>
        </w:rPr>
        <w:t xml:space="preserve"> to the Committee</w:t>
      </w:r>
      <w:r w:rsidRPr="002A60A2">
        <w:rPr>
          <w:lang w:val="en-US"/>
        </w:rPr>
        <w:t xml:space="preserve">, the court had not issued a decision on that appeal, but </w:t>
      </w:r>
      <w:r w:rsidR="00DC323F">
        <w:rPr>
          <w:lang w:val="en-US"/>
        </w:rPr>
        <w:t xml:space="preserve">he </w:t>
      </w:r>
      <w:r w:rsidRPr="002A60A2">
        <w:rPr>
          <w:lang w:val="en-US"/>
        </w:rPr>
        <w:t>maintains that</w:t>
      </w:r>
      <w:r w:rsidR="00F8799A">
        <w:rPr>
          <w:lang w:val="en-US"/>
        </w:rPr>
        <w:t>,</w:t>
      </w:r>
      <w:r w:rsidRPr="002A60A2">
        <w:rPr>
          <w:lang w:val="en-US"/>
        </w:rPr>
        <w:t xml:space="preserve"> in the existence of an extradition decision that has entered into force, his extradition may be </w:t>
      </w:r>
      <w:r w:rsidR="00F8799A">
        <w:rPr>
          <w:lang w:val="en-US"/>
        </w:rPr>
        <w:t>carried out</w:t>
      </w:r>
      <w:r w:rsidR="00F8799A" w:rsidRPr="002A60A2">
        <w:rPr>
          <w:lang w:val="en-US"/>
        </w:rPr>
        <w:t xml:space="preserve"> </w:t>
      </w:r>
      <w:r w:rsidR="00F8799A">
        <w:rPr>
          <w:lang w:val="en-US"/>
        </w:rPr>
        <w:t xml:space="preserve">at </w:t>
      </w:r>
      <w:r w:rsidRPr="002A60A2">
        <w:rPr>
          <w:lang w:val="en-US"/>
        </w:rPr>
        <w:t xml:space="preserve">any time, because of a gap in domestic legislation. He maintains that, while a </w:t>
      </w:r>
      <w:r w:rsidR="00371534">
        <w:rPr>
          <w:lang w:val="en-US"/>
        </w:rPr>
        <w:t>r</w:t>
      </w:r>
      <w:r w:rsidRPr="002A60A2">
        <w:rPr>
          <w:lang w:val="en-US"/>
        </w:rPr>
        <w:t xml:space="preserve">uling of the </w:t>
      </w:r>
      <w:r w:rsidR="007E4FA4">
        <w:rPr>
          <w:lang w:val="en-US"/>
        </w:rPr>
        <w:t>p</w:t>
      </w:r>
      <w:r w:rsidRPr="007E4FA4">
        <w:rPr>
          <w:lang w:val="en-US"/>
        </w:rPr>
        <w:t>lenum o</w:t>
      </w:r>
      <w:r w:rsidR="00371534" w:rsidRPr="007E4FA4">
        <w:rPr>
          <w:lang w:val="en-US"/>
        </w:rPr>
        <w:t>f</w:t>
      </w:r>
      <w:r w:rsidRPr="007E4FA4">
        <w:rPr>
          <w:lang w:val="en-US"/>
        </w:rPr>
        <w:t xml:space="preserve"> the Supreme Court</w:t>
      </w:r>
      <w:r w:rsidRPr="002A60A2">
        <w:rPr>
          <w:lang w:val="en-US"/>
        </w:rPr>
        <w:t xml:space="preserve"> of 14 June 2012 specifies that </w:t>
      </w:r>
      <w:r w:rsidR="00371534">
        <w:rPr>
          <w:lang w:val="en-US"/>
        </w:rPr>
        <w:t xml:space="preserve">a deportation should be stayed during an appeal of </w:t>
      </w:r>
      <w:r w:rsidRPr="002A60A2">
        <w:rPr>
          <w:lang w:val="en-US"/>
        </w:rPr>
        <w:t xml:space="preserve">a decision to deny refugee status, the above </w:t>
      </w:r>
      <w:r w:rsidR="00371534">
        <w:rPr>
          <w:lang w:val="en-US"/>
        </w:rPr>
        <w:t>r</w:t>
      </w:r>
      <w:r w:rsidRPr="002A60A2">
        <w:rPr>
          <w:lang w:val="en-US"/>
        </w:rPr>
        <w:t xml:space="preserve">uling is only obligatory for the courts of general jurisdiction. He maintains that the </w:t>
      </w:r>
      <w:r w:rsidR="007E458C">
        <w:rPr>
          <w:lang w:val="en-US"/>
        </w:rPr>
        <w:t>r</w:t>
      </w:r>
      <w:r w:rsidRPr="002A60A2">
        <w:rPr>
          <w:lang w:val="en-US"/>
        </w:rPr>
        <w:t>uling is not bindin</w:t>
      </w:r>
      <w:r w:rsidR="002E0AFA">
        <w:rPr>
          <w:lang w:val="en-US"/>
        </w:rPr>
        <w:t xml:space="preserve">g </w:t>
      </w:r>
      <w:r w:rsidR="00897195">
        <w:rPr>
          <w:lang w:val="en-US"/>
        </w:rPr>
        <w:t xml:space="preserve">upon </w:t>
      </w:r>
      <w:r w:rsidR="002E0AFA">
        <w:rPr>
          <w:lang w:val="en-US"/>
        </w:rPr>
        <w:t xml:space="preserve">the </w:t>
      </w:r>
      <w:r w:rsidR="002E0AFA">
        <w:rPr>
          <w:lang w:val="bg-BG"/>
        </w:rPr>
        <w:t>О</w:t>
      </w:r>
      <w:r w:rsidRPr="002A60A2">
        <w:rPr>
          <w:lang w:val="en-US"/>
        </w:rPr>
        <w:t xml:space="preserve">ffice </w:t>
      </w:r>
      <w:r w:rsidR="00897195">
        <w:rPr>
          <w:lang w:val="en-US"/>
        </w:rPr>
        <w:t xml:space="preserve">of the Procurator General </w:t>
      </w:r>
      <w:r w:rsidRPr="002A60A2">
        <w:rPr>
          <w:lang w:val="en-US"/>
        </w:rPr>
        <w:t xml:space="preserve">and that the latter may implement the extradition order, since extraditions fall within its jurisdiction. He submits that the Russian authorities only stay executions of extradition orders in cases where </w:t>
      </w:r>
      <w:r w:rsidR="00F45F6B">
        <w:rPr>
          <w:lang w:val="en-US"/>
        </w:rPr>
        <w:t xml:space="preserve">an </w:t>
      </w:r>
      <w:r w:rsidRPr="002A60A2">
        <w:rPr>
          <w:lang w:val="en-US"/>
        </w:rPr>
        <w:t xml:space="preserve">interim measures request had been issued. </w:t>
      </w:r>
    </w:p>
    <w:p w:rsidR="002A60A2" w:rsidRPr="002A60A2" w:rsidRDefault="002A60A2" w:rsidP="003B6021">
      <w:pPr>
        <w:pStyle w:val="SingleTxtG"/>
        <w:rPr>
          <w:lang w:val="en-US"/>
        </w:rPr>
      </w:pPr>
      <w:r w:rsidRPr="002A60A2">
        <w:rPr>
          <w:lang w:val="en-US"/>
        </w:rPr>
        <w:t>2.7</w:t>
      </w:r>
      <w:r w:rsidRPr="002A60A2">
        <w:rPr>
          <w:lang w:val="en-US"/>
        </w:rPr>
        <w:tab/>
        <w:t xml:space="preserve">The author maintains that if he is returned to Kyrgyzstan he </w:t>
      </w:r>
      <w:r w:rsidR="003B6021">
        <w:rPr>
          <w:lang w:val="en-US"/>
        </w:rPr>
        <w:t>will</w:t>
      </w:r>
      <w:r w:rsidR="003B6021" w:rsidRPr="002A60A2">
        <w:rPr>
          <w:lang w:val="en-US"/>
        </w:rPr>
        <w:t xml:space="preserve"> </w:t>
      </w:r>
      <w:r w:rsidRPr="002A60A2">
        <w:rPr>
          <w:lang w:val="en-US"/>
        </w:rPr>
        <w:t>be immediately arrested and subjected to torture in order to be made to confess committing crimes</w:t>
      </w:r>
      <w:r w:rsidR="00DC323F">
        <w:rPr>
          <w:lang w:val="en-US"/>
        </w:rPr>
        <w:t xml:space="preserve"> that he did not commit</w:t>
      </w:r>
      <w:r w:rsidRPr="002A60A2">
        <w:rPr>
          <w:lang w:val="en-US"/>
        </w:rPr>
        <w:t xml:space="preserve">. He refers to the past instances when he had been subjected to torture and refers to sources describing the systematic use of torture by the police in Kyrgyzstan. </w:t>
      </w:r>
    </w:p>
    <w:p w:rsidR="002A60A2" w:rsidRPr="002A60A2" w:rsidRDefault="002A60A2" w:rsidP="002E0AFA">
      <w:pPr>
        <w:pStyle w:val="SingleTxtG"/>
        <w:rPr>
          <w:lang w:val="en-US"/>
        </w:rPr>
      </w:pPr>
      <w:r w:rsidRPr="002A60A2">
        <w:rPr>
          <w:lang w:val="en-US"/>
        </w:rPr>
        <w:t>2.8</w:t>
      </w:r>
      <w:r w:rsidRPr="002A60A2">
        <w:rPr>
          <w:lang w:val="en-US"/>
        </w:rPr>
        <w:tab/>
        <w:t>The author contends that he has exhausted all available and effective domestic remedies.</w:t>
      </w:r>
    </w:p>
    <w:p w:rsidR="002A60A2" w:rsidRPr="002A60A2" w:rsidRDefault="002A60A2" w:rsidP="002E0AFA">
      <w:pPr>
        <w:pStyle w:val="SingleTxtG"/>
        <w:rPr>
          <w:lang w:val="en-US"/>
        </w:rPr>
      </w:pPr>
      <w:r w:rsidRPr="002A60A2">
        <w:rPr>
          <w:lang w:val="en-US"/>
        </w:rPr>
        <w:t>2.9</w:t>
      </w:r>
      <w:r w:rsidRPr="002A60A2">
        <w:rPr>
          <w:lang w:val="en-US"/>
        </w:rPr>
        <w:tab/>
        <w:t xml:space="preserve">On 8 August 2012, the author submitted an application to the European Court </w:t>
      </w:r>
      <w:r w:rsidR="00897195">
        <w:rPr>
          <w:lang w:val="en-US"/>
        </w:rPr>
        <w:t>of</w:t>
      </w:r>
      <w:r w:rsidR="00897195" w:rsidRPr="002A60A2">
        <w:rPr>
          <w:lang w:val="en-US"/>
        </w:rPr>
        <w:t xml:space="preserve"> </w:t>
      </w:r>
      <w:r w:rsidR="002E0AFA">
        <w:rPr>
          <w:lang w:val="en-US"/>
        </w:rPr>
        <w:t>H</w:t>
      </w:r>
      <w:r w:rsidRPr="002A60A2">
        <w:rPr>
          <w:lang w:val="en-US"/>
        </w:rPr>
        <w:t xml:space="preserve">uman </w:t>
      </w:r>
      <w:r w:rsidR="002E0AFA">
        <w:rPr>
          <w:lang w:val="en-US"/>
        </w:rPr>
        <w:t>R</w:t>
      </w:r>
      <w:r w:rsidRPr="002A60A2">
        <w:rPr>
          <w:lang w:val="en-US"/>
        </w:rPr>
        <w:t>ights, with a request for interim measures. On 14 August 2012, the Court informed him that the interim measures request had been rejected. On 21 August 2012, the author withdrew his application to the Court.</w:t>
      </w:r>
    </w:p>
    <w:p w:rsidR="002A60A2" w:rsidRPr="002A60A2" w:rsidRDefault="00D43E03" w:rsidP="00D43E03">
      <w:pPr>
        <w:pStyle w:val="H23G"/>
        <w:rPr>
          <w:lang w:val="en-US"/>
        </w:rPr>
      </w:pPr>
      <w:r>
        <w:rPr>
          <w:lang w:val="en-US"/>
        </w:rPr>
        <w:tab/>
      </w:r>
      <w:r>
        <w:rPr>
          <w:lang w:val="en-US"/>
        </w:rPr>
        <w:tab/>
      </w:r>
      <w:r w:rsidR="002A60A2" w:rsidRPr="002A60A2">
        <w:rPr>
          <w:lang w:val="en-US"/>
        </w:rPr>
        <w:t>The complaint</w:t>
      </w:r>
    </w:p>
    <w:p w:rsidR="002A60A2" w:rsidRDefault="00D43E03" w:rsidP="00233DB7">
      <w:pPr>
        <w:pStyle w:val="SingleTxtG"/>
        <w:rPr>
          <w:lang w:val="en-US"/>
        </w:rPr>
      </w:pPr>
      <w:r>
        <w:rPr>
          <w:lang w:val="en-US"/>
        </w:rPr>
        <w:t>3.</w:t>
      </w:r>
      <w:r>
        <w:rPr>
          <w:lang w:val="en-US"/>
        </w:rPr>
        <w:tab/>
      </w:r>
      <w:r w:rsidR="002A60A2" w:rsidRPr="002A60A2">
        <w:rPr>
          <w:lang w:val="en-US"/>
        </w:rPr>
        <w:t xml:space="preserve">The author claims to be a victim of violations by the Russian Federation of his rights under </w:t>
      </w:r>
      <w:r w:rsidR="004E0D75">
        <w:rPr>
          <w:lang w:val="en-US"/>
        </w:rPr>
        <w:t>article </w:t>
      </w:r>
      <w:r w:rsidR="002A60A2" w:rsidRPr="002A60A2">
        <w:rPr>
          <w:lang w:val="en-US"/>
        </w:rPr>
        <w:t>9 of the Covenant and maintains that</w:t>
      </w:r>
      <w:r w:rsidR="003B6021">
        <w:rPr>
          <w:lang w:val="en-US"/>
        </w:rPr>
        <w:t>,</w:t>
      </w:r>
      <w:r w:rsidR="002A60A2" w:rsidRPr="002A60A2">
        <w:rPr>
          <w:lang w:val="en-US"/>
        </w:rPr>
        <w:t xml:space="preserve"> if the Russian Federation proceeds with his extradition</w:t>
      </w:r>
      <w:r w:rsidR="003B6021">
        <w:rPr>
          <w:lang w:val="en-US"/>
        </w:rPr>
        <w:t>,</w:t>
      </w:r>
      <w:r w:rsidR="002A60A2" w:rsidRPr="002A60A2">
        <w:rPr>
          <w:lang w:val="en-US"/>
        </w:rPr>
        <w:t xml:space="preserve"> that would constitute a violation of his </w:t>
      </w:r>
      <w:r w:rsidR="002A60A2" w:rsidRPr="00233DB7">
        <w:t>rights</w:t>
      </w:r>
      <w:r w:rsidR="002A60A2" w:rsidRPr="002A60A2">
        <w:rPr>
          <w:lang w:val="en-US"/>
        </w:rPr>
        <w:t xml:space="preserve"> under </w:t>
      </w:r>
      <w:r w:rsidR="004E0D75">
        <w:rPr>
          <w:lang w:val="en-US"/>
        </w:rPr>
        <w:t>article </w:t>
      </w:r>
      <w:r w:rsidR="002A60A2" w:rsidRPr="002A60A2">
        <w:rPr>
          <w:lang w:val="en-US"/>
        </w:rPr>
        <w:t xml:space="preserve">7 of the Covenant. </w:t>
      </w:r>
    </w:p>
    <w:p w:rsidR="006D75E7" w:rsidRDefault="00D43E03" w:rsidP="00D43E03">
      <w:pPr>
        <w:pStyle w:val="H23G"/>
      </w:pPr>
      <w:r>
        <w:tab/>
      </w:r>
      <w:r>
        <w:tab/>
      </w:r>
      <w:r w:rsidR="006D75E7" w:rsidRPr="00D43E03">
        <w:t>Author’s</w:t>
      </w:r>
      <w:r w:rsidR="006D75E7">
        <w:t xml:space="preserve"> further submissions</w:t>
      </w:r>
    </w:p>
    <w:p w:rsidR="006D75E7" w:rsidRDefault="006D75E7" w:rsidP="00233DB7">
      <w:pPr>
        <w:pStyle w:val="SingleTxtG"/>
      </w:pPr>
      <w:r>
        <w:t>4.1</w:t>
      </w:r>
      <w:r>
        <w:tab/>
        <w:t xml:space="preserve">On 12 November 2012, the </w:t>
      </w:r>
      <w:r w:rsidRPr="00233DB7">
        <w:t>author’s</w:t>
      </w:r>
      <w:r>
        <w:t xml:space="preserve"> counsel informed the Committee that the latter had been moved to a detention cent</w:t>
      </w:r>
      <w:r w:rsidR="00897195">
        <w:rPr>
          <w:lang w:val="en-US"/>
        </w:rPr>
        <w:t>r</w:t>
      </w:r>
      <w:r>
        <w:t>e in</w:t>
      </w:r>
      <w:r w:rsidR="00BF1510">
        <w:rPr>
          <w:lang w:val="en-US"/>
        </w:rPr>
        <w:t xml:space="preserve"> the</w:t>
      </w:r>
      <w:r>
        <w:t xml:space="preserve"> Omsk region. She submitted that a refugee </w:t>
      </w:r>
      <w:r>
        <w:lastRenderedPageBreak/>
        <w:t>status determination procedure was ongoing with regard to the author and requested that the Committee reiterate the interim measures request.</w:t>
      </w:r>
      <w:r w:rsidRPr="00ED6399">
        <w:rPr>
          <w:rStyle w:val="FootnoteReference"/>
        </w:rPr>
        <w:footnoteReference w:id="5"/>
      </w:r>
    </w:p>
    <w:p w:rsidR="006D75E7" w:rsidRPr="006D75E7" w:rsidRDefault="006D75E7" w:rsidP="00233DB7">
      <w:pPr>
        <w:pStyle w:val="SingleTxtG"/>
      </w:pPr>
      <w:r>
        <w:t>4.2</w:t>
      </w:r>
      <w:r>
        <w:tab/>
        <w:t xml:space="preserve">On 10 January 2013, the author’s counsel informed the Committee that, on 16 December 2012, the latter had been deported to Kazakhstan, where he was detained for five days in Petropavlovsk and then sent to </w:t>
      </w:r>
      <w:r w:rsidRPr="007E4FA4">
        <w:t>Taraz</w:t>
      </w:r>
      <w:r>
        <w:t xml:space="preserve"> with a </w:t>
      </w:r>
      <w:r w:rsidR="00E37D7F">
        <w:t xml:space="preserve">view </w:t>
      </w:r>
      <w:r w:rsidR="00897195">
        <w:rPr>
          <w:lang w:val="en-US"/>
        </w:rPr>
        <w:t>to his being</w:t>
      </w:r>
      <w:r w:rsidR="00897195">
        <w:t xml:space="preserve"> </w:t>
      </w:r>
      <w:r w:rsidR="00E37D7F">
        <w:t>hand</w:t>
      </w:r>
      <w:r w:rsidR="00897195">
        <w:rPr>
          <w:lang w:val="en-US"/>
        </w:rPr>
        <w:t>ed</w:t>
      </w:r>
      <w:r w:rsidR="00E37D7F">
        <w:t xml:space="preserve"> over to the Kyrgyzstan authorities. </w:t>
      </w:r>
      <w:r w:rsidR="00897195">
        <w:rPr>
          <w:lang w:val="en-US"/>
        </w:rPr>
        <w:t>C</w:t>
      </w:r>
      <w:r w:rsidR="00E37D7F">
        <w:t>ounsel submitted that she was not aware of the author’s whereabouts at the time of her submission. She submitted that he had been deported despite the Committee’s interim measures request and despite the fact that the refugee status determination proceeding had not been finali</w:t>
      </w:r>
      <w:r w:rsidR="00897195">
        <w:rPr>
          <w:lang w:val="en-US"/>
        </w:rPr>
        <w:t>z</w:t>
      </w:r>
      <w:r w:rsidR="00E37D7F">
        <w:t xml:space="preserve">ed. The appeals hearing against the decision to deny the author refugee status had been scheduled for 14 January 2013 before the Moscow City Court. </w:t>
      </w:r>
      <w:r w:rsidR="003336A2">
        <w:rPr>
          <w:lang w:val="en-US"/>
        </w:rPr>
        <w:t>C</w:t>
      </w:r>
      <w:r w:rsidR="00E37D7F">
        <w:t xml:space="preserve">ounsel further submits that she received a letter from the Senior </w:t>
      </w:r>
      <w:r w:rsidR="003336A2">
        <w:rPr>
          <w:lang w:val="en-US"/>
        </w:rPr>
        <w:t>Procurator</w:t>
      </w:r>
      <w:r w:rsidR="003336A2">
        <w:t xml:space="preserve"> </w:t>
      </w:r>
      <w:r w:rsidR="00E37D7F">
        <w:t xml:space="preserve">from the extradition department of the </w:t>
      </w:r>
      <w:r w:rsidR="00E37D7F" w:rsidRPr="00EB4137">
        <w:t>General Directorate for International Legal Cooperation</w:t>
      </w:r>
      <w:r w:rsidR="00E37D7F">
        <w:t xml:space="preserve"> of the </w:t>
      </w:r>
      <w:r w:rsidR="003336A2">
        <w:rPr>
          <w:lang w:val="en-US"/>
        </w:rPr>
        <w:t>O</w:t>
      </w:r>
      <w:r w:rsidR="00E37D7F">
        <w:t>ffice</w:t>
      </w:r>
      <w:r w:rsidR="003336A2">
        <w:rPr>
          <w:lang w:val="en-US"/>
        </w:rPr>
        <w:t xml:space="preserve"> of the Procurator General</w:t>
      </w:r>
      <w:r w:rsidR="00E37D7F">
        <w:t>, dated 17 January 2012, stating that</w:t>
      </w:r>
      <w:r w:rsidR="003B6021" w:rsidRPr="005C5E73">
        <w:rPr>
          <w:lang w:val="en-US"/>
        </w:rPr>
        <w:t>,</w:t>
      </w:r>
      <w:r w:rsidR="00E37D7F">
        <w:t xml:space="preserve"> with regard to the interim measures requested by the Committee on 22 August 2012, the </w:t>
      </w:r>
      <w:r w:rsidR="00DC323F">
        <w:t>Committee</w:t>
      </w:r>
      <w:r w:rsidR="00E37D7F">
        <w:t xml:space="preserve"> has the right only to communicate to the State its observations regarding the desirability of such measure and that </w:t>
      </w:r>
      <w:r w:rsidR="00DC323F">
        <w:t xml:space="preserve">the </w:t>
      </w:r>
      <w:r w:rsidR="003336A2">
        <w:rPr>
          <w:lang w:val="en-US"/>
        </w:rPr>
        <w:t>O</w:t>
      </w:r>
      <w:r w:rsidR="00DC323F">
        <w:t>ffice</w:t>
      </w:r>
      <w:r w:rsidR="003336A2">
        <w:rPr>
          <w:lang w:val="en-US"/>
        </w:rPr>
        <w:t xml:space="preserve"> of the Procurator General</w:t>
      </w:r>
      <w:r w:rsidR="00EA6090">
        <w:t xml:space="preserve"> </w:t>
      </w:r>
      <w:r w:rsidR="003336A2">
        <w:rPr>
          <w:lang w:val="en-US"/>
        </w:rPr>
        <w:t>is not aware of any</w:t>
      </w:r>
      <w:r w:rsidR="00DC323F">
        <w:t xml:space="preserve"> </w:t>
      </w:r>
      <w:r w:rsidR="00E37D7F">
        <w:t xml:space="preserve">obstacles </w:t>
      </w:r>
      <w:r w:rsidR="003336A2">
        <w:rPr>
          <w:lang w:val="en-US"/>
        </w:rPr>
        <w:t>to</w:t>
      </w:r>
      <w:r w:rsidR="003336A2">
        <w:t xml:space="preserve"> </w:t>
      </w:r>
      <w:r w:rsidR="00E37D7F">
        <w:t>the extradition of the author to Kyrgyzstan. The counsel submitted a</w:t>
      </w:r>
      <w:r w:rsidR="003F4B5B">
        <w:t xml:space="preserve">n appeal concerning the above letter to the </w:t>
      </w:r>
      <w:r w:rsidR="003336A2">
        <w:rPr>
          <w:lang w:val="en-US"/>
        </w:rPr>
        <w:t xml:space="preserve">Procurator </w:t>
      </w:r>
      <w:r w:rsidR="003F4B5B">
        <w:t>General, but did not receive a response.</w:t>
      </w:r>
    </w:p>
    <w:p w:rsidR="003134AC" w:rsidRDefault="00D43E03" w:rsidP="00D43E03">
      <w:pPr>
        <w:pStyle w:val="H23G"/>
      </w:pPr>
      <w:r>
        <w:tab/>
      </w:r>
      <w:r>
        <w:tab/>
      </w:r>
      <w:r w:rsidR="003134AC" w:rsidRPr="00574BC4">
        <w:t>State party</w:t>
      </w:r>
      <w:r w:rsidR="0089096C">
        <w:t>’</w:t>
      </w:r>
      <w:r w:rsidR="003134AC" w:rsidRPr="00574BC4">
        <w:t xml:space="preserve">s observations on </w:t>
      </w:r>
      <w:r w:rsidR="003134AC" w:rsidRPr="00D43E03">
        <w:t>admissibility</w:t>
      </w:r>
      <w:r w:rsidR="00EF3514">
        <w:t xml:space="preserve"> and merits</w:t>
      </w:r>
      <w:r w:rsidR="007A212F">
        <w:t xml:space="preserve"> </w:t>
      </w:r>
    </w:p>
    <w:p w:rsidR="00465E26" w:rsidRDefault="003F4B5B" w:rsidP="00D43E03">
      <w:pPr>
        <w:pStyle w:val="SingleTxtG"/>
        <w:rPr>
          <w:lang w:val="en-GB"/>
        </w:rPr>
      </w:pPr>
      <w:r w:rsidRPr="003F4B5B">
        <w:rPr>
          <w:lang w:val="en-GB"/>
        </w:rPr>
        <w:t>5</w:t>
      </w:r>
      <w:r w:rsidR="00776E5E">
        <w:t>.1</w:t>
      </w:r>
      <w:r w:rsidR="00776E5E">
        <w:tab/>
      </w:r>
      <w:r w:rsidRPr="003F4B5B">
        <w:rPr>
          <w:lang w:val="en-GB"/>
        </w:rPr>
        <w:t xml:space="preserve">On 29 March 2013, the State </w:t>
      </w:r>
      <w:r w:rsidRPr="00D43E03">
        <w:t>party</w:t>
      </w:r>
      <w:r w:rsidRPr="003F4B5B">
        <w:rPr>
          <w:lang w:val="en-GB"/>
        </w:rPr>
        <w:t xml:space="preserve"> submits </w:t>
      </w:r>
      <w:r>
        <w:rPr>
          <w:lang w:val="en-GB"/>
        </w:rPr>
        <w:t>that</w:t>
      </w:r>
      <w:r w:rsidR="003336A2">
        <w:rPr>
          <w:lang w:val="en-GB"/>
        </w:rPr>
        <w:t>,</w:t>
      </w:r>
      <w:r>
        <w:rPr>
          <w:lang w:val="en-GB"/>
        </w:rPr>
        <w:t xml:space="preserve"> on 25 June 2012, the Moscow City Court issued a judgement confirming the 24 March 2012 ruling of the Deputy</w:t>
      </w:r>
      <w:r w:rsidR="003336A2">
        <w:rPr>
          <w:lang w:val="en-GB"/>
        </w:rPr>
        <w:t xml:space="preserve"> Procurator</w:t>
      </w:r>
      <w:r>
        <w:rPr>
          <w:lang w:val="en-GB"/>
        </w:rPr>
        <w:t xml:space="preserve"> General, which ordered the extradition of the author to </w:t>
      </w:r>
      <w:r w:rsidR="00801DCF">
        <w:rPr>
          <w:lang w:val="en-GB"/>
        </w:rPr>
        <w:t>Kyrgyzstan</w:t>
      </w:r>
      <w:r>
        <w:rPr>
          <w:lang w:val="en-GB"/>
        </w:rPr>
        <w:t>.</w:t>
      </w:r>
      <w:r w:rsidR="00465E26">
        <w:rPr>
          <w:lang w:val="en-GB"/>
        </w:rPr>
        <w:t xml:space="preserve"> On 15 August 2012, th</w:t>
      </w:r>
      <w:r w:rsidR="00A50C6D">
        <w:rPr>
          <w:lang w:val="en-GB"/>
        </w:rPr>
        <w:t xml:space="preserve">e </w:t>
      </w:r>
      <w:r w:rsidR="00EB62DE">
        <w:rPr>
          <w:lang w:val="en-GB"/>
        </w:rPr>
        <w:t>criminal division</w:t>
      </w:r>
      <w:r w:rsidR="00465E26" w:rsidRPr="00EB62DE">
        <w:rPr>
          <w:lang w:val="en-GB"/>
        </w:rPr>
        <w:t xml:space="preserve"> of the Supreme Court</w:t>
      </w:r>
      <w:r w:rsidR="00465E26">
        <w:rPr>
          <w:lang w:val="en-GB"/>
        </w:rPr>
        <w:t xml:space="preserve"> confirmed the Moscow City Court decision upon appeal.</w:t>
      </w:r>
    </w:p>
    <w:p w:rsidR="00DC465A" w:rsidRDefault="00465E26" w:rsidP="003B6021">
      <w:pPr>
        <w:pStyle w:val="SingleTxtG"/>
        <w:rPr>
          <w:lang w:val="en-GB"/>
        </w:rPr>
      </w:pPr>
      <w:r>
        <w:rPr>
          <w:lang w:val="en-GB"/>
        </w:rPr>
        <w:t>5.2</w:t>
      </w:r>
      <w:r>
        <w:rPr>
          <w:lang w:val="en-GB"/>
        </w:rPr>
        <w:tab/>
        <w:t>On 19 October 2012</w:t>
      </w:r>
      <w:r w:rsidR="00A7601E">
        <w:rPr>
          <w:lang w:val="en-GB"/>
        </w:rPr>
        <w:t>,</w:t>
      </w:r>
      <w:r>
        <w:rPr>
          <w:lang w:val="en-GB"/>
        </w:rPr>
        <w:t xml:space="preserve"> the Basmansky District Court in Moscow rejected the author’s appeal against the decision of the Federal Migration Service to deny him refugee status. On 22 Janua</w:t>
      </w:r>
      <w:r w:rsidR="00A50C6D">
        <w:rPr>
          <w:lang w:val="en-GB"/>
        </w:rPr>
        <w:t xml:space="preserve">ry 2013, the </w:t>
      </w:r>
      <w:r w:rsidR="00EB62DE">
        <w:rPr>
          <w:lang w:val="en-GB"/>
        </w:rPr>
        <w:t>civil division</w:t>
      </w:r>
      <w:r>
        <w:rPr>
          <w:lang w:val="en-GB"/>
        </w:rPr>
        <w:t xml:space="preserve"> of the Moscow City Court reviewed the author’s appeal against the 19 October 2012 judgement, rejected the appeal and confirmed the first instance judgement. Accordingly, the first instance judgement entered into force. As </w:t>
      </w:r>
      <w:r w:rsidR="003B6021">
        <w:rPr>
          <w:lang w:val="en-GB"/>
        </w:rPr>
        <w:t>at</w:t>
      </w:r>
      <w:r>
        <w:rPr>
          <w:lang w:val="en-GB"/>
        </w:rPr>
        <w:t xml:space="preserve"> 8 February 2013</w:t>
      </w:r>
      <w:r w:rsidR="003B6021">
        <w:rPr>
          <w:lang w:val="en-GB"/>
        </w:rPr>
        <w:t>,</w:t>
      </w:r>
      <w:r>
        <w:rPr>
          <w:lang w:val="en-GB"/>
        </w:rPr>
        <w:t xml:space="preserve"> the author had not filed any requests for a supervisory review of the 25 June 2012 judgement of the Moscow City Court.</w:t>
      </w:r>
    </w:p>
    <w:p w:rsidR="00465E26" w:rsidRDefault="00465E26" w:rsidP="003B6021">
      <w:pPr>
        <w:pStyle w:val="SingleTxtG"/>
        <w:rPr>
          <w:lang w:val="en-GB"/>
        </w:rPr>
      </w:pPr>
      <w:r>
        <w:rPr>
          <w:lang w:val="en-GB"/>
        </w:rPr>
        <w:t>5.3</w:t>
      </w:r>
      <w:r>
        <w:rPr>
          <w:lang w:val="en-GB"/>
        </w:rPr>
        <w:tab/>
        <w:t xml:space="preserve">According to the </w:t>
      </w:r>
      <w:r w:rsidR="003336A2">
        <w:rPr>
          <w:lang w:val="en-GB"/>
        </w:rPr>
        <w:t>Office of the Procurator General</w:t>
      </w:r>
      <w:r>
        <w:rPr>
          <w:lang w:val="en-GB"/>
        </w:rPr>
        <w:t xml:space="preserve"> of Kyrgyzstan</w:t>
      </w:r>
      <w:r w:rsidR="003B6021">
        <w:rPr>
          <w:lang w:val="en-GB"/>
        </w:rPr>
        <w:t>,</w:t>
      </w:r>
      <w:r>
        <w:rPr>
          <w:lang w:val="en-GB"/>
        </w:rPr>
        <w:t xml:space="preserve"> at the time of the submission the author</w:t>
      </w:r>
      <w:r w:rsidR="002B0337">
        <w:rPr>
          <w:lang w:val="en-GB"/>
        </w:rPr>
        <w:t xml:space="preserve"> was detained in the pretrial detention cent</w:t>
      </w:r>
      <w:r w:rsidR="003336A2">
        <w:rPr>
          <w:lang w:val="en-GB"/>
        </w:rPr>
        <w:t>r</w:t>
      </w:r>
      <w:r w:rsidR="002B0337">
        <w:rPr>
          <w:lang w:val="en-GB"/>
        </w:rPr>
        <w:t>e No</w:t>
      </w:r>
      <w:r w:rsidR="003336A2">
        <w:rPr>
          <w:lang w:val="en-GB"/>
        </w:rPr>
        <w:t xml:space="preserve">. </w:t>
      </w:r>
      <w:r w:rsidR="002B0337">
        <w:rPr>
          <w:lang w:val="en-GB"/>
        </w:rPr>
        <w:t xml:space="preserve">1 in Bishkek. Kyrgyzstan had presented to the State party additional guarantees that officials of the Russian diplomatic service would have the opportunity to visit the author in the places of his detention </w:t>
      </w:r>
      <w:r w:rsidR="00DC323F">
        <w:rPr>
          <w:lang w:val="en-GB"/>
        </w:rPr>
        <w:t>i</w:t>
      </w:r>
      <w:r w:rsidR="002B0337">
        <w:rPr>
          <w:lang w:val="en-GB"/>
        </w:rPr>
        <w:t>n order to control the respect of his rights.</w:t>
      </w:r>
    </w:p>
    <w:p w:rsidR="002B0337" w:rsidRDefault="00D43E03" w:rsidP="000E2C9F">
      <w:pPr>
        <w:pStyle w:val="SingleTxtG"/>
        <w:rPr>
          <w:lang w:val="en-GB"/>
        </w:rPr>
      </w:pPr>
      <w:r>
        <w:rPr>
          <w:lang w:val="en-GB"/>
        </w:rPr>
        <w:t>5.4</w:t>
      </w:r>
      <w:r w:rsidR="002B0337">
        <w:rPr>
          <w:lang w:val="en-GB"/>
        </w:rPr>
        <w:tab/>
        <w:t>On 2 October 2013, the State party submits that the author had been arrested on 14</w:t>
      </w:r>
      <w:r w:rsidR="00AD094D">
        <w:rPr>
          <w:lang w:val="en-GB"/>
        </w:rPr>
        <w:t> </w:t>
      </w:r>
      <w:r w:rsidR="002B0337">
        <w:rPr>
          <w:lang w:val="en-GB"/>
        </w:rPr>
        <w:t xml:space="preserve">September 2011, based on an extradition request from Kyrgyzstan. On 24 March 2012, the Deputy </w:t>
      </w:r>
      <w:r w:rsidR="00945578">
        <w:rPr>
          <w:lang w:val="en-GB"/>
        </w:rPr>
        <w:t xml:space="preserve">Procurator </w:t>
      </w:r>
      <w:r w:rsidR="002B0337">
        <w:rPr>
          <w:lang w:val="en-GB"/>
        </w:rPr>
        <w:t>General issued a ruling for the author’s extradition to Kyrgyzstan. The State party reiterates its previous submission regarding the appeals against that ruling. It further submits that</w:t>
      </w:r>
      <w:r w:rsidR="003B6021">
        <w:rPr>
          <w:lang w:val="en-GB"/>
        </w:rPr>
        <w:t>,</w:t>
      </w:r>
      <w:r w:rsidR="002B0337">
        <w:rPr>
          <w:lang w:val="en-GB"/>
        </w:rPr>
        <w:t xml:space="preserve"> on 28 February 2012</w:t>
      </w:r>
      <w:r w:rsidR="003B6021">
        <w:rPr>
          <w:lang w:val="en-GB"/>
        </w:rPr>
        <w:t>,</w:t>
      </w:r>
      <w:r w:rsidR="002B0337">
        <w:rPr>
          <w:lang w:val="en-GB"/>
        </w:rPr>
        <w:t xml:space="preserve"> the author’s request for asylum was rejected by the Federal Migration Service. The State party submits that it has no information regarding appeals against that decision.</w:t>
      </w:r>
    </w:p>
    <w:p w:rsidR="002B0337" w:rsidRDefault="002B0337" w:rsidP="003B6021">
      <w:pPr>
        <w:pStyle w:val="SingleTxtG"/>
        <w:rPr>
          <w:lang w:val="en-GB"/>
        </w:rPr>
      </w:pPr>
      <w:r>
        <w:rPr>
          <w:lang w:val="en-GB"/>
        </w:rPr>
        <w:lastRenderedPageBreak/>
        <w:t>5.5</w:t>
      </w:r>
      <w:r>
        <w:rPr>
          <w:lang w:val="en-GB"/>
        </w:rPr>
        <w:tab/>
        <w:t xml:space="preserve">On 8 August 2012, </w:t>
      </w:r>
      <w:r w:rsidR="00DA2C26">
        <w:rPr>
          <w:lang w:val="en-GB"/>
        </w:rPr>
        <w:t>on</w:t>
      </w:r>
      <w:r w:rsidR="003B6021">
        <w:rPr>
          <w:lang w:val="en-GB"/>
        </w:rPr>
        <w:t xml:space="preserve"> the basis of</w:t>
      </w:r>
      <w:r w:rsidR="00DA2C26">
        <w:rPr>
          <w:lang w:val="en-GB"/>
        </w:rPr>
        <w:t xml:space="preserve"> the above facts</w:t>
      </w:r>
      <w:r w:rsidR="003B6021">
        <w:rPr>
          <w:lang w:val="en-GB"/>
        </w:rPr>
        <w:t>,</w:t>
      </w:r>
      <w:r w:rsidR="00DA2C26">
        <w:rPr>
          <w:lang w:val="en-GB"/>
        </w:rPr>
        <w:t xml:space="preserve"> </w:t>
      </w:r>
      <w:r>
        <w:rPr>
          <w:lang w:val="en-GB"/>
        </w:rPr>
        <w:t xml:space="preserve">the author submitted an application </w:t>
      </w:r>
      <w:r w:rsidR="00DA2C26">
        <w:rPr>
          <w:lang w:val="en-GB"/>
        </w:rPr>
        <w:t xml:space="preserve">to the European Court </w:t>
      </w:r>
      <w:r w:rsidR="00945578">
        <w:rPr>
          <w:lang w:val="en-GB"/>
        </w:rPr>
        <w:t xml:space="preserve">of </w:t>
      </w:r>
      <w:r w:rsidR="00DA2C26">
        <w:rPr>
          <w:lang w:val="en-GB"/>
        </w:rPr>
        <w:t>Human Rights, which on 21 August 2012 informed the author that his application was inadmissible.</w:t>
      </w:r>
    </w:p>
    <w:p w:rsidR="00DA2C26" w:rsidRDefault="00DA2C26" w:rsidP="00D75EF2">
      <w:pPr>
        <w:pStyle w:val="SingleTxtG"/>
        <w:rPr>
          <w:lang w:val="en-GB"/>
        </w:rPr>
      </w:pPr>
      <w:r>
        <w:rPr>
          <w:lang w:val="en-GB"/>
        </w:rPr>
        <w:t>5.6</w:t>
      </w:r>
      <w:r>
        <w:rPr>
          <w:lang w:val="en-GB"/>
        </w:rPr>
        <w:tab/>
        <w:t>Regarding the admissibility of the communication, the State party</w:t>
      </w:r>
      <w:r w:rsidR="003C6276">
        <w:rPr>
          <w:lang w:val="en-GB"/>
        </w:rPr>
        <w:t xml:space="preserve"> refers to </w:t>
      </w:r>
      <w:r w:rsidR="004E0D75">
        <w:rPr>
          <w:lang w:val="en-GB"/>
        </w:rPr>
        <w:t>article </w:t>
      </w:r>
      <w:r w:rsidR="003C6276">
        <w:rPr>
          <w:lang w:val="en-GB"/>
        </w:rPr>
        <w:t xml:space="preserve">5 </w:t>
      </w:r>
      <w:r w:rsidR="00945578">
        <w:rPr>
          <w:lang w:val="en-GB"/>
        </w:rPr>
        <w:t>(</w:t>
      </w:r>
      <w:r w:rsidR="003C6276">
        <w:rPr>
          <w:lang w:val="en-GB"/>
        </w:rPr>
        <w:t>2</w:t>
      </w:r>
      <w:r w:rsidR="00945578">
        <w:rPr>
          <w:lang w:val="en-GB"/>
        </w:rPr>
        <w:t>)</w:t>
      </w:r>
      <w:r w:rsidR="003C6276">
        <w:rPr>
          <w:lang w:val="en-GB"/>
        </w:rPr>
        <w:t xml:space="preserve"> (a) of the Optional Protocol and</w:t>
      </w:r>
      <w:r>
        <w:rPr>
          <w:lang w:val="en-GB"/>
        </w:rPr>
        <w:t xml:space="preserve"> submits</w:t>
      </w:r>
      <w:r w:rsidR="003C6276">
        <w:rPr>
          <w:lang w:val="en-GB"/>
        </w:rPr>
        <w:t xml:space="preserve"> </w:t>
      </w:r>
      <w:r>
        <w:rPr>
          <w:lang w:val="en-GB"/>
        </w:rPr>
        <w:t>that</w:t>
      </w:r>
      <w:r w:rsidR="003B6021">
        <w:rPr>
          <w:lang w:val="en-GB"/>
        </w:rPr>
        <w:t>,</w:t>
      </w:r>
      <w:r>
        <w:rPr>
          <w:lang w:val="en-GB"/>
        </w:rPr>
        <w:t xml:space="preserve"> </w:t>
      </w:r>
      <w:r w:rsidR="003C6276">
        <w:rPr>
          <w:lang w:val="en-GB"/>
        </w:rPr>
        <w:t>before submitting a communication to the Committee the author had submitted an application to the European Court</w:t>
      </w:r>
      <w:r w:rsidR="00DC19A5">
        <w:rPr>
          <w:lang w:val="en-GB"/>
        </w:rPr>
        <w:t xml:space="preserve"> </w:t>
      </w:r>
      <w:r w:rsidR="00945578">
        <w:rPr>
          <w:lang w:val="en-GB"/>
        </w:rPr>
        <w:t xml:space="preserve">of </w:t>
      </w:r>
      <w:r w:rsidR="00DC19A5">
        <w:rPr>
          <w:lang w:val="en-GB"/>
        </w:rPr>
        <w:t>Human Rights</w:t>
      </w:r>
      <w:r w:rsidR="003C6276">
        <w:rPr>
          <w:lang w:val="en-GB"/>
        </w:rPr>
        <w:t xml:space="preserve">. </w:t>
      </w:r>
    </w:p>
    <w:p w:rsidR="003C6276" w:rsidRDefault="003C6276" w:rsidP="003B6021">
      <w:pPr>
        <w:pStyle w:val="SingleTxtG"/>
        <w:rPr>
          <w:lang w:val="en-GB"/>
        </w:rPr>
      </w:pPr>
      <w:r>
        <w:rPr>
          <w:lang w:val="en-GB"/>
        </w:rPr>
        <w:t>5.7</w:t>
      </w:r>
      <w:r>
        <w:rPr>
          <w:lang w:val="en-GB"/>
        </w:rPr>
        <w:tab/>
        <w:t xml:space="preserve">The State party further submits that the author’s complaint under </w:t>
      </w:r>
      <w:r w:rsidR="004E0D75">
        <w:rPr>
          <w:lang w:val="en-GB"/>
        </w:rPr>
        <w:t>article </w:t>
      </w:r>
      <w:r>
        <w:rPr>
          <w:lang w:val="en-GB"/>
        </w:rPr>
        <w:t xml:space="preserve">9 of the Covenant is unfounded as the decisions for his detention and the extension of the detention were taken by the Russian </w:t>
      </w:r>
      <w:r w:rsidR="00945578">
        <w:rPr>
          <w:lang w:val="en-GB"/>
        </w:rPr>
        <w:t>c</w:t>
      </w:r>
      <w:r>
        <w:rPr>
          <w:lang w:val="en-GB"/>
        </w:rPr>
        <w:t>ourts in accordance with the established order and the author used his right to judicial appeal against these decisions. With regard to the author’s claims of potential violations of his rights in relation to the denial to grant him refugee status</w:t>
      </w:r>
      <w:r w:rsidR="003B6021">
        <w:rPr>
          <w:lang w:val="en-GB"/>
        </w:rPr>
        <w:t>,</w:t>
      </w:r>
      <w:r w:rsidRPr="003C6276">
        <w:rPr>
          <w:lang w:val="en-GB"/>
        </w:rPr>
        <w:t xml:space="preserve"> </w:t>
      </w:r>
      <w:r>
        <w:rPr>
          <w:lang w:val="en-GB"/>
        </w:rPr>
        <w:t xml:space="preserve">the State party notes that there is no such right under the Covenant. Therefore the above claims are incompatible with the Covenant and should be declared inadmissible under </w:t>
      </w:r>
      <w:r w:rsidR="004E0D75">
        <w:rPr>
          <w:lang w:val="en-GB"/>
        </w:rPr>
        <w:t>article </w:t>
      </w:r>
      <w:r>
        <w:rPr>
          <w:lang w:val="en-GB"/>
        </w:rPr>
        <w:t>3 of the Optional Protocol.</w:t>
      </w:r>
    </w:p>
    <w:p w:rsidR="00465E26" w:rsidRDefault="003C6276" w:rsidP="002E0AFA">
      <w:pPr>
        <w:pStyle w:val="SingleTxtG"/>
        <w:rPr>
          <w:lang w:val="en-GB"/>
        </w:rPr>
      </w:pPr>
      <w:r>
        <w:rPr>
          <w:lang w:val="en-GB"/>
        </w:rPr>
        <w:t>5.8</w:t>
      </w:r>
      <w:r>
        <w:rPr>
          <w:lang w:val="en-GB"/>
        </w:rPr>
        <w:tab/>
        <w:t>Regarding the merits of the communication, the State party submits that</w:t>
      </w:r>
      <w:r w:rsidR="008B0077">
        <w:rPr>
          <w:lang w:val="en-GB"/>
        </w:rPr>
        <w:t xml:space="preserve"> the States parties to the Covenant have the right to control the entry of foreign citizen</w:t>
      </w:r>
      <w:r w:rsidR="002E0AFA">
        <w:rPr>
          <w:lang w:val="en-GB"/>
        </w:rPr>
        <w:t>s</w:t>
      </w:r>
      <w:r w:rsidR="008B0077">
        <w:rPr>
          <w:lang w:val="en-GB"/>
        </w:rPr>
        <w:t xml:space="preserve"> in</w:t>
      </w:r>
      <w:r w:rsidR="00114085">
        <w:rPr>
          <w:lang w:val="en-GB"/>
        </w:rPr>
        <w:t>to</w:t>
      </w:r>
      <w:r w:rsidR="008B0077">
        <w:rPr>
          <w:lang w:val="en-GB"/>
        </w:rPr>
        <w:t xml:space="preserve"> their territories</w:t>
      </w:r>
      <w:r w:rsidR="00114085">
        <w:rPr>
          <w:lang w:val="en-GB"/>
        </w:rPr>
        <w:t xml:space="preserve"> and their residence</w:t>
      </w:r>
      <w:r w:rsidR="008B0077">
        <w:rPr>
          <w:lang w:val="en-GB"/>
        </w:rPr>
        <w:t xml:space="preserve"> in accordance with the international law principles and their treat</w:t>
      </w:r>
      <w:r w:rsidR="00E73BCD">
        <w:rPr>
          <w:lang w:val="en-GB"/>
        </w:rPr>
        <w:t>y</w:t>
      </w:r>
      <w:r w:rsidR="008B0077">
        <w:rPr>
          <w:lang w:val="en-GB"/>
        </w:rPr>
        <w:t xml:space="preserve"> obligations. </w:t>
      </w:r>
      <w:r w:rsidR="004E0D75">
        <w:rPr>
          <w:lang w:val="en-GB"/>
        </w:rPr>
        <w:t>Article </w:t>
      </w:r>
      <w:r w:rsidR="008B0077">
        <w:rPr>
          <w:lang w:val="en-GB"/>
        </w:rPr>
        <w:t>7 may be applicable to prevent deportation or extradition in cases when the risk that the individual will be subjected to cruel treatment in the receiving country originates from deliberate actions of the public authorities in that country or from deliberate actions of non-</w:t>
      </w:r>
      <w:r w:rsidR="00114085">
        <w:rPr>
          <w:lang w:val="en-GB"/>
        </w:rPr>
        <w:t>S</w:t>
      </w:r>
      <w:r w:rsidR="008B0077">
        <w:rPr>
          <w:lang w:val="en-GB"/>
        </w:rPr>
        <w:t xml:space="preserve">tate actors, when the public authorities </w:t>
      </w:r>
      <w:r w:rsidR="00E965DD">
        <w:rPr>
          <w:lang w:val="en-GB"/>
        </w:rPr>
        <w:t>cannot</w:t>
      </w:r>
      <w:r w:rsidR="008B0077">
        <w:rPr>
          <w:lang w:val="en-GB"/>
        </w:rPr>
        <w:t xml:space="preserve"> provide the complainant with adequate protection.</w:t>
      </w:r>
      <w:r w:rsidR="00E965DD">
        <w:rPr>
          <w:lang w:val="en-GB"/>
        </w:rPr>
        <w:t xml:space="preserve"> In order to review the case in</w:t>
      </w:r>
      <w:r w:rsidR="00114085">
        <w:rPr>
          <w:lang w:val="en-GB"/>
        </w:rPr>
        <w:t xml:space="preserve"> the</w:t>
      </w:r>
      <w:r w:rsidR="00E965DD">
        <w:rPr>
          <w:lang w:val="en-GB"/>
        </w:rPr>
        <w:t xml:space="preserve"> light of </w:t>
      </w:r>
      <w:r w:rsidR="004E0D75">
        <w:rPr>
          <w:lang w:val="en-GB"/>
        </w:rPr>
        <w:t>article </w:t>
      </w:r>
      <w:r w:rsidR="00E965DD">
        <w:rPr>
          <w:lang w:val="en-GB"/>
        </w:rPr>
        <w:t>7</w:t>
      </w:r>
      <w:r w:rsidR="00114085">
        <w:rPr>
          <w:lang w:val="en-GB"/>
        </w:rPr>
        <w:t>,</w:t>
      </w:r>
      <w:r w:rsidR="00E965DD">
        <w:rPr>
          <w:lang w:val="en-GB"/>
        </w:rPr>
        <w:t xml:space="preserve"> it must be established that at the moment of extradition a real risk </w:t>
      </w:r>
      <w:r w:rsidR="00E73BCD">
        <w:rPr>
          <w:lang w:val="en-GB"/>
        </w:rPr>
        <w:t xml:space="preserve">existed </w:t>
      </w:r>
      <w:r w:rsidR="00E965DD">
        <w:rPr>
          <w:lang w:val="en-GB"/>
        </w:rPr>
        <w:t xml:space="preserve">that the author would be subjected to treatment contrary to </w:t>
      </w:r>
      <w:r w:rsidR="004E0D75">
        <w:rPr>
          <w:lang w:val="en-GB"/>
        </w:rPr>
        <w:t>article </w:t>
      </w:r>
      <w:r w:rsidR="00E965DD">
        <w:rPr>
          <w:lang w:val="en-GB"/>
        </w:rPr>
        <w:t>7 of the Covenant. When determining the existence of such risk</w:t>
      </w:r>
      <w:r w:rsidR="00114085">
        <w:rPr>
          <w:lang w:val="en-GB"/>
        </w:rPr>
        <w:t>,</w:t>
      </w:r>
      <w:r w:rsidR="00E965DD">
        <w:rPr>
          <w:lang w:val="en-GB"/>
        </w:rPr>
        <w:t xml:space="preserve"> the competent authorities take into consideration all</w:t>
      </w:r>
      <w:r w:rsidR="00114085">
        <w:rPr>
          <w:lang w:val="en-GB"/>
        </w:rPr>
        <w:t xml:space="preserve"> the</w:t>
      </w:r>
      <w:r w:rsidR="00E965DD">
        <w:rPr>
          <w:lang w:val="en-GB"/>
        </w:rPr>
        <w:t xml:space="preserve"> relevant circumstances, </w:t>
      </w:r>
      <w:r w:rsidR="00E965DD" w:rsidRPr="00E965DD">
        <w:rPr>
          <w:lang w:val="en-GB"/>
        </w:rPr>
        <w:t>including the existence of a consistent pattern of gross, flagrant or mass violations of human rights.</w:t>
      </w:r>
      <w:r w:rsidR="00E965DD">
        <w:rPr>
          <w:lang w:val="en-GB"/>
        </w:rPr>
        <w:t xml:space="preserve"> The</w:t>
      </w:r>
      <w:r w:rsidR="00E965DD" w:rsidRPr="00E965DD">
        <w:rPr>
          <w:lang w:val="en-GB"/>
        </w:rPr>
        <w:t xml:space="preserve"> burden of proof generally falls on the </w:t>
      </w:r>
      <w:r w:rsidR="00E965DD">
        <w:rPr>
          <w:lang w:val="en-GB"/>
        </w:rPr>
        <w:t>author</w:t>
      </w:r>
      <w:r w:rsidR="00E965DD" w:rsidRPr="00E965DD">
        <w:rPr>
          <w:lang w:val="en-GB"/>
        </w:rPr>
        <w:t>, who must present an arguable case that he or she faces a</w:t>
      </w:r>
      <w:r w:rsidR="00E965DD">
        <w:rPr>
          <w:lang w:val="en-GB"/>
        </w:rPr>
        <w:t xml:space="preserve"> risk of treatment contrary to </w:t>
      </w:r>
      <w:r w:rsidR="004E0D75">
        <w:rPr>
          <w:lang w:val="en-GB"/>
        </w:rPr>
        <w:t>article </w:t>
      </w:r>
      <w:r w:rsidR="00E965DD">
        <w:rPr>
          <w:lang w:val="en-GB"/>
        </w:rPr>
        <w:t>7 of the Covenant.</w:t>
      </w:r>
      <w:r w:rsidR="00E965DD" w:rsidRPr="00ED6399">
        <w:rPr>
          <w:rStyle w:val="FootnoteReference"/>
        </w:rPr>
        <w:footnoteReference w:id="6"/>
      </w:r>
      <w:r w:rsidR="00D56934">
        <w:rPr>
          <w:lang w:val="en-GB"/>
        </w:rPr>
        <w:t xml:space="preserve"> If such evidence is presented, the State party must fully refute it. In determining the risk of cruel treatment</w:t>
      </w:r>
      <w:r w:rsidR="00114085">
        <w:rPr>
          <w:lang w:val="en-GB"/>
        </w:rPr>
        <w:t>,</w:t>
      </w:r>
      <w:r w:rsidR="00D56934">
        <w:rPr>
          <w:lang w:val="en-GB"/>
        </w:rPr>
        <w:t xml:space="preserve"> one must take into consideration the foreseeable consequences of the deportation of the author to the receiving country, including the general situation in that country and the personal circumstances of the author. The State party further maintains that the m</w:t>
      </w:r>
      <w:r w:rsidR="00D56934" w:rsidRPr="00D56934">
        <w:rPr>
          <w:lang w:val="en-GB"/>
        </w:rPr>
        <w:t xml:space="preserve">ere possibility of ill-treatment is not in itself sufficient to give rise to a breach of </w:t>
      </w:r>
      <w:r w:rsidR="004E0D75">
        <w:rPr>
          <w:lang w:val="en-GB"/>
        </w:rPr>
        <w:t>article </w:t>
      </w:r>
      <w:r w:rsidR="00D56934">
        <w:rPr>
          <w:lang w:val="en-GB"/>
        </w:rPr>
        <w:t>7,</w:t>
      </w:r>
      <w:r w:rsidR="00D56934" w:rsidRPr="00ED6399">
        <w:rPr>
          <w:rStyle w:val="FootnoteReference"/>
        </w:rPr>
        <w:footnoteReference w:id="7"/>
      </w:r>
      <w:r w:rsidR="00D56934">
        <w:rPr>
          <w:lang w:val="en-GB"/>
        </w:rPr>
        <w:t xml:space="preserve"> but the </w:t>
      </w:r>
      <w:r w:rsidR="00CA5209" w:rsidRPr="00CA5209">
        <w:rPr>
          <w:lang w:val="en-GB"/>
        </w:rPr>
        <w:t xml:space="preserve">specific allegations made by the </w:t>
      </w:r>
      <w:r w:rsidR="00CA5209">
        <w:rPr>
          <w:lang w:val="en-GB"/>
        </w:rPr>
        <w:t>author</w:t>
      </w:r>
      <w:r w:rsidR="00CA5209" w:rsidRPr="00CA5209">
        <w:rPr>
          <w:lang w:val="en-GB"/>
        </w:rPr>
        <w:t xml:space="preserve"> require corroboration by other evidence.</w:t>
      </w:r>
      <w:r w:rsidR="00D56934" w:rsidRPr="00ED6399">
        <w:rPr>
          <w:rStyle w:val="FootnoteReference"/>
        </w:rPr>
        <w:footnoteReference w:id="8"/>
      </w:r>
    </w:p>
    <w:p w:rsidR="00C646B8" w:rsidRPr="003F4B5B" w:rsidRDefault="00C646B8" w:rsidP="00E9006E">
      <w:pPr>
        <w:pStyle w:val="SingleTxtG"/>
        <w:rPr>
          <w:lang w:val="en-GB"/>
        </w:rPr>
      </w:pPr>
      <w:r>
        <w:rPr>
          <w:lang w:val="en-GB"/>
        </w:rPr>
        <w:t>5.9</w:t>
      </w:r>
      <w:r>
        <w:rPr>
          <w:lang w:val="en-GB"/>
        </w:rPr>
        <w:tab/>
      </w:r>
      <w:r w:rsidR="00CA5209">
        <w:rPr>
          <w:lang w:val="en-GB"/>
        </w:rPr>
        <w:t>The State party submits that the author</w:t>
      </w:r>
      <w:r w:rsidR="00E9006E">
        <w:rPr>
          <w:lang w:val="en-GB"/>
        </w:rPr>
        <w:t>’s allegations of</w:t>
      </w:r>
      <w:r w:rsidR="00CA5209">
        <w:rPr>
          <w:lang w:val="en-GB"/>
        </w:rPr>
        <w:t xml:space="preserve"> torture could not be taken as </w:t>
      </w:r>
      <w:r w:rsidR="00A61B43">
        <w:rPr>
          <w:lang w:val="en-GB"/>
        </w:rPr>
        <w:t>proof</w:t>
      </w:r>
      <w:r w:rsidR="00CA5209">
        <w:rPr>
          <w:lang w:val="en-GB"/>
        </w:rPr>
        <w:t xml:space="preserve"> and were not corroborated in any way. Further</w:t>
      </w:r>
      <w:r w:rsidR="00114085">
        <w:rPr>
          <w:lang w:val="en-GB"/>
        </w:rPr>
        <w:t>more,</w:t>
      </w:r>
      <w:r w:rsidR="00CA5209">
        <w:rPr>
          <w:lang w:val="en-GB"/>
        </w:rPr>
        <w:t xml:space="preserve"> Kyrgyzstan is a party to the Covenant and has its own obligations under its provisions towards the Russian Federation and the international community as a whole. Accordingly</w:t>
      </w:r>
      <w:r w:rsidR="00114085">
        <w:rPr>
          <w:lang w:val="en-GB"/>
        </w:rPr>
        <w:t>,</w:t>
      </w:r>
      <w:r w:rsidR="00CA5209">
        <w:rPr>
          <w:lang w:val="en-GB"/>
        </w:rPr>
        <w:t xml:space="preserve"> it was not possible to conclude that there were serious grounds to believe that the author </w:t>
      </w:r>
      <w:r w:rsidR="00E9006E">
        <w:rPr>
          <w:lang w:val="en-GB"/>
        </w:rPr>
        <w:t xml:space="preserve">would </w:t>
      </w:r>
      <w:r w:rsidR="00CA5209">
        <w:rPr>
          <w:lang w:val="en-GB"/>
        </w:rPr>
        <w:t xml:space="preserve">be subjected to treatment </w:t>
      </w:r>
      <w:r w:rsidR="00CA5209">
        <w:rPr>
          <w:lang w:val="en-GB"/>
        </w:rPr>
        <w:lastRenderedPageBreak/>
        <w:t xml:space="preserve">contrary to </w:t>
      </w:r>
      <w:r w:rsidR="004E0D75">
        <w:rPr>
          <w:lang w:val="en-GB"/>
        </w:rPr>
        <w:t>article </w:t>
      </w:r>
      <w:r w:rsidR="00CA5209">
        <w:rPr>
          <w:lang w:val="en-GB"/>
        </w:rPr>
        <w:t>7 of the Covenant in case of his removal to Kyrgyzstan and</w:t>
      </w:r>
      <w:r w:rsidR="00E9006E">
        <w:rPr>
          <w:lang w:val="en-GB"/>
        </w:rPr>
        <w:t>,</w:t>
      </w:r>
      <w:r w:rsidR="00CA5209">
        <w:rPr>
          <w:lang w:val="en-GB"/>
        </w:rPr>
        <w:t xml:space="preserve"> therefore</w:t>
      </w:r>
      <w:r w:rsidR="00E9006E">
        <w:rPr>
          <w:lang w:val="en-GB"/>
        </w:rPr>
        <w:t>,</w:t>
      </w:r>
      <w:r w:rsidR="00CA5209">
        <w:rPr>
          <w:lang w:val="en-GB"/>
        </w:rPr>
        <w:t xml:space="preserve"> </w:t>
      </w:r>
      <w:r w:rsidR="00803B5C">
        <w:rPr>
          <w:lang w:val="en-GB"/>
        </w:rPr>
        <w:t>in such an event</w:t>
      </w:r>
      <w:r w:rsidR="00E9006E">
        <w:rPr>
          <w:lang w:val="en-GB"/>
        </w:rPr>
        <w:t>,</w:t>
      </w:r>
      <w:r w:rsidR="00803B5C">
        <w:rPr>
          <w:lang w:val="en-GB"/>
        </w:rPr>
        <w:t xml:space="preserve"> the Russian Federation would not be in violation of the Covenant. </w:t>
      </w:r>
    </w:p>
    <w:p w:rsidR="007740F1" w:rsidRPr="005E021C" w:rsidRDefault="00D43E03" w:rsidP="00D43E03">
      <w:pPr>
        <w:pStyle w:val="H23G"/>
      </w:pPr>
      <w:r>
        <w:tab/>
      </w:r>
      <w:r>
        <w:tab/>
      </w:r>
      <w:r w:rsidR="00A61B43">
        <w:t>Author</w:t>
      </w:r>
      <w:r w:rsidR="00431396" w:rsidRPr="005E021C">
        <w:t>’</w:t>
      </w:r>
      <w:r w:rsidR="00446ABC" w:rsidRPr="00446ABC">
        <w:t>s</w:t>
      </w:r>
      <w:r w:rsidR="009A19F8" w:rsidRPr="005E021C">
        <w:t xml:space="preserve"> comments on the State party</w:t>
      </w:r>
      <w:r w:rsidR="0089096C">
        <w:t>’</w:t>
      </w:r>
      <w:r w:rsidR="009A19F8" w:rsidRPr="005E021C">
        <w:t>s observations</w:t>
      </w:r>
      <w:r w:rsidR="000A2EE4" w:rsidRPr="005E021C">
        <w:t xml:space="preserve"> </w:t>
      </w:r>
    </w:p>
    <w:p w:rsidR="00446ABC" w:rsidRDefault="00801DCF" w:rsidP="00D43E03">
      <w:pPr>
        <w:pStyle w:val="SingleTxtG"/>
        <w:rPr>
          <w:lang w:val="en-GB"/>
        </w:rPr>
      </w:pPr>
      <w:r w:rsidRPr="00803B5C">
        <w:rPr>
          <w:lang w:val="en-GB"/>
        </w:rPr>
        <w:t>6</w:t>
      </w:r>
      <w:r w:rsidR="009A19F8" w:rsidRPr="009A19F8">
        <w:t>.</w:t>
      </w:r>
      <w:r w:rsidR="008730D5">
        <w:rPr>
          <w:lang w:val="en-GB"/>
        </w:rPr>
        <w:t>1</w:t>
      </w:r>
      <w:r w:rsidR="009A19F8" w:rsidRPr="009A19F8">
        <w:tab/>
      </w:r>
      <w:r w:rsidR="00803B5C" w:rsidRPr="00803B5C">
        <w:rPr>
          <w:lang w:val="en-GB"/>
        </w:rPr>
        <w:t xml:space="preserve">On 30 March 2014, the </w:t>
      </w:r>
      <w:r w:rsidR="00A61B43">
        <w:rPr>
          <w:lang w:val="en-GB"/>
        </w:rPr>
        <w:t>author</w:t>
      </w:r>
      <w:r w:rsidR="00A61B43" w:rsidRPr="00803B5C">
        <w:rPr>
          <w:lang w:val="en-GB"/>
        </w:rPr>
        <w:t xml:space="preserve"> </w:t>
      </w:r>
      <w:r w:rsidR="00803B5C" w:rsidRPr="00803B5C">
        <w:rPr>
          <w:lang w:val="en-GB"/>
        </w:rPr>
        <w:t xml:space="preserve">submits that </w:t>
      </w:r>
      <w:r w:rsidR="00705680">
        <w:rPr>
          <w:lang w:val="en-GB"/>
        </w:rPr>
        <w:t xml:space="preserve">he had presented to the Committee evidence that, on 21 August 2012, he withdrew his application to the European Court and therefore at the time of the submission of his communication the </w:t>
      </w:r>
      <w:r w:rsidR="00705680" w:rsidRPr="00705680">
        <w:t xml:space="preserve">same matter </w:t>
      </w:r>
      <w:r w:rsidR="00705680" w:rsidRPr="00705680">
        <w:rPr>
          <w:lang w:val="en-GB"/>
        </w:rPr>
        <w:t>wa</w:t>
      </w:r>
      <w:r w:rsidR="00705680" w:rsidRPr="00705680">
        <w:t>s not being examined under another procedure of international</w:t>
      </w:r>
      <w:r w:rsidR="00705680" w:rsidRPr="00705680">
        <w:rPr>
          <w:lang w:val="en-GB"/>
        </w:rPr>
        <w:t xml:space="preserve"> investigation or settlement</w:t>
      </w:r>
      <w:r w:rsidR="00705680">
        <w:rPr>
          <w:lang w:val="en-GB"/>
        </w:rPr>
        <w:t xml:space="preserve">. </w:t>
      </w:r>
    </w:p>
    <w:p w:rsidR="00705680" w:rsidRDefault="00705680" w:rsidP="00E9006E">
      <w:pPr>
        <w:pStyle w:val="SingleTxtG"/>
        <w:rPr>
          <w:bCs/>
          <w:lang w:val="en-GB"/>
        </w:rPr>
      </w:pPr>
      <w:r>
        <w:rPr>
          <w:bCs/>
          <w:lang w:val="en-GB"/>
        </w:rPr>
        <w:t>6.2</w:t>
      </w:r>
      <w:r>
        <w:rPr>
          <w:bCs/>
          <w:lang w:val="en-GB"/>
        </w:rPr>
        <w:tab/>
        <w:t xml:space="preserve">Regarding his claims under </w:t>
      </w:r>
      <w:r w:rsidR="004E0D75">
        <w:rPr>
          <w:bCs/>
          <w:lang w:val="en-GB"/>
        </w:rPr>
        <w:t>article </w:t>
      </w:r>
      <w:r>
        <w:rPr>
          <w:bCs/>
          <w:lang w:val="en-GB"/>
        </w:rPr>
        <w:t xml:space="preserve">9 of the Covenant, the </w:t>
      </w:r>
      <w:r w:rsidR="00A61B43">
        <w:rPr>
          <w:bCs/>
          <w:lang w:val="en-GB"/>
        </w:rPr>
        <w:t>author</w:t>
      </w:r>
      <w:r w:rsidR="004B48F6" w:rsidDel="004B48F6">
        <w:rPr>
          <w:bCs/>
          <w:lang w:val="en-GB"/>
        </w:rPr>
        <w:t xml:space="preserve"> </w:t>
      </w:r>
      <w:r w:rsidR="00C5291D">
        <w:rPr>
          <w:bCs/>
          <w:lang w:val="en-GB"/>
        </w:rPr>
        <w:t>reiterates that</w:t>
      </w:r>
      <w:r w:rsidR="00E5326C">
        <w:rPr>
          <w:bCs/>
          <w:lang w:val="en-GB"/>
        </w:rPr>
        <w:t>,</w:t>
      </w:r>
      <w:r w:rsidR="00C5291D">
        <w:rPr>
          <w:bCs/>
          <w:lang w:val="en-GB"/>
        </w:rPr>
        <w:t xml:space="preserve"> according to the Supreme Court rulings</w:t>
      </w:r>
      <w:r w:rsidR="00E5326C">
        <w:rPr>
          <w:bCs/>
          <w:lang w:val="en-GB"/>
        </w:rPr>
        <w:t>,</w:t>
      </w:r>
      <w:r w:rsidR="00C5291D">
        <w:rPr>
          <w:bCs/>
          <w:lang w:val="en-GB"/>
        </w:rPr>
        <w:t xml:space="preserve"> detention on remand should be regul</w:t>
      </w:r>
      <w:r w:rsidR="00A642CA">
        <w:rPr>
          <w:bCs/>
          <w:lang w:val="en-GB"/>
        </w:rPr>
        <w:t>a</w:t>
      </w:r>
      <w:r w:rsidR="00C5291D">
        <w:rPr>
          <w:bCs/>
          <w:lang w:val="en-GB"/>
        </w:rPr>
        <w:t xml:space="preserve">ted not only by </w:t>
      </w:r>
      <w:r w:rsidR="004E0D75">
        <w:rPr>
          <w:bCs/>
          <w:lang w:val="en-GB"/>
        </w:rPr>
        <w:t>article </w:t>
      </w:r>
      <w:r w:rsidR="00C5291D">
        <w:rPr>
          <w:bCs/>
          <w:lang w:val="en-GB"/>
        </w:rPr>
        <w:t>466</w:t>
      </w:r>
      <w:r w:rsidR="00A642CA">
        <w:rPr>
          <w:bCs/>
          <w:lang w:val="en-GB"/>
        </w:rPr>
        <w:t xml:space="preserve"> of the Code</w:t>
      </w:r>
      <w:r w:rsidR="00E5326C">
        <w:rPr>
          <w:bCs/>
          <w:lang w:val="en-GB"/>
        </w:rPr>
        <w:t xml:space="preserve"> of Criminal Procedure</w:t>
      </w:r>
      <w:r w:rsidR="00A642CA">
        <w:rPr>
          <w:bCs/>
          <w:lang w:val="en-GB"/>
        </w:rPr>
        <w:t>, but also by articles 108 and 109 of th</w:t>
      </w:r>
      <w:r w:rsidR="00E9006E">
        <w:rPr>
          <w:bCs/>
          <w:lang w:val="en-GB"/>
        </w:rPr>
        <w:t>at</w:t>
      </w:r>
      <w:r w:rsidR="00A642CA">
        <w:rPr>
          <w:bCs/>
          <w:lang w:val="en-GB"/>
        </w:rPr>
        <w:t xml:space="preserve"> Code. </w:t>
      </w:r>
      <w:r w:rsidR="004E0D75">
        <w:rPr>
          <w:bCs/>
          <w:lang w:val="en-GB"/>
        </w:rPr>
        <w:t>Article </w:t>
      </w:r>
      <w:r w:rsidR="00A642CA">
        <w:rPr>
          <w:bCs/>
          <w:lang w:val="en-GB"/>
        </w:rPr>
        <w:t>108 provides that whether an individual shall be detained on remand is decided by a judge in a court hearing with the mandatory participation of the suspect or the accused. In accordance with articles 5.48 and 31.2</w:t>
      </w:r>
      <w:r w:rsidR="00E5326C">
        <w:rPr>
          <w:bCs/>
          <w:lang w:val="en-GB"/>
        </w:rPr>
        <w:t xml:space="preserve"> of the Code</w:t>
      </w:r>
      <w:r w:rsidR="00A642CA">
        <w:rPr>
          <w:bCs/>
          <w:lang w:val="en-GB"/>
        </w:rPr>
        <w:t>, the courts of general jurisdiction review cases on their merits and issue decisions</w:t>
      </w:r>
      <w:r w:rsidR="00E5326C">
        <w:rPr>
          <w:bCs/>
          <w:lang w:val="en-GB"/>
        </w:rPr>
        <w:t>,</w:t>
      </w:r>
      <w:r w:rsidR="00A642CA">
        <w:rPr>
          <w:bCs/>
          <w:lang w:val="en-GB"/>
        </w:rPr>
        <w:t xml:space="preserve"> as </w:t>
      </w:r>
      <w:r w:rsidR="00E5326C">
        <w:rPr>
          <w:bCs/>
          <w:lang w:val="en-GB"/>
        </w:rPr>
        <w:t>provided for in</w:t>
      </w:r>
      <w:r w:rsidR="00A642CA">
        <w:rPr>
          <w:bCs/>
          <w:lang w:val="en-GB"/>
        </w:rPr>
        <w:t xml:space="preserve"> the Code. </w:t>
      </w:r>
      <w:r w:rsidR="004E0D75">
        <w:rPr>
          <w:bCs/>
          <w:lang w:val="en-GB"/>
        </w:rPr>
        <w:t>Article </w:t>
      </w:r>
      <w:r w:rsidR="00A642CA">
        <w:rPr>
          <w:bCs/>
          <w:lang w:val="en-GB"/>
        </w:rPr>
        <w:t xml:space="preserve">108 does not allow </w:t>
      </w:r>
      <w:r w:rsidR="004B48F6">
        <w:rPr>
          <w:bCs/>
          <w:lang w:val="en-GB"/>
        </w:rPr>
        <w:t xml:space="preserve">for </w:t>
      </w:r>
      <w:r w:rsidR="00A642CA">
        <w:rPr>
          <w:bCs/>
          <w:lang w:val="en-GB"/>
        </w:rPr>
        <w:t xml:space="preserve">a court </w:t>
      </w:r>
      <w:r w:rsidR="004B48F6">
        <w:rPr>
          <w:bCs/>
          <w:lang w:val="en-GB"/>
        </w:rPr>
        <w:t xml:space="preserve">of another </w:t>
      </w:r>
      <w:r w:rsidR="00E5326C">
        <w:rPr>
          <w:bCs/>
          <w:lang w:val="en-GB"/>
        </w:rPr>
        <w:t>S</w:t>
      </w:r>
      <w:r w:rsidR="004B48F6">
        <w:rPr>
          <w:bCs/>
          <w:lang w:val="en-GB"/>
        </w:rPr>
        <w:t xml:space="preserve">tate </w:t>
      </w:r>
      <w:r w:rsidR="00A642CA">
        <w:rPr>
          <w:bCs/>
          <w:lang w:val="en-GB"/>
        </w:rPr>
        <w:t>to replace the Russian court in deciding the issue of detention on remand. In the author</w:t>
      </w:r>
      <w:r w:rsidR="00E5326C">
        <w:rPr>
          <w:bCs/>
          <w:lang w:val="en-GB"/>
        </w:rPr>
        <w:t>’</w:t>
      </w:r>
      <w:r w:rsidR="00A642CA">
        <w:rPr>
          <w:bCs/>
          <w:lang w:val="en-GB"/>
        </w:rPr>
        <w:t>s case</w:t>
      </w:r>
      <w:r w:rsidR="00E5326C">
        <w:rPr>
          <w:bCs/>
          <w:lang w:val="en-GB"/>
        </w:rPr>
        <w:t>,</w:t>
      </w:r>
      <w:r w:rsidR="00A642CA">
        <w:rPr>
          <w:bCs/>
          <w:lang w:val="en-GB"/>
        </w:rPr>
        <w:t xml:space="preserve"> the initial ruling for his detention on remand had been issued by the </w:t>
      </w:r>
      <w:r w:rsidR="00A642CA" w:rsidRPr="00EB62DE">
        <w:rPr>
          <w:bCs/>
          <w:lang w:val="en-GB"/>
        </w:rPr>
        <w:t>But</w:t>
      </w:r>
      <w:r w:rsidR="00EB62DE">
        <w:rPr>
          <w:bCs/>
          <w:lang w:val="en-GB"/>
        </w:rPr>
        <w:t>y</w:t>
      </w:r>
      <w:r w:rsidR="00A642CA" w:rsidRPr="00EB62DE">
        <w:rPr>
          <w:bCs/>
          <w:lang w:val="en-GB"/>
        </w:rPr>
        <w:t xml:space="preserve">rsky Interregional </w:t>
      </w:r>
      <w:r w:rsidR="00E5326C" w:rsidRPr="00EB62DE">
        <w:rPr>
          <w:bCs/>
          <w:lang w:val="en-GB"/>
        </w:rPr>
        <w:t xml:space="preserve">Procurator’s </w:t>
      </w:r>
      <w:r w:rsidR="00A642CA" w:rsidRPr="00EB62DE">
        <w:rPr>
          <w:bCs/>
          <w:lang w:val="en-GB"/>
        </w:rPr>
        <w:t>Office</w:t>
      </w:r>
      <w:r w:rsidR="00A642CA">
        <w:rPr>
          <w:bCs/>
          <w:lang w:val="en-GB"/>
        </w:rPr>
        <w:t>, in the absence of a court order</w:t>
      </w:r>
      <w:r w:rsidR="004B48F6">
        <w:rPr>
          <w:bCs/>
          <w:lang w:val="en-GB"/>
        </w:rPr>
        <w:t xml:space="preserve"> issued by a Russian court</w:t>
      </w:r>
      <w:r w:rsidR="00A642CA">
        <w:rPr>
          <w:bCs/>
          <w:lang w:val="en-GB"/>
        </w:rPr>
        <w:t>. Therefore, the But</w:t>
      </w:r>
      <w:r w:rsidR="00EB62DE">
        <w:rPr>
          <w:bCs/>
          <w:lang w:val="en-GB"/>
        </w:rPr>
        <w:t>y</w:t>
      </w:r>
      <w:r w:rsidR="00A642CA">
        <w:rPr>
          <w:bCs/>
          <w:lang w:val="en-GB"/>
        </w:rPr>
        <w:t xml:space="preserve">rsky Interregional </w:t>
      </w:r>
      <w:r w:rsidR="00E5326C">
        <w:rPr>
          <w:bCs/>
          <w:lang w:val="en-GB"/>
        </w:rPr>
        <w:t xml:space="preserve">Procurator’s </w:t>
      </w:r>
      <w:r w:rsidR="00A642CA">
        <w:rPr>
          <w:bCs/>
          <w:lang w:val="en-GB"/>
        </w:rPr>
        <w:t xml:space="preserve">Office violated the legislation in force in the Russian Federation, namely </w:t>
      </w:r>
      <w:r w:rsidR="004E0D75">
        <w:rPr>
          <w:bCs/>
          <w:lang w:val="en-GB"/>
        </w:rPr>
        <w:t>article </w:t>
      </w:r>
      <w:r w:rsidR="00A642CA">
        <w:rPr>
          <w:bCs/>
          <w:lang w:val="en-GB"/>
        </w:rPr>
        <w:t>108, paragraph 4</w:t>
      </w:r>
      <w:r w:rsidR="00E5326C">
        <w:rPr>
          <w:bCs/>
          <w:lang w:val="en-GB"/>
        </w:rPr>
        <w:t>,</w:t>
      </w:r>
      <w:r w:rsidR="00A642CA">
        <w:rPr>
          <w:bCs/>
          <w:lang w:val="en-GB"/>
        </w:rPr>
        <w:t xml:space="preserve"> of the Code.</w:t>
      </w:r>
      <w:r w:rsidR="00FB6456">
        <w:rPr>
          <w:bCs/>
          <w:lang w:val="en-GB"/>
        </w:rPr>
        <w:t xml:space="preserve"> The author maintains that</w:t>
      </w:r>
      <w:r w:rsidR="00E5326C">
        <w:rPr>
          <w:bCs/>
          <w:lang w:val="en-GB"/>
        </w:rPr>
        <w:t>,</w:t>
      </w:r>
      <w:r w:rsidR="00FB6456">
        <w:rPr>
          <w:bCs/>
          <w:lang w:val="en-GB"/>
        </w:rPr>
        <w:t xml:space="preserve"> since the initial ruling was unlawful</w:t>
      </w:r>
      <w:r w:rsidR="00E5326C">
        <w:rPr>
          <w:bCs/>
          <w:lang w:val="en-GB"/>
        </w:rPr>
        <w:t>,</w:t>
      </w:r>
      <w:r w:rsidR="00FB6456">
        <w:rPr>
          <w:bCs/>
          <w:lang w:val="en-GB"/>
        </w:rPr>
        <w:t xml:space="preserve"> the subsequent extensions of the detention on remand were also unlawful. He further points out that the repeated appeals against the decisions to extend the detention were unsuccessful and maintains that </w:t>
      </w:r>
      <w:r w:rsidR="004B48F6">
        <w:rPr>
          <w:bCs/>
          <w:lang w:val="en-GB"/>
        </w:rPr>
        <w:t>the above shows</w:t>
      </w:r>
      <w:r w:rsidR="00FB6456">
        <w:rPr>
          <w:bCs/>
          <w:lang w:val="en-GB"/>
        </w:rPr>
        <w:t xml:space="preserve"> that the appeals mechanism is not an effective remedy.</w:t>
      </w:r>
    </w:p>
    <w:p w:rsidR="006E6139" w:rsidRDefault="00FB6456" w:rsidP="008A342E">
      <w:pPr>
        <w:pStyle w:val="SingleTxtG"/>
        <w:rPr>
          <w:bCs/>
          <w:lang w:val="en"/>
        </w:rPr>
      </w:pPr>
      <w:r>
        <w:rPr>
          <w:bCs/>
          <w:lang w:val="en-GB"/>
        </w:rPr>
        <w:t>6.3</w:t>
      </w:r>
      <w:r>
        <w:rPr>
          <w:bCs/>
          <w:lang w:val="en-GB"/>
        </w:rPr>
        <w:tab/>
        <w:t xml:space="preserve">The </w:t>
      </w:r>
      <w:r w:rsidR="00A61B43">
        <w:rPr>
          <w:bCs/>
          <w:lang w:val="en-GB"/>
        </w:rPr>
        <w:t>author</w:t>
      </w:r>
      <w:r>
        <w:rPr>
          <w:bCs/>
          <w:lang w:val="en-GB"/>
        </w:rPr>
        <w:t xml:space="preserve"> submits that the refusal to fully investigate the consequences of </w:t>
      </w:r>
      <w:r w:rsidR="004B48F6">
        <w:rPr>
          <w:bCs/>
          <w:lang w:val="en-GB"/>
        </w:rPr>
        <w:t>the author’s</w:t>
      </w:r>
      <w:r>
        <w:rPr>
          <w:bCs/>
          <w:lang w:val="en-GB"/>
        </w:rPr>
        <w:t xml:space="preserve"> forced return to his country of origin in the framework of the refugee status determination procedure, during which he claimed that there is a real risk for his life and health because he could be subjected to torture or ill-treatment upon return, violated </w:t>
      </w:r>
      <w:r w:rsidR="004E0D75">
        <w:rPr>
          <w:bCs/>
          <w:lang w:val="en-GB"/>
        </w:rPr>
        <w:t>article </w:t>
      </w:r>
      <w:r>
        <w:rPr>
          <w:bCs/>
          <w:lang w:val="en-GB"/>
        </w:rPr>
        <w:t xml:space="preserve">7 of the Covenant. </w:t>
      </w:r>
      <w:r w:rsidR="006E6139">
        <w:rPr>
          <w:bCs/>
          <w:lang w:val="en-GB"/>
        </w:rPr>
        <w:t xml:space="preserve">The </w:t>
      </w:r>
      <w:r w:rsidR="00A61B43">
        <w:rPr>
          <w:bCs/>
          <w:lang w:val="en-GB"/>
        </w:rPr>
        <w:t>author</w:t>
      </w:r>
      <w:r w:rsidR="006E6139">
        <w:rPr>
          <w:bCs/>
          <w:lang w:val="en-GB"/>
        </w:rPr>
        <w:t xml:space="preserve"> refers to</w:t>
      </w:r>
      <w:r>
        <w:rPr>
          <w:bCs/>
          <w:lang w:val="en-GB"/>
        </w:rPr>
        <w:t xml:space="preserve"> </w:t>
      </w:r>
      <w:r w:rsidR="004E0D75">
        <w:rPr>
          <w:bCs/>
          <w:lang w:val="en-GB"/>
        </w:rPr>
        <w:t>article </w:t>
      </w:r>
      <w:r>
        <w:rPr>
          <w:bCs/>
          <w:lang w:val="en-GB"/>
        </w:rPr>
        <w:t>10</w:t>
      </w:r>
      <w:r w:rsidR="006E6139">
        <w:rPr>
          <w:bCs/>
          <w:lang w:val="en-GB"/>
        </w:rPr>
        <w:t>, paragraph 1</w:t>
      </w:r>
      <w:r w:rsidR="00E5326C">
        <w:rPr>
          <w:bCs/>
          <w:lang w:val="en-GB"/>
        </w:rPr>
        <w:t>,</w:t>
      </w:r>
      <w:r w:rsidR="006E6139">
        <w:rPr>
          <w:bCs/>
          <w:lang w:val="en-GB"/>
        </w:rPr>
        <w:t xml:space="preserve"> </w:t>
      </w:r>
      <w:r>
        <w:rPr>
          <w:bCs/>
          <w:lang w:val="en-GB"/>
        </w:rPr>
        <w:t xml:space="preserve">of the Federal </w:t>
      </w:r>
      <w:r w:rsidR="00E5326C">
        <w:rPr>
          <w:bCs/>
          <w:lang w:val="en-GB"/>
        </w:rPr>
        <w:t>Refugees Act</w:t>
      </w:r>
      <w:r>
        <w:rPr>
          <w:bCs/>
          <w:lang w:val="en-GB"/>
        </w:rPr>
        <w:t xml:space="preserve">, </w:t>
      </w:r>
      <w:r w:rsidR="006E6139">
        <w:rPr>
          <w:bCs/>
          <w:lang w:val="en-GB"/>
        </w:rPr>
        <w:t>according to which “</w:t>
      </w:r>
      <w:r w:rsidR="00E5326C">
        <w:rPr>
          <w:bCs/>
          <w:lang w:val="en"/>
        </w:rPr>
        <w:t>a</w:t>
      </w:r>
      <w:r w:rsidR="006E6139" w:rsidRPr="006E6139">
        <w:rPr>
          <w:bCs/>
          <w:lang w:val="en"/>
        </w:rPr>
        <w:t xml:space="preserve"> person who applies for recognition as a refugee or who has been recognized as a refugee, or has lost the status of a refugee, or has been deprived of the status of a refugee, may not be returned against his will to the territory of the State of his nationality or his former usual residence</w:t>
      </w:r>
      <w:r w:rsidR="006E6139">
        <w:rPr>
          <w:bCs/>
          <w:lang w:val="en"/>
        </w:rPr>
        <w:t xml:space="preserve">” if he corresponds to the definition of a refugee provided in </w:t>
      </w:r>
      <w:r w:rsidR="004E0D75">
        <w:rPr>
          <w:bCs/>
          <w:lang w:val="en"/>
        </w:rPr>
        <w:t>article </w:t>
      </w:r>
      <w:r w:rsidR="006E6139">
        <w:rPr>
          <w:bCs/>
          <w:lang w:val="en"/>
        </w:rPr>
        <w:t xml:space="preserve">1 of the </w:t>
      </w:r>
      <w:r w:rsidR="00E5326C">
        <w:rPr>
          <w:bCs/>
          <w:lang w:val="en"/>
        </w:rPr>
        <w:t>Act</w:t>
      </w:r>
      <w:r w:rsidR="006E6139">
        <w:rPr>
          <w:bCs/>
          <w:lang w:val="en"/>
        </w:rPr>
        <w:t xml:space="preserve">. </w:t>
      </w:r>
      <w:r w:rsidR="00A61B43">
        <w:rPr>
          <w:bCs/>
          <w:lang w:val="en"/>
        </w:rPr>
        <w:t>H</w:t>
      </w:r>
      <w:r w:rsidR="004B48F6">
        <w:rPr>
          <w:bCs/>
          <w:lang w:val="en"/>
        </w:rPr>
        <w:t>e</w:t>
      </w:r>
      <w:r w:rsidR="006E6139">
        <w:rPr>
          <w:bCs/>
          <w:lang w:val="en"/>
        </w:rPr>
        <w:t xml:space="preserve"> further refers to </w:t>
      </w:r>
      <w:r w:rsidR="004E0D75">
        <w:rPr>
          <w:bCs/>
          <w:lang w:val="en"/>
        </w:rPr>
        <w:t>article </w:t>
      </w:r>
      <w:r w:rsidR="006E6139">
        <w:rPr>
          <w:bCs/>
          <w:lang w:val="en"/>
        </w:rPr>
        <w:t>10, paragraph 4</w:t>
      </w:r>
      <w:r w:rsidR="00E5326C">
        <w:rPr>
          <w:bCs/>
          <w:lang w:val="en"/>
        </w:rPr>
        <w:t>,</w:t>
      </w:r>
      <w:r w:rsidR="006E6139">
        <w:rPr>
          <w:bCs/>
          <w:lang w:val="en"/>
        </w:rPr>
        <w:t xml:space="preserve"> of the </w:t>
      </w:r>
      <w:r w:rsidR="00E5326C">
        <w:rPr>
          <w:bCs/>
          <w:lang w:val="en"/>
        </w:rPr>
        <w:t>Act</w:t>
      </w:r>
      <w:r w:rsidR="006E6139">
        <w:rPr>
          <w:bCs/>
          <w:lang w:val="en"/>
        </w:rPr>
        <w:t xml:space="preserve"> and to a ruling of the Constitutional Court</w:t>
      </w:r>
      <w:r w:rsidR="006E6139" w:rsidRPr="00ED6399">
        <w:rPr>
          <w:rStyle w:val="FootnoteReference"/>
        </w:rPr>
        <w:footnoteReference w:id="9"/>
      </w:r>
      <w:r w:rsidR="006E6139">
        <w:rPr>
          <w:bCs/>
          <w:lang w:val="en"/>
        </w:rPr>
        <w:t xml:space="preserve"> stat</w:t>
      </w:r>
      <w:r w:rsidR="008A342E">
        <w:rPr>
          <w:bCs/>
          <w:lang w:val="en"/>
        </w:rPr>
        <w:t>ing</w:t>
      </w:r>
      <w:r w:rsidR="006E6139">
        <w:rPr>
          <w:bCs/>
          <w:lang w:val="en"/>
        </w:rPr>
        <w:t xml:space="preserve"> that the application of an individual for refugee status or asylum should lead to suspension of extradition proceedings until a final decision is taken on the issue of refugee status or asylum. The </w:t>
      </w:r>
      <w:r w:rsidR="00A61B43">
        <w:rPr>
          <w:bCs/>
          <w:lang w:val="en"/>
        </w:rPr>
        <w:t>author</w:t>
      </w:r>
      <w:r w:rsidR="006E6139">
        <w:rPr>
          <w:bCs/>
          <w:lang w:val="en"/>
        </w:rPr>
        <w:t xml:space="preserve"> submits, however, that </w:t>
      </w:r>
      <w:r w:rsidR="006C26EB">
        <w:rPr>
          <w:bCs/>
          <w:lang w:val="en"/>
        </w:rPr>
        <w:t xml:space="preserve">the </w:t>
      </w:r>
      <w:r w:rsidR="00E5326C">
        <w:rPr>
          <w:bCs/>
          <w:lang w:val="en"/>
        </w:rPr>
        <w:t xml:space="preserve">Procurator’s </w:t>
      </w:r>
      <w:r w:rsidR="006C26EB">
        <w:rPr>
          <w:bCs/>
          <w:lang w:val="en"/>
        </w:rPr>
        <w:t xml:space="preserve">Office issued an order for his deportation on 24 March 2012, before the deadline for appeal against the negative decision of the Federal Migration Service had expired. </w:t>
      </w:r>
      <w:r w:rsidR="00A61B43">
        <w:rPr>
          <w:bCs/>
          <w:lang w:val="en"/>
        </w:rPr>
        <w:t>H</w:t>
      </w:r>
      <w:r w:rsidR="006C26EB">
        <w:rPr>
          <w:bCs/>
          <w:lang w:val="en"/>
        </w:rPr>
        <w:t>e further points out that the State party had violated the non-refoulement principle in a number of cases</w:t>
      </w:r>
      <w:r w:rsidR="006C26EB" w:rsidRPr="00ED6399">
        <w:rPr>
          <w:rStyle w:val="FootnoteReference"/>
        </w:rPr>
        <w:footnoteReference w:id="10"/>
      </w:r>
      <w:r w:rsidR="004B48F6">
        <w:rPr>
          <w:bCs/>
          <w:lang w:val="en"/>
        </w:rPr>
        <w:t xml:space="preserve"> and</w:t>
      </w:r>
      <w:r w:rsidR="00BC1F84">
        <w:rPr>
          <w:bCs/>
          <w:lang w:val="en"/>
        </w:rPr>
        <w:t xml:space="preserve"> maintains that in practice the judicial </w:t>
      </w:r>
      <w:r w:rsidR="00BC1F84">
        <w:rPr>
          <w:bCs/>
          <w:lang w:val="en"/>
        </w:rPr>
        <w:lastRenderedPageBreak/>
        <w:t>review of the appeal against a decision not to grant refugee status does not have automatic suspensive effect on deportation and extradition proceedings, despite the fact that such suspensive effect is foreseen by the law.</w:t>
      </w:r>
    </w:p>
    <w:p w:rsidR="00D22468" w:rsidRDefault="00BC1F84" w:rsidP="008A342E">
      <w:pPr>
        <w:pStyle w:val="SingleTxtG"/>
        <w:rPr>
          <w:bCs/>
          <w:lang w:val="en"/>
        </w:rPr>
      </w:pPr>
      <w:r>
        <w:rPr>
          <w:bCs/>
          <w:lang w:val="en"/>
        </w:rPr>
        <w:t>6.4</w:t>
      </w:r>
      <w:r>
        <w:rPr>
          <w:bCs/>
          <w:lang w:val="en"/>
        </w:rPr>
        <w:tab/>
        <w:t xml:space="preserve">The </w:t>
      </w:r>
      <w:r w:rsidR="00A61B43">
        <w:rPr>
          <w:bCs/>
          <w:lang w:val="en"/>
        </w:rPr>
        <w:t>author</w:t>
      </w:r>
      <w:r>
        <w:rPr>
          <w:bCs/>
          <w:lang w:val="en"/>
        </w:rPr>
        <w:t xml:space="preserve"> further contest</w:t>
      </w:r>
      <w:r w:rsidR="004B48F6">
        <w:rPr>
          <w:bCs/>
          <w:lang w:val="en"/>
        </w:rPr>
        <w:t>s</w:t>
      </w:r>
      <w:r>
        <w:rPr>
          <w:bCs/>
          <w:lang w:val="en"/>
        </w:rPr>
        <w:t xml:space="preserve"> th</w:t>
      </w:r>
      <w:r w:rsidR="00D22468">
        <w:rPr>
          <w:bCs/>
          <w:lang w:val="en"/>
        </w:rPr>
        <w:t xml:space="preserve">e State party’s submission regarding the absence of information in the Russian courts about his appeal against the refusal to grant him refugee status (see </w:t>
      </w:r>
      <w:r w:rsidR="00D22468" w:rsidRPr="00EB4137">
        <w:rPr>
          <w:bCs/>
          <w:lang w:val="en"/>
        </w:rPr>
        <w:t>para</w:t>
      </w:r>
      <w:r w:rsidR="00EB4137">
        <w:rPr>
          <w:bCs/>
          <w:lang w:val="en"/>
        </w:rPr>
        <w:t>.</w:t>
      </w:r>
      <w:r w:rsidR="00D22468" w:rsidRPr="00EB4137">
        <w:rPr>
          <w:bCs/>
          <w:lang w:val="en"/>
        </w:rPr>
        <w:t xml:space="preserve"> 5.4 above</w:t>
      </w:r>
      <w:r w:rsidR="00D22468">
        <w:rPr>
          <w:bCs/>
          <w:lang w:val="en"/>
        </w:rPr>
        <w:t>). He submits that information regarding the outcome of his appeal</w:t>
      </w:r>
      <w:r w:rsidR="00D22468" w:rsidRPr="00D22468">
        <w:rPr>
          <w:bCs/>
          <w:lang w:val="en"/>
        </w:rPr>
        <w:t xml:space="preserve"> </w:t>
      </w:r>
      <w:r w:rsidR="00642AEC">
        <w:rPr>
          <w:bCs/>
          <w:lang w:val="en"/>
        </w:rPr>
        <w:t>and the text of the decision were</w:t>
      </w:r>
      <w:r w:rsidR="00D22468">
        <w:rPr>
          <w:bCs/>
          <w:lang w:val="en"/>
        </w:rPr>
        <w:t xml:space="preserve"> posted on the web</w:t>
      </w:r>
      <w:r w:rsidR="00132778">
        <w:rPr>
          <w:bCs/>
          <w:lang w:val="en"/>
        </w:rPr>
        <w:t xml:space="preserve"> </w:t>
      </w:r>
      <w:r w:rsidR="00D22468">
        <w:rPr>
          <w:bCs/>
          <w:lang w:val="en"/>
        </w:rPr>
        <w:t>page of the Basman</w:t>
      </w:r>
      <w:r w:rsidR="00A7601E">
        <w:rPr>
          <w:bCs/>
          <w:lang w:val="en"/>
        </w:rPr>
        <w:t>sk</w:t>
      </w:r>
      <w:r w:rsidR="00D22468">
        <w:rPr>
          <w:bCs/>
          <w:lang w:val="en"/>
        </w:rPr>
        <w:t>y District Court</w:t>
      </w:r>
      <w:r w:rsidR="00D22468" w:rsidRPr="00ED6399">
        <w:rPr>
          <w:rStyle w:val="FootnoteReference"/>
        </w:rPr>
        <w:footnoteReference w:id="11"/>
      </w:r>
      <w:r w:rsidR="00D22468">
        <w:rPr>
          <w:bCs/>
          <w:lang w:val="en"/>
        </w:rPr>
        <w:t xml:space="preserve"> </w:t>
      </w:r>
      <w:r w:rsidR="00642AEC">
        <w:rPr>
          <w:bCs/>
          <w:lang w:val="en"/>
        </w:rPr>
        <w:t>and the decision of the Moscow City Court following the appeal of that decision were posted on the website of that court.</w:t>
      </w:r>
      <w:r w:rsidR="00642AEC" w:rsidRPr="00ED6399">
        <w:rPr>
          <w:rStyle w:val="FootnoteReference"/>
        </w:rPr>
        <w:footnoteReference w:id="12"/>
      </w:r>
    </w:p>
    <w:p w:rsidR="00A63AA4" w:rsidRDefault="00D43E03" w:rsidP="008A342E">
      <w:pPr>
        <w:pStyle w:val="SingleTxtG"/>
        <w:rPr>
          <w:rStyle w:val="sb8d990e2"/>
          <w:lang w:val="en-GB"/>
        </w:rPr>
      </w:pPr>
      <w:r>
        <w:rPr>
          <w:bCs/>
          <w:lang w:val="en"/>
        </w:rPr>
        <w:t>6.5</w:t>
      </w:r>
      <w:r w:rsidR="00A63AA4">
        <w:rPr>
          <w:bCs/>
          <w:lang w:val="en"/>
        </w:rPr>
        <w:tab/>
        <w:t xml:space="preserve">The author further maintains that, both during the extradition proceedings and during the refugee status determination proceedings, he had presented sufficient evidence to confirm his fear that in case of forcible return he would be subjected to torture or other </w:t>
      </w:r>
      <w:r w:rsidR="00132778">
        <w:rPr>
          <w:bCs/>
          <w:lang w:val="en"/>
        </w:rPr>
        <w:t xml:space="preserve">prohibited </w:t>
      </w:r>
      <w:r w:rsidR="00A63AA4">
        <w:rPr>
          <w:bCs/>
          <w:lang w:val="en"/>
        </w:rPr>
        <w:t xml:space="preserve">treatment. He submits that the refugee determination procedure was conducted </w:t>
      </w:r>
      <w:r w:rsidR="00A63AA4" w:rsidRPr="005C5E73">
        <w:rPr>
          <w:bCs/>
          <w:lang w:val="en"/>
        </w:rPr>
        <w:t>pro forma</w:t>
      </w:r>
      <w:r w:rsidR="00A63AA4">
        <w:rPr>
          <w:bCs/>
          <w:lang w:val="en"/>
        </w:rPr>
        <w:t xml:space="preserve"> and </w:t>
      </w:r>
      <w:r w:rsidR="008A342E">
        <w:rPr>
          <w:bCs/>
          <w:lang w:val="en"/>
        </w:rPr>
        <w:t xml:space="preserve">that </w:t>
      </w:r>
      <w:r w:rsidR="00A63AA4">
        <w:rPr>
          <w:bCs/>
          <w:lang w:val="en"/>
        </w:rPr>
        <w:t>during the extradition proceedings his submissions were not examined at all, since</w:t>
      </w:r>
      <w:r w:rsidR="00132778">
        <w:rPr>
          <w:bCs/>
          <w:lang w:val="en"/>
        </w:rPr>
        <w:t>,</w:t>
      </w:r>
      <w:r w:rsidR="00A63AA4">
        <w:rPr>
          <w:bCs/>
          <w:lang w:val="en"/>
        </w:rPr>
        <w:t xml:space="preserve"> in the ruling ordering his extradit</w:t>
      </w:r>
      <w:r w:rsidR="005C39C3">
        <w:rPr>
          <w:bCs/>
          <w:lang w:val="en"/>
        </w:rPr>
        <w:t>ion</w:t>
      </w:r>
      <w:r w:rsidR="00132778">
        <w:rPr>
          <w:bCs/>
          <w:lang w:val="en"/>
        </w:rPr>
        <w:t>,</w:t>
      </w:r>
      <w:r w:rsidR="005C39C3">
        <w:rPr>
          <w:bCs/>
          <w:lang w:val="en"/>
        </w:rPr>
        <w:t xml:space="preserve"> there was no mention of any analysis of the above. The author further refers to the judg</w:t>
      </w:r>
      <w:r w:rsidR="008A342E">
        <w:rPr>
          <w:bCs/>
          <w:lang w:val="en"/>
        </w:rPr>
        <w:t>e</w:t>
      </w:r>
      <w:r w:rsidR="005C39C3">
        <w:rPr>
          <w:bCs/>
          <w:lang w:val="en"/>
        </w:rPr>
        <w:t xml:space="preserve">ment of the European Court in </w:t>
      </w:r>
      <w:r w:rsidR="005C39C3" w:rsidRPr="005D5A0C">
        <w:rPr>
          <w:bCs/>
          <w:i/>
          <w:lang w:val="en"/>
        </w:rPr>
        <w:t>Yakubov v. Russia</w:t>
      </w:r>
      <w:r w:rsidR="005C39C3">
        <w:rPr>
          <w:bCs/>
          <w:lang w:val="en"/>
        </w:rPr>
        <w:t>, where, in a similar case, the European Court had ruled that</w:t>
      </w:r>
      <w:r w:rsidR="00132778">
        <w:rPr>
          <w:bCs/>
          <w:lang w:val="en"/>
        </w:rPr>
        <w:t>,</w:t>
      </w:r>
      <w:r w:rsidR="005C39C3">
        <w:rPr>
          <w:bCs/>
          <w:lang w:val="en"/>
        </w:rPr>
        <w:t xml:space="preserve"> </w:t>
      </w:r>
      <w:r w:rsidR="005C39C3">
        <w:rPr>
          <w:rStyle w:val="sb8d990e2"/>
        </w:rPr>
        <w:t>in holding that the applicant had failed to furnish “indisputable evidence” of the risk of ill-treatment, the R</w:t>
      </w:r>
      <w:r w:rsidR="005C39C3" w:rsidRPr="005C39C3">
        <w:rPr>
          <w:rStyle w:val="sb8d990e2"/>
          <w:lang w:val="en-GB"/>
        </w:rPr>
        <w:t xml:space="preserve">ussian </w:t>
      </w:r>
      <w:r w:rsidR="005C39C3">
        <w:rPr>
          <w:rStyle w:val="sb8d990e2"/>
        </w:rPr>
        <w:t xml:space="preserve">Court </w:t>
      </w:r>
      <w:r w:rsidR="00132778">
        <w:rPr>
          <w:rStyle w:val="sb8d990e2"/>
          <w:lang w:val="en-US"/>
        </w:rPr>
        <w:t>“</w:t>
      </w:r>
      <w:r w:rsidR="005C39C3">
        <w:rPr>
          <w:rStyle w:val="sb8d990e2"/>
        </w:rPr>
        <w:t>had placed on him a disproportionate burden of proving the existence of a future event and had therefore, in practice, deprived him of an opportunity to obtain a meaningful examination of his claim</w:t>
      </w:r>
      <w:r w:rsidR="00132778">
        <w:rPr>
          <w:rStyle w:val="sb8d990e2"/>
          <w:lang w:val="en-GB"/>
        </w:rPr>
        <w:t>”</w:t>
      </w:r>
      <w:r w:rsidR="005C39C3" w:rsidRPr="005C39C3">
        <w:rPr>
          <w:rStyle w:val="sb8d990e2"/>
          <w:lang w:val="en-GB"/>
        </w:rPr>
        <w:t>.</w:t>
      </w:r>
      <w:r w:rsidR="005C39C3" w:rsidRPr="00ED6399">
        <w:rPr>
          <w:rStyle w:val="FootnoteReference"/>
        </w:rPr>
        <w:footnoteReference w:id="13"/>
      </w:r>
    </w:p>
    <w:p w:rsidR="00C07831" w:rsidRPr="005C39C3" w:rsidRDefault="00C07831" w:rsidP="00D43E03">
      <w:pPr>
        <w:pStyle w:val="SingleTxtG"/>
        <w:rPr>
          <w:lang w:val="en-GB"/>
        </w:rPr>
      </w:pPr>
      <w:r>
        <w:rPr>
          <w:rStyle w:val="sb8d990e2"/>
          <w:lang w:val="en-GB"/>
        </w:rPr>
        <w:t>6.6</w:t>
      </w:r>
      <w:r>
        <w:rPr>
          <w:rStyle w:val="sb8d990e2"/>
          <w:lang w:val="en-GB"/>
        </w:rPr>
        <w:tab/>
        <w:t xml:space="preserve">The </w:t>
      </w:r>
      <w:r w:rsidRPr="00D43E03">
        <w:rPr>
          <w:rStyle w:val="sb8d990e2"/>
        </w:rPr>
        <w:t>author</w:t>
      </w:r>
      <w:r>
        <w:rPr>
          <w:rStyle w:val="sb8d990e2"/>
          <w:lang w:val="en-GB"/>
        </w:rPr>
        <w:t xml:space="preserve"> further refers to </w:t>
      </w:r>
      <w:r w:rsidRPr="00437312">
        <w:rPr>
          <w:rStyle w:val="sb8d990e2"/>
          <w:lang w:val="en-GB"/>
        </w:rPr>
        <w:t xml:space="preserve">the </w:t>
      </w:r>
      <w:r w:rsidR="00437312">
        <w:rPr>
          <w:rStyle w:val="sb8d990e2"/>
          <w:lang w:val="en-GB"/>
        </w:rPr>
        <w:t xml:space="preserve">2012 </w:t>
      </w:r>
      <w:r w:rsidR="00132778">
        <w:rPr>
          <w:lang w:val="en-GB"/>
        </w:rPr>
        <w:t>r</w:t>
      </w:r>
      <w:r w:rsidR="00437312" w:rsidRPr="00437312">
        <w:rPr>
          <w:lang w:val="en-GB"/>
        </w:rPr>
        <w:t>eport of the Special Rapporteur on torture and other cruel, inhuman or degrading treatment or punishment</w:t>
      </w:r>
      <w:r w:rsidR="00437312">
        <w:rPr>
          <w:lang w:val="en-GB"/>
        </w:rPr>
        <w:t xml:space="preserve"> </w:t>
      </w:r>
      <w:r w:rsidR="00132778">
        <w:rPr>
          <w:lang w:val="en-GB"/>
        </w:rPr>
        <w:t xml:space="preserve">on </w:t>
      </w:r>
      <w:r w:rsidR="00437312">
        <w:rPr>
          <w:lang w:val="en-GB"/>
        </w:rPr>
        <w:t xml:space="preserve">his mission to </w:t>
      </w:r>
      <w:r w:rsidR="00437312" w:rsidRPr="00437312">
        <w:rPr>
          <w:lang w:val="en-GB"/>
        </w:rPr>
        <w:t>Kyrgyzstan</w:t>
      </w:r>
      <w:r w:rsidR="007177E1">
        <w:rPr>
          <w:lang w:val="en-GB"/>
        </w:rPr>
        <w:t xml:space="preserve"> (</w:t>
      </w:r>
      <w:r w:rsidR="008A342E">
        <w:rPr>
          <w:lang w:val="en-GB"/>
        </w:rPr>
        <w:t xml:space="preserve">see </w:t>
      </w:r>
      <w:r w:rsidR="007177E1" w:rsidRPr="00EB4137">
        <w:t>A/HRC/19/61/Add.2, paras. 27</w:t>
      </w:r>
      <w:r w:rsidR="007177E1" w:rsidRPr="00EB4137">
        <w:rPr>
          <w:lang w:val="en-US"/>
        </w:rPr>
        <w:t>–</w:t>
      </w:r>
      <w:r w:rsidR="007177E1" w:rsidRPr="00EB4137">
        <w:t>29, 46</w:t>
      </w:r>
      <w:r w:rsidR="007177E1" w:rsidRPr="00EB4137">
        <w:rPr>
          <w:lang w:val="en-US"/>
        </w:rPr>
        <w:t>–</w:t>
      </w:r>
      <w:r w:rsidR="007177E1" w:rsidRPr="00EB4137">
        <w:t>47, 55 and 79</w:t>
      </w:r>
      <w:r w:rsidR="007177E1">
        <w:rPr>
          <w:lang w:val="en-US"/>
        </w:rPr>
        <w:t>)</w:t>
      </w:r>
      <w:r w:rsidR="00D43E03">
        <w:rPr>
          <w:lang w:val="en-GB"/>
        </w:rPr>
        <w:t>,</w:t>
      </w:r>
      <w:r w:rsidR="00437312">
        <w:rPr>
          <w:lang w:val="en-GB"/>
        </w:rPr>
        <w:t xml:space="preserve"> and maintains that in Kyrgyzstan there </w:t>
      </w:r>
      <w:r w:rsidR="00A7601E">
        <w:rPr>
          <w:lang w:val="en-GB"/>
        </w:rPr>
        <w:t>i</w:t>
      </w:r>
      <w:r w:rsidR="00437312">
        <w:rPr>
          <w:lang w:val="en-GB"/>
        </w:rPr>
        <w:t xml:space="preserve">s no effective system for </w:t>
      </w:r>
      <w:r w:rsidR="008A342E">
        <w:rPr>
          <w:lang w:val="en-GB"/>
        </w:rPr>
        <w:t xml:space="preserve">ensuring </w:t>
      </w:r>
      <w:r w:rsidR="00437312">
        <w:rPr>
          <w:lang w:val="en-GB"/>
        </w:rPr>
        <w:t>protection against torture, no investigations of torture allegations ever take place and perpetrators enjoy impunity. Therefore</w:t>
      </w:r>
      <w:r w:rsidR="00132778">
        <w:rPr>
          <w:lang w:val="en-GB"/>
        </w:rPr>
        <w:t>,</w:t>
      </w:r>
      <w:r w:rsidR="00437312">
        <w:rPr>
          <w:lang w:val="en-GB"/>
        </w:rPr>
        <w:t xml:space="preserve"> he maintains that there are no grounds to expect that the requirements of the Covenant will be respected </w:t>
      </w:r>
      <w:r w:rsidR="00132778">
        <w:rPr>
          <w:lang w:val="en-GB"/>
        </w:rPr>
        <w:t>in his case</w:t>
      </w:r>
      <w:r w:rsidR="00437312">
        <w:rPr>
          <w:lang w:val="en-GB"/>
        </w:rPr>
        <w:t>.</w:t>
      </w:r>
    </w:p>
    <w:p w:rsidR="00801DCF" w:rsidRDefault="00161401" w:rsidP="00161401">
      <w:pPr>
        <w:pStyle w:val="H23G"/>
      </w:pPr>
      <w:r>
        <w:tab/>
      </w:r>
      <w:r>
        <w:tab/>
      </w:r>
      <w:r w:rsidR="00801DCF" w:rsidRPr="00801DCF">
        <w:t>State party’s further observations on the admissibility and merits</w:t>
      </w:r>
    </w:p>
    <w:p w:rsidR="00301821" w:rsidRDefault="002B3D61" w:rsidP="00081D5B">
      <w:pPr>
        <w:pStyle w:val="SingleTxtG"/>
        <w:rPr>
          <w:bCs/>
          <w:lang w:val="en-GB"/>
        </w:rPr>
      </w:pPr>
      <w:r>
        <w:rPr>
          <w:bCs/>
          <w:lang w:val="en-GB"/>
        </w:rPr>
        <w:t>7.1</w:t>
      </w:r>
      <w:r>
        <w:rPr>
          <w:bCs/>
          <w:lang w:val="en-GB"/>
        </w:rPr>
        <w:tab/>
        <w:t xml:space="preserve">On 6 June and 16 July 2014, the State party </w:t>
      </w:r>
      <w:r w:rsidR="00E40E4A">
        <w:rPr>
          <w:bCs/>
          <w:lang w:val="en-GB"/>
        </w:rPr>
        <w:t>submits that</w:t>
      </w:r>
      <w:r w:rsidR="00132778">
        <w:rPr>
          <w:bCs/>
          <w:lang w:val="en-GB"/>
        </w:rPr>
        <w:t>,</w:t>
      </w:r>
      <w:r w:rsidR="00E40E4A">
        <w:rPr>
          <w:bCs/>
          <w:lang w:val="en-GB"/>
        </w:rPr>
        <w:t xml:space="preserve"> </w:t>
      </w:r>
      <w:r w:rsidR="00A7601E">
        <w:rPr>
          <w:bCs/>
          <w:lang w:val="en-GB"/>
        </w:rPr>
        <w:t>on 4 October 2011</w:t>
      </w:r>
      <w:r w:rsidR="00132778">
        <w:rPr>
          <w:bCs/>
          <w:lang w:val="en-GB"/>
        </w:rPr>
        <w:t>,</w:t>
      </w:r>
      <w:r w:rsidR="00A7601E">
        <w:rPr>
          <w:bCs/>
          <w:lang w:val="en-GB"/>
        </w:rPr>
        <w:t xml:space="preserve"> the Office</w:t>
      </w:r>
      <w:r w:rsidR="00132778">
        <w:rPr>
          <w:bCs/>
          <w:lang w:val="en-GB"/>
        </w:rPr>
        <w:t xml:space="preserve"> of Procurator General</w:t>
      </w:r>
      <w:r w:rsidR="00A7601E">
        <w:rPr>
          <w:bCs/>
          <w:lang w:val="en-GB"/>
        </w:rPr>
        <w:t xml:space="preserve"> of the Russian Federation received from the Office</w:t>
      </w:r>
      <w:r w:rsidR="00132778">
        <w:rPr>
          <w:bCs/>
          <w:lang w:val="en-GB"/>
        </w:rPr>
        <w:t xml:space="preserve"> of the Procurator General</w:t>
      </w:r>
      <w:r w:rsidR="00A7601E">
        <w:rPr>
          <w:bCs/>
          <w:lang w:val="en-GB"/>
        </w:rPr>
        <w:t xml:space="preserve"> of Kyrgyzstan an extradition request for the author dated 29 September 2011. The State party details the criminal charges listed in the extradition request. It further submits that the author was arrested on 14 September 2011 on</w:t>
      </w:r>
      <w:r w:rsidR="00081D5B">
        <w:rPr>
          <w:bCs/>
          <w:lang w:val="en-GB"/>
        </w:rPr>
        <w:t xml:space="preserve"> the basis of</w:t>
      </w:r>
      <w:r w:rsidR="00A7601E">
        <w:rPr>
          <w:bCs/>
          <w:lang w:val="en-GB"/>
        </w:rPr>
        <w:t xml:space="preserve"> an inter-</w:t>
      </w:r>
      <w:r w:rsidR="007177E1">
        <w:rPr>
          <w:bCs/>
          <w:lang w:val="en-GB"/>
        </w:rPr>
        <w:t>S</w:t>
      </w:r>
      <w:r w:rsidR="00A7601E">
        <w:rPr>
          <w:bCs/>
          <w:lang w:val="en-GB"/>
        </w:rPr>
        <w:t xml:space="preserve">tate arrest warrant </w:t>
      </w:r>
      <w:r w:rsidR="007177E1">
        <w:rPr>
          <w:bCs/>
          <w:lang w:val="en-GB"/>
        </w:rPr>
        <w:t xml:space="preserve">issued </w:t>
      </w:r>
      <w:r w:rsidR="00A7601E">
        <w:rPr>
          <w:bCs/>
          <w:lang w:val="en-GB"/>
        </w:rPr>
        <w:t xml:space="preserve">by Kyrgyzstan. Upon </w:t>
      </w:r>
      <w:r w:rsidR="00081D5B">
        <w:rPr>
          <w:bCs/>
          <w:lang w:val="en-GB"/>
        </w:rPr>
        <w:t xml:space="preserve">being </w:t>
      </w:r>
      <w:r w:rsidR="00A7601E">
        <w:rPr>
          <w:bCs/>
          <w:lang w:val="en-GB"/>
        </w:rPr>
        <w:t>arrest</w:t>
      </w:r>
      <w:r w:rsidR="00081D5B">
        <w:rPr>
          <w:bCs/>
          <w:lang w:val="en-GB"/>
        </w:rPr>
        <w:t>ed</w:t>
      </w:r>
      <w:r w:rsidR="007177E1">
        <w:rPr>
          <w:bCs/>
          <w:lang w:val="en-GB"/>
        </w:rPr>
        <w:t>,</w:t>
      </w:r>
      <w:r w:rsidR="00A7601E">
        <w:rPr>
          <w:bCs/>
          <w:lang w:val="en-GB"/>
        </w:rPr>
        <w:t xml:space="preserve"> he was advised of his rights. During the initial interrogation</w:t>
      </w:r>
      <w:r w:rsidR="007177E1">
        <w:rPr>
          <w:bCs/>
          <w:lang w:val="en-GB"/>
        </w:rPr>
        <w:t>,</w:t>
      </w:r>
      <w:r w:rsidR="00A7601E">
        <w:rPr>
          <w:bCs/>
          <w:lang w:val="en-GB"/>
        </w:rPr>
        <w:t xml:space="preserve"> the author stated that he </w:t>
      </w:r>
      <w:r w:rsidR="00081D5B">
        <w:rPr>
          <w:bCs/>
          <w:lang w:val="en-GB"/>
        </w:rPr>
        <w:t xml:space="preserve">was </w:t>
      </w:r>
      <w:r w:rsidR="00A7601E">
        <w:rPr>
          <w:bCs/>
          <w:lang w:val="en-GB"/>
        </w:rPr>
        <w:t xml:space="preserve">wanted by the Kyrgyz authorities on criminal charges and </w:t>
      </w:r>
      <w:r w:rsidR="00081D5B">
        <w:rPr>
          <w:bCs/>
          <w:lang w:val="en-GB"/>
        </w:rPr>
        <w:t>was</w:t>
      </w:r>
      <w:r w:rsidR="00A7601E">
        <w:rPr>
          <w:bCs/>
          <w:lang w:val="en-GB"/>
        </w:rPr>
        <w:t xml:space="preserve"> not subjected to persecution related to political </w:t>
      </w:r>
      <w:r w:rsidR="00A7601E">
        <w:rPr>
          <w:bCs/>
          <w:lang w:val="en-GB"/>
        </w:rPr>
        <w:lastRenderedPageBreak/>
        <w:t xml:space="preserve">views. </w:t>
      </w:r>
      <w:r w:rsidR="00D3661C">
        <w:rPr>
          <w:bCs/>
          <w:lang w:val="en-GB"/>
        </w:rPr>
        <w:t>Following the arrest of the author</w:t>
      </w:r>
      <w:r w:rsidR="00C001EA">
        <w:rPr>
          <w:bCs/>
          <w:lang w:val="en-GB"/>
        </w:rPr>
        <w:t>,</w:t>
      </w:r>
      <w:r w:rsidR="00D3661C">
        <w:rPr>
          <w:bCs/>
          <w:lang w:val="en-GB"/>
        </w:rPr>
        <w:t xml:space="preserve"> Kyrgyzstan confirmed its intention to request extradition and transmitted a detention order for the author, issued on 16 August 2011 by the </w:t>
      </w:r>
      <w:r w:rsidR="00D3661C" w:rsidRPr="00EB4137">
        <w:rPr>
          <w:lang w:val="en-US"/>
        </w:rPr>
        <w:t>Ysyk</w:t>
      </w:r>
      <w:r w:rsidR="00EB4137">
        <w:rPr>
          <w:lang w:val="en-US"/>
        </w:rPr>
        <w:t>-A</w:t>
      </w:r>
      <w:r w:rsidR="00D3661C" w:rsidRPr="00EB4137">
        <w:rPr>
          <w:lang w:val="en-US"/>
        </w:rPr>
        <w:t>t</w:t>
      </w:r>
      <w:r w:rsidR="00EB4137">
        <w:rPr>
          <w:lang w:val="en-US"/>
        </w:rPr>
        <w:t>a</w:t>
      </w:r>
      <w:r w:rsidR="00D3661C" w:rsidRPr="00EB4137">
        <w:rPr>
          <w:lang w:val="en-US"/>
        </w:rPr>
        <w:t xml:space="preserve"> District Court</w:t>
      </w:r>
      <w:r w:rsidR="00C001EA">
        <w:rPr>
          <w:lang w:val="en-US"/>
        </w:rPr>
        <w:t>,</w:t>
      </w:r>
      <w:r w:rsidR="001D506D">
        <w:rPr>
          <w:lang w:val="en-US"/>
        </w:rPr>
        <w:t xml:space="preserve"> Kyrgyzstan. On 15 September 2011, the </w:t>
      </w:r>
      <w:r w:rsidR="001D506D">
        <w:rPr>
          <w:bCs/>
          <w:lang w:val="en-GB"/>
        </w:rPr>
        <w:t>But</w:t>
      </w:r>
      <w:r w:rsidR="00EB62DE">
        <w:rPr>
          <w:bCs/>
          <w:lang w:val="en-GB"/>
        </w:rPr>
        <w:t>y</w:t>
      </w:r>
      <w:r w:rsidR="001D506D">
        <w:rPr>
          <w:bCs/>
          <w:lang w:val="en-GB"/>
        </w:rPr>
        <w:t xml:space="preserve">rsky Interregional </w:t>
      </w:r>
      <w:r w:rsidR="00C001EA">
        <w:rPr>
          <w:bCs/>
          <w:lang w:val="en-GB"/>
        </w:rPr>
        <w:t xml:space="preserve">Procurator </w:t>
      </w:r>
      <w:r w:rsidR="001D506D">
        <w:rPr>
          <w:bCs/>
          <w:lang w:val="en-GB"/>
        </w:rPr>
        <w:t xml:space="preserve">Office ordered the author’s detention on remand pending extradition. The legal basis for the arrest and detention of the author was </w:t>
      </w:r>
      <w:r w:rsidR="004E0D75">
        <w:rPr>
          <w:bCs/>
          <w:lang w:val="en-GB"/>
        </w:rPr>
        <w:t>article </w:t>
      </w:r>
      <w:r w:rsidR="001D506D">
        <w:rPr>
          <w:bCs/>
          <w:lang w:val="en-GB"/>
        </w:rPr>
        <w:t xml:space="preserve">61 of the </w:t>
      </w:r>
      <w:r w:rsidR="004B460B" w:rsidRPr="004B460B">
        <w:rPr>
          <w:bCs/>
          <w:lang w:val="en"/>
        </w:rPr>
        <w:t>Convention on Legal Assistance and Legal Relations in Civil, Family and Criminal Matters</w:t>
      </w:r>
      <w:r w:rsidR="004B460B">
        <w:rPr>
          <w:bCs/>
          <w:lang w:val="en"/>
        </w:rPr>
        <w:t xml:space="preserve"> and on articles 108 and 466 of the Code</w:t>
      </w:r>
      <w:r w:rsidR="00C001EA">
        <w:rPr>
          <w:bCs/>
          <w:lang w:val="en"/>
        </w:rPr>
        <w:t xml:space="preserve"> of Criminal Procedure</w:t>
      </w:r>
      <w:r w:rsidR="004B460B">
        <w:rPr>
          <w:bCs/>
          <w:lang w:val="en"/>
        </w:rPr>
        <w:t xml:space="preserve">. Upon </w:t>
      </w:r>
      <w:r w:rsidR="00081D5B">
        <w:rPr>
          <w:bCs/>
          <w:lang w:val="en"/>
        </w:rPr>
        <w:t xml:space="preserve">being </w:t>
      </w:r>
      <w:r w:rsidR="004B460B">
        <w:rPr>
          <w:bCs/>
          <w:lang w:val="en"/>
        </w:rPr>
        <w:t>arrest</w:t>
      </w:r>
      <w:r w:rsidR="00081D5B">
        <w:rPr>
          <w:bCs/>
          <w:lang w:val="en"/>
        </w:rPr>
        <w:t>ed</w:t>
      </w:r>
      <w:r w:rsidR="00C001EA">
        <w:rPr>
          <w:bCs/>
          <w:lang w:val="en"/>
        </w:rPr>
        <w:t>,</w:t>
      </w:r>
      <w:r w:rsidR="004B460B">
        <w:rPr>
          <w:bCs/>
          <w:lang w:val="en"/>
        </w:rPr>
        <w:t xml:space="preserve"> the author was notified of his rights, including his right under </w:t>
      </w:r>
      <w:r w:rsidR="004E0D75">
        <w:rPr>
          <w:bCs/>
          <w:lang w:val="en"/>
        </w:rPr>
        <w:t>article </w:t>
      </w:r>
      <w:r w:rsidR="004B460B">
        <w:rPr>
          <w:bCs/>
          <w:lang w:val="en"/>
        </w:rPr>
        <w:t>46 of the Code</w:t>
      </w:r>
      <w:r w:rsidR="00C001EA">
        <w:rPr>
          <w:bCs/>
          <w:lang w:val="en"/>
        </w:rPr>
        <w:t xml:space="preserve"> </w:t>
      </w:r>
      <w:r w:rsidR="004B460B" w:rsidRPr="004B460B">
        <w:rPr>
          <w:bCs/>
          <w:lang w:val="en-GB"/>
        </w:rPr>
        <w:t xml:space="preserve">to lodge complaints against the actions </w:t>
      </w:r>
      <w:r w:rsidR="004B460B">
        <w:rPr>
          <w:bCs/>
          <w:lang w:val="en-GB"/>
        </w:rPr>
        <w:t xml:space="preserve">or </w:t>
      </w:r>
      <w:r w:rsidR="004B460B" w:rsidRPr="004B460B">
        <w:rPr>
          <w:bCs/>
          <w:lang w:val="en-GB"/>
        </w:rPr>
        <w:t>the lack of action and decisions of the court</w:t>
      </w:r>
      <w:r w:rsidR="004B460B">
        <w:rPr>
          <w:bCs/>
          <w:lang w:val="en-GB"/>
        </w:rPr>
        <w:t xml:space="preserve"> and</w:t>
      </w:r>
      <w:r w:rsidR="004B460B" w:rsidRPr="004B460B">
        <w:rPr>
          <w:bCs/>
          <w:lang w:val="en-GB"/>
        </w:rPr>
        <w:t xml:space="preserve"> of the </w:t>
      </w:r>
      <w:r w:rsidR="00C001EA">
        <w:rPr>
          <w:bCs/>
          <w:lang w:val="en-GB"/>
        </w:rPr>
        <w:t>procurator</w:t>
      </w:r>
      <w:r w:rsidR="004B460B">
        <w:rPr>
          <w:bCs/>
          <w:lang w:val="en-GB"/>
        </w:rPr>
        <w:t xml:space="preserve">. </w:t>
      </w:r>
    </w:p>
    <w:p w:rsidR="00D3661C" w:rsidRDefault="00301821" w:rsidP="00081D5B">
      <w:pPr>
        <w:pStyle w:val="SingleTxtG"/>
        <w:rPr>
          <w:bCs/>
          <w:lang w:val="en-GB"/>
        </w:rPr>
      </w:pPr>
      <w:r>
        <w:rPr>
          <w:bCs/>
          <w:lang w:val="en-GB"/>
        </w:rPr>
        <w:t>7.2</w:t>
      </w:r>
      <w:r>
        <w:rPr>
          <w:bCs/>
          <w:lang w:val="en-GB"/>
        </w:rPr>
        <w:tab/>
      </w:r>
      <w:r w:rsidR="004B460B">
        <w:rPr>
          <w:bCs/>
          <w:lang w:val="en-GB"/>
        </w:rPr>
        <w:t xml:space="preserve">The State party submits that, in accordance with </w:t>
      </w:r>
      <w:r w:rsidR="004E0D75">
        <w:rPr>
          <w:bCs/>
          <w:lang w:val="en-GB"/>
        </w:rPr>
        <w:t>article </w:t>
      </w:r>
      <w:r w:rsidR="004B460B">
        <w:rPr>
          <w:bCs/>
          <w:lang w:val="en-GB"/>
        </w:rPr>
        <w:t>125 of the Code</w:t>
      </w:r>
      <w:r w:rsidR="00C001EA">
        <w:rPr>
          <w:bCs/>
          <w:lang w:val="en-GB"/>
        </w:rPr>
        <w:t xml:space="preserve"> of Criminal Procedure</w:t>
      </w:r>
      <w:r w:rsidR="004B460B">
        <w:rPr>
          <w:bCs/>
          <w:lang w:val="en-GB"/>
        </w:rPr>
        <w:t>, the author had the opportunity to appeal before a court the measure of restraint chosen against him, but he did not do so nor did he appeal the extensions of the detention</w:t>
      </w:r>
      <w:r w:rsidR="00E95599">
        <w:rPr>
          <w:bCs/>
          <w:lang w:val="en-GB"/>
        </w:rPr>
        <w:t>.</w:t>
      </w:r>
      <w:r w:rsidR="00E95599" w:rsidRPr="00ED6399">
        <w:rPr>
          <w:rStyle w:val="FootnoteReference"/>
        </w:rPr>
        <w:footnoteReference w:id="14"/>
      </w:r>
      <w:r>
        <w:rPr>
          <w:bCs/>
          <w:lang w:val="en-GB"/>
        </w:rPr>
        <w:t xml:space="preserve"> Under </w:t>
      </w:r>
      <w:r w:rsidR="004E0D75">
        <w:rPr>
          <w:bCs/>
          <w:lang w:val="en-GB"/>
        </w:rPr>
        <w:t>article </w:t>
      </w:r>
      <w:r>
        <w:rPr>
          <w:bCs/>
          <w:lang w:val="en-GB"/>
        </w:rPr>
        <w:t>109 of the Code</w:t>
      </w:r>
      <w:r w:rsidR="00C001EA">
        <w:rPr>
          <w:bCs/>
          <w:lang w:val="en-GB"/>
        </w:rPr>
        <w:t>,</w:t>
      </w:r>
      <w:r>
        <w:rPr>
          <w:bCs/>
          <w:lang w:val="en-GB"/>
        </w:rPr>
        <w:t xml:space="preserve"> the detention of individuals accused of especially</w:t>
      </w:r>
      <w:r w:rsidR="00C001EA">
        <w:rPr>
          <w:bCs/>
          <w:lang w:val="en-GB"/>
        </w:rPr>
        <w:t xml:space="preserve"> serious</w:t>
      </w:r>
      <w:r>
        <w:rPr>
          <w:bCs/>
          <w:lang w:val="en-GB"/>
        </w:rPr>
        <w:t xml:space="preserve"> crimes may not exceed 18 months. The decision to extradite the author was taken by the </w:t>
      </w:r>
      <w:r w:rsidR="00C001EA">
        <w:rPr>
          <w:bCs/>
          <w:lang w:val="en-GB"/>
        </w:rPr>
        <w:t xml:space="preserve">Office of the Procurator </w:t>
      </w:r>
      <w:r>
        <w:rPr>
          <w:bCs/>
          <w:lang w:val="en-GB"/>
        </w:rPr>
        <w:t>General on 29 March 2012, six months and 15</w:t>
      </w:r>
      <w:r w:rsidR="001D1065">
        <w:rPr>
          <w:bCs/>
          <w:lang w:val="en-GB"/>
        </w:rPr>
        <w:t> </w:t>
      </w:r>
      <w:r>
        <w:rPr>
          <w:bCs/>
          <w:lang w:val="en-GB"/>
        </w:rPr>
        <w:t>days after his initial arrest. Of all the decision</w:t>
      </w:r>
      <w:r w:rsidR="004B48F6">
        <w:rPr>
          <w:bCs/>
          <w:lang w:val="en-GB"/>
        </w:rPr>
        <w:t>s</w:t>
      </w:r>
      <w:r>
        <w:rPr>
          <w:bCs/>
          <w:lang w:val="en-GB"/>
        </w:rPr>
        <w:t xml:space="preserve"> to extend the detention, the author appealed only the 7 September 2012 decision of the Moscow City Court to extend the detention up to 18 months. Accordingly, the State party submits that the author’s claims under </w:t>
      </w:r>
      <w:r w:rsidR="004E0D75">
        <w:rPr>
          <w:bCs/>
          <w:lang w:val="en-GB"/>
        </w:rPr>
        <w:t>article </w:t>
      </w:r>
      <w:r>
        <w:rPr>
          <w:bCs/>
          <w:lang w:val="en-GB"/>
        </w:rPr>
        <w:t xml:space="preserve">9 of the Covenant should be declared inadmissible under </w:t>
      </w:r>
      <w:r w:rsidR="004E0D75">
        <w:rPr>
          <w:bCs/>
          <w:lang w:val="en-GB"/>
        </w:rPr>
        <w:t>article </w:t>
      </w:r>
      <w:r>
        <w:rPr>
          <w:bCs/>
          <w:lang w:val="en-GB"/>
        </w:rPr>
        <w:t xml:space="preserve">5 </w:t>
      </w:r>
      <w:r w:rsidR="00105437">
        <w:rPr>
          <w:bCs/>
          <w:lang w:val="en-GB"/>
        </w:rPr>
        <w:t>(</w:t>
      </w:r>
      <w:r>
        <w:rPr>
          <w:bCs/>
          <w:lang w:val="en-GB"/>
        </w:rPr>
        <w:t>2</w:t>
      </w:r>
      <w:r w:rsidR="00105437">
        <w:rPr>
          <w:bCs/>
          <w:lang w:val="en-GB"/>
        </w:rPr>
        <w:t>)</w:t>
      </w:r>
      <w:r>
        <w:rPr>
          <w:bCs/>
          <w:lang w:val="en-GB"/>
        </w:rPr>
        <w:t xml:space="preserve"> (b) of the Optional Protocol for failure to exhaust the domestic remedies. The State party further submits that the </w:t>
      </w:r>
      <w:r w:rsidR="004B515A">
        <w:rPr>
          <w:bCs/>
          <w:lang w:val="en-GB"/>
        </w:rPr>
        <w:t>c</w:t>
      </w:r>
      <w:r w:rsidRPr="004B515A">
        <w:rPr>
          <w:bCs/>
          <w:lang w:val="en-GB"/>
        </w:rPr>
        <w:t xml:space="preserve">riminal </w:t>
      </w:r>
      <w:r w:rsidR="004B515A">
        <w:rPr>
          <w:bCs/>
          <w:lang w:val="en-GB"/>
        </w:rPr>
        <w:t>division</w:t>
      </w:r>
      <w:r w:rsidR="004B515A" w:rsidRPr="004B515A">
        <w:rPr>
          <w:bCs/>
          <w:lang w:val="en-GB"/>
        </w:rPr>
        <w:t xml:space="preserve"> </w:t>
      </w:r>
      <w:r w:rsidRPr="004B515A">
        <w:rPr>
          <w:bCs/>
          <w:lang w:val="en-GB"/>
        </w:rPr>
        <w:t>of the Moscow City Court</w:t>
      </w:r>
      <w:r>
        <w:rPr>
          <w:bCs/>
          <w:lang w:val="en-GB"/>
        </w:rPr>
        <w:t xml:space="preserve"> confirmed the 7 September 2012 decision of the Moscow City Court upon appeal by a ruling of 10 October 2012.</w:t>
      </w:r>
    </w:p>
    <w:p w:rsidR="00FF35E9" w:rsidRDefault="00301821" w:rsidP="00D43E03">
      <w:pPr>
        <w:pStyle w:val="SingleTxtG"/>
        <w:rPr>
          <w:lang w:val="en-GB"/>
        </w:rPr>
      </w:pPr>
      <w:r>
        <w:rPr>
          <w:lang w:val="en-GB"/>
        </w:rPr>
        <w:t>7.3</w:t>
      </w:r>
      <w:r>
        <w:rPr>
          <w:lang w:val="en-GB"/>
        </w:rPr>
        <w:tab/>
        <w:t>The State party also submits that the author appealed the 29 March 2012 decision of the Office</w:t>
      </w:r>
      <w:r w:rsidR="00105437">
        <w:rPr>
          <w:lang w:val="en-GB"/>
        </w:rPr>
        <w:t xml:space="preserve"> of the Procurator General</w:t>
      </w:r>
      <w:r>
        <w:rPr>
          <w:lang w:val="en-GB"/>
        </w:rPr>
        <w:t xml:space="preserve"> to extradite him</w:t>
      </w:r>
      <w:r w:rsidR="00A50C6D">
        <w:rPr>
          <w:lang w:val="en-GB"/>
        </w:rPr>
        <w:t xml:space="preserve"> before the Moscow City Court and that the latter rejected the appeal on 25 June 2012. On 15 August 2012, the </w:t>
      </w:r>
      <w:r w:rsidR="004B515A">
        <w:rPr>
          <w:lang w:val="en-GB"/>
        </w:rPr>
        <w:t>criminal division</w:t>
      </w:r>
      <w:r w:rsidR="00A50C6D" w:rsidRPr="004B515A">
        <w:rPr>
          <w:lang w:val="en-GB"/>
        </w:rPr>
        <w:t xml:space="preserve"> of the Supreme Court</w:t>
      </w:r>
      <w:r w:rsidR="00A50C6D">
        <w:rPr>
          <w:lang w:val="en-GB"/>
        </w:rPr>
        <w:t xml:space="preserve"> confirmed the Moscow City Court decision upon cassation appeal. The State party maintains that the risk that the author will be subjected to torture upon return had been thoroughly assessed by the Office</w:t>
      </w:r>
      <w:r w:rsidR="00626A93">
        <w:rPr>
          <w:lang w:val="en-GB"/>
        </w:rPr>
        <w:t xml:space="preserve"> of the Procurator General</w:t>
      </w:r>
      <w:r w:rsidR="00A50C6D">
        <w:rPr>
          <w:lang w:val="en-GB"/>
        </w:rPr>
        <w:t xml:space="preserve"> prior to ordering his extradition. In order to verify the author’s submission that he had been prosecuted illegally and subjected to torture</w:t>
      </w:r>
      <w:r w:rsidR="00626A93">
        <w:rPr>
          <w:lang w:val="en-GB"/>
        </w:rPr>
        <w:t>,</w:t>
      </w:r>
      <w:r w:rsidR="00A50C6D">
        <w:rPr>
          <w:lang w:val="en-GB"/>
        </w:rPr>
        <w:t xml:space="preserve"> the Office</w:t>
      </w:r>
      <w:r w:rsidR="00626A93">
        <w:rPr>
          <w:lang w:val="en-GB"/>
        </w:rPr>
        <w:t xml:space="preserve"> of the Procurator General</w:t>
      </w:r>
      <w:r w:rsidR="00A50C6D">
        <w:rPr>
          <w:lang w:val="en-GB"/>
        </w:rPr>
        <w:t xml:space="preserve"> requested information from the Office</w:t>
      </w:r>
      <w:r w:rsidR="00626A93">
        <w:rPr>
          <w:lang w:val="en-GB"/>
        </w:rPr>
        <w:t xml:space="preserve"> of the Procurator General</w:t>
      </w:r>
      <w:r w:rsidR="00A50C6D">
        <w:rPr>
          <w:lang w:val="en-GB"/>
        </w:rPr>
        <w:t xml:space="preserve"> of Kyrgyzstan. The State party submits that the author had been subjected to criminal prosecution on three occasions for various crimes and </w:t>
      </w:r>
      <w:r w:rsidR="00AB6FA6">
        <w:rPr>
          <w:lang w:val="en-GB"/>
        </w:rPr>
        <w:t xml:space="preserve">that </w:t>
      </w:r>
      <w:r w:rsidR="00A50C6D">
        <w:rPr>
          <w:lang w:val="en-GB"/>
        </w:rPr>
        <w:t>neither the author no</w:t>
      </w:r>
      <w:r w:rsidR="004B48F6">
        <w:rPr>
          <w:lang w:val="en-GB"/>
        </w:rPr>
        <w:t>r</w:t>
      </w:r>
      <w:r w:rsidR="00A50C6D">
        <w:rPr>
          <w:lang w:val="en-GB"/>
        </w:rPr>
        <w:t xml:space="preserve"> his lawyers had submitted any complaints regarding torture</w:t>
      </w:r>
      <w:r w:rsidR="004B48F6">
        <w:rPr>
          <w:lang w:val="en-GB"/>
        </w:rPr>
        <w:t xml:space="preserve"> in Kyrgyzstan</w:t>
      </w:r>
      <w:r w:rsidR="00B246AD">
        <w:rPr>
          <w:lang w:val="en-GB"/>
        </w:rPr>
        <w:t xml:space="preserve">. The State party further maintains that the author’s claims were </w:t>
      </w:r>
      <w:r w:rsidR="00E34161">
        <w:rPr>
          <w:lang w:val="en-GB"/>
        </w:rPr>
        <w:t xml:space="preserve">thoroughly </w:t>
      </w:r>
      <w:r w:rsidR="00B246AD">
        <w:rPr>
          <w:lang w:val="en-GB"/>
        </w:rPr>
        <w:t xml:space="preserve">verified </w:t>
      </w:r>
      <w:r w:rsidR="00E34161">
        <w:rPr>
          <w:lang w:val="en-GB"/>
        </w:rPr>
        <w:t>by the Federal Migration Service in the course of the refugee</w:t>
      </w:r>
      <w:r w:rsidR="007C15FC">
        <w:rPr>
          <w:lang w:val="en-GB"/>
        </w:rPr>
        <w:t xml:space="preserve"> status determination procedure and that the latter rejected his refugee status application.</w:t>
      </w:r>
      <w:r w:rsidR="00FF35E9">
        <w:rPr>
          <w:lang w:val="en-GB"/>
        </w:rPr>
        <w:t xml:space="preserve"> </w:t>
      </w:r>
    </w:p>
    <w:p w:rsidR="00A50C6D" w:rsidRDefault="00FF35E9" w:rsidP="00081D5B">
      <w:pPr>
        <w:pStyle w:val="SingleTxtG"/>
        <w:rPr>
          <w:lang w:val="en-GB"/>
        </w:rPr>
      </w:pPr>
      <w:r>
        <w:rPr>
          <w:lang w:val="en-GB"/>
        </w:rPr>
        <w:t>7.4</w:t>
      </w:r>
      <w:r>
        <w:rPr>
          <w:lang w:val="en-GB"/>
        </w:rPr>
        <w:tab/>
        <w:t>The State party further submits that</w:t>
      </w:r>
      <w:r w:rsidR="00626A93">
        <w:rPr>
          <w:lang w:val="en-GB"/>
        </w:rPr>
        <w:t>,</w:t>
      </w:r>
      <w:r>
        <w:rPr>
          <w:lang w:val="en-GB"/>
        </w:rPr>
        <w:t xml:space="preserve"> prior to the extradition</w:t>
      </w:r>
      <w:r w:rsidR="00626A93">
        <w:rPr>
          <w:lang w:val="en-GB"/>
        </w:rPr>
        <w:t>,</w:t>
      </w:r>
      <w:r>
        <w:rPr>
          <w:lang w:val="en-GB"/>
        </w:rPr>
        <w:t xml:space="preserve"> the Office</w:t>
      </w:r>
      <w:r w:rsidR="00626A93">
        <w:rPr>
          <w:lang w:val="en-GB"/>
        </w:rPr>
        <w:t xml:space="preserve"> of the Procurator General</w:t>
      </w:r>
      <w:r>
        <w:rPr>
          <w:lang w:val="en-GB"/>
        </w:rPr>
        <w:t xml:space="preserve"> of Kyrgyzstan provided guarantees that the author’s prosecution </w:t>
      </w:r>
      <w:r w:rsidR="00626A93">
        <w:rPr>
          <w:lang w:val="en-GB"/>
        </w:rPr>
        <w:t xml:space="preserve">would </w:t>
      </w:r>
      <w:r>
        <w:rPr>
          <w:lang w:val="en-GB"/>
        </w:rPr>
        <w:t>be conducted in strict compliance with the Code</w:t>
      </w:r>
      <w:r w:rsidR="00626A93">
        <w:rPr>
          <w:lang w:val="en-GB"/>
        </w:rPr>
        <w:t xml:space="preserve"> of Criminal Procedure</w:t>
      </w:r>
      <w:r>
        <w:rPr>
          <w:lang w:val="en-GB"/>
        </w:rPr>
        <w:t xml:space="preserve"> and the international obligations of Kyrgyzstan, that he would not be handed over to a third </w:t>
      </w:r>
      <w:r w:rsidR="00626A93">
        <w:rPr>
          <w:lang w:val="en-GB"/>
        </w:rPr>
        <w:t>S</w:t>
      </w:r>
      <w:r>
        <w:rPr>
          <w:lang w:val="en-GB"/>
        </w:rPr>
        <w:t>tate without the prior agreement of the Russian Federation or tried or convicted for crimes not included in the initial extradition request and</w:t>
      </w:r>
      <w:r w:rsidR="00EA6090">
        <w:rPr>
          <w:lang w:val="en-GB"/>
        </w:rPr>
        <w:t xml:space="preserve"> </w:t>
      </w:r>
      <w:r>
        <w:rPr>
          <w:lang w:val="en-GB"/>
        </w:rPr>
        <w:t>that</w:t>
      </w:r>
      <w:r w:rsidR="00626A93">
        <w:rPr>
          <w:lang w:val="en-GB"/>
        </w:rPr>
        <w:t>,</w:t>
      </w:r>
      <w:r>
        <w:rPr>
          <w:lang w:val="en-GB"/>
        </w:rPr>
        <w:t xml:space="preserve"> after the end of the criminal proceedings and serving his sentence</w:t>
      </w:r>
      <w:r w:rsidR="00626A93">
        <w:rPr>
          <w:lang w:val="en-GB"/>
        </w:rPr>
        <w:t>,</w:t>
      </w:r>
      <w:r>
        <w:rPr>
          <w:lang w:val="en-GB"/>
        </w:rPr>
        <w:t xml:space="preserve"> he would be allowed to freely leave the territory of Kyrgyzstan. The Office</w:t>
      </w:r>
      <w:r w:rsidR="00626A93">
        <w:rPr>
          <w:lang w:val="en-GB"/>
        </w:rPr>
        <w:t xml:space="preserve"> of the Procurator General</w:t>
      </w:r>
      <w:r>
        <w:rPr>
          <w:lang w:val="en-GB"/>
        </w:rPr>
        <w:t xml:space="preserve"> of Kyrgyzstan </w:t>
      </w:r>
      <w:r w:rsidR="00626A93">
        <w:rPr>
          <w:lang w:val="en-GB"/>
        </w:rPr>
        <w:t xml:space="preserve">gave assurances </w:t>
      </w:r>
      <w:r>
        <w:rPr>
          <w:lang w:val="en-GB"/>
        </w:rPr>
        <w:t xml:space="preserve">that the criminal prosecution against the author had no political motivation and was not related to his race or </w:t>
      </w:r>
      <w:r>
        <w:rPr>
          <w:lang w:val="en-GB"/>
        </w:rPr>
        <w:lastRenderedPageBreak/>
        <w:t xml:space="preserve">religion, that he would not be subjected to torture or other cruel or degrading treatment and that his right to defence </w:t>
      </w:r>
      <w:r w:rsidR="00626A93">
        <w:rPr>
          <w:lang w:val="en-GB"/>
        </w:rPr>
        <w:t xml:space="preserve">would </w:t>
      </w:r>
      <w:r>
        <w:rPr>
          <w:lang w:val="en-GB"/>
        </w:rPr>
        <w:t>be ensured.</w:t>
      </w:r>
    </w:p>
    <w:p w:rsidR="00301821" w:rsidRDefault="00FF35E9" w:rsidP="00D3661C">
      <w:pPr>
        <w:pStyle w:val="SingleTxtG"/>
        <w:rPr>
          <w:lang w:val="en-GB"/>
        </w:rPr>
      </w:pPr>
      <w:r>
        <w:rPr>
          <w:lang w:val="en-GB"/>
        </w:rPr>
        <w:t>7.5</w:t>
      </w:r>
      <w:r>
        <w:rPr>
          <w:lang w:val="en-GB"/>
        </w:rPr>
        <w:tab/>
        <w:t>The State party also submits that</w:t>
      </w:r>
      <w:r w:rsidR="00626A93">
        <w:rPr>
          <w:lang w:val="en-GB"/>
        </w:rPr>
        <w:t>,</w:t>
      </w:r>
      <w:r>
        <w:rPr>
          <w:lang w:val="en-GB"/>
        </w:rPr>
        <w:t xml:space="preserve"> after the author’s extradition</w:t>
      </w:r>
      <w:r w:rsidR="00626A93">
        <w:rPr>
          <w:lang w:val="en-GB"/>
        </w:rPr>
        <w:t>,</w:t>
      </w:r>
      <w:r>
        <w:rPr>
          <w:lang w:val="en-GB"/>
        </w:rPr>
        <w:t xml:space="preserve"> </w:t>
      </w:r>
      <w:r w:rsidR="00C42DB4">
        <w:rPr>
          <w:lang w:val="en-GB"/>
        </w:rPr>
        <w:t xml:space="preserve">an </w:t>
      </w:r>
      <w:r>
        <w:rPr>
          <w:lang w:val="en-GB"/>
        </w:rPr>
        <w:t>investigation revealed that he had participated in more crimes and that the Office</w:t>
      </w:r>
      <w:r w:rsidR="00626A93">
        <w:rPr>
          <w:lang w:val="en-GB"/>
        </w:rPr>
        <w:t xml:space="preserve"> of the Procurator General</w:t>
      </w:r>
      <w:r>
        <w:rPr>
          <w:lang w:val="en-GB"/>
        </w:rPr>
        <w:t xml:space="preserve"> of Kyrgyzstan requested and received, on 13 August 2013, the permission</w:t>
      </w:r>
      <w:r w:rsidR="00626A93">
        <w:rPr>
          <w:lang w:val="en-GB"/>
        </w:rPr>
        <w:t xml:space="preserve"> of the Russian Federation</w:t>
      </w:r>
      <w:r>
        <w:rPr>
          <w:lang w:val="en-GB"/>
        </w:rPr>
        <w:t xml:space="preserve"> to bring additional charges against him. </w:t>
      </w:r>
      <w:r w:rsidR="00DE58CB">
        <w:rPr>
          <w:lang w:val="en-GB"/>
        </w:rPr>
        <w:t>The State party notes that the author is accused of common crimes and not of participation in the mass riots that took place in June 2010 and that he is of Kyrgyz ethnicity.</w:t>
      </w:r>
    </w:p>
    <w:p w:rsidR="00DE58CB" w:rsidRDefault="00DE58CB" w:rsidP="00D3661C">
      <w:pPr>
        <w:pStyle w:val="SingleTxtG"/>
        <w:rPr>
          <w:lang w:val="en-US"/>
        </w:rPr>
      </w:pPr>
      <w:r>
        <w:rPr>
          <w:lang w:val="en-GB"/>
        </w:rPr>
        <w:t>7.6</w:t>
      </w:r>
      <w:r>
        <w:rPr>
          <w:lang w:val="en-GB"/>
        </w:rPr>
        <w:tab/>
        <w:t>The State party also submits that the author filed</w:t>
      </w:r>
      <w:r w:rsidR="00626A93">
        <w:rPr>
          <w:lang w:val="en-GB"/>
        </w:rPr>
        <w:t xml:space="preserve"> an</w:t>
      </w:r>
      <w:r>
        <w:rPr>
          <w:lang w:val="en-GB"/>
        </w:rPr>
        <w:t xml:space="preserve"> appeal against the 28 February 2012 decision of </w:t>
      </w:r>
      <w:r w:rsidRPr="002A60A2">
        <w:rPr>
          <w:lang w:val="en-US"/>
        </w:rPr>
        <w:t>the Moscow Department of the Federal Migration Service</w:t>
      </w:r>
      <w:r>
        <w:rPr>
          <w:lang w:val="en-US"/>
        </w:rPr>
        <w:t xml:space="preserve"> almost two months later, on 20 April 2012 and that the appeal against the 8 June 2012 decision of the Federal Migration Service </w:t>
      </w:r>
      <w:r w:rsidR="00286201">
        <w:rPr>
          <w:lang w:val="en-US"/>
        </w:rPr>
        <w:t xml:space="preserve">was filed </w:t>
      </w:r>
      <w:r>
        <w:rPr>
          <w:lang w:val="en-US"/>
        </w:rPr>
        <w:t xml:space="preserve">only on 4 September 2012. The State party maintains that the above </w:t>
      </w:r>
      <w:r w:rsidR="004B48F6">
        <w:rPr>
          <w:lang w:val="en-US"/>
        </w:rPr>
        <w:t>show</w:t>
      </w:r>
      <w:r>
        <w:rPr>
          <w:lang w:val="en-US"/>
        </w:rPr>
        <w:t>s that the author was deliberately extending the duration of the proceedings. The State party also submits that the appeal against the 8 June 2012 decision of the Federal Migration Service was rejected on 19 October 2012 and that the above decision entered into force on 20 November 2012. The author’s lawyer had missed the deadline for appeal of that decision</w:t>
      </w:r>
      <w:r w:rsidR="00BF1510">
        <w:rPr>
          <w:lang w:val="en-US"/>
        </w:rPr>
        <w:t xml:space="preserve"> and</w:t>
      </w:r>
      <w:r>
        <w:rPr>
          <w:lang w:val="en-US"/>
        </w:rPr>
        <w:t xml:space="preserve"> she applied for its restoration</w:t>
      </w:r>
      <w:r w:rsidR="00BF1510">
        <w:rPr>
          <w:lang w:val="en-US"/>
        </w:rPr>
        <w:t>;</w:t>
      </w:r>
      <w:r>
        <w:rPr>
          <w:lang w:val="en-US"/>
        </w:rPr>
        <w:t xml:space="preserve"> her application was granted on 29 November 2012.</w:t>
      </w:r>
      <w:r w:rsidR="00196CC3">
        <w:rPr>
          <w:lang w:val="en-US"/>
        </w:rPr>
        <w:t xml:space="preserve"> The </w:t>
      </w:r>
      <w:r w:rsidR="00BF1510">
        <w:rPr>
          <w:lang w:val="en-US"/>
        </w:rPr>
        <w:t xml:space="preserve">procurator’s </w:t>
      </w:r>
      <w:r w:rsidR="00196CC3">
        <w:rPr>
          <w:lang w:val="en-US"/>
        </w:rPr>
        <w:t>office was not notified of the restoration of the deadline, because it was not a party to those proceedings. Further, on 22 January 2013, the Moscow City Court rejected the appeal against the 19 October 2012 decision.</w:t>
      </w:r>
    </w:p>
    <w:p w:rsidR="00196CC3" w:rsidRDefault="00196CC3" w:rsidP="00D3661C">
      <w:pPr>
        <w:pStyle w:val="SingleTxtG"/>
        <w:rPr>
          <w:lang w:val="en-US"/>
        </w:rPr>
      </w:pPr>
      <w:r>
        <w:rPr>
          <w:lang w:val="en-US"/>
        </w:rPr>
        <w:t>7.7</w:t>
      </w:r>
      <w:r>
        <w:rPr>
          <w:lang w:val="en-US"/>
        </w:rPr>
        <w:tab/>
        <w:t>The State party refers to the European Court’s judg</w:t>
      </w:r>
      <w:r w:rsidR="00081D5B">
        <w:rPr>
          <w:lang w:val="en-US"/>
        </w:rPr>
        <w:t>e</w:t>
      </w:r>
      <w:r>
        <w:rPr>
          <w:lang w:val="en-US"/>
        </w:rPr>
        <w:t xml:space="preserve">ment in the case of </w:t>
      </w:r>
      <w:r w:rsidRPr="00196CC3">
        <w:rPr>
          <w:i/>
          <w:lang w:val="en-US"/>
        </w:rPr>
        <w:t>Latipov v. Russia</w:t>
      </w:r>
      <w:r w:rsidR="00BF1510">
        <w:rPr>
          <w:lang w:val="en-US"/>
        </w:rPr>
        <w:t>,</w:t>
      </w:r>
      <w:r w:rsidRPr="00ED6399">
        <w:rPr>
          <w:rStyle w:val="FootnoteReference"/>
        </w:rPr>
        <w:footnoteReference w:id="15"/>
      </w:r>
      <w:r w:rsidR="00C15ACC">
        <w:rPr>
          <w:lang w:val="en-US"/>
        </w:rPr>
        <w:t xml:space="preserve"> </w:t>
      </w:r>
      <w:r w:rsidR="00BF1510">
        <w:rPr>
          <w:lang w:val="en-US"/>
        </w:rPr>
        <w:t xml:space="preserve">in which </w:t>
      </w:r>
      <w:r w:rsidR="00C15ACC">
        <w:rPr>
          <w:lang w:val="en-US"/>
        </w:rPr>
        <w:t xml:space="preserve">the Court stated that the general human rights situation in a country may not </w:t>
      </w:r>
      <w:r w:rsidR="00F45F6B">
        <w:rPr>
          <w:lang w:val="en-US"/>
        </w:rPr>
        <w:t>be the sole ground to forbid the extradition of an individual, but that the individual claiming that he</w:t>
      </w:r>
      <w:r w:rsidR="00081D5B">
        <w:rPr>
          <w:lang w:val="en-US"/>
        </w:rPr>
        <w:t xml:space="preserve"> or </w:t>
      </w:r>
      <w:r w:rsidR="00F45F6B">
        <w:rPr>
          <w:lang w:val="en-US"/>
        </w:rPr>
        <w:t>she is at risk of torture must present further evidence. The State party maintains that the author had not presented evidence that he or his family had been subjected to cruel treatment and that the information it had regarding the criminal prosecutions against him</w:t>
      </w:r>
      <w:r w:rsidR="003860AA">
        <w:rPr>
          <w:lang w:val="en-US"/>
        </w:rPr>
        <w:t xml:space="preserve"> between 2006 and 2010 do not show that the Kyrgyz justice had been harsh and unjust, nor that there were violations of the pretrial investigation procedure. </w:t>
      </w:r>
    </w:p>
    <w:p w:rsidR="003860AA" w:rsidRPr="003860AA" w:rsidRDefault="003860AA" w:rsidP="00081D5B">
      <w:pPr>
        <w:pStyle w:val="SingleTxtG"/>
        <w:rPr>
          <w:lang w:val="en-GB"/>
        </w:rPr>
      </w:pPr>
      <w:r>
        <w:rPr>
          <w:lang w:val="en-GB"/>
        </w:rPr>
        <w:t>7.8</w:t>
      </w:r>
      <w:r>
        <w:rPr>
          <w:lang w:val="en-GB"/>
        </w:rPr>
        <w:tab/>
        <w:t>The State party further submits that the Office</w:t>
      </w:r>
      <w:r w:rsidR="00BF1510">
        <w:rPr>
          <w:lang w:val="en-GB"/>
        </w:rPr>
        <w:t xml:space="preserve"> of the Procurator General</w:t>
      </w:r>
      <w:r>
        <w:rPr>
          <w:lang w:val="en-GB"/>
        </w:rPr>
        <w:t xml:space="preserve"> of Kyrgyzstan provided additional guarantees for the rights of the author, namely the possibility for diplomatic representatives of the Russian Federation to visit him in the places of detention in order to control that his rights are respected. According to information from the Office </w:t>
      </w:r>
      <w:r w:rsidR="00BF1510">
        <w:rPr>
          <w:lang w:val="en-GB"/>
        </w:rPr>
        <w:t xml:space="preserve">of the Procurator General </w:t>
      </w:r>
      <w:r>
        <w:rPr>
          <w:lang w:val="en-GB"/>
        </w:rPr>
        <w:t xml:space="preserve">of Kyrgyzstan at the time of the State party’s submission the author was detained in </w:t>
      </w:r>
      <w:r w:rsidR="004B515A">
        <w:rPr>
          <w:lang w:val="en-GB"/>
        </w:rPr>
        <w:t>Holding Facility</w:t>
      </w:r>
      <w:r w:rsidRPr="004B515A">
        <w:rPr>
          <w:lang w:val="en-GB"/>
        </w:rPr>
        <w:t xml:space="preserve"> No</w:t>
      </w:r>
      <w:r w:rsidR="00BF1510" w:rsidRPr="004B515A">
        <w:rPr>
          <w:lang w:val="en-GB"/>
        </w:rPr>
        <w:t>.</w:t>
      </w:r>
      <w:r w:rsidRPr="004B515A">
        <w:rPr>
          <w:lang w:val="en-GB"/>
        </w:rPr>
        <w:t xml:space="preserve"> 1 in Bishkek </w:t>
      </w:r>
      <w:r>
        <w:rPr>
          <w:lang w:val="en-GB"/>
        </w:rPr>
        <w:t xml:space="preserve">and </w:t>
      </w:r>
      <w:r w:rsidR="002778BE">
        <w:rPr>
          <w:lang w:val="en-GB"/>
        </w:rPr>
        <w:t xml:space="preserve">that </w:t>
      </w:r>
      <w:r>
        <w:rPr>
          <w:lang w:val="en-GB"/>
        </w:rPr>
        <w:t xml:space="preserve">he had not filed any complaints regarding unlawful methods of investigation. He was to be tried in the </w:t>
      </w:r>
      <w:r w:rsidRPr="004B515A">
        <w:rPr>
          <w:lang w:val="en-GB"/>
        </w:rPr>
        <w:t>Ys</w:t>
      </w:r>
      <w:r w:rsidR="004B515A">
        <w:rPr>
          <w:lang w:val="en-GB"/>
        </w:rPr>
        <w:t>y</w:t>
      </w:r>
      <w:r w:rsidRPr="004B515A">
        <w:rPr>
          <w:lang w:val="en-GB"/>
        </w:rPr>
        <w:t>k-At</w:t>
      </w:r>
      <w:r w:rsidR="004B515A">
        <w:rPr>
          <w:lang w:val="en-GB"/>
        </w:rPr>
        <w:t>a</w:t>
      </w:r>
      <w:r w:rsidRPr="004B515A">
        <w:rPr>
          <w:lang w:val="en-GB"/>
        </w:rPr>
        <w:t xml:space="preserve"> District Court</w:t>
      </w:r>
      <w:r>
        <w:rPr>
          <w:lang w:val="en-GB"/>
        </w:rPr>
        <w:t xml:space="preserve"> in </w:t>
      </w:r>
      <w:r w:rsidR="00BF1510">
        <w:rPr>
          <w:lang w:val="en-GB"/>
        </w:rPr>
        <w:t xml:space="preserve">the </w:t>
      </w:r>
      <w:r>
        <w:rPr>
          <w:lang w:val="en-GB"/>
        </w:rPr>
        <w:t xml:space="preserve">Chuisk </w:t>
      </w:r>
      <w:r w:rsidR="00BF1510">
        <w:rPr>
          <w:lang w:val="en-GB"/>
        </w:rPr>
        <w:t>r</w:t>
      </w:r>
      <w:r>
        <w:rPr>
          <w:lang w:val="en-GB"/>
        </w:rPr>
        <w:t>egion. Further</w:t>
      </w:r>
      <w:r w:rsidR="00BF1510">
        <w:rPr>
          <w:lang w:val="en-GB"/>
        </w:rPr>
        <w:t>more</w:t>
      </w:r>
      <w:r>
        <w:rPr>
          <w:lang w:val="en-GB"/>
        </w:rPr>
        <w:t>, the Ministry of Foreign Affairs of the Russian Federation organi</w:t>
      </w:r>
      <w:r w:rsidR="00BF1510">
        <w:rPr>
          <w:lang w:val="en-GB"/>
        </w:rPr>
        <w:t>z</w:t>
      </w:r>
      <w:r>
        <w:rPr>
          <w:lang w:val="en-GB"/>
        </w:rPr>
        <w:t>ed a</w:t>
      </w:r>
      <w:r w:rsidR="00EF7F4D">
        <w:rPr>
          <w:lang w:val="en-GB"/>
        </w:rPr>
        <w:t xml:space="preserve"> </w:t>
      </w:r>
      <w:r>
        <w:rPr>
          <w:lang w:val="en-GB"/>
        </w:rPr>
        <w:t xml:space="preserve">verification </w:t>
      </w:r>
      <w:r w:rsidR="00081D5B">
        <w:rPr>
          <w:lang w:val="en-GB"/>
        </w:rPr>
        <w:t xml:space="preserve">of </w:t>
      </w:r>
      <w:r>
        <w:rPr>
          <w:lang w:val="en-GB"/>
        </w:rPr>
        <w:t xml:space="preserve">whether the rights of the author </w:t>
      </w:r>
      <w:r w:rsidR="00081D5B">
        <w:rPr>
          <w:lang w:val="en-GB"/>
        </w:rPr>
        <w:t xml:space="preserve">had been </w:t>
      </w:r>
      <w:r w:rsidR="003B1D7E">
        <w:rPr>
          <w:lang w:val="en-GB"/>
        </w:rPr>
        <w:t xml:space="preserve">respected </w:t>
      </w:r>
      <w:r w:rsidR="00081D5B">
        <w:rPr>
          <w:lang w:val="en-GB"/>
        </w:rPr>
        <w:t xml:space="preserve">by </w:t>
      </w:r>
      <w:r w:rsidR="003B1D7E">
        <w:rPr>
          <w:lang w:val="en-GB"/>
        </w:rPr>
        <w:t xml:space="preserve">the </w:t>
      </w:r>
      <w:r w:rsidR="00081D5B">
        <w:rPr>
          <w:lang w:val="en-GB"/>
        </w:rPr>
        <w:t xml:space="preserve">Embassy of the </w:t>
      </w:r>
      <w:r w:rsidR="003B1D7E">
        <w:rPr>
          <w:lang w:val="en-GB"/>
        </w:rPr>
        <w:t>Russian Federation in Kyrgyzstan.</w:t>
      </w:r>
      <w:r w:rsidR="004B48F6" w:rsidRPr="00ED6399">
        <w:rPr>
          <w:rStyle w:val="FootnoteReference"/>
        </w:rPr>
        <w:footnoteReference w:id="16"/>
      </w:r>
    </w:p>
    <w:p w:rsidR="00F35149" w:rsidRPr="00D3661C" w:rsidRDefault="00161401" w:rsidP="00161401">
      <w:pPr>
        <w:pStyle w:val="H23G"/>
      </w:pPr>
      <w:r>
        <w:tab/>
      </w:r>
      <w:r>
        <w:tab/>
      </w:r>
      <w:r w:rsidR="00F35149" w:rsidRPr="00D3661C">
        <w:t>Issues and proceedings before the Committee</w:t>
      </w:r>
    </w:p>
    <w:p w:rsidR="00B760B5" w:rsidRPr="007848D0" w:rsidRDefault="00F35149" w:rsidP="00161401">
      <w:pPr>
        <w:pStyle w:val="H4G"/>
      </w:pPr>
      <w:r w:rsidRPr="006C6C87">
        <w:tab/>
      </w:r>
      <w:r w:rsidRPr="006C6C87">
        <w:tab/>
      </w:r>
      <w:r w:rsidR="00B760B5" w:rsidRPr="00076789">
        <w:t>Non-respect of the Committee</w:t>
      </w:r>
      <w:r w:rsidR="0089096C" w:rsidRPr="00076789">
        <w:t>’</w:t>
      </w:r>
      <w:r w:rsidR="00B760B5" w:rsidRPr="00076789">
        <w:t>s request for interim measures</w:t>
      </w:r>
    </w:p>
    <w:p w:rsidR="00D71002" w:rsidRPr="00D71002" w:rsidRDefault="009B3D00" w:rsidP="00076789">
      <w:pPr>
        <w:pStyle w:val="SingleTxtG"/>
        <w:rPr>
          <w:lang w:val="en-GB"/>
        </w:rPr>
      </w:pPr>
      <w:r>
        <w:rPr>
          <w:lang w:val="en-GB"/>
        </w:rPr>
        <w:t>8</w:t>
      </w:r>
      <w:r w:rsidR="00381124">
        <w:t>.1</w:t>
      </w:r>
      <w:r w:rsidR="00B760B5">
        <w:tab/>
      </w:r>
      <w:r w:rsidR="00B760B5" w:rsidRPr="007848D0">
        <w:t xml:space="preserve">The Committee notes that the State party extradited the author although his communication had been registered under the Optional Protocol and a request for interim measures of protection had been addressed to the State party in this respect. The Committee </w:t>
      </w:r>
      <w:r w:rsidR="00B760B5" w:rsidRPr="007848D0">
        <w:lastRenderedPageBreak/>
        <w:t>recalls</w:t>
      </w:r>
      <w:r w:rsidR="00B760B5" w:rsidRPr="00ED6399">
        <w:rPr>
          <w:rStyle w:val="FootnoteReference"/>
        </w:rPr>
        <w:footnoteReference w:id="17"/>
      </w:r>
      <w:r w:rsidR="00B760B5" w:rsidRPr="007848D0">
        <w:t xml:space="preserve"> that</w:t>
      </w:r>
      <w:r w:rsidR="00076789" w:rsidRPr="005C5E73">
        <w:rPr>
          <w:lang w:val="en-US"/>
        </w:rPr>
        <w:t>,</w:t>
      </w:r>
      <w:r w:rsidR="00B760B5" w:rsidRPr="007848D0">
        <w:t xml:space="preserve"> by adhering to the Optional Protocol, a State party to the Covenant recognizes the competence of the Committee to receive and consider communications from individuals claiming to be victims of violations of any of the rights set forth in the Covenant (</w:t>
      </w:r>
      <w:r w:rsidR="00155B09">
        <w:rPr>
          <w:lang w:val="en-US"/>
        </w:rPr>
        <w:t>p</w:t>
      </w:r>
      <w:r w:rsidR="00B760B5" w:rsidRPr="007848D0">
        <w:t xml:space="preserve">reamble and </w:t>
      </w:r>
      <w:r w:rsidR="004E0D75">
        <w:t>art</w:t>
      </w:r>
      <w:r w:rsidR="00155B09">
        <w:rPr>
          <w:lang w:val="en-US"/>
        </w:rPr>
        <w:t>.</w:t>
      </w:r>
      <w:r w:rsidR="004E0D75">
        <w:t> </w:t>
      </w:r>
      <w:r w:rsidR="00B760B5" w:rsidRPr="007848D0">
        <w:t>1). Implicit in a State</w:t>
      </w:r>
      <w:r w:rsidR="0089096C" w:rsidRPr="005C5E73">
        <w:rPr>
          <w:lang w:val="en-US"/>
        </w:rPr>
        <w:t>’</w:t>
      </w:r>
      <w:r w:rsidR="00B760B5" w:rsidRPr="007848D0">
        <w:t xml:space="preserve">s adherence to the </w:t>
      </w:r>
      <w:r w:rsidR="00076789" w:rsidRPr="005C5E73">
        <w:rPr>
          <w:lang w:val="en-US"/>
        </w:rPr>
        <w:t>Op</w:t>
      </w:r>
      <w:r w:rsidR="00076789">
        <w:rPr>
          <w:lang w:val="en-US"/>
        </w:rPr>
        <w:t xml:space="preserve">tional </w:t>
      </w:r>
      <w:r w:rsidR="00B760B5" w:rsidRPr="007848D0">
        <w:t>Protocol is an undertaking to cooperate with the Committee in good faith so as to permit and enable it to consider such communications and</w:t>
      </w:r>
      <w:r w:rsidR="00076789" w:rsidRPr="005C5E73">
        <w:rPr>
          <w:lang w:val="en-US"/>
        </w:rPr>
        <w:t>,</w:t>
      </w:r>
      <w:r w:rsidR="00B760B5" w:rsidRPr="007848D0">
        <w:t xml:space="preserve"> after examination</w:t>
      </w:r>
      <w:r w:rsidR="00076789" w:rsidRPr="005C5E73">
        <w:rPr>
          <w:lang w:val="en-US"/>
        </w:rPr>
        <w:t>,</w:t>
      </w:r>
      <w:r w:rsidR="00B760B5" w:rsidRPr="007848D0">
        <w:t xml:space="preserve"> to forward its views to the State party and to the individual (</w:t>
      </w:r>
      <w:r w:rsidR="004E0D75">
        <w:t>art</w:t>
      </w:r>
      <w:r w:rsidR="00155B09">
        <w:rPr>
          <w:lang w:val="en-US"/>
        </w:rPr>
        <w:t>.</w:t>
      </w:r>
      <w:r w:rsidR="004E0D75">
        <w:t> </w:t>
      </w:r>
      <w:r w:rsidR="00B760B5" w:rsidRPr="007848D0">
        <w:t xml:space="preserve">5 </w:t>
      </w:r>
      <w:r w:rsidR="00155B09">
        <w:rPr>
          <w:lang w:val="en-US"/>
        </w:rPr>
        <w:t>(</w:t>
      </w:r>
      <w:r w:rsidR="00B760B5" w:rsidRPr="007848D0">
        <w:t>1</w:t>
      </w:r>
      <w:r w:rsidR="00155B09">
        <w:rPr>
          <w:lang w:val="en-US"/>
        </w:rPr>
        <w:t>)</w:t>
      </w:r>
      <w:r w:rsidR="00B760B5" w:rsidRPr="007848D0">
        <w:t xml:space="preserve"> and </w:t>
      </w:r>
      <w:r w:rsidR="00155B09">
        <w:rPr>
          <w:lang w:val="en-US"/>
        </w:rPr>
        <w:t>(</w:t>
      </w:r>
      <w:r w:rsidR="00B760B5" w:rsidRPr="007848D0">
        <w:t>4)</w:t>
      </w:r>
      <w:r w:rsidR="00155B09">
        <w:rPr>
          <w:lang w:val="en-US"/>
        </w:rPr>
        <w:t>)</w:t>
      </w:r>
      <w:r w:rsidR="00B760B5" w:rsidRPr="007848D0">
        <w:t>.</w:t>
      </w:r>
      <w:r w:rsidR="00B760B5" w:rsidRPr="00ED6399">
        <w:rPr>
          <w:rStyle w:val="FootnoteReference"/>
        </w:rPr>
        <w:footnoteReference w:id="18"/>
      </w:r>
      <w:r w:rsidR="00B760B5" w:rsidRPr="007848D0">
        <w:t xml:space="preserve"> </w:t>
      </w:r>
    </w:p>
    <w:p w:rsidR="006E69E3" w:rsidRDefault="009B3D00" w:rsidP="00B760B5">
      <w:pPr>
        <w:pStyle w:val="SingleTxtG"/>
        <w:rPr>
          <w:lang w:val="en-GB"/>
        </w:rPr>
      </w:pPr>
      <w:r>
        <w:rPr>
          <w:lang w:val="en-GB"/>
        </w:rPr>
        <w:t>8</w:t>
      </w:r>
      <w:r w:rsidR="00381124">
        <w:t>.2</w:t>
      </w:r>
      <w:r w:rsidR="00B760B5">
        <w:tab/>
      </w:r>
      <w:r w:rsidR="00B760B5" w:rsidRPr="007848D0">
        <w:t xml:space="preserve">Apart from any violation of the Covenant found against a State party in a communication, a State party commits </w:t>
      </w:r>
      <w:r w:rsidR="006E69E3">
        <w:rPr>
          <w:lang w:val="en-GB"/>
        </w:rPr>
        <w:t>serious</w:t>
      </w:r>
      <w:r w:rsidR="00B760B5" w:rsidRPr="007848D0">
        <w:t xml:space="preserve"> breaches of its obligations under the Optional Protocol if its </w:t>
      </w:r>
      <w:r w:rsidR="006E69E3">
        <w:rPr>
          <w:lang w:val="en-GB"/>
        </w:rPr>
        <w:t xml:space="preserve">action or </w:t>
      </w:r>
      <w:r w:rsidR="00B760B5" w:rsidRPr="007848D0">
        <w:t xml:space="preserve">inaction serves to prevent or frustrate consideration by the Committee of a communication alleging a violation of the Covenant, or to render examination by the Committee moot and the expression of its Views nugatory and futile. In the present communication, the author alleged that his rights under </w:t>
      </w:r>
      <w:r w:rsidR="004E0D75">
        <w:t>article </w:t>
      </w:r>
      <w:r w:rsidR="00B760B5" w:rsidRPr="007848D0">
        <w:t xml:space="preserve">7 of the Covenant would be violated, should he be extradited to Kyrgyzstan. </w:t>
      </w:r>
      <w:r w:rsidR="00D71002">
        <w:rPr>
          <w:lang w:val="en-GB"/>
        </w:rPr>
        <w:t>On 22 August</w:t>
      </w:r>
      <w:r w:rsidR="00D71002" w:rsidRPr="00241AE8">
        <w:rPr>
          <w:lang w:val="en-GB"/>
        </w:rPr>
        <w:t xml:space="preserve"> 20</w:t>
      </w:r>
      <w:r w:rsidR="00D71002">
        <w:rPr>
          <w:lang w:val="en-GB"/>
        </w:rPr>
        <w:t>12</w:t>
      </w:r>
      <w:r w:rsidR="00D71002" w:rsidRPr="00241AE8">
        <w:rPr>
          <w:lang w:val="en-GB"/>
        </w:rPr>
        <w:t xml:space="preserve">, </w:t>
      </w:r>
      <w:r w:rsidR="00D71002" w:rsidRPr="0087662F">
        <w:t xml:space="preserve">the Committee </w:t>
      </w:r>
      <w:r w:rsidR="00D71002">
        <w:t xml:space="preserve">requested </w:t>
      </w:r>
      <w:r w:rsidR="00D71002" w:rsidRPr="0087662F">
        <w:t>the State party not to ex</w:t>
      </w:r>
      <w:r w:rsidR="00D71002" w:rsidRPr="00F67C5B">
        <w:rPr>
          <w:lang w:val="en-GB"/>
        </w:rPr>
        <w:t xml:space="preserve">tradite </w:t>
      </w:r>
      <w:r w:rsidR="00D71002" w:rsidRPr="0087662F">
        <w:t xml:space="preserve">the author to </w:t>
      </w:r>
      <w:r w:rsidR="00D71002" w:rsidRPr="00F67C5B">
        <w:rPr>
          <w:lang w:val="en-GB"/>
        </w:rPr>
        <w:t>Kyrgyzstan</w:t>
      </w:r>
      <w:r w:rsidR="00D71002" w:rsidRPr="0087662F">
        <w:t xml:space="preserve"> pending consideration of his c</w:t>
      </w:r>
      <w:r w:rsidR="00D71002">
        <w:t>ommunication</w:t>
      </w:r>
      <w:r w:rsidR="00D71002">
        <w:rPr>
          <w:lang w:val="en-GB"/>
        </w:rPr>
        <w:t xml:space="preserve"> and reiterated its request on </w:t>
      </w:r>
      <w:r w:rsidR="00D71002" w:rsidRPr="00D71002">
        <w:rPr>
          <w:lang w:val="en-GB"/>
        </w:rPr>
        <w:t>15 November 2012</w:t>
      </w:r>
      <w:r w:rsidR="00D71002">
        <w:rPr>
          <w:lang w:val="en-GB"/>
        </w:rPr>
        <w:t>. Despite that</w:t>
      </w:r>
      <w:r w:rsidR="00155B09">
        <w:rPr>
          <w:lang w:val="en-GB"/>
        </w:rPr>
        <w:t>,</w:t>
      </w:r>
      <w:r w:rsidR="00D71002">
        <w:rPr>
          <w:lang w:val="en-GB"/>
        </w:rPr>
        <w:t xml:space="preserve"> the State party proceeded with the extradition of the author. </w:t>
      </w:r>
      <w:r w:rsidR="00D71002" w:rsidRPr="00D71002">
        <w:rPr>
          <w:lang w:val="en-GB"/>
        </w:rPr>
        <w:t>T</w:t>
      </w:r>
      <w:r w:rsidR="00B760B5" w:rsidRPr="007848D0">
        <w:t xml:space="preserve">he State party breached its obligations under the </w:t>
      </w:r>
      <w:r w:rsidR="00155B09">
        <w:rPr>
          <w:lang w:val="en-US"/>
        </w:rPr>
        <w:t xml:space="preserve">Optional </w:t>
      </w:r>
      <w:r w:rsidR="00B760B5" w:rsidRPr="007848D0">
        <w:t xml:space="preserve">Protocol by extraditing the author before the Committee could conclude its consideration and examination and the formulation and communication of its Views. </w:t>
      </w:r>
    </w:p>
    <w:p w:rsidR="00B760B5" w:rsidRPr="007848D0" w:rsidRDefault="009B3D00" w:rsidP="00B760B5">
      <w:pPr>
        <w:pStyle w:val="SingleTxtG"/>
      </w:pPr>
      <w:r w:rsidRPr="009B3D00">
        <w:rPr>
          <w:lang w:val="en-GB"/>
        </w:rPr>
        <w:t>8</w:t>
      </w:r>
      <w:r w:rsidR="00B760B5" w:rsidRPr="007848D0">
        <w:t>.3</w:t>
      </w:r>
      <w:r w:rsidR="00B760B5" w:rsidRPr="007848D0">
        <w:tab/>
        <w:t>The Committee recalls</w:t>
      </w:r>
      <w:r w:rsidR="00B760B5" w:rsidRPr="00ED6399">
        <w:rPr>
          <w:rStyle w:val="FootnoteReference"/>
        </w:rPr>
        <w:footnoteReference w:id="19"/>
      </w:r>
      <w:r w:rsidR="00B760B5" w:rsidRPr="007848D0">
        <w:t xml:space="preserve"> that interim measures pursuant to rule 92 of the Committee</w:t>
      </w:r>
      <w:r w:rsidR="0089096C" w:rsidRPr="005C5E73">
        <w:rPr>
          <w:lang w:val="en-US"/>
        </w:rPr>
        <w:t>’</w:t>
      </w:r>
      <w:r w:rsidR="00B760B5" w:rsidRPr="007848D0">
        <w:t>s rules of procedure</w:t>
      </w:r>
      <w:r w:rsidR="00155B09">
        <w:rPr>
          <w:lang w:val="en-US"/>
        </w:rPr>
        <w:t>,</w:t>
      </w:r>
      <w:r w:rsidR="00B760B5" w:rsidRPr="007848D0">
        <w:t xml:space="preserve"> adopted in conformity with </w:t>
      </w:r>
      <w:r w:rsidR="004E0D75">
        <w:t>article </w:t>
      </w:r>
      <w:r w:rsidR="00B760B5" w:rsidRPr="007848D0">
        <w:t>39 of the Covenant, are essential to the Committee</w:t>
      </w:r>
      <w:r w:rsidR="0089096C" w:rsidRPr="005C5E73">
        <w:rPr>
          <w:lang w:val="en-US"/>
        </w:rPr>
        <w:t>’</w:t>
      </w:r>
      <w:r w:rsidR="00B760B5" w:rsidRPr="007848D0">
        <w:t>s role under the</w:t>
      </w:r>
      <w:r w:rsidR="00155B09">
        <w:rPr>
          <w:lang w:val="en-US"/>
        </w:rPr>
        <w:t xml:space="preserve"> Optional</w:t>
      </w:r>
      <w:r w:rsidR="00B760B5" w:rsidRPr="007848D0">
        <w:t xml:space="preserve"> Protocol. Flouting of the </w:t>
      </w:r>
      <w:r w:rsidR="00155B09">
        <w:rPr>
          <w:lang w:val="en-US"/>
        </w:rPr>
        <w:t>r</w:t>
      </w:r>
      <w:r w:rsidR="00B760B5" w:rsidRPr="007848D0">
        <w:t>ule, especially by irreversible measures such as, in the present case, the author’s extradition undermines the protection of Covenant rights through the Optional Protocol.</w:t>
      </w:r>
      <w:r w:rsidR="00B760B5">
        <w:t xml:space="preserve"> </w:t>
      </w:r>
      <w:r w:rsidR="00B760B5" w:rsidRPr="00DD1C5D">
        <w:t>In the Committee</w:t>
      </w:r>
      <w:r w:rsidR="0089096C" w:rsidRPr="005C5E73">
        <w:rPr>
          <w:lang w:val="en-US"/>
        </w:rPr>
        <w:t>’</w:t>
      </w:r>
      <w:r w:rsidR="00B760B5" w:rsidRPr="00DD1C5D">
        <w:t xml:space="preserve">s view, these circumstances disclose a </w:t>
      </w:r>
      <w:r w:rsidR="006E69E3">
        <w:rPr>
          <w:lang w:val="en-GB"/>
        </w:rPr>
        <w:t>serious</w:t>
      </w:r>
      <w:r w:rsidR="00B760B5" w:rsidRPr="00DD1C5D">
        <w:t xml:space="preserve"> breach by the State party of its obligations under </w:t>
      </w:r>
      <w:r w:rsidR="004E0D75">
        <w:t>article </w:t>
      </w:r>
      <w:r w:rsidR="00B760B5" w:rsidRPr="00DD1C5D">
        <w:t>1 of the Optional Protocol.</w:t>
      </w:r>
    </w:p>
    <w:p w:rsidR="00F35149" w:rsidRPr="005C5E73" w:rsidRDefault="00B760B5" w:rsidP="00381124">
      <w:pPr>
        <w:pStyle w:val="H4G"/>
        <w:rPr>
          <w:b/>
          <w:bCs/>
          <w:i w:val="0"/>
          <w:iCs/>
        </w:rPr>
      </w:pPr>
      <w:r w:rsidRPr="005C5E73">
        <w:rPr>
          <w:b/>
          <w:bCs/>
          <w:i w:val="0"/>
          <w:iCs/>
        </w:rPr>
        <w:tab/>
      </w:r>
      <w:r w:rsidRPr="005C5E73">
        <w:rPr>
          <w:b/>
          <w:bCs/>
          <w:i w:val="0"/>
          <w:iCs/>
        </w:rPr>
        <w:tab/>
      </w:r>
      <w:r w:rsidR="00F35149" w:rsidRPr="005C5E73">
        <w:rPr>
          <w:b/>
          <w:bCs/>
          <w:i w:val="0"/>
          <w:iCs/>
        </w:rPr>
        <w:t>Consideration of admissibility</w:t>
      </w:r>
    </w:p>
    <w:p w:rsidR="00F35149" w:rsidRPr="006C6C87" w:rsidRDefault="009B3D00" w:rsidP="00D75EF2">
      <w:pPr>
        <w:pStyle w:val="SingleTxtG"/>
      </w:pPr>
      <w:r>
        <w:rPr>
          <w:lang w:val="en-GB"/>
        </w:rPr>
        <w:t>9</w:t>
      </w:r>
      <w:r w:rsidR="00F35149" w:rsidRPr="006C6C87">
        <w:t>.1</w:t>
      </w:r>
      <w:r w:rsidR="00F35149" w:rsidRPr="006C6C87">
        <w:tab/>
        <w:t>Before considering any claims contained in a communication, the Committee must, in accordance with rule 93 of its rules of procedure, decide whether or not it is admissible under the Optional Protocol to the Covenant.</w:t>
      </w:r>
    </w:p>
    <w:p w:rsidR="00F35149" w:rsidRPr="00B760B5" w:rsidRDefault="009B3D00" w:rsidP="00D75EF2">
      <w:pPr>
        <w:pStyle w:val="SingleTxtG"/>
        <w:rPr>
          <w:bCs/>
          <w:lang w:val="en-GB"/>
        </w:rPr>
      </w:pPr>
      <w:r w:rsidRPr="009B3D00">
        <w:rPr>
          <w:bCs/>
          <w:lang w:val="en-GB"/>
        </w:rPr>
        <w:t>9</w:t>
      </w:r>
      <w:r w:rsidR="00F35149" w:rsidRPr="006C6C87">
        <w:rPr>
          <w:bCs/>
        </w:rPr>
        <w:t>.2</w:t>
      </w:r>
      <w:r w:rsidR="00F35149" w:rsidRPr="006C6C87">
        <w:rPr>
          <w:bCs/>
        </w:rPr>
        <w:tab/>
        <w:t xml:space="preserve">The Committee </w:t>
      </w:r>
      <w:r w:rsidR="00DC19A5">
        <w:rPr>
          <w:bCs/>
          <w:lang w:val="en-GB"/>
        </w:rPr>
        <w:t>notes the Stat</w:t>
      </w:r>
      <w:r w:rsidR="00DC19A5" w:rsidRPr="00DC19A5">
        <w:rPr>
          <w:bCs/>
          <w:lang w:val="en-GB"/>
        </w:rPr>
        <w:t>e</w:t>
      </w:r>
      <w:r w:rsidR="00DC19A5">
        <w:rPr>
          <w:bCs/>
          <w:lang w:val="en-GB"/>
        </w:rPr>
        <w:t xml:space="preserve"> </w:t>
      </w:r>
      <w:r w:rsidR="00DC19A5" w:rsidRPr="00DC19A5">
        <w:rPr>
          <w:bCs/>
          <w:lang w:val="en-GB"/>
        </w:rPr>
        <w:t>party’s</w:t>
      </w:r>
      <w:r w:rsidR="00DC19A5">
        <w:rPr>
          <w:bCs/>
          <w:lang w:val="en-GB"/>
        </w:rPr>
        <w:t xml:space="preserve"> submission that</w:t>
      </w:r>
      <w:r w:rsidR="00155B09">
        <w:rPr>
          <w:bCs/>
          <w:lang w:val="en-GB"/>
        </w:rPr>
        <w:t>,</w:t>
      </w:r>
      <w:r w:rsidR="00DC19A5">
        <w:rPr>
          <w:bCs/>
          <w:lang w:val="en-GB"/>
        </w:rPr>
        <w:t xml:space="preserve"> </w:t>
      </w:r>
      <w:r w:rsidR="00DC19A5">
        <w:rPr>
          <w:lang w:val="en-GB"/>
        </w:rPr>
        <w:t>before submitting a communication to the Committee</w:t>
      </w:r>
      <w:r w:rsidR="00D75EF2">
        <w:rPr>
          <w:lang w:val="en-GB"/>
        </w:rPr>
        <w:t>,</w:t>
      </w:r>
      <w:r w:rsidR="00DC19A5">
        <w:rPr>
          <w:lang w:val="en-GB"/>
        </w:rPr>
        <w:t xml:space="preserve"> the author had submitted an application to the European Court</w:t>
      </w:r>
      <w:r w:rsidR="00076789">
        <w:rPr>
          <w:lang w:val="en-GB"/>
        </w:rPr>
        <w:t xml:space="preserve"> of Human Rights</w:t>
      </w:r>
      <w:r w:rsidR="00DC19A5">
        <w:rPr>
          <w:lang w:val="en-GB"/>
        </w:rPr>
        <w:t xml:space="preserve">. The Committee, however, observes that the author withdrew his application before the case had been examined by </w:t>
      </w:r>
      <w:r w:rsidR="00076789">
        <w:rPr>
          <w:lang w:val="en-GB"/>
        </w:rPr>
        <w:t>that</w:t>
      </w:r>
      <w:r w:rsidR="00DC19A5">
        <w:rPr>
          <w:lang w:val="en-GB"/>
        </w:rPr>
        <w:t xml:space="preserve"> Court. The Committee therefore decides that it is not precluded from examining the communication by the requirements of</w:t>
      </w:r>
      <w:r w:rsidR="00F35149" w:rsidRPr="006C6C87">
        <w:rPr>
          <w:bCs/>
        </w:rPr>
        <w:t xml:space="preserve"> </w:t>
      </w:r>
      <w:r w:rsidR="004E0D75">
        <w:rPr>
          <w:bCs/>
        </w:rPr>
        <w:t>article </w:t>
      </w:r>
      <w:r w:rsidR="00F35149" w:rsidRPr="006C6C87">
        <w:rPr>
          <w:bCs/>
        </w:rPr>
        <w:t xml:space="preserve">5 </w:t>
      </w:r>
      <w:r w:rsidR="00155B09">
        <w:rPr>
          <w:bCs/>
          <w:lang w:val="en-US"/>
        </w:rPr>
        <w:t>(</w:t>
      </w:r>
      <w:r w:rsidR="00F35149" w:rsidRPr="006C6C87">
        <w:rPr>
          <w:bCs/>
        </w:rPr>
        <w:t>2</w:t>
      </w:r>
      <w:r w:rsidR="00155B09">
        <w:rPr>
          <w:bCs/>
          <w:lang w:val="en-US"/>
        </w:rPr>
        <w:t>)</w:t>
      </w:r>
      <w:r w:rsidR="00F35149" w:rsidRPr="006C6C87">
        <w:rPr>
          <w:bCs/>
        </w:rPr>
        <w:t xml:space="preserve"> (a) of the Optional Protocol.</w:t>
      </w:r>
    </w:p>
    <w:p w:rsidR="00F60C3B" w:rsidRDefault="009B3D00" w:rsidP="00076789">
      <w:pPr>
        <w:pStyle w:val="SingleTxtG"/>
        <w:rPr>
          <w:bCs/>
          <w:lang w:val="en-GB"/>
        </w:rPr>
      </w:pPr>
      <w:r>
        <w:rPr>
          <w:lang w:val="en-GB"/>
        </w:rPr>
        <w:t>9</w:t>
      </w:r>
      <w:r w:rsidR="00F60C3B" w:rsidRPr="00F60C3B">
        <w:rPr>
          <w:lang w:val="en-GB"/>
        </w:rPr>
        <w:t>.</w:t>
      </w:r>
      <w:r w:rsidR="00F60C3B">
        <w:rPr>
          <w:lang w:val="en-GB"/>
        </w:rPr>
        <w:t>3</w:t>
      </w:r>
      <w:r w:rsidR="00F60C3B">
        <w:rPr>
          <w:lang w:val="en-GB"/>
        </w:rPr>
        <w:tab/>
      </w:r>
      <w:r w:rsidR="00E34161">
        <w:rPr>
          <w:lang w:val="en-GB"/>
        </w:rPr>
        <w:t>The Committee takes note of the author’s claim that his right under</w:t>
      </w:r>
      <w:r w:rsidR="00E34161" w:rsidRPr="00E34161">
        <w:rPr>
          <w:bCs/>
          <w:lang w:val="en-GB"/>
        </w:rPr>
        <w:t xml:space="preserve"> </w:t>
      </w:r>
      <w:r w:rsidR="004E0D75">
        <w:rPr>
          <w:bCs/>
          <w:lang w:val="en-GB"/>
        </w:rPr>
        <w:t>article </w:t>
      </w:r>
      <w:r w:rsidR="00E34161" w:rsidRPr="00E34161">
        <w:rPr>
          <w:bCs/>
          <w:lang w:val="en-GB"/>
        </w:rPr>
        <w:t>9 of the Covenant</w:t>
      </w:r>
      <w:r w:rsidR="00E34161">
        <w:rPr>
          <w:bCs/>
          <w:lang w:val="en-GB"/>
        </w:rPr>
        <w:t xml:space="preserve"> had been violated</w:t>
      </w:r>
      <w:r w:rsidR="00E34161" w:rsidRPr="00E34161">
        <w:rPr>
          <w:bCs/>
          <w:lang w:val="en-GB"/>
        </w:rPr>
        <w:t xml:space="preserve">, </w:t>
      </w:r>
      <w:r w:rsidR="00E34161">
        <w:rPr>
          <w:bCs/>
          <w:lang w:val="en-GB"/>
        </w:rPr>
        <w:t xml:space="preserve">since </w:t>
      </w:r>
      <w:r w:rsidR="00E34161" w:rsidRPr="00E34161">
        <w:rPr>
          <w:bCs/>
          <w:lang w:val="en-GB"/>
        </w:rPr>
        <w:t xml:space="preserve">the initial ruling </w:t>
      </w:r>
      <w:r w:rsidR="00E34161">
        <w:rPr>
          <w:bCs/>
          <w:lang w:val="en-GB"/>
        </w:rPr>
        <w:t xml:space="preserve">ordering </w:t>
      </w:r>
      <w:r w:rsidR="00E34161" w:rsidRPr="00E34161">
        <w:rPr>
          <w:bCs/>
          <w:lang w:val="en-GB"/>
        </w:rPr>
        <w:t>his detention on remand had been issued by the But</w:t>
      </w:r>
      <w:r w:rsidR="00EB62DE">
        <w:rPr>
          <w:bCs/>
          <w:lang w:val="en-GB"/>
        </w:rPr>
        <w:t>y</w:t>
      </w:r>
      <w:r w:rsidR="00E34161" w:rsidRPr="00E34161">
        <w:rPr>
          <w:bCs/>
          <w:lang w:val="en-GB"/>
        </w:rPr>
        <w:t xml:space="preserve">rsky Interregional </w:t>
      </w:r>
      <w:r w:rsidR="00FE7861">
        <w:rPr>
          <w:bCs/>
          <w:lang w:val="en-GB"/>
        </w:rPr>
        <w:t>Procurator’s</w:t>
      </w:r>
      <w:r w:rsidR="00FE7861" w:rsidRPr="00E34161">
        <w:rPr>
          <w:bCs/>
          <w:lang w:val="en-GB"/>
        </w:rPr>
        <w:t xml:space="preserve"> </w:t>
      </w:r>
      <w:r w:rsidR="00E34161" w:rsidRPr="00E34161">
        <w:rPr>
          <w:bCs/>
          <w:lang w:val="en-GB"/>
        </w:rPr>
        <w:t>Office, in the absence of a</w:t>
      </w:r>
      <w:r w:rsidR="00E34161">
        <w:rPr>
          <w:bCs/>
          <w:lang w:val="en-GB"/>
        </w:rPr>
        <w:t xml:space="preserve">n order of a Russian </w:t>
      </w:r>
      <w:r w:rsidR="00E34161" w:rsidRPr="00E34161">
        <w:rPr>
          <w:bCs/>
          <w:lang w:val="en-GB"/>
        </w:rPr>
        <w:t>court</w:t>
      </w:r>
      <w:r w:rsidR="00E34161">
        <w:rPr>
          <w:bCs/>
          <w:lang w:val="en-GB"/>
        </w:rPr>
        <w:t xml:space="preserve"> in violation of </w:t>
      </w:r>
      <w:r w:rsidR="004E0D75">
        <w:rPr>
          <w:bCs/>
          <w:lang w:val="en-GB"/>
        </w:rPr>
        <w:t>article </w:t>
      </w:r>
      <w:r w:rsidR="00E34161" w:rsidRPr="00E34161">
        <w:rPr>
          <w:bCs/>
          <w:lang w:val="en-GB"/>
        </w:rPr>
        <w:t>108, paragraph 4</w:t>
      </w:r>
      <w:r w:rsidR="00FE7861">
        <w:rPr>
          <w:bCs/>
          <w:lang w:val="en-GB"/>
        </w:rPr>
        <w:t>,</w:t>
      </w:r>
      <w:r w:rsidR="00E34161" w:rsidRPr="00E34161">
        <w:rPr>
          <w:bCs/>
          <w:lang w:val="en-GB"/>
        </w:rPr>
        <w:t xml:space="preserve"> of the Code</w:t>
      </w:r>
      <w:r w:rsidR="00FE7861" w:rsidRPr="00FE7861">
        <w:rPr>
          <w:bCs/>
          <w:lang w:val="en-GB"/>
        </w:rPr>
        <w:t xml:space="preserve"> </w:t>
      </w:r>
      <w:r w:rsidR="00FE7861">
        <w:rPr>
          <w:bCs/>
          <w:lang w:val="en-GB"/>
        </w:rPr>
        <w:t xml:space="preserve">of </w:t>
      </w:r>
      <w:r w:rsidR="00FE7861" w:rsidRPr="00E34161">
        <w:rPr>
          <w:bCs/>
          <w:lang w:val="en-GB"/>
        </w:rPr>
        <w:t>Criminal Procedure</w:t>
      </w:r>
      <w:r w:rsidR="00E34161" w:rsidRPr="00E34161">
        <w:rPr>
          <w:bCs/>
          <w:lang w:val="en-GB"/>
        </w:rPr>
        <w:t>.</w:t>
      </w:r>
      <w:r w:rsidR="00E34161">
        <w:rPr>
          <w:bCs/>
          <w:lang w:val="en-GB"/>
        </w:rPr>
        <w:t xml:space="preserve"> The Committee, however, observes that the author has not presented evidence that he had </w:t>
      </w:r>
      <w:r w:rsidR="00E34161">
        <w:rPr>
          <w:bCs/>
          <w:lang w:val="en-GB"/>
        </w:rPr>
        <w:lastRenderedPageBreak/>
        <w:t xml:space="preserve">raised that particular argument in the appeals proceedings regarding his detention before the </w:t>
      </w:r>
      <w:r w:rsidR="007C15FC">
        <w:rPr>
          <w:bCs/>
          <w:lang w:val="en-GB"/>
        </w:rPr>
        <w:t>Russian c</w:t>
      </w:r>
      <w:r w:rsidR="00E34161">
        <w:rPr>
          <w:bCs/>
          <w:lang w:val="en-GB"/>
        </w:rPr>
        <w:t xml:space="preserve">ourts. </w:t>
      </w:r>
      <w:r w:rsidR="00E34161" w:rsidRPr="00E34161">
        <w:rPr>
          <w:bCs/>
          <w:lang w:val="en-GB"/>
        </w:rPr>
        <w:t>Accordingly, the Committee considers that this part of the communication is inadmissible</w:t>
      </w:r>
      <w:r w:rsidR="00E34161">
        <w:rPr>
          <w:bCs/>
          <w:lang w:val="en-GB"/>
        </w:rPr>
        <w:t xml:space="preserve"> under </w:t>
      </w:r>
      <w:r w:rsidR="004E0D75">
        <w:rPr>
          <w:bCs/>
          <w:lang w:val="en-GB"/>
        </w:rPr>
        <w:t>article </w:t>
      </w:r>
      <w:r w:rsidR="00E34161">
        <w:rPr>
          <w:bCs/>
          <w:lang w:val="en-GB"/>
        </w:rPr>
        <w:t xml:space="preserve">5 </w:t>
      </w:r>
      <w:r w:rsidR="00FE7861">
        <w:rPr>
          <w:bCs/>
          <w:lang w:val="en-GB"/>
        </w:rPr>
        <w:t>(</w:t>
      </w:r>
      <w:r w:rsidR="00E34161">
        <w:rPr>
          <w:bCs/>
          <w:lang w:val="en-GB"/>
        </w:rPr>
        <w:t>2</w:t>
      </w:r>
      <w:r w:rsidR="00FE7861">
        <w:rPr>
          <w:bCs/>
          <w:lang w:val="en-GB"/>
        </w:rPr>
        <w:t>)</w:t>
      </w:r>
      <w:r w:rsidR="00E34161">
        <w:rPr>
          <w:bCs/>
          <w:lang w:val="en-GB"/>
        </w:rPr>
        <w:t xml:space="preserve"> (b) of the Optional Protocol</w:t>
      </w:r>
      <w:r w:rsidR="00E34161" w:rsidRPr="00E34161">
        <w:rPr>
          <w:bCs/>
          <w:lang w:val="en-GB"/>
        </w:rPr>
        <w:t>.</w:t>
      </w:r>
    </w:p>
    <w:p w:rsidR="00B20F87" w:rsidRPr="00B8383D" w:rsidRDefault="00B20F87" w:rsidP="00B20F87">
      <w:pPr>
        <w:pStyle w:val="SingleTxtG"/>
      </w:pPr>
      <w:r>
        <w:rPr>
          <w:bCs/>
          <w:lang w:val="en-GB"/>
        </w:rPr>
        <w:t>9.4</w:t>
      </w:r>
      <w:r>
        <w:rPr>
          <w:bCs/>
          <w:lang w:val="en-GB"/>
        </w:rPr>
        <w:tab/>
      </w:r>
      <w:r w:rsidRPr="00B8383D">
        <w:rPr>
          <w:lang w:val="en-US"/>
        </w:rPr>
        <w:t xml:space="preserve">The Committee considers that the author has sufficiently substantiated his claims under </w:t>
      </w:r>
      <w:r w:rsidR="004E0D75">
        <w:rPr>
          <w:lang w:val="en-US"/>
        </w:rPr>
        <w:t>article </w:t>
      </w:r>
      <w:r>
        <w:rPr>
          <w:lang w:val="en-US"/>
        </w:rPr>
        <w:t>7</w:t>
      </w:r>
      <w:r w:rsidRPr="00B8383D">
        <w:t xml:space="preserve"> of the Covenant</w:t>
      </w:r>
      <w:r w:rsidRPr="00B8383D">
        <w:rPr>
          <w:lang w:val="en-US"/>
        </w:rPr>
        <w:t xml:space="preserve">, for purposes of admissibility </w:t>
      </w:r>
      <w:r w:rsidRPr="00B8383D">
        <w:t xml:space="preserve">and </w:t>
      </w:r>
      <w:r w:rsidRPr="00B8383D">
        <w:rPr>
          <w:lang w:val="en-US"/>
        </w:rPr>
        <w:t xml:space="preserve">proceeds to </w:t>
      </w:r>
      <w:r>
        <w:rPr>
          <w:lang w:val="en-US"/>
        </w:rPr>
        <w:t>their</w:t>
      </w:r>
      <w:r w:rsidRPr="00B8383D">
        <w:rPr>
          <w:lang w:val="en-US"/>
        </w:rPr>
        <w:t xml:space="preserve"> examination on the merits.</w:t>
      </w:r>
    </w:p>
    <w:p w:rsidR="00F35149" w:rsidRPr="005C5E73" w:rsidRDefault="00F35149" w:rsidP="002E0AFA">
      <w:pPr>
        <w:pStyle w:val="H4G"/>
        <w:jc w:val="both"/>
        <w:rPr>
          <w:b/>
          <w:bCs/>
          <w:i w:val="0"/>
          <w:iCs/>
        </w:rPr>
      </w:pPr>
      <w:r w:rsidRPr="005C5E73">
        <w:rPr>
          <w:b/>
          <w:bCs/>
          <w:i w:val="0"/>
          <w:iCs/>
        </w:rPr>
        <w:tab/>
      </w:r>
      <w:r w:rsidRPr="005C5E73">
        <w:rPr>
          <w:b/>
          <w:bCs/>
          <w:i w:val="0"/>
          <w:iCs/>
        </w:rPr>
        <w:tab/>
        <w:t>Consideration of the merits</w:t>
      </w:r>
    </w:p>
    <w:p w:rsidR="0018481A" w:rsidRPr="00811D40" w:rsidRDefault="009B3D00" w:rsidP="00076789">
      <w:pPr>
        <w:pStyle w:val="SingleTxtG"/>
      </w:pPr>
      <w:r w:rsidRPr="009B3D00">
        <w:rPr>
          <w:lang w:val="en-GB"/>
        </w:rPr>
        <w:t>10</w:t>
      </w:r>
      <w:r w:rsidR="00F35149" w:rsidRPr="006C6C87">
        <w:t>.</w:t>
      </w:r>
      <w:r w:rsidR="0018481A" w:rsidRPr="0018481A">
        <w:rPr>
          <w:lang w:val="en-GB"/>
        </w:rPr>
        <w:t>1</w:t>
      </w:r>
      <w:r w:rsidR="00F35149" w:rsidRPr="006C6C87">
        <w:tab/>
      </w:r>
      <w:r w:rsidR="0018481A">
        <w:t xml:space="preserve">The Committee has considered the present communication in the light of all the information made available to it by the parties, as required under </w:t>
      </w:r>
      <w:r w:rsidR="004E0D75">
        <w:t>article </w:t>
      </w:r>
      <w:r w:rsidR="0018481A">
        <w:t xml:space="preserve">5 </w:t>
      </w:r>
      <w:r w:rsidR="00FE7861">
        <w:rPr>
          <w:lang w:val="en-US"/>
        </w:rPr>
        <w:t>(</w:t>
      </w:r>
      <w:r w:rsidR="0018481A" w:rsidRPr="00811D40">
        <w:t>1</w:t>
      </w:r>
      <w:r w:rsidR="00FE7861">
        <w:rPr>
          <w:lang w:val="en-US"/>
        </w:rPr>
        <w:t>)</w:t>
      </w:r>
      <w:r w:rsidR="0018481A" w:rsidRPr="00811D40">
        <w:t xml:space="preserve"> of the Optional Protocol.</w:t>
      </w:r>
    </w:p>
    <w:p w:rsidR="00F63E57" w:rsidRPr="00811D40" w:rsidRDefault="00AD219F" w:rsidP="00F63E57">
      <w:pPr>
        <w:pStyle w:val="SingleTxtG"/>
        <w:rPr>
          <w:lang w:val="en-US"/>
        </w:rPr>
      </w:pPr>
      <w:r w:rsidRPr="00811D40">
        <w:t>1</w:t>
      </w:r>
      <w:r w:rsidR="007C15FC" w:rsidRPr="00811D40">
        <w:rPr>
          <w:lang w:val="en-GB"/>
        </w:rPr>
        <w:t>0</w:t>
      </w:r>
      <w:r w:rsidRPr="00811D40">
        <w:t>.2</w:t>
      </w:r>
      <w:r w:rsidRPr="00811D40">
        <w:tab/>
      </w:r>
      <w:r w:rsidR="00F63E57" w:rsidRPr="00811D40">
        <w:rPr>
          <w:lang w:val="en-US"/>
        </w:rPr>
        <w:t>The Committee notes the author’s claim that</w:t>
      </w:r>
      <w:r w:rsidR="00076789">
        <w:rPr>
          <w:lang w:val="en-US"/>
        </w:rPr>
        <w:t>,</w:t>
      </w:r>
      <w:r w:rsidR="00F63E57" w:rsidRPr="00811D40">
        <w:rPr>
          <w:lang w:val="en-US"/>
        </w:rPr>
        <w:t xml:space="preserve"> if the Russian Federation proceeds with his extradition</w:t>
      </w:r>
      <w:r w:rsidR="00076789">
        <w:rPr>
          <w:lang w:val="en-US"/>
        </w:rPr>
        <w:t>,</w:t>
      </w:r>
      <w:r w:rsidR="00F63E57" w:rsidRPr="00811D40">
        <w:rPr>
          <w:lang w:val="en-US"/>
        </w:rPr>
        <w:t xml:space="preserve"> that would constitute a violation of his rights under </w:t>
      </w:r>
      <w:r w:rsidR="004E0D75">
        <w:rPr>
          <w:lang w:val="en-US"/>
        </w:rPr>
        <w:t>article </w:t>
      </w:r>
      <w:r w:rsidR="00F63E57" w:rsidRPr="00811D40">
        <w:rPr>
          <w:lang w:val="en-US"/>
        </w:rPr>
        <w:t>7 of the Covenant.</w:t>
      </w:r>
    </w:p>
    <w:p w:rsidR="00F63E57" w:rsidRPr="00811D40" w:rsidRDefault="00F63E57" w:rsidP="00F63E57">
      <w:pPr>
        <w:pStyle w:val="SingleTxtG"/>
        <w:rPr>
          <w:lang w:val="en-US"/>
        </w:rPr>
      </w:pPr>
      <w:r w:rsidRPr="00811D40">
        <w:rPr>
          <w:bCs/>
          <w:lang w:val="en-US"/>
        </w:rPr>
        <w:t>10.3</w:t>
      </w:r>
      <w:r w:rsidRPr="00811D40">
        <w:rPr>
          <w:bCs/>
          <w:lang w:val="en-US"/>
        </w:rPr>
        <w:tab/>
        <w:t xml:space="preserve">The Committee recalls its </w:t>
      </w:r>
      <w:r w:rsidRPr="004B515A">
        <w:rPr>
          <w:bCs/>
          <w:lang w:val="en-US"/>
        </w:rPr>
        <w:t>general comment No.</w:t>
      </w:r>
      <w:r w:rsidR="00ED6399" w:rsidRPr="004B515A">
        <w:rPr>
          <w:bCs/>
          <w:lang w:val="en-US"/>
        </w:rPr>
        <w:t> </w:t>
      </w:r>
      <w:r w:rsidRPr="004B515A">
        <w:rPr>
          <w:bCs/>
          <w:lang w:val="en-US"/>
        </w:rPr>
        <w:t>31</w:t>
      </w:r>
      <w:r w:rsidR="004B515A">
        <w:rPr>
          <w:bCs/>
          <w:lang w:val="en-US"/>
        </w:rPr>
        <w:t xml:space="preserve"> </w:t>
      </w:r>
      <w:r w:rsidR="004B515A" w:rsidRPr="004B515A">
        <w:t>(2004) on the nature of the general legal obligation imposed on States parties to the Covenant</w:t>
      </w:r>
      <w:r w:rsidR="00FE7861">
        <w:rPr>
          <w:bCs/>
          <w:lang w:val="en-US"/>
        </w:rPr>
        <w:t>,</w:t>
      </w:r>
      <w:r w:rsidRPr="00811D40">
        <w:rPr>
          <w:bCs/>
          <w:lang w:val="en-US"/>
        </w:rPr>
        <w:t xml:space="preserve">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w:t>
      </w:r>
      <w:r w:rsidR="004B515A">
        <w:rPr>
          <w:bCs/>
          <w:lang w:val="en-US"/>
        </w:rPr>
        <w:t xml:space="preserve"> (para. 12)</w:t>
      </w:r>
      <w:r w:rsidRPr="00811D40">
        <w:rPr>
          <w:bCs/>
          <w:lang w:val="en-US"/>
        </w:rPr>
        <w:t xml:space="preserve">. </w:t>
      </w:r>
      <w:r w:rsidRPr="00811D40">
        <w:t>The Committee also recalls that, generally speaking, it is for the organs of States parties to the Covenant to review or evaluate facts and evidence in order to determine whether such a risk exists.</w:t>
      </w:r>
      <w:r w:rsidRPr="00ED6399">
        <w:rPr>
          <w:rStyle w:val="FootnoteReference"/>
        </w:rPr>
        <w:footnoteReference w:id="20"/>
      </w:r>
    </w:p>
    <w:p w:rsidR="00744224" w:rsidRPr="00C64477" w:rsidRDefault="00F63E57" w:rsidP="00C01395">
      <w:pPr>
        <w:pStyle w:val="SingleTxtG"/>
        <w:rPr>
          <w:lang w:val="en-GB"/>
        </w:rPr>
      </w:pPr>
      <w:r w:rsidRPr="00811D40">
        <w:rPr>
          <w:lang w:val="en-US"/>
        </w:rPr>
        <w:t>10.4</w:t>
      </w:r>
      <w:r w:rsidRPr="00811D40">
        <w:rPr>
          <w:lang w:val="en-US"/>
        </w:rPr>
        <w:tab/>
      </w:r>
      <w:r w:rsidR="00793BD0">
        <w:rPr>
          <w:lang w:val="en-US"/>
        </w:rPr>
        <w:t>T</w:t>
      </w:r>
      <w:r w:rsidRPr="00811D40">
        <w:rPr>
          <w:lang w:val="en-US"/>
        </w:rPr>
        <w:t xml:space="preserve">he Committee observes that the author’s claims </w:t>
      </w:r>
      <w:r w:rsidR="00793BD0">
        <w:rPr>
          <w:lang w:val="en-US"/>
        </w:rPr>
        <w:t xml:space="preserve">that he would be subjected to torture if extradited to Kyrgyzstan </w:t>
      </w:r>
      <w:r w:rsidRPr="00811D40">
        <w:rPr>
          <w:lang w:val="en-US"/>
        </w:rPr>
        <w:t xml:space="preserve">were examined by the State party’s </w:t>
      </w:r>
      <w:r w:rsidR="00793BD0">
        <w:rPr>
          <w:lang w:val="en-US"/>
        </w:rPr>
        <w:t>Federal Migration Service</w:t>
      </w:r>
      <w:r w:rsidRPr="00811D40">
        <w:rPr>
          <w:lang w:val="en-US"/>
        </w:rPr>
        <w:t xml:space="preserve">, in the course of the refugee status determination proceedings and </w:t>
      </w:r>
      <w:r w:rsidR="00E76AD6">
        <w:rPr>
          <w:lang w:val="en-US"/>
        </w:rPr>
        <w:t xml:space="preserve">by the Russian courts </w:t>
      </w:r>
      <w:r w:rsidRPr="00811D40">
        <w:rPr>
          <w:lang w:val="en-US"/>
        </w:rPr>
        <w:t xml:space="preserve">in the course of the extradition proceedings, who found that he </w:t>
      </w:r>
      <w:r w:rsidR="00E76AD6">
        <w:rPr>
          <w:lang w:val="en-US"/>
        </w:rPr>
        <w:t xml:space="preserve">did not substantiate that he had been tortured in the past and that he would face a real, foreseeable and personal </w:t>
      </w:r>
      <w:r w:rsidRPr="00811D40">
        <w:rPr>
          <w:lang w:val="en-US"/>
        </w:rPr>
        <w:t>risk of being subjected to torture if returned to Kyrgyzstan.</w:t>
      </w:r>
      <w:r w:rsidR="00811D40">
        <w:rPr>
          <w:lang w:val="en-US"/>
        </w:rPr>
        <w:t xml:space="preserve"> </w:t>
      </w:r>
      <w:r w:rsidR="00E76AD6">
        <w:rPr>
          <w:lang w:val="en-US"/>
        </w:rPr>
        <w:t xml:space="preserve">The Committee further notes that </w:t>
      </w:r>
      <w:r w:rsidR="006E69E3">
        <w:rPr>
          <w:lang w:val="en-US"/>
        </w:rPr>
        <w:t xml:space="preserve">most of </w:t>
      </w:r>
      <w:r w:rsidR="00E76AD6">
        <w:rPr>
          <w:lang w:val="en-US"/>
        </w:rPr>
        <w:t>the evidence presented by the author relates to the general human rights situation in his country of origin</w:t>
      </w:r>
      <w:r w:rsidR="006E69E3">
        <w:rPr>
          <w:lang w:val="en-US"/>
        </w:rPr>
        <w:t xml:space="preserve"> rather than to his specific case</w:t>
      </w:r>
      <w:r w:rsidR="00753365">
        <w:rPr>
          <w:lang w:val="en-US"/>
        </w:rPr>
        <w:t>. The Committee also notes</w:t>
      </w:r>
      <w:r w:rsidR="00E76AD6">
        <w:rPr>
          <w:lang w:val="en-US"/>
        </w:rPr>
        <w:t xml:space="preserve"> </w:t>
      </w:r>
      <w:r w:rsidR="00E76AD6" w:rsidRPr="00533535">
        <w:rPr>
          <w:bCs/>
          <w:lang w:val="en-US"/>
        </w:rPr>
        <w:t xml:space="preserve">the absence of any evidence </w:t>
      </w:r>
      <w:r w:rsidR="00161401">
        <w:rPr>
          <w:bCs/>
          <w:lang w:val="en-US"/>
        </w:rPr>
        <w:t>establish</w:t>
      </w:r>
      <w:r w:rsidR="00076789">
        <w:rPr>
          <w:bCs/>
          <w:lang w:val="en-US"/>
        </w:rPr>
        <w:t>ing</w:t>
      </w:r>
      <w:r w:rsidR="00161401">
        <w:rPr>
          <w:bCs/>
          <w:lang w:val="en-US"/>
        </w:rPr>
        <w:t xml:space="preserve"> that</w:t>
      </w:r>
      <w:r w:rsidR="009A577E">
        <w:rPr>
          <w:bCs/>
          <w:lang w:val="en-US"/>
        </w:rPr>
        <w:t xml:space="preserve"> the decisions of the State party’s </w:t>
      </w:r>
      <w:r w:rsidR="00161401">
        <w:rPr>
          <w:bCs/>
          <w:lang w:val="en-US"/>
        </w:rPr>
        <w:t>authorities were</w:t>
      </w:r>
      <w:r w:rsidR="009A577E">
        <w:rPr>
          <w:bCs/>
          <w:lang w:val="en-US"/>
        </w:rPr>
        <w:t xml:space="preserve"> manifestly unreasonable with respect to</w:t>
      </w:r>
      <w:r w:rsidR="00744224">
        <w:rPr>
          <w:bCs/>
          <w:lang w:val="en-US"/>
        </w:rPr>
        <w:t xml:space="preserve"> the allegations of the author</w:t>
      </w:r>
      <w:r w:rsidR="00E76AD6" w:rsidRPr="00533535">
        <w:rPr>
          <w:bCs/>
          <w:lang w:val="en-US"/>
        </w:rPr>
        <w:t>.</w:t>
      </w:r>
      <w:r w:rsidR="00753365">
        <w:rPr>
          <w:bCs/>
          <w:lang w:val="en-US"/>
        </w:rPr>
        <w:t xml:space="preserve"> </w:t>
      </w:r>
      <w:r w:rsidRPr="00811D40">
        <w:t>In the light of the above, the Committee cannot conclude that the information before it shows that the author</w:t>
      </w:r>
      <w:r w:rsidR="00811D40" w:rsidRPr="00811D40">
        <w:rPr>
          <w:lang w:val="en-GB"/>
        </w:rPr>
        <w:t xml:space="preserve">’s extradition </w:t>
      </w:r>
      <w:r w:rsidR="00811D40" w:rsidRPr="00811D40">
        <w:t xml:space="preserve">to </w:t>
      </w:r>
      <w:r w:rsidR="00811D40" w:rsidRPr="00811D40">
        <w:rPr>
          <w:lang w:val="en-GB"/>
        </w:rPr>
        <w:t>Kyrgyzstan exposed him to a</w:t>
      </w:r>
      <w:r w:rsidRPr="00811D40">
        <w:t xml:space="preserve"> real risk of treatment contrary to </w:t>
      </w:r>
      <w:r w:rsidR="004E0D75">
        <w:t>article </w:t>
      </w:r>
      <w:r w:rsidRPr="00811D40">
        <w:t>7 of the Covenant.</w:t>
      </w:r>
    </w:p>
    <w:p w:rsidR="009B1A5E" w:rsidRDefault="009B1A5E" w:rsidP="00BD4F80">
      <w:pPr>
        <w:pStyle w:val="SingleTxtG"/>
        <w:rPr>
          <w:lang w:val="en-GB"/>
        </w:rPr>
      </w:pPr>
      <w:r w:rsidRPr="00811D40">
        <w:t>1</w:t>
      </w:r>
      <w:r w:rsidRPr="00811D40">
        <w:rPr>
          <w:lang w:val="en-GB"/>
        </w:rPr>
        <w:t>1</w:t>
      </w:r>
      <w:r w:rsidRPr="00811D40">
        <w:t>.</w:t>
      </w:r>
      <w:r w:rsidRPr="00811D40">
        <w:tab/>
        <w:t xml:space="preserve">The Committee, acting under </w:t>
      </w:r>
      <w:r w:rsidR="004E0D75">
        <w:t>article </w:t>
      </w:r>
      <w:r w:rsidRPr="00811D40">
        <w:t xml:space="preserve">5 </w:t>
      </w:r>
      <w:r w:rsidR="00FE7861">
        <w:rPr>
          <w:lang w:val="en-US"/>
        </w:rPr>
        <w:t>(</w:t>
      </w:r>
      <w:r w:rsidRPr="00811D40">
        <w:t>4</w:t>
      </w:r>
      <w:r w:rsidR="00FE7861">
        <w:rPr>
          <w:lang w:val="en-US"/>
        </w:rPr>
        <w:t>)</w:t>
      </w:r>
      <w:r w:rsidRPr="00811D40">
        <w:t xml:space="preserve"> of the Optional Protocol, is of the view that the facts before it disclose a violation by </w:t>
      </w:r>
      <w:r w:rsidRPr="00811D40">
        <w:rPr>
          <w:lang w:val="en-GB"/>
        </w:rPr>
        <w:t>the Russian Federation</w:t>
      </w:r>
      <w:r w:rsidRPr="00811D40">
        <w:t xml:space="preserve"> of its obligations under article</w:t>
      </w:r>
      <w:r w:rsidR="004E0D75" w:rsidRPr="005C5E73">
        <w:rPr>
          <w:lang w:val="en-US"/>
        </w:rPr>
        <w:t> </w:t>
      </w:r>
      <w:r w:rsidRPr="00811D40">
        <w:t>1 of the Optional Protocol.</w:t>
      </w:r>
      <w:r w:rsidR="00811D40" w:rsidRPr="00811D40">
        <w:rPr>
          <w:lang w:val="en-GB"/>
        </w:rPr>
        <w:t xml:space="preserve"> </w:t>
      </w:r>
    </w:p>
    <w:p w:rsidR="006E69E3" w:rsidRPr="006E69E3" w:rsidRDefault="006E69E3" w:rsidP="006E69E3">
      <w:pPr>
        <w:pStyle w:val="SingleTxtG"/>
      </w:pPr>
      <w:r w:rsidRPr="006E69E3">
        <w:t>1</w:t>
      </w:r>
      <w:r w:rsidRPr="006E69E3">
        <w:rPr>
          <w:rFonts w:hint="eastAsia"/>
        </w:rPr>
        <w:t>2</w:t>
      </w:r>
      <w:r w:rsidRPr="006E69E3">
        <w:t>.</w:t>
      </w:r>
      <w:r w:rsidRPr="006E69E3">
        <w:tab/>
      </w:r>
      <w:r w:rsidRPr="006E69E3">
        <w:rPr>
          <w:rFonts w:hint="eastAsia"/>
        </w:rPr>
        <w:t xml:space="preserve">The State party is under an obligation to avoid violations </w:t>
      </w:r>
      <w:r w:rsidRPr="006E69E3">
        <w:t xml:space="preserve">of </w:t>
      </w:r>
      <w:r w:rsidR="004E0D75">
        <w:t>article </w:t>
      </w:r>
      <w:r w:rsidRPr="006E69E3">
        <w:t xml:space="preserve">1 of the Optional Protocol </w:t>
      </w:r>
      <w:r w:rsidRPr="006E69E3">
        <w:rPr>
          <w:rFonts w:hint="eastAsia"/>
        </w:rPr>
        <w:t>in the future</w:t>
      </w:r>
      <w:r w:rsidRPr="006E69E3">
        <w:t xml:space="preserve"> and</w:t>
      </w:r>
      <w:r w:rsidRPr="006E69E3">
        <w:rPr>
          <w:rFonts w:hint="eastAsia"/>
        </w:rPr>
        <w:t xml:space="preserve"> </w:t>
      </w:r>
      <w:r w:rsidRPr="006E69E3">
        <w:t>to</w:t>
      </w:r>
      <w:r w:rsidRPr="006E69E3">
        <w:rPr>
          <w:rFonts w:hint="eastAsia"/>
        </w:rPr>
        <w:t xml:space="preserve"> comp</w:t>
      </w:r>
      <w:r w:rsidRPr="006E69E3">
        <w:t xml:space="preserve">ly with the requests of the Committee for interim measures. </w:t>
      </w:r>
    </w:p>
    <w:p w:rsidR="00A87865" w:rsidRDefault="00A87865" w:rsidP="00DB183B">
      <w:pPr>
        <w:spacing w:before="240"/>
        <w:ind w:left="1134" w:right="1134"/>
        <w:jc w:val="center"/>
        <w:rPr>
          <w:u w:val="single"/>
        </w:rPr>
        <w:sectPr w:rsidR="00A87865" w:rsidSect="009B3C1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A87865" w:rsidRPr="002C2550" w:rsidRDefault="00A87865" w:rsidP="00A87865">
      <w:pPr>
        <w:keepNext/>
        <w:keepLines/>
        <w:tabs>
          <w:tab w:val="right" w:pos="851"/>
        </w:tabs>
        <w:spacing w:before="360" w:after="240" w:line="300" w:lineRule="exact"/>
        <w:ind w:left="1134" w:right="1134" w:hanging="1134"/>
        <w:rPr>
          <w:b/>
          <w:sz w:val="28"/>
        </w:rPr>
      </w:pPr>
      <w:r w:rsidRPr="002C2550">
        <w:rPr>
          <w:b/>
          <w:sz w:val="28"/>
        </w:rPr>
        <w:lastRenderedPageBreak/>
        <w:t>Appendix</w:t>
      </w:r>
    </w:p>
    <w:p w:rsidR="007711DB" w:rsidRPr="005C5E73" w:rsidRDefault="00A87865" w:rsidP="005C5E73">
      <w:pPr>
        <w:spacing w:after="120"/>
        <w:ind w:left="1134" w:right="1274"/>
        <w:jc w:val="both"/>
        <w:rPr>
          <w:b/>
          <w:bCs/>
          <w:sz w:val="28"/>
          <w:szCs w:val="28"/>
          <w:lang w:val="en-US"/>
        </w:rPr>
      </w:pPr>
      <w:r w:rsidRPr="005C5E73">
        <w:rPr>
          <w:b/>
          <w:bCs/>
          <w:sz w:val="28"/>
          <w:szCs w:val="28"/>
        </w:rPr>
        <w:t xml:space="preserve">Individual opinion of Committee member </w:t>
      </w:r>
      <w:r w:rsidRPr="005C5E73">
        <w:rPr>
          <w:b/>
          <w:bCs/>
          <w:sz w:val="28"/>
          <w:szCs w:val="28"/>
          <w:lang w:val="en-US"/>
        </w:rPr>
        <w:t>Dheerujlall Seetulsingh</w:t>
      </w:r>
    </w:p>
    <w:p w:rsidR="00A87865" w:rsidRPr="005C5E73" w:rsidRDefault="0078279F" w:rsidP="00264D10">
      <w:pPr>
        <w:pStyle w:val="SingleTxtG"/>
        <w:rPr>
          <w:lang w:val="en-US"/>
        </w:rPr>
      </w:pPr>
      <w:r>
        <w:rPr>
          <w:lang w:val="en-US"/>
        </w:rPr>
        <w:tab/>
      </w:r>
      <w:r w:rsidR="00A87865">
        <w:t xml:space="preserve">While I agree with the conclusions of the Committee on the non-respect of the Committee’s request for interim measures </w:t>
      </w:r>
      <w:r w:rsidRPr="005C5E73">
        <w:rPr>
          <w:lang w:val="en-US"/>
        </w:rPr>
        <w:t>(see</w:t>
      </w:r>
      <w:r w:rsidR="00A87865">
        <w:t xml:space="preserve"> </w:t>
      </w:r>
      <w:r w:rsidRPr="005C5E73">
        <w:rPr>
          <w:lang w:val="en-US"/>
        </w:rPr>
        <w:t xml:space="preserve">paras. </w:t>
      </w:r>
      <w:r w:rsidR="00A87865">
        <w:t>8.1</w:t>
      </w:r>
      <w:r w:rsidRPr="005C5E73">
        <w:rPr>
          <w:lang w:val="en-US"/>
        </w:rPr>
        <w:t>-</w:t>
      </w:r>
      <w:r w:rsidR="00A87865">
        <w:t>8.3</w:t>
      </w:r>
      <w:r w:rsidRPr="005C5E73">
        <w:rPr>
          <w:lang w:val="en-US"/>
        </w:rPr>
        <w:t>)</w:t>
      </w:r>
      <w:r w:rsidR="00A87865">
        <w:t xml:space="preserve">, I do not consider that this should be equated </w:t>
      </w:r>
      <w:r w:rsidR="00264D10" w:rsidRPr="005C5E73">
        <w:rPr>
          <w:lang w:val="en-US"/>
        </w:rPr>
        <w:t>with</w:t>
      </w:r>
      <w:r w:rsidR="00A87865">
        <w:t xml:space="preserve"> a violation of </w:t>
      </w:r>
      <w:r w:rsidR="00FE7861">
        <w:rPr>
          <w:lang w:val="en-US"/>
        </w:rPr>
        <w:t>a</w:t>
      </w:r>
      <w:r w:rsidR="004E0D75">
        <w:t>rticle </w:t>
      </w:r>
      <w:r w:rsidR="00A87865">
        <w:t xml:space="preserve">1 of the Optional Protocol </w:t>
      </w:r>
      <w:r w:rsidRPr="005C5E73">
        <w:rPr>
          <w:lang w:val="en-US"/>
        </w:rPr>
        <w:t>to</w:t>
      </w:r>
      <w:r w:rsidR="00A87865">
        <w:t xml:space="preserve"> the</w:t>
      </w:r>
      <w:r w:rsidRPr="005C5E73">
        <w:rPr>
          <w:lang w:val="en-US"/>
        </w:rPr>
        <w:t xml:space="preserve"> </w:t>
      </w:r>
      <w:r w:rsidR="00A87865">
        <w:t xml:space="preserve">Covenant. </w:t>
      </w:r>
      <w:r w:rsidRPr="005C5E73">
        <w:rPr>
          <w:lang w:val="en-US"/>
        </w:rPr>
        <w:t>R</w:t>
      </w:r>
      <w:r w:rsidR="00A87865">
        <w:t xml:space="preserve">ule 92 of the </w:t>
      </w:r>
      <w:r w:rsidR="00FE7861">
        <w:rPr>
          <w:lang w:val="en-US"/>
        </w:rPr>
        <w:t>r</w:t>
      </w:r>
      <w:r w:rsidR="00A87865">
        <w:t xml:space="preserve">ules of </w:t>
      </w:r>
      <w:r w:rsidR="00FE7861">
        <w:rPr>
          <w:lang w:val="en-US"/>
        </w:rPr>
        <w:t>p</w:t>
      </w:r>
      <w:r w:rsidR="00A87865">
        <w:t xml:space="preserve">rocedure </w:t>
      </w:r>
      <w:r w:rsidRPr="005C5E73">
        <w:rPr>
          <w:lang w:val="en-US"/>
        </w:rPr>
        <w:t xml:space="preserve">of the </w:t>
      </w:r>
      <w:r>
        <w:rPr>
          <w:lang w:val="en-US"/>
        </w:rPr>
        <w:t xml:space="preserve">Committee, </w:t>
      </w:r>
      <w:r w:rsidRPr="005C5E73">
        <w:rPr>
          <w:lang w:val="en-US"/>
        </w:rPr>
        <w:t>which</w:t>
      </w:r>
      <w:r>
        <w:rPr>
          <w:lang w:val="en-US"/>
        </w:rPr>
        <w:t xml:space="preserve"> </w:t>
      </w:r>
      <w:r w:rsidR="00A87865">
        <w:t>enable</w:t>
      </w:r>
      <w:r w:rsidRPr="005C5E73">
        <w:rPr>
          <w:lang w:val="en-US"/>
        </w:rPr>
        <w:t>s</w:t>
      </w:r>
      <w:r w:rsidR="00A87865">
        <w:t xml:space="preserve"> the Committee to make a request for interim measures, </w:t>
      </w:r>
      <w:r w:rsidRPr="005C5E73">
        <w:rPr>
          <w:lang w:val="en-US"/>
        </w:rPr>
        <w:t>should</w:t>
      </w:r>
      <w:r w:rsidR="00A87865">
        <w:t xml:space="preserve"> ideally have </w:t>
      </w:r>
      <w:r w:rsidRPr="005C5E73">
        <w:rPr>
          <w:lang w:val="en-US"/>
        </w:rPr>
        <w:t>been incl</w:t>
      </w:r>
      <w:r>
        <w:rPr>
          <w:lang w:val="en-US"/>
        </w:rPr>
        <w:t xml:space="preserve">uded </w:t>
      </w:r>
      <w:r w:rsidR="00A87865">
        <w:t xml:space="preserve">in the Optional Protocol. It is true that interim measures are necessary to protect the human rights of the author, but non-respect </w:t>
      </w:r>
      <w:r w:rsidRPr="005C5E73">
        <w:rPr>
          <w:lang w:val="en-US"/>
        </w:rPr>
        <w:t xml:space="preserve">of the </w:t>
      </w:r>
      <w:r w:rsidR="00264D10">
        <w:rPr>
          <w:lang w:val="en-US"/>
        </w:rPr>
        <w:t xml:space="preserve">Committee’s </w:t>
      </w:r>
      <w:r>
        <w:rPr>
          <w:lang w:val="en-US"/>
        </w:rPr>
        <w:t xml:space="preserve">request </w:t>
      </w:r>
      <w:r w:rsidR="00A87865">
        <w:t xml:space="preserve">constitutes a breach of obligations and does not amount to a violation </w:t>
      </w:r>
      <w:r w:rsidR="00A56A7C" w:rsidRPr="00A56A7C">
        <w:rPr>
          <w:lang w:val="en-GB"/>
        </w:rPr>
        <w:t>of the Op</w:t>
      </w:r>
      <w:r w:rsidR="00A56A7C">
        <w:rPr>
          <w:lang w:val="en-GB"/>
        </w:rPr>
        <w:t>tional Protocol</w:t>
      </w:r>
      <w:r w:rsidR="00A87865">
        <w:t>. Consequently</w:t>
      </w:r>
      <w:r w:rsidRPr="005C5E73">
        <w:rPr>
          <w:lang w:val="en-US"/>
        </w:rPr>
        <w:t>,</w:t>
      </w:r>
      <w:r w:rsidR="00A87865">
        <w:t xml:space="preserve"> </w:t>
      </w:r>
      <w:r w:rsidR="00A87865" w:rsidRPr="000E2C9F">
        <w:t>I</w:t>
      </w:r>
      <w:r w:rsidR="00AB5834" w:rsidRPr="005C5E73">
        <w:rPr>
          <w:lang w:val="en-US"/>
        </w:rPr>
        <w:t> </w:t>
      </w:r>
      <w:r w:rsidR="00A87865" w:rsidRPr="000E2C9F">
        <w:t>find</w:t>
      </w:r>
      <w:r w:rsidR="00A87865">
        <w:t xml:space="preserve"> that paragraph 11 is unnecessary.</w:t>
      </w:r>
    </w:p>
    <w:p w:rsidR="00A87865" w:rsidRPr="005C5E73" w:rsidRDefault="00A87865" w:rsidP="005C5E73">
      <w:pPr>
        <w:pStyle w:val="SingleTxtG"/>
        <w:spacing w:before="240" w:after="0"/>
        <w:jc w:val="center"/>
        <w:rPr>
          <w:u w:val="single"/>
          <w:lang w:val="en-US"/>
        </w:rPr>
      </w:pPr>
      <w:r w:rsidRPr="005C5E73">
        <w:rPr>
          <w:u w:val="single"/>
          <w:lang w:val="en-US"/>
        </w:rPr>
        <w:tab/>
      </w:r>
      <w:r w:rsidRPr="005C5E73">
        <w:rPr>
          <w:u w:val="single"/>
          <w:lang w:val="en-US"/>
        </w:rPr>
        <w:tab/>
      </w:r>
      <w:r w:rsidRPr="005C5E73">
        <w:rPr>
          <w:u w:val="single"/>
          <w:lang w:val="en-US"/>
        </w:rPr>
        <w:tab/>
      </w:r>
    </w:p>
    <w:p w:rsidR="00A87865" w:rsidRPr="005C5E73" w:rsidRDefault="00A87865" w:rsidP="005C5E73">
      <w:pPr>
        <w:rPr>
          <w:lang w:val="en-US"/>
        </w:rPr>
      </w:pPr>
    </w:p>
    <w:sectPr w:rsidR="00A87865" w:rsidRPr="005C5E73" w:rsidSect="005C5E73">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9B" w:rsidRDefault="00F4009B"/>
  </w:endnote>
  <w:endnote w:type="continuationSeparator" w:id="0">
    <w:p w:rsidR="00F4009B" w:rsidRDefault="00F4009B"/>
  </w:endnote>
  <w:endnote w:type="continuationNotice" w:id="1">
    <w:p w:rsidR="00F4009B" w:rsidRDefault="00F40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0" w:rsidRPr="00781C83" w:rsidRDefault="00BF1510"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735B93">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0" w:rsidRPr="000E2C9F" w:rsidRDefault="00BF1510" w:rsidP="00781C83">
    <w:pPr>
      <w:pStyle w:val="Footer"/>
      <w:tabs>
        <w:tab w:val="right" w:pos="9638"/>
      </w:tabs>
      <w:rPr>
        <w:b/>
        <w:bCs/>
        <w:sz w:val="18"/>
      </w:rPr>
    </w:pPr>
    <w:r>
      <w:rPr>
        <w:b/>
        <w:sz w:val="18"/>
      </w:rPr>
      <w:tab/>
    </w:r>
    <w:r w:rsidRPr="000E2C9F">
      <w:rPr>
        <w:b/>
        <w:bCs/>
        <w:sz w:val="18"/>
      </w:rPr>
      <w:fldChar w:fldCharType="begin"/>
    </w:r>
    <w:r w:rsidRPr="000E2C9F">
      <w:rPr>
        <w:b/>
        <w:bCs/>
        <w:sz w:val="18"/>
      </w:rPr>
      <w:instrText xml:space="preserve"> PAGE  \* MERGEFORMAT </w:instrText>
    </w:r>
    <w:r w:rsidRPr="000E2C9F">
      <w:rPr>
        <w:b/>
        <w:bCs/>
        <w:sz w:val="18"/>
      </w:rPr>
      <w:fldChar w:fldCharType="separate"/>
    </w:r>
    <w:r w:rsidR="00735B93">
      <w:rPr>
        <w:b/>
        <w:bCs/>
        <w:noProof/>
        <w:sz w:val="18"/>
      </w:rPr>
      <w:t>3</w:t>
    </w:r>
    <w:r w:rsidRPr="000E2C9F">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0" w:rsidRDefault="00ED49FA" w:rsidP="00DB63E4">
    <w:r>
      <w:rPr>
        <w:noProof/>
        <w:lang w:val="en-US"/>
      </w:rPr>
      <w:drawing>
        <wp:anchor distT="0" distB="0" distL="114300" distR="114300" simplePos="0" relativeHeight="251657728" behindDoc="0" locked="1" layoutInCell="1" allowOverlap="1" wp14:anchorId="2409D911" wp14:editId="28D919C0">
          <wp:simplePos x="0" y="0"/>
          <wp:positionH relativeFrom="column">
            <wp:posOffset>4377055</wp:posOffset>
          </wp:positionH>
          <wp:positionV relativeFrom="paragraph">
            <wp:posOffset>177800</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BF1510">
      <w:t>GE.15-</w:t>
    </w:r>
    <w:r w:rsidR="00B94EE2">
      <w:t>110</w:t>
    </w:r>
    <w:r w:rsidR="00DB63E4">
      <w:t>22  (E)</w:t>
    </w:r>
    <w:r w:rsidR="00DB63E4">
      <w:br/>
    </w:r>
    <w:r w:rsidR="00DB63E4" w:rsidRPr="00DB63E4">
      <w:rPr>
        <w:rFonts w:ascii="C39T30Lfz" w:hAnsi="C39T30Lfz"/>
        <w:sz w:val="56"/>
      </w:rPr>
      <w:t></w:t>
    </w:r>
    <w:r w:rsidR="00DB63E4" w:rsidRPr="00DB63E4">
      <w:rPr>
        <w:rFonts w:ascii="C39T30Lfz" w:hAnsi="C39T30Lfz"/>
        <w:sz w:val="56"/>
      </w:rPr>
      <w:t></w:t>
    </w:r>
    <w:r w:rsidR="00DB63E4" w:rsidRPr="00DB63E4">
      <w:rPr>
        <w:rFonts w:ascii="C39T30Lfz" w:hAnsi="C39T30Lfz"/>
        <w:sz w:val="56"/>
      </w:rPr>
      <w:t></w:t>
    </w:r>
    <w:r w:rsidR="00DB63E4" w:rsidRPr="00DB63E4">
      <w:rPr>
        <w:rFonts w:ascii="C39T30Lfz" w:hAnsi="C39T30Lfz"/>
        <w:sz w:val="56"/>
      </w:rPr>
      <w:t></w:t>
    </w:r>
    <w:r w:rsidR="00DB63E4">
      <w:rPr>
        <w:rFonts w:ascii="C39T30Lfz" w:hAnsi="C39T30Lfz"/>
        <w:sz w:val="56"/>
      </w:rPr>
      <w:t></w:t>
    </w:r>
    <w:r w:rsidR="00DB63E4">
      <w:rPr>
        <w:rFonts w:ascii="C39T30Lfz" w:hAnsi="C39T30Lfz"/>
        <w:sz w:val="56"/>
      </w:rPr>
      <w:t></w:t>
    </w:r>
    <w:r w:rsidR="00DB63E4">
      <w:rPr>
        <w:rFonts w:ascii="C39T30Lfz" w:hAnsi="C39T30Lfz"/>
        <w:sz w:val="56"/>
      </w:rPr>
      <w:t></w:t>
    </w:r>
    <w:r w:rsidR="00DB63E4">
      <w:rPr>
        <w:rFonts w:ascii="C39T30Lfz" w:hAnsi="C39T30Lfz"/>
        <w:sz w:val="56"/>
      </w:rPr>
      <w:t></w:t>
    </w:r>
    <w:r w:rsidR="00DB63E4">
      <w:rPr>
        <w:rFonts w:ascii="C39T30Lfz" w:hAnsi="C39T30Lfz"/>
        <w:sz w:val="56"/>
      </w:rPr>
      <w:t></w:t>
    </w:r>
    <w:r w:rsidR="00DB63E4" w:rsidRPr="00DB63E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9B" w:rsidRPr="000B175B" w:rsidRDefault="00F4009B" w:rsidP="000B175B">
      <w:pPr>
        <w:tabs>
          <w:tab w:val="right" w:pos="2155"/>
        </w:tabs>
        <w:spacing w:after="80"/>
        <w:ind w:left="680"/>
        <w:rPr>
          <w:u w:val="single"/>
        </w:rPr>
      </w:pPr>
      <w:r>
        <w:rPr>
          <w:u w:val="single"/>
        </w:rPr>
        <w:tab/>
      </w:r>
    </w:p>
  </w:footnote>
  <w:footnote w:type="continuationSeparator" w:id="0">
    <w:p w:rsidR="00F4009B" w:rsidRPr="00FC68B7" w:rsidRDefault="00F4009B" w:rsidP="00FC68B7">
      <w:pPr>
        <w:tabs>
          <w:tab w:val="left" w:pos="2155"/>
        </w:tabs>
        <w:spacing w:after="80"/>
        <w:ind w:left="680"/>
        <w:rPr>
          <w:u w:val="single"/>
        </w:rPr>
      </w:pPr>
      <w:r>
        <w:rPr>
          <w:u w:val="single"/>
        </w:rPr>
        <w:tab/>
      </w:r>
    </w:p>
  </w:footnote>
  <w:footnote w:type="continuationNotice" w:id="1">
    <w:p w:rsidR="00F4009B" w:rsidRDefault="00F4009B"/>
  </w:footnote>
  <w:footnote w:id="2">
    <w:p w:rsidR="00BF1510" w:rsidRPr="00C36048" w:rsidRDefault="00BF1510" w:rsidP="00B66B59">
      <w:pPr>
        <w:pStyle w:val="FootnoteText"/>
      </w:pPr>
      <w:r>
        <w:rPr>
          <w:rStyle w:val="FootnoteReference"/>
        </w:rPr>
        <w:tab/>
      </w:r>
      <w:r w:rsidRPr="005C5E73">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Pr>
          <w:szCs w:val="18"/>
        </w:rPr>
        <w:t>Yadh Ben Achour,</w:t>
      </w:r>
      <w:r w:rsidRPr="009131F3">
        <w:rPr>
          <w:bCs/>
          <w:szCs w:val="18"/>
        </w:rPr>
        <w:t xml:space="preserve"> Lazhari Bouzid, </w:t>
      </w:r>
      <w:r>
        <w:rPr>
          <w:bCs/>
          <w:szCs w:val="18"/>
        </w:rPr>
        <w:t xml:space="preserve">Sarah Cleveland, Olivier de Frouville, </w:t>
      </w:r>
      <w:r w:rsidRPr="009131F3">
        <w:rPr>
          <w:bCs/>
          <w:szCs w:val="18"/>
        </w:rPr>
        <w:t>Yuji</w:t>
      </w:r>
      <w:r>
        <w:rPr>
          <w:bCs/>
          <w:szCs w:val="18"/>
        </w:rPr>
        <w:t> </w:t>
      </w:r>
      <w:r w:rsidRPr="009131F3">
        <w:rPr>
          <w:bCs/>
          <w:szCs w:val="18"/>
        </w:rPr>
        <w:t xml:space="preserve">Iwasawa, </w:t>
      </w:r>
      <w:r>
        <w:rPr>
          <w:bCs/>
          <w:szCs w:val="18"/>
        </w:rPr>
        <w:t>Ivana Jelić, Duncan Laki</w:t>
      </w:r>
      <w:r w:rsidR="00C268AF" w:rsidRPr="00C268AF">
        <w:rPr>
          <w:bCs/>
          <w:szCs w:val="18"/>
        </w:rPr>
        <w:t xml:space="preserve"> </w:t>
      </w:r>
      <w:r w:rsidR="00C268AF">
        <w:rPr>
          <w:bCs/>
          <w:szCs w:val="18"/>
        </w:rPr>
        <w:t>Muhumu</w:t>
      </w:r>
      <w:r w:rsidR="00C268AF" w:rsidRPr="00991989">
        <w:rPr>
          <w:bCs/>
          <w:szCs w:val="18"/>
          <w:lang w:val="en-GB"/>
        </w:rPr>
        <w:t>z</w:t>
      </w:r>
      <w:r w:rsidR="00C268AF">
        <w:rPr>
          <w:bCs/>
          <w:szCs w:val="18"/>
        </w:rPr>
        <w:t>a</w:t>
      </w:r>
      <w:r>
        <w:rPr>
          <w:bCs/>
          <w:szCs w:val="18"/>
        </w:rPr>
        <w:t xml:space="preserve">, Photini Pazartzis, Mauro Politi, </w:t>
      </w:r>
      <w:r w:rsidR="00725B66">
        <w:rPr>
          <w:bCs/>
          <w:szCs w:val="18"/>
        </w:rPr>
        <w:t xml:space="preserve">Sir </w:t>
      </w:r>
      <w:r>
        <w:rPr>
          <w:bCs/>
          <w:szCs w:val="18"/>
        </w:rPr>
        <w:t>Nigel Rodley, Víctor Manuel Rodríguez-Rescia,</w:t>
      </w:r>
      <w:r w:rsidRPr="009131F3">
        <w:rPr>
          <w:bCs/>
          <w:szCs w:val="18"/>
        </w:rPr>
        <w:t> Fabi</w:t>
      </w:r>
      <w:r w:rsidR="00C268AF">
        <w:rPr>
          <w:bCs/>
          <w:szCs w:val="18"/>
        </w:rPr>
        <w:t>á</w:t>
      </w:r>
      <w:r w:rsidRPr="009131F3">
        <w:rPr>
          <w:bCs/>
          <w:szCs w:val="18"/>
        </w:rPr>
        <w:t xml:space="preserve">n Omar Salvioli, </w:t>
      </w:r>
      <w:r>
        <w:rPr>
          <w:bCs/>
          <w:szCs w:val="18"/>
        </w:rPr>
        <w:t>Dheerujlall Seetulsingh, Anja Seibert-Fohr, Yuval Shany, Konstantine Vardzelashvili and Margo Waterval</w:t>
      </w:r>
      <w:r w:rsidRPr="009131F3">
        <w:rPr>
          <w:bCs/>
          <w:szCs w:val="18"/>
        </w:rPr>
        <w:t>.</w:t>
      </w:r>
      <w:r w:rsidR="00B66B59">
        <w:rPr>
          <w:bCs/>
          <w:szCs w:val="18"/>
        </w:rPr>
        <w:t xml:space="preserve"> </w:t>
      </w:r>
      <w:r w:rsidRPr="002C2550">
        <w:rPr>
          <w:bCs/>
          <w:szCs w:val="18"/>
        </w:rPr>
        <w:t xml:space="preserve">The text of an individual opinion by Committee member </w:t>
      </w:r>
      <w:r>
        <w:rPr>
          <w:bCs/>
          <w:szCs w:val="18"/>
        </w:rPr>
        <w:t>Dheerujlall Seetulsingh</w:t>
      </w:r>
      <w:r w:rsidRPr="002C2550">
        <w:rPr>
          <w:bCs/>
          <w:szCs w:val="18"/>
        </w:rPr>
        <w:t xml:space="preserve"> is appended to the present </w:t>
      </w:r>
      <w:r w:rsidR="0078279F">
        <w:rPr>
          <w:bCs/>
          <w:szCs w:val="18"/>
        </w:rPr>
        <w:t>document</w:t>
      </w:r>
      <w:r w:rsidRPr="002C2550">
        <w:rPr>
          <w:bCs/>
          <w:szCs w:val="18"/>
        </w:rPr>
        <w:t>.</w:t>
      </w:r>
    </w:p>
  </w:footnote>
  <w:footnote w:id="3">
    <w:p w:rsidR="00BF1510" w:rsidRPr="00241AE8" w:rsidRDefault="00BF1510" w:rsidP="00D43E03">
      <w:pPr>
        <w:pStyle w:val="FootnoteText"/>
        <w:rPr>
          <w:lang w:val="en-GB"/>
        </w:rPr>
      </w:pPr>
      <w:r w:rsidRPr="008D29A0">
        <w:rPr>
          <w:lang w:val="en-GB"/>
        </w:rPr>
        <w:tab/>
      </w:r>
      <w:r w:rsidRPr="00ED6399">
        <w:rPr>
          <w:rStyle w:val="FootnoteReference"/>
        </w:rPr>
        <w:footnoteRef/>
      </w:r>
      <w:r>
        <w:rPr>
          <w:lang w:val="fr-CH"/>
        </w:rPr>
        <w:tab/>
      </w:r>
      <w:r w:rsidRPr="00241AE8">
        <w:t xml:space="preserve">The </w:t>
      </w:r>
      <w:r w:rsidRPr="00D43E03">
        <w:t>Optional</w:t>
      </w:r>
      <w:r w:rsidRPr="00241AE8">
        <w:t xml:space="preserve"> Protocol entered into force for the Russian Federation on 1 October 1991.</w:t>
      </w:r>
    </w:p>
  </w:footnote>
  <w:footnote w:id="4">
    <w:p w:rsidR="00BF1510" w:rsidRPr="008B25A1" w:rsidRDefault="00BF1510" w:rsidP="003B6021">
      <w:pPr>
        <w:pStyle w:val="FootnoteText"/>
      </w:pPr>
      <w:r>
        <w:rPr>
          <w:lang w:val="fr-CH"/>
        </w:rPr>
        <w:tab/>
      </w:r>
      <w:r w:rsidRPr="00ED6399">
        <w:rPr>
          <w:rStyle w:val="FootnoteReference"/>
        </w:rPr>
        <w:footnoteRef/>
      </w:r>
      <w:r w:rsidRPr="005C5E73">
        <w:tab/>
      </w:r>
      <w:r w:rsidRPr="0040596E">
        <w:rPr>
          <w:lang w:val="en-GB"/>
        </w:rPr>
        <w:t>The author makes ref</w:t>
      </w:r>
      <w:r>
        <w:rPr>
          <w:lang w:val="en-GB"/>
        </w:rPr>
        <w:t>e</w:t>
      </w:r>
      <w:r w:rsidRPr="0040596E">
        <w:rPr>
          <w:lang w:val="en-GB"/>
        </w:rPr>
        <w:t xml:space="preserve">rence to </w:t>
      </w:r>
      <w:r w:rsidRPr="00D43E03">
        <w:t>Supreme</w:t>
      </w:r>
      <w:r>
        <w:t xml:space="preserve"> Court </w:t>
      </w:r>
      <w:r w:rsidRPr="0040596E">
        <w:t>Ruling</w:t>
      </w:r>
      <w:r>
        <w:t xml:space="preserve"> No. </w:t>
      </w:r>
      <w:r w:rsidRPr="0040596E">
        <w:t>101-O, dated 4 April 2006</w:t>
      </w:r>
      <w:r>
        <w:t>, on the case of the</w:t>
      </w:r>
      <w:r w:rsidRPr="0040596E">
        <w:t xml:space="preserve"> Tajik citizen Nasrulloev Khabibulo</w:t>
      </w:r>
      <w:r>
        <w:t>.</w:t>
      </w:r>
      <w:r w:rsidRPr="0040596E">
        <w:t xml:space="preserve"> </w:t>
      </w:r>
    </w:p>
  </w:footnote>
  <w:footnote w:id="5">
    <w:p w:rsidR="00BF1510" w:rsidRPr="006D75E7" w:rsidRDefault="00BF1510" w:rsidP="00D43E03">
      <w:pPr>
        <w:pStyle w:val="FootnoteText"/>
      </w:pPr>
      <w:r w:rsidRPr="005C5E73">
        <w:tab/>
      </w:r>
      <w:r w:rsidRPr="00ED6399">
        <w:rPr>
          <w:rStyle w:val="FootnoteReference"/>
        </w:rPr>
        <w:footnoteRef/>
      </w:r>
      <w:r>
        <w:rPr>
          <w:lang w:val="fr-CH"/>
        </w:rPr>
        <w:tab/>
      </w:r>
      <w:r w:rsidRPr="006D75E7">
        <w:rPr>
          <w:lang w:val="en-GB"/>
        </w:rPr>
        <w:t xml:space="preserve">On 15 November 2012, the </w:t>
      </w:r>
      <w:r w:rsidRPr="006D75E7">
        <w:t>Committee</w:t>
      </w:r>
      <w:r>
        <w:t xml:space="preserve"> reiterated its </w:t>
      </w:r>
      <w:r w:rsidRPr="006D75E7">
        <w:t>request</w:t>
      </w:r>
      <w:r w:rsidRPr="006D75E7">
        <w:rPr>
          <w:lang w:val="en-GB"/>
        </w:rPr>
        <w:t xml:space="preserve"> to </w:t>
      </w:r>
      <w:r w:rsidRPr="006D75E7">
        <w:t>the State party not to ex</w:t>
      </w:r>
      <w:r w:rsidRPr="006D75E7">
        <w:rPr>
          <w:lang w:val="en-GB"/>
        </w:rPr>
        <w:t xml:space="preserve">tradite </w:t>
      </w:r>
      <w:r w:rsidRPr="006D75E7">
        <w:t xml:space="preserve">the author to </w:t>
      </w:r>
      <w:r w:rsidRPr="006D75E7">
        <w:rPr>
          <w:lang w:val="en-GB"/>
        </w:rPr>
        <w:t>Kyrgyzstan</w:t>
      </w:r>
      <w:r w:rsidRPr="006D75E7">
        <w:t xml:space="preserve"> pending consideration of his communication.</w:t>
      </w:r>
    </w:p>
  </w:footnote>
  <w:footnote w:id="6">
    <w:p w:rsidR="00BF1510" w:rsidRPr="005C5E73" w:rsidRDefault="00BF1510" w:rsidP="00D43E03">
      <w:pPr>
        <w:pStyle w:val="FootnoteText"/>
        <w:rPr>
          <w:highlight w:val="yellow"/>
          <w:lang w:val="en-GB"/>
        </w:rPr>
      </w:pPr>
      <w:r>
        <w:rPr>
          <w:lang w:val="fr-CH"/>
        </w:rPr>
        <w:tab/>
      </w:r>
      <w:r w:rsidRPr="00ED6399">
        <w:rPr>
          <w:rStyle w:val="FootnoteReference"/>
        </w:rPr>
        <w:footnoteRef/>
      </w:r>
      <w:r w:rsidRPr="005C5E73">
        <w:tab/>
      </w:r>
      <w:r w:rsidRPr="00C12E00">
        <w:rPr>
          <w:lang w:val="en-GB"/>
        </w:rPr>
        <w:t xml:space="preserve">The State party refers to </w:t>
      </w:r>
      <w:r w:rsidRPr="00C12E00">
        <w:rPr>
          <w:i/>
          <w:lang w:val="en-GB"/>
        </w:rPr>
        <w:t>Saadi v. Italy</w:t>
      </w:r>
      <w:r w:rsidRPr="00C12E00">
        <w:rPr>
          <w:lang w:val="en-GB"/>
        </w:rPr>
        <w:t xml:space="preserve"> </w:t>
      </w:r>
      <w:r w:rsidR="00C12E00">
        <w:rPr>
          <w:lang w:val="en-GB"/>
        </w:rPr>
        <w:t>(a</w:t>
      </w:r>
      <w:r w:rsidRPr="00C12E00">
        <w:rPr>
          <w:lang w:val="en-GB"/>
        </w:rPr>
        <w:t>pplication No. </w:t>
      </w:r>
      <w:hyperlink r:id="rId1" w:anchor="{&quot;appno&quot;:[&quot;37201/06&quot;]}" w:tgtFrame="_blank" w:history="1">
        <w:r w:rsidRPr="00C12E00">
          <w:rPr>
            <w:rStyle w:val="Hyperlink"/>
          </w:rPr>
          <w:t>37201/06</w:t>
        </w:r>
      </w:hyperlink>
      <w:r w:rsidR="00C12E00">
        <w:t>)</w:t>
      </w:r>
      <w:r w:rsidRPr="00C12E00">
        <w:rPr>
          <w:lang w:val="en-GB"/>
        </w:rPr>
        <w:t xml:space="preserve">, </w:t>
      </w:r>
      <w:r w:rsidR="00C12E00" w:rsidRPr="00C12E00">
        <w:rPr>
          <w:lang w:val="en-GB"/>
        </w:rPr>
        <w:t xml:space="preserve">European </w:t>
      </w:r>
      <w:r w:rsidR="00C12E00" w:rsidRPr="00C12E00">
        <w:t>Court</w:t>
      </w:r>
      <w:r w:rsidR="00C12E00" w:rsidRPr="00C12E00">
        <w:rPr>
          <w:lang w:val="en-GB"/>
        </w:rPr>
        <w:t xml:space="preserve"> of Human Rights</w:t>
      </w:r>
      <w:r w:rsidR="00C12E00">
        <w:rPr>
          <w:lang w:val="en-GB"/>
        </w:rPr>
        <w:t xml:space="preserve"> judgement of </w:t>
      </w:r>
      <w:r w:rsidR="00C12E00" w:rsidRPr="00C12E00">
        <w:rPr>
          <w:lang w:val="en-GB"/>
        </w:rPr>
        <w:t>28 February 2008</w:t>
      </w:r>
      <w:r w:rsidR="00C12E00">
        <w:rPr>
          <w:lang w:val="en-GB"/>
        </w:rPr>
        <w:t>,</w:t>
      </w:r>
      <w:r w:rsidR="00C12E00" w:rsidRPr="00C12E00">
        <w:rPr>
          <w:lang w:val="en-GB"/>
        </w:rPr>
        <w:t xml:space="preserve"> </w:t>
      </w:r>
      <w:r w:rsidRPr="00C12E00">
        <w:rPr>
          <w:lang w:val="en-GB"/>
        </w:rPr>
        <w:t>para. 129.</w:t>
      </w:r>
    </w:p>
  </w:footnote>
  <w:footnote w:id="7">
    <w:p w:rsidR="00BF1510" w:rsidRPr="005C5E73" w:rsidRDefault="00BF1510" w:rsidP="00E9006E">
      <w:pPr>
        <w:pStyle w:val="FootnoteText"/>
        <w:rPr>
          <w:highlight w:val="yellow"/>
          <w:lang w:val="en-GB"/>
        </w:rPr>
      </w:pPr>
      <w:r w:rsidRPr="005C5E73">
        <w:tab/>
      </w:r>
      <w:r w:rsidRPr="00C12E00">
        <w:rPr>
          <w:rStyle w:val="FootnoteReference"/>
        </w:rPr>
        <w:footnoteRef/>
      </w:r>
      <w:r w:rsidRPr="005C5E73">
        <w:tab/>
      </w:r>
      <w:r w:rsidRPr="00C12E00">
        <w:rPr>
          <w:lang w:val="en-GB"/>
        </w:rPr>
        <w:t xml:space="preserve">The State party refers to </w:t>
      </w:r>
      <w:r w:rsidRPr="00C12E00">
        <w:rPr>
          <w:i/>
          <w:lang w:val="en-GB"/>
        </w:rPr>
        <w:t xml:space="preserve">Vilvarajah and </w:t>
      </w:r>
      <w:r w:rsidRPr="005C5E73">
        <w:rPr>
          <w:i/>
          <w:iCs/>
        </w:rPr>
        <w:t>others</w:t>
      </w:r>
      <w:r w:rsidRPr="00C12E00">
        <w:rPr>
          <w:i/>
          <w:lang w:val="en-GB"/>
        </w:rPr>
        <w:t xml:space="preserve"> v. the United Kingdom</w:t>
      </w:r>
      <w:r w:rsidRPr="00C12E00">
        <w:rPr>
          <w:lang w:val="en-GB"/>
        </w:rPr>
        <w:t xml:space="preserve"> (</w:t>
      </w:r>
      <w:r w:rsidR="00C12E00">
        <w:rPr>
          <w:lang w:val="en-GB"/>
        </w:rPr>
        <w:t>a</w:t>
      </w:r>
      <w:r w:rsidRPr="00C12E00">
        <w:rPr>
          <w:lang w:val="en-GB"/>
        </w:rPr>
        <w:t>pplications No</w:t>
      </w:r>
      <w:r w:rsidR="00E9006E">
        <w:rPr>
          <w:lang w:val="en-GB"/>
        </w:rPr>
        <w:t>s</w:t>
      </w:r>
      <w:r w:rsidRPr="00C12E00">
        <w:rPr>
          <w:lang w:val="en-GB"/>
        </w:rPr>
        <w:t>. </w:t>
      </w:r>
      <w:hyperlink r:id="rId2" w:anchor="{&quot;appno&quot;:[&quot;13163/87&quot;]}" w:tgtFrame="_blank" w:history="1">
        <w:r w:rsidRPr="00C12E00">
          <w:rPr>
            <w:rStyle w:val="Hyperlink"/>
            <w:lang w:val="en-GB"/>
          </w:rPr>
          <w:t>13163/87</w:t>
        </w:r>
      </w:hyperlink>
      <w:r w:rsidR="00E9006E">
        <w:rPr>
          <w:lang w:val="en-GB"/>
        </w:rPr>
        <w:t>,</w:t>
      </w:r>
      <w:r w:rsidRPr="00C12E00">
        <w:rPr>
          <w:lang w:val="en-GB"/>
        </w:rPr>
        <w:t xml:space="preserve"> 13164/87</w:t>
      </w:r>
      <w:r w:rsidR="00E9006E">
        <w:rPr>
          <w:lang w:val="en-GB"/>
        </w:rPr>
        <w:t>,</w:t>
      </w:r>
      <w:r w:rsidRPr="00C12E00">
        <w:rPr>
          <w:lang w:val="en-GB"/>
        </w:rPr>
        <w:t xml:space="preserve"> 13165/87</w:t>
      </w:r>
      <w:r w:rsidR="00E9006E">
        <w:rPr>
          <w:lang w:val="en-GB"/>
        </w:rPr>
        <w:t>,</w:t>
      </w:r>
      <w:r w:rsidRPr="00C12E00">
        <w:rPr>
          <w:lang w:val="en-GB"/>
        </w:rPr>
        <w:t xml:space="preserve"> 13447/87</w:t>
      </w:r>
      <w:r w:rsidR="00E9006E">
        <w:rPr>
          <w:lang w:val="en-GB"/>
        </w:rPr>
        <w:t xml:space="preserve"> and</w:t>
      </w:r>
      <w:r w:rsidRPr="00C12E00">
        <w:rPr>
          <w:lang w:val="en-GB"/>
        </w:rPr>
        <w:t xml:space="preserve"> </w:t>
      </w:r>
      <w:hyperlink r:id="rId3" w:anchor="{&quot;appno&quot;:[&quot;13448/87&quot;]}" w:tgtFrame="_blank" w:history="1">
        <w:r w:rsidRPr="00C12E00">
          <w:rPr>
            <w:rStyle w:val="Hyperlink"/>
            <w:lang w:val="en-GB"/>
          </w:rPr>
          <w:t>13448/87</w:t>
        </w:r>
      </w:hyperlink>
      <w:r w:rsidRPr="00C12E00">
        <w:rPr>
          <w:lang w:val="en-GB"/>
        </w:rPr>
        <w:t xml:space="preserve">), European Court </w:t>
      </w:r>
      <w:r w:rsidR="00C12E00">
        <w:rPr>
          <w:lang w:val="en-GB"/>
        </w:rPr>
        <w:t>of</w:t>
      </w:r>
      <w:r w:rsidRPr="00C12E00">
        <w:rPr>
          <w:lang w:val="en-GB"/>
        </w:rPr>
        <w:t xml:space="preserve"> Human Rights, judg</w:t>
      </w:r>
      <w:r w:rsidR="00C12E00">
        <w:rPr>
          <w:lang w:val="en-GB"/>
        </w:rPr>
        <w:t>e</w:t>
      </w:r>
      <w:r w:rsidRPr="00C12E00">
        <w:rPr>
          <w:lang w:val="en-GB"/>
        </w:rPr>
        <w:t>ment of 30 October 1991, para. 111.</w:t>
      </w:r>
    </w:p>
  </w:footnote>
  <w:footnote w:id="8">
    <w:p w:rsidR="00BF1510" w:rsidRPr="00CA5209" w:rsidRDefault="00BF1510" w:rsidP="00D43E03">
      <w:pPr>
        <w:pStyle w:val="FootnoteText"/>
      </w:pPr>
      <w:r w:rsidRPr="005C5E73">
        <w:tab/>
      </w:r>
      <w:r w:rsidRPr="00C12E00">
        <w:rPr>
          <w:rStyle w:val="FootnoteReference"/>
        </w:rPr>
        <w:footnoteRef/>
      </w:r>
      <w:r w:rsidRPr="005C5E73">
        <w:tab/>
      </w:r>
      <w:r w:rsidRPr="00C12E00">
        <w:t xml:space="preserve">The State party refers to </w:t>
      </w:r>
      <w:r w:rsidRPr="00C12E00">
        <w:rPr>
          <w:i/>
        </w:rPr>
        <w:t>Mamatkulov and Askarov v. Turkey</w:t>
      </w:r>
      <w:r w:rsidRPr="00C12E00">
        <w:t>, (</w:t>
      </w:r>
      <w:r w:rsidR="00C12E00">
        <w:t>a</w:t>
      </w:r>
      <w:r w:rsidRPr="00C12E00">
        <w:t>pplications Nos. </w:t>
      </w:r>
      <w:hyperlink r:id="rId4" w:anchor="{&quot;appno&quot;:[&quot;46827/99&quot;]}" w:tgtFrame="_blank" w:history="1">
        <w:r w:rsidRPr="00C12E00">
          <w:rPr>
            <w:rStyle w:val="Hyperlink"/>
            <w:lang w:val="en-GB"/>
          </w:rPr>
          <w:t>46827/99</w:t>
        </w:r>
      </w:hyperlink>
      <w:r w:rsidRPr="00C12E00">
        <w:t xml:space="preserve"> and </w:t>
      </w:r>
      <w:hyperlink r:id="rId5" w:anchor="{&quot;appno&quot;:[&quot;46951/99&quot;]}" w:tgtFrame="_blank" w:history="1">
        <w:r w:rsidRPr="00C12E00">
          <w:rPr>
            <w:rStyle w:val="Hyperlink"/>
            <w:lang w:val="en-GB"/>
          </w:rPr>
          <w:t>46951/99</w:t>
        </w:r>
      </w:hyperlink>
      <w:r w:rsidRPr="00C12E00">
        <w:t xml:space="preserve">), European Court </w:t>
      </w:r>
      <w:r w:rsidR="00C12E00">
        <w:t>of</w:t>
      </w:r>
      <w:r w:rsidR="00C12E00" w:rsidRPr="00C12E00">
        <w:t xml:space="preserve"> </w:t>
      </w:r>
      <w:r w:rsidRPr="00C12E00">
        <w:t>Human Rights, judg</w:t>
      </w:r>
      <w:r w:rsidR="00C12E00">
        <w:t>e</w:t>
      </w:r>
      <w:r w:rsidRPr="00C12E00">
        <w:t xml:space="preserve">ment of </w:t>
      </w:r>
      <w:r w:rsidRPr="00C12E00">
        <w:rPr>
          <w:rStyle w:val="sb8d990e2"/>
        </w:rPr>
        <w:t>4 February 2005</w:t>
      </w:r>
      <w:r w:rsidRPr="00C12E00">
        <w:rPr>
          <w:rStyle w:val="sb8d990e2"/>
          <w:lang w:val="en-GB"/>
        </w:rPr>
        <w:t>, para. 73.</w:t>
      </w:r>
    </w:p>
  </w:footnote>
  <w:footnote w:id="9">
    <w:p w:rsidR="00BF1510" w:rsidRPr="006E6139" w:rsidRDefault="00BF1510" w:rsidP="00D43E03">
      <w:pPr>
        <w:pStyle w:val="FootnoteText"/>
      </w:pPr>
      <w:r w:rsidRPr="005C5E73">
        <w:tab/>
      </w:r>
      <w:r w:rsidRPr="00ED6399">
        <w:rPr>
          <w:rStyle w:val="FootnoteReference"/>
        </w:rPr>
        <w:footnoteRef/>
      </w:r>
      <w:r w:rsidRPr="005C5E73">
        <w:tab/>
      </w:r>
      <w:r w:rsidRPr="006E6139">
        <w:t xml:space="preserve">Ruling of the </w:t>
      </w:r>
      <w:r w:rsidR="00C12E00">
        <w:t>p</w:t>
      </w:r>
      <w:r w:rsidRPr="006E6139">
        <w:t xml:space="preserve">lenum of the </w:t>
      </w:r>
      <w:r>
        <w:t>Supreme Court No. 11 of 14 June 2012.</w:t>
      </w:r>
    </w:p>
  </w:footnote>
  <w:footnote w:id="10">
    <w:p w:rsidR="00BF1510" w:rsidRPr="006C26EB" w:rsidRDefault="00BF1510" w:rsidP="000E2C9F">
      <w:pPr>
        <w:pStyle w:val="FootnoteText"/>
      </w:pPr>
      <w:r w:rsidRPr="005C5E73">
        <w:tab/>
      </w:r>
      <w:r w:rsidRPr="00ED6399">
        <w:rPr>
          <w:rStyle w:val="FootnoteReference"/>
        </w:rPr>
        <w:footnoteRef/>
      </w:r>
      <w:r w:rsidRPr="00420107">
        <w:rPr>
          <w:lang w:val="en-GB"/>
        </w:rPr>
        <w:tab/>
      </w:r>
      <w:r w:rsidRPr="00C12E00">
        <w:t>The author submits that</w:t>
      </w:r>
      <w:r w:rsidR="00C12E00">
        <w:t>,</w:t>
      </w:r>
      <w:r w:rsidRPr="00C12E00">
        <w:t xml:space="preserve"> since October 2012</w:t>
      </w:r>
      <w:r w:rsidR="00C12E00">
        <w:t>,</w:t>
      </w:r>
      <w:r w:rsidRPr="00C12E00">
        <w:t xml:space="preserve"> the European Court </w:t>
      </w:r>
      <w:r w:rsidR="00C12E00">
        <w:t>of</w:t>
      </w:r>
      <w:r w:rsidR="00C12E00" w:rsidRPr="00C12E00">
        <w:t xml:space="preserve"> </w:t>
      </w:r>
      <w:r w:rsidRPr="00C12E00">
        <w:t xml:space="preserve">Human Rights </w:t>
      </w:r>
      <w:r w:rsidR="00C12E00">
        <w:t xml:space="preserve">has </w:t>
      </w:r>
      <w:r w:rsidRPr="00C12E00">
        <w:t>found that in 12 cases rejected asylum seekers had been deported before the appeals proceeding regarding their applications had been finali</w:t>
      </w:r>
      <w:r w:rsidR="00C12E00">
        <w:t>z</w:t>
      </w:r>
      <w:r w:rsidRPr="00C12E00">
        <w:t xml:space="preserve">ed </w:t>
      </w:r>
      <w:r w:rsidRPr="005D5A0C">
        <w:t>(applications No</w:t>
      </w:r>
      <w:r w:rsidR="00C12E00" w:rsidRPr="005C5E73">
        <w:t>s</w:t>
      </w:r>
      <w:r w:rsidRPr="005D5A0C">
        <w:t xml:space="preserve">. 62892/12, </w:t>
      </w:r>
      <w:r w:rsidRPr="005D5A0C">
        <w:rPr>
          <w:i/>
        </w:rPr>
        <w:t>Karimov v. Russia</w:t>
      </w:r>
      <w:r w:rsidR="005D5A0C">
        <w:t>;</w:t>
      </w:r>
      <w:r w:rsidRPr="005D5A0C">
        <w:t xml:space="preserve"> 5614/13, </w:t>
      </w:r>
      <w:r w:rsidRPr="005D5A0C">
        <w:rPr>
          <w:i/>
        </w:rPr>
        <w:t>Mamadaliyev v. Russia</w:t>
      </w:r>
      <w:r w:rsidR="005D5A0C">
        <w:t>;</w:t>
      </w:r>
      <w:r w:rsidRPr="005D5A0C">
        <w:t xml:space="preserve"> 17239/13, </w:t>
      </w:r>
      <w:r w:rsidRPr="005D5A0C">
        <w:rPr>
          <w:i/>
        </w:rPr>
        <w:t>Mamazhonov v. Russia</w:t>
      </w:r>
      <w:r w:rsidR="005D5A0C">
        <w:t>;</w:t>
      </w:r>
      <w:r w:rsidRPr="005D5A0C">
        <w:t xml:space="preserve"> 20110/13, </w:t>
      </w:r>
      <w:r w:rsidRPr="005D5A0C">
        <w:rPr>
          <w:i/>
        </w:rPr>
        <w:t>Ismailov v. Russia</w:t>
      </w:r>
      <w:r w:rsidR="005D5A0C">
        <w:t>;</w:t>
      </w:r>
      <w:r w:rsidRPr="005D5A0C">
        <w:t xml:space="preserve"> 22636/13, </w:t>
      </w:r>
      <w:r w:rsidRPr="005D5A0C">
        <w:rPr>
          <w:i/>
        </w:rPr>
        <w:t>Nizamov v. Russia</w:t>
      </w:r>
      <w:r w:rsidR="005D5A0C">
        <w:t>;</w:t>
      </w:r>
      <w:r w:rsidRPr="005D5A0C">
        <w:t xml:space="preserve"> 24034/13, </w:t>
      </w:r>
      <w:r w:rsidRPr="005D5A0C">
        <w:rPr>
          <w:i/>
        </w:rPr>
        <w:t>Khakim Dzhalalbayev v. Russia</w:t>
      </w:r>
      <w:r w:rsidR="005D5A0C">
        <w:t>;</w:t>
      </w:r>
      <w:r w:rsidRPr="005D5A0C">
        <w:t xml:space="preserve"> 24334/13, </w:t>
      </w:r>
      <w:r w:rsidRPr="005D5A0C">
        <w:rPr>
          <w:i/>
        </w:rPr>
        <w:t>Mukhamedkhodzhayev v. Russia</w:t>
      </w:r>
      <w:r w:rsidR="005D5A0C">
        <w:t>;</w:t>
      </w:r>
      <w:r w:rsidRPr="005D5A0C">
        <w:t xml:space="preserve"> 24528/13, </w:t>
      </w:r>
      <w:r w:rsidRPr="005D5A0C">
        <w:rPr>
          <w:i/>
        </w:rPr>
        <w:t>Olim Dzhalalbayev v. Russia</w:t>
      </w:r>
      <w:r w:rsidR="005D5A0C">
        <w:t>;</w:t>
      </w:r>
      <w:r w:rsidRPr="005D5A0C">
        <w:t xml:space="preserve"> 34742/1</w:t>
      </w:r>
      <w:r w:rsidR="005D5A0C">
        <w:t>3</w:t>
      </w:r>
      <w:r w:rsidRPr="005D5A0C">
        <w:t xml:space="preserve">, </w:t>
      </w:r>
      <w:r w:rsidRPr="005D5A0C">
        <w:rPr>
          <w:i/>
        </w:rPr>
        <w:t>Egamberdiyev v. Russia</w:t>
      </w:r>
      <w:r w:rsidR="00E9006E">
        <w:t>;</w:t>
      </w:r>
      <w:r w:rsidRPr="005D5A0C">
        <w:t xml:space="preserve"> 42351/13, </w:t>
      </w:r>
      <w:r w:rsidRPr="005D5A0C">
        <w:rPr>
          <w:i/>
        </w:rPr>
        <w:t>Kadirzhanov v. Russia</w:t>
      </w:r>
      <w:r w:rsidR="00E9006E">
        <w:t>;</w:t>
      </w:r>
      <w:r w:rsidRPr="005D5A0C">
        <w:t xml:space="preserve"> 47823/13, </w:t>
      </w:r>
      <w:r w:rsidRPr="005D5A0C">
        <w:rPr>
          <w:i/>
        </w:rPr>
        <w:t>Mamashev v. Russia</w:t>
      </w:r>
      <w:r w:rsidR="00E9006E">
        <w:t>;</w:t>
      </w:r>
      <w:r w:rsidRPr="005D5A0C">
        <w:t xml:space="preserve"> </w:t>
      </w:r>
      <w:r w:rsidR="00E9006E">
        <w:t xml:space="preserve">and </w:t>
      </w:r>
      <w:r w:rsidRPr="005D5A0C">
        <w:t xml:space="preserve">50552/13, </w:t>
      </w:r>
      <w:r w:rsidRPr="005D5A0C">
        <w:rPr>
          <w:i/>
        </w:rPr>
        <w:t>Rakhimov v. Russia</w:t>
      </w:r>
      <w:r w:rsidRPr="005D5A0C">
        <w:t>).</w:t>
      </w:r>
    </w:p>
  </w:footnote>
  <w:footnote w:id="11">
    <w:p w:rsidR="00BF1510" w:rsidRPr="00D22468" w:rsidRDefault="00BF1510" w:rsidP="00D43E03">
      <w:pPr>
        <w:pStyle w:val="FootnoteText"/>
      </w:pPr>
      <w:r w:rsidRPr="00420107">
        <w:rPr>
          <w:lang w:val="en-GB"/>
        </w:rPr>
        <w:tab/>
      </w:r>
      <w:r w:rsidRPr="00ED6399">
        <w:rPr>
          <w:rStyle w:val="FootnoteReference"/>
        </w:rPr>
        <w:footnoteRef/>
      </w:r>
      <w:r w:rsidRPr="005C5E73">
        <w:tab/>
      </w:r>
      <w:r w:rsidRPr="00D22468">
        <w:t>The author submits</w:t>
      </w:r>
      <w:r>
        <w:t xml:space="preserve"> a printout of the decision downlo</w:t>
      </w:r>
      <w:r w:rsidRPr="00D22468">
        <w:t xml:space="preserve">aded from the </w:t>
      </w:r>
      <w:r>
        <w:t xml:space="preserve">website of the Bamsansky Regional Court, available from </w:t>
      </w:r>
      <w:r w:rsidRPr="00D22468">
        <w:t>http://basmanny.msk.sudrf.ru/modules.php?name=sud_delo&amp;srv_num=1&amp;name_op=r&amp;delo_id=1540005&amp;case_type=0&amp;new=0&amp;G1_PARTS__NAMESS=&amp;G1_CASE__CASE_NUMBERSS=2-3516%2F2012&amp;delo_table=G1_CASE&amp;G1_CASE__ENTRY_DATE1D=&amp;G1_CASE__ENTRY_DATE2D=&amp;G1_CASE__ORIGIN_DATE1D=&amp;G1_CASE__ORIGIN_DATE2D=&amp;G1_CASE__JUDGE=&amp;G1_CASE__RESULT_DATE1D=&amp;G1_CASE__RESULT_DATE2D=&amp;G1_CASE__RESULT=&amp;G1_EVENT__EVENT_NAME=&amp;G1_EVENT__EVENT_DATEDD=&amp;G1_PARTS__PARTS_TYPE=&amp;G1_DOCUMENT__PUBL_DATE1D=&amp;G1_DOCUMENT__PUBL_DATE2D=&amp;G1_</w:t>
      </w:r>
      <w:r w:rsidRPr="000E2C9F">
        <w:rPr>
          <w:spacing w:val="-2"/>
        </w:rPr>
        <w:t>CASE__VALIDITY_DATE1D=&amp;G1_CASE__VALIDITY_DATE2D=&amp;Submit=%CD%E0%E9%F2%E8.</w:t>
      </w:r>
    </w:p>
  </w:footnote>
  <w:footnote w:id="12">
    <w:p w:rsidR="00BF1510" w:rsidRPr="00A63AA4" w:rsidRDefault="00BF1510" w:rsidP="00D43E03">
      <w:pPr>
        <w:pStyle w:val="FootnoteText"/>
        <w:rPr>
          <w:lang w:val="en-GB"/>
        </w:rPr>
      </w:pPr>
      <w:r w:rsidRPr="005C5E73">
        <w:tab/>
      </w:r>
      <w:r w:rsidRPr="00ED6399">
        <w:rPr>
          <w:rStyle w:val="FootnoteReference"/>
        </w:rPr>
        <w:footnoteRef/>
      </w:r>
      <w:r w:rsidRPr="005C5E73">
        <w:tab/>
      </w:r>
      <w:r w:rsidRPr="00D43E03">
        <w:t>Available</w:t>
      </w:r>
      <w:r w:rsidRPr="00A63AA4">
        <w:rPr>
          <w:lang w:val="en-GB"/>
        </w:rPr>
        <w:t xml:space="preserve"> </w:t>
      </w:r>
      <w:r>
        <w:rPr>
          <w:lang w:val="en-GB"/>
        </w:rPr>
        <w:t>from</w:t>
      </w:r>
      <w:r w:rsidRPr="00A63AA4">
        <w:rPr>
          <w:lang w:val="en-GB"/>
        </w:rPr>
        <w:t xml:space="preserve"> http://mos-gorsud.ru/</w:t>
      </w:r>
      <w:r>
        <w:rPr>
          <w:lang w:val="en-GB"/>
        </w:rPr>
        <w:t>.</w:t>
      </w:r>
    </w:p>
  </w:footnote>
  <w:footnote w:id="13">
    <w:p w:rsidR="00BF1510" w:rsidRPr="005C39C3" w:rsidRDefault="00BF1510" w:rsidP="00D43E03">
      <w:pPr>
        <w:pStyle w:val="FootnoteText"/>
        <w:rPr>
          <w:lang w:val="en-GB"/>
        </w:rPr>
      </w:pPr>
      <w:r>
        <w:rPr>
          <w:i/>
          <w:lang w:val="en-GB"/>
        </w:rPr>
        <w:tab/>
      </w:r>
      <w:r w:rsidRPr="00ED6399">
        <w:rPr>
          <w:rStyle w:val="FootnoteReference"/>
        </w:rPr>
        <w:footnoteRef/>
      </w:r>
      <w:r>
        <w:rPr>
          <w:i/>
          <w:lang w:val="en-GB"/>
        </w:rPr>
        <w:tab/>
      </w:r>
      <w:r w:rsidRPr="005D5A0C">
        <w:rPr>
          <w:i/>
          <w:lang w:val="en-GB"/>
        </w:rPr>
        <w:t>Yakubov v. Russia</w:t>
      </w:r>
      <w:r w:rsidRPr="005D5A0C">
        <w:rPr>
          <w:lang w:val="en-GB"/>
        </w:rPr>
        <w:t xml:space="preserve"> </w:t>
      </w:r>
      <w:r w:rsidR="005D5A0C">
        <w:rPr>
          <w:lang w:val="en-GB"/>
        </w:rPr>
        <w:t>(a</w:t>
      </w:r>
      <w:r w:rsidRPr="005D5A0C">
        <w:rPr>
          <w:lang w:val="en-GB"/>
        </w:rPr>
        <w:t>pplication No. </w:t>
      </w:r>
      <w:hyperlink r:id="rId6" w:anchor="{&quot;appno&quot;:[&quot;7265/10&quot;]}" w:tgtFrame="_blank" w:history="1">
        <w:r w:rsidRPr="005D5A0C">
          <w:rPr>
            <w:rStyle w:val="Hyperlink"/>
            <w:lang w:val="en-GB"/>
          </w:rPr>
          <w:t>7265/10</w:t>
        </w:r>
      </w:hyperlink>
      <w:r w:rsidR="005D5A0C">
        <w:t>)</w:t>
      </w:r>
      <w:r w:rsidRPr="005D5A0C">
        <w:rPr>
          <w:lang w:val="en-GB"/>
        </w:rPr>
        <w:t>, judg</w:t>
      </w:r>
      <w:r w:rsidR="005D5A0C">
        <w:rPr>
          <w:lang w:val="en-GB"/>
        </w:rPr>
        <w:t>e</w:t>
      </w:r>
      <w:r w:rsidRPr="005D5A0C">
        <w:rPr>
          <w:lang w:val="en-GB"/>
        </w:rPr>
        <w:t>ment of November 2011, para. 99.</w:t>
      </w:r>
    </w:p>
  </w:footnote>
  <w:footnote w:id="14">
    <w:p w:rsidR="00BF1510" w:rsidRPr="00E95599" w:rsidRDefault="00BF1510" w:rsidP="00E9006E">
      <w:pPr>
        <w:pStyle w:val="FootnoteText"/>
        <w:rPr>
          <w:lang w:val="en-GB"/>
        </w:rPr>
      </w:pPr>
      <w:r w:rsidRPr="005C5E73">
        <w:tab/>
      </w:r>
      <w:r w:rsidRPr="00ED6399">
        <w:rPr>
          <w:rStyle w:val="FootnoteReference"/>
        </w:rPr>
        <w:footnoteRef/>
      </w:r>
      <w:r w:rsidRPr="005C5E73">
        <w:tab/>
      </w:r>
      <w:r w:rsidRPr="00E95599">
        <w:rPr>
          <w:lang w:val="en-GB"/>
        </w:rPr>
        <w:t xml:space="preserve">The </w:t>
      </w:r>
      <w:r w:rsidRPr="00D43E03">
        <w:t>State</w:t>
      </w:r>
      <w:r w:rsidRPr="00E95599">
        <w:rPr>
          <w:lang w:val="en-GB"/>
        </w:rPr>
        <w:t xml:space="preserve"> party submits that the detention of the author had been extended by the courts on 7</w:t>
      </w:r>
      <w:r>
        <w:rPr>
          <w:lang w:val="en-GB"/>
        </w:rPr>
        <w:t> </w:t>
      </w:r>
      <w:r w:rsidRPr="00E95599">
        <w:rPr>
          <w:lang w:val="en-GB"/>
        </w:rPr>
        <w:t>November 2011</w:t>
      </w:r>
      <w:r w:rsidR="00E9006E">
        <w:rPr>
          <w:lang w:val="en-GB"/>
        </w:rPr>
        <w:t xml:space="preserve"> and</w:t>
      </w:r>
      <w:r w:rsidRPr="00E95599">
        <w:rPr>
          <w:lang w:val="en-GB"/>
        </w:rPr>
        <w:t xml:space="preserve"> 11 March, 4 May, 11 July and 7 September 2012.</w:t>
      </w:r>
    </w:p>
  </w:footnote>
  <w:footnote w:id="15">
    <w:p w:rsidR="00BF1510" w:rsidRPr="00196CC3" w:rsidRDefault="00BF1510" w:rsidP="00381124">
      <w:pPr>
        <w:pStyle w:val="FootnoteText"/>
        <w:rPr>
          <w:lang w:eastAsia="en-GB"/>
        </w:rPr>
      </w:pPr>
      <w:r w:rsidRPr="005C5E73">
        <w:tab/>
      </w:r>
      <w:r w:rsidRPr="00ED6399">
        <w:rPr>
          <w:rStyle w:val="FootnoteReference"/>
        </w:rPr>
        <w:footnoteRef/>
      </w:r>
      <w:r w:rsidRPr="005C5E73">
        <w:tab/>
      </w:r>
      <w:r w:rsidRPr="005D5A0C">
        <w:rPr>
          <w:i/>
          <w:lang w:eastAsia="en-GB"/>
        </w:rPr>
        <w:t>Latipov v. Russia</w:t>
      </w:r>
      <w:r w:rsidRPr="005D5A0C">
        <w:rPr>
          <w:lang w:eastAsia="en-GB"/>
        </w:rPr>
        <w:t xml:space="preserve"> </w:t>
      </w:r>
      <w:r w:rsidR="005D5A0C">
        <w:rPr>
          <w:lang w:eastAsia="en-GB"/>
        </w:rPr>
        <w:t>(a</w:t>
      </w:r>
      <w:r w:rsidRPr="005D5A0C">
        <w:rPr>
          <w:lang w:eastAsia="en-GB"/>
        </w:rPr>
        <w:t>pplication No. </w:t>
      </w:r>
      <w:hyperlink r:id="rId7" w:anchor="{&quot;appno&quot;:[&quot;77658/11&quot;]}" w:tgtFrame="_blank" w:history="1">
        <w:r w:rsidRPr="005D5A0C">
          <w:rPr>
            <w:rStyle w:val="Hyperlink"/>
            <w:color w:val="000000"/>
            <w:szCs w:val="18"/>
            <w:lang w:eastAsia="en-GB"/>
          </w:rPr>
          <w:t>77658/11</w:t>
        </w:r>
      </w:hyperlink>
      <w:r w:rsidR="005D5A0C">
        <w:rPr>
          <w:lang w:eastAsia="en-GB"/>
        </w:rPr>
        <w:t>), European Court of Human Rights,</w:t>
      </w:r>
      <w:r w:rsidRPr="005D5A0C">
        <w:rPr>
          <w:lang w:eastAsia="en-GB"/>
        </w:rPr>
        <w:t xml:space="preserve"> judg</w:t>
      </w:r>
      <w:r w:rsidR="005D5A0C">
        <w:rPr>
          <w:lang w:eastAsia="en-GB"/>
        </w:rPr>
        <w:t>e</w:t>
      </w:r>
      <w:r w:rsidRPr="005D5A0C">
        <w:rPr>
          <w:lang w:eastAsia="en-GB"/>
        </w:rPr>
        <w:t>ment of 12 December 2013.</w:t>
      </w:r>
    </w:p>
  </w:footnote>
  <w:footnote w:id="16">
    <w:p w:rsidR="00BF1510" w:rsidRPr="00AB6FA6" w:rsidRDefault="00BF1510" w:rsidP="00081D5B">
      <w:pPr>
        <w:pStyle w:val="FootnoteText"/>
        <w:rPr>
          <w:lang w:val="en-GB"/>
        </w:rPr>
      </w:pPr>
      <w:r w:rsidRPr="005C5E73">
        <w:tab/>
      </w:r>
      <w:r w:rsidRPr="00ED6399">
        <w:rPr>
          <w:rStyle w:val="FootnoteReference"/>
        </w:rPr>
        <w:footnoteRef/>
      </w:r>
      <w:r w:rsidRPr="005C5E73">
        <w:tab/>
      </w:r>
      <w:r w:rsidRPr="00AB6FA6">
        <w:rPr>
          <w:lang w:val="en-GB"/>
        </w:rPr>
        <w:t xml:space="preserve">The </w:t>
      </w:r>
      <w:r w:rsidRPr="00381124">
        <w:t>State</w:t>
      </w:r>
      <w:r>
        <w:rPr>
          <w:lang w:val="en-GB"/>
        </w:rPr>
        <w:t xml:space="preserve"> </w:t>
      </w:r>
      <w:r w:rsidRPr="00AB6FA6">
        <w:rPr>
          <w:lang w:val="en-GB"/>
        </w:rPr>
        <w:t xml:space="preserve">party does not provide the date of the verification, </w:t>
      </w:r>
      <w:r w:rsidR="00277070">
        <w:rPr>
          <w:lang w:val="en-GB"/>
        </w:rPr>
        <w:t xml:space="preserve">the names of </w:t>
      </w:r>
      <w:r w:rsidRPr="00AB6FA6">
        <w:rPr>
          <w:lang w:val="en-GB"/>
        </w:rPr>
        <w:t xml:space="preserve">who participated in it </w:t>
      </w:r>
      <w:r w:rsidR="008A342E">
        <w:rPr>
          <w:lang w:val="en-GB"/>
        </w:rPr>
        <w:t>or</w:t>
      </w:r>
      <w:r w:rsidRPr="00AB6FA6">
        <w:rPr>
          <w:lang w:val="en-GB"/>
        </w:rPr>
        <w:t xml:space="preserve"> </w:t>
      </w:r>
      <w:r>
        <w:rPr>
          <w:lang w:val="en-GB"/>
        </w:rPr>
        <w:t>its</w:t>
      </w:r>
      <w:r w:rsidRPr="00AB6FA6">
        <w:rPr>
          <w:lang w:val="en-GB"/>
        </w:rPr>
        <w:t xml:space="preserve"> f</w:t>
      </w:r>
      <w:r>
        <w:rPr>
          <w:lang w:val="en-GB"/>
        </w:rPr>
        <w:t>i</w:t>
      </w:r>
      <w:r w:rsidRPr="00AB6FA6">
        <w:rPr>
          <w:lang w:val="en-GB"/>
        </w:rPr>
        <w:t>ndings.</w:t>
      </w:r>
    </w:p>
  </w:footnote>
  <w:footnote w:id="17">
    <w:p w:rsidR="00BF1510" w:rsidRPr="005D5A0C" w:rsidRDefault="00BF1510" w:rsidP="008A342E">
      <w:pPr>
        <w:pStyle w:val="FootnoteText"/>
      </w:pPr>
      <w:r>
        <w:rPr>
          <w:lang w:val="en-GB"/>
        </w:rPr>
        <w:tab/>
      </w:r>
      <w:r w:rsidRPr="00ED6399">
        <w:rPr>
          <w:rStyle w:val="FootnoteReference"/>
        </w:rPr>
        <w:footnoteRef/>
      </w:r>
      <w:r>
        <w:rPr>
          <w:lang w:val="en-GB"/>
        </w:rPr>
        <w:tab/>
      </w:r>
      <w:r w:rsidRPr="005D5A0C">
        <w:t xml:space="preserve">See communication No. 869/1999, </w:t>
      </w:r>
      <w:r w:rsidRPr="005D5A0C">
        <w:rPr>
          <w:i/>
          <w:iCs/>
        </w:rPr>
        <w:t xml:space="preserve">Piandiong at al. </w:t>
      </w:r>
      <w:r w:rsidRPr="005D5A0C">
        <w:rPr>
          <w:i/>
        </w:rPr>
        <w:t>v. the Philippines</w:t>
      </w:r>
      <w:r w:rsidRPr="005D5A0C">
        <w:t>, Views adopted on 19 October 2000.</w:t>
      </w:r>
    </w:p>
  </w:footnote>
  <w:footnote w:id="18">
    <w:p w:rsidR="00BF1510" w:rsidRPr="005D5A0C" w:rsidRDefault="00BF1510" w:rsidP="008A342E">
      <w:pPr>
        <w:pStyle w:val="FootnoteText"/>
      </w:pPr>
      <w:r w:rsidRPr="005C5E73">
        <w:tab/>
      </w:r>
      <w:r w:rsidRPr="005D5A0C">
        <w:rPr>
          <w:rStyle w:val="FootnoteReference"/>
        </w:rPr>
        <w:footnoteRef/>
      </w:r>
      <w:r w:rsidRPr="005C5E73">
        <w:tab/>
      </w:r>
      <w:r w:rsidRPr="005D5A0C">
        <w:t xml:space="preserve">See communication No. 1910/2009, </w:t>
      </w:r>
      <w:r w:rsidRPr="005D5A0C">
        <w:rPr>
          <w:i/>
        </w:rPr>
        <w:t>Zhuk v. Belarus</w:t>
      </w:r>
      <w:r w:rsidRPr="005D5A0C">
        <w:t xml:space="preserve">, Views adopted on 30 October 2013, para. 6.2 and communications Nos. 1461/2006, 1462/2006, 1476/2006 and 1477/2006, </w:t>
      </w:r>
      <w:r w:rsidRPr="005D5A0C">
        <w:rPr>
          <w:i/>
        </w:rPr>
        <w:t>Maksudov et al v. Kyrgyzstan</w:t>
      </w:r>
      <w:r w:rsidRPr="005D5A0C">
        <w:t>, Views adopted on 16 July 2008, para. 10.1.</w:t>
      </w:r>
    </w:p>
  </w:footnote>
  <w:footnote w:id="19">
    <w:p w:rsidR="00BF1510" w:rsidRPr="00140C50" w:rsidRDefault="00BF1510" w:rsidP="008A342E">
      <w:pPr>
        <w:pStyle w:val="FootnoteText"/>
      </w:pPr>
      <w:r w:rsidRPr="005C5E73">
        <w:tab/>
      </w:r>
      <w:r w:rsidRPr="005D5A0C">
        <w:rPr>
          <w:rStyle w:val="FootnoteReference"/>
        </w:rPr>
        <w:footnoteRef/>
      </w:r>
      <w:r w:rsidRPr="005C5E73">
        <w:tab/>
      </w:r>
      <w:r w:rsidRPr="005D5A0C">
        <w:t xml:space="preserve">See communication No. 964/2001, </w:t>
      </w:r>
      <w:r w:rsidRPr="005D5A0C">
        <w:rPr>
          <w:i/>
          <w:iCs/>
        </w:rPr>
        <w:t xml:space="preserve">Saidova </w:t>
      </w:r>
      <w:r w:rsidRPr="005D5A0C">
        <w:rPr>
          <w:i/>
        </w:rPr>
        <w:t>v. Tajikistan</w:t>
      </w:r>
      <w:r w:rsidRPr="005D5A0C">
        <w:t>, Views adopted on 8 July 2004.</w:t>
      </w:r>
    </w:p>
  </w:footnote>
  <w:footnote w:id="20">
    <w:p w:rsidR="00BF1510" w:rsidRDefault="00BF1510" w:rsidP="00381124">
      <w:pPr>
        <w:pStyle w:val="FootnoteText"/>
      </w:pPr>
      <w:r w:rsidRPr="005D5A0C">
        <w:tab/>
      </w:r>
      <w:r w:rsidRPr="005D5A0C">
        <w:rPr>
          <w:rStyle w:val="FootnoteReference"/>
        </w:rPr>
        <w:footnoteRef/>
      </w:r>
      <w:r w:rsidRPr="005D5A0C">
        <w:tab/>
        <w:t xml:space="preserve">See communication No. 1763/2008, </w:t>
      </w:r>
      <w:r w:rsidRPr="005D5A0C">
        <w:rPr>
          <w:i/>
        </w:rPr>
        <w:t>Pillai et al.</w:t>
      </w:r>
      <w:r w:rsidRPr="005D5A0C">
        <w:t xml:space="preserve"> </w:t>
      </w:r>
      <w:r w:rsidRPr="005D5A0C">
        <w:rPr>
          <w:i/>
        </w:rPr>
        <w:t>v.</w:t>
      </w:r>
      <w:r w:rsidRPr="005D5A0C">
        <w:t xml:space="preserve"> </w:t>
      </w:r>
      <w:r w:rsidRPr="005D5A0C">
        <w:rPr>
          <w:i/>
        </w:rPr>
        <w:t>Canada</w:t>
      </w:r>
      <w:r w:rsidRPr="005D5A0C">
        <w:t xml:space="preserve">, Views adopted on 25 March 2011, para. 11.4; </w:t>
      </w:r>
      <w:r w:rsidR="008A342E">
        <w:t xml:space="preserve">and </w:t>
      </w:r>
      <w:r w:rsidRPr="005D5A0C">
        <w:t xml:space="preserve">communication No. 1957/2010, </w:t>
      </w:r>
      <w:r w:rsidRPr="005D5A0C">
        <w:rPr>
          <w:i/>
        </w:rPr>
        <w:t>Lin v. Australia</w:t>
      </w:r>
      <w:r w:rsidRPr="005D5A0C">
        <w:t>, Views adopted on 21 March 2013, para.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0" w:rsidRPr="00781C83" w:rsidRDefault="00BF1510" w:rsidP="00781C83">
    <w:pPr>
      <w:pStyle w:val="Header"/>
    </w:pPr>
    <w:r>
      <w:t>CCPR/C/113/D/2192/2012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10" w:rsidRPr="00781C83" w:rsidRDefault="00BF1510" w:rsidP="00781C83">
    <w:pPr>
      <w:pStyle w:val="Header"/>
      <w:jc w:val="right"/>
    </w:pPr>
    <w:r>
      <w:t>CCPR/C/113/D/2192/2012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C5E84A"/>
    <w:multiLevelType w:val="hybridMultilevel"/>
    <w:tmpl w:val="836FA3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CFD2C7"/>
    <w:multiLevelType w:val="hybridMultilevel"/>
    <w:tmpl w:val="861A7F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1627B"/>
    <w:rsid w:val="000170C3"/>
    <w:rsid w:val="00023024"/>
    <w:rsid w:val="00024522"/>
    <w:rsid w:val="00025D41"/>
    <w:rsid w:val="0002635B"/>
    <w:rsid w:val="000272B3"/>
    <w:rsid w:val="0003387B"/>
    <w:rsid w:val="00033CD0"/>
    <w:rsid w:val="00036F3F"/>
    <w:rsid w:val="000377A5"/>
    <w:rsid w:val="0004092D"/>
    <w:rsid w:val="00041994"/>
    <w:rsid w:val="000452C5"/>
    <w:rsid w:val="00050F6B"/>
    <w:rsid w:val="00055FFE"/>
    <w:rsid w:val="0005782B"/>
    <w:rsid w:val="00057E97"/>
    <w:rsid w:val="00060C3A"/>
    <w:rsid w:val="00066476"/>
    <w:rsid w:val="000673A3"/>
    <w:rsid w:val="00067CCE"/>
    <w:rsid w:val="000707D1"/>
    <w:rsid w:val="00071C61"/>
    <w:rsid w:val="00072C8C"/>
    <w:rsid w:val="000733B5"/>
    <w:rsid w:val="000742F7"/>
    <w:rsid w:val="00076789"/>
    <w:rsid w:val="00081815"/>
    <w:rsid w:val="00081BF7"/>
    <w:rsid w:val="00081D5B"/>
    <w:rsid w:val="0008245C"/>
    <w:rsid w:val="00083A23"/>
    <w:rsid w:val="00086A1F"/>
    <w:rsid w:val="00090022"/>
    <w:rsid w:val="00090758"/>
    <w:rsid w:val="00091F15"/>
    <w:rsid w:val="000931C0"/>
    <w:rsid w:val="0009642A"/>
    <w:rsid w:val="000970C1"/>
    <w:rsid w:val="000A2EE4"/>
    <w:rsid w:val="000A310C"/>
    <w:rsid w:val="000A5559"/>
    <w:rsid w:val="000A69CF"/>
    <w:rsid w:val="000B02C3"/>
    <w:rsid w:val="000B175B"/>
    <w:rsid w:val="000B1788"/>
    <w:rsid w:val="000B3A0F"/>
    <w:rsid w:val="000B4EF7"/>
    <w:rsid w:val="000C2AB9"/>
    <w:rsid w:val="000C2C03"/>
    <w:rsid w:val="000C2D2E"/>
    <w:rsid w:val="000C2E06"/>
    <w:rsid w:val="000C46B7"/>
    <w:rsid w:val="000C4DA0"/>
    <w:rsid w:val="000C695D"/>
    <w:rsid w:val="000D0ABB"/>
    <w:rsid w:val="000D2820"/>
    <w:rsid w:val="000D3D17"/>
    <w:rsid w:val="000D6E0C"/>
    <w:rsid w:val="000E0415"/>
    <w:rsid w:val="000E07B1"/>
    <w:rsid w:val="000E0E8E"/>
    <w:rsid w:val="000E20F8"/>
    <w:rsid w:val="000E29B9"/>
    <w:rsid w:val="000E2C9F"/>
    <w:rsid w:val="000E6FF6"/>
    <w:rsid w:val="000F147D"/>
    <w:rsid w:val="000F15EB"/>
    <w:rsid w:val="000F39F9"/>
    <w:rsid w:val="000F6A6B"/>
    <w:rsid w:val="000F6FD9"/>
    <w:rsid w:val="000F7E69"/>
    <w:rsid w:val="00102617"/>
    <w:rsid w:val="001037D9"/>
    <w:rsid w:val="0010475A"/>
    <w:rsid w:val="00105437"/>
    <w:rsid w:val="0010732C"/>
    <w:rsid w:val="001103AA"/>
    <w:rsid w:val="00110F83"/>
    <w:rsid w:val="00112792"/>
    <w:rsid w:val="00112984"/>
    <w:rsid w:val="001133DB"/>
    <w:rsid w:val="00114085"/>
    <w:rsid w:val="0011580E"/>
    <w:rsid w:val="00117506"/>
    <w:rsid w:val="0011787A"/>
    <w:rsid w:val="00121B12"/>
    <w:rsid w:val="001223A2"/>
    <w:rsid w:val="00123121"/>
    <w:rsid w:val="00123712"/>
    <w:rsid w:val="001306DD"/>
    <w:rsid w:val="00130D48"/>
    <w:rsid w:val="0013113A"/>
    <w:rsid w:val="00131B64"/>
    <w:rsid w:val="0013235B"/>
    <w:rsid w:val="00132778"/>
    <w:rsid w:val="001340B3"/>
    <w:rsid w:val="00136DE8"/>
    <w:rsid w:val="00137249"/>
    <w:rsid w:val="001375A9"/>
    <w:rsid w:val="00141F3C"/>
    <w:rsid w:val="00142286"/>
    <w:rsid w:val="00154DA5"/>
    <w:rsid w:val="00155B09"/>
    <w:rsid w:val="00156B5C"/>
    <w:rsid w:val="00157820"/>
    <w:rsid w:val="00161364"/>
    <w:rsid w:val="00161401"/>
    <w:rsid w:val="001615B9"/>
    <w:rsid w:val="0016220E"/>
    <w:rsid w:val="00162DB2"/>
    <w:rsid w:val="00164C92"/>
    <w:rsid w:val="00165F3A"/>
    <w:rsid w:val="00166183"/>
    <w:rsid w:val="00170488"/>
    <w:rsid w:val="00170DDB"/>
    <w:rsid w:val="001721A9"/>
    <w:rsid w:val="0017277A"/>
    <w:rsid w:val="00174528"/>
    <w:rsid w:val="001756D6"/>
    <w:rsid w:val="001758E2"/>
    <w:rsid w:val="00176D6B"/>
    <w:rsid w:val="00181F7C"/>
    <w:rsid w:val="00183968"/>
    <w:rsid w:val="001844A0"/>
    <w:rsid w:val="0018481A"/>
    <w:rsid w:val="001905FB"/>
    <w:rsid w:val="001912DB"/>
    <w:rsid w:val="00191845"/>
    <w:rsid w:val="001965C0"/>
    <w:rsid w:val="00196CC3"/>
    <w:rsid w:val="00196CDF"/>
    <w:rsid w:val="001A09DE"/>
    <w:rsid w:val="001A2C08"/>
    <w:rsid w:val="001A32CB"/>
    <w:rsid w:val="001A4429"/>
    <w:rsid w:val="001A6461"/>
    <w:rsid w:val="001A660B"/>
    <w:rsid w:val="001A6686"/>
    <w:rsid w:val="001A67B5"/>
    <w:rsid w:val="001A723C"/>
    <w:rsid w:val="001A78D5"/>
    <w:rsid w:val="001A7E43"/>
    <w:rsid w:val="001B3645"/>
    <w:rsid w:val="001B4041"/>
    <w:rsid w:val="001B4485"/>
    <w:rsid w:val="001B4B04"/>
    <w:rsid w:val="001B7D22"/>
    <w:rsid w:val="001C4471"/>
    <w:rsid w:val="001C573C"/>
    <w:rsid w:val="001C5BED"/>
    <w:rsid w:val="001C657F"/>
    <w:rsid w:val="001C6663"/>
    <w:rsid w:val="001C7895"/>
    <w:rsid w:val="001C7D37"/>
    <w:rsid w:val="001D08E4"/>
    <w:rsid w:val="001D0C8C"/>
    <w:rsid w:val="001D0DCD"/>
    <w:rsid w:val="001D1065"/>
    <w:rsid w:val="001D26DF"/>
    <w:rsid w:val="001D3743"/>
    <w:rsid w:val="001D3A03"/>
    <w:rsid w:val="001D506D"/>
    <w:rsid w:val="001D6813"/>
    <w:rsid w:val="001E10EC"/>
    <w:rsid w:val="001E2B4C"/>
    <w:rsid w:val="001E4617"/>
    <w:rsid w:val="001E48A9"/>
    <w:rsid w:val="001E6148"/>
    <w:rsid w:val="001E718D"/>
    <w:rsid w:val="001E7AF9"/>
    <w:rsid w:val="001F0720"/>
    <w:rsid w:val="001F08A3"/>
    <w:rsid w:val="001F0F1A"/>
    <w:rsid w:val="001F11EA"/>
    <w:rsid w:val="001F27F3"/>
    <w:rsid w:val="00202DA8"/>
    <w:rsid w:val="002069CC"/>
    <w:rsid w:val="00210CC3"/>
    <w:rsid w:val="0021156C"/>
    <w:rsid w:val="00211E0B"/>
    <w:rsid w:val="00213E21"/>
    <w:rsid w:val="0021777C"/>
    <w:rsid w:val="00217D74"/>
    <w:rsid w:val="00220677"/>
    <w:rsid w:val="00222689"/>
    <w:rsid w:val="00224AED"/>
    <w:rsid w:val="0022501D"/>
    <w:rsid w:val="002256A1"/>
    <w:rsid w:val="00225871"/>
    <w:rsid w:val="002314F8"/>
    <w:rsid w:val="0023210C"/>
    <w:rsid w:val="00232334"/>
    <w:rsid w:val="00233707"/>
    <w:rsid w:val="00233DB7"/>
    <w:rsid w:val="002361D0"/>
    <w:rsid w:val="00240564"/>
    <w:rsid w:val="00240F4B"/>
    <w:rsid w:val="00241AE8"/>
    <w:rsid w:val="0025162E"/>
    <w:rsid w:val="00251761"/>
    <w:rsid w:val="0025487E"/>
    <w:rsid w:val="00254ADF"/>
    <w:rsid w:val="00257970"/>
    <w:rsid w:val="002633B3"/>
    <w:rsid w:val="00264D10"/>
    <w:rsid w:val="002650C2"/>
    <w:rsid w:val="002656E9"/>
    <w:rsid w:val="00265CF8"/>
    <w:rsid w:val="00266EB7"/>
    <w:rsid w:val="00267F5F"/>
    <w:rsid w:val="00271484"/>
    <w:rsid w:val="00273B14"/>
    <w:rsid w:val="00277070"/>
    <w:rsid w:val="00277585"/>
    <w:rsid w:val="002778BE"/>
    <w:rsid w:val="00281144"/>
    <w:rsid w:val="00282899"/>
    <w:rsid w:val="0028489A"/>
    <w:rsid w:val="00286201"/>
    <w:rsid w:val="002863A9"/>
    <w:rsid w:val="00286B4D"/>
    <w:rsid w:val="0028793F"/>
    <w:rsid w:val="00292F7D"/>
    <w:rsid w:val="0029365C"/>
    <w:rsid w:val="00293B90"/>
    <w:rsid w:val="002A0E62"/>
    <w:rsid w:val="002A1243"/>
    <w:rsid w:val="002A1E01"/>
    <w:rsid w:val="002A3CBA"/>
    <w:rsid w:val="002A40BF"/>
    <w:rsid w:val="002A4B67"/>
    <w:rsid w:val="002A60A2"/>
    <w:rsid w:val="002A728F"/>
    <w:rsid w:val="002B0337"/>
    <w:rsid w:val="002B3B76"/>
    <w:rsid w:val="002B3D61"/>
    <w:rsid w:val="002B3F1E"/>
    <w:rsid w:val="002B560A"/>
    <w:rsid w:val="002C06BA"/>
    <w:rsid w:val="002C5BCD"/>
    <w:rsid w:val="002D18B7"/>
    <w:rsid w:val="002D3AF5"/>
    <w:rsid w:val="002D4CB1"/>
    <w:rsid w:val="002D76B1"/>
    <w:rsid w:val="002E0AFA"/>
    <w:rsid w:val="002E1084"/>
    <w:rsid w:val="002E52B1"/>
    <w:rsid w:val="002E5C99"/>
    <w:rsid w:val="002E69AE"/>
    <w:rsid w:val="002F039C"/>
    <w:rsid w:val="002F175C"/>
    <w:rsid w:val="002F1942"/>
    <w:rsid w:val="002F4557"/>
    <w:rsid w:val="002F5159"/>
    <w:rsid w:val="002F582A"/>
    <w:rsid w:val="0030138D"/>
    <w:rsid w:val="00301821"/>
    <w:rsid w:val="00301A11"/>
    <w:rsid w:val="00306124"/>
    <w:rsid w:val="00307164"/>
    <w:rsid w:val="00310CB7"/>
    <w:rsid w:val="003134AC"/>
    <w:rsid w:val="0031721B"/>
    <w:rsid w:val="00317544"/>
    <w:rsid w:val="00320E07"/>
    <w:rsid w:val="0032230D"/>
    <w:rsid w:val="003229D8"/>
    <w:rsid w:val="00323632"/>
    <w:rsid w:val="00327502"/>
    <w:rsid w:val="00331F5B"/>
    <w:rsid w:val="003336A2"/>
    <w:rsid w:val="00340A69"/>
    <w:rsid w:val="00341E55"/>
    <w:rsid w:val="003432F8"/>
    <w:rsid w:val="00345647"/>
    <w:rsid w:val="00351398"/>
    <w:rsid w:val="00352709"/>
    <w:rsid w:val="00353883"/>
    <w:rsid w:val="00354AA8"/>
    <w:rsid w:val="00361E8A"/>
    <w:rsid w:val="00363A98"/>
    <w:rsid w:val="0036645D"/>
    <w:rsid w:val="003667AD"/>
    <w:rsid w:val="00367567"/>
    <w:rsid w:val="003705C9"/>
    <w:rsid w:val="00371095"/>
    <w:rsid w:val="00371178"/>
    <w:rsid w:val="00371534"/>
    <w:rsid w:val="0037301C"/>
    <w:rsid w:val="003730DD"/>
    <w:rsid w:val="0037429D"/>
    <w:rsid w:val="00375119"/>
    <w:rsid w:val="00376720"/>
    <w:rsid w:val="00377828"/>
    <w:rsid w:val="00381124"/>
    <w:rsid w:val="003823CB"/>
    <w:rsid w:val="0038336C"/>
    <w:rsid w:val="00384F90"/>
    <w:rsid w:val="003860AA"/>
    <w:rsid w:val="00386624"/>
    <w:rsid w:val="00387ECB"/>
    <w:rsid w:val="003903FC"/>
    <w:rsid w:val="00392947"/>
    <w:rsid w:val="0039347E"/>
    <w:rsid w:val="003954DB"/>
    <w:rsid w:val="00396DD7"/>
    <w:rsid w:val="003A1602"/>
    <w:rsid w:val="003A325A"/>
    <w:rsid w:val="003A6810"/>
    <w:rsid w:val="003A6EFA"/>
    <w:rsid w:val="003A70FC"/>
    <w:rsid w:val="003A7AF2"/>
    <w:rsid w:val="003B1D7E"/>
    <w:rsid w:val="003B6021"/>
    <w:rsid w:val="003C02AB"/>
    <w:rsid w:val="003C2CC4"/>
    <w:rsid w:val="003C4C89"/>
    <w:rsid w:val="003C6276"/>
    <w:rsid w:val="003C730E"/>
    <w:rsid w:val="003D1C5A"/>
    <w:rsid w:val="003D2795"/>
    <w:rsid w:val="003D3E59"/>
    <w:rsid w:val="003D4B23"/>
    <w:rsid w:val="003D52B0"/>
    <w:rsid w:val="003E2564"/>
    <w:rsid w:val="003E2BA4"/>
    <w:rsid w:val="003E4173"/>
    <w:rsid w:val="003E6A36"/>
    <w:rsid w:val="003E6F7E"/>
    <w:rsid w:val="003F4B5B"/>
    <w:rsid w:val="00405473"/>
    <w:rsid w:val="0040596E"/>
    <w:rsid w:val="004103CB"/>
    <w:rsid w:val="00410C89"/>
    <w:rsid w:val="00414931"/>
    <w:rsid w:val="00414B35"/>
    <w:rsid w:val="00414F92"/>
    <w:rsid w:val="00420107"/>
    <w:rsid w:val="004227C0"/>
    <w:rsid w:val="00426B9B"/>
    <w:rsid w:val="0043003F"/>
    <w:rsid w:val="00431396"/>
    <w:rsid w:val="004325CB"/>
    <w:rsid w:val="00436B33"/>
    <w:rsid w:val="00436E7E"/>
    <w:rsid w:val="00437253"/>
    <w:rsid w:val="00437312"/>
    <w:rsid w:val="00442A83"/>
    <w:rsid w:val="00442C9D"/>
    <w:rsid w:val="00442EB6"/>
    <w:rsid w:val="00443673"/>
    <w:rsid w:val="00445A57"/>
    <w:rsid w:val="00446ABC"/>
    <w:rsid w:val="00450D0E"/>
    <w:rsid w:val="0045285D"/>
    <w:rsid w:val="0045495B"/>
    <w:rsid w:val="00455C43"/>
    <w:rsid w:val="004607BF"/>
    <w:rsid w:val="00464446"/>
    <w:rsid w:val="004653C7"/>
    <w:rsid w:val="00465E26"/>
    <w:rsid w:val="00466B4C"/>
    <w:rsid w:val="00466FA4"/>
    <w:rsid w:val="00467A53"/>
    <w:rsid w:val="0047173A"/>
    <w:rsid w:val="00473963"/>
    <w:rsid w:val="00476073"/>
    <w:rsid w:val="00481CB1"/>
    <w:rsid w:val="00487488"/>
    <w:rsid w:val="00487FB8"/>
    <w:rsid w:val="004906FF"/>
    <w:rsid w:val="0049219B"/>
    <w:rsid w:val="00492FCD"/>
    <w:rsid w:val="0049418F"/>
    <w:rsid w:val="00495A34"/>
    <w:rsid w:val="00497CBC"/>
    <w:rsid w:val="004A2789"/>
    <w:rsid w:val="004A28A7"/>
    <w:rsid w:val="004A4E95"/>
    <w:rsid w:val="004B2630"/>
    <w:rsid w:val="004B460B"/>
    <w:rsid w:val="004B48F6"/>
    <w:rsid w:val="004B515A"/>
    <w:rsid w:val="004C55DD"/>
    <w:rsid w:val="004D0446"/>
    <w:rsid w:val="004D2310"/>
    <w:rsid w:val="004D5BD1"/>
    <w:rsid w:val="004E0D75"/>
    <w:rsid w:val="004E15CC"/>
    <w:rsid w:val="004E5C59"/>
    <w:rsid w:val="004F1D45"/>
    <w:rsid w:val="004F5078"/>
    <w:rsid w:val="004F56B6"/>
    <w:rsid w:val="0050328D"/>
    <w:rsid w:val="00505D08"/>
    <w:rsid w:val="005125F0"/>
    <w:rsid w:val="00513238"/>
    <w:rsid w:val="005167F1"/>
    <w:rsid w:val="00516AC7"/>
    <w:rsid w:val="00520400"/>
    <w:rsid w:val="0052136D"/>
    <w:rsid w:val="005232E6"/>
    <w:rsid w:val="00525395"/>
    <w:rsid w:val="0052775E"/>
    <w:rsid w:val="00533FA3"/>
    <w:rsid w:val="005409DC"/>
    <w:rsid w:val="00540F02"/>
    <w:rsid w:val="0054109A"/>
    <w:rsid w:val="0054150C"/>
    <w:rsid w:val="005420F2"/>
    <w:rsid w:val="00546665"/>
    <w:rsid w:val="00550D3B"/>
    <w:rsid w:val="00551303"/>
    <w:rsid w:val="00555470"/>
    <w:rsid w:val="00560BA5"/>
    <w:rsid w:val="00561B68"/>
    <w:rsid w:val="005628B6"/>
    <w:rsid w:val="005640D1"/>
    <w:rsid w:val="00564714"/>
    <w:rsid w:val="00565BE7"/>
    <w:rsid w:val="0056624F"/>
    <w:rsid w:val="005722B3"/>
    <w:rsid w:val="0057585A"/>
    <w:rsid w:val="00575BA3"/>
    <w:rsid w:val="00577E84"/>
    <w:rsid w:val="0058279C"/>
    <w:rsid w:val="005848B3"/>
    <w:rsid w:val="00590094"/>
    <w:rsid w:val="00590F87"/>
    <w:rsid w:val="00592C4A"/>
    <w:rsid w:val="005A0415"/>
    <w:rsid w:val="005A2ACD"/>
    <w:rsid w:val="005B09AE"/>
    <w:rsid w:val="005B15AD"/>
    <w:rsid w:val="005B38A5"/>
    <w:rsid w:val="005B3DB3"/>
    <w:rsid w:val="005B4F61"/>
    <w:rsid w:val="005B5645"/>
    <w:rsid w:val="005B5EC8"/>
    <w:rsid w:val="005B6047"/>
    <w:rsid w:val="005C11C1"/>
    <w:rsid w:val="005C176E"/>
    <w:rsid w:val="005C1C11"/>
    <w:rsid w:val="005C2131"/>
    <w:rsid w:val="005C223E"/>
    <w:rsid w:val="005C39C3"/>
    <w:rsid w:val="005C413D"/>
    <w:rsid w:val="005C4A9E"/>
    <w:rsid w:val="005C5103"/>
    <w:rsid w:val="005C5E73"/>
    <w:rsid w:val="005D0457"/>
    <w:rsid w:val="005D0679"/>
    <w:rsid w:val="005D5721"/>
    <w:rsid w:val="005D5A0C"/>
    <w:rsid w:val="005D5AF5"/>
    <w:rsid w:val="005D7CB5"/>
    <w:rsid w:val="005E021C"/>
    <w:rsid w:val="005E2F71"/>
    <w:rsid w:val="005E5805"/>
    <w:rsid w:val="005E783D"/>
    <w:rsid w:val="005F5699"/>
    <w:rsid w:val="005F7717"/>
    <w:rsid w:val="005F7B75"/>
    <w:rsid w:val="005F7F93"/>
    <w:rsid w:val="006001B0"/>
    <w:rsid w:val="006001EE"/>
    <w:rsid w:val="00605042"/>
    <w:rsid w:val="00607BC1"/>
    <w:rsid w:val="006108E0"/>
    <w:rsid w:val="00610EAD"/>
    <w:rsid w:val="00611FC4"/>
    <w:rsid w:val="00613FE0"/>
    <w:rsid w:val="006148AF"/>
    <w:rsid w:val="006160CB"/>
    <w:rsid w:val="006176FB"/>
    <w:rsid w:val="006239C9"/>
    <w:rsid w:val="00623FD3"/>
    <w:rsid w:val="0062462D"/>
    <w:rsid w:val="006262A6"/>
    <w:rsid w:val="0062630E"/>
    <w:rsid w:val="00626A93"/>
    <w:rsid w:val="006274AD"/>
    <w:rsid w:val="00627FB0"/>
    <w:rsid w:val="00631C31"/>
    <w:rsid w:val="00632E25"/>
    <w:rsid w:val="0063379B"/>
    <w:rsid w:val="00640B26"/>
    <w:rsid w:val="00640C76"/>
    <w:rsid w:val="00642AEC"/>
    <w:rsid w:val="00645379"/>
    <w:rsid w:val="00645949"/>
    <w:rsid w:val="006507CD"/>
    <w:rsid w:val="00652B30"/>
    <w:rsid w:val="00652D0A"/>
    <w:rsid w:val="00653DBF"/>
    <w:rsid w:val="00654447"/>
    <w:rsid w:val="00660559"/>
    <w:rsid w:val="00662BB6"/>
    <w:rsid w:val="00662FF9"/>
    <w:rsid w:val="006637A4"/>
    <w:rsid w:val="00665EF6"/>
    <w:rsid w:val="00671948"/>
    <w:rsid w:val="00672110"/>
    <w:rsid w:val="006743E9"/>
    <w:rsid w:val="00674D65"/>
    <w:rsid w:val="00681702"/>
    <w:rsid w:val="00682284"/>
    <w:rsid w:val="006838C8"/>
    <w:rsid w:val="0068442C"/>
    <w:rsid w:val="00684C21"/>
    <w:rsid w:val="00685FA6"/>
    <w:rsid w:val="00686746"/>
    <w:rsid w:val="0068743C"/>
    <w:rsid w:val="0069214A"/>
    <w:rsid w:val="00692BBE"/>
    <w:rsid w:val="00694AE6"/>
    <w:rsid w:val="006954C6"/>
    <w:rsid w:val="00695991"/>
    <w:rsid w:val="006962BE"/>
    <w:rsid w:val="0069763E"/>
    <w:rsid w:val="00697F3E"/>
    <w:rsid w:val="006B346D"/>
    <w:rsid w:val="006B4FA2"/>
    <w:rsid w:val="006B58E5"/>
    <w:rsid w:val="006C0435"/>
    <w:rsid w:val="006C05C1"/>
    <w:rsid w:val="006C26EB"/>
    <w:rsid w:val="006C3AD1"/>
    <w:rsid w:val="006C65A6"/>
    <w:rsid w:val="006D37AF"/>
    <w:rsid w:val="006D51D0"/>
    <w:rsid w:val="006D53C0"/>
    <w:rsid w:val="006D75E7"/>
    <w:rsid w:val="006E212F"/>
    <w:rsid w:val="006E564B"/>
    <w:rsid w:val="006E5A29"/>
    <w:rsid w:val="006E6139"/>
    <w:rsid w:val="006E69E3"/>
    <w:rsid w:val="006E7191"/>
    <w:rsid w:val="006E7196"/>
    <w:rsid w:val="006F30DF"/>
    <w:rsid w:val="006F464F"/>
    <w:rsid w:val="006F52C5"/>
    <w:rsid w:val="006F6515"/>
    <w:rsid w:val="00703577"/>
    <w:rsid w:val="00705625"/>
    <w:rsid w:val="00705680"/>
    <w:rsid w:val="0071171F"/>
    <w:rsid w:val="00711F00"/>
    <w:rsid w:val="00713C74"/>
    <w:rsid w:val="00715DDD"/>
    <w:rsid w:val="00716EC7"/>
    <w:rsid w:val="007177E1"/>
    <w:rsid w:val="00717ADC"/>
    <w:rsid w:val="00720415"/>
    <w:rsid w:val="0072328C"/>
    <w:rsid w:val="00725B66"/>
    <w:rsid w:val="0072632A"/>
    <w:rsid w:val="00726A48"/>
    <w:rsid w:val="00727C31"/>
    <w:rsid w:val="007327D5"/>
    <w:rsid w:val="00734ABE"/>
    <w:rsid w:val="00735B93"/>
    <w:rsid w:val="00735CA1"/>
    <w:rsid w:val="00735F4E"/>
    <w:rsid w:val="00736EAD"/>
    <w:rsid w:val="007435F7"/>
    <w:rsid w:val="00744224"/>
    <w:rsid w:val="007449A6"/>
    <w:rsid w:val="00746750"/>
    <w:rsid w:val="00746D61"/>
    <w:rsid w:val="007509EB"/>
    <w:rsid w:val="00750FC5"/>
    <w:rsid w:val="00753365"/>
    <w:rsid w:val="0075395D"/>
    <w:rsid w:val="00760B80"/>
    <w:rsid w:val="00762878"/>
    <w:rsid w:val="00762922"/>
    <w:rsid w:val="007629C8"/>
    <w:rsid w:val="00762E39"/>
    <w:rsid w:val="007635DF"/>
    <w:rsid w:val="00764972"/>
    <w:rsid w:val="007661CD"/>
    <w:rsid w:val="007711DB"/>
    <w:rsid w:val="007734FC"/>
    <w:rsid w:val="007740F1"/>
    <w:rsid w:val="00776E5E"/>
    <w:rsid w:val="00777322"/>
    <w:rsid w:val="00781C83"/>
    <w:rsid w:val="00781E28"/>
    <w:rsid w:val="0078279F"/>
    <w:rsid w:val="0078300D"/>
    <w:rsid w:val="00785DB2"/>
    <w:rsid w:val="0078601B"/>
    <w:rsid w:val="0078676D"/>
    <w:rsid w:val="00787E5D"/>
    <w:rsid w:val="0079034E"/>
    <w:rsid w:val="00792116"/>
    <w:rsid w:val="00793BD0"/>
    <w:rsid w:val="0079681E"/>
    <w:rsid w:val="007A212F"/>
    <w:rsid w:val="007A36C9"/>
    <w:rsid w:val="007B3302"/>
    <w:rsid w:val="007B6BA5"/>
    <w:rsid w:val="007C1241"/>
    <w:rsid w:val="007C15FC"/>
    <w:rsid w:val="007C3390"/>
    <w:rsid w:val="007C3FFB"/>
    <w:rsid w:val="007C4F4B"/>
    <w:rsid w:val="007C55BE"/>
    <w:rsid w:val="007C784F"/>
    <w:rsid w:val="007D00CF"/>
    <w:rsid w:val="007D2684"/>
    <w:rsid w:val="007D564F"/>
    <w:rsid w:val="007E0B2D"/>
    <w:rsid w:val="007E0ED5"/>
    <w:rsid w:val="007E458C"/>
    <w:rsid w:val="007E4594"/>
    <w:rsid w:val="007E4BBE"/>
    <w:rsid w:val="007E4FA4"/>
    <w:rsid w:val="007E533F"/>
    <w:rsid w:val="007E5EA4"/>
    <w:rsid w:val="007F06B1"/>
    <w:rsid w:val="007F098E"/>
    <w:rsid w:val="007F12FC"/>
    <w:rsid w:val="007F2D0D"/>
    <w:rsid w:val="007F3A2C"/>
    <w:rsid w:val="007F4853"/>
    <w:rsid w:val="007F6611"/>
    <w:rsid w:val="00801DCF"/>
    <w:rsid w:val="00802FFB"/>
    <w:rsid w:val="00803B5C"/>
    <w:rsid w:val="0081043C"/>
    <w:rsid w:val="008105B8"/>
    <w:rsid w:val="00811D06"/>
    <w:rsid w:val="00811D40"/>
    <w:rsid w:val="008123D2"/>
    <w:rsid w:val="00812971"/>
    <w:rsid w:val="00813327"/>
    <w:rsid w:val="008146B2"/>
    <w:rsid w:val="00816972"/>
    <w:rsid w:val="00816E23"/>
    <w:rsid w:val="00816EE0"/>
    <w:rsid w:val="00817A02"/>
    <w:rsid w:val="008216A5"/>
    <w:rsid w:val="00821A8D"/>
    <w:rsid w:val="008242D7"/>
    <w:rsid w:val="00824C73"/>
    <w:rsid w:val="00824FE2"/>
    <w:rsid w:val="00825659"/>
    <w:rsid w:val="008257B1"/>
    <w:rsid w:val="0082747A"/>
    <w:rsid w:val="00830FF4"/>
    <w:rsid w:val="0083185A"/>
    <w:rsid w:val="00833370"/>
    <w:rsid w:val="008379A8"/>
    <w:rsid w:val="008402F1"/>
    <w:rsid w:val="00840458"/>
    <w:rsid w:val="008406D2"/>
    <w:rsid w:val="0084126F"/>
    <w:rsid w:val="00841BB5"/>
    <w:rsid w:val="00843767"/>
    <w:rsid w:val="00846666"/>
    <w:rsid w:val="00847B18"/>
    <w:rsid w:val="00851F2A"/>
    <w:rsid w:val="00856F01"/>
    <w:rsid w:val="00861599"/>
    <w:rsid w:val="0086203F"/>
    <w:rsid w:val="0086237A"/>
    <w:rsid w:val="00864797"/>
    <w:rsid w:val="008655A1"/>
    <w:rsid w:val="008679D9"/>
    <w:rsid w:val="00871051"/>
    <w:rsid w:val="00871750"/>
    <w:rsid w:val="00872F86"/>
    <w:rsid w:val="008730D5"/>
    <w:rsid w:val="00875FE5"/>
    <w:rsid w:val="00880AF2"/>
    <w:rsid w:val="00883BBF"/>
    <w:rsid w:val="00884FCB"/>
    <w:rsid w:val="0088719B"/>
    <w:rsid w:val="0089096C"/>
    <w:rsid w:val="00891792"/>
    <w:rsid w:val="00891C2B"/>
    <w:rsid w:val="00894F53"/>
    <w:rsid w:val="00896597"/>
    <w:rsid w:val="00897195"/>
    <w:rsid w:val="008979B1"/>
    <w:rsid w:val="00897F0A"/>
    <w:rsid w:val="008A09B5"/>
    <w:rsid w:val="008A1DB2"/>
    <w:rsid w:val="008A342E"/>
    <w:rsid w:val="008A64A6"/>
    <w:rsid w:val="008A6B25"/>
    <w:rsid w:val="008A6C4F"/>
    <w:rsid w:val="008B0077"/>
    <w:rsid w:val="008B012F"/>
    <w:rsid w:val="008B2335"/>
    <w:rsid w:val="008B25A1"/>
    <w:rsid w:val="008B629E"/>
    <w:rsid w:val="008B71A8"/>
    <w:rsid w:val="008C0D17"/>
    <w:rsid w:val="008C22CC"/>
    <w:rsid w:val="008C3223"/>
    <w:rsid w:val="008C3294"/>
    <w:rsid w:val="008C4B5A"/>
    <w:rsid w:val="008C4EDC"/>
    <w:rsid w:val="008C651D"/>
    <w:rsid w:val="008C6E58"/>
    <w:rsid w:val="008C77CB"/>
    <w:rsid w:val="008D0C03"/>
    <w:rsid w:val="008D1459"/>
    <w:rsid w:val="008D29A0"/>
    <w:rsid w:val="008D2A46"/>
    <w:rsid w:val="008E0678"/>
    <w:rsid w:val="008E0CFD"/>
    <w:rsid w:val="008E4C4F"/>
    <w:rsid w:val="008E5A83"/>
    <w:rsid w:val="008E5FF6"/>
    <w:rsid w:val="008E6067"/>
    <w:rsid w:val="008E665E"/>
    <w:rsid w:val="008F0336"/>
    <w:rsid w:val="008F0E3C"/>
    <w:rsid w:val="008F16E4"/>
    <w:rsid w:val="008F1FA8"/>
    <w:rsid w:val="008F6145"/>
    <w:rsid w:val="00900036"/>
    <w:rsid w:val="009002FE"/>
    <w:rsid w:val="00903876"/>
    <w:rsid w:val="009062A7"/>
    <w:rsid w:val="0090637F"/>
    <w:rsid w:val="00910F40"/>
    <w:rsid w:val="00912C08"/>
    <w:rsid w:val="00913616"/>
    <w:rsid w:val="0091377B"/>
    <w:rsid w:val="00915919"/>
    <w:rsid w:val="009223CA"/>
    <w:rsid w:val="00930548"/>
    <w:rsid w:val="009327B7"/>
    <w:rsid w:val="00932800"/>
    <w:rsid w:val="009377CE"/>
    <w:rsid w:val="00937F60"/>
    <w:rsid w:val="0094095A"/>
    <w:rsid w:val="00940F93"/>
    <w:rsid w:val="00945578"/>
    <w:rsid w:val="00946696"/>
    <w:rsid w:val="00951EAC"/>
    <w:rsid w:val="0095347F"/>
    <w:rsid w:val="009568BE"/>
    <w:rsid w:val="0096073F"/>
    <w:rsid w:val="00960911"/>
    <w:rsid w:val="009631A1"/>
    <w:rsid w:val="009633D7"/>
    <w:rsid w:val="00967F59"/>
    <w:rsid w:val="009701C4"/>
    <w:rsid w:val="00972C38"/>
    <w:rsid w:val="009735A8"/>
    <w:rsid w:val="00973F26"/>
    <w:rsid w:val="00974EF5"/>
    <w:rsid w:val="009752AB"/>
    <w:rsid w:val="009760F3"/>
    <w:rsid w:val="009768FC"/>
    <w:rsid w:val="009800FA"/>
    <w:rsid w:val="00980EA8"/>
    <w:rsid w:val="009817F4"/>
    <w:rsid w:val="009873ED"/>
    <w:rsid w:val="009909F5"/>
    <w:rsid w:val="00990FCA"/>
    <w:rsid w:val="0099515D"/>
    <w:rsid w:val="009A0E8D"/>
    <w:rsid w:val="009A19F8"/>
    <w:rsid w:val="009A42EC"/>
    <w:rsid w:val="009A577E"/>
    <w:rsid w:val="009B0FC5"/>
    <w:rsid w:val="009B1A5E"/>
    <w:rsid w:val="009B26E7"/>
    <w:rsid w:val="009B3C1C"/>
    <w:rsid w:val="009B3C5C"/>
    <w:rsid w:val="009B3D00"/>
    <w:rsid w:val="009C162C"/>
    <w:rsid w:val="009C4FB2"/>
    <w:rsid w:val="009C60EB"/>
    <w:rsid w:val="009C6DFE"/>
    <w:rsid w:val="009D1422"/>
    <w:rsid w:val="009D1E8D"/>
    <w:rsid w:val="009E2F54"/>
    <w:rsid w:val="009E7D26"/>
    <w:rsid w:val="009F03D3"/>
    <w:rsid w:val="009F0F35"/>
    <w:rsid w:val="009F2AC1"/>
    <w:rsid w:val="009F48AB"/>
    <w:rsid w:val="009F5182"/>
    <w:rsid w:val="009F7636"/>
    <w:rsid w:val="00A00A3F"/>
    <w:rsid w:val="00A01489"/>
    <w:rsid w:val="00A018AB"/>
    <w:rsid w:val="00A03ED0"/>
    <w:rsid w:val="00A13A77"/>
    <w:rsid w:val="00A165F9"/>
    <w:rsid w:val="00A206FC"/>
    <w:rsid w:val="00A230A0"/>
    <w:rsid w:val="00A232DB"/>
    <w:rsid w:val="00A31B81"/>
    <w:rsid w:val="00A338F1"/>
    <w:rsid w:val="00A343D0"/>
    <w:rsid w:val="00A377A8"/>
    <w:rsid w:val="00A41A5C"/>
    <w:rsid w:val="00A41AC2"/>
    <w:rsid w:val="00A42B98"/>
    <w:rsid w:val="00A44487"/>
    <w:rsid w:val="00A44615"/>
    <w:rsid w:val="00A447CC"/>
    <w:rsid w:val="00A4728C"/>
    <w:rsid w:val="00A47874"/>
    <w:rsid w:val="00A50C6D"/>
    <w:rsid w:val="00A52FFA"/>
    <w:rsid w:val="00A56A7C"/>
    <w:rsid w:val="00A61B43"/>
    <w:rsid w:val="00A63AA4"/>
    <w:rsid w:val="00A642CA"/>
    <w:rsid w:val="00A647C7"/>
    <w:rsid w:val="00A65032"/>
    <w:rsid w:val="00A654DD"/>
    <w:rsid w:val="00A70EA1"/>
    <w:rsid w:val="00A72C70"/>
    <w:rsid w:val="00A72F22"/>
    <w:rsid w:val="00A7360F"/>
    <w:rsid w:val="00A748A6"/>
    <w:rsid w:val="00A75355"/>
    <w:rsid w:val="00A7601E"/>
    <w:rsid w:val="00A76648"/>
    <w:rsid w:val="00A769F4"/>
    <w:rsid w:val="00A776B4"/>
    <w:rsid w:val="00A777C5"/>
    <w:rsid w:val="00A777CF"/>
    <w:rsid w:val="00A81D4E"/>
    <w:rsid w:val="00A85EA0"/>
    <w:rsid w:val="00A87865"/>
    <w:rsid w:val="00A8797C"/>
    <w:rsid w:val="00A9008E"/>
    <w:rsid w:val="00A91A32"/>
    <w:rsid w:val="00A92DE3"/>
    <w:rsid w:val="00A94361"/>
    <w:rsid w:val="00A96BCF"/>
    <w:rsid w:val="00AA0504"/>
    <w:rsid w:val="00AA19F0"/>
    <w:rsid w:val="00AA293C"/>
    <w:rsid w:val="00AA2D0D"/>
    <w:rsid w:val="00AA56FB"/>
    <w:rsid w:val="00AA672A"/>
    <w:rsid w:val="00AA6FA4"/>
    <w:rsid w:val="00AB0648"/>
    <w:rsid w:val="00AB19FA"/>
    <w:rsid w:val="00AB2855"/>
    <w:rsid w:val="00AB45A3"/>
    <w:rsid w:val="00AB4CA5"/>
    <w:rsid w:val="00AB5834"/>
    <w:rsid w:val="00AB6FA6"/>
    <w:rsid w:val="00AC2784"/>
    <w:rsid w:val="00AC4B52"/>
    <w:rsid w:val="00AC505B"/>
    <w:rsid w:val="00AC6A0A"/>
    <w:rsid w:val="00AD094D"/>
    <w:rsid w:val="00AD219F"/>
    <w:rsid w:val="00AD46B8"/>
    <w:rsid w:val="00AD4C9D"/>
    <w:rsid w:val="00AE1CFF"/>
    <w:rsid w:val="00AE3A93"/>
    <w:rsid w:val="00AE4730"/>
    <w:rsid w:val="00AE50CE"/>
    <w:rsid w:val="00AE55CB"/>
    <w:rsid w:val="00AE673B"/>
    <w:rsid w:val="00AF0BB7"/>
    <w:rsid w:val="00AF1A44"/>
    <w:rsid w:val="00AF3148"/>
    <w:rsid w:val="00AF34D9"/>
    <w:rsid w:val="00AF5CCF"/>
    <w:rsid w:val="00AF7286"/>
    <w:rsid w:val="00B03884"/>
    <w:rsid w:val="00B04543"/>
    <w:rsid w:val="00B10640"/>
    <w:rsid w:val="00B1156E"/>
    <w:rsid w:val="00B11BC2"/>
    <w:rsid w:val="00B13E9B"/>
    <w:rsid w:val="00B16852"/>
    <w:rsid w:val="00B174D5"/>
    <w:rsid w:val="00B20F87"/>
    <w:rsid w:val="00B2280C"/>
    <w:rsid w:val="00B23D94"/>
    <w:rsid w:val="00B246AD"/>
    <w:rsid w:val="00B25D3D"/>
    <w:rsid w:val="00B2683D"/>
    <w:rsid w:val="00B30179"/>
    <w:rsid w:val="00B339A7"/>
    <w:rsid w:val="00B33ABD"/>
    <w:rsid w:val="00B37326"/>
    <w:rsid w:val="00B4047A"/>
    <w:rsid w:val="00B41A37"/>
    <w:rsid w:val="00B41ACB"/>
    <w:rsid w:val="00B42976"/>
    <w:rsid w:val="00B46514"/>
    <w:rsid w:val="00B467BE"/>
    <w:rsid w:val="00B46DF7"/>
    <w:rsid w:val="00B47DB8"/>
    <w:rsid w:val="00B503FD"/>
    <w:rsid w:val="00B55195"/>
    <w:rsid w:val="00B55522"/>
    <w:rsid w:val="00B56E4A"/>
    <w:rsid w:val="00B56E9C"/>
    <w:rsid w:val="00B57749"/>
    <w:rsid w:val="00B60748"/>
    <w:rsid w:val="00B64B1F"/>
    <w:rsid w:val="00B6524C"/>
    <w:rsid w:val="00B6553F"/>
    <w:rsid w:val="00B66B59"/>
    <w:rsid w:val="00B66E5E"/>
    <w:rsid w:val="00B73578"/>
    <w:rsid w:val="00B760B5"/>
    <w:rsid w:val="00B76950"/>
    <w:rsid w:val="00B77D05"/>
    <w:rsid w:val="00B81206"/>
    <w:rsid w:val="00B8190A"/>
    <w:rsid w:val="00B81E12"/>
    <w:rsid w:val="00B85756"/>
    <w:rsid w:val="00B85AF8"/>
    <w:rsid w:val="00B86C63"/>
    <w:rsid w:val="00B9067B"/>
    <w:rsid w:val="00B915E0"/>
    <w:rsid w:val="00B94491"/>
    <w:rsid w:val="00B94EE2"/>
    <w:rsid w:val="00B95A99"/>
    <w:rsid w:val="00B96623"/>
    <w:rsid w:val="00B968B5"/>
    <w:rsid w:val="00B97074"/>
    <w:rsid w:val="00B97AFE"/>
    <w:rsid w:val="00BA0869"/>
    <w:rsid w:val="00BA434C"/>
    <w:rsid w:val="00BA5934"/>
    <w:rsid w:val="00BB22D5"/>
    <w:rsid w:val="00BB6283"/>
    <w:rsid w:val="00BC01E3"/>
    <w:rsid w:val="00BC1F84"/>
    <w:rsid w:val="00BC2C23"/>
    <w:rsid w:val="00BC48F3"/>
    <w:rsid w:val="00BC5363"/>
    <w:rsid w:val="00BC6E5E"/>
    <w:rsid w:val="00BC74E9"/>
    <w:rsid w:val="00BD4F80"/>
    <w:rsid w:val="00BD6CE9"/>
    <w:rsid w:val="00BD746A"/>
    <w:rsid w:val="00BE26B2"/>
    <w:rsid w:val="00BE4F3F"/>
    <w:rsid w:val="00BE62B5"/>
    <w:rsid w:val="00BF0311"/>
    <w:rsid w:val="00BF1510"/>
    <w:rsid w:val="00BF3F81"/>
    <w:rsid w:val="00BF4613"/>
    <w:rsid w:val="00BF61C5"/>
    <w:rsid w:val="00BF68A8"/>
    <w:rsid w:val="00BF72FD"/>
    <w:rsid w:val="00C001EA"/>
    <w:rsid w:val="00C01395"/>
    <w:rsid w:val="00C02635"/>
    <w:rsid w:val="00C02E7A"/>
    <w:rsid w:val="00C04639"/>
    <w:rsid w:val="00C065DB"/>
    <w:rsid w:val="00C07831"/>
    <w:rsid w:val="00C11092"/>
    <w:rsid w:val="00C11207"/>
    <w:rsid w:val="00C11870"/>
    <w:rsid w:val="00C11A03"/>
    <w:rsid w:val="00C12E00"/>
    <w:rsid w:val="00C144EC"/>
    <w:rsid w:val="00C15ACC"/>
    <w:rsid w:val="00C20A72"/>
    <w:rsid w:val="00C222FE"/>
    <w:rsid w:val="00C2284D"/>
    <w:rsid w:val="00C236E9"/>
    <w:rsid w:val="00C268AF"/>
    <w:rsid w:val="00C34926"/>
    <w:rsid w:val="00C35A3B"/>
    <w:rsid w:val="00C36048"/>
    <w:rsid w:val="00C418BB"/>
    <w:rsid w:val="00C42190"/>
    <w:rsid w:val="00C42DB4"/>
    <w:rsid w:val="00C44D49"/>
    <w:rsid w:val="00C463DD"/>
    <w:rsid w:val="00C46474"/>
    <w:rsid w:val="00C4724C"/>
    <w:rsid w:val="00C47927"/>
    <w:rsid w:val="00C50356"/>
    <w:rsid w:val="00C50ECF"/>
    <w:rsid w:val="00C52179"/>
    <w:rsid w:val="00C5291D"/>
    <w:rsid w:val="00C53963"/>
    <w:rsid w:val="00C55779"/>
    <w:rsid w:val="00C56114"/>
    <w:rsid w:val="00C57A10"/>
    <w:rsid w:val="00C606D3"/>
    <w:rsid w:val="00C61C48"/>
    <w:rsid w:val="00C629A0"/>
    <w:rsid w:val="00C64477"/>
    <w:rsid w:val="00C646B8"/>
    <w:rsid w:val="00C73736"/>
    <w:rsid w:val="00C745C3"/>
    <w:rsid w:val="00C76890"/>
    <w:rsid w:val="00C7728B"/>
    <w:rsid w:val="00C80234"/>
    <w:rsid w:val="00C803EC"/>
    <w:rsid w:val="00C819E8"/>
    <w:rsid w:val="00C84B90"/>
    <w:rsid w:val="00C8504E"/>
    <w:rsid w:val="00C85113"/>
    <w:rsid w:val="00CA1D62"/>
    <w:rsid w:val="00CA5209"/>
    <w:rsid w:val="00CA61B1"/>
    <w:rsid w:val="00CB351A"/>
    <w:rsid w:val="00CB6E28"/>
    <w:rsid w:val="00CC0BB4"/>
    <w:rsid w:val="00CD272E"/>
    <w:rsid w:val="00CE2C50"/>
    <w:rsid w:val="00CE4A8F"/>
    <w:rsid w:val="00CE736B"/>
    <w:rsid w:val="00CF1984"/>
    <w:rsid w:val="00CF2621"/>
    <w:rsid w:val="00CF76D6"/>
    <w:rsid w:val="00D02C2A"/>
    <w:rsid w:val="00D06AB9"/>
    <w:rsid w:val="00D06B7E"/>
    <w:rsid w:val="00D1041B"/>
    <w:rsid w:val="00D12158"/>
    <w:rsid w:val="00D12737"/>
    <w:rsid w:val="00D1315B"/>
    <w:rsid w:val="00D13268"/>
    <w:rsid w:val="00D141CF"/>
    <w:rsid w:val="00D2031B"/>
    <w:rsid w:val="00D22370"/>
    <w:rsid w:val="00D22468"/>
    <w:rsid w:val="00D24A83"/>
    <w:rsid w:val="00D257E7"/>
    <w:rsid w:val="00D25FE2"/>
    <w:rsid w:val="00D2637A"/>
    <w:rsid w:val="00D3001F"/>
    <w:rsid w:val="00D30034"/>
    <w:rsid w:val="00D334A4"/>
    <w:rsid w:val="00D34330"/>
    <w:rsid w:val="00D35B7F"/>
    <w:rsid w:val="00D35FCA"/>
    <w:rsid w:val="00D3661C"/>
    <w:rsid w:val="00D42B30"/>
    <w:rsid w:val="00D43252"/>
    <w:rsid w:val="00D43E03"/>
    <w:rsid w:val="00D43E06"/>
    <w:rsid w:val="00D46C27"/>
    <w:rsid w:val="00D47EEA"/>
    <w:rsid w:val="00D501D0"/>
    <w:rsid w:val="00D509AE"/>
    <w:rsid w:val="00D51D6E"/>
    <w:rsid w:val="00D5203D"/>
    <w:rsid w:val="00D53BAD"/>
    <w:rsid w:val="00D543C9"/>
    <w:rsid w:val="00D56934"/>
    <w:rsid w:val="00D6109E"/>
    <w:rsid w:val="00D6148A"/>
    <w:rsid w:val="00D673D2"/>
    <w:rsid w:val="00D71002"/>
    <w:rsid w:val="00D729E4"/>
    <w:rsid w:val="00D73B9D"/>
    <w:rsid w:val="00D73CB8"/>
    <w:rsid w:val="00D75EF2"/>
    <w:rsid w:val="00D76E22"/>
    <w:rsid w:val="00D80EDF"/>
    <w:rsid w:val="00D85E38"/>
    <w:rsid w:val="00D864CC"/>
    <w:rsid w:val="00D90F93"/>
    <w:rsid w:val="00D913B0"/>
    <w:rsid w:val="00D94BB8"/>
    <w:rsid w:val="00D94CDD"/>
    <w:rsid w:val="00D95303"/>
    <w:rsid w:val="00D96E57"/>
    <w:rsid w:val="00D97597"/>
    <w:rsid w:val="00D975A7"/>
    <w:rsid w:val="00D978C6"/>
    <w:rsid w:val="00DA2C26"/>
    <w:rsid w:val="00DA3111"/>
    <w:rsid w:val="00DA38E0"/>
    <w:rsid w:val="00DA3C1C"/>
    <w:rsid w:val="00DA4BBB"/>
    <w:rsid w:val="00DA7806"/>
    <w:rsid w:val="00DB0C79"/>
    <w:rsid w:val="00DB183B"/>
    <w:rsid w:val="00DB2CE7"/>
    <w:rsid w:val="00DB5B2F"/>
    <w:rsid w:val="00DB63E4"/>
    <w:rsid w:val="00DC0714"/>
    <w:rsid w:val="00DC19A5"/>
    <w:rsid w:val="00DC3202"/>
    <w:rsid w:val="00DC323F"/>
    <w:rsid w:val="00DC465A"/>
    <w:rsid w:val="00DD2848"/>
    <w:rsid w:val="00DD471E"/>
    <w:rsid w:val="00DD593B"/>
    <w:rsid w:val="00DE1DF6"/>
    <w:rsid w:val="00DE58CB"/>
    <w:rsid w:val="00DE79A8"/>
    <w:rsid w:val="00DE79DC"/>
    <w:rsid w:val="00DE7F59"/>
    <w:rsid w:val="00DF0799"/>
    <w:rsid w:val="00DF528D"/>
    <w:rsid w:val="00E01A93"/>
    <w:rsid w:val="00E12D36"/>
    <w:rsid w:val="00E142AF"/>
    <w:rsid w:val="00E15CC1"/>
    <w:rsid w:val="00E17C73"/>
    <w:rsid w:val="00E209FD"/>
    <w:rsid w:val="00E21400"/>
    <w:rsid w:val="00E25E54"/>
    <w:rsid w:val="00E27346"/>
    <w:rsid w:val="00E306CE"/>
    <w:rsid w:val="00E31E79"/>
    <w:rsid w:val="00E34156"/>
    <w:rsid w:val="00E34161"/>
    <w:rsid w:val="00E37D7F"/>
    <w:rsid w:val="00E40A07"/>
    <w:rsid w:val="00E40E4A"/>
    <w:rsid w:val="00E41BFE"/>
    <w:rsid w:val="00E4363C"/>
    <w:rsid w:val="00E5326C"/>
    <w:rsid w:val="00E53D02"/>
    <w:rsid w:val="00E6074E"/>
    <w:rsid w:val="00E61088"/>
    <w:rsid w:val="00E632CC"/>
    <w:rsid w:val="00E64123"/>
    <w:rsid w:val="00E65396"/>
    <w:rsid w:val="00E67325"/>
    <w:rsid w:val="00E704E1"/>
    <w:rsid w:val="00E71BC8"/>
    <w:rsid w:val="00E7260F"/>
    <w:rsid w:val="00E73BCD"/>
    <w:rsid w:val="00E74206"/>
    <w:rsid w:val="00E76AD6"/>
    <w:rsid w:val="00E77185"/>
    <w:rsid w:val="00E779FC"/>
    <w:rsid w:val="00E80732"/>
    <w:rsid w:val="00E848D3"/>
    <w:rsid w:val="00E849B2"/>
    <w:rsid w:val="00E85728"/>
    <w:rsid w:val="00E86349"/>
    <w:rsid w:val="00E9006E"/>
    <w:rsid w:val="00E921CF"/>
    <w:rsid w:val="00E94466"/>
    <w:rsid w:val="00E95599"/>
    <w:rsid w:val="00E965DD"/>
    <w:rsid w:val="00E96630"/>
    <w:rsid w:val="00EA0822"/>
    <w:rsid w:val="00EA31F7"/>
    <w:rsid w:val="00EA6090"/>
    <w:rsid w:val="00EB11F3"/>
    <w:rsid w:val="00EB1947"/>
    <w:rsid w:val="00EB2581"/>
    <w:rsid w:val="00EB3D88"/>
    <w:rsid w:val="00EB4137"/>
    <w:rsid w:val="00EB5373"/>
    <w:rsid w:val="00EB62DE"/>
    <w:rsid w:val="00EC14EF"/>
    <w:rsid w:val="00EC4B91"/>
    <w:rsid w:val="00ED00FD"/>
    <w:rsid w:val="00ED49FA"/>
    <w:rsid w:val="00ED6399"/>
    <w:rsid w:val="00ED6970"/>
    <w:rsid w:val="00ED7A2A"/>
    <w:rsid w:val="00ED7E6E"/>
    <w:rsid w:val="00EE5C7E"/>
    <w:rsid w:val="00EE6929"/>
    <w:rsid w:val="00EF0235"/>
    <w:rsid w:val="00EF0C54"/>
    <w:rsid w:val="00EF1D7A"/>
    <w:rsid w:val="00EF1D7F"/>
    <w:rsid w:val="00EF3514"/>
    <w:rsid w:val="00EF560D"/>
    <w:rsid w:val="00EF7F4D"/>
    <w:rsid w:val="00F01F3B"/>
    <w:rsid w:val="00F021BF"/>
    <w:rsid w:val="00F03190"/>
    <w:rsid w:val="00F03A99"/>
    <w:rsid w:val="00F0403F"/>
    <w:rsid w:val="00F04CDE"/>
    <w:rsid w:val="00F075CC"/>
    <w:rsid w:val="00F17BD5"/>
    <w:rsid w:val="00F20C3D"/>
    <w:rsid w:val="00F21FE3"/>
    <w:rsid w:val="00F22E3E"/>
    <w:rsid w:val="00F24F92"/>
    <w:rsid w:val="00F2653D"/>
    <w:rsid w:val="00F3026E"/>
    <w:rsid w:val="00F31056"/>
    <w:rsid w:val="00F31242"/>
    <w:rsid w:val="00F31550"/>
    <w:rsid w:val="00F33A7A"/>
    <w:rsid w:val="00F34D48"/>
    <w:rsid w:val="00F35149"/>
    <w:rsid w:val="00F373CD"/>
    <w:rsid w:val="00F4009B"/>
    <w:rsid w:val="00F41576"/>
    <w:rsid w:val="00F41B9F"/>
    <w:rsid w:val="00F41F7D"/>
    <w:rsid w:val="00F4204E"/>
    <w:rsid w:val="00F4374D"/>
    <w:rsid w:val="00F43E9E"/>
    <w:rsid w:val="00F44820"/>
    <w:rsid w:val="00F45F6B"/>
    <w:rsid w:val="00F52BE2"/>
    <w:rsid w:val="00F53964"/>
    <w:rsid w:val="00F53F5C"/>
    <w:rsid w:val="00F546EA"/>
    <w:rsid w:val="00F60C3B"/>
    <w:rsid w:val="00F63E57"/>
    <w:rsid w:val="00F67C5B"/>
    <w:rsid w:val="00F70D30"/>
    <w:rsid w:val="00F72A4B"/>
    <w:rsid w:val="00F748B6"/>
    <w:rsid w:val="00F77865"/>
    <w:rsid w:val="00F82653"/>
    <w:rsid w:val="00F82F23"/>
    <w:rsid w:val="00F8467B"/>
    <w:rsid w:val="00F85733"/>
    <w:rsid w:val="00F86121"/>
    <w:rsid w:val="00F8772A"/>
    <w:rsid w:val="00F8799A"/>
    <w:rsid w:val="00F9057C"/>
    <w:rsid w:val="00F906D7"/>
    <w:rsid w:val="00F908D7"/>
    <w:rsid w:val="00F90FD3"/>
    <w:rsid w:val="00F93781"/>
    <w:rsid w:val="00F9653B"/>
    <w:rsid w:val="00F9682C"/>
    <w:rsid w:val="00F96BA5"/>
    <w:rsid w:val="00FA1718"/>
    <w:rsid w:val="00FA7A81"/>
    <w:rsid w:val="00FB148B"/>
    <w:rsid w:val="00FB2745"/>
    <w:rsid w:val="00FB45D9"/>
    <w:rsid w:val="00FB5EB5"/>
    <w:rsid w:val="00FB613B"/>
    <w:rsid w:val="00FB6456"/>
    <w:rsid w:val="00FB78D7"/>
    <w:rsid w:val="00FC0622"/>
    <w:rsid w:val="00FC68B7"/>
    <w:rsid w:val="00FC7D06"/>
    <w:rsid w:val="00FD0381"/>
    <w:rsid w:val="00FD28AF"/>
    <w:rsid w:val="00FD4F04"/>
    <w:rsid w:val="00FD4FB8"/>
    <w:rsid w:val="00FD61DA"/>
    <w:rsid w:val="00FD6BD4"/>
    <w:rsid w:val="00FD7CD0"/>
    <w:rsid w:val="00FE106A"/>
    <w:rsid w:val="00FE2460"/>
    <w:rsid w:val="00FE2B82"/>
    <w:rsid w:val="00FE4EEA"/>
    <w:rsid w:val="00FE5BA0"/>
    <w:rsid w:val="00FE7861"/>
    <w:rsid w:val="00FF0000"/>
    <w:rsid w:val="00FF35E9"/>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76E4F-224A-4F4C-8625-D45A9A1F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B3C1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B3C1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rsid w:val="006E6139"/>
    <w:rPr>
      <w:sz w:val="24"/>
      <w:szCs w:val="24"/>
    </w:rPr>
  </w:style>
  <w:style w:type="paragraph" w:styleId="Revision">
    <w:name w:val="Revision"/>
    <w:hidden/>
    <w:uiPriority w:val="99"/>
    <w:semiHidden/>
    <w:rsid w:val="00FC7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74999857">
      <w:bodyDiv w:val="1"/>
      <w:marLeft w:val="0"/>
      <w:marRight w:val="0"/>
      <w:marTop w:val="0"/>
      <w:marBottom w:val="0"/>
      <w:divBdr>
        <w:top w:val="none" w:sz="0" w:space="0" w:color="auto"/>
        <w:left w:val="none" w:sz="0" w:space="0" w:color="auto"/>
        <w:bottom w:val="none" w:sz="0" w:space="0" w:color="auto"/>
        <w:right w:val="none" w:sz="0" w:space="0" w:color="auto"/>
      </w:divBdr>
      <w:divsChild>
        <w:div w:id="1072505945">
          <w:marLeft w:val="0"/>
          <w:marRight w:val="0"/>
          <w:marTop w:val="0"/>
          <w:marBottom w:val="0"/>
          <w:divBdr>
            <w:top w:val="none" w:sz="0" w:space="0" w:color="auto"/>
            <w:left w:val="none" w:sz="0" w:space="0" w:color="auto"/>
            <w:bottom w:val="none" w:sz="0" w:space="0" w:color="auto"/>
            <w:right w:val="none" w:sz="0" w:space="0" w:color="auto"/>
          </w:divBdr>
          <w:divsChild>
            <w:div w:id="1177815899">
              <w:marLeft w:val="0"/>
              <w:marRight w:val="0"/>
              <w:marTop w:val="0"/>
              <w:marBottom w:val="0"/>
              <w:divBdr>
                <w:top w:val="none" w:sz="0" w:space="0" w:color="auto"/>
                <w:left w:val="none" w:sz="0" w:space="0" w:color="auto"/>
                <w:bottom w:val="none" w:sz="0" w:space="0" w:color="auto"/>
                <w:right w:val="none" w:sz="0" w:space="0" w:color="auto"/>
              </w:divBdr>
              <w:divsChild>
                <w:div w:id="1809782507">
                  <w:marLeft w:val="0"/>
                  <w:marRight w:val="0"/>
                  <w:marTop w:val="0"/>
                  <w:marBottom w:val="0"/>
                  <w:divBdr>
                    <w:top w:val="none" w:sz="0" w:space="0" w:color="auto"/>
                    <w:left w:val="none" w:sz="0" w:space="0" w:color="auto"/>
                    <w:bottom w:val="none" w:sz="0" w:space="0" w:color="auto"/>
                    <w:right w:val="none" w:sz="0" w:space="0" w:color="auto"/>
                  </w:divBdr>
                  <w:divsChild>
                    <w:div w:id="2108456765">
                      <w:marLeft w:val="0"/>
                      <w:marRight w:val="0"/>
                      <w:marTop w:val="0"/>
                      <w:marBottom w:val="0"/>
                      <w:divBdr>
                        <w:top w:val="none" w:sz="0" w:space="0" w:color="auto"/>
                        <w:left w:val="none" w:sz="0" w:space="0" w:color="auto"/>
                        <w:bottom w:val="none" w:sz="0" w:space="0" w:color="auto"/>
                        <w:right w:val="none" w:sz="0" w:space="0" w:color="auto"/>
                      </w:divBdr>
                      <w:divsChild>
                        <w:div w:id="283076805">
                          <w:marLeft w:val="0"/>
                          <w:marRight w:val="0"/>
                          <w:marTop w:val="0"/>
                          <w:marBottom w:val="0"/>
                          <w:divBdr>
                            <w:top w:val="none" w:sz="0" w:space="0" w:color="auto"/>
                            <w:left w:val="none" w:sz="0" w:space="0" w:color="auto"/>
                            <w:bottom w:val="none" w:sz="0" w:space="0" w:color="auto"/>
                            <w:right w:val="none" w:sz="0" w:space="0" w:color="auto"/>
                          </w:divBdr>
                          <w:divsChild>
                            <w:div w:id="6600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70631319">
      <w:bodyDiv w:val="1"/>
      <w:marLeft w:val="15"/>
      <w:marRight w:val="15"/>
      <w:marTop w:val="15"/>
      <w:marBottom w:val="15"/>
      <w:divBdr>
        <w:top w:val="none" w:sz="0" w:space="0" w:color="auto"/>
        <w:left w:val="none" w:sz="0" w:space="0" w:color="auto"/>
        <w:bottom w:val="none" w:sz="0" w:space="0" w:color="auto"/>
        <w:right w:val="none" w:sz="0" w:space="0" w:color="auto"/>
      </w:divBdr>
      <w:divsChild>
        <w:div w:id="1011226029">
          <w:marLeft w:val="150"/>
          <w:marRight w:val="150"/>
          <w:marTop w:val="0"/>
          <w:marBottom w:val="150"/>
          <w:divBdr>
            <w:top w:val="none" w:sz="0" w:space="0" w:color="auto"/>
            <w:left w:val="none" w:sz="0" w:space="0" w:color="auto"/>
            <w:bottom w:val="none" w:sz="0" w:space="0" w:color="auto"/>
            <w:right w:val="none" w:sz="0" w:space="0" w:color="auto"/>
          </w:divBdr>
        </w:div>
      </w:divsChild>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85967363">
      <w:bodyDiv w:val="1"/>
      <w:marLeft w:val="0"/>
      <w:marRight w:val="0"/>
      <w:marTop w:val="0"/>
      <w:marBottom w:val="0"/>
      <w:divBdr>
        <w:top w:val="none" w:sz="0" w:space="0" w:color="auto"/>
        <w:left w:val="none" w:sz="0" w:space="0" w:color="auto"/>
        <w:bottom w:val="none" w:sz="0" w:space="0" w:color="auto"/>
        <w:right w:val="none" w:sz="0" w:space="0" w:color="auto"/>
      </w:divBdr>
      <w:divsChild>
        <w:div w:id="973295195">
          <w:marLeft w:val="0"/>
          <w:marRight w:val="0"/>
          <w:marTop w:val="0"/>
          <w:marBottom w:val="0"/>
          <w:divBdr>
            <w:top w:val="none" w:sz="0" w:space="0" w:color="auto"/>
            <w:left w:val="none" w:sz="0" w:space="0" w:color="auto"/>
            <w:bottom w:val="none" w:sz="0" w:space="0" w:color="auto"/>
            <w:right w:val="none" w:sz="0" w:space="0" w:color="auto"/>
          </w:divBdr>
          <w:divsChild>
            <w:div w:id="945964705">
              <w:marLeft w:val="0"/>
              <w:marRight w:val="0"/>
              <w:marTop w:val="0"/>
              <w:marBottom w:val="0"/>
              <w:divBdr>
                <w:top w:val="none" w:sz="0" w:space="0" w:color="auto"/>
                <w:left w:val="none" w:sz="0" w:space="0" w:color="auto"/>
                <w:bottom w:val="none" w:sz="0" w:space="0" w:color="auto"/>
                <w:right w:val="none" w:sz="0" w:space="0" w:color="auto"/>
              </w:divBdr>
              <w:divsChild>
                <w:div w:id="1471943316">
                  <w:marLeft w:val="0"/>
                  <w:marRight w:val="0"/>
                  <w:marTop w:val="0"/>
                  <w:marBottom w:val="0"/>
                  <w:divBdr>
                    <w:top w:val="none" w:sz="0" w:space="0" w:color="auto"/>
                    <w:left w:val="none" w:sz="0" w:space="0" w:color="auto"/>
                    <w:bottom w:val="none" w:sz="0" w:space="0" w:color="auto"/>
                    <w:right w:val="none" w:sz="0" w:space="0" w:color="auto"/>
                  </w:divBdr>
                  <w:divsChild>
                    <w:div w:id="1703282450">
                      <w:marLeft w:val="0"/>
                      <w:marRight w:val="0"/>
                      <w:marTop w:val="0"/>
                      <w:marBottom w:val="0"/>
                      <w:divBdr>
                        <w:top w:val="none" w:sz="0" w:space="0" w:color="auto"/>
                        <w:left w:val="none" w:sz="0" w:space="0" w:color="auto"/>
                        <w:bottom w:val="none" w:sz="0" w:space="0" w:color="auto"/>
                        <w:right w:val="none" w:sz="0" w:space="0" w:color="auto"/>
                      </w:divBdr>
                      <w:divsChild>
                        <w:div w:id="399133253">
                          <w:marLeft w:val="0"/>
                          <w:marRight w:val="0"/>
                          <w:marTop w:val="0"/>
                          <w:marBottom w:val="0"/>
                          <w:divBdr>
                            <w:top w:val="none" w:sz="0" w:space="0" w:color="auto"/>
                            <w:left w:val="none" w:sz="0" w:space="0" w:color="auto"/>
                            <w:bottom w:val="none" w:sz="0" w:space="0" w:color="auto"/>
                            <w:right w:val="none" w:sz="0" w:space="0" w:color="auto"/>
                          </w:divBdr>
                          <w:divsChild>
                            <w:div w:id="16419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09961703">
      <w:bodyDiv w:val="1"/>
      <w:marLeft w:val="0"/>
      <w:marRight w:val="0"/>
      <w:marTop w:val="0"/>
      <w:marBottom w:val="0"/>
      <w:divBdr>
        <w:top w:val="none" w:sz="0" w:space="0" w:color="auto"/>
        <w:left w:val="none" w:sz="0" w:space="0" w:color="auto"/>
        <w:bottom w:val="none" w:sz="0" w:space="0" w:color="auto"/>
        <w:right w:val="none" w:sz="0" w:space="0" w:color="auto"/>
      </w:divBdr>
      <w:divsChild>
        <w:div w:id="228156554">
          <w:marLeft w:val="0"/>
          <w:marRight w:val="0"/>
          <w:marTop w:val="0"/>
          <w:marBottom w:val="0"/>
          <w:divBdr>
            <w:top w:val="none" w:sz="0" w:space="0" w:color="auto"/>
            <w:left w:val="none" w:sz="0" w:space="0" w:color="auto"/>
            <w:bottom w:val="none" w:sz="0" w:space="0" w:color="auto"/>
            <w:right w:val="none" w:sz="0" w:space="0" w:color="auto"/>
          </w:divBdr>
          <w:divsChild>
            <w:div w:id="1740861865">
              <w:marLeft w:val="0"/>
              <w:marRight w:val="0"/>
              <w:marTop w:val="0"/>
              <w:marBottom w:val="0"/>
              <w:divBdr>
                <w:top w:val="none" w:sz="0" w:space="0" w:color="auto"/>
                <w:left w:val="none" w:sz="0" w:space="0" w:color="auto"/>
                <w:bottom w:val="none" w:sz="0" w:space="0" w:color="auto"/>
                <w:right w:val="none" w:sz="0" w:space="0" w:color="auto"/>
              </w:divBdr>
              <w:divsChild>
                <w:div w:id="2103721000">
                  <w:marLeft w:val="0"/>
                  <w:marRight w:val="0"/>
                  <w:marTop w:val="0"/>
                  <w:marBottom w:val="0"/>
                  <w:divBdr>
                    <w:top w:val="none" w:sz="0" w:space="0" w:color="auto"/>
                    <w:left w:val="none" w:sz="0" w:space="0" w:color="auto"/>
                    <w:bottom w:val="none" w:sz="0" w:space="0" w:color="auto"/>
                    <w:right w:val="none" w:sz="0" w:space="0" w:color="auto"/>
                  </w:divBdr>
                  <w:divsChild>
                    <w:div w:id="1470824942">
                      <w:marLeft w:val="0"/>
                      <w:marRight w:val="0"/>
                      <w:marTop w:val="0"/>
                      <w:marBottom w:val="0"/>
                      <w:divBdr>
                        <w:top w:val="none" w:sz="0" w:space="0" w:color="auto"/>
                        <w:left w:val="none" w:sz="0" w:space="0" w:color="auto"/>
                        <w:bottom w:val="none" w:sz="0" w:space="0" w:color="auto"/>
                        <w:right w:val="none" w:sz="0" w:space="0" w:color="auto"/>
                      </w:divBdr>
                      <w:divsChild>
                        <w:div w:id="1285308042">
                          <w:marLeft w:val="0"/>
                          <w:marRight w:val="0"/>
                          <w:marTop w:val="0"/>
                          <w:marBottom w:val="0"/>
                          <w:divBdr>
                            <w:top w:val="none" w:sz="0" w:space="0" w:color="auto"/>
                            <w:left w:val="none" w:sz="0" w:space="0" w:color="auto"/>
                            <w:bottom w:val="none" w:sz="0" w:space="0" w:color="auto"/>
                            <w:right w:val="none" w:sz="0" w:space="0" w:color="auto"/>
                          </w:divBdr>
                          <w:divsChild>
                            <w:div w:id="16526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505939">
      <w:bodyDiv w:val="1"/>
      <w:marLeft w:val="0"/>
      <w:marRight w:val="0"/>
      <w:marTop w:val="0"/>
      <w:marBottom w:val="0"/>
      <w:divBdr>
        <w:top w:val="none" w:sz="0" w:space="0" w:color="auto"/>
        <w:left w:val="none" w:sz="0" w:space="0" w:color="auto"/>
        <w:bottom w:val="none" w:sz="0" w:space="0" w:color="auto"/>
        <w:right w:val="none" w:sz="0" w:space="0" w:color="auto"/>
      </w:divBdr>
    </w:div>
    <w:div w:id="848133537">
      <w:bodyDiv w:val="1"/>
      <w:marLeft w:val="0"/>
      <w:marRight w:val="0"/>
      <w:marTop w:val="0"/>
      <w:marBottom w:val="0"/>
      <w:divBdr>
        <w:top w:val="none" w:sz="0" w:space="0" w:color="auto"/>
        <w:left w:val="none" w:sz="0" w:space="0" w:color="auto"/>
        <w:bottom w:val="none" w:sz="0" w:space="0" w:color="auto"/>
        <w:right w:val="none" w:sz="0" w:space="0" w:color="auto"/>
      </w:divBdr>
      <w:divsChild>
        <w:div w:id="466241332">
          <w:marLeft w:val="0"/>
          <w:marRight w:val="0"/>
          <w:marTop w:val="0"/>
          <w:marBottom w:val="0"/>
          <w:divBdr>
            <w:top w:val="none" w:sz="0" w:space="0" w:color="auto"/>
            <w:left w:val="none" w:sz="0" w:space="0" w:color="auto"/>
            <w:bottom w:val="none" w:sz="0" w:space="0" w:color="auto"/>
            <w:right w:val="none" w:sz="0" w:space="0" w:color="auto"/>
          </w:divBdr>
          <w:divsChild>
            <w:div w:id="2061857954">
              <w:marLeft w:val="0"/>
              <w:marRight w:val="0"/>
              <w:marTop w:val="0"/>
              <w:marBottom w:val="0"/>
              <w:divBdr>
                <w:top w:val="none" w:sz="0" w:space="0" w:color="auto"/>
                <w:left w:val="none" w:sz="0" w:space="0" w:color="auto"/>
                <w:bottom w:val="none" w:sz="0" w:space="0" w:color="auto"/>
                <w:right w:val="none" w:sz="0" w:space="0" w:color="auto"/>
              </w:divBdr>
              <w:divsChild>
                <w:div w:id="157118148">
                  <w:marLeft w:val="0"/>
                  <w:marRight w:val="0"/>
                  <w:marTop w:val="0"/>
                  <w:marBottom w:val="0"/>
                  <w:divBdr>
                    <w:top w:val="none" w:sz="0" w:space="0" w:color="auto"/>
                    <w:left w:val="none" w:sz="0" w:space="0" w:color="auto"/>
                    <w:bottom w:val="none" w:sz="0" w:space="0" w:color="auto"/>
                    <w:right w:val="none" w:sz="0" w:space="0" w:color="auto"/>
                  </w:divBdr>
                  <w:divsChild>
                    <w:div w:id="1472332293">
                      <w:marLeft w:val="0"/>
                      <w:marRight w:val="0"/>
                      <w:marTop w:val="0"/>
                      <w:marBottom w:val="0"/>
                      <w:divBdr>
                        <w:top w:val="none" w:sz="0" w:space="0" w:color="auto"/>
                        <w:left w:val="none" w:sz="0" w:space="0" w:color="auto"/>
                        <w:bottom w:val="none" w:sz="0" w:space="0" w:color="auto"/>
                        <w:right w:val="none" w:sz="0" w:space="0" w:color="auto"/>
                      </w:divBdr>
                      <w:divsChild>
                        <w:div w:id="1186943014">
                          <w:marLeft w:val="0"/>
                          <w:marRight w:val="0"/>
                          <w:marTop w:val="0"/>
                          <w:marBottom w:val="0"/>
                          <w:divBdr>
                            <w:top w:val="none" w:sz="0" w:space="0" w:color="auto"/>
                            <w:left w:val="none" w:sz="0" w:space="0" w:color="auto"/>
                            <w:bottom w:val="none" w:sz="0" w:space="0" w:color="auto"/>
                            <w:right w:val="none" w:sz="0" w:space="0" w:color="auto"/>
                          </w:divBdr>
                          <w:divsChild>
                            <w:div w:id="1289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312831981">
      <w:bodyDiv w:val="1"/>
      <w:marLeft w:val="0"/>
      <w:marRight w:val="0"/>
      <w:marTop w:val="0"/>
      <w:marBottom w:val="0"/>
      <w:divBdr>
        <w:top w:val="none" w:sz="0" w:space="0" w:color="auto"/>
        <w:left w:val="none" w:sz="0" w:space="0" w:color="auto"/>
        <w:bottom w:val="none" w:sz="0" w:space="0" w:color="auto"/>
        <w:right w:val="none" w:sz="0" w:space="0" w:color="auto"/>
      </w:divBdr>
      <w:divsChild>
        <w:div w:id="1864509995">
          <w:marLeft w:val="0"/>
          <w:marRight w:val="0"/>
          <w:marTop w:val="0"/>
          <w:marBottom w:val="0"/>
          <w:divBdr>
            <w:top w:val="none" w:sz="0" w:space="0" w:color="auto"/>
            <w:left w:val="none" w:sz="0" w:space="0" w:color="auto"/>
            <w:bottom w:val="none" w:sz="0" w:space="0" w:color="auto"/>
            <w:right w:val="none" w:sz="0" w:space="0" w:color="auto"/>
          </w:divBdr>
          <w:divsChild>
            <w:div w:id="1037705548">
              <w:marLeft w:val="0"/>
              <w:marRight w:val="0"/>
              <w:marTop w:val="0"/>
              <w:marBottom w:val="0"/>
              <w:divBdr>
                <w:top w:val="none" w:sz="0" w:space="0" w:color="auto"/>
                <w:left w:val="none" w:sz="0" w:space="0" w:color="auto"/>
                <w:bottom w:val="none" w:sz="0" w:space="0" w:color="auto"/>
                <w:right w:val="none" w:sz="0" w:space="0" w:color="auto"/>
              </w:divBdr>
            </w:div>
            <w:div w:id="19084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9624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sites/fra/Pages/search.aspx" TargetMode="External"/><Relationship Id="rId7" Type="http://schemas.openxmlformats.org/officeDocument/2006/relationships/hyperlink" Target="http://hudoc.echr.coe.int/sites/eng/Pages/search.aspx" TargetMode="External"/><Relationship Id="rId2" Type="http://schemas.openxmlformats.org/officeDocument/2006/relationships/hyperlink" Target="http://hudoc.echr.coe.int/sites/fra/Pages/search.aspx" TargetMode="External"/><Relationship Id="rId1" Type="http://schemas.openxmlformats.org/officeDocument/2006/relationships/hyperlink" Target="http://hudoc.echr.coe.int/sites/fra/Pages/search.aspx" TargetMode="External"/><Relationship Id="rId6" Type="http://schemas.openxmlformats.org/officeDocument/2006/relationships/hyperlink" Target="http://hudoc.echr.coe.int/sites/eng/Pages/search.aspx" TargetMode="External"/><Relationship Id="rId5" Type="http://schemas.openxmlformats.org/officeDocument/2006/relationships/hyperlink" Target="http://hudoc.echr.coe.int/sites/fra/Pages/search.aspx" TargetMode="External"/><Relationship Id="rId4" Type="http://schemas.openxmlformats.org/officeDocument/2006/relationships/hyperlink" Target="http://hudoc.echr.coe.int/sites/fra/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07FD-A512-477A-9C67-623C7E7B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13</Pages>
  <Words>5688</Words>
  <Characters>32422</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38034</CharactersWithSpaces>
  <SharedDoc>false</SharedDoc>
  <HLinks>
    <vt:vector size="42" baseType="variant">
      <vt:variant>
        <vt:i4>5374037</vt:i4>
      </vt:variant>
      <vt:variant>
        <vt:i4>18</vt:i4>
      </vt:variant>
      <vt:variant>
        <vt:i4>0</vt:i4>
      </vt:variant>
      <vt:variant>
        <vt:i4>5</vt:i4>
      </vt:variant>
      <vt:variant>
        <vt:lpwstr>http://hudoc.echr.coe.int/sites/eng/Pages/search.aspx</vt:lpwstr>
      </vt:variant>
      <vt:variant>
        <vt:lpwstr>{"appno":["77658/11"]}</vt:lpwstr>
      </vt:variant>
      <vt:variant>
        <vt:i4>4587520</vt:i4>
      </vt:variant>
      <vt:variant>
        <vt:i4>15</vt:i4>
      </vt:variant>
      <vt:variant>
        <vt:i4>0</vt:i4>
      </vt:variant>
      <vt:variant>
        <vt:i4>5</vt:i4>
      </vt:variant>
      <vt:variant>
        <vt:lpwstr>http://hudoc.echr.coe.int/sites/eng/Pages/search.aspx</vt:lpwstr>
      </vt:variant>
      <vt:variant>
        <vt:lpwstr>{"appno":["7265/10"]}</vt:lpwstr>
      </vt:variant>
      <vt:variant>
        <vt:i4>4391001</vt:i4>
      </vt:variant>
      <vt:variant>
        <vt:i4>12</vt:i4>
      </vt:variant>
      <vt:variant>
        <vt:i4>0</vt:i4>
      </vt:variant>
      <vt:variant>
        <vt:i4>5</vt:i4>
      </vt:variant>
      <vt:variant>
        <vt:lpwstr>http://hudoc.echr.coe.int/sites/fra/Pages/search.aspx</vt:lpwstr>
      </vt:variant>
      <vt:variant>
        <vt:lpwstr>{"appno":["46951/99"]}</vt:lpwstr>
      </vt:variant>
      <vt:variant>
        <vt:i4>4456542</vt:i4>
      </vt:variant>
      <vt:variant>
        <vt:i4>9</vt:i4>
      </vt:variant>
      <vt:variant>
        <vt:i4>0</vt:i4>
      </vt:variant>
      <vt:variant>
        <vt:i4>5</vt:i4>
      </vt:variant>
      <vt:variant>
        <vt:lpwstr>http://hudoc.echr.coe.int/sites/fra/Pages/search.aspx</vt:lpwstr>
      </vt:variant>
      <vt:variant>
        <vt:lpwstr>{"appno":["46827/99"]}</vt:lpwstr>
      </vt:variant>
      <vt:variant>
        <vt:i4>4390995</vt:i4>
      </vt:variant>
      <vt:variant>
        <vt:i4>6</vt:i4>
      </vt:variant>
      <vt:variant>
        <vt:i4>0</vt:i4>
      </vt:variant>
      <vt:variant>
        <vt:i4>5</vt:i4>
      </vt:variant>
      <vt:variant>
        <vt:lpwstr>http://hudoc.echr.coe.int/sites/fra/Pages/search.aspx</vt:lpwstr>
      </vt:variant>
      <vt:variant>
        <vt:lpwstr>{"appno":["13448/87"]}</vt:lpwstr>
      </vt:variant>
      <vt:variant>
        <vt:i4>5046353</vt:i4>
      </vt:variant>
      <vt:variant>
        <vt:i4>3</vt:i4>
      </vt:variant>
      <vt:variant>
        <vt:i4>0</vt:i4>
      </vt:variant>
      <vt:variant>
        <vt:i4>5</vt:i4>
      </vt:variant>
      <vt:variant>
        <vt:lpwstr>http://hudoc.echr.coe.int/sites/fra/Pages/search.aspx</vt:lpwstr>
      </vt:variant>
      <vt:variant>
        <vt:lpwstr>{"appno":["13163/87"]}</vt:lpwstr>
      </vt:variant>
      <vt:variant>
        <vt:i4>4587602</vt:i4>
      </vt:variant>
      <vt:variant>
        <vt:i4>0</vt:i4>
      </vt:variant>
      <vt:variant>
        <vt:i4>0</vt:i4>
      </vt:variant>
      <vt:variant>
        <vt:i4>5</vt:i4>
      </vt:variant>
      <vt:variant>
        <vt:lpwstr>http://hudoc.echr.coe.int/sites/fra/Pages/search.aspx</vt:lpwstr>
      </vt:variant>
      <vt:variant>
        <vt:lpwstr>{"appno":["37201/06"]}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2015-06-02T10:18:00Z</cp:lastPrinted>
  <dcterms:created xsi:type="dcterms:W3CDTF">2017-01-25T00:46:00Z</dcterms:created>
  <dcterms:modified xsi:type="dcterms:W3CDTF">2017-01-25T00:46:00Z</dcterms:modified>
</cp:coreProperties>
</file>