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B12E1C" w:rsidTr="00B6553F">
        <w:trPr>
          <w:cantSplit/>
          <w:trHeight w:hRule="exact" w:val="851"/>
        </w:trPr>
        <w:tc>
          <w:tcPr>
            <w:tcW w:w="1276" w:type="dxa"/>
            <w:tcBorders>
              <w:bottom w:val="single" w:sz="4" w:space="0" w:color="auto"/>
            </w:tcBorders>
            <w:vAlign w:val="bottom"/>
          </w:tcPr>
          <w:p w:rsidR="00B56E9C" w:rsidRPr="005F3083" w:rsidRDefault="00B56E9C" w:rsidP="00B6553F">
            <w:pPr>
              <w:spacing w:after="80"/>
              <w:rPr>
                <w:lang w:val="en-US"/>
              </w:rPr>
            </w:pPr>
            <w:bookmarkStart w:id="0" w:name="_GoBack"/>
            <w:bookmarkEnd w:id="0"/>
          </w:p>
        </w:tc>
        <w:tc>
          <w:tcPr>
            <w:tcW w:w="2268" w:type="dxa"/>
            <w:tcBorders>
              <w:bottom w:val="single" w:sz="4" w:space="0" w:color="auto"/>
            </w:tcBorders>
            <w:vAlign w:val="bottom"/>
          </w:tcPr>
          <w:p w:rsidR="00B56E9C" w:rsidRPr="00B12E1C" w:rsidRDefault="00B56E9C" w:rsidP="00B6553F">
            <w:pPr>
              <w:spacing w:after="80" w:line="300" w:lineRule="exact"/>
              <w:rPr>
                <w:b/>
                <w:sz w:val="24"/>
                <w:szCs w:val="24"/>
              </w:rPr>
            </w:pPr>
            <w:r w:rsidRPr="00B12E1C">
              <w:rPr>
                <w:sz w:val="28"/>
                <w:szCs w:val="28"/>
              </w:rPr>
              <w:t>United Nations</w:t>
            </w:r>
          </w:p>
        </w:tc>
        <w:tc>
          <w:tcPr>
            <w:tcW w:w="6095" w:type="dxa"/>
            <w:gridSpan w:val="2"/>
            <w:tcBorders>
              <w:bottom w:val="single" w:sz="4" w:space="0" w:color="auto"/>
            </w:tcBorders>
            <w:vAlign w:val="bottom"/>
          </w:tcPr>
          <w:p w:rsidR="00B56E9C" w:rsidRPr="00B12E1C" w:rsidRDefault="008216A5" w:rsidP="00806FE3">
            <w:pPr>
              <w:jc w:val="right"/>
            </w:pPr>
            <w:r w:rsidRPr="00B12E1C">
              <w:rPr>
                <w:sz w:val="40"/>
              </w:rPr>
              <w:t>CCPR</w:t>
            </w:r>
            <w:r w:rsidRPr="00B12E1C">
              <w:t>/C/1</w:t>
            </w:r>
            <w:r w:rsidR="00711F00" w:rsidRPr="00B12E1C">
              <w:t>1</w:t>
            </w:r>
            <w:r w:rsidR="00C649B1">
              <w:t>6</w:t>
            </w:r>
            <w:r w:rsidR="00272837" w:rsidRPr="00B12E1C">
              <w:t>/</w:t>
            </w:r>
            <w:r w:rsidRPr="00B12E1C">
              <w:t>D/</w:t>
            </w:r>
            <w:r w:rsidR="00692477">
              <w:t>20</w:t>
            </w:r>
            <w:r w:rsidR="00C649B1">
              <w:t>59</w:t>
            </w:r>
            <w:r w:rsidRPr="00B12E1C">
              <w:t>/</w:t>
            </w:r>
            <w:r w:rsidR="000308D4" w:rsidRPr="00B12E1C">
              <w:t>201</w:t>
            </w:r>
            <w:r w:rsidR="00692477">
              <w:t>1</w:t>
            </w:r>
          </w:p>
        </w:tc>
      </w:tr>
      <w:tr w:rsidR="00B56E9C" w:rsidRPr="00B12E1C" w:rsidTr="00B6553F">
        <w:trPr>
          <w:cantSplit/>
          <w:trHeight w:hRule="exact" w:val="2835"/>
        </w:trPr>
        <w:tc>
          <w:tcPr>
            <w:tcW w:w="1276" w:type="dxa"/>
            <w:tcBorders>
              <w:top w:val="single" w:sz="4" w:space="0" w:color="auto"/>
              <w:bottom w:val="single" w:sz="12" w:space="0" w:color="auto"/>
            </w:tcBorders>
          </w:tcPr>
          <w:p w:rsidR="00B56E9C" w:rsidRPr="00B12E1C" w:rsidRDefault="00E67FFA" w:rsidP="00B6553F">
            <w:pPr>
              <w:spacing w:before="120"/>
            </w:pPr>
            <w:r>
              <w:rPr>
                <w:noProof/>
                <w:lang w:val="en-US"/>
              </w:rPr>
              <w:drawing>
                <wp:inline distT="0" distB="0" distL="0" distR="0" wp14:anchorId="29305916" wp14:editId="3ED668A0">
                  <wp:extent cx="715010" cy="591820"/>
                  <wp:effectExtent l="0" t="0" r="889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806FE3" w:rsidRDefault="00B56E9C" w:rsidP="00272837">
            <w:pPr>
              <w:spacing w:before="120" w:line="380" w:lineRule="exact"/>
              <w:rPr>
                <w:b/>
                <w:sz w:val="34"/>
                <w:szCs w:val="40"/>
              </w:rPr>
            </w:pPr>
            <w:r w:rsidRPr="00B12E1C">
              <w:rPr>
                <w:b/>
                <w:sz w:val="34"/>
                <w:szCs w:val="40"/>
              </w:rPr>
              <w:t xml:space="preserve">International </w:t>
            </w:r>
            <w:r w:rsidR="00060C3A" w:rsidRPr="00B12E1C">
              <w:rPr>
                <w:b/>
                <w:sz w:val="34"/>
                <w:szCs w:val="40"/>
              </w:rPr>
              <w:t>Covenant on</w:t>
            </w:r>
            <w:r w:rsidR="00060C3A" w:rsidRPr="00B12E1C">
              <w:rPr>
                <w:b/>
                <w:sz w:val="34"/>
                <w:szCs w:val="40"/>
              </w:rPr>
              <w:br/>
              <w:t>Civil and Political R</w:t>
            </w:r>
            <w:r w:rsidR="00703577" w:rsidRPr="00B12E1C">
              <w:rPr>
                <w:b/>
                <w:sz w:val="34"/>
                <w:szCs w:val="40"/>
              </w:rPr>
              <w:t>ights</w:t>
            </w:r>
          </w:p>
          <w:p w:rsidR="00B47624" w:rsidRPr="00A30566" w:rsidRDefault="00B47624" w:rsidP="002768AC">
            <w:pPr>
              <w:spacing w:before="120" w:line="380" w:lineRule="exact"/>
              <w:rPr>
                <w:b/>
                <w:sz w:val="22"/>
                <w:szCs w:val="22"/>
              </w:rPr>
            </w:pPr>
          </w:p>
        </w:tc>
        <w:tc>
          <w:tcPr>
            <w:tcW w:w="2835" w:type="dxa"/>
            <w:tcBorders>
              <w:top w:val="single" w:sz="4" w:space="0" w:color="auto"/>
              <w:bottom w:val="single" w:sz="12" w:space="0" w:color="auto"/>
            </w:tcBorders>
          </w:tcPr>
          <w:p w:rsidR="00013715" w:rsidRPr="00463B9A" w:rsidRDefault="00013715" w:rsidP="00013715">
            <w:pPr>
              <w:spacing w:before="240" w:line="240" w:lineRule="exact"/>
            </w:pPr>
            <w:r w:rsidRPr="00463B9A">
              <w:t xml:space="preserve">Distr.: </w:t>
            </w:r>
            <w:r w:rsidR="00806FE3">
              <w:t>General</w:t>
            </w:r>
          </w:p>
          <w:p w:rsidR="00013715" w:rsidRPr="00463B9A" w:rsidRDefault="00B47624" w:rsidP="003B1FA7">
            <w:pPr>
              <w:spacing w:line="240" w:lineRule="exact"/>
            </w:pPr>
            <w:r>
              <w:t>1</w:t>
            </w:r>
            <w:r w:rsidR="003B1FA7">
              <w:t>3</w:t>
            </w:r>
            <w:r>
              <w:t xml:space="preserve"> May</w:t>
            </w:r>
            <w:r w:rsidR="00013715">
              <w:t xml:space="preserve"> 2016</w:t>
            </w:r>
          </w:p>
          <w:p w:rsidR="00013715" w:rsidRPr="00463B9A" w:rsidRDefault="00013715" w:rsidP="00013715">
            <w:pPr>
              <w:spacing w:line="240" w:lineRule="exact"/>
            </w:pPr>
          </w:p>
          <w:p w:rsidR="00013715" w:rsidRPr="00463B9A" w:rsidRDefault="00013715" w:rsidP="00013715">
            <w:pPr>
              <w:spacing w:line="240" w:lineRule="exact"/>
            </w:pPr>
            <w:r w:rsidRPr="00463B9A">
              <w:t>Original: English</w:t>
            </w:r>
          </w:p>
          <w:p w:rsidR="00326293" w:rsidRPr="00B12E1C" w:rsidRDefault="00326293" w:rsidP="00A30566"/>
        </w:tc>
      </w:tr>
    </w:tbl>
    <w:p w:rsidR="008D1595" w:rsidRPr="008D1595" w:rsidRDefault="008D1595" w:rsidP="008D1595">
      <w:pPr>
        <w:spacing w:line="20" w:lineRule="exact"/>
        <w:rPr>
          <w:b/>
          <w:sz w:val="2"/>
          <w:szCs w:val="24"/>
          <w:lang w:val="en-US"/>
        </w:rPr>
      </w:pPr>
    </w:p>
    <w:p w:rsidR="00013715" w:rsidRPr="0087799E" w:rsidRDefault="00013715" w:rsidP="0087799E">
      <w:pPr>
        <w:spacing w:before="120"/>
        <w:rPr>
          <w:b/>
          <w:sz w:val="24"/>
          <w:szCs w:val="24"/>
          <w:lang w:val="en-US"/>
        </w:rPr>
      </w:pPr>
      <w:r w:rsidRPr="008216A5">
        <w:rPr>
          <w:b/>
          <w:sz w:val="24"/>
          <w:szCs w:val="24"/>
          <w:lang w:val="en-US"/>
        </w:rPr>
        <w:t>Human Rights Committee</w:t>
      </w:r>
    </w:p>
    <w:p w:rsidR="003134AC" w:rsidRPr="00B12E1C" w:rsidRDefault="003134AC" w:rsidP="00581C47">
      <w:pPr>
        <w:pStyle w:val="HChG"/>
      </w:pPr>
      <w:r w:rsidRPr="00B12E1C">
        <w:tab/>
      </w:r>
      <w:r w:rsidRPr="00B12E1C">
        <w:tab/>
      </w:r>
      <w:r w:rsidR="00806FE3" w:rsidRPr="00730415">
        <w:t>Views adopted by the Committee under article 5</w:t>
      </w:r>
      <w:r w:rsidR="0040038D">
        <w:t xml:space="preserve"> </w:t>
      </w:r>
      <w:r w:rsidR="00806FE3" w:rsidRPr="00730415">
        <w:t>(4) f the Optional Protocol, concerning communication</w:t>
      </w:r>
      <w:r w:rsidR="0040038D">
        <w:t xml:space="preserve"> </w:t>
      </w:r>
      <w:r w:rsidR="00806FE3" w:rsidRPr="00730415">
        <w:t>No.</w:t>
      </w:r>
      <w:r w:rsidR="003D056F">
        <w:t> </w:t>
      </w:r>
      <w:r w:rsidR="00B80E1B">
        <w:t>2059/2011</w:t>
      </w:r>
      <w:r w:rsidR="00806FE3" w:rsidRPr="00B47624">
        <w:rPr>
          <w:rStyle w:val="FootnoteReference"/>
          <w:b w:val="0"/>
          <w:bCs/>
          <w:sz w:val="20"/>
          <w:vertAlign w:val="baseline"/>
        </w:rPr>
        <w:footnoteReference w:customMarkFollows="1" w:id="2"/>
        <w:t>*</w:t>
      </w:r>
      <w:r w:rsidR="003D056F" w:rsidRPr="006F7A5C">
        <w:rPr>
          <w:rStyle w:val="FootnoteReference"/>
          <w:b w:val="0"/>
          <w:bCs/>
          <w:position w:val="4"/>
          <w:sz w:val="20"/>
          <w:vertAlign w:val="baseline"/>
        </w:rPr>
        <w:t>,</w:t>
      </w:r>
      <w:r w:rsidR="00806FE3" w:rsidRPr="00B47624">
        <w:rPr>
          <w:rStyle w:val="FootnoteReference"/>
          <w:b w:val="0"/>
          <w:bCs/>
          <w:sz w:val="20"/>
          <w:vertAlign w:val="baseline"/>
        </w:rPr>
        <w:t xml:space="preserve"> </w:t>
      </w:r>
      <w:r w:rsidR="00806FE3" w:rsidRPr="00B47624">
        <w:rPr>
          <w:rStyle w:val="FootnoteReference"/>
          <w:b w:val="0"/>
          <w:bCs/>
          <w:sz w:val="20"/>
          <w:vertAlign w:val="baseline"/>
        </w:rPr>
        <w:footnoteReference w:customMarkFollows="1" w:id="3"/>
        <w:t>**</w:t>
      </w:r>
      <w:r w:rsidR="00E242B2">
        <w:rPr>
          <w:b w:val="0"/>
          <w:bCs/>
          <w:sz w:val="20"/>
        </w:rPr>
        <w:t xml:space="preserve"> </w:t>
      </w:r>
    </w:p>
    <w:p w:rsidR="004B44C6" w:rsidRPr="00B12E1C" w:rsidRDefault="00C334DE" w:rsidP="00013715">
      <w:pPr>
        <w:pStyle w:val="SingleTxtG"/>
        <w:ind w:left="4536" w:hanging="3402"/>
      </w:pPr>
      <w:r>
        <w:rPr>
          <w:i/>
        </w:rPr>
        <w:t>Communication s</w:t>
      </w:r>
      <w:r w:rsidR="004B44C6" w:rsidRPr="00B12E1C">
        <w:rPr>
          <w:i/>
        </w:rPr>
        <w:t>ubmitted by:</w:t>
      </w:r>
      <w:r w:rsidR="004B44C6" w:rsidRPr="00B12E1C">
        <w:tab/>
      </w:r>
      <w:r w:rsidR="000148C7">
        <w:t>Y.M.</w:t>
      </w:r>
      <w:r w:rsidR="00C649B1">
        <w:t xml:space="preserve"> </w:t>
      </w:r>
      <w:r w:rsidR="004B44C6" w:rsidRPr="00B12E1C">
        <w:t>(</w:t>
      </w:r>
      <w:r w:rsidR="00BD5F5C">
        <w:t xml:space="preserve">not </w:t>
      </w:r>
      <w:r w:rsidR="004B44C6" w:rsidRPr="00B12E1C">
        <w:t>represented by counsel)</w:t>
      </w:r>
    </w:p>
    <w:p w:rsidR="004B44C6" w:rsidRPr="00B12E1C" w:rsidRDefault="004B44C6" w:rsidP="004B44C6">
      <w:pPr>
        <w:pStyle w:val="SingleTxtG"/>
        <w:ind w:left="4536" w:hanging="3402"/>
        <w:jc w:val="left"/>
      </w:pPr>
      <w:r w:rsidRPr="00B12E1C">
        <w:rPr>
          <w:i/>
        </w:rPr>
        <w:t>Alleged victim:</w:t>
      </w:r>
      <w:r w:rsidRPr="00B12E1C">
        <w:tab/>
        <w:t>The author</w:t>
      </w:r>
    </w:p>
    <w:p w:rsidR="004B44C6" w:rsidRPr="00B12E1C" w:rsidRDefault="004B44C6" w:rsidP="004B44C6">
      <w:pPr>
        <w:pStyle w:val="SingleTxtG"/>
        <w:ind w:left="4536" w:hanging="3402"/>
        <w:jc w:val="left"/>
      </w:pPr>
      <w:r w:rsidRPr="00B12E1C">
        <w:rPr>
          <w:i/>
        </w:rPr>
        <w:t>State party:</w:t>
      </w:r>
      <w:r w:rsidR="00692477">
        <w:tab/>
        <w:t>Russian Federation</w:t>
      </w:r>
    </w:p>
    <w:p w:rsidR="004B44C6" w:rsidRPr="00B12E1C" w:rsidRDefault="004B44C6" w:rsidP="004B44C6">
      <w:pPr>
        <w:pStyle w:val="SingleTxtG"/>
        <w:ind w:left="4536" w:hanging="3402"/>
        <w:jc w:val="left"/>
      </w:pPr>
      <w:r w:rsidRPr="00B12E1C">
        <w:rPr>
          <w:i/>
        </w:rPr>
        <w:t>Date of communication:</w:t>
      </w:r>
      <w:r w:rsidRPr="00B12E1C">
        <w:tab/>
      </w:r>
      <w:r w:rsidR="00C649B1">
        <w:t>5 July</w:t>
      </w:r>
      <w:r w:rsidR="00692477">
        <w:t xml:space="preserve"> 2010</w:t>
      </w:r>
      <w:r w:rsidRPr="00B12E1C">
        <w:t xml:space="preserve"> (initial submission)</w:t>
      </w:r>
    </w:p>
    <w:p w:rsidR="004B44C6" w:rsidRPr="00B12E1C" w:rsidRDefault="004B44C6" w:rsidP="004B44C6">
      <w:pPr>
        <w:pStyle w:val="SingleTxtG"/>
        <w:ind w:left="4536" w:hanging="3402"/>
        <w:jc w:val="left"/>
      </w:pPr>
      <w:r w:rsidRPr="00B12E1C">
        <w:rPr>
          <w:i/>
        </w:rPr>
        <w:t>Document references:</w:t>
      </w:r>
      <w:r w:rsidRPr="00B12E1C">
        <w:tab/>
      </w:r>
      <w:r w:rsidR="008501CD">
        <w:t>Decision taken pursuant to rule 97 of the Committee’s rules of procedure</w:t>
      </w:r>
      <w:r w:rsidRPr="00B12E1C">
        <w:t xml:space="preserve">, transmitted to the State party on </w:t>
      </w:r>
      <w:r w:rsidR="00C649B1">
        <w:t>4</w:t>
      </w:r>
      <w:r w:rsidR="001A3477" w:rsidRPr="00B12E1C">
        <w:t xml:space="preserve"> </w:t>
      </w:r>
      <w:r w:rsidR="00C649B1">
        <w:t>May</w:t>
      </w:r>
      <w:r w:rsidR="001A3477" w:rsidRPr="00B12E1C">
        <w:t xml:space="preserve"> 201</w:t>
      </w:r>
      <w:r w:rsidR="00692477">
        <w:t>1</w:t>
      </w:r>
      <w:r w:rsidR="001A3477" w:rsidRPr="00B12E1C">
        <w:t xml:space="preserve"> </w:t>
      </w:r>
      <w:r w:rsidRPr="00B12E1C">
        <w:t>(not issued in document form)</w:t>
      </w:r>
    </w:p>
    <w:p w:rsidR="00013715" w:rsidRDefault="004B44C6" w:rsidP="004B44C6">
      <w:pPr>
        <w:pStyle w:val="SingleTxtG"/>
        <w:ind w:left="4536" w:hanging="3402"/>
        <w:jc w:val="left"/>
      </w:pPr>
      <w:r w:rsidRPr="00B12E1C">
        <w:rPr>
          <w:i/>
        </w:rPr>
        <w:t xml:space="preserve">Date of adoption of </w:t>
      </w:r>
      <w:r w:rsidR="00013715">
        <w:rPr>
          <w:i/>
        </w:rPr>
        <w:t>Views</w:t>
      </w:r>
      <w:r w:rsidRPr="00B12E1C">
        <w:rPr>
          <w:i/>
        </w:rPr>
        <w:t>:</w:t>
      </w:r>
      <w:r w:rsidRPr="00B12E1C">
        <w:tab/>
      </w:r>
      <w:r w:rsidR="00806FE3">
        <w:t>31</w:t>
      </w:r>
      <w:r w:rsidR="00806FE3" w:rsidRPr="00B12E1C">
        <w:t xml:space="preserve"> </w:t>
      </w:r>
      <w:r w:rsidR="00C649B1">
        <w:t>M</w:t>
      </w:r>
      <w:r w:rsidR="00013715">
        <w:t>arch</w:t>
      </w:r>
      <w:r w:rsidRPr="00B12E1C">
        <w:t xml:space="preserve"> 201</w:t>
      </w:r>
      <w:r w:rsidR="00C649B1">
        <w:t>6</w:t>
      </w:r>
    </w:p>
    <w:p w:rsidR="00C649B1" w:rsidRDefault="00C649B1" w:rsidP="002768AC">
      <w:pPr>
        <w:pStyle w:val="SingleTxtG"/>
        <w:ind w:left="4536" w:hanging="3402"/>
        <w:jc w:val="left"/>
      </w:pPr>
      <w:r w:rsidRPr="00B12E1C">
        <w:rPr>
          <w:i/>
          <w:iCs/>
        </w:rPr>
        <w:t>Subject matter:</w:t>
      </w:r>
      <w:r w:rsidRPr="00B12E1C">
        <w:tab/>
      </w:r>
      <w:r w:rsidR="00C334DE">
        <w:t>A</w:t>
      </w:r>
      <w:r>
        <w:t>uthor denied fair trial procedural guarantees</w:t>
      </w:r>
    </w:p>
    <w:p w:rsidR="004B44C6" w:rsidRPr="000A1007" w:rsidRDefault="004B44C6" w:rsidP="002768AC">
      <w:pPr>
        <w:pStyle w:val="SingleTxtG"/>
        <w:ind w:left="4536" w:hanging="3402"/>
        <w:jc w:val="left"/>
        <w:rPr>
          <w:iCs/>
        </w:rPr>
      </w:pPr>
      <w:r w:rsidRPr="00B12E1C">
        <w:rPr>
          <w:i/>
          <w:iCs/>
        </w:rPr>
        <w:t xml:space="preserve">Procedural issues: </w:t>
      </w:r>
      <w:r w:rsidRPr="00B12E1C">
        <w:rPr>
          <w:i/>
          <w:iCs/>
        </w:rPr>
        <w:tab/>
      </w:r>
      <w:r w:rsidR="000A1007" w:rsidRPr="000A1007">
        <w:rPr>
          <w:iCs/>
        </w:rPr>
        <w:t>Admissibility</w:t>
      </w:r>
      <w:r w:rsidR="00C334DE">
        <w:rPr>
          <w:iCs/>
        </w:rPr>
        <w:t>;</w:t>
      </w:r>
      <w:r w:rsidR="000A1007" w:rsidRPr="000A1007">
        <w:rPr>
          <w:iCs/>
        </w:rPr>
        <w:t xml:space="preserve">– </w:t>
      </w:r>
      <w:r w:rsidR="00321E54">
        <w:rPr>
          <w:iCs/>
        </w:rPr>
        <w:t xml:space="preserve">non-substantiation </w:t>
      </w:r>
    </w:p>
    <w:p w:rsidR="00326293" w:rsidRPr="006907A1" w:rsidRDefault="00326293" w:rsidP="002768AC">
      <w:pPr>
        <w:pStyle w:val="SingleTxtG"/>
        <w:ind w:left="4536" w:hanging="3402"/>
        <w:jc w:val="left"/>
        <w:rPr>
          <w:iCs/>
        </w:rPr>
      </w:pPr>
      <w:r w:rsidRPr="00B12E1C">
        <w:rPr>
          <w:i/>
          <w:iCs/>
        </w:rPr>
        <w:t xml:space="preserve">Substantive issues: </w:t>
      </w:r>
      <w:r w:rsidRPr="00B12E1C">
        <w:rPr>
          <w:i/>
          <w:iCs/>
        </w:rPr>
        <w:tab/>
      </w:r>
      <w:r w:rsidR="006907A1">
        <w:rPr>
          <w:iCs/>
        </w:rPr>
        <w:t>Fair trial</w:t>
      </w:r>
      <w:r w:rsidR="00C334DE">
        <w:rPr>
          <w:iCs/>
        </w:rPr>
        <w:t>:</w:t>
      </w:r>
      <w:r w:rsidR="006907A1">
        <w:rPr>
          <w:iCs/>
        </w:rPr>
        <w:t xml:space="preserve"> witnesses; fair trial</w:t>
      </w:r>
      <w:r w:rsidR="00C334DE">
        <w:rPr>
          <w:iCs/>
        </w:rPr>
        <w:t>:</w:t>
      </w:r>
      <w:r w:rsidR="006907A1">
        <w:rPr>
          <w:iCs/>
        </w:rPr>
        <w:t xml:space="preserve"> legal assistance; family rights; defence</w:t>
      </w:r>
      <w:r w:rsidR="00C334DE">
        <w:rPr>
          <w:iCs/>
        </w:rPr>
        <w:t>:</w:t>
      </w:r>
      <w:r w:rsidR="006907A1">
        <w:rPr>
          <w:iCs/>
        </w:rPr>
        <w:t xml:space="preserve"> adequate time and facilities; human dignity</w:t>
      </w:r>
    </w:p>
    <w:p w:rsidR="004B44C6" w:rsidRPr="00B12E1C" w:rsidRDefault="004B44C6" w:rsidP="002338D4">
      <w:pPr>
        <w:pStyle w:val="SingleTxtG"/>
        <w:ind w:left="4536" w:hanging="3402"/>
        <w:jc w:val="left"/>
      </w:pPr>
      <w:r w:rsidRPr="00B12E1C">
        <w:rPr>
          <w:i/>
          <w:iCs/>
        </w:rPr>
        <w:t>Articles of the Covenant:</w:t>
      </w:r>
      <w:r w:rsidRPr="00B12E1C">
        <w:t xml:space="preserve"> </w:t>
      </w:r>
      <w:r w:rsidRPr="00B12E1C">
        <w:tab/>
      </w:r>
      <w:r w:rsidR="005528D0">
        <w:t>9 (1),</w:t>
      </w:r>
      <w:r w:rsidR="005528D0" w:rsidRPr="002E296F">
        <w:t xml:space="preserve"> </w:t>
      </w:r>
      <w:r w:rsidR="005528D0">
        <w:t>(</w:t>
      </w:r>
      <w:r w:rsidR="005528D0" w:rsidRPr="002E296F">
        <w:t>2</w:t>
      </w:r>
      <w:r w:rsidR="005528D0">
        <w:t>)</w:t>
      </w:r>
      <w:r w:rsidR="005528D0" w:rsidRPr="002E296F">
        <w:t xml:space="preserve"> and </w:t>
      </w:r>
      <w:r w:rsidR="005528D0">
        <w:t>(4)</w:t>
      </w:r>
      <w:r w:rsidR="002338D4">
        <w:t>,</w:t>
      </w:r>
      <w:r w:rsidR="005528D0">
        <w:t xml:space="preserve"> 10</w:t>
      </w:r>
      <w:r w:rsidR="005528D0" w:rsidRPr="002E296F">
        <w:t xml:space="preserve"> </w:t>
      </w:r>
      <w:r w:rsidR="005528D0">
        <w:t>(1)</w:t>
      </w:r>
      <w:r w:rsidR="002338D4">
        <w:t>,</w:t>
      </w:r>
      <w:r w:rsidR="005528D0">
        <w:t xml:space="preserve"> 14 (1), (3) (a)</w:t>
      </w:r>
      <w:r w:rsidR="00C334DE">
        <w:t>-</w:t>
      </w:r>
      <w:r w:rsidR="005528D0">
        <w:t>(b), (d)</w:t>
      </w:r>
      <w:r w:rsidR="00C334DE">
        <w:t>-</w:t>
      </w:r>
      <w:r w:rsidR="005528D0">
        <w:t>(e) and (5)</w:t>
      </w:r>
      <w:r w:rsidR="002338D4">
        <w:t xml:space="preserve"> and</w:t>
      </w:r>
      <w:r w:rsidR="005528D0">
        <w:t xml:space="preserve"> 23 (1) and (4)</w:t>
      </w:r>
    </w:p>
    <w:p w:rsidR="004B44C6" w:rsidRPr="00B12E1C" w:rsidRDefault="004B44C6" w:rsidP="004B44C6">
      <w:pPr>
        <w:pStyle w:val="SingleTxtG"/>
        <w:ind w:left="4536" w:hanging="3402"/>
        <w:jc w:val="left"/>
      </w:pPr>
      <w:r w:rsidRPr="00B12E1C">
        <w:rPr>
          <w:i/>
          <w:iCs/>
        </w:rPr>
        <w:t>Articles of the Optional Protocol:</w:t>
      </w:r>
      <w:r w:rsidRPr="00B12E1C">
        <w:rPr>
          <w:i/>
          <w:iCs/>
        </w:rPr>
        <w:tab/>
      </w:r>
      <w:r w:rsidR="006907A1">
        <w:rPr>
          <w:iCs/>
        </w:rPr>
        <w:t>2</w:t>
      </w:r>
    </w:p>
    <w:p w:rsidR="005528D0" w:rsidRPr="002E296F" w:rsidRDefault="004B44C6" w:rsidP="002768AC">
      <w:pPr>
        <w:pStyle w:val="SingleTxtG"/>
      </w:pPr>
      <w:r w:rsidRPr="00B12E1C">
        <w:br w:type="page"/>
      </w:r>
      <w:r w:rsidR="00013715">
        <w:lastRenderedPageBreak/>
        <w:t>1.</w:t>
      </w:r>
      <w:r w:rsidRPr="002E296F">
        <w:tab/>
      </w:r>
      <w:r w:rsidR="00C649B1" w:rsidRPr="002E296F">
        <w:t xml:space="preserve">The author of the </w:t>
      </w:r>
      <w:r w:rsidR="00C649B1" w:rsidRPr="00013715">
        <w:t>communication</w:t>
      </w:r>
      <w:r w:rsidR="00C649B1" w:rsidRPr="002E296F">
        <w:t xml:space="preserve"> is </w:t>
      </w:r>
      <w:r w:rsidR="000148C7">
        <w:t>Y.M.</w:t>
      </w:r>
      <w:r w:rsidR="00C649B1" w:rsidRPr="002E296F">
        <w:t xml:space="preserve">, a </w:t>
      </w:r>
      <w:r w:rsidR="00D44A14">
        <w:t xml:space="preserve">national of the </w:t>
      </w:r>
      <w:r w:rsidR="00C649B1" w:rsidRPr="002E296F">
        <w:t>Russian Federation born in 19</w:t>
      </w:r>
      <w:r w:rsidR="00C649B1">
        <w:t>66</w:t>
      </w:r>
      <w:r w:rsidR="00C649B1" w:rsidRPr="002E296F">
        <w:t xml:space="preserve">. </w:t>
      </w:r>
      <w:r w:rsidR="00D44A14">
        <w:t>He</w:t>
      </w:r>
      <w:r w:rsidR="00C649B1" w:rsidRPr="002E296F">
        <w:t xml:space="preserve"> claims </w:t>
      </w:r>
      <w:r w:rsidR="00D44A14">
        <w:t>that the State party has</w:t>
      </w:r>
      <w:r w:rsidR="00C649B1" w:rsidRPr="002E296F">
        <w:t xml:space="preserve"> violat</w:t>
      </w:r>
      <w:r w:rsidR="00D44A14">
        <w:t>ed</w:t>
      </w:r>
      <w:r w:rsidR="00C649B1" w:rsidRPr="002E296F">
        <w:t xml:space="preserve"> h</w:t>
      </w:r>
      <w:r w:rsidR="00C649B1">
        <w:t>is</w:t>
      </w:r>
      <w:r w:rsidR="00C649B1" w:rsidRPr="002E296F">
        <w:t xml:space="preserve"> rights under article</w:t>
      </w:r>
      <w:r w:rsidR="00D44A14">
        <w:t>s</w:t>
      </w:r>
      <w:r w:rsidR="00C649B1" w:rsidRPr="002E296F">
        <w:t xml:space="preserve"> </w:t>
      </w:r>
      <w:r w:rsidR="00C649B1">
        <w:t>9 (1),</w:t>
      </w:r>
      <w:r w:rsidR="00C649B1" w:rsidRPr="002E296F">
        <w:t xml:space="preserve"> </w:t>
      </w:r>
      <w:r w:rsidR="00C649B1">
        <w:t>(</w:t>
      </w:r>
      <w:r w:rsidR="00C649B1" w:rsidRPr="002E296F">
        <w:t>2</w:t>
      </w:r>
      <w:r w:rsidR="00C649B1">
        <w:t>)</w:t>
      </w:r>
      <w:r w:rsidR="00C649B1" w:rsidRPr="002E296F">
        <w:t xml:space="preserve"> and </w:t>
      </w:r>
      <w:r w:rsidR="00C649B1">
        <w:t>(4); 10</w:t>
      </w:r>
      <w:r w:rsidR="00C649B1" w:rsidRPr="002E296F">
        <w:t xml:space="preserve"> </w:t>
      </w:r>
      <w:r w:rsidR="00C649B1">
        <w:t>(</w:t>
      </w:r>
      <w:r w:rsidR="005528D0">
        <w:t>1); 14 (1), (3) (a)</w:t>
      </w:r>
      <w:r w:rsidR="00D44A14">
        <w:t>-</w:t>
      </w:r>
      <w:r w:rsidR="005528D0">
        <w:t xml:space="preserve"> (b), (d)</w:t>
      </w:r>
      <w:r w:rsidR="00D44A14">
        <w:t>-</w:t>
      </w:r>
      <w:r w:rsidR="005528D0">
        <w:t xml:space="preserve"> (e) and (5); 23 (1) and (4) </w:t>
      </w:r>
      <w:r w:rsidR="00C649B1" w:rsidRPr="002E296F">
        <w:t xml:space="preserve">of the </w:t>
      </w:r>
      <w:r w:rsidR="00C649B1" w:rsidRPr="00DE6795">
        <w:t>Covenant</w:t>
      </w:r>
      <w:r w:rsidR="00C649B1" w:rsidRPr="002E296F">
        <w:t>.</w:t>
      </w:r>
      <w:r w:rsidR="00C649B1">
        <w:t xml:space="preserve"> </w:t>
      </w:r>
      <w:r w:rsidR="00C649B1" w:rsidRPr="002E296F">
        <w:t>The Optional Protocol entered into force for the State party on 1</w:t>
      </w:r>
      <w:r w:rsidR="00C649B1">
        <w:t xml:space="preserve"> January </w:t>
      </w:r>
      <w:r w:rsidR="00C649B1" w:rsidRPr="002E296F">
        <w:t>199</w:t>
      </w:r>
      <w:r w:rsidR="00C649B1">
        <w:t>2</w:t>
      </w:r>
      <w:r w:rsidR="00C649B1" w:rsidRPr="002E296F">
        <w:t>. The author is not represented by counsel.</w:t>
      </w:r>
    </w:p>
    <w:p w:rsidR="004B44C6" w:rsidRPr="005528D0" w:rsidRDefault="00013715" w:rsidP="00013715">
      <w:pPr>
        <w:pStyle w:val="H23G"/>
      </w:pPr>
      <w:r>
        <w:tab/>
      </w:r>
      <w:r>
        <w:tab/>
      </w:r>
      <w:r w:rsidR="004B44C6" w:rsidRPr="005528D0">
        <w:t>The facts as submitted by the author</w:t>
      </w:r>
    </w:p>
    <w:p w:rsidR="005528D0" w:rsidRPr="00104A3F" w:rsidRDefault="00E56DDC" w:rsidP="002768AC">
      <w:pPr>
        <w:pStyle w:val="SingleTxtG"/>
      </w:pPr>
      <w:r w:rsidRPr="002E296F">
        <w:t>2.1</w:t>
      </w:r>
      <w:r w:rsidRPr="002E296F">
        <w:tab/>
      </w:r>
      <w:r w:rsidR="00CF5453">
        <w:t>The author submits that, o</w:t>
      </w:r>
      <w:r w:rsidR="005528D0" w:rsidRPr="00104A3F">
        <w:t xml:space="preserve">n 15 </w:t>
      </w:r>
      <w:r w:rsidR="005528D0">
        <w:t>Ma</w:t>
      </w:r>
      <w:r w:rsidR="005528D0" w:rsidRPr="00104A3F">
        <w:t xml:space="preserve">y 2002, </w:t>
      </w:r>
      <w:r w:rsidR="002D4406">
        <w:t xml:space="preserve">by the verdict of the Sverdlovsk Regional Court, </w:t>
      </w:r>
      <w:r w:rsidR="00CF5453">
        <w:t>he</w:t>
      </w:r>
      <w:r w:rsidR="005528D0" w:rsidRPr="00104A3F">
        <w:t xml:space="preserve"> was convicted of having committed a number of</w:t>
      </w:r>
      <w:r w:rsidR="00982AB0">
        <w:t xml:space="preserve"> serious</w:t>
      </w:r>
      <w:r w:rsidR="005528D0" w:rsidRPr="00104A3F">
        <w:t xml:space="preserve"> criminal offences, including murder, robbery and illegal possession of weapons</w:t>
      </w:r>
      <w:r w:rsidR="005528D0">
        <w:t xml:space="preserve">. He was sentenced </w:t>
      </w:r>
      <w:r w:rsidR="005528D0" w:rsidRPr="00104A3F">
        <w:t xml:space="preserve">to </w:t>
      </w:r>
      <w:r w:rsidR="005528D0">
        <w:t xml:space="preserve">a total of </w:t>
      </w:r>
      <w:r w:rsidR="005528D0" w:rsidRPr="00104A3F">
        <w:t>25 years</w:t>
      </w:r>
      <w:r w:rsidR="00CF5453">
        <w:t>’</w:t>
      </w:r>
      <w:r w:rsidR="005528D0" w:rsidRPr="00104A3F">
        <w:t xml:space="preserve"> imprisonment. </w:t>
      </w:r>
    </w:p>
    <w:p w:rsidR="005528D0" w:rsidRPr="00013715" w:rsidRDefault="005528D0">
      <w:pPr>
        <w:pStyle w:val="SingleTxtG"/>
      </w:pPr>
      <w:r w:rsidRPr="00104A3F">
        <w:t>2.2</w:t>
      </w:r>
      <w:r w:rsidRPr="00104A3F">
        <w:tab/>
        <w:t>The author submits that</w:t>
      </w:r>
      <w:r w:rsidR="000D43EE">
        <w:t>,</w:t>
      </w:r>
      <w:r w:rsidRPr="00104A3F">
        <w:t xml:space="preserve"> since the first day of the trial</w:t>
      </w:r>
      <w:r w:rsidR="00181A41">
        <w:t>,</w:t>
      </w:r>
      <w:r w:rsidRPr="00104A3F">
        <w:t xml:space="preserve"> he </w:t>
      </w:r>
      <w:r w:rsidR="000D43EE">
        <w:t xml:space="preserve">had </w:t>
      </w:r>
      <w:r w:rsidRPr="00104A3F">
        <w:t>complained</w:t>
      </w:r>
      <w:r w:rsidR="00181A41">
        <w:t xml:space="preserve"> to the court</w:t>
      </w:r>
      <w:r w:rsidRPr="00104A3F">
        <w:t xml:space="preserve"> that he </w:t>
      </w:r>
      <w:r w:rsidR="00CF5453">
        <w:t xml:space="preserve">had </w:t>
      </w:r>
      <w:r w:rsidRPr="00104A3F">
        <w:t xml:space="preserve">not </w:t>
      </w:r>
      <w:r w:rsidR="00CF5453">
        <w:t xml:space="preserve">been </w:t>
      </w:r>
      <w:r w:rsidRPr="00104A3F">
        <w:t>given an adequate opportunity to acquaint himself with the case file and that his request</w:t>
      </w:r>
      <w:r w:rsidR="007A5D5C">
        <w:t>s</w:t>
      </w:r>
      <w:r w:rsidRPr="00104A3F">
        <w:t xml:space="preserve"> </w:t>
      </w:r>
      <w:r w:rsidR="000D43EE">
        <w:t>had been</w:t>
      </w:r>
      <w:r w:rsidRPr="00104A3F">
        <w:t xml:space="preserve"> noted on numerous occasions in the trial record.</w:t>
      </w:r>
      <w:r w:rsidRPr="00104A3F">
        <w:rPr>
          <w:rStyle w:val="FootnoteReference"/>
        </w:rPr>
        <w:footnoteReference w:id="4"/>
      </w:r>
      <w:r w:rsidRPr="00104A3F">
        <w:t xml:space="preserve"> He maintains that he did not have the opportunity to read</w:t>
      </w:r>
      <w:r w:rsidR="00DC3693">
        <w:t xml:space="preserve"> more than</w:t>
      </w:r>
      <w:r w:rsidRPr="00104A3F">
        <w:t xml:space="preserve"> 80</w:t>
      </w:r>
      <w:r w:rsidR="000D43EE">
        <w:t xml:space="preserve"> per cent</w:t>
      </w:r>
      <w:r w:rsidRPr="00104A3F">
        <w:t xml:space="preserve"> of the </w:t>
      </w:r>
      <w:r w:rsidR="002D4406">
        <w:t xml:space="preserve">criminal </w:t>
      </w:r>
      <w:r w:rsidR="008619BD" w:rsidRPr="00104A3F">
        <w:t>case files</w:t>
      </w:r>
      <w:r w:rsidRPr="00104A3F">
        <w:t xml:space="preserve"> and that </w:t>
      </w:r>
      <w:r w:rsidR="00DC3693">
        <w:t xml:space="preserve">this </w:t>
      </w:r>
      <w:r w:rsidRPr="00104A3F">
        <w:t>did not allow him to prepare his defence. He also submits that the court ignored his complaints</w:t>
      </w:r>
      <w:r w:rsidR="000D43EE">
        <w:t>, which</w:t>
      </w:r>
      <w:r w:rsidRPr="00104A3F">
        <w:t xml:space="preserve"> violate</w:t>
      </w:r>
      <w:r w:rsidR="000D43EE">
        <w:t>d</w:t>
      </w:r>
      <w:r w:rsidRPr="00104A3F">
        <w:t xml:space="preserve"> his right</w:t>
      </w:r>
      <w:r w:rsidR="000D43EE">
        <w:t xml:space="preserve"> under</w:t>
      </w:r>
      <w:r w:rsidR="000D43EE" w:rsidRPr="00104A3F">
        <w:t xml:space="preserve"> the Covenant</w:t>
      </w:r>
      <w:r w:rsidR="00982AB0">
        <w:t xml:space="preserve"> to</w:t>
      </w:r>
      <w:r w:rsidRPr="00104A3F">
        <w:t xml:space="preserve"> </w:t>
      </w:r>
      <w:r w:rsidR="002D7A88">
        <w:t xml:space="preserve">have adequate time and facilities </w:t>
      </w:r>
      <w:r w:rsidR="00B317C0">
        <w:t xml:space="preserve">for the </w:t>
      </w:r>
      <w:r w:rsidR="002D7A88">
        <w:t xml:space="preserve">preparation </w:t>
      </w:r>
      <w:r w:rsidR="00B317C0">
        <w:t>of</w:t>
      </w:r>
      <w:r w:rsidR="002D7A88">
        <w:t xml:space="preserve"> his defence</w:t>
      </w:r>
      <w:r w:rsidRPr="00104A3F">
        <w:t>.</w:t>
      </w:r>
      <w:r>
        <w:t xml:space="preserve"> He maintains that he </w:t>
      </w:r>
      <w:r w:rsidR="000D43EE">
        <w:t xml:space="preserve">had </w:t>
      </w:r>
      <w:r>
        <w:t xml:space="preserve">raised the above complaint in his cassation appeal, which was rejected by the Supreme Court of the </w:t>
      </w:r>
      <w:smartTag w:uri="urn:schemas-microsoft-com:office:smarttags" w:element="country-region">
        <w:smartTag w:uri="urn:schemas-microsoft-com:office:smarttags" w:element="place">
          <w:r>
            <w:t>Russian Federation</w:t>
          </w:r>
        </w:smartTag>
      </w:smartTag>
      <w:r>
        <w:t xml:space="preserve"> on 13 January 2007. His subsequent </w:t>
      </w:r>
      <w:r w:rsidR="00982AB0">
        <w:t xml:space="preserve">supervisory </w:t>
      </w:r>
      <w:r>
        <w:t>ap</w:t>
      </w:r>
      <w:r w:rsidR="002D7A88">
        <w:t>peal</w:t>
      </w:r>
      <w:r w:rsidR="00982AB0">
        <w:t xml:space="preserve">, also to the Supreme Court, </w:t>
      </w:r>
      <w:r>
        <w:t>was rejected on 13 March 2006.</w:t>
      </w:r>
    </w:p>
    <w:p w:rsidR="005528D0" w:rsidRPr="00104A3F" w:rsidRDefault="005528D0" w:rsidP="002768AC">
      <w:pPr>
        <w:pStyle w:val="SingleTxtG"/>
      </w:pPr>
      <w:r w:rsidRPr="00104A3F">
        <w:t>2.3</w:t>
      </w:r>
      <w:r w:rsidRPr="00104A3F">
        <w:tab/>
        <w:t xml:space="preserve">The author submits that he was denied the right to be represented by a lawyer of his choice during the </w:t>
      </w:r>
      <w:r>
        <w:t xml:space="preserve">first instance trial </w:t>
      </w:r>
      <w:r w:rsidRPr="00104A3F">
        <w:t>hearing</w:t>
      </w:r>
      <w:r>
        <w:t>s</w:t>
      </w:r>
      <w:r w:rsidR="00CD729A">
        <w:t>.</w:t>
      </w:r>
      <w:r w:rsidRPr="00104A3F">
        <w:t xml:space="preserve"> He maintains that he was represented by a certain Mr. </w:t>
      </w:r>
      <w:r w:rsidR="00941CE3">
        <w:t>B.</w:t>
      </w:r>
      <w:r w:rsidRPr="00104A3F">
        <w:t>, who was</w:t>
      </w:r>
      <w:r w:rsidR="00982AB0">
        <w:t xml:space="preserve"> initially</w:t>
      </w:r>
      <w:r w:rsidRPr="00104A3F">
        <w:t xml:space="preserve"> hired to represent him by relatives of one of his co-defendants.</w:t>
      </w:r>
      <w:r w:rsidRPr="00104A3F">
        <w:rPr>
          <w:rStyle w:val="FootnoteReference"/>
        </w:rPr>
        <w:footnoteReference w:id="5"/>
      </w:r>
      <w:r w:rsidRPr="00104A3F">
        <w:t xml:space="preserve"> He maintains that he</w:t>
      </w:r>
      <w:r w:rsidR="00982AB0">
        <w:t xml:space="preserve"> clearly</w:t>
      </w:r>
      <w:r w:rsidRPr="00104A3F">
        <w:t xml:space="preserve"> stated that he d</w:t>
      </w:r>
      <w:r w:rsidR="00183FD3">
        <w:t>id</w:t>
      </w:r>
      <w:r w:rsidRPr="00104A3F">
        <w:t xml:space="preserve"> not want to be represented by that lawyer and that he prefer</w:t>
      </w:r>
      <w:r w:rsidR="00183FD3">
        <w:t>red</w:t>
      </w:r>
      <w:r w:rsidRPr="00104A3F">
        <w:t xml:space="preserve"> a public defender </w:t>
      </w:r>
      <w:r w:rsidR="00183FD3">
        <w:t xml:space="preserve">who had </w:t>
      </w:r>
      <w:r w:rsidRPr="00104A3F">
        <w:t xml:space="preserve">already </w:t>
      </w:r>
      <w:r w:rsidR="00183FD3">
        <w:t xml:space="preserve">been </w:t>
      </w:r>
      <w:r w:rsidRPr="00104A3F">
        <w:t>at the first court hearing</w:t>
      </w:r>
      <w:r w:rsidR="00CD729A">
        <w:t>,</w:t>
      </w:r>
      <w:r w:rsidR="0086646A">
        <w:rPr>
          <w:rStyle w:val="FootnoteReference"/>
        </w:rPr>
        <w:footnoteReference w:id="6"/>
      </w:r>
      <w:r w:rsidRPr="00104A3F">
        <w:t xml:space="preserve"> but the court refused to take this into consideration and ordered the lawyer to continue </w:t>
      </w:r>
      <w:r w:rsidR="00183FD3">
        <w:t xml:space="preserve">to </w:t>
      </w:r>
      <w:r w:rsidRPr="00104A3F">
        <w:t xml:space="preserve">represent him. He maintains that the co-defendant, whose relatives </w:t>
      </w:r>
      <w:r w:rsidR="00183FD3">
        <w:t xml:space="preserve">had </w:t>
      </w:r>
      <w:r w:rsidRPr="00104A3F">
        <w:t>hired the lawyer, testified against him</w:t>
      </w:r>
      <w:r w:rsidR="00183FD3">
        <w:t xml:space="preserve"> </w:t>
      </w:r>
      <w:r w:rsidR="00183FD3" w:rsidRPr="00104A3F">
        <w:t>during the trial</w:t>
      </w:r>
      <w:r w:rsidRPr="00104A3F">
        <w:t xml:space="preserve"> and that the lawyer did not provide adequate defence</w:t>
      </w:r>
      <w:r w:rsidR="00183FD3">
        <w:t xml:space="preserve"> as he did </w:t>
      </w:r>
      <w:r w:rsidRPr="00104A3F">
        <w:t>not fil</w:t>
      </w:r>
      <w:r w:rsidR="00183FD3">
        <w:t>e</w:t>
      </w:r>
      <w:r w:rsidRPr="00104A3F">
        <w:t xml:space="preserve"> </w:t>
      </w:r>
      <w:r>
        <w:t xml:space="preserve">any </w:t>
      </w:r>
      <w:r w:rsidRPr="00104A3F">
        <w:t>motions to protect the author’s rights</w:t>
      </w:r>
      <w:r w:rsidR="00CD729A">
        <w:t>.</w:t>
      </w:r>
    </w:p>
    <w:p w:rsidR="005528D0" w:rsidRPr="00104A3F" w:rsidRDefault="005528D0" w:rsidP="00013715">
      <w:pPr>
        <w:pStyle w:val="SingleTxtG"/>
      </w:pPr>
      <w:r w:rsidRPr="00104A3F">
        <w:t>2.4</w:t>
      </w:r>
      <w:r w:rsidRPr="00104A3F">
        <w:tab/>
        <w:t xml:space="preserve">The author submits that, contrary to what was noted in the trial record, the trial was not public, since the court did not call his mother and sons </w:t>
      </w:r>
      <w:r>
        <w:t>to be present at</w:t>
      </w:r>
      <w:r w:rsidRPr="00104A3F">
        <w:t xml:space="preserve"> the court hearings. The author states that he objected to the “closed” </w:t>
      </w:r>
      <w:r w:rsidR="007A5D5C">
        <w:t>nature of the trial</w:t>
      </w:r>
      <w:r w:rsidRPr="00104A3F">
        <w:t xml:space="preserve"> on numerous occasions, as noted in the trial record, but the court ignored his complaints</w:t>
      </w:r>
      <w:r w:rsidR="00982AB0">
        <w:t xml:space="preserve"> and the hearings remained closed to</w:t>
      </w:r>
      <w:r w:rsidR="0053369A">
        <w:t xml:space="preserve"> the</w:t>
      </w:r>
      <w:r w:rsidR="00982AB0">
        <w:t xml:space="preserve"> public</w:t>
      </w:r>
      <w:r w:rsidRPr="00104A3F">
        <w:t>.</w:t>
      </w:r>
    </w:p>
    <w:p w:rsidR="005528D0" w:rsidRPr="00104A3F" w:rsidRDefault="005528D0" w:rsidP="002768AC">
      <w:pPr>
        <w:pStyle w:val="SingleTxtG"/>
      </w:pPr>
      <w:r w:rsidRPr="00104A3F">
        <w:t>2.5</w:t>
      </w:r>
      <w:r w:rsidRPr="00104A3F">
        <w:tab/>
        <w:t xml:space="preserve">The author submits that the court </w:t>
      </w:r>
      <w:r w:rsidR="004F31F2">
        <w:t>took</w:t>
      </w:r>
      <w:r w:rsidRPr="00104A3F">
        <w:t xml:space="preserve"> the side of the pro</w:t>
      </w:r>
      <w:r w:rsidR="00982AB0">
        <w:t>secution</w:t>
      </w:r>
      <w:r w:rsidR="00413018">
        <w:t xml:space="preserve"> entirely</w:t>
      </w:r>
      <w:r w:rsidR="00982AB0">
        <w:t xml:space="preserve">. He maintains that </w:t>
      </w:r>
      <w:r w:rsidR="00413018">
        <w:t xml:space="preserve">the </w:t>
      </w:r>
      <w:r w:rsidR="00982AB0">
        <w:t>biased nature of the court</w:t>
      </w:r>
      <w:r w:rsidRPr="00104A3F">
        <w:t xml:space="preserve"> is obvious from the trial record, since the judge</w:t>
      </w:r>
      <w:r w:rsidR="00413018">
        <w:t xml:space="preserve"> in fact</w:t>
      </w:r>
      <w:r w:rsidR="004F31F2">
        <w:t xml:space="preserve"> acted as a prosecutor, </w:t>
      </w:r>
      <w:r w:rsidR="00413018">
        <w:t xml:space="preserve">because </w:t>
      </w:r>
      <w:r w:rsidR="004F31F2">
        <w:t>he</w:t>
      </w:r>
      <w:r w:rsidRPr="00104A3F">
        <w:t xml:space="preserve"> was</w:t>
      </w:r>
      <w:r w:rsidR="00413018">
        <w:t xml:space="preserve"> the one</w:t>
      </w:r>
      <w:r w:rsidRPr="00104A3F">
        <w:t xml:space="preserve"> reading the charges and asking questions</w:t>
      </w:r>
      <w:r w:rsidR="00413018">
        <w:t>,</w:t>
      </w:r>
      <w:r w:rsidRPr="00104A3F">
        <w:t xml:space="preserve"> instead of the prosecutor.</w:t>
      </w:r>
      <w:r w:rsidR="004761B3">
        <w:t xml:space="preserve"> The author further submits that some portions of </w:t>
      </w:r>
      <w:r w:rsidR="00413018">
        <w:t xml:space="preserve">the </w:t>
      </w:r>
      <w:r w:rsidR="004761B3">
        <w:t xml:space="preserve">trial transcripts do not contain correct information and </w:t>
      </w:r>
      <w:r w:rsidR="00413018">
        <w:t xml:space="preserve">that </w:t>
      </w:r>
      <w:r w:rsidR="004761B3">
        <w:t>some p</w:t>
      </w:r>
      <w:r w:rsidR="00413018">
        <w:t>a</w:t>
      </w:r>
      <w:r w:rsidR="004761B3">
        <w:t>rts were falsified</w:t>
      </w:r>
      <w:r w:rsidR="00013715">
        <w:t>.</w:t>
      </w:r>
      <w:r w:rsidR="004761B3">
        <w:rPr>
          <w:rStyle w:val="FootnoteReference"/>
        </w:rPr>
        <w:footnoteReference w:id="7"/>
      </w:r>
      <w:r w:rsidR="004761B3">
        <w:t xml:space="preserve"> </w:t>
      </w:r>
    </w:p>
    <w:p w:rsidR="005528D0" w:rsidRPr="00104A3F" w:rsidRDefault="005528D0">
      <w:pPr>
        <w:pStyle w:val="SingleTxtG"/>
      </w:pPr>
      <w:r w:rsidRPr="00104A3F">
        <w:lastRenderedPageBreak/>
        <w:t>2.6</w:t>
      </w:r>
      <w:r w:rsidRPr="00104A3F">
        <w:tab/>
        <w:t>The author submits that</w:t>
      </w:r>
      <w:r w:rsidR="00413018">
        <w:t>,</w:t>
      </w:r>
      <w:r w:rsidRPr="00104A3F">
        <w:t xml:space="preserve"> according to </w:t>
      </w:r>
      <w:r w:rsidR="00651AA8">
        <w:t>d</w:t>
      </w:r>
      <w:r w:rsidR="00FA072F">
        <w:t>ecision No. 40</w:t>
      </w:r>
      <w:r w:rsidRPr="00104A3F">
        <w:t xml:space="preserve"> of the Supreme Court of the Russian Federation</w:t>
      </w:r>
      <w:r w:rsidR="00FA072F">
        <w:t xml:space="preserve"> dated 11 June 1999</w:t>
      </w:r>
      <w:r w:rsidRPr="00104A3F">
        <w:t>,</w:t>
      </w:r>
      <w:r w:rsidR="00FA072F">
        <w:t xml:space="preserve"> </w:t>
      </w:r>
      <w:r w:rsidR="00A752A4">
        <w:t>and</w:t>
      </w:r>
      <w:r w:rsidR="00FA072F">
        <w:t xml:space="preserve"> article 60 of the Criminal Code of the Russian Federation,</w:t>
      </w:r>
      <w:r w:rsidRPr="00104A3F">
        <w:t xml:space="preserve"> when pronouncing a guilty verdict </w:t>
      </w:r>
      <w:r>
        <w:t xml:space="preserve">and imposing a custodial sentence </w:t>
      </w:r>
      <w:r w:rsidR="00A752A4">
        <w:t>on</w:t>
      </w:r>
      <w:r w:rsidRPr="00104A3F">
        <w:t xml:space="preserve"> an individual who has minor children who would remain without supervision, the trial court is obliged to include instructions </w:t>
      </w:r>
      <w:r w:rsidR="00A752A4">
        <w:t>regarding</w:t>
      </w:r>
      <w:r w:rsidRPr="00104A3F">
        <w:t xml:space="preserve"> the custody of the children. He maintains that</w:t>
      </w:r>
      <w:r w:rsidR="00A752A4">
        <w:t>,</w:t>
      </w:r>
      <w:r w:rsidRPr="00104A3F">
        <w:t xml:space="preserve"> in his case</w:t>
      </w:r>
      <w:r w:rsidR="00A752A4">
        <w:t>,</w:t>
      </w:r>
      <w:r w:rsidRPr="00104A3F">
        <w:t xml:space="preserve"> the court failed to do so, despite the fact that his two minor sons were </w:t>
      </w:r>
      <w:r w:rsidR="00A752A4">
        <w:t>in the care of</w:t>
      </w:r>
      <w:r w:rsidRPr="00104A3F">
        <w:t xml:space="preserve"> his elderly mother and his former wife had testified that she w</w:t>
      </w:r>
      <w:r w:rsidR="00A752A4">
        <w:t>ould</w:t>
      </w:r>
      <w:r w:rsidRPr="00104A3F">
        <w:t xml:space="preserve"> not tak</w:t>
      </w:r>
      <w:r w:rsidR="00A752A4">
        <w:t>e</w:t>
      </w:r>
      <w:r w:rsidRPr="00104A3F">
        <w:t xml:space="preserve"> care of them or provid</w:t>
      </w:r>
      <w:r w:rsidR="00A752A4">
        <w:t>e</w:t>
      </w:r>
      <w:r w:rsidRPr="00104A3F">
        <w:t xml:space="preserve"> any alimony. He maintains that the </w:t>
      </w:r>
      <w:r w:rsidR="00A752A4">
        <w:t>verdict</w:t>
      </w:r>
      <w:r w:rsidR="004761B3">
        <w:t xml:space="preserve"> violated his right to </w:t>
      </w:r>
      <w:r w:rsidR="00A752A4">
        <w:t xml:space="preserve">a </w:t>
      </w:r>
      <w:r w:rsidR="004761B3">
        <w:t>family life</w:t>
      </w:r>
      <w:r w:rsidR="00982AB0">
        <w:t>.</w:t>
      </w:r>
    </w:p>
    <w:p w:rsidR="005528D0" w:rsidRPr="00104A3F" w:rsidRDefault="005528D0" w:rsidP="002768AC">
      <w:pPr>
        <w:pStyle w:val="SingleTxtG"/>
      </w:pPr>
      <w:r w:rsidRPr="00104A3F">
        <w:t>2.7</w:t>
      </w:r>
      <w:r w:rsidRPr="00104A3F">
        <w:tab/>
        <w:t>Lastly</w:t>
      </w:r>
      <w:r w:rsidR="00717F6A">
        <w:t>,</w:t>
      </w:r>
      <w:r w:rsidRPr="00104A3F">
        <w:t xml:space="preserve"> the author submits</w:t>
      </w:r>
      <w:r>
        <w:t xml:space="preserve"> that</w:t>
      </w:r>
      <w:r w:rsidR="00A752A4">
        <w:t>,</w:t>
      </w:r>
      <w:r>
        <w:t xml:space="preserve"> at the first trial hearing</w:t>
      </w:r>
      <w:r w:rsidR="00A752A4">
        <w:t>,</w:t>
      </w:r>
      <w:r>
        <w:t xml:space="preserve"> he </w:t>
      </w:r>
      <w:r w:rsidR="00A752A4">
        <w:t xml:space="preserve">had </w:t>
      </w:r>
      <w:r>
        <w:t>requested one expert witness and six additional witnesses</w:t>
      </w:r>
      <w:r w:rsidR="00982AB0">
        <w:t xml:space="preserve">, including Mr. C.H.A., </w:t>
      </w:r>
      <w:r>
        <w:t xml:space="preserve">to be summoned and questioned by the court, but the </w:t>
      </w:r>
      <w:r w:rsidR="00835B38">
        <w:t>court</w:t>
      </w:r>
      <w:r>
        <w:t xml:space="preserve"> </w:t>
      </w:r>
      <w:r w:rsidR="00835B38">
        <w:t>rejected his requests</w:t>
      </w:r>
      <w:r w:rsidR="00A752A4">
        <w:t>.</w:t>
      </w:r>
      <w:r w:rsidR="00982AB0">
        <w:t xml:space="preserve"> </w:t>
      </w:r>
      <w:r w:rsidR="00A752A4">
        <w:t>He</w:t>
      </w:r>
      <w:r w:rsidR="00982AB0">
        <w:t xml:space="preserve"> claims</w:t>
      </w:r>
      <w:r>
        <w:t xml:space="preserve"> that </w:t>
      </w:r>
      <w:r w:rsidR="00982AB0">
        <w:t>this</w:t>
      </w:r>
      <w:r>
        <w:t xml:space="preserve"> violate</w:t>
      </w:r>
      <w:r w:rsidR="00A752A4">
        <w:t>d</w:t>
      </w:r>
      <w:r>
        <w:t xml:space="preserve"> his right </w:t>
      </w:r>
      <w:r w:rsidR="004761B3">
        <w:t xml:space="preserve">to cross-examine witnesses and secure </w:t>
      </w:r>
      <w:r w:rsidR="00A752A4">
        <w:t xml:space="preserve">the </w:t>
      </w:r>
      <w:r w:rsidR="004761B3">
        <w:t>presence of witnesses in his defence.</w:t>
      </w:r>
      <w:r>
        <w:t xml:space="preserve"> </w:t>
      </w:r>
    </w:p>
    <w:p w:rsidR="004B44C6" w:rsidRDefault="004B44C6" w:rsidP="004B44C6">
      <w:pPr>
        <w:pStyle w:val="H23G"/>
      </w:pPr>
      <w:r w:rsidRPr="00B12E1C">
        <w:tab/>
      </w:r>
      <w:r w:rsidRPr="00B12E1C">
        <w:tab/>
        <w:t>The complaint</w:t>
      </w:r>
    </w:p>
    <w:p w:rsidR="000E0D1B" w:rsidRDefault="00781DB6" w:rsidP="002768AC">
      <w:pPr>
        <w:pStyle w:val="SingleTxtG"/>
      </w:pPr>
      <w:r>
        <w:t>3.1</w:t>
      </w:r>
      <w:r>
        <w:tab/>
        <w:t>The author claims that the State party violated his right to a fair trial under article 14</w:t>
      </w:r>
      <w:r w:rsidR="00A752A4">
        <w:t xml:space="preserve"> (</w:t>
      </w:r>
      <w:r>
        <w:t>1</w:t>
      </w:r>
      <w:r w:rsidR="00A752A4">
        <w:t xml:space="preserve">) </w:t>
      </w:r>
      <w:r w:rsidR="00A00259">
        <w:t>and his right to an effective appeal under article 14</w:t>
      </w:r>
      <w:r w:rsidR="00A752A4">
        <w:t xml:space="preserve"> (</w:t>
      </w:r>
      <w:r w:rsidR="00A00259">
        <w:t>5</w:t>
      </w:r>
      <w:r w:rsidR="00A752A4">
        <w:t>) of the Covenant</w:t>
      </w:r>
      <w:r w:rsidR="00E31EC5">
        <w:t>.</w:t>
      </w:r>
      <w:r w:rsidR="00A00259">
        <w:rPr>
          <w:rStyle w:val="FootnoteReference"/>
        </w:rPr>
        <w:footnoteReference w:id="8"/>
      </w:r>
    </w:p>
    <w:p w:rsidR="005528D0" w:rsidRDefault="002E296F">
      <w:pPr>
        <w:pStyle w:val="SingleTxtG"/>
      </w:pPr>
      <w:r w:rsidRPr="002E296F">
        <w:t>3.</w:t>
      </w:r>
      <w:r w:rsidR="00781DB6">
        <w:t>2</w:t>
      </w:r>
      <w:r w:rsidRPr="002E296F">
        <w:tab/>
      </w:r>
      <w:r w:rsidR="005528D0" w:rsidRPr="00104A3F">
        <w:t xml:space="preserve">The author contends </w:t>
      </w:r>
      <w:r w:rsidR="00C01C8F">
        <w:t xml:space="preserve">that, </w:t>
      </w:r>
      <w:r w:rsidR="001B59E9">
        <w:t>by limiting his time to study the materials of the results of the criminal investigation against him, the State party violated his rights under article 14 (3) (b)</w:t>
      </w:r>
      <w:r w:rsidR="00E95455">
        <w:t xml:space="preserve"> of the Covenant</w:t>
      </w:r>
      <w:r w:rsidR="001B59E9">
        <w:t>.</w:t>
      </w:r>
    </w:p>
    <w:p w:rsidR="001B59E9" w:rsidRDefault="001B59E9">
      <w:pPr>
        <w:pStyle w:val="SingleTxtG"/>
      </w:pPr>
      <w:r>
        <w:t>3.</w:t>
      </w:r>
      <w:r w:rsidR="00781DB6">
        <w:t>3</w:t>
      </w:r>
      <w:r>
        <w:tab/>
        <w:t xml:space="preserve">The author submits that the trial court violated his rights under article 14 (3) (d, </w:t>
      </w:r>
      <w:r w:rsidR="00C01C8F">
        <w:t>by denying his request to have</w:t>
      </w:r>
      <w:r>
        <w:t xml:space="preserve"> a different lawyer represent him in court. </w:t>
      </w:r>
    </w:p>
    <w:p w:rsidR="005528D0" w:rsidRPr="00104A3F" w:rsidRDefault="001B59E9">
      <w:pPr>
        <w:pStyle w:val="SingleTxtG"/>
      </w:pPr>
      <w:r>
        <w:t>3.</w:t>
      </w:r>
      <w:r w:rsidR="00781DB6">
        <w:t>4</w:t>
      </w:r>
      <w:r>
        <w:tab/>
      </w:r>
      <w:r w:rsidR="00FA072F">
        <w:t xml:space="preserve">The author also claims that the trial court rejected his request for additional witnesses, who, he claims, would have testified in his defence. By not allowing any witnesses </w:t>
      </w:r>
      <w:r w:rsidR="00C01C8F">
        <w:t>whom</w:t>
      </w:r>
      <w:r w:rsidR="00FA072F">
        <w:t xml:space="preserve"> he requested, the State party violated his rights under article 14 (3) (e)</w:t>
      </w:r>
      <w:r w:rsidR="00E95455">
        <w:t xml:space="preserve"> of the Covenant</w:t>
      </w:r>
      <w:r w:rsidR="00FA072F">
        <w:t xml:space="preserve">. </w:t>
      </w:r>
    </w:p>
    <w:p w:rsidR="008619BD" w:rsidRDefault="008619BD">
      <w:pPr>
        <w:pStyle w:val="SingleTxtG"/>
      </w:pPr>
      <w:r>
        <w:t>3.</w:t>
      </w:r>
      <w:r w:rsidR="00AB00F2">
        <w:t>5</w:t>
      </w:r>
      <w:r w:rsidR="005528D0" w:rsidRPr="00104A3F">
        <w:tab/>
      </w:r>
      <w:r w:rsidR="00E43D95">
        <w:t>The author further claims that the State party violated articles 9 (1)</w:t>
      </w:r>
      <w:r w:rsidR="00B317C0">
        <w:t>-</w:t>
      </w:r>
      <w:r w:rsidR="00E43D95">
        <w:t>(2) and (4) and 10 of the Covenant</w:t>
      </w:r>
      <w:r w:rsidR="005528D0" w:rsidRPr="00104A3F">
        <w:t>.</w:t>
      </w:r>
      <w:r w:rsidR="005528D0" w:rsidRPr="00104A3F">
        <w:rPr>
          <w:rStyle w:val="FootnoteReference"/>
        </w:rPr>
        <w:footnoteReference w:id="9"/>
      </w:r>
      <w:r w:rsidR="005528D0" w:rsidRPr="00104A3F">
        <w:t xml:space="preserve"> </w:t>
      </w:r>
    </w:p>
    <w:p w:rsidR="004F03BA" w:rsidRPr="002E296F" w:rsidRDefault="008619BD" w:rsidP="002768AC">
      <w:pPr>
        <w:pStyle w:val="SingleTxtG"/>
      </w:pPr>
      <w:r>
        <w:t>3.</w:t>
      </w:r>
      <w:r w:rsidR="00781DB6">
        <w:t>6</w:t>
      </w:r>
      <w:r>
        <w:tab/>
      </w:r>
      <w:r w:rsidR="00C01C8F">
        <w:t>He</w:t>
      </w:r>
      <w:r>
        <w:t xml:space="preserve"> claims that his rights under article</w:t>
      </w:r>
      <w:r w:rsidR="00C01C8F">
        <w:t>s</w:t>
      </w:r>
      <w:r w:rsidR="00835B38">
        <w:t xml:space="preserve"> 10</w:t>
      </w:r>
      <w:r w:rsidR="00C01C8F">
        <w:t xml:space="preserve"> (</w:t>
      </w:r>
      <w:r w:rsidR="00835B38">
        <w:t>1</w:t>
      </w:r>
      <w:r w:rsidR="00C01C8F">
        <w:t>)</w:t>
      </w:r>
      <w:r w:rsidR="00835B38">
        <w:t xml:space="preserve"> and </w:t>
      </w:r>
      <w:r>
        <w:t>23</w:t>
      </w:r>
      <w:r w:rsidR="00C01C8F">
        <w:t xml:space="preserve"> (</w:t>
      </w:r>
      <w:r w:rsidR="00682FFD">
        <w:t>1</w:t>
      </w:r>
      <w:r w:rsidR="00C01C8F">
        <w:t>)</w:t>
      </w:r>
      <w:r w:rsidR="00682FFD">
        <w:t xml:space="preserve"> and </w:t>
      </w:r>
      <w:r w:rsidR="00C01C8F">
        <w:t>(</w:t>
      </w:r>
      <w:r w:rsidR="00682FFD">
        <w:t>4</w:t>
      </w:r>
      <w:r w:rsidR="00C01C8F">
        <w:t>)</w:t>
      </w:r>
      <w:r>
        <w:t xml:space="preserve"> </w:t>
      </w:r>
      <w:r w:rsidR="00C01C8F">
        <w:t xml:space="preserve">of the Covenant </w:t>
      </w:r>
      <w:r>
        <w:t>were also violated.</w:t>
      </w:r>
    </w:p>
    <w:p w:rsidR="005C3EA4" w:rsidRPr="005C3EA4" w:rsidRDefault="004B44C6" w:rsidP="00CD729A">
      <w:pPr>
        <w:pStyle w:val="H23G"/>
      </w:pPr>
      <w:r w:rsidRPr="00B12E1C">
        <w:tab/>
      </w:r>
      <w:r w:rsidRPr="00B12E1C">
        <w:tab/>
        <w:t>State party’</w:t>
      </w:r>
      <w:r w:rsidR="0049482E">
        <w:t>s observations on admissibility</w:t>
      </w:r>
      <w:r w:rsidR="00CF5D2C">
        <w:t xml:space="preserve"> and </w:t>
      </w:r>
      <w:r w:rsidR="00A65F92">
        <w:t xml:space="preserve">the </w:t>
      </w:r>
      <w:r w:rsidR="00CF5D2C">
        <w:t>merits</w:t>
      </w:r>
    </w:p>
    <w:p w:rsidR="00C9047F" w:rsidRDefault="004B44C6">
      <w:pPr>
        <w:pStyle w:val="SingleTxtG"/>
      </w:pPr>
      <w:r w:rsidRPr="00B12E1C">
        <w:t>4.</w:t>
      </w:r>
      <w:r w:rsidR="0049482E">
        <w:t>1</w:t>
      </w:r>
      <w:r w:rsidRPr="00B12E1C">
        <w:tab/>
      </w:r>
      <w:r w:rsidR="00CE7D94" w:rsidRPr="002768AC">
        <w:t xml:space="preserve">In </w:t>
      </w:r>
      <w:r w:rsidR="002768AC">
        <w:t>a</w:t>
      </w:r>
      <w:r w:rsidR="00CE7D94" w:rsidRPr="002768AC">
        <w:t xml:space="preserve"> note verbale</w:t>
      </w:r>
      <w:r w:rsidR="00CE7D94">
        <w:t xml:space="preserve"> dated 1</w:t>
      </w:r>
      <w:r w:rsidR="00C9047F">
        <w:t>2</w:t>
      </w:r>
      <w:r w:rsidR="00CE7D94">
        <w:t xml:space="preserve"> July 2011, t</w:t>
      </w:r>
      <w:r w:rsidR="00C9047F">
        <w:t xml:space="preserve">he State party </w:t>
      </w:r>
      <w:r w:rsidR="00DC3693">
        <w:t>contest</w:t>
      </w:r>
      <w:r w:rsidR="00DF6CC7">
        <w:t>ed</w:t>
      </w:r>
      <w:r w:rsidR="00DC3693">
        <w:t xml:space="preserve"> </w:t>
      </w:r>
      <w:r w:rsidR="00C9047F">
        <w:t xml:space="preserve">the author’s claims under all </w:t>
      </w:r>
      <w:r w:rsidR="002768AC">
        <w:t xml:space="preserve">the </w:t>
      </w:r>
      <w:r w:rsidR="00C9047F">
        <w:t xml:space="preserve">articles that were mentioned in </w:t>
      </w:r>
      <w:r w:rsidR="002768AC">
        <w:t xml:space="preserve">his </w:t>
      </w:r>
      <w:r w:rsidR="00C9047F">
        <w:t>initial communication. T</w:t>
      </w:r>
      <w:r w:rsidR="00982AB0">
        <w:t xml:space="preserve">he State party submits that the lawyer, </w:t>
      </w:r>
      <w:r w:rsidR="00C9047F">
        <w:t>Mr. B</w:t>
      </w:r>
      <w:r w:rsidR="00941CE3">
        <w:t>.</w:t>
      </w:r>
      <w:r w:rsidR="00C9047F">
        <w:t xml:space="preserve">, was assigned to the author from the very beginning of the investigation and that the author </w:t>
      </w:r>
      <w:r w:rsidR="002768AC">
        <w:t xml:space="preserve">had </w:t>
      </w:r>
      <w:r w:rsidR="00C9047F">
        <w:t xml:space="preserve">agreed to this representation. </w:t>
      </w:r>
      <w:r w:rsidR="00387960">
        <w:t xml:space="preserve">Furthermore, on 25 January 2002, the author requested the presence of Mr. </w:t>
      </w:r>
      <w:r w:rsidR="00941CE3">
        <w:t>B.</w:t>
      </w:r>
      <w:r w:rsidR="00387960">
        <w:t xml:space="preserve"> to prepare fo</w:t>
      </w:r>
      <w:r w:rsidR="00CD729A">
        <w:t>r his defence before the trial.</w:t>
      </w:r>
    </w:p>
    <w:p w:rsidR="00387960" w:rsidRDefault="005C3EA4">
      <w:pPr>
        <w:pStyle w:val="SingleTxtG"/>
      </w:pPr>
      <w:r>
        <w:t>4.2</w:t>
      </w:r>
      <w:r>
        <w:tab/>
      </w:r>
      <w:r w:rsidR="00387960">
        <w:t xml:space="preserve">This counsel also represented the author during the trial. The author asked for a different lawyer when the trial started. When questioned by court, Mr. </w:t>
      </w:r>
      <w:r w:rsidR="00941CE3">
        <w:t>B.</w:t>
      </w:r>
      <w:r w:rsidR="00387960">
        <w:t xml:space="preserve"> ex</w:t>
      </w:r>
      <w:r w:rsidR="00025E69">
        <w:t xml:space="preserve">plained that on 27 July 2001, </w:t>
      </w:r>
      <w:r w:rsidR="00DC3693">
        <w:t xml:space="preserve">he </w:t>
      </w:r>
      <w:r w:rsidR="00387960">
        <w:t xml:space="preserve">was hired by one of the relatives of </w:t>
      </w:r>
      <w:r w:rsidR="002768AC">
        <w:t>P.</w:t>
      </w:r>
      <w:r w:rsidR="00114F22">
        <w:t xml:space="preserve"> —</w:t>
      </w:r>
      <w:r w:rsidR="002768AC">
        <w:t xml:space="preserve"> </w:t>
      </w:r>
      <w:r w:rsidR="00387960">
        <w:t>one of the co-defendants in th</w:t>
      </w:r>
      <w:r w:rsidR="002768AC">
        <w:t>e</w:t>
      </w:r>
      <w:r w:rsidR="00387960">
        <w:t xml:space="preserve"> case </w:t>
      </w:r>
      <w:r w:rsidR="00E242B2">
        <w:t>—</w:t>
      </w:r>
      <w:r w:rsidR="00387960">
        <w:t xml:space="preserve"> to represent </w:t>
      </w:r>
      <w:r w:rsidR="00941CE3">
        <w:t>P.</w:t>
      </w:r>
      <w:r w:rsidR="00387960">
        <w:t xml:space="preserve">, </w:t>
      </w:r>
      <w:r w:rsidR="000148C7">
        <w:t>Y.M.</w:t>
      </w:r>
      <w:r w:rsidR="00387960">
        <w:t xml:space="preserve"> (the author) and G</w:t>
      </w:r>
      <w:r w:rsidR="00941CE3">
        <w:t>.</w:t>
      </w:r>
      <w:r w:rsidR="00387960">
        <w:t xml:space="preserve">, another co-defendant. As it appeared that </w:t>
      </w:r>
      <w:r w:rsidR="00114F22">
        <w:t>the three co-defendants</w:t>
      </w:r>
      <w:r w:rsidR="00387960">
        <w:t xml:space="preserve"> </w:t>
      </w:r>
      <w:r w:rsidR="00114F22">
        <w:t>may have</w:t>
      </w:r>
      <w:r w:rsidR="00387960">
        <w:t xml:space="preserve"> differences </w:t>
      </w:r>
      <w:r w:rsidR="005E53B3">
        <w:t>of</w:t>
      </w:r>
      <w:r w:rsidR="00387960">
        <w:t xml:space="preserve"> positions, Mr. </w:t>
      </w:r>
      <w:r w:rsidR="00941CE3">
        <w:t>B.</w:t>
      </w:r>
      <w:r w:rsidR="00387960">
        <w:t xml:space="preserve"> stopped representing </w:t>
      </w:r>
      <w:r w:rsidR="00941CE3">
        <w:t>P.</w:t>
      </w:r>
      <w:r w:rsidR="00387960">
        <w:t xml:space="preserve"> and G</w:t>
      </w:r>
      <w:r w:rsidR="00941CE3">
        <w:t>.</w:t>
      </w:r>
      <w:r w:rsidR="00387960">
        <w:t xml:space="preserve"> on 4 August 2001. </w:t>
      </w:r>
    </w:p>
    <w:p w:rsidR="0038269E" w:rsidRDefault="0038269E" w:rsidP="005E53B3">
      <w:pPr>
        <w:pStyle w:val="SingleTxtG"/>
      </w:pPr>
      <w:r>
        <w:lastRenderedPageBreak/>
        <w:t>4.3</w:t>
      </w:r>
      <w:r>
        <w:tab/>
        <w:t xml:space="preserve">On 16 April 2002, the court considered the author’s request to replace his lawyer. </w:t>
      </w:r>
      <w:r w:rsidR="00114F22">
        <w:t>The author</w:t>
      </w:r>
      <w:r>
        <w:t xml:space="preserve"> did not have </w:t>
      </w:r>
      <w:r w:rsidR="00114F22">
        <w:t xml:space="preserve">the name of </w:t>
      </w:r>
      <w:r>
        <w:t xml:space="preserve">another lawyer as a replacement. Since the charges against the author were very serious, the court decided </w:t>
      </w:r>
      <w:r w:rsidR="00114F22">
        <w:t xml:space="preserve">that </w:t>
      </w:r>
      <w:r>
        <w:t xml:space="preserve">Mr. </w:t>
      </w:r>
      <w:r w:rsidR="00941CE3">
        <w:t>B.</w:t>
      </w:r>
      <w:r>
        <w:t xml:space="preserve"> </w:t>
      </w:r>
      <w:r w:rsidR="00114F22">
        <w:t xml:space="preserve">should continue to </w:t>
      </w:r>
      <w:r>
        <w:t xml:space="preserve">represent the author. During </w:t>
      </w:r>
      <w:r w:rsidR="007F2382">
        <w:t>this</w:t>
      </w:r>
      <w:r>
        <w:t xml:space="preserve"> hearing, </w:t>
      </w:r>
      <w:r w:rsidR="000148C7">
        <w:t>Y.M.</w:t>
      </w:r>
      <w:r>
        <w:t xml:space="preserve"> claimed to have “difference</w:t>
      </w:r>
      <w:r w:rsidR="00DC3693">
        <w:t>s</w:t>
      </w:r>
      <w:r>
        <w:t xml:space="preserve"> of position” with his lawyer, but he failed to explain what th</w:t>
      </w:r>
      <w:r w:rsidR="00114F22">
        <w:t>ose</w:t>
      </w:r>
      <w:r>
        <w:t xml:space="preserve"> difference</w:t>
      </w:r>
      <w:r w:rsidR="00114F22">
        <w:t>s</w:t>
      </w:r>
      <w:r>
        <w:t xml:space="preserve"> w</w:t>
      </w:r>
      <w:r w:rsidR="00114F22">
        <w:t>ere</w:t>
      </w:r>
      <w:r>
        <w:t xml:space="preserve">. </w:t>
      </w:r>
    </w:p>
    <w:p w:rsidR="004D1BFE" w:rsidRDefault="0038269E">
      <w:pPr>
        <w:pStyle w:val="SingleTxtG"/>
      </w:pPr>
      <w:r>
        <w:t>4.4</w:t>
      </w:r>
      <w:r>
        <w:tab/>
      </w:r>
      <w:r w:rsidR="007F2382">
        <w:t xml:space="preserve">The State party submits that the Supreme Court of the Russian Federation </w:t>
      </w:r>
      <w:r w:rsidR="0076707E">
        <w:t>considered</w:t>
      </w:r>
      <w:r w:rsidR="007F2382">
        <w:t xml:space="preserve"> the author’s complaint, but found no violation of the law. As it transpires, in his appeals</w:t>
      </w:r>
      <w:r w:rsidR="0076707E">
        <w:t>, the author</w:t>
      </w:r>
      <w:r w:rsidR="007F2382">
        <w:t xml:space="preserve"> failed to explain the difference</w:t>
      </w:r>
      <w:r w:rsidR="0076707E">
        <w:t>s</w:t>
      </w:r>
      <w:r w:rsidR="007F2382">
        <w:t xml:space="preserve"> </w:t>
      </w:r>
      <w:r w:rsidR="005E53B3">
        <w:t>of</w:t>
      </w:r>
      <w:r w:rsidR="007F2382">
        <w:t>position that he had with his lawyer. Based on article 50</w:t>
      </w:r>
      <w:r w:rsidR="00DF6CC7">
        <w:t>, paragraph</w:t>
      </w:r>
      <w:r w:rsidR="007F2382">
        <w:t xml:space="preserve"> 2</w:t>
      </w:r>
      <w:r w:rsidR="00DF6CC7">
        <w:t>,</w:t>
      </w:r>
      <w:r w:rsidR="000A34C2">
        <w:t xml:space="preserve"> of the Criminal Procedure Code of the Russian Soviet Federative Socialistic Republic</w:t>
      </w:r>
      <w:r w:rsidR="00E31EC5">
        <w:t>,</w:t>
      </w:r>
      <w:r w:rsidR="000A34C2">
        <w:rPr>
          <w:rStyle w:val="FootnoteReference"/>
        </w:rPr>
        <w:footnoteReference w:id="10"/>
      </w:r>
      <w:r w:rsidR="007F2382">
        <w:t xml:space="preserve"> the court is not obliged to replace a lawyer,</w:t>
      </w:r>
      <w:r w:rsidR="00A33624">
        <w:t xml:space="preserve"> therefore</w:t>
      </w:r>
      <w:r w:rsidR="00806FE3">
        <w:t xml:space="preserve"> </w:t>
      </w:r>
      <w:r w:rsidR="007F2382">
        <w:t xml:space="preserve">the court had </w:t>
      </w:r>
      <w:r w:rsidR="0076707E">
        <w:t>the</w:t>
      </w:r>
      <w:r w:rsidR="007F2382">
        <w:t xml:space="preserve"> right to reject th</w:t>
      </w:r>
      <w:r w:rsidR="0076707E">
        <w:t xml:space="preserve">e author’s </w:t>
      </w:r>
      <w:r w:rsidR="007F2382">
        <w:t xml:space="preserve">request. </w:t>
      </w:r>
    </w:p>
    <w:p w:rsidR="00274BA8" w:rsidRDefault="004D1BFE">
      <w:pPr>
        <w:pStyle w:val="SingleTxtG"/>
      </w:pPr>
      <w:r>
        <w:t>4.5</w:t>
      </w:r>
      <w:r>
        <w:tab/>
        <w:t xml:space="preserve">Regarding the author’s claim that he did not have adequate time and facilities to prepare </w:t>
      </w:r>
      <w:r w:rsidR="00697484">
        <w:t xml:space="preserve">his defence, the State party submits that the author had more than enough time. On 25 January 2002, the author was officially informed of the end of the investigation and his right to study the materials of the criminal case, both alone and with his lawyer. According to the author’s statement, he preferred to prepare alone. </w:t>
      </w:r>
      <w:r w:rsidR="0076707E">
        <w:t>Based on</w:t>
      </w:r>
      <w:r w:rsidR="00697484">
        <w:t xml:space="preserve"> the entries in the criminal case</w:t>
      </w:r>
      <w:r w:rsidR="0076707E">
        <w:t xml:space="preserve"> file, in which the</w:t>
      </w:r>
      <w:r w:rsidR="00697484">
        <w:t xml:space="preserve"> times </w:t>
      </w:r>
      <w:r w:rsidR="0076707E">
        <w:t xml:space="preserve">that </w:t>
      </w:r>
      <w:r w:rsidR="00697484">
        <w:t>the author was studying the case</w:t>
      </w:r>
      <w:r w:rsidR="00FB7498">
        <w:t xml:space="preserve"> were recorded</w:t>
      </w:r>
      <w:r w:rsidR="00697484">
        <w:t xml:space="preserve">, </w:t>
      </w:r>
      <w:r w:rsidR="00FB7498">
        <w:t xml:space="preserve">it seems that </w:t>
      </w:r>
      <w:r w:rsidR="002241ED">
        <w:t xml:space="preserve">the author deliberately delayed </w:t>
      </w:r>
      <w:r w:rsidR="00FB7498">
        <w:t xml:space="preserve">his </w:t>
      </w:r>
      <w:r w:rsidR="002241ED">
        <w:t>study</w:t>
      </w:r>
      <w:r w:rsidR="00FB7498">
        <w:t xml:space="preserve"> of</w:t>
      </w:r>
      <w:r w:rsidR="002241ED">
        <w:t xml:space="preserve"> the c</w:t>
      </w:r>
      <w:r w:rsidR="00274BA8">
        <w:t xml:space="preserve">ase. For example, on 28 January 2002, </w:t>
      </w:r>
      <w:r w:rsidR="00FB7498">
        <w:t xml:space="preserve">the record indicates that </w:t>
      </w:r>
      <w:r w:rsidR="00274BA8">
        <w:t xml:space="preserve">the author reading the case </w:t>
      </w:r>
      <w:r w:rsidR="00FB7498">
        <w:t>from</w:t>
      </w:r>
      <w:r w:rsidR="00274BA8">
        <w:t xml:space="preserve"> 9 a.m. </w:t>
      </w:r>
      <w:r w:rsidR="00FB7498">
        <w:t>to</w:t>
      </w:r>
      <w:r w:rsidR="00274BA8">
        <w:t xml:space="preserve"> 12</w:t>
      </w:r>
      <w:r w:rsidR="00FB7498">
        <w:t>.</w:t>
      </w:r>
      <w:r w:rsidR="00274BA8">
        <w:t xml:space="preserve">20 </w:t>
      </w:r>
      <w:r w:rsidR="004E1A31">
        <w:t>p.m.</w:t>
      </w:r>
      <w:r w:rsidR="00274BA8">
        <w:t xml:space="preserve"> and </w:t>
      </w:r>
      <w:r w:rsidR="00FB7498">
        <w:t xml:space="preserve">again </w:t>
      </w:r>
      <w:r w:rsidR="00274BA8">
        <w:t xml:space="preserve">from </w:t>
      </w:r>
      <w:r w:rsidR="00FB7498">
        <w:t>2.</w:t>
      </w:r>
      <w:r w:rsidR="00274BA8">
        <w:t>35</w:t>
      </w:r>
      <w:r w:rsidR="00FB7498">
        <w:t xml:space="preserve"> p.m.</w:t>
      </w:r>
      <w:r w:rsidR="00274BA8">
        <w:t xml:space="preserve"> to </w:t>
      </w:r>
      <w:r w:rsidR="00FB7498">
        <w:t>4.</w:t>
      </w:r>
      <w:r w:rsidR="00274BA8">
        <w:t>25</w:t>
      </w:r>
      <w:r w:rsidR="00FB7498">
        <w:t xml:space="preserve"> p.m</w:t>
      </w:r>
      <w:r w:rsidR="00274BA8">
        <w:t xml:space="preserve">. During this time, </w:t>
      </w:r>
      <w:r w:rsidR="00FB7498">
        <w:t xml:space="preserve">he </w:t>
      </w:r>
      <w:r w:rsidR="00274BA8">
        <w:t>stud</w:t>
      </w:r>
      <w:r w:rsidR="00FB7498">
        <w:t>ied</w:t>
      </w:r>
      <w:r w:rsidR="00274BA8">
        <w:t xml:space="preserve"> only six pages in the morning and four pages in the afternoon</w:t>
      </w:r>
      <w:r w:rsidR="00E31EC5">
        <w:t>.</w:t>
      </w:r>
      <w:r w:rsidR="005C0B14">
        <w:rPr>
          <w:rStyle w:val="FootnoteReference"/>
        </w:rPr>
        <w:footnoteReference w:id="11"/>
      </w:r>
    </w:p>
    <w:p w:rsidR="000A34C2" w:rsidRDefault="00274BA8" w:rsidP="002D05CE">
      <w:pPr>
        <w:pStyle w:val="SingleTxtG"/>
      </w:pPr>
      <w:r>
        <w:t>4.6</w:t>
      </w:r>
      <w:r>
        <w:tab/>
        <w:t>On 11 and 18 February 2002, the investigator warned the author that th</w:t>
      </w:r>
      <w:r w:rsidR="002D05CE">
        <w:t>e</w:t>
      </w:r>
      <w:r>
        <w:t xml:space="preserve"> delaying</w:t>
      </w:r>
      <w:r w:rsidR="002D05CE">
        <w:t xml:space="preserve"> tactic</w:t>
      </w:r>
      <w:r>
        <w:t xml:space="preserve"> c</w:t>
      </w:r>
      <w:r w:rsidR="002D05CE">
        <w:t xml:space="preserve">ould </w:t>
      </w:r>
      <w:r>
        <w:t>not continue and that he w</w:t>
      </w:r>
      <w:r w:rsidR="002D05CE">
        <w:t>ould</w:t>
      </w:r>
      <w:r>
        <w:t xml:space="preserve"> be forced to set a deadline for the author</w:t>
      </w:r>
      <w:r w:rsidR="002D05CE">
        <w:t xml:space="preserve"> to complete his study of the case</w:t>
      </w:r>
      <w:r>
        <w:t xml:space="preserve">. </w:t>
      </w:r>
      <w:r w:rsidR="002D05CE">
        <w:t xml:space="preserve">However, </w:t>
      </w:r>
      <w:r>
        <w:t>the author’s behaviour did not change and the investigator issued a decision limit</w:t>
      </w:r>
      <w:r w:rsidR="002D05CE">
        <w:t>ing</w:t>
      </w:r>
      <w:r>
        <w:t xml:space="preserve"> the study of the case </w:t>
      </w:r>
      <w:r w:rsidR="002D05CE">
        <w:t>to</w:t>
      </w:r>
      <w:r>
        <w:t xml:space="preserve"> 12 March 2002. Despite this decision, the author did not change his pace, which</w:t>
      </w:r>
      <w:r w:rsidR="002D05CE">
        <w:t>, in the State party’s view,</w:t>
      </w:r>
      <w:r>
        <w:t xml:space="preserve"> show</w:t>
      </w:r>
      <w:r w:rsidR="002D05CE">
        <w:t>ed</w:t>
      </w:r>
      <w:r>
        <w:t xml:space="preserve"> that the author was “abusing his right”</w:t>
      </w:r>
      <w:r w:rsidR="00C00603">
        <w:t xml:space="preserve"> to study the case in preparation of his defence</w:t>
      </w:r>
      <w:r>
        <w:t xml:space="preserve">. </w:t>
      </w:r>
    </w:p>
    <w:p w:rsidR="007A5D5C" w:rsidRDefault="000A34C2" w:rsidP="00B317C0">
      <w:pPr>
        <w:pStyle w:val="SingleTxtG"/>
      </w:pPr>
      <w:r>
        <w:t>4.7</w:t>
      </w:r>
      <w:r>
        <w:tab/>
        <w:t>The author also asked to study the case materials after each day of hearings</w:t>
      </w:r>
      <w:r w:rsidR="002D05CE">
        <w:t xml:space="preserve"> during the trial</w:t>
      </w:r>
      <w:r>
        <w:t xml:space="preserve">. This request was denied, because the relevant legislation does not </w:t>
      </w:r>
      <w:r w:rsidR="002D05CE">
        <w:t>provide for</w:t>
      </w:r>
      <w:r>
        <w:t xml:space="preserve"> such a procedure</w:t>
      </w:r>
      <w:r w:rsidR="002D05CE">
        <w:t>. T</w:t>
      </w:r>
      <w:r>
        <w:t xml:space="preserve">he author </w:t>
      </w:r>
      <w:r w:rsidR="002D05CE">
        <w:t xml:space="preserve">was told that he </w:t>
      </w:r>
      <w:r>
        <w:t xml:space="preserve">would have </w:t>
      </w:r>
      <w:r w:rsidR="002D05CE">
        <w:t xml:space="preserve">the </w:t>
      </w:r>
      <w:r>
        <w:t xml:space="preserve">opportunity to study the </w:t>
      </w:r>
      <w:r w:rsidR="00FF3899">
        <w:t xml:space="preserve">trial transcript </w:t>
      </w:r>
      <w:r>
        <w:t xml:space="preserve">after the trial was over. </w:t>
      </w:r>
      <w:r w:rsidR="009B2E14">
        <w:t xml:space="preserve">Also, according to article 286 of the Criminal Procedure Code, if </w:t>
      </w:r>
      <w:r w:rsidR="002D05CE">
        <w:t>a</w:t>
      </w:r>
      <w:r w:rsidR="009B2E14">
        <w:t xml:space="preserve"> witness is absent during the trial and his presence cannot be secured, his pre</w:t>
      </w:r>
      <w:r w:rsidR="0050334D">
        <w:t xml:space="preserve">trial testimony can be read </w:t>
      </w:r>
      <w:r w:rsidR="002D05CE">
        <w:t>on</w:t>
      </w:r>
      <w:r w:rsidR="0050334D">
        <w:t xml:space="preserve"> record</w:t>
      </w:r>
      <w:r w:rsidR="009B2E14">
        <w:t xml:space="preserve"> during the trial. Since the witness, C.H.A., was absent </w:t>
      </w:r>
      <w:r w:rsidR="002D05CE">
        <w:t xml:space="preserve">because </w:t>
      </w:r>
      <w:r w:rsidR="0050334D">
        <w:t xml:space="preserve">he was undergoing </w:t>
      </w:r>
      <w:r w:rsidR="009B2E14">
        <w:t xml:space="preserve">medical </w:t>
      </w:r>
      <w:r w:rsidR="0050334D">
        <w:t>treatment</w:t>
      </w:r>
      <w:r w:rsidR="009B2E14">
        <w:t xml:space="preserve">, the court decided to read his testimony. </w:t>
      </w:r>
    </w:p>
    <w:p w:rsidR="007A5D5C" w:rsidRDefault="007A5D5C" w:rsidP="00B317C0">
      <w:pPr>
        <w:pStyle w:val="SingleTxtG"/>
      </w:pPr>
      <w:r>
        <w:t>4.8</w:t>
      </w:r>
      <w:r>
        <w:tab/>
        <w:t>Regarding the closed nature of the trial, the State party submits that according to article 15</w:t>
      </w:r>
      <w:r w:rsidR="00B317C0">
        <w:t xml:space="preserve">, paragraph </w:t>
      </w:r>
      <w:r>
        <w:t>1</w:t>
      </w:r>
      <w:r w:rsidR="00B317C0">
        <w:t>,</w:t>
      </w:r>
      <w:r>
        <w:t xml:space="preserve"> of the Criminal Procedure Code, the court can decide to hold closed hearing when the case involves intimate details of </w:t>
      </w:r>
      <w:r w:rsidR="002D05CE">
        <w:t xml:space="preserve">the </w:t>
      </w:r>
      <w:r>
        <w:t xml:space="preserve">life of the persons participating in the </w:t>
      </w:r>
      <w:r w:rsidR="00EF1DBF">
        <w:t>trial</w:t>
      </w:r>
      <w:r w:rsidR="00E31EC5">
        <w:t>.</w:t>
      </w:r>
      <w:r w:rsidR="0050334D">
        <w:rPr>
          <w:rStyle w:val="FootnoteReference"/>
        </w:rPr>
        <w:footnoteReference w:id="12"/>
      </w:r>
      <w:r>
        <w:t xml:space="preserve"> </w:t>
      </w:r>
    </w:p>
    <w:p w:rsidR="007A5D5C" w:rsidRDefault="007A5D5C" w:rsidP="00EF1DBF">
      <w:pPr>
        <w:pStyle w:val="SingleTxtG"/>
      </w:pPr>
      <w:r>
        <w:t>4.9</w:t>
      </w:r>
      <w:r>
        <w:tab/>
        <w:t xml:space="preserve">Regarding the author’s minor children, the State party submits that after the author’s divorce, </w:t>
      </w:r>
      <w:r w:rsidR="004623D9">
        <w:t>two children</w:t>
      </w:r>
      <w:r w:rsidR="00EF1DBF">
        <w:t xml:space="preserve"> of the couple’s children</w:t>
      </w:r>
      <w:r w:rsidR="004623D9">
        <w:t xml:space="preserve"> resided with their</w:t>
      </w:r>
      <w:r>
        <w:t xml:space="preserve"> father (the author) and the third child resided with the mother. </w:t>
      </w:r>
      <w:r w:rsidR="0050334D">
        <w:t>The court considered that s</w:t>
      </w:r>
      <w:r>
        <w:t xml:space="preserve">ince the parental rights </w:t>
      </w:r>
      <w:r w:rsidR="00EF1DBF">
        <w:t xml:space="preserve">of </w:t>
      </w:r>
      <w:r w:rsidR="00EF1DBF">
        <w:lastRenderedPageBreak/>
        <w:t xml:space="preserve">the children’s mother </w:t>
      </w:r>
      <w:r>
        <w:t>ha</w:t>
      </w:r>
      <w:r w:rsidR="00EF1DBF">
        <w:t>d</w:t>
      </w:r>
      <w:r>
        <w:t xml:space="preserve"> not been terminated, </w:t>
      </w:r>
      <w:r w:rsidR="00EF1DBF">
        <w:t>it</w:t>
      </w:r>
      <w:r>
        <w:t xml:space="preserve"> did not find it necessary to issue a decision in this case. </w:t>
      </w:r>
    </w:p>
    <w:p w:rsidR="00274BA8" w:rsidRDefault="007A5D5C" w:rsidP="00EF1DBF">
      <w:pPr>
        <w:pStyle w:val="SingleTxtG"/>
      </w:pPr>
      <w:r>
        <w:t>4.10</w:t>
      </w:r>
      <w:r>
        <w:tab/>
        <w:t xml:space="preserve">The author </w:t>
      </w:r>
      <w:r w:rsidR="00EF1DBF">
        <w:t>does not</w:t>
      </w:r>
      <w:r>
        <w:t xml:space="preserve"> substantiat</w:t>
      </w:r>
      <w:r w:rsidR="00EF1DBF">
        <w:t>e</w:t>
      </w:r>
      <w:r>
        <w:t xml:space="preserve"> his claims under article</w:t>
      </w:r>
      <w:r w:rsidR="00EF1DBF">
        <w:t>s</w:t>
      </w:r>
      <w:r>
        <w:t xml:space="preserve"> 14 (3) (a)</w:t>
      </w:r>
      <w:r w:rsidR="00EF1DBF">
        <w:t>;</w:t>
      </w:r>
      <w:r>
        <w:t xml:space="preserve"> 9 (2) and (4) and 10 (1). The State party acknowledges that the</w:t>
      </w:r>
      <w:r w:rsidR="00EF1DBF">
        <w:t xml:space="preserve"> author has exhausted all </w:t>
      </w:r>
      <w:r>
        <w:t>domestic remedies.</w:t>
      </w:r>
    </w:p>
    <w:p w:rsidR="00770F8E" w:rsidRPr="00770F8E" w:rsidRDefault="004B44C6" w:rsidP="00CD729A">
      <w:pPr>
        <w:pStyle w:val="H23G"/>
      </w:pPr>
      <w:r w:rsidRPr="00B12E1C">
        <w:tab/>
      </w:r>
      <w:r w:rsidRPr="00B12E1C">
        <w:tab/>
      </w:r>
      <w:r w:rsidRPr="00A65F92">
        <w:t>Author’s comments on the State party’s</w:t>
      </w:r>
      <w:r w:rsidRPr="00B12E1C">
        <w:t xml:space="preserve"> observations</w:t>
      </w:r>
    </w:p>
    <w:p w:rsidR="00B727CA" w:rsidRDefault="004B44C6" w:rsidP="00A65F92">
      <w:pPr>
        <w:pStyle w:val="SingleTxtG"/>
      </w:pPr>
      <w:r w:rsidRPr="00B12E1C">
        <w:t>5.1</w:t>
      </w:r>
      <w:r w:rsidRPr="00B12E1C">
        <w:tab/>
      </w:r>
      <w:r w:rsidR="00A65F92">
        <w:t>O</w:t>
      </w:r>
      <w:r w:rsidR="00AA1F12">
        <w:t>n 21 August 2012</w:t>
      </w:r>
      <w:r w:rsidR="00A65F92">
        <w:t>,</w:t>
      </w:r>
      <w:r w:rsidR="00980093">
        <w:rPr>
          <w:rStyle w:val="FootnoteReference"/>
          <w:bCs/>
        </w:rPr>
        <w:footnoteReference w:id="13"/>
      </w:r>
      <w:r w:rsidR="00AA1F12">
        <w:t xml:space="preserve"> </w:t>
      </w:r>
      <w:r w:rsidR="00A65F92">
        <w:t xml:space="preserve">the author </w:t>
      </w:r>
      <w:r w:rsidR="00AA1F12">
        <w:t>submit</w:t>
      </w:r>
      <w:r w:rsidR="00A65F92">
        <w:t>ted</w:t>
      </w:r>
      <w:r w:rsidR="00AA1F12">
        <w:t xml:space="preserve"> that the State party </w:t>
      </w:r>
      <w:r w:rsidR="00AA1F12" w:rsidRPr="00CD729A">
        <w:t>interrogated</w:t>
      </w:r>
      <w:r w:rsidR="00AA1F12">
        <w:t xml:space="preserve"> his two children (</w:t>
      </w:r>
      <w:r w:rsidR="00A65F92">
        <w:t xml:space="preserve">aged </w:t>
      </w:r>
      <w:r w:rsidR="00AA1F12">
        <w:t>12 and 15 years at the time)</w:t>
      </w:r>
      <w:r w:rsidR="00A65F92">
        <w:t xml:space="preserve"> and </w:t>
      </w:r>
      <w:r w:rsidR="00AA1F12">
        <w:t xml:space="preserve">“threatened them with </w:t>
      </w:r>
      <w:r w:rsidR="00A07A6A">
        <w:t>reprisals</w:t>
      </w:r>
      <w:r w:rsidR="00AA1F12">
        <w:t xml:space="preserve">” </w:t>
      </w:r>
      <w:r w:rsidR="00A65F92">
        <w:t>if they did not</w:t>
      </w:r>
      <w:r w:rsidR="00AA1F12">
        <w:t xml:space="preserve"> testify</w:t>
      </w:r>
      <w:r w:rsidR="00A07A6A">
        <w:t xml:space="preserve"> against</w:t>
      </w:r>
      <w:r w:rsidR="00AA1F12">
        <w:t xml:space="preserve"> </w:t>
      </w:r>
      <w:r w:rsidR="00A07A6A">
        <w:t>their father</w:t>
      </w:r>
      <w:r w:rsidR="00AA1F12">
        <w:t xml:space="preserve">. </w:t>
      </w:r>
      <w:r w:rsidR="00A65F92">
        <w:t xml:space="preserve">The lawyer, </w:t>
      </w:r>
      <w:r w:rsidR="00980093">
        <w:t>Mr. B</w:t>
      </w:r>
      <w:r w:rsidR="00A65F92">
        <w:t>.</w:t>
      </w:r>
      <w:r w:rsidR="00980093">
        <w:t xml:space="preserve">, was present during some of the interrogations although he did not represent the author’s children. </w:t>
      </w:r>
      <w:r w:rsidR="00A65F92">
        <w:t>I</w:t>
      </w:r>
      <w:r w:rsidR="00980093">
        <w:t xml:space="preserve">nstead of helping the children, </w:t>
      </w:r>
      <w:r w:rsidR="00A65F92">
        <w:t xml:space="preserve">however, the lawyer </w:t>
      </w:r>
      <w:r w:rsidR="00980093">
        <w:t xml:space="preserve">urged them to change their initial testimony and tell the investigators that their father was guilty. </w:t>
      </w:r>
    </w:p>
    <w:p w:rsidR="00AA1F12" w:rsidRDefault="00AA1F12" w:rsidP="002C600B">
      <w:pPr>
        <w:pStyle w:val="SingleTxtG"/>
      </w:pPr>
      <w:r>
        <w:t>5.2</w:t>
      </w:r>
      <w:r>
        <w:tab/>
        <w:t xml:space="preserve">Regarding the lawyer, Mr. </w:t>
      </w:r>
      <w:r w:rsidR="00941CE3">
        <w:t>B.</w:t>
      </w:r>
      <w:r>
        <w:t>, the author submits that</w:t>
      </w:r>
      <w:r w:rsidR="002C600B">
        <w:t>,</w:t>
      </w:r>
      <w:r>
        <w:t xml:space="preserve"> throughout the process, the lawyer acted against his interests, because he was</w:t>
      </w:r>
      <w:r w:rsidR="0050334D">
        <w:t xml:space="preserve"> initially</w:t>
      </w:r>
      <w:r>
        <w:t xml:space="preserve"> hired by the family of </w:t>
      </w:r>
      <w:r w:rsidR="002C600B">
        <w:t xml:space="preserve">P., </w:t>
      </w:r>
      <w:r>
        <w:t>a co-defendant</w:t>
      </w:r>
      <w:r w:rsidR="002C600B">
        <w:t xml:space="preserve"> in the case</w:t>
      </w:r>
      <w:r>
        <w:t xml:space="preserve">. </w:t>
      </w:r>
      <w:r w:rsidR="001D38A8">
        <w:t xml:space="preserve">During the court hearings, the author asked the court for a different attorney. </w:t>
      </w:r>
      <w:r w:rsidR="002C600B">
        <w:t>Since</w:t>
      </w:r>
      <w:r w:rsidR="001D38A8">
        <w:t xml:space="preserve"> he did not </w:t>
      </w:r>
      <w:r w:rsidR="002C600B">
        <w:t>have the</w:t>
      </w:r>
      <w:r w:rsidR="001D38A8">
        <w:t xml:space="preserve"> name </w:t>
      </w:r>
      <w:r w:rsidR="002C600B">
        <w:t>of a</w:t>
      </w:r>
      <w:r w:rsidR="001D38A8">
        <w:t xml:space="preserve"> new lawyer, he asked the court to appoint any other counsel</w:t>
      </w:r>
      <w:r w:rsidR="0050334D">
        <w:t xml:space="preserve"> or a public defender</w:t>
      </w:r>
      <w:r w:rsidR="001D38A8">
        <w:t xml:space="preserve">. </w:t>
      </w:r>
    </w:p>
    <w:p w:rsidR="001D38A8" w:rsidRDefault="001D38A8" w:rsidP="00B317C0">
      <w:pPr>
        <w:pStyle w:val="SingleTxtG"/>
      </w:pPr>
      <w:r>
        <w:t>5.3</w:t>
      </w:r>
      <w:r>
        <w:tab/>
        <w:t xml:space="preserve">Regarding his right to study the case </w:t>
      </w:r>
      <w:r w:rsidR="002C600B">
        <w:t>to</w:t>
      </w:r>
      <w:r>
        <w:t xml:space="preserve"> prepar</w:t>
      </w:r>
      <w:r w:rsidR="002C600B">
        <w:t>e</w:t>
      </w:r>
      <w:r>
        <w:t xml:space="preserve"> his defence, the author submits that his requests to make a copy of some case materials were rejected. The investigators locked </w:t>
      </w:r>
      <w:r w:rsidR="00CA24EC">
        <w:t>him</w:t>
      </w:r>
      <w:r>
        <w:t xml:space="preserve"> in a small room with</w:t>
      </w:r>
      <w:r w:rsidR="00CA24EC">
        <w:t>out</w:t>
      </w:r>
      <w:r>
        <w:t xml:space="preserve"> adequate facilities to study</w:t>
      </w:r>
      <w:r w:rsidR="00CA24EC">
        <w:t xml:space="preserve"> the case</w:t>
      </w:r>
      <w:r w:rsidR="00E31EC5">
        <w:t>.</w:t>
      </w:r>
      <w:r>
        <w:rPr>
          <w:rStyle w:val="FootnoteReference"/>
          <w:bCs/>
        </w:rPr>
        <w:footnoteReference w:id="14"/>
      </w:r>
      <w:r>
        <w:t xml:space="preserve"> </w:t>
      </w:r>
      <w:r w:rsidR="00CA24EC">
        <w:t>Also, a</w:t>
      </w:r>
      <w:r w:rsidR="00E43D95">
        <w:t>s a punishment</w:t>
      </w:r>
      <w:r w:rsidR="00E31EC5">
        <w:t>,</w:t>
      </w:r>
      <w:r w:rsidR="00E43D95">
        <w:rPr>
          <w:rStyle w:val="FootnoteReference"/>
          <w:bCs/>
        </w:rPr>
        <w:footnoteReference w:id="15"/>
      </w:r>
      <w:r w:rsidR="00E43D95">
        <w:t xml:space="preserve"> </w:t>
      </w:r>
      <w:r w:rsidR="00CA24EC">
        <w:t>he</w:t>
      </w:r>
      <w:r w:rsidR="00E43D95">
        <w:t xml:space="preserve"> was moved to a solitary confinement </w:t>
      </w:r>
      <w:r w:rsidR="00DC3693">
        <w:t>c</w:t>
      </w:r>
      <w:r w:rsidR="00E43D95">
        <w:t xml:space="preserve">ell, which further restricted his ability to study the criminal case materials. </w:t>
      </w:r>
      <w:r w:rsidR="00C00603">
        <w:t>Article 264 of the Criminal Procedure Code, to which the State party refer</w:t>
      </w:r>
      <w:r w:rsidR="00CA24EC">
        <w:t>red</w:t>
      </w:r>
      <w:r w:rsidR="00C00603">
        <w:t xml:space="preserve">, </w:t>
      </w:r>
      <w:r w:rsidR="00CA24EC">
        <w:t>does not provide for</w:t>
      </w:r>
      <w:r w:rsidR="00C00603">
        <w:t xml:space="preserve"> restrictions on the </w:t>
      </w:r>
      <w:r w:rsidR="00CA24EC">
        <w:t xml:space="preserve">amount of </w:t>
      </w:r>
      <w:r w:rsidR="00C00603">
        <w:t xml:space="preserve">time </w:t>
      </w:r>
      <w:r w:rsidR="00CA24EC">
        <w:t xml:space="preserve">to </w:t>
      </w:r>
      <w:r w:rsidR="00C00603">
        <w:t>study</w:t>
      </w:r>
      <w:r w:rsidR="00CA24EC">
        <w:t xml:space="preserve"> </w:t>
      </w:r>
      <w:r w:rsidR="00C00603">
        <w:t xml:space="preserve">case materials. </w:t>
      </w:r>
    </w:p>
    <w:p w:rsidR="00C43FB4" w:rsidRDefault="00F25DF2" w:rsidP="00CA24EC">
      <w:pPr>
        <w:pStyle w:val="SingleTxtG"/>
      </w:pPr>
      <w:r>
        <w:t>5.4</w:t>
      </w:r>
      <w:r>
        <w:tab/>
      </w:r>
      <w:r w:rsidR="00C00603">
        <w:t>The author further submits that the court rejected his requests for the witness</w:t>
      </w:r>
      <w:r w:rsidR="0050334D">
        <w:t xml:space="preserve">, </w:t>
      </w:r>
      <w:r w:rsidR="00C00603">
        <w:t xml:space="preserve">C.H.A. to be questioned in court. </w:t>
      </w:r>
      <w:r w:rsidR="00CA24EC">
        <w:t>It</w:t>
      </w:r>
      <w:r w:rsidR="00C00603">
        <w:t xml:space="preserve"> also rejected his request to summon other witnesses</w:t>
      </w:r>
      <w:r w:rsidR="00CA24EC">
        <w:t>,</w:t>
      </w:r>
      <w:r w:rsidR="00C00603">
        <w:t xml:space="preserve">  without </w:t>
      </w:r>
      <w:r w:rsidR="00CA24EC">
        <w:t>any</w:t>
      </w:r>
      <w:r w:rsidR="00C00603">
        <w:t xml:space="preserve"> explanations. </w:t>
      </w:r>
      <w:r w:rsidR="00CA24EC">
        <w:t>He</w:t>
      </w:r>
      <w:r w:rsidR="00980093">
        <w:t xml:space="preserve"> submits that he insisted </w:t>
      </w:r>
      <w:r w:rsidR="00CA24EC">
        <w:t xml:space="preserve">on </w:t>
      </w:r>
      <w:r w:rsidR="00980093">
        <w:t>question</w:t>
      </w:r>
      <w:r w:rsidR="00CA24EC">
        <w:t>ing</w:t>
      </w:r>
      <w:r w:rsidR="00980093">
        <w:t xml:space="preserve"> C.H.A. since there were many inconsistencies in his written testimony. </w:t>
      </w:r>
    </w:p>
    <w:p w:rsidR="00E3597E" w:rsidRPr="00E3597E" w:rsidRDefault="00CD729A" w:rsidP="00CA24EC">
      <w:pPr>
        <w:pStyle w:val="H23G"/>
      </w:pPr>
      <w:r>
        <w:tab/>
      </w:r>
      <w:r>
        <w:tab/>
      </w:r>
      <w:r w:rsidR="00CA24EC">
        <w:t>State party’s a</w:t>
      </w:r>
      <w:r w:rsidR="00C43FB4" w:rsidRPr="00C43FB4">
        <w:t>dditional submissions</w:t>
      </w:r>
    </w:p>
    <w:p w:rsidR="00E3597E" w:rsidRDefault="00384E9E" w:rsidP="00CA24EC">
      <w:pPr>
        <w:pStyle w:val="SingleTxtG"/>
      </w:pPr>
      <w:r>
        <w:t>6.1</w:t>
      </w:r>
      <w:r>
        <w:tab/>
        <w:t>On 28 March 2013</w:t>
      </w:r>
      <w:r w:rsidR="00CA24EC">
        <w:t>,</w:t>
      </w:r>
      <w:r w:rsidR="00E3597E">
        <w:t xml:space="preserve"> 9 April 2014</w:t>
      </w:r>
      <w:r w:rsidR="00CA24EC">
        <w:t xml:space="preserve"> and</w:t>
      </w:r>
      <w:r w:rsidR="00E3597E">
        <w:t xml:space="preserve"> 16 February 2015</w:t>
      </w:r>
      <w:r>
        <w:t>, the State party reiterate</w:t>
      </w:r>
      <w:r w:rsidR="00CA24EC">
        <w:t>d</w:t>
      </w:r>
      <w:r>
        <w:t xml:space="preserve"> its position that the author’s claims </w:t>
      </w:r>
      <w:r w:rsidR="00CA24EC">
        <w:t>we</w:t>
      </w:r>
      <w:r>
        <w:t xml:space="preserve">re not based on any evidence. </w:t>
      </w:r>
      <w:r w:rsidR="001E5E63">
        <w:t xml:space="preserve">Regarding the treatment of his children, for example, the State party submits that they were not harassed. </w:t>
      </w:r>
      <w:r w:rsidR="002403F5">
        <w:t>Their testimony</w:t>
      </w:r>
      <w:r w:rsidR="003A2FFD">
        <w:t xml:space="preserve"> during the pretrial investigation</w:t>
      </w:r>
      <w:r w:rsidR="002403F5">
        <w:t xml:space="preserve"> was taken</w:t>
      </w:r>
      <w:r w:rsidR="00CA24EC">
        <w:t>, but</w:t>
      </w:r>
      <w:r w:rsidR="002403F5">
        <w:t xml:space="preserve"> they refused to sign it. The author’s sons </w:t>
      </w:r>
      <w:r w:rsidR="008464CA">
        <w:t xml:space="preserve">were in </w:t>
      </w:r>
      <w:r w:rsidR="00CA24EC">
        <w:t xml:space="preserve">the </w:t>
      </w:r>
      <w:r w:rsidR="008464CA">
        <w:t xml:space="preserve">police station only from 6 p.m. on 18 July 2001 and were sent to foster care </w:t>
      </w:r>
      <w:r w:rsidR="00CA24EC">
        <w:t xml:space="preserve">at 1 a.m. </w:t>
      </w:r>
      <w:r w:rsidR="008464CA">
        <w:t xml:space="preserve">on 19 July 2001. </w:t>
      </w:r>
    </w:p>
    <w:p w:rsidR="007C6F85" w:rsidRDefault="008464CA">
      <w:pPr>
        <w:pStyle w:val="SingleTxtG"/>
      </w:pPr>
      <w:r>
        <w:t>6.2</w:t>
      </w:r>
      <w:r>
        <w:tab/>
        <w:t xml:space="preserve">The author’s son, D.U.M, was questioned on 27 July 2001 and  7 December 2001 in the presence of Mr. </w:t>
      </w:r>
      <w:r w:rsidR="00941CE3">
        <w:t>B</w:t>
      </w:r>
      <w:r>
        <w:t xml:space="preserve">. </w:t>
      </w:r>
      <w:r w:rsidR="00CA24EC">
        <w:t>He</w:t>
      </w:r>
      <w:r>
        <w:t xml:space="preserve"> refused to answer most of the questions</w:t>
      </w:r>
      <w:r w:rsidR="00CA24EC">
        <w:t>, as provided for</w:t>
      </w:r>
      <w:r>
        <w:t xml:space="preserve"> under </w:t>
      </w:r>
      <w:r>
        <w:lastRenderedPageBreak/>
        <w:t>article 51 of the Constitution of the Russian Federation</w:t>
      </w:r>
      <w:r>
        <w:rPr>
          <w:rStyle w:val="FootnoteReference"/>
        </w:rPr>
        <w:footnoteReference w:id="16"/>
      </w:r>
      <w:r>
        <w:t xml:space="preserve"> and only </w:t>
      </w:r>
      <w:r w:rsidR="00CA24EC">
        <w:t>talked</w:t>
      </w:r>
      <w:r>
        <w:t xml:space="preserve"> about his parents’ relationships. </w:t>
      </w:r>
    </w:p>
    <w:p w:rsidR="00E3597E" w:rsidRDefault="00723DC0">
      <w:pPr>
        <w:pStyle w:val="SingleTxtG"/>
      </w:pPr>
      <w:r>
        <w:t>6.3</w:t>
      </w:r>
      <w:r w:rsidR="007C6F85">
        <w:tab/>
        <w:t xml:space="preserve">The author’s younger son, A.U.M., was questioned </w:t>
      </w:r>
      <w:r w:rsidR="00CA24EC">
        <w:t xml:space="preserve">on </w:t>
      </w:r>
      <w:r w:rsidR="00E2342D">
        <w:t xml:space="preserve">7 December 2001, also in the presence of Mr. </w:t>
      </w:r>
      <w:r w:rsidR="00941CE3">
        <w:t>B.</w:t>
      </w:r>
      <w:r w:rsidR="00E2342D">
        <w:t xml:space="preserve">, and one of </w:t>
      </w:r>
      <w:r w:rsidR="00CA24EC">
        <w:t>his</w:t>
      </w:r>
      <w:r w:rsidR="00E2342D">
        <w:t xml:space="preserve"> teachers, as prescribed by law. </w:t>
      </w:r>
      <w:r w:rsidR="00CA24EC">
        <w:t>He</w:t>
      </w:r>
      <w:r w:rsidR="008D4A1E">
        <w:t xml:space="preserve"> also refused to provide any information </w:t>
      </w:r>
      <w:r w:rsidR="00CA24EC">
        <w:t>about</w:t>
      </w:r>
      <w:r w:rsidR="008D4A1E">
        <w:t xml:space="preserve"> his father’s alleged criminal activities</w:t>
      </w:r>
      <w:r w:rsidR="00CA24EC">
        <w:t xml:space="preserve"> and availed himself of</w:t>
      </w:r>
      <w:r w:rsidR="008D4A1E">
        <w:t xml:space="preserve"> the provisions of article 51 of the Constitution.</w:t>
      </w:r>
      <w:r>
        <w:t xml:space="preserve"> It </w:t>
      </w:r>
      <w:r w:rsidR="00775E6E">
        <w:t>wa</w:t>
      </w:r>
      <w:r>
        <w:t xml:space="preserve">s obvious from the records of these conversations that both </w:t>
      </w:r>
      <w:r w:rsidR="00775E6E">
        <w:t xml:space="preserve">boys </w:t>
      </w:r>
      <w:r>
        <w:t xml:space="preserve">understood the nature of </w:t>
      </w:r>
      <w:r w:rsidR="00775E6E">
        <w:t xml:space="preserve">the </w:t>
      </w:r>
      <w:r>
        <w:t xml:space="preserve">questioning. </w:t>
      </w:r>
      <w:r w:rsidR="00775E6E">
        <w:t xml:space="preserve">Neither D.U.M. or A.U.M. or the lawyer </w:t>
      </w:r>
      <w:r>
        <w:t>complain</w:t>
      </w:r>
      <w:r w:rsidR="00775E6E">
        <w:t>ed</w:t>
      </w:r>
      <w:r>
        <w:t xml:space="preserve"> about threats or intimidation. During the court hearings, D.U.M. testified that he</w:t>
      </w:r>
      <w:r w:rsidR="00142AB4">
        <w:t xml:space="preserve"> was</w:t>
      </w:r>
      <w:r>
        <w:t xml:space="preserve"> “pressured to tell the truth”, </w:t>
      </w:r>
      <w:r w:rsidR="00775E6E">
        <w:t xml:space="preserve">but </w:t>
      </w:r>
      <w:r>
        <w:t xml:space="preserve">he did not testify that he was tortured. </w:t>
      </w:r>
    </w:p>
    <w:p w:rsidR="00C43FB4" w:rsidRDefault="00E3597E" w:rsidP="00775E6E">
      <w:pPr>
        <w:pStyle w:val="SingleTxtG"/>
      </w:pPr>
      <w:r>
        <w:t>6.</w:t>
      </w:r>
      <w:r w:rsidR="001D29D3">
        <w:t>4</w:t>
      </w:r>
      <w:r>
        <w:tab/>
      </w:r>
      <w:r w:rsidR="00775E6E">
        <w:t>A</w:t>
      </w:r>
      <w:r w:rsidR="001E5E63">
        <w:t xml:space="preserve">fter the completion of the trial, </w:t>
      </w:r>
      <w:r w:rsidR="00775E6E">
        <w:t xml:space="preserve">a copy of the criminal case was sent to </w:t>
      </w:r>
      <w:r w:rsidR="001E5E63">
        <w:t>the author</w:t>
      </w:r>
      <w:r w:rsidR="00775E6E">
        <w:t>, as</w:t>
      </w:r>
      <w:r w:rsidR="001E5E63">
        <w:t xml:space="preserve"> confirmed by </w:t>
      </w:r>
      <w:r w:rsidR="00775E6E">
        <w:t>his</w:t>
      </w:r>
      <w:r w:rsidR="001E5E63">
        <w:t xml:space="preserve"> signature. In addition, he was given time to comment </w:t>
      </w:r>
      <w:r w:rsidR="00775E6E">
        <w:t>on</w:t>
      </w:r>
      <w:r w:rsidR="001E5E63">
        <w:t xml:space="preserve"> the </w:t>
      </w:r>
      <w:r w:rsidR="00BC0859">
        <w:t>transcripts</w:t>
      </w:r>
      <w:r w:rsidR="001E5E63">
        <w:t xml:space="preserve"> of the court hearings.</w:t>
      </w:r>
      <w:r w:rsidR="00806FE3">
        <w:t xml:space="preserve"> </w:t>
      </w:r>
      <w:r w:rsidR="001E5E63">
        <w:t xml:space="preserve">Regarding the materials of the criminal case against the author, he had </w:t>
      </w:r>
      <w:r w:rsidR="00775E6E">
        <w:t>the</w:t>
      </w:r>
      <w:r w:rsidR="001E5E63">
        <w:t xml:space="preserve"> right to study these materials and to make notes. But the legislation does not</w:t>
      </w:r>
      <w:r w:rsidR="00775E6E">
        <w:t xml:space="preserve"> provide for</w:t>
      </w:r>
      <w:r w:rsidR="001E5E63">
        <w:t xml:space="preserve"> making </w:t>
      </w:r>
      <w:r w:rsidR="00142AB4">
        <w:t>photo</w:t>
      </w:r>
      <w:r w:rsidR="001E5E63">
        <w:t xml:space="preserve">copies for the author. </w:t>
      </w:r>
    </w:p>
    <w:p w:rsidR="00E3597E" w:rsidRDefault="002403F5">
      <w:pPr>
        <w:pStyle w:val="SingleTxtG"/>
      </w:pPr>
      <w:r>
        <w:t>6.</w:t>
      </w:r>
      <w:r w:rsidR="001D29D3">
        <w:t>5</w:t>
      </w:r>
      <w:r>
        <w:tab/>
      </w:r>
      <w:r w:rsidRPr="00DF6CC7">
        <w:t>The State party also submits</w:t>
      </w:r>
      <w:r>
        <w:t xml:space="preserve"> that the author’s contentions regarding the violation of article 14 (1) are baseless. </w:t>
      </w:r>
      <w:r w:rsidR="00DF6CC7">
        <w:t xml:space="preserve">It stated that </w:t>
      </w:r>
      <w:r>
        <w:t>the author complain</w:t>
      </w:r>
      <w:r w:rsidR="00DF6CC7">
        <w:t>ed</w:t>
      </w:r>
      <w:r>
        <w:t xml:space="preserve"> about the fact that court consisted of one professional judge and two lay assessors, instead of three professional judges. The State party submits that </w:t>
      </w:r>
      <w:r w:rsidR="00DF6CC7">
        <w:t xml:space="preserve">the </w:t>
      </w:r>
      <w:r w:rsidR="00302B6D">
        <w:t>provisions of</w:t>
      </w:r>
      <w:r>
        <w:t xml:space="preserve"> article 15, paragraph 2</w:t>
      </w:r>
      <w:r w:rsidR="00DF6CC7">
        <w:t>,</w:t>
      </w:r>
      <w:r>
        <w:t xml:space="preserve"> of the Criminal Procedure Code requir</w:t>
      </w:r>
      <w:r w:rsidR="00B317C0">
        <w:t>ing</w:t>
      </w:r>
      <w:r>
        <w:t xml:space="preserve"> three professional judges to consider serious cases was not in force at the </w:t>
      </w:r>
      <w:r w:rsidR="00B317C0">
        <w:t>time</w:t>
      </w:r>
      <w:r>
        <w:t xml:space="preserve">. </w:t>
      </w:r>
    </w:p>
    <w:p w:rsidR="001D29D3" w:rsidRDefault="001D29D3">
      <w:pPr>
        <w:pStyle w:val="SingleTxtG"/>
      </w:pPr>
      <w:r>
        <w:t>6.6</w:t>
      </w:r>
      <w:r>
        <w:tab/>
        <w:t xml:space="preserve">Regarding the witnesses, the State party submits that </w:t>
      </w:r>
      <w:r w:rsidR="00B317C0">
        <w:t>in</w:t>
      </w:r>
      <w:r>
        <w:t xml:space="preserve"> considering the author’s </w:t>
      </w:r>
      <w:r w:rsidR="00B317C0">
        <w:t>request</w:t>
      </w:r>
      <w:r>
        <w:t xml:space="preserve"> to call additional witnesses, the court follow</w:t>
      </w:r>
      <w:r w:rsidR="00B317C0">
        <w:t>ed</w:t>
      </w:r>
      <w:r>
        <w:t xml:space="preserve"> the provisions of article 276 of the Criminal Procedure Code. The court consider</w:t>
      </w:r>
      <w:r w:rsidR="00B317C0">
        <w:t>ed</w:t>
      </w:r>
      <w:r>
        <w:t xml:space="preserve"> whether the witnesses</w:t>
      </w:r>
      <w:r w:rsidR="00B317C0">
        <w:t xml:space="preserve"> requested</w:t>
      </w:r>
      <w:r>
        <w:t xml:space="preserve"> ha</w:t>
      </w:r>
      <w:r w:rsidR="00B317C0">
        <w:t>d</w:t>
      </w:r>
      <w:r>
        <w:t xml:space="preserve"> information that </w:t>
      </w:r>
      <w:r w:rsidR="00B317C0">
        <w:t>wa</w:t>
      </w:r>
      <w:r>
        <w:t xml:space="preserve">s relevant to the case. </w:t>
      </w:r>
    </w:p>
    <w:p w:rsidR="00302B6D" w:rsidRDefault="00302B6D">
      <w:pPr>
        <w:pStyle w:val="SingleTxtG"/>
      </w:pPr>
      <w:r>
        <w:t>6.7</w:t>
      </w:r>
      <w:r>
        <w:tab/>
        <w:t>Regarding</w:t>
      </w:r>
      <w:r w:rsidR="00142AB4">
        <w:t xml:space="preserve"> the author’s right of</w:t>
      </w:r>
      <w:r>
        <w:t xml:space="preserve"> access to counsel and </w:t>
      </w:r>
      <w:r w:rsidR="00142AB4">
        <w:t xml:space="preserve">his </w:t>
      </w:r>
      <w:r>
        <w:t>right to choose counsel, the State party reiterates it</w:t>
      </w:r>
      <w:r w:rsidR="00142AB4">
        <w:t>s</w:t>
      </w:r>
      <w:r>
        <w:t xml:space="preserve"> position that Mr. </w:t>
      </w:r>
      <w:r w:rsidR="00941CE3">
        <w:t>B.</w:t>
      </w:r>
      <w:r>
        <w:t xml:space="preserve"> defended the author</w:t>
      </w:r>
      <w:r w:rsidR="00E95455">
        <w:t xml:space="preserve"> properly</w:t>
      </w:r>
      <w:r>
        <w:t xml:space="preserve">. The author’s request for a new lawyer was denied </w:t>
      </w:r>
      <w:r w:rsidR="00E95455">
        <w:t>because</w:t>
      </w:r>
      <w:r>
        <w:t xml:space="preserve"> he did not provide </w:t>
      </w:r>
      <w:r w:rsidR="00E95455">
        <w:t xml:space="preserve">the </w:t>
      </w:r>
      <w:r>
        <w:t>name of a</w:t>
      </w:r>
      <w:r w:rsidR="00E95455">
        <w:t>nother</w:t>
      </w:r>
      <w:r>
        <w:t xml:space="preserve"> lawyer. The sheer gravity of</w:t>
      </w:r>
      <w:r w:rsidR="00142AB4">
        <w:t xml:space="preserve"> the</w:t>
      </w:r>
      <w:r>
        <w:t xml:space="preserve"> charges against the author made it mandatory that </w:t>
      </w:r>
      <w:r w:rsidR="00E95455">
        <w:t>he be</w:t>
      </w:r>
      <w:r>
        <w:t xml:space="preserve"> represented by a lawyer. </w:t>
      </w:r>
      <w:r w:rsidR="00E95455">
        <w:t>Although</w:t>
      </w:r>
      <w:r>
        <w:t xml:space="preserve"> the author claims that he g</w:t>
      </w:r>
      <w:r w:rsidR="00E95455">
        <w:t>ave the</w:t>
      </w:r>
      <w:r>
        <w:t xml:space="preserve"> name of a</w:t>
      </w:r>
      <w:r w:rsidR="00E95455">
        <w:t>nother</w:t>
      </w:r>
      <w:r>
        <w:t xml:space="preserve"> lawyer to</w:t>
      </w:r>
      <w:r w:rsidR="00142AB4">
        <w:t xml:space="preserve"> the</w:t>
      </w:r>
      <w:r>
        <w:t xml:space="preserve"> court, the </w:t>
      </w:r>
      <w:r w:rsidR="00BC0859">
        <w:t>transcripts</w:t>
      </w:r>
      <w:r>
        <w:t xml:space="preserve"> of the court hearings do not confirm this. </w:t>
      </w:r>
    </w:p>
    <w:p w:rsidR="00302B6D" w:rsidRDefault="00302B6D">
      <w:pPr>
        <w:pStyle w:val="SingleTxtG"/>
      </w:pPr>
      <w:r>
        <w:t>6.8</w:t>
      </w:r>
      <w:r>
        <w:tab/>
        <w:t>It is also evident from the records of the case that the national court</w:t>
      </w:r>
      <w:r w:rsidR="00142AB4">
        <w:t>s</w:t>
      </w:r>
      <w:r>
        <w:t xml:space="preserve"> carefully considered the author’s appeal claims. Upon </w:t>
      </w:r>
      <w:r w:rsidR="00E95455">
        <w:t>his</w:t>
      </w:r>
      <w:r>
        <w:t xml:space="preserve"> conviction on 15 May 2002, the author and his co-defendant filed a cassation appeal with the Supreme Court of the Russian Federation</w:t>
      </w:r>
      <w:r w:rsidRPr="00D7231D">
        <w:t xml:space="preserve">. Both the author and the co-defendant requested to be present during the cassation appeal hearings and this request was granted. </w:t>
      </w:r>
      <w:r w:rsidR="00824AE0" w:rsidRPr="00D7231D">
        <w:t xml:space="preserve">On 13 January 2003, the hearing was conducted </w:t>
      </w:r>
      <w:r w:rsidR="00E95455">
        <w:t xml:space="preserve">by </w:t>
      </w:r>
      <w:r w:rsidR="00824AE0" w:rsidRPr="00D7231D">
        <w:t>videoconferenc</w:t>
      </w:r>
      <w:r w:rsidR="00E95455">
        <w:t>e</w:t>
      </w:r>
      <w:r w:rsidR="00E31EC5">
        <w:t>.</w:t>
      </w:r>
      <w:r w:rsidR="00824AE0" w:rsidRPr="00D7231D">
        <w:rPr>
          <w:rStyle w:val="FootnoteReference"/>
        </w:rPr>
        <w:footnoteReference w:id="17"/>
      </w:r>
      <w:r w:rsidR="00824AE0">
        <w:t xml:space="preserve"> Both the author and his co-defendant were able to clearly state their position. </w:t>
      </w:r>
    </w:p>
    <w:p w:rsidR="00824AE0" w:rsidRDefault="0094132A">
      <w:pPr>
        <w:pStyle w:val="SingleTxtG"/>
      </w:pPr>
      <w:r>
        <w:t>6.9</w:t>
      </w:r>
      <w:r>
        <w:tab/>
        <w:t>The State party further submits that</w:t>
      </w:r>
      <w:r w:rsidR="00651AA8">
        <w:t>,</w:t>
      </w:r>
      <w:r>
        <w:t xml:space="preserve"> </w:t>
      </w:r>
      <w:r w:rsidR="002E7207">
        <w:t>according to article 50, paragraph 1</w:t>
      </w:r>
      <w:r w:rsidR="00B317C0">
        <w:t>,</w:t>
      </w:r>
      <w:r w:rsidR="002E7207">
        <w:t xml:space="preserve"> of the Criminal Procedure Code, counsel can be retained by a suspected or charged person or their representatives. According to paragraph 2 of this article, counsel is provided by the court if requested by a suspected or charged person himself or herself. </w:t>
      </w:r>
      <w:r w:rsidR="00651AA8">
        <w:t>I</w:t>
      </w:r>
      <w:r w:rsidR="002E7207">
        <w:t xml:space="preserve">n its decision No. 479-O </w:t>
      </w:r>
      <w:r w:rsidR="002E7207">
        <w:lastRenderedPageBreak/>
        <w:t>dated 18 December 2003</w:t>
      </w:r>
      <w:r w:rsidR="00651AA8">
        <w:t>,</w:t>
      </w:r>
      <w:r w:rsidR="002E7207">
        <w:t xml:space="preserve"> </w:t>
      </w:r>
      <w:r w:rsidR="00651AA8">
        <w:t xml:space="preserve">the Constitutional Court of the Russian Federation </w:t>
      </w:r>
      <w:r w:rsidR="002E7207">
        <w:t xml:space="preserve">stated that the participation of counsel is not mandatory in cassation appeals. </w:t>
      </w:r>
      <w:r w:rsidR="00651AA8">
        <w:t>However</w:t>
      </w:r>
      <w:r w:rsidR="002E7207">
        <w:t xml:space="preserve">, the Supreme Court of the Russian Federation informed the lawyer who </w:t>
      </w:r>
      <w:r w:rsidR="00651AA8">
        <w:t xml:space="preserve">had </w:t>
      </w:r>
      <w:r w:rsidR="002E7207">
        <w:t xml:space="preserve">represented the author at the initial trial about the time and date of the cassation appeal hearings. </w:t>
      </w:r>
    </w:p>
    <w:p w:rsidR="00341E03" w:rsidRDefault="002E7207">
      <w:pPr>
        <w:pStyle w:val="SingleTxtG"/>
      </w:pPr>
      <w:r>
        <w:t>6.10</w:t>
      </w:r>
      <w:r>
        <w:tab/>
        <w:t xml:space="preserve">As is evident from the text of the cassation appeal decision, the author did not </w:t>
      </w:r>
      <w:r w:rsidR="00651AA8">
        <w:t>request</w:t>
      </w:r>
      <w:r>
        <w:t xml:space="preserve"> the court to postpone the hearings to secure </w:t>
      </w:r>
      <w:r w:rsidR="00622C6C">
        <w:t xml:space="preserve">the </w:t>
      </w:r>
      <w:r>
        <w:t>presence of the lawyer, no</w:t>
      </w:r>
      <w:r w:rsidR="00B32DA1">
        <w:t>r did</w:t>
      </w:r>
      <w:r>
        <w:t xml:space="preserve"> he complain about the absence of counsel. In his subsequent supervisory procedure appeals, the author failed to put forward this argument</w:t>
      </w:r>
      <w:r w:rsidR="00E31EC5">
        <w:t>.</w:t>
      </w:r>
      <w:r w:rsidR="00DB43BC">
        <w:rPr>
          <w:rStyle w:val="FootnoteReference"/>
        </w:rPr>
        <w:footnoteReference w:id="18"/>
      </w:r>
    </w:p>
    <w:p w:rsidR="00E3597E" w:rsidRPr="00F318B6" w:rsidRDefault="00CD729A" w:rsidP="0087799E">
      <w:pPr>
        <w:pStyle w:val="H23G"/>
      </w:pPr>
      <w:r>
        <w:tab/>
      </w:r>
      <w:r>
        <w:tab/>
      </w:r>
      <w:r w:rsidR="00782F2A" w:rsidRPr="00F318B6">
        <w:t>Additional submission</w:t>
      </w:r>
      <w:r w:rsidR="00FF3899">
        <w:t>s</w:t>
      </w:r>
      <w:r w:rsidR="00782F2A" w:rsidRPr="00F318B6">
        <w:t xml:space="preserve"> by</w:t>
      </w:r>
      <w:r w:rsidR="00E3597E" w:rsidRPr="00F318B6">
        <w:t xml:space="preserve"> the author</w:t>
      </w:r>
    </w:p>
    <w:p w:rsidR="00C43FB4" w:rsidRDefault="00782F2A">
      <w:pPr>
        <w:pStyle w:val="SingleTxtG"/>
      </w:pPr>
      <w:r>
        <w:t>7</w:t>
      </w:r>
      <w:r w:rsidR="006A7329">
        <w:t>.1</w:t>
      </w:r>
      <w:r w:rsidR="000A2976">
        <w:tab/>
      </w:r>
      <w:r w:rsidR="00622C6C">
        <w:t>In</w:t>
      </w:r>
      <w:r w:rsidR="000A2976">
        <w:t xml:space="preserve"> submissions dated</w:t>
      </w:r>
      <w:r w:rsidR="006A7329">
        <w:t xml:space="preserve"> 16 October 2013, 20 November 2013, </w:t>
      </w:r>
      <w:r w:rsidR="000A2976">
        <w:t>24 September 2014</w:t>
      </w:r>
      <w:r w:rsidR="00622C6C">
        <w:t xml:space="preserve"> and</w:t>
      </w:r>
      <w:r w:rsidR="000A2976">
        <w:t xml:space="preserve"> 12 November 2014 and an undated letter</w:t>
      </w:r>
      <w:r w:rsidR="00622C6C">
        <w:t>,</w:t>
      </w:r>
      <w:r w:rsidR="000A2976">
        <w:t xml:space="preserve"> which was received</w:t>
      </w:r>
      <w:r w:rsidR="003F7232">
        <w:t xml:space="preserve"> on 28 July 2015, the author re</w:t>
      </w:r>
      <w:r w:rsidR="00622C6C">
        <w:t>iterates</w:t>
      </w:r>
      <w:r w:rsidR="003F7232">
        <w:t xml:space="preserve"> his allegations regarding the violations of the Covenant. </w:t>
      </w:r>
      <w:r w:rsidR="00622C6C">
        <w:t>He</w:t>
      </w:r>
      <w:r w:rsidR="00BC0859">
        <w:t xml:space="preserve"> submits that</w:t>
      </w:r>
      <w:r w:rsidR="00622C6C">
        <w:t>,</w:t>
      </w:r>
      <w:r w:rsidR="00BC0859">
        <w:t xml:space="preserve"> throughout the criminal investigation, trial and appeal procedures, the investigators and </w:t>
      </w:r>
      <w:r w:rsidR="00622C6C">
        <w:t xml:space="preserve">the </w:t>
      </w:r>
      <w:r w:rsidR="00BC0859">
        <w:t>courts manipulated the records by omitting or falsifying important information.</w:t>
      </w:r>
    </w:p>
    <w:p w:rsidR="00BC0859" w:rsidRDefault="00782F2A" w:rsidP="00C320BD">
      <w:pPr>
        <w:pStyle w:val="SingleTxtG"/>
      </w:pPr>
      <w:r>
        <w:t>7.2</w:t>
      </w:r>
      <w:r w:rsidR="00BC0859">
        <w:tab/>
      </w:r>
      <w:r w:rsidR="00622C6C">
        <w:t>He</w:t>
      </w:r>
      <w:r w:rsidR="00BC0859">
        <w:t xml:space="preserve"> submits that the interrogation</w:t>
      </w:r>
      <w:r w:rsidR="00BF2980">
        <w:t>s of his children were illegal, as they were threatened</w:t>
      </w:r>
      <w:r w:rsidR="00622C6C">
        <w:t xml:space="preserve"> </w:t>
      </w:r>
      <w:r w:rsidR="00BF2980">
        <w:t xml:space="preserve">with violence, beaten, not allowed to use </w:t>
      </w:r>
      <w:r w:rsidR="00B32DA1">
        <w:t xml:space="preserve">a </w:t>
      </w:r>
      <w:r w:rsidR="00BF2980">
        <w:t xml:space="preserve">toilet, </w:t>
      </w:r>
      <w:r w:rsidR="00622C6C">
        <w:t>among other things</w:t>
      </w:r>
      <w:r w:rsidR="00BF2980">
        <w:t xml:space="preserve">. The lawyer who was present did not act in the interests of children and did not file any complaints to the authorities about the mistreatment. </w:t>
      </w:r>
      <w:r w:rsidR="003D7E68">
        <w:t xml:space="preserve">According to article 159 of the Criminal Procedure Code on questioning witnesses, children witnesses </w:t>
      </w:r>
      <w:r w:rsidR="00622C6C">
        <w:t>must be</w:t>
      </w:r>
      <w:r w:rsidR="003D7E68">
        <w:t xml:space="preserve"> questioned in presence of a lawyer, a teacher and a lawful representative. </w:t>
      </w:r>
    </w:p>
    <w:p w:rsidR="00BF2980" w:rsidRDefault="00782F2A">
      <w:pPr>
        <w:pStyle w:val="SingleTxtG"/>
      </w:pPr>
      <w:r>
        <w:t>7.3</w:t>
      </w:r>
      <w:r w:rsidR="00BF2980">
        <w:tab/>
      </w:r>
      <w:r w:rsidR="003D7E68">
        <w:t xml:space="preserve">The author claims </w:t>
      </w:r>
      <w:r w:rsidR="00622C6C">
        <w:t>that he</w:t>
      </w:r>
      <w:r w:rsidR="003D7E68">
        <w:t xml:space="preserve"> complained about this to the </w:t>
      </w:r>
      <w:r w:rsidR="00622C6C">
        <w:t>Office</w:t>
      </w:r>
      <w:r w:rsidR="003D7E68">
        <w:t xml:space="preserve"> of the President of the Russian Federation, and the State Duma (the lower house of the Parliament of the Russian Federation)</w:t>
      </w:r>
      <w:r w:rsidR="00E31EC5">
        <w:t>.</w:t>
      </w:r>
      <w:r w:rsidR="002D4406">
        <w:rPr>
          <w:rStyle w:val="FootnoteReference"/>
        </w:rPr>
        <w:footnoteReference w:id="19"/>
      </w:r>
      <w:r w:rsidR="003D7E68">
        <w:t xml:space="preserve"> He received a</w:t>
      </w:r>
      <w:r w:rsidR="00622C6C">
        <w:t xml:space="preserve"> response </w:t>
      </w:r>
      <w:r w:rsidR="003D7E68">
        <w:t xml:space="preserve">that </w:t>
      </w:r>
      <w:r w:rsidR="00622C6C">
        <w:t>his</w:t>
      </w:r>
      <w:r w:rsidR="003D7E68">
        <w:t xml:space="preserve"> complaints ha</w:t>
      </w:r>
      <w:r w:rsidR="00622C6C">
        <w:t>s</w:t>
      </w:r>
      <w:r w:rsidR="003D7E68">
        <w:t xml:space="preserve"> been examined and no violations</w:t>
      </w:r>
      <w:r w:rsidR="00622C6C">
        <w:t xml:space="preserve"> were found</w:t>
      </w:r>
      <w:r w:rsidR="003D7E68">
        <w:t xml:space="preserve">. </w:t>
      </w:r>
    </w:p>
    <w:p w:rsidR="003D7E68" w:rsidRDefault="00782F2A">
      <w:pPr>
        <w:pStyle w:val="SingleTxtG"/>
      </w:pPr>
      <w:r>
        <w:t>7.4</w:t>
      </w:r>
      <w:r w:rsidR="003D7E68">
        <w:tab/>
      </w:r>
      <w:r w:rsidR="002D4406">
        <w:t xml:space="preserve">The author contends that the Sverdlovsk Regional Court falsified the transcripts of the court hearings </w:t>
      </w:r>
      <w:r w:rsidR="006F36DF">
        <w:t>and</w:t>
      </w:r>
      <w:r w:rsidR="002D4406">
        <w:t xml:space="preserve"> did</w:t>
      </w:r>
      <w:r w:rsidR="006F36DF">
        <w:t xml:space="preserve"> </w:t>
      </w:r>
      <w:r w:rsidR="002D4406">
        <w:t>n</w:t>
      </w:r>
      <w:r w:rsidR="006F36DF">
        <w:t>o</w:t>
      </w:r>
      <w:r w:rsidR="002D4406">
        <w:t>t record his son’s testimony properly</w:t>
      </w:r>
      <w:r w:rsidR="00E31EC5">
        <w:t>.</w:t>
      </w:r>
      <w:r w:rsidR="002D4406">
        <w:rPr>
          <w:rStyle w:val="FootnoteReference"/>
        </w:rPr>
        <w:footnoteReference w:id="20"/>
      </w:r>
      <w:r w:rsidR="002D4406">
        <w:t xml:space="preserve"> </w:t>
      </w:r>
      <w:r w:rsidR="006F36DF">
        <w:t>He claims that t</w:t>
      </w:r>
      <w:r w:rsidR="002D4406">
        <w:t xml:space="preserve">he official transcript of the court hearings was prepared 13 days after the </w:t>
      </w:r>
      <w:r w:rsidR="00C320BD">
        <w:t>verdict was handed down</w:t>
      </w:r>
      <w:r w:rsidR="002D4406">
        <w:t>, whi</w:t>
      </w:r>
      <w:r w:rsidR="00C320BD">
        <w:t>le</w:t>
      </w:r>
      <w:r w:rsidR="002D4406">
        <w:t xml:space="preserve"> according to national legislation, </w:t>
      </w:r>
      <w:r w:rsidR="00C320BD">
        <w:t>it should be</w:t>
      </w:r>
      <w:r w:rsidR="002D4406">
        <w:t xml:space="preserve"> </w:t>
      </w:r>
      <w:r w:rsidR="006A1291">
        <w:t>three</w:t>
      </w:r>
      <w:r w:rsidR="002D4406">
        <w:t xml:space="preserve"> days after the verdict of the court</w:t>
      </w:r>
      <w:r w:rsidR="00E31EC5">
        <w:t>.</w:t>
      </w:r>
      <w:r w:rsidR="002D4406">
        <w:rPr>
          <w:rStyle w:val="FootnoteReference"/>
        </w:rPr>
        <w:footnoteReference w:id="21"/>
      </w:r>
      <w:r w:rsidR="002D4406">
        <w:t xml:space="preserve"> This </w:t>
      </w:r>
      <w:r w:rsidR="006F36DF">
        <w:t xml:space="preserve">interval of </w:t>
      </w:r>
      <w:r w:rsidR="002D4406">
        <w:t xml:space="preserve">time was used by the authorities to further falsify the records to </w:t>
      </w:r>
      <w:r w:rsidR="006F36DF">
        <w:t xml:space="preserve">the </w:t>
      </w:r>
      <w:r w:rsidR="002D4406">
        <w:t>benefit</w:t>
      </w:r>
      <w:r w:rsidR="006F36DF">
        <w:t xml:space="preserve"> of</w:t>
      </w:r>
      <w:r w:rsidR="002D4406">
        <w:t xml:space="preserve"> the prosecutor’s position. </w:t>
      </w:r>
    </w:p>
    <w:p w:rsidR="002D4406" w:rsidRDefault="00782F2A">
      <w:pPr>
        <w:pStyle w:val="SingleTxtG"/>
      </w:pPr>
      <w:r>
        <w:t>7.5</w:t>
      </w:r>
      <w:r w:rsidR="002D4406">
        <w:tab/>
        <w:t>The author further submits that</w:t>
      </w:r>
      <w:r w:rsidR="006F36DF">
        <w:t>,</w:t>
      </w:r>
      <w:r w:rsidR="002D4406">
        <w:t xml:space="preserve"> </w:t>
      </w:r>
      <w:r w:rsidR="00FA3223">
        <w:t>throughout</w:t>
      </w:r>
      <w:r w:rsidR="002D4406">
        <w:t xml:space="preserve"> the </w:t>
      </w:r>
      <w:r w:rsidR="00FA3223">
        <w:t xml:space="preserve">court hearings, he </w:t>
      </w:r>
      <w:r w:rsidR="006F36DF">
        <w:t xml:space="preserve">had </w:t>
      </w:r>
      <w:r w:rsidR="00FA3223">
        <w:t>complained that the hearings should be open to</w:t>
      </w:r>
      <w:r w:rsidR="0053369A">
        <w:t xml:space="preserve"> the</w:t>
      </w:r>
      <w:r w:rsidR="00FA3223">
        <w:t xml:space="preserve"> public. </w:t>
      </w:r>
      <w:r w:rsidR="006F36DF">
        <w:t>He</w:t>
      </w:r>
      <w:r w:rsidR="00FA3223">
        <w:t xml:space="preserve"> claims that the hearings were closed to</w:t>
      </w:r>
      <w:r w:rsidR="0053369A">
        <w:t xml:space="preserve"> the</w:t>
      </w:r>
      <w:r w:rsidR="00FA3223">
        <w:t xml:space="preserve"> public because the prosecutors and the court wanted to hide violations of the</w:t>
      </w:r>
      <w:r w:rsidR="004623D9">
        <w:t xml:space="preserve"> provisions of the</w:t>
      </w:r>
      <w:r w:rsidR="00FA3223">
        <w:t xml:space="preserve"> Criminal Procedure Code. </w:t>
      </w:r>
    </w:p>
    <w:p w:rsidR="00FA3223" w:rsidRDefault="00782F2A">
      <w:pPr>
        <w:pStyle w:val="SingleTxtG"/>
      </w:pPr>
      <w:r>
        <w:t>7.6</w:t>
      </w:r>
      <w:r w:rsidR="00FA3223">
        <w:tab/>
        <w:t xml:space="preserve">The author further claims that the </w:t>
      </w:r>
      <w:r w:rsidR="006F36DF">
        <w:t xml:space="preserve">verdict of the </w:t>
      </w:r>
      <w:r w:rsidR="00FA3223">
        <w:t xml:space="preserve">court verdict </w:t>
      </w:r>
      <w:r w:rsidR="006F36DF">
        <w:t>wa</w:t>
      </w:r>
      <w:r w:rsidR="00FA3223">
        <w:t>s signed by the professional judge</w:t>
      </w:r>
      <w:r w:rsidR="006F36DF">
        <w:t xml:space="preserve"> only</w:t>
      </w:r>
      <w:r w:rsidR="00FA3223">
        <w:t xml:space="preserve">, but not by two lay assessors </w:t>
      </w:r>
      <w:r w:rsidR="006F36DF">
        <w:t>o</w:t>
      </w:r>
      <w:r w:rsidR="00FA3223">
        <w:t>n the panel, in violation of article 15, paragraph 4</w:t>
      </w:r>
      <w:r w:rsidR="00B317C0">
        <w:t>,</w:t>
      </w:r>
      <w:r w:rsidR="00FA3223">
        <w:t xml:space="preserve"> of the Criminal Procedure Code. The same </w:t>
      </w:r>
      <w:r w:rsidR="006F36DF">
        <w:t>wa</w:t>
      </w:r>
      <w:r w:rsidR="00FA3223">
        <w:t>s true for the decision of the cassation appeal court, which should h</w:t>
      </w:r>
      <w:r w:rsidR="006A1291">
        <w:t xml:space="preserve">ave been signed by all </w:t>
      </w:r>
      <w:r w:rsidR="006F36DF">
        <w:t xml:space="preserve">the </w:t>
      </w:r>
      <w:r w:rsidR="006A1291">
        <w:t>judges o</w:t>
      </w:r>
      <w:r w:rsidR="006F36DF">
        <w:t>n</w:t>
      </w:r>
      <w:r w:rsidR="00FA3223">
        <w:t xml:space="preserve"> the panel, but was signed by only one judge</w:t>
      </w:r>
      <w:r w:rsidR="006A1291">
        <w:t xml:space="preserve"> (the </w:t>
      </w:r>
      <w:r w:rsidR="006F36DF">
        <w:t>C</w:t>
      </w:r>
      <w:r w:rsidR="006A1291">
        <w:t>hairperson)</w:t>
      </w:r>
      <w:r w:rsidR="00FA3223">
        <w:t>.</w:t>
      </w:r>
      <w:r w:rsidR="00C56D53">
        <w:t xml:space="preserve"> </w:t>
      </w:r>
    </w:p>
    <w:p w:rsidR="00FA3223" w:rsidRDefault="00782F2A">
      <w:pPr>
        <w:pStyle w:val="SingleTxtG"/>
      </w:pPr>
      <w:r>
        <w:lastRenderedPageBreak/>
        <w:t>7.7</w:t>
      </w:r>
      <w:r w:rsidR="00FA3223">
        <w:tab/>
        <w:t>R</w:t>
      </w:r>
      <w:r w:rsidR="000D56C4">
        <w:t>egarding the materials</w:t>
      </w:r>
      <w:r w:rsidR="00FA3223">
        <w:t xml:space="preserve"> of the criminal case, the author claims that he could not study it properly</w:t>
      </w:r>
      <w:r w:rsidR="00CA1360">
        <w:t xml:space="preserve"> because</w:t>
      </w:r>
      <w:r w:rsidR="00FA3223">
        <w:t xml:space="preserve"> the investigators refused to make him copies of</w:t>
      </w:r>
      <w:r w:rsidR="000D56C4">
        <w:t xml:space="preserve"> certain</w:t>
      </w:r>
      <w:r w:rsidR="00FA3223">
        <w:t xml:space="preserve"> documents. </w:t>
      </w:r>
      <w:r w:rsidR="00CA1360">
        <w:t>He</w:t>
      </w:r>
      <w:r w:rsidR="00FA3223">
        <w:t xml:space="preserve"> claims that there is no prohibition on making copies of documents from criminal case</w:t>
      </w:r>
      <w:r w:rsidR="00CA1360">
        <w:t xml:space="preserve"> files</w:t>
      </w:r>
      <w:r w:rsidR="00FA3223">
        <w:t xml:space="preserve">. The ineffectiveness of counsel </w:t>
      </w:r>
      <w:r w:rsidR="00CA1360">
        <w:t>wa</w:t>
      </w:r>
      <w:r w:rsidR="00FA3223">
        <w:t xml:space="preserve">s also proved by the fact that </w:t>
      </w:r>
      <w:r w:rsidR="00CA1360">
        <w:t>the</w:t>
      </w:r>
      <w:r w:rsidR="00FA3223">
        <w:t xml:space="preserve"> lawyer did not provi</w:t>
      </w:r>
      <w:r w:rsidR="00CD729A">
        <w:t xml:space="preserve">de him </w:t>
      </w:r>
      <w:r w:rsidR="00CA1360">
        <w:t xml:space="preserve">with </w:t>
      </w:r>
      <w:r w:rsidR="00CD729A">
        <w:t>copies of any documents.</w:t>
      </w:r>
    </w:p>
    <w:p w:rsidR="00FA3223" w:rsidRDefault="00782F2A">
      <w:pPr>
        <w:pStyle w:val="SingleTxtG"/>
      </w:pPr>
      <w:r>
        <w:t>7.8</w:t>
      </w:r>
      <w:r w:rsidR="00FA3223">
        <w:tab/>
        <w:t xml:space="preserve">The author reiterates his position that his right </w:t>
      </w:r>
      <w:r w:rsidR="00B317C0">
        <w:t>to have</w:t>
      </w:r>
      <w:r w:rsidR="000D56C4">
        <w:t xml:space="preserve"> adequate</w:t>
      </w:r>
      <w:r w:rsidR="00FA3223">
        <w:t xml:space="preserve"> time and facilities to prepare for his defence was violated</w:t>
      </w:r>
      <w:r w:rsidR="00E31EC5">
        <w:t>.</w:t>
      </w:r>
      <w:r w:rsidR="00FA3223">
        <w:rPr>
          <w:rStyle w:val="FootnoteReference"/>
        </w:rPr>
        <w:footnoteReference w:id="22"/>
      </w:r>
      <w:r w:rsidR="00FA3223">
        <w:t xml:space="preserve"> </w:t>
      </w:r>
    </w:p>
    <w:p w:rsidR="004623D9" w:rsidRDefault="00782F2A">
      <w:pPr>
        <w:pStyle w:val="SingleTxtG"/>
      </w:pPr>
      <w:r>
        <w:t>7.9</w:t>
      </w:r>
      <w:r w:rsidR="004623D9">
        <w:tab/>
      </w:r>
      <w:r w:rsidR="00CA1360">
        <w:t>He</w:t>
      </w:r>
      <w:r w:rsidR="004623D9">
        <w:t xml:space="preserve"> further claims that his right to cross-examine witnesses was violated</w:t>
      </w:r>
      <w:r w:rsidR="00CA1360">
        <w:t>. He states that</w:t>
      </w:r>
      <w:r w:rsidR="004623D9">
        <w:t xml:space="preserve"> he was not able to cross</w:t>
      </w:r>
      <w:r w:rsidR="00CA1360">
        <w:t>-</w:t>
      </w:r>
      <w:r w:rsidR="004623D9">
        <w:t>examine a key witness, C.H.A., who</w:t>
      </w:r>
      <w:r w:rsidR="002A736F">
        <w:t>se</w:t>
      </w:r>
      <w:r w:rsidR="004623D9">
        <w:t xml:space="preserve"> </w:t>
      </w:r>
      <w:r w:rsidR="00CA1360">
        <w:t xml:space="preserve">initial </w:t>
      </w:r>
      <w:r w:rsidR="004623D9">
        <w:t xml:space="preserve">statement was read in court, and </w:t>
      </w:r>
      <w:r w:rsidR="00CA1360">
        <w:t xml:space="preserve">that </w:t>
      </w:r>
      <w:r w:rsidR="004623D9">
        <w:t xml:space="preserve">his request to subpoena another witness, M.R.V., was also denied. This also violated article 223 of the Criminal Procedure Code of the Russian Federation. The author also requested </w:t>
      </w:r>
      <w:r w:rsidR="00CA1360">
        <w:t xml:space="preserve">to have </w:t>
      </w:r>
      <w:r w:rsidR="004623D9">
        <w:t xml:space="preserve">his mother and eldest son testify in court in his </w:t>
      </w:r>
      <w:r w:rsidR="00F07B62">
        <w:t>defence</w:t>
      </w:r>
      <w:r w:rsidR="004623D9">
        <w:t>, but thi</w:t>
      </w:r>
      <w:r w:rsidR="00CD729A">
        <w:t xml:space="preserve">s request was </w:t>
      </w:r>
      <w:r w:rsidR="00CA1360">
        <w:t xml:space="preserve">also </w:t>
      </w:r>
      <w:r w:rsidR="00CD729A">
        <w:t>rejected.</w:t>
      </w:r>
    </w:p>
    <w:p w:rsidR="008C60A4" w:rsidRDefault="00782F2A">
      <w:pPr>
        <w:pStyle w:val="SingleTxtG"/>
      </w:pPr>
      <w:r>
        <w:t>7.10</w:t>
      </w:r>
      <w:r w:rsidR="008C60A4">
        <w:tab/>
        <w:t>The author’s right to counsel w</w:t>
      </w:r>
      <w:r w:rsidR="00CA1360">
        <w:t>as</w:t>
      </w:r>
      <w:r w:rsidR="008C60A4">
        <w:t xml:space="preserve"> not respected throughout the trial. Not only </w:t>
      </w:r>
      <w:r w:rsidR="00CA1360">
        <w:t>did</w:t>
      </w:r>
      <w:r w:rsidR="008C60A4">
        <w:t xml:space="preserve"> he asked for a different lawyer, </w:t>
      </w:r>
      <w:r w:rsidR="00CA1360">
        <w:t xml:space="preserve">but </w:t>
      </w:r>
      <w:r w:rsidR="008C60A4">
        <w:t xml:space="preserve">he had also asked the court to contact his mother, so that she could hire an attorney for him. </w:t>
      </w:r>
      <w:r w:rsidR="00CA1360">
        <w:t>The</w:t>
      </w:r>
      <w:r w:rsidR="008C60A4">
        <w:t xml:space="preserve"> lawyer, Mr. </w:t>
      </w:r>
      <w:r w:rsidR="00941CE3">
        <w:t>B.</w:t>
      </w:r>
      <w:r w:rsidR="008C60A4">
        <w:t>, was never active in his case</w:t>
      </w:r>
      <w:r w:rsidR="000D56C4">
        <w:t xml:space="preserve"> and</w:t>
      </w:r>
      <w:r w:rsidR="008C60A4">
        <w:t xml:space="preserve"> did not support the author’s motions. </w:t>
      </w:r>
      <w:r w:rsidR="00CA1360">
        <w:t>He claims that e</w:t>
      </w:r>
      <w:r w:rsidR="008C60A4">
        <w:t xml:space="preserve">ven during the pretrial investigation, the lawyer was present, but only </w:t>
      </w:r>
      <w:r w:rsidR="000D56C4">
        <w:t>“</w:t>
      </w:r>
      <w:r w:rsidR="008C60A4">
        <w:t>pro forma</w:t>
      </w:r>
      <w:r w:rsidR="000D56C4">
        <w:t>”</w:t>
      </w:r>
      <w:r w:rsidR="008C60A4">
        <w:t xml:space="preserve">, </w:t>
      </w:r>
      <w:r w:rsidR="00CA1360">
        <w:t xml:space="preserve">and did not </w:t>
      </w:r>
      <w:r w:rsidR="008C60A4">
        <w:t>protect</w:t>
      </w:r>
      <w:r w:rsidR="00CA1360">
        <w:t xml:space="preserve"> his</w:t>
      </w:r>
      <w:r w:rsidR="008C60A4">
        <w:t xml:space="preserve"> rights. The author submits that he had explained to the court that he need</w:t>
      </w:r>
      <w:r w:rsidR="00CA1360">
        <w:t>ed</w:t>
      </w:r>
      <w:r w:rsidR="008C60A4">
        <w:t xml:space="preserve"> a different lawyer</w:t>
      </w:r>
      <w:r w:rsidR="00CA1360">
        <w:t xml:space="preserve"> and</w:t>
      </w:r>
      <w:r w:rsidR="008C60A4">
        <w:t xml:space="preserve"> that Mr. </w:t>
      </w:r>
      <w:r w:rsidR="00941CE3">
        <w:t>B.</w:t>
      </w:r>
      <w:r w:rsidR="008C60A4">
        <w:t xml:space="preserve"> </w:t>
      </w:r>
      <w:r w:rsidR="00CA1360">
        <w:t xml:space="preserve">had </w:t>
      </w:r>
      <w:r w:rsidR="008C60A4">
        <w:t xml:space="preserve">not </w:t>
      </w:r>
      <w:r w:rsidR="00CA1360">
        <w:t xml:space="preserve">been </w:t>
      </w:r>
      <w:r w:rsidR="008C60A4">
        <w:t xml:space="preserve">hired by him or his relatives. </w:t>
      </w:r>
    </w:p>
    <w:p w:rsidR="004B44C6" w:rsidRPr="00B12E1C" w:rsidRDefault="004B44C6" w:rsidP="004B44C6">
      <w:pPr>
        <w:pStyle w:val="H23G"/>
      </w:pPr>
      <w:r w:rsidRPr="00B12E1C">
        <w:tab/>
      </w:r>
      <w:r w:rsidRPr="00B12E1C">
        <w:tab/>
        <w:t>Issues and proceedings before the Committee</w:t>
      </w:r>
    </w:p>
    <w:p w:rsidR="004B44C6" w:rsidRPr="00B12E1C" w:rsidRDefault="004B44C6" w:rsidP="004B44C6">
      <w:pPr>
        <w:pStyle w:val="H4G"/>
      </w:pPr>
      <w:r w:rsidRPr="00B12E1C">
        <w:tab/>
      </w:r>
      <w:r w:rsidRPr="00B12E1C">
        <w:tab/>
        <w:t>Consideration of admissibility</w:t>
      </w:r>
    </w:p>
    <w:p w:rsidR="0090563A" w:rsidRDefault="00782F2A">
      <w:pPr>
        <w:pStyle w:val="SingleTxtG"/>
      </w:pPr>
      <w:r>
        <w:t>8</w:t>
      </w:r>
      <w:r w:rsidR="004B44C6" w:rsidRPr="00B12E1C">
        <w:t>.1</w:t>
      </w:r>
      <w:r w:rsidR="004B44C6" w:rsidRPr="00B12E1C">
        <w:tab/>
      </w:r>
      <w:r w:rsidR="0090563A">
        <w:t>Before considering any claim contained in a communication, the Committee must</w:t>
      </w:r>
      <w:r w:rsidR="00CF5453">
        <w:t xml:space="preserve"> decide</w:t>
      </w:r>
      <w:r w:rsidR="0090563A">
        <w:t xml:space="preserve">, in accordance with rule 93 of its rules of procedure, whether </w:t>
      </w:r>
      <w:r w:rsidR="00CA1360">
        <w:t xml:space="preserve">the </w:t>
      </w:r>
      <w:r w:rsidR="001B5C63">
        <w:t>communication</w:t>
      </w:r>
      <w:r w:rsidR="0090563A">
        <w:t xml:space="preserve"> is admissible under the Optional Protocol.</w:t>
      </w:r>
    </w:p>
    <w:p w:rsidR="0090563A" w:rsidRDefault="00782F2A">
      <w:pPr>
        <w:pStyle w:val="SingleTxtG"/>
      </w:pPr>
      <w:r w:rsidRPr="0087799E">
        <w:t>8</w:t>
      </w:r>
      <w:r w:rsidR="0090563A" w:rsidRPr="0087799E">
        <w:rPr>
          <w:lang w:val="en-US"/>
        </w:rPr>
        <w:t>.2</w:t>
      </w:r>
      <w:r w:rsidR="0090563A">
        <w:tab/>
        <w:t>The Committee has ascertained, as required under article 5</w:t>
      </w:r>
      <w:r w:rsidR="00CA1360">
        <w:t xml:space="preserve"> (</w:t>
      </w:r>
      <w:r w:rsidR="0090563A">
        <w:t>2</w:t>
      </w:r>
      <w:r w:rsidR="00CA1360">
        <w:t>)</w:t>
      </w:r>
      <w:r w:rsidR="0090563A">
        <w:t xml:space="preserve"> (a) of the Optional Protocol, that the same matter is not being examined under another procedure of international investigation or settlement.</w:t>
      </w:r>
      <w:r w:rsidR="00FF3899">
        <w:t xml:space="preserve"> The Committee </w:t>
      </w:r>
      <w:r w:rsidR="00251C35">
        <w:t xml:space="preserve">also </w:t>
      </w:r>
      <w:r w:rsidR="00FF3899">
        <w:t>notes that the State party does not dispute the admissibility of the communication.</w:t>
      </w:r>
      <w:r w:rsidR="004B01A4">
        <w:t xml:space="preserve"> </w:t>
      </w:r>
      <w:r w:rsidR="00251C35">
        <w:t>Accordingly, t</w:t>
      </w:r>
      <w:r w:rsidR="004B01A4">
        <w:t>he Committee</w:t>
      </w:r>
      <w:r w:rsidR="00251C35">
        <w:t xml:space="preserve"> considers that</w:t>
      </w:r>
      <w:r w:rsidR="004B01A4">
        <w:t xml:space="preserve">, for purposes of admissibility, </w:t>
      </w:r>
      <w:r w:rsidR="00251C35">
        <w:t>it is not precluded from examining the communication under</w:t>
      </w:r>
      <w:r w:rsidR="004B01A4">
        <w:t xml:space="preserve"> article 5</w:t>
      </w:r>
      <w:r w:rsidR="00251C35">
        <w:t xml:space="preserve"> (</w:t>
      </w:r>
      <w:r w:rsidR="004B01A4">
        <w:t>2</w:t>
      </w:r>
      <w:r w:rsidR="00251C35">
        <w:t>)</w:t>
      </w:r>
      <w:r w:rsidR="004B01A4">
        <w:t xml:space="preserve"> (b) of the Optional Protocol.</w:t>
      </w:r>
      <w:r w:rsidR="00FF3899">
        <w:t xml:space="preserve"> </w:t>
      </w:r>
    </w:p>
    <w:p w:rsidR="00F07B62" w:rsidRDefault="00782F2A" w:rsidP="001B5C63">
      <w:pPr>
        <w:pStyle w:val="SingleTxtG"/>
      </w:pPr>
      <w:r>
        <w:t>8</w:t>
      </w:r>
      <w:r w:rsidR="0068702F">
        <w:t>.</w:t>
      </w:r>
      <w:r w:rsidR="006B767A">
        <w:t>3</w:t>
      </w:r>
      <w:r w:rsidR="0068702F">
        <w:tab/>
      </w:r>
      <w:r w:rsidR="00251C35">
        <w:t xml:space="preserve">With regard to the author’s claims of a </w:t>
      </w:r>
      <w:r w:rsidR="00F07B62" w:rsidRPr="003725E8">
        <w:t xml:space="preserve">violation </w:t>
      </w:r>
      <w:r w:rsidR="00F07B62">
        <w:t>of</w:t>
      </w:r>
      <w:r w:rsidR="00F07B62" w:rsidRPr="003725E8">
        <w:t xml:space="preserve"> </w:t>
      </w:r>
      <w:r w:rsidR="00F07B62">
        <w:t>article</w:t>
      </w:r>
      <w:r w:rsidR="00F07B62" w:rsidRPr="003725E8">
        <w:t> </w:t>
      </w:r>
      <w:r w:rsidR="00F07B62">
        <w:t>14</w:t>
      </w:r>
      <w:r w:rsidR="00251C35">
        <w:t xml:space="preserve"> (</w:t>
      </w:r>
      <w:r w:rsidR="00F07B62">
        <w:t>1</w:t>
      </w:r>
      <w:r w:rsidR="00251C35">
        <w:t>)</w:t>
      </w:r>
      <w:r w:rsidR="007C3C35">
        <w:t xml:space="preserve"> of</w:t>
      </w:r>
      <w:r w:rsidR="00F07B62">
        <w:t xml:space="preserve"> th</w:t>
      </w:r>
      <w:r w:rsidR="00F07B62" w:rsidRPr="003725E8">
        <w:t>e</w:t>
      </w:r>
      <w:r w:rsidR="00F07B62">
        <w:t xml:space="preserve"> Covenant</w:t>
      </w:r>
      <w:r w:rsidR="00F07B62" w:rsidRPr="00971464">
        <w:t xml:space="preserve">, </w:t>
      </w:r>
      <w:r w:rsidR="00F07B62">
        <w:t xml:space="preserve">as they relate to </w:t>
      </w:r>
      <w:r w:rsidR="00251C35">
        <w:t>his</w:t>
      </w:r>
      <w:r w:rsidR="00F07B62">
        <w:t xml:space="preserve"> </w:t>
      </w:r>
      <w:r w:rsidR="00682FFD">
        <w:t xml:space="preserve">general </w:t>
      </w:r>
      <w:r w:rsidR="00F07B62">
        <w:t>claims regarding a biased court, falsification of records, incomplete records</w:t>
      </w:r>
      <w:r w:rsidR="007C3C35">
        <w:t>,</w:t>
      </w:r>
      <w:r w:rsidR="00F07B62">
        <w:t xml:space="preserve"> judicial signatures,</w:t>
      </w:r>
      <w:r w:rsidR="007C3C35">
        <w:t xml:space="preserve"> the</w:t>
      </w:r>
      <w:r w:rsidR="007414DA">
        <w:t xml:space="preserve"> composition of the court</w:t>
      </w:r>
      <w:r w:rsidR="00251C35">
        <w:t xml:space="preserve"> and so on</w:t>
      </w:r>
      <w:r w:rsidR="00F07B62">
        <w:t xml:space="preserve">, </w:t>
      </w:r>
      <w:r w:rsidR="00F07B62" w:rsidRPr="00117CA0">
        <w:t xml:space="preserve">the Committee considers that the author </w:t>
      </w:r>
      <w:r w:rsidR="00F07B62">
        <w:t xml:space="preserve">has failed to provide sufficient information and factual </w:t>
      </w:r>
      <w:r w:rsidR="008F08AC">
        <w:t xml:space="preserve">evidence in </w:t>
      </w:r>
      <w:r w:rsidR="00F07B62">
        <w:t xml:space="preserve">support </w:t>
      </w:r>
      <w:r w:rsidR="008F08AC">
        <w:t>of</w:t>
      </w:r>
      <w:r w:rsidR="00F07B62">
        <w:t xml:space="preserve"> these claims and</w:t>
      </w:r>
      <w:r w:rsidR="008F08AC">
        <w:t xml:space="preserve"> has</w:t>
      </w:r>
      <w:r w:rsidR="00F07B62">
        <w:t xml:space="preserve"> therefore </w:t>
      </w:r>
      <w:r w:rsidR="00F07B62" w:rsidRPr="00117CA0">
        <w:t>failed to substantiate his claims regarding his right</w:t>
      </w:r>
      <w:r w:rsidR="00F07B62">
        <w:t xml:space="preserve"> </w:t>
      </w:r>
      <w:r w:rsidR="00B32DA1">
        <w:t xml:space="preserve">to </w:t>
      </w:r>
      <w:r w:rsidR="00F07B62">
        <w:t>a fair trial</w:t>
      </w:r>
      <w:r w:rsidR="007414DA">
        <w:t xml:space="preserve"> under article 14</w:t>
      </w:r>
      <w:r w:rsidR="008F08AC">
        <w:t xml:space="preserve"> (</w:t>
      </w:r>
      <w:r w:rsidR="007414DA">
        <w:t>1</w:t>
      </w:r>
      <w:r w:rsidR="008F08AC">
        <w:t>) of the Covenant</w:t>
      </w:r>
      <w:r w:rsidR="00A00259">
        <w:t xml:space="preserve">, except as they relate to </w:t>
      </w:r>
      <w:r w:rsidR="008F08AC">
        <w:t>his</w:t>
      </w:r>
      <w:r w:rsidR="00A00259">
        <w:t xml:space="preserve"> claim regarding the closed nature of the court hearings</w:t>
      </w:r>
      <w:r w:rsidR="00F07B62" w:rsidRPr="00117CA0">
        <w:t xml:space="preserve">. </w:t>
      </w:r>
      <w:r w:rsidR="007C6C26">
        <w:t>Similarly, the</w:t>
      </w:r>
      <w:r w:rsidR="008F08AC">
        <w:t xml:space="preserve"> Committee considers that the</w:t>
      </w:r>
      <w:r w:rsidR="007C6C26">
        <w:t xml:space="preserve"> author has failed to substantiate his claims </w:t>
      </w:r>
      <w:r w:rsidR="008F08AC">
        <w:t xml:space="preserve">under </w:t>
      </w:r>
      <w:r w:rsidR="00556B69">
        <w:t>to article</w:t>
      </w:r>
      <w:r w:rsidR="008F08AC">
        <w:t>s</w:t>
      </w:r>
      <w:r w:rsidR="00556B69">
        <w:t xml:space="preserve"> 14</w:t>
      </w:r>
      <w:r w:rsidR="008F08AC">
        <w:t xml:space="preserve"> (</w:t>
      </w:r>
      <w:r w:rsidR="00556B69">
        <w:t>3</w:t>
      </w:r>
      <w:r w:rsidR="008F08AC">
        <w:t>)</w:t>
      </w:r>
      <w:r w:rsidR="00556B69">
        <w:t xml:space="preserve"> (a) and</w:t>
      </w:r>
      <w:r w:rsidR="007C6C26">
        <w:t xml:space="preserve"> 9</w:t>
      </w:r>
      <w:r w:rsidR="008F08AC">
        <w:t xml:space="preserve"> (</w:t>
      </w:r>
      <w:r w:rsidR="007C6C26">
        <w:t>1</w:t>
      </w:r>
      <w:r w:rsidR="008F08AC">
        <w:t>)-(</w:t>
      </w:r>
      <w:r w:rsidR="007C6C26">
        <w:t>2</w:t>
      </w:r>
      <w:r w:rsidR="008F08AC">
        <w:t>)</w:t>
      </w:r>
      <w:r w:rsidR="007C6C26">
        <w:t xml:space="preserve"> and 4</w:t>
      </w:r>
      <w:r w:rsidR="008F08AC">
        <w:t xml:space="preserve"> of the Covenant</w:t>
      </w:r>
      <w:r w:rsidR="007C6C26">
        <w:t>.</w:t>
      </w:r>
      <w:r w:rsidR="005D246E">
        <w:t xml:space="preserve"> </w:t>
      </w:r>
      <w:r w:rsidR="00F07B62" w:rsidRPr="00117CA0">
        <w:t>Accordingly, and in the absence of a</w:t>
      </w:r>
      <w:r w:rsidR="00F07B62" w:rsidRPr="00D23322">
        <w:t>n</w:t>
      </w:r>
      <w:r w:rsidR="00F07B62" w:rsidRPr="00117CA0">
        <w:t>y further pertinent information on file, the Committee considers</w:t>
      </w:r>
      <w:r w:rsidR="00F07B62" w:rsidRPr="0043422B">
        <w:t xml:space="preserve"> that</w:t>
      </w:r>
      <w:r w:rsidR="008F08AC">
        <w:t>,</w:t>
      </w:r>
      <w:r w:rsidR="00F07B62" w:rsidRPr="0043422B">
        <w:t xml:space="preserve"> </w:t>
      </w:r>
      <w:r w:rsidR="008F08AC" w:rsidRPr="0043422B">
        <w:t xml:space="preserve">for </w:t>
      </w:r>
      <w:r w:rsidR="008F08AC">
        <w:t xml:space="preserve">the </w:t>
      </w:r>
      <w:r w:rsidR="008F08AC" w:rsidRPr="0043422B">
        <w:t>purposes of admissibility</w:t>
      </w:r>
      <w:r w:rsidR="008F08AC">
        <w:t xml:space="preserve">, </w:t>
      </w:r>
      <w:r w:rsidR="00F07B62" w:rsidRPr="0043422B">
        <w:t xml:space="preserve">the author has failed to sufficiently substantiate </w:t>
      </w:r>
      <w:r w:rsidR="008F08AC">
        <w:t>his</w:t>
      </w:r>
      <w:r w:rsidR="00F07B62">
        <w:t xml:space="preserve"> </w:t>
      </w:r>
      <w:r w:rsidR="00F07B62" w:rsidRPr="0043422B">
        <w:t>claims</w:t>
      </w:r>
      <w:r w:rsidR="005D246E">
        <w:t xml:space="preserve"> under article</w:t>
      </w:r>
      <w:r w:rsidR="008F08AC">
        <w:t>s</w:t>
      </w:r>
      <w:r w:rsidR="007C6C26">
        <w:t xml:space="preserve"> 9</w:t>
      </w:r>
      <w:r w:rsidR="008F08AC">
        <w:t xml:space="preserve"> (</w:t>
      </w:r>
      <w:r w:rsidR="007C6C26">
        <w:t>1</w:t>
      </w:r>
      <w:r w:rsidR="008F08AC">
        <w:t>)-(</w:t>
      </w:r>
      <w:r w:rsidR="007C6C26">
        <w:t>2</w:t>
      </w:r>
      <w:r w:rsidR="008F08AC">
        <w:t>)</w:t>
      </w:r>
      <w:r w:rsidR="007C6C26">
        <w:t xml:space="preserve"> and </w:t>
      </w:r>
      <w:r w:rsidR="008F08AC">
        <w:t>(</w:t>
      </w:r>
      <w:r w:rsidR="007C6C26">
        <w:t>4</w:t>
      </w:r>
      <w:r w:rsidR="008F08AC">
        <w:t>)</w:t>
      </w:r>
      <w:r w:rsidR="007C6C26">
        <w:t xml:space="preserve"> and </w:t>
      </w:r>
      <w:r w:rsidR="005D246E">
        <w:t>14</w:t>
      </w:r>
      <w:r w:rsidR="008F08AC">
        <w:t xml:space="preserve"> (</w:t>
      </w:r>
      <w:r w:rsidR="005D246E">
        <w:t>1</w:t>
      </w:r>
      <w:r w:rsidR="008F08AC">
        <w:t>) and</w:t>
      </w:r>
      <w:r w:rsidR="00E94103">
        <w:t xml:space="preserve"> </w:t>
      </w:r>
      <w:r w:rsidR="008F08AC">
        <w:t>(</w:t>
      </w:r>
      <w:r w:rsidR="00E94103">
        <w:t>3</w:t>
      </w:r>
      <w:r w:rsidR="008F08AC">
        <w:t>)</w:t>
      </w:r>
      <w:r w:rsidR="00E94103">
        <w:t xml:space="preserve"> (a)</w:t>
      </w:r>
      <w:r w:rsidR="00F07B62" w:rsidRPr="0043422B">
        <w:t xml:space="preserve"> </w:t>
      </w:r>
      <w:r w:rsidR="008F08AC">
        <w:t>and</w:t>
      </w:r>
      <w:r w:rsidR="00F07B62" w:rsidRPr="0043422B">
        <w:t xml:space="preserve"> declares </w:t>
      </w:r>
      <w:r w:rsidR="00F07B62" w:rsidRPr="002B43BC">
        <w:t>th</w:t>
      </w:r>
      <w:r w:rsidR="008F08AC">
        <w:t>is</w:t>
      </w:r>
      <w:r w:rsidR="00F07B62" w:rsidRPr="002B43BC">
        <w:t xml:space="preserve"> part of the communication inadmissible under </w:t>
      </w:r>
      <w:r w:rsidR="00F07B62">
        <w:t>article </w:t>
      </w:r>
      <w:r w:rsidR="00F07B62" w:rsidRPr="002B43BC">
        <w:t xml:space="preserve">2 of the Optional Protocol. </w:t>
      </w:r>
    </w:p>
    <w:p w:rsidR="007414DA" w:rsidRDefault="00782F2A" w:rsidP="001B5C63">
      <w:pPr>
        <w:pStyle w:val="SingleTxtG"/>
      </w:pPr>
      <w:r>
        <w:lastRenderedPageBreak/>
        <w:t>8</w:t>
      </w:r>
      <w:r w:rsidR="007414DA">
        <w:t>.4</w:t>
      </w:r>
      <w:r w:rsidR="007414DA">
        <w:tab/>
      </w:r>
      <w:r w:rsidR="00895B9C">
        <w:t xml:space="preserve">As to </w:t>
      </w:r>
      <w:r w:rsidR="001B5C63">
        <w:t xml:space="preserve">other claims, the Committee considers that the </w:t>
      </w:r>
      <w:r w:rsidR="007414DA">
        <w:t xml:space="preserve">author </w:t>
      </w:r>
      <w:r w:rsidR="001B5C63">
        <w:t>has</w:t>
      </w:r>
      <w:r w:rsidR="007414DA">
        <w:t xml:space="preserve"> failed to substantiate his claims regarding violations of article</w:t>
      </w:r>
      <w:r w:rsidR="001B5C63">
        <w:t>s</w:t>
      </w:r>
      <w:r w:rsidR="007414DA">
        <w:t xml:space="preserve"> 10</w:t>
      </w:r>
      <w:r w:rsidR="001B5C63">
        <w:t xml:space="preserve"> (</w:t>
      </w:r>
      <w:r w:rsidR="007414DA">
        <w:t>1</w:t>
      </w:r>
      <w:r w:rsidR="001B5C63">
        <w:t>)</w:t>
      </w:r>
      <w:r w:rsidR="007414DA">
        <w:t xml:space="preserve"> and 23</w:t>
      </w:r>
      <w:r w:rsidR="001B5C63">
        <w:t xml:space="preserve"> (</w:t>
      </w:r>
      <w:r w:rsidR="007414DA">
        <w:t>1</w:t>
      </w:r>
      <w:r w:rsidR="001B5C63">
        <w:t>)</w:t>
      </w:r>
      <w:r w:rsidR="007414DA">
        <w:t xml:space="preserve"> and </w:t>
      </w:r>
      <w:r w:rsidR="001B5C63">
        <w:t>(</w:t>
      </w:r>
      <w:r w:rsidR="007414DA">
        <w:t>4</w:t>
      </w:r>
      <w:r w:rsidR="001B5C63">
        <w:t>)</w:t>
      </w:r>
      <w:r w:rsidR="001F00FF">
        <w:t xml:space="preserve">. It is also not clear from the submission whether the author brings the claim on behalf of his children or </w:t>
      </w:r>
      <w:r w:rsidR="001B5C63">
        <w:t xml:space="preserve">whether he </w:t>
      </w:r>
      <w:r w:rsidR="001F00FF">
        <w:t xml:space="preserve">believes that </w:t>
      </w:r>
      <w:r w:rsidR="001B5C63">
        <w:t xml:space="preserve">the alleged </w:t>
      </w:r>
      <w:r w:rsidR="001F00FF">
        <w:t>illegal questioning and intimidation resulted in</w:t>
      </w:r>
      <w:r w:rsidR="001B5C63">
        <w:t xml:space="preserve"> a</w:t>
      </w:r>
      <w:r w:rsidR="001F00FF">
        <w:t xml:space="preserve"> violation of his rights under the Covenant.</w:t>
      </w:r>
      <w:r w:rsidR="00D1662F">
        <w:t xml:space="preserve"> </w:t>
      </w:r>
      <w:r w:rsidR="007414DA">
        <w:t xml:space="preserve">Accordingly, the Committee </w:t>
      </w:r>
      <w:r w:rsidR="007414DA" w:rsidRPr="0043422B">
        <w:t xml:space="preserve">declares </w:t>
      </w:r>
      <w:r w:rsidR="007414DA" w:rsidRPr="002B43BC">
        <w:t>th</w:t>
      </w:r>
      <w:r w:rsidR="001B5C63">
        <w:t>is</w:t>
      </w:r>
      <w:r w:rsidR="007414DA" w:rsidRPr="002B43BC">
        <w:t xml:space="preserve"> part of the communication inadmissible under </w:t>
      </w:r>
      <w:r w:rsidR="007414DA">
        <w:t>article </w:t>
      </w:r>
      <w:r w:rsidR="007414DA" w:rsidRPr="002B43BC">
        <w:t>2 of the Optional Protocol.</w:t>
      </w:r>
    </w:p>
    <w:p w:rsidR="005D246E" w:rsidRPr="000A603E" w:rsidRDefault="00782F2A" w:rsidP="00133AAA">
      <w:pPr>
        <w:pStyle w:val="SingleTxtG"/>
      </w:pPr>
      <w:r>
        <w:t>8</w:t>
      </w:r>
      <w:r w:rsidR="005D246E" w:rsidRPr="000A603E">
        <w:t>.</w:t>
      </w:r>
      <w:r w:rsidR="007414DA">
        <w:t>5</w:t>
      </w:r>
      <w:r w:rsidR="005D246E" w:rsidRPr="000A603E">
        <w:tab/>
      </w:r>
      <w:r w:rsidR="001B5C63">
        <w:t>T</w:t>
      </w:r>
      <w:r w:rsidR="005D246E" w:rsidRPr="000A603E">
        <w:t>he Committee</w:t>
      </w:r>
      <w:r w:rsidR="001B5C63">
        <w:t xml:space="preserve"> considers that, </w:t>
      </w:r>
      <w:r w:rsidR="001B5C63" w:rsidRPr="000A603E">
        <w:t xml:space="preserve">for </w:t>
      </w:r>
      <w:r w:rsidR="001B5C63">
        <w:t xml:space="preserve">the </w:t>
      </w:r>
      <w:r w:rsidR="001B5C63" w:rsidRPr="000A603E">
        <w:t>purposes of admissibility</w:t>
      </w:r>
      <w:r w:rsidR="001B5C63">
        <w:t>,</w:t>
      </w:r>
      <w:r w:rsidR="005D246E" w:rsidRPr="000A603E">
        <w:t xml:space="preserve"> the author has sufficiently substantiated</w:t>
      </w:r>
      <w:r w:rsidR="005D246E">
        <w:t xml:space="preserve"> his claims</w:t>
      </w:r>
      <w:r w:rsidR="005D246E" w:rsidRPr="002E296F">
        <w:t xml:space="preserve"> under</w:t>
      </w:r>
      <w:r w:rsidR="005D246E">
        <w:t xml:space="preserve"> </w:t>
      </w:r>
      <w:r w:rsidR="007414DA">
        <w:t>article 14</w:t>
      </w:r>
      <w:r w:rsidR="001B5C63">
        <w:t xml:space="preserve"> (</w:t>
      </w:r>
      <w:r w:rsidR="00A00259">
        <w:t>1</w:t>
      </w:r>
      <w:r w:rsidR="001B5C63">
        <w:t>)</w:t>
      </w:r>
      <w:r w:rsidR="00A00259">
        <w:t>,</w:t>
      </w:r>
      <w:r w:rsidR="007414DA">
        <w:t xml:space="preserve"> </w:t>
      </w:r>
      <w:r w:rsidR="001B5C63">
        <w:t>(</w:t>
      </w:r>
      <w:r w:rsidR="007414DA">
        <w:t>3</w:t>
      </w:r>
      <w:r w:rsidR="001B5C63">
        <w:t>)</w:t>
      </w:r>
      <w:r w:rsidR="007414DA">
        <w:t xml:space="preserve"> (b)</w:t>
      </w:r>
      <w:r w:rsidR="001B5C63">
        <w:t xml:space="preserve"> and</w:t>
      </w:r>
      <w:r w:rsidR="007414DA">
        <w:t xml:space="preserve"> (d)</w:t>
      </w:r>
      <w:r w:rsidR="001B5C63">
        <w:t>-</w:t>
      </w:r>
      <w:r w:rsidR="007414DA">
        <w:t>(e)</w:t>
      </w:r>
      <w:r w:rsidR="00D1662F">
        <w:t xml:space="preserve"> and </w:t>
      </w:r>
      <w:r w:rsidR="001B5C63">
        <w:t>(</w:t>
      </w:r>
      <w:r w:rsidR="00D1662F">
        <w:t>5</w:t>
      </w:r>
      <w:r w:rsidR="001B5C63">
        <w:t>)</w:t>
      </w:r>
      <w:r w:rsidR="00D62610">
        <w:t xml:space="preserve"> </w:t>
      </w:r>
      <w:r w:rsidR="005D246E">
        <w:t xml:space="preserve">of the Covenant </w:t>
      </w:r>
      <w:r w:rsidR="005D246E" w:rsidRPr="000A603E">
        <w:t xml:space="preserve">and proceeds </w:t>
      </w:r>
      <w:r w:rsidR="005D246E">
        <w:t>with its consideration</w:t>
      </w:r>
      <w:r w:rsidR="005D246E" w:rsidRPr="000A603E">
        <w:t xml:space="preserve"> o</w:t>
      </w:r>
      <w:r w:rsidR="005D246E">
        <w:t>f</w:t>
      </w:r>
      <w:r w:rsidR="005D246E" w:rsidRPr="000A603E">
        <w:t xml:space="preserve"> the merits.</w:t>
      </w:r>
      <w:r w:rsidR="005D246E">
        <w:t xml:space="preserve"> </w:t>
      </w:r>
    </w:p>
    <w:p w:rsidR="005D246E" w:rsidRPr="000A603E" w:rsidRDefault="005D246E" w:rsidP="005D246E">
      <w:pPr>
        <w:pStyle w:val="H4G"/>
      </w:pPr>
      <w:r>
        <w:tab/>
      </w:r>
      <w:r>
        <w:tab/>
      </w:r>
      <w:r w:rsidRPr="000A603E">
        <w:t>Consideration of the merits</w:t>
      </w:r>
    </w:p>
    <w:p w:rsidR="005D246E" w:rsidRDefault="00782F2A">
      <w:pPr>
        <w:pStyle w:val="SingleTxtG"/>
      </w:pPr>
      <w:r>
        <w:t>9</w:t>
      </w:r>
      <w:r w:rsidR="005D246E" w:rsidRPr="000A603E">
        <w:t>.1</w:t>
      </w:r>
      <w:r w:rsidR="005D246E" w:rsidRPr="000A603E">
        <w:tab/>
        <w:t xml:space="preserve">The Committee has considered the communication in the light of all the information </w:t>
      </w:r>
      <w:r w:rsidR="00CF5453">
        <w:t xml:space="preserve">made available to it </w:t>
      </w:r>
      <w:r w:rsidR="005D246E" w:rsidRPr="000A603E">
        <w:t xml:space="preserve">by the parties, </w:t>
      </w:r>
      <w:r w:rsidR="00CF5453">
        <w:t>as required under</w:t>
      </w:r>
      <w:r w:rsidR="005D246E" w:rsidRPr="000A603E">
        <w:t xml:space="preserve"> article 5 </w:t>
      </w:r>
      <w:r w:rsidR="005D246E">
        <w:t>(</w:t>
      </w:r>
      <w:r w:rsidR="005D246E" w:rsidRPr="000A603E">
        <w:t>1</w:t>
      </w:r>
      <w:r w:rsidR="005D246E">
        <w:t>)</w:t>
      </w:r>
      <w:r w:rsidR="005D246E" w:rsidRPr="000A603E">
        <w:t xml:space="preserve"> of the Optional Protocol.</w:t>
      </w:r>
    </w:p>
    <w:p w:rsidR="00A00259" w:rsidRDefault="00782F2A">
      <w:pPr>
        <w:pStyle w:val="SingleTxtG"/>
      </w:pPr>
      <w:r>
        <w:t>9</w:t>
      </w:r>
      <w:r w:rsidR="00A00259">
        <w:t>.</w:t>
      </w:r>
      <w:r w:rsidR="00D7231D">
        <w:t>2</w:t>
      </w:r>
      <w:r w:rsidR="00A00259">
        <w:tab/>
        <w:t>The Committee first note</w:t>
      </w:r>
      <w:r w:rsidR="006B32CA">
        <w:t>s</w:t>
      </w:r>
      <w:r w:rsidR="00A00259">
        <w:t xml:space="preserve"> the author’s claim that his trial was not open to the public. The Committee </w:t>
      </w:r>
      <w:r w:rsidR="006B32CA">
        <w:t xml:space="preserve">also </w:t>
      </w:r>
      <w:r w:rsidR="00A00259">
        <w:t>notes that the State party</w:t>
      </w:r>
      <w:r w:rsidR="006B32CA">
        <w:t>’s</w:t>
      </w:r>
      <w:r w:rsidR="00A00259">
        <w:t xml:space="preserve"> </w:t>
      </w:r>
      <w:r w:rsidR="006B32CA">
        <w:t>submission</w:t>
      </w:r>
      <w:r w:rsidR="00FD7DC2">
        <w:t xml:space="preserve"> </w:t>
      </w:r>
      <w:r w:rsidR="00A00259">
        <w:t xml:space="preserve">that </w:t>
      </w:r>
      <w:r w:rsidR="00FD7DC2">
        <w:t xml:space="preserve">the decision to </w:t>
      </w:r>
      <w:r w:rsidR="006B32CA">
        <w:t xml:space="preserve">hold a </w:t>
      </w:r>
      <w:r w:rsidR="00FD7DC2">
        <w:t>close</w:t>
      </w:r>
      <w:r w:rsidR="006B32CA">
        <w:t>d</w:t>
      </w:r>
      <w:r w:rsidR="00FD7DC2">
        <w:t xml:space="preserve"> trial was justified as the case involved </w:t>
      </w:r>
      <w:r w:rsidR="00D1662F">
        <w:t>“intimate details</w:t>
      </w:r>
      <w:r w:rsidR="00AB00F2">
        <w:t>”</w:t>
      </w:r>
      <w:r w:rsidR="00D1662F">
        <w:t xml:space="preserve"> </w:t>
      </w:r>
      <w:r w:rsidR="006B32CA">
        <w:t xml:space="preserve">about the life </w:t>
      </w:r>
      <w:r w:rsidR="00D1662F">
        <w:t>of p</w:t>
      </w:r>
      <w:r w:rsidR="00052B9C">
        <w:t>arties</w:t>
      </w:r>
      <w:r w:rsidR="00D1662F">
        <w:t xml:space="preserve"> in the case</w:t>
      </w:r>
      <w:r w:rsidR="00FD7DC2">
        <w:t>, however, no further details were provided</w:t>
      </w:r>
      <w:r w:rsidR="00A00259">
        <w:t xml:space="preserve">. The Committee recalls its general comment No. 32 (2007) on the right to equality before the courts and tribunals and to a fair trial, in which it </w:t>
      </w:r>
      <w:r w:rsidR="00A00259" w:rsidRPr="00052B9C">
        <w:t>stated that</w:t>
      </w:r>
      <w:r w:rsidR="00A00259">
        <w:t xml:space="preserve"> all trials in criminal matters must in principle be conducted orally and public</w:t>
      </w:r>
      <w:r w:rsidR="00052B9C">
        <w:t>ly</w:t>
      </w:r>
      <w:r w:rsidR="00A00259">
        <w:t>, unless the court decides to exclude all or part of the public for reasons of morals, public order (</w:t>
      </w:r>
      <w:r w:rsidR="00A00259" w:rsidRPr="00EA0B73">
        <w:rPr>
          <w:i/>
        </w:rPr>
        <w:t>ordre public</w:t>
      </w:r>
      <w:r w:rsidR="00A00259">
        <w:t>) or national security</w:t>
      </w:r>
      <w:r w:rsidR="00052B9C">
        <w:t>, or when the interest of the private lives of the parties so requires</w:t>
      </w:r>
      <w:r w:rsidR="00A00259">
        <w:t xml:space="preserve">. Even in cases in which the public is excluded from </w:t>
      </w:r>
      <w:r w:rsidR="00052B9C">
        <w:t>the</w:t>
      </w:r>
      <w:r w:rsidR="00A00259">
        <w:t xml:space="preserve"> trial, the judgement, including the essential findings, evidence and legal reasoning, must be made public</w:t>
      </w:r>
      <w:r w:rsidR="00052B9C">
        <w:t xml:space="preserve"> (paras. 28-29)</w:t>
      </w:r>
      <w:r w:rsidR="00A00259">
        <w:t xml:space="preserve">. The Committee </w:t>
      </w:r>
      <w:r w:rsidR="00FD7DC2">
        <w:t xml:space="preserve">considers </w:t>
      </w:r>
      <w:r w:rsidR="00D1662F">
        <w:t>that the State party failed to explain why it was necessary to close the entire trial</w:t>
      </w:r>
      <w:r w:rsidR="00FD7DC2">
        <w:t xml:space="preserve">, including the hearings of the facts and evidence related to the </w:t>
      </w:r>
      <w:r w:rsidR="00D1662F">
        <w:t xml:space="preserve">charges </w:t>
      </w:r>
      <w:r w:rsidR="006211F6">
        <w:t xml:space="preserve">of </w:t>
      </w:r>
      <w:r w:rsidR="00D1662F">
        <w:t>murder, robbery and illegal possession of weapons</w:t>
      </w:r>
      <w:r w:rsidR="00FD7DC2">
        <w:t>, instead of closing only part of the trial in order to protect rights of minors, or intimate and personal information of part</w:t>
      </w:r>
      <w:r w:rsidR="00052B9C">
        <w:t>ies</w:t>
      </w:r>
      <w:r w:rsidR="00FD7DC2">
        <w:t xml:space="preserve"> </w:t>
      </w:r>
      <w:r w:rsidR="00052B9C">
        <w:t>in</w:t>
      </w:r>
      <w:r w:rsidR="00FD7DC2">
        <w:t xml:space="preserve"> the trial</w:t>
      </w:r>
      <w:r w:rsidR="00D1662F">
        <w:t xml:space="preserve">. </w:t>
      </w:r>
      <w:r w:rsidR="00A00259">
        <w:t xml:space="preserve">The Committee therefore considers that the State party failed to justify the exclusion of the public from the author’s </w:t>
      </w:r>
      <w:r w:rsidR="00D1662F">
        <w:t xml:space="preserve">entire </w:t>
      </w:r>
      <w:r w:rsidR="00A00259">
        <w:t xml:space="preserve">trial under </w:t>
      </w:r>
      <w:r w:rsidR="00052B9C">
        <w:t xml:space="preserve">any </w:t>
      </w:r>
      <w:r w:rsidR="00A00259">
        <w:t xml:space="preserve">of the justifications </w:t>
      </w:r>
      <w:r w:rsidR="00052B9C">
        <w:t>provided for</w:t>
      </w:r>
      <w:r w:rsidR="00A00259">
        <w:t xml:space="preserve"> in article 14 (1)</w:t>
      </w:r>
      <w:r w:rsidR="00052B9C">
        <w:t xml:space="preserve"> of the Covenant</w:t>
      </w:r>
      <w:r w:rsidR="00A00259">
        <w:t xml:space="preserve">. In the absence of other pertinent information on file, the Committee considers that the State party violated the author’s rights under article 14 (1) of the Covenant. </w:t>
      </w:r>
    </w:p>
    <w:p w:rsidR="0050396B" w:rsidRDefault="00782F2A">
      <w:pPr>
        <w:pStyle w:val="SingleTxtG"/>
      </w:pPr>
      <w:r>
        <w:t>9</w:t>
      </w:r>
      <w:r w:rsidR="0050396B">
        <w:t>.</w:t>
      </w:r>
      <w:r w:rsidR="00D7231D">
        <w:t>3</w:t>
      </w:r>
      <w:r w:rsidR="0050396B">
        <w:tab/>
        <w:t>The Committee</w:t>
      </w:r>
      <w:r w:rsidR="00D7231D">
        <w:t xml:space="preserve"> </w:t>
      </w:r>
      <w:r w:rsidR="00052B9C">
        <w:t>also</w:t>
      </w:r>
      <w:r w:rsidR="0050396B">
        <w:t xml:space="preserve"> note</w:t>
      </w:r>
      <w:r w:rsidR="00052B9C">
        <w:t>s</w:t>
      </w:r>
      <w:r w:rsidR="0050396B">
        <w:t xml:space="preserve"> the author’s claim that his right to have adequate time and facilities for the preparation of his defence were violated and that he was not provided with </w:t>
      </w:r>
      <w:r w:rsidR="00052B9C">
        <w:t>a</w:t>
      </w:r>
      <w:r w:rsidR="0050396B">
        <w:t xml:space="preserve"> copy of the materials. In response to these claims, the State party provide</w:t>
      </w:r>
      <w:r w:rsidR="00052B9C">
        <w:t xml:space="preserve">d </w:t>
      </w:r>
      <w:r w:rsidR="0050396B">
        <w:t>detail</w:t>
      </w:r>
      <w:r w:rsidR="00052B9C">
        <w:t>s</w:t>
      </w:r>
      <w:r w:rsidR="0050396B">
        <w:t>, includ</w:t>
      </w:r>
      <w:r w:rsidR="00052B9C">
        <w:t>ing</w:t>
      </w:r>
      <w:r w:rsidR="0050396B">
        <w:t xml:space="preserve"> the exact times and dates when the author had an opportunity to study the materials of the criminal case against him. The Committee recalls its general comment No. 32, </w:t>
      </w:r>
      <w:r w:rsidR="00FD4126">
        <w:t xml:space="preserve">in which it pointed out </w:t>
      </w:r>
      <w:r w:rsidR="0050396B">
        <w:t>that the determination of “adequate time</w:t>
      </w:r>
      <w:r w:rsidR="00FD4126">
        <w:t>”</w:t>
      </w:r>
      <w:r w:rsidR="0050396B">
        <w:t xml:space="preserve"> depends on the circumstances of each case</w:t>
      </w:r>
      <w:r w:rsidR="00FD4126">
        <w:t xml:space="preserve"> and that </w:t>
      </w:r>
      <w:r w:rsidR="0050396B" w:rsidRPr="0050396B">
        <w:rPr>
          <w:lang w:val="en-US"/>
        </w:rPr>
        <w:t>“adequate facilities” must include access to all materials that the prosecution plans to offer in court against the accused</w:t>
      </w:r>
      <w:r w:rsidR="00FD4126">
        <w:rPr>
          <w:lang w:val="en-US"/>
        </w:rPr>
        <w:t xml:space="preserve"> (paras. 32-33)</w:t>
      </w:r>
      <w:r w:rsidR="0050396B" w:rsidRPr="0050396B">
        <w:rPr>
          <w:lang w:val="en-US"/>
        </w:rPr>
        <w:t>.</w:t>
      </w:r>
      <w:r w:rsidR="00D1662F">
        <w:t xml:space="preserve"> </w:t>
      </w:r>
      <w:r w:rsidR="0050396B">
        <w:t xml:space="preserve">The Committee further notes that the author had </w:t>
      </w:r>
      <w:r w:rsidR="00FD4126">
        <w:t>the</w:t>
      </w:r>
      <w:r w:rsidR="0050396B">
        <w:t xml:space="preserve"> opportunity to study the case</w:t>
      </w:r>
      <w:r w:rsidR="00FD4126">
        <w:t xml:space="preserve"> materials</w:t>
      </w:r>
      <w:r w:rsidR="0050396B">
        <w:t xml:space="preserve"> from 25 January 2002 until 12 March 2002. Moreover, on 11 and 18 February 2002, the author was warned that he </w:t>
      </w:r>
      <w:r w:rsidR="00FD4126">
        <w:t>sh</w:t>
      </w:r>
      <w:r w:rsidR="0050396B">
        <w:t xml:space="preserve">ould not </w:t>
      </w:r>
      <w:r w:rsidR="00FD4126">
        <w:t xml:space="preserve">use </w:t>
      </w:r>
      <w:r w:rsidR="0050396B">
        <w:t>delay</w:t>
      </w:r>
      <w:r w:rsidR="00FD4126">
        <w:t>ing tactics in</w:t>
      </w:r>
      <w:r w:rsidR="0050396B">
        <w:t xml:space="preserve"> studying the case materials. </w:t>
      </w:r>
      <w:r w:rsidR="005E53B3">
        <w:t>T</w:t>
      </w:r>
      <w:r w:rsidR="00FD4126">
        <w:t>he Committee r</w:t>
      </w:r>
      <w:r w:rsidR="0050396B">
        <w:t>ecogniz</w:t>
      </w:r>
      <w:r w:rsidR="00FD4126">
        <w:t>es</w:t>
      </w:r>
      <w:r w:rsidR="0050396B">
        <w:t xml:space="preserve"> the restrictions placed on the author, </w:t>
      </w:r>
      <w:r w:rsidR="005E53B3">
        <w:t xml:space="preserve">however, </w:t>
      </w:r>
      <w:r w:rsidR="0050396B">
        <w:t xml:space="preserve">given the fact that </w:t>
      </w:r>
      <w:r w:rsidR="005E53B3">
        <w:t>he</w:t>
      </w:r>
      <w:r w:rsidR="0050396B">
        <w:t xml:space="preserve"> had about one and a half month</w:t>
      </w:r>
      <w:r w:rsidR="005E53B3">
        <w:t>s</w:t>
      </w:r>
      <w:r w:rsidR="0050396B">
        <w:t xml:space="preserve"> to study the case, </w:t>
      </w:r>
      <w:r w:rsidR="005E53B3">
        <w:t>it</w:t>
      </w:r>
      <w:r w:rsidR="0050396B">
        <w:t xml:space="preserve"> </w:t>
      </w:r>
      <w:r w:rsidR="005E53B3">
        <w:t xml:space="preserve">does not consider </w:t>
      </w:r>
      <w:r w:rsidR="0050396B">
        <w:t xml:space="preserve">that the time allocated </w:t>
      </w:r>
      <w:r w:rsidR="005E53B3">
        <w:t>was</w:t>
      </w:r>
      <w:r w:rsidR="0050396B">
        <w:t xml:space="preserve"> </w:t>
      </w:r>
      <w:r w:rsidR="00D7231D">
        <w:t>inadequate</w:t>
      </w:r>
      <w:r w:rsidR="0050396B">
        <w:t>. The Committee therefore concludes that the author’s right under article 14</w:t>
      </w:r>
      <w:r w:rsidR="005E53B3">
        <w:t xml:space="preserve"> (</w:t>
      </w:r>
      <w:r w:rsidR="0050396B">
        <w:t>3</w:t>
      </w:r>
      <w:r w:rsidR="005E53B3">
        <w:t>)</w:t>
      </w:r>
      <w:r w:rsidR="0050396B">
        <w:t xml:space="preserve"> (b) of the Covenant have not been violated. </w:t>
      </w:r>
    </w:p>
    <w:p w:rsidR="00E54BA1" w:rsidRDefault="00782F2A" w:rsidP="00A30566">
      <w:pPr>
        <w:pStyle w:val="SingleTxtG"/>
        <w:spacing w:line="230" w:lineRule="atLeast"/>
      </w:pPr>
      <w:r>
        <w:t>9</w:t>
      </w:r>
      <w:r w:rsidR="005D246E">
        <w:t>.</w:t>
      </w:r>
      <w:r w:rsidR="00D7231D">
        <w:t>4</w:t>
      </w:r>
      <w:r w:rsidR="00DB43BC">
        <w:tab/>
      </w:r>
      <w:r w:rsidR="00064CCA">
        <w:t xml:space="preserve">The Committee </w:t>
      </w:r>
      <w:r w:rsidR="005E53B3">
        <w:t xml:space="preserve">further </w:t>
      </w:r>
      <w:r w:rsidR="00064CCA">
        <w:t xml:space="preserve">notes the author’s contention that he was not able to replace </w:t>
      </w:r>
      <w:r w:rsidR="005E53B3">
        <w:t>the</w:t>
      </w:r>
      <w:r w:rsidR="00064CCA">
        <w:t xml:space="preserve"> lawyer, Mr. </w:t>
      </w:r>
      <w:r w:rsidR="00941CE3">
        <w:t>B.</w:t>
      </w:r>
      <w:r w:rsidR="00064CCA">
        <w:t xml:space="preserve">, who, </w:t>
      </w:r>
      <w:r w:rsidR="005E53B3">
        <w:t>he</w:t>
      </w:r>
      <w:r w:rsidR="00064CCA">
        <w:t xml:space="preserve"> claims, failed to protect his right</w:t>
      </w:r>
      <w:r w:rsidR="00DB63CC">
        <w:t>s</w:t>
      </w:r>
      <w:r w:rsidR="00064CCA">
        <w:t xml:space="preserve"> dur</w:t>
      </w:r>
      <w:r w:rsidR="00DB63CC">
        <w:t>ing the pretrial investigation as well as</w:t>
      </w:r>
      <w:r w:rsidR="00064CCA">
        <w:t xml:space="preserve"> during the court hearings.</w:t>
      </w:r>
      <w:r w:rsidR="00B76312">
        <w:t xml:space="preserve"> The</w:t>
      </w:r>
      <w:r w:rsidR="00064CCA">
        <w:t xml:space="preserve"> </w:t>
      </w:r>
      <w:r w:rsidR="00782A3D">
        <w:t>Committee also note</w:t>
      </w:r>
      <w:r w:rsidR="005E53B3">
        <w:t>s</w:t>
      </w:r>
      <w:r w:rsidR="00782A3D">
        <w:t xml:space="preserve"> the State party’s submission that the author failed to explain the differences that he had with </w:t>
      </w:r>
      <w:r w:rsidR="005E53B3">
        <w:t>the</w:t>
      </w:r>
      <w:r w:rsidR="00782A3D">
        <w:t xml:space="preserve"> </w:t>
      </w:r>
      <w:r w:rsidR="00782A3D">
        <w:lastRenderedPageBreak/>
        <w:t xml:space="preserve">lawyer and </w:t>
      </w:r>
      <w:r w:rsidR="00DB63CC">
        <w:t xml:space="preserve">that he failed </w:t>
      </w:r>
      <w:r w:rsidR="00782A3D">
        <w:t xml:space="preserve">to provide </w:t>
      </w:r>
      <w:r w:rsidR="005E53B3">
        <w:t>the</w:t>
      </w:r>
      <w:r w:rsidR="00782A3D">
        <w:t xml:space="preserve"> name of a</w:t>
      </w:r>
      <w:r w:rsidR="005E53B3">
        <w:t>nother</w:t>
      </w:r>
      <w:r w:rsidR="00782A3D">
        <w:t xml:space="preserve"> lawyer. </w:t>
      </w:r>
      <w:r w:rsidR="00DB63CC">
        <w:t xml:space="preserve">The Committee </w:t>
      </w:r>
      <w:r w:rsidR="00054765">
        <w:t xml:space="preserve">observes </w:t>
      </w:r>
      <w:r w:rsidR="00DB63CC">
        <w:t xml:space="preserve">that </w:t>
      </w:r>
      <w:r w:rsidR="006208B6">
        <w:t xml:space="preserve">the Covenant </w:t>
      </w:r>
      <w:r w:rsidR="00054765">
        <w:t xml:space="preserve">guarantees the right </w:t>
      </w:r>
      <w:r w:rsidR="005435C6">
        <w:t xml:space="preserve">of an individual </w:t>
      </w:r>
      <w:r w:rsidR="005E53B3">
        <w:t>to</w:t>
      </w:r>
      <w:r w:rsidR="00054765">
        <w:t xml:space="preserve"> defen</w:t>
      </w:r>
      <w:r w:rsidR="005E53B3">
        <w:t>d himself</w:t>
      </w:r>
      <w:r w:rsidR="00054765">
        <w:t xml:space="preserve"> </w:t>
      </w:r>
      <w:r w:rsidR="006208B6">
        <w:t xml:space="preserve">“in person or through legal assistance of his own choosing”. </w:t>
      </w:r>
      <w:r w:rsidR="005837AD">
        <w:t>This</w:t>
      </w:r>
      <w:r w:rsidR="00054765">
        <w:t xml:space="preserve"> right </w:t>
      </w:r>
      <w:r w:rsidR="005837AD">
        <w:t xml:space="preserve">entails </w:t>
      </w:r>
      <w:r w:rsidR="00054765">
        <w:t xml:space="preserve">the freedom </w:t>
      </w:r>
      <w:r w:rsidR="005837AD">
        <w:t xml:space="preserve">of the defendant </w:t>
      </w:r>
      <w:r w:rsidR="005435C6">
        <w:t>not only to choose but also to replace</w:t>
      </w:r>
      <w:r w:rsidR="00054765">
        <w:t xml:space="preserve"> </w:t>
      </w:r>
      <w:r w:rsidR="005837AD">
        <w:t xml:space="preserve">a </w:t>
      </w:r>
      <w:r w:rsidR="00054765">
        <w:t>lawyer</w:t>
      </w:r>
      <w:r w:rsidR="005837AD">
        <w:t xml:space="preserve"> and </w:t>
      </w:r>
      <w:r w:rsidR="005435C6">
        <w:t xml:space="preserve">this right </w:t>
      </w:r>
      <w:r w:rsidR="005837AD">
        <w:t xml:space="preserve">should not be restricted unless it </w:t>
      </w:r>
      <w:r w:rsidR="00114432">
        <w:t xml:space="preserve">is </w:t>
      </w:r>
      <w:r w:rsidR="005837AD">
        <w:t>absolutely necessary for the administration of justice</w:t>
      </w:r>
      <w:r w:rsidR="005435C6">
        <w:t>,</w:t>
      </w:r>
      <w:r w:rsidR="0050396B">
        <w:t xml:space="preserve"> </w:t>
      </w:r>
      <w:r w:rsidR="005C6019">
        <w:t>for instance</w:t>
      </w:r>
      <w:r w:rsidR="00671CDF">
        <w:t>,</w:t>
      </w:r>
      <w:r w:rsidR="005C6019">
        <w:t xml:space="preserve"> </w:t>
      </w:r>
      <w:r w:rsidR="0050396B">
        <w:t xml:space="preserve">if </w:t>
      </w:r>
      <w:r w:rsidR="00671CDF">
        <w:t xml:space="preserve">the defendant abuses </w:t>
      </w:r>
      <w:r w:rsidR="005C6019">
        <w:t xml:space="preserve">the right </w:t>
      </w:r>
      <w:r w:rsidR="0050396B">
        <w:t xml:space="preserve">to replace </w:t>
      </w:r>
      <w:r w:rsidR="00671CDF">
        <w:t>a</w:t>
      </w:r>
      <w:r w:rsidR="0050396B">
        <w:t xml:space="preserve"> lawyer</w:t>
      </w:r>
      <w:r w:rsidR="005837AD">
        <w:t xml:space="preserve">. </w:t>
      </w:r>
      <w:r w:rsidR="0090554B">
        <w:t>T</w:t>
      </w:r>
      <w:r w:rsidR="005837AD">
        <w:t xml:space="preserve">he Committee </w:t>
      </w:r>
      <w:r w:rsidR="005C6019">
        <w:t xml:space="preserve">further </w:t>
      </w:r>
      <w:r w:rsidR="00114432">
        <w:t xml:space="preserve">observes that </w:t>
      </w:r>
      <w:r w:rsidR="005C6019">
        <w:t xml:space="preserve">the Covenant guarantees </w:t>
      </w:r>
      <w:r w:rsidR="0090554B">
        <w:t xml:space="preserve">the right of the defendant to replace </w:t>
      </w:r>
      <w:r w:rsidR="00671CDF">
        <w:t>a</w:t>
      </w:r>
      <w:r w:rsidR="0090554B">
        <w:t xml:space="preserve"> lawyer who </w:t>
      </w:r>
      <w:r w:rsidR="00671CDF">
        <w:t>he or she does</w:t>
      </w:r>
      <w:r w:rsidR="0090554B">
        <w:t xml:space="preserve"> not perceive to be fit for the case</w:t>
      </w:r>
      <w:r w:rsidR="005C6019">
        <w:t xml:space="preserve"> or </w:t>
      </w:r>
      <w:r w:rsidR="00671CDF">
        <w:t xml:space="preserve">who he or she </w:t>
      </w:r>
      <w:r w:rsidR="005C6019">
        <w:t>suspect</w:t>
      </w:r>
      <w:r w:rsidR="00671CDF">
        <w:t>s is</w:t>
      </w:r>
      <w:r w:rsidR="005C6019">
        <w:t xml:space="preserve"> act</w:t>
      </w:r>
      <w:r w:rsidR="00671CDF">
        <w:t>ing</w:t>
      </w:r>
      <w:r w:rsidR="005C6019">
        <w:t xml:space="preserve"> </w:t>
      </w:r>
      <w:r w:rsidR="00E54BA1">
        <w:t>contrary</w:t>
      </w:r>
      <w:r w:rsidR="005C6019">
        <w:t xml:space="preserve"> to his</w:t>
      </w:r>
      <w:r w:rsidR="00671CDF">
        <w:t xml:space="preserve"> or </w:t>
      </w:r>
      <w:r w:rsidR="005C6019">
        <w:t>her interest</w:t>
      </w:r>
      <w:r w:rsidR="00671CDF">
        <w:t>s</w:t>
      </w:r>
      <w:r w:rsidR="005C6019">
        <w:t>.</w:t>
      </w:r>
      <w:r w:rsidR="0090554B">
        <w:t xml:space="preserve"> </w:t>
      </w:r>
    </w:p>
    <w:p w:rsidR="004650E0" w:rsidRDefault="00782F2A" w:rsidP="00A30566">
      <w:pPr>
        <w:pStyle w:val="SingleTxtG"/>
        <w:spacing w:line="230" w:lineRule="atLeast"/>
      </w:pPr>
      <w:r>
        <w:t>9</w:t>
      </w:r>
      <w:r w:rsidR="00D7231D">
        <w:t>.5</w:t>
      </w:r>
      <w:r w:rsidR="00D7231D">
        <w:tab/>
      </w:r>
      <w:r w:rsidR="00671CDF">
        <w:t>It is</w:t>
      </w:r>
      <w:r w:rsidR="00E54BA1">
        <w:t xml:space="preserve"> </w:t>
      </w:r>
      <w:r w:rsidR="000D21CB">
        <w:t>evident from transcript</w:t>
      </w:r>
      <w:r w:rsidR="001D41FF">
        <w:t xml:space="preserve"> No. 2-125/02</w:t>
      </w:r>
      <w:r w:rsidR="000D21CB">
        <w:t xml:space="preserve"> of the</w:t>
      </w:r>
      <w:r w:rsidR="001D41FF">
        <w:t xml:space="preserve"> relevant</w:t>
      </w:r>
      <w:r w:rsidR="000D21CB">
        <w:t xml:space="preserve"> court hearings</w:t>
      </w:r>
      <w:r w:rsidR="00671CDF">
        <w:t xml:space="preserve"> that</w:t>
      </w:r>
      <w:r w:rsidR="000D21CB">
        <w:t xml:space="preserve"> the author </w:t>
      </w:r>
      <w:r w:rsidR="00671CDF">
        <w:t>requested</w:t>
      </w:r>
      <w:r w:rsidR="000D21CB">
        <w:t xml:space="preserve"> </w:t>
      </w:r>
      <w:r w:rsidR="003E2F85">
        <w:t>“</w:t>
      </w:r>
      <w:r w:rsidR="000D21CB">
        <w:t xml:space="preserve">any other lawyer”, and insisted that he </w:t>
      </w:r>
      <w:r w:rsidR="00671CDF">
        <w:t>wanted</w:t>
      </w:r>
      <w:r w:rsidR="000D21CB">
        <w:t xml:space="preserve"> “to consult with his family to choose a lawyer”.</w:t>
      </w:r>
      <w:r w:rsidR="001D41FF">
        <w:t xml:space="preserve"> </w:t>
      </w:r>
      <w:r w:rsidR="00671CDF">
        <w:t>On</w:t>
      </w:r>
      <w:r w:rsidR="001D41FF">
        <w:t xml:space="preserve"> page 44 of the said transcript, the author </w:t>
      </w:r>
      <w:r w:rsidR="00671CDF">
        <w:t xml:space="preserve">again </w:t>
      </w:r>
      <w:r w:rsidR="001D41FF">
        <w:t>raised th</w:t>
      </w:r>
      <w:r w:rsidR="00671CDF">
        <w:t>e</w:t>
      </w:r>
      <w:r w:rsidR="001D41FF">
        <w:t xml:space="preserve"> issue</w:t>
      </w:r>
      <w:r w:rsidR="00671CDF">
        <w:t xml:space="preserve"> and requested</w:t>
      </w:r>
      <w:r w:rsidR="001D41FF">
        <w:t xml:space="preserve"> a “public defender”.</w:t>
      </w:r>
      <w:r w:rsidR="000D21CB">
        <w:t xml:space="preserve"> </w:t>
      </w:r>
      <w:r w:rsidR="005837AD">
        <w:t>I</w:t>
      </w:r>
      <w:r w:rsidR="00245932">
        <w:t>t emerges from the submission</w:t>
      </w:r>
      <w:r w:rsidR="00671CDF">
        <w:t xml:space="preserve">s by </w:t>
      </w:r>
      <w:r w:rsidR="00245932">
        <w:t>both</w:t>
      </w:r>
      <w:r w:rsidR="00AA4610">
        <w:t xml:space="preserve"> the author and the State party</w:t>
      </w:r>
      <w:r w:rsidR="00245932">
        <w:t>, as well as transcript No. 2-125/02</w:t>
      </w:r>
      <w:r w:rsidR="00AA4610">
        <w:t>,</w:t>
      </w:r>
      <w:r w:rsidR="00245932">
        <w:t xml:space="preserve"> which was provided by the author</w:t>
      </w:r>
      <w:r w:rsidR="00AA4610">
        <w:t>,</w:t>
      </w:r>
      <w:r w:rsidR="00245932">
        <w:t xml:space="preserve"> </w:t>
      </w:r>
      <w:r w:rsidR="005837AD">
        <w:t xml:space="preserve">that </w:t>
      </w:r>
      <w:r w:rsidR="00245932">
        <w:t>the Sverdlovsk Regional Court and</w:t>
      </w:r>
      <w:r w:rsidR="00AA4610">
        <w:t>,</w:t>
      </w:r>
      <w:r w:rsidR="00245932">
        <w:t xml:space="preserve"> subsequently, </w:t>
      </w:r>
      <w:r w:rsidR="00AA4610">
        <w:t xml:space="preserve">the </w:t>
      </w:r>
      <w:r w:rsidR="00245932">
        <w:t>cassatio</w:t>
      </w:r>
      <w:r w:rsidR="00414B25">
        <w:t>n and supervisory appeal courts</w:t>
      </w:r>
      <w:r w:rsidR="00AA4610">
        <w:t>,</w:t>
      </w:r>
      <w:r w:rsidR="00245932">
        <w:t xml:space="preserve"> failed to entertain the author’s requests for any other lawyer or for a public defender</w:t>
      </w:r>
      <w:r w:rsidR="00AA4610">
        <w:t xml:space="preserve"> and</w:t>
      </w:r>
      <w:r w:rsidR="009C30E3">
        <w:t xml:space="preserve"> impos</w:t>
      </w:r>
      <w:r w:rsidR="00AA4610">
        <w:t>ed on him</w:t>
      </w:r>
      <w:r w:rsidR="009C30E3">
        <w:t xml:space="preserve"> </w:t>
      </w:r>
      <w:r w:rsidR="00E54BA1">
        <w:t>the</w:t>
      </w:r>
      <w:r w:rsidR="005837AD">
        <w:t xml:space="preserve"> </w:t>
      </w:r>
      <w:r w:rsidR="009C30E3">
        <w:t xml:space="preserve">obligation to justify </w:t>
      </w:r>
      <w:r w:rsidR="005837AD">
        <w:t>his request</w:t>
      </w:r>
      <w:r w:rsidR="009C30E3">
        <w:t xml:space="preserve">. </w:t>
      </w:r>
      <w:r w:rsidR="005C6019">
        <w:t xml:space="preserve">The Committee further notes that the lawyer, Mr. </w:t>
      </w:r>
      <w:r w:rsidR="00941CE3">
        <w:t>B.</w:t>
      </w:r>
      <w:r w:rsidR="005C6019">
        <w:t xml:space="preserve">, was initially retained by relatives of </w:t>
      </w:r>
      <w:r w:rsidR="00AA4610">
        <w:t xml:space="preserve">one of the author’s </w:t>
      </w:r>
      <w:r w:rsidR="005C6019">
        <w:t>co-defendant</w:t>
      </w:r>
      <w:r w:rsidR="00AA4610">
        <w:t>s</w:t>
      </w:r>
      <w:r w:rsidR="005C6019">
        <w:t>, whose interest</w:t>
      </w:r>
      <w:r w:rsidR="00AA4610">
        <w:t>s</w:t>
      </w:r>
      <w:r w:rsidR="005C6019">
        <w:t xml:space="preserve"> </w:t>
      </w:r>
      <w:r w:rsidR="00AA4610">
        <w:t xml:space="preserve">was different </w:t>
      </w:r>
      <w:r w:rsidR="005C6019">
        <w:t>from th</w:t>
      </w:r>
      <w:r w:rsidR="00AA4610">
        <w:t>ose</w:t>
      </w:r>
      <w:r w:rsidR="005C6019">
        <w:t xml:space="preserve"> of the author. </w:t>
      </w:r>
      <w:r w:rsidR="0090554B">
        <w:t xml:space="preserve">While </w:t>
      </w:r>
      <w:r w:rsidR="005C6019">
        <w:t xml:space="preserve">noting that </w:t>
      </w:r>
      <w:r w:rsidR="0090554B">
        <w:t xml:space="preserve">there is nothing </w:t>
      </w:r>
      <w:r w:rsidR="005837AD">
        <w:t xml:space="preserve">in the file </w:t>
      </w:r>
      <w:r w:rsidR="00AA4610">
        <w:t xml:space="preserve">to </w:t>
      </w:r>
      <w:r w:rsidR="005837AD">
        <w:t>indicat</w:t>
      </w:r>
      <w:r w:rsidR="00AA4610">
        <w:t>e</w:t>
      </w:r>
      <w:r w:rsidR="005837AD">
        <w:t xml:space="preserve"> that the author abused his right to choose </w:t>
      </w:r>
      <w:r w:rsidR="0090554B">
        <w:t xml:space="preserve">or replace </w:t>
      </w:r>
      <w:r w:rsidR="005837AD">
        <w:t>the lawyer</w:t>
      </w:r>
      <w:r w:rsidR="005C6019">
        <w:t>, the Committee</w:t>
      </w:r>
      <w:r w:rsidR="005837AD">
        <w:t xml:space="preserve"> </w:t>
      </w:r>
      <w:r w:rsidR="005C6019">
        <w:t>concludes that the</w:t>
      </w:r>
      <w:r w:rsidR="005837AD">
        <w:t xml:space="preserve"> State party failed to justify </w:t>
      </w:r>
      <w:r w:rsidR="00E54BA1">
        <w:t>why it</w:t>
      </w:r>
      <w:r w:rsidR="00AA4610">
        <w:t xml:space="preserve"> was</w:t>
      </w:r>
      <w:r w:rsidR="00E54BA1">
        <w:t xml:space="preserve"> necessary for the administration of justice to restrict the </w:t>
      </w:r>
      <w:r w:rsidR="00AA4610">
        <w:t xml:space="preserve">author’s </w:t>
      </w:r>
      <w:r w:rsidR="00E54BA1">
        <w:t xml:space="preserve">right </w:t>
      </w:r>
      <w:r w:rsidR="00A8078D">
        <w:t xml:space="preserve">to </w:t>
      </w:r>
      <w:r w:rsidR="00E54BA1">
        <w:t xml:space="preserve">replace the lawyer or </w:t>
      </w:r>
      <w:r w:rsidR="00A8078D">
        <w:t>why it</w:t>
      </w:r>
      <w:r w:rsidR="00AA4610">
        <w:t xml:space="preserve"> was</w:t>
      </w:r>
      <w:r w:rsidR="00A8078D">
        <w:t xml:space="preserve"> </w:t>
      </w:r>
      <w:r w:rsidR="00AA4610">
        <w:t xml:space="preserve">not </w:t>
      </w:r>
      <w:r w:rsidR="00A8078D">
        <w:t xml:space="preserve">possible to </w:t>
      </w:r>
      <w:r w:rsidR="00E54BA1">
        <w:t>assign a public defender</w:t>
      </w:r>
      <w:r w:rsidR="00A8078D">
        <w:t xml:space="preserve"> to him</w:t>
      </w:r>
      <w:r w:rsidR="00E54BA1">
        <w:t xml:space="preserve">. </w:t>
      </w:r>
      <w:r w:rsidR="00245932">
        <w:t>In the circumstances,</w:t>
      </w:r>
      <w:r w:rsidR="00FB77A6">
        <w:t xml:space="preserve"> </w:t>
      </w:r>
      <w:r w:rsidR="00245932">
        <w:t>the Committee conclude</w:t>
      </w:r>
      <w:r w:rsidR="001F00FF">
        <w:t>s</w:t>
      </w:r>
      <w:r w:rsidR="00245932">
        <w:t xml:space="preserve"> that the author’s rights under article 14</w:t>
      </w:r>
      <w:r w:rsidR="00AA4610">
        <w:t xml:space="preserve"> (</w:t>
      </w:r>
      <w:r w:rsidR="00245932">
        <w:t>3</w:t>
      </w:r>
      <w:r w:rsidR="00AA4610">
        <w:t>)</w:t>
      </w:r>
      <w:r w:rsidR="00245932">
        <w:t xml:space="preserve"> (d) were violated. </w:t>
      </w:r>
    </w:p>
    <w:p w:rsidR="008D380D" w:rsidRDefault="00782F2A" w:rsidP="00A30566">
      <w:pPr>
        <w:pStyle w:val="SingleTxtG"/>
        <w:spacing w:line="230" w:lineRule="atLeast"/>
      </w:pPr>
      <w:r>
        <w:t>9</w:t>
      </w:r>
      <w:r w:rsidR="0050396B">
        <w:t>.</w:t>
      </w:r>
      <w:r w:rsidR="00622EA7">
        <w:t>6</w:t>
      </w:r>
      <w:r w:rsidR="005D26DE">
        <w:tab/>
        <w:t xml:space="preserve">The Committee notes that the author </w:t>
      </w:r>
      <w:r w:rsidR="0050396B">
        <w:t xml:space="preserve">was </w:t>
      </w:r>
      <w:r w:rsidR="00BC3F60">
        <w:t>not</w:t>
      </w:r>
      <w:r w:rsidR="0050396B">
        <w:t xml:space="preserve"> </w:t>
      </w:r>
      <w:r w:rsidR="005D26DE">
        <w:t xml:space="preserve">represented by </w:t>
      </w:r>
      <w:r w:rsidR="00AA4610">
        <w:t>counsel</w:t>
      </w:r>
      <w:r w:rsidR="0050396B">
        <w:t xml:space="preserve"> </w:t>
      </w:r>
      <w:r w:rsidR="005D26DE">
        <w:t xml:space="preserve">during the </w:t>
      </w:r>
      <w:r w:rsidR="00E54BA1">
        <w:t xml:space="preserve">cassation appeal </w:t>
      </w:r>
      <w:r w:rsidR="005D26DE">
        <w:t>hearings.</w:t>
      </w:r>
      <w:r w:rsidR="0050396B">
        <w:t xml:space="preserve"> </w:t>
      </w:r>
      <w:r w:rsidR="00E6706B">
        <w:rPr>
          <w:lang w:val="en-US"/>
        </w:rPr>
        <w:t xml:space="preserve">It also </w:t>
      </w:r>
      <w:r w:rsidR="005D26DE">
        <w:t xml:space="preserve">notes </w:t>
      </w:r>
      <w:r w:rsidR="0074652B">
        <w:t xml:space="preserve">the State party’s submission </w:t>
      </w:r>
      <w:r w:rsidR="005D26DE">
        <w:t>that</w:t>
      </w:r>
      <w:r w:rsidR="00AA4610">
        <w:t>,</w:t>
      </w:r>
      <w:r w:rsidR="005D26DE">
        <w:t xml:space="preserve"> although the Constitutional Court of the Russian Federation </w:t>
      </w:r>
      <w:r w:rsidR="00AA4610">
        <w:t xml:space="preserve">provides </w:t>
      </w:r>
      <w:r w:rsidR="005D26DE">
        <w:t xml:space="preserve">that the participation of counsel is not mandatory in cassation appeals, the Supreme Court of the Russian Federation </w:t>
      </w:r>
      <w:r w:rsidR="00AA4610">
        <w:t xml:space="preserve">had </w:t>
      </w:r>
      <w:r w:rsidR="005D26DE">
        <w:t xml:space="preserve">informed the lawyer who </w:t>
      </w:r>
      <w:r w:rsidR="00AA4610">
        <w:t xml:space="preserve">had </w:t>
      </w:r>
      <w:r w:rsidR="005D26DE">
        <w:t xml:space="preserve">represented the author at </w:t>
      </w:r>
      <w:r w:rsidR="00AA4610">
        <w:t>his</w:t>
      </w:r>
      <w:r w:rsidR="005D26DE">
        <w:t xml:space="preserve"> initial trial </w:t>
      </w:r>
      <w:r w:rsidR="00AA4610">
        <w:t>of</w:t>
      </w:r>
      <w:r w:rsidR="005D26DE">
        <w:t xml:space="preserve"> the time and date of the cassation appeal hearings. </w:t>
      </w:r>
      <w:r w:rsidR="008D380D">
        <w:t xml:space="preserve">The Committee </w:t>
      </w:r>
      <w:r w:rsidR="00AA4610">
        <w:t>further</w:t>
      </w:r>
      <w:r w:rsidR="008D380D">
        <w:t xml:space="preserve"> notes</w:t>
      </w:r>
      <w:r w:rsidR="008D380D" w:rsidRPr="00BC3F60">
        <w:rPr>
          <w:rStyle w:val="CommentReference"/>
          <w:sz w:val="20"/>
          <w:szCs w:val="20"/>
        </w:rPr>
        <w:t xml:space="preserve"> the State party’s argument that </w:t>
      </w:r>
      <w:r w:rsidR="008D380D" w:rsidRPr="00BC3F60">
        <w:t>the author</w:t>
      </w:r>
      <w:r w:rsidR="008D380D">
        <w:t xml:space="preserve"> did not </w:t>
      </w:r>
      <w:r w:rsidR="00AA4610">
        <w:t>request</w:t>
      </w:r>
      <w:r w:rsidR="008D380D">
        <w:t xml:space="preserve"> the court to postpone the hearings </w:t>
      </w:r>
      <w:r w:rsidR="00AA4610">
        <w:t xml:space="preserve">in order </w:t>
      </w:r>
      <w:r w:rsidR="008D380D">
        <w:t xml:space="preserve">to secure </w:t>
      </w:r>
      <w:r w:rsidR="00AA4610">
        <w:t xml:space="preserve">the </w:t>
      </w:r>
      <w:r w:rsidR="008D380D">
        <w:t xml:space="preserve">presence of </w:t>
      </w:r>
      <w:r w:rsidR="00AA4610">
        <w:t>a</w:t>
      </w:r>
      <w:r w:rsidR="008D380D">
        <w:t xml:space="preserve"> lawyer, nor did he complain about the absence of counsel. </w:t>
      </w:r>
      <w:r w:rsidR="008027EB">
        <w:rPr>
          <w:lang w:val="en-US"/>
        </w:rPr>
        <w:t>The Committee finds that article 14</w:t>
      </w:r>
      <w:r w:rsidR="00133AAA">
        <w:rPr>
          <w:lang w:val="en-US"/>
        </w:rPr>
        <w:t xml:space="preserve"> (</w:t>
      </w:r>
      <w:r w:rsidR="008027EB">
        <w:rPr>
          <w:lang w:val="en-US"/>
        </w:rPr>
        <w:t>3</w:t>
      </w:r>
      <w:r w:rsidR="00133AAA">
        <w:rPr>
          <w:lang w:val="en-US"/>
        </w:rPr>
        <w:t>)</w:t>
      </w:r>
      <w:r w:rsidR="008027EB">
        <w:rPr>
          <w:lang w:val="en-US"/>
        </w:rPr>
        <w:t xml:space="preserve"> (d)</w:t>
      </w:r>
      <w:r w:rsidR="00133AAA">
        <w:rPr>
          <w:lang w:val="en-US"/>
        </w:rPr>
        <w:t xml:space="preserve"> of the Covenant</w:t>
      </w:r>
      <w:r w:rsidR="008027EB">
        <w:rPr>
          <w:lang w:val="en-US"/>
        </w:rPr>
        <w:t xml:space="preserve"> applies to the present case</w:t>
      </w:r>
      <w:r w:rsidR="00133AAA">
        <w:rPr>
          <w:lang w:val="en-US"/>
        </w:rPr>
        <w:t>,</w:t>
      </w:r>
      <w:r w:rsidR="008027EB">
        <w:rPr>
          <w:lang w:val="en-US"/>
        </w:rPr>
        <w:t xml:space="preserve"> as the court examined the case as to the facts and the law and made a new assessment of the issue of guilt or innocence</w:t>
      </w:r>
      <w:r w:rsidR="003D68D7">
        <w:rPr>
          <w:lang w:val="en-US"/>
        </w:rPr>
        <w:t>.</w:t>
      </w:r>
      <w:r w:rsidR="008027EB">
        <w:rPr>
          <w:rStyle w:val="FootnoteReference"/>
          <w:lang w:val="en-US"/>
        </w:rPr>
        <w:footnoteReference w:id="23"/>
      </w:r>
    </w:p>
    <w:p w:rsidR="00E6706B" w:rsidRDefault="00782F2A" w:rsidP="00A30566">
      <w:pPr>
        <w:pStyle w:val="SingleTxtG"/>
        <w:spacing w:line="230" w:lineRule="atLeast"/>
      </w:pPr>
      <w:r>
        <w:t>9</w:t>
      </w:r>
      <w:r w:rsidR="00622EA7">
        <w:t>.7</w:t>
      </w:r>
      <w:r w:rsidR="00622EA7">
        <w:tab/>
      </w:r>
      <w:r w:rsidR="00BC3F60">
        <w:t>T</w:t>
      </w:r>
      <w:r w:rsidR="005D26DE">
        <w:t xml:space="preserve">he </w:t>
      </w:r>
      <w:r w:rsidR="008D380D">
        <w:t xml:space="preserve">Committee </w:t>
      </w:r>
      <w:r w:rsidR="00BC3F60">
        <w:t>considers</w:t>
      </w:r>
      <w:r w:rsidR="00133AAA">
        <w:t>,</w:t>
      </w:r>
      <w:r w:rsidR="00BC3F60">
        <w:t xml:space="preserve"> however</w:t>
      </w:r>
      <w:r w:rsidR="00133AAA">
        <w:t>,</w:t>
      </w:r>
      <w:r w:rsidR="00BC3F60">
        <w:t xml:space="preserve"> </w:t>
      </w:r>
      <w:r w:rsidR="008D380D">
        <w:t xml:space="preserve">that </w:t>
      </w:r>
      <w:r w:rsidR="00133AAA">
        <w:t xml:space="preserve">it is up to </w:t>
      </w:r>
      <w:r w:rsidR="008D380D">
        <w:t xml:space="preserve">the </w:t>
      </w:r>
      <w:r w:rsidR="005D26DE">
        <w:t xml:space="preserve">State party </w:t>
      </w:r>
      <w:r w:rsidR="008D380D">
        <w:t xml:space="preserve">to </w:t>
      </w:r>
      <w:r w:rsidR="005D26DE">
        <w:t xml:space="preserve">demonstrate that the author, who was </w:t>
      </w:r>
      <w:r w:rsidR="00133AAA">
        <w:t xml:space="preserve">being </w:t>
      </w:r>
      <w:r w:rsidR="005D26DE">
        <w:t>tried for serious crimes</w:t>
      </w:r>
      <w:r w:rsidR="00133AAA">
        <w:t>,</w:t>
      </w:r>
      <w:r w:rsidR="005D26DE">
        <w:t xml:space="preserve"> punishable by up to </w:t>
      </w:r>
      <w:r w:rsidR="00133AAA">
        <w:t>25</w:t>
      </w:r>
      <w:r w:rsidR="005D26DE">
        <w:t xml:space="preserve"> years</w:t>
      </w:r>
      <w:r w:rsidR="00133AAA">
        <w:t>’</w:t>
      </w:r>
      <w:r w:rsidR="00622EA7">
        <w:t xml:space="preserve"> </w:t>
      </w:r>
      <w:r w:rsidR="005D26DE">
        <w:t xml:space="preserve">imprisonment, was adequately informed of </w:t>
      </w:r>
      <w:r w:rsidR="008D380D">
        <w:t>his</w:t>
      </w:r>
      <w:r w:rsidR="005D26DE">
        <w:t xml:space="preserve"> right to have counsel and </w:t>
      </w:r>
      <w:r w:rsidR="00133AAA">
        <w:t>that</w:t>
      </w:r>
      <w:r w:rsidR="0074652B">
        <w:t xml:space="preserve"> he</w:t>
      </w:r>
      <w:r w:rsidR="00BC3F60">
        <w:t xml:space="preserve"> deliberately</w:t>
      </w:r>
      <w:r w:rsidR="0074652B">
        <w:t xml:space="preserve"> </w:t>
      </w:r>
      <w:r w:rsidR="005D26DE">
        <w:t>declined to exercise this right.</w:t>
      </w:r>
      <w:r w:rsidR="0074652B">
        <w:t xml:space="preserve"> </w:t>
      </w:r>
      <w:r w:rsidR="00BC3F60">
        <w:t>The Committee notes that</w:t>
      </w:r>
      <w:r w:rsidR="00133AAA">
        <w:t>,</w:t>
      </w:r>
      <w:r w:rsidR="00BC3F60">
        <w:t xml:space="preserve"> in this particular case</w:t>
      </w:r>
      <w:r w:rsidR="00133AAA">
        <w:t>,</w:t>
      </w:r>
      <w:r w:rsidR="00BC3F60">
        <w:t xml:space="preserve"> the Supreme Court considered it expedient to hear the author’s arguments in order to reach </w:t>
      </w:r>
      <w:r w:rsidR="006211F6">
        <w:t xml:space="preserve">its </w:t>
      </w:r>
      <w:r w:rsidR="00BC3F60">
        <w:t>conclusion. In such circumstances</w:t>
      </w:r>
      <w:r w:rsidR="00032A9E">
        <w:t>,</w:t>
      </w:r>
      <w:r w:rsidR="00BC3F60">
        <w:t xml:space="preserve"> the Supreme Court was under the obligation to inform</w:t>
      </w:r>
      <w:r w:rsidR="0053369A">
        <w:t xml:space="preserve"> the</w:t>
      </w:r>
      <w:r w:rsidR="00BC3F60">
        <w:t xml:space="preserve"> defendant about his right to request the presence of his lawyer during the hearings.</w:t>
      </w:r>
      <w:r w:rsidR="00622EA7">
        <w:t xml:space="preserve"> </w:t>
      </w:r>
      <w:r w:rsidR="0074652B">
        <w:t>T</w:t>
      </w:r>
      <w:r w:rsidR="005D26DE">
        <w:t xml:space="preserve">he Committee </w:t>
      </w:r>
      <w:r w:rsidR="00133AAA">
        <w:t>also</w:t>
      </w:r>
      <w:r w:rsidR="00BC3F60">
        <w:t xml:space="preserve"> </w:t>
      </w:r>
      <w:r w:rsidR="005D26DE">
        <w:t>observes that</w:t>
      </w:r>
      <w:r w:rsidR="00133AAA">
        <w:t>,</w:t>
      </w:r>
      <w:r w:rsidR="005D26DE">
        <w:t xml:space="preserve"> </w:t>
      </w:r>
      <w:r w:rsidR="0074652B">
        <w:t xml:space="preserve">in the light of </w:t>
      </w:r>
      <w:r w:rsidR="008C4D0A">
        <w:t xml:space="preserve">its </w:t>
      </w:r>
      <w:r w:rsidR="0074652B">
        <w:t xml:space="preserve">findings in paragraph 8.3 above, Mr. </w:t>
      </w:r>
      <w:r w:rsidR="00941CE3">
        <w:t>B.</w:t>
      </w:r>
      <w:r w:rsidR="0074652B">
        <w:t xml:space="preserve">, who was </w:t>
      </w:r>
      <w:r w:rsidR="008C4D0A">
        <w:t>allegedly</w:t>
      </w:r>
      <w:r w:rsidR="0074652B">
        <w:t xml:space="preserve"> informed about the cassation hearings</w:t>
      </w:r>
      <w:r w:rsidR="001F00FF">
        <w:t xml:space="preserve"> but chose not to </w:t>
      </w:r>
      <w:r w:rsidR="008C4D0A">
        <w:t>be present at the</w:t>
      </w:r>
      <w:r w:rsidR="001F00FF">
        <w:t xml:space="preserve"> hearings</w:t>
      </w:r>
      <w:r w:rsidR="0074652B">
        <w:t xml:space="preserve">, cannot be considered as </w:t>
      </w:r>
      <w:r w:rsidR="008C4D0A">
        <w:t>the</w:t>
      </w:r>
      <w:r w:rsidR="0074652B">
        <w:t xml:space="preserve"> lawyer of the </w:t>
      </w:r>
      <w:r w:rsidR="005D26DE">
        <w:t>author</w:t>
      </w:r>
      <w:r w:rsidR="0074652B">
        <w:t xml:space="preserve">’s </w:t>
      </w:r>
      <w:r w:rsidR="008C4D0A">
        <w:t>own choosing</w:t>
      </w:r>
      <w:r w:rsidR="0074652B">
        <w:t xml:space="preserve">. </w:t>
      </w:r>
      <w:r w:rsidR="001F00FF">
        <w:t>It can</w:t>
      </w:r>
      <w:r w:rsidR="008C4D0A">
        <w:t>not</w:t>
      </w:r>
      <w:r w:rsidR="001F00FF">
        <w:t xml:space="preserve"> be assumed</w:t>
      </w:r>
      <w:r w:rsidR="008C4D0A">
        <w:t xml:space="preserve"> either</w:t>
      </w:r>
      <w:r w:rsidR="001F00FF">
        <w:t xml:space="preserve"> that the author declined his right to be represented by </w:t>
      </w:r>
      <w:r w:rsidR="008C4D0A">
        <w:t>a</w:t>
      </w:r>
      <w:r w:rsidR="001F00FF">
        <w:t xml:space="preserve"> lawyer during the cassation appeal. </w:t>
      </w:r>
      <w:r w:rsidR="0074652B">
        <w:t xml:space="preserve">Furthermore, </w:t>
      </w:r>
      <w:r w:rsidR="008C4D0A">
        <w:t xml:space="preserve">the </w:t>
      </w:r>
      <w:r w:rsidR="0074652B">
        <w:t>Committee observes</w:t>
      </w:r>
      <w:r w:rsidR="005D26DE">
        <w:t xml:space="preserve"> </w:t>
      </w:r>
      <w:r w:rsidR="0074652B">
        <w:t xml:space="preserve">that the author </w:t>
      </w:r>
      <w:r w:rsidR="005D26DE">
        <w:t>had to prepare</w:t>
      </w:r>
      <w:r w:rsidR="008C4D0A">
        <w:t xml:space="preserve"> for the</w:t>
      </w:r>
      <w:r w:rsidR="005D26DE">
        <w:t xml:space="preserve"> cassation appeal without </w:t>
      </w:r>
      <w:r w:rsidR="008C4D0A">
        <w:t xml:space="preserve">legal </w:t>
      </w:r>
      <w:r w:rsidR="005D26DE">
        <w:t>assistance of his own choosing</w:t>
      </w:r>
      <w:r w:rsidR="008D380D">
        <w:t xml:space="preserve"> </w:t>
      </w:r>
      <w:r w:rsidR="008C4D0A">
        <w:t xml:space="preserve">owing </w:t>
      </w:r>
      <w:r w:rsidR="00BC3F60">
        <w:t xml:space="preserve">to </w:t>
      </w:r>
      <w:r w:rsidR="005D26DE">
        <w:t xml:space="preserve">the </w:t>
      </w:r>
      <w:r w:rsidR="008C4D0A">
        <w:t xml:space="preserve">decision of the </w:t>
      </w:r>
      <w:r w:rsidR="008D380D">
        <w:t xml:space="preserve">lower </w:t>
      </w:r>
      <w:r w:rsidR="005D26DE">
        <w:t xml:space="preserve">court. </w:t>
      </w:r>
      <w:r w:rsidR="001F00FF">
        <w:t xml:space="preserve">The Committee considers that </w:t>
      </w:r>
      <w:r w:rsidR="008C4D0A">
        <w:t xml:space="preserve">the </w:t>
      </w:r>
      <w:r w:rsidR="001F00FF">
        <w:t xml:space="preserve">above findings reveal </w:t>
      </w:r>
      <w:r w:rsidR="008C4D0A">
        <w:t>a</w:t>
      </w:r>
      <w:r w:rsidR="001F00FF">
        <w:t xml:space="preserve"> violation of the author’s right</w:t>
      </w:r>
      <w:r w:rsidR="00622EA7">
        <w:t>s under article 14</w:t>
      </w:r>
      <w:r w:rsidR="008C4D0A">
        <w:t xml:space="preserve"> (</w:t>
      </w:r>
      <w:r w:rsidR="00622EA7">
        <w:t>3</w:t>
      </w:r>
      <w:r w:rsidR="008C4D0A">
        <w:t>)</w:t>
      </w:r>
      <w:r w:rsidR="00622EA7">
        <w:t xml:space="preserve"> (</w:t>
      </w:r>
      <w:r w:rsidR="001F00FF">
        <w:t>d</w:t>
      </w:r>
      <w:r w:rsidR="00622EA7">
        <w:t>)</w:t>
      </w:r>
      <w:r w:rsidR="001F00FF">
        <w:t>.</w:t>
      </w:r>
    </w:p>
    <w:p w:rsidR="00FF3899" w:rsidRDefault="00E6706B" w:rsidP="00A30566">
      <w:pPr>
        <w:pStyle w:val="SingleTxtG"/>
        <w:spacing w:line="230" w:lineRule="atLeast"/>
        <w:rPr>
          <w:lang w:val="en-US"/>
        </w:rPr>
      </w:pPr>
      <w:r>
        <w:lastRenderedPageBreak/>
        <w:t>9.8</w:t>
      </w:r>
      <w:r>
        <w:tab/>
        <w:t xml:space="preserve">Having concluded that there has been a violation of article </w:t>
      </w:r>
      <w:r w:rsidR="00D56F7D">
        <w:t>14</w:t>
      </w:r>
      <w:r w:rsidR="008C4D0A">
        <w:t xml:space="preserve"> (</w:t>
      </w:r>
      <w:r w:rsidR="00D56F7D">
        <w:t>3</w:t>
      </w:r>
      <w:r w:rsidR="008C4D0A">
        <w:t>)</w:t>
      </w:r>
      <w:r w:rsidR="00D56F7D">
        <w:t xml:space="preserve"> (d) of the Covenant, the Committee decides not to separately</w:t>
      </w:r>
      <w:r w:rsidR="008C4D0A">
        <w:t xml:space="preserve"> examine</w:t>
      </w:r>
      <w:r w:rsidR="00D56F7D">
        <w:t xml:space="preserve"> the author’s claims </w:t>
      </w:r>
      <w:r w:rsidR="00D56F7D">
        <w:rPr>
          <w:lang w:val="en-US"/>
        </w:rPr>
        <w:t>under article 14</w:t>
      </w:r>
      <w:r w:rsidR="008C4D0A">
        <w:rPr>
          <w:lang w:val="en-US"/>
        </w:rPr>
        <w:t xml:space="preserve"> (</w:t>
      </w:r>
      <w:r w:rsidR="00D56F7D">
        <w:rPr>
          <w:lang w:val="en-US"/>
        </w:rPr>
        <w:t>5</w:t>
      </w:r>
      <w:r w:rsidR="008C4D0A">
        <w:rPr>
          <w:lang w:val="en-US"/>
        </w:rPr>
        <w:t>)</w:t>
      </w:r>
      <w:r w:rsidR="00D56F7D">
        <w:rPr>
          <w:lang w:val="en-US"/>
        </w:rPr>
        <w:t>.</w:t>
      </w:r>
    </w:p>
    <w:p w:rsidR="00CB274B" w:rsidRDefault="00782F2A" w:rsidP="00A30566">
      <w:pPr>
        <w:pStyle w:val="SingleTxtG"/>
        <w:spacing w:line="230" w:lineRule="atLeast"/>
      </w:pPr>
      <w:r>
        <w:t>9</w:t>
      </w:r>
      <w:r w:rsidR="00AD4A26">
        <w:t>.</w:t>
      </w:r>
      <w:r w:rsidR="00D56F7D">
        <w:t>9</w:t>
      </w:r>
      <w:r w:rsidR="00AD4A26">
        <w:tab/>
      </w:r>
      <w:r w:rsidR="008C4D0A">
        <w:t>With r</w:t>
      </w:r>
      <w:r w:rsidR="00AD4A26">
        <w:t>egard</w:t>
      </w:r>
      <w:r w:rsidR="008C4D0A">
        <w:t xml:space="preserve"> to</w:t>
      </w:r>
      <w:r w:rsidR="00AD4A26">
        <w:t xml:space="preserve"> the author’s claims that he was not afforded </w:t>
      </w:r>
      <w:r w:rsidR="002A736F">
        <w:t>the</w:t>
      </w:r>
      <w:r w:rsidR="00AD4A26">
        <w:t xml:space="preserve"> right to cross-examine an important witness, C.H.A.</w:t>
      </w:r>
      <w:r w:rsidR="008C4D0A">
        <w:t>,</w:t>
      </w:r>
      <w:r w:rsidR="00AD4A26">
        <w:t xml:space="preserve"> in court </w:t>
      </w:r>
      <w:r w:rsidR="008C4D0A">
        <w:t xml:space="preserve">and that only </w:t>
      </w:r>
      <w:r w:rsidR="00AD4A26">
        <w:t xml:space="preserve">his </w:t>
      </w:r>
      <w:r w:rsidR="008C4D0A">
        <w:t xml:space="preserve">initial </w:t>
      </w:r>
      <w:r w:rsidR="00AD4A26">
        <w:t>statement w</w:t>
      </w:r>
      <w:r w:rsidR="008C4D0A">
        <w:t xml:space="preserve">as recorded as having been </w:t>
      </w:r>
      <w:r w:rsidR="00AD4A26">
        <w:t>read, the Committee notes that</w:t>
      </w:r>
      <w:r w:rsidR="008C4D0A">
        <w:t>,</w:t>
      </w:r>
      <w:r w:rsidR="00AD4A26">
        <w:t xml:space="preserve"> according to the State party, </w:t>
      </w:r>
      <w:r w:rsidR="008C4D0A">
        <w:t xml:space="preserve">C.H.A. was </w:t>
      </w:r>
      <w:r w:rsidR="00AD4A26">
        <w:t>undergoing medical treatment</w:t>
      </w:r>
      <w:r w:rsidR="008C4D0A">
        <w:t xml:space="preserve"> at the time and could not attend</w:t>
      </w:r>
      <w:r w:rsidR="00AD4A26">
        <w:t xml:space="preserve">. </w:t>
      </w:r>
      <w:r w:rsidR="008C4D0A">
        <w:t>However, n</w:t>
      </w:r>
      <w:r w:rsidR="00AD4A26">
        <w:t xml:space="preserve">othing in the submissions indicates that </w:t>
      </w:r>
      <w:r w:rsidR="008C4D0A">
        <w:t>C.H.A.</w:t>
      </w:r>
      <w:r w:rsidR="00AD4A26">
        <w:t xml:space="preserve"> was permanently unavailable.</w:t>
      </w:r>
      <w:r w:rsidR="00E94103">
        <w:t xml:space="preserve"> </w:t>
      </w:r>
      <w:r w:rsidR="00E94103" w:rsidRPr="0067763C">
        <w:t>Similarly,</w:t>
      </w:r>
      <w:r w:rsidR="00E94103">
        <w:t xml:space="preserve"> </w:t>
      </w:r>
      <w:r w:rsidR="0067763C">
        <w:t>since</w:t>
      </w:r>
      <w:r w:rsidR="00E94103">
        <w:t xml:space="preserve"> the author’s wife refused to testify by invoking her rights under article 51 of the Constitution, her statement to the police </w:t>
      </w:r>
      <w:r w:rsidR="0067763C">
        <w:t xml:space="preserve">was </w:t>
      </w:r>
      <w:r w:rsidR="00E94103">
        <w:t>record</w:t>
      </w:r>
      <w:r w:rsidR="0067763C">
        <w:t xml:space="preserve"> as having been read</w:t>
      </w:r>
      <w:r w:rsidR="00E94103">
        <w:t xml:space="preserve">, and </w:t>
      </w:r>
      <w:r w:rsidR="0067763C">
        <w:t>she was</w:t>
      </w:r>
      <w:r w:rsidR="00E94103">
        <w:t xml:space="preserve"> not subject to cross-examination by the author. T</w:t>
      </w:r>
      <w:r w:rsidR="004714D8">
        <w:t xml:space="preserve">he Committee </w:t>
      </w:r>
      <w:r w:rsidR="00962AED">
        <w:t>also</w:t>
      </w:r>
      <w:r w:rsidR="004714D8">
        <w:t xml:space="preserve"> notes that six </w:t>
      </w:r>
      <w:r w:rsidR="00962AED">
        <w:t>additional</w:t>
      </w:r>
      <w:r w:rsidR="0067763C">
        <w:t xml:space="preserve"> </w:t>
      </w:r>
      <w:r w:rsidR="004714D8">
        <w:t>witnesses</w:t>
      </w:r>
      <w:r w:rsidR="0067763C">
        <w:t xml:space="preserve"> requested by the author</w:t>
      </w:r>
      <w:r w:rsidR="004714D8">
        <w:t xml:space="preserve"> were not </w:t>
      </w:r>
      <w:r w:rsidR="0067763C">
        <w:t>subpoenaed</w:t>
      </w:r>
      <w:r w:rsidR="004714D8">
        <w:t xml:space="preserve"> to testify in </w:t>
      </w:r>
      <w:r w:rsidR="0067763C">
        <w:t>his</w:t>
      </w:r>
      <w:r w:rsidR="004714D8">
        <w:t xml:space="preserve"> defence. The State party </w:t>
      </w:r>
      <w:r w:rsidR="0067763C">
        <w:t xml:space="preserve">did not </w:t>
      </w:r>
      <w:r w:rsidR="004714D8">
        <w:t>provide</w:t>
      </w:r>
      <w:r w:rsidR="0067763C">
        <w:t xml:space="preserve"> any</w:t>
      </w:r>
      <w:r w:rsidR="004714D8">
        <w:t xml:space="preserve"> specific information regarding th</w:t>
      </w:r>
      <w:r w:rsidR="0067763C">
        <w:t>o</w:t>
      </w:r>
      <w:r w:rsidR="004714D8">
        <w:t>se witnesses</w:t>
      </w:r>
      <w:r w:rsidR="0067763C">
        <w:t>; it</w:t>
      </w:r>
      <w:r w:rsidR="004714D8">
        <w:t xml:space="preserve"> </w:t>
      </w:r>
      <w:r w:rsidR="0067763C">
        <w:t>only</w:t>
      </w:r>
      <w:r w:rsidR="004714D8">
        <w:t xml:space="preserve"> stat</w:t>
      </w:r>
      <w:r w:rsidR="0067763C">
        <w:t>ed</w:t>
      </w:r>
      <w:r w:rsidR="004714D8">
        <w:t xml:space="preserve"> that it </w:t>
      </w:r>
      <w:r w:rsidR="0067763C">
        <w:t>was</w:t>
      </w:r>
      <w:r w:rsidR="004714D8">
        <w:t xml:space="preserve"> up to the court to decide on those types of requests. The Committee </w:t>
      </w:r>
      <w:r w:rsidR="00962AED">
        <w:t xml:space="preserve">further </w:t>
      </w:r>
      <w:r w:rsidR="004714D8">
        <w:t xml:space="preserve">notes that while the right to obtain </w:t>
      </w:r>
      <w:r w:rsidR="00962AED">
        <w:t xml:space="preserve">the attendance of </w:t>
      </w:r>
      <w:r w:rsidR="004714D8">
        <w:t xml:space="preserve">witnesses is not unlimited, the accused or their counsel should have </w:t>
      </w:r>
      <w:r w:rsidR="00962AED">
        <w:t>the</w:t>
      </w:r>
      <w:r w:rsidR="004714D8">
        <w:t xml:space="preserve"> right to have witnesses </w:t>
      </w:r>
      <w:r w:rsidR="00962AED">
        <w:t xml:space="preserve">who </w:t>
      </w:r>
      <w:r w:rsidR="004714D8">
        <w:t>are relevant for the defence</w:t>
      </w:r>
      <w:r w:rsidR="00962AED">
        <w:t xml:space="preserve"> admitted</w:t>
      </w:r>
      <w:r w:rsidR="004714D8">
        <w:t xml:space="preserve"> and to be given a proper opportunity to question and challenge witnesses against them at some stage of the proceedings</w:t>
      </w:r>
      <w:r w:rsidR="00962AED">
        <w:t>.</w:t>
      </w:r>
      <w:r w:rsidR="004714D8">
        <w:rPr>
          <w:rStyle w:val="FootnoteReference"/>
        </w:rPr>
        <w:footnoteReference w:id="24"/>
      </w:r>
      <w:r w:rsidR="004714D8">
        <w:t xml:space="preserve"> Furthermore, the Sverdlovsk Regional Court did not give any reasons as to why it refused the author’s request to summon additional witnesses or why, for that matter, the court hearing could not have been postponed to secure </w:t>
      </w:r>
      <w:r w:rsidR="00172F22">
        <w:t xml:space="preserve">the </w:t>
      </w:r>
      <w:r w:rsidR="004714D8">
        <w:t>presence of C.H.A.</w:t>
      </w:r>
      <w:r w:rsidR="00E94103">
        <w:t xml:space="preserve"> or any other witnesses</w:t>
      </w:r>
      <w:r w:rsidR="007C3C35">
        <w:t xml:space="preserve">, especially considering the gravity of </w:t>
      </w:r>
      <w:r w:rsidR="00172F22">
        <w:t xml:space="preserve">the </w:t>
      </w:r>
      <w:r w:rsidR="007C3C35">
        <w:t xml:space="preserve">charges against </w:t>
      </w:r>
      <w:r w:rsidR="00DF2773">
        <w:t>him</w:t>
      </w:r>
      <w:r w:rsidR="00E94103">
        <w:t>.</w:t>
      </w:r>
      <w:r w:rsidR="004714D8">
        <w:t xml:space="preserve"> </w:t>
      </w:r>
      <w:r w:rsidR="002A736F">
        <w:t>These factors, taken together</w:t>
      </w:r>
      <w:r w:rsidR="00064CCA">
        <w:t xml:space="preserve">, </w:t>
      </w:r>
      <w:r w:rsidR="00DF2773">
        <w:t>in particular</w:t>
      </w:r>
      <w:r w:rsidR="00064CCA">
        <w:t xml:space="preserve"> the author’s inability to cross-examine an important witness</w:t>
      </w:r>
      <w:r w:rsidR="002A736F">
        <w:t>, lead</w:t>
      </w:r>
      <w:r w:rsidR="004714D8">
        <w:t xml:space="preserve"> the Committee </w:t>
      </w:r>
      <w:r w:rsidR="002A736F">
        <w:t>to conclude</w:t>
      </w:r>
      <w:r w:rsidR="004714D8">
        <w:t xml:space="preserve"> that the </w:t>
      </w:r>
      <w:r w:rsidR="002A736F">
        <w:t>State party violated the author’s rights under article 14</w:t>
      </w:r>
      <w:r w:rsidR="00DF2773">
        <w:t xml:space="preserve"> (</w:t>
      </w:r>
      <w:r w:rsidR="002A736F">
        <w:t>3</w:t>
      </w:r>
      <w:r w:rsidR="00DF2773">
        <w:t>)</w:t>
      </w:r>
      <w:r w:rsidR="002A736F">
        <w:t xml:space="preserve"> (e)</w:t>
      </w:r>
      <w:r w:rsidR="00CD729A">
        <w:t>.</w:t>
      </w:r>
      <w:r w:rsidR="002A736F">
        <w:rPr>
          <w:rStyle w:val="FootnoteReference"/>
        </w:rPr>
        <w:footnoteReference w:id="25"/>
      </w:r>
      <w:r w:rsidR="002A736F">
        <w:t xml:space="preserve"> </w:t>
      </w:r>
    </w:p>
    <w:p w:rsidR="00CB274B" w:rsidRPr="000A603E" w:rsidRDefault="00782F2A" w:rsidP="00A30566">
      <w:pPr>
        <w:pStyle w:val="SingleTxtG"/>
        <w:spacing w:line="230" w:lineRule="atLeast"/>
      </w:pPr>
      <w:r>
        <w:t>10</w:t>
      </w:r>
      <w:r w:rsidR="00CB274B" w:rsidRPr="000A603E">
        <w:t>.</w:t>
      </w:r>
      <w:r w:rsidR="00CB274B" w:rsidRPr="000A603E">
        <w:tab/>
        <w:t xml:space="preserve">The Committee, acting under article 5 </w:t>
      </w:r>
      <w:r w:rsidR="00CB274B">
        <w:t>(</w:t>
      </w:r>
      <w:r w:rsidR="00CB274B" w:rsidRPr="000A603E">
        <w:t>4</w:t>
      </w:r>
      <w:r w:rsidR="00CB274B">
        <w:t>)</w:t>
      </w:r>
      <w:r w:rsidR="00CB274B" w:rsidRPr="000A603E">
        <w:t xml:space="preserve"> of the Optional Protocol, is of the view that the</w:t>
      </w:r>
      <w:r w:rsidR="00CB274B">
        <w:t xml:space="preserve"> facts before it disclose a violation of the author’s rights under article</w:t>
      </w:r>
      <w:r w:rsidR="002C7C77">
        <w:t xml:space="preserve"> 14</w:t>
      </w:r>
      <w:r w:rsidR="00CF5453">
        <w:t xml:space="preserve"> (</w:t>
      </w:r>
      <w:r w:rsidR="00D7231D">
        <w:t>1</w:t>
      </w:r>
      <w:r w:rsidR="00CF5453">
        <w:t>)</w:t>
      </w:r>
      <w:r w:rsidR="00D7231D">
        <w:t>,</w:t>
      </w:r>
      <w:r w:rsidR="00DF2773">
        <w:t xml:space="preserve"> </w:t>
      </w:r>
      <w:r w:rsidR="00CF5453">
        <w:t>(</w:t>
      </w:r>
      <w:r w:rsidR="002C7C77">
        <w:t>3</w:t>
      </w:r>
      <w:r w:rsidR="00CF5453">
        <w:t>)</w:t>
      </w:r>
      <w:r w:rsidR="002C7C77">
        <w:t xml:space="preserve"> (d) and (e)</w:t>
      </w:r>
      <w:r w:rsidR="00CB274B">
        <w:t xml:space="preserve"> </w:t>
      </w:r>
      <w:r w:rsidR="002C7C77">
        <w:t>o</w:t>
      </w:r>
      <w:r w:rsidR="00CB274B" w:rsidRPr="000A603E">
        <w:t>f the Covenant.</w:t>
      </w:r>
    </w:p>
    <w:p w:rsidR="00CB274B" w:rsidRDefault="00CB274B" w:rsidP="00A30566">
      <w:pPr>
        <w:pStyle w:val="SingleTxtG"/>
        <w:spacing w:line="230" w:lineRule="atLeast"/>
      </w:pPr>
      <w:r>
        <w:t>1</w:t>
      </w:r>
      <w:r w:rsidR="00782F2A">
        <w:t>1</w:t>
      </w:r>
      <w:r w:rsidRPr="000A603E">
        <w:t>.</w:t>
      </w:r>
      <w:r w:rsidRPr="000A603E">
        <w:tab/>
      </w:r>
      <w:r w:rsidR="00DF2773">
        <w:t>In accordance with</w:t>
      </w:r>
      <w:r>
        <w:rPr>
          <w:lang w:val="en-US"/>
        </w:rPr>
        <w:t xml:space="preserve"> article 2 (3) (a) of the Covenant, </w:t>
      </w:r>
      <w:r>
        <w:t xml:space="preserve">the State party is under an obligation to provide the author with an effective remedy. </w:t>
      </w:r>
      <w:r w:rsidRPr="00515BB2">
        <w:rPr>
          <w:color w:val="000000"/>
        </w:rPr>
        <w:t xml:space="preserve">This requires it to make full reparation </w:t>
      </w:r>
      <w:r>
        <w:rPr>
          <w:color w:val="000000"/>
        </w:rPr>
        <w:t xml:space="preserve">to </w:t>
      </w:r>
      <w:r w:rsidRPr="00515BB2">
        <w:rPr>
          <w:color w:val="000000"/>
        </w:rPr>
        <w:t>individuals whose Covenant rights have been violated. Accordingly, the State party is obligated</w:t>
      </w:r>
      <w:r w:rsidR="00DF2773">
        <w:rPr>
          <w:color w:val="000000"/>
        </w:rPr>
        <w:t xml:space="preserve"> to</w:t>
      </w:r>
      <w:r w:rsidRPr="00515BB2">
        <w:rPr>
          <w:color w:val="000000"/>
        </w:rPr>
        <w:t xml:space="preserve">, inter alia, </w:t>
      </w:r>
      <w:r>
        <w:t>take appropriate steps to: (a</w:t>
      </w:r>
      <w:r>
        <w:rPr>
          <w:lang w:val="en-US"/>
        </w:rPr>
        <w:t>) qu</w:t>
      </w:r>
      <w:r w:rsidR="00951322">
        <w:rPr>
          <w:lang w:val="en-US"/>
        </w:rPr>
        <w:t xml:space="preserve">ash the author’s conviction </w:t>
      </w:r>
      <w:r>
        <w:rPr>
          <w:lang w:val="en-US"/>
        </w:rPr>
        <w:t>and</w:t>
      </w:r>
      <w:r w:rsidR="00AB5481">
        <w:rPr>
          <w:lang w:val="en-US"/>
        </w:rPr>
        <w:t>, if necessary,</w:t>
      </w:r>
      <w:r>
        <w:rPr>
          <w:lang w:val="en-US"/>
        </w:rPr>
        <w:t xml:space="preserve"> conduct a new trial, subject to the principles of fair hearings, access to counsel and other procedural safeguards;</w:t>
      </w:r>
      <w:r>
        <w:t xml:space="preserve"> and (b) provide the author with adequate compensation</w:t>
      </w:r>
      <w:r>
        <w:rPr>
          <w:lang w:val="en-US"/>
        </w:rPr>
        <w:t>. The State party is also under an obligation to take steps to prevent similar violations in the future.</w:t>
      </w:r>
    </w:p>
    <w:p w:rsidR="00A51418" w:rsidRDefault="00CB274B" w:rsidP="00A30566">
      <w:pPr>
        <w:pStyle w:val="SingleTxtG"/>
        <w:spacing w:line="230" w:lineRule="atLeast"/>
      </w:pPr>
      <w:r w:rsidRPr="000A603E">
        <w:t>1</w:t>
      </w:r>
      <w:r w:rsidR="00782F2A">
        <w:t>2</w:t>
      </w:r>
      <w:r w:rsidRPr="000A603E">
        <w:t>.</w:t>
      </w:r>
      <w:r w:rsidRPr="000A603E">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w:t>
      </w:r>
      <w:r w:rsidR="006F7A5C">
        <w:t>and</w:t>
      </w:r>
      <w:r w:rsidRPr="000A603E">
        <w:t xml:space="preserve">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w:t>
      </w:r>
      <w:r w:rsidR="006F7A5C">
        <w:t>present</w:t>
      </w:r>
      <w:r w:rsidRPr="000A603E">
        <w:t xml:space="preserve"> Views. In addition, it requests the State party to publish the Views.</w:t>
      </w:r>
    </w:p>
    <w:p w:rsidR="00CD729A" w:rsidRPr="00CD729A" w:rsidRDefault="00CD729A" w:rsidP="00A30566">
      <w:pPr>
        <w:pStyle w:val="SingleTxtG"/>
        <w:spacing w:before="240" w:after="0" w:line="230" w:lineRule="atLeast"/>
        <w:jc w:val="center"/>
        <w:rPr>
          <w:u w:val="single"/>
        </w:rPr>
      </w:pPr>
      <w:r>
        <w:rPr>
          <w:u w:val="single"/>
        </w:rPr>
        <w:tab/>
      </w:r>
      <w:r>
        <w:rPr>
          <w:u w:val="single"/>
        </w:rPr>
        <w:tab/>
      </w:r>
      <w:r>
        <w:rPr>
          <w:u w:val="single"/>
        </w:rPr>
        <w:tab/>
      </w:r>
    </w:p>
    <w:sectPr w:rsidR="00CD729A" w:rsidRPr="00CD729A" w:rsidSect="00B47624">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42A" w:rsidRDefault="00E6542A"/>
  </w:endnote>
  <w:endnote w:type="continuationSeparator" w:id="0">
    <w:p w:rsidR="00E6542A" w:rsidRDefault="00E6542A"/>
  </w:endnote>
  <w:endnote w:type="continuationNotice" w:id="1">
    <w:p w:rsidR="00E6542A" w:rsidRDefault="00E65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35" w:rsidRPr="00781C83" w:rsidRDefault="00251C35"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E815F7">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35" w:rsidRPr="008D1595" w:rsidRDefault="00251C35" w:rsidP="00781C83">
    <w:pPr>
      <w:pStyle w:val="Footer"/>
      <w:tabs>
        <w:tab w:val="right" w:pos="9638"/>
      </w:tabs>
      <w:rPr>
        <w:b/>
        <w:bCs/>
        <w:sz w:val="18"/>
      </w:rPr>
    </w:pPr>
    <w:r>
      <w:rPr>
        <w:b/>
        <w:sz w:val="18"/>
      </w:rPr>
      <w:tab/>
    </w:r>
    <w:r w:rsidRPr="008D1595">
      <w:rPr>
        <w:b/>
        <w:bCs/>
        <w:sz w:val="18"/>
      </w:rPr>
      <w:fldChar w:fldCharType="begin"/>
    </w:r>
    <w:r w:rsidRPr="008D1595">
      <w:rPr>
        <w:b/>
        <w:bCs/>
        <w:sz w:val="18"/>
      </w:rPr>
      <w:instrText xml:space="preserve"> PAGE  \* MERGEFORMAT </w:instrText>
    </w:r>
    <w:r w:rsidRPr="008D1595">
      <w:rPr>
        <w:b/>
        <w:bCs/>
        <w:sz w:val="18"/>
      </w:rPr>
      <w:fldChar w:fldCharType="separate"/>
    </w:r>
    <w:r w:rsidR="00E815F7">
      <w:rPr>
        <w:b/>
        <w:bCs/>
        <w:noProof/>
        <w:sz w:val="18"/>
      </w:rPr>
      <w:t>3</w:t>
    </w:r>
    <w:r w:rsidRPr="008D1595">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47" w:rsidRDefault="00581C47" w:rsidP="00581C47">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581C47" w:rsidRDefault="00581C47" w:rsidP="00581C47">
    <w:pPr>
      <w:pStyle w:val="Footer"/>
      <w:ind w:right="1134"/>
      <w:rPr>
        <w:sz w:val="20"/>
      </w:rPr>
    </w:pPr>
    <w:r>
      <w:rPr>
        <w:sz w:val="20"/>
      </w:rPr>
      <w:t>GE.16-07655(E)</w:t>
    </w:r>
  </w:p>
  <w:p w:rsidR="00581C47" w:rsidRPr="00581C47" w:rsidRDefault="00581C47" w:rsidP="00581C4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5000" cy="635000"/>
          <wp:effectExtent l="0" t="0" r="0" b="0"/>
          <wp:wrapNone/>
          <wp:docPr id="1" name="Picture 1" descr="http://undocs.org/m2/QRCode.ashx?DS=CCPR/C/116/D/2059/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059/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42A" w:rsidRPr="000B175B" w:rsidRDefault="00E6542A" w:rsidP="000B175B">
      <w:pPr>
        <w:tabs>
          <w:tab w:val="right" w:pos="2155"/>
        </w:tabs>
        <w:spacing w:after="80"/>
        <w:ind w:left="680"/>
        <w:rPr>
          <w:u w:val="single"/>
        </w:rPr>
      </w:pPr>
      <w:r>
        <w:rPr>
          <w:u w:val="single"/>
        </w:rPr>
        <w:tab/>
      </w:r>
    </w:p>
  </w:footnote>
  <w:footnote w:type="continuationSeparator" w:id="0">
    <w:p w:rsidR="00E6542A" w:rsidRPr="00FC68B7" w:rsidRDefault="00E6542A" w:rsidP="00FC68B7">
      <w:pPr>
        <w:tabs>
          <w:tab w:val="left" w:pos="2155"/>
        </w:tabs>
        <w:spacing w:after="80"/>
        <w:ind w:left="680"/>
        <w:rPr>
          <w:u w:val="single"/>
        </w:rPr>
      </w:pPr>
      <w:r>
        <w:rPr>
          <w:u w:val="single"/>
        </w:rPr>
        <w:tab/>
      </w:r>
    </w:p>
  </w:footnote>
  <w:footnote w:type="continuationNotice" w:id="1">
    <w:p w:rsidR="00E6542A" w:rsidRDefault="00E6542A"/>
  </w:footnote>
  <w:footnote w:id="2">
    <w:p w:rsidR="00251C35" w:rsidRPr="00A30566" w:rsidRDefault="00251C35" w:rsidP="00806FE3">
      <w:pPr>
        <w:pStyle w:val="FootnoteText"/>
        <w:rPr>
          <w:lang w:val="en-GB"/>
        </w:rPr>
      </w:pPr>
      <w:r>
        <w:rPr>
          <w:rStyle w:val="FootnoteReference"/>
        </w:rPr>
        <w:tab/>
      </w:r>
      <w:r w:rsidRPr="005717F1">
        <w:rPr>
          <w:rStyle w:val="FootnoteReference"/>
          <w:sz w:val="20"/>
          <w:vertAlign w:val="baseline"/>
        </w:rPr>
        <w:t>*</w:t>
      </w:r>
      <w:r>
        <w:rPr>
          <w:rStyle w:val="FootnoteReference"/>
          <w:sz w:val="20"/>
          <w:vertAlign w:val="baseline"/>
        </w:rPr>
        <w:tab/>
      </w:r>
      <w:r>
        <w:t xml:space="preserve">Adopted by the Committee </w:t>
      </w:r>
      <w:r w:rsidRPr="009E4187">
        <w:t xml:space="preserve">at its </w:t>
      </w:r>
      <w:r w:rsidRPr="00A30566">
        <w:rPr>
          <w:lang w:val="en-GB"/>
        </w:rPr>
        <w:t>116th</w:t>
      </w:r>
      <w:r w:rsidRPr="009E4187">
        <w:t xml:space="preserve"> session (</w:t>
      </w:r>
      <w:r w:rsidRPr="00A30566">
        <w:rPr>
          <w:lang w:val="en-GB"/>
        </w:rPr>
        <w:t>7-31 March 2016</w:t>
      </w:r>
      <w:r w:rsidRPr="009E4187">
        <w:t>).</w:t>
      </w:r>
    </w:p>
  </w:footnote>
  <w:footnote w:id="3">
    <w:p w:rsidR="00251C35" w:rsidRPr="00A30566" w:rsidRDefault="00251C35" w:rsidP="002768AC">
      <w:pPr>
        <w:pStyle w:val="FootnoteText"/>
        <w:rPr>
          <w:lang w:val="en-GB"/>
        </w:rPr>
      </w:pPr>
      <w:r>
        <w:rPr>
          <w:rStyle w:val="FootnoteReference"/>
        </w:rPr>
        <w:tab/>
      </w:r>
      <w:r w:rsidRPr="00B47624">
        <w:rPr>
          <w:rStyle w:val="FootnoteReference"/>
          <w:sz w:val="20"/>
          <w:vertAlign w:val="baseline"/>
        </w:rPr>
        <w:t>**</w:t>
      </w:r>
      <w:r w:rsidRPr="00A30566">
        <w:rPr>
          <w:lang w:val="en-GB"/>
        </w:rPr>
        <w:tab/>
      </w:r>
      <w:bookmarkStart w:id="1" w:name="OLE_LINK1"/>
      <w:bookmarkStart w:id="2" w:name="OLE_LINK2"/>
      <w:r w:rsidRPr="009131F3">
        <w:rPr>
          <w:szCs w:val="18"/>
        </w:rPr>
        <w:t xml:space="preserve">The following members of the Committee participated in the examination of the communication: </w:t>
      </w:r>
      <w:bookmarkEnd w:id="1"/>
      <w:bookmarkEnd w:id="2"/>
      <w:r w:rsidRPr="00C455EA">
        <w:rPr>
          <w:szCs w:val="18"/>
        </w:rPr>
        <w:t xml:space="preserve">Yadh </w:t>
      </w:r>
      <w:r>
        <w:rPr>
          <w:szCs w:val="18"/>
        </w:rPr>
        <w:t xml:space="preserve">Ben Achour, </w:t>
      </w:r>
      <w:r w:rsidRPr="00C455EA">
        <w:rPr>
          <w:szCs w:val="18"/>
        </w:rPr>
        <w:t>Lazhari Bouzid</w:t>
      </w:r>
      <w:r>
        <w:rPr>
          <w:szCs w:val="18"/>
        </w:rPr>
        <w:t xml:space="preserve">, </w:t>
      </w:r>
      <w:r w:rsidRPr="00C455EA">
        <w:rPr>
          <w:szCs w:val="18"/>
        </w:rPr>
        <w:t>Sarah Cleveland</w:t>
      </w:r>
      <w:r>
        <w:rPr>
          <w:szCs w:val="18"/>
        </w:rPr>
        <w:t xml:space="preserve">, Olivier de Frouville, </w:t>
      </w:r>
      <w:r w:rsidRPr="00C455EA">
        <w:rPr>
          <w:szCs w:val="18"/>
        </w:rPr>
        <w:t>Yuji</w:t>
      </w:r>
      <w:r>
        <w:rPr>
          <w:szCs w:val="18"/>
        </w:rPr>
        <w:t> </w:t>
      </w:r>
      <w:r w:rsidRPr="00C455EA">
        <w:rPr>
          <w:szCs w:val="18"/>
        </w:rPr>
        <w:t>Iwasawa</w:t>
      </w:r>
      <w:r>
        <w:rPr>
          <w:szCs w:val="18"/>
        </w:rPr>
        <w:t xml:space="preserve">, Ivana Jelić, </w:t>
      </w:r>
      <w:r w:rsidRPr="00C455EA">
        <w:rPr>
          <w:szCs w:val="18"/>
        </w:rPr>
        <w:t xml:space="preserve">Duncan </w:t>
      </w:r>
      <w:r>
        <w:rPr>
          <w:szCs w:val="18"/>
        </w:rPr>
        <w:t xml:space="preserve">Laki </w:t>
      </w:r>
      <w:r w:rsidRPr="00C455EA">
        <w:rPr>
          <w:szCs w:val="18"/>
        </w:rPr>
        <w:t>Muhumuza</w:t>
      </w:r>
      <w:r>
        <w:rPr>
          <w:szCs w:val="18"/>
        </w:rPr>
        <w:t xml:space="preserve">, </w:t>
      </w:r>
      <w:r w:rsidRPr="00C455EA">
        <w:rPr>
          <w:szCs w:val="18"/>
        </w:rPr>
        <w:t>Photini Pazartzis</w:t>
      </w:r>
      <w:r>
        <w:rPr>
          <w:szCs w:val="18"/>
        </w:rPr>
        <w:t xml:space="preserve">, </w:t>
      </w:r>
      <w:r>
        <w:rPr>
          <w:bCs/>
          <w:szCs w:val="18"/>
        </w:rPr>
        <w:t>Sir</w:t>
      </w:r>
      <w:r>
        <w:rPr>
          <w:szCs w:val="18"/>
        </w:rPr>
        <w:t xml:space="preserve"> Nigel Rodley, </w:t>
      </w:r>
      <w:r w:rsidRPr="00C455EA">
        <w:rPr>
          <w:szCs w:val="18"/>
        </w:rPr>
        <w:t>V</w:t>
      </w:r>
      <w:r>
        <w:rPr>
          <w:szCs w:val="18"/>
        </w:rPr>
        <w:t>í</w:t>
      </w:r>
      <w:r w:rsidRPr="00C455EA">
        <w:rPr>
          <w:szCs w:val="18"/>
        </w:rPr>
        <w:t>ctor</w:t>
      </w:r>
      <w:r>
        <w:rPr>
          <w:szCs w:val="18"/>
        </w:rPr>
        <w:t> </w:t>
      </w:r>
      <w:r w:rsidRPr="00C455EA">
        <w:rPr>
          <w:szCs w:val="18"/>
        </w:rPr>
        <w:t>Manuel Rodríguez-Rescia</w:t>
      </w:r>
      <w:r>
        <w:rPr>
          <w:szCs w:val="18"/>
        </w:rPr>
        <w:t xml:space="preserve">, </w:t>
      </w:r>
      <w:r w:rsidRPr="00C455EA">
        <w:rPr>
          <w:szCs w:val="18"/>
        </w:rPr>
        <w:t>Fabián Omar Salvioli</w:t>
      </w:r>
      <w:r>
        <w:rPr>
          <w:szCs w:val="18"/>
        </w:rPr>
        <w:t xml:space="preserve">, </w:t>
      </w:r>
      <w:r w:rsidRPr="00C455EA">
        <w:rPr>
          <w:szCs w:val="18"/>
        </w:rPr>
        <w:t xml:space="preserve">Dheerujlall </w:t>
      </w:r>
      <w:r>
        <w:rPr>
          <w:szCs w:val="18"/>
        </w:rPr>
        <w:t xml:space="preserve">B. </w:t>
      </w:r>
      <w:r w:rsidRPr="00C455EA">
        <w:rPr>
          <w:szCs w:val="18"/>
        </w:rPr>
        <w:t>Seetulsingh</w:t>
      </w:r>
      <w:r>
        <w:rPr>
          <w:szCs w:val="18"/>
        </w:rPr>
        <w:t xml:space="preserve">, </w:t>
      </w:r>
      <w:r w:rsidRPr="00C455EA">
        <w:rPr>
          <w:szCs w:val="18"/>
        </w:rPr>
        <w:t>Anja Seibert-Fohr</w:t>
      </w:r>
      <w:r>
        <w:rPr>
          <w:szCs w:val="18"/>
        </w:rPr>
        <w:t xml:space="preserve">, </w:t>
      </w:r>
      <w:r w:rsidRPr="00C455EA">
        <w:rPr>
          <w:szCs w:val="18"/>
        </w:rPr>
        <w:t>Yuval Shany</w:t>
      </w:r>
      <w:r>
        <w:rPr>
          <w:szCs w:val="18"/>
        </w:rPr>
        <w:t xml:space="preserve">, </w:t>
      </w:r>
      <w:r w:rsidRPr="00C455EA">
        <w:rPr>
          <w:szCs w:val="18"/>
        </w:rPr>
        <w:t>Konstantine Vardzelashvili</w:t>
      </w:r>
      <w:r>
        <w:rPr>
          <w:szCs w:val="18"/>
        </w:rPr>
        <w:t xml:space="preserve"> and </w:t>
      </w:r>
      <w:r w:rsidRPr="00C455EA">
        <w:rPr>
          <w:szCs w:val="18"/>
        </w:rPr>
        <w:t>Margo Waterval</w:t>
      </w:r>
      <w:r w:rsidRPr="00686139">
        <w:t>.</w:t>
      </w:r>
    </w:p>
  </w:footnote>
  <w:footnote w:id="4">
    <w:p w:rsidR="00251C35" w:rsidRPr="00DF2E69" w:rsidRDefault="00251C35" w:rsidP="002768AC">
      <w:pPr>
        <w:pStyle w:val="FootnoteText"/>
      </w:pPr>
      <w:r>
        <w:tab/>
      </w:r>
      <w:r>
        <w:rPr>
          <w:rStyle w:val="FootnoteReference"/>
        </w:rPr>
        <w:footnoteRef/>
      </w:r>
      <w:r>
        <w:tab/>
        <w:t xml:space="preserve">The author submits a copy of the trial record and refers to pages 2, 3, 7, 22, </w:t>
      </w:r>
      <w:r w:rsidR="003B1FA7">
        <w:t>2</w:t>
      </w:r>
      <w:r w:rsidRPr="003B1FA7">
        <w:t>3,</w:t>
      </w:r>
      <w:r>
        <w:t xml:space="preserve"> 59 and 71 of the record.</w:t>
      </w:r>
    </w:p>
  </w:footnote>
  <w:footnote w:id="5">
    <w:p w:rsidR="00251C35" w:rsidRPr="00DF78C3" w:rsidRDefault="00251C35" w:rsidP="002768AC">
      <w:pPr>
        <w:pStyle w:val="FootnoteText"/>
      </w:pPr>
      <w:r>
        <w:tab/>
      </w:r>
      <w:r>
        <w:rPr>
          <w:rStyle w:val="FootnoteReference"/>
        </w:rPr>
        <w:footnoteRef/>
      </w:r>
      <w:r>
        <w:tab/>
        <w:t xml:space="preserve">The author submits a letter from the Bar Association, confirming that the attorney Mr. B. was hired by the relatives of one of the codefendants and that the court obliged him to continue representing the author even after the latter had rejected him. </w:t>
      </w:r>
    </w:p>
  </w:footnote>
  <w:footnote w:id="6">
    <w:p w:rsidR="00251C35" w:rsidRDefault="00251C35" w:rsidP="002768AC">
      <w:pPr>
        <w:pStyle w:val="FootnoteText"/>
      </w:pPr>
      <w:r>
        <w:tab/>
      </w:r>
      <w:r>
        <w:rPr>
          <w:rStyle w:val="FootnoteReference"/>
        </w:rPr>
        <w:footnoteRef/>
      </w:r>
      <w:r>
        <w:tab/>
        <w:t xml:space="preserve">In his later submissions, the author claims that he even provided the name of a new lawyer. </w:t>
      </w:r>
    </w:p>
  </w:footnote>
  <w:footnote w:id="7">
    <w:p w:rsidR="00251C35" w:rsidRDefault="00251C35" w:rsidP="002768AC">
      <w:pPr>
        <w:pStyle w:val="FootnoteText"/>
      </w:pPr>
      <w:r>
        <w:tab/>
      </w:r>
      <w:r>
        <w:rPr>
          <w:rStyle w:val="FootnoteReference"/>
        </w:rPr>
        <w:footnoteRef/>
      </w:r>
      <w:r>
        <w:tab/>
        <w:t xml:space="preserve">More detailed information on this was provided by the author in later submissions. </w:t>
      </w:r>
    </w:p>
  </w:footnote>
  <w:footnote w:id="8">
    <w:p w:rsidR="00251C35" w:rsidRDefault="00251C35" w:rsidP="002768AC">
      <w:pPr>
        <w:pStyle w:val="FootnoteText"/>
      </w:pPr>
      <w:r>
        <w:tab/>
      </w:r>
      <w:r>
        <w:rPr>
          <w:rStyle w:val="FootnoteReference"/>
        </w:rPr>
        <w:footnoteRef/>
      </w:r>
      <w:r>
        <w:tab/>
        <w:t xml:space="preserve">The author’s right to an effective appeal was raised during consideration of his subsequent submission to the Committee and not with his initial complaint. </w:t>
      </w:r>
    </w:p>
  </w:footnote>
  <w:footnote w:id="9">
    <w:p w:rsidR="00251C35" w:rsidRPr="0089315E" w:rsidRDefault="00251C35" w:rsidP="00114F22">
      <w:pPr>
        <w:pStyle w:val="FootnoteText"/>
      </w:pPr>
      <w:r>
        <w:tab/>
      </w:r>
      <w:r>
        <w:rPr>
          <w:rStyle w:val="FootnoteReference"/>
        </w:rPr>
        <w:footnoteRef/>
      </w:r>
      <w:r>
        <w:tab/>
        <w:t>While the author explicitly claims that his rights under articles 9 and 10 were violated, in the description of the facts, he does not provide any substantiation of those claims.</w:t>
      </w:r>
    </w:p>
  </w:footnote>
  <w:footnote w:id="10">
    <w:p w:rsidR="00251C35" w:rsidRDefault="00251C35" w:rsidP="00FB7498">
      <w:pPr>
        <w:pStyle w:val="FootnoteText"/>
      </w:pPr>
      <w:r>
        <w:tab/>
      </w:r>
      <w:r>
        <w:rPr>
          <w:rStyle w:val="FootnoteReference"/>
        </w:rPr>
        <w:footnoteRef/>
      </w:r>
      <w:r>
        <w:tab/>
        <w:t>Based on the submission, the State party was still using the Code of Criminal Procedure of the Russia Soviet Republic, up to 2002.</w:t>
      </w:r>
    </w:p>
  </w:footnote>
  <w:footnote w:id="11">
    <w:p w:rsidR="00251C35" w:rsidRDefault="00251C35" w:rsidP="00A72368">
      <w:pPr>
        <w:pStyle w:val="FootnoteText"/>
      </w:pPr>
      <w:r>
        <w:tab/>
      </w:r>
      <w:r>
        <w:rPr>
          <w:rStyle w:val="FootnoteReference"/>
        </w:rPr>
        <w:footnoteRef/>
      </w:r>
      <w:r>
        <w:tab/>
        <w:t xml:space="preserve">A copy of the decision of the Cassation Court indicates that the criminal investigation case </w:t>
      </w:r>
      <w:r w:rsidR="002338D4">
        <w:t xml:space="preserve">file </w:t>
      </w:r>
      <w:r>
        <w:t xml:space="preserve">consisted of six volumes and three videocassettes. </w:t>
      </w:r>
    </w:p>
  </w:footnote>
  <w:footnote w:id="12">
    <w:p w:rsidR="00251C35" w:rsidRDefault="00251C35" w:rsidP="00EF1DBF">
      <w:pPr>
        <w:pStyle w:val="FootnoteText"/>
      </w:pPr>
      <w:r>
        <w:tab/>
      </w:r>
      <w:r>
        <w:rPr>
          <w:rStyle w:val="FootnoteReference"/>
        </w:rPr>
        <w:footnoteRef/>
      </w:r>
      <w:r>
        <w:tab/>
        <w:t xml:space="preserve">It is not clear what the “intimate details” refer to, but it was known that some of the participants in the trial had been accused of infidelity. </w:t>
      </w:r>
    </w:p>
  </w:footnote>
  <w:footnote w:id="13">
    <w:p w:rsidR="00251C35" w:rsidRPr="008464CA" w:rsidRDefault="00251C35" w:rsidP="002338D4">
      <w:pPr>
        <w:pStyle w:val="FootnoteText"/>
        <w:rPr>
          <w:lang w:eastAsia="en-GB"/>
        </w:rPr>
      </w:pPr>
      <w:r>
        <w:tab/>
      </w:r>
      <w:r>
        <w:rPr>
          <w:rStyle w:val="FootnoteReference"/>
        </w:rPr>
        <w:footnoteRef/>
      </w:r>
      <w:r>
        <w:tab/>
      </w:r>
      <w:r w:rsidRPr="00CD729A">
        <w:t>The</w:t>
      </w:r>
      <w:r w:rsidRPr="008464CA">
        <w:rPr>
          <w:lang w:eastAsia="en-GB"/>
        </w:rPr>
        <w:t xml:space="preserve"> author sent the Committee another letter on 29 August 2012, in which he re</w:t>
      </w:r>
      <w:r w:rsidR="002338D4">
        <w:rPr>
          <w:lang w:eastAsia="en-GB"/>
        </w:rPr>
        <w:t>iterates</w:t>
      </w:r>
      <w:r w:rsidRPr="008464CA">
        <w:rPr>
          <w:lang w:eastAsia="en-GB"/>
        </w:rPr>
        <w:t xml:space="preserve"> his claims </w:t>
      </w:r>
      <w:r>
        <w:rPr>
          <w:lang w:eastAsia="en-GB"/>
        </w:rPr>
        <w:t xml:space="preserve">contained in his letter </w:t>
      </w:r>
      <w:r w:rsidRPr="008464CA">
        <w:rPr>
          <w:lang w:eastAsia="en-GB"/>
        </w:rPr>
        <w:t xml:space="preserve">dated 21 August 2012. </w:t>
      </w:r>
    </w:p>
  </w:footnote>
  <w:footnote w:id="14">
    <w:p w:rsidR="00251C35" w:rsidRDefault="00251C35" w:rsidP="002338D4">
      <w:pPr>
        <w:pStyle w:val="FootnoteText"/>
      </w:pPr>
      <w:r>
        <w:tab/>
      </w:r>
      <w:r>
        <w:rPr>
          <w:rStyle w:val="FootnoteReference"/>
        </w:rPr>
        <w:footnoteRef/>
      </w:r>
      <w:r>
        <w:tab/>
      </w:r>
      <w:r w:rsidRPr="00CD729A">
        <w:t>The</w:t>
      </w:r>
      <w:r>
        <w:t xml:space="preserve"> author submits that th</w:t>
      </w:r>
      <w:r w:rsidR="002338D4">
        <w:t>e</w:t>
      </w:r>
      <w:r>
        <w:t xml:space="preserve"> room was 2 </w:t>
      </w:r>
      <w:r w:rsidR="002338D4">
        <w:t>m x</w:t>
      </w:r>
      <w:r>
        <w:t xml:space="preserve"> 2 m, that it was very dark and damp</w:t>
      </w:r>
      <w:r w:rsidR="002338D4">
        <w:t xml:space="preserve"> with</w:t>
      </w:r>
      <w:r>
        <w:t xml:space="preserve"> only a small window and that he was prohibited from using any pens or pencils. </w:t>
      </w:r>
    </w:p>
  </w:footnote>
  <w:footnote w:id="15">
    <w:p w:rsidR="00251C35" w:rsidRDefault="00251C35" w:rsidP="002338D4">
      <w:pPr>
        <w:pStyle w:val="FootnoteText"/>
      </w:pPr>
      <w:r>
        <w:tab/>
      </w:r>
      <w:r>
        <w:rPr>
          <w:rStyle w:val="FootnoteReference"/>
        </w:rPr>
        <w:footnoteRef/>
      </w:r>
      <w:r>
        <w:tab/>
        <w:t xml:space="preserve">The </w:t>
      </w:r>
      <w:r w:rsidRPr="00CD729A">
        <w:t>reasons</w:t>
      </w:r>
      <w:r>
        <w:t xml:space="preserve"> for this disciplinary punishment are not provided. It is also not known how long the solitary confinement lasted. The lawyer, Mr. B., in his opening speech to the court during the trial</w:t>
      </w:r>
      <w:r w:rsidR="002338D4">
        <w:t>,</w:t>
      </w:r>
      <w:r>
        <w:t xml:space="preserve"> stated that his client was placed in solitary confinement “at least five times” during the pretrial investigation</w:t>
      </w:r>
      <w:r w:rsidR="002338D4">
        <w:t>. He did not</w:t>
      </w:r>
      <w:r>
        <w:t xml:space="preserve"> provid</w:t>
      </w:r>
      <w:r w:rsidR="002338D4">
        <w:t>e</w:t>
      </w:r>
      <w:r>
        <w:t xml:space="preserve"> any further details. </w:t>
      </w:r>
    </w:p>
  </w:footnote>
  <w:footnote w:id="16">
    <w:p w:rsidR="00251C35" w:rsidRDefault="00251C35">
      <w:pPr>
        <w:pStyle w:val="FootnoteText"/>
      </w:pPr>
      <w:r>
        <w:tab/>
      </w:r>
      <w:r>
        <w:rPr>
          <w:rStyle w:val="FootnoteReference"/>
        </w:rPr>
        <w:footnoteRef/>
      </w:r>
      <w:r>
        <w:tab/>
        <w:t xml:space="preserve">Article 51 of the Constitution states as follows: </w:t>
      </w:r>
    </w:p>
    <w:p w:rsidR="00251C35" w:rsidRDefault="00251C35">
      <w:pPr>
        <w:pStyle w:val="FootnoteText"/>
      </w:pPr>
      <w:r>
        <w:tab/>
      </w:r>
      <w:r>
        <w:tab/>
      </w:r>
      <w:r w:rsidRPr="008464CA">
        <w:t xml:space="preserve">1. </w:t>
      </w:r>
      <w:r>
        <w:t xml:space="preserve"> </w:t>
      </w:r>
      <w:r w:rsidRPr="008464CA">
        <w:t>No one shall be obliged to give incriminating evidence,</w:t>
      </w:r>
      <w:r>
        <w:t xml:space="preserve"> [against]</w:t>
      </w:r>
      <w:r w:rsidRPr="008464CA">
        <w:t xml:space="preserve"> husband or wife and close relatives</w:t>
      </w:r>
      <w:r>
        <w:t>,</w:t>
      </w:r>
      <w:r w:rsidRPr="008464CA">
        <w:t xml:space="preserve"> the range of whom is determined by the federal law.</w:t>
      </w:r>
      <w:r>
        <w:t xml:space="preserve">  </w:t>
      </w:r>
    </w:p>
    <w:p w:rsidR="00251C35" w:rsidRDefault="00251C35">
      <w:pPr>
        <w:pStyle w:val="FootnoteText"/>
      </w:pPr>
      <w:r>
        <w:tab/>
      </w:r>
      <w:r>
        <w:tab/>
      </w:r>
      <w:r w:rsidRPr="008464CA">
        <w:t>2.</w:t>
      </w:r>
      <w:r>
        <w:t xml:space="preserve">  </w:t>
      </w:r>
      <w:r w:rsidRPr="008464CA">
        <w:t>The federal law may envisage other cases of absolution from the obligation to testify.</w:t>
      </w:r>
    </w:p>
  </w:footnote>
  <w:footnote w:id="17">
    <w:p w:rsidR="00251C35" w:rsidRDefault="00251C35">
      <w:pPr>
        <w:pStyle w:val="FootnoteText"/>
      </w:pPr>
      <w:r>
        <w:tab/>
      </w:r>
      <w:r>
        <w:rPr>
          <w:rStyle w:val="FootnoteReference"/>
        </w:rPr>
        <w:footnoteRef/>
      </w:r>
      <w:r>
        <w:tab/>
        <w:t xml:space="preserve">It is </w:t>
      </w:r>
      <w:r w:rsidRPr="00CD729A">
        <w:t>not</w:t>
      </w:r>
      <w:r>
        <w:t xml:space="preserve"> clear from the State party’s submissions whether the author was present at some of the hearings or whether all the hearings were conducted by videoconference. </w:t>
      </w:r>
    </w:p>
  </w:footnote>
  <w:footnote w:id="18">
    <w:p w:rsidR="00251C35" w:rsidRDefault="00251C35" w:rsidP="00CD729A">
      <w:pPr>
        <w:pStyle w:val="FootnoteText"/>
      </w:pPr>
      <w:r>
        <w:tab/>
      </w:r>
      <w:r>
        <w:rPr>
          <w:rStyle w:val="FootnoteReference"/>
        </w:rPr>
        <w:footnoteRef/>
      </w:r>
      <w:r>
        <w:tab/>
        <w:t xml:space="preserve">The non-exhaustion claim seems to relate only to </w:t>
      </w:r>
      <w:r w:rsidR="002338D4">
        <w:t xml:space="preserve">the </w:t>
      </w:r>
      <w:r>
        <w:t xml:space="preserve">presence of a lawyer during the cassation and supervisory appeals. </w:t>
      </w:r>
    </w:p>
  </w:footnote>
  <w:footnote w:id="19">
    <w:p w:rsidR="00251C35" w:rsidRDefault="00251C35">
      <w:pPr>
        <w:pStyle w:val="FootnoteText"/>
      </w:pPr>
      <w:r>
        <w:tab/>
      </w:r>
      <w:r>
        <w:rPr>
          <w:rStyle w:val="FootnoteReference"/>
        </w:rPr>
        <w:footnoteRef/>
      </w:r>
      <w:r>
        <w:tab/>
        <w:t xml:space="preserve">The author did not provide copies of these complaints. </w:t>
      </w:r>
    </w:p>
  </w:footnote>
  <w:footnote w:id="20">
    <w:p w:rsidR="00251C35" w:rsidRDefault="00251C35">
      <w:pPr>
        <w:pStyle w:val="FootnoteText"/>
      </w:pPr>
      <w:r>
        <w:tab/>
      </w:r>
      <w:r>
        <w:rPr>
          <w:rStyle w:val="FootnoteReference"/>
        </w:rPr>
        <w:footnoteRef/>
      </w:r>
      <w:r>
        <w:tab/>
        <w:t xml:space="preserve">The author also claims that the protocols of his interrogations were falsified and that, while there is a signature on the last page of the document, according to law, he should have signed each page separately. </w:t>
      </w:r>
    </w:p>
  </w:footnote>
  <w:footnote w:id="21">
    <w:p w:rsidR="00251C35" w:rsidRDefault="00251C35">
      <w:pPr>
        <w:pStyle w:val="FootnoteText"/>
      </w:pPr>
      <w:r>
        <w:tab/>
      </w:r>
      <w:r>
        <w:rPr>
          <w:rStyle w:val="FootnoteReference"/>
        </w:rPr>
        <w:footnoteRef/>
      </w:r>
      <w:r>
        <w:tab/>
        <w:t xml:space="preserve">The author claims that the verdict was announced on 15 May 2002 and the transcript was prepared on 28 May 2002. </w:t>
      </w:r>
    </w:p>
  </w:footnote>
  <w:footnote w:id="22">
    <w:p w:rsidR="00251C35" w:rsidRDefault="00251C35" w:rsidP="00A72368">
      <w:pPr>
        <w:pStyle w:val="FootnoteText"/>
      </w:pPr>
      <w:r>
        <w:tab/>
      </w:r>
      <w:r>
        <w:rPr>
          <w:rStyle w:val="FootnoteReference"/>
        </w:rPr>
        <w:footnoteRef/>
      </w:r>
      <w:r>
        <w:tab/>
        <w:t xml:space="preserve">According </w:t>
      </w:r>
      <w:r w:rsidRPr="00CD729A">
        <w:t>to</w:t>
      </w:r>
      <w:r>
        <w:t xml:space="preserve"> submissions from the author, the</w:t>
      </w:r>
      <w:r w:rsidR="00A72368">
        <w:t xml:space="preserve"> criminal case file had</w:t>
      </w:r>
      <w:r>
        <w:t xml:space="preserve"> </w:t>
      </w:r>
      <w:r w:rsidR="00A72368">
        <w:t>six</w:t>
      </w:r>
      <w:r>
        <w:t xml:space="preserve"> volumes and </w:t>
      </w:r>
      <w:r w:rsidR="00A72368">
        <w:t>three</w:t>
      </w:r>
      <w:r>
        <w:t xml:space="preserve"> videocassettes. Each volume consisted of approximately 200 pages. </w:t>
      </w:r>
    </w:p>
  </w:footnote>
  <w:footnote w:id="23">
    <w:p w:rsidR="00251C35" w:rsidRDefault="00251C35">
      <w:pPr>
        <w:pStyle w:val="FootnoteText"/>
      </w:pPr>
      <w:r>
        <w:tab/>
      </w:r>
      <w:r>
        <w:rPr>
          <w:rStyle w:val="FootnoteReference"/>
        </w:rPr>
        <w:footnoteRef/>
      </w:r>
      <w:r>
        <w:tab/>
        <w:t xml:space="preserve">See </w:t>
      </w:r>
      <w:r w:rsidRPr="003D68D7">
        <w:t>communication</w:t>
      </w:r>
      <w:r>
        <w:t xml:space="preserve"> 2041/2011, </w:t>
      </w:r>
      <w:r w:rsidRPr="00D56F7D">
        <w:rPr>
          <w:i/>
        </w:rPr>
        <w:t xml:space="preserve">Dorofeev v. </w:t>
      </w:r>
      <w:r w:rsidR="00962AED">
        <w:rPr>
          <w:i/>
        </w:rPr>
        <w:t xml:space="preserve">the </w:t>
      </w:r>
      <w:r w:rsidRPr="00D56F7D">
        <w:rPr>
          <w:i/>
        </w:rPr>
        <w:t>Russian Federation</w:t>
      </w:r>
      <w:r>
        <w:t>, Views adopted on 11 July 2014, para. 10.6.</w:t>
      </w:r>
    </w:p>
  </w:footnote>
  <w:footnote w:id="24">
    <w:p w:rsidR="00251C35" w:rsidRDefault="00251C35">
      <w:pPr>
        <w:pStyle w:val="FootnoteText"/>
      </w:pPr>
      <w:r>
        <w:tab/>
      </w:r>
      <w:r>
        <w:rPr>
          <w:rStyle w:val="FootnoteReference"/>
        </w:rPr>
        <w:footnoteRef/>
      </w:r>
      <w:r>
        <w:tab/>
        <w:t xml:space="preserve">See </w:t>
      </w:r>
      <w:r w:rsidR="00962AED">
        <w:t xml:space="preserve">the </w:t>
      </w:r>
      <w:r w:rsidRPr="00CD729A">
        <w:t>Committee’s</w:t>
      </w:r>
      <w:r>
        <w:t xml:space="preserve"> general comment No. </w:t>
      </w:r>
      <w:r w:rsidR="00962AED">
        <w:t xml:space="preserve">32, </w:t>
      </w:r>
      <w:r>
        <w:t xml:space="preserve">para. 39. </w:t>
      </w:r>
    </w:p>
  </w:footnote>
  <w:footnote w:id="25">
    <w:p w:rsidR="00251C35" w:rsidRPr="00CD729A" w:rsidRDefault="00251C35" w:rsidP="00B47624">
      <w:pPr>
        <w:pStyle w:val="FootnoteText"/>
      </w:pPr>
      <w:r>
        <w:tab/>
      </w:r>
      <w:r>
        <w:rPr>
          <w:rStyle w:val="FootnoteReference"/>
        </w:rPr>
        <w:footnoteRef/>
      </w:r>
      <w:r>
        <w:tab/>
        <w:t xml:space="preserve">See </w:t>
      </w:r>
      <w:r w:rsidR="00DF2773">
        <w:t xml:space="preserve">also </w:t>
      </w:r>
      <w:r>
        <w:t>c</w:t>
      </w:r>
      <w:r w:rsidRPr="002A736F">
        <w:t>ommunication</w:t>
      </w:r>
      <w:r>
        <w:t>s</w:t>
      </w:r>
      <w:r w:rsidRPr="002A736F">
        <w:t xml:space="preserve"> </w:t>
      </w:r>
      <w:r w:rsidR="00DF2773">
        <w:t xml:space="preserve">No. </w:t>
      </w:r>
      <w:r w:rsidRPr="002A736F">
        <w:t xml:space="preserve">815/1998, </w:t>
      </w:r>
      <w:r w:rsidRPr="002A736F">
        <w:rPr>
          <w:i/>
          <w:iCs/>
        </w:rPr>
        <w:t xml:space="preserve">Dugin v. </w:t>
      </w:r>
      <w:r w:rsidR="00DF2773">
        <w:rPr>
          <w:i/>
          <w:iCs/>
        </w:rPr>
        <w:t xml:space="preserve">the </w:t>
      </w:r>
      <w:r w:rsidRPr="002A736F">
        <w:rPr>
          <w:i/>
          <w:iCs/>
        </w:rPr>
        <w:t>Russian Federation</w:t>
      </w:r>
      <w:r w:rsidRPr="002A736F">
        <w:t>, Views adopted on 5 July 2004,</w:t>
      </w:r>
      <w:r>
        <w:t xml:space="preserve"> </w:t>
      </w:r>
      <w:r w:rsidRPr="002A736F">
        <w:t>para</w:t>
      </w:r>
      <w:r>
        <w:t>. </w:t>
      </w:r>
      <w:r w:rsidRPr="002A736F">
        <w:t>9.3</w:t>
      </w:r>
      <w:r>
        <w:t xml:space="preserve">; </w:t>
      </w:r>
      <w:r w:rsidR="00DF2773">
        <w:t xml:space="preserve">and No. </w:t>
      </w:r>
      <w:r>
        <w:t xml:space="preserve">1082/2002, </w:t>
      </w:r>
      <w:r w:rsidRPr="00064CCA">
        <w:rPr>
          <w:i/>
        </w:rPr>
        <w:t>Rouse v</w:t>
      </w:r>
      <w:r>
        <w:rPr>
          <w:i/>
        </w:rPr>
        <w:t>.</w:t>
      </w:r>
      <w:r w:rsidRPr="00064CCA">
        <w:rPr>
          <w:i/>
        </w:rPr>
        <w:t xml:space="preserve"> Philippines</w:t>
      </w:r>
      <w:r>
        <w:t xml:space="preserve">, Views adopted on </w:t>
      </w:r>
      <w:r w:rsidRPr="0079421E">
        <w:t>25 July 2005</w:t>
      </w:r>
      <w:r>
        <w:t xml:space="preserve">, para. 7.5.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35" w:rsidRPr="00781C83" w:rsidRDefault="00251C35" w:rsidP="00781C83">
    <w:pPr>
      <w:pStyle w:val="Header"/>
    </w:pPr>
    <w:r>
      <w:t>CCPR/C/116/D/2059/2011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35" w:rsidRPr="00781C83" w:rsidRDefault="00251C35" w:rsidP="00781C83">
    <w:pPr>
      <w:pStyle w:val="Header"/>
      <w:jc w:val="right"/>
    </w:pPr>
    <w:r>
      <w:t>CCPR/C/116/D/2059/2011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60627"/>
    <w:multiLevelType w:val="multilevel"/>
    <w:tmpl w:val="AC86277C"/>
    <w:lvl w:ilvl="0">
      <w:start w:val="5"/>
      <w:numFmt w:val="decimal"/>
      <w:lvlText w:val="%1"/>
      <w:lvlJc w:val="left"/>
      <w:pPr>
        <w:tabs>
          <w:tab w:val="num" w:pos="360"/>
        </w:tabs>
        <w:ind w:left="360" w:hanging="360"/>
      </w:pPr>
      <w:rPr>
        <w:rFonts w:hint="default"/>
      </w:rPr>
    </w:lvl>
    <w:lvl w:ilvl="1">
      <w:start w:val="2"/>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F5D195E"/>
    <w:multiLevelType w:val="hybridMultilevel"/>
    <w:tmpl w:val="BDC82ED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58BF7292"/>
    <w:multiLevelType w:val="hybridMultilevel"/>
    <w:tmpl w:val="22965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0"/>
  </w:num>
  <w:num w:numId="2">
    <w:abstractNumId w:val="8"/>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7"/>
  </w:num>
  <w:num w:numId="8">
    <w:abstractNumId w:val="5"/>
  </w:num>
  <w:num w:numId="9">
    <w:abstractNumId w:val="1"/>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56E"/>
    <w:rsid w:val="00003037"/>
    <w:rsid w:val="000038FB"/>
    <w:rsid w:val="000044E2"/>
    <w:rsid w:val="00004609"/>
    <w:rsid w:val="00013715"/>
    <w:rsid w:val="000148C7"/>
    <w:rsid w:val="000150A6"/>
    <w:rsid w:val="00015C4E"/>
    <w:rsid w:val="000170C3"/>
    <w:rsid w:val="00020025"/>
    <w:rsid w:val="00023024"/>
    <w:rsid w:val="000254A9"/>
    <w:rsid w:val="00025D41"/>
    <w:rsid w:val="00025E69"/>
    <w:rsid w:val="0002635B"/>
    <w:rsid w:val="00026C96"/>
    <w:rsid w:val="000272B3"/>
    <w:rsid w:val="000308D4"/>
    <w:rsid w:val="00032252"/>
    <w:rsid w:val="00032A9E"/>
    <w:rsid w:val="0003387B"/>
    <w:rsid w:val="00033CA8"/>
    <w:rsid w:val="00035143"/>
    <w:rsid w:val="00036F3F"/>
    <w:rsid w:val="000377A5"/>
    <w:rsid w:val="00037AD0"/>
    <w:rsid w:val="0004092D"/>
    <w:rsid w:val="00041994"/>
    <w:rsid w:val="00044639"/>
    <w:rsid w:val="00050F6B"/>
    <w:rsid w:val="00051509"/>
    <w:rsid w:val="00052B9C"/>
    <w:rsid w:val="00052CD9"/>
    <w:rsid w:val="00054765"/>
    <w:rsid w:val="000547DC"/>
    <w:rsid w:val="00055FFE"/>
    <w:rsid w:val="00056F3B"/>
    <w:rsid w:val="0005782B"/>
    <w:rsid w:val="00057E97"/>
    <w:rsid w:val="0006027B"/>
    <w:rsid w:val="00060392"/>
    <w:rsid w:val="0006055C"/>
    <w:rsid w:val="00060C3A"/>
    <w:rsid w:val="00064CCA"/>
    <w:rsid w:val="00065867"/>
    <w:rsid w:val="00066439"/>
    <w:rsid w:val="00066476"/>
    <w:rsid w:val="00072C8C"/>
    <w:rsid w:val="00073226"/>
    <w:rsid w:val="000733B5"/>
    <w:rsid w:val="00075EAD"/>
    <w:rsid w:val="00076CA2"/>
    <w:rsid w:val="00081815"/>
    <w:rsid w:val="00081BF7"/>
    <w:rsid w:val="0008245C"/>
    <w:rsid w:val="00084F18"/>
    <w:rsid w:val="00090DEA"/>
    <w:rsid w:val="00091F15"/>
    <w:rsid w:val="00092E23"/>
    <w:rsid w:val="000931C0"/>
    <w:rsid w:val="0009482E"/>
    <w:rsid w:val="000970C1"/>
    <w:rsid w:val="000A1007"/>
    <w:rsid w:val="000A2976"/>
    <w:rsid w:val="000A310C"/>
    <w:rsid w:val="000A34B1"/>
    <w:rsid w:val="000A34C2"/>
    <w:rsid w:val="000A419F"/>
    <w:rsid w:val="000A5559"/>
    <w:rsid w:val="000B02C3"/>
    <w:rsid w:val="000B1424"/>
    <w:rsid w:val="000B175B"/>
    <w:rsid w:val="000B1788"/>
    <w:rsid w:val="000B20E9"/>
    <w:rsid w:val="000B3A0F"/>
    <w:rsid w:val="000B4EF7"/>
    <w:rsid w:val="000C2AB9"/>
    <w:rsid w:val="000C2C03"/>
    <w:rsid w:val="000C2D2E"/>
    <w:rsid w:val="000C2E06"/>
    <w:rsid w:val="000C46B7"/>
    <w:rsid w:val="000C4DA0"/>
    <w:rsid w:val="000C6635"/>
    <w:rsid w:val="000C7E5C"/>
    <w:rsid w:val="000D0858"/>
    <w:rsid w:val="000D0ABB"/>
    <w:rsid w:val="000D21CB"/>
    <w:rsid w:val="000D43EE"/>
    <w:rsid w:val="000D56C4"/>
    <w:rsid w:val="000E0415"/>
    <w:rsid w:val="000E0D1B"/>
    <w:rsid w:val="000E1E5F"/>
    <w:rsid w:val="000E20F8"/>
    <w:rsid w:val="000E4A6F"/>
    <w:rsid w:val="000E7A2A"/>
    <w:rsid w:val="000F39F9"/>
    <w:rsid w:val="000F4E48"/>
    <w:rsid w:val="000F6A6B"/>
    <w:rsid w:val="000F7273"/>
    <w:rsid w:val="000F7E69"/>
    <w:rsid w:val="00100C94"/>
    <w:rsid w:val="00101048"/>
    <w:rsid w:val="001037D9"/>
    <w:rsid w:val="00104A40"/>
    <w:rsid w:val="001103AA"/>
    <w:rsid w:val="001114B3"/>
    <w:rsid w:val="001133DB"/>
    <w:rsid w:val="00114432"/>
    <w:rsid w:val="00114F22"/>
    <w:rsid w:val="00117506"/>
    <w:rsid w:val="0011787A"/>
    <w:rsid w:val="001213FA"/>
    <w:rsid w:val="00123712"/>
    <w:rsid w:val="001247FE"/>
    <w:rsid w:val="001304B5"/>
    <w:rsid w:val="001306DD"/>
    <w:rsid w:val="00130D48"/>
    <w:rsid w:val="00131B64"/>
    <w:rsid w:val="0013235B"/>
    <w:rsid w:val="00133AAA"/>
    <w:rsid w:val="001340B3"/>
    <w:rsid w:val="00137249"/>
    <w:rsid w:val="00142286"/>
    <w:rsid w:val="00142AB4"/>
    <w:rsid w:val="0014393C"/>
    <w:rsid w:val="00147345"/>
    <w:rsid w:val="00150412"/>
    <w:rsid w:val="00151655"/>
    <w:rsid w:val="00153D29"/>
    <w:rsid w:val="00154DA5"/>
    <w:rsid w:val="0015757D"/>
    <w:rsid w:val="00157820"/>
    <w:rsid w:val="00161364"/>
    <w:rsid w:val="00162DB2"/>
    <w:rsid w:val="00164C92"/>
    <w:rsid w:val="00165C3D"/>
    <w:rsid w:val="00165F3A"/>
    <w:rsid w:val="00166BEF"/>
    <w:rsid w:val="00170DDB"/>
    <w:rsid w:val="001721A9"/>
    <w:rsid w:val="0017277A"/>
    <w:rsid w:val="00172F22"/>
    <w:rsid w:val="001756D6"/>
    <w:rsid w:val="001758E2"/>
    <w:rsid w:val="00177A3E"/>
    <w:rsid w:val="001806F7"/>
    <w:rsid w:val="00181A41"/>
    <w:rsid w:val="00183968"/>
    <w:rsid w:val="00183FD3"/>
    <w:rsid w:val="001861DE"/>
    <w:rsid w:val="00187211"/>
    <w:rsid w:val="00187A7F"/>
    <w:rsid w:val="00192AD3"/>
    <w:rsid w:val="001936B1"/>
    <w:rsid w:val="001965C0"/>
    <w:rsid w:val="00196964"/>
    <w:rsid w:val="00196CDF"/>
    <w:rsid w:val="001A09DE"/>
    <w:rsid w:val="001A11CB"/>
    <w:rsid w:val="001A2C08"/>
    <w:rsid w:val="001A32CB"/>
    <w:rsid w:val="001A3477"/>
    <w:rsid w:val="001A4429"/>
    <w:rsid w:val="001A660B"/>
    <w:rsid w:val="001A6686"/>
    <w:rsid w:val="001A6A20"/>
    <w:rsid w:val="001A723C"/>
    <w:rsid w:val="001A7E43"/>
    <w:rsid w:val="001A7F8C"/>
    <w:rsid w:val="001B296C"/>
    <w:rsid w:val="001B34E6"/>
    <w:rsid w:val="001B3C5B"/>
    <w:rsid w:val="001B4041"/>
    <w:rsid w:val="001B4B04"/>
    <w:rsid w:val="001B504F"/>
    <w:rsid w:val="001B59E9"/>
    <w:rsid w:val="001B5C63"/>
    <w:rsid w:val="001C5BED"/>
    <w:rsid w:val="001C657F"/>
    <w:rsid w:val="001C6663"/>
    <w:rsid w:val="001C6B73"/>
    <w:rsid w:val="001C7895"/>
    <w:rsid w:val="001D0C8C"/>
    <w:rsid w:val="001D15CF"/>
    <w:rsid w:val="001D2232"/>
    <w:rsid w:val="001D26DF"/>
    <w:rsid w:val="001D29D3"/>
    <w:rsid w:val="001D3743"/>
    <w:rsid w:val="001D38A8"/>
    <w:rsid w:val="001D3A03"/>
    <w:rsid w:val="001D41FF"/>
    <w:rsid w:val="001E06D9"/>
    <w:rsid w:val="001E10EC"/>
    <w:rsid w:val="001E1177"/>
    <w:rsid w:val="001E48A9"/>
    <w:rsid w:val="001E5E63"/>
    <w:rsid w:val="001E718D"/>
    <w:rsid w:val="001F00FF"/>
    <w:rsid w:val="001F22C0"/>
    <w:rsid w:val="002012F2"/>
    <w:rsid w:val="002014C3"/>
    <w:rsid w:val="0020252B"/>
    <w:rsid w:val="00202DA8"/>
    <w:rsid w:val="002069CC"/>
    <w:rsid w:val="00206CCD"/>
    <w:rsid w:val="00211E0B"/>
    <w:rsid w:val="00213231"/>
    <w:rsid w:val="00215415"/>
    <w:rsid w:val="00217D74"/>
    <w:rsid w:val="00220677"/>
    <w:rsid w:val="00221F0A"/>
    <w:rsid w:val="00222689"/>
    <w:rsid w:val="002241D6"/>
    <w:rsid w:val="002241ED"/>
    <w:rsid w:val="0022501D"/>
    <w:rsid w:val="002256A1"/>
    <w:rsid w:val="002314F8"/>
    <w:rsid w:val="0023210C"/>
    <w:rsid w:val="002338D4"/>
    <w:rsid w:val="00235981"/>
    <w:rsid w:val="002361D0"/>
    <w:rsid w:val="00237215"/>
    <w:rsid w:val="002403F5"/>
    <w:rsid w:val="00240564"/>
    <w:rsid w:val="00240896"/>
    <w:rsid w:val="00245932"/>
    <w:rsid w:val="002509A6"/>
    <w:rsid w:val="00250ADE"/>
    <w:rsid w:val="0025162E"/>
    <w:rsid w:val="00251C35"/>
    <w:rsid w:val="0025397B"/>
    <w:rsid w:val="0025487E"/>
    <w:rsid w:val="00254E0E"/>
    <w:rsid w:val="00256E15"/>
    <w:rsid w:val="00256FFF"/>
    <w:rsid w:val="00262B1D"/>
    <w:rsid w:val="002633B3"/>
    <w:rsid w:val="00263EC5"/>
    <w:rsid w:val="002650C2"/>
    <w:rsid w:val="00266EB7"/>
    <w:rsid w:val="00267F5F"/>
    <w:rsid w:val="00271484"/>
    <w:rsid w:val="00272837"/>
    <w:rsid w:val="00273B14"/>
    <w:rsid w:val="00274BA8"/>
    <w:rsid w:val="00275D62"/>
    <w:rsid w:val="002768AC"/>
    <w:rsid w:val="00277C4F"/>
    <w:rsid w:val="002803F6"/>
    <w:rsid w:val="00281144"/>
    <w:rsid w:val="00282899"/>
    <w:rsid w:val="002847AE"/>
    <w:rsid w:val="00284812"/>
    <w:rsid w:val="002863A9"/>
    <w:rsid w:val="00286B4D"/>
    <w:rsid w:val="0029365C"/>
    <w:rsid w:val="00293B90"/>
    <w:rsid w:val="0029571B"/>
    <w:rsid w:val="0029754C"/>
    <w:rsid w:val="002978B9"/>
    <w:rsid w:val="002A4B67"/>
    <w:rsid w:val="002A5CAA"/>
    <w:rsid w:val="002A6B45"/>
    <w:rsid w:val="002A728F"/>
    <w:rsid w:val="002A736F"/>
    <w:rsid w:val="002B3B76"/>
    <w:rsid w:val="002B3F1E"/>
    <w:rsid w:val="002C0CE6"/>
    <w:rsid w:val="002C3114"/>
    <w:rsid w:val="002C5BCD"/>
    <w:rsid w:val="002C600B"/>
    <w:rsid w:val="002C7C77"/>
    <w:rsid w:val="002D05CE"/>
    <w:rsid w:val="002D18B7"/>
    <w:rsid w:val="002D3481"/>
    <w:rsid w:val="002D3AF5"/>
    <w:rsid w:val="002D3C63"/>
    <w:rsid w:val="002D4406"/>
    <w:rsid w:val="002D4CB1"/>
    <w:rsid w:val="002D5E67"/>
    <w:rsid w:val="002D7312"/>
    <w:rsid w:val="002D77A1"/>
    <w:rsid w:val="002D78C4"/>
    <w:rsid w:val="002D7A88"/>
    <w:rsid w:val="002D7B9A"/>
    <w:rsid w:val="002E1084"/>
    <w:rsid w:val="002E2676"/>
    <w:rsid w:val="002E296F"/>
    <w:rsid w:val="002E52B1"/>
    <w:rsid w:val="002E5C99"/>
    <w:rsid w:val="002E69AE"/>
    <w:rsid w:val="002E7207"/>
    <w:rsid w:val="002E7E1D"/>
    <w:rsid w:val="002F039C"/>
    <w:rsid w:val="002F175C"/>
    <w:rsid w:val="002F1942"/>
    <w:rsid w:val="002F4557"/>
    <w:rsid w:val="002F5159"/>
    <w:rsid w:val="002F582A"/>
    <w:rsid w:val="002F6E95"/>
    <w:rsid w:val="003011E9"/>
    <w:rsid w:val="0030138D"/>
    <w:rsid w:val="003023A7"/>
    <w:rsid w:val="00302535"/>
    <w:rsid w:val="00302B6D"/>
    <w:rsid w:val="00302B85"/>
    <w:rsid w:val="00302E2C"/>
    <w:rsid w:val="00306124"/>
    <w:rsid w:val="00307164"/>
    <w:rsid w:val="00307752"/>
    <w:rsid w:val="00307DE2"/>
    <w:rsid w:val="003134AC"/>
    <w:rsid w:val="00314FBB"/>
    <w:rsid w:val="0031786D"/>
    <w:rsid w:val="00320E07"/>
    <w:rsid w:val="00321E54"/>
    <w:rsid w:val="003229D8"/>
    <w:rsid w:val="0032321C"/>
    <w:rsid w:val="00323632"/>
    <w:rsid w:val="003241CF"/>
    <w:rsid w:val="00326293"/>
    <w:rsid w:val="00327502"/>
    <w:rsid w:val="00330D27"/>
    <w:rsid w:val="00331F5B"/>
    <w:rsid w:val="00333808"/>
    <w:rsid w:val="00335E3A"/>
    <w:rsid w:val="00341696"/>
    <w:rsid w:val="00341D96"/>
    <w:rsid w:val="00341E03"/>
    <w:rsid w:val="003449C7"/>
    <w:rsid w:val="00352709"/>
    <w:rsid w:val="003544BE"/>
    <w:rsid w:val="00354AA8"/>
    <w:rsid w:val="00363A98"/>
    <w:rsid w:val="00364B76"/>
    <w:rsid w:val="00365CF8"/>
    <w:rsid w:val="0036645D"/>
    <w:rsid w:val="00367567"/>
    <w:rsid w:val="003705C9"/>
    <w:rsid w:val="00371095"/>
    <w:rsid w:val="00371178"/>
    <w:rsid w:val="00372B3F"/>
    <w:rsid w:val="0037301C"/>
    <w:rsid w:val="003730DD"/>
    <w:rsid w:val="00373489"/>
    <w:rsid w:val="003736A1"/>
    <w:rsid w:val="00375119"/>
    <w:rsid w:val="0037562B"/>
    <w:rsid w:val="003771A2"/>
    <w:rsid w:val="00377828"/>
    <w:rsid w:val="0038269E"/>
    <w:rsid w:val="00383356"/>
    <w:rsid w:val="0038336C"/>
    <w:rsid w:val="00383AA6"/>
    <w:rsid w:val="00383BB7"/>
    <w:rsid w:val="00384E9E"/>
    <w:rsid w:val="00386624"/>
    <w:rsid w:val="00387960"/>
    <w:rsid w:val="0039347E"/>
    <w:rsid w:val="003939C2"/>
    <w:rsid w:val="00394F89"/>
    <w:rsid w:val="00395FA4"/>
    <w:rsid w:val="00397A23"/>
    <w:rsid w:val="00397FBB"/>
    <w:rsid w:val="003A1602"/>
    <w:rsid w:val="003A2FFD"/>
    <w:rsid w:val="003A4933"/>
    <w:rsid w:val="003A6810"/>
    <w:rsid w:val="003A6F06"/>
    <w:rsid w:val="003A70FC"/>
    <w:rsid w:val="003A7654"/>
    <w:rsid w:val="003A7ABD"/>
    <w:rsid w:val="003A7AF2"/>
    <w:rsid w:val="003B1B42"/>
    <w:rsid w:val="003B1FA7"/>
    <w:rsid w:val="003B6980"/>
    <w:rsid w:val="003C02AB"/>
    <w:rsid w:val="003C2CC4"/>
    <w:rsid w:val="003C730E"/>
    <w:rsid w:val="003D056F"/>
    <w:rsid w:val="003D1C5A"/>
    <w:rsid w:val="003D1CE6"/>
    <w:rsid w:val="003D2795"/>
    <w:rsid w:val="003D3E59"/>
    <w:rsid w:val="003D42FB"/>
    <w:rsid w:val="003D4B23"/>
    <w:rsid w:val="003D52B0"/>
    <w:rsid w:val="003D68D7"/>
    <w:rsid w:val="003D7237"/>
    <w:rsid w:val="003D774D"/>
    <w:rsid w:val="003D7E68"/>
    <w:rsid w:val="003E2BA4"/>
    <w:rsid w:val="003E2F85"/>
    <w:rsid w:val="003E5AAB"/>
    <w:rsid w:val="003E6A36"/>
    <w:rsid w:val="003E6F7E"/>
    <w:rsid w:val="003F2847"/>
    <w:rsid w:val="003F7232"/>
    <w:rsid w:val="0040038D"/>
    <w:rsid w:val="00401B52"/>
    <w:rsid w:val="00402308"/>
    <w:rsid w:val="00405473"/>
    <w:rsid w:val="00405D94"/>
    <w:rsid w:val="00410C89"/>
    <w:rsid w:val="00413018"/>
    <w:rsid w:val="00414931"/>
    <w:rsid w:val="00414B25"/>
    <w:rsid w:val="00414B35"/>
    <w:rsid w:val="00414E92"/>
    <w:rsid w:val="004227C0"/>
    <w:rsid w:val="00423330"/>
    <w:rsid w:val="00426B9B"/>
    <w:rsid w:val="0043003F"/>
    <w:rsid w:val="00431952"/>
    <w:rsid w:val="004325CB"/>
    <w:rsid w:val="0043356D"/>
    <w:rsid w:val="0043560C"/>
    <w:rsid w:val="00436B33"/>
    <w:rsid w:val="00441384"/>
    <w:rsid w:val="00442801"/>
    <w:rsid w:val="00442A83"/>
    <w:rsid w:val="00442C9D"/>
    <w:rsid w:val="0044391E"/>
    <w:rsid w:val="00445A57"/>
    <w:rsid w:val="00450D0E"/>
    <w:rsid w:val="00452A3C"/>
    <w:rsid w:val="00454782"/>
    <w:rsid w:val="0045495B"/>
    <w:rsid w:val="00455C43"/>
    <w:rsid w:val="004607BF"/>
    <w:rsid w:val="004613DA"/>
    <w:rsid w:val="004623A9"/>
    <w:rsid w:val="004623D9"/>
    <w:rsid w:val="00464446"/>
    <w:rsid w:val="004650E0"/>
    <w:rsid w:val="00466936"/>
    <w:rsid w:val="00466B4C"/>
    <w:rsid w:val="00466FA4"/>
    <w:rsid w:val="00467FD9"/>
    <w:rsid w:val="004712F7"/>
    <w:rsid w:val="004714D8"/>
    <w:rsid w:val="0047173A"/>
    <w:rsid w:val="00473963"/>
    <w:rsid w:val="00476073"/>
    <w:rsid w:val="004761B3"/>
    <w:rsid w:val="00481CB1"/>
    <w:rsid w:val="00483C98"/>
    <w:rsid w:val="00487488"/>
    <w:rsid w:val="00487FB8"/>
    <w:rsid w:val="004915E8"/>
    <w:rsid w:val="0049219B"/>
    <w:rsid w:val="0049418F"/>
    <w:rsid w:val="0049482E"/>
    <w:rsid w:val="00496433"/>
    <w:rsid w:val="00497CBC"/>
    <w:rsid w:val="004A1060"/>
    <w:rsid w:val="004A28A7"/>
    <w:rsid w:val="004A4E95"/>
    <w:rsid w:val="004A6A0D"/>
    <w:rsid w:val="004B01A4"/>
    <w:rsid w:val="004B0A2C"/>
    <w:rsid w:val="004B231E"/>
    <w:rsid w:val="004B23B2"/>
    <w:rsid w:val="004B2989"/>
    <w:rsid w:val="004B44C6"/>
    <w:rsid w:val="004B6A14"/>
    <w:rsid w:val="004C0120"/>
    <w:rsid w:val="004C0335"/>
    <w:rsid w:val="004C0B81"/>
    <w:rsid w:val="004C17A4"/>
    <w:rsid w:val="004C1F17"/>
    <w:rsid w:val="004C1FEA"/>
    <w:rsid w:val="004C41C7"/>
    <w:rsid w:val="004C55DD"/>
    <w:rsid w:val="004C5CCC"/>
    <w:rsid w:val="004C6EEF"/>
    <w:rsid w:val="004C74F2"/>
    <w:rsid w:val="004D150D"/>
    <w:rsid w:val="004D1BFE"/>
    <w:rsid w:val="004D5BD1"/>
    <w:rsid w:val="004E15CC"/>
    <w:rsid w:val="004E1A31"/>
    <w:rsid w:val="004E2932"/>
    <w:rsid w:val="004E2BC5"/>
    <w:rsid w:val="004E5775"/>
    <w:rsid w:val="004E6DA4"/>
    <w:rsid w:val="004E79AE"/>
    <w:rsid w:val="004F03BA"/>
    <w:rsid w:val="004F0BF2"/>
    <w:rsid w:val="004F1D45"/>
    <w:rsid w:val="004F31F2"/>
    <w:rsid w:val="004F5078"/>
    <w:rsid w:val="004F79A8"/>
    <w:rsid w:val="00501A1B"/>
    <w:rsid w:val="00501CB1"/>
    <w:rsid w:val="0050328D"/>
    <w:rsid w:val="0050334D"/>
    <w:rsid w:val="0050396B"/>
    <w:rsid w:val="00503BEC"/>
    <w:rsid w:val="00511D0D"/>
    <w:rsid w:val="005167F1"/>
    <w:rsid w:val="0052136D"/>
    <w:rsid w:val="005232E6"/>
    <w:rsid w:val="00523F32"/>
    <w:rsid w:val="00525395"/>
    <w:rsid w:val="00526FF4"/>
    <w:rsid w:val="0052775E"/>
    <w:rsid w:val="0053369A"/>
    <w:rsid w:val="005337C9"/>
    <w:rsid w:val="00535B0F"/>
    <w:rsid w:val="005409DC"/>
    <w:rsid w:val="0054109A"/>
    <w:rsid w:val="0054150C"/>
    <w:rsid w:val="005420F2"/>
    <w:rsid w:val="005435C6"/>
    <w:rsid w:val="005446A8"/>
    <w:rsid w:val="00545B97"/>
    <w:rsid w:val="00550D3B"/>
    <w:rsid w:val="005514FD"/>
    <w:rsid w:val="005528D0"/>
    <w:rsid w:val="00556B69"/>
    <w:rsid w:val="00556BFF"/>
    <w:rsid w:val="00560319"/>
    <w:rsid w:val="005609D7"/>
    <w:rsid w:val="00560BA5"/>
    <w:rsid w:val="00560C2D"/>
    <w:rsid w:val="00561B68"/>
    <w:rsid w:val="00561EDA"/>
    <w:rsid w:val="005628B6"/>
    <w:rsid w:val="00564714"/>
    <w:rsid w:val="00566179"/>
    <w:rsid w:val="0056624F"/>
    <w:rsid w:val="0057115D"/>
    <w:rsid w:val="005717F1"/>
    <w:rsid w:val="005722B3"/>
    <w:rsid w:val="005728FB"/>
    <w:rsid w:val="00572DA9"/>
    <w:rsid w:val="005747B1"/>
    <w:rsid w:val="005806FC"/>
    <w:rsid w:val="00581C47"/>
    <w:rsid w:val="005837AD"/>
    <w:rsid w:val="005848AE"/>
    <w:rsid w:val="005848B3"/>
    <w:rsid w:val="0058655D"/>
    <w:rsid w:val="005878BB"/>
    <w:rsid w:val="00590F87"/>
    <w:rsid w:val="00591D8C"/>
    <w:rsid w:val="00592C4A"/>
    <w:rsid w:val="005967A6"/>
    <w:rsid w:val="005A0415"/>
    <w:rsid w:val="005A1538"/>
    <w:rsid w:val="005A2ACD"/>
    <w:rsid w:val="005A4536"/>
    <w:rsid w:val="005A5C60"/>
    <w:rsid w:val="005A7B9A"/>
    <w:rsid w:val="005B09AE"/>
    <w:rsid w:val="005B15AD"/>
    <w:rsid w:val="005B271F"/>
    <w:rsid w:val="005B38A5"/>
    <w:rsid w:val="005B3DB3"/>
    <w:rsid w:val="005B4F61"/>
    <w:rsid w:val="005B62ED"/>
    <w:rsid w:val="005C0B14"/>
    <w:rsid w:val="005C1FF2"/>
    <w:rsid w:val="005C2131"/>
    <w:rsid w:val="005C223E"/>
    <w:rsid w:val="005C3EA4"/>
    <w:rsid w:val="005C413D"/>
    <w:rsid w:val="005C4A9E"/>
    <w:rsid w:val="005C6019"/>
    <w:rsid w:val="005D246E"/>
    <w:rsid w:val="005D26DE"/>
    <w:rsid w:val="005D5721"/>
    <w:rsid w:val="005D5AF5"/>
    <w:rsid w:val="005D7CB5"/>
    <w:rsid w:val="005E0578"/>
    <w:rsid w:val="005E2541"/>
    <w:rsid w:val="005E2F71"/>
    <w:rsid w:val="005E395D"/>
    <w:rsid w:val="005E39A3"/>
    <w:rsid w:val="005E53B3"/>
    <w:rsid w:val="005E5805"/>
    <w:rsid w:val="005E783D"/>
    <w:rsid w:val="005F283A"/>
    <w:rsid w:val="005F2A25"/>
    <w:rsid w:val="005F3083"/>
    <w:rsid w:val="005F322F"/>
    <w:rsid w:val="005F5699"/>
    <w:rsid w:val="005F6375"/>
    <w:rsid w:val="005F7717"/>
    <w:rsid w:val="005F7B75"/>
    <w:rsid w:val="005F7F93"/>
    <w:rsid w:val="00600072"/>
    <w:rsid w:val="006001EE"/>
    <w:rsid w:val="00602852"/>
    <w:rsid w:val="00605042"/>
    <w:rsid w:val="0060538A"/>
    <w:rsid w:val="00607BC1"/>
    <w:rsid w:val="006108E0"/>
    <w:rsid w:val="0061102A"/>
    <w:rsid w:val="0061152B"/>
    <w:rsid w:val="00611FC4"/>
    <w:rsid w:val="00612F9B"/>
    <w:rsid w:val="0061466F"/>
    <w:rsid w:val="006148AF"/>
    <w:rsid w:val="006165FA"/>
    <w:rsid w:val="006176FB"/>
    <w:rsid w:val="006207A2"/>
    <w:rsid w:val="006208B6"/>
    <w:rsid w:val="00620934"/>
    <w:rsid w:val="006211F6"/>
    <w:rsid w:val="00622C6C"/>
    <w:rsid w:val="00622EA7"/>
    <w:rsid w:val="00623FD3"/>
    <w:rsid w:val="0062462D"/>
    <w:rsid w:val="00625110"/>
    <w:rsid w:val="00625776"/>
    <w:rsid w:val="006274AD"/>
    <w:rsid w:val="00627FB0"/>
    <w:rsid w:val="00631C31"/>
    <w:rsid w:val="00632FA5"/>
    <w:rsid w:val="0063379B"/>
    <w:rsid w:val="00640B26"/>
    <w:rsid w:val="00640C76"/>
    <w:rsid w:val="00645379"/>
    <w:rsid w:val="0064660E"/>
    <w:rsid w:val="00646B94"/>
    <w:rsid w:val="00651122"/>
    <w:rsid w:val="00651AA8"/>
    <w:rsid w:val="00652D0A"/>
    <w:rsid w:val="00653DBF"/>
    <w:rsid w:val="00654447"/>
    <w:rsid w:val="0065488D"/>
    <w:rsid w:val="00655BF6"/>
    <w:rsid w:val="00657584"/>
    <w:rsid w:val="00661C41"/>
    <w:rsid w:val="00662BB6"/>
    <w:rsid w:val="00662D2D"/>
    <w:rsid w:val="006637A4"/>
    <w:rsid w:val="00671948"/>
    <w:rsid w:val="00671CDF"/>
    <w:rsid w:val="00671E55"/>
    <w:rsid w:val="00672110"/>
    <w:rsid w:val="006743E9"/>
    <w:rsid w:val="0067763C"/>
    <w:rsid w:val="00681702"/>
    <w:rsid w:val="00682284"/>
    <w:rsid w:val="00682FFD"/>
    <w:rsid w:val="006838C8"/>
    <w:rsid w:val="00684241"/>
    <w:rsid w:val="00684C21"/>
    <w:rsid w:val="00685BEA"/>
    <w:rsid w:val="00685FA6"/>
    <w:rsid w:val="0068702F"/>
    <w:rsid w:val="0068743C"/>
    <w:rsid w:val="006907A1"/>
    <w:rsid w:val="006920E5"/>
    <w:rsid w:val="00692477"/>
    <w:rsid w:val="006929D6"/>
    <w:rsid w:val="00692BBE"/>
    <w:rsid w:val="00694948"/>
    <w:rsid w:val="00694AE6"/>
    <w:rsid w:val="006954C6"/>
    <w:rsid w:val="00697484"/>
    <w:rsid w:val="0069763E"/>
    <w:rsid w:val="006979F0"/>
    <w:rsid w:val="00697F3E"/>
    <w:rsid w:val="006A1291"/>
    <w:rsid w:val="006A361C"/>
    <w:rsid w:val="006A68FC"/>
    <w:rsid w:val="006A7329"/>
    <w:rsid w:val="006B32CA"/>
    <w:rsid w:val="006B3D12"/>
    <w:rsid w:val="006B58E5"/>
    <w:rsid w:val="006B767A"/>
    <w:rsid w:val="006C0435"/>
    <w:rsid w:val="006C3AD1"/>
    <w:rsid w:val="006C4CD3"/>
    <w:rsid w:val="006C79E9"/>
    <w:rsid w:val="006D2F5C"/>
    <w:rsid w:val="006D37AF"/>
    <w:rsid w:val="006D425B"/>
    <w:rsid w:val="006D51D0"/>
    <w:rsid w:val="006D5A06"/>
    <w:rsid w:val="006D65D9"/>
    <w:rsid w:val="006E1F68"/>
    <w:rsid w:val="006E3A63"/>
    <w:rsid w:val="006E564B"/>
    <w:rsid w:val="006E7191"/>
    <w:rsid w:val="006E7196"/>
    <w:rsid w:val="006F08BE"/>
    <w:rsid w:val="006F0E56"/>
    <w:rsid w:val="006F36DF"/>
    <w:rsid w:val="006F4020"/>
    <w:rsid w:val="006F4356"/>
    <w:rsid w:val="006F6515"/>
    <w:rsid w:val="006F74A2"/>
    <w:rsid w:val="006F7A5C"/>
    <w:rsid w:val="00701AD4"/>
    <w:rsid w:val="00703577"/>
    <w:rsid w:val="007038A7"/>
    <w:rsid w:val="00704E12"/>
    <w:rsid w:val="00705625"/>
    <w:rsid w:val="00705827"/>
    <w:rsid w:val="0071171F"/>
    <w:rsid w:val="00711F00"/>
    <w:rsid w:val="007123A5"/>
    <w:rsid w:val="00713C74"/>
    <w:rsid w:val="00715DDD"/>
    <w:rsid w:val="00716EC7"/>
    <w:rsid w:val="00717F6A"/>
    <w:rsid w:val="00720EB5"/>
    <w:rsid w:val="0072328C"/>
    <w:rsid w:val="007233D2"/>
    <w:rsid w:val="00723DC0"/>
    <w:rsid w:val="0072632A"/>
    <w:rsid w:val="00726A48"/>
    <w:rsid w:val="0072730A"/>
    <w:rsid w:val="00727B6D"/>
    <w:rsid w:val="007327D5"/>
    <w:rsid w:val="00734ABE"/>
    <w:rsid w:val="007350AC"/>
    <w:rsid w:val="00735CA1"/>
    <w:rsid w:val="00736EAD"/>
    <w:rsid w:val="00737E05"/>
    <w:rsid w:val="007412E7"/>
    <w:rsid w:val="007414DA"/>
    <w:rsid w:val="00741A85"/>
    <w:rsid w:val="00743EB0"/>
    <w:rsid w:val="0074652B"/>
    <w:rsid w:val="00747E8E"/>
    <w:rsid w:val="007509D5"/>
    <w:rsid w:val="007509EB"/>
    <w:rsid w:val="00750BB9"/>
    <w:rsid w:val="00750FC5"/>
    <w:rsid w:val="00752F6F"/>
    <w:rsid w:val="0075395D"/>
    <w:rsid w:val="00755565"/>
    <w:rsid w:val="00755C7D"/>
    <w:rsid w:val="0075692D"/>
    <w:rsid w:val="00760043"/>
    <w:rsid w:val="00760B80"/>
    <w:rsid w:val="0076135D"/>
    <w:rsid w:val="00762878"/>
    <w:rsid w:val="0076292C"/>
    <w:rsid w:val="007629C8"/>
    <w:rsid w:val="00762E39"/>
    <w:rsid w:val="007635DF"/>
    <w:rsid w:val="00764972"/>
    <w:rsid w:val="00765894"/>
    <w:rsid w:val="0076707E"/>
    <w:rsid w:val="007670C1"/>
    <w:rsid w:val="007679E4"/>
    <w:rsid w:val="00770F8E"/>
    <w:rsid w:val="007723FD"/>
    <w:rsid w:val="00773EE0"/>
    <w:rsid w:val="007740F1"/>
    <w:rsid w:val="00774147"/>
    <w:rsid w:val="00775E6E"/>
    <w:rsid w:val="00777322"/>
    <w:rsid w:val="00781C83"/>
    <w:rsid w:val="00781DB6"/>
    <w:rsid w:val="00782A3D"/>
    <w:rsid w:val="00782F2A"/>
    <w:rsid w:val="0078300D"/>
    <w:rsid w:val="007853A6"/>
    <w:rsid w:val="007856A4"/>
    <w:rsid w:val="00785DB2"/>
    <w:rsid w:val="00785DE0"/>
    <w:rsid w:val="00787E5D"/>
    <w:rsid w:val="0079034E"/>
    <w:rsid w:val="0079170F"/>
    <w:rsid w:val="00793EA6"/>
    <w:rsid w:val="0079421E"/>
    <w:rsid w:val="00794A82"/>
    <w:rsid w:val="00795C9F"/>
    <w:rsid w:val="0079681E"/>
    <w:rsid w:val="00797924"/>
    <w:rsid w:val="007A0727"/>
    <w:rsid w:val="007A212F"/>
    <w:rsid w:val="007A36C9"/>
    <w:rsid w:val="007A5D5C"/>
    <w:rsid w:val="007B0EC5"/>
    <w:rsid w:val="007B126A"/>
    <w:rsid w:val="007B28C1"/>
    <w:rsid w:val="007B3302"/>
    <w:rsid w:val="007B5006"/>
    <w:rsid w:val="007B6251"/>
    <w:rsid w:val="007B6BA5"/>
    <w:rsid w:val="007B7EB2"/>
    <w:rsid w:val="007C1241"/>
    <w:rsid w:val="007C3390"/>
    <w:rsid w:val="007C3C35"/>
    <w:rsid w:val="007C3FFB"/>
    <w:rsid w:val="007C4F4B"/>
    <w:rsid w:val="007C55AE"/>
    <w:rsid w:val="007C6C26"/>
    <w:rsid w:val="007C6F85"/>
    <w:rsid w:val="007C71DE"/>
    <w:rsid w:val="007C784F"/>
    <w:rsid w:val="007D00CF"/>
    <w:rsid w:val="007D0FCD"/>
    <w:rsid w:val="007D302F"/>
    <w:rsid w:val="007D564F"/>
    <w:rsid w:val="007E0B2D"/>
    <w:rsid w:val="007E300F"/>
    <w:rsid w:val="007E4594"/>
    <w:rsid w:val="007E4BBE"/>
    <w:rsid w:val="007E533F"/>
    <w:rsid w:val="007E5EA4"/>
    <w:rsid w:val="007F0329"/>
    <w:rsid w:val="007F12FC"/>
    <w:rsid w:val="007F1A3F"/>
    <w:rsid w:val="007F2382"/>
    <w:rsid w:val="007F2D0D"/>
    <w:rsid w:val="007F3A2C"/>
    <w:rsid w:val="007F4853"/>
    <w:rsid w:val="007F6611"/>
    <w:rsid w:val="0080191B"/>
    <w:rsid w:val="008027EB"/>
    <w:rsid w:val="00802BAC"/>
    <w:rsid w:val="00802FC7"/>
    <w:rsid w:val="008031F8"/>
    <w:rsid w:val="00806470"/>
    <w:rsid w:val="00806841"/>
    <w:rsid w:val="00806FE3"/>
    <w:rsid w:val="00807138"/>
    <w:rsid w:val="00807168"/>
    <w:rsid w:val="008105B8"/>
    <w:rsid w:val="00811D06"/>
    <w:rsid w:val="008123D2"/>
    <w:rsid w:val="00812971"/>
    <w:rsid w:val="00813327"/>
    <w:rsid w:val="00813650"/>
    <w:rsid w:val="00816972"/>
    <w:rsid w:val="00816E23"/>
    <w:rsid w:val="00816E4A"/>
    <w:rsid w:val="008216A5"/>
    <w:rsid w:val="0082192D"/>
    <w:rsid w:val="00821A8D"/>
    <w:rsid w:val="008242D7"/>
    <w:rsid w:val="00824AE0"/>
    <w:rsid w:val="00824C73"/>
    <w:rsid w:val="00824F3E"/>
    <w:rsid w:val="00824FE2"/>
    <w:rsid w:val="00825659"/>
    <w:rsid w:val="008257B1"/>
    <w:rsid w:val="0083185A"/>
    <w:rsid w:val="00835B38"/>
    <w:rsid w:val="00835ED8"/>
    <w:rsid w:val="00836985"/>
    <w:rsid w:val="00837CD7"/>
    <w:rsid w:val="00840639"/>
    <w:rsid w:val="008406D2"/>
    <w:rsid w:val="0084126F"/>
    <w:rsid w:val="00843359"/>
    <w:rsid w:val="00843767"/>
    <w:rsid w:val="008464CA"/>
    <w:rsid w:val="00846666"/>
    <w:rsid w:val="008501CD"/>
    <w:rsid w:val="0085089C"/>
    <w:rsid w:val="00851F2A"/>
    <w:rsid w:val="00854297"/>
    <w:rsid w:val="008562B1"/>
    <w:rsid w:val="008619BD"/>
    <w:rsid w:val="00861DD8"/>
    <w:rsid w:val="00861F22"/>
    <w:rsid w:val="00864BE5"/>
    <w:rsid w:val="008655A1"/>
    <w:rsid w:val="00865A46"/>
    <w:rsid w:val="0086646A"/>
    <w:rsid w:val="008667C6"/>
    <w:rsid w:val="00866B90"/>
    <w:rsid w:val="008679D9"/>
    <w:rsid w:val="00871051"/>
    <w:rsid w:val="00872F86"/>
    <w:rsid w:val="008730D5"/>
    <w:rsid w:val="00875FE5"/>
    <w:rsid w:val="0087799E"/>
    <w:rsid w:val="00880AF2"/>
    <w:rsid w:val="00880CEF"/>
    <w:rsid w:val="00881263"/>
    <w:rsid w:val="00886B44"/>
    <w:rsid w:val="0088719B"/>
    <w:rsid w:val="00890222"/>
    <w:rsid w:val="0089025A"/>
    <w:rsid w:val="00891C2B"/>
    <w:rsid w:val="00895468"/>
    <w:rsid w:val="00895B9C"/>
    <w:rsid w:val="00896924"/>
    <w:rsid w:val="008979B1"/>
    <w:rsid w:val="00897F0A"/>
    <w:rsid w:val="008A09B5"/>
    <w:rsid w:val="008A1DB2"/>
    <w:rsid w:val="008A6AA9"/>
    <w:rsid w:val="008A6B25"/>
    <w:rsid w:val="008A6C4F"/>
    <w:rsid w:val="008B012F"/>
    <w:rsid w:val="008B2335"/>
    <w:rsid w:val="008B2D88"/>
    <w:rsid w:val="008B3A9C"/>
    <w:rsid w:val="008B5909"/>
    <w:rsid w:val="008B7413"/>
    <w:rsid w:val="008C0D17"/>
    <w:rsid w:val="008C22CC"/>
    <w:rsid w:val="008C3223"/>
    <w:rsid w:val="008C4B5A"/>
    <w:rsid w:val="008C4D0A"/>
    <w:rsid w:val="008C4EDC"/>
    <w:rsid w:val="008C60A4"/>
    <w:rsid w:val="008C6E58"/>
    <w:rsid w:val="008C77CB"/>
    <w:rsid w:val="008D1459"/>
    <w:rsid w:val="008D1595"/>
    <w:rsid w:val="008D2914"/>
    <w:rsid w:val="008D380D"/>
    <w:rsid w:val="008D4A1E"/>
    <w:rsid w:val="008D662C"/>
    <w:rsid w:val="008E0678"/>
    <w:rsid w:val="008E22D9"/>
    <w:rsid w:val="008E3E27"/>
    <w:rsid w:val="008E4C4F"/>
    <w:rsid w:val="008E5FF6"/>
    <w:rsid w:val="008E6067"/>
    <w:rsid w:val="008E7B56"/>
    <w:rsid w:val="008F02E2"/>
    <w:rsid w:val="008F0336"/>
    <w:rsid w:val="008F08AC"/>
    <w:rsid w:val="008F1FA8"/>
    <w:rsid w:val="008F40A4"/>
    <w:rsid w:val="008F5434"/>
    <w:rsid w:val="00900036"/>
    <w:rsid w:val="00902FEC"/>
    <w:rsid w:val="0090331C"/>
    <w:rsid w:val="00903876"/>
    <w:rsid w:val="00905076"/>
    <w:rsid w:val="0090554B"/>
    <w:rsid w:val="0090563A"/>
    <w:rsid w:val="0090637F"/>
    <w:rsid w:val="00910F40"/>
    <w:rsid w:val="00911542"/>
    <w:rsid w:val="00911864"/>
    <w:rsid w:val="00912C08"/>
    <w:rsid w:val="00913616"/>
    <w:rsid w:val="0091377B"/>
    <w:rsid w:val="00921DC3"/>
    <w:rsid w:val="009223CA"/>
    <w:rsid w:val="0092473E"/>
    <w:rsid w:val="00931728"/>
    <w:rsid w:val="00935B05"/>
    <w:rsid w:val="00935DEF"/>
    <w:rsid w:val="009376BE"/>
    <w:rsid w:val="00937878"/>
    <w:rsid w:val="0093797F"/>
    <w:rsid w:val="00940F93"/>
    <w:rsid w:val="0094132A"/>
    <w:rsid w:val="00941CE3"/>
    <w:rsid w:val="0094258F"/>
    <w:rsid w:val="00942AAE"/>
    <w:rsid w:val="00945B75"/>
    <w:rsid w:val="00946D17"/>
    <w:rsid w:val="00951322"/>
    <w:rsid w:val="009516B6"/>
    <w:rsid w:val="00951EAC"/>
    <w:rsid w:val="00952C05"/>
    <w:rsid w:val="0095347F"/>
    <w:rsid w:val="00953E71"/>
    <w:rsid w:val="009545FF"/>
    <w:rsid w:val="009568BE"/>
    <w:rsid w:val="00956FE4"/>
    <w:rsid w:val="00957A3A"/>
    <w:rsid w:val="0096073F"/>
    <w:rsid w:val="00960911"/>
    <w:rsid w:val="00962AED"/>
    <w:rsid w:val="009633D7"/>
    <w:rsid w:val="009654ED"/>
    <w:rsid w:val="00966036"/>
    <w:rsid w:val="009678AA"/>
    <w:rsid w:val="00967F59"/>
    <w:rsid w:val="009701C4"/>
    <w:rsid w:val="00971C75"/>
    <w:rsid w:val="00972C38"/>
    <w:rsid w:val="009735A8"/>
    <w:rsid w:val="0097381F"/>
    <w:rsid w:val="009748BB"/>
    <w:rsid w:val="00974EF5"/>
    <w:rsid w:val="009760F3"/>
    <w:rsid w:val="00976956"/>
    <w:rsid w:val="00980093"/>
    <w:rsid w:val="009800FA"/>
    <w:rsid w:val="00980EA8"/>
    <w:rsid w:val="009812E4"/>
    <w:rsid w:val="009817F4"/>
    <w:rsid w:val="00982AB0"/>
    <w:rsid w:val="00983732"/>
    <w:rsid w:val="00984808"/>
    <w:rsid w:val="009857B1"/>
    <w:rsid w:val="009909F5"/>
    <w:rsid w:val="009923C0"/>
    <w:rsid w:val="00993D2D"/>
    <w:rsid w:val="00994443"/>
    <w:rsid w:val="0099515D"/>
    <w:rsid w:val="009951B6"/>
    <w:rsid w:val="009A0B8A"/>
    <w:rsid w:val="009A0E8D"/>
    <w:rsid w:val="009A19F8"/>
    <w:rsid w:val="009B0A1D"/>
    <w:rsid w:val="009B0FC5"/>
    <w:rsid w:val="009B26E7"/>
    <w:rsid w:val="009B2E14"/>
    <w:rsid w:val="009B48EE"/>
    <w:rsid w:val="009B53C8"/>
    <w:rsid w:val="009B5A35"/>
    <w:rsid w:val="009C0491"/>
    <w:rsid w:val="009C162C"/>
    <w:rsid w:val="009C26B0"/>
    <w:rsid w:val="009C2A5C"/>
    <w:rsid w:val="009C2F39"/>
    <w:rsid w:val="009C30E3"/>
    <w:rsid w:val="009C6DFE"/>
    <w:rsid w:val="009C76E2"/>
    <w:rsid w:val="009C7AD9"/>
    <w:rsid w:val="009C7D56"/>
    <w:rsid w:val="009D2394"/>
    <w:rsid w:val="009D4323"/>
    <w:rsid w:val="009D4552"/>
    <w:rsid w:val="009E2F54"/>
    <w:rsid w:val="009E39EB"/>
    <w:rsid w:val="009E5D5A"/>
    <w:rsid w:val="009E6C26"/>
    <w:rsid w:val="009E7D26"/>
    <w:rsid w:val="009F2AC1"/>
    <w:rsid w:val="009F2B34"/>
    <w:rsid w:val="009F2FF8"/>
    <w:rsid w:val="009F6595"/>
    <w:rsid w:val="009F7636"/>
    <w:rsid w:val="00A00259"/>
    <w:rsid w:val="00A00A3F"/>
    <w:rsid w:val="00A01489"/>
    <w:rsid w:val="00A018AB"/>
    <w:rsid w:val="00A02BED"/>
    <w:rsid w:val="00A03ED0"/>
    <w:rsid w:val="00A04BC6"/>
    <w:rsid w:val="00A04D9A"/>
    <w:rsid w:val="00A07A6A"/>
    <w:rsid w:val="00A07F04"/>
    <w:rsid w:val="00A107A6"/>
    <w:rsid w:val="00A17962"/>
    <w:rsid w:val="00A200D6"/>
    <w:rsid w:val="00A2225D"/>
    <w:rsid w:val="00A230A0"/>
    <w:rsid w:val="00A233C8"/>
    <w:rsid w:val="00A267BE"/>
    <w:rsid w:val="00A26951"/>
    <w:rsid w:val="00A30566"/>
    <w:rsid w:val="00A31B81"/>
    <w:rsid w:val="00A33624"/>
    <w:rsid w:val="00A338F1"/>
    <w:rsid w:val="00A343D0"/>
    <w:rsid w:val="00A368D5"/>
    <w:rsid w:val="00A377A8"/>
    <w:rsid w:val="00A37B41"/>
    <w:rsid w:val="00A41A5C"/>
    <w:rsid w:val="00A41ADD"/>
    <w:rsid w:val="00A4238D"/>
    <w:rsid w:val="00A44487"/>
    <w:rsid w:val="00A44615"/>
    <w:rsid w:val="00A45390"/>
    <w:rsid w:val="00A46186"/>
    <w:rsid w:val="00A4728C"/>
    <w:rsid w:val="00A47874"/>
    <w:rsid w:val="00A51418"/>
    <w:rsid w:val="00A51E81"/>
    <w:rsid w:val="00A54FD5"/>
    <w:rsid w:val="00A55D9D"/>
    <w:rsid w:val="00A5649C"/>
    <w:rsid w:val="00A57B46"/>
    <w:rsid w:val="00A60643"/>
    <w:rsid w:val="00A65F92"/>
    <w:rsid w:val="00A660A5"/>
    <w:rsid w:val="00A66C25"/>
    <w:rsid w:val="00A7005A"/>
    <w:rsid w:val="00A70EA1"/>
    <w:rsid w:val="00A71B88"/>
    <w:rsid w:val="00A72368"/>
    <w:rsid w:val="00A72C70"/>
    <w:rsid w:val="00A72F22"/>
    <w:rsid w:val="00A72FDB"/>
    <w:rsid w:val="00A7360F"/>
    <w:rsid w:val="00A748A6"/>
    <w:rsid w:val="00A752A4"/>
    <w:rsid w:val="00A75355"/>
    <w:rsid w:val="00A75A88"/>
    <w:rsid w:val="00A76648"/>
    <w:rsid w:val="00A769F4"/>
    <w:rsid w:val="00A776B4"/>
    <w:rsid w:val="00A777CF"/>
    <w:rsid w:val="00A8078D"/>
    <w:rsid w:val="00A81A7B"/>
    <w:rsid w:val="00A81D4E"/>
    <w:rsid w:val="00A85E52"/>
    <w:rsid w:val="00A86238"/>
    <w:rsid w:val="00A86E2B"/>
    <w:rsid w:val="00A90E87"/>
    <w:rsid w:val="00A92DFB"/>
    <w:rsid w:val="00A94361"/>
    <w:rsid w:val="00A9633A"/>
    <w:rsid w:val="00A964C6"/>
    <w:rsid w:val="00A96833"/>
    <w:rsid w:val="00A96BCF"/>
    <w:rsid w:val="00AA1F12"/>
    <w:rsid w:val="00AA293C"/>
    <w:rsid w:val="00AA2D0D"/>
    <w:rsid w:val="00AA4610"/>
    <w:rsid w:val="00AA6FA4"/>
    <w:rsid w:val="00AB00F2"/>
    <w:rsid w:val="00AB0648"/>
    <w:rsid w:val="00AB19FA"/>
    <w:rsid w:val="00AB2855"/>
    <w:rsid w:val="00AB45A3"/>
    <w:rsid w:val="00AB4CA5"/>
    <w:rsid w:val="00AB4EF3"/>
    <w:rsid w:val="00AB5481"/>
    <w:rsid w:val="00AB5DFD"/>
    <w:rsid w:val="00AC2375"/>
    <w:rsid w:val="00AC23E1"/>
    <w:rsid w:val="00AC2549"/>
    <w:rsid w:val="00AC505B"/>
    <w:rsid w:val="00AC51A9"/>
    <w:rsid w:val="00AC6A0A"/>
    <w:rsid w:val="00AC6A89"/>
    <w:rsid w:val="00AC71CC"/>
    <w:rsid w:val="00AC7462"/>
    <w:rsid w:val="00AD2CF3"/>
    <w:rsid w:val="00AD46B8"/>
    <w:rsid w:val="00AD4A26"/>
    <w:rsid w:val="00AD553F"/>
    <w:rsid w:val="00AE19F7"/>
    <w:rsid w:val="00AE1CFF"/>
    <w:rsid w:val="00AE1EFE"/>
    <w:rsid w:val="00AE3DEA"/>
    <w:rsid w:val="00AE4583"/>
    <w:rsid w:val="00AE4730"/>
    <w:rsid w:val="00AE50CE"/>
    <w:rsid w:val="00AE5CCB"/>
    <w:rsid w:val="00AF0881"/>
    <w:rsid w:val="00AF0BB7"/>
    <w:rsid w:val="00AF1A44"/>
    <w:rsid w:val="00AF3148"/>
    <w:rsid w:val="00AF34D9"/>
    <w:rsid w:val="00AF5BB4"/>
    <w:rsid w:val="00AF5CCF"/>
    <w:rsid w:val="00AF7286"/>
    <w:rsid w:val="00B000F0"/>
    <w:rsid w:val="00B004DB"/>
    <w:rsid w:val="00B015A6"/>
    <w:rsid w:val="00B019D2"/>
    <w:rsid w:val="00B01D27"/>
    <w:rsid w:val="00B02347"/>
    <w:rsid w:val="00B03884"/>
    <w:rsid w:val="00B04543"/>
    <w:rsid w:val="00B0454F"/>
    <w:rsid w:val="00B05BDC"/>
    <w:rsid w:val="00B101F5"/>
    <w:rsid w:val="00B10640"/>
    <w:rsid w:val="00B11BA1"/>
    <w:rsid w:val="00B12D13"/>
    <w:rsid w:val="00B12E1C"/>
    <w:rsid w:val="00B13E9B"/>
    <w:rsid w:val="00B1559A"/>
    <w:rsid w:val="00B157EC"/>
    <w:rsid w:val="00B1708C"/>
    <w:rsid w:val="00B174D5"/>
    <w:rsid w:val="00B2280C"/>
    <w:rsid w:val="00B23D94"/>
    <w:rsid w:val="00B24D92"/>
    <w:rsid w:val="00B25D3D"/>
    <w:rsid w:val="00B2683D"/>
    <w:rsid w:val="00B26E01"/>
    <w:rsid w:val="00B30179"/>
    <w:rsid w:val="00B30D6F"/>
    <w:rsid w:val="00B317C0"/>
    <w:rsid w:val="00B32DA1"/>
    <w:rsid w:val="00B33697"/>
    <w:rsid w:val="00B339A7"/>
    <w:rsid w:val="00B33ABD"/>
    <w:rsid w:val="00B33BCA"/>
    <w:rsid w:val="00B36C6C"/>
    <w:rsid w:val="00B40171"/>
    <w:rsid w:val="00B4049D"/>
    <w:rsid w:val="00B4149D"/>
    <w:rsid w:val="00B41A37"/>
    <w:rsid w:val="00B41ACB"/>
    <w:rsid w:val="00B4354D"/>
    <w:rsid w:val="00B443A6"/>
    <w:rsid w:val="00B46514"/>
    <w:rsid w:val="00B47532"/>
    <w:rsid w:val="00B47624"/>
    <w:rsid w:val="00B47F97"/>
    <w:rsid w:val="00B55522"/>
    <w:rsid w:val="00B56E4A"/>
    <w:rsid w:val="00B56E9C"/>
    <w:rsid w:val="00B579C3"/>
    <w:rsid w:val="00B57B1A"/>
    <w:rsid w:val="00B57C32"/>
    <w:rsid w:val="00B57F5A"/>
    <w:rsid w:val="00B60748"/>
    <w:rsid w:val="00B620B6"/>
    <w:rsid w:val="00B62EC2"/>
    <w:rsid w:val="00B64B1F"/>
    <w:rsid w:val="00B6524C"/>
    <w:rsid w:val="00B6553F"/>
    <w:rsid w:val="00B65EFD"/>
    <w:rsid w:val="00B66593"/>
    <w:rsid w:val="00B66ACE"/>
    <w:rsid w:val="00B66E5E"/>
    <w:rsid w:val="00B71840"/>
    <w:rsid w:val="00B71D2A"/>
    <w:rsid w:val="00B727CA"/>
    <w:rsid w:val="00B7514A"/>
    <w:rsid w:val="00B76312"/>
    <w:rsid w:val="00B77D05"/>
    <w:rsid w:val="00B80902"/>
    <w:rsid w:val="00B80DB6"/>
    <w:rsid w:val="00B80E1B"/>
    <w:rsid w:val="00B81206"/>
    <w:rsid w:val="00B81E12"/>
    <w:rsid w:val="00B82FD9"/>
    <w:rsid w:val="00B84567"/>
    <w:rsid w:val="00B85756"/>
    <w:rsid w:val="00B85AF8"/>
    <w:rsid w:val="00B86C63"/>
    <w:rsid w:val="00B879A7"/>
    <w:rsid w:val="00B9067B"/>
    <w:rsid w:val="00B915E0"/>
    <w:rsid w:val="00B94491"/>
    <w:rsid w:val="00B9463A"/>
    <w:rsid w:val="00B94B4B"/>
    <w:rsid w:val="00B95A99"/>
    <w:rsid w:val="00B97AFE"/>
    <w:rsid w:val="00BA0869"/>
    <w:rsid w:val="00BA434C"/>
    <w:rsid w:val="00BA653A"/>
    <w:rsid w:val="00BA720A"/>
    <w:rsid w:val="00BB08D0"/>
    <w:rsid w:val="00BB1F90"/>
    <w:rsid w:val="00BB22D5"/>
    <w:rsid w:val="00BB2C65"/>
    <w:rsid w:val="00BB3BC1"/>
    <w:rsid w:val="00BB4862"/>
    <w:rsid w:val="00BB6726"/>
    <w:rsid w:val="00BC01E3"/>
    <w:rsid w:val="00BC0859"/>
    <w:rsid w:val="00BC288A"/>
    <w:rsid w:val="00BC2C23"/>
    <w:rsid w:val="00BC3F60"/>
    <w:rsid w:val="00BC48F3"/>
    <w:rsid w:val="00BC4DAF"/>
    <w:rsid w:val="00BC5363"/>
    <w:rsid w:val="00BC6E5E"/>
    <w:rsid w:val="00BC74BB"/>
    <w:rsid w:val="00BC74E9"/>
    <w:rsid w:val="00BD5F5C"/>
    <w:rsid w:val="00BF2980"/>
    <w:rsid w:val="00BF4613"/>
    <w:rsid w:val="00BF500B"/>
    <w:rsid w:val="00BF61C5"/>
    <w:rsid w:val="00BF68A8"/>
    <w:rsid w:val="00BF72FD"/>
    <w:rsid w:val="00C00603"/>
    <w:rsid w:val="00C01C8F"/>
    <w:rsid w:val="00C02CF5"/>
    <w:rsid w:val="00C02E7A"/>
    <w:rsid w:val="00C02FF9"/>
    <w:rsid w:val="00C0580E"/>
    <w:rsid w:val="00C11207"/>
    <w:rsid w:val="00C117C8"/>
    <w:rsid w:val="00C11870"/>
    <w:rsid w:val="00C11A03"/>
    <w:rsid w:val="00C12802"/>
    <w:rsid w:val="00C12CBC"/>
    <w:rsid w:val="00C14491"/>
    <w:rsid w:val="00C144EC"/>
    <w:rsid w:val="00C15351"/>
    <w:rsid w:val="00C20A72"/>
    <w:rsid w:val="00C215C0"/>
    <w:rsid w:val="00C2284D"/>
    <w:rsid w:val="00C25634"/>
    <w:rsid w:val="00C2599D"/>
    <w:rsid w:val="00C2781F"/>
    <w:rsid w:val="00C320BD"/>
    <w:rsid w:val="00C334DE"/>
    <w:rsid w:val="00C33C6F"/>
    <w:rsid w:val="00C34926"/>
    <w:rsid w:val="00C34FD6"/>
    <w:rsid w:val="00C3750B"/>
    <w:rsid w:val="00C40638"/>
    <w:rsid w:val="00C409F7"/>
    <w:rsid w:val="00C41CC1"/>
    <w:rsid w:val="00C42151"/>
    <w:rsid w:val="00C42190"/>
    <w:rsid w:val="00C43FB4"/>
    <w:rsid w:val="00C44D49"/>
    <w:rsid w:val="00C463DD"/>
    <w:rsid w:val="00C46474"/>
    <w:rsid w:val="00C4724C"/>
    <w:rsid w:val="00C50356"/>
    <w:rsid w:val="00C52EC0"/>
    <w:rsid w:val="00C55779"/>
    <w:rsid w:val="00C56114"/>
    <w:rsid w:val="00C56D53"/>
    <w:rsid w:val="00C600DB"/>
    <w:rsid w:val="00C606D3"/>
    <w:rsid w:val="00C61C48"/>
    <w:rsid w:val="00C629A0"/>
    <w:rsid w:val="00C649B1"/>
    <w:rsid w:val="00C724AB"/>
    <w:rsid w:val="00C745C3"/>
    <w:rsid w:val="00C74B7E"/>
    <w:rsid w:val="00C76890"/>
    <w:rsid w:val="00C7750B"/>
    <w:rsid w:val="00C803EC"/>
    <w:rsid w:val="00C80EA3"/>
    <w:rsid w:val="00C82D53"/>
    <w:rsid w:val="00C834B6"/>
    <w:rsid w:val="00C84DC4"/>
    <w:rsid w:val="00C8504E"/>
    <w:rsid w:val="00C85114"/>
    <w:rsid w:val="00C85B6E"/>
    <w:rsid w:val="00C9047F"/>
    <w:rsid w:val="00C93035"/>
    <w:rsid w:val="00C96828"/>
    <w:rsid w:val="00C97582"/>
    <w:rsid w:val="00CA1360"/>
    <w:rsid w:val="00CA24EC"/>
    <w:rsid w:val="00CA7E34"/>
    <w:rsid w:val="00CB274B"/>
    <w:rsid w:val="00CB2929"/>
    <w:rsid w:val="00CB38F4"/>
    <w:rsid w:val="00CC5202"/>
    <w:rsid w:val="00CD04A2"/>
    <w:rsid w:val="00CD4339"/>
    <w:rsid w:val="00CD729A"/>
    <w:rsid w:val="00CE0DD9"/>
    <w:rsid w:val="00CE1B3A"/>
    <w:rsid w:val="00CE4A8F"/>
    <w:rsid w:val="00CE7D94"/>
    <w:rsid w:val="00CF1984"/>
    <w:rsid w:val="00CF1A5B"/>
    <w:rsid w:val="00CF2621"/>
    <w:rsid w:val="00CF4CEB"/>
    <w:rsid w:val="00CF5453"/>
    <w:rsid w:val="00CF5D2C"/>
    <w:rsid w:val="00D010A4"/>
    <w:rsid w:val="00D011B3"/>
    <w:rsid w:val="00D016F5"/>
    <w:rsid w:val="00D02633"/>
    <w:rsid w:val="00D02C2A"/>
    <w:rsid w:val="00D06AB9"/>
    <w:rsid w:val="00D06B7E"/>
    <w:rsid w:val="00D07E29"/>
    <w:rsid w:val="00D10237"/>
    <w:rsid w:val="00D11EF5"/>
    <w:rsid w:val="00D1315B"/>
    <w:rsid w:val="00D141CF"/>
    <w:rsid w:val="00D16552"/>
    <w:rsid w:val="00D16565"/>
    <w:rsid w:val="00D1662F"/>
    <w:rsid w:val="00D17E37"/>
    <w:rsid w:val="00D2031B"/>
    <w:rsid w:val="00D21020"/>
    <w:rsid w:val="00D24A49"/>
    <w:rsid w:val="00D257E7"/>
    <w:rsid w:val="00D25FE2"/>
    <w:rsid w:val="00D2637A"/>
    <w:rsid w:val="00D30034"/>
    <w:rsid w:val="00D33B7F"/>
    <w:rsid w:val="00D34E45"/>
    <w:rsid w:val="00D377C4"/>
    <w:rsid w:val="00D37A6E"/>
    <w:rsid w:val="00D42815"/>
    <w:rsid w:val="00D43252"/>
    <w:rsid w:val="00D44A14"/>
    <w:rsid w:val="00D46C27"/>
    <w:rsid w:val="00D4767A"/>
    <w:rsid w:val="00D47EEA"/>
    <w:rsid w:val="00D501D0"/>
    <w:rsid w:val="00D5042B"/>
    <w:rsid w:val="00D50721"/>
    <w:rsid w:val="00D509AE"/>
    <w:rsid w:val="00D514FC"/>
    <w:rsid w:val="00D51D6E"/>
    <w:rsid w:val="00D53BAD"/>
    <w:rsid w:val="00D543C9"/>
    <w:rsid w:val="00D55CE7"/>
    <w:rsid w:val="00D56F7D"/>
    <w:rsid w:val="00D61036"/>
    <w:rsid w:val="00D61188"/>
    <w:rsid w:val="00D62610"/>
    <w:rsid w:val="00D630B0"/>
    <w:rsid w:val="00D64809"/>
    <w:rsid w:val="00D70242"/>
    <w:rsid w:val="00D7231D"/>
    <w:rsid w:val="00D729E4"/>
    <w:rsid w:val="00D73CB8"/>
    <w:rsid w:val="00D760F4"/>
    <w:rsid w:val="00D80EDF"/>
    <w:rsid w:val="00D823F1"/>
    <w:rsid w:val="00D858FC"/>
    <w:rsid w:val="00D864CC"/>
    <w:rsid w:val="00D8702F"/>
    <w:rsid w:val="00D90F93"/>
    <w:rsid w:val="00D913B0"/>
    <w:rsid w:val="00D95235"/>
    <w:rsid w:val="00D95303"/>
    <w:rsid w:val="00D96E57"/>
    <w:rsid w:val="00D96F33"/>
    <w:rsid w:val="00D97597"/>
    <w:rsid w:val="00D975A7"/>
    <w:rsid w:val="00D978C6"/>
    <w:rsid w:val="00DA10B1"/>
    <w:rsid w:val="00DA1219"/>
    <w:rsid w:val="00DA2043"/>
    <w:rsid w:val="00DA3111"/>
    <w:rsid w:val="00DA324A"/>
    <w:rsid w:val="00DA3C1C"/>
    <w:rsid w:val="00DA4BBB"/>
    <w:rsid w:val="00DB0C79"/>
    <w:rsid w:val="00DB27DD"/>
    <w:rsid w:val="00DB2CE7"/>
    <w:rsid w:val="00DB43B8"/>
    <w:rsid w:val="00DB43BC"/>
    <w:rsid w:val="00DB5B2F"/>
    <w:rsid w:val="00DB63CC"/>
    <w:rsid w:val="00DC0714"/>
    <w:rsid w:val="00DC1E6B"/>
    <w:rsid w:val="00DC3693"/>
    <w:rsid w:val="00DC3DA8"/>
    <w:rsid w:val="00DC7425"/>
    <w:rsid w:val="00DD00C7"/>
    <w:rsid w:val="00DD1753"/>
    <w:rsid w:val="00DD2793"/>
    <w:rsid w:val="00DD5353"/>
    <w:rsid w:val="00DD593B"/>
    <w:rsid w:val="00DD64DE"/>
    <w:rsid w:val="00DE1319"/>
    <w:rsid w:val="00DE1DF6"/>
    <w:rsid w:val="00DE5AE0"/>
    <w:rsid w:val="00DE79A8"/>
    <w:rsid w:val="00DF14DE"/>
    <w:rsid w:val="00DF2773"/>
    <w:rsid w:val="00DF2CDE"/>
    <w:rsid w:val="00DF528D"/>
    <w:rsid w:val="00DF6CC7"/>
    <w:rsid w:val="00DF7131"/>
    <w:rsid w:val="00E04D11"/>
    <w:rsid w:val="00E10550"/>
    <w:rsid w:val="00E11A47"/>
    <w:rsid w:val="00E12ED9"/>
    <w:rsid w:val="00E142AF"/>
    <w:rsid w:val="00E15626"/>
    <w:rsid w:val="00E15CC1"/>
    <w:rsid w:val="00E165BF"/>
    <w:rsid w:val="00E17226"/>
    <w:rsid w:val="00E17C73"/>
    <w:rsid w:val="00E209FD"/>
    <w:rsid w:val="00E21400"/>
    <w:rsid w:val="00E2342D"/>
    <w:rsid w:val="00E242B2"/>
    <w:rsid w:val="00E25E54"/>
    <w:rsid w:val="00E27346"/>
    <w:rsid w:val="00E27538"/>
    <w:rsid w:val="00E31E79"/>
    <w:rsid w:val="00E31EC5"/>
    <w:rsid w:val="00E3597E"/>
    <w:rsid w:val="00E37E62"/>
    <w:rsid w:val="00E40A07"/>
    <w:rsid w:val="00E4198A"/>
    <w:rsid w:val="00E41BFE"/>
    <w:rsid w:val="00E41E67"/>
    <w:rsid w:val="00E4363C"/>
    <w:rsid w:val="00E43D95"/>
    <w:rsid w:val="00E43F6E"/>
    <w:rsid w:val="00E44C65"/>
    <w:rsid w:val="00E4563E"/>
    <w:rsid w:val="00E4762A"/>
    <w:rsid w:val="00E507EC"/>
    <w:rsid w:val="00E531A0"/>
    <w:rsid w:val="00E53451"/>
    <w:rsid w:val="00E539B4"/>
    <w:rsid w:val="00E53D02"/>
    <w:rsid w:val="00E54BA1"/>
    <w:rsid w:val="00E56DDC"/>
    <w:rsid w:val="00E572E4"/>
    <w:rsid w:val="00E577D4"/>
    <w:rsid w:val="00E6074E"/>
    <w:rsid w:val="00E61088"/>
    <w:rsid w:val="00E632CC"/>
    <w:rsid w:val="00E65396"/>
    <w:rsid w:val="00E6542A"/>
    <w:rsid w:val="00E6706B"/>
    <w:rsid w:val="00E67FFA"/>
    <w:rsid w:val="00E71BC8"/>
    <w:rsid w:val="00E7260F"/>
    <w:rsid w:val="00E7329C"/>
    <w:rsid w:val="00E74206"/>
    <w:rsid w:val="00E75FBB"/>
    <w:rsid w:val="00E77185"/>
    <w:rsid w:val="00E779FC"/>
    <w:rsid w:val="00E8097C"/>
    <w:rsid w:val="00E81356"/>
    <w:rsid w:val="00E815F7"/>
    <w:rsid w:val="00E8217E"/>
    <w:rsid w:val="00E827FB"/>
    <w:rsid w:val="00E8329D"/>
    <w:rsid w:val="00E848D3"/>
    <w:rsid w:val="00E85728"/>
    <w:rsid w:val="00E86349"/>
    <w:rsid w:val="00E87748"/>
    <w:rsid w:val="00E921CF"/>
    <w:rsid w:val="00E93F1B"/>
    <w:rsid w:val="00E94103"/>
    <w:rsid w:val="00E95257"/>
    <w:rsid w:val="00E95455"/>
    <w:rsid w:val="00E96433"/>
    <w:rsid w:val="00E96630"/>
    <w:rsid w:val="00E96A6E"/>
    <w:rsid w:val="00E9788D"/>
    <w:rsid w:val="00EA31F7"/>
    <w:rsid w:val="00EA5142"/>
    <w:rsid w:val="00EB11F3"/>
    <w:rsid w:val="00EB1D55"/>
    <w:rsid w:val="00EB2581"/>
    <w:rsid w:val="00EB48C1"/>
    <w:rsid w:val="00EB5B31"/>
    <w:rsid w:val="00EB737B"/>
    <w:rsid w:val="00EC0363"/>
    <w:rsid w:val="00EC14EF"/>
    <w:rsid w:val="00EC1576"/>
    <w:rsid w:val="00EC7574"/>
    <w:rsid w:val="00ED00FD"/>
    <w:rsid w:val="00ED08C9"/>
    <w:rsid w:val="00ED0DBA"/>
    <w:rsid w:val="00ED303B"/>
    <w:rsid w:val="00ED535F"/>
    <w:rsid w:val="00ED6ED8"/>
    <w:rsid w:val="00ED7A2A"/>
    <w:rsid w:val="00ED7E6E"/>
    <w:rsid w:val="00EE130E"/>
    <w:rsid w:val="00EE18DC"/>
    <w:rsid w:val="00EE2BA0"/>
    <w:rsid w:val="00EE416D"/>
    <w:rsid w:val="00EE481B"/>
    <w:rsid w:val="00EE621C"/>
    <w:rsid w:val="00EE6929"/>
    <w:rsid w:val="00EF0235"/>
    <w:rsid w:val="00EF03C0"/>
    <w:rsid w:val="00EF0987"/>
    <w:rsid w:val="00EF0F6A"/>
    <w:rsid w:val="00EF1996"/>
    <w:rsid w:val="00EF1D7F"/>
    <w:rsid w:val="00EF1DBF"/>
    <w:rsid w:val="00EF3FBC"/>
    <w:rsid w:val="00EF5227"/>
    <w:rsid w:val="00EF5FA3"/>
    <w:rsid w:val="00EF6D36"/>
    <w:rsid w:val="00F03190"/>
    <w:rsid w:val="00F03A99"/>
    <w:rsid w:val="00F03D89"/>
    <w:rsid w:val="00F0403F"/>
    <w:rsid w:val="00F04CDE"/>
    <w:rsid w:val="00F075CC"/>
    <w:rsid w:val="00F07B62"/>
    <w:rsid w:val="00F20C3D"/>
    <w:rsid w:val="00F243C6"/>
    <w:rsid w:val="00F25DF2"/>
    <w:rsid w:val="00F2653D"/>
    <w:rsid w:val="00F26F57"/>
    <w:rsid w:val="00F27F5B"/>
    <w:rsid w:val="00F318B6"/>
    <w:rsid w:val="00F33AE4"/>
    <w:rsid w:val="00F33AF0"/>
    <w:rsid w:val="00F33F23"/>
    <w:rsid w:val="00F34D48"/>
    <w:rsid w:val="00F34FBB"/>
    <w:rsid w:val="00F35149"/>
    <w:rsid w:val="00F36B91"/>
    <w:rsid w:val="00F373CD"/>
    <w:rsid w:val="00F41576"/>
    <w:rsid w:val="00F4204E"/>
    <w:rsid w:val="00F421EB"/>
    <w:rsid w:val="00F43270"/>
    <w:rsid w:val="00F43E9E"/>
    <w:rsid w:val="00F443B1"/>
    <w:rsid w:val="00F44820"/>
    <w:rsid w:val="00F501AF"/>
    <w:rsid w:val="00F51311"/>
    <w:rsid w:val="00F52453"/>
    <w:rsid w:val="00F52BE2"/>
    <w:rsid w:val="00F546EA"/>
    <w:rsid w:val="00F54806"/>
    <w:rsid w:val="00F55BAA"/>
    <w:rsid w:val="00F55FC7"/>
    <w:rsid w:val="00F61536"/>
    <w:rsid w:val="00F63125"/>
    <w:rsid w:val="00F668B0"/>
    <w:rsid w:val="00F70D30"/>
    <w:rsid w:val="00F727A3"/>
    <w:rsid w:val="00F7343F"/>
    <w:rsid w:val="00F73A4B"/>
    <w:rsid w:val="00F748B6"/>
    <w:rsid w:val="00F75DD2"/>
    <w:rsid w:val="00F82DCC"/>
    <w:rsid w:val="00F82F23"/>
    <w:rsid w:val="00F83261"/>
    <w:rsid w:val="00F8467B"/>
    <w:rsid w:val="00F84C21"/>
    <w:rsid w:val="00F86121"/>
    <w:rsid w:val="00F8772A"/>
    <w:rsid w:val="00F9057C"/>
    <w:rsid w:val="00F906D7"/>
    <w:rsid w:val="00F90FD3"/>
    <w:rsid w:val="00F92F08"/>
    <w:rsid w:val="00F93781"/>
    <w:rsid w:val="00F9431C"/>
    <w:rsid w:val="00F9592D"/>
    <w:rsid w:val="00F9604C"/>
    <w:rsid w:val="00F9653B"/>
    <w:rsid w:val="00F9682C"/>
    <w:rsid w:val="00F96BA5"/>
    <w:rsid w:val="00FA072F"/>
    <w:rsid w:val="00FA1205"/>
    <w:rsid w:val="00FA1718"/>
    <w:rsid w:val="00FA3223"/>
    <w:rsid w:val="00FA5B0F"/>
    <w:rsid w:val="00FA6064"/>
    <w:rsid w:val="00FB0BCE"/>
    <w:rsid w:val="00FB2745"/>
    <w:rsid w:val="00FB3B65"/>
    <w:rsid w:val="00FB45D9"/>
    <w:rsid w:val="00FB5EB5"/>
    <w:rsid w:val="00FB613B"/>
    <w:rsid w:val="00FB7498"/>
    <w:rsid w:val="00FB77A6"/>
    <w:rsid w:val="00FC0622"/>
    <w:rsid w:val="00FC1A0B"/>
    <w:rsid w:val="00FC2A5A"/>
    <w:rsid w:val="00FC68B7"/>
    <w:rsid w:val="00FD0381"/>
    <w:rsid w:val="00FD201E"/>
    <w:rsid w:val="00FD28AF"/>
    <w:rsid w:val="00FD4126"/>
    <w:rsid w:val="00FD4F04"/>
    <w:rsid w:val="00FD4FB8"/>
    <w:rsid w:val="00FD5243"/>
    <w:rsid w:val="00FD61DA"/>
    <w:rsid w:val="00FD7DC2"/>
    <w:rsid w:val="00FE106A"/>
    <w:rsid w:val="00FE23AF"/>
    <w:rsid w:val="00FE2786"/>
    <w:rsid w:val="00FE3889"/>
    <w:rsid w:val="00FE5A4E"/>
    <w:rsid w:val="00FE6DA5"/>
    <w:rsid w:val="00FF0000"/>
    <w:rsid w:val="00FF19CC"/>
    <w:rsid w:val="00FF1ADC"/>
    <w:rsid w:val="00FF3899"/>
    <w:rsid w:val="00FF4BF4"/>
    <w:rsid w:val="00FF511B"/>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2210EAD3-04D6-4D9E-BE36-73523838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3D056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3D056F"/>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 w:type="character" w:customStyle="1" w:styleId="apple-converted-space">
    <w:name w:val="apple-converted-space"/>
    <w:rsid w:val="00ED08C9"/>
  </w:style>
  <w:style w:type="paragraph" w:customStyle="1" w:styleId="stat">
    <w:name w:val="stat"/>
    <w:basedOn w:val="Normal"/>
    <w:rsid w:val="008464CA"/>
    <w:pPr>
      <w:suppressAutoHyphens w:val="0"/>
      <w:spacing w:before="100" w:beforeAutospacing="1" w:after="100" w:afterAutospacing="1" w:line="240" w:lineRule="auto"/>
    </w:pPr>
    <w:rPr>
      <w:sz w:val="24"/>
      <w:szCs w:val="24"/>
      <w:lang w:eastAsia="en-GB"/>
    </w:rPr>
  </w:style>
  <w:style w:type="paragraph" w:styleId="NormalWeb">
    <w:name w:val="Normal (Web)"/>
    <w:basedOn w:val="Normal"/>
    <w:uiPriority w:val="99"/>
    <w:unhideWhenUsed/>
    <w:rsid w:val="008464CA"/>
    <w:pPr>
      <w:suppressAutoHyphens w:val="0"/>
      <w:spacing w:before="100" w:beforeAutospacing="1" w:after="100" w:afterAutospacing="1" w:line="240" w:lineRule="auto"/>
    </w:pPr>
    <w:rPr>
      <w:sz w:val="24"/>
      <w:szCs w:val="24"/>
      <w:lang w:eastAsia="en-GB"/>
    </w:rPr>
  </w:style>
  <w:style w:type="paragraph" w:styleId="Revision">
    <w:name w:val="Revision"/>
    <w:hidden/>
    <w:uiPriority w:val="99"/>
    <w:semiHidden/>
    <w:rsid w:val="002768A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661">
      <w:bodyDiv w:val="1"/>
      <w:marLeft w:val="0"/>
      <w:marRight w:val="0"/>
      <w:marTop w:val="0"/>
      <w:marBottom w:val="0"/>
      <w:divBdr>
        <w:top w:val="none" w:sz="0" w:space="0" w:color="auto"/>
        <w:left w:val="none" w:sz="0" w:space="0" w:color="auto"/>
        <w:bottom w:val="none" w:sz="0" w:space="0" w:color="auto"/>
        <w:right w:val="none" w:sz="0" w:space="0" w:color="auto"/>
      </w:divBdr>
    </w:div>
    <w:div w:id="92170967">
      <w:bodyDiv w:val="1"/>
      <w:marLeft w:val="0"/>
      <w:marRight w:val="0"/>
      <w:marTop w:val="0"/>
      <w:marBottom w:val="0"/>
      <w:divBdr>
        <w:top w:val="none" w:sz="0" w:space="0" w:color="auto"/>
        <w:left w:val="none" w:sz="0" w:space="0" w:color="auto"/>
        <w:bottom w:val="none" w:sz="0" w:space="0" w:color="auto"/>
        <w:right w:val="none" w:sz="0" w:space="0" w:color="auto"/>
      </w:divBdr>
    </w:div>
    <w:div w:id="141511432">
      <w:bodyDiv w:val="1"/>
      <w:marLeft w:val="0"/>
      <w:marRight w:val="0"/>
      <w:marTop w:val="0"/>
      <w:marBottom w:val="0"/>
      <w:divBdr>
        <w:top w:val="none" w:sz="0" w:space="0" w:color="auto"/>
        <w:left w:val="none" w:sz="0" w:space="0" w:color="auto"/>
        <w:bottom w:val="none" w:sz="0" w:space="0" w:color="auto"/>
        <w:right w:val="none" w:sz="0" w:space="0" w:color="auto"/>
      </w:divBdr>
    </w:div>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282154956">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07869713">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067344">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24253976">
      <w:bodyDiv w:val="1"/>
      <w:marLeft w:val="0"/>
      <w:marRight w:val="0"/>
      <w:marTop w:val="0"/>
      <w:marBottom w:val="0"/>
      <w:divBdr>
        <w:top w:val="none" w:sz="0" w:space="0" w:color="auto"/>
        <w:left w:val="none" w:sz="0" w:space="0" w:color="auto"/>
        <w:bottom w:val="none" w:sz="0" w:space="0" w:color="auto"/>
        <w:right w:val="none" w:sz="0" w:space="0" w:color="auto"/>
      </w:divBdr>
    </w:div>
    <w:div w:id="741176819">
      <w:bodyDiv w:val="1"/>
      <w:marLeft w:val="0"/>
      <w:marRight w:val="0"/>
      <w:marTop w:val="0"/>
      <w:marBottom w:val="0"/>
      <w:divBdr>
        <w:top w:val="none" w:sz="0" w:space="0" w:color="auto"/>
        <w:left w:val="none" w:sz="0" w:space="0" w:color="auto"/>
        <w:bottom w:val="none" w:sz="0" w:space="0" w:color="auto"/>
        <w:right w:val="none" w:sz="0" w:space="0" w:color="auto"/>
      </w:divBdr>
    </w:div>
    <w:div w:id="745110457">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40707193">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32904038">
      <w:bodyDiv w:val="1"/>
      <w:marLeft w:val="0"/>
      <w:marRight w:val="0"/>
      <w:marTop w:val="0"/>
      <w:marBottom w:val="0"/>
      <w:divBdr>
        <w:top w:val="none" w:sz="0" w:space="0" w:color="auto"/>
        <w:left w:val="none" w:sz="0" w:space="0" w:color="auto"/>
        <w:bottom w:val="none" w:sz="0" w:space="0" w:color="auto"/>
        <w:right w:val="none" w:sz="0" w:space="0" w:color="auto"/>
      </w:divBdr>
    </w:div>
    <w:div w:id="1698038412">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934167526">
      <w:bodyDiv w:val="1"/>
      <w:marLeft w:val="0"/>
      <w:marRight w:val="0"/>
      <w:marTop w:val="0"/>
      <w:marBottom w:val="0"/>
      <w:divBdr>
        <w:top w:val="none" w:sz="0" w:space="0" w:color="auto"/>
        <w:left w:val="none" w:sz="0" w:space="0" w:color="auto"/>
        <w:bottom w:val="none" w:sz="0" w:space="0" w:color="auto"/>
        <w:right w:val="none" w:sz="0" w:space="0" w:color="auto"/>
      </w:divBdr>
    </w:div>
    <w:div w:id="1955937353">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19634-E166-41EA-899E-3484E19A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11</Pages>
  <Words>5364</Words>
  <Characters>30577</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1607655</vt:lpstr>
      <vt:lpstr>United Nations</vt:lpstr>
    </vt:vector>
  </TitlesOfParts>
  <Company>CSD</Company>
  <LinksUpToDate>false</LinksUpToDate>
  <CharactersWithSpaces>35870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1607655</dc:title>
  <dc:subject>CCPR/C/116/D/2059/2011</dc:subject>
  <dc:creator>temp Neogi</dc:creator>
  <cp:keywords/>
  <dc:description/>
  <cp:lastModifiedBy>Sarah Willig</cp:lastModifiedBy>
  <cp:revision>2</cp:revision>
  <cp:lastPrinted>2016-04-27T10:08:00Z</cp:lastPrinted>
  <dcterms:created xsi:type="dcterms:W3CDTF">2017-03-28T19:18:00Z</dcterms:created>
  <dcterms:modified xsi:type="dcterms:W3CDTF">2017-03-28T19:18:00Z</dcterms:modified>
</cp:coreProperties>
</file>