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7369EB" w:rsidTr="007369EB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9EB" w:rsidRPr="007369EB" w:rsidRDefault="007369EB" w:rsidP="007369EB">
            <w:pPr>
              <w:jc w:val="right"/>
            </w:pPr>
            <w:bookmarkStart w:id="0" w:name="_GoBack"/>
            <w:bookmarkEnd w:id="0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9EB" w:rsidRPr="007369EB" w:rsidRDefault="008569AD" w:rsidP="00CA63A9">
            <w:pPr>
              <w:spacing w:after="80"/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9EB" w:rsidRPr="00DE3EC0" w:rsidRDefault="007C1F31" w:rsidP="00BF2480">
            <w:pPr>
              <w:jc w:val="right"/>
            </w:pPr>
            <w:r w:rsidRPr="007C1F31">
              <w:rPr>
                <w:sz w:val="40"/>
              </w:rPr>
              <w:t>CCPR</w:t>
            </w:r>
            <w:r>
              <w:t>/C/</w:t>
            </w:r>
            <w:r w:rsidR="00C14FBC">
              <w:t>111</w:t>
            </w:r>
            <w:r>
              <w:t>/D/</w:t>
            </w:r>
            <w:r w:rsidR="00C14FBC">
              <w:t>2037</w:t>
            </w:r>
            <w:r>
              <w:t>/20</w:t>
            </w:r>
            <w:r w:rsidR="00C14FBC">
              <w:t>11</w:t>
            </w:r>
          </w:p>
        </w:tc>
      </w:tr>
      <w:tr w:rsidR="007369EB" w:rsidTr="00DF0F82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369EB" w:rsidRDefault="00D20409" w:rsidP="00CA63A9">
            <w:pPr>
              <w:spacing w:before="12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45pt">
                  <v:imagedata r:id="rId7" o:title=""/>
                </v:shape>
              </w:pic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D3C87" w:rsidRPr="00CA63A9" w:rsidRDefault="008569AD" w:rsidP="00CA63A9">
            <w:pPr>
              <w:spacing w:before="120"/>
              <w:rPr>
                <w:b/>
                <w:sz w:val="34"/>
                <w:szCs w:val="40"/>
              </w:rPr>
            </w:pPr>
            <w:r w:rsidRPr="00267F5F">
              <w:rPr>
                <w:b/>
                <w:sz w:val="34"/>
                <w:szCs w:val="40"/>
              </w:rPr>
              <w:t xml:space="preserve">International </w:t>
            </w:r>
            <w:r>
              <w:rPr>
                <w:b/>
                <w:sz w:val="34"/>
                <w:szCs w:val="40"/>
              </w:rPr>
              <w:t>Covenant on</w:t>
            </w:r>
            <w:r>
              <w:rPr>
                <w:b/>
                <w:sz w:val="34"/>
                <w:szCs w:val="40"/>
              </w:rPr>
              <w:br/>
              <w:t>Civil and Political R</w:t>
            </w:r>
            <w:r w:rsidRPr="00267F5F">
              <w:rPr>
                <w:b/>
                <w:sz w:val="34"/>
                <w:szCs w:val="40"/>
              </w:rPr>
              <w:t>ights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C1F31" w:rsidRDefault="007C1F31" w:rsidP="007C1F31">
            <w:pPr>
              <w:spacing w:before="240" w:line="240" w:lineRule="exact"/>
            </w:pPr>
            <w:r>
              <w:t xml:space="preserve">Distr.: </w:t>
            </w:r>
            <w:r w:rsidR="00BF2480">
              <w:t>General</w:t>
            </w:r>
          </w:p>
          <w:p w:rsidR="007C1F31" w:rsidRDefault="001C53DA" w:rsidP="003B05F7">
            <w:pPr>
              <w:spacing w:line="240" w:lineRule="exact"/>
            </w:pPr>
            <w:r>
              <w:t>30</w:t>
            </w:r>
            <w:r w:rsidR="003D3C87">
              <w:t xml:space="preserve"> October</w:t>
            </w:r>
            <w:r w:rsidR="00711304">
              <w:t xml:space="preserve"> 201</w:t>
            </w:r>
            <w:r w:rsidR="00C14FBC">
              <w:t>4</w:t>
            </w:r>
          </w:p>
          <w:p w:rsidR="007C1F31" w:rsidRDefault="007C1F31" w:rsidP="007C1F31">
            <w:pPr>
              <w:spacing w:line="240" w:lineRule="exact"/>
            </w:pPr>
          </w:p>
          <w:p w:rsidR="007369EB" w:rsidRDefault="007C1F31" w:rsidP="007C1F31">
            <w:pPr>
              <w:spacing w:line="240" w:lineRule="exact"/>
            </w:pPr>
            <w:r>
              <w:t>Original: English</w:t>
            </w:r>
          </w:p>
        </w:tc>
      </w:tr>
    </w:tbl>
    <w:p w:rsidR="00E620E7" w:rsidRPr="008649F9" w:rsidRDefault="00E620E7" w:rsidP="00E620E7">
      <w:pPr>
        <w:spacing w:before="120"/>
        <w:rPr>
          <w:b/>
          <w:sz w:val="24"/>
          <w:szCs w:val="24"/>
          <w:lang w:val="en-US"/>
        </w:rPr>
      </w:pPr>
      <w:r w:rsidRPr="008649F9">
        <w:rPr>
          <w:b/>
          <w:sz w:val="24"/>
          <w:szCs w:val="24"/>
          <w:lang w:val="en-US"/>
        </w:rPr>
        <w:t>Human Rights Committee</w:t>
      </w:r>
      <w:r w:rsidR="00D20409">
        <w:rPr>
          <w:b/>
          <w:noProof/>
          <w:sz w:val="24"/>
          <w:szCs w:val="24"/>
          <w:lang w:eastAsia="zh-CN"/>
        </w:rPr>
        <w:pict>
          <v:shape id="_x0000_s1026" type="#_x0000_t75" style="position:absolute;margin-left:432.25pt;margin-top:632.1pt;width:50.25pt;height:50.25pt;z-index:1;mso-position-horizontal-relative:margin;mso-position-vertical-relative:margin" o:allowoverlap="f">
            <v:imagedata r:id="rId8" o:title="2011&amp;Size=2 &amp;Lang=E"/>
            <w10:wrap anchorx="margin" anchory="margin"/>
          </v:shape>
        </w:pict>
      </w:r>
    </w:p>
    <w:p w:rsidR="007C1F31" w:rsidRDefault="007A2BFF" w:rsidP="00B516B5">
      <w:pPr>
        <w:pStyle w:val="HChG"/>
      </w:pPr>
      <w:r>
        <w:tab/>
      </w:r>
      <w:r>
        <w:tab/>
      </w:r>
      <w:r w:rsidR="007C1F31" w:rsidRPr="007C1F31">
        <w:t xml:space="preserve">Communication No. </w:t>
      </w:r>
      <w:r w:rsidR="00C14FBC">
        <w:t>2037</w:t>
      </w:r>
      <w:r w:rsidR="00E620E7">
        <w:t>/20</w:t>
      </w:r>
      <w:r w:rsidR="00C14FBC">
        <w:t>11</w:t>
      </w:r>
    </w:p>
    <w:p w:rsidR="00032DCC" w:rsidRPr="007D3E05" w:rsidRDefault="00BF2480" w:rsidP="00BF2480">
      <w:pPr>
        <w:pStyle w:val="H1G"/>
        <w:tabs>
          <w:tab w:val="clear" w:pos="851"/>
        </w:tabs>
        <w:ind w:firstLine="0"/>
        <w:rPr>
          <w:b w:val="0"/>
          <w:szCs w:val="24"/>
        </w:rPr>
      </w:pPr>
      <w:r>
        <w:rPr>
          <w:rFonts w:eastAsia="Arial Unicode MS" w:hAnsi="Arial Unicode MS" w:cs="Arial Unicode MS"/>
        </w:rPr>
        <w:t xml:space="preserve">Decision </w:t>
      </w:r>
      <w:r w:rsidR="00185CE4" w:rsidRPr="00185CE4">
        <w:rPr>
          <w:rFonts w:eastAsia="Arial Unicode MS" w:hAnsi="Arial Unicode MS" w:cs="Arial Unicode MS"/>
        </w:rPr>
        <w:t>under the Optional Protocol to the International Covenant on Civil and Political Rights,</w:t>
      </w:r>
      <w:r w:rsidR="00185CE4"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</w:rPr>
        <w:t>adopted by the Committee at its 111</w:t>
      </w:r>
      <w:r w:rsidRPr="00584BCE">
        <w:rPr>
          <w:rFonts w:eastAsia="Arial Unicode MS" w:hAnsi="Arial Unicode MS" w:cs="Arial Unicode MS"/>
        </w:rPr>
        <w:t>th</w:t>
      </w:r>
      <w:r>
        <w:rPr>
          <w:rFonts w:eastAsia="Arial Unicode MS" w:hAnsi="Arial Unicode MS" w:cs="Arial Unicode MS"/>
        </w:rPr>
        <w:t xml:space="preserve"> session</w:t>
      </w:r>
      <w:r>
        <w:rPr>
          <w:rFonts w:eastAsia="Arial Unicode MS" w:hAnsi="Arial Unicode MS" w:cs="Arial Unicode MS"/>
        </w:rPr>
        <w:br/>
        <w:t>(7</w:t>
      </w:r>
      <w:r w:rsidR="00185CE4">
        <w:rPr>
          <w:rFonts w:eastAsia="Arial Unicode MS" w:hAnsi="Arial Unicode MS" w:cs="Arial Unicode MS"/>
        </w:rPr>
        <w:t>–</w:t>
      </w:r>
      <w:r>
        <w:rPr>
          <w:rFonts w:eastAsia="Arial Unicode MS" w:hAnsi="Arial Unicode MS" w:cs="Arial Unicode MS"/>
        </w:rPr>
        <w:t>25 July 2014)</w:t>
      </w:r>
    </w:p>
    <w:p w:rsidR="007C1F31" w:rsidRPr="007C1F31" w:rsidRDefault="007C1F31" w:rsidP="008D6278">
      <w:pPr>
        <w:pStyle w:val="SingleTxtG"/>
        <w:ind w:left="4536" w:hanging="3402"/>
      </w:pPr>
      <w:r w:rsidRPr="001C584B">
        <w:rPr>
          <w:i/>
        </w:rPr>
        <w:t>Submitted by:</w:t>
      </w:r>
      <w:r w:rsidRPr="007C1F31">
        <w:tab/>
      </w:r>
      <w:r w:rsidR="0069263B">
        <w:t>M</w:t>
      </w:r>
      <w:r w:rsidR="00D72BBE">
        <w:t>.R.R.</w:t>
      </w:r>
      <w:r w:rsidR="0069263B">
        <w:t xml:space="preserve"> (</w:t>
      </w:r>
      <w:r w:rsidR="00491F12">
        <w:t xml:space="preserve">represented by counsel, José </w:t>
      </w:r>
      <w:r w:rsidR="0069263B">
        <w:t>Luis Mazón</w:t>
      </w:r>
      <w:r w:rsidR="00491F12">
        <w:t xml:space="preserve"> Costa</w:t>
      </w:r>
      <w:r w:rsidR="0069263B">
        <w:t>)</w:t>
      </w:r>
    </w:p>
    <w:p w:rsidR="007C1F31" w:rsidRPr="007C1F31" w:rsidRDefault="007C1F31" w:rsidP="007A2BFF">
      <w:pPr>
        <w:pStyle w:val="SingleTxtG"/>
        <w:ind w:left="4536" w:hanging="3402"/>
      </w:pPr>
      <w:r w:rsidRPr="001C584B">
        <w:rPr>
          <w:i/>
        </w:rPr>
        <w:t>Alleged victim</w:t>
      </w:r>
      <w:r w:rsidR="00942C06" w:rsidRPr="001C584B">
        <w:rPr>
          <w:i/>
        </w:rPr>
        <w:t>:</w:t>
      </w:r>
      <w:r w:rsidR="00942C06">
        <w:tab/>
        <w:t>The author</w:t>
      </w:r>
    </w:p>
    <w:p w:rsidR="007C1F31" w:rsidRPr="007C1F31" w:rsidRDefault="007C1F31" w:rsidP="007A2BFF">
      <w:pPr>
        <w:pStyle w:val="SingleTxtG"/>
        <w:ind w:left="4536" w:hanging="3402"/>
      </w:pPr>
      <w:r w:rsidRPr="001C584B">
        <w:rPr>
          <w:i/>
        </w:rPr>
        <w:t>State party:</w:t>
      </w:r>
      <w:r w:rsidRPr="007C1F31">
        <w:tab/>
      </w:r>
      <w:smartTag w:uri="urn:schemas-microsoft-com:office:smarttags" w:element="country-region">
        <w:smartTag w:uri="urn:schemas-microsoft-com:office:smarttags" w:element="place">
          <w:r w:rsidR="0069263B">
            <w:t>Spain</w:t>
          </w:r>
        </w:smartTag>
      </w:smartTag>
    </w:p>
    <w:p w:rsidR="007C1F31" w:rsidRPr="007C1F31" w:rsidRDefault="007C1F31" w:rsidP="007A2BFF">
      <w:pPr>
        <w:pStyle w:val="SingleTxtG"/>
        <w:ind w:left="4536" w:hanging="3402"/>
      </w:pPr>
      <w:r w:rsidRPr="001C584B">
        <w:rPr>
          <w:i/>
        </w:rPr>
        <w:t>Date of communication:</w:t>
      </w:r>
      <w:r w:rsidRPr="007C1F31">
        <w:tab/>
      </w:r>
      <w:r w:rsidR="0069263B">
        <w:t>30 September 2005</w:t>
      </w:r>
      <w:r w:rsidRPr="007C1F31">
        <w:t xml:space="preserve"> (initial submission)</w:t>
      </w:r>
    </w:p>
    <w:p w:rsidR="007C1F31" w:rsidRDefault="007C1F31" w:rsidP="007A1601">
      <w:pPr>
        <w:pStyle w:val="SingleTxtG"/>
        <w:ind w:left="4536" w:hanging="3402"/>
      </w:pPr>
      <w:r w:rsidRPr="001C584B">
        <w:rPr>
          <w:i/>
        </w:rPr>
        <w:t xml:space="preserve">Date of </w:t>
      </w:r>
      <w:r w:rsidR="00E670C5" w:rsidRPr="001C584B">
        <w:rPr>
          <w:i/>
        </w:rPr>
        <w:t>decision</w:t>
      </w:r>
      <w:r w:rsidRPr="001C584B">
        <w:rPr>
          <w:i/>
        </w:rPr>
        <w:t>:</w:t>
      </w:r>
      <w:r w:rsidRPr="007C1F31">
        <w:tab/>
      </w:r>
      <w:r w:rsidR="00BF2480">
        <w:t>21</w:t>
      </w:r>
      <w:r w:rsidR="00BF2480" w:rsidRPr="007C1F31">
        <w:t xml:space="preserve"> </w:t>
      </w:r>
      <w:r w:rsidR="00084CA1">
        <w:t>July</w:t>
      </w:r>
      <w:r w:rsidR="00E620E7">
        <w:t xml:space="preserve"> 20</w:t>
      </w:r>
      <w:r w:rsidR="0069263B">
        <w:t>14</w:t>
      </w:r>
    </w:p>
    <w:p w:rsidR="001C584B" w:rsidRPr="00084CA1" w:rsidRDefault="001C584B" w:rsidP="00E25F28">
      <w:pPr>
        <w:pStyle w:val="SingleTxtG"/>
        <w:ind w:left="4536" w:hanging="3402"/>
      </w:pPr>
      <w:r w:rsidRPr="007C1F31">
        <w:rPr>
          <w:i/>
        </w:rPr>
        <w:t>Subject matter:</w:t>
      </w:r>
      <w:r w:rsidR="0013253C">
        <w:rPr>
          <w:i/>
        </w:rPr>
        <w:t xml:space="preserve"> </w:t>
      </w:r>
      <w:r w:rsidRPr="007C1F31">
        <w:rPr>
          <w:i/>
        </w:rPr>
        <w:tab/>
      </w:r>
      <w:r w:rsidRPr="005D7178">
        <w:t xml:space="preserve">Scope of the review </w:t>
      </w:r>
      <w:r>
        <w:t>of a criminal conviction in cassation proceedings</w:t>
      </w:r>
    </w:p>
    <w:p w:rsidR="001C584B" w:rsidRPr="00084CA1" w:rsidRDefault="001C584B" w:rsidP="001C584B">
      <w:pPr>
        <w:pStyle w:val="SingleTxtG"/>
        <w:ind w:left="4536" w:hanging="3402"/>
      </w:pPr>
      <w:r w:rsidRPr="00084CA1">
        <w:rPr>
          <w:i/>
        </w:rPr>
        <w:t xml:space="preserve">Substantive issues: </w:t>
      </w:r>
      <w:r w:rsidRPr="00084CA1">
        <w:rPr>
          <w:i/>
        </w:rPr>
        <w:tab/>
      </w:r>
      <w:r w:rsidRPr="00084CA1">
        <w:t>Right to have the conviction and sentence reviewed by a higher tribunal</w:t>
      </w:r>
    </w:p>
    <w:p w:rsidR="00E25F28" w:rsidRDefault="00E25F28" w:rsidP="001C584B">
      <w:pPr>
        <w:pStyle w:val="SingleTxtG"/>
        <w:ind w:left="4536" w:hanging="3402"/>
        <w:rPr>
          <w:i/>
        </w:rPr>
      </w:pPr>
      <w:r w:rsidRPr="00084CA1">
        <w:rPr>
          <w:i/>
        </w:rPr>
        <w:t xml:space="preserve">Procedural issues: </w:t>
      </w:r>
      <w:r>
        <w:rPr>
          <w:i/>
        </w:rPr>
        <w:tab/>
      </w:r>
      <w:r>
        <w:rPr>
          <w:i/>
        </w:rPr>
        <w:tab/>
      </w:r>
      <w:r w:rsidRPr="00084CA1">
        <w:t>Insufficient substantiation of claims</w:t>
      </w:r>
    </w:p>
    <w:p w:rsidR="001C584B" w:rsidRPr="00084CA1" w:rsidRDefault="001C584B" w:rsidP="001C584B">
      <w:pPr>
        <w:pStyle w:val="SingleTxtG"/>
        <w:ind w:left="4536" w:hanging="3402"/>
      </w:pPr>
      <w:r w:rsidRPr="00084CA1">
        <w:rPr>
          <w:i/>
        </w:rPr>
        <w:t>Article</w:t>
      </w:r>
      <w:r w:rsidRPr="00DF7308">
        <w:rPr>
          <w:i/>
        </w:rPr>
        <w:t>s</w:t>
      </w:r>
      <w:r w:rsidRPr="00084CA1">
        <w:rPr>
          <w:i/>
        </w:rPr>
        <w:t xml:space="preserve"> of the Covenant:</w:t>
      </w:r>
      <w:r w:rsidRPr="00084CA1">
        <w:t xml:space="preserve"> </w:t>
      </w:r>
      <w:r w:rsidRPr="00084CA1">
        <w:tab/>
        <w:t xml:space="preserve">14 </w:t>
      </w:r>
      <w:r w:rsidR="00E25F28">
        <w:t>(</w:t>
      </w:r>
      <w:r w:rsidRPr="00084CA1">
        <w:t>para</w:t>
      </w:r>
      <w:r w:rsidR="00E25F28">
        <w:t>.</w:t>
      </w:r>
      <w:r w:rsidRPr="00084CA1">
        <w:t xml:space="preserve"> 5</w:t>
      </w:r>
      <w:r w:rsidR="00E25F28">
        <w:t>)</w:t>
      </w:r>
    </w:p>
    <w:p w:rsidR="001C584B" w:rsidRPr="007C1F31" w:rsidRDefault="001C584B" w:rsidP="001C584B">
      <w:pPr>
        <w:pStyle w:val="SingleTxtG"/>
        <w:ind w:left="4536" w:hanging="3402"/>
        <w:rPr>
          <w:i/>
        </w:rPr>
      </w:pPr>
      <w:r w:rsidRPr="00084CA1">
        <w:rPr>
          <w:i/>
        </w:rPr>
        <w:t>Article</w:t>
      </w:r>
      <w:r w:rsidRPr="00DF7308">
        <w:rPr>
          <w:i/>
        </w:rPr>
        <w:t>s</w:t>
      </w:r>
      <w:r w:rsidRPr="00084CA1">
        <w:rPr>
          <w:i/>
        </w:rPr>
        <w:t xml:space="preserve"> of the Optional Protocol:</w:t>
      </w:r>
      <w:r w:rsidRPr="00084CA1">
        <w:rPr>
          <w:i/>
        </w:rPr>
        <w:tab/>
      </w:r>
      <w:r w:rsidRPr="00084CA1">
        <w:t>2</w:t>
      </w:r>
    </w:p>
    <w:p w:rsidR="00BF2480" w:rsidRDefault="007C1F31" w:rsidP="0013253C">
      <w:pPr>
        <w:pStyle w:val="H1G"/>
        <w:rPr>
          <w:szCs w:val="24"/>
          <w:lang w:eastAsia="en-GB"/>
        </w:rPr>
      </w:pPr>
      <w:r w:rsidRPr="007C1F31">
        <w:rPr>
          <w:i/>
        </w:rPr>
        <w:br w:type="page"/>
      </w:r>
      <w:r w:rsidR="0056622D">
        <w:lastRenderedPageBreak/>
        <w:tab/>
      </w:r>
      <w:r w:rsidR="0056622D">
        <w:tab/>
      </w:r>
      <w:r w:rsidR="001847C3" w:rsidRPr="001847C3">
        <w:t>Decision on admissibility</w:t>
      </w:r>
      <w:r w:rsidR="00BF2480" w:rsidRPr="000F08BA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:rsidR="001847C3" w:rsidRDefault="001847C3" w:rsidP="00281C34">
      <w:pPr>
        <w:pStyle w:val="SingleTxtG"/>
        <w:spacing w:line="240" w:lineRule="auto"/>
        <w:rPr>
          <w:lang w:val="en-CA"/>
        </w:rPr>
      </w:pPr>
      <w:r w:rsidRPr="007C1F31">
        <w:t>1.</w:t>
      </w:r>
      <w:r>
        <w:t>1</w:t>
      </w:r>
      <w:r w:rsidRPr="007C1F31">
        <w:tab/>
      </w:r>
      <w:r w:rsidRPr="001F6149">
        <w:rPr>
          <w:lang w:val="en-CA"/>
        </w:rPr>
        <w:t xml:space="preserve">The author of the communication is </w:t>
      </w:r>
      <w:r>
        <w:rPr>
          <w:lang w:val="en-CA"/>
        </w:rPr>
        <w:t>M</w:t>
      </w:r>
      <w:r w:rsidR="00D72BBE">
        <w:rPr>
          <w:lang w:val="en-CA"/>
        </w:rPr>
        <w:t>.R.R.</w:t>
      </w:r>
      <w:r w:rsidRPr="001F6149">
        <w:rPr>
          <w:lang w:val="en-CA"/>
        </w:rPr>
        <w:t xml:space="preserve">, a </w:t>
      </w:r>
      <w:r>
        <w:rPr>
          <w:lang w:val="en-CA"/>
        </w:rPr>
        <w:t>Spanish</w:t>
      </w:r>
      <w:r w:rsidRPr="001F6149">
        <w:rPr>
          <w:lang w:val="en-CA"/>
        </w:rPr>
        <w:t xml:space="preserve"> national </w:t>
      </w:r>
      <w:r w:rsidRPr="00B505CE">
        <w:rPr>
          <w:lang w:val="en-CA"/>
        </w:rPr>
        <w:t>born on 9</w:t>
      </w:r>
      <w:r w:rsidR="000F08BA">
        <w:rPr>
          <w:lang w:val="en-CA"/>
        </w:rPr>
        <w:t> </w:t>
      </w:r>
      <w:r w:rsidRPr="00B505CE">
        <w:rPr>
          <w:lang w:val="en-CA"/>
        </w:rPr>
        <w:t>August 1964,</w:t>
      </w:r>
      <w:r>
        <w:rPr>
          <w:lang w:val="en-CA"/>
        </w:rPr>
        <w:t xml:space="preserve"> who claims to be </w:t>
      </w:r>
      <w:r w:rsidRPr="001F6149">
        <w:rPr>
          <w:lang w:val="en-CA"/>
        </w:rPr>
        <w:t xml:space="preserve">victim of a violation by </w:t>
      </w:r>
      <w:r>
        <w:rPr>
          <w:lang w:val="en-CA"/>
        </w:rPr>
        <w:t>Spain of article 14, paragraph 5</w:t>
      </w:r>
      <w:r w:rsidR="00E25F28">
        <w:rPr>
          <w:lang w:val="en-CA"/>
        </w:rPr>
        <w:t>,</w:t>
      </w:r>
      <w:r>
        <w:rPr>
          <w:lang w:val="en-CA"/>
        </w:rPr>
        <w:t xml:space="preserve"> of the Covenant. </w:t>
      </w:r>
      <w:r w:rsidR="00281C34">
        <w:rPr>
          <w:lang w:val="en-CA"/>
        </w:rPr>
        <w:t>When</w:t>
      </w:r>
      <w:r w:rsidR="00E25F28">
        <w:rPr>
          <w:lang w:val="en-CA"/>
        </w:rPr>
        <w:t xml:space="preserve"> </w:t>
      </w:r>
      <w:r>
        <w:rPr>
          <w:lang w:val="en-CA"/>
        </w:rPr>
        <w:t xml:space="preserve">the author lodged his initial submission, he was serving </w:t>
      </w:r>
      <w:r w:rsidR="00E25F28">
        <w:rPr>
          <w:lang w:val="en-CA"/>
        </w:rPr>
        <w:t xml:space="preserve">a term of </w:t>
      </w:r>
      <w:r>
        <w:rPr>
          <w:lang w:val="en-CA"/>
        </w:rPr>
        <w:t xml:space="preserve">imprisonment in the </w:t>
      </w:r>
      <w:r w:rsidR="006E005A">
        <w:rPr>
          <w:lang w:val="en-CA"/>
        </w:rPr>
        <w:t>p</w:t>
      </w:r>
      <w:r w:rsidRPr="006E005A">
        <w:rPr>
          <w:lang w:val="en-CA"/>
        </w:rPr>
        <w:t xml:space="preserve">rison </w:t>
      </w:r>
      <w:r w:rsidR="00281C34">
        <w:rPr>
          <w:lang w:val="en-CA"/>
        </w:rPr>
        <w:t>in</w:t>
      </w:r>
      <w:r w:rsidR="00281C34" w:rsidRPr="006E005A">
        <w:rPr>
          <w:lang w:val="en-CA"/>
        </w:rPr>
        <w:t xml:space="preserve"> </w:t>
      </w:r>
      <w:r w:rsidRPr="006E005A">
        <w:rPr>
          <w:lang w:val="en-CA"/>
        </w:rPr>
        <w:t xml:space="preserve">Villena, </w:t>
      </w:r>
      <w:smartTag w:uri="urn:schemas-microsoft-com:office:smarttags" w:element="City">
        <w:smartTag w:uri="urn:schemas-microsoft-com:office:smarttags" w:element="place">
          <w:r w:rsidRPr="006E005A">
            <w:rPr>
              <w:lang w:val="en-CA"/>
            </w:rPr>
            <w:t>Alicante</w:t>
          </w:r>
        </w:smartTag>
      </w:smartTag>
      <w:r>
        <w:rPr>
          <w:lang w:val="en-CA"/>
        </w:rPr>
        <w:t xml:space="preserve">. The author is </w:t>
      </w:r>
      <w:r w:rsidRPr="001F6149">
        <w:rPr>
          <w:lang w:val="en-CA"/>
        </w:rPr>
        <w:t>represented by counsel.</w:t>
      </w:r>
    </w:p>
    <w:p w:rsidR="001847C3" w:rsidRDefault="0013253C" w:rsidP="001847C3">
      <w:pPr>
        <w:pStyle w:val="SingleTxtG"/>
        <w:spacing w:line="240" w:lineRule="auto"/>
        <w:rPr>
          <w:lang w:val="en-CA"/>
        </w:rPr>
      </w:pPr>
      <w:r>
        <w:rPr>
          <w:lang w:val="en-CA"/>
        </w:rPr>
        <w:t>1.2</w:t>
      </w:r>
      <w:r w:rsidR="001847C3" w:rsidRPr="00090BCF">
        <w:rPr>
          <w:lang w:val="en-CA"/>
        </w:rPr>
        <w:tab/>
        <w:t xml:space="preserve">On 8 April 2011, the Special Rapporteur on new communications and interim measures, acting on behalf of the Committee, </w:t>
      </w:r>
      <w:r w:rsidR="001847C3" w:rsidRPr="00090BCF">
        <w:t>determined that observations from the State party were not needed to ascertain the admissibility of th</w:t>
      </w:r>
      <w:r w:rsidR="00281C34">
        <w:t>e present</w:t>
      </w:r>
      <w:r w:rsidR="001847C3" w:rsidRPr="00090BCF">
        <w:t xml:space="preserve"> communication.</w:t>
      </w:r>
    </w:p>
    <w:p w:rsidR="007C1F31" w:rsidRPr="001445D5" w:rsidRDefault="0056622D" w:rsidP="0056622D">
      <w:pPr>
        <w:pStyle w:val="H23G"/>
      </w:pPr>
      <w:r>
        <w:tab/>
      </w:r>
      <w:r>
        <w:tab/>
      </w:r>
      <w:r w:rsidR="001C584B">
        <w:t>Factual background</w:t>
      </w:r>
    </w:p>
    <w:p w:rsidR="0021651D" w:rsidRDefault="00491F12" w:rsidP="00120D91">
      <w:pPr>
        <w:pStyle w:val="SingleTxtG"/>
      </w:pPr>
      <w:r>
        <w:t>2.1</w:t>
      </w:r>
      <w:r w:rsidR="007C5183">
        <w:tab/>
      </w:r>
      <w:r w:rsidR="0021651D">
        <w:t xml:space="preserve">The author was </w:t>
      </w:r>
      <w:r w:rsidR="00120D91" w:rsidRPr="006D62C6">
        <w:t>the</w:t>
      </w:r>
      <w:r w:rsidR="00120D91">
        <w:t xml:space="preserve"> administrator and </w:t>
      </w:r>
      <w:r w:rsidR="0021651D">
        <w:t>on</w:t>
      </w:r>
      <w:r w:rsidR="00946B1B">
        <w:t>e of the owners of a</w:t>
      </w:r>
      <w:r w:rsidR="0021651D">
        <w:t xml:space="preserve"> company called Legumex</w:t>
      </w:r>
      <w:r w:rsidR="00085B7F">
        <w:t xml:space="preserve"> S.L.</w:t>
      </w:r>
      <w:r w:rsidR="0021651D">
        <w:t xml:space="preserve"> </w:t>
      </w:r>
      <w:r w:rsidR="00597CC6" w:rsidRPr="006D62C6">
        <w:t xml:space="preserve">At </w:t>
      </w:r>
      <w:r w:rsidR="007C7879" w:rsidRPr="006D62C6">
        <w:t>some point</w:t>
      </w:r>
      <w:r w:rsidR="00597CC6">
        <w:t>, h</w:t>
      </w:r>
      <w:r w:rsidR="0021651D">
        <w:t>e was accused of fraud against an oil cooperative (</w:t>
      </w:r>
      <w:r w:rsidR="0021651D" w:rsidRPr="00CA63A9">
        <w:rPr>
          <w:iCs/>
        </w:rPr>
        <w:t>Cooperativa del Campo Santa Agueda de Escatr</w:t>
      </w:r>
      <w:r w:rsidR="00CB3120" w:rsidRPr="00CA63A9">
        <w:rPr>
          <w:iCs/>
        </w:rPr>
        <w:t>ó</w:t>
      </w:r>
      <w:r w:rsidR="0021651D" w:rsidRPr="00CA63A9">
        <w:rPr>
          <w:iCs/>
        </w:rPr>
        <w:t>n</w:t>
      </w:r>
      <w:r w:rsidR="0021651D">
        <w:t>)</w:t>
      </w:r>
      <w:r w:rsidR="00120D91">
        <w:t>,</w:t>
      </w:r>
      <w:r w:rsidR="0021651D">
        <w:t xml:space="preserve"> as Legumex </w:t>
      </w:r>
      <w:r w:rsidR="00085B7F">
        <w:t xml:space="preserve">S.L. </w:t>
      </w:r>
      <w:r w:rsidR="00120D91">
        <w:t xml:space="preserve">had </w:t>
      </w:r>
      <w:r w:rsidR="007C7879">
        <w:t>failed to pay debts contracted with suppliers</w:t>
      </w:r>
      <w:r w:rsidR="0021651D">
        <w:t xml:space="preserve"> between March and May 1996</w:t>
      </w:r>
      <w:r w:rsidR="00597CC6">
        <w:t xml:space="preserve"> </w:t>
      </w:r>
      <w:r w:rsidR="00120D91">
        <w:t>totalling</w:t>
      </w:r>
      <w:r w:rsidR="00597CC6">
        <w:t xml:space="preserve"> 11,517,480 </w:t>
      </w:r>
      <w:r w:rsidR="00120D91">
        <w:t>p</w:t>
      </w:r>
      <w:r w:rsidR="00597CC6">
        <w:t>esetas</w:t>
      </w:r>
      <w:r w:rsidR="0021651D">
        <w:t>.</w:t>
      </w:r>
      <w:r w:rsidR="00734CB7">
        <w:t xml:space="preserve"> </w:t>
      </w:r>
    </w:p>
    <w:p w:rsidR="00491F12" w:rsidRDefault="0013253C" w:rsidP="00120D91">
      <w:pPr>
        <w:pStyle w:val="SingleTxtG"/>
      </w:pPr>
      <w:r>
        <w:t>2.2</w:t>
      </w:r>
      <w:r w:rsidR="00597CC6">
        <w:tab/>
      </w:r>
      <w:r w:rsidR="00491F12">
        <w:t>On 20 February 2001, the author was convicted of fraud by the Provincial Court of Zaragoza (</w:t>
      </w:r>
      <w:r w:rsidR="00491F12" w:rsidRPr="00CA63A9">
        <w:rPr>
          <w:iCs/>
        </w:rPr>
        <w:t>A</w:t>
      </w:r>
      <w:r w:rsidR="007C5183" w:rsidRPr="00CA63A9">
        <w:rPr>
          <w:iCs/>
        </w:rPr>
        <w:t>udiencia Provincial de Zaragoza</w:t>
      </w:r>
      <w:r w:rsidR="00491F12">
        <w:t>)</w:t>
      </w:r>
      <w:r w:rsidR="00120D91">
        <w:t>.</w:t>
      </w:r>
      <w:r w:rsidR="00B505CE">
        <w:t xml:space="preserve"> </w:t>
      </w:r>
      <w:r w:rsidR="00120D91">
        <w:t>He was</w:t>
      </w:r>
      <w:r w:rsidR="00491F12">
        <w:t xml:space="preserve"> sentenced to </w:t>
      </w:r>
      <w:r w:rsidR="00120D91">
        <w:t>five</w:t>
      </w:r>
      <w:r w:rsidR="00491F12">
        <w:t xml:space="preserve"> years of imprisonment</w:t>
      </w:r>
      <w:r w:rsidR="00120D91">
        <w:t xml:space="preserve"> and</w:t>
      </w:r>
      <w:r w:rsidR="007C7879">
        <w:t xml:space="preserve"> </w:t>
      </w:r>
      <w:r w:rsidR="006A4AB4">
        <w:t>a fine</w:t>
      </w:r>
      <w:r w:rsidR="007C7879">
        <w:t xml:space="preserve"> and</w:t>
      </w:r>
      <w:r w:rsidR="00120D91">
        <w:t xml:space="preserve"> was</w:t>
      </w:r>
      <w:r w:rsidR="007C7879">
        <w:t xml:space="preserve"> </w:t>
      </w:r>
      <w:r w:rsidR="00120D91">
        <w:t xml:space="preserve">ordered </w:t>
      </w:r>
      <w:r w:rsidR="007C7879">
        <w:t>to pay a</w:t>
      </w:r>
      <w:r w:rsidR="00281C34">
        <w:t>bout</w:t>
      </w:r>
      <w:r w:rsidR="007C7879">
        <w:t xml:space="preserve"> </w:t>
      </w:r>
      <w:r w:rsidR="00491F12">
        <w:t>218</w:t>
      </w:r>
      <w:r w:rsidR="00120D91">
        <w:t>,</w:t>
      </w:r>
      <w:r w:rsidR="00491F12">
        <w:t xml:space="preserve">750 </w:t>
      </w:r>
      <w:r w:rsidR="00120D91">
        <w:t>e</w:t>
      </w:r>
      <w:r w:rsidR="00491F12">
        <w:t>uros</w:t>
      </w:r>
      <w:r w:rsidR="007C7879">
        <w:t xml:space="preserve"> to the cooperative</w:t>
      </w:r>
      <w:r w:rsidR="006A4AB4">
        <w:t xml:space="preserve"> as compensation</w:t>
      </w:r>
      <w:r w:rsidR="00491F12">
        <w:t xml:space="preserve">. </w:t>
      </w:r>
    </w:p>
    <w:p w:rsidR="007C5183" w:rsidRDefault="007C5183" w:rsidP="00281C34">
      <w:pPr>
        <w:pStyle w:val="SingleTxtG"/>
      </w:pPr>
      <w:r>
        <w:t>2.</w:t>
      </w:r>
      <w:r w:rsidR="00597CC6">
        <w:t>3</w:t>
      </w:r>
      <w:r>
        <w:tab/>
      </w:r>
      <w:r w:rsidR="00491F12">
        <w:t>On 31 May 2001</w:t>
      </w:r>
      <w:r>
        <w:t>,</w:t>
      </w:r>
      <w:r w:rsidR="00491F12">
        <w:t xml:space="preserve"> the author lodged </w:t>
      </w:r>
      <w:r>
        <w:t>a cassation</w:t>
      </w:r>
      <w:r w:rsidR="00491F12">
        <w:t xml:space="preserve"> appeal (</w:t>
      </w:r>
      <w:r w:rsidR="00491F12" w:rsidRPr="00CA63A9">
        <w:rPr>
          <w:i/>
          <w:iCs/>
        </w:rPr>
        <w:t>recurso de c</w:t>
      </w:r>
      <w:r w:rsidRPr="00CA63A9">
        <w:rPr>
          <w:i/>
          <w:iCs/>
        </w:rPr>
        <w:t>asación</w:t>
      </w:r>
      <w:r>
        <w:t>)</w:t>
      </w:r>
      <w:r w:rsidR="005B21ED">
        <w:t xml:space="preserve">. He </w:t>
      </w:r>
      <w:r w:rsidR="007C7879">
        <w:t xml:space="preserve">claimed, inter alia, that the court had relied on </w:t>
      </w:r>
      <w:r w:rsidR="007C7879" w:rsidRPr="006D62C6">
        <w:t xml:space="preserve">testimonies </w:t>
      </w:r>
      <w:r w:rsidR="006D62C6">
        <w:t xml:space="preserve">that were </w:t>
      </w:r>
      <w:r w:rsidR="00491F12" w:rsidRPr="005B21ED">
        <w:t xml:space="preserve">contradictory </w:t>
      </w:r>
      <w:r w:rsidR="006D62C6">
        <w:t xml:space="preserve">with respect to </w:t>
      </w:r>
      <w:r w:rsidR="005B21ED">
        <w:t>accounts</w:t>
      </w:r>
      <w:r w:rsidR="00E42E62" w:rsidRPr="00E42E62">
        <w:t xml:space="preserve"> </w:t>
      </w:r>
      <w:r w:rsidR="00E42E62">
        <w:t xml:space="preserve">and </w:t>
      </w:r>
      <w:r w:rsidR="006D62C6">
        <w:t xml:space="preserve">the </w:t>
      </w:r>
      <w:r w:rsidR="00E42E62">
        <w:t>facts</w:t>
      </w:r>
      <w:r w:rsidR="007C7879">
        <w:t>.</w:t>
      </w:r>
      <w:r w:rsidR="00E52ED6">
        <w:t xml:space="preserve"> </w:t>
      </w:r>
      <w:r w:rsidR="005B21ED" w:rsidRPr="005B21ED">
        <w:t xml:space="preserve">He </w:t>
      </w:r>
      <w:r w:rsidR="007652EF">
        <w:t>also</w:t>
      </w:r>
      <w:r w:rsidR="007652EF" w:rsidRPr="005B21ED">
        <w:t xml:space="preserve"> </w:t>
      </w:r>
      <w:r w:rsidR="005B21ED" w:rsidRPr="005B21ED">
        <w:t>held</w:t>
      </w:r>
      <w:r w:rsidR="005B21ED">
        <w:t xml:space="preserve"> that his request</w:t>
      </w:r>
      <w:r w:rsidR="00734CB7">
        <w:t>s</w:t>
      </w:r>
      <w:r w:rsidR="005B21ED">
        <w:t xml:space="preserve"> for cross-</w:t>
      </w:r>
      <w:r w:rsidR="00734CB7">
        <w:t>examination</w:t>
      </w:r>
      <w:r w:rsidR="005B21ED">
        <w:t xml:space="preserve"> </w:t>
      </w:r>
      <w:r w:rsidR="00734CB7">
        <w:t xml:space="preserve">and to </w:t>
      </w:r>
      <w:r w:rsidR="00D9794B">
        <w:t>provide</w:t>
      </w:r>
      <w:r w:rsidR="00734CB7">
        <w:t xml:space="preserve"> </w:t>
      </w:r>
      <w:r w:rsidR="00281C34">
        <w:t xml:space="preserve">additional </w:t>
      </w:r>
      <w:r w:rsidR="00734CB7">
        <w:t xml:space="preserve">witnesses </w:t>
      </w:r>
      <w:r w:rsidR="00D9794B">
        <w:t xml:space="preserve">and evidence </w:t>
      </w:r>
      <w:r w:rsidR="005B21ED">
        <w:t>w</w:t>
      </w:r>
      <w:r w:rsidR="00734CB7">
        <w:t>ere</w:t>
      </w:r>
      <w:r w:rsidR="005B21ED">
        <w:t xml:space="preserve"> arbitrarily refused during the </w:t>
      </w:r>
      <w:r w:rsidR="00E52ED6">
        <w:t>proceedings</w:t>
      </w:r>
      <w:r w:rsidR="007C7879">
        <w:t>. A</w:t>
      </w:r>
      <w:r w:rsidR="00734CB7">
        <w:t xml:space="preserve">s a </w:t>
      </w:r>
      <w:r w:rsidR="00E52ED6">
        <w:t>result,</w:t>
      </w:r>
      <w:r w:rsidR="00734CB7">
        <w:t xml:space="preserve"> he was </w:t>
      </w:r>
      <w:r w:rsidR="007C7879">
        <w:t xml:space="preserve">unable to demonstrate </w:t>
      </w:r>
      <w:r w:rsidR="00734CB7">
        <w:t xml:space="preserve">that </w:t>
      </w:r>
      <w:r w:rsidR="00734CB7" w:rsidRPr="006D62C6">
        <w:t>he was not the person who</w:t>
      </w:r>
      <w:r w:rsidR="00734CB7">
        <w:t xml:space="preserve"> </w:t>
      </w:r>
      <w:r w:rsidR="007C7879">
        <w:t>committed the acts</w:t>
      </w:r>
      <w:r w:rsidR="00353882">
        <w:t xml:space="preserve"> of which</w:t>
      </w:r>
      <w:r w:rsidR="007C7879">
        <w:t xml:space="preserve"> he was accused</w:t>
      </w:r>
      <w:r w:rsidR="006D62C6">
        <w:t>.</w:t>
      </w:r>
      <w:r w:rsidR="00734CB7">
        <w:t xml:space="preserve"> </w:t>
      </w:r>
    </w:p>
    <w:p w:rsidR="00491F12" w:rsidRDefault="007C5183" w:rsidP="007E1E43">
      <w:pPr>
        <w:pStyle w:val="SingleTxtG"/>
      </w:pPr>
      <w:r>
        <w:t>2.</w:t>
      </w:r>
      <w:r w:rsidR="00597CC6">
        <w:t>4</w:t>
      </w:r>
      <w:r>
        <w:tab/>
      </w:r>
      <w:r w:rsidR="00491F12">
        <w:t>On 28 April 2003, the Su</w:t>
      </w:r>
      <w:r>
        <w:t>preme Court</w:t>
      </w:r>
      <w:r w:rsidR="00491F12">
        <w:t xml:space="preserve"> rejected the </w:t>
      </w:r>
      <w:r w:rsidR="00E42E62">
        <w:t xml:space="preserve">author’s cassation </w:t>
      </w:r>
      <w:r w:rsidR="00491F12">
        <w:t>appeal</w:t>
      </w:r>
      <w:r w:rsidR="00E42E62">
        <w:t xml:space="preserve">. </w:t>
      </w:r>
      <w:r w:rsidR="00D5205C">
        <w:t>According to the judgement, t</w:t>
      </w:r>
      <w:r w:rsidR="00E42E62">
        <w:t xml:space="preserve">he Court examined each of the author’s </w:t>
      </w:r>
      <w:r w:rsidR="006060C2">
        <w:t>allegations</w:t>
      </w:r>
      <w:r w:rsidR="000F284B">
        <w:t xml:space="preserve"> </w:t>
      </w:r>
      <w:r w:rsidR="00A858FD">
        <w:t xml:space="preserve">concerning </w:t>
      </w:r>
      <w:r w:rsidR="00E42E62">
        <w:t>the judg</w:t>
      </w:r>
      <w:r w:rsidR="00A858FD">
        <w:t>e</w:t>
      </w:r>
      <w:r w:rsidR="00E42E62">
        <w:t>ment of the Provi</w:t>
      </w:r>
      <w:r w:rsidR="00946B1B">
        <w:t>ncial</w:t>
      </w:r>
      <w:r w:rsidR="00E42E62">
        <w:t xml:space="preserve"> Court of Zaragoza, including the alleged contradictions in the accounts and the facts considered by the </w:t>
      </w:r>
      <w:r w:rsidR="00F70D98">
        <w:t>Provi</w:t>
      </w:r>
      <w:r w:rsidR="00946B1B">
        <w:t>ncial</w:t>
      </w:r>
      <w:r w:rsidR="00F70D98">
        <w:t xml:space="preserve"> Court</w:t>
      </w:r>
      <w:r w:rsidR="007E1E43">
        <w:t xml:space="preserve"> as proved</w:t>
      </w:r>
      <w:r w:rsidR="006B1ADC">
        <w:t xml:space="preserve">. </w:t>
      </w:r>
      <w:r w:rsidR="000F284B">
        <w:t>T</w:t>
      </w:r>
      <w:r w:rsidR="006B1ADC">
        <w:t>he Supreme Court stated that the right to defence was not an absolute right</w:t>
      </w:r>
      <w:r w:rsidR="007E1E43">
        <w:t>,</w:t>
      </w:r>
      <w:r w:rsidR="006B1ADC">
        <w:t xml:space="preserve"> in the sense that a court could reject evidence and witnesses that were not considered pertinent</w:t>
      </w:r>
      <w:r w:rsidR="003A7ECB">
        <w:t>,</w:t>
      </w:r>
      <w:r w:rsidR="006B1ADC">
        <w:t xml:space="preserve"> </w:t>
      </w:r>
      <w:r w:rsidR="003A7ECB">
        <w:t>relevant, necessary</w:t>
      </w:r>
      <w:r w:rsidR="00E52ED6">
        <w:t xml:space="preserve"> </w:t>
      </w:r>
      <w:r w:rsidR="00E52ED6" w:rsidRPr="006E005A">
        <w:t>and possible</w:t>
      </w:r>
      <w:r w:rsidR="00450337">
        <w:t>; that no documentary evidence subm</w:t>
      </w:r>
      <w:r w:rsidR="00E52ED6">
        <w:t xml:space="preserve">itted by the author was refused; </w:t>
      </w:r>
      <w:r w:rsidR="006060C2">
        <w:t xml:space="preserve">and </w:t>
      </w:r>
      <w:r w:rsidR="00E52ED6">
        <w:t>that the appearance of some witnesses requested by the author was considered unnecessary</w:t>
      </w:r>
      <w:r w:rsidR="00D5205C">
        <w:t>,</w:t>
      </w:r>
      <w:r w:rsidR="00E52ED6">
        <w:t xml:space="preserve"> as the facts </w:t>
      </w:r>
      <w:r w:rsidR="007E1E43">
        <w:t xml:space="preserve">had </w:t>
      </w:r>
      <w:r w:rsidR="00E52ED6">
        <w:t xml:space="preserve">already </w:t>
      </w:r>
      <w:r w:rsidR="007E1E43">
        <w:t xml:space="preserve">been </w:t>
      </w:r>
      <w:r w:rsidR="00E52ED6">
        <w:t>proved by other means</w:t>
      </w:r>
      <w:r w:rsidR="00D70442">
        <w:t>. With regard to</w:t>
      </w:r>
      <w:r w:rsidR="00491F12">
        <w:t xml:space="preserve"> the </w:t>
      </w:r>
      <w:r w:rsidR="00D70442">
        <w:t>assessment</w:t>
      </w:r>
      <w:r w:rsidR="00491F12">
        <w:t xml:space="preserve"> of witness</w:t>
      </w:r>
      <w:r w:rsidR="00D70442">
        <w:t>es’ statements</w:t>
      </w:r>
      <w:r w:rsidR="000F284B">
        <w:t xml:space="preserve">, </w:t>
      </w:r>
      <w:r w:rsidR="006A64B4">
        <w:t>it</w:t>
      </w:r>
      <w:r w:rsidR="00946B1B">
        <w:t xml:space="preserve"> was</w:t>
      </w:r>
      <w:r w:rsidR="000F284B">
        <w:t xml:space="preserve"> considered that </w:t>
      </w:r>
      <w:r w:rsidR="000F5041">
        <w:t xml:space="preserve">the evaluation of </w:t>
      </w:r>
      <w:r w:rsidR="000F284B">
        <w:t>their credibility</w:t>
      </w:r>
      <w:r w:rsidR="00491F12">
        <w:t xml:space="preserve"> </w:t>
      </w:r>
      <w:r w:rsidR="00D5205C">
        <w:t>depended to</w:t>
      </w:r>
      <w:r w:rsidR="00491F12">
        <w:t xml:space="preserve"> a great extent on </w:t>
      </w:r>
      <w:r w:rsidR="00D5205C">
        <w:t>the direct perception of</w:t>
      </w:r>
      <w:r w:rsidR="000F5041">
        <w:t xml:space="preserve"> the first instance court, </w:t>
      </w:r>
      <w:r w:rsidR="00D5205C">
        <w:t xml:space="preserve">and, therefore, </w:t>
      </w:r>
      <w:r w:rsidR="000F5041">
        <w:t>the credibility assessment could not</w:t>
      </w:r>
      <w:r w:rsidR="00D5205C">
        <w:t>, in general,</w:t>
      </w:r>
      <w:r w:rsidR="000F5041">
        <w:t xml:space="preserve"> be reviewed on appeal. </w:t>
      </w:r>
      <w:r w:rsidR="00D5205C">
        <w:t>However, the cassation court did examine other aspects of the witnesses’ statements, in order to determine whether the assessment of the first instance court had been arbitrary.</w:t>
      </w:r>
      <w:r w:rsidR="00491F12">
        <w:t xml:space="preserve"> </w:t>
      </w:r>
      <w:r w:rsidR="000F284B">
        <w:t xml:space="preserve">Finally, the Supreme Court </w:t>
      </w:r>
      <w:r w:rsidR="00D5205C">
        <w:t>took into consideration the other</w:t>
      </w:r>
      <w:r w:rsidR="000F284B">
        <w:t xml:space="preserve"> evidence</w:t>
      </w:r>
      <w:r w:rsidR="006060C2">
        <w:t xml:space="preserve"> submitted within the proceedings</w:t>
      </w:r>
      <w:r w:rsidR="00D5205C">
        <w:t>, including documentary evidence,</w:t>
      </w:r>
      <w:r w:rsidR="006060C2">
        <w:t xml:space="preserve"> and concluded that the participation of the author in the crime </w:t>
      </w:r>
      <w:r w:rsidR="007E1E43">
        <w:t xml:space="preserve">had been </w:t>
      </w:r>
      <w:r w:rsidR="00946B1B">
        <w:t>demo</w:t>
      </w:r>
      <w:r w:rsidR="006A64B4">
        <w:t>n</w:t>
      </w:r>
      <w:r w:rsidR="00946B1B">
        <w:t>strated</w:t>
      </w:r>
      <w:r w:rsidR="006060C2">
        <w:t xml:space="preserve">. </w:t>
      </w:r>
    </w:p>
    <w:p w:rsidR="00491F12" w:rsidRPr="00491F12" w:rsidRDefault="00491F12" w:rsidP="00281C34">
      <w:pPr>
        <w:pStyle w:val="SingleTxtG"/>
      </w:pPr>
      <w:r>
        <w:lastRenderedPageBreak/>
        <w:t>2.</w:t>
      </w:r>
      <w:r w:rsidR="006A64B4">
        <w:t>5</w:t>
      </w:r>
      <w:r w:rsidR="006A64B4">
        <w:tab/>
      </w:r>
      <w:r w:rsidRPr="008D7D41">
        <w:t>The author lodged an a</w:t>
      </w:r>
      <w:r w:rsidR="00517135">
        <w:t>pplication</w:t>
      </w:r>
      <w:r w:rsidRPr="008D7D41">
        <w:t xml:space="preserve"> for legal protection </w:t>
      </w:r>
      <w:r w:rsidR="007C5183">
        <w:t>(</w:t>
      </w:r>
      <w:r w:rsidR="007C5183" w:rsidRPr="007C5183">
        <w:rPr>
          <w:i/>
        </w:rPr>
        <w:t>amparo</w:t>
      </w:r>
      <w:r w:rsidR="007C5183">
        <w:t xml:space="preserve">) </w:t>
      </w:r>
      <w:r w:rsidRPr="008D7D41">
        <w:t xml:space="preserve">before the </w:t>
      </w:r>
      <w:smartTag w:uri="urn:schemas-microsoft-com:office:smarttags" w:element="Street">
        <w:smartTag w:uri="urn:schemas-microsoft-com:office:smarttags" w:element="address">
          <w:r w:rsidRPr="008D7D41">
            <w:t xml:space="preserve">Constitutional </w:t>
          </w:r>
          <w:r w:rsidR="007C5183">
            <w:t>Court</w:t>
          </w:r>
        </w:smartTag>
      </w:smartTag>
      <w:r w:rsidR="007C5183">
        <w:t>. O</w:t>
      </w:r>
      <w:r w:rsidRPr="008D7D41">
        <w:t>n 25 Janu</w:t>
      </w:r>
      <w:r w:rsidR="007C5183">
        <w:t xml:space="preserve">ary 2005, the </w:t>
      </w:r>
      <w:smartTag w:uri="urn:schemas-microsoft-com:office:smarttags" w:element="Street">
        <w:smartTag w:uri="urn:schemas-microsoft-com:office:smarttags" w:element="address">
          <w:r w:rsidR="007C5183">
            <w:t>Constitutional Court</w:t>
          </w:r>
        </w:smartTag>
      </w:smartTag>
      <w:r w:rsidR="007C5183">
        <w:t xml:space="preserve"> </w:t>
      </w:r>
      <w:r w:rsidR="00517135">
        <w:t xml:space="preserve">declared </w:t>
      </w:r>
      <w:r w:rsidR="006A64B4">
        <w:t xml:space="preserve">the application </w:t>
      </w:r>
      <w:r w:rsidR="00517135">
        <w:t xml:space="preserve">inadmissible. In its decision, the Court took note of the </w:t>
      </w:r>
      <w:r w:rsidR="00281C34">
        <w:t xml:space="preserve">judgements of the </w:t>
      </w:r>
      <w:r w:rsidR="00517135">
        <w:t xml:space="preserve">Provincial Court and </w:t>
      </w:r>
      <w:r w:rsidR="00281C34">
        <w:t xml:space="preserve">of the </w:t>
      </w:r>
      <w:r w:rsidR="00517135">
        <w:t xml:space="preserve">Supreme Court and concluded that </w:t>
      </w:r>
      <w:r w:rsidR="007C5183">
        <w:t xml:space="preserve">it </w:t>
      </w:r>
      <w:r w:rsidR="00D5205C">
        <w:t>was not the role of</w:t>
      </w:r>
      <w:r w:rsidRPr="008D7D41">
        <w:t xml:space="preserve"> </w:t>
      </w:r>
      <w:r w:rsidR="007C5183">
        <w:t>a</w:t>
      </w:r>
      <w:r w:rsidRPr="008D7D41">
        <w:t xml:space="preserve"> </w:t>
      </w:r>
      <w:r w:rsidR="007E1E43">
        <w:t>c</w:t>
      </w:r>
      <w:r w:rsidRPr="008D7D41">
        <w:t xml:space="preserve">onstitutional </w:t>
      </w:r>
      <w:r w:rsidR="007E1E43">
        <w:t>c</w:t>
      </w:r>
      <w:r w:rsidRPr="008D7D41">
        <w:t xml:space="preserve">ourt to re-evaluate or reconsider the </w:t>
      </w:r>
      <w:r w:rsidR="00D5205C">
        <w:t>evidence</w:t>
      </w:r>
      <w:r w:rsidR="007C5183">
        <w:t xml:space="preserve"> submitted within a criminal proceeding</w:t>
      </w:r>
      <w:r w:rsidRPr="008D7D41">
        <w:t>.</w:t>
      </w:r>
      <w:r>
        <w:t xml:space="preserve"> </w:t>
      </w:r>
    </w:p>
    <w:p w:rsidR="007C1F31" w:rsidRPr="007C1F31" w:rsidRDefault="00415FAC" w:rsidP="00EE2FA4">
      <w:pPr>
        <w:pStyle w:val="H23G"/>
        <w:spacing w:line="240" w:lineRule="auto"/>
      </w:pPr>
      <w:r>
        <w:tab/>
      </w:r>
      <w:r>
        <w:tab/>
      </w:r>
      <w:r w:rsidR="007C1F31" w:rsidRPr="007C1F31">
        <w:t>The complaint</w:t>
      </w:r>
    </w:p>
    <w:p w:rsidR="00450F5C" w:rsidRPr="00B44CFE" w:rsidRDefault="00C470B8" w:rsidP="000E015B">
      <w:pPr>
        <w:pStyle w:val="SingleTxtG"/>
      </w:pPr>
      <w:r w:rsidRPr="001F6149">
        <w:rPr>
          <w:lang w:val="en-CA"/>
        </w:rPr>
        <w:t>3.</w:t>
      </w:r>
      <w:r w:rsidRPr="001F6149">
        <w:rPr>
          <w:lang w:val="en-CA"/>
        </w:rPr>
        <w:tab/>
      </w:r>
      <w:r w:rsidR="00B537FD">
        <w:rPr>
          <w:lang w:val="en-CA"/>
        </w:rPr>
        <w:t xml:space="preserve">The author </w:t>
      </w:r>
      <w:r w:rsidR="00B537FD" w:rsidRPr="001F6149">
        <w:rPr>
          <w:lang w:val="en-CA"/>
        </w:rPr>
        <w:t>claims</w:t>
      </w:r>
      <w:r w:rsidR="00450F5C">
        <w:rPr>
          <w:lang w:val="en-CA"/>
        </w:rPr>
        <w:t xml:space="preserve"> </w:t>
      </w:r>
      <w:r w:rsidR="00A73434">
        <w:rPr>
          <w:lang w:val="en-CA"/>
        </w:rPr>
        <w:t xml:space="preserve">to be victim of a violation of </w:t>
      </w:r>
      <w:r w:rsidR="005F559F">
        <w:rPr>
          <w:lang w:val="en-CA"/>
        </w:rPr>
        <w:t>article 14, paragraph 5</w:t>
      </w:r>
      <w:r w:rsidR="00E93680">
        <w:rPr>
          <w:lang w:val="en-CA"/>
        </w:rPr>
        <w:t>, of the Co</w:t>
      </w:r>
      <w:r w:rsidR="007E1E43">
        <w:rPr>
          <w:lang w:val="en-CA"/>
        </w:rPr>
        <w:t>ven</w:t>
      </w:r>
      <w:r w:rsidR="00E93680">
        <w:rPr>
          <w:lang w:val="en-CA"/>
        </w:rPr>
        <w:t>ant</w:t>
      </w:r>
      <w:r w:rsidR="007E1E43">
        <w:rPr>
          <w:lang w:val="en-CA"/>
        </w:rPr>
        <w:t>,</w:t>
      </w:r>
      <w:r w:rsidR="005F559F">
        <w:rPr>
          <w:lang w:val="en-CA"/>
        </w:rPr>
        <w:t xml:space="preserve"> as h</w:t>
      </w:r>
      <w:r w:rsidR="00450F5C">
        <w:rPr>
          <w:lang w:val="en-CA"/>
        </w:rPr>
        <w:t xml:space="preserve">e did not have access to an effective appeal against </w:t>
      </w:r>
      <w:r w:rsidR="00B44CFE">
        <w:rPr>
          <w:lang w:val="en-CA"/>
        </w:rPr>
        <w:t xml:space="preserve">his </w:t>
      </w:r>
      <w:r w:rsidR="00450F5C">
        <w:rPr>
          <w:lang w:val="en-CA"/>
        </w:rPr>
        <w:t xml:space="preserve">conviction and sentences. Although he tried to challenge the credibility of witnesses and the </w:t>
      </w:r>
      <w:r w:rsidR="00D5205C">
        <w:rPr>
          <w:lang w:val="en-CA"/>
        </w:rPr>
        <w:t>evidence on the basis of which he was found guilty by th</w:t>
      </w:r>
      <w:r w:rsidR="00450F5C">
        <w:rPr>
          <w:lang w:val="en-CA"/>
        </w:rPr>
        <w:t xml:space="preserve">e Provincial Court of Zaragoza, the Supreme Court refused to review </w:t>
      </w:r>
      <w:r w:rsidR="006A64B4">
        <w:rPr>
          <w:lang w:val="en-CA"/>
        </w:rPr>
        <w:t>th</w:t>
      </w:r>
      <w:r w:rsidR="007E1E43">
        <w:rPr>
          <w:lang w:val="en-CA"/>
        </w:rPr>
        <w:t>at</w:t>
      </w:r>
      <w:r w:rsidR="00A73434">
        <w:rPr>
          <w:lang w:val="en-CA"/>
        </w:rPr>
        <w:t xml:space="preserve"> evidence and</w:t>
      </w:r>
      <w:r w:rsidR="006A64B4">
        <w:rPr>
          <w:lang w:val="en-CA"/>
        </w:rPr>
        <w:t xml:space="preserve">, in particular, stated </w:t>
      </w:r>
      <w:r w:rsidR="00D5205C">
        <w:rPr>
          <w:lang w:val="en-CA"/>
        </w:rPr>
        <w:t>that the credibility of witness</w:t>
      </w:r>
      <w:r w:rsidR="007E1E43">
        <w:rPr>
          <w:lang w:val="en-CA"/>
        </w:rPr>
        <w:t>es</w:t>
      </w:r>
      <w:r w:rsidR="00A73434">
        <w:t xml:space="preserve"> c</w:t>
      </w:r>
      <w:r w:rsidR="006A64B4">
        <w:t>ould not</w:t>
      </w:r>
      <w:r w:rsidR="00A73434">
        <w:t xml:space="preserve"> be reviewed on appeal</w:t>
      </w:r>
      <w:r w:rsidR="006A64B4">
        <w:t xml:space="preserve">. </w:t>
      </w:r>
      <w:r w:rsidR="00D5205C">
        <w:t>T</w:t>
      </w:r>
      <w:r w:rsidR="00450F5C">
        <w:t>his constitutes a violation of the right to have one’s conviction and sentence reviewed by a higher court.</w:t>
      </w:r>
      <w:r w:rsidR="0013253C">
        <w:t xml:space="preserve"> </w:t>
      </w:r>
    </w:p>
    <w:p w:rsidR="007C1F31" w:rsidRPr="00C25879" w:rsidRDefault="0056622D" w:rsidP="0056622D">
      <w:pPr>
        <w:pStyle w:val="H23G"/>
      </w:pPr>
      <w:r>
        <w:tab/>
      </w:r>
      <w:r>
        <w:tab/>
      </w:r>
      <w:r w:rsidR="00CD71F6" w:rsidRPr="00C25879">
        <w:t>Issues and proceedings before the Committee</w:t>
      </w:r>
    </w:p>
    <w:p w:rsidR="007C1F31" w:rsidRPr="007C1F31" w:rsidRDefault="007C1F31" w:rsidP="00EE2FA4">
      <w:pPr>
        <w:pStyle w:val="SingleTxtG"/>
        <w:spacing w:line="240" w:lineRule="auto"/>
      </w:pPr>
      <w:r w:rsidRPr="007C1F31">
        <w:t>4.1</w:t>
      </w:r>
      <w:r w:rsidRPr="007C1F31">
        <w:tab/>
      </w:r>
      <w:r w:rsidR="00CD71F6" w:rsidRPr="00CD71F6">
        <w:t>Before considering any claim contained in a communication, the Human Rights Committee must determine whether it is admissible under the Optional Protocol to the International Covenant on Civil and Political Rights.</w:t>
      </w:r>
    </w:p>
    <w:p w:rsidR="00517135" w:rsidRPr="005D7178" w:rsidRDefault="007C1F31" w:rsidP="00EE2FA4">
      <w:pPr>
        <w:pStyle w:val="SingleTxtG"/>
        <w:spacing w:line="240" w:lineRule="auto"/>
      </w:pPr>
      <w:r w:rsidRPr="007C1F31">
        <w:t>4.2</w:t>
      </w:r>
      <w:r w:rsidRPr="007C1F31">
        <w:tab/>
      </w:r>
      <w:r w:rsidR="00517135">
        <w:t xml:space="preserve">The Committee takes note of the author’s claim that </w:t>
      </w:r>
      <w:r w:rsidR="00FB2A08">
        <w:t>the Supreme Court,</w:t>
      </w:r>
      <w:r w:rsidR="00D5205C">
        <w:t xml:space="preserve"> through cassation proceedings</w:t>
      </w:r>
      <w:r w:rsidR="00061811">
        <w:t>,</w:t>
      </w:r>
      <w:r w:rsidR="006A64B4">
        <w:t xml:space="preserve"> refused to </w:t>
      </w:r>
      <w:r w:rsidR="00FB2A08">
        <w:t>re-evaluate</w:t>
      </w:r>
      <w:r w:rsidR="006A64B4">
        <w:t xml:space="preserve"> the evidence that led to his conviction</w:t>
      </w:r>
      <w:r w:rsidR="00FB2A08">
        <w:t xml:space="preserve"> and that thi</w:t>
      </w:r>
      <w:r w:rsidR="006A64B4">
        <w:t>s constitutes a violation of his</w:t>
      </w:r>
      <w:r w:rsidR="00FB2A08">
        <w:t xml:space="preserve"> right </w:t>
      </w:r>
      <w:r w:rsidR="000F5041">
        <w:t>under</w:t>
      </w:r>
      <w:r w:rsidR="00FB2A08">
        <w:t xml:space="preserve"> article 14, paragraph 5.</w:t>
      </w:r>
      <w:r w:rsidR="00FB2A08" w:rsidRPr="005D7178">
        <w:t xml:space="preserve"> </w:t>
      </w:r>
      <w:r w:rsidR="00517135" w:rsidRPr="005D7178">
        <w:t>The Committee</w:t>
      </w:r>
      <w:r w:rsidR="00FB2A08">
        <w:t>, however,</w:t>
      </w:r>
      <w:r w:rsidR="00517135" w:rsidRPr="005D7178">
        <w:t xml:space="preserve"> observes that in its judgement of </w:t>
      </w:r>
      <w:r w:rsidR="00FB2A08">
        <w:t>28 April 2003</w:t>
      </w:r>
      <w:r w:rsidR="00517135" w:rsidRPr="005D7178">
        <w:t xml:space="preserve">, </w:t>
      </w:r>
      <w:r w:rsidR="00063822">
        <w:t xml:space="preserve">the Supreme Court examined </w:t>
      </w:r>
      <w:r w:rsidR="00D5205C">
        <w:t>all</w:t>
      </w:r>
      <w:r w:rsidR="00517135" w:rsidRPr="005D7178">
        <w:t xml:space="preserve"> grounds for cassation </w:t>
      </w:r>
      <w:r w:rsidR="00063822">
        <w:t>raised</w:t>
      </w:r>
      <w:r w:rsidR="006A64B4">
        <w:t xml:space="preserve"> </w:t>
      </w:r>
      <w:r w:rsidR="00517135" w:rsidRPr="005D7178">
        <w:t>by the author</w:t>
      </w:r>
      <w:r w:rsidR="00061811">
        <w:t xml:space="preserve">, including the refusal </w:t>
      </w:r>
      <w:r w:rsidR="00281C34">
        <w:t>of</w:t>
      </w:r>
      <w:r w:rsidR="00061811">
        <w:t xml:space="preserve"> his requests for cross-examination and to provide further witnesses</w:t>
      </w:r>
      <w:r w:rsidR="004032AE">
        <w:t xml:space="preserve">. </w:t>
      </w:r>
      <w:r w:rsidR="00DB5F4F">
        <w:t xml:space="preserve">The Supreme Court did not </w:t>
      </w:r>
      <w:r w:rsidR="00D5205C">
        <w:t xml:space="preserve">limit its examination </w:t>
      </w:r>
      <w:r w:rsidR="00517135" w:rsidRPr="005D7178">
        <w:t xml:space="preserve">to the formal aspects of the </w:t>
      </w:r>
      <w:smartTag w:uri="urn:schemas-microsoft-com:office:smarttags" w:element="Street">
        <w:smartTag w:uri="urn:schemas-microsoft-com:office:smarttags" w:element="address">
          <w:r w:rsidR="00DB5F4F">
            <w:t>Provincial Court</w:t>
          </w:r>
        </w:smartTag>
      </w:smartTag>
      <w:r w:rsidR="00DB5F4F">
        <w:t>’s judg</w:t>
      </w:r>
      <w:r w:rsidR="007E1E43">
        <w:t>e</w:t>
      </w:r>
      <w:r w:rsidR="00DB5F4F">
        <w:t>ment</w:t>
      </w:r>
      <w:r w:rsidR="00D5205C">
        <w:t>. On the contrary, it</w:t>
      </w:r>
      <w:r w:rsidR="00DB5F4F">
        <w:t xml:space="preserve"> </w:t>
      </w:r>
      <w:r w:rsidR="004032AE">
        <w:t xml:space="preserve">assessed </w:t>
      </w:r>
      <w:r w:rsidR="00604CE2">
        <w:t>all</w:t>
      </w:r>
      <w:r w:rsidR="004032AE">
        <w:t xml:space="preserve"> evidence submitted during the proceedings that led </w:t>
      </w:r>
      <w:r w:rsidR="00604CE2">
        <w:t xml:space="preserve">the </w:t>
      </w:r>
      <w:smartTag w:uri="urn:schemas-microsoft-com:office:smarttags" w:element="Street">
        <w:smartTag w:uri="urn:schemas-microsoft-com:office:smarttags" w:element="address">
          <w:r w:rsidR="00604CE2">
            <w:t>Provincial Court</w:t>
          </w:r>
        </w:smartTag>
      </w:smartTag>
      <w:r w:rsidR="00604CE2">
        <w:t xml:space="preserve"> </w:t>
      </w:r>
      <w:r w:rsidR="004032AE">
        <w:t xml:space="preserve">to conclude </w:t>
      </w:r>
      <w:r w:rsidR="00604CE2">
        <w:t xml:space="preserve">that the author was guilty of </w:t>
      </w:r>
      <w:r w:rsidR="004032AE">
        <w:t>the crime of fraud. Accordingly</w:t>
      </w:r>
      <w:r w:rsidR="00517135" w:rsidRPr="005D7178">
        <w:t xml:space="preserve">, the Committee considers that the </w:t>
      </w:r>
      <w:r w:rsidR="004032AE">
        <w:t xml:space="preserve">author’s </w:t>
      </w:r>
      <w:r w:rsidR="00517135" w:rsidRPr="005D7178">
        <w:t xml:space="preserve">claim under article 14, paragraph 5, </w:t>
      </w:r>
      <w:r w:rsidR="004032AE">
        <w:t>of the Covenant has</w:t>
      </w:r>
      <w:r w:rsidR="00517135" w:rsidRPr="005D7178">
        <w:t xml:space="preserve"> been insufficiently substantiated for the purposes of admissibility</w:t>
      </w:r>
      <w:r w:rsidR="00281C34">
        <w:t>,</w:t>
      </w:r>
      <w:r w:rsidR="00517135" w:rsidRPr="005D7178">
        <w:t xml:space="preserve"> and concludes that </w:t>
      </w:r>
      <w:r w:rsidR="007E1E43">
        <w:t>the communication</w:t>
      </w:r>
      <w:r w:rsidR="000F5041">
        <w:t xml:space="preserve"> is</w:t>
      </w:r>
      <w:r w:rsidR="00517135" w:rsidRPr="005D7178">
        <w:t xml:space="preserve"> inadmissible under article 2 of the Optional Protocol.</w:t>
      </w:r>
    </w:p>
    <w:p w:rsidR="007C1F31" w:rsidRPr="007C1F31" w:rsidRDefault="00CD71F6" w:rsidP="00EE2FA4">
      <w:pPr>
        <w:pStyle w:val="SingleTxtG"/>
        <w:spacing w:line="240" w:lineRule="auto"/>
      </w:pPr>
      <w:r>
        <w:t>5</w:t>
      </w:r>
      <w:r w:rsidR="001B7D7D">
        <w:t>.</w:t>
      </w:r>
      <w:r w:rsidR="007C1F31" w:rsidRPr="007C1F31">
        <w:tab/>
      </w:r>
      <w:r w:rsidRPr="00CD71F6">
        <w:t>The Human Rights Committee therefore decides:</w:t>
      </w:r>
    </w:p>
    <w:p w:rsidR="007C1F31" w:rsidRDefault="001B7D7D" w:rsidP="00DA53CC">
      <w:pPr>
        <w:pStyle w:val="SingleTxtG"/>
        <w:spacing w:line="240" w:lineRule="auto"/>
        <w:ind w:firstLine="567"/>
      </w:pPr>
      <w:r>
        <w:t>(a)</w:t>
      </w:r>
      <w:r w:rsidRPr="001B7D7D">
        <w:tab/>
        <w:t>That the communication is inadmissible under article 2 of the Optional Protocol;</w:t>
      </w:r>
    </w:p>
    <w:p w:rsidR="001B7D7D" w:rsidRDefault="001B7D7D" w:rsidP="00EE2FA4">
      <w:pPr>
        <w:pStyle w:val="SingleTxtG"/>
        <w:spacing w:line="240" w:lineRule="auto"/>
        <w:ind w:firstLine="567"/>
      </w:pPr>
      <w:r>
        <w:t>(b)</w:t>
      </w:r>
      <w:r w:rsidRPr="001B7D7D">
        <w:tab/>
        <w:t>That th</w:t>
      </w:r>
      <w:r w:rsidR="007E1E43">
        <w:t>is</w:t>
      </w:r>
      <w:r w:rsidRPr="001B7D7D">
        <w:t xml:space="preserve"> decision </w:t>
      </w:r>
      <w:r w:rsidR="007E1E43">
        <w:t xml:space="preserve">shall </w:t>
      </w:r>
      <w:r w:rsidRPr="001B7D7D">
        <w:t>be transmitted to the State party and to the author</w:t>
      </w:r>
      <w:r w:rsidR="00946EAF">
        <w:t xml:space="preserve"> of the communication</w:t>
      </w:r>
      <w:r w:rsidRPr="001B7D7D">
        <w:t>.</w:t>
      </w:r>
    </w:p>
    <w:p w:rsidR="007C1F31" w:rsidRPr="007C1F31" w:rsidRDefault="007C1F31" w:rsidP="007C1F31">
      <w:pPr>
        <w:pStyle w:val="SingleTxtG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C1F31" w:rsidRPr="007C1F31" w:rsidSect="007C1F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409" w:rsidRDefault="00D20409"/>
  </w:endnote>
  <w:endnote w:type="continuationSeparator" w:id="0">
    <w:p w:rsidR="00D20409" w:rsidRDefault="00D20409"/>
  </w:endnote>
  <w:endnote w:type="continuationNotice" w:id="1">
    <w:p w:rsidR="00D20409" w:rsidRDefault="00D20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5EC" w:rsidRPr="007C1F31" w:rsidRDefault="004875EC" w:rsidP="007C1F31">
    <w:pPr>
      <w:pStyle w:val="Footer"/>
      <w:tabs>
        <w:tab w:val="right" w:pos="9638"/>
      </w:tabs>
    </w:pPr>
    <w:r w:rsidRPr="007C1F31">
      <w:rPr>
        <w:b/>
        <w:sz w:val="18"/>
      </w:rPr>
      <w:fldChar w:fldCharType="begin"/>
    </w:r>
    <w:r w:rsidRPr="007C1F31">
      <w:rPr>
        <w:b/>
        <w:sz w:val="18"/>
      </w:rPr>
      <w:instrText xml:space="preserve"> PAGE  \* MERGEFORMAT </w:instrText>
    </w:r>
    <w:r w:rsidRPr="007C1F31">
      <w:rPr>
        <w:b/>
        <w:sz w:val="18"/>
      </w:rPr>
      <w:fldChar w:fldCharType="separate"/>
    </w:r>
    <w:r w:rsidR="00FB60B9">
      <w:rPr>
        <w:b/>
        <w:noProof/>
        <w:sz w:val="18"/>
      </w:rPr>
      <w:t>2</w:t>
    </w:r>
    <w:r w:rsidRPr="007C1F3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5EC" w:rsidRPr="007C1F31" w:rsidRDefault="004875EC" w:rsidP="007C1F31">
    <w:pPr>
      <w:pStyle w:val="Footer"/>
      <w:tabs>
        <w:tab w:val="right" w:pos="9638"/>
      </w:tabs>
      <w:rPr>
        <w:b/>
        <w:sz w:val="18"/>
      </w:rPr>
    </w:pPr>
    <w:r>
      <w:tab/>
    </w:r>
    <w:r w:rsidRPr="007C1F31">
      <w:rPr>
        <w:b/>
        <w:sz w:val="18"/>
      </w:rPr>
      <w:fldChar w:fldCharType="begin"/>
    </w:r>
    <w:r w:rsidRPr="007C1F31">
      <w:rPr>
        <w:b/>
        <w:sz w:val="18"/>
      </w:rPr>
      <w:instrText xml:space="preserve"> PAGE  \* MERGEFORMAT </w:instrText>
    </w:r>
    <w:r w:rsidRPr="007C1F31">
      <w:rPr>
        <w:b/>
        <w:sz w:val="18"/>
      </w:rPr>
      <w:fldChar w:fldCharType="separate"/>
    </w:r>
    <w:r w:rsidR="00FB60B9">
      <w:rPr>
        <w:b/>
        <w:noProof/>
        <w:sz w:val="18"/>
      </w:rPr>
      <w:t>3</w:t>
    </w:r>
    <w:r w:rsidRPr="007C1F3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5EC" w:rsidRPr="00246B35" w:rsidRDefault="00D20409" w:rsidP="00843A19">
    <w:pPr>
      <w:pStyle w:val="Footer"/>
      <w:rPr>
        <w:sz w:val="20"/>
      </w:rPr>
    </w:pPr>
    <w:r>
      <w:rPr>
        <w:noProof/>
        <w:sz w:val="20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37.3pt;margin-top:646.25pt;width:73.25pt;height:18.15pt;z-index:1;mso-position-horizontal-relative:margin;mso-position-vertical-relative:margin">
          <v:imagedata r:id="rId1" o:title="recycle_English"/>
          <w10:wrap anchorx="margin" anchory="margin"/>
        </v:shape>
      </w:pict>
    </w:r>
    <w:r w:rsidR="004875EC">
      <w:rPr>
        <w:sz w:val="20"/>
      </w:rPr>
      <w:t>GE.14-</w:t>
    </w:r>
    <w:r w:rsidR="00695AAA">
      <w:rPr>
        <w:sz w:val="20"/>
      </w:rPr>
      <w:t>19426</w:t>
    </w:r>
    <w:r w:rsidR="00960CF4">
      <w:rPr>
        <w:sz w:val="20"/>
      </w:rPr>
      <w:t xml:space="preserve">  (E)</w:t>
    </w:r>
    <w:r w:rsidR="00960CF4">
      <w:rPr>
        <w:sz w:val="20"/>
      </w:rPr>
      <w:br/>
    </w:r>
    <w:r w:rsidR="00960CF4">
      <w:rPr>
        <w:rFonts w:ascii="C39T30Lfz" w:hAnsi="C39T30Lfz"/>
        <w:sz w:val="56"/>
      </w:rPr>
      <w:t></w:t>
    </w:r>
    <w:r w:rsidR="00960CF4">
      <w:rPr>
        <w:rFonts w:ascii="C39T30Lfz" w:hAnsi="C39T30Lfz"/>
        <w:sz w:val="56"/>
      </w:rPr>
      <w:t></w:t>
    </w:r>
    <w:r w:rsidR="00960CF4">
      <w:rPr>
        <w:rFonts w:ascii="C39T30Lfz" w:hAnsi="C39T30Lfz"/>
        <w:sz w:val="56"/>
      </w:rPr>
      <w:t></w:t>
    </w:r>
    <w:r w:rsidR="00960CF4">
      <w:rPr>
        <w:rFonts w:ascii="C39T30Lfz" w:hAnsi="C39T30Lfz"/>
        <w:sz w:val="56"/>
      </w:rPr>
      <w:t></w:t>
    </w:r>
    <w:r w:rsidR="00960CF4">
      <w:rPr>
        <w:rFonts w:ascii="C39T30Lfz" w:hAnsi="C39T30Lfz"/>
        <w:sz w:val="56"/>
      </w:rPr>
      <w:t></w:t>
    </w:r>
    <w:r w:rsidR="00960CF4">
      <w:rPr>
        <w:rFonts w:ascii="C39T30Lfz" w:hAnsi="C39T30Lfz"/>
        <w:sz w:val="56"/>
      </w:rPr>
      <w:t></w:t>
    </w:r>
    <w:r w:rsidR="00960CF4">
      <w:rPr>
        <w:rFonts w:ascii="C39T30Lfz" w:hAnsi="C39T30Lfz"/>
        <w:sz w:val="56"/>
      </w:rPr>
      <w:t></w:t>
    </w:r>
    <w:r w:rsidR="00960CF4">
      <w:rPr>
        <w:rFonts w:ascii="C39T30Lfz" w:hAnsi="C39T30Lfz"/>
        <w:sz w:val="56"/>
      </w:rPr>
      <w:t></w:t>
    </w:r>
    <w:r w:rsidR="00960CF4" w:rsidRPr="00960CF4"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409" w:rsidRPr="000B175B" w:rsidRDefault="00D2040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D20409" w:rsidRPr="00FC68B7" w:rsidRDefault="00D2040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D20409" w:rsidRDefault="00D20409"/>
  </w:footnote>
  <w:footnote w:id="2">
    <w:p w:rsidR="00BF2480" w:rsidRDefault="00BF2480" w:rsidP="00BF2480">
      <w:pPr>
        <w:pStyle w:val="FootnoteText"/>
      </w:pPr>
      <w:r>
        <w:tab/>
      </w:r>
      <w:r w:rsidRPr="000F08BA">
        <w:rPr>
          <w:rStyle w:val="FootnoteReference"/>
          <w:sz w:val="20"/>
          <w:vertAlign w:val="baseline"/>
        </w:rPr>
        <w:t>*</w:t>
      </w:r>
      <w:r w:rsidRPr="00DA53CC">
        <w:rPr>
          <w:rStyle w:val="FootnoteReference"/>
          <w:vertAlign w:val="baseline"/>
        </w:rPr>
        <w:tab/>
      </w:r>
      <w:r>
        <w:t>The following members of the Committee participated in the examination of the present communication: Yadh Ben Achour, Lazhari Bouzid, Cornelis Flinterman, Yuji Iwasawa, Walter</w:t>
      </w:r>
      <w:r w:rsidR="000F08BA">
        <w:t> </w:t>
      </w:r>
      <w:r>
        <w:t>Kälin, Zonke Zanele Majodina, Gerald L. Neuman, Sir Nigel Rodley, Víctor Manuel Rodríguez Rescia, Fabián Omar Salvioli, Dheerujlall Seetulsingh, Anja Seibert-Fohr, Yuval Shany, Konstantine Vardzelashvili, Margo Waterval and Andrei Paul Zlătescu.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5EC" w:rsidRPr="007C1F31" w:rsidRDefault="004875EC" w:rsidP="003B05F7">
    <w:pPr>
      <w:pStyle w:val="Header"/>
    </w:pPr>
    <w:r>
      <w:t>CCPR/C/111/D/2037/2011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5EC" w:rsidRPr="007C1F31" w:rsidRDefault="004875EC" w:rsidP="003B05F7">
    <w:pPr>
      <w:pStyle w:val="Header"/>
      <w:jc w:val="right"/>
    </w:pPr>
    <w:r>
      <w:t>CCPR/C/111/D/2037/2011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9F8"/>
    <w:multiLevelType w:val="hybridMultilevel"/>
    <w:tmpl w:val="57E679C2"/>
    <w:lvl w:ilvl="0" w:tplc="075A6416">
      <w:start w:val="1"/>
      <w:numFmt w:val="decimal"/>
      <w:lvlText w:val="%1."/>
      <w:lvlJc w:val="left"/>
      <w:pPr>
        <w:tabs>
          <w:tab w:val="num" w:pos="1494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4C77"/>
    <w:multiLevelType w:val="multilevel"/>
    <w:tmpl w:val="7E0298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48758B1"/>
    <w:multiLevelType w:val="hybridMultilevel"/>
    <w:tmpl w:val="1AA45662"/>
    <w:lvl w:ilvl="0" w:tplc="EE328C9A">
      <w:start w:val="3"/>
      <w:numFmt w:val="decimal"/>
      <w:lvlText w:val="3.%1"/>
      <w:lvlJc w:val="left"/>
      <w:pPr>
        <w:tabs>
          <w:tab w:val="num" w:pos="0"/>
        </w:tabs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83A22">
      <w:start w:val="3"/>
      <w:numFmt w:val="decimal"/>
      <w:lvlText w:val="3.%3"/>
      <w:lvlJc w:val="left"/>
      <w:pPr>
        <w:tabs>
          <w:tab w:val="num" w:pos="0"/>
        </w:tabs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0A168E"/>
    <w:multiLevelType w:val="multilevel"/>
    <w:tmpl w:val="8CFAC89A"/>
    <w:lvl w:ilvl="0">
      <w:start w:val="3"/>
      <w:numFmt w:val="decimal"/>
      <w:lvlText w:val="3.%1"/>
      <w:lvlJc w:val="left"/>
      <w:pPr>
        <w:tabs>
          <w:tab w:val="num" w:pos="0"/>
        </w:tabs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3.%3"/>
      <w:lvlJc w:val="left"/>
      <w:pPr>
        <w:tabs>
          <w:tab w:val="num" w:pos="846"/>
        </w:tabs>
        <w:ind w:left="198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A96A0A"/>
    <w:multiLevelType w:val="multilevel"/>
    <w:tmpl w:val="23F48C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59A1C03"/>
    <w:multiLevelType w:val="multilevel"/>
    <w:tmpl w:val="9C225246"/>
    <w:lvl w:ilvl="0">
      <w:start w:val="3"/>
      <w:numFmt w:val="decimal"/>
      <w:lvlText w:val="3.%1"/>
      <w:lvlJc w:val="left"/>
      <w:pPr>
        <w:tabs>
          <w:tab w:val="num" w:pos="0"/>
        </w:tabs>
        <w:ind w:left="113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s-E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footnoteLayoutLikeWW8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F31"/>
    <w:rsid w:val="000001FE"/>
    <w:rsid w:val="00012668"/>
    <w:rsid w:val="0001464C"/>
    <w:rsid w:val="00015290"/>
    <w:rsid w:val="00032DCC"/>
    <w:rsid w:val="00042F44"/>
    <w:rsid w:val="000435BF"/>
    <w:rsid w:val="00050168"/>
    <w:rsid w:val="00050F6B"/>
    <w:rsid w:val="00056EAA"/>
    <w:rsid w:val="00061811"/>
    <w:rsid w:val="00063822"/>
    <w:rsid w:val="00072C8C"/>
    <w:rsid w:val="00081B10"/>
    <w:rsid w:val="00084CA1"/>
    <w:rsid w:val="00085B7F"/>
    <w:rsid w:val="00090BCF"/>
    <w:rsid w:val="000931C0"/>
    <w:rsid w:val="000A1D5B"/>
    <w:rsid w:val="000A691A"/>
    <w:rsid w:val="000B175B"/>
    <w:rsid w:val="000B1E46"/>
    <w:rsid w:val="000B3A0F"/>
    <w:rsid w:val="000E015B"/>
    <w:rsid w:val="000E020C"/>
    <w:rsid w:val="000E0415"/>
    <w:rsid w:val="000E4EBF"/>
    <w:rsid w:val="000F08BA"/>
    <w:rsid w:val="000F284B"/>
    <w:rsid w:val="000F5041"/>
    <w:rsid w:val="000F5C5B"/>
    <w:rsid w:val="00101D87"/>
    <w:rsid w:val="0011080E"/>
    <w:rsid w:val="00120D91"/>
    <w:rsid w:val="00121905"/>
    <w:rsid w:val="0013253C"/>
    <w:rsid w:val="001445D5"/>
    <w:rsid w:val="00151F22"/>
    <w:rsid w:val="00163CB2"/>
    <w:rsid w:val="00174EF0"/>
    <w:rsid w:val="001805F4"/>
    <w:rsid w:val="001847C3"/>
    <w:rsid w:val="00185CE4"/>
    <w:rsid w:val="001A74E0"/>
    <w:rsid w:val="001A7D29"/>
    <w:rsid w:val="001B1CE1"/>
    <w:rsid w:val="001B4B04"/>
    <w:rsid w:val="001B7D7D"/>
    <w:rsid w:val="001C35CB"/>
    <w:rsid w:val="001C53DA"/>
    <w:rsid w:val="001C584B"/>
    <w:rsid w:val="001C6663"/>
    <w:rsid w:val="001C7895"/>
    <w:rsid w:val="001D2056"/>
    <w:rsid w:val="001D26DF"/>
    <w:rsid w:val="001D5B19"/>
    <w:rsid w:val="001E417B"/>
    <w:rsid w:val="001E6DA2"/>
    <w:rsid w:val="00200AA5"/>
    <w:rsid w:val="00211E0B"/>
    <w:rsid w:val="00216203"/>
    <w:rsid w:val="0021651D"/>
    <w:rsid w:val="00235900"/>
    <w:rsid w:val="002408A2"/>
    <w:rsid w:val="00240A30"/>
    <w:rsid w:val="0024271E"/>
    <w:rsid w:val="0024562D"/>
    <w:rsid w:val="00246B35"/>
    <w:rsid w:val="00255A42"/>
    <w:rsid w:val="00261DB2"/>
    <w:rsid w:val="0027381E"/>
    <w:rsid w:val="00275962"/>
    <w:rsid w:val="00281C34"/>
    <w:rsid w:val="0028730F"/>
    <w:rsid w:val="002A1D9C"/>
    <w:rsid w:val="002B23DD"/>
    <w:rsid w:val="002B4602"/>
    <w:rsid w:val="002B7492"/>
    <w:rsid w:val="002B7975"/>
    <w:rsid w:val="002C3836"/>
    <w:rsid w:val="002C7871"/>
    <w:rsid w:val="002D4629"/>
    <w:rsid w:val="002D71BA"/>
    <w:rsid w:val="002E6C8E"/>
    <w:rsid w:val="002E6EA6"/>
    <w:rsid w:val="003026BA"/>
    <w:rsid w:val="00306DAC"/>
    <w:rsid w:val="003073F2"/>
    <w:rsid w:val="003107FA"/>
    <w:rsid w:val="00316916"/>
    <w:rsid w:val="003229D8"/>
    <w:rsid w:val="00323768"/>
    <w:rsid w:val="00330029"/>
    <w:rsid w:val="0033745A"/>
    <w:rsid w:val="00342275"/>
    <w:rsid w:val="00346D89"/>
    <w:rsid w:val="00353882"/>
    <w:rsid w:val="00374938"/>
    <w:rsid w:val="00375717"/>
    <w:rsid w:val="00386FAF"/>
    <w:rsid w:val="00391E55"/>
    <w:rsid w:val="0039277A"/>
    <w:rsid w:val="00393F3B"/>
    <w:rsid w:val="003970C4"/>
    <w:rsid w:val="003972E0"/>
    <w:rsid w:val="003A419F"/>
    <w:rsid w:val="003A7ECB"/>
    <w:rsid w:val="003B05F7"/>
    <w:rsid w:val="003B4B65"/>
    <w:rsid w:val="003C2CC4"/>
    <w:rsid w:val="003D1C5D"/>
    <w:rsid w:val="003D3C87"/>
    <w:rsid w:val="003D4B23"/>
    <w:rsid w:val="003D6745"/>
    <w:rsid w:val="003E073A"/>
    <w:rsid w:val="003E2556"/>
    <w:rsid w:val="003E4A80"/>
    <w:rsid w:val="004032AE"/>
    <w:rsid w:val="0040654D"/>
    <w:rsid w:val="0041174B"/>
    <w:rsid w:val="00412056"/>
    <w:rsid w:val="00413D55"/>
    <w:rsid w:val="00415FAC"/>
    <w:rsid w:val="004313E2"/>
    <w:rsid w:val="004325CB"/>
    <w:rsid w:val="00443DDD"/>
    <w:rsid w:val="00446DE4"/>
    <w:rsid w:val="00450337"/>
    <w:rsid w:val="00450F5C"/>
    <w:rsid w:val="004622FC"/>
    <w:rsid w:val="00464685"/>
    <w:rsid w:val="00476BBB"/>
    <w:rsid w:val="0048120D"/>
    <w:rsid w:val="004835F6"/>
    <w:rsid w:val="00483C3B"/>
    <w:rsid w:val="004875EC"/>
    <w:rsid w:val="0049049A"/>
    <w:rsid w:val="00491F12"/>
    <w:rsid w:val="004928EC"/>
    <w:rsid w:val="00497375"/>
    <w:rsid w:val="004A04E1"/>
    <w:rsid w:val="004A41CA"/>
    <w:rsid w:val="004B40F4"/>
    <w:rsid w:val="004C268C"/>
    <w:rsid w:val="004E3871"/>
    <w:rsid w:val="004F4989"/>
    <w:rsid w:val="004F7F17"/>
    <w:rsid w:val="00503228"/>
    <w:rsid w:val="00505384"/>
    <w:rsid w:val="005070EF"/>
    <w:rsid w:val="00513BA0"/>
    <w:rsid w:val="005161E8"/>
    <w:rsid w:val="00517135"/>
    <w:rsid w:val="00517270"/>
    <w:rsid w:val="00524E66"/>
    <w:rsid w:val="00526483"/>
    <w:rsid w:val="0053263B"/>
    <w:rsid w:val="00535E08"/>
    <w:rsid w:val="0053674E"/>
    <w:rsid w:val="005401F6"/>
    <w:rsid w:val="005420F2"/>
    <w:rsid w:val="005466F6"/>
    <w:rsid w:val="00554B84"/>
    <w:rsid w:val="00557E60"/>
    <w:rsid w:val="0056622D"/>
    <w:rsid w:val="00566B2D"/>
    <w:rsid w:val="00584BCE"/>
    <w:rsid w:val="00597CC6"/>
    <w:rsid w:val="005A1BFC"/>
    <w:rsid w:val="005A2E4D"/>
    <w:rsid w:val="005A4516"/>
    <w:rsid w:val="005A7D90"/>
    <w:rsid w:val="005B21ED"/>
    <w:rsid w:val="005B3DB3"/>
    <w:rsid w:val="005B5DE0"/>
    <w:rsid w:val="005C427D"/>
    <w:rsid w:val="005C5E98"/>
    <w:rsid w:val="005D280F"/>
    <w:rsid w:val="005E1907"/>
    <w:rsid w:val="005E6417"/>
    <w:rsid w:val="005E739F"/>
    <w:rsid w:val="005F559F"/>
    <w:rsid w:val="00604CE2"/>
    <w:rsid w:val="006059DE"/>
    <w:rsid w:val="006060C2"/>
    <w:rsid w:val="00611FC4"/>
    <w:rsid w:val="00613614"/>
    <w:rsid w:val="006176FB"/>
    <w:rsid w:val="00623B07"/>
    <w:rsid w:val="00627ED0"/>
    <w:rsid w:val="00631AC6"/>
    <w:rsid w:val="0063426A"/>
    <w:rsid w:val="00640B26"/>
    <w:rsid w:val="0064402C"/>
    <w:rsid w:val="006513DF"/>
    <w:rsid w:val="006514FD"/>
    <w:rsid w:val="00665595"/>
    <w:rsid w:val="0069263B"/>
    <w:rsid w:val="006943EB"/>
    <w:rsid w:val="006950F1"/>
    <w:rsid w:val="00695AAA"/>
    <w:rsid w:val="00696188"/>
    <w:rsid w:val="00697D83"/>
    <w:rsid w:val="006A2A34"/>
    <w:rsid w:val="006A4AB4"/>
    <w:rsid w:val="006A64B4"/>
    <w:rsid w:val="006A7392"/>
    <w:rsid w:val="006B1ADC"/>
    <w:rsid w:val="006B64E2"/>
    <w:rsid w:val="006C5445"/>
    <w:rsid w:val="006C6230"/>
    <w:rsid w:val="006C672D"/>
    <w:rsid w:val="006C6B05"/>
    <w:rsid w:val="006D62C6"/>
    <w:rsid w:val="006E005A"/>
    <w:rsid w:val="006E564B"/>
    <w:rsid w:val="006F2F62"/>
    <w:rsid w:val="006F376A"/>
    <w:rsid w:val="00704066"/>
    <w:rsid w:val="00711304"/>
    <w:rsid w:val="00712A79"/>
    <w:rsid w:val="0072632A"/>
    <w:rsid w:val="00734CB7"/>
    <w:rsid w:val="007369EB"/>
    <w:rsid w:val="00742970"/>
    <w:rsid w:val="00750E73"/>
    <w:rsid w:val="00750E7B"/>
    <w:rsid w:val="00764668"/>
    <w:rsid w:val="007648BB"/>
    <w:rsid w:val="007652EF"/>
    <w:rsid w:val="00765EAC"/>
    <w:rsid w:val="00765FED"/>
    <w:rsid w:val="00766F6D"/>
    <w:rsid w:val="00772869"/>
    <w:rsid w:val="00775173"/>
    <w:rsid w:val="007767DA"/>
    <w:rsid w:val="00797C3E"/>
    <w:rsid w:val="007A1601"/>
    <w:rsid w:val="007A2BFF"/>
    <w:rsid w:val="007A5F52"/>
    <w:rsid w:val="007B5020"/>
    <w:rsid w:val="007B6BA5"/>
    <w:rsid w:val="007C1F31"/>
    <w:rsid w:val="007C3390"/>
    <w:rsid w:val="007C4F4B"/>
    <w:rsid w:val="007C5183"/>
    <w:rsid w:val="007C7879"/>
    <w:rsid w:val="007D3E05"/>
    <w:rsid w:val="007E1E43"/>
    <w:rsid w:val="007E7592"/>
    <w:rsid w:val="007F0B83"/>
    <w:rsid w:val="007F6611"/>
    <w:rsid w:val="0080696C"/>
    <w:rsid w:val="008102D0"/>
    <w:rsid w:val="00816098"/>
    <w:rsid w:val="008175E9"/>
    <w:rsid w:val="008242D7"/>
    <w:rsid w:val="00824A60"/>
    <w:rsid w:val="0082506F"/>
    <w:rsid w:val="008252EC"/>
    <w:rsid w:val="008311A3"/>
    <w:rsid w:val="008360A3"/>
    <w:rsid w:val="0084145A"/>
    <w:rsid w:val="00843A19"/>
    <w:rsid w:val="00844249"/>
    <w:rsid w:val="008512E5"/>
    <w:rsid w:val="008521B0"/>
    <w:rsid w:val="00852B1B"/>
    <w:rsid w:val="008569AD"/>
    <w:rsid w:val="00871FD5"/>
    <w:rsid w:val="00874328"/>
    <w:rsid w:val="00875B84"/>
    <w:rsid w:val="00877D0B"/>
    <w:rsid w:val="00886A21"/>
    <w:rsid w:val="008979B1"/>
    <w:rsid w:val="008A6B25"/>
    <w:rsid w:val="008A6C4F"/>
    <w:rsid w:val="008B1E67"/>
    <w:rsid w:val="008B1F56"/>
    <w:rsid w:val="008D6278"/>
    <w:rsid w:val="008E0E46"/>
    <w:rsid w:val="00902630"/>
    <w:rsid w:val="00907AD2"/>
    <w:rsid w:val="0091329A"/>
    <w:rsid w:val="00920F69"/>
    <w:rsid w:val="009235E9"/>
    <w:rsid w:val="00924B26"/>
    <w:rsid w:val="00936EE7"/>
    <w:rsid w:val="009379C5"/>
    <w:rsid w:val="00942C06"/>
    <w:rsid w:val="00944D48"/>
    <w:rsid w:val="009453FD"/>
    <w:rsid w:val="00946B1B"/>
    <w:rsid w:val="00946EAF"/>
    <w:rsid w:val="00960CF4"/>
    <w:rsid w:val="00963CBA"/>
    <w:rsid w:val="0096546F"/>
    <w:rsid w:val="00967923"/>
    <w:rsid w:val="00972C1E"/>
    <w:rsid w:val="00974A8D"/>
    <w:rsid w:val="00991261"/>
    <w:rsid w:val="009A7D74"/>
    <w:rsid w:val="009B1950"/>
    <w:rsid w:val="009B45EC"/>
    <w:rsid w:val="009C11FF"/>
    <w:rsid w:val="009E35F0"/>
    <w:rsid w:val="009E542D"/>
    <w:rsid w:val="009F3A17"/>
    <w:rsid w:val="00A12731"/>
    <w:rsid w:val="00A1427D"/>
    <w:rsid w:val="00A22765"/>
    <w:rsid w:val="00A228B7"/>
    <w:rsid w:val="00A34E28"/>
    <w:rsid w:val="00A3511A"/>
    <w:rsid w:val="00A37D4B"/>
    <w:rsid w:val="00A6498B"/>
    <w:rsid w:val="00A72F22"/>
    <w:rsid w:val="00A73434"/>
    <w:rsid w:val="00A748A6"/>
    <w:rsid w:val="00A75AB7"/>
    <w:rsid w:val="00A75DD4"/>
    <w:rsid w:val="00A772FD"/>
    <w:rsid w:val="00A8340A"/>
    <w:rsid w:val="00A858FD"/>
    <w:rsid w:val="00A879A4"/>
    <w:rsid w:val="00A92CC3"/>
    <w:rsid w:val="00AD0CA8"/>
    <w:rsid w:val="00AD5AC5"/>
    <w:rsid w:val="00AF1F55"/>
    <w:rsid w:val="00B02E9A"/>
    <w:rsid w:val="00B176C5"/>
    <w:rsid w:val="00B30179"/>
    <w:rsid w:val="00B33EC0"/>
    <w:rsid w:val="00B3502E"/>
    <w:rsid w:val="00B406C8"/>
    <w:rsid w:val="00B43801"/>
    <w:rsid w:val="00B44CFE"/>
    <w:rsid w:val="00B505CE"/>
    <w:rsid w:val="00B50B06"/>
    <w:rsid w:val="00B516B5"/>
    <w:rsid w:val="00B537FD"/>
    <w:rsid w:val="00B57D89"/>
    <w:rsid w:val="00B81E12"/>
    <w:rsid w:val="00B830AC"/>
    <w:rsid w:val="00B96373"/>
    <w:rsid w:val="00BA280B"/>
    <w:rsid w:val="00BA33E8"/>
    <w:rsid w:val="00BA434F"/>
    <w:rsid w:val="00BC74E9"/>
    <w:rsid w:val="00BE028C"/>
    <w:rsid w:val="00BE056A"/>
    <w:rsid w:val="00BE2485"/>
    <w:rsid w:val="00BE3232"/>
    <w:rsid w:val="00BE3533"/>
    <w:rsid w:val="00BE4F74"/>
    <w:rsid w:val="00BE618E"/>
    <w:rsid w:val="00BF2480"/>
    <w:rsid w:val="00BF3719"/>
    <w:rsid w:val="00BF64E0"/>
    <w:rsid w:val="00C01D09"/>
    <w:rsid w:val="00C10175"/>
    <w:rsid w:val="00C14FBC"/>
    <w:rsid w:val="00C17699"/>
    <w:rsid w:val="00C212F8"/>
    <w:rsid w:val="00C25007"/>
    <w:rsid w:val="00C25879"/>
    <w:rsid w:val="00C3539B"/>
    <w:rsid w:val="00C463DD"/>
    <w:rsid w:val="00C470B8"/>
    <w:rsid w:val="00C67D16"/>
    <w:rsid w:val="00C707AF"/>
    <w:rsid w:val="00C745C3"/>
    <w:rsid w:val="00CA2D25"/>
    <w:rsid w:val="00CA63A9"/>
    <w:rsid w:val="00CA7E7D"/>
    <w:rsid w:val="00CB3120"/>
    <w:rsid w:val="00CC3433"/>
    <w:rsid w:val="00CC75B8"/>
    <w:rsid w:val="00CD399A"/>
    <w:rsid w:val="00CD71F6"/>
    <w:rsid w:val="00CD7F4E"/>
    <w:rsid w:val="00CE42CD"/>
    <w:rsid w:val="00CE4A8F"/>
    <w:rsid w:val="00CE76BC"/>
    <w:rsid w:val="00D03FA1"/>
    <w:rsid w:val="00D04777"/>
    <w:rsid w:val="00D05A41"/>
    <w:rsid w:val="00D07E76"/>
    <w:rsid w:val="00D2031B"/>
    <w:rsid w:val="00D20409"/>
    <w:rsid w:val="00D2393D"/>
    <w:rsid w:val="00D25FE2"/>
    <w:rsid w:val="00D317BB"/>
    <w:rsid w:val="00D424B5"/>
    <w:rsid w:val="00D43252"/>
    <w:rsid w:val="00D505D8"/>
    <w:rsid w:val="00D50A48"/>
    <w:rsid w:val="00D5205C"/>
    <w:rsid w:val="00D565C7"/>
    <w:rsid w:val="00D56C84"/>
    <w:rsid w:val="00D64054"/>
    <w:rsid w:val="00D64EBB"/>
    <w:rsid w:val="00D70442"/>
    <w:rsid w:val="00D71945"/>
    <w:rsid w:val="00D72BBE"/>
    <w:rsid w:val="00D770E2"/>
    <w:rsid w:val="00D83A6D"/>
    <w:rsid w:val="00D9156C"/>
    <w:rsid w:val="00D9674B"/>
    <w:rsid w:val="00D978C6"/>
    <w:rsid w:val="00D9794B"/>
    <w:rsid w:val="00DA1B25"/>
    <w:rsid w:val="00DA53CC"/>
    <w:rsid w:val="00DA67AD"/>
    <w:rsid w:val="00DB5D0F"/>
    <w:rsid w:val="00DB5F4F"/>
    <w:rsid w:val="00DC0A68"/>
    <w:rsid w:val="00DD1B53"/>
    <w:rsid w:val="00DF0F82"/>
    <w:rsid w:val="00DF12F7"/>
    <w:rsid w:val="00DF6F5E"/>
    <w:rsid w:val="00DF7308"/>
    <w:rsid w:val="00E02C81"/>
    <w:rsid w:val="00E130AB"/>
    <w:rsid w:val="00E25F28"/>
    <w:rsid w:val="00E42E62"/>
    <w:rsid w:val="00E44145"/>
    <w:rsid w:val="00E52ED6"/>
    <w:rsid w:val="00E60B2F"/>
    <w:rsid w:val="00E620E7"/>
    <w:rsid w:val="00E63884"/>
    <w:rsid w:val="00E670C5"/>
    <w:rsid w:val="00E70F82"/>
    <w:rsid w:val="00E7260F"/>
    <w:rsid w:val="00E7712A"/>
    <w:rsid w:val="00E87921"/>
    <w:rsid w:val="00E905DE"/>
    <w:rsid w:val="00E91E8F"/>
    <w:rsid w:val="00E93680"/>
    <w:rsid w:val="00E96630"/>
    <w:rsid w:val="00EB55BE"/>
    <w:rsid w:val="00ED7A2A"/>
    <w:rsid w:val="00EE2FA4"/>
    <w:rsid w:val="00EF1D7F"/>
    <w:rsid w:val="00F01A50"/>
    <w:rsid w:val="00F10CB6"/>
    <w:rsid w:val="00F11586"/>
    <w:rsid w:val="00F20EE3"/>
    <w:rsid w:val="00F3266F"/>
    <w:rsid w:val="00F53EDA"/>
    <w:rsid w:val="00F5728A"/>
    <w:rsid w:val="00F70D98"/>
    <w:rsid w:val="00F7753D"/>
    <w:rsid w:val="00F85F34"/>
    <w:rsid w:val="00FA06F7"/>
    <w:rsid w:val="00FA0B06"/>
    <w:rsid w:val="00FA31AA"/>
    <w:rsid w:val="00FA36A8"/>
    <w:rsid w:val="00FA7444"/>
    <w:rsid w:val="00FA789A"/>
    <w:rsid w:val="00FB171A"/>
    <w:rsid w:val="00FB2A08"/>
    <w:rsid w:val="00FB60B9"/>
    <w:rsid w:val="00FC0648"/>
    <w:rsid w:val="00FC2EA6"/>
    <w:rsid w:val="00FC3960"/>
    <w:rsid w:val="00FC68B7"/>
    <w:rsid w:val="00FD7BF6"/>
    <w:rsid w:val="00FE5D7E"/>
    <w:rsid w:val="00FF153E"/>
    <w:rsid w:val="00FF1DB9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  <w15:docId w15:val="{A5341820-F713-4687-ABE4-CEEC8795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22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qFormat/>
    <w:rsid w:val="000F08BA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alloonText">
    <w:name w:val="Balloon Text"/>
    <w:basedOn w:val="Normal"/>
    <w:semiHidden/>
    <w:rsid w:val="00A75AB7"/>
    <w:rPr>
      <w:rFonts w:ascii="Tahoma" w:hAnsi="Tahoma" w:cs="Tahoma"/>
      <w:sz w:val="16"/>
      <w:szCs w:val="16"/>
    </w:rPr>
  </w:style>
  <w:style w:type="character" w:customStyle="1" w:styleId="SingleTxtGChar">
    <w:name w:val="_ Single Txt_G Char"/>
    <w:link w:val="SingleTxtG"/>
    <w:rsid w:val="00A6498B"/>
    <w:rPr>
      <w:lang w:eastAsia="en-US"/>
    </w:rPr>
  </w:style>
  <w:style w:type="character" w:customStyle="1" w:styleId="FootnoteTextChar">
    <w:name w:val="Footnote Text Char"/>
    <w:aliases w:val="5_G Char"/>
    <w:link w:val="FootnoteText"/>
    <w:rsid w:val="00A6498B"/>
    <w:rPr>
      <w:sz w:val="18"/>
      <w:lang w:eastAsia="en-US"/>
    </w:rPr>
  </w:style>
  <w:style w:type="paragraph" w:customStyle="1" w:styleId="Default">
    <w:name w:val="Default"/>
    <w:rsid w:val="00A772F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ParaNoG">
    <w:name w:val="_ParaNo._G"/>
    <w:basedOn w:val="SingleTxtG"/>
    <w:rsid w:val="00D03FA1"/>
  </w:style>
  <w:style w:type="character" w:styleId="CommentReference">
    <w:name w:val="annotation reference"/>
    <w:rsid w:val="00750E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0E7B"/>
  </w:style>
  <w:style w:type="character" w:customStyle="1" w:styleId="CommentTextChar">
    <w:name w:val="Comment Text Char"/>
    <w:link w:val="CommentText"/>
    <w:rsid w:val="00750E7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0E7B"/>
    <w:rPr>
      <w:b/>
      <w:bCs/>
    </w:rPr>
  </w:style>
  <w:style w:type="character" w:customStyle="1" w:styleId="CommentSubjectChar">
    <w:name w:val="Comment Subject Char"/>
    <w:link w:val="CommentSubject"/>
    <w:rsid w:val="00750E7B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CCPR/C/97/D/1744/2007</vt:lpstr>
    </vt:vector>
  </TitlesOfParts>
  <Company>CSD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CCPR/C/97/D/1744/2007</dc:title>
  <dc:subject/>
  <dc:creator>Neogi</dc:creator>
  <cp:keywords/>
  <cp:lastModifiedBy>Sarah Willig</cp:lastModifiedBy>
  <cp:revision>2</cp:revision>
  <cp:lastPrinted>2014-10-28T13:45:00Z</cp:lastPrinted>
  <dcterms:created xsi:type="dcterms:W3CDTF">2017-04-05T20:18:00Z</dcterms:created>
  <dcterms:modified xsi:type="dcterms:W3CDTF">2017-04-05T20:18:00Z</dcterms:modified>
</cp:coreProperties>
</file>