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369EB" w:rsidRPr="001F40AB" w:rsidTr="007369EB">
        <w:trPr>
          <w:trHeight w:val="851"/>
        </w:trPr>
        <w:tc>
          <w:tcPr>
            <w:tcW w:w="1259" w:type="dxa"/>
            <w:tcBorders>
              <w:top w:val="nil"/>
              <w:left w:val="nil"/>
              <w:bottom w:val="single" w:sz="4" w:space="0" w:color="auto"/>
              <w:right w:val="nil"/>
            </w:tcBorders>
            <w:vAlign w:val="bottom"/>
          </w:tcPr>
          <w:p w:rsidR="007369EB" w:rsidRPr="007369EB" w:rsidRDefault="007369EB" w:rsidP="007369EB">
            <w:pPr>
              <w:jc w:val="right"/>
            </w:pPr>
            <w:bookmarkStart w:id="0" w:name="_GoBack"/>
            <w:bookmarkEnd w:id="0"/>
          </w:p>
        </w:tc>
        <w:tc>
          <w:tcPr>
            <w:tcW w:w="2236" w:type="dxa"/>
            <w:tcBorders>
              <w:top w:val="nil"/>
              <w:left w:val="nil"/>
              <w:bottom w:val="single" w:sz="4" w:space="0" w:color="auto"/>
              <w:right w:val="nil"/>
            </w:tcBorders>
            <w:vAlign w:val="bottom"/>
          </w:tcPr>
          <w:p w:rsidR="007369EB" w:rsidRPr="001F40AB" w:rsidRDefault="008569AD" w:rsidP="00B516B5">
            <w:r w:rsidRPr="001F40AB">
              <w:rPr>
                <w:sz w:val="28"/>
                <w:szCs w:val="28"/>
              </w:rPr>
              <w:t>United Nations</w:t>
            </w:r>
          </w:p>
        </w:tc>
        <w:tc>
          <w:tcPr>
            <w:tcW w:w="6144" w:type="dxa"/>
            <w:gridSpan w:val="2"/>
            <w:tcBorders>
              <w:top w:val="nil"/>
              <w:left w:val="nil"/>
              <w:bottom w:val="single" w:sz="4" w:space="0" w:color="auto"/>
              <w:right w:val="nil"/>
            </w:tcBorders>
            <w:vAlign w:val="bottom"/>
          </w:tcPr>
          <w:p w:rsidR="007369EB" w:rsidRPr="001F40AB" w:rsidRDefault="007C1F31" w:rsidP="00726CBB">
            <w:pPr>
              <w:jc w:val="right"/>
            </w:pPr>
            <w:r w:rsidRPr="001F40AB">
              <w:rPr>
                <w:sz w:val="40"/>
              </w:rPr>
              <w:t>CCPR</w:t>
            </w:r>
            <w:r w:rsidRPr="001F40AB">
              <w:t>/C/</w:t>
            </w:r>
            <w:r w:rsidR="00C14FBC" w:rsidRPr="001F40AB">
              <w:t>11</w:t>
            </w:r>
            <w:r w:rsidR="005468E7" w:rsidRPr="001F40AB">
              <w:t>2</w:t>
            </w:r>
            <w:r w:rsidRPr="001F40AB">
              <w:t>/D/</w:t>
            </w:r>
            <w:r w:rsidR="00C14FBC" w:rsidRPr="001F40AB">
              <w:t>20</w:t>
            </w:r>
            <w:r w:rsidR="005468E7" w:rsidRPr="001F40AB">
              <w:t>70</w:t>
            </w:r>
            <w:r w:rsidRPr="001F40AB">
              <w:t>/20</w:t>
            </w:r>
            <w:r w:rsidR="00C14FBC" w:rsidRPr="001F40AB">
              <w:t>11</w:t>
            </w:r>
          </w:p>
        </w:tc>
      </w:tr>
      <w:tr w:rsidR="007369EB" w:rsidRPr="001F40AB" w:rsidTr="00DF0F82">
        <w:trPr>
          <w:trHeight w:val="2835"/>
        </w:trPr>
        <w:tc>
          <w:tcPr>
            <w:tcW w:w="1259" w:type="dxa"/>
            <w:tcBorders>
              <w:top w:val="single" w:sz="4" w:space="0" w:color="auto"/>
              <w:left w:val="nil"/>
              <w:bottom w:val="single" w:sz="12" w:space="0" w:color="auto"/>
              <w:right w:val="nil"/>
            </w:tcBorders>
          </w:tcPr>
          <w:p w:rsidR="007369EB" w:rsidRPr="001F40AB" w:rsidRDefault="00374A0C" w:rsidP="007369E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5pt">
                  <v:imagedata r:id="rId7" o:title=""/>
                </v:shape>
              </w:pict>
            </w:r>
          </w:p>
        </w:tc>
        <w:tc>
          <w:tcPr>
            <w:tcW w:w="5450" w:type="dxa"/>
            <w:gridSpan w:val="2"/>
            <w:tcBorders>
              <w:top w:val="single" w:sz="4" w:space="0" w:color="auto"/>
              <w:left w:val="nil"/>
              <w:bottom w:val="single" w:sz="12" w:space="0" w:color="auto"/>
              <w:right w:val="nil"/>
            </w:tcBorders>
          </w:tcPr>
          <w:p w:rsidR="007369EB" w:rsidRPr="001F40AB" w:rsidRDefault="008569AD" w:rsidP="007369EB">
            <w:pPr>
              <w:rPr>
                <w:b/>
                <w:sz w:val="34"/>
                <w:szCs w:val="40"/>
              </w:rPr>
            </w:pPr>
            <w:r w:rsidRPr="001F40AB">
              <w:rPr>
                <w:b/>
                <w:sz w:val="34"/>
                <w:szCs w:val="40"/>
              </w:rPr>
              <w:t>International Covenant on</w:t>
            </w:r>
            <w:r w:rsidRPr="001F40AB">
              <w:rPr>
                <w:b/>
                <w:sz w:val="34"/>
                <w:szCs w:val="40"/>
              </w:rPr>
              <w:br/>
              <w:t>Civil and Political Rights</w:t>
            </w:r>
          </w:p>
          <w:p w:rsidR="00577563" w:rsidRPr="001F40AB" w:rsidRDefault="00577563" w:rsidP="00EB5D9C"/>
        </w:tc>
        <w:tc>
          <w:tcPr>
            <w:tcW w:w="2930" w:type="dxa"/>
            <w:tcBorders>
              <w:top w:val="single" w:sz="4" w:space="0" w:color="auto"/>
              <w:left w:val="nil"/>
              <w:bottom w:val="single" w:sz="12" w:space="0" w:color="auto"/>
              <w:right w:val="nil"/>
            </w:tcBorders>
          </w:tcPr>
          <w:p w:rsidR="007C1F31" w:rsidRPr="001F40AB" w:rsidRDefault="007C1F31" w:rsidP="007C1F31">
            <w:pPr>
              <w:spacing w:before="240" w:line="240" w:lineRule="exact"/>
            </w:pPr>
            <w:r w:rsidRPr="001F40AB">
              <w:t xml:space="preserve">Distr.: </w:t>
            </w:r>
            <w:r w:rsidR="00726CBB" w:rsidRPr="001F40AB">
              <w:t>General</w:t>
            </w:r>
          </w:p>
          <w:p w:rsidR="007C1F31" w:rsidRPr="001F40AB" w:rsidRDefault="00534795" w:rsidP="00E47336">
            <w:pPr>
              <w:spacing w:line="240" w:lineRule="exact"/>
            </w:pPr>
            <w:r w:rsidRPr="001F40AB">
              <w:t>2</w:t>
            </w:r>
            <w:r w:rsidR="001F2328" w:rsidRPr="001F40AB">
              <w:t>5</w:t>
            </w:r>
            <w:r w:rsidR="008C10AD" w:rsidRPr="001F40AB">
              <w:t xml:space="preserve"> November</w:t>
            </w:r>
            <w:r w:rsidR="00711304" w:rsidRPr="001F40AB">
              <w:t xml:space="preserve"> 201</w:t>
            </w:r>
            <w:r w:rsidR="00C14FBC" w:rsidRPr="001F40AB">
              <w:t>4</w:t>
            </w:r>
          </w:p>
          <w:p w:rsidR="007C1F31" w:rsidRPr="001F40AB" w:rsidRDefault="007C1F31" w:rsidP="007C1F31">
            <w:pPr>
              <w:spacing w:line="240" w:lineRule="exact"/>
            </w:pPr>
          </w:p>
          <w:p w:rsidR="007369EB" w:rsidRPr="001F40AB" w:rsidRDefault="007C1F31" w:rsidP="007C1F31">
            <w:pPr>
              <w:spacing w:line="240" w:lineRule="exact"/>
            </w:pPr>
            <w:r w:rsidRPr="001F40AB">
              <w:t>Original: English</w:t>
            </w:r>
          </w:p>
        </w:tc>
      </w:tr>
    </w:tbl>
    <w:p w:rsidR="00EF1126" w:rsidRPr="001F40AB" w:rsidRDefault="00EF1126" w:rsidP="00EF1126">
      <w:pPr>
        <w:spacing w:before="120"/>
        <w:rPr>
          <w:b/>
          <w:sz w:val="24"/>
          <w:szCs w:val="24"/>
        </w:rPr>
      </w:pPr>
      <w:r w:rsidRPr="001F40AB">
        <w:rPr>
          <w:b/>
          <w:sz w:val="24"/>
          <w:szCs w:val="24"/>
        </w:rPr>
        <w:t>Human Rights Committee</w:t>
      </w:r>
      <w:r w:rsidR="00374A0C">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1&amp;Size=2 &amp;Lang=E"/>
            <w10:wrap anchorx="margin" anchory="margin"/>
          </v:shape>
        </w:pict>
      </w:r>
    </w:p>
    <w:p w:rsidR="007C1F31" w:rsidRPr="001F40AB" w:rsidRDefault="007A2BFF" w:rsidP="00EC406D">
      <w:pPr>
        <w:pStyle w:val="HChG"/>
      </w:pPr>
      <w:r w:rsidRPr="001F40AB">
        <w:tab/>
      </w:r>
      <w:r w:rsidRPr="001F40AB">
        <w:tab/>
      </w:r>
      <w:r w:rsidR="003206C5" w:rsidRPr="001F40AB">
        <w:t>Communication No. </w:t>
      </w:r>
      <w:r w:rsidR="00C14FBC" w:rsidRPr="001F40AB">
        <w:t>20</w:t>
      </w:r>
      <w:r w:rsidR="005468E7" w:rsidRPr="001F40AB">
        <w:t>70</w:t>
      </w:r>
      <w:r w:rsidR="00E620E7" w:rsidRPr="001F40AB">
        <w:t>/20</w:t>
      </w:r>
      <w:r w:rsidR="00C14FBC" w:rsidRPr="001F40AB">
        <w:t>11</w:t>
      </w:r>
    </w:p>
    <w:p w:rsidR="00032DCC" w:rsidRPr="001F40AB" w:rsidRDefault="00032DCC" w:rsidP="0076306B">
      <w:pPr>
        <w:pStyle w:val="H1G"/>
        <w:rPr>
          <w:szCs w:val="24"/>
        </w:rPr>
      </w:pPr>
      <w:r w:rsidRPr="001F40AB">
        <w:rPr>
          <w:szCs w:val="24"/>
        </w:rPr>
        <w:tab/>
      </w:r>
      <w:r w:rsidRPr="001F40AB">
        <w:rPr>
          <w:szCs w:val="24"/>
        </w:rPr>
        <w:tab/>
      </w:r>
      <w:r w:rsidR="00726CBB" w:rsidRPr="001F40AB">
        <w:t xml:space="preserve">Decision adopted by the Committee at its 112th </w:t>
      </w:r>
      <w:r w:rsidR="0057164E" w:rsidRPr="001F40AB">
        <w:t xml:space="preserve">session </w:t>
      </w:r>
      <w:r w:rsidR="00726CBB" w:rsidRPr="001F40AB">
        <w:br/>
        <w:t>(7</w:t>
      </w:r>
      <w:r w:rsidR="0076306B" w:rsidRPr="001F40AB">
        <w:t>–</w:t>
      </w:r>
      <w:r w:rsidR="00726CBB" w:rsidRPr="001F40AB">
        <w:t>31 October 2014)</w:t>
      </w:r>
    </w:p>
    <w:p w:rsidR="007C1F31" w:rsidRPr="001F40AB" w:rsidRDefault="007C1F31" w:rsidP="003206C5">
      <w:pPr>
        <w:pStyle w:val="SingleTxtG"/>
        <w:ind w:left="4536" w:hanging="3402"/>
        <w:jc w:val="left"/>
      </w:pPr>
      <w:r w:rsidRPr="001F40AB">
        <w:rPr>
          <w:i/>
        </w:rPr>
        <w:t>Submitted by:</w:t>
      </w:r>
      <w:r w:rsidRPr="001F40AB">
        <w:tab/>
      </w:r>
      <w:r w:rsidR="00B20B8A" w:rsidRPr="001F40AB">
        <w:t>José</w:t>
      </w:r>
      <w:r w:rsidR="005468E7" w:rsidRPr="001F40AB">
        <w:t xml:space="preserve"> Antonio Cañada Mora </w:t>
      </w:r>
      <w:r w:rsidR="0069263B" w:rsidRPr="001F40AB">
        <w:t>(</w:t>
      </w:r>
      <w:r w:rsidR="00491F12" w:rsidRPr="001F40AB">
        <w:t>represented by</w:t>
      </w:r>
      <w:r w:rsidR="003206C5" w:rsidRPr="001F40AB">
        <w:t> </w:t>
      </w:r>
      <w:r w:rsidR="00491F12" w:rsidRPr="001F40AB">
        <w:t xml:space="preserve">counsel, José </w:t>
      </w:r>
      <w:r w:rsidR="0069263B" w:rsidRPr="001F40AB">
        <w:t>Luis Mazón</w:t>
      </w:r>
      <w:r w:rsidR="00491F12" w:rsidRPr="001F40AB">
        <w:t xml:space="preserve"> Costa</w:t>
      </w:r>
      <w:r w:rsidR="0069263B" w:rsidRPr="001F40AB">
        <w:t>)</w:t>
      </w:r>
    </w:p>
    <w:p w:rsidR="007C1F31" w:rsidRPr="001F40AB" w:rsidRDefault="007C1F31" w:rsidP="003206C5">
      <w:pPr>
        <w:pStyle w:val="SingleTxtG"/>
        <w:ind w:left="4536" w:hanging="3402"/>
        <w:jc w:val="left"/>
      </w:pPr>
      <w:r w:rsidRPr="001F40AB">
        <w:rPr>
          <w:i/>
        </w:rPr>
        <w:t>Alleged victim</w:t>
      </w:r>
      <w:r w:rsidR="00942C06" w:rsidRPr="001F40AB">
        <w:rPr>
          <w:i/>
        </w:rPr>
        <w:t>:</w:t>
      </w:r>
      <w:r w:rsidR="00942C06" w:rsidRPr="001F40AB">
        <w:tab/>
        <w:t>The author</w:t>
      </w:r>
    </w:p>
    <w:p w:rsidR="007C1F31" w:rsidRPr="001F40AB" w:rsidRDefault="007C1F31" w:rsidP="003206C5">
      <w:pPr>
        <w:pStyle w:val="SingleTxtG"/>
        <w:ind w:left="4536" w:hanging="3402"/>
        <w:jc w:val="left"/>
      </w:pPr>
      <w:r w:rsidRPr="001F40AB">
        <w:rPr>
          <w:i/>
        </w:rPr>
        <w:t>State party:</w:t>
      </w:r>
      <w:r w:rsidRPr="001F40AB">
        <w:tab/>
      </w:r>
      <w:r w:rsidR="0069263B" w:rsidRPr="001F40AB">
        <w:t>Spain</w:t>
      </w:r>
    </w:p>
    <w:p w:rsidR="007C1F31" w:rsidRPr="001F40AB" w:rsidRDefault="007C1F31" w:rsidP="003206C5">
      <w:pPr>
        <w:pStyle w:val="SingleTxtG"/>
        <w:ind w:left="4536" w:hanging="3402"/>
        <w:jc w:val="left"/>
      </w:pPr>
      <w:r w:rsidRPr="001F40AB">
        <w:rPr>
          <w:i/>
        </w:rPr>
        <w:t>Date of communication:</w:t>
      </w:r>
      <w:r w:rsidRPr="001F40AB">
        <w:tab/>
      </w:r>
      <w:r w:rsidR="005468E7" w:rsidRPr="001F40AB">
        <w:t>14 March 2011</w:t>
      </w:r>
      <w:r w:rsidRPr="001F40AB">
        <w:t xml:space="preserve"> (initial submission)</w:t>
      </w:r>
    </w:p>
    <w:p w:rsidR="007C1F31" w:rsidRPr="001F40AB" w:rsidRDefault="007C1F31" w:rsidP="003206C5">
      <w:pPr>
        <w:pStyle w:val="SingleTxtG"/>
        <w:ind w:left="4536" w:hanging="3402"/>
        <w:jc w:val="left"/>
      </w:pPr>
      <w:r w:rsidRPr="001F40AB">
        <w:rPr>
          <w:i/>
        </w:rPr>
        <w:t xml:space="preserve">Date of </w:t>
      </w:r>
      <w:r w:rsidR="00E670C5" w:rsidRPr="001F40AB">
        <w:rPr>
          <w:i/>
        </w:rPr>
        <w:t>decision</w:t>
      </w:r>
      <w:r w:rsidRPr="001F40AB">
        <w:rPr>
          <w:i/>
        </w:rPr>
        <w:t>:</w:t>
      </w:r>
      <w:r w:rsidRPr="001F40AB">
        <w:tab/>
      </w:r>
      <w:r w:rsidR="00726CBB" w:rsidRPr="001F40AB">
        <w:t xml:space="preserve">28 </w:t>
      </w:r>
      <w:r w:rsidR="005468E7" w:rsidRPr="001F40AB">
        <w:t>October</w:t>
      </w:r>
      <w:r w:rsidR="00E620E7" w:rsidRPr="001F40AB">
        <w:t xml:space="preserve"> 20</w:t>
      </w:r>
      <w:r w:rsidR="0069263B" w:rsidRPr="001F40AB">
        <w:t>14</w:t>
      </w:r>
    </w:p>
    <w:p w:rsidR="001C584B" w:rsidRPr="001F40AB" w:rsidRDefault="001C584B" w:rsidP="003206C5">
      <w:pPr>
        <w:pStyle w:val="SingleTxtG"/>
        <w:ind w:left="4536" w:hanging="3402"/>
        <w:jc w:val="left"/>
      </w:pPr>
      <w:r w:rsidRPr="001F40AB">
        <w:rPr>
          <w:i/>
        </w:rPr>
        <w:t>Subject matter:</w:t>
      </w:r>
      <w:r w:rsidR="00EC406D" w:rsidRPr="001F40AB">
        <w:rPr>
          <w:i/>
        </w:rPr>
        <w:t xml:space="preserve"> </w:t>
      </w:r>
      <w:r w:rsidRPr="001F40AB">
        <w:rPr>
          <w:i/>
        </w:rPr>
        <w:tab/>
      </w:r>
      <w:r w:rsidR="00534795" w:rsidRPr="001F40AB">
        <w:t xml:space="preserve">Recovery </w:t>
      </w:r>
      <w:r w:rsidR="005F18E1" w:rsidRPr="001F40AB">
        <w:t xml:space="preserve">of tax debts </w:t>
      </w:r>
    </w:p>
    <w:p w:rsidR="00810091" w:rsidRPr="001F40AB" w:rsidRDefault="00810091" w:rsidP="003206C5">
      <w:pPr>
        <w:pStyle w:val="SingleTxtG"/>
        <w:ind w:left="4536" w:hanging="3402"/>
        <w:jc w:val="left"/>
      </w:pPr>
      <w:r w:rsidRPr="001F40AB">
        <w:rPr>
          <w:i/>
        </w:rPr>
        <w:t xml:space="preserve">Substantive issues: </w:t>
      </w:r>
      <w:r w:rsidRPr="001F40AB">
        <w:rPr>
          <w:i/>
        </w:rPr>
        <w:tab/>
      </w:r>
      <w:r w:rsidRPr="001F40AB">
        <w:t xml:space="preserve">Denial of justice </w:t>
      </w:r>
    </w:p>
    <w:p w:rsidR="001C584B" w:rsidRPr="001F40AB" w:rsidRDefault="001C584B" w:rsidP="003206C5">
      <w:pPr>
        <w:pStyle w:val="SingleTxtG"/>
        <w:ind w:left="4536" w:hanging="3402"/>
        <w:jc w:val="left"/>
      </w:pPr>
      <w:r w:rsidRPr="001F40AB">
        <w:rPr>
          <w:i/>
        </w:rPr>
        <w:t xml:space="preserve">Procedural issues: </w:t>
      </w:r>
      <w:r w:rsidRPr="001F40AB">
        <w:rPr>
          <w:i/>
        </w:rPr>
        <w:tab/>
      </w:r>
      <w:r w:rsidR="005F18E1" w:rsidRPr="001F40AB">
        <w:t>Failure to exhaust domestic remedies</w:t>
      </w:r>
    </w:p>
    <w:p w:rsidR="001C584B" w:rsidRPr="001F40AB" w:rsidRDefault="001C584B" w:rsidP="003206C5">
      <w:pPr>
        <w:pStyle w:val="SingleTxtG"/>
        <w:ind w:left="4536" w:hanging="3402"/>
        <w:jc w:val="left"/>
      </w:pPr>
      <w:r w:rsidRPr="001F40AB">
        <w:rPr>
          <w:i/>
        </w:rPr>
        <w:t>Articles of the Covenant:</w:t>
      </w:r>
      <w:r w:rsidRPr="001F40AB">
        <w:t xml:space="preserve"> </w:t>
      </w:r>
      <w:r w:rsidRPr="001F40AB">
        <w:tab/>
        <w:t xml:space="preserve">14, </w:t>
      </w:r>
      <w:r w:rsidR="00EC406D" w:rsidRPr="001F40AB">
        <w:t>paragraph </w:t>
      </w:r>
      <w:r w:rsidR="005F18E1" w:rsidRPr="001F40AB">
        <w:t>1</w:t>
      </w:r>
    </w:p>
    <w:p w:rsidR="001C584B" w:rsidRPr="001F40AB" w:rsidRDefault="001C584B" w:rsidP="003206C5">
      <w:pPr>
        <w:pStyle w:val="SingleTxtG"/>
        <w:ind w:left="4536" w:hanging="3402"/>
        <w:jc w:val="left"/>
        <w:rPr>
          <w:i/>
        </w:rPr>
      </w:pPr>
      <w:r w:rsidRPr="001F40AB">
        <w:rPr>
          <w:i/>
        </w:rPr>
        <w:t>Articles of the Optional Protocol:</w:t>
      </w:r>
      <w:r w:rsidRPr="001F40AB">
        <w:rPr>
          <w:i/>
        </w:rPr>
        <w:tab/>
      </w:r>
      <w:r w:rsidR="005F18E1" w:rsidRPr="001F40AB">
        <w:t xml:space="preserve">5, </w:t>
      </w:r>
      <w:r w:rsidR="00EC406D" w:rsidRPr="001F40AB">
        <w:t>paragraph </w:t>
      </w:r>
      <w:r w:rsidR="005F18E1" w:rsidRPr="001F40AB">
        <w:t xml:space="preserve">2 </w:t>
      </w:r>
      <w:r w:rsidR="00534795" w:rsidRPr="001F40AB">
        <w:t>(</w:t>
      </w:r>
      <w:r w:rsidR="005F18E1" w:rsidRPr="001F40AB">
        <w:t>b)</w:t>
      </w:r>
    </w:p>
    <w:p w:rsidR="001847C3" w:rsidRPr="001F40AB" w:rsidRDefault="007C1F31" w:rsidP="00EC406D">
      <w:pPr>
        <w:pStyle w:val="H1G"/>
      </w:pPr>
      <w:r w:rsidRPr="001F40AB">
        <w:rPr>
          <w:i/>
        </w:rPr>
        <w:br w:type="page"/>
      </w:r>
      <w:r w:rsidR="0056622D" w:rsidRPr="001F40AB">
        <w:lastRenderedPageBreak/>
        <w:tab/>
      </w:r>
      <w:r w:rsidR="0056622D" w:rsidRPr="001F40AB">
        <w:tab/>
      </w:r>
      <w:r w:rsidR="001847C3" w:rsidRPr="001F40AB">
        <w:t>Decision on admissibility</w:t>
      </w:r>
      <w:r w:rsidR="00577563" w:rsidRPr="001F40AB">
        <w:rPr>
          <w:rStyle w:val="FootnoteReference"/>
          <w:b w:val="0"/>
          <w:bCs/>
          <w:sz w:val="20"/>
          <w:vertAlign w:val="baseline"/>
        </w:rPr>
        <w:footnoteReference w:customMarkFollows="1" w:id="2"/>
        <w:t>*</w:t>
      </w:r>
    </w:p>
    <w:p w:rsidR="001847C3" w:rsidRPr="001F40AB" w:rsidRDefault="001847C3" w:rsidP="00EC406D">
      <w:pPr>
        <w:pStyle w:val="SingleTxtG"/>
        <w:spacing w:line="240" w:lineRule="auto"/>
        <w:rPr>
          <w:lang w:val="en-CA"/>
        </w:rPr>
      </w:pPr>
      <w:r w:rsidRPr="001F40AB">
        <w:t>1.1</w:t>
      </w:r>
      <w:r w:rsidRPr="001F40AB">
        <w:tab/>
      </w:r>
      <w:r w:rsidRPr="001F40AB">
        <w:rPr>
          <w:lang w:val="en-CA"/>
        </w:rPr>
        <w:t xml:space="preserve">The author of the communication is </w:t>
      </w:r>
      <w:r w:rsidR="0057344F" w:rsidRPr="001F40AB">
        <w:rPr>
          <w:lang w:val="en-CA"/>
        </w:rPr>
        <w:t>José Antonio Cañada Mora</w:t>
      </w:r>
      <w:r w:rsidRPr="001F40AB">
        <w:rPr>
          <w:lang w:val="en-CA"/>
        </w:rPr>
        <w:t xml:space="preserve">, a Spanish national born on </w:t>
      </w:r>
      <w:r w:rsidR="0057344F" w:rsidRPr="001F40AB">
        <w:rPr>
          <w:lang w:val="en-CA"/>
        </w:rPr>
        <w:t>2 July 1935</w:t>
      </w:r>
      <w:r w:rsidRPr="001F40AB">
        <w:rPr>
          <w:lang w:val="en-CA"/>
        </w:rPr>
        <w:t xml:space="preserve">, who claims to be </w:t>
      </w:r>
      <w:r w:rsidR="00534795" w:rsidRPr="001F40AB">
        <w:rPr>
          <w:lang w:val="en-CA"/>
        </w:rPr>
        <w:t xml:space="preserve">the </w:t>
      </w:r>
      <w:r w:rsidRPr="001F40AB">
        <w:rPr>
          <w:lang w:val="en-CA"/>
        </w:rPr>
        <w:t xml:space="preserve">victim of a violation by Spain of </w:t>
      </w:r>
      <w:r w:rsidR="00EC406D" w:rsidRPr="001F40AB">
        <w:rPr>
          <w:lang w:val="en-CA"/>
        </w:rPr>
        <w:t>article </w:t>
      </w:r>
      <w:r w:rsidRPr="001F40AB">
        <w:rPr>
          <w:lang w:val="en-CA"/>
        </w:rPr>
        <w:t xml:space="preserve">14, </w:t>
      </w:r>
      <w:r w:rsidR="00EC406D" w:rsidRPr="001F40AB">
        <w:rPr>
          <w:lang w:val="en-CA"/>
        </w:rPr>
        <w:t>paragraph </w:t>
      </w:r>
      <w:r w:rsidR="0057344F" w:rsidRPr="001F40AB">
        <w:rPr>
          <w:lang w:val="en-CA"/>
        </w:rPr>
        <w:t>1</w:t>
      </w:r>
      <w:r w:rsidRPr="001F40AB">
        <w:rPr>
          <w:lang w:val="en-CA"/>
        </w:rPr>
        <w:t xml:space="preserve"> of the Covenant. The author is represented by counsel.</w:t>
      </w:r>
    </w:p>
    <w:p w:rsidR="001847C3" w:rsidRPr="001F40AB" w:rsidRDefault="00E3058D" w:rsidP="001847C3">
      <w:pPr>
        <w:pStyle w:val="SingleTxtG"/>
        <w:spacing w:line="240" w:lineRule="auto"/>
        <w:rPr>
          <w:lang w:val="en-CA"/>
        </w:rPr>
      </w:pPr>
      <w:r w:rsidRPr="001F40AB">
        <w:rPr>
          <w:lang w:val="en-CA"/>
        </w:rPr>
        <w:t>1.2</w:t>
      </w:r>
      <w:r w:rsidR="001847C3" w:rsidRPr="001F40AB">
        <w:rPr>
          <w:lang w:val="en-CA"/>
        </w:rPr>
        <w:tab/>
        <w:t xml:space="preserve">On </w:t>
      </w:r>
      <w:r w:rsidR="0057344F" w:rsidRPr="001F40AB">
        <w:rPr>
          <w:lang w:val="en-CA"/>
        </w:rPr>
        <w:t>5 July</w:t>
      </w:r>
      <w:r w:rsidR="001847C3" w:rsidRPr="001F40AB">
        <w:rPr>
          <w:lang w:val="en-CA"/>
        </w:rPr>
        <w:t xml:space="preserve"> 2011, the Special Rapporteur on new communications and interim measures, acting on behalf of the Committee, </w:t>
      </w:r>
      <w:r w:rsidR="001847C3" w:rsidRPr="001F40AB">
        <w:t xml:space="preserve">determined that observations from the State party were not needed to ascertain the admissibility of </w:t>
      </w:r>
      <w:r w:rsidR="00534795" w:rsidRPr="001F40AB">
        <w:t xml:space="preserve">the present </w:t>
      </w:r>
      <w:r w:rsidR="001847C3" w:rsidRPr="001F40AB">
        <w:t>communication.</w:t>
      </w:r>
    </w:p>
    <w:p w:rsidR="007C1F31" w:rsidRPr="001F40AB" w:rsidRDefault="0056622D" w:rsidP="0056622D">
      <w:pPr>
        <w:pStyle w:val="H23G"/>
      </w:pPr>
      <w:r w:rsidRPr="001F40AB">
        <w:tab/>
      </w:r>
      <w:r w:rsidRPr="001F40AB">
        <w:tab/>
      </w:r>
      <w:r w:rsidR="001C584B" w:rsidRPr="001F40AB">
        <w:t>Factual background</w:t>
      </w:r>
    </w:p>
    <w:p w:rsidR="00E03F0A" w:rsidRPr="001F40AB" w:rsidRDefault="00491F12" w:rsidP="00E47336">
      <w:pPr>
        <w:pStyle w:val="SingleTxtG"/>
      </w:pPr>
      <w:r w:rsidRPr="001F40AB">
        <w:t>2.1</w:t>
      </w:r>
      <w:r w:rsidR="007C5183" w:rsidRPr="001F40AB">
        <w:tab/>
      </w:r>
      <w:r w:rsidR="0021651D" w:rsidRPr="001F40AB">
        <w:t xml:space="preserve">The author was </w:t>
      </w:r>
      <w:r w:rsidR="00E10299" w:rsidRPr="001F40AB">
        <w:t xml:space="preserve">a wine producer. </w:t>
      </w:r>
      <w:r w:rsidR="00744705" w:rsidRPr="001F40AB">
        <w:t xml:space="preserve">The Tax Agency of the Ministry of Finance carried out an investigation on the author’s income for </w:t>
      </w:r>
      <w:r w:rsidR="00BE4195" w:rsidRPr="001F40AB">
        <w:t>tax</w:t>
      </w:r>
      <w:r w:rsidR="000A0E72" w:rsidRPr="001F40AB">
        <w:t xml:space="preserve"> periods</w:t>
      </w:r>
      <w:r w:rsidR="00744705" w:rsidRPr="001F40AB">
        <w:t xml:space="preserve"> between 1992 and 1996</w:t>
      </w:r>
      <w:r w:rsidR="00E3058D" w:rsidRPr="001F40AB">
        <w:t>.</w:t>
      </w:r>
      <w:r w:rsidR="00744705" w:rsidRPr="001F40AB">
        <w:t xml:space="preserve"> O</w:t>
      </w:r>
      <w:r w:rsidR="00E10299" w:rsidRPr="001F40AB">
        <w:t>n 27</w:t>
      </w:r>
      <w:r w:rsidR="00EC406D" w:rsidRPr="001F40AB">
        <w:t> </w:t>
      </w:r>
      <w:r w:rsidR="00E10299" w:rsidRPr="001F40AB">
        <w:t xml:space="preserve">July 1998, </w:t>
      </w:r>
      <w:r w:rsidR="00744705" w:rsidRPr="001F40AB">
        <w:t>it</w:t>
      </w:r>
      <w:r w:rsidR="00E10299" w:rsidRPr="001F40AB">
        <w:t xml:space="preserve"> concluded that </w:t>
      </w:r>
      <w:r w:rsidR="00744705" w:rsidRPr="001F40AB">
        <w:t>t</w:t>
      </w:r>
      <w:r w:rsidR="00E10299" w:rsidRPr="001F40AB">
        <w:t xml:space="preserve">he </w:t>
      </w:r>
      <w:r w:rsidR="00744705" w:rsidRPr="001F40AB">
        <w:t xml:space="preserve">author </w:t>
      </w:r>
      <w:r w:rsidR="002416EE" w:rsidRPr="001F40AB">
        <w:t>owed</w:t>
      </w:r>
      <w:r w:rsidR="000A0E72" w:rsidRPr="001F40AB">
        <w:t xml:space="preserve"> 55,810,667 </w:t>
      </w:r>
      <w:r w:rsidR="003B2DEC" w:rsidRPr="001F40AB">
        <w:t>p</w:t>
      </w:r>
      <w:r w:rsidR="000A0E72" w:rsidRPr="001F40AB">
        <w:t>esetas</w:t>
      </w:r>
      <w:r w:rsidR="00E3058D" w:rsidRPr="001F40AB">
        <w:t>,</w:t>
      </w:r>
      <w:r w:rsidR="000A0E72" w:rsidRPr="001F40AB">
        <w:t xml:space="preserve"> including interest, </w:t>
      </w:r>
      <w:r w:rsidR="00933AAF" w:rsidRPr="001F40AB">
        <w:t>for</w:t>
      </w:r>
      <w:r w:rsidR="000A0E72" w:rsidRPr="001F40AB">
        <w:t xml:space="preserve"> value-added tax</w:t>
      </w:r>
      <w:r w:rsidR="00296C42" w:rsidRPr="001F40AB">
        <w:t xml:space="preserve"> (VAT</w:t>
      </w:r>
      <w:r w:rsidR="00434180" w:rsidRPr="001F40AB">
        <w:t>)</w:t>
      </w:r>
      <w:r w:rsidR="000A0E72" w:rsidRPr="001F40AB">
        <w:t xml:space="preserve"> and income that had not been included in his declarations and payment</w:t>
      </w:r>
      <w:r w:rsidR="00A01ED4" w:rsidRPr="001F40AB">
        <w:t>s</w:t>
      </w:r>
      <w:r w:rsidR="000A0E72" w:rsidRPr="001F40AB">
        <w:t xml:space="preserve"> </w:t>
      </w:r>
      <w:r w:rsidR="002416EE" w:rsidRPr="001F40AB">
        <w:t>for</w:t>
      </w:r>
      <w:r w:rsidR="000A0E72" w:rsidRPr="001F40AB">
        <w:t xml:space="preserve"> th</w:t>
      </w:r>
      <w:r w:rsidR="00534795" w:rsidRPr="001F40AB">
        <w:t>o</w:t>
      </w:r>
      <w:r w:rsidR="000A0E72" w:rsidRPr="001F40AB">
        <w:t>se tax periods</w:t>
      </w:r>
      <w:r w:rsidR="00744705" w:rsidRPr="001F40AB">
        <w:t xml:space="preserve">. </w:t>
      </w:r>
      <w:r w:rsidR="00933AAF" w:rsidRPr="001F40AB">
        <w:t>The</w:t>
      </w:r>
      <w:r w:rsidR="00744705" w:rsidRPr="001F40AB">
        <w:t xml:space="preserve"> Tax Agency </w:t>
      </w:r>
      <w:r w:rsidR="00933AAF" w:rsidRPr="001F40AB">
        <w:t xml:space="preserve">also </w:t>
      </w:r>
      <w:r w:rsidR="00744705" w:rsidRPr="001F40AB">
        <w:t xml:space="preserve">imposed a fine of 24,243,814 </w:t>
      </w:r>
      <w:r w:rsidR="003B2DEC" w:rsidRPr="001F40AB">
        <w:t>p</w:t>
      </w:r>
      <w:r w:rsidR="00744705" w:rsidRPr="001F40AB">
        <w:t>esetas</w:t>
      </w:r>
      <w:r w:rsidR="00534795" w:rsidRPr="001F40AB">
        <w:t xml:space="preserve"> on him</w:t>
      </w:r>
      <w:r w:rsidR="00E3058D" w:rsidRPr="001F40AB">
        <w:t xml:space="preserve">. </w:t>
      </w:r>
      <w:r w:rsidR="00933AAF" w:rsidRPr="001F40AB">
        <w:t>Th</w:t>
      </w:r>
      <w:r w:rsidR="00534795" w:rsidRPr="001F40AB">
        <w:t>o</w:t>
      </w:r>
      <w:r w:rsidR="00933AAF" w:rsidRPr="001F40AB">
        <w:t>se measures were</w:t>
      </w:r>
      <w:r w:rsidR="00744705" w:rsidRPr="001F40AB">
        <w:t xml:space="preserve"> subsequently </w:t>
      </w:r>
      <w:r w:rsidR="00534795" w:rsidRPr="001F40AB">
        <w:t xml:space="preserve">upheld </w:t>
      </w:r>
      <w:r w:rsidR="00744705" w:rsidRPr="001F40AB">
        <w:t>by the Regional Economic</w:t>
      </w:r>
      <w:r w:rsidR="00986C41" w:rsidRPr="001F40AB">
        <w:t>-</w:t>
      </w:r>
      <w:r w:rsidR="00744705" w:rsidRPr="001F40AB">
        <w:t xml:space="preserve">Administrative </w:t>
      </w:r>
      <w:r w:rsidR="007A672B" w:rsidRPr="001F40AB">
        <w:t xml:space="preserve">Court </w:t>
      </w:r>
      <w:r w:rsidR="00744705" w:rsidRPr="001F40AB">
        <w:t>(</w:t>
      </w:r>
      <w:r w:rsidR="002416EE" w:rsidRPr="001F40AB">
        <w:t>T</w:t>
      </w:r>
      <w:r w:rsidR="00744705" w:rsidRPr="001F40AB">
        <w:t>EA</w:t>
      </w:r>
      <w:r w:rsidR="002416EE" w:rsidRPr="001F40AB">
        <w:t>R</w:t>
      </w:r>
      <w:r w:rsidR="00744705" w:rsidRPr="001F40AB">
        <w:t>)</w:t>
      </w:r>
      <w:r w:rsidR="00E03F0A" w:rsidRPr="001F40AB">
        <w:t xml:space="preserve">, and upheld on appeal by the Central Economic-Administrative </w:t>
      </w:r>
      <w:r w:rsidR="007A672B" w:rsidRPr="001F40AB">
        <w:t xml:space="preserve">Court </w:t>
      </w:r>
      <w:r w:rsidR="00E03F0A" w:rsidRPr="001F40AB">
        <w:t>(</w:t>
      </w:r>
      <w:r w:rsidR="002416EE" w:rsidRPr="001F40AB">
        <w:t>T</w:t>
      </w:r>
      <w:r w:rsidR="00E03F0A" w:rsidRPr="001F40AB">
        <w:t>EA</w:t>
      </w:r>
      <w:r w:rsidR="002416EE" w:rsidRPr="001F40AB">
        <w:t>C</w:t>
      </w:r>
      <w:r w:rsidR="00E03F0A" w:rsidRPr="001F40AB">
        <w:t>) on 25 April 2011</w:t>
      </w:r>
      <w:r w:rsidR="00E3058D" w:rsidRPr="001F40AB">
        <w:t>.</w:t>
      </w:r>
      <w:r w:rsidR="00E03F0A" w:rsidRPr="001F40AB">
        <w:t xml:space="preserve"> </w:t>
      </w:r>
    </w:p>
    <w:p w:rsidR="00A01ED4" w:rsidRPr="001F40AB" w:rsidRDefault="00E3058D" w:rsidP="00EC406D">
      <w:pPr>
        <w:pStyle w:val="SingleTxtG"/>
      </w:pPr>
      <w:r w:rsidRPr="001F40AB">
        <w:t>2.2</w:t>
      </w:r>
      <w:r w:rsidR="00E03F0A" w:rsidRPr="001F40AB">
        <w:tab/>
        <w:t xml:space="preserve">On 7 December 2001, the author lodged an application before the High Court against the </w:t>
      </w:r>
      <w:r w:rsidR="002416EE" w:rsidRPr="001F40AB">
        <w:t>T</w:t>
      </w:r>
      <w:r w:rsidR="00E03F0A" w:rsidRPr="001F40AB">
        <w:t>EA</w:t>
      </w:r>
      <w:r w:rsidR="002416EE" w:rsidRPr="001F40AB">
        <w:t>C</w:t>
      </w:r>
      <w:r w:rsidR="00E03F0A" w:rsidRPr="001F40AB">
        <w:t xml:space="preserve"> decision </w:t>
      </w:r>
      <w:r w:rsidR="00931A5D" w:rsidRPr="001F40AB">
        <w:t>o</w:t>
      </w:r>
      <w:r w:rsidR="000E6ABA" w:rsidRPr="001F40AB">
        <w:t>f</w:t>
      </w:r>
      <w:r w:rsidR="00931A5D" w:rsidRPr="001F40AB">
        <w:t xml:space="preserve"> 25 April 2001</w:t>
      </w:r>
      <w:r w:rsidR="00E03F0A" w:rsidRPr="001F40AB">
        <w:t xml:space="preserve">. </w:t>
      </w:r>
      <w:r w:rsidR="00BE3BDA" w:rsidRPr="001F40AB">
        <w:t xml:space="preserve">He claimed inter alia that </w:t>
      </w:r>
      <w:r w:rsidR="00A01ED4" w:rsidRPr="001F40AB">
        <w:t xml:space="preserve">the debts </w:t>
      </w:r>
      <w:r w:rsidR="002416EE" w:rsidRPr="001F40AB">
        <w:t xml:space="preserve">for </w:t>
      </w:r>
      <w:r w:rsidR="00A01ED4" w:rsidRPr="001F40AB">
        <w:t xml:space="preserve">the years 1992 and 1993 had expired pursuant to </w:t>
      </w:r>
      <w:r w:rsidR="002416EE" w:rsidRPr="001F40AB">
        <w:t xml:space="preserve">the </w:t>
      </w:r>
      <w:r w:rsidR="00A95113" w:rsidRPr="001F40AB">
        <w:t xml:space="preserve">legal </w:t>
      </w:r>
      <w:r w:rsidR="00BE3BDA" w:rsidRPr="001F40AB">
        <w:t xml:space="preserve">statute of limitations. </w:t>
      </w:r>
      <w:r w:rsidR="00322E2F" w:rsidRPr="001F40AB">
        <w:t>According to the author, during the proceedings he</w:t>
      </w:r>
      <w:r w:rsidR="006E6A1C" w:rsidRPr="001F40AB">
        <w:t xml:space="preserve"> challenged </w:t>
      </w:r>
      <w:r w:rsidR="002416EE" w:rsidRPr="001F40AB">
        <w:t xml:space="preserve">the </w:t>
      </w:r>
      <w:r w:rsidR="006E6A1C" w:rsidRPr="001F40AB">
        <w:t>main documentary evidence submitted by the Tax Agency</w:t>
      </w:r>
      <w:r w:rsidR="002416EE" w:rsidRPr="001F40AB">
        <w:t>,</w:t>
      </w:r>
      <w:r w:rsidR="006E6A1C" w:rsidRPr="001F40AB">
        <w:t xml:space="preserve"> as </w:t>
      </w:r>
      <w:r w:rsidR="00A95113" w:rsidRPr="001F40AB">
        <w:t>it</w:t>
      </w:r>
      <w:r w:rsidR="002416EE" w:rsidRPr="001F40AB">
        <w:t xml:space="preserve"> was in the form of</w:t>
      </w:r>
      <w:r w:rsidR="006E6A1C" w:rsidRPr="001F40AB">
        <w:t xml:space="preserve"> photocopies that had not been authenticated and did not </w:t>
      </w:r>
      <w:r w:rsidR="00A95113" w:rsidRPr="001F40AB">
        <w:t xml:space="preserve">comply with </w:t>
      </w:r>
      <w:r w:rsidR="006E6A1C" w:rsidRPr="001F40AB">
        <w:t xml:space="preserve">the </w:t>
      </w:r>
      <w:r w:rsidR="00986C41" w:rsidRPr="001F40AB">
        <w:t xml:space="preserve">legal </w:t>
      </w:r>
      <w:r w:rsidR="006E6A1C" w:rsidRPr="001F40AB">
        <w:t xml:space="preserve">requirements. On 31 May 2003, the High Court granted his request and ordered </w:t>
      </w:r>
      <w:r w:rsidR="00AF119F" w:rsidRPr="001F40AB">
        <w:t xml:space="preserve">that </w:t>
      </w:r>
      <w:r w:rsidR="006E6A1C" w:rsidRPr="001F40AB">
        <w:t>the documentation provided by the Tax Agency of Albacete of 21 January 2003</w:t>
      </w:r>
      <w:r w:rsidR="00AF119F" w:rsidRPr="001F40AB">
        <w:t xml:space="preserve"> be </w:t>
      </w:r>
      <w:r w:rsidR="00A95113" w:rsidRPr="001F40AB">
        <w:t>kept separate</w:t>
      </w:r>
      <w:r w:rsidR="00AF119F" w:rsidRPr="001F40AB">
        <w:t xml:space="preserve"> from the case file</w:t>
      </w:r>
      <w:r w:rsidRPr="001F40AB">
        <w:t>.</w:t>
      </w:r>
      <w:r w:rsidR="006E6A1C" w:rsidRPr="001F40AB">
        <w:t xml:space="preserve"> </w:t>
      </w:r>
      <w:r w:rsidR="00E10299" w:rsidRPr="001F40AB">
        <w:t>On 28</w:t>
      </w:r>
      <w:r w:rsidR="00EC406D" w:rsidRPr="001F40AB">
        <w:t> </w:t>
      </w:r>
      <w:r w:rsidR="00E10299" w:rsidRPr="001F40AB">
        <w:t>September 2004, the High Court dismissed the author’</w:t>
      </w:r>
      <w:r w:rsidR="00AA24BA" w:rsidRPr="001F40AB">
        <w:t xml:space="preserve">s </w:t>
      </w:r>
      <w:r w:rsidR="00032BBE" w:rsidRPr="001F40AB">
        <w:t xml:space="preserve">application and </w:t>
      </w:r>
      <w:r w:rsidR="00AF119F" w:rsidRPr="001F40AB">
        <w:t xml:space="preserve">upheld </w:t>
      </w:r>
      <w:r w:rsidR="00032BBE" w:rsidRPr="001F40AB">
        <w:t xml:space="preserve">the </w:t>
      </w:r>
      <w:r w:rsidR="00AF119F" w:rsidRPr="001F40AB">
        <w:t>T</w:t>
      </w:r>
      <w:r w:rsidR="00032BBE" w:rsidRPr="001F40AB">
        <w:t>EA</w:t>
      </w:r>
      <w:r w:rsidR="00AF119F" w:rsidRPr="001F40AB">
        <w:t>C</w:t>
      </w:r>
      <w:r w:rsidR="00032BBE" w:rsidRPr="001F40AB">
        <w:t xml:space="preserve"> decision.</w:t>
      </w:r>
      <w:r w:rsidR="00C0364A" w:rsidRPr="001F40AB">
        <w:t xml:space="preserve"> </w:t>
      </w:r>
    </w:p>
    <w:p w:rsidR="00BE4195" w:rsidRPr="001F40AB" w:rsidRDefault="00E3058D" w:rsidP="00E47336">
      <w:pPr>
        <w:pStyle w:val="SingleTxtG"/>
      </w:pPr>
      <w:r w:rsidRPr="001F40AB">
        <w:t>2.3</w:t>
      </w:r>
      <w:r w:rsidR="00A01ED4" w:rsidRPr="001F40AB">
        <w:tab/>
      </w:r>
      <w:r w:rsidR="00C0364A" w:rsidRPr="001F40AB">
        <w:t>On 15 October 2004, the author</w:t>
      </w:r>
      <w:r w:rsidR="002012CD" w:rsidRPr="001F40AB">
        <w:t xml:space="preserve"> submitted a request for leave to appeal</w:t>
      </w:r>
      <w:r w:rsidR="00C0364A" w:rsidRPr="001F40AB">
        <w:t xml:space="preserve"> </w:t>
      </w:r>
      <w:r w:rsidR="00475244" w:rsidRPr="001F40AB">
        <w:t xml:space="preserve">in cassation </w:t>
      </w:r>
      <w:r w:rsidR="002012CD" w:rsidRPr="001F40AB">
        <w:t>before</w:t>
      </w:r>
      <w:r w:rsidR="00C0364A" w:rsidRPr="001F40AB">
        <w:t xml:space="preserve"> the High Court. On 2 November 2004, the High Cou</w:t>
      </w:r>
      <w:r w:rsidR="00A01ED4" w:rsidRPr="001F40AB">
        <w:t xml:space="preserve">rt dismissed the author’s request </w:t>
      </w:r>
      <w:r w:rsidR="00BE4195" w:rsidRPr="001F40AB">
        <w:t xml:space="preserve">since the disputed sum </w:t>
      </w:r>
      <w:r w:rsidR="00AF119F" w:rsidRPr="001F40AB">
        <w:t xml:space="preserve">for </w:t>
      </w:r>
      <w:r w:rsidR="00BE4195" w:rsidRPr="001F40AB">
        <w:t xml:space="preserve">each of the tax periods did not exceed </w:t>
      </w:r>
      <w:r w:rsidR="009671D3" w:rsidRPr="001F40AB">
        <w:t xml:space="preserve">25 million </w:t>
      </w:r>
      <w:r w:rsidR="003B2DEC" w:rsidRPr="001F40AB">
        <w:t>p</w:t>
      </w:r>
      <w:r w:rsidR="009671D3" w:rsidRPr="001F40AB">
        <w:t xml:space="preserve">esetas (about </w:t>
      </w:r>
      <w:r w:rsidR="00BE4195" w:rsidRPr="001F40AB">
        <w:t>150,253 Euro</w:t>
      </w:r>
      <w:r w:rsidR="00AF119F" w:rsidRPr="001F40AB">
        <w:t>s</w:t>
      </w:r>
      <w:r w:rsidR="009671D3" w:rsidRPr="001F40AB">
        <w:t>)</w:t>
      </w:r>
      <w:r w:rsidR="00BE4195" w:rsidRPr="001F40AB">
        <w:t xml:space="preserve">, as required by </w:t>
      </w:r>
      <w:r w:rsidR="008224BD" w:rsidRPr="001F40AB">
        <w:t>law</w:t>
      </w:r>
      <w:r w:rsidR="00056000" w:rsidRPr="001F40AB">
        <w:t xml:space="preserve"> for an appeal to the High Court</w:t>
      </w:r>
      <w:r w:rsidR="002F33E6" w:rsidRPr="001F40AB">
        <w:t>.</w:t>
      </w:r>
      <w:r w:rsidR="004F7F6F" w:rsidRPr="001F40AB">
        <w:t xml:space="preserve"> The decision also stated that it could be challenged before the Supreme Court through </w:t>
      </w:r>
      <w:r w:rsidR="00BB295E" w:rsidRPr="001F40AB">
        <w:t>complaint proceedings</w:t>
      </w:r>
      <w:r w:rsidR="004F7F6F" w:rsidRPr="001F40AB">
        <w:t xml:space="preserve"> (</w:t>
      </w:r>
      <w:r w:rsidR="004F7F6F" w:rsidRPr="001F40AB">
        <w:rPr>
          <w:i/>
        </w:rPr>
        <w:t>recurso de queja</w:t>
      </w:r>
      <w:r w:rsidR="004F7F6F" w:rsidRPr="001F40AB">
        <w:t xml:space="preserve">) within the </w:t>
      </w:r>
      <w:r w:rsidR="00AF119F" w:rsidRPr="001F40AB">
        <w:t xml:space="preserve">following </w:t>
      </w:r>
      <w:r w:rsidR="004F7F6F" w:rsidRPr="001F40AB">
        <w:t>10 days.</w:t>
      </w:r>
    </w:p>
    <w:p w:rsidR="008229EC" w:rsidRPr="001F40AB" w:rsidRDefault="00E3058D" w:rsidP="008229EC">
      <w:pPr>
        <w:pStyle w:val="SingleTxtG"/>
      </w:pPr>
      <w:r w:rsidRPr="001F40AB">
        <w:t>2.4</w:t>
      </w:r>
      <w:r w:rsidR="008229EC" w:rsidRPr="001F40AB">
        <w:tab/>
      </w:r>
      <w:r w:rsidR="008229EC" w:rsidRPr="001F40AB">
        <w:rPr>
          <w:color w:val="000000"/>
        </w:rPr>
        <w:t xml:space="preserve">On 10 November 2004 the author filed an appeal </w:t>
      </w:r>
      <w:r w:rsidR="00EE139D" w:rsidRPr="001F40AB">
        <w:rPr>
          <w:color w:val="000000"/>
        </w:rPr>
        <w:t>to the High Court to overturn its decision</w:t>
      </w:r>
      <w:r w:rsidR="008229EC" w:rsidRPr="001F40AB">
        <w:rPr>
          <w:color w:val="000000"/>
        </w:rPr>
        <w:t xml:space="preserve"> (</w:t>
      </w:r>
      <w:r w:rsidR="008229EC" w:rsidRPr="001F40AB">
        <w:rPr>
          <w:i/>
          <w:color w:val="000000"/>
        </w:rPr>
        <w:t>recurso por nulidad de actuaciones</w:t>
      </w:r>
      <w:r w:rsidR="008229EC" w:rsidRPr="001F40AB">
        <w:rPr>
          <w:color w:val="000000"/>
        </w:rPr>
        <w:t xml:space="preserve">) of 2 November 2004. </w:t>
      </w:r>
      <w:r w:rsidR="00580716" w:rsidRPr="001F40AB">
        <w:rPr>
          <w:color w:val="000000"/>
        </w:rPr>
        <w:t>He</w:t>
      </w:r>
      <w:r w:rsidR="008229EC" w:rsidRPr="001F40AB">
        <w:rPr>
          <w:color w:val="000000"/>
        </w:rPr>
        <w:t xml:space="preserve"> claimed that his right</w:t>
      </w:r>
      <w:r w:rsidR="00580716" w:rsidRPr="001F40AB">
        <w:rPr>
          <w:color w:val="000000"/>
        </w:rPr>
        <w:t xml:space="preserve"> to a fair trial</w:t>
      </w:r>
      <w:r w:rsidR="00AF119F" w:rsidRPr="001F40AB">
        <w:rPr>
          <w:color w:val="000000"/>
        </w:rPr>
        <w:t>, as</w:t>
      </w:r>
      <w:r w:rsidR="008229EC" w:rsidRPr="001F40AB">
        <w:rPr>
          <w:color w:val="000000"/>
        </w:rPr>
        <w:t xml:space="preserve"> enshrined in </w:t>
      </w:r>
      <w:r w:rsidR="00EC406D" w:rsidRPr="001F40AB">
        <w:rPr>
          <w:color w:val="000000"/>
        </w:rPr>
        <w:t>article </w:t>
      </w:r>
      <w:r w:rsidR="008229EC" w:rsidRPr="001F40AB">
        <w:rPr>
          <w:color w:val="000000"/>
        </w:rPr>
        <w:t>24 of the State party’s Constitution, had been violated</w:t>
      </w:r>
      <w:r w:rsidR="008B762B" w:rsidRPr="001F40AB">
        <w:rPr>
          <w:color w:val="000000"/>
        </w:rPr>
        <w:t xml:space="preserve"> </w:t>
      </w:r>
      <w:r w:rsidR="00AF119F" w:rsidRPr="001F40AB">
        <w:rPr>
          <w:color w:val="000000"/>
        </w:rPr>
        <w:t>since</w:t>
      </w:r>
      <w:r w:rsidR="008B762B" w:rsidRPr="001F40AB">
        <w:rPr>
          <w:color w:val="000000"/>
        </w:rPr>
        <w:t xml:space="preserve">, inter alia, the decision </w:t>
      </w:r>
      <w:r w:rsidR="00C96BBB" w:rsidRPr="001F40AB">
        <w:rPr>
          <w:color w:val="000000"/>
        </w:rPr>
        <w:t xml:space="preserve">was based on </w:t>
      </w:r>
      <w:r w:rsidR="008B762B" w:rsidRPr="001F40AB">
        <w:rPr>
          <w:color w:val="000000"/>
        </w:rPr>
        <w:t>facts that had not been proved by the Tax Agency</w:t>
      </w:r>
      <w:r w:rsidR="00580716" w:rsidRPr="001F40AB">
        <w:rPr>
          <w:color w:val="000000"/>
        </w:rPr>
        <w:t>.</w:t>
      </w:r>
      <w:r w:rsidR="00EC406D" w:rsidRPr="001F40AB">
        <w:rPr>
          <w:color w:val="000000"/>
        </w:rPr>
        <w:t xml:space="preserve"> </w:t>
      </w:r>
    </w:p>
    <w:p w:rsidR="009E1195" w:rsidRPr="001F40AB" w:rsidRDefault="00A01ED4" w:rsidP="00B0217A">
      <w:pPr>
        <w:pStyle w:val="SingleTxtG"/>
      </w:pPr>
      <w:r w:rsidRPr="001F40AB">
        <w:t>2.</w:t>
      </w:r>
      <w:r w:rsidR="008229EC" w:rsidRPr="001F40AB">
        <w:t>5</w:t>
      </w:r>
      <w:r w:rsidR="00434180" w:rsidRPr="001F40AB">
        <w:tab/>
        <w:t>O</w:t>
      </w:r>
      <w:r w:rsidRPr="001F40AB">
        <w:t xml:space="preserve">n 15 December 2004, the author lodged </w:t>
      </w:r>
      <w:r w:rsidR="00BB295E" w:rsidRPr="001F40AB">
        <w:t>complaint proceedings</w:t>
      </w:r>
      <w:r w:rsidRPr="001F40AB">
        <w:t xml:space="preserve"> before the Supreme Court, challenging the High Court decision of 2 November 2004. He argu</w:t>
      </w:r>
      <w:r w:rsidR="003F5E95" w:rsidRPr="001F40AB">
        <w:t>ed</w:t>
      </w:r>
      <w:r w:rsidRPr="001F40AB">
        <w:t xml:space="preserve"> </w:t>
      </w:r>
      <w:r w:rsidR="002F33E6" w:rsidRPr="001F40AB">
        <w:t xml:space="preserve">inter alia </w:t>
      </w:r>
      <w:r w:rsidR="0005453D" w:rsidRPr="001F40AB">
        <w:t xml:space="preserve">that </w:t>
      </w:r>
      <w:r w:rsidRPr="001F40AB">
        <w:t xml:space="preserve">the authorities </w:t>
      </w:r>
      <w:r w:rsidR="009C178B" w:rsidRPr="001F40AB">
        <w:t xml:space="preserve">had </w:t>
      </w:r>
      <w:r w:rsidRPr="001F40AB">
        <w:t xml:space="preserve">imposed </w:t>
      </w:r>
      <w:r w:rsidR="00AF119F" w:rsidRPr="001F40AB">
        <w:t xml:space="preserve">only </w:t>
      </w:r>
      <w:r w:rsidRPr="001F40AB">
        <w:t xml:space="preserve">a single tax debt </w:t>
      </w:r>
      <w:r w:rsidR="00AF119F" w:rsidRPr="001F40AB">
        <w:t xml:space="preserve">settlement </w:t>
      </w:r>
      <w:r w:rsidRPr="001F40AB">
        <w:t xml:space="preserve">of 55,810,667 </w:t>
      </w:r>
      <w:r w:rsidR="003B2DEC" w:rsidRPr="001F40AB">
        <w:t>p</w:t>
      </w:r>
      <w:r w:rsidRPr="001F40AB">
        <w:t xml:space="preserve">esetas, without </w:t>
      </w:r>
      <w:r w:rsidRPr="001F40AB">
        <w:lastRenderedPageBreak/>
        <w:t xml:space="preserve">making </w:t>
      </w:r>
      <w:r w:rsidR="00AF119F" w:rsidRPr="001F40AB">
        <w:t xml:space="preserve">any </w:t>
      </w:r>
      <w:r w:rsidRPr="001F40AB">
        <w:t>disti</w:t>
      </w:r>
      <w:r w:rsidR="002F33E6" w:rsidRPr="001F40AB">
        <w:t xml:space="preserve">nction </w:t>
      </w:r>
      <w:r w:rsidR="00AF119F" w:rsidRPr="001F40AB">
        <w:t xml:space="preserve">as to </w:t>
      </w:r>
      <w:r w:rsidR="002F33E6" w:rsidRPr="001F40AB">
        <w:t>tax periods or years</w:t>
      </w:r>
      <w:r w:rsidR="003F5E95" w:rsidRPr="001F40AB">
        <w:t xml:space="preserve">; and that </w:t>
      </w:r>
      <w:r w:rsidR="00AF119F" w:rsidRPr="001F40AB">
        <w:t>the</w:t>
      </w:r>
      <w:r w:rsidR="003F5E95" w:rsidRPr="001F40AB">
        <w:t xml:space="preserve"> total</w:t>
      </w:r>
      <w:r w:rsidR="0005453D" w:rsidRPr="001F40AB">
        <w:t xml:space="preserve"> amount</w:t>
      </w:r>
      <w:r w:rsidR="003F5E95" w:rsidRPr="001F40AB">
        <w:t xml:space="preserve"> should </w:t>
      </w:r>
      <w:r w:rsidR="00AF119F" w:rsidRPr="001F40AB">
        <w:t xml:space="preserve">therefore </w:t>
      </w:r>
      <w:r w:rsidR="003F5E95" w:rsidRPr="001F40AB">
        <w:t>be taken into account in determin</w:t>
      </w:r>
      <w:r w:rsidR="00AF119F" w:rsidRPr="001F40AB">
        <w:t>ing</w:t>
      </w:r>
      <w:r w:rsidR="003F5E95" w:rsidRPr="001F40AB">
        <w:t xml:space="preserve"> whether his cassation appeal met the requirements </w:t>
      </w:r>
      <w:r w:rsidR="00AF119F" w:rsidRPr="001F40AB">
        <w:t>of the</w:t>
      </w:r>
      <w:r w:rsidR="0005453D" w:rsidRPr="001F40AB">
        <w:t xml:space="preserve"> </w:t>
      </w:r>
      <w:r w:rsidR="003F5E95" w:rsidRPr="001F40AB">
        <w:t>law</w:t>
      </w:r>
      <w:r w:rsidRPr="001F40AB">
        <w:t>.</w:t>
      </w:r>
    </w:p>
    <w:p w:rsidR="008229EC" w:rsidRPr="001F40AB" w:rsidRDefault="008229EC" w:rsidP="00E86971">
      <w:pPr>
        <w:pStyle w:val="SingleTxtG"/>
      </w:pPr>
      <w:r w:rsidRPr="001F40AB">
        <w:t>2.6</w:t>
      </w:r>
      <w:r w:rsidRPr="001F40AB">
        <w:rPr>
          <w:color w:val="000000"/>
        </w:rPr>
        <w:tab/>
        <w:t xml:space="preserve">On 7 February 2005 the High Court dismissed the author’s appeal </w:t>
      </w:r>
      <w:r w:rsidR="000064A7" w:rsidRPr="001F40AB">
        <w:rPr>
          <w:color w:val="000000"/>
        </w:rPr>
        <w:t>against its decision</w:t>
      </w:r>
      <w:r w:rsidR="002B00C9" w:rsidRPr="001F40AB">
        <w:rPr>
          <w:color w:val="000000"/>
        </w:rPr>
        <w:t>,</w:t>
      </w:r>
      <w:r w:rsidRPr="001F40AB">
        <w:rPr>
          <w:color w:val="000000"/>
        </w:rPr>
        <w:t xml:space="preserve"> stat</w:t>
      </w:r>
      <w:r w:rsidR="002B00C9" w:rsidRPr="001F40AB">
        <w:rPr>
          <w:color w:val="000000"/>
        </w:rPr>
        <w:t>ing</w:t>
      </w:r>
      <w:r w:rsidRPr="001F40AB">
        <w:rPr>
          <w:color w:val="000000"/>
        </w:rPr>
        <w:t xml:space="preserve"> that the author </w:t>
      </w:r>
      <w:r w:rsidR="002B00C9" w:rsidRPr="001F40AB">
        <w:rPr>
          <w:color w:val="000000"/>
        </w:rPr>
        <w:t xml:space="preserve">had </w:t>
      </w:r>
      <w:r w:rsidRPr="001F40AB">
        <w:rPr>
          <w:color w:val="000000"/>
        </w:rPr>
        <w:t>not provide</w:t>
      </w:r>
      <w:r w:rsidR="002B00C9" w:rsidRPr="001F40AB">
        <w:rPr>
          <w:color w:val="000000"/>
        </w:rPr>
        <w:t>d</w:t>
      </w:r>
      <w:r w:rsidRPr="001F40AB">
        <w:rPr>
          <w:color w:val="000000"/>
        </w:rPr>
        <w:t xml:space="preserve"> valid arguments </w:t>
      </w:r>
      <w:r w:rsidR="008B7092" w:rsidRPr="001F40AB">
        <w:rPr>
          <w:color w:val="000000"/>
        </w:rPr>
        <w:t>for overturning</w:t>
      </w:r>
      <w:r w:rsidRPr="001F40AB">
        <w:rPr>
          <w:color w:val="000000"/>
        </w:rPr>
        <w:t xml:space="preserve"> the decision of 2</w:t>
      </w:r>
      <w:r w:rsidR="00E86971" w:rsidRPr="001F40AB">
        <w:rPr>
          <w:color w:val="000000"/>
        </w:rPr>
        <w:t> </w:t>
      </w:r>
      <w:r w:rsidRPr="001F40AB">
        <w:rPr>
          <w:color w:val="000000"/>
        </w:rPr>
        <w:t xml:space="preserve">November 2004, but simply expressed his disagreement with it. </w:t>
      </w:r>
    </w:p>
    <w:p w:rsidR="009E1195" w:rsidRPr="001F40AB" w:rsidRDefault="00A01ED4" w:rsidP="00DD5B22">
      <w:pPr>
        <w:pStyle w:val="SingleTxtG"/>
      </w:pPr>
      <w:r w:rsidRPr="001F40AB">
        <w:t>2.</w:t>
      </w:r>
      <w:r w:rsidR="008229EC" w:rsidRPr="001F40AB">
        <w:t>7</w:t>
      </w:r>
      <w:r w:rsidRPr="001F40AB">
        <w:tab/>
      </w:r>
      <w:r w:rsidR="009E1195" w:rsidRPr="001F40AB">
        <w:t xml:space="preserve">On 14 March 2005, the author lodged an application for </w:t>
      </w:r>
      <w:r w:rsidR="00DD5B22" w:rsidRPr="001F40AB">
        <w:rPr>
          <w:i/>
          <w:iCs/>
        </w:rPr>
        <w:t>amparo</w:t>
      </w:r>
      <w:r w:rsidR="00D32721" w:rsidRPr="001F40AB">
        <w:rPr>
          <w:i/>
          <w:iCs/>
        </w:rPr>
        <w:t xml:space="preserve"> </w:t>
      </w:r>
      <w:r w:rsidR="00D32721" w:rsidRPr="001F40AB">
        <w:t>(</w:t>
      </w:r>
      <w:r w:rsidR="009E1195" w:rsidRPr="001F40AB">
        <w:t>legal protection</w:t>
      </w:r>
      <w:r w:rsidR="00D32721" w:rsidRPr="001F40AB">
        <w:t>)</w:t>
      </w:r>
      <w:r w:rsidR="009E1195" w:rsidRPr="001F40AB">
        <w:t xml:space="preserve"> before the Constitutional Court against the previous administrative and judicial decisions and alleged </w:t>
      </w:r>
      <w:r w:rsidR="005F5098" w:rsidRPr="001F40AB">
        <w:t xml:space="preserve">a </w:t>
      </w:r>
      <w:r w:rsidR="00D239F7" w:rsidRPr="001F40AB">
        <w:t>violation of article </w:t>
      </w:r>
      <w:r w:rsidR="009E1195" w:rsidRPr="001F40AB">
        <w:t>24</w:t>
      </w:r>
      <w:r w:rsidRPr="001F40AB">
        <w:t xml:space="preserve"> (</w:t>
      </w:r>
      <w:r w:rsidR="003F5E95" w:rsidRPr="001F40AB">
        <w:t>right to effective legal protection</w:t>
      </w:r>
      <w:r w:rsidRPr="001F40AB">
        <w:t>) of the State party’s constitution</w:t>
      </w:r>
      <w:r w:rsidR="009E1195" w:rsidRPr="001F40AB">
        <w:t>.</w:t>
      </w:r>
    </w:p>
    <w:p w:rsidR="008A7673" w:rsidRPr="001F40AB" w:rsidRDefault="00A01ED4" w:rsidP="00E47336">
      <w:pPr>
        <w:pStyle w:val="SingleTxtG"/>
        <w:rPr>
          <w:color w:val="000000"/>
        </w:rPr>
      </w:pPr>
      <w:r w:rsidRPr="001F40AB">
        <w:rPr>
          <w:color w:val="000000"/>
        </w:rPr>
        <w:t>2.</w:t>
      </w:r>
      <w:r w:rsidR="008229EC" w:rsidRPr="001F40AB">
        <w:rPr>
          <w:color w:val="000000"/>
        </w:rPr>
        <w:t>8</w:t>
      </w:r>
      <w:r w:rsidRPr="001F40AB">
        <w:rPr>
          <w:color w:val="000000"/>
        </w:rPr>
        <w:tab/>
      </w:r>
      <w:r w:rsidR="00950524" w:rsidRPr="001F40AB">
        <w:rPr>
          <w:color w:val="000000"/>
        </w:rPr>
        <w:t xml:space="preserve">On 1 April 2005, the Supreme Court rejected the author’s </w:t>
      </w:r>
      <w:r w:rsidR="00BB295E" w:rsidRPr="001F40AB">
        <w:t>complaint proceedings</w:t>
      </w:r>
      <w:r w:rsidR="00DA3077" w:rsidRPr="001F40AB">
        <w:rPr>
          <w:color w:val="000000"/>
        </w:rPr>
        <w:t xml:space="preserve"> </w:t>
      </w:r>
      <w:r w:rsidR="00950524" w:rsidRPr="001F40AB">
        <w:rPr>
          <w:color w:val="000000"/>
        </w:rPr>
        <w:t xml:space="preserve">and confirmed the High Court’s decision. The Supreme Court </w:t>
      </w:r>
      <w:r w:rsidR="008224BD" w:rsidRPr="001F40AB">
        <w:rPr>
          <w:color w:val="000000"/>
        </w:rPr>
        <w:t xml:space="preserve">stated that </w:t>
      </w:r>
      <w:r w:rsidR="00EC406D" w:rsidRPr="001F40AB">
        <w:rPr>
          <w:color w:val="000000"/>
        </w:rPr>
        <w:t>article </w:t>
      </w:r>
      <w:r w:rsidR="008224BD" w:rsidRPr="001F40AB">
        <w:rPr>
          <w:color w:val="000000"/>
        </w:rPr>
        <w:t xml:space="preserve">86.2.b of </w:t>
      </w:r>
      <w:r w:rsidR="008224BD" w:rsidRPr="001F40AB">
        <w:t>Act 29/1998 on the Jurisdiction for Judicial Review</w:t>
      </w:r>
      <w:r w:rsidR="008224BD" w:rsidRPr="001F40AB">
        <w:rPr>
          <w:color w:val="000000"/>
        </w:rPr>
        <w:t xml:space="preserve"> excluded from cassation appeal cases in which the disputed sum did not exceed 25</w:t>
      </w:r>
      <w:r w:rsidR="00E66174" w:rsidRPr="001F40AB">
        <w:rPr>
          <w:color w:val="000000"/>
        </w:rPr>
        <w:t>,000,000</w:t>
      </w:r>
      <w:r w:rsidR="008224BD" w:rsidRPr="001F40AB">
        <w:rPr>
          <w:color w:val="000000"/>
        </w:rPr>
        <w:t xml:space="preserve"> </w:t>
      </w:r>
      <w:r w:rsidR="003B2DEC" w:rsidRPr="001F40AB">
        <w:rPr>
          <w:color w:val="000000"/>
        </w:rPr>
        <w:t>p</w:t>
      </w:r>
      <w:r w:rsidR="008224BD" w:rsidRPr="001F40AB">
        <w:rPr>
          <w:color w:val="000000"/>
        </w:rPr>
        <w:t>esetas</w:t>
      </w:r>
      <w:r w:rsidR="0040733F" w:rsidRPr="001F40AB">
        <w:rPr>
          <w:color w:val="000000"/>
        </w:rPr>
        <w:t>;</w:t>
      </w:r>
      <w:r w:rsidR="008224BD" w:rsidRPr="001F40AB">
        <w:rPr>
          <w:color w:val="000000"/>
        </w:rPr>
        <w:t xml:space="preserve"> that </w:t>
      </w:r>
      <w:r w:rsidR="002B00C9" w:rsidRPr="001F40AB">
        <w:rPr>
          <w:color w:val="000000"/>
        </w:rPr>
        <w:t xml:space="preserve">that </w:t>
      </w:r>
      <w:r w:rsidR="008224BD" w:rsidRPr="001F40AB">
        <w:rPr>
          <w:color w:val="000000"/>
        </w:rPr>
        <w:t xml:space="preserve">requirement should be calculated </w:t>
      </w:r>
      <w:r w:rsidR="005F5098" w:rsidRPr="001F40AB">
        <w:rPr>
          <w:color w:val="000000"/>
        </w:rPr>
        <w:t>for</w:t>
      </w:r>
      <w:r w:rsidR="008224BD" w:rsidRPr="001F40AB">
        <w:rPr>
          <w:color w:val="000000"/>
        </w:rPr>
        <w:t xml:space="preserve"> each of the tax </w:t>
      </w:r>
      <w:r w:rsidR="001A0676" w:rsidRPr="001F40AB">
        <w:rPr>
          <w:color w:val="000000"/>
        </w:rPr>
        <w:t>settlement</w:t>
      </w:r>
      <w:r w:rsidR="00CB6D96" w:rsidRPr="001F40AB">
        <w:rPr>
          <w:color w:val="000000"/>
        </w:rPr>
        <w:t>s</w:t>
      </w:r>
      <w:r w:rsidR="001A0676" w:rsidRPr="001F40AB">
        <w:rPr>
          <w:color w:val="000000"/>
        </w:rPr>
        <w:t xml:space="preserve"> </w:t>
      </w:r>
      <w:r w:rsidR="002B00C9" w:rsidRPr="001F40AB">
        <w:rPr>
          <w:color w:val="000000"/>
        </w:rPr>
        <w:t>(quarterly</w:t>
      </w:r>
      <w:r w:rsidR="00CB6D96" w:rsidRPr="001F40AB">
        <w:rPr>
          <w:color w:val="000000"/>
        </w:rPr>
        <w:t xml:space="preserve"> </w:t>
      </w:r>
      <w:r w:rsidR="002B00C9" w:rsidRPr="001F40AB">
        <w:rPr>
          <w:color w:val="000000"/>
        </w:rPr>
        <w:t>for</w:t>
      </w:r>
      <w:r w:rsidR="00CB6D96" w:rsidRPr="001F40AB">
        <w:rPr>
          <w:color w:val="000000"/>
        </w:rPr>
        <w:t xml:space="preserve"> VAT</w:t>
      </w:r>
      <w:r w:rsidR="002B00C9" w:rsidRPr="001F40AB">
        <w:rPr>
          <w:color w:val="000000"/>
        </w:rPr>
        <w:t>)</w:t>
      </w:r>
      <w:r w:rsidR="008224BD" w:rsidRPr="001F40AB">
        <w:rPr>
          <w:color w:val="000000"/>
        </w:rPr>
        <w:t>; and that</w:t>
      </w:r>
      <w:r w:rsidR="002B00C9" w:rsidRPr="001F40AB">
        <w:rPr>
          <w:color w:val="000000"/>
        </w:rPr>
        <w:t>,</w:t>
      </w:r>
      <w:r w:rsidR="008224BD" w:rsidRPr="001F40AB">
        <w:rPr>
          <w:color w:val="000000"/>
        </w:rPr>
        <w:t xml:space="preserve"> in the author’s case</w:t>
      </w:r>
      <w:r w:rsidR="00AF31DD" w:rsidRPr="001F40AB">
        <w:rPr>
          <w:color w:val="000000"/>
        </w:rPr>
        <w:t>,</w:t>
      </w:r>
      <w:r w:rsidR="00CB6D96" w:rsidRPr="001F40AB">
        <w:rPr>
          <w:color w:val="000000"/>
        </w:rPr>
        <w:t xml:space="preserve"> none of the tax sett</w:t>
      </w:r>
      <w:r w:rsidR="0005453D" w:rsidRPr="001F40AB">
        <w:rPr>
          <w:color w:val="000000"/>
        </w:rPr>
        <w:t>lements in question exceed</w:t>
      </w:r>
      <w:r w:rsidR="008A7673" w:rsidRPr="001F40AB">
        <w:rPr>
          <w:color w:val="000000"/>
        </w:rPr>
        <w:t>ed</w:t>
      </w:r>
      <w:r w:rsidR="0005453D" w:rsidRPr="001F40AB">
        <w:rPr>
          <w:color w:val="000000"/>
        </w:rPr>
        <w:t xml:space="preserve"> </w:t>
      </w:r>
      <w:r w:rsidR="002B00C9" w:rsidRPr="001F40AB">
        <w:rPr>
          <w:color w:val="000000"/>
        </w:rPr>
        <w:t xml:space="preserve">that </w:t>
      </w:r>
      <w:r w:rsidR="00CB6D96" w:rsidRPr="001F40AB">
        <w:rPr>
          <w:color w:val="000000"/>
        </w:rPr>
        <w:t>amount.</w:t>
      </w:r>
      <w:r w:rsidR="00950524" w:rsidRPr="001F40AB">
        <w:rPr>
          <w:color w:val="000000"/>
        </w:rPr>
        <w:t xml:space="preserve"> </w:t>
      </w:r>
    </w:p>
    <w:p w:rsidR="00941DD3" w:rsidRPr="001F40AB" w:rsidRDefault="004D611C" w:rsidP="00DD5B22">
      <w:pPr>
        <w:pStyle w:val="SingleTxtG"/>
        <w:rPr>
          <w:color w:val="000000"/>
        </w:rPr>
      </w:pPr>
      <w:r w:rsidRPr="001F40AB">
        <w:rPr>
          <w:color w:val="000000"/>
        </w:rPr>
        <w:t>2.</w:t>
      </w:r>
      <w:r w:rsidR="008229EC" w:rsidRPr="001F40AB">
        <w:rPr>
          <w:color w:val="000000"/>
        </w:rPr>
        <w:t>9</w:t>
      </w:r>
      <w:r w:rsidRPr="001F40AB">
        <w:rPr>
          <w:color w:val="000000"/>
        </w:rPr>
        <w:tab/>
      </w:r>
      <w:r w:rsidR="00F63CB7" w:rsidRPr="001F40AB">
        <w:rPr>
          <w:color w:val="000000"/>
        </w:rPr>
        <w:t>The author alleges that</w:t>
      </w:r>
      <w:r w:rsidR="002B00C9" w:rsidRPr="001F40AB">
        <w:rPr>
          <w:color w:val="000000"/>
        </w:rPr>
        <w:t>,</w:t>
      </w:r>
      <w:r w:rsidR="00F63CB7" w:rsidRPr="001F40AB">
        <w:rPr>
          <w:color w:val="000000"/>
        </w:rPr>
        <w:t xml:space="preserve"> o</w:t>
      </w:r>
      <w:r w:rsidR="00941DD3" w:rsidRPr="001F40AB">
        <w:rPr>
          <w:color w:val="000000"/>
        </w:rPr>
        <w:t xml:space="preserve">n 25 April 2005, </w:t>
      </w:r>
      <w:r w:rsidR="00F63CB7" w:rsidRPr="001F40AB">
        <w:rPr>
          <w:color w:val="000000"/>
        </w:rPr>
        <w:t>he</w:t>
      </w:r>
      <w:r w:rsidR="00941DD3" w:rsidRPr="001F40AB">
        <w:rPr>
          <w:color w:val="000000"/>
        </w:rPr>
        <w:t xml:space="preserve"> </w:t>
      </w:r>
      <w:r w:rsidR="00FC2DA1" w:rsidRPr="001F40AB">
        <w:rPr>
          <w:color w:val="000000"/>
        </w:rPr>
        <w:t xml:space="preserve">filed </w:t>
      </w:r>
      <w:r w:rsidR="00F63CB7" w:rsidRPr="001F40AB">
        <w:rPr>
          <w:color w:val="000000"/>
        </w:rPr>
        <w:t xml:space="preserve">a second application for </w:t>
      </w:r>
      <w:r w:rsidR="00DD5B22" w:rsidRPr="001F40AB">
        <w:rPr>
          <w:i/>
          <w:iCs/>
          <w:color w:val="000000"/>
        </w:rPr>
        <w:t>amparo</w:t>
      </w:r>
      <w:r w:rsidR="00F63CB7" w:rsidRPr="001F40AB">
        <w:rPr>
          <w:color w:val="000000"/>
        </w:rPr>
        <w:t xml:space="preserve"> before </w:t>
      </w:r>
      <w:r w:rsidR="00941DD3" w:rsidRPr="001F40AB">
        <w:rPr>
          <w:color w:val="000000"/>
        </w:rPr>
        <w:t>the Constitutional Court</w:t>
      </w:r>
      <w:r w:rsidR="00F63CB7" w:rsidRPr="001F40AB">
        <w:rPr>
          <w:color w:val="000000"/>
        </w:rPr>
        <w:t>.</w:t>
      </w:r>
      <w:r w:rsidR="00EC406D" w:rsidRPr="001F40AB">
        <w:rPr>
          <w:color w:val="000000"/>
        </w:rPr>
        <w:t xml:space="preserve"> </w:t>
      </w:r>
      <w:r w:rsidR="000E6ABA" w:rsidRPr="001F40AB">
        <w:rPr>
          <w:color w:val="000000"/>
        </w:rPr>
        <w:t>A</w:t>
      </w:r>
      <w:r w:rsidR="00FC2DA1" w:rsidRPr="001F40AB">
        <w:rPr>
          <w:color w:val="000000"/>
        </w:rPr>
        <w:t xml:space="preserve">ccording to </w:t>
      </w:r>
      <w:r w:rsidR="002B00C9" w:rsidRPr="001F40AB">
        <w:rPr>
          <w:color w:val="000000"/>
        </w:rPr>
        <w:t xml:space="preserve">a </w:t>
      </w:r>
      <w:r w:rsidR="00FC2DA1" w:rsidRPr="001F40AB">
        <w:rPr>
          <w:color w:val="000000"/>
        </w:rPr>
        <w:t xml:space="preserve">copy of </w:t>
      </w:r>
      <w:r w:rsidR="002B00C9" w:rsidRPr="001F40AB">
        <w:rPr>
          <w:color w:val="000000"/>
        </w:rPr>
        <w:t xml:space="preserve">that </w:t>
      </w:r>
      <w:r w:rsidR="00FC2DA1" w:rsidRPr="001F40AB">
        <w:rPr>
          <w:color w:val="000000"/>
        </w:rPr>
        <w:t>submission provided by the author,</w:t>
      </w:r>
      <w:r w:rsidR="0084404D" w:rsidRPr="001F40AB">
        <w:rPr>
          <w:color w:val="000000"/>
        </w:rPr>
        <w:t xml:space="preserve"> </w:t>
      </w:r>
      <w:r w:rsidR="00B5707B" w:rsidRPr="001F40AB">
        <w:rPr>
          <w:color w:val="000000"/>
        </w:rPr>
        <w:t xml:space="preserve">he referred to the main administrative and judicial decisions </w:t>
      </w:r>
      <w:r w:rsidR="002B00C9" w:rsidRPr="001F40AB">
        <w:rPr>
          <w:color w:val="000000"/>
        </w:rPr>
        <w:t xml:space="preserve">which had been </w:t>
      </w:r>
      <w:r w:rsidR="00B5707B" w:rsidRPr="001F40AB">
        <w:rPr>
          <w:color w:val="000000"/>
        </w:rPr>
        <w:t>challenged before the Constitutional Court</w:t>
      </w:r>
      <w:r w:rsidR="00F63CB7" w:rsidRPr="001F40AB">
        <w:rPr>
          <w:color w:val="000000"/>
        </w:rPr>
        <w:t xml:space="preserve">; informed the Court </w:t>
      </w:r>
      <w:r w:rsidR="002B00C9" w:rsidRPr="001F40AB">
        <w:rPr>
          <w:color w:val="000000"/>
        </w:rPr>
        <w:t xml:space="preserve">of </w:t>
      </w:r>
      <w:r w:rsidR="00F63CB7" w:rsidRPr="001F40AB">
        <w:rPr>
          <w:color w:val="000000"/>
        </w:rPr>
        <w:t>the</w:t>
      </w:r>
      <w:r w:rsidR="00EC406D" w:rsidRPr="001F40AB">
        <w:rPr>
          <w:color w:val="000000"/>
        </w:rPr>
        <w:t xml:space="preserve"> </w:t>
      </w:r>
      <w:r w:rsidR="00F63CB7" w:rsidRPr="001F40AB">
        <w:rPr>
          <w:color w:val="000000"/>
        </w:rPr>
        <w:t xml:space="preserve">Supreme Court’s decision of 1 April 2005; </w:t>
      </w:r>
      <w:r w:rsidR="00B5707B" w:rsidRPr="001F40AB">
        <w:rPr>
          <w:color w:val="000000"/>
        </w:rPr>
        <w:t xml:space="preserve">and </w:t>
      </w:r>
      <w:r w:rsidR="00FC2DA1" w:rsidRPr="001F40AB">
        <w:rPr>
          <w:color w:val="000000"/>
        </w:rPr>
        <w:t xml:space="preserve">expressly </w:t>
      </w:r>
      <w:r w:rsidR="00CD713D" w:rsidRPr="001F40AB">
        <w:rPr>
          <w:color w:val="000000"/>
        </w:rPr>
        <w:t xml:space="preserve">stated that he </w:t>
      </w:r>
      <w:r w:rsidR="002B00C9" w:rsidRPr="001F40AB">
        <w:rPr>
          <w:color w:val="000000"/>
        </w:rPr>
        <w:t>“</w:t>
      </w:r>
      <w:r w:rsidR="00941DD3" w:rsidRPr="001F40AB">
        <w:rPr>
          <w:color w:val="000000"/>
        </w:rPr>
        <w:t>reiterat</w:t>
      </w:r>
      <w:r w:rsidR="00CD713D" w:rsidRPr="001F40AB">
        <w:rPr>
          <w:color w:val="000000"/>
        </w:rPr>
        <w:t>[</w:t>
      </w:r>
      <w:r w:rsidR="00941DD3" w:rsidRPr="001F40AB">
        <w:rPr>
          <w:color w:val="000000"/>
        </w:rPr>
        <w:t>ed</w:t>
      </w:r>
      <w:r w:rsidR="00CD713D" w:rsidRPr="001F40AB">
        <w:rPr>
          <w:color w:val="000000"/>
        </w:rPr>
        <w:t>]</w:t>
      </w:r>
      <w:r w:rsidR="00941DD3" w:rsidRPr="001F40AB">
        <w:rPr>
          <w:color w:val="000000"/>
        </w:rPr>
        <w:t xml:space="preserve"> </w:t>
      </w:r>
      <w:r w:rsidR="00AF31DD" w:rsidRPr="001F40AB">
        <w:rPr>
          <w:color w:val="000000"/>
        </w:rPr>
        <w:t xml:space="preserve">the </w:t>
      </w:r>
      <w:r w:rsidR="00941DD3" w:rsidRPr="001F40AB">
        <w:rPr>
          <w:color w:val="000000"/>
        </w:rPr>
        <w:t xml:space="preserve">application for </w:t>
      </w:r>
      <w:r w:rsidR="00DD5B22" w:rsidRPr="001F40AB">
        <w:rPr>
          <w:i/>
          <w:iCs/>
          <w:color w:val="000000"/>
        </w:rPr>
        <w:t>amparo</w:t>
      </w:r>
      <w:r w:rsidR="00AF31DD" w:rsidRPr="001F40AB">
        <w:rPr>
          <w:color w:val="000000"/>
        </w:rPr>
        <w:t xml:space="preserve"> that </w:t>
      </w:r>
      <w:r w:rsidR="00CD713D" w:rsidRPr="001F40AB">
        <w:rPr>
          <w:color w:val="000000"/>
        </w:rPr>
        <w:t xml:space="preserve">was </w:t>
      </w:r>
      <w:r w:rsidR="00AF31DD" w:rsidRPr="001F40AB">
        <w:rPr>
          <w:color w:val="000000"/>
        </w:rPr>
        <w:t>lodged on</w:t>
      </w:r>
      <w:r w:rsidR="00941DD3" w:rsidRPr="001F40AB">
        <w:rPr>
          <w:color w:val="000000"/>
        </w:rPr>
        <w:t xml:space="preserve"> 14 March 2005</w:t>
      </w:r>
      <w:r w:rsidR="002B00C9" w:rsidRPr="001F40AB">
        <w:rPr>
          <w:color w:val="000000"/>
        </w:rPr>
        <w:t>”</w:t>
      </w:r>
      <w:r w:rsidR="0059181E" w:rsidRPr="001F40AB">
        <w:rPr>
          <w:color w:val="000000"/>
        </w:rPr>
        <w:t>.</w:t>
      </w:r>
      <w:r w:rsidR="00FC2DA1" w:rsidRPr="001F40AB">
        <w:rPr>
          <w:color w:val="000000"/>
        </w:rPr>
        <w:t xml:space="preserve"> </w:t>
      </w:r>
    </w:p>
    <w:p w:rsidR="004D611C" w:rsidRPr="001F40AB" w:rsidRDefault="00E66174" w:rsidP="00E47336">
      <w:pPr>
        <w:pStyle w:val="SingleTxtG"/>
      </w:pPr>
      <w:r w:rsidRPr="001F40AB">
        <w:t>2.</w:t>
      </w:r>
      <w:r w:rsidR="008229EC" w:rsidRPr="001F40AB">
        <w:t>10</w:t>
      </w:r>
      <w:r w:rsidR="004D611C" w:rsidRPr="001F40AB">
        <w:tab/>
      </w:r>
      <w:r w:rsidR="000E6ABA" w:rsidRPr="001F40AB">
        <w:t xml:space="preserve">In a decision of </w:t>
      </w:r>
      <w:r w:rsidR="009E1195" w:rsidRPr="001F40AB">
        <w:t>11 December 2006, the Constitutional Court</w:t>
      </w:r>
      <w:r w:rsidR="00F63CB7" w:rsidRPr="001F40AB">
        <w:t xml:space="preserve"> took note of the author’s submission</w:t>
      </w:r>
      <w:r w:rsidR="00A12BEC" w:rsidRPr="001F40AB">
        <w:t>s</w:t>
      </w:r>
      <w:r w:rsidR="00F63CB7" w:rsidRPr="001F40AB">
        <w:t xml:space="preserve"> of </w:t>
      </w:r>
      <w:r w:rsidR="00A12BEC" w:rsidRPr="001F40AB">
        <w:t xml:space="preserve">14 March and </w:t>
      </w:r>
      <w:r w:rsidR="00F63CB7" w:rsidRPr="001F40AB">
        <w:t>25 April 2005, and</w:t>
      </w:r>
      <w:r w:rsidR="009E1195" w:rsidRPr="001F40AB">
        <w:t xml:space="preserve"> declared </w:t>
      </w:r>
      <w:r w:rsidR="00A12BEC" w:rsidRPr="001F40AB">
        <w:t>his</w:t>
      </w:r>
      <w:r w:rsidR="009E1195" w:rsidRPr="001F40AB">
        <w:t xml:space="preserve"> application for </w:t>
      </w:r>
      <w:r w:rsidR="00DD5B22" w:rsidRPr="001F40AB">
        <w:rPr>
          <w:i/>
          <w:iCs/>
          <w:color w:val="000000"/>
        </w:rPr>
        <w:t>amparo</w:t>
      </w:r>
      <w:r w:rsidR="00F15D58" w:rsidRPr="001F40AB">
        <w:t xml:space="preserve"> inadmissible </w:t>
      </w:r>
      <w:r w:rsidR="002B00C9" w:rsidRPr="001F40AB">
        <w:t xml:space="preserve">on the ground of prior </w:t>
      </w:r>
      <w:r w:rsidR="000E6ABA" w:rsidRPr="001F40AB">
        <w:t>failure</w:t>
      </w:r>
      <w:r w:rsidR="00F15D58" w:rsidRPr="001F40AB">
        <w:t xml:space="preserve"> to exhaust </w:t>
      </w:r>
      <w:r w:rsidR="009C17C9" w:rsidRPr="001F40AB">
        <w:t xml:space="preserve">all </w:t>
      </w:r>
      <w:r w:rsidR="00F15D58" w:rsidRPr="001F40AB">
        <w:t>other judicial remedies</w:t>
      </w:r>
      <w:r w:rsidR="00B36BDD" w:rsidRPr="001F40AB">
        <w:t xml:space="preserve"> </w:t>
      </w:r>
      <w:r w:rsidR="009C17C9" w:rsidRPr="001F40AB">
        <w:t>under</w:t>
      </w:r>
      <w:r w:rsidR="00B36BDD" w:rsidRPr="001F40AB">
        <w:t xml:space="preserve"> </w:t>
      </w:r>
      <w:r w:rsidR="00EC406D" w:rsidRPr="001F40AB">
        <w:t>article </w:t>
      </w:r>
      <w:r w:rsidR="00B36BDD" w:rsidRPr="001F40AB">
        <w:t xml:space="preserve">44, </w:t>
      </w:r>
      <w:r w:rsidR="00EC406D" w:rsidRPr="001F40AB">
        <w:t>paragraph </w:t>
      </w:r>
      <w:r w:rsidR="00B36BDD" w:rsidRPr="001F40AB">
        <w:t xml:space="preserve">1 </w:t>
      </w:r>
      <w:r w:rsidR="002B00C9" w:rsidRPr="001F40AB">
        <w:t>(</w:t>
      </w:r>
      <w:r w:rsidR="00B36BDD" w:rsidRPr="001F40AB">
        <w:t>a)</w:t>
      </w:r>
      <w:r w:rsidR="002B00C9" w:rsidRPr="001F40AB">
        <w:t>,</w:t>
      </w:r>
      <w:r w:rsidR="00B36BDD" w:rsidRPr="001F40AB">
        <w:t xml:space="preserve"> of the Organic Law of the Constitutional Court</w:t>
      </w:r>
      <w:r w:rsidR="0059181E" w:rsidRPr="001F40AB">
        <w:t>.</w:t>
      </w:r>
      <w:r w:rsidR="00F15D58" w:rsidRPr="001F40AB">
        <w:t xml:space="preserve"> The Court </w:t>
      </w:r>
      <w:r w:rsidR="00B36BDD" w:rsidRPr="001F40AB">
        <w:t xml:space="preserve">referred to its jurisprudence and </w:t>
      </w:r>
      <w:r w:rsidR="00F15D58" w:rsidRPr="001F40AB">
        <w:t>stated that</w:t>
      </w:r>
      <w:r w:rsidR="002B00C9" w:rsidRPr="001F40AB">
        <w:t>,</w:t>
      </w:r>
      <w:r w:rsidR="00F15D58" w:rsidRPr="001F40AB">
        <w:t xml:space="preserve"> </w:t>
      </w:r>
      <w:r w:rsidR="00AC33F9" w:rsidRPr="001F40AB">
        <w:t xml:space="preserve">in order to preserve the subsidiary nature of the application for </w:t>
      </w:r>
      <w:r w:rsidR="00ED49E1" w:rsidRPr="001F40AB">
        <w:rPr>
          <w:i/>
          <w:iCs/>
        </w:rPr>
        <w:t>amparo</w:t>
      </w:r>
      <w:r w:rsidR="00AC33F9" w:rsidRPr="001F40AB">
        <w:t xml:space="preserve"> in </w:t>
      </w:r>
      <w:r w:rsidR="00322E2F" w:rsidRPr="001F40AB">
        <w:t>its</w:t>
      </w:r>
      <w:r w:rsidR="00AC33F9" w:rsidRPr="001F40AB">
        <w:t xml:space="preserve"> legal system, </w:t>
      </w:r>
      <w:r w:rsidR="002B00C9" w:rsidRPr="001F40AB">
        <w:t xml:space="preserve">the </w:t>
      </w:r>
      <w:r w:rsidR="00AC33F9" w:rsidRPr="001F40AB">
        <w:t xml:space="preserve">application </w:t>
      </w:r>
      <w:r w:rsidR="002B00C9" w:rsidRPr="001F40AB">
        <w:t xml:space="preserve">must </w:t>
      </w:r>
      <w:r w:rsidR="00F15D58" w:rsidRPr="001F40AB">
        <w:t>meet the admissibility requirement</w:t>
      </w:r>
      <w:r w:rsidR="00CA7884" w:rsidRPr="001F40AB">
        <w:t>s</w:t>
      </w:r>
      <w:r w:rsidR="00F15D58" w:rsidRPr="001F40AB">
        <w:t xml:space="preserve"> a</w:t>
      </w:r>
      <w:r w:rsidR="008A7673" w:rsidRPr="001F40AB">
        <w:t xml:space="preserve">t the </w:t>
      </w:r>
      <w:r w:rsidR="002B00C9" w:rsidRPr="001F40AB">
        <w:t>time of</w:t>
      </w:r>
      <w:r w:rsidR="008A7673" w:rsidRPr="001F40AB">
        <w:t xml:space="preserve"> submi</w:t>
      </w:r>
      <w:r w:rsidR="002B00C9" w:rsidRPr="001F40AB">
        <w:t>ssion</w:t>
      </w:r>
      <w:r w:rsidR="008A7673" w:rsidRPr="001F40AB">
        <w:t xml:space="preserve"> to the Court. In the author’s case,</w:t>
      </w:r>
      <w:r w:rsidR="00F15D58" w:rsidRPr="001F40AB">
        <w:t xml:space="preserve"> </w:t>
      </w:r>
      <w:r w:rsidR="00CA7884" w:rsidRPr="001F40AB">
        <w:t xml:space="preserve">his </w:t>
      </w:r>
      <w:r w:rsidR="00BB295E" w:rsidRPr="001F40AB">
        <w:t>complaint proceedings</w:t>
      </w:r>
      <w:r w:rsidR="00CA7884" w:rsidRPr="001F40AB">
        <w:t xml:space="preserve"> </w:t>
      </w:r>
      <w:r w:rsidR="00BB295E" w:rsidRPr="001F40AB">
        <w:t xml:space="preserve">were </w:t>
      </w:r>
      <w:r w:rsidR="00CA7884" w:rsidRPr="001F40AB">
        <w:t>still pending before the Supreme Court</w:t>
      </w:r>
      <w:r w:rsidR="00775A84" w:rsidRPr="001F40AB">
        <w:t xml:space="preserve"> when he lodged his application</w:t>
      </w:r>
      <w:r w:rsidR="00CA7884" w:rsidRPr="001F40AB">
        <w:t xml:space="preserve">. </w:t>
      </w:r>
    </w:p>
    <w:p w:rsidR="00A0773D" w:rsidRPr="001F40AB" w:rsidRDefault="00E66174" w:rsidP="00ED49E1">
      <w:pPr>
        <w:pStyle w:val="SingleTxtG"/>
      </w:pPr>
      <w:r w:rsidRPr="001F40AB">
        <w:t>2.</w:t>
      </w:r>
      <w:r w:rsidR="008229EC" w:rsidRPr="001F40AB">
        <w:t>11</w:t>
      </w:r>
      <w:r w:rsidR="004D611C" w:rsidRPr="001F40AB">
        <w:tab/>
      </w:r>
      <w:r w:rsidR="00CA7884" w:rsidRPr="001F40AB">
        <w:t xml:space="preserve">On 22 May 2007, the author submitted a complaint </w:t>
      </w:r>
      <w:r w:rsidRPr="001F40AB">
        <w:t xml:space="preserve">against the State party </w:t>
      </w:r>
      <w:r w:rsidR="00CA7884" w:rsidRPr="001F40AB">
        <w:t xml:space="preserve">before the European Court of Human Rights. On 30 November 2010, the </w:t>
      </w:r>
      <w:r w:rsidR="00AF67EC" w:rsidRPr="001F40AB">
        <w:t xml:space="preserve">Court, </w:t>
      </w:r>
      <w:r w:rsidR="00941DD3" w:rsidRPr="001F40AB">
        <w:t>in single</w:t>
      </w:r>
      <w:r w:rsidR="009C6243" w:rsidRPr="001F40AB">
        <w:t>-</w:t>
      </w:r>
      <w:r w:rsidR="00941DD3" w:rsidRPr="001F40AB">
        <w:t xml:space="preserve">judge formation, found the author’s complaint inadmissible since domestic remedies had not been exhausted pursuant to </w:t>
      </w:r>
      <w:r w:rsidR="00EC406D" w:rsidRPr="001F40AB">
        <w:t>article </w:t>
      </w:r>
      <w:r w:rsidR="00941DD3" w:rsidRPr="001F40AB">
        <w:t xml:space="preserve">35, </w:t>
      </w:r>
      <w:r w:rsidR="00EC406D" w:rsidRPr="001F40AB">
        <w:t>paragraph </w:t>
      </w:r>
      <w:r w:rsidR="00941DD3" w:rsidRPr="001F40AB">
        <w:t xml:space="preserve">1 of the </w:t>
      </w:r>
      <w:r w:rsidR="009C178B" w:rsidRPr="001F40AB">
        <w:t>Convention for the Protection of Human Rights and Fundamental Freedoms (</w:t>
      </w:r>
      <w:r w:rsidR="00941DD3" w:rsidRPr="001F40AB">
        <w:t>European Convention on Human Rights</w:t>
      </w:r>
      <w:r w:rsidR="009C178B" w:rsidRPr="001F40AB">
        <w:t>)</w:t>
      </w:r>
      <w:r w:rsidR="00A0773D" w:rsidRPr="001F40AB">
        <w:t xml:space="preserve">. </w:t>
      </w:r>
      <w:r w:rsidR="008A7673" w:rsidRPr="001F40AB">
        <w:t xml:space="preserve">According to the </w:t>
      </w:r>
      <w:r w:rsidR="00A0773D" w:rsidRPr="001F40AB">
        <w:t>Court</w:t>
      </w:r>
      <w:r w:rsidR="008A7673" w:rsidRPr="001F40AB">
        <w:t xml:space="preserve">’s decision, </w:t>
      </w:r>
      <w:r w:rsidR="0005453D" w:rsidRPr="001F40AB">
        <w:t xml:space="preserve">the author </w:t>
      </w:r>
      <w:r w:rsidR="00787E90" w:rsidRPr="001F40AB">
        <w:t xml:space="preserve">had </w:t>
      </w:r>
      <w:r w:rsidR="0005453D" w:rsidRPr="001F40AB">
        <w:t xml:space="preserve">failed to lodge his application for </w:t>
      </w:r>
      <w:r w:rsidR="00DD5B22" w:rsidRPr="001F40AB">
        <w:rPr>
          <w:i/>
          <w:iCs/>
          <w:color w:val="000000"/>
        </w:rPr>
        <w:t>amparo</w:t>
      </w:r>
      <w:r w:rsidR="0005453D" w:rsidRPr="001F40AB">
        <w:t xml:space="preserve"> in accordance with the </w:t>
      </w:r>
      <w:r w:rsidR="00A0773D" w:rsidRPr="001F40AB">
        <w:t xml:space="preserve">legal requirements </w:t>
      </w:r>
      <w:r w:rsidR="000E4547" w:rsidRPr="001F40AB">
        <w:t>under</w:t>
      </w:r>
      <w:r w:rsidR="00A0773D" w:rsidRPr="001F40AB">
        <w:t xml:space="preserve"> the State party’s law. On 9 December 2010, the author requested the </w:t>
      </w:r>
      <w:r w:rsidR="000E4547" w:rsidRPr="001F40AB">
        <w:t xml:space="preserve">Court </w:t>
      </w:r>
      <w:r w:rsidR="00A0773D" w:rsidRPr="001F40AB">
        <w:t>to review its decision and argue</w:t>
      </w:r>
      <w:r w:rsidR="0005453D" w:rsidRPr="001F40AB">
        <w:t>d</w:t>
      </w:r>
      <w:r w:rsidR="00A0773D" w:rsidRPr="001F40AB">
        <w:t xml:space="preserve"> that its reasoning could not be applied to his submission of 25 April 2005, which was another </w:t>
      </w:r>
      <w:r w:rsidR="0005453D" w:rsidRPr="001F40AB">
        <w:t xml:space="preserve">independent </w:t>
      </w:r>
      <w:r w:rsidR="00A0773D" w:rsidRPr="001F40AB">
        <w:t xml:space="preserve">application for </w:t>
      </w:r>
      <w:r w:rsidR="00ED49E1" w:rsidRPr="001F40AB">
        <w:rPr>
          <w:i/>
          <w:iCs/>
        </w:rPr>
        <w:t>amparo</w:t>
      </w:r>
      <w:r w:rsidR="008A7673" w:rsidRPr="001F40AB">
        <w:t xml:space="preserve"> submitted to the Constitutional </w:t>
      </w:r>
      <w:r w:rsidR="00434180" w:rsidRPr="001F40AB">
        <w:t xml:space="preserve">Court </w:t>
      </w:r>
      <w:r w:rsidR="00CC0CEB" w:rsidRPr="001F40AB">
        <w:t>in accordance with</w:t>
      </w:r>
      <w:r w:rsidR="008A7673" w:rsidRPr="001F40AB">
        <w:t xml:space="preserve"> the law</w:t>
      </w:r>
      <w:r w:rsidR="00A0773D" w:rsidRPr="001F40AB">
        <w:t xml:space="preserve">. On 13 December 2010, the </w:t>
      </w:r>
      <w:r w:rsidR="000E4547" w:rsidRPr="001F40AB">
        <w:t xml:space="preserve">Court </w:t>
      </w:r>
      <w:r w:rsidR="00A0773D" w:rsidRPr="001F40AB">
        <w:t xml:space="preserve">informed the author that its decision was final. </w:t>
      </w:r>
    </w:p>
    <w:p w:rsidR="007C1F31" w:rsidRPr="001F40AB" w:rsidRDefault="00415FAC" w:rsidP="00EE2FA4">
      <w:pPr>
        <w:pStyle w:val="H23G"/>
        <w:spacing w:line="240" w:lineRule="auto"/>
      </w:pPr>
      <w:r w:rsidRPr="001F40AB">
        <w:tab/>
      </w:r>
      <w:r w:rsidRPr="001F40AB">
        <w:tab/>
      </w:r>
      <w:r w:rsidR="007C1F31" w:rsidRPr="001F40AB">
        <w:t>The complaint</w:t>
      </w:r>
    </w:p>
    <w:p w:rsidR="008A7673" w:rsidRPr="001F40AB" w:rsidRDefault="00D65E3C" w:rsidP="00DD5B22">
      <w:pPr>
        <w:pStyle w:val="SingleTxtG"/>
      </w:pPr>
      <w:r w:rsidRPr="001F40AB">
        <w:t>3.1</w:t>
      </w:r>
      <w:r w:rsidR="00FF26A3" w:rsidRPr="001F40AB">
        <w:tab/>
      </w:r>
      <w:r w:rsidR="00834939" w:rsidRPr="001F40AB">
        <w:t xml:space="preserve">The author claims to be </w:t>
      </w:r>
      <w:r w:rsidR="000E4547" w:rsidRPr="001F40AB">
        <w:t xml:space="preserve">the </w:t>
      </w:r>
      <w:r w:rsidR="00834939" w:rsidRPr="001F40AB">
        <w:t>victim of a violation of his right</w:t>
      </w:r>
      <w:r w:rsidR="000E4547" w:rsidRPr="001F40AB">
        <w:t>s</w:t>
      </w:r>
      <w:r w:rsidR="00834939" w:rsidRPr="001F40AB">
        <w:t xml:space="preserve"> </w:t>
      </w:r>
      <w:r w:rsidR="000E4547" w:rsidRPr="001F40AB">
        <w:t>under</w:t>
      </w:r>
      <w:r w:rsidR="00834939" w:rsidRPr="001F40AB">
        <w:t xml:space="preserve"> </w:t>
      </w:r>
      <w:r w:rsidR="00EC406D" w:rsidRPr="001F40AB">
        <w:t>article </w:t>
      </w:r>
      <w:r w:rsidR="00834939" w:rsidRPr="001F40AB">
        <w:t xml:space="preserve">14, </w:t>
      </w:r>
      <w:r w:rsidR="00EC406D" w:rsidRPr="001F40AB">
        <w:t>paragraph </w:t>
      </w:r>
      <w:r w:rsidR="00834939" w:rsidRPr="001F40AB">
        <w:t>1</w:t>
      </w:r>
      <w:r w:rsidR="000E4547" w:rsidRPr="001F40AB">
        <w:t>,</w:t>
      </w:r>
      <w:r w:rsidR="00834939" w:rsidRPr="001F40AB">
        <w:t xml:space="preserve"> and </w:t>
      </w:r>
      <w:r w:rsidR="00FF26A3" w:rsidRPr="001F40AB">
        <w:t>contends that the decision</w:t>
      </w:r>
      <w:r w:rsidR="005027F6" w:rsidRPr="001F40AB">
        <w:t>s</w:t>
      </w:r>
      <w:r w:rsidR="00FF26A3" w:rsidRPr="001F40AB">
        <w:t xml:space="preserve"> taken by </w:t>
      </w:r>
      <w:r w:rsidR="008A7673" w:rsidRPr="001F40AB">
        <w:t xml:space="preserve">the State party’s </w:t>
      </w:r>
      <w:r w:rsidR="00834939" w:rsidRPr="001F40AB">
        <w:t xml:space="preserve">courts </w:t>
      </w:r>
      <w:r w:rsidR="00FF26A3" w:rsidRPr="001F40AB">
        <w:t>w</w:t>
      </w:r>
      <w:r w:rsidR="00834939" w:rsidRPr="001F40AB">
        <w:t>ere</w:t>
      </w:r>
      <w:r w:rsidR="00FF26A3" w:rsidRPr="001F40AB">
        <w:t xml:space="preserve"> arbitrary and not based on facts and evidence</w:t>
      </w:r>
      <w:r w:rsidR="00EF45E8" w:rsidRPr="001F40AB">
        <w:t xml:space="preserve">. The only relevant evidence submitted by the Tax Agency against him was </w:t>
      </w:r>
      <w:r w:rsidR="00DD5B22" w:rsidRPr="001F40AB">
        <w:t xml:space="preserve">removed </w:t>
      </w:r>
      <w:r w:rsidR="00EF45E8" w:rsidRPr="001F40AB">
        <w:t>from the case</w:t>
      </w:r>
      <w:r w:rsidR="000E4547" w:rsidRPr="001F40AB">
        <w:t xml:space="preserve"> </w:t>
      </w:r>
      <w:r w:rsidR="00EF45E8" w:rsidRPr="001F40AB">
        <w:t xml:space="preserve">file by the High Court on 31 May 2003. Against </w:t>
      </w:r>
      <w:r w:rsidR="000E4547" w:rsidRPr="001F40AB">
        <w:t xml:space="preserve">that </w:t>
      </w:r>
      <w:r w:rsidR="00EF45E8" w:rsidRPr="001F40AB">
        <w:t xml:space="preserve">background, it </w:t>
      </w:r>
      <w:r w:rsidR="000E4547" w:rsidRPr="001F40AB">
        <w:t>should</w:t>
      </w:r>
      <w:r w:rsidR="00EF45E8" w:rsidRPr="001F40AB">
        <w:t xml:space="preserve"> be understood that the judicial authorities’ decisions were based on </w:t>
      </w:r>
      <w:r w:rsidR="00FF26A3" w:rsidRPr="001F40AB">
        <w:t>evidence</w:t>
      </w:r>
      <w:r w:rsidR="000E6ABA" w:rsidRPr="001F40AB">
        <w:t xml:space="preserve"> </w:t>
      </w:r>
      <w:r w:rsidR="00FF26A3" w:rsidRPr="001F40AB">
        <w:t>previously declared inadmissible</w:t>
      </w:r>
      <w:r w:rsidR="00834939" w:rsidRPr="001F40AB">
        <w:t xml:space="preserve"> by the High Court</w:t>
      </w:r>
      <w:r w:rsidR="00FF26A3" w:rsidRPr="001F40AB">
        <w:t>.</w:t>
      </w:r>
    </w:p>
    <w:p w:rsidR="008A7673" w:rsidRPr="001F40AB" w:rsidRDefault="00D65E3C" w:rsidP="00D65E3C">
      <w:pPr>
        <w:pStyle w:val="SingleTxtG"/>
      </w:pPr>
      <w:r w:rsidRPr="001F40AB">
        <w:lastRenderedPageBreak/>
        <w:t>3.2</w:t>
      </w:r>
      <w:r w:rsidR="00FF26A3" w:rsidRPr="001F40AB">
        <w:tab/>
        <w:t>The</w:t>
      </w:r>
      <w:r w:rsidR="005C56B3" w:rsidRPr="001F40AB">
        <w:t xml:space="preserve"> author considers that the</w:t>
      </w:r>
      <w:r w:rsidR="00FF26A3" w:rsidRPr="001F40AB">
        <w:t xml:space="preserve"> </w:t>
      </w:r>
      <w:r w:rsidR="00834939" w:rsidRPr="001F40AB">
        <w:t xml:space="preserve">High Court’s </w:t>
      </w:r>
      <w:r w:rsidR="00A43E4C" w:rsidRPr="001F40AB">
        <w:t>denial of</w:t>
      </w:r>
      <w:r w:rsidR="00834939" w:rsidRPr="001F40AB">
        <w:t xml:space="preserve"> his request for leave to appeal in cassation</w:t>
      </w:r>
      <w:r w:rsidR="00FF26A3" w:rsidRPr="001F40AB">
        <w:t xml:space="preserve">, further </w:t>
      </w:r>
      <w:r w:rsidR="000E4547" w:rsidRPr="001F40AB">
        <w:t xml:space="preserve">upheld </w:t>
      </w:r>
      <w:r w:rsidR="00FF26A3" w:rsidRPr="001F40AB">
        <w:t xml:space="preserve">by </w:t>
      </w:r>
      <w:r w:rsidR="00834939" w:rsidRPr="001F40AB">
        <w:t xml:space="preserve">the Supreme Court’s </w:t>
      </w:r>
      <w:r w:rsidR="00FF26A3" w:rsidRPr="001F40AB">
        <w:t>decision of 1 April 2005</w:t>
      </w:r>
      <w:r w:rsidR="00834939" w:rsidRPr="001F40AB">
        <w:t>,</w:t>
      </w:r>
      <w:r w:rsidR="00FF26A3" w:rsidRPr="001F40AB">
        <w:t xml:space="preserve"> </w:t>
      </w:r>
      <w:r w:rsidR="00CC0CEB" w:rsidRPr="001F40AB">
        <w:t>is</w:t>
      </w:r>
      <w:r w:rsidR="00FF26A3" w:rsidRPr="001F40AB">
        <w:t xml:space="preserve"> arbitrary</w:t>
      </w:r>
      <w:r w:rsidR="008A7673" w:rsidRPr="001F40AB">
        <w:t xml:space="preserve"> </w:t>
      </w:r>
      <w:r w:rsidR="00A43E4C" w:rsidRPr="001F40AB">
        <w:t>and amount</w:t>
      </w:r>
      <w:r w:rsidR="00CC0CEB" w:rsidRPr="001F40AB">
        <w:t>s</w:t>
      </w:r>
      <w:r w:rsidR="00A43E4C" w:rsidRPr="001F40AB">
        <w:t xml:space="preserve"> to a denial of justice</w:t>
      </w:r>
      <w:r w:rsidR="008A7673" w:rsidRPr="001F40AB">
        <w:t>.</w:t>
      </w:r>
    </w:p>
    <w:p w:rsidR="00FF26A3" w:rsidRPr="001F40AB" w:rsidRDefault="00D65E3C" w:rsidP="00ED49E1">
      <w:pPr>
        <w:pStyle w:val="SingleTxtG"/>
      </w:pPr>
      <w:r w:rsidRPr="001F40AB">
        <w:t>3.3</w:t>
      </w:r>
      <w:r w:rsidR="00FF26A3" w:rsidRPr="001F40AB">
        <w:tab/>
        <w:t>The</w:t>
      </w:r>
      <w:r w:rsidR="0041584F" w:rsidRPr="001F40AB">
        <w:t xml:space="preserve"> author holds that the</w:t>
      </w:r>
      <w:r w:rsidR="00FF26A3" w:rsidRPr="001F40AB">
        <w:t xml:space="preserve"> </w:t>
      </w:r>
      <w:r w:rsidR="0041584F" w:rsidRPr="001F40AB">
        <w:t>Constitutional Court’s decision declar</w:t>
      </w:r>
      <w:r w:rsidR="000E4547" w:rsidRPr="001F40AB">
        <w:t>ing</w:t>
      </w:r>
      <w:r w:rsidR="0041584F" w:rsidRPr="001F40AB">
        <w:t xml:space="preserve"> his application for </w:t>
      </w:r>
      <w:r w:rsidR="00ED49E1" w:rsidRPr="001F40AB">
        <w:rPr>
          <w:i/>
          <w:iCs/>
        </w:rPr>
        <w:t>amparo</w:t>
      </w:r>
      <w:r w:rsidR="0041584F" w:rsidRPr="001F40AB">
        <w:t xml:space="preserve"> inadmissible </w:t>
      </w:r>
      <w:r w:rsidR="005C56B3" w:rsidRPr="001F40AB">
        <w:t xml:space="preserve">also </w:t>
      </w:r>
      <w:r w:rsidR="0041584F" w:rsidRPr="001F40AB">
        <w:t>constitutes a denial of justice</w:t>
      </w:r>
      <w:r w:rsidR="00A12BEC" w:rsidRPr="001F40AB">
        <w:t xml:space="preserve">. The author argues </w:t>
      </w:r>
      <w:r w:rsidR="00AC33F9" w:rsidRPr="001F40AB">
        <w:t xml:space="preserve">before the Committee </w:t>
      </w:r>
      <w:r w:rsidR="00A12BEC" w:rsidRPr="001F40AB">
        <w:t xml:space="preserve">that </w:t>
      </w:r>
      <w:r w:rsidR="0041584F" w:rsidRPr="001F40AB">
        <w:t>the Court should have consider</w:t>
      </w:r>
      <w:r w:rsidR="00CC0CEB" w:rsidRPr="001F40AB">
        <w:t>ed</w:t>
      </w:r>
      <w:r w:rsidR="0041584F" w:rsidRPr="001F40AB">
        <w:t xml:space="preserve"> his submission of 25</w:t>
      </w:r>
      <w:r w:rsidR="00E86971" w:rsidRPr="001F40AB">
        <w:t> </w:t>
      </w:r>
      <w:r w:rsidR="0041584F" w:rsidRPr="001F40AB">
        <w:t xml:space="preserve">April 2005 as a second application for </w:t>
      </w:r>
      <w:r w:rsidR="00DD5B22" w:rsidRPr="001F40AB">
        <w:rPr>
          <w:i/>
          <w:iCs/>
        </w:rPr>
        <w:t>amparo</w:t>
      </w:r>
      <w:r w:rsidR="000E6ABA" w:rsidRPr="001F40AB">
        <w:t>. He also argues that</w:t>
      </w:r>
      <w:r w:rsidR="00A12BEC" w:rsidRPr="001F40AB">
        <w:t xml:space="preserve"> </w:t>
      </w:r>
      <w:r w:rsidR="000E4547" w:rsidRPr="001F40AB">
        <w:t xml:space="preserve">that </w:t>
      </w:r>
      <w:r w:rsidR="00A12BEC" w:rsidRPr="001F40AB">
        <w:t>submission</w:t>
      </w:r>
      <w:r w:rsidR="0053457D" w:rsidRPr="001F40AB">
        <w:t xml:space="preserve"> exp</w:t>
      </w:r>
      <w:r w:rsidR="000E6ABA" w:rsidRPr="001F40AB">
        <w:t>a</w:t>
      </w:r>
      <w:r w:rsidR="0053457D" w:rsidRPr="001F40AB">
        <w:t xml:space="preserve">nded the original </w:t>
      </w:r>
      <w:r w:rsidR="000E4547" w:rsidRPr="001F40AB">
        <w:t xml:space="preserve">application </w:t>
      </w:r>
      <w:r w:rsidR="0053457D" w:rsidRPr="001F40AB">
        <w:t>submitted on 14 March 2005</w:t>
      </w:r>
      <w:r w:rsidR="0041584F" w:rsidRPr="001F40AB">
        <w:t xml:space="preserve">. </w:t>
      </w:r>
    </w:p>
    <w:p w:rsidR="007C1F31" w:rsidRPr="001F40AB" w:rsidRDefault="0056622D" w:rsidP="0056622D">
      <w:pPr>
        <w:pStyle w:val="H23G"/>
      </w:pPr>
      <w:r w:rsidRPr="001F40AB">
        <w:tab/>
      </w:r>
      <w:r w:rsidRPr="001F40AB">
        <w:tab/>
      </w:r>
      <w:r w:rsidR="00CD71F6" w:rsidRPr="001F40AB">
        <w:t>Issues and proceedings before the Committee</w:t>
      </w:r>
    </w:p>
    <w:p w:rsidR="007C1F31" w:rsidRPr="001F40AB" w:rsidRDefault="007C1F31" w:rsidP="00EE2FA4">
      <w:pPr>
        <w:pStyle w:val="SingleTxtG"/>
        <w:spacing w:line="240" w:lineRule="auto"/>
      </w:pPr>
      <w:r w:rsidRPr="001F40AB">
        <w:t>4.1</w:t>
      </w:r>
      <w:r w:rsidRPr="001F40AB">
        <w:tab/>
      </w:r>
      <w:r w:rsidR="00CD71F6" w:rsidRPr="001F40AB">
        <w:t>Before considering any claim contained in a communication, the Human Rights Committee must determine whether it is admissible under the Optional Protocol to the International Covenant on Civil and Political Rights.</w:t>
      </w:r>
    </w:p>
    <w:p w:rsidR="00E42B2F" w:rsidRPr="001F40AB" w:rsidRDefault="007C1F31" w:rsidP="00D65E3C">
      <w:pPr>
        <w:pStyle w:val="SingleTxtG"/>
      </w:pPr>
      <w:r w:rsidRPr="001F40AB">
        <w:t>4.2</w:t>
      </w:r>
      <w:r w:rsidRPr="001F40AB">
        <w:tab/>
      </w:r>
      <w:r w:rsidR="00576033" w:rsidRPr="001F40AB">
        <w:t>The Committee recalls that, when it ratified the Optional Protocol, Spain entered a reservation excluding the Committee’s competence in matters that had been</w:t>
      </w:r>
      <w:r w:rsidR="00C72490" w:rsidRPr="001F40AB">
        <w:t>,</w:t>
      </w:r>
      <w:r w:rsidR="00576033" w:rsidRPr="001F40AB">
        <w:t xml:space="preserve"> or were being</w:t>
      </w:r>
      <w:r w:rsidR="00C72490" w:rsidRPr="001F40AB">
        <w:t>,</w:t>
      </w:r>
      <w:r w:rsidR="00576033" w:rsidRPr="001F40AB">
        <w:t xml:space="preserve"> examined under another procedure of international investigation or settlement. The Committee also recalls its jurisprudence regarding </w:t>
      </w:r>
      <w:r w:rsidR="00EC406D" w:rsidRPr="001F40AB">
        <w:t>article </w:t>
      </w:r>
      <w:r w:rsidR="00576033" w:rsidRPr="001F40AB">
        <w:t xml:space="preserve">5, </w:t>
      </w:r>
      <w:r w:rsidR="00EC406D" w:rsidRPr="001F40AB">
        <w:t>paragraph </w:t>
      </w:r>
      <w:r w:rsidR="00576033" w:rsidRPr="001F40AB">
        <w:t xml:space="preserve">2 (a), of the Optional Protocol to the effect that when the European Court of Human Rights bases a finding of inadmissibility not only on procedural grounds, but also on grounds arising from some degree of consideration of the substance of the case, the matter should be deemed to have been examined within the meaning of the relevant reservations to </w:t>
      </w:r>
      <w:r w:rsidR="00EC406D" w:rsidRPr="001F40AB">
        <w:t>article </w:t>
      </w:r>
      <w:r w:rsidR="00576033" w:rsidRPr="001F40AB">
        <w:t xml:space="preserve">5, </w:t>
      </w:r>
      <w:r w:rsidR="00EC406D" w:rsidRPr="001F40AB">
        <w:t>paragraph </w:t>
      </w:r>
      <w:r w:rsidR="00576033" w:rsidRPr="001F40AB">
        <w:t>2 (a), of the Optional Protocol.</w:t>
      </w:r>
      <w:r w:rsidR="00576033" w:rsidRPr="001F40AB">
        <w:rPr>
          <w:rStyle w:val="FootnoteReference"/>
        </w:rPr>
        <w:footnoteReference w:id="3"/>
      </w:r>
      <w:r w:rsidR="00576033" w:rsidRPr="001F40AB">
        <w:t xml:space="preserve"> In the instant case, t</w:t>
      </w:r>
      <w:r w:rsidR="00AC33F9" w:rsidRPr="001F40AB">
        <w:t xml:space="preserve">he Committee </w:t>
      </w:r>
      <w:r w:rsidR="00576033" w:rsidRPr="001F40AB">
        <w:t>observes that</w:t>
      </w:r>
      <w:r w:rsidR="00720BCC" w:rsidRPr="001F40AB">
        <w:t xml:space="preserve"> the author’s application was declared inadmissible on procedural grounds by </w:t>
      </w:r>
      <w:r w:rsidR="00AC33F9" w:rsidRPr="001F40AB">
        <w:t>a single</w:t>
      </w:r>
      <w:r w:rsidR="00C72490" w:rsidRPr="001F40AB">
        <w:t>-</w:t>
      </w:r>
      <w:r w:rsidR="00AC33F9" w:rsidRPr="001F40AB">
        <w:t xml:space="preserve">judge formation of the </w:t>
      </w:r>
      <w:r w:rsidR="00C72490" w:rsidRPr="001F40AB">
        <w:t xml:space="preserve">Court </w:t>
      </w:r>
      <w:r w:rsidR="00576033" w:rsidRPr="001F40AB">
        <w:t>since domestic remedies had not been exhausted.</w:t>
      </w:r>
      <w:r w:rsidR="00AC33F9" w:rsidRPr="001F40AB">
        <w:t xml:space="preserve"> </w:t>
      </w:r>
      <w:r w:rsidR="00E42B2F" w:rsidRPr="001F40AB">
        <w:t>Accordingly, t</w:t>
      </w:r>
      <w:r w:rsidR="00576033" w:rsidRPr="001F40AB">
        <w:t xml:space="preserve">he Committee </w:t>
      </w:r>
      <w:r w:rsidR="00E42B2F" w:rsidRPr="001F40AB">
        <w:t xml:space="preserve">considers that </w:t>
      </w:r>
      <w:r w:rsidR="00576033" w:rsidRPr="001F40AB">
        <w:t>it is not precluded from considering the present communication</w:t>
      </w:r>
      <w:r w:rsidR="00E42B2F" w:rsidRPr="001F40AB">
        <w:t xml:space="preserve">, in accordance with </w:t>
      </w:r>
      <w:r w:rsidR="00EC406D" w:rsidRPr="001F40AB">
        <w:t>article </w:t>
      </w:r>
      <w:r w:rsidR="00E42B2F" w:rsidRPr="001F40AB">
        <w:t xml:space="preserve">5, </w:t>
      </w:r>
      <w:r w:rsidR="00EC406D" w:rsidRPr="001F40AB">
        <w:t>paragraph </w:t>
      </w:r>
      <w:r w:rsidR="00E42B2F" w:rsidRPr="001F40AB">
        <w:t>2 (a), of the Optional Protocol.</w:t>
      </w:r>
    </w:p>
    <w:p w:rsidR="00517135" w:rsidRPr="001F40AB" w:rsidRDefault="00D65E3C" w:rsidP="00E47336">
      <w:pPr>
        <w:pStyle w:val="SingleTxtG"/>
      </w:pPr>
      <w:r w:rsidRPr="001F40AB">
        <w:t>4.3</w:t>
      </w:r>
      <w:r w:rsidR="00E42B2F" w:rsidRPr="001F40AB">
        <w:tab/>
      </w:r>
      <w:r w:rsidR="0083704B" w:rsidRPr="001F40AB">
        <w:t xml:space="preserve">The Committee takes note of the author’s </w:t>
      </w:r>
      <w:r w:rsidR="008B762B" w:rsidRPr="001F40AB">
        <w:t>claims</w:t>
      </w:r>
      <w:r w:rsidR="00365D5A" w:rsidRPr="001F40AB">
        <w:t xml:space="preserve"> under </w:t>
      </w:r>
      <w:r w:rsidR="00EC406D" w:rsidRPr="001F40AB">
        <w:t>article </w:t>
      </w:r>
      <w:r w:rsidR="00365D5A" w:rsidRPr="001F40AB">
        <w:t xml:space="preserve">14, </w:t>
      </w:r>
      <w:r w:rsidR="00EC406D" w:rsidRPr="001F40AB">
        <w:t>paragraph </w:t>
      </w:r>
      <w:r w:rsidR="00365D5A" w:rsidRPr="001F40AB">
        <w:t>1,</w:t>
      </w:r>
      <w:r w:rsidR="0083704B" w:rsidRPr="001F40AB">
        <w:t xml:space="preserve"> that the </w:t>
      </w:r>
      <w:r w:rsidR="000E6ABA" w:rsidRPr="001F40AB">
        <w:t xml:space="preserve">administrative and judicial </w:t>
      </w:r>
      <w:r w:rsidR="0083704B" w:rsidRPr="001F40AB">
        <w:t xml:space="preserve">decisions against him were not based </w:t>
      </w:r>
      <w:r w:rsidR="0083704B" w:rsidRPr="001F40AB">
        <w:rPr>
          <w:color w:val="000000"/>
        </w:rPr>
        <w:t>on sufficient evidence</w:t>
      </w:r>
      <w:r w:rsidR="000E6ABA" w:rsidRPr="001F40AB">
        <w:rPr>
          <w:color w:val="000000"/>
        </w:rPr>
        <w:t>,</w:t>
      </w:r>
      <w:r w:rsidR="0083704B" w:rsidRPr="001F40AB">
        <w:rPr>
          <w:color w:val="000000"/>
        </w:rPr>
        <w:t xml:space="preserve"> since the only relevant </w:t>
      </w:r>
      <w:r w:rsidR="00181E85" w:rsidRPr="001F40AB">
        <w:rPr>
          <w:color w:val="000000"/>
        </w:rPr>
        <w:t>proof</w:t>
      </w:r>
      <w:r w:rsidR="0083704B" w:rsidRPr="001F40AB">
        <w:rPr>
          <w:color w:val="000000"/>
        </w:rPr>
        <w:t xml:space="preserve"> submitted by the Tax Agency was declare</w:t>
      </w:r>
      <w:r w:rsidR="000E6ABA" w:rsidRPr="001F40AB">
        <w:rPr>
          <w:color w:val="000000"/>
        </w:rPr>
        <w:t>d</w:t>
      </w:r>
      <w:r w:rsidR="0083704B" w:rsidRPr="001F40AB">
        <w:rPr>
          <w:color w:val="000000"/>
        </w:rPr>
        <w:t xml:space="preserve"> inadmissible by the High Court</w:t>
      </w:r>
      <w:r w:rsidR="008B762B" w:rsidRPr="001F40AB">
        <w:rPr>
          <w:color w:val="000000"/>
        </w:rPr>
        <w:t>; and that the denial of his request for leave to appeal in cassation constitutes a denial of justice</w:t>
      </w:r>
      <w:r w:rsidR="00365D5A" w:rsidRPr="001F40AB">
        <w:rPr>
          <w:color w:val="000000"/>
        </w:rPr>
        <w:t>.</w:t>
      </w:r>
      <w:r w:rsidR="00365D5A" w:rsidRPr="001F40AB">
        <w:t xml:space="preserve"> The Committee notes that th</w:t>
      </w:r>
      <w:r w:rsidR="009B12AA" w:rsidRPr="001F40AB">
        <w:t>o</w:t>
      </w:r>
      <w:r w:rsidR="008B762B" w:rsidRPr="001F40AB">
        <w:t>se</w:t>
      </w:r>
      <w:r w:rsidR="00365D5A" w:rsidRPr="001F40AB">
        <w:t xml:space="preserve"> claim</w:t>
      </w:r>
      <w:r w:rsidR="008B762B" w:rsidRPr="001F40AB">
        <w:t>s</w:t>
      </w:r>
      <w:r w:rsidR="00365D5A" w:rsidRPr="001F40AB">
        <w:t xml:space="preserve"> refer to the evaluation of the facts and the evidence</w:t>
      </w:r>
      <w:r w:rsidR="005D7145" w:rsidRPr="001F40AB">
        <w:t>,</w:t>
      </w:r>
      <w:r w:rsidR="00365D5A" w:rsidRPr="001F40AB">
        <w:t xml:space="preserve"> </w:t>
      </w:r>
      <w:r w:rsidR="008B762B" w:rsidRPr="001F40AB">
        <w:t xml:space="preserve">and the application of domestic legislation </w:t>
      </w:r>
      <w:r w:rsidR="00365D5A" w:rsidRPr="001F40AB">
        <w:t>by the courts of the State party.</w:t>
      </w:r>
      <w:r w:rsidR="008B762B" w:rsidRPr="001F40AB">
        <w:t xml:space="preserve"> </w:t>
      </w:r>
      <w:r w:rsidR="00365D5A" w:rsidRPr="001F40AB">
        <w:t>The Committee recalls its jurisprudence according to which it is incumbent on the courts of States parties to evaluate the facts and the evidence in each case, or the application of domestic legislation, unless it can be shown that such evaluation or application was clearly arbitrary or amounted to a manifest error or denial of justice.</w:t>
      </w:r>
      <w:r w:rsidR="00365D5A" w:rsidRPr="001F40AB">
        <w:rPr>
          <w:rStyle w:val="FootnoteReference"/>
        </w:rPr>
        <w:footnoteReference w:id="4"/>
      </w:r>
      <w:r w:rsidR="00365D5A" w:rsidRPr="001F40AB">
        <w:t xml:space="preserve"> </w:t>
      </w:r>
      <w:r w:rsidR="007F1BEB" w:rsidRPr="001F40AB">
        <w:t>The Committee has examined the materials submitted by the author, including the High Court and Supreme Court decisions of 28 September, 2 November 2004 and 1 April 2005</w:t>
      </w:r>
      <w:r w:rsidR="000E6ABA" w:rsidRPr="001F40AB">
        <w:t xml:space="preserve">, and </w:t>
      </w:r>
      <w:r w:rsidR="007F1BEB" w:rsidRPr="001F40AB">
        <w:t>considers that th</w:t>
      </w:r>
      <w:r w:rsidR="007A64F6" w:rsidRPr="001F40AB">
        <w:t>o</w:t>
      </w:r>
      <w:r w:rsidR="007F1BEB" w:rsidRPr="001F40AB">
        <w:t xml:space="preserve">se materials do not show that the proceedings against the author </w:t>
      </w:r>
      <w:r w:rsidR="007A64F6" w:rsidRPr="001F40AB">
        <w:t>were</w:t>
      </w:r>
      <w:r w:rsidR="007F1BEB" w:rsidRPr="001F40AB">
        <w:t xml:space="preserve"> defect</w:t>
      </w:r>
      <w:r w:rsidR="007A64F6" w:rsidRPr="001F40AB">
        <w:t>ive</w:t>
      </w:r>
      <w:r w:rsidR="0046224F" w:rsidRPr="001F40AB">
        <w:t xml:space="preserve">. </w:t>
      </w:r>
      <w:r w:rsidR="00365D5A" w:rsidRPr="001F40AB">
        <w:t xml:space="preserve">The Committee </w:t>
      </w:r>
      <w:r w:rsidR="007F1BEB" w:rsidRPr="001F40AB">
        <w:t>also takes note of the author</w:t>
      </w:r>
      <w:r w:rsidR="000E6ABA" w:rsidRPr="001F40AB">
        <w:t>’s</w:t>
      </w:r>
      <w:r w:rsidR="007F1BEB" w:rsidRPr="001F40AB">
        <w:t xml:space="preserve"> claim</w:t>
      </w:r>
      <w:r w:rsidR="000E6ABA" w:rsidRPr="001F40AB">
        <w:t xml:space="preserve"> </w:t>
      </w:r>
      <w:r w:rsidR="007F1BEB" w:rsidRPr="001F40AB">
        <w:t>that the Constitutional Court’s decision of 11 December 2006 constitutes a denial of justice</w:t>
      </w:r>
      <w:r w:rsidR="000E6ABA" w:rsidRPr="001F40AB">
        <w:t>,</w:t>
      </w:r>
      <w:r w:rsidR="007F1BEB" w:rsidRPr="001F40AB">
        <w:t xml:space="preserve"> as the </w:t>
      </w:r>
      <w:r w:rsidR="007F1BEB" w:rsidRPr="001F40AB">
        <w:rPr>
          <w:color w:val="000000"/>
        </w:rPr>
        <w:t xml:space="preserve">Court should have considered his submission of 25 April 2005 as a second application for </w:t>
      </w:r>
      <w:r w:rsidR="00DD5B22" w:rsidRPr="001F40AB">
        <w:rPr>
          <w:i/>
          <w:iCs/>
          <w:color w:val="000000"/>
        </w:rPr>
        <w:t>amparo</w:t>
      </w:r>
      <w:r w:rsidR="007F1BEB" w:rsidRPr="001F40AB">
        <w:rPr>
          <w:color w:val="000000"/>
        </w:rPr>
        <w:t>.</w:t>
      </w:r>
      <w:r w:rsidR="007F1BEB" w:rsidRPr="001F40AB">
        <w:t xml:space="preserve"> </w:t>
      </w:r>
      <w:r w:rsidR="0046224F" w:rsidRPr="001F40AB">
        <w:t>H</w:t>
      </w:r>
      <w:r w:rsidR="007F1BEB" w:rsidRPr="001F40AB">
        <w:t xml:space="preserve">owever, </w:t>
      </w:r>
      <w:r w:rsidR="000E6ABA" w:rsidRPr="001F40AB">
        <w:t xml:space="preserve">the Committee notes that </w:t>
      </w:r>
      <w:r w:rsidR="00C72490" w:rsidRPr="001F40AB">
        <w:t xml:space="preserve">it cannot be concluded </w:t>
      </w:r>
      <w:r w:rsidR="00D202BB" w:rsidRPr="001F40AB">
        <w:t xml:space="preserve">from the </w:t>
      </w:r>
      <w:r w:rsidR="0046224F" w:rsidRPr="001F40AB">
        <w:t xml:space="preserve">wording of the </w:t>
      </w:r>
      <w:r w:rsidR="00D202BB" w:rsidRPr="001F40AB">
        <w:t>author’s submission to the Constitutional Court of 25 April 2005 that</w:t>
      </w:r>
      <w:r w:rsidR="000E6ABA" w:rsidRPr="001F40AB">
        <w:t xml:space="preserve"> his purpose was</w:t>
      </w:r>
      <w:r w:rsidR="00D202BB" w:rsidRPr="001F40AB">
        <w:t xml:space="preserve"> to submit a second request for </w:t>
      </w:r>
      <w:r w:rsidR="00DD5B22" w:rsidRPr="001F40AB">
        <w:rPr>
          <w:i/>
          <w:iCs/>
          <w:color w:val="000000"/>
        </w:rPr>
        <w:lastRenderedPageBreak/>
        <w:t>amparo</w:t>
      </w:r>
      <w:r w:rsidR="00D202BB" w:rsidRPr="001F40AB">
        <w:t xml:space="preserve"> </w:t>
      </w:r>
      <w:r w:rsidR="00C72490" w:rsidRPr="001F40AB">
        <w:t xml:space="preserve">separate </w:t>
      </w:r>
      <w:r w:rsidR="000E6ABA" w:rsidRPr="001F40AB">
        <w:t xml:space="preserve">from </w:t>
      </w:r>
      <w:r w:rsidR="00C72490" w:rsidRPr="001F40AB">
        <w:t>that</w:t>
      </w:r>
      <w:r w:rsidR="000E6ABA" w:rsidRPr="001F40AB">
        <w:t xml:space="preserve"> filed </w:t>
      </w:r>
      <w:r w:rsidR="00C72490" w:rsidRPr="001F40AB">
        <w:t xml:space="preserve">by him </w:t>
      </w:r>
      <w:r w:rsidR="000E6ABA" w:rsidRPr="001F40AB">
        <w:t>on 14 March 2005</w:t>
      </w:r>
      <w:r w:rsidR="00D202BB" w:rsidRPr="001F40AB">
        <w:t xml:space="preserve">. Nor does </w:t>
      </w:r>
      <w:r w:rsidR="000E6ABA" w:rsidRPr="001F40AB">
        <w:t>he</w:t>
      </w:r>
      <w:r w:rsidR="00D202BB" w:rsidRPr="001F40AB">
        <w:t xml:space="preserve"> explain </w:t>
      </w:r>
      <w:r w:rsidR="000317C7" w:rsidRPr="001F40AB">
        <w:t xml:space="preserve">the reasons </w:t>
      </w:r>
      <w:r w:rsidR="000E6ABA" w:rsidRPr="001F40AB">
        <w:t>for</w:t>
      </w:r>
      <w:r w:rsidR="000317C7" w:rsidRPr="001F40AB">
        <w:t xml:space="preserve"> </w:t>
      </w:r>
      <w:r w:rsidR="00C72490" w:rsidRPr="001F40AB">
        <w:t>for which he</w:t>
      </w:r>
      <w:r w:rsidR="000317C7" w:rsidRPr="001F40AB">
        <w:t xml:space="preserve"> lodge</w:t>
      </w:r>
      <w:r w:rsidR="00C72490" w:rsidRPr="001F40AB">
        <w:t>d</w:t>
      </w:r>
      <w:r w:rsidR="000317C7" w:rsidRPr="001F40AB">
        <w:t xml:space="preserve"> </w:t>
      </w:r>
      <w:r w:rsidR="000E6ABA" w:rsidRPr="001F40AB">
        <w:t>an</w:t>
      </w:r>
      <w:r w:rsidR="000317C7" w:rsidRPr="001F40AB">
        <w:t xml:space="preserve"> application </w:t>
      </w:r>
      <w:r w:rsidR="000A55B2" w:rsidRPr="001F40AB">
        <w:t xml:space="preserve">on </w:t>
      </w:r>
      <w:r w:rsidR="000317C7" w:rsidRPr="001F40AB">
        <w:t>14 March 2005</w:t>
      </w:r>
      <w:r w:rsidR="000E6ABA" w:rsidRPr="001F40AB">
        <w:t>,</w:t>
      </w:r>
      <w:r w:rsidR="000317C7" w:rsidRPr="001F40AB">
        <w:t xml:space="preserve"> while his </w:t>
      </w:r>
      <w:r w:rsidR="00BB295E" w:rsidRPr="001F40AB">
        <w:t>complaint proceedings</w:t>
      </w:r>
      <w:r w:rsidR="000317C7" w:rsidRPr="001F40AB">
        <w:t xml:space="preserve"> </w:t>
      </w:r>
      <w:r w:rsidR="00BB295E" w:rsidRPr="001F40AB">
        <w:t xml:space="preserve">were </w:t>
      </w:r>
      <w:r w:rsidR="000317C7" w:rsidRPr="001F40AB">
        <w:t>still pending before the Supreme Court</w:t>
      </w:r>
      <w:r w:rsidR="000E6ABA" w:rsidRPr="001F40AB">
        <w:t>. Furthermore, he does not indicate whether</w:t>
      </w:r>
      <w:r w:rsidR="00FE18B8" w:rsidRPr="001F40AB">
        <w:t>,</w:t>
      </w:r>
      <w:r w:rsidR="000E6ABA" w:rsidRPr="001F40AB">
        <w:t xml:space="preserve"> </w:t>
      </w:r>
      <w:r w:rsidR="00FE18B8" w:rsidRPr="001F40AB">
        <w:t xml:space="preserve">under </w:t>
      </w:r>
      <w:r w:rsidR="000E6ABA" w:rsidRPr="001F40AB">
        <w:t>the Organic Law of the Constitutional Court</w:t>
      </w:r>
      <w:r w:rsidR="00FE18B8" w:rsidRPr="001F40AB">
        <w:t>,</w:t>
      </w:r>
      <w:r w:rsidR="000E6ABA" w:rsidRPr="001F40AB">
        <w:t xml:space="preserve"> applicants </w:t>
      </w:r>
      <w:r w:rsidR="00FE18B8" w:rsidRPr="001F40AB">
        <w:t xml:space="preserve">are allowed </w:t>
      </w:r>
      <w:r w:rsidR="000E6ABA" w:rsidRPr="001F40AB">
        <w:t>to expand or amend their original applications in order to comply with the admissibility criteria.</w:t>
      </w:r>
      <w:r w:rsidR="00D202BB" w:rsidRPr="001F40AB">
        <w:t xml:space="preserve"> </w:t>
      </w:r>
      <w:r w:rsidR="00365D5A" w:rsidRPr="001F40AB">
        <w:t>Accordingly, the Committee considers that the author has failed to provide sufficient substantiation of his claim</w:t>
      </w:r>
      <w:r w:rsidR="0046224F" w:rsidRPr="001F40AB">
        <w:t>s</w:t>
      </w:r>
      <w:r w:rsidR="00365D5A" w:rsidRPr="001F40AB">
        <w:t xml:space="preserve"> and </w:t>
      </w:r>
      <w:r w:rsidR="005F18E1" w:rsidRPr="001F40AB">
        <w:rPr>
          <w:color w:val="000000"/>
        </w:rPr>
        <w:t xml:space="preserve">concludes that the present communication is inadmissible under </w:t>
      </w:r>
      <w:r w:rsidR="00EC406D" w:rsidRPr="001F40AB">
        <w:rPr>
          <w:color w:val="000000"/>
        </w:rPr>
        <w:t>article </w:t>
      </w:r>
      <w:r w:rsidR="005D66A9" w:rsidRPr="001F40AB">
        <w:rPr>
          <w:color w:val="000000"/>
        </w:rPr>
        <w:t>2</w:t>
      </w:r>
      <w:r w:rsidR="005F18E1" w:rsidRPr="001F40AB">
        <w:rPr>
          <w:color w:val="000000"/>
        </w:rPr>
        <w:t xml:space="preserve"> of the Optional Protocol.</w:t>
      </w:r>
    </w:p>
    <w:p w:rsidR="007C1F31" w:rsidRPr="001F40AB" w:rsidRDefault="00CD71F6" w:rsidP="00EE2FA4">
      <w:pPr>
        <w:pStyle w:val="SingleTxtG"/>
        <w:spacing w:line="240" w:lineRule="auto"/>
      </w:pPr>
      <w:r w:rsidRPr="001F40AB">
        <w:t>5</w:t>
      </w:r>
      <w:r w:rsidR="001B7D7D" w:rsidRPr="001F40AB">
        <w:t>.</w:t>
      </w:r>
      <w:r w:rsidR="007C1F31" w:rsidRPr="001F40AB">
        <w:tab/>
      </w:r>
      <w:r w:rsidRPr="001F40AB">
        <w:t>The Human Rights Committee therefore decides:</w:t>
      </w:r>
    </w:p>
    <w:p w:rsidR="007C1F31" w:rsidRPr="001F40AB" w:rsidRDefault="001B7D7D" w:rsidP="00EE2FA4">
      <w:pPr>
        <w:pStyle w:val="SingleTxtG"/>
        <w:spacing w:line="240" w:lineRule="auto"/>
        <w:ind w:firstLine="567"/>
      </w:pPr>
      <w:r w:rsidRPr="001F40AB">
        <w:t>(a)</w:t>
      </w:r>
      <w:r w:rsidRPr="001F40AB">
        <w:tab/>
        <w:t xml:space="preserve">That the communication is inadmissible under </w:t>
      </w:r>
      <w:r w:rsidR="00EC406D" w:rsidRPr="001F40AB">
        <w:t>article </w:t>
      </w:r>
      <w:r w:rsidR="005D66A9" w:rsidRPr="001F40AB">
        <w:t>2</w:t>
      </w:r>
      <w:r w:rsidRPr="001F40AB">
        <w:t xml:space="preserve"> of the Optional Protocol;</w:t>
      </w:r>
    </w:p>
    <w:p w:rsidR="001B7D7D" w:rsidRDefault="001B7D7D" w:rsidP="00D239F7">
      <w:pPr>
        <w:pStyle w:val="SingleTxtG"/>
        <w:spacing w:line="240" w:lineRule="auto"/>
        <w:ind w:firstLine="567"/>
      </w:pPr>
      <w:r w:rsidRPr="001F40AB">
        <w:t>(b)</w:t>
      </w:r>
      <w:r w:rsidRPr="001F40AB">
        <w:tab/>
        <w:t>That the decision be transmitted to the State party and to the author.</w:t>
      </w:r>
    </w:p>
    <w:p w:rsidR="007C1F31" w:rsidRPr="007C1F31" w:rsidRDefault="007C1F31" w:rsidP="007C1F31">
      <w:pPr>
        <w:pStyle w:val="SingleTxtG"/>
        <w:jc w:val="center"/>
      </w:pPr>
      <w:r>
        <w:rPr>
          <w:u w:val="single"/>
        </w:rPr>
        <w:tab/>
      </w:r>
      <w:r>
        <w:rPr>
          <w:u w:val="single"/>
        </w:rPr>
        <w:tab/>
      </w:r>
      <w:r>
        <w:rPr>
          <w:u w:val="single"/>
        </w:rPr>
        <w:tab/>
      </w:r>
    </w:p>
    <w:sectPr w:rsidR="007C1F31" w:rsidRPr="007C1F31" w:rsidSect="00EC406D">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0C" w:rsidRDefault="00374A0C"/>
  </w:endnote>
  <w:endnote w:type="continuationSeparator" w:id="0">
    <w:p w:rsidR="00374A0C" w:rsidRDefault="00374A0C"/>
  </w:endnote>
  <w:endnote w:type="continuationNotice" w:id="1">
    <w:p w:rsidR="00374A0C" w:rsidRDefault="0037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9D" w:rsidRPr="00EF1126" w:rsidRDefault="00EE139D" w:rsidP="007C1F31">
    <w:pPr>
      <w:pStyle w:val="Footer"/>
      <w:tabs>
        <w:tab w:val="right" w:pos="9638"/>
      </w:tabs>
      <w:rPr>
        <w:sz w:val="18"/>
        <w:szCs w:val="18"/>
      </w:rPr>
    </w:pPr>
    <w:r w:rsidRPr="00EF1126">
      <w:rPr>
        <w:b/>
        <w:sz w:val="18"/>
        <w:szCs w:val="18"/>
      </w:rPr>
      <w:fldChar w:fldCharType="begin"/>
    </w:r>
    <w:r w:rsidRPr="00EF1126">
      <w:rPr>
        <w:b/>
        <w:sz w:val="18"/>
        <w:szCs w:val="18"/>
      </w:rPr>
      <w:instrText xml:space="preserve"> PAGE  \* MERGEFORMAT </w:instrText>
    </w:r>
    <w:r w:rsidRPr="00EF1126">
      <w:rPr>
        <w:b/>
        <w:sz w:val="18"/>
        <w:szCs w:val="18"/>
      </w:rPr>
      <w:fldChar w:fldCharType="separate"/>
    </w:r>
    <w:r w:rsidR="001B1F00">
      <w:rPr>
        <w:b/>
        <w:noProof/>
        <w:sz w:val="18"/>
        <w:szCs w:val="18"/>
      </w:rPr>
      <w:t>2</w:t>
    </w:r>
    <w:r w:rsidRPr="00EF1126">
      <w:rPr>
        <w:b/>
        <w:sz w:val="18"/>
        <w:szCs w:val="18"/>
      </w:rPr>
      <w:fldChar w:fldCharType="end"/>
    </w:r>
    <w:r w:rsidRPr="00EF1126">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9D" w:rsidRPr="007C1F31" w:rsidRDefault="00EE139D" w:rsidP="007C1F31">
    <w:pPr>
      <w:pStyle w:val="Footer"/>
      <w:tabs>
        <w:tab w:val="right" w:pos="9638"/>
      </w:tabs>
      <w:rPr>
        <w:b/>
        <w:sz w:val="18"/>
      </w:rPr>
    </w:pPr>
    <w:r>
      <w:tab/>
    </w:r>
    <w:r w:rsidRPr="007C1F31">
      <w:rPr>
        <w:b/>
        <w:sz w:val="18"/>
      </w:rPr>
      <w:fldChar w:fldCharType="begin"/>
    </w:r>
    <w:r w:rsidRPr="007C1F31">
      <w:rPr>
        <w:b/>
        <w:sz w:val="18"/>
      </w:rPr>
      <w:instrText xml:space="preserve"> PAGE  \* MERGEFORMAT </w:instrText>
    </w:r>
    <w:r w:rsidRPr="007C1F31">
      <w:rPr>
        <w:b/>
        <w:sz w:val="18"/>
      </w:rPr>
      <w:fldChar w:fldCharType="separate"/>
    </w:r>
    <w:r w:rsidR="001B1F00">
      <w:rPr>
        <w:b/>
        <w:noProof/>
        <w:sz w:val="18"/>
      </w:rPr>
      <w:t>3</w:t>
    </w:r>
    <w:r w:rsidRPr="007C1F3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9D" w:rsidRPr="00EF1126" w:rsidRDefault="00374A0C">
    <w:pPr>
      <w:pStyle w:val="Footer"/>
      <w:rPr>
        <w:sz w:val="20"/>
      </w:rPr>
    </w:pPr>
    <w:r>
      <w:rPr>
        <w:noProof/>
        <w:sz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pt;margin-top:646.25pt;width:73.25pt;height:18.15pt;z-index:1;mso-position-horizontal-relative:margin;mso-position-vertical-relative:margin">
          <v:imagedata r:id="rId1" o:title="recycle_English"/>
          <w10:wrap anchorx="margin" anchory="margin"/>
        </v:shape>
      </w:pict>
    </w:r>
    <w:r w:rsidR="00EE139D" w:rsidRPr="00EF1126">
      <w:rPr>
        <w:sz w:val="20"/>
      </w:rPr>
      <w:t>GE.14-</w:t>
    </w:r>
    <w:r w:rsidR="006C5B79">
      <w:rPr>
        <w:sz w:val="20"/>
      </w:rPr>
      <w:t>22796</w:t>
    </w:r>
    <w:r w:rsidR="00F7589F">
      <w:rPr>
        <w:sz w:val="20"/>
      </w:rPr>
      <w:t xml:space="preserve">  (E)</w:t>
    </w:r>
    <w:r w:rsidR="00F7589F">
      <w:rPr>
        <w:sz w:val="20"/>
      </w:rPr>
      <w:br/>
    </w:r>
    <w:r w:rsidR="00F7589F" w:rsidRPr="00F7589F">
      <w:rPr>
        <w:rFonts w:ascii="C39T30Lfz" w:hAnsi="C39T30Lfz"/>
        <w:sz w:val="56"/>
      </w:rPr>
      <w:t></w:t>
    </w:r>
    <w:r w:rsidR="00F7589F" w:rsidRPr="00F7589F">
      <w:rPr>
        <w:rFonts w:ascii="C39T30Lfz" w:hAnsi="C39T30Lfz"/>
        <w:sz w:val="56"/>
      </w:rPr>
      <w:t></w:t>
    </w:r>
    <w:r w:rsidR="00F7589F" w:rsidRPr="00F7589F">
      <w:rPr>
        <w:rFonts w:ascii="C39T30Lfz" w:hAnsi="C39T30Lfz"/>
        <w:sz w:val="56"/>
      </w:rPr>
      <w:t></w:t>
    </w:r>
    <w:r w:rsidR="00F7589F" w:rsidRPr="00F7589F">
      <w:rPr>
        <w:rFonts w:ascii="C39T30Lfz" w:hAnsi="C39T30Lfz"/>
        <w:sz w:val="56"/>
      </w:rPr>
      <w:t></w:t>
    </w:r>
    <w:r w:rsidR="00F7589F" w:rsidRPr="00F7589F">
      <w:rPr>
        <w:rFonts w:ascii="C39T30Lfz" w:hAnsi="C39T30Lfz"/>
        <w:sz w:val="56"/>
      </w:rPr>
      <w:t></w:t>
    </w:r>
    <w:r w:rsidR="00F7589F" w:rsidRPr="00F7589F">
      <w:rPr>
        <w:rFonts w:ascii="C39T30Lfz" w:hAnsi="C39T30Lfz"/>
        <w:sz w:val="56"/>
      </w:rPr>
      <w:t></w:t>
    </w:r>
    <w:r w:rsidR="00F7589F" w:rsidRPr="00F7589F">
      <w:rPr>
        <w:rFonts w:ascii="C39T30Lfz" w:hAnsi="C39T30Lfz"/>
        <w:sz w:val="56"/>
      </w:rPr>
      <w:t></w:t>
    </w:r>
    <w:r w:rsidR="00F7589F" w:rsidRPr="00F7589F">
      <w:rPr>
        <w:rFonts w:ascii="C39T30Lfz" w:hAnsi="C39T30Lfz"/>
        <w:sz w:val="56"/>
      </w:rPr>
      <w:t></w:t>
    </w:r>
    <w:r w:rsidR="00F7589F" w:rsidRPr="00F7589F">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0C" w:rsidRPr="000B175B" w:rsidRDefault="00374A0C" w:rsidP="000B175B">
      <w:pPr>
        <w:tabs>
          <w:tab w:val="right" w:pos="2155"/>
        </w:tabs>
        <w:spacing w:after="80"/>
        <w:ind w:left="680"/>
        <w:rPr>
          <w:u w:val="single"/>
        </w:rPr>
      </w:pPr>
      <w:r>
        <w:rPr>
          <w:u w:val="single"/>
        </w:rPr>
        <w:tab/>
      </w:r>
    </w:p>
  </w:footnote>
  <w:footnote w:type="continuationSeparator" w:id="0">
    <w:p w:rsidR="00374A0C" w:rsidRPr="00FC68B7" w:rsidRDefault="00374A0C" w:rsidP="00FC68B7">
      <w:pPr>
        <w:tabs>
          <w:tab w:val="left" w:pos="2155"/>
        </w:tabs>
        <w:spacing w:after="80"/>
        <w:ind w:left="680"/>
        <w:rPr>
          <w:u w:val="single"/>
        </w:rPr>
      </w:pPr>
      <w:r>
        <w:rPr>
          <w:u w:val="single"/>
        </w:rPr>
        <w:tab/>
      </w:r>
    </w:p>
  </w:footnote>
  <w:footnote w:type="continuationNotice" w:id="1">
    <w:p w:rsidR="00374A0C" w:rsidRDefault="00374A0C"/>
  </w:footnote>
  <w:footnote w:id="2">
    <w:p w:rsidR="00EE139D" w:rsidRPr="001F40AB" w:rsidRDefault="00EE139D" w:rsidP="006E787F">
      <w:pPr>
        <w:pStyle w:val="FootnoteText"/>
      </w:pPr>
      <w:r>
        <w:rPr>
          <w:rStyle w:val="FootnoteReference"/>
        </w:rPr>
        <w:tab/>
      </w:r>
      <w:r w:rsidRPr="001F40AB">
        <w:rPr>
          <w:rStyle w:val="FootnoteReference"/>
          <w:sz w:val="20"/>
          <w:vertAlign w:val="baseline"/>
        </w:rPr>
        <w:t>*</w:t>
      </w:r>
      <w:r w:rsidRPr="001F40AB">
        <w:rPr>
          <w:rStyle w:val="FootnoteReference"/>
          <w:sz w:val="20"/>
          <w:vertAlign w:val="baseline"/>
        </w:rPr>
        <w:tab/>
      </w:r>
      <w:r w:rsidRPr="001F40AB">
        <w:rPr>
          <w:szCs w:val="18"/>
        </w:rPr>
        <w:t>The following members of the Committee participated in the examination of the present communication: Yadh Ben Achour, Lazhari Bouzid, Christine Chanet, Ahmad Amin Fathalla, Cornelis Flinterman, Walter Kälin, Yuji Iwasawa, Zonke Zanele Majodina, Gerald L. Neuman, Sir</w:t>
      </w:r>
      <w:r w:rsidR="006E787F" w:rsidRPr="001F40AB">
        <w:rPr>
          <w:szCs w:val="18"/>
        </w:rPr>
        <w:t> </w:t>
      </w:r>
      <w:r w:rsidRPr="001F40AB">
        <w:rPr>
          <w:szCs w:val="18"/>
        </w:rPr>
        <w:t>Nigel Rodley, Víctor Manuel Rodríguez-Rescia, Fabián Omar Salvioli, Anja Seibert-Fohr, Dheerujlall Seetulsingh, Yuval Shany, Konstantine Varzelashvili, Margo Waterval and Andrei Paul Zlătescu.</w:t>
      </w:r>
    </w:p>
  </w:footnote>
  <w:footnote w:id="3">
    <w:p w:rsidR="00EE139D" w:rsidRPr="001F40AB" w:rsidRDefault="00EE139D" w:rsidP="00D65E3C">
      <w:pPr>
        <w:pStyle w:val="FootnoteText"/>
      </w:pPr>
      <w:r w:rsidRPr="001F40AB">
        <w:tab/>
      </w:r>
      <w:r w:rsidRPr="001F40AB">
        <w:rPr>
          <w:rStyle w:val="FootnoteReference"/>
        </w:rPr>
        <w:footnoteRef/>
      </w:r>
      <w:r w:rsidRPr="001F40AB">
        <w:tab/>
        <w:t xml:space="preserve">Communication No. 944/2000, </w:t>
      </w:r>
      <w:r w:rsidRPr="001F40AB">
        <w:rPr>
          <w:i/>
          <w:iCs/>
        </w:rPr>
        <w:t xml:space="preserve">Mahabir </w:t>
      </w:r>
      <w:r w:rsidRPr="001F40AB">
        <w:rPr>
          <w:iCs/>
        </w:rPr>
        <w:t>v.</w:t>
      </w:r>
      <w:r w:rsidRPr="001F40AB">
        <w:rPr>
          <w:i/>
          <w:iCs/>
        </w:rPr>
        <w:t xml:space="preserve"> Austria</w:t>
      </w:r>
      <w:r w:rsidRPr="001F40AB">
        <w:t>, decision on inadmissibility of 26 October 2004, paras. 8.3 and 8.4.</w:t>
      </w:r>
    </w:p>
  </w:footnote>
  <w:footnote w:id="4">
    <w:p w:rsidR="00EE139D" w:rsidRDefault="00EE139D" w:rsidP="00D65E3C">
      <w:pPr>
        <w:pStyle w:val="FootnoteText"/>
      </w:pPr>
      <w:r w:rsidRPr="001F40AB">
        <w:tab/>
      </w:r>
      <w:r w:rsidRPr="001F40AB">
        <w:rPr>
          <w:rStyle w:val="FootnoteReference"/>
        </w:rPr>
        <w:footnoteRef/>
      </w:r>
      <w:r w:rsidRPr="001F40AB">
        <w:tab/>
        <w:t xml:space="preserve">See communication No. 1616/2007, </w:t>
      </w:r>
      <w:r w:rsidRPr="001F40AB">
        <w:rPr>
          <w:i/>
          <w:iCs/>
        </w:rPr>
        <w:t xml:space="preserve">Manzano et al. </w:t>
      </w:r>
      <w:r w:rsidRPr="001F40AB">
        <w:rPr>
          <w:iCs/>
        </w:rPr>
        <w:t>v.</w:t>
      </w:r>
      <w:r w:rsidRPr="001F40AB">
        <w:rPr>
          <w:i/>
          <w:iCs/>
        </w:rPr>
        <w:t xml:space="preserve"> Colombia</w:t>
      </w:r>
      <w:r w:rsidRPr="001F40AB">
        <w:t xml:space="preserve">, decision adopted on 19 March 2010, para. 6.4; communication No. 1622/2007, </w:t>
      </w:r>
      <w:r w:rsidRPr="001F40AB">
        <w:rPr>
          <w:i/>
          <w:iCs/>
        </w:rPr>
        <w:t xml:space="preserve">L.D.L.P. </w:t>
      </w:r>
      <w:r w:rsidRPr="001F40AB">
        <w:rPr>
          <w:iCs/>
        </w:rPr>
        <w:t>v.</w:t>
      </w:r>
      <w:r w:rsidRPr="001F40AB">
        <w:rPr>
          <w:i/>
          <w:iCs/>
        </w:rPr>
        <w:t xml:space="preserve"> Spain</w:t>
      </w:r>
      <w:r w:rsidRPr="001F40AB">
        <w:t>, decision adopted on 26 July 2011, para.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9D" w:rsidRPr="007C1F31" w:rsidRDefault="00EE139D" w:rsidP="003B05F7">
    <w:pPr>
      <w:pStyle w:val="Header"/>
    </w:pPr>
    <w:r>
      <w:t>CCPR/C/112/D/2070/2011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9D" w:rsidRPr="007C1F31" w:rsidRDefault="00EE139D" w:rsidP="003B05F7">
    <w:pPr>
      <w:pStyle w:val="Header"/>
      <w:jc w:val="right"/>
    </w:pPr>
    <w:r>
      <w:t>CCPR/C/112/D/2070/2011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1A3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57E679C2"/>
    <w:lvl w:ilvl="0" w:tplc="075A6416">
      <w:start w:val="1"/>
      <w:numFmt w:val="decimal"/>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A4C77"/>
    <w:multiLevelType w:val="multilevel"/>
    <w:tmpl w:val="7E0298D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8758B1"/>
    <w:multiLevelType w:val="hybridMultilevel"/>
    <w:tmpl w:val="1AA45662"/>
    <w:lvl w:ilvl="0" w:tplc="EE328C9A">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tplc="04090019" w:tentative="1">
      <w:start w:val="1"/>
      <w:numFmt w:val="lowerLetter"/>
      <w:lvlText w:val="%2."/>
      <w:lvlJc w:val="left"/>
      <w:pPr>
        <w:tabs>
          <w:tab w:val="num" w:pos="1440"/>
        </w:tabs>
        <w:ind w:left="1440" w:hanging="360"/>
      </w:pPr>
    </w:lvl>
    <w:lvl w:ilvl="2" w:tplc="72083A22">
      <w:start w:val="3"/>
      <w:numFmt w:val="decimal"/>
      <w:lvlText w:val="3.%3"/>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0A168E"/>
    <w:multiLevelType w:val="multilevel"/>
    <w:tmpl w:val="8CFAC89A"/>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3"/>
      <w:numFmt w:val="decimal"/>
      <w:lvlText w:val="3.%3"/>
      <w:lvlJc w:val="left"/>
      <w:pPr>
        <w:tabs>
          <w:tab w:val="num" w:pos="846"/>
        </w:tabs>
        <w:ind w:left="1980"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A96A0A"/>
    <w:multiLevelType w:val="multilevel"/>
    <w:tmpl w:val="23F48C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59A1C03"/>
    <w:multiLevelType w:val="multilevel"/>
    <w:tmpl w:val="9C225246"/>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7"/>
  </w:num>
  <w:num w:numId="6">
    <w:abstractNumId w:val="5"/>
  </w:num>
  <w:num w:numId="7">
    <w:abstractNumId w:val="1"/>
  </w:num>
  <w:num w:numId="8">
    <w:abstractNumId w:val="6"/>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F31"/>
    <w:rsid w:val="000001FE"/>
    <w:rsid w:val="000064A7"/>
    <w:rsid w:val="000135E1"/>
    <w:rsid w:val="0001464C"/>
    <w:rsid w:val="00015290"/>
    <w:rsid w:val="000317C7"/>
    <w:rsid w:val="00032BBE"/>
    <w:rsid w:val="00032DCC"/>
    <w:rsid w:val="0004291F"/>
    <w:rsid w:val="00042F44"/>
    <w:rsid w:val="000435BF"/>
    <w:rsid w:val="00050168"/>
    <w:rsid w:val="00050F6B"/>
    <w:rsid w:val="0005453D"/>
    <w:rsid w:val="00056000"/>
    <w:rsid w:val="00056EAA"/>
    <w:rsid w:val="00061811"/>
    <w:rsid w:val="00063822"/>
    <w:rsid w:val="00072C8C"/>
    <w:rsid w:val="00081B10"/>
    <w:rsid w:val="00084CA1"/>
    <w:rsid w:val="00085B7F"/>
    <w:rsid w:val="00090BCF"/>
    <w:rsid w:val="000931C0"/>
    <w:rsid w:val="000A0E72"/>
    <w:rsid w:val="000A1D5B"/>
    <w:rsid w:val="000A55B2"/>
    <w:rsid w:val="000A691A"/>
    <w:rsid w:val="000B175B"/>
    <w:rsid w:val="000B1E46"/>
    <w:rsid w:val="000B3A0F"/>
    <w:rsid w:val="000E020C"/>
    <w:rsid w:val="000E0415"/>
    <w:rsid w:val="000E4547"/>
    <w:rsid w:val="000E4EBF"/>
    <w:rsid w:val="000E6ABA"/>
    <w:rsid w:val="000F015A"/>
    <w:rsid w:val="000F284B"/>
    <w:rsid w:val="000F5041"/>
    <w:rsid w:val="000F5C5B"/>
    <w:rsid w:val="00101D87"/>
    <w:rsid w:val="00117614"/>
    <w:rsid w:val="00121905"/>
    <w:rsid w:val="001445D5"/>
    <w:rsid w:val="001603D9"/>
    <w:rsid w:val="00163CB2"/>
    <w:rsid w:val="00174EF0"/>
    <w:rsid w:val="0018016C"/>
    <w:rsid w:val="001805F4"/>
    <w:rsid w:val="00181E85"/>
    <w:rsid w:val="001847C3"/>
    <w:rsid w:val="00192FD8"/>
    <w:rsid w:val="001A0676"/>
    <w:rsid w:val="001A74E0"/>
    <w:rsid w:val="001A7D29"/>
    <w:rsid w:val="001B1CE1"/>
    <w:rsid w:val="001B1F00"/>
    <w:rsid w:val="001B4B04"/>
    <w:rsid w:val="001B6F92"/>
    <w:rsid w:val="001B7D7D"/>
    <w:rsid w:val="001C01D1"/>
    <w:rsid w:val="001C35CB"/>
    <w:rsid w:val="001C584B"/>
    <w:rsid w:val="001C6663"/>
    <w:rsid w:val="001C7895"/>
    <w:rsid w:val="001D2056"/>
    <w:rsid w:val="001D26DF"/>
    <w:rsid w:val="001D478C"/>
    <w:rsid w:val="001E417B"/>
    <w:rsid w:val="001E6DA2"/>
    <w:rsid w:val="001F2328"/>
    <w:rsid w:val="001F40AB"/>
    <w:rsid w:val="002001CC"/>
    <w:rsid w:val="00200AA5"/>
    <w:rsid w:val="002012CD"/>
    <w:rsid w:val="00211E0B"/>
    <w:rsid w:val="00216203"/>
    <w:rsid w:val="0021651D"/>
    <w:rsid w:val="0022202F"/>
    <w:rsid w:val="00235900"/>
    <w:rsid w:val="002408A2"/>
    <w:rsid w:val="00240A30"/>
    <w:rsid w:val="002416EE"/>
    <w:rsid w:val="0024271E"/>
    <w:rsid w:val="0024562D"/>
    <w:rsid w:val="00246B35"/>
    <w:rsid w:val="00255A42"/>
    <w:rsid w:val="00261DB2"/>
    <w:rsid w:val="00264E35"/>
    <w:rsid w:val="0027381E"/>
    <w:rsid w:val="00275962"/>
    <w:rsid w:val="0028730F"/>
    <w:rsid w:val="00294F6C"/>
    <w:rsid w:val="00296C42"/>
    <w:rsid w:val="002A02FF"/>
    <w:rsid w:val="002A1D9C"/>
    <w:rsid w:val="002B00C9"/>
    <w:rsid w:val="002B23DD"/>
    <w:rsid w:val="002B4602"/>
    <w:rsid w:val="002B7492"/>
    <w:rsid w:val="002B7975"/>
    <w:rsid w:val="002C3836"/>
    <w:rsid w:val="002D4629"/>
    <w:rsid w:val="002D71BA"/>
    <w:rsid w:val="002E6EA6"/>
    <w:rsid w:val="002F1517"/>
    <w:rsid w:val="002F33E6"/>
    <w:rsid w:val="002F4CE6"/>
    <w:rsid w:val="00300F01"/>
    <w:rsid w:val="00301C9A"/>
    <w:rsid w:val="003026BA"/>
    <w:rsid w:val="00306DAC"/>
    <w:rsid w:val="003073F2"/>
    <w:rsid w:val="003107FA"/>
    <w:rsid w:val="0031458B"/>
    <w:rsid w:val="00316916"/>
    <w:rsid w:val="003206C5"/>
    <w:rsid w:val="003229D8"/>
    <w:rsid w:val="00322DF6"/>
    <w:rsid w:val="00322E2F"/>
    <w:rsid w:val="00323768"/>
    <w:rsid w:val="0033745A"/>
    <w:rsid w:val="00342275"/>
    <w:rsid w:val="00346D89"/>
    <w:rsid w:val="00365D5A"/>
    <w:rsid w:val="00374938"/>
    <w:rsid w:val="00374A0C"/>
    <w:rsid w:val="00386FAF"/>
    <w:rsid w:val="0039277A"/>
    <w:rsid w:val="00393F3B"/>
    <w:rsid w:val="003970C4"/>
    <w:rsid w:val="003972E0"/>
    <w:rsid w:val="003A419F"/>
    <w:rsid w:val="003A7ECB"/>
    <w:rsid w:val="003B05F7"/>
    <w:rsid w:val="003B16B6"/>
    <w:rsid w:val="003B2DEC"/>
    <w:rsid w:val="003B4B65"/>
    <w:rsid w:val="003C2AAF"/>
    <w:rsid w:val="003C2CC4"/>
    <w:rsid w:val="003D1C5D"/>
    <w:rsid w:val="003D4B23"/>
    <w:rsid w:val="003D6745"/>
    <w:rsid w:val="003E2556"/>
    <w:rsid w:val="003E4A80"/>
    <w:rsid w:val="003F5E95"/>
    <w:rsid w:val="004032AE"/>
    <w:rsid w:val="00403B23"/>
    <w:rsid w:val="0040654D"/>
    <w:rsid w:val="0040733F"/>
    <w:rsid w:val="0041174B"/>
    <w:rsid w:val="00412056"/>
    <w:rsid w:val="00413D55"/>
    <w:rsid w:val="0041584F"/>
    <w:rsid w:val="00415FAC"/>
    <w:rsid w:val="004313E2"/>
    <w:rsid w:val="004325CB"/>
    <w:rsid w:val="00434180"/>
    <w:rsid w:val="00443DDD"/>
    <w:rsid w:val="00446DE4"/>
    <w:rsid w:val="00450337"/>
    <w:rsid w:val="00450F5C"/>
    <w:rsid w:val="0046224F"/>
    <w:rsid w:val="004622FC"/>
    <w:rsid w:val="00464685"/>
    <w:rsid w:val="00475244"/>
    <w:rsid w:val="00476BBB"/>
    <w:rsid w:val="0048120D"/>
    <w:rsid w:val="004835F6"/>
    <w:rsid w:val="00483C3B"/>
    <w:rsid w:val="004875EC"/>
    <w:rsid w:val="00491F12"/>
    <w:rsid w:val="00497375"/>
    <w:rsid w:val="004A04E1"/>
    <w:rsid w:val="004A41CA"/>
    <w:rsid w:val="004B2EEE"/>
    <w:rsid w:val="004B40F4"/>
    <w:rsid w:val="004D611C"/>
    <w:rsid w:val="004E3871"/>
    <w:rsid w:val="004F4989"/>
    <w:rsid w:val="004F7F17"/>
    <w:rsid w:val="004F7F6F"/>
    <w:rsid w:val="005027F6"/>
    <w:rsid w:val="00503228"/>
    <w:rsid w:val="00505384"/>
    <w:rsid w:val="005070EF"/>
    <w:rsid w:val="005161E8"/>
    <w:rsid w:val="00517135"/>
    <w:rsid w:val="00524E66"/>
    <w:rsid w:val="00526483"/>
    <w:rsid w:val="0053263B"/>
    <w:rsid w:val="0053457D"/>
    <w:rsid w:val="00534795"/>
    <w:rsid w:val="00535E08"/>
    <w:rsid w:val="005401F6"/>
    <w:rsid w:val="005420F2"/>
    <w:rsid w:val="005466F6"/>
    <w:rsid w:val="005468E7"/>
    <w:rsid w:val="00554B84"/>
    <w:rsid w:val="00557E60"/>
    <w:rsid w:val="0056321B"/>
    <w:rsid w:val="00563CE7"/>
    <w:rsid w:val="0056622D"/>
    <w:rsid w:val="00566B2D"/>
    <w:rsid w:val="0057164E"/>
    <w:rsid w:val="0057344F"/>
    <w:rsid w:val="0057560D"/>
    <w:rsid w:val="00576033"/>
    <w:rsid w:val="00577563"/>
    <w:rsid w:val="00580716"/>
    <w:rsid w:val="00586739"/>
    <w:rsid w:val="0059181E"/>
    <w:rsid w:val="00597CC6"/>
    <w:rsid w:val="005A1BFC"/>
    <w:rsid w:val="005A2E4D"/>
    <w:rsid w:val="005A4516"/>
    <w:rsid w:val="005A7D90"/>
    <w:rsid w:val="005B21ED"/>
    <w:rsid w:val="005B3DB3"/>
    <w:rsid w:val="005B5DE0"/>
    <w:rsid w:val="005B6B71"/>
    <w:rsid w:val="005C427D"/>
    <w:rsid w:val="005C56B3"/>
    <w:rsid w:val="005C7F6F"/>
    <w:rsid w:val="005D280F"/>
    <w:rsid w:val="005D66A9"/>
    <w:rsid w:val="005D7145"/>
    <w:rsid w:val="005E1907"/>
    <w:rsid w:val="005E6417"/>
    <w:rsid w:val="005E739F"/>
    <w:rsid w:val="005F18E1"/>
    <w:rsid w:val="005F1AAF"/>
    <w:rsid w:val="005F5098"/>
    <w:rsid w:val="005F559F"/>
    <w:rsid w:val="00600761"/>
    <w:rsid w:val="00604CE2"/>
    <w:rsid w:val="006059DE"/>
    <w:rsid w:val="006060C2"/>
    <w:rsid w:val="00611FC4"/>
    <w:rsid w:val="00613614"/>
    <w:rsid w:val="00613C5B"/>
    <w:rsid w:val="006176FB"/>
    <w:rsid w:val="00623B07"/>
    <w:rsid w:val="00627ED0"/>
    <w:rsid w:val="00631AC6"/>
    <w:rsid w:val="0063426A"/>
    <w:rsid w:val="00640B26"/>
    <w:rsid w:val="0064402C"/>
    <w:rsid w:val="006513DF"/>
    <w:rsid w:val="006514FD"/>
    <w:rsid w:val="00665595"/>
    <w:rsid w:val="006735AC"/>
    <w:rsid w:val="0069263B"/>
    <w:rsid w:val="006943EB"/>
    <w:rsid w:val="00697D83"/>
    <w:rsid w:val="006A2A34"/>
    <w:rsid w:val="006A4AB4"/>
    <w:rsid w:val="006A64B4"/>
    <w:rsid w:val="006A7392"/>
    <w:rsid w:val="006B0BFB"/>
    <w:rsid w:val="006B1ADC"/>
    <w:rsid w:val="006B64E2"/>
    <w:rsid w:val="006C0CAF"/>
    <w:rsid w:val="006C5445"/>
    <w:rsid w:val="006C5B79"/>
    <w:rsid w:val="006C6230"/>
    <w:rsid w:val="006C672D"/>
    <w:rsid w:val="006C6B05"/>
    <w:rsid w:val="006D4AF2"/>
    <w:rsid w:val="006E564B"/>
    <w:rsid w:val="006E6A1C"/>
    <w:rsid w:val="006E787F"/>
    <w:rsid w:val="006F2F62"/>
    <w:rsid w:val="006F376A"/>
    <w:rsid w:val="00704066"/>
    <w:rsid w:val="00711304"/>
    <w:rsid w:val="00712A79"/>
    <w:rsid w:val="00714EBE"/>
    <w:rsid w:val="00720BCC"/>
    <w:rsid w:val="0072117F"/>
    <w:rsid w:val="0072632A"/>
    <w:rsid w:val="00726CBB"/>
    <w:rsid w:val="00734CB7"/>
    <w:rsid w:val="00734E6C"/>
    <w:rsid w:val="007369EB"/>
    <w:rsid w:val="00742970"/>
    <w:rsid w:val="00744705"/>
    <w:rsid w:val="00750E73"/>
    <w:rsid w:val="00750E7B"/>
    <w:rsid w:val="0076306B"/>
    <w:rsid w:val="00764668"/>
    <w:rsid w:val="007648BB"/>
    <w:rsid w:val="00764F10"/>
    <w:rsid w:val="00765EAC"/>
    <w:rsid w:val="00765FED"/>
    <w:rsid w:val="00766F6D"/>
    <w:rsid w:val="00772869"/>
    <w:rsid w:val="00775A84"/>
    <w:rsid w:val="00787E90"/>
    <w:rsid w:val="007A1601"/>
    <w:rsid w:val="007A2BFF"/>
    <w:rsid w:val="007A3F17"/>
    <w:rsid w:val="007A5F52"/>
    <w:rsid w:val="007A64F6"/>
    <w:rsid w:val="007A672B"/>
    <w:rsid w:val="007B5020"/>
    <w:rsid w:val="007B6BA5"/>
    <w:rsid w:val="007C1F31"/>
    <w:rsid w:val="007C3390"/>
    <w:rsid w:val="007C4F4B"/>
    <w:rsid w:val="007C5183"/>
    <w:rsid w:val="007C6FE0"/>
    <w:rsid w:val="007C7879"/>
    <w:rsid w:val="007D3E05"/>
    <w:rsid w:val="007E59F5"/>
    <w:rsid w:val="007E7592"/>
    <w:rsid w:val="007F0B83"/>
    <w:rsid w:val="007F1BEB"/>
    <w:rsid w:val="007F6611"/>
    <w:rsid w:val="00804579"/>
    <w:rsid w:val="0080692F"/>
    <w:rsid w:val="0080696C"/>
    <w:rsid w:val="00810091"/>
    <w:rsid w:val="008102D0"/>
    <w:rsid w:val="008175E9"/>
    <w:rsid w:val="008224BD"/>
    <w:rsid w:val="008229EC"/>
    <w:rsid w:val="008242D7"/>
    <w:rsid w:val="00824A60"/>
    <w:rsid w:val="0082506F"/>
    <w:rsid w:val="008252EC"/>
    <w:rsid w:val="008311A3"/>
    <w:rsid w:val="00834939"/>
    <w:rsid w:val="008360A3"/>
    <w:rsid w:val="00836582"/>
    <w:rsid w:val="0083704B"/>
    <w:rsid w:val="0084145A"/>
    <w:rsid w:val="00843A19"/>
    <w:rsid w:val="0084404D"/>
    <w:rsid w:val="00844249"/>
    <w:rsid w:val="00844940"/>
    <w:rsid w:val="00844D76"/>
    <w:rsid w:val="008512E5"/>
    <w:rsid w:val="008521B0"/>
    <w:rsid w:val="00852B1B"/>
    <w:rsid w:val="008569AD"/>
    <w:rsid w:val="00871FD5"/>
    <w:rsid w:val="00872F71"/>
    <w:rsid w:val="00874328"/>
    <w:rsid w:val="00875B84"/>
    <w:rsid w:val="00885FD7"/>
    <w:rsid w:val="00886A21"/>
    <w:rsid w:val="00896F64"/>
    <w:rsid w:val="008979B1"/>
    <w:rsid w:val="008A6B25"/>
    <w:rsid w:val="008A6C4F"/>
    <w:rsid w:val="008A7673"/>
    <w:rsid w:val="008B1E67"/>
    <w:rsid w:val="008B7092"/>
    <w:rsid w:val="008B762B"/>
    <w:rsid w:val="008C10AD"/>
    <w:rsid w:val="008D6278"/>
    <w:rsid w:val="008E0E46"/>
    <w:rsid w:val="008E4060"/>
    <w:rsid w:val="008F1E22"/>
    <w:rsid w:val="00902630"/>
    <w:rsid w:val="00907AD2"/>
    <w:rsid w:val="0091329A"/>
    <w:rsid w:val="009201F7"/>
    <w:rsid w:val="00920F69"/>
    <w:rsid w:val="009235E9"/>
    <w:rsid w:val="00924B26"/>
    <w:rsid w:val="00931A5D"/>
    <w:rsid w:val="00933AAF"/>
    <w:rsid w:val="00936EE7"/>
    <w:rsid w:val="009379C5"/>
    <w:rsid w:val="00941DD3"/>
    <w:rsid w:val="00942A6E"/>
    <w:rsid w:val="00942C06"/>
    <w:rsid w:val="00944D48"/>
    <w:rsid w:val="009453FD"/>
    <w:rsid w:val="00946B1B"/>
    <w:rsid w:val="00950524"/>
    <w:rsid w:val="00963CBA"/>
    <w:rsid w:val="0096546F"/>
    <w:rsid w:val="009671D3"/>
    <w:rsid w:val="00967923"/>
    <w:rsid w:val="00972C1E"/>
    <w:rsid w:val="00974A8D"/>
    <w:rsid w:val="00986C41"/>
    <w:rsid w:val="00991261"/>
    <w:rsid w:val="00992753"/>
    <w:rsid w:val="009A0F92"/>
    <w:rsid w:val="009A7D74"/>
    <w:rsid w:val="009B12AA"/>
    <w:rsid w:val="009B4694"/>
    <w:rsid w:val="009C11FF"/>
    <w:rsid w:val="009C178B"/>
    <w:rsid w:val="009C17C9"/>
    <w:rsid w:val="009C6243"/>
    <w:rsid w:val="009C66AA"/>
    <w:rsid w:val="009D3663"/>
    <w:rsid w:val="009E1195"/>
    <w:rsid w:val="009E35F0"/>
    <w:rsid w:val="009E542D"/>
    <w:rsid w:val="009F3A17"/>
    <w:rsid w:val="00A002F2"/>
    <w:rsid w:val="00A01ED4"/>
    <w:rsid w:val="00A0773D"/>
    <w:rsid w:val="00A12162"/>
    <w:rsid w:val="00A12731"/>
    <w:rsid w:val="00A12BEC"/>
    <w:rsid w:val="00A1427D"/>
    <w:rsid w:val="00A22765"/>
    <w:rsid w:val="00A228B7"/>
    <w:rsid w:val="00A23890"/>
    <w:rsid w:val="00A238D2"/>
    <w:rsid w:val="00A34E28"/>
    <w:rsid w:val="00A3511A"/>
    <w:rsid w:val="00A37D4B"/>
    <w:rsid w:val="00A43E4C"/>
    <w:rsid w:val="00A43F2B"/>
    <w:rsid w:val="00A5138A"/>
    <w:rsid w:val="00A64699"/>
    <w:rsid w:val="00A6498B"/>
    <w:rsid w:val="00A657E4"/>
    <w:rsid w:val="00A7187A"/>
    <w:rsid w:val="00A72F22"/>
    <w:rsid w:val="00A73434"/>
    <w:rsid w:val="00A748A6"/>
    <w:rsid w:val="00A75AB7"/>
    <w:rsid w:val="00A75DD4"/>
    <w:rsid w:val="00A772FD"/>
    <w:rsid w:val="00A8340A"/>
    <w:rsid w:val="00A879A4"/>
    <w:rsid w:val="00A95113"/>
    <w:rsid w:val="00A9689B"/>
    <w:rsid w:val="00AA24BA"/>
    <w:rsid w:val="00AC33F9"/>
    <w:rsid w:val="00AD0CA8"/>
    <w:rsid w:val="00AD5AC5"/>
    <w:rsid w:val="00AF119F"/>
    <w:rsid w:val="00AF1F55"/>
    <w:rsid w:val="00AF31DD"/>
    <w:rsid w:val="00AF3AA4"/>
    <w:rsid w:val="00AF67EC"/>
    <w:rsid w:val="00B0217A"/>
    <w:rsid w:val="00B02E9A"/>
    <w:rsid w:val="00B15C12"/>
    <w:rsid w:val="00B176C5"/>
    <w:rsid w:val="00B20B8A"/>
    <w:rsid w:val="00B26273"/>
    <w:rsid w:val="00B30179"/>
    <w:rsid w:val="00B33EC0"/>
    <w:rsid w:val="00B36BDD"/>
    <w:rsid w:val="00B406C8"/>
    <w:rsid w:val="00B44CFE"/>
    <w:rsid w:val="00B505CE"/>
    <w:rsid w:val="00B50B06"/>
    <w:rsid w:val="00B516B5"/>
    <w:rsid w:val="00B537FD"/>
    <w:rsid w:val="00B5707B"/>
    <w:rsid w:val="00B57D89"/>
    <w:rsid w:val="00B81E12"/>
    <w:rsid w:val="00B830AC"/>
    <w:rsid w:val="00BA27E3"/>
    <w:rsid w:val="00BA33E8"/>
    <w:rsid w:val="00BA434F"/>
    <w:rsid w:val="00BB295E"/>
    <w:rsid w:val="00BC74E9"/>
    <w:rsid w:val="00BE028C"/>
    <w:rsid w:val="00BE056A"/>
    <w:rsid w:val="00BE239C"/>
    <w:rsid w:val="00BE2485"/>
    <w:rsid w:val="00BE29DB"/>
    <w:rsid w:val="00BE3533"/>
    <w:rsid w:val="00BE3BDA"/>
    <w:rsid w:val="00BE4195"/>
    <w:rsid w:val="00BE4F74"/>
    <w:rsid w:val="00BE618E"/>
    <w:rsid w:val="00BF3719"/>
    <w:rsid w:val="00BF64E0"/>
    <w:rsid w:val="00C01D09"/>
    <w:rsid w:val="00C0364A"/>
    <w:rsid w:val="00C10175"/>
    <w:rsid w:val="00C14817"/>
    <w:rsid w:val="00C14FBC"/>
    <w:rsid w:val="00C17699"/>
    <w:rsid w:val="00C212F8"/>
    <w:rsid w:val="00C2496A"/>
    <w:rsid w:val="00C25007"/>
    <w:rsid w:val="00C25879"/>
    <w:rsid w:val="00C3539B"/>
    <w:rsid w:val="00C463DD"/>
    <w:rsid w:val="00C470B8"/>
    <w:rsid w:val="00C659FA"/>
    <w:rsid w:val="00C67D16"/>
    <w:rsid w:val="00C707AF"/>
    <w:rsid w:val="00C72490"/>
    <w:rsid w:val="00C745C3"/>
    <w:rsid w:val="00C823DB"/>
    <w:rsid w:val="00C83022"/>
    <w:rsid w:val="00C941F1"/>
    <w:rsid w:val="00C96BBB"/>
    <w:rsid w:val="00CA2D25"/>
    <w:rsid w:val="00CA7884"/>
    <w:rsid w:val="00CA7E7D"/>
    <w:rsid w:val="00CB3120"/>
    <w:rsid w:val="00CB446B"/>
    <w:rsid w:val="00CB6D96"/>
    <w:rsid w:val="00CC0CEB"/>
    <w:rsid w:val="00CC3433"/>
    <w:rsid w:val="00CC75B8"/>
    <w:rsid w:val="00CD399A"/>
    <w:rsid w:val="00CD713D"/>
    <w:rsid w:val="00CD71F6"/>
    <w:rsid w:val="00CD7F4E"/>
    <w:rsid w:val="00CE42CD"/>
    <w:rsid w:val="00CE4A8F"/>
    <w:rsid w:val="00CE76BC"/>
    <w:rsid w:val="00CF6828"/>
    <w:rsid w:val="00D03FA1"/>
    <w:rsid w:val="00D04777"/>
    <w:rsid w:val="00D07E76"/>
    <w:rsid w:val="00D202BB"/>
    <w:rsid w:val="00D2031B"/>
    <w:rsid w:val="00D228C2"/>
    <w:rsid w:val="00D2393D"/>
    <w:rsid w:val="00D239F7"/>
    <w:rsid w:val="00D25FE2"/>
    <w:rsid w:val="00D317BB"/>
    <w:rsid w:val="00D32721"/>
    <w:rsid w:val="00D37490"/>
    <w:rsid w:val="00D41409"/>
    <w:rsid w:val="00D424B5"/>
    <w:rsid w:val="00D43252"/>
    <w:rsid w:val="00D505D8"/>
    <w:rsid w:val="00D50A48"/>
    <w:rsid w:val="00D5205C"/>
    <w:rsid w:val="00D565C7"/>
    <w:rsid w:val="00D56C84"/>
    <w:rsid w:val="00D60EA4"/>
    <w:rsid w:val="00D64054"/>
    <w:rsid w:val="00D64EBB"/>
    <w:rsid w:val="00D65076"/>
    <w:rsid w:val="00D65E3C"/>
    <w:rsid w:val="00D70442"/>
    <w:rsid w:val="00D74668"/>
    <w:rsid w:val="00D770E2"/>
    <w:rsid w:val="00D83A6D"/>
    <w:rsid w:val="00D9156C"/>
    <w:rsid w:val="00D9674B"/>
    <w:rsid w:val="00D978C6"/>
    <w:rsid w:val="00D9794B"/>
    <w:rsid w:val="00DA1B25"/>
    <w:rsid w:val="00DA3077"/>
    <w:rsid w:val="00DA67AD"/>
    <w:rsid w:val="00DB2651"/>
    <w:rsid w:val="00DB5D0F"/>
    <w:rsid w:val="00DB5F4F"/>
    <w:rsid w:val="00DC0A68"/>
    <w:rsid w:val="00DD1B53"/>
    <w:rsid w:val="00DD5B22"/>
    <w:rsid w:val="00DE08E1"/>
    <w:rsid w:val="00DE177C"/>
    <w:rsid w:val="00DF0F82"/>
    <w:rsid w:val="00DF12F7"/>
    <w:rsid w:val="00DF6F5E"/>
    <w:rsid w:val="00E0197F"/>
    <w:rsid w:val="00E02C81"/>
    <w:rsid w:val="00E03F0A"/>
    <w:rsid w:val="00E0436B"/>
    <w:rsid w:val="00E10299"/>
    <w:rsid w:val="00E130AB"/>
    <w:rsid w:val="00E3058D"/>
    <w:rsid w:val="00E42B2F"/>
    <w:rsid w:val="00E42E62"/>
    <w:rsid w:val="00E44145"/>
    <w:rsid w:val="00E47336"/>
    <w:rsid w:val="00E52ED6"/>
    <w:rsid w:val="00E6006F"/>
    <w:rsid w:val="00E60B2F"/>
    <w:rsid w:val="00E620E7"/>
    <w:rsid w:val="00E63884"/>
    <w:rsid w:val="00E66174"/>
    <w:rsid w:val="00E670C5"/>
    <w:rsid w:val="00E7260F"/>
    <w:rsid w:val="00E86971"/>
    <w:rsid w:val="00E87921"/>
    <w:rsid w:val="00E905DE"/>
    <w:rsid w:val="00E96630"/>
    <w:rsid w:val="00EB5D9C"/>
    <w:rsid w:val="00EC406D"/>
    <w:rsid w:val="00ED49E1"/>
    <w:rsid w:val="00ED7A2A"/>
    <w:rsid w:val="00EE139D"/>
    <w:rsid w:val="00EE2FA4"/>
    <w:rsid w:val="00EF1126"/>
    <w:rsid w:val="00EF1D7F"/>
    <w:rsid w:val="00EF45E8"/>
    <w:rsid w:val="00F10CB6"/>
    <w:rsid w:val="00F11586"/>
    <w:rsid w:val="00F15D58"/>
    <w:rsid w:val="00F20EE3"/>
    <w:rsid w:val="00F24F82"/>
    <w:rsid w:val="00F3266F"/>
    <w:rsid w:val="00F53EDA"/>
    <w:rsid w:val="00F5728A"/>
    <w:rsid w:val="00F63CB7"/>
    <w:rsid w:val="00F70D98"/>
    <w:rsid w:val="00F7589F"/>
    <w:rsid w:val="00F7753D"/>
    <w:rsid w:val="00F85F34"/>
    <w:rsid w:val="00FA06F7"/>
    <w:rsid w:val="00FA0B06"/>
    <w:rsid w:val="00FA31AA"/>
    <w:rsid w:val="00FA7444"/>
    <w:rsid w:val="00FA789A"/>
    <w:rsid w:val="00FB171A"/>
    <w:rsid w:val="00FB2A08"/>
    <w:rsid w:val="00FB793B"/>
    <w:rsid w:val="00FC0648"/>
    <w:rsid w:val="00FC1BE2"/>
    <w:rsid w:val="00FC2DA1"/>
    <w:rsid w:val="00FC3960"/>
    <w:rsid w:val="00FC68B7"/>
    <w:rsid w:val="00FD2D3A"/>
    <w:rsid w:val="00FD7BF6"/>
    <w:rsid w:val="00FE178B"/>
    <w:rsid w:val="00FE18B8"/>
    <w:rsid w:val="00FE5D7E"/>
    <w:rsid w:val="00FF153E"/>
    <w:rsid w:val="00FF1DB9"/>
    <w:rsid w:val="00FF26A3"/>
    <w:rsid w:val="00FF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A1D77D8-CDF7-432A-BB8C-0B893510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2496A"/>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2496A"/>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A75AB7"/>
    <w:rPr>
      <w:rFonts w:ascii="Tahoma" w:hAnsi="Tahoma" w:cs="Tahoma"/>
      <w:sz w:val="16"/>
      <w:szCs w:val="16"/>
    </w:rPr>
  </w:style>
  <w:style w:type="character" w:customStyle="1" w:styleId="SingleTxtGChar">
    <w:name w:val="_ Single Txt_G Char"/>
    <w:link w:val="SingleTxtG"/>
    <w:rsid w:val="00A6498B"/>
    <w:rPr>
      <w:lang w:eastAsia="en-US"/>
    </w:rPr>
  </w:style>
  <w:style w:type="character" w:customStyle="1" w:styleId="FootnoteTextChar">
    <w:name w:val="Footnote Text Char"/>
    <w:aliases w:val="5_G Char"/>
    <w:link w:val="FootnoteText"/>
    <w:rsid w:val="00A6498B"/>
    <w:rPr>
      <w:rFonts w:eastAsia="SimSun"/>
      <w:sz w:val="18"/>
      <w:lang w:val="en-GB"/>
    </w:rPr>
  </w:style>
  <w:style w:type="paragraph" w:customStyle="1" w:styleId="Default">
    <w:name w:val="Default"/>
    <w:rsid w:val="00A772FD"/>
    <w:pPr>
      <w:autoSpaceDE w:val="0"/>
      <w:autoSpaceDN w:val="0"/>
      <w:adjustRightInd w:val="0"/>
    </w:pPr>
    <w:rPr>
      <w:color w:val="000000"/>
      <w:sz w:val="24"/>
      <w:szCs w:val="24"/>
      <w:lang w:val="en-GB" w:eastAsia="en-GB"/>
    </w:rPr>
  </w:style>
  <w:style w:type="paragraph" w:customStyle="1" w:styleId="ParaNoG">
    <w:name w:val="_ParaNo._G"/>
    <w:basedOn w:val="SingleTxtG"/>
    <w:rsid w:val="00D03FA1"/>
  </w:style>
  <w:style w:type="character" w:styleId="CommentReference">
    <w:name w:val="annotation reference"/>
    <w:rsid w:val="00750E7B"/>
    <w:rPr>
      <w:sz w:val="16"/>
      <w:szCs w:val="16"/>
    </w:rPr>
  </w:style>
  <w:style w:type="paragraph" w:styleId="CommentText">
    <w:name w:val="annotation text"/>
    <w:basedOn w:val="Normal"/>
    <w:link w:val="CommentTextChar"/>
    <w:rsid w:val="00750E7B"/>
  </w:style>
  <w:style w:type="character" w:customStyle="1" w:styleId="CommentTextChar">
    <w:name w:val="Comment Text Char"/>
    <w:link w:val="CommentText"/>
    <w:rsid w:val="00750E7B"/>
    <w:rPr>
      <w:lang w:val="en-GB" w:eastAsia="en-US"/>
    </w:rPr>
  </w:style>
  <w:style w:type="paragraph" w:styleId="CommentSubject">
    <w:name w:val="annotation subject"/>
    <w:basedOn w:val="CommentText"/>
    <w:next w:val="CommentText"/>
    <w:link w:val="CommentSubjectChar"/>
    <w:rsid w:val="00750E7B"/>
    <w:rPr>
      <w:b/>
      <w:bCs/>
    </w:rPr>
  </w:style>
  <w:style w:type="character" w:customStyle="1" w:styleId="CommentSubjectChar">
    <w:name w:val="Comment Subject Char"/>
    <w:link w:val="CommentSubject"/>
    <w:rsid w:val="00750E7B"/>
    <w:rPr>
      <w:b/>
      <w:bCs/>
      <w:lang w:val="en-GB" w:eastAsia="en-US"/>
    </w:rPr>
  </w:style>
  <w:style w:type="paragraph" w:customStyle="1" w:styleId="parrafo1">
    <w:name w:val="parrafo1"/>
    <w:basedOn w:val="Normal"/>
    <w:rsid w:val="00FE178B"/>
    <w:pPr>
      <w:suppressAutoHyphens w:val="0"/>
      <w:spacing w:before="180" w:after="180" w:line="240" w:lineRule="auto"/>
      <w:ind w:firstLine="360"/>
      <w:jc w:val="both"/>
    </w:pPr>
    <w:rPr>
      <w:sz w:val="24"/>
      <w:szCs w:val="24"/>
      <w:lang w:eastAsia="en-GB"/>
    </w:rPr>
  </w:style>
  <w:style w:type="character" w:customStyle="1" w:styleId="const">
    <w:name w:val="const"/>
    <w:rsid w:val="00B36BDD"/>
  </w:style>
  <w:style w:type="paragraph" w:customStyle="1" w:styleId="const1">
    <w:name w:val="const1"/>
    <w:basedOn w:val="Normal"/>
    <w:rsid w:val="00B36BDD"/>
    <w:pPr>
      <w:suppressAutoHyphens w:val="0"/>
      <w:spacing w:before="100" w:beforeAutospacing="1" w:after="100" w:afterAutospacing="1" w:line="240" w:lineRule="auto"/>
    </w:pPr>
    <w:rPr>
      <w:sz w:val="24"/>
      <w:szCs w:val="24"/>
      <w:lang w:eastAsia="en-GB"/>
    </w:rPr>
  </w:style>
  <w:style w:type="paragraph" w:customStyle="1" w:styleId="ColorfulShading-Accent11">
    <w:name w:val="Colorful Shading - Accent 11"/>
    <w:hidden/>
    <w:uiPriority w:val="71"/>
    <w:rsid w:val="002416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16451">
      <w:bodyDiv w:val="1"/>
      <w:marLeft w:val="0"/>
      <w:marRight w:val="0"/>
      <w:marTop w:val="0"/>
      <w:marBottom w:val="0"/>
      <w:divBdr>
        <w:top w:val="none" w:sz="0" w:space="0" w:color="auto"/>
        <w:left w:val="none" w:sz="0" w:space="0" w:color="auto"/>
        <w:bottom w:val="none" w:sz="0" w:space="0" w:color="auto"/>
        <w:right w:val="none" w:sz="0" w:space="0" w:color="auto"/>
      </w:divBdr>
      <w:divsChild>
        <w:div w:id="269433147">
          <w:marLeft w:val="0"/>
          <w:marRight w:val="0"/>
          <w:marTop w:val="720"/>
          <w:marBottom w:val="720"/>
          <w:divBdr>
            <w:top w:val="none" w:sz="0" w:space="0" w:color="auto"/>
            <w:left w:val="none" w:sz="0" w:space="0" w:color="auto"/>
            <w:bottom w:val="none" w:sz="0" w:space="0" w:color="auto"/>
            <w:right w:val="none" w:sz="0" w:space="0" w:color="auto"/>
          </w:divBdr>
          <w:divsChild>
            <w:div w:id="81143334">
              <w:marLeft w:val="0"/>
              <w:marRight w:val="0"/>
              <w:marTop w:val="0"/>
              <w:marBottom w:val="0"/>
              <w:divBdr>
                <w:top w:val="none" w:sz="0" w:space="0" w:color="auto"/>
                <w:left w:val="none" w:sz="0" w:space="0" w:color="auto"/>
                <w:bottom w:val="none" w:sz="0" w:space="0" w:color="auto"/>
                <w:right w:val="none" w:sz="0" w:space="0" w:color="auto"/>
              </w:divBdr>
              <w:divsChild>
                <w:div w:id="916206145">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738745077">
      <w:bodyDiv w:val="1"/>
      <w:marLeft w:val="0"/>
      <w:marRight w:val="0"/>
      <w:marTop w:val="0"/>
      <w:marBottom w:val="0"/>
      <w:divBdr>
        <w:top w:val="none" w:sz="0" w:space="0" w:color="auto"/>
        <w:left w:val="none" w:sz="0" w:space="0" w:color="auto"/>
        <w:bottom w:val="none" w:sz="0" w:space="0" w:color="auto"/>
        <w:right w:val="none" w:sz="0" w:space="0" w:color="auto"/>
      </w:divBdr>
      <w:divsChild>
        <w:div w:id="68408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CCPR/C/97/D/1744/2007</vt:lpstr>
    </vt:vector>
  </TitlesOfParts>
  <Company>CSD</Company>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CCPR/C/97/D/1744/2007</dc:title>
  <dc:subject/>
  <dc:creator>Neogi</dc:creator>
  <cp:keywords/>
  <cp:lastModifiedBy>Sarah Willig</cp:lastModifiedBy>
  <cp:revision>2</cp:revision>
  <cp:lastPrinted>2014-11-25T13:41:00Z</cp:lastPrinted>
  <dcterms:created xsi:type="dcterms:W3CDTF">2017-01-25T00:53:00Z</dcterms:created>
  <dcterms:modified xsi:type="dcterms:W3CDTF">2017-01-25T00:53:00Z</dcterms:modified>
</cp:coreProperties>
</file>