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7369EB">
        <w:trPr>
          <w:trHeight w:val="851"/>
        </w:trPr>
        <w:tc>
          <w:tcPr>
            <w:tcW w:w="1259" w:type="dxa"/>
            <w:tcBorders>
              <w:top w:val="nil"/>
              <w:left w:val="nil"/>
              <w:bottom w:val="single" w:sz="4" w:space="0" w:color="auto"/>
              <w:right w:val="nil"/>
            </w:tcBorders>
            <w:vAlign w:val="bottom"/>
          </w:tcPr>
          <w:p w:rsidR="007369EB" w:rsidRPr="007369EB" w:rsidRDefault="007369EB" w:rsidP="00DD3EF4">
            <w:pPr>
              <w:pStyle w:val="Heading3"/>
            </w:pPr>
            <w:bookmarkStart w:id="0" w:name="_GoBack"/>
            <w:bookmarkEnd w:id="0"/>
          </w:p>
        </w:tc>
        <w:tc>
          <w:tcPr>
            <w:tcW w:w="2236" w:type="dxa"/>
            <w:tcBorders>
              <w:top w:val="nil"/>
              <w:left w:val="nil"/>
              <w:bottom w:val="single" w:sz="4" w:space="0" w:color="auto"/>
              <w:right w:val="nil"/>
            </w:tcBorders>
            <w:vAlign w:val="bottom"/>
          </w:tcPr>
          <w:p w:rsidR="007369EB" w:rsidRPr="007369EB" w:rsidRDefault="002D63C7" w:rsidP="002D63C7">
            <w:r>
              <w:rPr>
                <w:sz w:val="28"/>
                <w:szCs w:val="28"/>
              </w:rPr>
              <w:t>United Nations</w:t>
            </w:r>
          </w:p>
        </w:tc>
        <w:tc>
          <w:tcPr>
            <w:tcW w:w="6144" w:type="dxa"/>
            <w:gridSpan w:val="2"/>
            <w:tcBorders>
              <w:top w:val="nil"/>
              <w:left w:val="nil"/>
              <w:bottom w:val="single" w:sz="4" w:space="0" w:color="auto"/>
              <w:right w:val="nil"/>
            </w:tcBorders>
            <w:vAlign w:val="bottom"/>
          </w:tcPr>
          <w:p w:rsidR="007369EB" w:rsidRPr="00DE3EC0" w:rsidRDefault="004C5945" w:rsidP="00C33A29">
            <w:pPr>
              <w:spacing w:line="240" w:lineRule="auto"/>
              <w:jc w:val="right"/>
            </w:pPr>
            <w:r w:rsidRPr="0012242A">
              <w:rPr>
                <w:sz w:val="40"/>
              </w:rPr>
              <w:t>CCPR</w:t>
            </w:r>
            <w:r w:rsidR="000144FE">
              <w:t>/C/11</w:t>
            </w:r>
            <w:r>
              <w:t>3/D/</w:t>
            </w:r>
            <w:r w:rsidR="000144FE">
              <w:t>2087</w:t>
            </w:r>
            <w:r>
              <w:t>/20</w:t>
            </w:r>
            <w:r w:rsidR="000144FE">
              <w:t>11</w:t>
            </w:r>
          </w:p>
        </w:tc>
      </w:tr>
      <w:tr w:rsidR="007369EB">
        <w:trPr>
          <w:trHeight w:val="2835"/>
        </w:trPr>
        <w:tc>
          <w:tcPr>
            <w:tcW w:w="1259" w:type="dxa"/>
            <w:tcBorders>
              <w:top w:val="single" w:sz="4" w:space="0" w:color="auto"/>
              <w:left w:val="nil"/>
              <w:bottom w:val="single" w:sz="12" w:space="0" w:color="auto"/>
              <w:right w:val="nil"/>
            </w:tcBorders>
          </w:tcPr>
          <w:p w:rsidR="007369EB" w:rsidRDefault="007F05D5" w:rsidP="007369EB">
            <w:r>
              <w:rPr>
                <w:noProof/>
                <w:lang w:val="en-US"/>
              </w:rPr>
              <w:drawing>
                <wp:inline distT="0" distB="0" distL="0" distR="0">
                  <wp:extent cx="713740" cy="5797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3740" cy="57975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C33A29" w:rsidRPr="00D33ED5" w:rsidRDefault="002D63C7" w:rsidP="002D63C7">
            <w:pPr>
              <w:spacing w:before="120" w:line="360" w:lineRule="atLeast"/>
            </w:pPr>
            <w:r w:rsidRPr="00D33ED5">
              <w:rPr>
                <w:b/>
                <w:sz w:val="34"/>
                <w:szCs w:val="40"/>
              </w:rPr>
              <w:t>International Covenant on</w:t>
            </w:r>
            <w:r w:rsidRPr="00D33ED5">
              <w:rPr>
                <w:b/>
                <w:sz w:val="34"/>
                <w:szCs w:val="40"/>
              </w:rPr>
              <w:br/>
              <w:t>Civil and Political Rights</w:t>
            </w:r>
          </w:p>
        </w:tc>
        <w:tc>
          <w:tcPr>
            <w:tcW w:w="2930" w:type="dxa"/>
            <w:tcBorders>
              <w:top w:val="single" w:sz="4" w:space="0" w:color="auto"/>
              <w:left w:val="nil"/>
              <w:bottom w:val="single" w:sz="12" w:space="0" w:color="auto"/>
              <w:right w:val="nil"/>
            </w:tcBorders>
          </w:tcPr>
          <w:p w:rsidR="004C5945" w:rsidRPr="00D33ED5" w:rsidRDefault="004C5945" w:rsidP="00A2310F">
            <w:pPr>
              <w:spacing w:before="240" w:line="240" w:lineRule="exact"/>
            </w:pPr>
            <w:r w:rsidRPr="00D33ED5">
              <w:t xml:space="preserve">Distr.: </w:t>
            </w:r>
            <w:r w:rsidR="00C33A29" w:rsidRPr="00D33ED5">
              <w:t>General</w:t>
            </w:r>
          </w:p>
          <w:p w:rsidR="004C5945" w:rsidRPr="00D33ED5" w:rsidRDefault="00D33ED5" w:rsidP="00D33ED5">
            <w:pPr>
              <w:spacing w:line="240" w:lineRule="exact"/>
            </w:pPr>
            <w:r>
              <w:t>7</w:t>
            </w:r>
            <w:r w:rsidR="00965B5E" w:rsidRPr="00D33ED5">
              <w:t xml:space="preserve"> </w:t>
            </w:r>
            <w:r w:rsidR="00DF3830" w:rsidRPr="00BA04FC">
              <w:t>May</w:t>
            </w:r>
            <w:r w:rsidR="00700655" w:rsidRPr="00D33ED5">
              <w:t xml:space="preserve"> 2015</w:t>
            </w:r>
          </w:p>
          <w:p w:rsidR="007F51FA" w:rsidRPr="00D33ED5" w:rsidRDefault="004C5945" w:rsidP="004C5945">
            <w:pPr>
              <w:spacing w:before="120"/>
            </w:pPr>
            <w:r w:rsidRPr="00D33ED5">
              <w:t>Original: English</w:t>
            </w:r>
          </w:p>
          <w:p w:rsidR="007F51FA" w:rsidRPr="00D33ED5" w:rsidRDefault="007F51FA" w:rsidP="004C5945">
            <w:pPr>
              <w:spacing w:before="120"/>
            </w:pPr>
          </w:p>
        </w:tc>
      </w:tr>
    </w:tbl>
    <w:p w:rsidR="000A20DA" w:rsidRPr="0041431D" w:rsidRDefault="000A20DA" w:rsidP="000A20DA">
      <w:pPr>
        <w:spacing w:before="120"/>
        <w:ind w:right="-1134"/>
        <w:rPr>
          <w:b/>
          <w:sz w:val="24"/>
          <w:szCs w:val="24"/>
        </w:rPr>
      </w:pPr>
      <w:r w:rsidRPr="0041431D">
        <w:rPr>
          <w:b/>
          <w:sz w:val="24"/>
          <w:szCs w:val="24"/>
        </w:rPr>
        <w:t>Human Rights Committee</w:t>
      </w:r>
      <w:r w:rsidR="001F6F21">
        <w:rPr>
          <w:b/>
          <w:noProof/>
          <w:sz w:val="24"/>
          <w:szCs w:val="24"/>
          <w:lang w:val="en-US"/>
        </w:rPr>
        <w:drawing>
          <wp:anchor distT="0" distB="0" distL="114300" distR="114300" simplePos="0" relativeHeight="251658240" behindDoc="0" locked="0" layoutInCell="1" allowOverlap="0">
            <wp:simplePos x="0" y="0"/>
            <wp:positionH relativeFrom="margin">
              <wp:posOffset>5489575</wp:posOffset>
            </wp:positionH>
            <wp:positionV relativeFrom="margin">
              <wp:posOffset>8027670</wp:posOffset>
            </wp:positionV>
            <wp:extent cx="635620" cy="635620"/>
            <wp:effectExtent l="0" t="0" r="0" b="0"/>
            <wp:wrapNone/>
            <wp:docPr id="3" name="Picture 2" descr="http://undocs.org/m2/QRCode.ashx?DS=CCPR/C/113/D/2087/201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CCPR/C/113/D/2087/2011&amp;Size=2 &amp;L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620" cy="635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5945" w:rsidRPr="004C5945" w:rsidRDefault="000144FE" w:rsidP="004C5945">
      <w:pPr>
        <w:pStyle w:val="HChG"/>
      </w:pPr>
      <w:r>
        <w:rPr>
          <w:lang w:val="en-US"/>
        </w:rPr>
        <w:tab/>
      </w:r>
      <w:r>
        <w:rPr>
          <w:lang w:val="en-US"/>
        </w:rPr>
        <w:tab/>
        <w:t xml:space="preserve">Communication </w:t>
      </w:r>
      <w:r w:rsidR="002D63C7" w:rsidRPr="004C5945">
        <w:rPr>
          <w:lang w:val="en-US"/>
        </w:rPr>
        <w:t xml:space="preserve">No. </w:t>
      </w:r>
      <w:r>
        <w:rPr>
          <w:lang w:val="en-US"/>
        </w:rPr>
        <w:t>2087/2011</w:t>
      </w:r>
    </w:p>
    <w:p w:rsidR="004C5945" w:rsidRPr="000A20DA" w:rsidRDefault="004C5945" w:rsidP="000A20DA">
      <w:pPr>
        <w:pStyle w:val="H1G"/>
      </w:pPr>
      <w:r>
        <w:rPr>
          <w:lang w:val="en-US"/>
        </w:rPr>
        <w:tab/>
      </w:r>
      <w:r>
        <w:rPr>
          <w:lang w:val="en-US"/>
        </w:rPr>
        <w:tab/>
      </w:r>
      <w:r w:rsidR="002C4264">
        <w:t>Views adopted by the Committee at its 113</w:t>
      </w:r>
      <w:r w:rsidR="002C4264" w:rsidRPr="00BA04FC">
        <w:t>th</w:t>
      </w:r>
      <w:r w:rsidR="002C4264">
        <w:t xml:space="preserve"> session </w:t>
      </w:r>
      <w:r w:rsidR="002C4264">
        <w:br/>
        <w:t>(16 March</w:t>
      </w:r>
      <w:r w:rsidR="00BB539D">
        <w:t>–</w:t>
      </w:r>
      <w:r w:rsidR="002C4264">
        <w:t>2 April 2015)</w:t>
      </w:r>
    </w:p>
    <w:p w:rsidR="000144FE" w:rsidRDefault="004C5945" w:rsidP="000A20DA">
      <w:pPr>
        <w:pStyle w:val="SingleTxtG"/>
        <w:ind w:left="4536" w:hanging="3402"/>
        <w:jc w:val="left"/>
        <w:rPr>
          <w:lang w:val="en-US"/>
        </w:rPr>
      </w:pPr>
      <w:r w:rsidRPr="00481A93">
        <w:rPr>
          <w:i/>
          <w:lang w:val="en-US"/>
        </w:rPr>
        <w:t>Submitted by:</w:t>
      </w:r>
      <w:r w:rsidRPr="004C5945">
        <w:rPr>
          <w:lang w:val="en-US"/>
        </w:rPr>
        <w:tab/>
      </w:r>
      <w:r w:rsidR="00D7054C" w:rsidRPr="000A20DA">
        <w:rPr>
          <w:rStyle w:val="SingleTxtGChar"/>
        </w:rPr>
        <w:t>Misilin</w:t>
      </w:r>
      <w:r w:rsidR="00D7054C">
        <w:rPr>
          <w:lang w:val="en-US"/>
        </w:rPr>
        <w:t xml:space="preserve"> Nona Guneththige and Piyawathie Guneththige</w:t>
      </w:r>
      <w:r w:rsidR="005D35FD">
        <w:rPr>
          <w:lang w:val="en-US"/>
        </w:rPr>
        <w:t xml:space="preserve"> (</w:t>
      </w:r>
      <w:r w:rsidR="00812A08">
        <w:rPr>
          <w:lang w:val="en-US"/>
        </w:rPr>
        <w:t>represented by the Asian Legal Resource Centre and Redress</w:t>
      </w:r>
      <w:r w:rsidR="005D35FD">
        <w:rPr>
          <w:lang w:val="en-US"/>
        </w:rPr>
        <w:t>)</w:t>
      </w:r>
    </w:p>
    <w:p w:rsidR="00D7054C" w:rsidRDefault="00D7054C" w:rsidP="00DF3830">
      <w:pPr>
        <w:pStyle w:val="SingleTxtG"/>
        <w:ind w:left="4536" w:hanging="3402"/>
        <w:jc w:val="left"/>
        <w:rPr>
          <w:lang w:val="en-US"/>
        </w:rPr>
      </w:pPr>
      <w:r>
        <w:rPr>
          <w:i/>
          <w:lang w:val="en-US"/>
        </w:rPr>
        <w:t>Alleged victim</w:t>
      </w:r>
      <w:r w:rsidR="004C5945" w:rsidRPr="00481A93">
        <w:rPr>
          <w:i/>
          <w:lang w:val="en-US"/>
        </w:rPr>
        <w:t>:</w:t>
      </w:r>
      <w:r w:rsidR="004C5945" w:rsidRPr="004C5945">
        <w:rPr>
          <w:lang w:val="en-US"/>
        </w:rPr>
        <w:tab/>
      </w:r>
      <w:r w:rsidRPr="000A20DA">
        <w:rPr>
          <w:rStyle w:val="SingleTxtGChar"/>
        </w:rPr>
        <w:t>Thissera</w:t>
      </w:r>
      <w:r>
        <w:rPr>
          <w:lang w:val="en-US"/>
        </w:rPr>
        <w:t xml:space="preserve"> Sunil Hemachandra (</w:t>
      </w:r>
      <w:r w:rsidR="00983ED5">
        <w:rPr>
          <w:lang w:val="en-US"/>
        </w:rPr>
        <w:t xml:space="preserve">the </w:t>
      </w:r>
      <w:r>
        <w:rPr>
          <w:lang w:val="en-US"/>
        </w:rPr>
        <w:t>author</w:t>
      </w:r>
      <w:r w:rsidR="00DF3830">
        <w:rPr>
          <w:lang w:val="en-US"/>
        </w:rPr>
        <w:t>s’</w:t>
      </w:r>
      <w:r>
        <w:rPr>
          <w:lang w:val="en-US"/>
        </w:rPr>
        <w:t xml:space="preserve"> son and nephew</w:t>
      </w:r>
      <w:r w:rsidR="00DF3830">
        <w:rPr>
          <w:lang w:val="en-US"/>
        </w:rPr>
        <w:t>,</w:t>
      </w:r>
      <w:r>
        <w:rPr>
          <w:lang w:val="en-US"/>
        </w:rPr>
        <w:t xml:space="preserve"> respectively)</w:t>
      </w:r>
    </w:p>
    <w:p w:rsidR="004C5945" w:rsidRPr="004C5945" w:rsidRDefault="004C5945" w:rsidP="000A20DA">
      <w:pPr>
        <w:pStyle w:val="SingleTxtG"/>
        <w:ind w:left="4536" w:hanging="3402"/>
        <w:jc w:val="left"/>
        <w:rPr>
          <w:lang w:val="en-US"/>
        </w:rPr>
      </w:pPr>
      <w:r w:rsidRPr="00481A93">
        <w:rPr>
          <w:i/>
          <w:lang w:val="en-US"/>
        </w:rPr>
        <w:t>State party:</w:t>
      </w:r>
      <w:r w:rsidRPr="004C5945">
        <w:rPr>
          <w:lang w:val="en-US"/>
        </w:rPr>
        <w:tab/>
        <w:t xml:space="preserve">Sri </w:t>
      </w:r>
      <w:r w:rsidRPr="000A20DA">
        <w:rPr>
          <w:rStyle w:val="SingleTxtGChar"/>
        </w:rPr>
        <w:t>Lanka</w:t>
      </w:r>
    </w:p>
    <w:p w:rsidR="004C5945" w:rsidRPr="004C5945" w:rsidRDefault="004C5945" w:rsidP="000A20DA">
      <w:pPr>
        <w:pStyle w:val="SingleTxtG"/>
        <w:ind w:left="4536" w:hanging="3402"/>
        <w:jc w:val="left"/>
        <w:rPr>
          <w:lang w:val="en-US"/>
        </w:rPr>
      </w:pPr>
      <w:r w:rsidRPr="00481A93">
        <w:rPr>
          <w:i/>
          <w:lang w:val="en-US"/>
        </w:rPr>
        <w:t>Date of communication:</w:t>
      </w:r>
      <w:r w:rsidRPr="004C5945">
        <w:rPr>
          <w:lang w:val="en-US"/>
        </w:rPr>
        <w:tab/>
      </w:r>
      <w:r w:rsidR="00D7054C">
        <w:rPr>
          <w:lang w:val="en-US"/>
        </w:rPr>
        <w:t xml:space="preserve">20 </w:t>
      </w:r>
      <w:r w:rsidR="00D7054C" w:rsidRPr="000A20DA">
        <w:rPr>
          <w:rStyle w:val="SingleTxtGChar"/>
        </w:rPr>
        <w:t>July</w:t>
      </w:r>
      <w:r w:rsidR="00D7054C">
        <w:rPr>
          <w:lang w:val="en-US"/>
        </w:rPr>
        <w:t xml:space="preserve"> 2011 </w:t>
      </w:r>
      <w:r w:rsidR="00ED331F">
        <w:rPr>
          <w:lang w:val="en-US"/>
        </w:rPr>
        <w:t>(initial submission)</w:t>
      </w:r>
    </w:p>
    <w:p w:rsidR="004C5945" w:rsidRPr="004C5945" w:rsidRDefault="004C5945" w:rsidP="000A20DA">
      <w:pPr>
        <w:pStyle w:val="SingleTxtG"/>
        <w:ind w:left="4536" w:hanging="3402"/>
        <w:jc w:val="left"/>
        <w:rPr>
          <w:lang w:val="en-US"/>
        </w:rPr>
      </w:pPr>
      <w:r w:rsidRPr="00481A93">
        <w:rPr>
          <w:i/>
          <w:lang w:val="en-US"/>
        </w:rPr>
        <w:t>Document references:</w:t>
      </w:r>
      <w:r w:rsidRPr="004C5945">
        <w:rPr>
          <w:lang w:val="en-US"/>
        </w:rPr>
        <w:tab/>
        <w:t xml:space="preserve">Special Rapporteur’s </w:t>
      </w:r>
      <w:r w:rsidR="000144FE">
        <w:rPr>
          <w:lang w:val="en-US"/>
        </w:rPr>
        <w:t xml:space="preserve">rule </w:t>
      </w:r>
      <w:r w:rsidRPr="00C767A0">
        <w:rPr>
          <w:lang w:val="en-US"/>
        </w:rPr>
        <w:t>97 decision,</w:t>
      </w:r>
      <w:r w:rsidRPr="004C5945">
        <w:rPr>
          <w:lang w:val="en-US"/>
        </w:rPr>
        <w:t xml:space="preserve"> </w:t>
      </w:r>
      <w:r w:rsidRPr="000A20DA">
        <w:rPr>
          <w:rStyle w:val="SingleTxtGChar"/>
        </w:rPr>
        <w:t>transmitted</w:t>
      </w:r>
      <w:r w:rsidRPr="004C5945">
        <w:rPr>
          <w:lang w:val="en-US"/>
        </w:rPr>
        <w:t xml:space="preserve"> to the State party on</w:t>
      </w:r>
      <w:r w:rsidR="00D7054C">
        <w:rPr>
          <w:lang w:val="en-US"/>
        </w:rPr>
        <w:t xml:space="preserve"> 22 August 2011</w:t>
      </w:r>
      <w:r w:rsidRPr="004C5945">
        <w:rPr>
          <w:lang w:val="en-US"/>
        </w:rPr>
        <w:t xml:space="preserve"> (not issued in document form)</w:t>
      </w:r>
    </w:p>
    <w:p w:rsidR="000A20DA" w:rsidRDefault="004C5945" w:rsidP="000A20DA">
      <w:pPr>
        <w:pStyle w:val="SingleTxtG"/>
        <w:ind w:left="4536" w:hanging="3402"/>
        <w:jc w:val="left"/>
        <w:rPr>
          <w:lang w:val="en-US"/>
        </w:rPr>
      </w:pPr>
      <w:r w:rsidRPr="0003268B">
        <w:rPr>
          <w:i/>
          <w:lang w:val="en-US"/>
        </w:rPr>
        <w:t>Date of adoption of Views:</w:t>
      </w:r>
      <w:r w:rsidRPr="004C5945">
        <w:rPr>
          <w:lang w:val="en-US"/>
        </w:rPr>
        <w:tab/>
      </w:r>
      <w:r w:rsidR="00C33A29">
        <w:rPr>
          <w:lang w:val="en-US"/>
        </w:rPr>
        <w:t xml:space="preserve">30 </w:t>
      </w:r>
      <w:r w:rsidR="005F28BB" w:rsidRPr="000A20DA">
        <w:rPr>
          <w:rStyle w:val="SingleTxtGChar"/>
        </w:rPr>
        <w:t>March</w:t>
      </w:r>
      <w:r w:rsidR="000144FE">
        <w:rPr>
          <w:lang w:val="en-US"/>
        </w:rPr>
        <w:t xml:space="preserve"> 2015</w:t>
      </w:r>
    </w:p>
    <w:p w:rsidR="005F2B6A" w:rsidRDefault="005F2B6A" w:rsidP="000A20DA">
      <w:pPr>
        <w:pStyle w:val="SingleTxtG"/>
        <w:ind w:left="4536" w:hanging="3402"/>
        <w:jc w:val="left"/>
        <w:rPr>
          <w:lang w:val="en-US"/>
        </w:rPr>
      </w:pPr>
      <w:r w:rsidRPr="004C5945">
        <w:rPr>
          <w:i/>
          <w:lang w:val="en-US"/>
        </w:rPr>
        <w:t>Subject m</w:t>
      </w:r>
      <w:r>
        <w:rPr>
          <w:i/>
          <w:lang w:val="en-US"/>
        </w:rPr>
        <w:t>atter:</w:t>
      </w:r>
      <w:r>
        <w:rPr>
          <w:i/>
          <w:lang w:val="en-US"/>
        </w:rPr>
        <w:tab/>
      </w:r>
      <w:r w:rsidRPr="000A20DA">
        <w:rPr>
          <w:rStyle w:val="SingleTxtGChar"/>
        </w:rPr>
        <w:t>Suspicious</w:t>
      </w:r>
      <w:r w:rsidRPr="00FE35FD">
        <w:t xml:space="preserve"> death in custody allegedly resulting from torture</w:t>
      </w:r>
    </w:p>
    <w:p w:rsidR="004C5945" w:rsidRDefault="004C5945" w:rsidP="006836EE">
      <w:pPr>
        <w:pStyle w:val="SingleTxtG"/>
        <w:ind w:left="4536" w:hanging="3402"/>
        <w:jc w:val="left"/>
        <w:rPr>
          <w:lang w:val="en-US"/>
        </w:rPr>
      </w:pPr>
      <w:r w:rsidRPr="004C5945">
        <w:rPr>
          <w:i/>
          <w:lang w:val="en-US"/>
        </w:rPr>
        <w:t>Procedural issues</w:t>
      </w:r>
      <w:r w:rsidR="000A20DA">
        <w:rPr>
          <w:lang w:val="en-US"/>
        </w:rPr>
        <w:t>:</w:t>
      </w:r>
      <w:r w:rsidR="006813D8">
        <w:rPr>
          <w:lang w:val="en-US"/>
        </w:rPr>
        <w:tab/>
      </w:r>
      <w:r w:rsidR="000144FE" w:rsidRPr="00D33ED5">
        <w:rPr>
          <w:lang w:val="en-US"/>
        </w:rPr>
        <w:t>Non-</w:t>
      </w:r>
      <w:r w:rsidR="000144FE" w:rsidRPr="00D33ED5">
        <w:rPr>
          <w:rStyle w:val="SingleTxtGChar"/>
        </w:rPr>
        <w:t>cooperation</w:t>
      </w:r>
      <w:r w:rsidR="000144FE" w:rsidRPr="00D33ED5">
        <w:rPr>
          <w:lang w:val="en-US"/>
        </w:rPr>
        <w:t xml:space="preserve"> of State party</w:t>
      </w:r>
    </w:p>
    <w:p w:rsidR="000144FE" w:rsidRPr="004C5945" w:rsidRDefault="000A20DA" w:rsidP="000A20DA">
      <w:pPr>
        <w:pStyle w:val="SingleTxtG"/>
        <w:ind w:left="4536" w:hanging="3402"/>
        <w:jc w:val="left"/>
        <w:rPr>
          <w:iCs/>
          <w:lang w:val="en-US"/>
        </w:rPr>
      </w:pPr>
      <w:r>
        <w:rPr>
          <w:i/>
          <w:lang w:val="en-US"/>
        </w:rPr>
        <w:t>Substantive issues:</w:t>
      </w:r>
      <w:r w:rsidR="000144FE">
        <w:rPr>
          <w:i/>
          <w:lang w:val="en-US"/>
        </w:rPr>
        <w:tab/>
      </w:r>
      <w:r w:rsidR="000144FE" w:rsidRPr="004C5945">
        <w:rPr>
          <w:iCs/>
          <w:lang w:val="en-US"/>
        </w:rPr>
        <w:t xml:space="preserve">Arbitrary deprivation of life; torture and ill-treatment; lack of proper investigation; right </w:t>
      </w:r>
      <w:r w:rsidR="008D2CB9">
        <w:rPr>
          <w:iCs/>
          <w:lang w:val="en-US"/>
        </w:rPr>
        <w:t xml:space="preserve">to an effective remedy; </w:t>
      </w:r>
      <w:r w:rsidR="008D2CB9" w:rsidRPr="002D7FE3">
        <w:t>right to liberty and security of person; respect for the inher</w:t>
      </w:r>
      <w:r w:rsidR="008D2CB9">
        <w:t>ent dignity of the human person.</w:t>
      </w:r>
    </w:p>
    <w:p w:rsidR="004C5945" w:rsidRPr="00BA04FC" w:rsidRDefault="004C5945" w:rsidP="001F4950">
      <w:pPr>
        <w:pStyle w:val="SingleTxtG"/>
        <w:ind w:left="4536" w:hanging="3402"/>
        <w:jc w:val="left"/>
      </w:pPr>
      <w:r w:rsidRPr="00BA04FC">
        <w:rPr>
          <w:i/>
        </w:rPr>
        <w:t>Articles of the Covenant:</w:t>
      </w:r>
      <w:r w:rsidR="006813D8" w:rsidRPr="00BA04FC">
        <w:rPr>
          <w:i/>
        </w:rPr>
        <w:tab/>
      </w:r>
      <w:r w:rsidRPr="00BA04FC">
        <w:t xml:space="preserve">2 </w:t>
      </w:r>
      <w:r w:rsidR="0016703E" w:rsidRPr="00BA04FC">
        <w:t>(</w:t>
      </w:r>
      <w:r w:rsidR="00BB539D" w:rsidRPr="00BA04FC">
        <w:t>para</w:t>
      </w:r>
      <w:r w:rsidR="0016703E" w:rsidRPr="00BA04FC">
        <w:t>.</w:t>
      </w:r>
      <w:r w:rsidR="00BB539D" w:rsidRPr="00BA04FC">
        <w:t> </w:t>
      </w:r>
      <w:r w:rsidRPr="004C5945">
        <w:rPr>
          <w:lang w:val="fr-FR"/>
        </w:rPr>
        <w:t>3</w:t>
      </w:r>
      <w:r w:rsidR="0016703E">
        <w:rPr>
          <w:lang w:val="fr-FR"/>
        </w:rPr>
        <w:t>)</w:t>
      </w:r>
      <w:r w:rsidRPr="004C5945">
        <w:rPr>
          <w:lang w:val="fr-FR"/>
        </w:rPr>
        <w:t xml:space="preserve">; 6; 7; 9 </w:t>
      </w:r>
      <w:r w:rsidR="001F4950">
        <w:rPr>
          <w:lang w:val="fr-FR"/>
        </w:rPr>
        <w:t>(</w:t>
      </w:r>
      <w:r w:rsidRPr="00E60075">
        <w:rPr>
          <w:rStyle w:val="SingleTxtGChar"/>
          <w:lang w:val="fr-CH"/>
        </w:rPr>
        <w:t>para</w:t>
      </w:r>
      <w:r w:rsidR="001F4950">
        <w:rPr>
          <w:rStyle w:val="SingleTxtGChar"/>
          <w:lang w:val="fr-CH"/>
        </w:rPr>
        <w:t>s.</w:t>
      </w:r>
      <w:r w:rsidRPr="004C5945">
        <w:rPr>
          <w:lang w:val="fr-FR"/>
        </w:rPr>
        <w:t xml:space="preserve"> 1</w:t>
      </w:r>
      <w:r w:rsidR="008D2CB9">
        <w:rPr>
          <w:lang w:val="fr-FR"/>
        </w:rPr>
        <w:t>, 2 and 4</w:t>
      </w:r>
      <w:r w:rsidR="001F4950">
        <w:rPr>
          <w:lang w:val="fr-FR"/>
        </w:rPr>
        <w:t>)</w:t>
      </w:r>
      <w:r w:rsidRPr="004C5945">
        <w:rPr>
          <w:lang w:val="fr-FR"/>
        </w:rPr>
        <w:t>;</w:t>
      </w:r>
      <w:r w:rsidR="001F4950">
        <w:rPr>
          <w:lang w:val="fr-FR"/>
        </w:rPr>
        <w:br/>
      </w:r>
      <w:r w:rsidR="008D2CB9">
        <w:rPr>
          <w:lang w:val="fr-FR"/>
        </w:rPr>
        <w:t>10</w:t>
      </w:r>
      <w:r w:rsidR="001F4950">
        <w:rPr>
          <w:lang w:val="fr-FR"/>
        </w:rPr>
        <w:t xml:space="preserve"> (</w:t>
      </w:r>
      <w:r w:rsidR="00BB539D">
        <w:rPr>
          <w:lang w:val="fr-FR"/>
        </w:rPr>
        <w:t>para</w:t>
      </w:r>
      <w:r w:rsidR="001F4950">
        <w:rPr>
          <w:lang w:val="fr-FR"/>
        </w:rPr>
        <w:t>.</w:t>
      </w:r>
      <w:r w:rsidR="00BB539D">
        <w:rPr>
          <w:lang w:val="fr-FR"/>
        </w:rPr>
        <w:t> </w:t>
      </w:r>
      <w:r w:rsidR="008D2CB9" w:rsidRPr="00BA04FC">
        <w:t>1</w:t>
      </w:r>
      <w:r w:rsidR="001F4950" w:rsidRPr="00BA04FC">
        <w:t>)</w:t>
      </w:r>
    </w:p>
    <w:p w:rsidR="004C5945" w:rsidRPr="004C5945" w:rsidRDefault="004C5945" w:rsidP="000A20DA">
      <w:pPr>
        <w:pStyle w:val="SingleTxtG"/>
        <w:ind w:left="4536" w:hanging="3402"/>
        <w:jc w:val="left"/>
        <w:rPr>
          <w:lang w:val="en-US"/>
        </w:rPr>
      </w:pPr>
      <w:r w:rsidRPr="004C5945">
        <w:rPr>
          <w:i/>
          <w:lang w:val="en-US"/>
        </w:rPr>
        <w:t>Articles of the Optional Protocol</w:t>
      </w:r>
      <w:r w:rsidR="000A20DA">
        <w:rPr>
          <w:lang w:val="en-US"/>
        </w:rPr>
        <w:t>:</w:t>
      </w:r>
      <w:r w:rsidR="006813D8">
        <w:rPr>
          <w:lang w:val="en-US"/>
        </w:rPr>
        <w:tab/>
      </w:r>
      <w:r w:rsidRPr="000A20DA">
        <w:rPr>
          <w:rStyle w:val="SingleTxtGChar"/>
        </w:rPr>
        <w:t>None</w:t>
      </w:r>
    </w:p>
    <w:p w:rsidR="004C5945" w:rsidRPr="004C5945" w:rsidRDefault="004C5945" w:rsidP="006813D8">
      <w:pPr>
        <w:pStyle w:val="HChG"/>
      </w:pPr>
      <w:r w:rsidRPr="004C5945">
        <w:rPr>
          <w:i/>
          <w:u w:val="single"/>
        </w:rPr>
        <w:br w:type="page"/>
      </w:r>
      <w:r w:rsidR="006813D8" w:rsidRPr="004C5945">
        <w:lastRenderedPageBreak/>
        <w:t>Annex</w:t>
      </w:r>
    </w:p>
    <w:p w:rsidR="004C5945" w:rsidRPr="004C5945" w:rsidRDefault="006813D8" w:rsidP="001F4950">
      <w:pPr>
        <w:pStyle w:val="HChG"/>
        <w:rPr>
          <w:bCs/>
          <w:lang w:val="en-US"/>
        </w:rPr>
      </w:pPr>
      <w:r>
        <w:tab/>
      </w:r>
      <w:r>
        <w:tab/>
      </w:r>
      <w:r w:rsidR="004C5945" w:rsidRPr="004C5945">
        <w:t>Views of the Human Rights Committee under article 5, paragraph 4, of</w:t>
      </w:r>
      <w:r>
        <w:t xml:space="preserve"> </w:t>
      </w:r>
      <w:r w:rsidR="004C5945" w:rsidRPr="004C5945">
        <w:t xml:space="preserve">the Optional Protocol to the International Covenant on </w:t>
      </w:r>
      <w:r w:rsidRPr="004C5945">
        <w:t xml:space="preserve">Civil </w:t>
      </w:r>
      <w:r>
        <w:t>and</w:t>
      </w:r>
      <w:r w:rsidR="004C5945" w:rsidRPr="004C5945">
        <w:t xml:space="preserve"> Political </w:t>
      </w:r>
      <w:r w:rsidR="0025022F">
        <w:t>R</w:t>
      </w:r>
      <w:r w:rsidR="004C5945" w:rsidRPr="004C5945">
        <w:t>ights</w:t>
      </w:r>
      <w:r w:rsidR="000144FE">
        <w:t xml:space="preserve"> (11</w:t>
      </w:r>
      <w:r>
        <w:t>3</w:t>
      </w:r>
      <w:r w:rsidR="00ED331F">
        <w:rPr>
          <w:szCs w:val="28"/>
        </w:rPr>
        <w:t>th</w:t>
      </w:r>
      <w:r>
        <w:t xml:space="preserve"> </w:t>
      </w:r>
      <w:r w:rsidR="004C5945" w:rsidRPr="004C5945">
        <w:rPr>
          <w:bCs/>
          <w:lang w:val="en-US"/>
        </w:rPr>
        <w:t>session</w:t>
      </w:r>
      <w:r>
        <w:rPr>
          <w:bCs/>
          <w:lang w:val="en-US"/>
        </w:rPr>
        <w:t>)</w:t>
      </w:r>
    </w:p>
    <w:p w:rsidR="004C5945" w:rsidRPr="004C5945" w:rsidRDefault="004C5945" w:rsidP="006813D8">
      <w:pPr>
        <w:pStyle w:val="SingleTxtG"/>
        <w:rPr>
          <w:b/>
          <w:bCs/>
          <w:lang w:val="en-US"/>
        </w:rPr>
      </w:pPr>
      <w:r w:rsidRPr="004C5945">
        <w:rPr>
          <w:lang w:val="en-US"/>
        </w:rPr>
        <w:t>concerning</w:t>
      </w:r>
    </w:p>
    <w:p w:rsidR="00C33A29" w:rsidRPr="00F558CF" w:rsidRDefault="006813D8" w:rsidP="00C33A29">
      <w:pPr>
        <w:pStyle w:val="H1G"/>
        <w:rPr>
          <w:sz w:val="20"/>
          <w:vertAlign w:val="superscript"/>
        </w:rPr>
      </w:pPr>
      <w:r>
        <w:rPr>
          <w:lang w:val="en-US"/>
        </w:rPr>
        <w:tab/>
      </w:r>
      <w:r>
        <w:rPr>
          <w:lang w:val="en-US"/>
        </w:rPr>
        <w:tab/>
      </w:r>
      <w:r w:rsidR="004C5945" w:rsidRPr="004C5945">
        <w:rPr>
          <w:lang w:val="en-US"/>
        </w:rPr>
        <w:t xml:space="preserve">Communication No. </w:t>
      </w:r>
      <w:r w:rsidR="000144FE">
        <w:rPr>
          <w:lang w:val="en-US"/>
        </w:rPr>
        <w:t>2087/2011</w:t>
      </w:r>
      <w:r w:rsidR="00C33A29" w:rsidRPr="00BA04FC">
        <w:rPr>
          <w:rStyle w:val="FootnoteReference"/>
          <w:b w:val="0"/>
          <w:bCs/>
          <w:sz w:val="20"/>
          <w:vertAlign w:val="baseline"/>
        </w:rPr>
        <w:footnoteReference w:customMarkFollows="1" w:id="2"/>
        <w:t>*</w:t>
      </w:r>
    </w:p>
    <w:p w:rsidR="000144FE" w:rsidRDefault="004C5945" w:rsidP="000A20DA">
      <w:pPr>
        <w:pStyle w:val="SingleTxtG"/>
        <w:ind w:left="4536" w:hanging="3402"/>
        <w:jc w:val="left"/>
        <w:rPr>
          <w:lang w:val="en-US"/>
        </w:rPr>
      </w:pPr>
      <w:r w:rsidRPr="00481A93">
        <w:rPr>
          <w:i/>
          <w:lang w:val="en-US"/>
        </w:rPr>
        <w:t>Submitted by:</w:t>
      </w:r>
      <w:r w:rsidRPr="004C5945">
        <w:rPr>
          <w:lang w:val="en-US"/>
        </w:rPr>
        <w:tab/>
      </w:r>
      <w:r w:rsidR="00983ED5">
        <w:rPr>
          <w:lang w:val="en-US"/>
        </w:rPr>
        <w:t>Misilin Nona Guneththige and Piyawathie Guneththige</w:t>
      </w:r>
      <w:r w:rsidR="005D35FD">
        <w:rPr>
          <w:lang w:val="en-US"/>
        </w:rPr>
        <w:t xml:space="preserve"> (represented by </w:t>
      </w:r>
      <w:r w:rsidR="00812A08">
        <w:rPr>
          <w:lang w:val="en-US"/>
        </w:rPr>
        <w:t xml:space="preserve">the Asian Legal Resource Centre and </w:t>
      </w:r>
      <w:r w:rsidR="005D35FD">
        <w:rPr>
          <w:lang w:val="en-US"/>
        </w:rPr>
        <w:t>Redress)</w:t>
      </w:r>
    </w:p>
    <w:p w:rsidR="000144FE" w:rsidRDefault="004C5945" w:rsidP="001F4950">
      <w:pPr>
        <w:pStyle w:val="SingleTxtG"/>
        <w:ind w:left="4536" w:hanging="3402"/>
        <w:jc w:val="left"/>
        <w:rPr>
          <w:lang w:val="en-US"/>
        </w:rPr>
      </w:pPr>
      <w:r w:rsidRPr="00481A93">
        <w:rPr>
          <w:i/>
          <w:lang w:val="en-US"/>
        </w:rPr>
        <w:t>Alleged victims:</w:t>
      </w:r>
      <w:r w:rsidRPr="004C5945">
        <w:rPr>
          <w:lang w:val="en-US"/>
        </w:rPr>
        <w:tab/>
      </w:r>
      <w:r w:rsidR="00983ED5" w:rsidRPr="000A20DA">
        <w:rPr>
          <w:rStyle w:val="SingleTxtGChar"/>
        </w:rPr>
        <w:t>Thissera</w:t>
      </w:r>
      <w:r w:rsidR="00983ED5">
        <w:rPr>
          <w:lang w:val="en-US"/>
        </w:rPr>
        <w:t xml:space="preserve"> Sunil Hemachandra (</w:t>
      </w:r>
      <w:r w:rsidR="001F4950">
        <w:rPr>
          <w:lang w:val="en-US"/>
        </w:rPr>
        <w:t xml:space="preserve">the </w:t>
      </w:r>
      <w:r w:rsidR="00983ED5">
        <w:rPr>
          <w:lang w:val="en-US"/>
        </w:rPr>
        <w:t>author</w:t>
      </w:r>
      <w:r w:rsidR="001F4950">
        <w:rPr>
          <w:lang w:val="en-US"/>
        </w:rPr>
        <w:t>s’</w:t>
      </w:r>
      <w:r w:rsidR="00983ED5">
        <w:rPr>
          <w:lang w:val="en-US"/>
        </w:rPr>
        <w:t xml:space="preserve"> son and nephew</w:t>
      </w:r>
      <w:r w:rsidR="001F4950">
        <w:rPr>
          <w:lang w:val="en-US"/>
        </w:rPr>
        <w:t>,</w:t>
      </w:r>
      <w:r w:rsidR="00983ED5">
        <w:rPr>
          <w:lang w:val="en-US"/>
        </w:rPr>
        <w:t xml:space="preserve"> respectively)</w:t>
      </w:r>
    </w:p>
    <w:p w:rsidR="004C5945" w:rsidRPr="004C5945" w:rsidRDefault="004C5945" w:rsidP="000A20DA">
      <w:pPr>
        <w:pStyle w:val="SingleTxtG"/>
        <w:ind w:left="4536" w:hanging="3402"/>
        <w:jc w:val="left"/>
        <w:rPr>
          <w:lang w:val="en-US"/>
        </w:rPr>
      </w:pPr>
      <w:r w:rsidRPr="00481A93">
        <w:rPr>
          <w:i/>
          <w:lang w:val="en-US"/>
        </w:rPr>
        <w:t>State party:</w:t>
      </w:r>
      <w:r w:rsidRPr="004C5945">
        <w:rPr>
          <w:lang w:val="en-US"/>
        </w:rPr>
        <w:tab/>
        <w:t xml:space="preserve">Sri </w:t>
      </w:r>
      <w:r w:rsidRPr="000A20DA">
        <w:rPr>
          <w:rStyle w:val="SingleTxtGChar"/>
        </w:rPr>
        <w:t>Lanka</w:t>
      </w:r>
    </w:p>
    <w:p w:rsidR="004C5945" w:rsidRPr="004C5945" w:rsidRDefault="004C5945" w:rsidP="000A20DA">
      <w:pPr>
        <w:pStyle w:val="SingleTxtG"/>
        <w:ind w:left="4536" w:hanging="3402"/>
        <w:jc w:val="left"/>
        <w:rPr>
          <w:lang w:val="en-US"/>
        </w:rPr>
      </w:pPr>
      <w:r w:rsidRPr="00481A93">
        <w:rPr>
          <w:i/>
          <w:lang w:val="en-US"/>
        </w:rPr>
        <w:t>Date of communication:</w:t>
      </w:r>
      <w:r w:rsidRPr="004C5945">
        <w:rPr>
          <w:lang w:val="en-US"/>
        </w:rPr>
        <w:tab/>
      </w:r>
      <w:r w:rsidR="00B95A8D">
        <w:rPr>
          <w:lang w:val="en-US"/>
        </w:rPr>
        <w:t>20 July 2011</w:t>
      </w:r>
      <w:r w:rsidRPr="004C5945">
        <w:rPr>
          <w:lang w:val="en-US"/>
        </w:rPr>
        <w:t xml:space="preserve"> (initial submission)</w:t>
      </w:r>
    </w:p>
    <w:p w:rsidR="004C5945" w:rsidRPr="004C5945" w:rsidRDefault="006813D8" w:rsidP="00BA04FC">
      <w:pPr>
        <w:pStyle w:val="SingleTxtG"/>
        <w:spacing w:before="240"/>
        <w:rPr>
          <w:lang w:val="en-US"/>
        </w:rPr>
      </w:pPr>
      <w:r>
        <w:rPr>
          <w:lang w:val="en-US"/>
        </w:rPr>
        <w:tab/>
      </w:r>
      <w:r w:rsidR="004C5945" w:rsidRPr="00481A93">
        <w:rPr>
          <w:i/>
          <w:lang w:val="en-US"/>
        </w:rPr>
        <w:t>The Human Rights Committee</w:t>
      </w:r>
      <w:r w:rsidR="004C5945" w:rsidRPr="004C5945">
        <w:rPr>
          <w:lang w:val="en-US"/>
        </w:rPr>
        <w:t xml:space="preserve">, established under article 28 of the International Covenant on Civil and Political Rights, </w:t>
      </w:r>
    </w:p>
    <w:p w:rsidR="004C5945" w:rsidRPr="004C5945" w:rsidRDefault="004C5945" w:rsidP="006813D8">
      <w:pPr>
        <w:pStyle w:val="SingleTxtG"/>
        <w:rPr>
          <w:lang w:val="en-US"/>
        </w:rPr>
      </w:pPr>
      <w:r w:rsidRPr="004C5945">
        <w:rPr>
          <w:lang w:val="en-US"/>
        </w:rPr>
        <w:tab/>
      </w:r>
      <w:r w:rsidRPr="00481A93">
        <w:rPr>
          <w:i/>
          <w:lang w:val="en-US"/>
        </w:rPr>
        <w:t xml:space="preserve">Meeting </w:t>
      </w:r>
      <w:r w:rsidRPr="00BA04FC">
        <w:rPr>
          <w:iCs/>
          <w:lang w:val="en-US"/>
        </w:rPr>
        <w:t>on</w:t>
      </w:r>
      <w:r w:rsidRPr="004C5945">
        <w:rPr>
          <w:lang w:val="en-US"/>
        </w:rPr>
        <w:t xml:space="preserve"> </w:t>
      </w:r>
      <w:r w:rsidR="00C33A29">
        <w:rPr>
          <w:lang w:val="en-US"/>
        </w:rPr>
        <w:t xml:space="preserve">30 </w:t>
      </w:r>
      <w:r w:rsidR="00F82483">
        <w:rPr>
          <w:lang w:val="en-US"/>
        </w:rPr>
        <w:t>March</w:t>
      </w:r>
      <w:r w:rsidR="000144FE">
        <w:rPr>
          <w:lang w:val="en-US"/>
        </w:rPr>
        <w:t xml:space="preserve"> 2015</w:t>
      </w:r>
      <w:r w:rsidRPr="004C5945">
        <w:rPr>
          <w:lang w:val="en-US"/>
        </w:rPr>
        <w:t>,</w:t>
      </w:r>
    </w:p>
    <w:p w:rsidR="004C5945" w:rsidRPr="004C5945" w:rsidRDefault="006813D8" w:rsidP="006813D8">
      <w:pPr>
        <w:pStyle w:val="SingleTxtG"/>
        <w:rPr>
          <w:lang w:val="en-US"/>
        </w:rPr>
      </w:pPr>
      <w:r w:rsidRPr="006813D8">
        <w:rPr>
          <w:lang w:val="en-US"/>
        </w:rPr>
        <w:tab/>
      </w:r>
      <w:r w:rsidR="004C5945" w:rsidRPr="00481A93">
        <w:rPr>
          <w:i/>
          <w:lang w:val="en-US"/>
        </w:rPr>
        <w:t>Having concluded</w:t>
      </w:r>
      <w:r w:rsidR="004C5945" w:rsidRPr="004C5945">
        <w:rPr>
          <w:lang w:val="en-US"/>
        </w:rPr>
        <w:t xml:space="preserve"> its cons</w:t>
      </w:r>
      <w:r w:rsidR="000144FE">
        <w:rPr>
          <w:lang w:val="en-US"/>
        </w:rPr>
        <w:t xml:space="preserve">ideration of communication </w:t>
      </w:r>
      <w:r w:rsidR="00BB539D">
        <w:rPr>
          <w:lang w:val="en-US"/>
        </w:rPr>
        <w:t>No. </w:t>
      </w:r>
      <w:r w:rsidR="000144FE">
        <w:rPr>
          <w:lang w:val="en-US"/>
        </w:rPr>
        <w:t>2087/2011</w:t>
      </w:r>
      <w:r w:rsidR="004C5945" w:rsidRPr="004C5945">
        <w:rPr>
          <w:lang w:val="en-US"/>
        </w:rPr>
        <w:t>, submitted to the Human Rights Committee on behalf of</w:t>
      </w:r>
      <w:r w:rsidR="00B41603">
        <w:rPr>
          <w:lang w:val="en-US"/>
        </w:rPr>
        <w:t xml:space="preserve"> </w:t>
      </w:r>
      <w:r w:rsidR="00B41603" w:rsidRPr="000A20DA">
        <w:rPr>
          <w:rStyle w:val="SingleTxtGChar"/>
        </w:rPr>
        <w:t>Thissera</w:t>
      </w:r>
      <w:r w:rsidR="00B41603">
        <w:rPr>
          <w:lang w:val="en-US"/>
        </w:rPr>
        <w:t xml:space="preserve"> Sunil Hemachandra,</w:t>
      </w:r>
      <w:r w:rsidR="004C5945" w:rsidRPr="004C5945">
        <w:rPr>
          <w:lang w:val="en-US"/>
        </w:rPr>
        <w:t xml:space="preserve"> under the Optional Protocol to the International Covenant on Civil and Political Rights,</w:t>
      </w:r>
    </w:p>
    <w:p w:rsidR="004C5945" w:rsidRPr="004C5945" w:rsidRDefault="004C5945" w:rsidP="006813D8">
      <w:pPr>
        <w:pStyle w:val="SingleTxtG"/>
        <w:rPr>
          <w:lang w:val="en-US"/>
        </w:rPr>
      </w:pPr>
      <w:r w:rsidRPr="004C5945">
        <w:rPr>
          <w:lang w:val="en-US"/>
        </w:rPr>
        <w:tab/>
      </w:r>
      <w:r w:rsidRPr="00481A93">
        <w:rPr>
          <w:i/>
          <w:lang w:val="en-US"/>
        </w:rPr>
        <w:t>Having taken into account</w:t>
      </w:r>
      <w:r w:rsidRPr="004C5945">
        <w:rPr>
          <w:lang w:val="en-US"/>
        </w:rPr>
        <w:t xml:space="preserve"> all written information made available to it by the author of the communication,</w:t>
      </w:r>
    </w:p>
    <w:p w:rsidR="004C5945" w:rsidRPr="004C5945" w:rsidRDefault="004C5945" w:rsidP="006813D8">
      <w:pPr>
        <w:pStyle w:val="SingleTxtG"/>
        <w:rPr>
          <w:lang w:val="en-US"/>
        </w:rPr>
      </w:pPr>
      <w:r w:rsidRPr="004C5945">
        <w:rPr>
          <w:lang w:val="en-US"/>
        </w:rPr>
        <w:tab/>
      </w:r>
      <w:r w:rsidRPr="00481A93">
        <w:rPr>
          <w:i/>
          <w:lang w:val="en-US"/>
        </w:rPr>
        <w:t xml:space="preserve">Adopts </w:t>
      </w:r>
      <w:r w:rsidRPr="00BA04FC">
        <w:rPr>
          <w:iCs/>
          <w:lang w:val="en-US"/>
        </w:rPr>
        <w:t>the following</w:t>
      </w:r>
      <w:r w:rsidRPr="004C5945">
        <w:rPr>
          <w:lang w:val="en-US"/>
        </w:rPr>
        <w:t>:</w:t>
      </w:r>
    </w:p>
    <w:p w:rsidR="004C5945" w:rsidRPr="004C5945" w:rsidRDefault="006813D8" w:rsidP="00D277C9">
      <w:pPr>
        <w:pStyle w:val="H1G"/>
        <w:rPr>
          <w:lang w:val="en-US"/>
        </w:rPr>
      </w:pPr>
      <w:r>
        <w:rPr>
          <w:lang w:val="en-US"/>
        </w:rPr>
        <w:tab/>
      </w:r>
      <w:r>
        <w:rPr>
          <w:lang w:val="en-US"/>
        </w:rPr>
        <w:tab/>
      </w:r>
      <w:r w:rsidR="004C5945" w:rsidRPr="004C5945">
        <w:rPr>
          <w:lang w:val="en-US"/>
        </w:rPr>
        <w:t xml:space="preserve">Views </w:t>
      </w:r>
      <w:r w:rsidR="00AD7F18">
        <w:rPr>
          <w:lang w:val="en-US"/>
        </w:rPr>
        <w:t>pursuant to</w:t>
      </w:r>
      <w:r w:rsidR="00AD7F18" w:rsidRPr="004C5945">
        <w:rPr>
          <w:lang w:val="en-US"/>
        </w:rPr>
        <w:t xml:space="preserve"> </w:t>
      </w:r>
      <w:r w:rsidR="00BB539D">
        <w:rPr>
          <w:lang w:val="en-US"/>
        </w:rPr>
        <w:t>article </w:t>
      </w:r>
      <w:r w:rsidR="004C5945" w:rsidRPr="004C5945">
        <w:rPr>
          <w:lang w:val="en-US"/>
        </w:rPr>
        <w:t xml:space="preserve">5, </w:t>
      </w:r>
      <w:r w:rsidR="00BB539D">
        <w:rPr>
          <w:lang w:val="en-US"/>
        </w:rPr>
        <w:t>paragraph </w:t>
      </w:r>
      <w:r w:rsidR="004C5945" w:rsidRPr="004C5945">
        <w:rPr>
          <w:lang w:val="en-US"/>
        </w:rPr>
        <w:t xml:space="preserve">4, of </w:t>
      </w:r>
      <w:r w:rsidR="004C5945" w:rsidRPr="000A20DA">
        <w:t>the</w:t>
      </w:r>
      <w:r w:rsidR="004C5945" w:rsidRPr="004C5945">
        <w:rPr>
          <w:lang w:val="en-US"/>
        </w:rPr>
        <w:t xml:space="preserve"> Optional Protocol</w:t>
      </w:r>
    </w:p>
    <w:p w:rsidR="004C5945" w:rsidRPr="004C5945" w:rsidRDefault="000A20DA" w:rsidP="00B41603">
      <w:pPr>
        <w:pStyle w:val="SingleTxtG"/>
        <w:rPr>
          <w:lang w:val="en-US"/>
        </w:rPr>
      </w:pPr>
      <w:r>
        <w:rPr>
          <w:lang w:val="en-US"/>
        </w:rPr>
        <w:t>1.</w:t>
      </w:r>
      <w:r w:rsidR="004C5945" w:rsidRPr="004C5945">
        <w:rPr>
          <w:lang w:val="en-US"/>
        </w:rPr>
        <w:tab/>
        <w:t>The author</w:t>
      </w:r>
      <w:r w:rsidR="00A32789">
        <w:rPr>
          <w:lang w:val="en-US"/>
        </w:rPr>
        <w:t>s</w:t>
      </w:r>
      <w:r w:rsidR="004C5945" w:rsidRPr="004C5945">
        <w:rPr>
          <w:lang w:val="en-US"/>
        </w:rPr>
        <w:t xml:space="preserve"> of the communication </w:t>
      </w:r>
      <w:r w:rsidR="00A32789">
        <w:rPr>
          <w:lang w:val="en-US"/>
        </w:rPr>
        <w:t>are Misilin Nona Guneththige</w:t>
      </w:r>
      <w:r w:rsidR="002D7118">
        <w:rPr>
          <w:lang w:val="en-US"/>
        </w:rPr>
        <w:t>,</w:t>
      </w:r>
      <w:r w:rsidR="00B42108">
        <w:rPr>
          <w:lang w:val="en-US"/>
        </w:rPr>
        <w:t xml:space="preserve"> </w:t>
      </w:r>
      <w:r w:rsidR="0082468F">
        <w:rPr>
          <w:lang w:val="en-US"/>
        </w:rPr>
        <w:t xml:space="preserve">the </w:t>
      </w:r>
      <w:r w:rsidR="00B42108">
        <w:rPr>
          <w:lang w:val="en-US"/>
        </w:rPr>
        <w:t>“first author”</w:t>
      </w:r>
      <w:r w:rsidR="002D7118">
        <w:rPr>
          <w:lang w:val="en-US"/>
        </w:rPr>
        <w:t>,</w:t>
      </w:r>
      <w:r w:rsidR="00A32789">
        <w:rPr>
          <w:lang w:val="en-US"/>
        </w:rPr>
        <w:t xml:space="preserve"> and Piyawathie Guneththige</w:t>
      </w:r>
      <w:r w:rsidR="002D7118">
        <w:rPr>
          <w:lang w:val="en-US"/>
        </w:rPr>
        <w:t>,</w:t>
      </w:r>
      <w:r w:rsidR="00B42108">
        <w:rPr>
          <w:lang w:val="en-US"/>
        </w:rPr>
        <w:t xml:space="preserve"> </w:t>
      </w:r>
      <w:r w:rsidR="0082468F">
        <w:rPr>
          <w:lang w:val="en-US"/>
        </w:rPr>
        <w:t xml:space="preserve">the </w:t>
      </w:r>
      <w:r w:rsidR="00B42108">
        <w:rPr>
          <w:lang w:val="en-US"/>
        </w:rPr>
        <w:t>“second author”</w:t>
      </w:r>
      <w:r w:rsidR="004C5945" w:rsidRPr="004C5945">
        <w:rPr>
          <w:lang w:val="en-US"/>
        </w:rPr>
        <w:t xml:space="preserve">. </w:t>
      </w:r>
      <w:r w:rsidR="00A32789">
        <w:rPr>
          <w:lang w:val="en-US"/>
        </w:rPr>
        <w:t xml:space="preserve">They </w:t>
      </w:r>
      <w:r w:rsidR="004C5945" w:rsidRPr="004C5945">
        <w:rPr>
          <w:lang w:val="en-US"/>
        </w:rPr>
        <w:t xml:space="preserve">submit the communication on behalf of </w:t>
      </w:r>
      <w:r w:rsidR="00A32789">
        <w:rPr>
          <w:lang w:val="en-US"/>
        </w:rPr>
        <w:t>their son and nephew</w:t>
      </w:r>
      <w:r w:rsidR="002D7118">
        <w:rPr>
          <w:lang w:val="en-US"/>
        </w:rPr>
        <w:t>,</w:t>
      </w:r>
      <w:r w:rsidR="00A32789">
        <w:rPr>
          <w:lang w:val="en-US"/>
        </w:rPr>
        <w:t xml:space="preserve"> respectively, Thissera Sunil Hemachandra, </w:t>
      </w:r>
      <w:r w:rsidR="002D7118">
        <w:rPr>
          <w:lang w:val="en-US"/>
        </w:rPr>
        <w:t xml:space="preserve">who was </w:t>
      </w:r>
      <w:r w:rsidR="008B5570">
        <w:rPr>
          <w:lang w:val="en-US"/>
        </w:rPr>
        <w:t xml:space="preserve">born on 27 October 1969 and </w:t>
      </w:r>
      <w:r w:rsidR="00A32789">
        <w:rPr>
          <w:lang w:val="en-US"/>
        </w:rPr>
        <w:t>d</w:t>
      </w:r>
      <w:r w:rsidR="000A420E">
        <w:rPr>
          <w:lang w:val="en-US"/>
        </w:rPr>
        <w:t>ied</w:t>
      </w:r>
      <w:r w:rsidR="00A32789">
        <w:rPr>
          <w:lang w:val="en-US"/>
        </w:rPr>
        <w:t xml:space="preserve"> on 26 July 2003 following head injuries sustained while in police custody</w:t>
      </w:r>
      <w:r w:rsidR="004C5945" w:rsidRPr="004C5945">
        <w:rPr>
          <w:lang w:val="en-US"/>
        </w:rPr>
        <w:t>. The author</w:t>
      </w:r>
      <w:r w:rsidR="00DE1E88">
        <w:rPr>
          <w:lang w:val="en-US"/>
        </w:rPr>
        <w:t xml:space="preserve">s claim </w:t>
      </w:r>
      <w:r w:rsidR="004C5945" w:rsidRPr="004C5945">
        <w:rPr>
          <w:lang w:val="en-US"/>
        </w:rPr>
        <w:t xml:space="preserve">that </w:t>
      </w:r>
      <w:r w:rsidR="00DE1E88">
        <w:rPr>
          <w:lang w:val="en-US"/>
        </w:rPr>
        <w:t xml:space="preserve">the </w:t>
      </w:r>
      <w:r w:rsidR="00B41603">
        <w:rPr>
          <w:lang w:val="en-US"/>
        </w:rPr>
        <w:t>victim was the subject</w:t>
      </w:r>
      <w:r w:rsidR="00B41603" w:rsidRPr="004C5945">
        <w:rPr>
          <w:lang w:val="en-US"/>
        </w:rPr>
        <w:t xml:space="preserve"> of violations</w:t>
      </w:r>
      <w:r w:rsidR="00B41603">
        <w:rPr>
          <w:lang w:val="en-US"/>
        </w:rPr>
        <w:t xml:space="preserve"> by Sri Lanka</w:t>
      </w:r>
      <w:r w:rsidR="004C5945" w:rsidRPr="004C5945">
        <w:rPr>
          <w:lang w:val="en-US"/>
        </w:rPr>
        <w:t xml:space="preserve"> of </w:t>
      </w:r>
      <w:r w:rsidR="00BB539D">
        <w:rPr>
          <w:lang w:val="en-US"/>
        </w:rPr>
        <w:t>article </w:t>
      </w:r>
      <w:r w:rsidR="004C5945" w:rsidRPr="004C5945">
        <w:rPr>
          <w:lang w:val="en-US"/>
        </w:rPr>
        <w:t xml:space="preserve">6 </w:t>
      </w:r>
      <w:r w:rsidR="000A420E">
        <w:rPr>
          <w:lang w:val="en-US"/>
        </w:rPr>
        <w:t>(</w:t>
      </w:r>
      <w:r w:rsidR="00BB539D">
        <w:rPr>
          <w:lang w:val="en-US"/>
        </w:rPr>
        <w:t>para</w:t>
      </w:r>
      <w:r w:rsidR="000A420E">
        <w:rPr>
          <w:lang w:val="en-US"/>
        </w:rPr>
        <w:t>.</w:t>
      </w:r>
      <w:r w:rsidR="00BB539D">
        <w:rPr>
          <w:lang w:val="en-US"/>
        </w:rPr>
        <w:t> </w:t>
      </w:r>
      <w:r w:rsidR="00DE1E88">
        <w:rPr>
          <w:lang w:val="en-US"/>
        </w:rPr>
        <w:t>1</w:t>
      </w:r>
      <w:r w:rsidR="000A420E">
        <w:rPr>
          <w:lang w:val="en-US"/>
        </w:rPr>
        <w:t>)</w:t>
      </w:r>
      <w:r w:rsidR="00DE1E88">
        <w:rPr>
          <w:lang w:val="en-US"/>
        </w:rPr>
        <w:t xml:space="preserve">, </w:t>
      </w:r>
      <w:r w:rsidR="000A420E">
        <w:rPr>
          <w:lang w:val="en-US"/>
        </w:rPr>
        <w:t xml:space="preserve">article </w:t>
      </w:r>
      <w:r w:rsidR="00DE1E88">
        <w:rPr>
          <w:lang w:val="en-US"/>
        </w:rPr>
        <w:t xml:space="preserve">7, </w:t>
      </w:r>
      <w:r w:rsidR="000A420E">
        <w:rPr>
          <w:lang w:val="en-US"/>
        </w:rPr>
        <w:t xml:space="preserve">article </w:t>
      </w:r>
      <w:r w:rsidR="00DE1E88">
        <w:rPr>
          <w:lang w:val="en-US"/>
        </w:rPr>
        <w:t>9 (</w:t>
      </w:r>
      <w:r w:rsidR="000A420E">
        <w:rPr>
          <w:lang w:val="en-US"/>
        </w:rPr>
        <w:t xml:space="preserve">paras. </w:t>
      </w:r>
      <w:r w:rsidR="00DE1E88">
        <w:rPr>
          <w:lang w:val="en-US"/>
        </w:rPr>
        <w:t xml:space="preserve">1, 2 and 4) and </w:t>
      </w:r>
      <w:r w:rsidR="000A420E">
        <w:rPr>
          <w:lang w:val="en-US"/>
        </w:rPr>
        <w:t xml:space="preserve">article </w:t>
      </w:r>
      <w:r w:rsidR="00DE1E88">
        <w:rPr>
          <w:lang w:val="en-US"/>
        </w:rPr>
        <w:t>10</w:t>
      </w:r>
      <w:r w:rsidR="005F2B6A">
        <w:rPr>
          <w:lang w:val="en-US"/>
        </w:rPr>
        <w:t xml:space="preserve"> </w:t>
      </w:r>
      <w:r w:rsidR="00DE1E88">
        <w:rPr>
          <w:lang w:val="en-US"/>
        </w:rPr>
        <w:t>(</w:t>
      </w:r>
      <w:r w:rsidR="000A420E">
        <w:rPr>
          <w:lang w:val="en-US"/>
        </w:rPr>
        <w:t xml:space="preserve">para. </w:t>
      </w:r>
      <w:r w:rsidR="00DE1E88">
        <w:rPr>
          <w:lang w:val="en-US"/>
        </w:rPr>
        <w:t xml:space="preserve">1), </w:t>
      </w:r>
      <w:r w:rsidR="00F13CE2">
        <w:rPr>
          <w:lang w:val="en-US"/>
        </w:rPr>
        <w:t>read alone and in conjunction</w:t>
      </w:r>
      <w:r w:rsidR="004C5945" w:rsidRPr="004C5945">
        <w:rPr>
          <w:lang w:val="en-US"/>
        </w:rPr>
        <w:t xml:space="preserve"> with article 2 </w:t>
      </w:r>
      <w:r w:rsidR="000A420E">
        <w:rPr>
          <w:lang w:val="en-US"/>
        </w:rPr>
        <w:t>(</w:t>
      </w:r>
      <w:r w:rsidR="00BB539D">
        <w:rPr>
          <w:lang w:val="en-US"/>
        </w:rPr>
        <w:t>para</w:t>
      </w:r>
      <w:r w:rsidR="000A420E">
        <w:rPr>
          <w:lang w:val="en-US"/>
        </w:rPr>
        <w:t xml:space="preserve">. </w:t>
      </w:r>
      <w:r w:rsidR="004C5945" w:rsidRPr="004C5945">
        <w:rPr>
          <w:lang w:val="en-US"/>
        </w:rPr>
        <w:t>3</w:t>
      </w:r>
      <w:r w:rsidR="000A420E">
        <w:rPr>
          <w:lang w:val="en-US"/>
        </w:rPr>
        <w:t>)</w:t>
      </w:r>
      <w:r w:rsidR="00C06C1D">
        <w:rPr>
          <w:lang w:val="en-US"/>
        </w:rPr>
        <w:t>,</w:t>
      </w:r>
      <w:r w:rsidR="008302D1">
        <w:rPr>
          <w:lang w:val="en-US"/>
        </w:rPr>
        <w:t xml:space="preserve"> </w:t>
      </w:r>
      <w:r w:rsidR="00AB4362">
        <w:rPr>
          <w:lang w:val="en-US"/>
        </w:rPr>
        <w:t>of the Covenant</w:t>
      </w:r>
      <w:r w:rsidR="00DE1E88">
        <w:rPr>
          <w:lang w:val="en-US"/>
        </w:rPr>
        <w:t>. They also claim that the State party has breached their rights</w:t>
      </w:r>
      <w:r w:rsidR="00B40213">
        <w:rPr>
          <w:lang w:val="en-US"/>
        </w:rPr>
        <w:t>,</w:t>
      </w:r>
      <w:r w:rsidR="00DE1E88">
        <w:rPr>
          <w:lang w:val="en-US"/>
        </w:rPr>
        <w:t xml:space="preserve"> under </w:t>
      </w:r>
      <w:r w:rsidR="00BB539D">
        <w:rPr>
          <w:lang w:val="en-US"/>
        </w:rPr>
        <w:t>article </w:t>
      </w:r>
      <w:r w:rsidR="004C5945" w:rsidRPr="004C5945">
        <w:rPr>
          <w:lang w:val="en-US"/>
        </w:rPr>
        <w:t xml:space="preserve">7 read in conjunction with </w:t>
      </w:r>
      <w:r w:rsidR="00BB539D">
        <w:rPr>
          <w:lang w:val="en-US"/>
        </w:rPr>
        <w:t>article </w:t>
      </w:r>
      <w:r w:rsidR="004C5945" w:rsidRPr="004C5945">
        <w:rPr>
          <w:lang w:val="en-US"/>
        </w:rPr>
        <w:t xml:space="preserve">2 </w:t>
      </w:r>
      <w:r w:rsidR="00B40213">
        <w:rPr>
          <w:lang w:val="en-US"/>
        </w:rPr>
        <w:t>(</w:t>
      </w:r>
      <w:r w:rsidR="00BB539D">
        <w:rPr>
          <w:lang w:val="en-US"/>
        </w:rPr>
        <w:t>para</w:t>
      </w:r>
      <w:r w:rsidR="00B40213">
        <w:rPr>
          <w:lang w:val="en-US"/>
        </w:rPr>
        <w:t>.</w:t>
      </w:r>
      <w:r w:rsidR="00BB539D">
        <w:rPr>
          <w:lang w:val="en-US"/>
        </w:rPr>
        <w:t> </w:t>
      </w:r>
      <w:r w:rsidR="004C5945" w:rsidRPr="004C5945">
        <w:rPr>
          <w:lang w:val="en-US"/>
        </w:rPr>
        <w:t>3</w:t>
      </w:r>
      <w:r w:rsidR="00B40213">
        <w:rPr>
          <w:lang w:val="en-US"/>
        </w:rPr>
        <w:t>)</w:t>
      </w:r>
      <w:r w:rsidR="004C5945" w:rsidRPr="00DD3EF4">
        <w:rPr>
          <w:lang w:val="en-US"/>
        </w:rPr>
        <w:t>.</w:t>
      </w:r>
      <w:r w:rsidR="004C5945" w:rsidRPr="004C5945">
        <w:rPr>
          <w:lang w:val="en-US"/>
        </w:rPr>
        <w:t xml:space="preserve"> </w:t>
      </w:r>
      <w:r w:rsidR="00DE1E88">
        <w:rPr>
          <w:lang w:val="en-US"/>
        </w:rPr>
        <w:t>The authors are</w:t>
      </w:r>
      <w:r w:rsidR="004C5945" w:rsidRPr="004C5945">
        <w:rPr>
          <w:lang w:val="en-US"/>
        </w:rPr>
        <w:t xml:space="preserve"> represented.</w:t>
      </w:r>
      <w:r w:rsidR="002470E7">
        <w:rPr>
          <w:lang w:val="en-US"/>
        </w:rPr>
        <w:t xml:space="preserve"> </w:t>
      </w:r>
    </w:p>
    <w:p w:rsidR="004C5945" w:rsidRPr="0003268B" w:rsidRDefault="006813D8" w:rsidP="00CE22AD">
      <w:pPr>
        <w:pStyle w:val="H23G"/>
        <w:rPr>
          <w:lang w:val="en-US"/>
        </w:rPr>
      </w:pPr>
      <w:r>
        <w:rPr>
          <w:lang w:val="en-US"/>
        </w:rPr>
        <w:lastRenderedPageBreak/>
        <w:tab/>
      </w:r>
      <w:r>
        <w:rPr>
          <w:lang w:val="en-US"/>
        </w:rPr>
        <w:tab/>
      </w:r>
      <w:r w:rsidR="004C5945" w:rsidRPr="0003268B">
        <w:rPr>
          <w:lang w:val="en-US"/>
        </w:rPr>
        <w:t xml:space="preserve">The facts as </w:t>
      </w:r>
      <w:r w:rsidR="00CE22AD">
        <w:rPr>
          <w:lang w:val="en-US"/>
        </w:rPr>
        <w:t>submitted</w:t>
      </w:r>
      <w:r w:rsidR="00CE22AD" w:rsidRPr="0003268B">
        <w:rPr>
          <w:lang w:val="en-US"/>
        </w:rPr>
        <w:t xml:space="preserve"> </w:t>
      </w:r>
      <w:r w:rsidR="004C5945" w:rsidRPr="0003268B">
        <w:rPr>
          <w:lang w:val="en-US"/>
        </w:rPr>
        <w:t>by the author</w:t>
      </w:r>
      <w:r w:rsidR="003F4B79" w:rsidRPr="0003268B">
        <w:rPr>
          <w:lang w:val="en-US"/>
        </w:rPr>
        <w:t>s</w:t>
      </w:r>
    </w:p>
    <w:p w:rsidR="004C5945" w:rsidRPr="0003268B" w:rsidRDefault="008B5570" w:rsidP="0078159F">
      <w:pPr>
        <w:pStyle w:val="SingleTxtG"/>
        <w:rPr>
          <w:lang w:val="en-US"/>
        </w:rPr>
      </w:pPr>
      <w:r w:rsidRPr="0003268B">
        <w:rPr>
          <w:lang w:val="en-US"/>
        </w:rPr>
        <w:t>2.1</w:t>
      </w:r>
      <w:r w:rsidRPr="0003268B">
        <w:rPr>
          <w:lang w:val="en-US"/>
        </w:rPr>
        <w:tab/>
        <w:t xml:space="preserve">Sunil Hemachandra </w:t>
      </w:r>
      <w:r w:rsidR="008D3378" w:rsidRPr="0003268B">
        <w:rPr>
          <w:lang w:val="en-US"/>
        </w:rPr>
        <w:t>(</w:t>
      </w:r>
      <w:r w:rsidR="0082468F">
        <w:rPr>
          <w:lang w:val="en-US"/>
        </w:rPr>
        <w:t xml:space="preserve">also referred to in the present document as </w:t>
      </w:r>
      <w:r w:rsidR="008D3378" w:rsidRPr="0003268B">
        <w:rPr>
          <w:lang w:val="en-US"/>
        </w:rPr>
        <w:t xml:space="preserve">“Sunil”) </w:t>
      </w:r>
      <w:r w:rsidRPr="0003268B">
        <w:rPr>
          <w:lang w:val="en-US"/>
        </w:rPr>
        <w:t xml:space="preserve">was a healthy and literate man with no criminal record. He was a daily paid labourer </w:t>
      </w:r>
      <w:r w:rsidR="00375E3E" w:rsidRPr="0003268B">
        <w:rPr>
          <w:lang w:val="en-US"/>
        </w:rPr>
        <w:t>whose work consisted mainly of</w:t>
      </w:r>
      <w:r w:rsidRPr="0003268B">
        <w:rPr>
          <w:lang w:val="en-US"/>
        </w:rPr>
        <w:t xml:space="preserve"> tapping rubber and clim</w:t>
      </w:r>
      <w:r w:rsidR="00874D77" w:rsidRPr="0003268B">
        <w:rPr>
          <w:lang w:val="en-US"/>
        </w:rPr>
        <w:t>b</w:t>
      </w:r>
      <w:r w:rsidRPr="0003268B">
        <w:rPr>
          <w:lang w:val="en-US"/>
        </w:rPr>
        <w:t xml:space="preserve">ing trees to </w:t>
      </w:r>
      <w:r w:rsidR="0078159F" w:rsidRPr="0003268B">
        <w:rPr>
          <w:lang w:val="en-US"/>
        </w:rPr>
        <w:t xml:space="preserve">pick </w:t>
      </w:r>
      <w:r w:rsidRPr="0003268B">
        <w:rPr>
          <w:lang w:val="en-US"/>
        </w:rPr>
        <w:t>coconut</w:t>
      </w:r>
      <w:r w:rsidR="0078159F" w:rsidRPr="0003268B">
        <w:rPr>
          <w:lang w:val="en-US"/>
        </w:rPr>
        <w:t>s</w:t>
      </w:r>
      <w:r w:rsidRPr="0003268B">
        <w:rPr>
          <w:lang w:val="en-US"/>
        </w:rPr>
        <w:t xml:space="preserve"> and other fruits.</w:t>
      </w:r>
      <w:r w:rsidR="00B42108" w:rsidRPr="0003268B">
        <w:rPr>
          <w:lang w:val="en-US"/>
        </w:rPr>
        <w:t xml:space="preserve"> Since 1979, he had been living with the family of his aunt, the second author, who is the sister of the first author (his mother).</w:t>
      </w:r>
    </w:p>
    <w:p w:rsidR="009F0634" w:rsidRPr="004C5945" w:rsidRDefault="004C5945" w:rsidP="00D507DB">
      <w:pPr>
        <w:pStyle w:val="SingleTxtG"/>
        <w:rPr>
          <w:lang w:val="en-US"/>
        </w:rPr>
      </w:pPr>
      <w:r w:rsidRPr="0003268B">
        <w:rPr>
          <w:lang w:val="en-US"/>
        </w:rPr>
        <w:t>2.2</w:t>
      </w:r>
      <w:r w:rsidRPr="0003268B">
        <w:rPr>
          <w:lang w:val="en-US"/>
        </w:rPr>
        <w:tab/>
      </w:r>
      <w:r w:rsidR="004634B3" w:rsidRPr="0003268B">
        <w:rPr>
          <w:lang w:val="en-US"/>
        </w:rPr>
        <w:t xml:space="preserve">On or </w:t>
      </w:r>
      <w:r w:rsidR="0078159F" w:rsidRPr="0003268B">
        <w:rPr>
          <w:lang w:val="en-US"/>
        </w:rPr>
        <w:t xml:space="preserve">around </w:t>
      </w:r>
      <w:r w:rsidR="004634B3" w:rsidRPr="0003268B">
        <w:rPr>
          <w:lang w:val="en-US"/>
        </w:rPr>
        <w:t>28 June 2003, Sunil bought a lottery ticket, and learn</w:t>
      </w:r>
      <w:r w:rsidR="0078159F" w:rsidRPr="0003268B">
        <w:rPr>
          <w:lang w:val="en-US"/>
        </w:rPr>
        <w:t>ed</w:t>
      </w:r>
      <w:r w:rsidR="004634B3" w:rsidRPr="0003268B">
        <w:rPr>
          <w:lang w:val="en-US"/>
        </w:rPr>
        <w:t xml:space="preserve"> the day after that he had won more than three million rupees (approximately </w:t>
      </w:r>
      <w:r w:rsidR="0078159F" w:rsidRPr="0003268B">
        <w:rPr>
          <w:lang w:val="en-US"/>
        </w:rPr>
        <w:t>$</w:t>
      </w:r>
      <w:r w:rsidR="004634B3" w:rsidRPr="0003268B">
        <w:rPr>
          <w:lang w:val="en-US"/>
        </w:rPr>
        <w:t>25,000)</w:t>
      </w:r>
      <w:r w:rsidR="00D45F65" w:rsidRPr="0003268B">
        <w:rPr>
          <w:lang w:val="en-US"/>
        </w:rPr>
        <w:t>. On the same day, a lottery sales</w:t>
      </w:r>
      <w:r w:rsidR="00D410E1" w:rsidRPr="0003268B">
        <w:rPr>
          <w:lang w:val="en-US"/>
        </w:rPr>
        <w:t xml:space="preserve"> agent </w:t>
      </w:r>
      <w:r w:rsidR="00A05D60" w:rsidRPr="0003268B">
        <w:rPr>
          <w:lang w:val="en-US"/>
        </w:rPr>
        <w:t xml:space="preserve">named </w:t>
      </w:r>
      <w:r w:rsidR="00D410E1" w:rsidRPr="0003268B">
        <w:rPr>
          <w:lang w:val="en-US"/>
        </w:rPr>
        <w:t>Lionel</w:t>
      </w:r>
      <w:r w:rsidR="00E920B4" w:rsidRPr="0003268B">
        <w:rPr>
          <w:lang w:val="en-US"/>
        </w:rPr>
        <w:t>, described as</w:t>
      </w:r>
      <w:r w:rsidR="00A05D60" w:rsidRPr="0003268B">
        <w:rPr>
          <w:lang w:val="en-US"/>
        </w:rPr>
        <w:t xml:space="preserve"> being</w:t>
      </w:r>
      <w:r w:rsidR="00D45F65" w:rsidRPr="0003268B">
        <w:rPr>
          <w:lang w:val="en-US"/>
        </w:rPr>
        <w:t xml:space="preserve"> “well connected to the police”,</w:t>
      </w:r>
      <w:r w:rsidR="00E920B4" w:rsidRPr="0003268B">
        <w:rPr>
          <w:rStyle w:val="FootnoteReference"/>
          <w:lang w:val="en-US"/>
        </w:rPr>
        <w:footnoteReference w:id="3"/>
      </w:r>
      <w:r w:rsidR="00D45F65" w:rsidRPr="0003268B">
        <w:rPr>
          <w:lang w:val="en-US"/>
        </w:rPr>
        <w:t xml:space="preserve"> came to the second author’s house with a police officer. They suggested that Sunil apply for police protection. Sunil declined the offer. As Sunil did not possess a national identity card at that </w:t>
      </w:r>
      <w:r w:rsidR="00A05D60" w:rsidRPr="0003268B">
        <w:rPr>
          <w:lang w:val="en-US"/>
        </w:rPr>
        <w:t>time</w:t>
      </w:r>
      <w:r w:rsidR="00D45F65" w:rsidRPr="0003268B">
        <w:rPr>
          <w:lang w:val="en-US"/>
        </w:rPr>
        <w:t>, he used that of his aunt, the second author, to claim the lottery money. On 4</w:t>
      </w:r>
      <w:r w:rsidR="00A05D60" w:rsidRPr="0003268B">
        <w:rPr>
          <w:lang w:val="en-US"/>
        </w:rPr>
        <w:t> </w:t>
      </w:r>
      <w:r w:rsidR="00D45F65" w:rsidRPr="0003268B">
        <w:rPr>
          <w:lang w:val="en-US"/>
        </w:rPr>
        <w:t xml:space="preserve">July 2003, Sunil, together with the second author and Lionel (the lottery sales agent), went to the Development Lotteries Board in Colombo and received the money against </w:t>
      </w:r>
      <w:r w:rsidR="005075E9" w:rsidRPr="0003268B">
        <w:rPr>
          <w:lang w:val="en-US"/>
        </w:rPr>
        <w:t>his</w:t>
      </w:r>
      <w:r w:rsidR="00D45F65" w:rsidRPr="0003268B">
        <w:rPr>
          <w:lang w:val="en-US"/>
        </w:rPr>
        <w:t xml:space="preserve"> lottery ticket, but in the </w:t>
      </w:r>
      <w:r w:rsidR="00D45F65" w:rsidRPr="0003268B">
        <w:t>name</w:t>
      </w:r>
      <w:r w:rsidR="00D45F65" w:rsidRPr="0003268B">
        <w:rPr>
          <w:lang w:val="en-US"/>
        </w:rPr>
        <w:t xml:space="preserve"> of the second author. </w:t>
      </w:r>
      <w:r w:rsidR="004D1012" w:rsidRPr="0003268B">
        <w:rPr>
          <w:lang w:val="en-US"/>
        </w:rPr>
        <w:t xml:space="preserve">The money was paid </w:t>
      </w:r>
      <w:r w:rsidR="00A05D60" w:rsidRPr="00BA04FC">
        <w:rPr>
          <w:color w:val="FF0000"/>
          <w:lang w:val="en-US"/>
        </w:rPr>
        <w:t>via</w:t>
      </w:r>
      <w:r w:rsidR="00A05D60" w:rsidRPr="0003268B">
        <w:rPr>
          <w:lang w:val="en-US"/>
        </w:rPr>
        <w:t xml:space="preserve"> </w:t>
      </w:r>
      <w:r w:rsidR="004D1012" w:rsidRPr="0003268B">
        <w:rPr>
          <w:lang w:val="en-US"/>
        </w:rPr>
        <w:t xml:space="preserve">a cheque issued by the Kollupitiya </w:t>
      </w:r>
      <w:r w:rsidR="00A05D60" w:rsidRPr="0003268B">
        <w:rPr>
          <w:lang w:val="en-US"/>
        </w:rPr>
        <w:t>b</w:t>
      </w:r>
      <w:r w:rsidR="004D1012" w:rsidRPr="0003268B">
        <w:rPr>
          <w:lang w:val="en-US"/>
        </w:rPr>
        <w:t xml:space="preserve">ranch of the Bank of Ceylon. On 7 July 2003, the cheque was paid into </w:t>
      </w:r>
      <w:r w:rsidR="00A05D60" w:rsidRPr="0003268B">
        <w:rPr>
          <w:lang w:val="en-US"/>
        </w:rPr>
        <w:t xml:space="preserve">a </w:t>
      </w:r>
      <w:r w:rsidR="004D1012" w:rsidRPr="0003268B">
        <w:rPr>
          <w:lang w:val="en-US"/>
        </w:rPr>
        <w:t xml:space="preserve">bank account held by the second author. </w:t>
      </w:r>
      <w:r w:rsidR="008F487D" w:rsidRPr="0003268B">
        <w:rPr>
          <w:lang w:val="en-US"/>
        </w:rPr>
        <w:t>On the sam</w:t>
      </w:r>
      <w:r w:rsidR="00D02579" w:rsidRPr="0003268B">
        <w:rPr>
          <w:lang w:val="en-US"/>
        </w:rPr>
        <w:t>e day, Sunil withdrew</w:t>
      </w:r>
      <w:r w:rsidR="00D02579">
        <w:rPr>
          <w:lang w:val="en-US"/>
        </w:rPr>
        <w:t xml:space="preserve"> 2,</w:t>
      </w:r>
      <w:r w:rsidR="008F487D">
        <w:rPr>
          <w:lang w:val="en-US"/>
        </w:rPr>
        <w:t>100,000 rupees from the second author’s bank account and purchas</w:t>
      </w:r>
      <w:r w:rsidR="00D02579">
        <w:rPr>
          <w:lang w:val="en-US"/>
        </w:rPr>
        <w:t>ed a van for 1,200,</w:t>
      </w:r>
      <w:r w:rsidR="008F487D">
        <w:rPr>
          <w:lang w:val="en-US"/>
        </w:rPr>
        <w:t xml:space="preserve">000 rupees which was registered under the second author’s name. On or around 14 July 2003, </w:t>
      </w:r>
      <w:r w:rsidR="00D507DB">
        <w:rPr>
          <w:lang w:val="en-US"/>
        </w:rPr>
        <w:t xml:space="preserve">he </w:t>
      </w:r>
      <w:r w:rsidR="008F487D">
        <w:rPr>
          <w:lang w:val="en-US"/>
        </w:rPr>
        <w:t>purchase</w:t>
      </w:r>
      <w:r w:rsidR="008F487D" w:rsidRPr="0003268B">
        <w:rPr>
          <w:lang w:val="en-US"/>
        </w:rPr>
        <w:t>d a three-wheeler for the</w:t>
      </w:r>
      <w:r w:rsidR="008F487D">
        <w:rPr>
          <w:lang w:val="en-US"/>
        </w:rPr>
        <w:t xml:space="preserve"> second author’s granddaughter, and gave </w:t>
      </w:r>
      <w:r w:rsidR="00D507DB">
        <w:rPr>
          <w:lang w:val="en-US"/>
        </w:rPr>
        <w:t>5,000</w:t>
      </w:r>
      <w:r w:rsidR="008F487D">
        <w:rPr>
          <w:lang w:val="en-US"/>
        </w:rPr>
        <w:t xml:space="preserve"> rupees to his nephew as a gift. </w:t>
      </w:r>
    </w:p>
    <w:p w:rsidR="005D6769" w:rsidRPr="0082468F" w:rsidRDefault="0023307A" w:rsidP="00D86FF6">
      <w:pPr>
        <w:pStyle w:val="SingleTxtG"/>
        <w:rPr>
          <w:lang w:val="en-US"/>
        </w:rPr>
      </w:pPr>
      <w:r>
        <w:rPr>
          <w:lang w:val="en-US"/>
        </w:rPr>
        <w:t>2.3</w:t>
      </w:r>
      <w:r>
        <w:rPr>
          <w:lang w:val="en-US"/>
        </w:rPr>
        <w:tab/>
      </w:r>
      <w:r w:rsidR="005D6769">
        <w:rPr>
          <w:lang w:val="en-US"/>
        </w:rPr>
        <w:t xml:space="preserve">On or around 21 July 2003, a team of police officers from Moragahahena </w:t>
      </w:r>
      <w:r w:rsidR="005D2906">
        <w:rPr>
          <w:lang w:val="en-US"/>
        </w:rPr>
        <w:t>P</w:t>
      </w:r>
      <w:r w:rsidR="005D6769">
        <w:rPr>
          <w:lang w:val="en-US"/>
        </w:rPr>
        <w:t xml:space="preserve">olice </w:t>
      </w:r>
      <w:r w:rsidR="005D2906">
        <w:rPr>
          <w:lang w:val="en-US"/>
        </w:rPr>
        <w:t>S</w:t>
      </w:r>
      <w:r w:rsidR="005D6769">
        <w:rPr>
          <w:lang w:val="en-US"/>
        </w:rPr>
        <w:t xml:space="preserve">tation arrived at the second author’s house, looking for Sunil. They asked the second author </w:t>
      </w:r>
      <w:r w:rsidR="004B6683">
        <w:rPr>
          <w:lang w:val="en-US"/>
        </w:rPr>
        <w:t>whether Sunil had spent</w:t>
      </w:r>
      <w:r w:rsidR="005D6769">
        <w:rPr>
          <w:lang w:val="en-US"/>
        </w:rPr>
        <w:t xml:space="preserve"> the lottery money</w:t>
      </w:r>
      <w:r w:rsidR="004B6683">
        <w:rPr>
          <w:lang w:val="en-US"/>
        </w:rPr>
        <w:t>, and o</w:t>
      </w:r>
      <w:r w:rsidR="005D6769">
        <w:rPr>
          <w:lang w:val="en-US"/>
        </w:rPr>
        <w:t>ne of t</w:t>
      </w:r>
      <w:r w:rsidR="004B6683">
        <w:rPr>
          <w:lang w:val="en-US"/>
        </w:rPr>
        <w:t>he police officers warned that hi</w:t>
      </w:r>
      <w:r w:rsidR="005D6769">
        <w:rPr>
          <w:lang w:val="en-US"/>
        </w:rPr>
        <w:t>s “h</w:t>
      </w:r>
      <w:r w:rsidR="000A20DA">
        <w:rPr>
          <w:lang w:val="en-US"/>
        </w:rPr>
        <w:t xml:space="preserve">appiness </w:t>
      </w:r>
      <w:r w:rsidR="00D86FF6">
        <w:rPr>
          <w:lang w:val="en-US"/>
        </w:rPr>
        <w:t xml:space="preserve">will </w:t>
      </w:r>
      <w:r w:rsidR="000A20DA">
        <w:rPr>
          <w:lang w:val="en-US"/>
        </w:rPr>
        <w:t xml:space="preserve">not last long”. </w:t>
      </w:r>
      <w:r w:rsidR="005D6769">
        <w:rPr>
          <w:lang w:val="en-US"/>
        </w:rPr>
        <w:t xml:space="preserve">The police requested that Sunil report to </w:t>
      </w:r>
      <w:r w:rsidR="005D2906" w:rsidRPr="0082468F">
        <w:rPr>
          <w:lang w:val="en-US"/>
        </w:rPr>
        <w:t>Moragahahena Police Station</w:t>
      </w:r>
      <w:r w:rsidR="005D6769" w:rsidRPr="0082468F">
        <w:rPr>
          <w:lang w:val="en-US"/>
        </w:rPr>
        <w:t>.</w:t>
      </w:r>
    </w:p>
    <w:p w:rsidR="005D6769" w:rsidRPr="0082468F" w:rsidRDefault="005D6769" w:rsidP="0003268B">
      <w:pPr>
        <w:pStyle w:val="SingleTxtG"/>
        <w:rPr>
          <w:lang w:val="en-US"/>
        </w:rPr>
      </w:pPr>
      <w:r w:rsidRPr="0082468F">
        <w:rPr>
          <w:lang w:val="en-US"/>
        </w:rPr>
        <w:t>2.4</w:t>
      </w:r>
      <w:r w:rsidRPr="0082468F">
        <w:rPr>
          <w:lang w:val="en-US"/>
        </w:rPr>
        <w:tab/>
        <w:t>On the same day, Sunil</w:t>
      </w:r>
      <w:r w:rsidR="00FD21A0" w:rsidRPr="0082468F">
        <w:rPr>
          <w:lang w:val="en-US"/>
        </w:rPr>
        <w:t>,</w:t>
      </w:r>
      <w:r w:rsidRPr="0082468F">
        <w:rPr>
          <w:lang w:val="en-US"/>
        </w:rPr>
        <w:t xml:space="preserve"> accompanied by Chanaka Dinesh Kumara (</w:t>
      </w:r>
      <w:r w:rsidR="0082468F">
        <w:rPr>
          <w:lang w:val="en-US"/>
        </w:rPr>
        <w:t xml:space="preserve">referred to in the present document as </w:t>
      </w:r>
      <w:r w:rsidRPr="0082468F">
        <w:rPr>
          <w:lang w:val="en-US"/>
        </w:rPr>
        <w:t xml:space="preserve">“Chanaka”), an acquaintance whom Sunil had commissioned to drive his new van </w:t>
      </w:r>
      <w:r w:rsidR="00D45C71" w:rsidRPr="0082468F">
        <w:rPr>
          <w:lang w:val="en-US"/>
        </w:rPr>
        <w:t>and son of Lionel (the lotter</w:t>
      </w:r>
      <w:r w:rsidRPr="0082468F">
        <w:rPr>
          <w:lang w:val="en-US"/>
        </w:rPr>
        <w:t xml:space="preserve">y sales agent), reluctantly went to </w:t>
      </w:r>
      <w:r w:rsidR="005D2906" w:rsidRPr="0082468F">
        <w:rPr>
          <w:lang w:val="en-US"/>
        </w:rPr>
        <w:t>Moragahahena Police Station</w:t>
      </w:r>
      <w:r w:rsidRPr="0082468F">
        <w:rPr>
          <w:lang w:val="en-US"/>
        </w:rPr>
        <w:t>. At the station, one of the police officers (</w:t>
      </w:r>
      <w:r w:rsidR="00521069" w:rsidRPr="0082468F">
        <w:rPr>
          <w:lang w:val="en-US"/>
        </w:rPr>
        <w:t xml:space="preserve">a </w:t>
      </w:r>
      <w:r w:rsidRPr="0082468F">
        <w:rPr>
          <w:lang w:val="en-US"/>
        </w:rPr>
        <w:t xml:space="preserve">sub-inspector) requested Sunil to pay money as “support”. Sunil replied that the money was with the second author and declined to pay. </w:t>
      </w:r>
      <w:r w:rsidR="006E02A2" w:rsidRPr="0082468F">
        <w:rPr>
          <w:lang w:val="en-US"/>
        </w:rPr>
        <w:t xml:space="preserve">The same </w:t>
      </w:r>
      <w:r w:rsidR="0003268B" w:rsidRPr="0082468F">
        <w:rPr>
          <w:lang w:val="en-US"/>
        </w:rPr>
        <w:t xml:space="preserve">police officer </w:t>
      </w:r>
      <w:r w:rsidR="006E02A2" w:rsidRPr="0082468F">
        <w:rPr>
          <w:lang w:val="en-US"/>
        </w:rPr>
        <w:t xml:space="preserve">then insisted on </w:t>
      </w:r>
      <w:r w:rsidR="0003268B" w:rsidRPr="0082468F">
        <w:rPr>
          <w:lang w:val="en-US"/>
        </w:rPr>
        <w:t xml:space="preserve">a </w:t>
      </w:r>
      <w:r w:rsidR="006E02A2" w:rsidRPr="0082468F">
        <w:rPr>
          <w:lang w:val="en-US"/>
        </w:rPr>
        <w:t xml:space="preserve">payment of 25,000 rupees “to cover the expenses of a procession of Vidyarathana </w:t>
      </w:r>
      <w:r w:rsidR="0003268B" w:rsidRPr="0082468F">
        <w:rPr>
          <w:lang w:val="en-US"/>
        </w:rPr>
        <w:t>T</w:t>
      </w:r>
      <w:r w:rsidR="006E02A2" w:rsidRPr="0082468F">
        <w:rPr>
          <w:lang w:val="en-US"/>
        </w:rPr>
        <w:t xml:space="preserve">emple in Horana”. </w:t>
      </w:r>
      <w:r w:rsidR="00F177D2" w:rsidRPr="0082468F">
        <w:rPr>
          <w:lang w:val="en-US"/>
        </w:rPr>
        <w:t>Sunil agreed to pay and was allowed to leave the station.</w:t>
      </w:r>
    </w:p>
    <w:p w:rsidR="00F177D2" w:rsidRDefault="00F177D2" w:rsidP="0003268B">
      <w:pPr>
        <w:pStyle w:val="SingleTxtG"/>
        <w:rPr>
          <w:lang w:val="en-US"/>
        </w:rPr>
      </w:pPr>
      <w:r w:rsidRPr="0082468F">
        <w:rPr>
          <w:lang w:val="en-US"/>
        </w:rPr>
        <w:t>2.5</w:t>
      </w:r>
      <w:r w:rsidRPr="0082468F">
        <w:rPr>
          <w:lang w:val="en-US"/>
        </w:rPr>
        <w:tab/>
        <w:t xml:space="preserve">In the late evening of 22 July 2003, five officers from </w:t>
      </w:r>
      <w:r w:rsidR="005D2906" w:rsidRPr="0082468F">
        <w:rPr>
          <w:lang w:val="en-US"/>
        </w:rPr>
        <w:t>Moragahahena Police Station</w:t>
      </w:r>
      <w:r w:rsidRPr="0082468F">
        <w:rPr>
          <w:lang w:val="en-US"/>
        </w:rPr>
        <w:t xml:space="preserve"> arrived in a vehicle at the second author’s house. After seeing Sunil sleeping</w:t>
      </w:r>
      <w:r>
        <w:rPr>
          <w:lang w:val="en-US"/>
        </w:rPr>
        <w:t xml:space="preserve"> in his room and identifying him as being “the one who won the lottery”, several police officers proceeded to beat him, including by hitting him on his head. </w:t>
      </w:r>
      <w:r w:rsidR="004406A5">
        <w:rPr>
          <w:lang w:val="en-US"/>
        </w:rPr>
        <w:t>The police officers then proceeded to arrest Sunil and Chanaka. Before loading them into a police jeep, and</w:t>
      </w:r>
      <w:r w:rsidR="00D86FF6">
        <w:rPr>
          <w:lang w:val="en-US"/>
        </w:rPr>
        <w:t xml:space="preserve"> also</w:t>
      </w:r>
      <w:r w:rsidR="004406A5">
        <w:rPr>
          <w:lang w:val="en-US"/>
        </w:rPr>
        <w:t xml:space="preserve"> during the ride to </w:t>
      </w:r>
      <w:r w:rsidR="005D2906">
        <w:rPr>
          <w:lang w:val="en-US"/>
        </w:rPr>
        <w:t>Moragahahena Police Station</w:t>
      </w:r>
      <w:r w:rsidR="004406A5">
        <w:rPr>
          <w:lang w:val="en-US"/>
        </w:rPr>
        <w:t xml:space="preserve">, several police officers beat Sunil </w:t>
      </w:r>
      <w:r w:rsidR="005D2906">
        <w:rPr>
          <w:lang w:val="en-US"/>
        </w:rPr>
        <w:t xml:space="preserve">severely </w:t>
      </w:r>
      <w:r w:rsidR="004406A5">
        <w:rPr>
          <w:lang w:val="en-US"/>
        </w:rPr>
        <w:t xml:space="preserve">on his head and abdomen. Chanaka, who was seated </w:t>
      </w:r>
      <w:r w:rsidR="0003268B">
        <w:rPr>
          <w:lang w:val="en-US"/>
        </w:rPr>
        <w:t xml:space="preserve">opposite </w:t>
      </w:r>
      <w:r w:rsidR="004406A5">
        <w:rPr>
          <w:lang w:val="en-US"/>
        </w:rPr>
        <w:t>Sunil, was hit in the face several times when he asked the officers to stop the beatings.</w:t>
      </w:r>
    </w:p>
    <w:p w:rsidR="004406A5" w:rsidRDefault="004406A5" w:rsidP="009A51F3">
      <w:pPr>
        <w:pStyle w:val="SingleTxtG"/>
        <w:rPr>
          <w:lang w:val="en-US"/>
        </w:rPr>
      </w:pPr>
      <w:r>
        <w:rPr>
          <w:lang w:val="en-US"/>
        </w:rPr>
        <w:t>2.6</w:t>
      </w:r>
      <w:r>
        <w:rPr>
          <w:lang w:val="en-US"/>
        </w:rPr>
        <w:tab/>
        <w:t xml:space="preserve">Sunil and Chanaka were taken to </w:t>
      </w:r>
      <w:r w:rsidR="005D2906">
        <w:rPr>
          <w:lang w:val="en-US"/>
        </w:rPr>
        <w:t>Moragahahena Police Station</w:t>
      </w:r>
      <w:r>
        <w:rPr>
          <w:lang w:val="en-US"/>
        </w:rPr>
        <w:t xml:space="preserve"> and placed in a 5</w:t>
      </w:r>
      <w:r w:rsidR="0003268B">
        <w:rPr>
          <w:lang w:val="en-US"/>
        </w:rPr>
        <w:t xml:space="preserve"> foot </w:t>
      </w:r>
      <w:r>
        <w:rPr>
          <w:lang w:val="en-US"/>
        </w:rPr>
        <w:t>by 8 f</w:t>
      </w:r>
      <w:r w:rsidR="0003268B">
        <w:rPr>
          <w:lang w:val="en-US"/>
        </w:rPr>
        <w:t>oo</w:t>
      </w:r>
      <w:r>
        <w:rPr>
          <w:lang w:val="en-US"/>
        </w:rPr>
        <w:t>t</w:t>
      </w:r>
      <w:r w:rsidR="0003268B">
        <w:rPr>
          <w:lang w:val="en-US"/>
        </w:rPr>
        <w:t xml:space="preserve"> cell</w:t>
      </w:r>
      <w:r>
        <w:rPr>
          <w:lang w:val="en-US"/>
        </w:rPr>
        <w:t>, with several other detainees. On the morning of the following day</w:t>
      </w:r>
      <w:r w:rsidR="002B4B5A">
        <w:rPr>
          <w:lang w:val="en-US"/>
        </w:rPr>
        <w:t xml:space="preserve"> (23</w:t>
      </w:r>
      <w:r w:rsidR="0003268B">
        <w:rPr>
          <w:lang w:val="en-US"/>
        </w:rPr>
        <w:t> </w:t>
      </w:r>
      <w:r w:rsidR="002B4B5A">
        <w:rPr>
          <w:lang w:val="en-US"/>
        </w:rPr>
        <w:t>July 2003)</w:t>
      </w:r>
      <w:r>
        <w:rPr>
          <w:lang w:val="en-US"/>
        </w:rPr>
        <w:t xml:space="preserve">, Sunil was visibly unwell. He was bleeding from his nose and mouth, was not able to stand, and had to lie down. Chanaka alerted the police officers </w:t>
      </w:r>
      <w:r w:rsidR="00737738">
        <w:rPr>
          <w:lang w:val="en-US"/>
        </w:rPr>
        <w:t>to Sunil’</w:t>
      </w:r>
      <w:r w:rsidR="009A51F3">
        <w:rPr>
          <w:lang w:val="en-US"/>
        </w:rPr>
        <w:t>s</w:t>
      </w:r>
      <w:r w:rsidR="00737738">
        <w:rPr>
          <w:lang w:val="en-US"/>
        </w:rPr>
        <w:t xml:space="preserve"> critical </w:t>
      </w:r>
      <w:r w:rsidR="009A51F3">
        <w:rPr>
          <w:lang w:val="en-US"/>
        </w:rPr>
        <w:t>state of health</w:t>
      </w:r>
      <w:r w:rsidR="00737738">
        <w:rPr>
          <w:lang w:val="en-US"/>
        </w:rPr>
        <w:t xml:space="preserve">. Instead of calling for medical assistance, the police officers asked Chanaka </w:t>
      </w:r>
      <w:r w:rsidR="005A04F0">
        <w:rPr>
          <w:lang w:val="en-US"/>
        </w:rPr>
        <w:lastRenderedPageBreak/>
        <w:t>to take Sunil to the back</w:t>
      </w:r>
      <w:r w:rsidR="009A51F3">
        <w:rPr>
          <w:lang w:val="en-US"/>
        </w:rPr>
        <w:t xml:space="preserve"> </w:t>
      </w:r>
      <w:r w:rsidR="005A04F0">
        <w:rPr>
          <w:lang w:val="en-US"/>
        </w:rPr>
        <w:t xml:space="preserve">yard to wipe the blood off his face. </w:t>
      </w:r>
      <w:r w:rsidR="009A51F3">
        <w:rPr>
          <w:lang w:val="en-US"/>
        </w:rPr>
        <w:t>However t</w:t>
      </w:r>
      <w:r w:rsidR="005A04F0">
        <w:rPr>
          <w:lang w:val="en-US"/>
        </w:rPr>
        <w:t>he bleeding continued uninterrupted</w:t>
      </w:r>
      <w:r w:rsidR="009A51F3">
        <w:rPr>
          <w:lang w:val="en-US"/>
        </w:rPr>
        <w:t>ly</w:t>
      </w:r>
      <w:r w:rsidR="005A04F0">
        <w:rPr>
          <w:lang w:val="en-US"/>
        </w:rPr>
        <w:t xml:space="preserve"> from his nose and mouth, and </w:t>
      </w:r>
      <w:r w:rsidR="009A51F3">
        <w:rPr>
          <w:lang w:val="en-US"/>
        </w:rPr>
        <w:t xml:space="preserve">he </w:t>
      </w:r>
      <w:r w:rsidR="005A04F0">
        <w:rPr>
          <w:lang w:val="en-US"/>
        </w:rPr>
        <w:t xml:space="preserve">vomited blood clots. </w:t>
      </w:r>
      <w:r w:rsidR="00B978FE">
        <w:rPr>
          <w:lang w:val="en-US"/>
        </w:rPr>
        <w:t xml:space="preserve">One of the police officers directed Chanaka to </w:t>
      </w:r>
      <w:r w:rsidR="00904957">
        <w:rPr>
          <w:lang w:val="en-US"/>
        </w:rPr>
        <w:t>give</w:t>
      </w:r>
      <w:r w:rsidR="00B978FE">
        <w:rPr>
          <w:lang w:val="en-US"/>
        </w:rPr>
        <w:t xml:space="preserve"> Sunil an iron rod to hold, which is </w:t>
      </w:r>
      <w:r w:rsidR="00B41603">
        <w:rPr>
          <w:lang w:val="en-US"/>
        </w:rPr>
        <w:t xml:space="preserve">sometimes </w:t>
      </w:r>
      <w:r w:rsidR="00B978FE">
        <w:rPr>
          <w:lang w:val="en-US"/>
        </w:rPr>
        <w:t>done in the case of epileptic attacks</w:t>
      </w:r>
      <w:r w:rsidR="007715A5">
        <w:rPr>
          <w:lang w:val="en-US"/>
        </w:rPr>
        <w:t>. T</w:t>
      </w:r>
      <w:r w:rsidR="00904957">
        <w:rPr>
          <w:lang w:val="en-US"/>
        </w:rPr>
        <w:t xml:space="preserve">he police </w:t>
      </w:r>
      <w:r w:rsidR="007715A5">
        <w:rPr>
          <w:lang w:val="en-US"/>
        </w:rPr>
        <w:t>officer seemingly believed, or wanted to give the impression</w:t>
      </w:r>
      <w:r w:rsidR="009A51F3">
        <w:rPr>
          <w:lang w:val="en-US"/>
        </w:rPr>
        <w:t>,</w:t>
      </w:r>
      <w:r w:rsidR="007715A5">
        <w:rPr>
          <w:lang w:val="en-US"/>
        </w:rPr>
        <w:t xml:space="preserve"> that Sunil was suffering from epilepsy, which was not the case. </w:t>
      </w:r>
    </w:p>
    <w:p w:rsidR="007715A5" w:rsidRDefault="007715A5" w:rsidP="009A51F3">
      <w:pPr>
        <w:pStyle w:val="SingleTxtG"/>
        <w:rPr>
          <w:lang w:val="en-US"/>
        </w:rPr>
      </w:pPr>
      <w:r>
        <w:rPr>
          <w:lang w:val="en-US"/>
        </w:rPr>
        <w:t>2.7</w:t>
      </w:r>
      <w:r>
        <w:rPr>
          <w:lang w:val="en-US"/>
        </w:rPr>
        <w:tab/>
        <w:t xml:space="preserve">On the same morning, </w:t>
      </w:r>
      <w:r w:rsidR="009A51F3">
        <w:rPr>
          <w:lang w:val="en-US"/>
        </w:rPr>
        <w:t xml:space="preserve">at </w:t>
      </w:r>
      <w:r>
        <w:rPr>
          <w:lang w:val="en-US"/>
        </w:rPr>
        <w:t xml:space="preserve">around 8 </w:t>
      </w:r>
      <w:r w:rsidR="009A51F3">
        <w:rPr>
          <w:lang w:val="en-US"/>
        </w:rPr>
        <w:t>o’clock</w:t>
      </w:r>
      <w:r>
        <w:rPr>
          <w:lang w:val="en-US"/>
        </w:rPr>
        <w:t xml:space="preserve">, the second author came to </w:t>
      </w:r>
      <w:r w:rsidR="005D2906">
        <w:rPr>
          <w:lang w:val="en-US"/>
        </w:rPr>
        <w:t>Moragahahena Police Station</w:t>
      </w:r>
      <w:r>
        <w:rPr>
          <w:lang w:val="en-US"/>
        </w:rPr>
        <w:t xml:space="preserve"> and </w:t>
      </w:r>
      <w:r w:rsidR="00FD21A0">
        <w:rPr>
          <w:lang w:val="en-US"/>
        </w:rPr>
        <w:t>found</w:t>
      </w:r>
      <w:r>
        <w:rPr>
          <w:lang w:val="en-US"/>
        </w:rPr>
        <w:t xml:space="preserve"> Sunil lying on the floor of the cell, bleeding from his nose and mouth. She alerted the police officers to Sunil’s serious condition, but was chased away by them. The police officer told her that Sunil’</w:t>
      </w:r>
      <w:r w:rsidR="00AB4362">
        <w:rPr>
          <w:lang w:val="en-US"/>
        </w:rPr>
        <w:t>s</w:t>
      </w:r>
      <w:r>
        <w:rPr>
          <w:lang w:val="en-US"/>
        </w:rPr>
        <w:t xml:space="preserve"> condition resulted from epilepsy. It </w:t>
      </w:r>
      <w:r w:rsidR="009A51F3">
        <w:rPr>
          <w:lang w:val="en-US"/>
        </w:rPr>
        <w:t>was not until</w:t>
      </w:r>
      <w:r>
        <w:rPr>
          <w:lang w:val="en-US"/>
        </w:rPr>
        <w:t xml:space="preserve"> around 10 a</w:t>
      </w:r>
      <w:r w:rsidR="009A51F3">
        <w:rPr>
          <w:lang w:val="en-US"/>
        </w:rPr>
        <w:t>.</w:t>
      </w:r>
      <w:r>
        <w:rPr>
          <w:lang w:val="en-US"/>
        </w:rPr>
        <w:t>m</w:t>
      </w:r>
      <w:r w:rsidR="009A51F3">
        <w:rPr>
          <w:lang w:val="en-US"/>
        </w:rPr>
        <w:t>.</w:t>
      </w:r>
      <w:r>
        <w:rPr>
          <w:lang w:val="en-US"/>
        </w:rPr>
        <w:t xml:space="preserve"> on the same day that Sunil was finally taken to Horana Base </w:t>
      </w:r>
      <w:r w:rsidR="009A51F3">
        <w:rPr>
          <w:lang w:val="en-US"/>
        </w:rPr>
        <w:t>H</w:t>
      </w:r>
      <w:r>
        <w:rPr>
          <w:lang w:val="en-US"/>
        </w:rPr>
        <w:t>ospital in a police jeep. The second author, who visited him, was told by Sunil that he had been brutally assaulted by the police officers. He was in severe pain and hi</w:t>
      </w:r>
      <w:r w:rsidR="002B4B5A">
        <w:rPr>
          <w:lang w:val="en-US"/>
        </w:rPr>
        <w:t>s face was reddened and swollen.</w:t>
      </w:r>
    </w:p>
    <w:p w:rsidR="002B4B5A" w:rsidRDefault="002B4B5A" w:rsidP="00441103">
      <w:pPr>
        <w:pStyle w:val="SingleTxtG"/>
        <w:rPr>
          <w:lang w:val="en-US"/>
        </w:rPr>
      </w:pPr>
      <w:r>
        <w:rPr>
          <w:lang w:val="en-US"/>
        </w:rPr>
        <w:t>2.8</w:t>
      </w:r>
      <w:r>
        <w:rPr>
          <w:lang w:val="en-US"/>
        </w:rPr>
        <w:tab/>
        <w:t xml:space="preserve">Later on the same day (23 July 2003), two officers </w:t>
      </w:r>
      <w:r w:rsidR="005D2906">
        <w:rPr>
          <w:lang w:val="en-US"/>
        </w:rPr>
        <w:t xml:space="preserve">from Moragahahena Police Station </w:t>
      </w:r>
      <w:r>
        <w:rPr>
          <w:lang w:val="en-US"/>
        </w:rPr>
        <w:t xml:space="preserve">arrived at the hospital to record a statement from Sunil. Although the latter only managed to name himself, the police officers wrote something on two </w:t>
      </w:r>
      <w:r w:rsidR="00441103">
        <w:rPr>
          <w:lang w:val="en-US"/>
        </w:rPr>
        <w:t>sheets of paper</w:t>
      </w:r>
      <w:r>
        <w:rPr>
          <w:lang w:val="en-US"/>
        </w:rPr>
        <w:t xml:space="preserve"> while talking to each other. They then</w:t>
      </w:r>
      <w:r w:rsidR="002470E7">
        <w:rPr>
          <w:lang w:val="en-US"/>
        </w:rPr>
        <w:t xml:space="preserve"> </w:t>
      </w:r>
      <w:r>
        <w:rPr>
          <w:lang w:val="en-US"/>
        </w:rPr>
        <w:t xml:space="preserve">obtained two impressions of Sunil’s left thumb </w:t>
      </w:r>
      <w:r w:rsidR="007A5DEB">
        <w:rPr>
          <w:lang w:val="en-US"/>
        </w:rPr>
        <w:t xml:space="preserve">in lieu of his signature, although Sunil was capable of signing his name. </w:t>
      </w:r>
    </w:p>
    <w:p w:rsidR="007A5DEB" w:rsidRDefault="007A5DEB" w:rsidP="003F7E82">
      <w:pPr>
        <w:pStyle w:val="SingleTxtG"/>
        <w:rPr>
          <w:lang w:val="en-US"/>
        </w:rPr>
      </w:pPr>
      <w:r>
        <w:rPr>
          <w:lang w:val="en-US"/>
        </w:rPr>
        <w:t>2.9</w:t>
      </w:r>
      <w:r>
        <w:rPr>
          <w:lang w:val="en-US"/>
        </w:rPr>
        <w:tab/>
        <w:t>On 24 July 2003, the authors learn</w:t>
      </w:r>
      <w:r w:rsidR="005D74B7">
        <w:rPr>
          <w:lang w:val="en-US"/>
        </w:rPr>
        <w:t>ed</w:t>
      </w:r>
      <w:r>
        <w:rPr>
          <w:lang w:val="en-US"/>
        </w:rPr>
        <w:t xml:space="preserve"> by chance that Sunil had been transferred to the </w:t>
      </w:r>
      <w:r w:rsidR="003F7E82">
        <w:rPr>
          <w:lang w:val="en-US"/>
        </w:rPr>
        <w:t>n</w:t>
      </w:r>
      <w:r>
        <w:rPr>
          <w:lang w:val="en-US"/>
        </w:rPr>
        <w:t xml:space="preserve">ational hospital in Colombo, where he had undergone brain surgery, and was being treated in intensive care. </w:t>
      </w:r>
      <w:r w:rsidR="002F6A1B">
        <w:rPr>
          <w:lang w:val="en-US"/>
        </w:rPr>
        <w:t xml:space="preserve">On 26 July 2003, the second author was informed by staff at the </w:t>
      </w:r>
      <w:r w:rsidR="003F7E82">
        <w:rPr>
          <w:lang w:val="en-US"/>
        </w:rPr>
        <w:t>n</w:t>
      </w:r>
      <w:r w:rsidR="002F6A1B">
        <w:rPr>
          <w:lang w:val="en-US"/>
        </w:rPr>
        <w:t xml:space="preserve">ational hospital that Sunil had passed away earlier that day. </w:t>
      </w:r>
    </w:p>
    <w:p w:rsidR="005C512B" w:rsidRDefault="005C512B" w:rsidP="00896206">
      <w:pPr>
        <w:pStyle w:val="SingleTxtG"/>
        <w:rPr>
          <w:lang w:val="en-US"/>
        </w:rPr>
      </w:pPr>
      <w:r>
        <w:rPr>
          <w:lang w:val="en-US"/>
        </w:rPr>
        <w:t>2.10</w:t>
      </w:r>
      <w:r>
        <w:rPr>
          <w:lang w:val="en-US"/>
        </w:rPr>
        <w:tab/>
      </w:r>
      <w:r w:rsidR="00DA5F53">
        <w:rPr>
          <w:lang w:val="en-US"/>
        </w:rPr>
        <w:t xml:space="preserve">The authors </w:t>
      </w:r>
      <w:r w:rsidR="00666182">
        <w:rPr>
          <w:lang w:val="en-US"/>
        </w:rPr>
        <w:t xml:space="preserve">detail </w:t>
      </w:r>
      <w:r w:rsidR="00896206">
        <w:rPr>
          <w:lang w:val="en-US"/>
        </w:rPr>
        <w:t xml:space="preserve">here </w:t>
      </w:r>
      <w:r w:rsidR="00DA5F53">
        <w:rPr>
          <w:lang w:val="en-US"/>
        </w:rPr>
        <w:t xml:space="preserve">their efforts to bring the victim’s case </w:t>
      </w:r>
      <w:r w:rsidR="00AB4362">
        <w:rPr>
          <w:lang w:val="en-US"/>
        </w:rPr>
        <w:t xml:space="preserve">to </w:t>
      </w:r>
      <w:r w:rsidR="00DA5F53">
        <w:rPr>
          <w:lang w:val="en-US"/>
        </w:rPr>
        <w:t xml:space="preserve">the attention of the </w:t>
      </w:r>
      <w:r w:rsidR="00896206">
        <w:rPr>
          <w:lang w:val="en-US"/>
        </w:rPr>
        <w:t xml:space="preserve">authorities of the </w:t>
      </w:r>
      <w:r w:rsidR="00DA5F53">
        <w:rPr>
          <w:lang w:val="en-US"/>
        </w:rPr>
        <w:t xml:space="preserve">State party: </w:t>
      </w:r>
      <w:r>
        <w:rPr>
          <w:lang w:val="en-US"/>
        </w:rPr>
        <w:t xml:space="preserve">On 23 July 2003, the second author went to the office of the assistant </w:t>
      </w:r>
      <w:r w:rsidR="00896206">
        <w:rPr>
          <w:lang w:val="en-US"/>
        </w:rPr>
        <w:t>s</w:t>
      </w:r>
      <w:r>
        <w:rPr>
          <w:lang w:val="en-US"/>
        </w:rPr>
        <w:t>uperintendent of the Horana</w:t>
      </w:r>
      <w:r w:rsidR="00896206">
        <w:rPr>
          <w:lang w:val="en-US"/>
        </w:rPr>
        <w:t xml:space="preserve"> police</w:t>
      </w:r>
      <w:r>
        <w:rPr>
          <w:lang w:val="en-US"/>
        </w:rPr>
        <w:t xml:space="preserve"> and attempted to complain about </w:t>
      </w:r>
      <w:r w:rsidR="00666182">
        <w:rPr>
          <w:lang w:val="en-US"/>
        </w:rPr>
        <w:t>Sunil’</w:t>
      </w:r>
      <w:r w:rsidR="00AB4362">
        <w:rPr>
          <w:lang w:val="en-US"/>
        </w:rPr>
        <w:t>s</w:t>
      </w:r>
      <w:r w:rsidR="00666182">
        <w:rPr>
          <w:lang w:val="en-US"/>
        </w:rPr>
        <w:t xml:space="preserve"> arrest and torture, but her complaint was not recorded and the </w:t>
      </w:r>
      <w:r w:rsidR="00896206">
        <w:rPr>
          <w:lang w:val="en-US"/>
        </w:rPr>
        <w:t>s</w:t>
      </w:r>
      <w:r w:rsidR="00666182">
        <w:rPr>
          <w:lang w:val="en-US"/>
        </w:rPr>
        <w:t xml:space="preserve">uperintendent did not receive her. On 26 July 2003, the authors and Chanaka </w:t>
      </w:r>
      <w:r w:rsidR="00BB539D">
        <w:rPr>
          <w:lang w:val="en-US"/>
        </w:rPr>
        <w:t xml:space="preserve">— </w:t>
      </w:r>
      <w:r w:rsidR="00666182">
        <w:rPr>
          <w:lang w:val="en-US"/>
        </w:rPr>
        <w:t>who had been released from detention on 23 July 2003</w:t>
      </w:r>
      <w:r w:rsidR="00BB539D">
        <w:rPr>
          <w:lang w:val="en-US"/>
        </w:rPr>
        <w:t xml:space="preserve"> —</w:t>
      </w:r>
      <w:r w:rsidR="00666182">
        <w:rPr>
          <w:lang w:val="en-US"/>
        </w:rPr>
        <w:t xml:space="preserve"> visited </w:t>
      </w:r>
      <w:r w:rsidR="005D2906">
        <w:rPr>
          <w:lang w:val="en-US"/>
        </w:rPr>
        <w:t>Moragahahena Police Station</w:t>
      </w:r>
      <w:r w:rsidR="00666182">
        <w:rPr>
          <w:lang w:val="en-US"/>
        </w:rPr>
        <w:t xml:space="preserve"> and reported Sunil’s death. Their statements were recorded by the assistant </w:t>
      </w:r>
      <w:r w:rsidR="00896206">
        <w:rPr>
          <w:lang w:val="en-US"/>
        </w:rPr>
        <w:t>s</w:t>
      </w:r>
      <w:r w:rsidR="00666182">
        <w:rPr>
          <w:lang w:val="en-US"/>
        </w:rPr>
        <w:t>uperintendent of the Horana</w:t>
      </w:r>
      <w:r w:rsidR="00896206">
        <w:rPr>
          <w:lang w:val="en-US"/>
        </w:rPr>
        <w:t xml:space="preserve"> police</w:t>
      </w:r>
      <w:r w:rsidR="00666182">
        <w:rPr>
          <w:lang w:val="en-US"/>
        </w:rPr>
        <w:t xml:space="preserve">. </w:t>
      </w:r>
    </w:p>
    <w:p w:rsidR="00666182" w:rsidRDefault="00666182" w:rsidP="00BA04FC">
      <w:pPr>
        <w:pStyle w:val="SingleTxtG"/>
        <w:rPr>
          <w:lang w:val="en-US"/>
        </w:rPr>
      </w:pPr>
      <w:r>
        <w:rPr>
          <w:lang w:val="en-US"/>
        </w:rPr>
        <w:t>2.11</w:t>
      </w:r>
      <w:r>
        <w:rPr>
          <w:lang w:val="en-US"/>
        </w:rPr>
        <w:tab/>
      </w:r>
      <w:r w:rsidR="002F2997">
        <w:rPr>
          <w:lang w:val="en-US"/>
        </w:rPr>
        <w:t xml:space="preserve">On 23 July 2003, the second author contacted the non-governmental human rights </w:t>
      </w:r>
      <w:r w:rsidR="002F2997" w:rsidRPr="00896206">
        <w:rPr>
          <w:lang w:val="en-US"/>
        </w:rPr>
        <w:t xml:space="preserve">organization </w:t>
      </w:r>
      <w:r w:rsidR="002F2997" w:rsidRPr="00BA04FC">
        <w:rPr>
          <w:lang w:val="en-US"/>
        </w:rPr>
        <w:t>Janasansadaya</w:t>
      </w:r>
      <w:r w:rsidR="002F2997" w:rsidRPr="00896206">
        <w:rPr>
          <w:lang w:val="en-US"/>
        </w:rPr>
        <w:t>, which</w:t>
      </w:r>
      <w:r w:rsidR="002F2997">
        <w:rPr>
          <w:lang w:val="en-US"/>
        </w:rPr>
        <w:t xml:space="preserve"> helped her to complain to the </w:t>
      </w:r>
      <w:r w:rsidR="00AE352E">
        <w:rPr>
          <w:lang w:val="en-US"/>
        </w:rPr>
        <w:t>Human Rights Commission of Sri Lanka</w:t>
      </w:r>
      <w:r w:rsidR="002F2997">
        <w:rPr>
          <w:lang w:val="en-US"/>
        </w:rPr>
        <w:t xml:space="preserve">. </w:t>
      </w:r>
      <w:r w:rsidR="00D32482">
        <w:rPr>
          <w:lang w:val="en-US"/>
        </w:rPr>
        <w:t>The authors</w:t>
      </w:r>
      <w:r w:rsidR="004E3656">
        <w:rPr>
          <w:lang w:val="en-US"/>
        </w:rPr>
        <w:t xml:space="preserve"> also</w:t>
      </w:r>
      <w:r w:rsidR="00D32482">
        <w:rPr>
          <w:lang w:val="en-US"/>
        </w:rPr>
        <w:t xml:space="preserve"> </w:t>
      </w:r>
      <w:r w:rsidR="0090333C">
        <w:rPr>
          <w:lang w:val="en-US"/>
        </w:rPr>
        <w:t>lodged a fundamental rights petition before</w:t>
      </w:r>
      <w:r w:rsidR="00D32482">
        <w:rPr>
          <w:lang w:val="en-US"/>
        </w:rPr>
        <w:t xml:space="preserve"> the Supreme Court of Sri Lanka</w:t>
      </w:r>
      <w:r w:rsidR="00AE352E">
        <w:rPr>
          <w:lang w:val="en-US"/>
        </w:rPr>
        <w:t>,</w:t>
      </w:r>
      <w:r w:rsidR="0090333C">
        <w:rPr>
          <w:lang w:val="en-US"/>
        </w:rPr>
        <w:t xml:space="preserve"> on 8 September 2003, in which a number of officials and institutions were cited as respondents.</w:t>
      </w:r>
      <w:r w:rsidR="0090333C">
        <w:rPr>
          <w:rStyle w:val="FootnoteReference"/>
          <w:lang w:val="en-US"/>
        </w:rPr>
        <w:footnoteReference w:id="4"/>
      </w:r>
      <w:r w:rsidR="00D32482">
        <w:rPr>
          <w:lang w:val="en-US"/>
        </w:rPr>
        <w:t xml:space="preserve"> The authors’ </w:t>
      </w:r>
      <w:r w:rsidR="002F2997">
        <w:rPr>
          <w:lang w:val="en-US"/>
        </w:rPr>
        <w:t>complaint</w:t>
      </w:r>
      <w:r w:rsidR="00D32482">
        <w:rPr>
          <w:lang w:val="en-US"/>
        </w:rPr>
        <w:t xml:space="preserve"> before the </w:t>
      </w:r>
      <w:r w:rsidR="00AE352E">
        <w:rPr>
          <w:lang w:val="en-US"/>
        </w:rPr>
        <w:t xml:space="preserve">national human rights commission </w:t>
      </w:r>
      <w:r w:rsidR="002F2997">
        <w:rPr>
          <w:lang w:val="en-US"/>
        </w:rPr>
        <w:t xml:space="preserve">remained unanswered until 21 August 2008, when the second author </w:t>
      </w:r>
      <w:r w:rsidR="00D32482">
        <w:rPr>
          <w:lang w:val="en-US"/>
        </w:rPr>
        <w:t>was informed that the procedure had been suspended</w:t>
      </w:r>
      <w:r w:rsidR="002F2997">
        <w:rPr>
          <w:lang w:val="en-US"/>
        </w:rPr>
        <w:t xml:space="preserve"> as the same </w:t>
      </w:r>
      <w:r w:rsidR="00140629">
        <w:rPr>
          <w:lang w:val="en-US"/>
        </w:rPr>
        <w:t>matter was pending before the Supreme Court</w:t>
      </w:r>
      <w:r w:rsidR="001D4C14">
        <w:rPr>
          <w:lang w:val="en-US"/>
        </w:rPr>
        <w:t xml:space="preserve"> (sic)</w:t>
      </w:r>
      <w:r w:rsidR="00140629">
        <w:rPr>
          <w:lang w:val="en-US"/>
        </w:rPr>
        <w:t xml:space="preserve">. The authors add that the </w:t>
      </w:r>
      <w:r w:rsidR="00AE352E">
        <w:rPr>
          <w:lang w:val="en-US"/>
        </w:rPr>
        <w:t xml:space="preserve">national human rights commission </w:t>
      </w:r>
      <w:r w:rsidR="00140629">
        <w:rPr>
          <w:lang w:val="en-US"/>
        </w:rPr>
        <w:t xml:space="preserve">has not been in contact with them since, and that there is no realistic prospect that it will reopen the inquiry following the dismissal of the case by the Supreme Court, as </w:t>
      </w:r>
      <w:r w:rsidR="000331A3">
        <w:rPr>
          <w:lang w:val="en-US"/>
        </w:rPr>
        <w:t xml:space="preserve">the </w:t>
      </w:r>
      <w:r w:rsidR="00AE352E">
        <w:rPr>
          <w:lang w:val="en-US"/>
        </w:rPr>
        <w:t xml:space="preserve">national human rights commission’s </w:t>
      </w:r>
      <w:r w:rsidR="000331A3">
        <w:rPr>
          <w:lang w:val="en-US"/>
        </w:rPr>
        <w:t xml:space="preserve">stated policy is that it is barred from further handling of </w:t>
      </w:r>
      <w:r w:rsidR="00A12DA1">
        <w:rPr>
          <w:lang w:val="en-US"/>
        </w:rPr>
        <w:t>a</w:t>
      </w:r>
      <w:r w:rsidR="000331A3">
        <w:rPr>
          <w:lang w:val="en-US"/>
        </w:rPr>
        <w:t xml:space="preserve"> case </w:t>
      </w:r>
      <w:r w:rsidR="00A12DA1">
        <w:rPr>
          <w:lang w:val="en-US"/>
        </w:rPr>
        <w:t>where there has been</w:t>
      </w:r>
      <w:r w:rsidR="000331A3">
        <w:rPr>
          <w:lang w:val="en-US"/>
        </w:rPr>
        <w:t xml:space="preserve"> a dismissal of </w:t>
      </w:r>
      <w:r w:rsidR="00A12DA1">
        <w:rPr>
          <w:lang w:val="en-US"/>
        </w:rPr>
        <w:t>a</w:t>
      </w:r>
      <w:r w:rsidR="000331A3">
        <w:rPr>
          <w:lang w:val="en-US"/>
        </w:rPr>
        <w:t xml:space="preserve"> fundamental rights petition to the Supreme Court. </w:t>
      </w:r>
    </w:p>
    <w:p w:rsidR="004D0EB6" w:rsidRDefault="004D0EB6" w:rsidP="00A46F75">
      <w:pPr>
        <w:pStyle w:val="SingleTxtG"/>
        <w:rPr>
          <w:lang w:val="en-US"/>
        </w:rPr>
      </w:pPr>
      <w:r>
        <w:rPr>
          <w:lang w:val="en-US"/>
        </w:rPr>
        <w:t>2.12</w:t>
      </w:r>
      <w:r>
        <w:rPr>
          <w:lang w:val="en-US"/>
        </w:rPr>
        <w:tab/>
        <w:t xml:space="preserve">On 27 July 2003, the Additional Magistrate of </w:t>
      </w:r>
      <w:r w:rsidR="00EE7E91">
        <w:rPr>
          <w:lang w:val="en-US"/>
        </w:rPr>
        <w:t xml:space="preserve">the </w:t>
      </w:r>
      <w:r>
        <w:rPr>
          <w:lang w:val="en-US"/>
        </w:rPr>
        <w:t>Colombo</w:t>
      </w:r>
      <w:r w:rsidR="00EE7E91">
        <w:rPr>
          <w:lang w:val="en-US"/>
        </w:rPr>
        <w:t xml:space="preserve"> Chief Magistrate’s Court</w:t>
      </w:r>
      <w:r w:rsidR="008D3378">
        <w:rPr>
          <w:lang w:val="en-US"/>
        </w:rPr>
        <w:t xml:space="preserve"> opened an inquiry into Sunil Hemachandra’s death. He heard the second author and Chanaka for this purpose. </w:t>
      </w:r>
      <w:r w:rsidR="00A46F75">
        <w:rPr>
          <w:lang w:val="en-US"/>
        </w:rPr>
        <w:t>T</w:t>
      </w:r>
      <w:r w:rsidR="008D3378">
        <w:rPr>
          <w:lang w:val="en-US"/>
        </w:rPr>
        <w:t>he Additional Magistrate reported</w:t>
      </w:r>
      <w:r w:rsidR="00A46F75">
        <w:rPr>
          <w:lang w:val="en-US"/>
        </w:rPr>
        <w:t xml:space="preserve">, also on 27 July 2003, </w:t>
      </w:r>
      <w:r w:rsidR="008D3378">
        <w:rPr>
          <w:lang w:val="en-US"/>
        </w:rPr>
        <w:t xml:space="preserve"> that in </w:t>
      </w:r>
      <w:r w:rsidR="008D3378">
        <w:rPr>
          <w:lang w:val="en-US"/>
        </w:rPr>
        <w:lastRenderedPageBreak/>
        <w:t xml:space="preserve">the </w:t>
      </w:r>
      <w:r w:rsidR="00A46F75">
        <w:rPr>
          <w:lang w:val="en-US"/>
        </w:rPr>
        <w:t xml:space="preserve">Moragahahena Police Station </w:t>
      </w:r>
      <w:r w:rsidR="008D3378">
        <w:rPr>
          <w:lang w:val="en-US"/>
        </w:rPr>
        <w:t xml:space="preserve">police report, “there [was] no entry whatsoever revealing the reason for which [Sunil] had been arrested by the police”. On 28 July 2003, the </w:t>
      </w:r>
      <w:r w:rsidR="00315156">
        <w:rPr>
          <w:lang w:val="en-US"/>
        </w:rPr>
        <w:t xml:space="preserve">Additional </w:t>
      </w:r>
      <w:r w:rsidR="008D3378">
        <w:rPr>
          <w:lang w:val="en-US"/>
        </w:rPr>
        <w:t>Magistrate observed the victim’s body in the mortuary, and noticed, among other injuries, “an injury of about one inch slightly above the buttocks, on the left side of the back”.</w:t>
      </w:r>
      <w:r w:rsidR="00063162">
        <w:rPr>
          <w:lang w:val="en-US"/>
        </w:rPr>
        <w:t xml:space="preserve"> The procedure was then adjourned, at the request of </w:t>
      </w:r>
      <w:r w:rsidR="005D2906">
        <w:rPr>
          <w:lang w:val="en-US"/>
        </w:rPr>
        <w:t>Moragahahena Police Station</w:t>
      </w:r>
      <w:r w:rsidR="00063162">
        <w:rPr>
          <w:lang w:val="en-US"/>
        </w:rPr>
        <w:t xml:space="preserve">, until 31 July 2003. </w:t>
      </w:r>
    </w:p>
    <w:p w:rsidR="000877E2" w:rsidRDefault="000877E2" w:rsidP="00BA04FC">
      <w:pPr>
        <w:pStyle w:val="SingleTxtG"/>
        <w:rPr>
          <w:lang w:val="en-US"/>
        </w:rPr>
      </w:pPr>
      <w:r>
        <w:rPr>
          <w:lang w:val="en-US"/>
        </w:rPr>
        <w:t>2.13</w:t>
      </w:r>
      <w:r>
        <w:rPr>
          <w:lang w:val="en-US"/>
        </w:rPr>
        <w:tab/>
        <w:t xml:space="preserve">On 29 July 2003, a </w:t>
      </w:r>
      <w:r w:rsidR="00A46F75">
        <w:rPr>
          <w:lang w:val="en-US"/>
        </w:rPr>
        <w:t>c</w:t>
      </w:r>
      <w:r>
        <w:rPr>
          <w:lang w:val="en-US"/>
        </w:rPr>
        <w:t>onsultant judicial medical officer from Colombo conducted a post</w:t>
      </w:r>
      <w:r w:rsidR="00A46F75">
        <w:rPr>
          <w:lang w:val="en-US"/>
        </w:rPr>
        <w:t>-</w:t>
      </w:r>
      <w:r>
        <w:rPr>
          <w:lang w:val="en-US"/>
        </w:rPr>
        <w:t xml:space="preserve">mortem examination, and produced a report which was subsequently relied upon in the proceedings before the Supreme Court. The report documented ten pre-mortal injuries: four contusions, four abrasions, one periorbital hematoma (“black eye”) around the left eye, and one surgical incision, but not </w:t>
      </w:r>
      <w:r w:rsidR="009C63D1">
        <w:rPr>
          <w:lang w:val="en-US"/>
        </w:rPr>
        <w:t xml:space="preserve">the injury on the left side of the back observed the day before by the Additional Magistrate of Colombo. The </w:t>
      </w:r>
      <w:r w:rsidR="00CB5DFD">
        <w:rPr>
          <w:lang w:val="en-US"/>
        </w:rPr>
        <w:t xml:space="preserve">direct </w:t>
      </w:r>
      <w:r w:rsidR="009C63D1">
        <w:rPr>
          <w:lang w:val="en-US"/>
        </w:rPr>
        <w:t>cause of Sunil’s death was identified as “acute subdural hemorrhage following a head injury caused by blunt trauma”.</w:t>
      </w:r>
      <w:r w:rsidR="00D609CB">
        <w:rPr>
          <w:lang w:val="en-US"/>
        </w:rPr>
        <w:t xml:space="preserve"> The report</w:t>
      </w:r>
      <w:r w:rsidR="00CB5DFD">
        <w:rPr>
          <w:lang w:val="en-US"/>
        </w:rPr>
        <w:t xml:space="preserve"> identified four possible </w:t>
      </w:r>
      <w:r w:rsidR="0061350D">
        <w:rPr>
          <w:lang w:val="en-US"/>
        </w:rPr>
        <w:t>origins for the fatal hemorrhage</w:t>
      </w:r>
      <w:r w:rsidR="00CB5DFD" w:rsidRPr="003C1C92">
        <w:rPr>
          <w:lang w:val="en-US"/>
        </w:rPr>
        <w:t xml:space="preserve">: </w:t>
      </w:r>
      <w:r w:rsidR="002A4AA8">
        <w:rPr>
          <w:lang w:val="en-US"/>
        </w:rPr>
        <w:t>(a) a</w:t>
      </w:r>
      <w:r w:rsidR="00CB5DFD" w:rsidRPr="003C1C92">
        <w:rPr>
          <w:lang w:val="en-US"/>
        </w:rPr>
        <w:t xml:space="preserve"> heavy blow to the </w:t>
      </w:r>
      <w:r w:rsidR="002A4AA8">
        <w:rPr>
          <w:lang w:val="en-US"/>
        </w:rPr>
        <w:t>victim’s back</w:t>
      </w:r>
      <w:r w:rsidR="00CB5DFD" w:rsidRPr="003C1C92">
        <w:rPr>
          <w:lang w:val="en-US"/>
        </w:rPr>
        <w:t xml:space="preserve"> with a weapon or </w:t>
      </w:r>
      <w:r w:rsidR="002A4AA8">
        <w:rPr>
          <w:lang w:val="en-US"/>
        </w:rPr>
        <w:t xml:space="preserve">from </w:t>
      </w:r>
      <w:r w:rsidR="00CB5DFD" w:rsidRPr="003C1C92">
        <w:rPr>
          <w:lang w:val="en-US"/>
        </w:rPr>
        <w:t xml:space="preserve">a kick with boots on; </w:t>
      </w:r>
      <w:r w:rsidR="002A4AA8">
        <w:rPr>
          <w:lang w:val="en-US"/>
        </w:rPr>
        <w:t xml:space="preserve">(b) </w:t>
      </w:r>
      <w:r w:rsidR="00CB5DFD" w:rsidRPr="003C1C92">
        <w:rPr>
          <w:lang w:val="en-US"/>
        </w:rPr>
        <w:t xml:space="preserve">a fall due to being pushed; </w:t>
      </w:r>
      <w:r w:rsidR="002A4AA8">
        <w:rPr>
          <w:lang w:val="en-US"/>
        </w:rPr>
        <w:t xml:space="preserve">(c) </w:t>
      </w:r>
      <w:r w:rsidR="00CB5DFD" w:rsidRPr="003C1C92">
        <w:rPr>
          <w:lang w:val="en-US"/>
        </w:rPr>
        <w:t xml:space="preserve">an accidental fall; or </w:t>
      </w:r>
      <w:r w:rsidR="00E717FC">
        <w:rPr>
          <w:lang w:val="en-US"/>
        </w:rPr>
        <w:t xml:space="preserve">(d) </w:t>
      </w:r>
      <w:r w:rsidR="00CB5DFD" w:rsidRPr="003C1C92">
        <w:rPr>
          <w:lang w:val="en-US"/>
        </w:rPr>
        <w:t>a fit due to alcohol withdrawal or epilepsy</w:t>
      </w:r>
      <w:r w:rsidR="00CB5DFD">
        <w:rPr>
          <w:lang w:val="en-US"/>
        </w:rPr>
        <w:t>.</w:t>
      </w:r>
      <w:r w:rsidR="00E511D4">
        <w:rPr>
          <w:rStyle w:val="FootnoteReference"/>
          <w:lang w:val="en-US"/>
        </w:rPr>
        <w:footnoteReference w:id="5"/>
      </w:r>
      <w:r w:rsidR="00E511D4">
        <w:rPr>
          <w:lang w:val="en-US"/>
        </w:rPr>
        <w:t xml:space="preserve"> </w:t>
      </w:r>
      <w:r w:rsidR="00CB5DFD">
        <w:rPr>
          <w:lang w:val="en-US"/>
        </w:rPr>
        <w:t>The report concluded</w:t>
      </w:r>
      <w:r w:rsidR="00D609CB">
        <w:rPr>
          <w:lang w:val="en-US"/>
        </w:rPr>
        <w:t xml:space="preserve"> that it was “possible” that the cause of death was a fall following alcohol withdrawal, a finding seemingly derived solely from the discovery of an “enlarged and fatty liver” in the deceased’s body.</w:t>
      </w:r>
    </w:p>
    <w:p w:rsidR="00527507" w:rsidRDefault="00D609CB" w:rsidP="00E717FC">
      <w:pPr>
        <w:pStyle w:val="SingleTxtG"/>
        <w:rPr>
          <w:lang w:val="en-US"/>
        </w:rPr>
      </w:pPr>
      <w:r>
        <w:rPr>
          <w:lang w:val="en-US"/>
        </w:rPr>
        <w:t>2.14</w:t>
      </w:r>
      <w:r>
        <w:rPr>
          <w:lang w:val="en-US"/>
        </w:rPr>
        <w:tab/>
        <w:t xml:space="preserve">On 31 July 2003, the Additional Magistrate of Colombo heard further witnesses </w:t>
      </w:r>
      <w:r w:rsidR="00E717FC">
        <w:rPr>
          <w:lang w:val="en-US"/>
        </w:rPr>
        <w:t xml:space="preserve">who had been </w:t>
      </w:r>
      <w:r>
        <w:rPr>
          <w:lang w:val="en-US"/>
        </w:rPr>
        <w:t>brought to the court in police vehicles</w:t>
      </w:r>
      <w:r w:rsidR="00E717FC">
        <w:rPr>
          <w:lang w:val="en-US"/>
        </w:rPr>
        <w:t>;</w:t>
      </w:r>
      <w:r>
        <w:rPr>
          <w:lang w:val="en-US"/>
        </w:rPr>
        <w:t xml:space="preserve"> </w:t>
      </w:r>
      <w:r w:rsidR="00E717FC">
        <w:rPr>
          <w:lang w:val="en-US"/>
        </w:rPr>
        <w:t>this</w:t>
      </w:r>
      <w:r>
        <w:rPr>
          <w:lang w:val="en-US"/>
        </w:rPr>
        <w:t xml:space="preserve"> was criticized by the </w:t>
      </w:r>
      <w:r w:rsidR="00E717FC">
        <w:rPr>
          <w:lang w:val="en-US"/>
        </w:rPr>
        <w:t xml:space="preserve">author’s </w:t>
      </w:r>
      <w:r>
        <w:rPr>
          <w:lang w:val="en-US"/>
        </w:rPr>
        <w:t xml:space="preserve">lawyer as possibly resulting in undue influence </w:t>
      </w:r>
      <w:r w:rsidR="00E717FC">
        <w:rPr>
          <w:lang w:val="en-US"/>
        </w:rPr>
        <w:t xml:space="preserve">over </w:t>
      </w:r>
      <w:r>
        <w:rPr>
          <w:lang w:val="en-US"/>
        </w:rPr>
        <w:t xml:space="preserve">witnesses by the police. The </w:t>
      </w:r>
      <w:r w:rsidR="00E717FC">
        <w:rPr>
          <w:lang w:val="en-US"/>
        </w:rPr>
        <w:t xml:space="preserve">Additional </w:t>
      </w:r>
      <w:r>
        <w:rPr>
          <w:lang w:val="en-US"/>
        </w:rPr>
        <w:t>Magistrate overruled the exception and decided to accept the witnesses’ testimonies.</w:t>
      </w:r>
      <w:r w:rsidR="0090333C">
        <w:rPr>
          <w:lang w:val="en-US"/>
        </w:rPr>
        <w:t xml:space="preserve"> </w:t>
      </w:r>
    </w:p>
    <w:p w:rsidR="006515DF" w:rsidRDefault="006515DF" w:rsidP="007715A5">
      <w:pPr>
        <w:pStyle w:val="SingleTxtG"/>
        <w:rPr>
          <w:lang w:val="en-US"/>
        </w:rPr>
      </w:pPr>
      <w:r>
        <w:rPr>
          <w:lang w:val="en-US"/>
        </w:rPr>
        <w:t>2.15</w:t>
      </w:r>
      <w:r>
        <w:rPr>
          <w:lang w:val="en-US"/>
        </w:rPr>
        <w:tab/>
        <w:t xml:space="preserve">On 8 August 2003, the Magistrate of Horana, to whom the inquiry was transferred from the Additional Magistrate of Colombo, directed the Senior </w:t>
      </w:r>
      <w:r w:rsidR="00371BC8">
        <w:rPr>
          <w:lang w:val="en-US"/>
        </w:rPr>
        <w:t>Superintendent</w:t>
      </w:r>
      <w:r>
        <w:rPr>
          <w:lang w:val="en-US"/>
        </w:rPr>
        <w:t xml:space="preserve"> of </w:t>
      </w:r>
      <w:r w:rsidR="008844CD">
        <w:rPr>
          <w:lang w:val="en-US"/>
        </w:rPr>
        <w:t xml:space="preserve">the </w:t>
      </w:r>
      <w:r>
        <w:rPr>
          <w:lang w:val="en-US"/>
        </w:rPr>
        <w:t xml:space="preserve">Panadura police to investigate and </w:t>
      </w:r>
      <w:r w:rsidR="00BF2844">
        <w:rPr>
          <w:lang w:val="en-US"/>
        </w:rPr>
        <w:t xml:space="preserve">to </w:t>
      </w:r>
      <w:r>
        <w:rPr>
          <w:lang w:val="en-US"/>
        </w:rPr>
        <w:t xml:space="preserve">produce the suspects before court, as the circumstances surrounding the victim’s death seemed suspicious. </w:t>
      </w:r>
    </w:p>
    <w:p w:rsidR="006515DF" w:rsidRDefault="006515DF" w:rsidP="00BA04FC">
      <w:pPr>
        <w:pStyle w:val="SingleTxtG"/>
        <w:rPr>
          <w:lang w:val="en-US"/>
        </w:rPr>
      </w:pPr>
      <w:r>
        <w:rPr>
          <w:lang w:val="en-US"/>
        </w:rPr>
        <w:t>2.16</w:t>
      </w:r>
      <w:r>
        <w:rPr>
          <w:lang w:val="en-US"/>
        </w:rPr>
        <w:tab/>
        <w:t xml:space="preserve">On 29 April 2004, the Attorney General decided that no charges would be filed in connection with Sunil Hemachandra’s death, as there was no evidence of any assault against </w:t>
      </w:r>
      <w:r w:rsidR="00AE7BB8">
        <w:rPr>
          <w:lang w:val="en-US"/>
        </w:rPr>
        <w:t>the victim</w:t>
      </w:r>
      <w:r>
        <w:rPr>
          <w:lang w:val="en-US"/>
        </w:rPr>
        <w:t xml:space="preserve">. On 19 November 2004, the Magistrate </w:t>
      </w:r>
      <w:r w:rsidR="00BF2844">
        <w:rPr>
          <w:lang w:val="en-US"/>
        </w:rPr>
        <w:t xml:space="preserve">of Horana </w:t>
      </w:r>
      <w:r>
        <w:rPr>
          <w:lang w:val="en-US"/>
        </w:rPr>
        <w:t>removed t</w:t>
      </w:r>
      <w:r w:rsidR="00856E77">
        <w:rPr>
          <w:lang w:val="en-US"/>
        </w:rPr>
        <w:t>he case from the roll</w:t>
      </w:r>
      <w:r w:rsidR="00F924A1">
        <w:rPr>
          <w:lang w:val="en-US"/>
        </w:rPr>
        <w:t>,</w:t>
      </w:r>
      <w:r w:rsidR="00856E77">
        <w:rPr>
          <w:lang w:val="en-US"/>
        </w:rPr>
        <w:t xml:space="preserve"> with s</w:t>
      </w:r>
      <w:r>
        <w:rPr>
          <w:lang w:val="en-US"/>
        </w:rPr>
        <w:t>ole reference to the Attorney Gener</w:t>
      </w:r>
      <w:r w:rsidR="00856E77">
        <w:rPr>
          <w:lang w:val="en-US"/>
        </w:rPr>
        <w:t xml:space="preserve">al’s decision of 29 April 2004. </w:t>
      </w:r>
    </w:p>
    <w:p w:rsidR="00856E77" w:rsidRDefault="00856E77" w:rsidP="00962D50">
      <w:pPr>
        <w:pStyle w:val="SingleTxtG"/>
        <w:rPr>
          <w:lang w:val="en-US"/>
        </w:rPr>
      </w:pPr>
      <w:r>
        <w:rPr>
          <w:lang w:val="en-US"/>
        </w:rPr>
        <w:t>2.17</w:t>
      </w:r>
      <w:r>
        <w:rPr>
          <w:lang w:val="en-US"/>
        </w:rPr>
        <w:tab/>
      </w:r>
      <w:r w:rsidR="002B1B8B">
        <w:rPr>
          <w:lang w:val="en-US"/>
        </w:rPr>
        <w:t>The</w:t>
      </w:r>
      <w:r w:rsidR="0090333C">
        <w:rPr>
          <w:lang w:val="en-US"/>
        </w:rPr>
        <w:t xml:space="preserve"> authors’ petition</w:t>
      </w:r>
      <w:r w:rsidR="00962D50">
        <w:rPr>
          <w:lang w:val="en-US"/>
        </w:rPr>
        <w:t>,</w:t>
      </w:r>
      <w:r w:rsidR="0090333C">
        <w:rPr>
          <w:lang w:val="en-US"/>
        </w:rPr>
        <w:t xml:space="preserve"> filed before the</w:t>
      </w:r>
      <w:r w:rsidR="002B1B8B">
        <w:rPr>
          <w:lang w:val="en-US"/>
        </w:rPr>
        <w:t xml:space="preserve"> Supreme Court </w:t>
      </w:r>
      <w:r w:rsidR="0090333C">
        <w:rPr>
          <w:lang w:val="en-US"/>
        </w:rPr>
        <w:t>in September 2003</w:t>
      </w:r>
      <w:r w:rsidR="00962D50">
        <w:rPr>
          <w:lang w:val="en-US"/>
        </w:rPr>
        <w:t>,</w:t>
      </w:r>
      <w:r w:rsidR="0090333C">
        <w:rPr>
          <w:lang w:val="en-US"/>
        </w:rPr>
        <w:t xml:space="preserve"> was only decided </w:t>
      </w:r>
      <w:r w:rsidR="00962D50">
        <w:rPr>
          <w:lang w:val="en-US"/>
        </w:rPr>
        <w:t xml:space="preserve">upon </w:t>
      </w:r>
      <w:r w:rsidR="0090333C">
        <w:rPr>
          <w:lang w:val="en-US"/>
        </w:rPr>
        <w:t xml:space="preserve">on 6 August 2010. The Supreme Court </w:t>
      </w:r>
      <w:r w:rsidR="002B1B8B">
        <w:rPr>
          <w:lang w:val="en-US"/>
        </w:rPr>
        <w:t xml:space="preserve">considered several grounds </w:t>
      </w:r>
      <w:r w:rsidR="00962D50">
        <w:rPr>
          <w:lang w:val="en-US"/>
        </w:rPr>
        <w:t xml:space="preserve">that </w:t>
      </w:r>
      <w:r w:rsidR="002B1B8B">
        <w:rPr>
          <w:lang w:val="en-US"/>
        </w:rPr>
        <w:t>might have served as a basis for Sunil Hemachandra’s arrest: his attempt to assault the police</w:t>
      </w:r>
      <w:r w:rsidR="00962D50">
        <w:rPr>
          <w:lang w:val="en-US"/>
        </w:rPr>
        <w:t>,</w:t>
      </w:r>
      <w:r w:rsidR="002B1B8B">
        <w:rPr>
          <w:lang w:val="en-US"/>
        </w:rPr>
        <w:t xml:space="preserve"> his consumption of liquor</w:t>
      </w:r>
      <w:r w:rsidR="00962D50">
        <w:rPr>
          <w:lang w:val="en-US"/>
        </w:rPr>
        <w:t>, and</w:t>
      </w:r>
      <w:r w:rsidR="002B1B8B">
        <w:rPr>
          <w:lang w:val="en-US"/>
        </w:rPr>
        <w:t xml:space="preserve"> his alleged assertion that he would commit suicide if the police arrest</w:t>
      </w:r>
      <w:r w:rsidR="00962D50">
        <w:rPr>
          <w:lang w:val="en-US"/>
        </w:rPr>
        <w:t>ed</w:t>
      </w:r>
      <w:r w:rsidR="002B1B8B">
        <w:rPr>
          <w:lang w:val="en-US"/>
        </w:rPr>
        <w:t xml:space="preserve"> Chanaka. </w:t>
      </w:r>
      <w:r w:rsidR="00962D50">
        <w:rPr>
          <w:lang w:val="en-US"/>
        </w:rPr>
        <w:t xml:space="preserve">With regard to </w:t>
      </w:r>
      <w:r w:rsidR="002B1B8B">
        <w:rPr>
          <w:lang w:val="en-US"/>
        </w:rPr>
        <w:t xml:space="preserve">the cause of death, </w:t>
      </w:r>
      <w:r w:rsidR="00B26EAD">
        <w:rPr>
          <w:lang w:val="en-US"/>
        </w:rPr>
        <w:t xml:space="preserve">the Supreme Court dismissed the application, </w:t>
      </w:r>
      <w:r w:rsidR="00962D50">
        <w:rPr>
          <w:lang w:val="en-US"/>
        </w:rPr>
        <w:t>concluding</w:t>
      </w:r>
      <w:r w:rsidR="00B26EAD">
        <w:rPr>
          <w:lang w:val="en-US"/>
        </w:rPr>
        <w:t xml:space="preserve"> that </w:t>
      </w:r>
      <w:r w:rsidR="00D009EF">
        <w:rPr>
          <w:lang w:val="en-US"/>
        </w:rPr>
        <w:t xml:space="preserve">“the fall being due to a fit </w:t>
      </w:r>
      <w:r w:rsidR="00B26EAD">
        <w:rPr>
          <w:lang w:val="en-US"/>
        </w:rPr>
        <w:t>following alcohol withdrawal</w:t>
      </w:r>
      <w:r w:rsidR="00D009EF">
        <w:rPr>
          <w:lang w:val="en-US"/>
        </w:rPr>
        <w:t xml:space="preserve"> [was] highly probable</w:t>
      </w:r>
      <w:r w:rsidR="00FC4F4B">
        <w:rPr>
          <w:lang w:val="en-US"/>
        </w:rPr>
        <w:t>”</w:t>
      </w:r>
      <w:r w:rsidR="00962D50">
        <w:rPr>
          <w:lang w:val="en-US"/>
        </w:rPr>
        <w:t>.</w:t>
      </w:r>
      <w:r w:rsidR="00FC4F4B">
        <w:rPr>
          <w:lang w:val="en-US"/>
        </w:rPr>
        <w:t xml:space="preserve"> </w:t>
      </w:r>
      <w:r w:rsidR="00962D50">
        <w:rPr>
          <w:lang w:val="en-US"/>
        </w:rPr>
        <w:t xml:space="preserve">It </w:t>
      </w:r>
      <w:r w:rsidR="00FC4F4B">
        <w:rPr>
          <w:lang w:val="en-US"/>
        </w:rPr>
        <w:t>thereby endors</w:t>
      </w:r>
      <w:r w:rsidR="00962D50">
        <w:rPr>
          <w:lang w:val="en-US"/>
        </w:rPr>
        <w:t>ed</w:t>
      </w:r>
      <w:r w:rsidR="00CF21DC">
        <w:rPr>
          <w:lang w:val="en-US"/>
        </w:rPr>
        <w:t xml:space="preserve"> the conclusion of the </w:t>
      </w:r>
      <w:r w:rsidR="00FC4F4B">
        <w:rPr>
          <w:lang w:val="en-US"/>
        </w:rPr>
        <w:t xml:space="preserve">forensic </w:t>
      </w:r>
      <w:r w:rsidR="00CF21DC">
        <w:rPr>
          <w:lang w:val="en-US"/>
        </w:rPr>
        <w:t xml:space="preserve">report, </w:t>
      </w:r>
      <w:r w:rsidR="00FC4F4B">
        <w:rPr>
          <w:lang w:val="en-US"/>
        </w:rPr>
        <w:t>and</w:t>
      </w:r>
      <w:r w:rsidR="00CF21DC">
        <w:rPr>
          <w:lang w:val="en-US"/>
        </w:rPr>
        <w:t xml:space="preserve"> discard</w:t>
      </w:r>
      <w:r w:rsidR="00962D50">
        <w:rPr>
          <w:lang w:val="en-US"/>
        </w:rPr>
        <w:t>ed</w:t>
      </w:r>
      <w:r w:rsidR="00CF21DC">
        <w:rPr>
          <w:lang w:val="en-US"/>
        </w:rPr>
        <w:t xml:space="preserve"> the possibility of assault, for lack of conclusive evidence such as an injury. </w:t>
      </w:r>
    </w:p>
    <w:p w:rsidR="001E14E6" w:rsidRDefault="008302D1" w:rsidP="00962D50">
      <w:pPr>
        <w:pStyle w:val="SingleTxtG"/>
        <w:rPr>
          <w:lang w:val="en-US"/>
        </w:rPr>
      </w:pPr>
      <w:r>
        <w:rPr>
          <w:lang w:val="en-US"/>
        </w:rPr>
        <w:t>2.18</w:t>
      </w:r>
      <w:r>
        <w:rPr>
          <w:lang w:val="en-US"/>
        </w:rPr>
        <w:tab/>
        <w:t>The authors claim that they have no further remedy available. The criminal investigation led to the decision of the Attorney General of 29 April 2004 not to press charges</w:t>
      </w:r>
      <w:r w:rsidR="001E14E6">
        <w:rPr>
          <w:lang w:val="en-US"/>
        </w:rPr>
        <w:t>, while the judg</w:t>
      </w:r>
      <w:r w:rsidR="00962D50">
        <w:rPr>
          <w:lang w:val="en-US"/>
        </w:rPr>
        <w:t>e</w:t>
      </w:r>
      <w:r w:rsidR="001E14E6">
        <w:rPr>
          <w:lang w:val="en-US"/>
        </w:rPr>
        <w:t xml:space="preserve">ment rendered by the Supreme Court on 6 August 2010 was a final decision. The authors </w:t>
      </w:r>
      <w:r w:rsidR="00962D50">
        <w:rPr>
          <w:lang w:val="en-US"/>
        </w:rPr>
        <w:t xml:space="preserve">also </w:t>
      </w:r>
      <w:r w:rsidR="001E14E6">
        <w:rPr>
          <w:lang w:val="en-US"/>
        </w:rPr>
        <w:t xml:space="preserve">stress that the proceedings lasted for over seven years, and were unduly prolonged. </w:t>
      </w:r>
    </w:p>
    <w:p w:rsidR="004C5945" w:rsidRPr="001E14E6" w:rsidRDefault="000A20DA" w:rsidP="000A20DA">
      <w:pPr>
        <w:pStyle w:val="H23G"/>
        <w:rPr>
          <w:lang w:val="en-US"/>
        </w:rPr>
      </w:pPr>
      <w:r>
        <w:rPr>
          <w:lang w:val="en-US"/>
        </w:rPr>
        <w:lastRenderedPageBreak/>
        <w:tab/>
      </w:r>
      <w:r>
        <w:rPr>
          <w:lang w:val="en-US"/>
        </w:rPr>
        <w:tab/>
      </w:r>
      <w:r w:rsidR="004C5945" w:rsidRPr="001E14E6">
        <w:rPr>
          <w:lang w:val="en-US"/>
        </w:rPr>
        <w:t>The complaint</w:t>
      </w:r>
    </w:p>
    <w:p w:rsidR="004C5945" w:rsidRPr="004C5945" w:rsidRDefault="004C5945" w:rsidP="00684408">
      <w:pPr>
        <w:pStyle w:val="SingleTxtG"/>
        <w:rPr>
          <w:lang w:val="en-US"/>
        </w:rPr>
      </w:pPr>
      <w:r w:rsidRPr="004C5945">
        <w:rPr>
          <w:lang w:val="en-US"/>
        </w:rPr>
        <w:t>3.1</w:t>
      </w:r>
      <w:r w:rsidRPr="004C5945">
        <w:rPr>
          <w:lang w:val="en-US"/>
        </w:rPr>
        <w:tab/>
        <w:t>The author</w:t>
      </w:r>
      <w:r w:rsidR="00863E58">
        <w:rPr>
          <w:lang w:val="en-US"/>
        </w:rPr>
        <w:t xml:space="preserve">s submit that the State party has failed to carry </w:t>
      </w:r>
      <w:r w:rsidR="00B90C6D">
        <w:rPr>
          <w:lang w:val="en-US"/>
        </w:rPr>
        <w:t xml:space="preserve">out </w:t>
      </w:r>
      <w:r w:rsidR="00863E58">
        <w:rPr>
          <w:lang w:val="en-US"/>
        </w:rPr>
        <w:t xml:space="preserve">an adequate investigation into the </w:t>
      </w:r>
      <w:r w:rsidR="00863E58" w:rsidRPr="000A20DA">
        <w:t>unlawful</w:t>
      </w:r>
      <w:r w:rsidR="00863E58">
        <w:rPr>
          <w:lang w:val="en-US"/>
        </w:rPr>
        <w:t xml:space="preserve"> and arbitrary arrest and detention, torture, </w:t>
      </w:r>
      <w:r w:rsidR="0051105E">
        <w:rPr>
          <w:lang w:val="en-US"/>
        </w:rPr>
        <w:t xml:space="preserve">and </w:t>
      </w:r>
      <w:r w:rsidR="00863E58">
        <w:rPr>
          <w:lang w:val="en-US"/>
        </w:rPr>
        <w:t>cruel, inhuman and degrading treatment of Sunil</w:t>
      </w:r>
      <w:r w:rsidR="000759A5">
        <w:rPr>
          <w:lang w:val="en-US"/>
        </w:rPr>
        <w:t>,</w:t>
      </w:r>
      <w:r w:rsidR="00863E58">
        <w:rPr>
          <w:lang w:val="en-US"/>
        </w:rPr>
        <w:t xml:space="preserve"> and </w:t>
      </w:r>
      <w:r w:rsidR="000759A5">
        <w:rPr>
          <w:lang w:val="en-US"/>
        </w:rPr>
        <w:t xml:space="preserve">into </w:t>
      </w:r>
      <w:r w:rsidR="00863E58">
        <w:rPr>
          <w:lang w:val="en-US"/>
        </w:rPr>
        <w:t xml:space="preserve">his death, in violation of </w:t>
      </w:r>
      <w:r w:rsidR="00BB539D">
        <w:rPr>
          <w:lang w:val="en-US"/>
        </w:rPr>
        <w:t>article</w:t>
      </w:r>
      <w:r w:rsidR="007C2976">
        <w:rPr>
          <w:lang w:val="en-US"/>
        </w:rPr>
        <w:t xml:space="preserve"> </w:t>
      </w:r>
      <w:r w:rsidRPr="004C5945">
        <w:rPr>
          <w:lang w:val="en-US"/>
        </w:rPr>
        <w:t xml:space="preserve">6 </w:t>
      </w:r>
      <w:r w:rsidR="007C2976">
        <w:rPr>
          <w:lang w:val="en-US"/>
        </w:rPr>
        <w:t>(</w:t>
      </w:r>
      <w:r w:rsidR="00863E58">
        <w:rPr>
          <w:lang w:val="en-US"/>
        </w:rPr>
        <w:t>para</w:t>
      </w:r>
      <w:r w:rsidR="007C2976">
        <w:rPr>
          <w:lang w:val="en-US"/>
        </w:rPr>
        <w:t>.</w:t>
      </w:r>
      <w:r w:rsidR="005F2B6A">
        <w:rPr>
          <w:lang w:val="en-US"/>
        </w:rPr>
        <w:t> </w:t>
      </w:r>
      <w:r w:rsidR="00863E58">
        <w:rPr>
          <w:lang w:val="en-US"/>
        </w:rPr>
        <w:t>1</w:t>
      </w:r>
      <w:r w:rsidR="007C2976">
        <w:rPr>
          <w:lang w:val="en-US"/>
        </w:rPr>
        <w:t>),</w:t>
      </w:r>
      <w:r w:rsidRPr="004C5945">
        <w:rPr>
          <w:lang w:val="en-US"/>
        </w:rPr>
        <w:t xml:space="preserve"> </w:t>
      </w:r>
      <w:r w:rsidR="00BB539D">
        <w:rPr>
          <w:lang w:val="en-US"/>
        </w:rPr>
        <w:t>article </w:t>
      </w:r>
      <w:r w:rsidRPr="004C5945">
        <w:rPr>
          <w:lang w:val="en-US"/>
        </w:rPr>
        <w:t>7</w:t>
      </w:r>
      <w:r w:rsidR="007C2976">
        <w:rPr>
          <w:lang w:val="en-US"/>
        </w:rPr>
        <w:t>,</w:t>
      </w:r>
      <w:r w:rsidRPr="004C5945">
        <w:rPr>
          <w:lang w:val="en-US"/>
        </w:rPr>
        <w:t xml:space="preserve"> </w:t>
      </w:r>
      <w:r w:rsidR="00BB539D">
        <w:rPr>
          <w:lang w:val="en-US"/>
        </w:rPr>
        <w:t>article </w:t>
      </w:r>
      <w:r w:rsidRPr="004C5945">
        <w:rPr>
          <w:lang w:val="en-US"/>
        </w:rPr>
        <w:t xml:space="preserve">9 </w:t>
      </w:r>
      <w:r w:rsidR="007C2976">
        <w:rPr>
          <w:lang w:val="en-US"/>
        </w:rPr>
        <w:t>(</w:t>
      </w:r>
      <w:r w:rsidR="00BB539D">
        <w:rPr>
          <w:lang w:val="en-US"/>
        </w:rPr>
        <w:t>paras</w:t>
      </w:r>
      <w:r w:rsidR="007C2976">
        <w:rPr>
          <w:lang w:val="en-US"/>
        </w:rPr>
        <w:t>.</w:t>
      </w:r>
      <w:r w:rsidR="00BB539D">
        <w:rPr>
          <w:lang w:val="en-US"/>
        </w:rPr>
        <w:t> </w:t>
      </w:r>
      <w:r w:rsidRPr="004C5945">
        <w:rPr>
          <w:lang w:val="en-US"/>
        </w:rPr>
        <w:t xml:space="preserve">1, </w:t>
      </w:r>
      <w:r w:rsidR="00863E58">
        <w:rPr>
          <w:lang w:val="en-US"/>
        </w:rPr>
        <w:t>2 and 4</w:t>
      </w:r>
      <w:r w:rsidR="007C2976">
        <w:rPr>
          <w:lang w:val="en-US"/>
        </w:rPr>
        <w:t>)</w:t>
      </w:r>
      <w:r w:rsidR="00863E58">
        <w:rPr>
          <w:lang w:val="en-US"/>
        </w:rPr>
        <w:t xml:space="preserve"> and </w:t>
      </w:r>
      <w:r w:rsidR="00BB539D">
        <w:rPr>
          <w:lang w:val="en-US"/>
        </w:rPr>
        <w:t>article </w:t>
      </w:r>
      <w:r w:rsidR="00863E58">
        <w:rPr>
          <w:lang w:val="en-US"/>
        </w:rPr>
        <w:t>10</w:t>
      </w:r>
      <w:r w:rsidR="00C06C1D">
        <w:rPr>
          <w:lang w:val="en-US"/>
        </w:rPr>
        <w:t>,</w:t>
      </w:r>
      <w:r w:rsidR="00863E58">
        <w:rPr>
          <w:lang w:val="en-US"/>
        </w:rPr>
        <w:t xml:space="preserve"> of the Covenant, read alone and in </w:t>
      </w:r>
      <w:r w:rsidRPr="004C5945">
        <w:rPr>
          <w:lang w:val="en-US"/>
        </w:rPr>
        <w:t xml:space="preserve">conjunction with </w:t>
      </w:r>
      <w:r w:rsidR="00BB539D">
        <w:rPr>
          <w:lang w:val="en-US"/>
        </w:rPr>
        <w:t>article </w:t>
      </w:r>
      <w:r w:rsidRPr="004C5945">
        <w:rPr>
          <w:lang w:val="en-US"/>
        </w:rPr>
        <w:t xml:space="preserve">2 </w:t>
      </w:r>
      <w:r w:rsidR="007C2976">
        <w:rPr>
          <w:lang w:val="en-US"/>
        </w:rPr>
        <w:t>(</w:t>
      </w:r>
      <w:r w:rsidR="00BB539D">
        <w:rPr>
          <w:lang w:val="en-US"/>
        </w:rPr>
        <w:t>para</w:t>
      </w:r>
      <w:r w:rsidR="007C2976">
        <w:rPr>
          <w:lang w:val="en-US"/>
        </w:rPr>
        <w:t>.</w:t>
      </w:r>
      <w:r w:rsidR="00BB539D">
        <w:rPr>
          <w:lang w:val="en-US"/>
        </w:rPr>
        <w:t> </w:t>
      </w:r>
      <w:r w:rsidRPr="004C5945">
        <w:rPr>
          <w:lang w:val="en-US"/>
        </w:rPr>
        <w:t>3</w:t>
      </w:r>
      <w:r w:rsidR="007C2976">
        <w:rPr>
          <w:lang w:val="en-US"/>
        </w:rPr>
        <w:t>)</w:t>
      </w:r>
      <w:r w:rsidR="00C06C1D">
        <w:rPr>
          <w:lang w:val="en-US"/>
        </w:rPr>
        <w:t>,</w:t>
      </w:r>
      <w:r w:rsidR="00863E58">
        <w:rPr>
          <w:lang w:val="en-US"/>
        </w:rPr>
        <w:t xml:space="preserve"> </w:t>
      </w:r>
      <w:r w:rsidRPr="004C5945">
        <w:rPr>
          <w:lang w:val="en-US"/>
        </w:rPr>
        <w:t>of the Covenant.</w:t>
      </w:r>
    </w:p>
    <w:p w:rsidR="006F79BD" w:rsidRPr="006F79BD" w:rsidRDefault="004C5945" w:rsidP="006A2D80">
      <w:pPr>
        <w:pStyle w:val="SingleTxtG"/>
        <w:rPr>
          <w:lang w:val="en-US"/>
        </w:rPr>
      </w:pPr>
      <w:r w:rsidRPr="003C1C92">
        <w:rPr>
          <w:lang w:val="en-US"/>
        </w:rPr>
        <w:t>3.2</w:t>
      </w:r>
      <w:r w:rsidRPr="003C1C92">
        <w:rPr>
          <w:lang w:val="en-US"/>
        </w:rPr>
        <w:tab/>
        <w:t>Regarding article 6, the author</w:t>
      </w:r>
      <w:r w:rsidR="00B55A85" w:rsidRPr="003C1C92">
        <w:rPr>
          <w:lang w:val="en-US"/>
        </w:rPr>
        <w:t>s stress</w:t>
      </w:r>
      <w:r w:rsidRPr="003C1C92">
        <w:rPr>
          <w:lang w:val="en-US"/>
        </w:rPr>
        <w:t xml:space="preserve"> that </w:t>
      </w:r>
      <w:r w:rsidR="00B55A85" w:rsidRPr="003C1C92">
        <w:rPr>
          <w:lang w:val="en-US"/>
        </w:rPr>
        <w:t xml:space="preserve">Sunil Hemachandra was arbitrarily deprived of his life by the State party. They submit that in cases of custodial death, there is a presumption of State responsibility. This presumption applies equally </w:t>
      </w:r>
      <w:r w:rsidR="002A77C8">
        <w:rPr>
          <w:lang w:val="en-US"/>
        </w:rPr>
        <w:t>whether</w:t>
      </w:r>
      <w:r w:rsidR="00B55A85" w:rsidRPr="003C1C92">
        <w:rPr>
          <w:lang w:val="en-US"/>
        </w:rPr>
        <w:t xml:space="preserve">, as in the present case, the victim died in hospital following a transfer from police custody, </w:t>
      </w:r>
      <w:r w:rsidR="002A77C8">
        <w:rPr>
          <w:lang w:val="en-US"/>
        </w:rPr>
        <w:t>or</w:t>
      </w:r>
      <w:r w:rsidR="002A77C8" w:rsidRPr="003C1C92">
        <w:rPr>
          <w:lang w:val="en-US"/>
        </w:rPr>
        <w:t xml:space="preserve"> </w:t>
      </w:r>
      <w:r w:rsidR="00B55A85" w:rsidRPr="003C1C92">
        <w:rPr>
          <w:lang w:val="en-US"/>
        </w:rPr>
        <w:t xml:space="preserve">as a result of injuries sustained in detention. </w:t>
      </w:r>
      <w:r w:rsidR="00D34D7A" w:rsidRPr="003C1C92">
        <w:rPr>
          <w:lang w:val="en-US"/>
        </w:rPr>
        <w:t>The authors stress that the direct medical cause of Sunil’s death is not clear</w:t>
      </w:r>
      <w:r w:rsidR="00110508" w:rsidRPr="003C1C92">
        <w:rPr>
          <w:lang w:val="en-US"/>
        </w:rPr>
        <w:t xml:space="preserve">. The report of the </w:t>
      </w:r>
      <w:r w:rsidR="005E47C3">
        <w:rPr>
          <w:lang w:val="en-US"/>
        </w:rPr>
        <w:t>c</w:t>
      </w:r>
      <w:r w:rsidR="00110508" w:rsidRPr="003C1C92">
        <w:rPr>
          <w:lang w:val="en-US"/>
        </w:rPr>
        <w:t>onsultant judicial medical officer (par</w:t>
      </w:r>
      <w:r w:rsidR="005F2B6A">
        <w:rPr>
          <w:lang w:val="en-US"/>
        </w:rPr>
        <w:t>a</w:t>
      </w:r>
      <w:r w:rsidR="00110508" w:rsidRPr="003C1C92">
        <w:rPr>
          <w:lang w:val="en-US"/>
        </w:rPr>
        <w:t>.</w:t>
      </w:r>
      <w:r w:rsidR="005F2B6A">
        <w:rPr>
          <w:lang w:val="en-US"/>
        </w:rPr>
        <w:t> </w:t>
      </w:r>
      <w:r w:rsidR="00110508" w:rsidRPr="003C1C92">
        <w:rPr>
          <w:lang w:val="en-US"/>
        </w:rPr>
        <w:t>2.13) concluded that the cause of death could be a fall in a state of alcohol withdrawal</w:t>
      </w:r>
      <w:r w:rsidR="005E47C3">
        <w:rPr>
          <w:lang w:val="en-US"/>
        </w:rPr>
        <w:t>,</w:t>
      </w:r>
      <w:r w:rsidR="00110508" w:rsidRPr="003C1C92">
        <w:rPr>
          <w:lang w:val="en-US"/>
        </w:rPr>
        <w:t xml:space="preserve"> however the report is poor and inconclusive, as it does not explain which examinations were carried out, and also failed to detect the injury </w:t>
      </w:r>
      <w:r w:rsidR="005E47C3">
        <w:rPr>
          <w:lang w:val="en-US"/>
        </w:rPr>
        <w:t>that</w:t>
      </w:r>
      <w:r w:rsidR="005E47C3" w:rsidRPr="003C1C92">
        <w:rPr>
          <w:lang w:val="en-US"/>
        </w:rPr>
        <w:t xml:space="preserve"> </w:t>
      </w:r>
      <w:r w:rsidR="00110508" w:rsidRPr="003C1C92">
        <w:rPr>
          <w:lang w:val="en-US"/>
        </w:rPr>
        <w:t>was identified by the Additional Magistrate (par</w:t>
      </w:r>
      <w:r w:rsidR="005F2B6A">
        <w:rPr>
          <w:lang w:val="en-US"/>
        </w:rPr>
        <w:t>a</w:t>
      </w:r>
      <w:r w:rsidR="00110508" w:rsidRPr="003C1C92">
        <w:rPr>
          <w:lang w:val="en-US"/>
        </w:rPr>
        <w:t>.</w:t>
      </w:r>
      <w:r w:rsidR="005F2B6A">
        <w:rPr>
          <w:lang w:val="en-US"/>
        </w:rPr>
        <w:t> </w:t>
      </w:r>
      <w:r w:rsidR="00110508" w:rsidRPr="003C1C92">
        <w:rPr>
          <w:lang w:val="en-US"/>
        </w:rPr>
        <w:t>2.12)</w:t>
      </w:r>
      <w:r w:rsidR="00584BBF" w:rsidRPr="003C1C92">
        <w:rPr>
          <w:lang w:val="en-US"/>
        </w:rPr>
        <w:t>.</w:t>
      </w:r>
      <w:r w:rsidR="00EE574C" w:rsidRPr="003C1C92">
        <w:rPr>
          <w:lang w:val="en-US"/>
        </w:rPr>
        <w:t xml:space="preserve"> A second independent opinion</w:t>
      </w:r>
      <w:r w:rsidR="00EE574C" w:rsidRPr="002D7E90">
        <w:rPr>
          <w:rStyle w:val="FootnoteReference"/>
          <w:lang w:val="en-US"/>
        </w:rPr>
        <w:footnoteReference w:id="6"/>
      </w:r>
      <w:r w:rsidR="00EE574C" w:rsidRPr="003C1C92">
        <w:rPr>
          <w:lang w:val="en-US"/>
        </w:rPr>
        <w:t xml:space="preserve"> revealed several defects in the forensic examination report, including the absence of appropriate additional examinations</w:t>
      </w:r>
      <w:r w:rsidR="006A2D80">
        <w:rPr>
          <w:lang w:val="en-US"/>
        </w:rPr>
        <w:t>,</w:t>
      </w:r>
      <w:r w:rsidR="00EE574C" w:rsidRPr="003C1C92">
        <w:rPr>
          <w:lang w:val="en-US"/>
        </w:rPr>
        <w:t xml:space="preserve"> such as histological and toxicological</w:t>
      </w:r>
      <w:r w:rsidR="006A2D80">
        <w:rPr>
          <w:lang w:val="en-US"/>
        </w:rPr>
        <w:t xml:space="preserve"> examinations</w:t>
      </w:r>
      <w:r w:rsidR="00EE574C" w:rsidRPr="003C1C92">
        <w:rPr>
          <w:lang w:val="en-US"/>
        </w:rPr>
        <w:t xml:space="preserve">, inter alia to confirm the hypothesis of alcohol abuse, and to discard the possibility of torture, which was not even considered. In any event, even if the conclusions of the report of the judicial medical officer, relied upon by the Supreme Court, were to be accepted, four possibilities </w:t>
      </w:r>
      <w:r w:rsidR="006F79BD">
        <w:rPr>
          <w:lang w:val="en-US"/>
        </w:rPr>
        <w:t>were</w:t>
      </w:r>
      <w:r w:rsidR="00EE574C" w:rsidRPr="003C1C92">
        <w:rPr>
          <w:lang w:val="en-US"/>
        </w:rPr>
        <w:t xml:space="preserve"> evoked which could have triggered Sunil’s death</w:t>
      </w:r>
      <w:r w:rsidR="0053437A" w:rsidRPr="003C1C92">
        <w:rPr>
          <w:lang w:val="en-US"/>
        </w:rPr>
        <w:t>.</w:t>
      </w:r>
      <w:r w:rsidR="006F79BD">
        <w:rPr>
          <w:lang w:val="en-US"/>
        </w:rPr>
        <w:t xml:space="preserve"> Only that of alcohol </w:t>
      </w:r>
      <w:r w:rsidR="00D11446">
        <w:rPr>
          <w:lang w:val="en-US"/>
        </w:rPr>
        <w:t>withdrawal</w:t>
      </w:r>
      <w:r w:rsidR="006F79BD">
        <w:rPr>
          <w:lang w:val="en-US"/>
        </w:rPr>
        <w:t xml:space="preserve"> was considered.</w:t>
      </w:r>
      <w:r w:rsidR="002470E7">
        <w:rPr>
          <w:lang w:val="en-US"/>
        </w:rPr>
        <w:t xml:space="preserve"> </w:t>
      </w:r>
      <w:r w:rsidR="00EE574C" w:rsidRPr="006F79BD">
        <w:rPr>
          <w:lang w:val="en-US"/>
        </w:rPr>
        <w:t xml:space="preserve">No further measures, such as identifying the police officers involved, taking their testimony, or examining the scene of the alleged violation, were </w:t>
      </w:r>
      <w:r w:rsidR="006A2D80">
        <w:rPr>
          <w:lang w:val="en-US"/>
        </w:rPr>
        <w:t>taken</w:t>
      </w:r>
      <w:r w:rsidR="006A2D80" w:rsidRPr="006F79BD">
        <w:rPr>
          <w:lang w:val="en-US"/>
        </w:rPr>
        <w:t xml:space="preserve"> </w:t>
      </w:r>
      <w:r w:rsidR="00EE574C" w:rsidRPr="006F79BD">
        <w:rPr>
          <w:lang w:val="en-US"/>
        </w:rPr>
        <w:t>to investigate possible causes of death other than alcohol withdrawal.</w:t>
      </w:r>
      <w:r w:rsidR="00784DA8" w:rsidRPr="006F79BD">
        <w:rPr>
          <w:lang w:val="en-US"/>
        </w:rPr>
        <w:t xml:space="preserve"> The authors thus invite the Committee to draw the inference that the victim’s death was a direct consequence of his ill-treatment, specifically, being severely beaten up on his head and abdomen by the police during and immediately after his arrest.</w:t>
      </w:r>
    </w:p>
    <w:p w:rsidR="00784DA8" w:rsidRDefault="00784DA8" w:rsidP="00BA04FC">
      <w:pPr>
        <w:pStyle w:val="SingleTxtG"/>
        <w:rPr>
          <w:lang w:val="en-US"/>
        </w:rPr>
      </w:pPr>
      <w:r>
        <w:rPr>
          <w:lang w:val="en-US"/>
        </w:rPr>
        <w:t>3.3</w:t>
      </w:r>
      <w:r>
        <w:rPr>
          <w:lang w:val="en-US"/>
        </w:rPr>
        <w:tab/>
        <w:t>The authors submit, subsidiarily, that the</w:t>
      </w:r>
      <w:r w:rsidR="006A2D80">
        <w:rPr>
          <w:lang w:val="en-US"/>
        </w:rPr>
        <w:t xml:space="preserve"> authorities of the</w:t>
      </w:r>
      <w:r>
        <w:rPr>
          <w:lang w:val="en-US"/>
        </w:rPr>
        <w:t xml:space="preserve"> State party failed to take the requisite steps to protect Sunil Hemachandra’s health and life while </w:t>
      </w:r>
      <w:r w:rsidR="006A2D80">
        <w:rPr>
          <w:lang w:val="en-US"/>
        </w:rPr>
        <w:t xml:space="preserve">he was </w:t>
      </w:r>
      <w:r>
        <w:rPr>
          <w:lang w:val="en-US"/>
        </w:rPr>
        <w:t xml:space="preserve">in detention. No medical examination was carried out upon his admission to the </w:t>
      </w:r>
      <w:r w:rsidR="0006748B">
        <w:rPr>
          <w:lang w:val="en-US"/>
        </w:rPr>
        <w:t>Moragahahena Police Station</w:t>
      </w:r>
      <w:r>
        <w:rPr>
          <w:lang w:val="en-US"/>
        </w:rPr>
        <w:t xml:space="preserve"> detention facility to establish whether he had any condition (</w:t>
      </w:r>
      <w:r w:rsidR="00127E93">
        <w:rPr>
          <w:lang w:val="en-US"/>
        </w:rPr>
        <w:t xml:space="preserve">e.g. </w:t>
      </w:r>
      <w:r>
        <w:rPr>
          <w:lang w:val="en-US"/>
        </w:rPr>
        <w:t>intoxication, epilepsy</w:t>
      </w:r>
      <w:r w:rsidR="00127E93">
        <w:rPr>
          <w:lang w:val="en-US"/>
        </w:rPr>
        <w:t xml:space="preserve"> or</w:t>
      </w:r>
      <w:r>
        <w:rPr>
          <w:lang w:val="en-US"/>
        </w:rPr>
        <w:t xml:space="preserve"> mental instability)</w:t>
      </w:r>
      <w:r w:rsidR="004C5222">
        <w:rPr>
          <w:lang w:val="en-US"/>
        </w:rPr>
        <w:t xml:space="preserve">. Instead, he was placed in a very small cell with other detainees, with no medical supervision. When it was found that he was </w:t>
      </w:r>
      <w:r w:rsidR="00127E93">
        <w:rPr>
          <w:lang w:val="en-US"/>
        </w:rPr>
        <w:t>bleeding severely</w:t>
      </w:r>
      <w:r w:rsidR="004C5222">
        <w:rPr>
          <w:lang w:val="en-US"/>
        </w:rPr>
        <w:t xml:space="preserve">, no medical assistance was provided to him </w:t>
      </w:r>
      <w:r w:rsidR="00530950">
        <w:rPr>
          <w:lang w:val="en-US"/>
        </w:rPr>
        <w:t>for a period of</w:t>
      </w:r>
      <w:r w:rsidR="004C5222">
        <w:rPr>
          <w:lang w:val="en-US"/>
        </w:rPr>
        <w:t xml:space="preserve"> at least three hours. Sunil Hemachandra only started receiving medical treatment </w:t>
      </w:r>
      <w:r w:rsidR="004C5222" w:rsidRPr="004C5222">
        <w:rPr>
          <w:lang w:val="en-US"/>
        </w:rPr>
        <w:t>after</w:t>
      </w:r>
      <w:r w:rsidR="004C5222">
        <w:rPr>
          <w:i/>
          <w:lang w:val="en-US"/>
        </w:rPr>
        <w:t xml:space="preserve"> </w:t>
      </w:r>
      <w:r w:rsidR="004C5222">
        <w:rPr>
          <w:lang w:val="en-US"/>
        </w:rPr>
        <w:t xml:space="preserve">his belated transportation to the hospital. This lack of prompt action in </w:t>
      </w:r>
      <w:r w:rsidR="00530950">
        <w:rPr>
          <w:lang w:val="en-US"/>
        </w:rPr>
        <w:t>a</w:t>
      </w:r>
      <w:r w:rsidR="004C5222">
        <w:rPr>
          <w:lang w:val="en-US"/>
        </w:rPr>
        <w:t xml:space="preserve"> situation of life-threatening injury </w:t>
      </w:r>
      <w:r w:rsidR="00530950">
        <w:rPr>
          <w:lang w:val="en-US"/>
        </w:rPr>
        <w:t>to</w:t>
      </w:r>
      <w:r w:rsidR="004C5222">
        <w:rPr>
          <w:lang w:val="en-US"/>
        </w:rPr>
        <w:t xml:space="preserve"> a detainee was</w:t>
      </w:r>
      <w:r w:rsidR="00530950">
        <w:rPr>
          <w:lang w:val="en-US"/>
        </w:rPr>
        <w:t>, in</w:t>
      </w:r>
      <w:r w:rsidR="004C5222">
        <w:rPr>
          <w:lang w:val="en-US"/>
        </w:rPr>
        <w:t xml:space="preserve"> itself</w:t>
      </w:r>
      <w:r w:rsidR="00530950">
        <w:rPr>
          <w:lang w:val="en-US"/>
        </w:rPr>
        <w:t>,</w:t>
      </w:r>
      <w:r w:rsidR="004C5222">
        <w:rPr>
          <w:lang w:val="en-US"/>
        </w:rPr>
        <w:t xml:space="preserve"> in violation of the State party’s obligations under </w:t>
      </w:r>
      <w:r w:rsidR="00BB539D">
        <w:rPr>
          <w:lang w:val="en-US"/>
        </w:rPr>
        <w:t>article </w:t>
      </w:r>
      <w:r w:rsidR="004C5222">
        <w:rPr>
          <w:lang w:val="en-US"/>
        </w:rPr>
        <w:t xml:space="preserve">6 </w:t>
      </w:r>
      <w:r w:rsidR="00530950">
        <w:rPr>
          <w:lang w:val="en-US"/>
        </w:rPr>
        <w:t>(</w:t>
      </w:r>
      <w:r w:rsidR="00BB539D">
        <w:rPr>
          <w:lang w:val="en-US"/>
        </w:rPr>
        <w:t>para</w:t>
      </w:r>
      <w:r w:rsidR="00530950">
        <w:rPr>
          <w:lang w:val="en-US"/>
        </w:rPr>
        <w:t>.</w:t>
      </w:r>
      <w:r w:rsidR="00BB539D">
        <w:rPr>
          <w:lang w:val="en-US"/>
        </w:rPr>
        <w:t> </w:t>
      </w:r>
      <w:r w:rsidR="004C5222">
        <w:rPr>
          <w:lang w:val="en-US"/>
        </w:rPr>
        <w:t>1</w:t>
      </w:r>
      <w:r w:rsidR="00530950">
        <w:rPr>
          <w:lang w:val="en-US"/>
        </w:rPr>
        <w:t>)</w:t>
      </w:r>
      <w:r w:rsidR="004C5222">
        <w:rPr>
          <w:lang w:val="en-US"/>
        </w:rPr>
        <w:t xml:space="preserve"> of the Covenant. </w:t>
      </w:r>
    </w:p>
    <w:p w:rsidR="00F447C2" w:rsidRDefault="006B487E" w:rsidP="00BA04FC">
      <w:pPr>
        <w:pStyle w:val="SingleTxtG"/>
        <w:rPr>
          <w:lang w:val="en-US"/>
        </w:rPr>
      </w:pPr>
      <w:r>
        <w:rPr>
          <w:lang w:val="en-US"/>
        </w:rPr>
        <w:t>3.4</w:t>
      </w:r>
      <w:r>
        <w:rPr>
          <w:lang w:val="en-US"/>
        </w:rPr>
        <w:tab/>
      </w:r>
      <w:r w:rsidR="002B0359">
        <w:rPr>
          <w:lang w:val="en-US"/>
        </w:rPr>
        <w:t xml:space="preserve">The </w:t>
      </w:r>
      <w:r w:rsidR="00530950">
        <w:rPr>
          <w:lang w:val="en-US"/>
        </w:rPr>
        <w:t xml:space="preserve">authors </w:t>
      </w:r>
      <w:r w:rsidR="002B0359">
        <w:rPr>
          <w:lang w:val="en-US"/>
        </w:rPr>
        <w:t xml:space="preserve">further </w:t>
      </w:r>
      <w:r w:rsidR="002B1B8B">
        <w:rPr>
          <w:lang w:val="en-US"/>
        </w:rPr>
        <w:t>claim</w:t>
      </w:r>
      <w:r w:rsidR="002B0359">
        <w:rPr>
          <w:lang w:val="en-US"/>
        </w:rPr>
        <w:t xml:space="preserve"> that Sunil Hemachandra was subjected to torture</w:t>
      </w:r>
      <w:r w:rsidR="00BF2844">
        <w:rPr>
          <w:lang w:val="en-US"/>
        </w:rPr>
        <w:t xml:space="preserve"> and</w:t>
      </w:r>
      <w:r w:rsidR="002B0359">
        <w:rPr>
          <w:lang w:val="en-US"/>
        </w:rPr>
        <w:t xml:space="preserve"> cruel, inhuman or degrading treatment, in violation of article 7 of the Covenant. The </w:t>
      </w:r>
      <w:r w:rsidR="0006748B">
        <w:rPr>
          <w:lang w:val="en-US"/>
        </w:rPr>
        <w:t>officers of Moragahahena Police Station</w:t>
      </w:r>
      <w:r w:rsidR="002B0359">
        <w:rPr>
          <w:lang w:val="en-US"/>
        </w:rPr>
        <w:t xml:space="preserve"> subjected him to severe beatings during the course of his arrest, in particular on the head. Beatings continued in the police jeep during </w:t>
      </w:r>
      <w:r w:rsidR="00684408">
        <w:rPr>
          <w:lang w:val="en-US"/>
        </w:rPr>
        <w:t xml:space="preserve">the transfer of </w:t>
      </w:r>
      <w:r w:rsidR="002B0359">
        <w:rPr>
          <w:lang w:val="en-US"/>
        </w:rPr>
        <w:t xml:space="preserve">Sunil Hemachandra and Chanaka to </w:t>
      </w:r>
      <w:r w:rsidR="0006748B">
        <w:rPr>
          <w:lang w:val="en-US"/>
        </w:rPr>
        <w:t>Moragahahena Police Station</w:t>
      </w:r>
      <w:r w:rsidR="002B0359">
        <w:rPr>
          <w:lang w:val="en-US"/>
        </w:rPr>
        <w:t xml:space="preserve">, particularly in the form of beatings on Sunil’s head and abdomen. Sunil Hemachandra died four days </w:t>
      </w:r>
      <w:r w:rsidR="00B90C6D">
        <w:rPr>
          <w:lang w:val="en-US"/>
        </w:rPr>
        <w:t>later</w:t>
      </w:r>
      <w:r w:rsidR="002B0359">
        <w:rPr>
          <w:lang w:val="en-US"/>
        </w:rPr>
        <w:t xml:space="preserve">. It has never been disputed, in particular throughout the Supreme Court proceedings, that </w:t>
      </w:r>
      <w:r w:rsidR="00B90C6D">
        <w:rPr>
          <w:lang w:val="en-US"/>
        </w:rPr>
        <w:t xml:space="preserve">his </w:t>
      </w:r>
      <w:r w:rsidR="002B0359">
        <w:rPr>
          <w:lang w:val="en-US"/>
        </w:rPr>
        <w:t xml:space="preserve">injuries were sustained while in police custody, although versions concerning the origin of the injuries varied. </w:t>
      </w:r>
      <w:r w:rsidR="00601E9E">
        <w:rPr>
          <w:lang w:val="en-US"/>
        </w:rPr>
        <w:t xml:space="preserve">The authors submit that the burden of proof should be shifted </w:t>
      </w:r>
      <w:r w:rsidR="00601E9E">
        <w:rPr>
          <w:lang w:val="en-US"/>
        </w:rPr>
        <w:lastRenderedPageBreak/>
        <w:t>to the State party when injuries were sustained in police custody. It should thus be presumed that the injuries found on Sunil Hemachandra’s body we</w:t>
      </w:r>
      <w:r w:rsidR="0006748B">
        <w:rPr>
          <w:lang w:val="en-US"/>
        </w:rPr>
        <w:t>re</w:t>
      </w:r>
      <w:r w:rsidR="00601E9E">
        <w:rPr>
          <w:lang w:val="en-US"/>
        </w:rPr>
        <w:t xml:space="preserve"> inflicted by beatings by the officers</w:t>
      </w:r>
      <w:r w:rsidR="0006748B">
        <w:rPr>
          <w:lang w:val="en-US"/>
        </w:rPr>
        <w:t xml:space="preserve"> of Moragahahena Police Station</w:t>
      </w:r>
      <w:r w:rsidR="009766A7">
        <w:rPr>
          <w:lang w:val="en-US"/>
        </w:rPr>
        <w:t xml:space="preserve">. </w:t>
      </w:r>
    </w:p>
    <w:p w:rsidR="00F44FE0" w:rsidRDefault="00F447C2" w:rsidP="008334EF">
      <w:pPr>
        <w:pStyle w:val="SingleTxtG"/>
        <w:rPr>
          <w:lang w:val="en-US"/>
        </w:rPr>
      </w:pPr>
      <w:r>
        <w:rPr>
          <w:lang w:val="en-US"/>
        </w:rPr>
        <w:t>3.5</w:t>
      </w:r>
      <w:r>
        <w:rPr>
          <w:lang w:val="en-US"/>
        </w:rPr>
        <w:tab/>
        <w:t xml:space="preserve">The authors add </w:t>
      </w:r>
      <w:r w:rsidR="009766A7">
        <w:rPr>
          <w:lang w:val="en-US"/>
        </w:rPr>
        <w:t xml:space="preserve">that under </w:t>
      </w:r>
      <w:r w:rsidR="00BB539D">
        <w:rPr>
          <w:lang w:val="en-US"/>
        </w:rPr>
        <w:t>article </w:t>
      </w:r>
      <w:r w:rsidR="009766A7">
        <w:rPr>
          <w:lang w:val="en-US"/>
        </w:rPr>
        <w:t xml:space="preserve">10 </w:t>
      </w:r>
      <w:r w:rsidR="00684408">
        <w:rPr>
          <w:lang w:val="en-US"/>
        </w:rPr>
        <w:t>(</w:t>
      </w:r>
      <w:r w:rsidR="00BB539D">
        <w:rPr>
          <w:lang w:val="en-US"/>
        </w:rPr>
        <w:t>para</w:t>
      </w:r>
      <w:r w:rsidR="00684408">
        <w:rPr>
          <w:lang w:val="en-US"/>
        </w:rPr>
        <w:t>.</w:t>
      </w:r>
      <w:r w:rsidR="00BB539D">
        <w:rPr>
          <w:lang w:val="en-US"/>
        </w:rPr>
        <w:t> </w:t>
      </w:r>
      <w:r w:rsidR="009766A7">
        <w:rPr>
          <w:lang w:val="en-US"/>
        </w:rPr>
        <w:t>1</w:t>
      </w:r>
      <w:r w:rsidR="00684408">
        <w:rPr>
          <w:lang w:val="en-US"/>
        </w:rPr>
        <w:t>)</w:t>
      </w:r>
      <w:r w:rsidR="008334EF">
        <w:rPr>
          <w:lang w:val="en-US"/>
        </w:rPr>
        <w:t xml:space="preserve"> of the Covenant</w:t>
      </w:r>
      <w:r w:rsidR="009766A7">
        <w:rPr>
          <w:lang w:val="en-US"/>
        </w:rPr>
        <w:t xml:space="preserve">, the State party had a duty to guarantee proper medical </w:t>
      </w:r>
      <w:r w:rsidR="00B90C6D">
        <w:rPr>
          <w:lang w:val="en-US"/>
        </w:rPr>
        <w:t xml:space="preserve">care </w:t>
      </w:r>
      <w:r w:rsidR="009766A7">
        <w:rPr>
          <w:lang w:val="en-US"/>
        </w:rPr>
        <w:t>to Sunil Hemachandra while</w:t>
      </w:r>
      <w:r w:rsidR="00F3559E">
        <w:rPr>
          <w:lang w:val="en-US"/>
        </w:rPr>
        <w:t xml:space="preserve"> he was</w:t>
      </w:r>
      <w:r w:rsidR="009766A7">
        <w:rPr>
          <w:lang w:val="en-US"/>
        </w:rPr>
        <w:t xml:space="preserve"> in detention. On 23 July 2003, the State party authorities were informed that Sunil was bleeding severely and was in a critical condition. Such </w:t>
      </w:r>
      <w:r w:rsidR="00F3559E">
        <w:rPr>
          <w:lang w:val="en-US"/>
        </w:rPr>
        <w:t xml:space="preserve">a </w:t>
      </w:r>
      <w:r w:rsidR="009766A7">
        <w:rPr>
          <w:lang w:val="en-US"/>
        </w:rPr>
        <w:t>serious and potentially life-threatening situation required immediate medical treatment</w:t>
      </w:r>
      <w:r w:rsidR="00601E9E">
        <w:rPr>
          <w:lang w:val="en-US"/>
        </w:rPr>
        <w:t xml:space="preserve">, </w:t>
      </w:r>
      <w:r w:rsidR="009766A7">
        <w:rPr>
          <w:lang w:val="en-US"/>
        </w:rPr>
        <w:t xml:space="preserve">including transfer to a hospital, given that adequate treatment could not be provided </w:t>
      </w:r>
      <w:r w:rsidR="009766A7" w:rsidRPr="00AD55E6">
        <w:rPr>
          <w:lang w:val="en-US"/>
        </w:rPr>
        <w:t>in situ.</w:t>
      </w:r>
      <w:r w:rsidR="009766A7">
        <w:rPr>
          <w:lang w:val="en-US"/>
        </w:rPr>
        <w:t xml:space="preserve"> The actual response, however, was clearly inadequate: the co-detainee Chanaka was ordered to wipe the blood off</w:t>
      </w:r>
      <w:r w:rsidR="00F3559E">
        <w:rPr>
          <w:lang w:val="en-US"/>
        </w:rPr>
        <w:t xml:space="preserve"> the victim</w:t>
      </w:r>
      <w:r w:rsidR="009766A7">
        <w:rPr>
          <w:lang w:val="en-US"/>
        </w:rPr>
        <w:t xml:space="preserve">, </w:t>
      </w:r>
      <w:r w:rsidR="00F3559E">
        <w:rPr>
          <w:lang w:val="en-US"/>
        </w:rPr>
        <w:t xml:space="preserve">to </w:t>
      </w:r>
      <w:r w:rsidR="009766A7">
        <w:rPr>
          <w:lang w:val="en-US"/>
        </w:rPr>
        <w:t>wash his face and</w:t>
      </w:r>
      <w:r w:rsidR="00F3559E">
        <w:rPr>
          <w:lang w:val="en-US"/>
        </w:rPr>
        <w:t xml:space="preserve"> to</w:t>
      </w:r>
      <w:r w:rsidR="009766A7">
        <w:rPr>
          <w:lang w:val="en-US"/>
        </w:rPr>
        <w:t xml:space="preserve"> give him an iron rod. Even if this measure was taken out of </w:t>
      </w:r>
      <w:r w:rsidR="00B259CE">
        <w:rPr>
          <w:lang w:val="en-US"/>
        </w:rPr>
        <w:t xml:space="preserve">a </w:t>
      </w:r>
      <w:r w:rsidR="009766A7">
        <w:rPr>
          <w:lang w:val="en-US"/>
        </w:rPr>
        <w:t>genuine belief that the victim was epileptic, the police officer should not have relied on his personal assessment and should have sought prompt medical advice. It took more than three hours for Sunil Hemachandra to be transferred to hospital. The authors conclude</w:t>
      </w:r>
      <w:r w:rsidR="00B259CE">
        <w:rPr>
          <w:lang w:val="en-US"/>
        </w:rPr>
        <w:t>, therefore,</w:t>
      </w:r>
      <w:r w:rsidR="009766A7">
        <w:rPr>
          <w:lang w:val="en-US"/>
        </w:rPr>
        <w:t xml:space="preserve"> that</w:t>
      </w:r>
      <w:r w:rsidR="00B259CE">
        <w:rPr>
          <w:lang w:val="en-US"/>
        </w:rPr>
        <w:t xml:space="preserve"> the</w:t>
      </w:r>
      <w:r w:rsidR="009766A7">
        <w:rPr>
          <w:lang w:val="en-US"/>
        </w:rPr>
        <w:t xml:space="preserve"> rights of Sunil Hemachandra </w:t>
      </w:r>
      <w:r w:rsidR="00601E9E">
        <w:rPr>
          <w:lang w:val="en-US"/>
        </w:rPr>
        <w:t xml:space="preserve">under </w:t>
      </w:r>
      <w:r w:rsidR="00601E9E" w:rsidRPr="00A64D8C">
        <w:rPr>
          <w:lang w:val="en-US"/>
        </w:rPr>
        <w:t xml:space="preserve">article </w:t>
      </w:r>
      <w:r w:rsidR="00601E9E" w:rsidRPr="003C664D">
        <w:rPr>
          <w:lang w:val="en-US"/>
        </w:rPr>
        <w:t xml:space="preserve">7 </w:t>
      </w:r>
      <w:r w:rsidR="009766A7" w:rsidRPr="00DF3830">
        <w:rPr>
          <w:lang w:val="en-US"/>
        </w:rPr>
        <w:t xml:space="preserve">and </w:t>
      </w:r>
      <w:r w:rsidR="00B259CE">
        <w:rPr>
          <w:lang w:val="en-US"/>
        </w:rPr>
        <w:t xml:space="preserve">article </w:t>
      </w:r>
      <w:r w:rsidR="009766A7" w:rsidRPr="00DF3830">
        <w:rPr>
          <w:lang w:val="en-US"/>
        </w:rPr>
        <w:t>10</w:t>
      </w:r>
      <w:r w:rsidR="009615FA">
        <w:rPr>
          <w:lang w:val="en-US"/>
        </w:rPr>
        <w:t xml:space="preserve"> </w:t>
      </w:r>
      <w:r w:rsidR="00B259CE">
        <w:rPr>
          <w:lang w:val="en-US"/>
        </w:rPr>
        <w:t>(</w:t>
      </w:r>
      <w:r w:rsidR="00BB539D">
        <w:rPr>
          <w:lang w:val="en-US"/>
        </w:rPr>
        <w:t>para</w:t>
      </w:r>
      <w:r w:rsidR="00B259CE">
        <w:rPr>
          <w:lang w:val="en-US"/>
        </w:rPr>
        <w:t>.</w:t>
      </w:r>
      <w:r w:rsidR="00BB539D">
        <w:rPr>
          <w:lang w:val="en-US"/>
        </w:rPr>
        <w:t> </w:t>
      </w:r>
      <w:r w:rsidR="009615FA">
        <w:rPr>
          <w:lang w:val="en-US"/>
        </w:rPr>
        <w:t>1</w:t>
      </w:r>
      <w:r w:rsidR="00B259CE">
        <w:rPr>
          <w:lang w:val="en-US"/>
        </w:rPr>
        <w:t>),</w:t>
      </w:r>
      <w:r w:rsidR="009766A7">
        <w:rPr>
          <w:lang w:val="en-US"/>
        </w:rPr>
        <w:t xml:space="preserve"> </w:t>
      </w:r>
      <w:r w:rsidR="00601E9E">
        <w:rPr>
          <w:lang w:val="en-US"/>
        </w:rPr>
        <w:t>of the Covenant</w:t>
      </w:r>
      <w:r w:rsidR="00B259CE">
        <w:rPr>
          <w:lang w:val="en-US"/>
        </w:rPr>
        <w:t>,</w:t>
      </w:r>
      <w:r w:rsidR="009766A7">
        <w:rPr>
          <w:lang w:val="en-US"/>
        </w:rPr>
        <w:t xml:space="preserve"> were violated</w:t>
      </w:r>
      <w:r w:rsidR="00601E9E">
        <w:rPr>
          <w:lang w:val="en-US"/>
        </w:rPr>
        <w:t>.</w:t>
      </w:r>
    </w:p>
    <w:p w:rsidR="006B487E" w:rsidRDefault="00F44FE0" w:rsidP="00BA04FC">
      <w:pPr>
        <w:pStyle w:val="SingleTxtG"/>
        <w:rPr>
          <w:lang w:val="en-US"/>
        </w:rPr>
      </w:pPr>
      <w:r>
        <w:rPr>
          <w:lang w:val="en-US"/>
        </w:rPr>
        <w:t>3.</w:t>
      </w:r>
      <w:r w:rsidR="00747C1D">
        <w:rPr>
          <w:lang w:val="en-US"/>
        </w:rPr>
        <w:t>6</w:t>
      </w:r>
      <w:r>
        <w:rPr>
          <w:lang w:val="en-US"/>
        </w:rPr>
        <w:tab/>
      </w:r>
      <w:r w:rsidR="006B487E">
        <w:rPr>
          <w:lang w:val="en-US"/>
        </w:rPr>
        <w:t xml:space="preserve">The authors also submit that the State party has breached article 7 in </w:t>
      </w:r>
      <w:r w:rsidR="00B259CE">
        <w:rPr>
          <w:lang w:val="en-US"/>
        </w:rPr>
        <w:t>respect of them</w:t>
      </w:r>
      <w:r w:rsidR="006B487E">
        <w:rPr>
          <w:lang w:val="en-US"/>
        </w:rPr>
        <w:t xml:space="preserve">, by refusing to conduct an investigation into </w:t>
      </w:r>
      <w:r w:rsidR="006E1B64">
        <w:rPr>
          <w:lang w:val="en-US"/>
        </w:rPr>
        <w:t>the death of their son and nephew</w:t>
      </w:r>
      <w:r w:rsidR="006B487E">
        <w:rPr>
          <w:lang w:val="en-US"/>
        </w:rPr>
        <w:t xml:space="preserve">, leaving them in continuous suffering </w:t>
      </w:r>
      <w:r w:rsidR="003778A7">
        <w:rPr>
          <w:lang w:val="en-US"/>
        </w:rPr>
        <w:t>due to the uncertainty surrounding</w:t>
      </w:r>
      <w:r w:rsidR="006B487E">
        <w:rPr>
          <w:lang w:val="en-US"/>
        </w:rPr>
        <w:t xml:space="preserve"> the causes of his death. More than eight years after </w:t>
      </w:r>
      <w:r w:rsidR="006E1B64">
        <w:rPr>
          <w:lang w:val="en-US"/>
        </w:rPr>
        <w:t>his</w:t>
      </w:r>
      <w:r w:rsidR="006B487E">
        <w:rPr>
          <w:lang w:val="en-US"/>
        </w:rPr>
        <w:t xml:space="preserve"> death, </w:t>
      </w:r>
      <w:r w:rsidR="002E0B4F">
        <w:rPr>
          <w:lang w:val="en-US"/>
        </w:rPr>
        <w:t>both</w:t>
      </w:r>
      <w:r w:rsidR="006B487E">
        <w:rPr>
          <w:lang w:val="en-US"/>
        </w:rPr>
        <w:t xml:space="preserve"> author</w:t>
      </w:r>
      <w:r w:rsidR="002E0B4F">
        <w:rPr>
          <w:lang w:val="en-US"/>
        </w:rPr>
        <w:t>s</w:t>
      </w:r>
      <w:r w:rsidR="006B487E">
        <w:rPr>
          <w:lang w:val="en-US"/>
        </w:rPr>
        <w:t xml:space="preserve"> still do not know the exact circumstances surrounding the event, and the State party has yet to indict, prosecute or bring to justice anyone in connection with the</w:t>
      </w:r>
      <w:r w:rsidR="00AF6AAA">
        <w:rPr>
          <w:lang w:val="en-US"/>
        </w:rPr>
        <w:t>ir relative’s</w:t>
      </w:r>
      <w:r w:rsidR="006B487E">
        <w:rPr>
          <w:lang w:val="en-US"/>
        </w:rPr>
        <w:t xml:space="preserve"> </w:t>
      </w:r>
      <w:r w:rsidR="006E1B64">
        <w:rPr>
          <w:lang w:val="en-US"/>
        </w:rPr>
        <w:t>death in custody</w:t>
      </w:r>
      <w:r w:rsidR="006B487E">
        <w:rPr>
          <w:lang w:val="en-US"/>
        </w:rPr>
        <w:t>.</w:t>
      </w:r>
    </w:p>
    <w:p w:rsidR="00371BC8" w:rsidRDefault="006B487E" w:rsidP="00BA04FC">
      <w:pPr>
        <w:pStyle w:val="SingleTxtG"/>
        <w:rPr>
          <w:lang w:val="en-US"/>
        </w:rPr>
      </w:pPr>
      <w:r>
        <w:rPr>
          <w:lang w:val="en-US"/>
        </w:rPr>
        <w:t>3.</w:t>
      </w:r>
      <w:r w:rsidR="00747C1D">
        <w:rPr>
          <w:lang w:val="en-US"/>
        </w:rPr>
        <w:t>7</w:t>
      </w:r>
      <w:r>
        <w:rPr>
          <w:lang w:val="en-US"/>
        </w:rPr>
        <w:tab/>
      </w:r>
      <w:r w:rsidR="00AF6AAA">
        <w:rPr>
          <w:lang w:val="en-US"/>
        </w:rPr>
        <w:t>With respect to article 9</w:t>
      </w:r>
      <w:r w:rsidR="00AF6AAA" w:rsidRPr="006836EE">
        <w:rPr>
          <w:lang w:val="en-US"/>
        </w:rPr>
        <w:t xml:space="preserve"> </w:t>
      </w:r>
      <w:r w:rsidR="009D1619">
        <w:rPr>
          <w:lang w:val="en-US"/>
        </w:rPr>
        <w:t>(</w:t>
      </w:r>
      <w:r w:rsidR="00AF6AAA" w:rsidRPr="00A64D8C">
        <w:rPr>
          <w:lang w:val="en-US"/>
        </w:rPr>
        <w:t>para</w:t>
      </w:r>
      <w:r w:rsidR="009D1619">
        <w:rPr>
          <w:lang w:val="en-US"/>
        </w:rPr>
        <w:t>s.</w:t>
      </w:r>
      <w:r w:rsidR="00AF6AAA" w:rsidRPr="00A64D8C">
        <w:rPr>
          <w:lang w:val="en-US"/>
        </w:rPr>
        <w:t xml:space="preserve"> 1</w:t>
      </w:r>
      <w:r w:rsidR="00317448" w:rsidRPr="003C664D">
        <w:rPr>
          <w:lang w:val="en-US"/>
        </w:rPr>
        <w:t>, 2 and 4</w:t>
      </w:r>
      <w:r w:rsidR="009D1619">
        <w:rPr>
          <w:lang w:val="en-US"/>
        </w:rPr>
        <w:t>)</w:t>
      </w:r>
      <w:r w:rsidR="00317448" w:rsidRPr="003C664D">
        <w:rPr>
          <w:lang w:val="en-US"/>
        </w:rPr>
        <w:t>,</w:t>
      </w:r>
      <w:r w:rsidR="00AF6AAA" w:rsidRPr="00DF3830">
        <w:rPr>
          <w:lang w:val="en-US"/>
        </w:rPr>
        <w:t xml:space="preserve"> the</w:t>
      </w:r>
      <w:r w:rsidR="00AF6AAA">
        <w:rPr>
          <w:lang w:val="en-US"/>
        </w:rPr>
        <w:t xml:space="preserve"> authors submit that </w:t>
      </w:r>
      <w:r w:rsidR="00E1360F">
        <w:rPr>
          <w:lang w:val="en-US"/>
        </w:rPr>
        <w:t>Sunil</w:t>
      </w:r>
      <w:r w:rsidR="00AF6AAA">
        <w:rPr>
          <w:lang w:val="en-US"/>
        </w:rPr>
        <w:t xml:space="preserve"> Hemachandra</w:t>
      </w:r>
      <w:r w:rsidR="00E1360F">
        <w:rPr>
          <w:lang w:val="en-US"/>
        </w:rPr>
        <w:t xml:space="preserve"> was not </w:t>
      </w:r>
      <w:r w:rsidR="00317448">
        <w:rPr>
          <w:lang w:val="en-US"/>
        </w:rPr>
        <w:t>informed, at the time of the arrest, of the reasons for such arrest. Furthermore, the unacknowledged character of his arrest and detention effectively deprived him of any meaningful possibility to take proceedings before a court, in order to challenge the legality of his detention.</w:t>
      </w:r>
      <w:r w:rsidR="000D6C63">
        <w:rPr>
          <w:lang w:val="en-US"/>
        </w:rPr>
        <w:t xml:space="preserve"> </w:t>
      </w:r>
      <w:r w:rsidR="003603F7">
        <w:rPr>
          <w:lang w:val="en-US"/>
        </w:rPr>
        <w:t>There is no objective evid</w:t>
      </w:r>
      <w:r w:rsidR="002B1B8B">
        <w:rPr>
          <w:lang w:val="en-US"/>
        </w:rPr>
        <w:t>ence to substantiate any of the</w:t>
      </w:r>
      <w:r w:rsidR="003603F7">
        <w:rPr>
          <w:lang w:val="en-US"/>
        </w:rPr>
        <w:t xml:space="preserve"> allegations</w:t>
      </w:r>
      <w:r w:rsidR="002B1B8B">
        <w:rPr>
          <w:lang w:val="en-US"/>
        </w:rPr>
        <w:t xml:space="preserve"> considered by the Supreme Court as reasons for his arrest (par</w:t>
      </w:r>
      <w:r w:rsidR="005F2B6A">
        <w:rPr>
          <w:lang w:val="en-US"/>
        </w:rPr>
        <w:t>a</w:t>
      </w:r>
      <w:r w:rsidR="002B1B8B">
        <w:rPr>
          <w:lang w:val="en-US"/>
        </w:rPr>
        <w:t>.</w:t>
      </w:r>
      <w:r w:rsidR="005F2B6A">
        <w:rPr>
          <w:lang w:val="en-US"/>
        </w:rPr>
        <w:t> </w:t>
      </w:r>
      <w:r w:rsidR="009970F8">
        <w:rPr>
          <w:lang w:val="en-US"/>
        </w:rPr>
        <w:t>2.17)</w:t>
      </w:r>
      <w:r w:rsidR="003603F7">
        <w:rPr>
          <w:lang w:val="en-US"/>
        </w:rPr>
        <w:t xml:space="preserve">. </w:t>
      </w:r>
      <w:r w:rsidR="00302AE6">
        <w:rPr>
          <w:lang w:val="en-US"/>
        </w:rPr>
        <w:t xml:space="preserve">The </w:t>
      </w:r>
      <w:r w:rsidR="009970F8">
        <w:rPr>
          <w:lang w:val="en-US"/>
        </w:rPr>
        <w:t xml:space="preserve">authors also stress that the </w:t>
      </w:r>
      <w:r w:rsidR="00302AE6">
        <w:rPr>
          <w:lang w:val="en-US"/>
        </w:rPr>
        <w:t>practice of fabricating charges to deter complaints against the police is well documented.</w:t>
      </w:r>
      <w:r w:rsidR="00302AE6">
        <w:rPr>
          <w:rStyle w:val="FootnoteReference"/>
          <w:lang w:val="en-US"/>
        </w:rPr>
        <w:footnoteReference w:id="7"/>
      </w:r>
      <w:r w:rsidR="00302AE6">
        <w:rPr>
          <w:lang w:val="en-US"/>
        </w:rPr>
        <w:t xml:space="preserve"> </w:t>
      </w:r>
    </w:p>
    <w:p w:rsidR="006B487E" w:rsidRDefault="00371BC8" w:rsidP="00BA04FC">
      <w:pPr>
        <w:pStyle w:val="SingleTxtG"/>
        <w:rPr>
          <w:lang w:val="en-US"/>
        </w:rPr>
      </w:pPr>
      <w:r>
        <w:rPr>
          <w:lang w:val="en-US"/>
        </w:rPr>
        <w:t>3.</w:t>
      </w:r>
      <w:r w:rsidR="00747C1D">
        <w:rPr>
          <w:lang w:val="en-US"/>
        </w:rPr>
        <w:t>8</w:t>
      </w:r>
      <w:r>
        <w:rPr>
          <w:lang w:val="en-US"/>
        </w:rPr>
        <w:tab/>
        <w:t xml:space="preserve">The allegation that the victim was drunk at the time of arrest was also not supported by any evidence. No medical examination was conducted upon his </w:t>
      </w:r>
      <w:r w:rsidR="003778A7">
        <w:rPr>
          <w:lang w:val="en-US"/>
        </w:rPr>
        <w:t>arrival at</w:t>
      </w:r>
      <w:r>
        <w:rPr>
          <w:lang w:val="en-US"/>
        </w:rPr>
        <w:t xml:space="preserve"> </w:t>
      </w:r>
      <w:r w:rsidR="0006748B">
        <w:rPr>
          <w:lang w:val="en-US"/>
        </w:rPr>
        <w:t>Moragahahena Police Station</w:t>
      </w:r>
      <w:r>
        <w:rPr>
          <w:lang w:val="en-US"/>
        </w:rPr>
        <w:t>, and there are no hospital records to th</w:t>
      </w:r>
      <w:r w:rsidR="0006748B">
        <w:rPr>
          <w:lang w:val="en-US"/>
        </w:rPr>
        <w:t>at</w:t>
      </w:r>
      <w:r>
        <w:rPr>
          <w:lang w:val="en-US"/>
        </w:rPr>
        <w:t xml:space="preserve"> effect. Even if </w:t>
      </w:r>
      <w:r w:rsidR="002B4572">
        <w:rPr>
          <w:lang w:val="en-US"/>
        </w:rPr>
        <w:t xml:space="preserve">the </w:t>
      </w:r>
      <w:r>
        <w:rPr>
          <w:lang w:val="en-US"/>
        </w:rPr>
        <w:t>assertion was true, detention on this ground was unnecessary and unreasonable in the circumstances of the present case. With re</w:t>
      </w:r>
      <w:r w:rsidR="002B4572">
        <w:rPr>
          <w:lang w:val="en-US"/>
        </w:rPr>
        <w:t>gard</w:t>
      </w:r>
      <w:r>
        <w:rPr>
          <w:lang w:val="en-US"/>
        </w:rPr>
        <w:t xml:space="preserve"> to the alleged ground for arrest, according to which the victim had threatened to commit suicide, the authors submit that there is no evidence in support of this allegation. The fact that Sunil Hemachandra was placed in a small cell, shared with other detainees, and without any medical or psychological assistance</w:t>
      </w:r>
      <w:r w:rsidR="001A5C18">
        <w:rPr>
          <w:lang w:val="en-US"/>
        </w:rPr>
        <w:t>,</w:t>
      </w:r>
      <w:r>
        <w:rPr>
          <w:lang w:val="en-US"/>
        </w:rPr>
        <w:t xml:space="preserve"> is irreconcilable with the suggestion that he was detained to prevent self-harm.</w:t>
      </w:r>
      <w:r w:rsidR="00B37EBA">
        <w:rPr>
          <w:lang w:val="en-US"/>
        </w:rPr>
        <w:t xml:space="preserve"> </w:t>
      </w:r>
      <w:r w:rsidR="00F44FE0">
        <w:rPr>
          <w:lang w:val="en-US"/>
        </w:rPr>
        <w:t xml:space="preserve">The victim’s family was not informed about the place of detention, and he was not provided with an opportunity to contact his relatives, and had no legal representation. </w:t>
      </w:r>
      <w:r w:rsidR="00B37EBA">
        <w:rPr>
          <w:lang w:val="en-US"/>
        </w:rPr>
        <w:t xml:space="preserve">The authors add that the facts of the present case should be viewed in the context of the well-documented practice </w:t>
      </w:r>
      <w:r w:rsidR="00EE27A1">
        <w:rPr>
          <w:lang w:val="en-US"/>
        </w:rPr>
        <w:t>of police corruption in Sri Lanka, which has resulted in a series of cases involving extortion and ill-treatment. The authors conclude that Sunil Hemachandra’s arrest and detention were unlawful and arbitrary.</w:t>
      </w:r>
    </w:p>
    <w:p w:rsidR="00A02BFF" w:rsidRDefault="00747C1D" w:rsidP="00B075D2">
      <w:pPr>
        <w:pStyle w:val="SingleTxtG"/>
        <w:rPr>
          <w:lang w:val="en-US"/>
        </w:rPr>
      </w:pPr>
      <w:r>
        <w:rPr>
          <w:lang w:val="en-US"/>
        </w:rPr>
        <w:lastRenderedPageBreak/>
        <w:t>3.9</w:t>
      </w:r>
      <w:r w:rsidR="00A02BFF">
        <w:rPr>
          <w:lang w:val="en-US"/>
        </w:rPr>
        <w:tab/>
      </w:r>
      <w:r w:rsidR="00501C15">
        <w:rPr>
          <w:lang w:val="en-US"/>
        </w:rPr>
        <w:t xml:space="preserve">Concerning article 2 </w:t>
      </w:r>
      <w:r w:rsidR="001A5C18">
        <w:rPr>
          <w:lang w:val="en-US"/>
        </w:rPr>
        <w:t>(</w:t>
      </w:r>
      <w:r w:rsidR="00501C15">
        <w:rPr>
          <w:lang w:val="en-US"/>
        </w:rPr>
        <w:t>para</w:t>
      </w:r>
      <w:r w:rsidR="001A5C18">
        <w:rPr>
          <w:lang w:val="en-US"/>
        </w:rPr>
        <w:t>.</w:t>
      </w:r>
      <w:r w:rsidR="00501C15">
        <w:rPr>
          <w:lang w:val="en-US"/>
        </w:rPr>
        <w:t xml:space="preserve"> 3</w:t>
      </w:r>
      <w:r w:rsidR="001A5C18">
        <w:rPr>
          <w:lang w:val="en-US"/>
        </w:rPr>
        <w:t>)</w:t>
      </w:r>
      <w:r w:rsidR="00501C15">
        <w:rPr>
          <w:lang w:val="en-US"/>
        </w:rPr>
        <w:t xml:space="preserve">, the authors submit that there were serious flaws in the investigation in the present case. The investigation was carried out by the </w:t>
      </w:r>
      <w:r w:rsidR="00B80C38">
        <w:rPr>
          <w:lang w:val="en-US"/>
        </w:rPr>
        <w:t xml:space="preserve">same </w:t>
      </w:r>
      <w:r w:rsidR="001A5C18">
        <w:rPr>
          <w:lang w:val="en-US"/>
        </w:rPr>
        <w:t xml:space="preserve">members of the </w:t>
      </w:r>
      <w:r w:rsidR="00B80C38">
        <w:rPr>
          <w:lang w:val="en-US"/>
        </w:rPr>
        <w:t>police force (</w:t>
      </w:r>
      <w:r w:rsidR="001A5C18">
        <w:rPr>
          <w:lang w:val="en-US"/>
        </w:rPr>
        <w:t xml:space="preserve">from </w:t>
      </w:r>
      <w:r w:rsidR="0006748B">
        <w:rPr>
          <w:lang w:val="en-US"/>
        </w:rPr>
        <w:t>Moragahahena Police Station</w:t>
      </w:r>
      <w:r w:rsidR="00B80C38">
        <w:rPr>
          <w:lang w:val="en-US"/>
        </w:rPr>
        <w:t>) as those implicated in the victim’s death</w:t>
      </w:r>
      <w:r w:rsidR="00B075D2">
        <w:rPr>
          <w:lang w:val="en-US"/>
        </w:rPr>
        <w:t>,</w:t>
      </w:r>
      <w:r w:rsidR="00501C15">
        <w:rPr>
          <w:lang w:val="en-US"/>
        </w:rPr>
        <w:t xml:space="preserve"> </w:t>
      </w:r>
      <w:r w:rsidR="006E46E0">
        <w:rPr>
          <w:lang w:val="en-US"/>
        </w:rPr>
        <w:t xml:space="preserve">officers of </w:t>
      </w:r>
      <w:r w:rsidR="0006748B">
        <w:rPr>
          <w:lang w:val="en-US"/>
        </w:rPr>
        <w:t>Moragahahena Police Station</w:t>
      </w:r>
      <w:r w:rsidR="00501C15">
        <w:rPr>
          <w:lang w:val="en-US"/>
        </w:rPr>
        <w:t xml:space="preserve"> conducted all important investigative actions</w:t>
      </w:r>
      <w:r w:rsidR="002C0004">
        <w:rPr>
          <w:lang w:val="en-US"/>
        </w:rPr>
        <w:t> —</w:t>
      </w:r>
      <w:r w:rsidR="00501C15">
        <w:rPr>
          <w:lang w:val="en-US"/>
        </w:rPr>
        <w:t xml:space="preserve"> they took Sunil Hemachandra’s </w:t>
      </w:r>
      <w:r w:rsidR="006E46E0">
        <w:rPr>
          <w:lang w:val="en-US"/>
        </w:rPr>
        <w:t xml:space="preserve">statement </w:t>
      </w:r>
      <w:r w:rsidR="00501C15">
        <w:rPr>
          <w:lang w:val="en-US"/>
        </w:rPr>
        <w:t>on 23 July 2003 and the statements from the authors and Chanaka on 26 July 2003</w:t>
      </w:r>
      <w:r w:rsidR="00B075D2">
        <w:rPr>
          <w:lang w:val="en-US"/>
        </w:rPr>
        <w:t>,</w:t>
      </w:r>
      <w:r w:rsidR="00501C15">
        <w:rPr>
          <w:lang w:val="en-US"/>
        </w:rPr>
        <w:t xml:space="preserve"> none of the officers involved in the alleged violation was suspended or reassigned pending the inquiry</w:t>
      </w:r>
      <w:r w:rsidR="00B075D2">
        <w:rPr>
          <w:lang w:val="en-US"/>
        </w:rPr>
        <w:t>,</w:t>
      </w:r>
      <w:r w:rsidR="00501C15">
        <w:rPr>
          <w:lang w:val="en-US"/>
        </w:rPr>
        <w:t xml:space="preserve"> </w:t>
      </w:r>
      <w:r w:rsidR="002C0004">
        <w:rPr>
          <w:lang w:val="en-US"/>
        </w:rPr>
        <w:t>and</w:t>
      </w:r>
      <w:r w:rsidR="00501C15">
        <w:rPr>
          <w:lang w:val="en-US"/>
        </w:rPr>
        <w:t xml:space="preserve"> the case </w:t>
      </w:r>
      <w:r w:rsidR="002C0004">
        <w:rPr>
          <w:lang w:val="en-US"/>
        </w:rPr>
        <w:t xml:space="preserve">was not </w:t>
      </w:r>
      <w:r w:rsidR="00501C15">
        <w:rPr>
          <w:lang w:val="en-US"/>
        </w:rPr>
        <w:t xml:space="preserve">referred to the special investigation unit. </w:t>
      </w:r>
    </w:p>
    <w:p w:rsidR="00AF3715" w:rsidRDefault="00747C1D" w:rsidP="00367C53">
      <w:pPr>
        <w:pStyle w:val="SingleTxtG"/>
        <w:rPr>
          <w:lang w:val="en-US"/>
        </w:rPr>
      </w:pPr>
      <w:r>
        <w:rPr>
          <w:lang w:val="en-US"/>
        </w:rPr>
        <w:t>3.10</w:t>
      </w:r>
      <w:r w:rsidR="007E3595">
        <w:rPr>
          <w:lang w:val="en-US"/>
        </w:rPr>
        <w:tab/>
        <w:t xml:space="preserve">As </w:t>
      </w:r>
      <w:r w:rsidR="00B075D2">
        <w:rPr>
          <w:lang w:val="en-US"/>
        </w:rPr>
        <w:t xml:space="preserve">regards </w:t>
      </w:r>
      <w:r w:rsidR="007E3595">
        <w:rPr>
          <w:lang w:val="en-US"/>
        </w:rPr>
        <w:t>the judicial process, the magistrates limited the scope of their inquiry to the circumstances of Sunil Hemachandra’s death. They had to rely on the evidence collected by the police officers</w:t>
      </w:r>
      <w:r w:rsidR="00B075D2">
        <w:rPr>
          <w:lang w:val="en-US"/>
        </w:rPr>
        <w:t>,</w:t>
      </w:r>
      <w:r w:rsidR="007E3595">
        <w:rPr>
          <w:lang w:val="en-US"/>
        </w:rPr>
        <w:t xml:space="preserve"> who lacked </w:t>
      </w:r>
      <w:r w:rsidR="00B075D2">
        <w:rPr>
          <w:lang w:val="en-US"/>
        </w:rPr>
        <w:t xml:space="preserve">the </w:t>
      </w:r>
      <w:r w:rsidR="007E3595">
        <w:rPr>
          <w:lang w:val="en-US"/>
        </w:rPr>
        <w:t xml:space="preserve">requisite impartiality and independence. The Attorney General refused to inquire into the matter, despite the express order to do so from the Magistrate </w:t>
      </w:r>
      <w:r w:rsidR="00B075D2">
        <w:rPr>
          <w:lang w:val="en-US"/>
        </w:rPr>
        <w:t>of</w:t>
      </w:r>
      <w:r w:rsidR="007E3595">
        <w:rPr>
          <w:lang w:val="en-US"/>
        </w:rPr>
        <w:t xml:space="preserve"> Horana (para</w:t>
      </w:r>
      <w:r w:rsidR="00B075D2">
        <w:rPr>
          <w:lang w:val="en-US"/>
        </w:rPr>
        <w:t>s</w:t>
      </w:r>
      <w:r w:rsidR="007E3595">
        <w:rPr>
          <w:lang w:val="en-US"/>
        </w:rPr>
        <w:t>.</w:t>
      </w:r>
      <w:r w:rsidR="005F2B6A">
        <w:rPr>
          <w:lang w:val="en-US"/>
        </w:rPr>
        <w:t> </w:t>
      </w:r>
      <w:r w:rsidR="007E3595">
        <w:rPr>
          <w:lang w:val="en-US"/>
        </w:rPr>
        <w:t>2.15 and 2.16).</w:t>
      </w:r>
      <w:r w:rsidR="00EC1940">
        <w:rPr>
          <w:lang w:val="en-US"/>
        </w:rPr>
        <w:t xml:space="preserve"> The </w:t>
      </w:r>
      <w:r w:rsidR="00817EB7">
        <w:rPr>
          <w:lang w:val="en-US"/>
        </w:rPr>
        <w:t>Supreme Court did not order any further investigative action, or a full separate investigation. The authorities failed to take prompt and effective action capable of establishing the truth about the circumstances surrounding the arrest</w:t>
      </w:r>
      <w:r w:rsidR="00862243">
        <w:rPr>
          <w:lang w:val="en-US"/>
        </w:rPr>
        <w:t xml:space="preserve">, </w:t>
      </w:r>
      <w:r w:rsidR="00817EB7">
        <w:rPr>
          <w:lang w:val="en-US"/>
        </w:rPr>
        <w:t>detention</w:t>
      </w:r>
      <w:r w:rsidR="00862243">
        <w:rPr>
          <w:lang w:val="en-US"/>
        </w:rPr>
        <w:t>, torture and death</w:t>
      </w:r>
      <w:r w:rsidR="00817EB7">
        <w:rPr>
          <w:lang w:val="en-US"/>
        </w:rPr>
        <w:t xml:space="preserve"> of </w:t>
      </w:r>
      <w:r w:rsidR="00862243">
        <w:rPr>
          <w:lang w:val="en-US"/>
        </w:rPr>
        <w:t xml:space="preserve">Sunil Hemachandra. Although the second author had complained about </w:t>
      </w:r>
      <w:r w:rsidR="00086A8B">
        <w:rPr>
          <w:lang w:val="en-US"/>
        </w:rPr>
        <w:t>the torture of Sunil</w:t>
      </w:r>
      <w:r w:rsidR="00862243">
        <w:rPr>
          <w:lang w:val="en-US"/>
        </w:rPr>
        <w:t xml:space="preserve"> three days prior to his death, that</w:t>
      </w:r>
      <w:r w:rsidR="00367C53">
        <w:rPr>
          <w:lang w:val="en-US"/>
        </w:rPr>
        <w:t> </w:t>
      </w:r>
      <w:r w:rsidR="00862243">
        <w:rPr>
          <w:lang w:val="en-US"/>
        </w:rPr>
        <w:t>is</w:t>
      </w:r>
      <w:r w:rsidR="00367C53">
        <w:rPr>
          <w:lang w:val="en-US"/>
        </w:rPr>
        <w:t>,</w:t>
      </w:r>
      <w:r w:rsidR="00862243">
        <w:rPr>
          <w:lang w:val="en-US"/>
        </w:rPr>
        <w:t xml:space="preserve"> on 23 July 2003, no forensic medical examination was ordered; no police officers involved in his arrest and detention were identified. Chanaka, who was arrested along with the victim, was only interrogated after Sunil Hemachandra’s death, and by the </w:t>
      </w:r>
      <w:r w:rsidR="0006748B">
        <w:rPr>
          <w:lang w:val="en-US"/>
        </w:rPr>
        <w:t>officers of Moragahahena Police Station</w:t>
      </w:r>
      <w:r w:rsidR="00862243">
        <w:rPr>
          <w:lang w:val="en-US"/>
        </w:rPr>
        <w:t xml:space="preserve">. </w:t>
      </w:r>
      <w:r w:rsidR="008239CB">
        <w:rPr>
          <w:lang w:val="en-US"/>
        </w:rPr>
        <w:t xml:space="preserve">Similarly, the second author, who was an eyewitness </w:t>
      </w:r>
      <w:r w:rsidR="00086A8B">
        <w:rPr>
          <w:lang w:val="en-US"/>
        </w:rPr>
        <w:t>to</w:t>
      </w:r>
      <w:r w:rsidR="008239CB">
        <w:rPr>
          <w:lang w:val="en-US"/>
        </w:rPr>
        <w:t xml:space="preserve"> the victim’s arrest and beating in her house, was only interrogated after the victim’s death</w:t>
      </w:r>
      <w:r w:rsidR="00086A8B">
        <w:rPr>
          <w:lang w:val="en-US"/>
        </w:rPr>
        <w:t>,</w:t>
      </w:r>
      <w:r w:rsidR="008239CB">
        <w:rPr>
          <w:lang w:val="en-US"/>
        </w:rPr>
        <w:t xml:space="preserve"> </w:t>
      </w:r>
      <w:r w:rsidR="00822834">
        <w:rPr>
          <w:lang w:val="en-US"/>
        </w:rPr>
        <w:t xml:space="preserve">by the same police officers. </w:t>
      </w:r>
      <w:r w:rsidR="00B00872">
        <w:rPr>
          <w:lang w:val="en-US"/>
        </w:rPr>
        <w:t xml:space="preserve">The only </w:t>
      </w:r>
      <w:r w:rsidR="00086A8B">
        <w:rPr>
          <w:lang w:val="en-US"/>
        </w:rPr>
        <w:t>measure taken promptly</w:t>
      </w:r>
      <w:r w:rsidR="00EC1940">
        <w:rPr>
          <w:lang w:val="en-US"/>
        </w:rPr>
        <w:t xml:space="preserve"> was</w:t>
      </w:r>
      <w:r w:rsidR="00B00872">
        <w:rPr>
          <w:lang w:val="en-US"/>
        </w:rPr>
        <w:t xml:space="preserve"> to visit Sunil Hemachandra in hospital, while </w:t>
      </w:r>
      <w:r w:rsidR="00086A8B">
        <w:rPr>
          <w:lang w:val="en-US"/>
        </w:rPr>
        <w:t xml:space="preserve">he </w:t>
      </w:r>
      <w:r w:rsidR="00B00872">
        <w:rPr>
          <w:lang w:val="en-US"/>
        </w:rPr>
        <w:t xml:space="preserve">was in critical condition, with </w:t>
      </w:r>
      <w:r w:rsidR="00086A8B">
        <w:rPr>
          <w:lang w:val="en-US"/>
        </w:rPr>
        <w:t xml:space="preserve">a </w:t>
      </w:r>
      <w:r w:rsidR="00B00872">
        <w:rPr>
          <w:lang w:val="en-US"/>
        </w:rPr>
        <w:t xml:space="preserve">view to </w:t>
      </w:r>
      <w:r w:rsidR="00D72AF8">
        <w:rPr>
          <w:lang w:val="en-US"/>
        </w:rPr>
        <w:t>obtaining a false</w:t>
      </w:r>
      <w:r w:rsidR="00B00872">
        <w:rPr>
          <w:lang w:val="en-US"/>
        </w:rPr>
        <w:t xml:space="preserve"> statement. </w:t>
      </w:r>
    </w:p>
    <w:p w:rsidR="007E3595" w:rsidRDefault="00747C1D" w:rsidP="003B72A1">
      <w:pPr>
        <w:pStyle w:val="SingleTxtG"/>
        <w:rPr>
          <w:lang w:val="en-US"/>
        </w:rPr>
      </w:pPr>
      <w:r>
        <w:rPr>
          <w:lang w:val="en-US"/>
        </w:rPr>
        <w:t>3.11</w:t>
      </w:r>
      <w:r w:rsidR="00AF3715">
        <w:rPr>
          <w:lang w:val="en-US"/>
        </w:rPr>
        <w:tab/>
        <w:t>The authors add that t</w:t>
      </w:r>
      <w:r w:rsidR="00EC1940">
        <w:rPr>
          <w:lang w:val="en-US"/>
        </w:rPr>
        <w:t xml:space="preserve">he Supreme Court did not address these shortcomings, </w:t>
      </w:r>
      <w:r w:rsidR="00086A8B">
        <w:rPr>
          <w:lang w:val="en-US"/>
        </w:rPr>
        <w:t xml:space="preserve">and </w:t>
      </w:r>
      <w:r w:rsidR="00EC1940">
        <w:rPr>
          <w:lang w:val="en-US"/>
        </w:rPr>
        <w:t>did not conduct or commission another investigation. Instead, it relied upon the testimony and other evidence gathered directly</w:t>
      </w:r>
      <w:r w:rsidR="00086A8B">
        <w:rPr>
          <w:lang w:val="en-US"/>
        </w:rPr>
        <w:t xml:space="preserve"> by</w:t>
      </w:r>
      <w:r w:rsidR="00EC1940">
        <w:rPr>
          <w:lang w:val="en-US"/>
        </w:rPr>
        <w:t>, or under</w:t>
      </w:r>
      <w:r w:rsidR="00086A8B">
        <w:rPr>
          <w:lang w:val="en-US"/>
        </w:rPr>
        <w:t xml:space="preserve"> the</w:t>
      </w:r>
      <w:r w:rsidR="00EC1940">
        <w:rPr>
          <w:lang w:val="en-US"/>
        </w:rPr>
        <w:t xml:space="preserve"> control of</w:t>
      </w:r>
      <w:r w:rsidR="00086A8B">
        <w:rPr>
          <w:lang w:val="en-US"/>
        </w:rPr>
        <w:t>,</w:t>
      </w:r>
      <w:r w:rsidR="00EC1940">
        <w:rPr>
          <w:lang w:val="en-US"/>
        </w:rPr>
        <w:t xml:space="preserve"> the </w:t>
      </w:r>
      <w:r w:rsidR="0006748B">
        <w:rPr>
          <w:lang w:val="en-US"/>
        </w:rPr>
        <w:t>officers of Moragahahena Police Station</w:t>
      </w:r>
      <w:r w:rsidR="00EC1940">
        <w:rPr>
          <w:lang w:val="en-US"/>
        </w:rPr>
        <w:t xml:space="preserve">, that is, implicated police officers. </w:t>
      </w:r>
      <w:r w:rsidR="00AF3715">
        <w:rPr>
          <w:lang w:val="en-US"/>
        </w:rPr>
        <w:t xml:space="preserve">In addition, the Supreme Court proceedings lasted almost seven years, although there was nothing in terms of </w:t>
      </w:r>
      <w:r w:rsidR="003B72A1">
        <w:rPr>
          <w:lang w:val="en-US"/>
        </w:rPr>
        <w:t>case complexity</w:t>
      </w:r>
      <w:r w:rsidR="00AF3715">
        <w:rPr>
          <w:lang w:val="en-US"/>
        </w:rPr>
        <w:t xml:space="preserve"> </w:t>
      </w:r>
      <w:r w:rsidR="003B72A1">
        <w:rPr>
          <w:lang w:val="en-US"/>
        </w:rPr>
        <w:t xml:space="preserve">that </w:t>
      </w:r>
      <w:r w:rsidR="00AF3715">
        <w:rPr>
          <w:lang w:val="en-US"/>
        </w:rPr>
        <w:t xml:space="preserve">could justify such </w:t>
      </w:r>
      <w:r w:rsidR="003B72A1">
        <w:rPr>
          <w:lang w:val="en-US"/>
        </w:rPr>
        <w:t xml:space="preserve">a </w:t>
      </w:r>
      <w:r w:rsidR="00AF3715">
        <w:rPr>
          <w:lang w:val="en-US"/>
        </w:rPr>
        <w:t xml:space="preserve">delay. </w:t>
      </w:r>
      <w:r w:rsidR="00EC1940">
        <w:rPr>
          <w:lang w:val="en-US"/>
        </w:rPr>
        <w:t>The authors concl</w:t>
      </w:r>
      <w:r w:rsidR="00AD768D">
        <w:rPr>
          <w:lang w:val="en-US"/>
        </w:rPr>
        <w:t xml:space="preserve">ude that article 2 </w:t>
      </w:r>
      <w:r w:rsidR="003B72A1">
        <w:rPr>
          <w:lang w:val="en-US"/>
        </w:rPr>
        <w:t>(</w:t>
      </w:r>
      <w:r w:rsidR="00AD768D">
        <w:rPr>
          <w:lang w:val="en-US"/>
        </w:rPr>
        <w:t>para</w:t>
      </w:r>
      <w:r w:rsidR="003B72A1">
        <w:rPr>
          <w:lang w:val="en-US"/>
        </w:rPr>
        <w:t>.</w:t>
      </w:r>
      <w:r w:rsidR="00BB539D">
        <w:rPr>
          <w:lang w:val="en-US"/>
        </w:rPr>
        <w:t> </w:t>
      </w:r>
      <w:r w:rsidR="00AD768D">
        <w:rPr>
          <w:lang w:val="en-US"/>
        </w:rPr>
        <w:t>3</w:t>
      </w:r>
      <w:r w:rsidR="003B72A1">
        <w:rPr>
          <w:lang w:val="en-US"/>
        </w:rPr>
        <w:t>)</w:t>
      </w:r>
      <w:r w:rsidR="00AD768D">
        <w:rPr>
          <w:lang w:val="en-US"/>
        </w:rPr>
        <w:t xml:space="preserve">, read in conjunction with </w:t>
      </w:r>
      <w:r w:rsidR="003B72A1">
        <w:rPr>
          <w:lang w:val="en-US"/>
        </w:rPr>
        <w:t>article 6</w:t>
      </w:r>
      <w:r w:rsidR="00AD768D">
        <w:rPr>
          <w:lang w:val="en-US"/>
        </w:rPr>
        <w:t xml:space="preserve"> </w:t>
      </w:r>
      <w:r w:rsidR="003B72A1">
        <w:rPr>
          <w:lang w:val="en-US"/>
        </w:rPr>
        <w:t>(</w:t>
      </w:r>
      <w:r w:rsidR="00AD768D">
        <w:rPr>
          <w:lang w:val="en-US"/>
        </w:rPr>
        <w:t>par</w:t>
      </w:r>
      <w:r w:rsidR="005F2B6A">
        <w:rPr>
          <w:lang w:val="en-US"/>
        </w:rPr>
        <w:t>a</w:t>
      </w:r>
      <w:r w:rsidR="003B72A1">
        <w:rPr>
          <w:lang w:val="en-US"/>
        </w:rPr>
        <w:t xml:space="preserve">. </w:t>
      </w:r>
      <w:r w:rsidR="00AD768D">
        <w:rPr>
          <w:lang w:val="en-US"/>
        </w:rPr>
        <w:t>1</w:t>
      </w:r>
      <w:r w:rsidR="003B72A1">
        <w:rPr>
          <w:lang w:val="en-US"/>
        </w:rPr>
        <w:t>)</w:t>
      </w:r>
      <w:r w:rsidR="00AD768D">
        <w:rPr>
          <w:lang w:val="en-US"/>
        </w:rPr>
        <w:t xml:space="preserve">, </w:t>
      </w:r>
      <w:r w:rsidR="003B72A1">
        <w:rPr>
          <w:lang w:val="en-US"/>
        </w:rPr>
        <w:t xml:space="preserve">article </w:t>
      </w:r>
      <w:r w:rsidR="00AD768D">
        <w:rPr>
          <w:lang w:val="en-US"/>
        </w:rPr>
        <w:t xml:space="preserve">7, </w:t>
      </w:r>
      <w:r w:rsidR="003B72A1">
        <w:rPr>
          <w:lang w:val="en-US"/>
        </w:rPr>
        <w:t xml:space="preserve">article </w:t>
      </w:r>
      <w:r w:rsidR="00AD768D">
        <w:rPr>
          <w:lang w:val="en-US"/>
        </w:rPr>
        <w:t xml:space="preserve">9 </w:t>
      </w:r>
      <w:r w:rsidR="003B72A1">
        <w:rPr>
          <w:lang w:val="en-US"/>
        </w:rPr>
        <w:t>(</w:t>
      </w:r>
      <w:r w:rsidR="00AD768D">
        <w:rPr>
          <w:lang w:val="en-US"/>
        </w:rPr>
        <w:t>par</w:t>
      </w:r>
      <w:r w:rsidR="005F2B6A">
        <w:rPr>
          <w:lang w:val="en-US"/>
        </w:rPr>
        <w:t>a</w:t>
      </w:r>
      <w:r w:rsidR="003B72A1">
        <w:rPr>
          <w:lang w:val="en-US"/>
        </w:rPr>
        <w:t>s.</w:t>
      </w:r>
      <w:r w:rsidR="005F2B6A">
        <w:rPr>
          <w:lang w:val="en-US"/>
        </w:rPr>
        <w:t> </w:t>
      </w:r>
      <w:r w:rsidR="00AD768D">
        <w:rPr>
          <w:lang w:val="en-US"/>
        </w:rPr>
        <w:t>1, 2 and 4</w:t>
      </w:r>
      <w:r w:rsidR="003B72A1">
        <w:rPr>
          <w:lang w:val="en-US"/>
        </w:rPr>
        <w:t>)</w:t>
      </w:r>
      <w:r w:rsidR="00AD768D">
        <w:rPr>
          <w:lang w:val="en-US"/>
        </w:rPr>
        <w:t xml:space="preserve"> and</w:t>
      </w:r>
      <w:r w:rsidR="003B72A1">
        <w:rPr>
          <w:lang w:val="en-US"/>
        </w:rPr>
        <w:t xml:space="preserve"> article </w:t>
      </w:r>
      <w:r w:rsidR="00AD768D">
        <w:rPr>
          <w:lang w:val="en-US"/>
        </w:rPr>
        <w:t xml:space="preserve">10 </w:t>
      </w:r>
      <w:r w:rsidR="003B72A1">
        <w:rPr>
          <w:lang w:val="en-US"/>
        </w:rPr>
        <w:t>(</w:t>
      </w:r>
      <w:r w:rsidR="00AD768D">
        <w:rPr>
          <w:lang w:val="en-US"/>
        </w:rPr>
        <w:t>par</w:t>
      </w:r>
      <w:r w:rsidR="005F2B6A">
        <w:rPr>
          <w:lang w:val="en-US"/>
        </w:rPr>
        <w:t>a</w:t>
      </w:r>
      <w:r w:rsidR="003B72A1">
        <w:rPr>
          <w:lang w:val="en-US"/>
        </w:rPr>
        <w:t>.</w:t>
      </w:r>
      <w:r w:rsidR="005F2B6A">
        <w:rPr>
          <w:lang w:val="en-US"/>
        </w:rPr>
        <w:t> </w:t>
      </w:r>
      <w:r w:rsidR="00AD768D">
        <w:rPr>
          <w:lang w:val="en-US"/>
        </w:rPr>
        <w:t>1</w:t>
      </w:r>
      <w:r w:rsidR="003B72A1">
        <w:rPr>
          <w:lang w:val="en-US"/>
        </w:rPr>
        <w:t>),</w:t>
      </w:r>
      <w:r w:rsidR="00AD768D">
        <w:rPr>
          <w:lang w:val="en-US"/>
        </w:rPr>
        <w:t xml:space="preserve"> </w:t>
      </w:r>
      <w:r w:rsidR="00EC1940">
        <w:rPr>
          <w:lang w:val="en-US"/>
        </w:rPr>
        <w:t xml:space="preserve">was breached </w:t>
      </w:r>
      <w:r w:rsidR="003B72A1">
        <w:rPr>
          <w:lang w:val="en-US"/>
        </w:rPr>
        <w:t>in</w:t>
      </w:r>
      <w:r w:rsidR="00EC1940">
        <w:rPr>
          <w:lang w:val="en-US"/>
        </w:rPr>
        <w:t xml:space="preserve"> respect </w:t>
      </w:r>
      <w:r w:rsidR="003B72A1">
        <w:rPr>
          <w:lang w:val="en-US"/>
        </w:rPr>
        <w:t>of</w:t>
      </w:r>
      <w:r w:rsidR="00EC1940">
        <w:rPr>
          <w:lang w:val="en-US"/>
        </w:rPr>
        <w:t xml:space="preserve"> Sunil Hemachandra. </w:t>
      </w:r>
    </w:p>
    <w:p w:rsidR="00AD0AAE" w:rsidRPr="004C5222" w:rsidRDefault="00747C1D" w:rsidP="008C5A6E">
      <w:pPr>
        <w:pStyle w:val="SingleTxtG"/>
        <w:rPr>
          <w:lang w:val="en-US"/>
        </w:rPr>
      </w:pPr>
      <w:r>
        <w:rPr>
          <w:lang w:val="en-US"/>
        </w:rPr>
        <w:t>3.12</w:t>
      </w:r>
      <w:r w:rsidR="00AD0AAE">
        <w:rPr>
          <w:lang w:val="en-US"/>
        </w:rPr>
        <w:tab/>
        <w:t>By way of remedy, the authors request (</w:t>
      </w:r>
      <w:r w:rsidR="008225C4">
        <w:rPr>
          <w:lang w:val="en-US"/>
        </w:rPr>
        <w:t>a</w:t>
      </w:r>
      <w:r w:rsidR="00AD0AAE">
        <w:rPr>
          <w:lang w:val="en-US"/>
        </w:rPr>
        <w:t>) a full and independent investigation into the circumstances of the arrest, detention, torture and custodial death of Sunil Hemachandra; (</w:t>
      </w:r>
      <w:r w:rsidR="008225C4">
        <w:rPr>
          <w:lang w:val="en-US"/>
        </w:rPr>
        <w:t>b</w:t>
      </w:r>
      <w:r w:rsidR="00AD0AAE">
        <w:rPr>
          <w:lang w:val="en-US"/>
        </w:rPr>
        <w:t>) the payment of full and adequate compensation to the authors, which is proportionate to the seriousness of the violations and the damages an</w:t>
      </w:r>
      <w:r w:rsidR="00984B7C">
        <w:rPr>
          <w:lang w:val="en-US"/>
        </w:rPr>
        <w:t>d</w:t>
      </w:r>
      <w:r w:rsidR="00AD0AAE">
        <w:rPr>
          <w:lang w:val="en-US"/>
        </w:rPr>
        <w:t xml:space="preserve"> suffering inflicted; (</w:t>
      </w:r>
      <w:r w:rsidR="008225C4">
        <w:rPr>
          <w:lang w:val="en-US"/>
        </w:rPr>
        <w:t>c</w:t>
      </w:r>
      <w:r w:rsidR="00AD0AAE">
        <w:rPr>
          <w:lang w:val="en-US"/>
        </w:rPr>
        <w:t>)</w:t>
      </w:r>
      <w:r w:rsidR="005F2B6A">
        <w:rPr>
          <w:lang w:val="en-US"/>
        </w:rPr>
        <w:t> </w:t>
      </w:r>
      <w:r w:rsidR="00AD0AAE">
        <w:rPr>
          <w:lang w:val="en-US"/>
        </w:rPr>
        <w:t>a public apology containing an unequivocal acknowledgement of the numerous violations of the Covenant in the present case; (</w:t>
      </w:r>
      <w:r w:rsidR="008225C4">
        <w:rPr>
          <w:lang w:val="en-US"/>
        </w:rPr>
        <w:t>d</w:t>
      </w:r>
      <w:r w:rsidR="00AD0AAE">
        <w:rPr>
          <w:lang w:val="en-US"/>
        </w:rPr>
        <w:t xml:space="preserve">) as full </w:t>
      </w:r>
      <w:r w:rsidR="008C1C1B">
        <w:rPr>
          <w:lang w:val="en-US"/>
        </w:rPr>
        <w:t xml:space="preserve">a </w:t>
      </w:r>
      <w:r w:rsidR="00AD0AAE">
        <w:rPr>
          <w:lang w:val="en-US"/>
        </w:rPr>
        <w:t xml:space="preserve">rehabilitation as possible </w:t>
      </w:r>
      <w:r w:rsidR="008C1C1B">
        <w:rPr>
          <w:lang w:val="en-US"/>
        </w:rPr>
        <w:t xml:space="preserve">for </w:t>
      </w:r>
      <w:r w:rsidR="00AD0AAE">
        <w:rPr>
          <w:lang w:val="en-US"/>
        </w:rPr>
        <w:t>the authors, including psychological counselling services if appropriate; and (</w:t>
      </w:r>
      <w:r w:rsidR="008225C4">
        <w:rPr>
          <w:lang w:val="en-US"/>
        </w:rPr>
        <w:t>e</w:t>
      </w:r>
      <w:r w:rsidR="00AD0AAE">
        <w:rPr>
          <w:lang w:val="en-US"/>
        </w:rPr>
        <w:t xml:space="preserve">) </w:t>
      </w:r>
      <w:r w:rsidR="00F51CD8">
        <w:rPr>
          <w:lang w:val="en-US"/>
        </w:rPr>
        <w:t>the establishment of an independent body or institution tasked with investigating complaints into serious human rights violations</w:t>
      </w:r>
      <w:r w:rsidR="008B4A07">
        <w:rPr>
          <w:lang w:val="en-US"/>
        </w:rPr>
        <w:t xml:space="preserve"> committed by police and other law</w:t>
      </w:r>
      <w:r w:rsidR="008225C4">
        <w:rPr>
          <w:lang w:val="en-US"/>
        </w:rPr>
        <w:t xml:space="preserve"> </w:t>
      </w:r>
      <w:r w:rsidR="008B4A07">
        <w:rPr>
          <w:lang w:val="en-US"/>
        </w:rPr>
        <w:t xml:space="preserve">enforcement personnel, </w:t>
      </w:r>
      <w:r w:rsidR="00F028D6">
        <w:rPr>
          <w:lang w:val="en-US"/>
        </w:rPr>
        <w:t xml:space="preserve">which is capable of documenting and investigating incidents of torture, </w:t>
      </w:r>
      <w:r w:rsidR="008B4A07">
        <w:rPr>
          <w:lang w:val="en-US"/>
        </w:rPr>
        <w:t xml:space="preserve">following the recommendation of the Committee </w:t>
      </w:r>
      <w:r w:rsidR="00F028D6">
        <w:rPr>
          <w:lang w:val="en-US"/>
        </w:rPr>
        <w:t xml:space="preserve">against </w:t>
      </w:r>
      <w:r w:rsidR="008C1C1B">
        <w:rPr>
          <w:lang w:val="en-US"/>
        </w:rPr>
        <w:t>T</w:t>
      </w:r>
      <w:r w:rsidR="00F028D6">
        <w:rPr>
          <w:lang w:val="en-US"/>
        </w:rPr>
        <w:t>orture</w:t>
      </w:r>
      <w:r w:rsidR="00775DA1">
        <w:rPr>
          <w:lang w:val="en-US"/>
        </w:rPr>
        <w:t xml:space="preserve"> (s</w:t>
      </w:r>
      <w:r w:rsidR="00775DA1">
        <w:t>ee CAT/C/LKA/CO/2, para. 12 (a)</w:t>
      </w:r>
      <w:r w:rsidR="00775DA1">
        <w:rPr>
          <w:lang w:val="en-US"/>
        </w:rPr>
        <w:t>)</w:t>
      </w:r>
      <w:r w:rsidR="00F028D6">
        <w:rPr>
          <w:lang w:val="en-US"/>
        </w:rPr>
        <w:t>.</w:t>
      </w:r>
    </w:p>
    <w:p w:rsidR="00091828" w:rsidRPr="00091828" w:rsidRDefault="006813D8" w:rsidP="00091828">
      <w:pPr>
        <w:pStyle w:val="H23G"/>
        <w:rPr>
          <w:lang w:val="en-US"/>
        </w:rPr>
      </w:pPr>
      <w:r>
        <w:rPr>
          <w:lang w:val="en-US"/>
        </w:rPr>
        <w:tab/>
      </w:r>
      <w:r>
        <w:rPr>
          <w:lang w:val="en-US"/>
        </w:rPr>
        <w:tab/>
      </w:r>
      <w:r w:rsidR="00AA2DF9">
        <w:rPr>
          <w:lang w:val="en-US"/>
        </w:rPr>
        <w:t>Lack of cooperation from the State party</w:t>
      </w:r>
    </w:p>
    <w:p w:rsidR="004C5945" w:rsidRPr="004C5945" w:rsidRDefault="00CB5D62" w:rsidP="008C1C1B">
      <w:pPr>
        <w:pStyle w:val="SingleTxtG"/>
        <w:rPr>
          <w:lang w:val="en-US"/>
        </w:rPr>
      </w:pPr>
      <w:r>
        <w:rPr>
          <w:lang w:val="en-US"/>
        </w:rPr>
        <w:t>4</w:t>
      </w:r>
      <w:r w:rsidR="0023307A">
        <w:rPr>
          <w:lang w:val="en-US"/>
        </w:rPr>
        <w:t>.</w:t>
      </w:r>
      <w:r w:rsidR="004C5945" w:rsidRPr="004C5945">
        <w:rPr>
          <w:lang w:val="en-US"/>
        </w:rPr>
        <w:tab/>
        <w:t xml:space="preserve">By notes verbales of </w:t>
      </w:r>
      <w:r>
        <w:rPr>
          <w:lang w:val="en-US"/>
        </w:rPr>
        <w:t>22 August 2011, 5 March</w:t>
      </w:r>
      <w:r w:rsidR="008C1C1B">
        <w:rPr>
          <w:lang w:val="en-US"/>
        </w:rPr>
        <w:t xml:space="preserve"> 2012</w:t>
      </w:r>
      <w:r>
        <w:rPr>
          <w:lang w:val="en-US"/>
        </w:rPr>
        <w:t>, 21 May</w:t>
      </w:r>
      <w:r w:rsidR="008C1C1B">
        <w:rPr>
          <w:lang w:val="en-US"/>
        </w:rPr>
        <w:t xml:space="preserve"> 2012</w:t>
      </w:r>
      <w:r>
        <w:rPr>
          <w:lang w:val="en-US"/>
        </w:rPr>
        <w:t xml:space="preserve"> and 6 July 2012, </w:t>
      </w:r>
      <w:r w:rsidR="004C5945" w:rsidRPr="004C5945">
        <w:rPr>
          <w:lang w:val="en-US"/>
        </w:rPr>
        <w:t xml:space="preserve">the State party was requested to submit </w:t>
      </w:r>
      <w:r w:rsidR="004A108F" w:rsidRPr="004C5945">
        <w:rPr>
          <w:lang w:val="en-US"/>
        </w:rPr>
        <w:t xml:space="preserve">information </w:t>
      </w:r>
      <w:r w:rsidR="004C5945" w:rsidRPr="004C5945">
        <w:rPr>
          <w:lang w:val="en-US"/>
        </w:rPr>
        <w:t xml:space="preserve">to the Committee on the admissibility and merits of the communication. The Committee notes that this information has not been received. The Committee regrets the State </w:t>
      </w:r>
      <w:r w:rsidR="00BB539D" w:rsidRPr="004C5945">
        <w:rPr>
          <w:lang w:val="en-US"/>
        </w:rPr>
        <w:t>party</w:t>
      </w:r>
      <w:r w:rsidR="00BB539D">
        <w:rPr>
          <w:lang w:val="en-US"/>
        </w:rPr>
        <w:t>’</w:t>
      </w:r>
      <w:r w:rsidR="00BB539D" w:rsidRPr="004C5945">
        <w:rPr>
          <w:lang w:val="en-US"/>
        </w:rPr>
        <w:t xml:space="preserve">s </w:t>
      </w:r>
      <w:r w:rsidR="004C5945" w:rsidRPr="004C5945">
        <w:rPr>
          <w:lang w:val="en-US"/>
        </w:rPr>
        <w:t xml:space="preserve">failure to provide any information with regard to admissibility or the substance of the </w:t>
      </w:r>
      <w:r w:rsidR="00BB539D" w:rsidRPr="004C5945">
        <w:rPr>
          <w:lang w:val="en-US"/>
        </w:rPr>
        <w:t>author</w:t>
      </w:r>
      <w:r w:rsidR="008C1C1B">
        <w:rPr>
          <w:lang w:val="en-US"/>
        </w:rPr>
        <w:t>s’</w:t>
      </w:r>
      <w:r w:rsidR="00BB539D" w:rsidRPr="004C5945">
        <w:rPr>
          <w:lang w:val="en-US"/>
        </w:rPr>
        <w:t xml:space="preserve"> </w:t>
      </w:r>
      <w:r w:rsidR="004C5945" w:rsidRPr="004C5945">
        <w:rPr>
          <w:lang w:val="en-US"/>
        </w:rPr>
        <w:t xml:space="preserve">claims. It recalls that </w:t>
      </w:r>
      <w:r w:rsidR="000D747B">
        <w:rPr>
          <w:lang w:val="en-US"/>
        </w:rPr>
        <w:t>article 4</w:t>
      </w:r>
      <w:r w:rsidR="008C1C1B">
        <w:rPr>
          <w:lang w:val="en-US"/>
        </w:rPr>
        <w:t xml:space="preserve"> </w:t>
      </w:r>
      <w:r w:rsidR="008C1C1B">
        <w:rPr>
          <w:lang w:val="en-US"/>
        </w:rPr>
        <w:lastRenderedPageBreak/>
        <w:t>(</w:t>
      </w:r>
      <w:r w:rsidR="000D747B">
        <w:rPr>
          <w:lang w:val="en-US"/>
        </w:rPr>
        <w:t>para</w:t>
      </w:r>
      <w:r w:rsidR="008C1C1B">
        <w:rPr>
          <w:lang w:val="en-US"/>
        </w:rPr>
        <w:t>. </w:t>
      </w:r>
      <w:r w:rsidR="000D747B">
        <w:rPr>
          <w:lang w:val="en-US"/>
        </w:rPr>
        <w:t>2</w:t>
      </w:r>
      <w:r w:rsidR="008C1C1B">
        <w:rPr>
          <w:lang w:val="en-US"/>
        </w:rPr>
        <w:t>)</w:t>
      </w:r>
      <w:r w:rsidR="007F0527">
        <w:rPr>
          <w:lang w:val="en-US"/>
        </w:rPr>
        <w:t xml:space="preserve"> </w:t>
      </w:r>
      <w:r w:rsidR="004C5945" w:rsidRPr="004C5945">
        <w:rPr>
          <w:lang w:val="en-US"/>
        </w:rPr>
        <w:t xml:space="preserve">of the Optional Protocol </w:t>
      </w:r>
      <w:r w:rsidR="000D747B">
        <w:rPr>
          <w:lang w:val="en-US"/>
        </w:rPr>
        <w:t>obliges</w:t>
      </w:r>
      <w:r w:rsidR="004C5945" w:rsidRPr="004C5945">
        <w:rPr>
          <w:lang w:val="en-US"/>
        </w:rPr>
        <w:t xml:space="preserve"> States parties </w:t>
      </w:r>
      <w:r w:rsidR="000D747B">
        <w:rPr>
          <w:lang w:val="en-US"/>
        </w:rPr>
        <w:t xml:space="preserve">to </w:t>
      </w:r>
      <w:r w:rsidR="004C5945" w:rsidRPr="004C5945">
        <w:rPr>
          <w:lang w:val="en-US"/>
        </w:rPr>
        <w:t xml:space="preserve">examine in good faith all allegations brought against them, and </w:t>
      </w:r>
      <w:r w:rsidR="004A108F">
        <w:rPr>
          <w:lang w:val="en-US"/>
        </w:rPr>
        <w:t>to</w:t>
      </w:r>
      <w:r w:rsidR="004C5945" w:rsidRPr="004C5945">
        <w:rPr>
          <w:lang w:val="en-US"/>
        </w:rPr>
        <w:t xml:space="preserve"> make available to the Committee all information at their disposal. </w:t>
      </w:r>
      <w:bookmarkStart w:id="1" w:name="OLE_LINK1"/>
      <w:bookmarkStart w:id="2" w:name="OLE_LINK2"/>
      <w:r w:rsidR="004C5945" w:rsidRPr="004C5945">
        <w:rPr>
          <w:lang w:val="en-US"/>
        </w:rPr>
        <w:t>In the absence of a reply from the State party, due weight must be given to the authors</w:t>
      </w:r>
      <w:r>
        <w:rPr>
          <w:lang w:val="en-US"/>
        </w:rPr>
        <w:t>’</w:t>
      </w:r>
      <w:r w:rsidR="004C5945" w:rsidRPr="004C5945">
        <w:rPr>
          <w:lang w:val="en-US"/>
        </w:rPr>
        <w:t xml:space="preserve"> allegations, to the extent that they are substantiated.</w:t>
      </w:r>
      <w:bookmarkEnd w:id="1"/>
      <w:bookmarkEnd w:id="2"/>
    </w:p>
    <w:p w:rsidR="004C5945" w:rsidRPr="004C5945" w:rsidRDefault="006813D8" w:rsidP="006813D8">
      <w:pPr>
        <w:pStyle w:val="H23G"/>
        <w:rPr>
          <w:lang w:val="en-US"/>
        </w:rPr>
      </w:pPr>
      <w:r>
        <w:rPr>
          <w:lang w:val="en-US"/>
        </w:rPr>
        <w:tab/>
      </w:r>
      <w:r>
        <w:rPr>
          <w:lang w:val="en-US"/>
        </w:rPr>
        <w:tab/>
      </w:r>
      <w:r w:rsidR="004C5945" w:rsidRPr="004C5945">
        <w:rPr>
          <w:lang w:val="en-US"/>
        </w:rPr>
        <w:t xml:space="preserve">Issues and </w:t>
      </w:r>
      <w:r w:rsidR="004A108F">
        <w:rPr>
          <w:lang w:val="en-US"/>
        </w:rPr>
        <w:t>p</w:t>
      </w:r>
      <w:r w:rsidR="004C5945" w:rsidRPr="004C5945">
        <w:rPr>
          <w:lang w:val="en-US"/>
        </w:rPr>
        <w:t>roceedings before the Committee</w:t>
      </w:r>
    </w:p>
    <w:p w:rsidR="004C5945" w:rsidRPr="004C5945" w:rsidRDefault="006813D8" w:rsidP="006813D8">
      <w:pPr>
        <w:pStyle w:val="H4G"/>
        <w:rPr>
          <w:lang w:val="en-US"/>
        </w:rPr>
      </w:pPr>
      <w:r>
        <w:rPr>
          <w:lang w:val="en-US"/>
        </w:rPr>
        <w:tab/>
      </w:r>
      <w:r>
        <w:rPr>
          <w:lang w:val="en-US"/>
        </w:rPr>
        <w:tab/>
      </w:r>
      <w:r w:rsidR="004C5945" w:rsidRPr="004C5945">
        <w:rPr>
          <w:lang w:val="en-US"/>
        </w:rPr>
        <w:t>Consideration of admissibility</w:t>
      </w:r>
    </w:p>
    <w:p w:rsidR="004C5945" w:rsidRPr="004C5945" w:rsidRDefault="00CB5D62" w:rsidP="00CE22AD">
      <w:pPr>
        <w:pStyle w:val="SingleTxtG"/>
        <w:rPr>
          <w:lang w:val="en-US"/>
        </w:rPr>
      </w:pPr>
      <w:r>
        <w:rPr>
          <w:lang w:val="en-US"/>
        </w:rPr>
        <w:t>5</w:t>
      </w:r>
      <w:r w:rsidR="004C5945" w:rsidRPr="004C5945">
        <w:rPr>
          <w:lang w:val="en-US"/>
        </w:rPr>
        <w:t>.1</w:t>
      </w:r>
      <w:r w:rsidR="004C5945" w:rsidRPr="004C5945">
        <w:rPr>
          <w:lang w:val="en-US"/>
        </w:rPr>
        <w:tab/>
        <w:t>Before considering any claim contained in a communication, the Human Rights Committee must</w:t>
      </w:r>
      <w:r w:rsidR="00CE22AD">
        <w:rPr>
          <w:lang w:val="en-US"/>
        </w:rPr>
        <w:t xml:space="preserve"> decide</w:t>
      </w:r>
      <w:r w:rsidR="004C5945" w:rsidRPr="004C5945">
        <w:rPr>
          <w:lang w:val="en-US"/>
        </w:rPr>
        <w:t xml:space="preserve">, in accordance with </w:t>
      </w:r>
      <w:r w:rsidR="00CE22AD">
        <w:rPr>
          <w:lang w:val="en-US"/>
        </w:rPr>
        <w:t>r</w:t>
      </w:r>
      <w:r w:rsidR="005B0319">
        <w:rPr>
          <w:lang w:val="en-US"/>
        </w:rPr>
        <w:t>ule</w:t>
      </w:r>
      <w:r w:rsidR="005B0319" w:rsidRPr="004C5945">
        <w:rPr>
          <w:lang w:val="en-US"/>
        </w:rPr>
        <w:t xml:space="preserve"> </w:t>
      </w:r>
      <w:r w:rsidR="004C5945" w:rsidRPr="004C5945">
        <w:rPr>
          <w:lang w:val="en-US"/>
        </w:rPr>
        <w:t xml:space="preserve">93 of its rules of procedure, </w:t>
      </w:r>
      <w:r w:rsidR="00CE22AD">
        <w:rPr>
          <w:lang w:val="en-US"/>
        </w:rPr>
        <w:t>whether the communication</w:t>
      </w:r>
      <w:r w:rsidR="004C5945" w:rsidRPr="004C5945">
        <w:rPr>
          <w:lang w:val="en-US"/>
        </w:rPr>
        <w:t xml:space="preserve"> is admissible under the Optional Protocol</w:t>
      </w:r>
      <w:r w:rsidR="00CE22AD">
        <w:rPr>
          <w:lang w:val="en-US"/>
        </w:rPr>
        <w:t xml:space="preserve"> to the Covenant</w:t>
      </w:r>
      <w:r w:rsidR="004C5945" w:rsidRPr="00B044BC">
        <w:rPr>
          <w:lang w:val="en-US"/>
        </w:rPr>
        <w:t>.</w:t>
      </w:r>
      <w:r w:rsidR="004C5945" w:rsidRPr="004C5945">
        <w:rPr>
          <w:lang w:val="en-US"/>
        </w:rPr>
        <w:t xml:space="preserve"> </w:t>
      </w:r>
    </w:p>
    <w:p w:rsidR="004C5945" w:rsidRPr="004C5945" w:rsidRDefault="00CB5D62" w:rsidP="00CE22AD">
      <w:pPr>
        <w:pStyle w:val="SingleTxtG"/>
      </w:pPr>
      <w:r>
        <w:rPr>
          <w:lang w:val="en-US"/>
        </w:rPr>
        <w:t>5</w:t>
      </w:r>
      <w:r w:rsidR="004C5945" w:rsidRPr="004C5945">
        <w:t>.2</w:t>
      </w:r>
      <w:r w:rsidR="004C5945" w:rsidRPr="004C5945">
        <w:tab/>
      </w:r>
      <w:r w:rsidR="00CE22AD">
        <w:t>As required under article 5 (para. 2 (a)) of the Optional Protocol, t</w:t>
      </w:r>
      <w:r w:rsidR="004C5945" w:rsidRPr="004C5945">
        <w:t xml:space="preserve">he Committee has ascertained that the same matter is not being examined under another procedure of international investigation or settlement. </w:t>
      </w:r>
    </w:p>
    <w:p w:rsidR="004C5945" w:rsidRPr="004C5945" w:rsidRDefault="00CB5D62" w:rsidP="00F13CE2">
      <w:pPr>
        <w:pStyle w:val="SingleTxtG"/>
        <w:rPr>
          <w:lang w:val="en-US"/>
        </w:rPr>
      </w:pPr>
      <w:r>
        <w:t>5</w:t>
      </w:r>
      <w:r w:rsidR="004C5945" w:rsidRPr="004C5945">
        <w:rPr>
          <w:lang w:val="en-US"/>
        </w:rPr>
        <w:t>.3</w:t>
      </w:r>
      <w:r w:rsidR="004C5945" w:rsidRPr="004C5945">
        <w:rPr>
          <w:lang w:val="en-US"/>
        </w:rPr>
        <w:tab/>
        <w:t>In the absence of any submission by the State party on the admissibility of the commu</w:t>
      </w:r>
      <w:r>
        <w:rPr>
          <w:lang w:val="en-US"/>
        </w:rPr>
        <w:t>nication, and noting the author</w:t>
      </w:r>
      <w:r w:rsidR="004C5945" w:rsidRPr="004C5945">
        <w:rPr>
          <w:lang w:val="en-US"/>
        </w:rPr>
        <w:t>s</w:t>
      </w:r>
      <w:r>
        <w:rPr>
          <w:lang w:val="en-US"/>
        </w:rPr>
        <w:t>’</w:t>
      </w:r>
      <w:r w:rsidR="004C5945" w:rsidRPr="004C5945">
        <w:rPr>
          <w:lang w:val="en-US"/>
        </w:rPr>
        <w:t xml:space="preserve"> statement that domestic remedies have proven to be </w:t>
      </w:r>
      <w:r w:rsidR="005B0319">
        <w:rPr>
          <w:lang w:val="en-US"/>
        </w:rPr>
        <w:t>unduly prolonged</w:t>
      </w:r>
      <w:r w:rsidR="004C5945" w:rsidRPr="004C5945">
        <w:rPr>
          <w:lang w:val="en-US"/>
        </w:rPr>
        <w:t xml:space="preserve">, the Committee declares the communication admissible, in as far as it appears to raise issues under article 6 </w:t>
      </w:r>
      <w:r w:rsidR="00F13CE2">
        <w:rPr>
          <w:lang w:val="en-US"/>
        </w:rPr>
        <w:t>(</w:t>
      </w:r>
      <w:r>
        <w:rPr>
          <w:lang w:val="en-US"/>
        </w:rPr>
        <w:t>para</w:t>
      </w:r>
      <w:r w:rsidR="00F13CE2">
        <w:rPr>
          <w:lang w:val="en-US"/>
        </w:rPr>
        <w:t>.</w:t>
      </w:r>
      <w:r>
        <w:rPr>
          <w:lang w:val="en-US"/>
        </w:rPr>
        <w:t xml:space="preserve"> 1</w:t>
      </w:r>
      <w:r w:rsidR="00F13CE2">
        <w:rPr>
          <w:lang w:val="en-US"/>
        </w:rPr>
        <w:t>),</w:t>
      </w:r>
      <w:r>
        <w:rPr>
          <w:lang w:val="en-US"/>
        </w:rPr>
        <w:t xml:space="preserve"> article 7</w:t>
      </w:r>
      <w:r w:rsidR="00F13CE2">
        <w:rPr>
          <w:lang w:val="en-US"/>
        </w:rPr>
        <w:t>,</w:t>
      </w:r>
      <w:r>
        <w:rPr>
          <w:lang w:val="en-US"/>
        </w:rPr>
        <w:t xml:space="preserve"> article 9 </w:t>
      </w:r>
      <w:r w:rsidR="00F13CE2">
        <w:rPr>
          <w:lang w:val="en-US"/>
        </w:rPr>
        <w:t>(</w:t>
      </w:r>
      <w:r w:rsidRPr="006836EE">
        <w:rPr>
          <w:lang w:val="en-US"/>
        </w:rPr>
        <w:t>para</w:t>
      </w:r>
      <w:r w:rsidR="00F13CE2">
        <w:rPr>
          <w:lang w:val="en-US"/>
        </w:rPr>
        <w:t>s.</w:t>
      </w:r>
      <w:r w:rsidRPr="006836EE">
        <w:rPr>
          <w:lang w:val="en-US"/>
        </w:rPr>
        <w:t xml:space="preserve"> </w:t>
      </w:r>
      <w:r w:rsidRPr="00A64D8C">
        <w:rPr>
          <w:lang w:val="en-US"/>
        </w:rPr>
        <w:t>1, 2 and</w:t>
      </w:r>
      <w:r>
        <w:rPr>
          <w:lang w:val="en-US"/>
        </w:rPr>
        <w:t xml:space="preserve"> 4</w:t>
      </w:r>
      <w:r w:rsidR="00F13CE2">
        <w:rPr>
          <w:lang w:val="en-US"/>
        </w:rPr>
        <w:t>) and</w:t>
      </w:r>
      <w:r w:rsidR="004C5945" w:rsidRPr="004C5945">
        <w:rPr>
          <w:lang w:val="en-US"/>
        </w:rPr>
        <w:t xml:space="preserve"> article 1</w:t>
      </w:r>
      <w:r>
        <w:rPr>
          <w:lang w:val="en-US"/>
        </w:rPr>
        <w:t>0</w:t>
      </w:r>
      <w:r w:rsidR="008334EF">
        <w:rPr>
          <w:lang w:val="en-US"/>
        </w:rPr>
        <w:t xml:space="preserve"> (para. 1)</w:t>
      </w:r>
      <w:r w:rsidR="00F13CE2">
        <w:rPr>
          <w:lang w:val="en-US"/>
        </w:rPr>
        <w:t>,</w:t>
      </w:r>
      <w:r w:rsidR="004C5945" w:rsidRPr="004C5945">
        <w:rPr>
          <w:lang w:val="en-US"/>
        </w:rPr>
        <w:t xml:space="preserve"> </w:t>
      </w:r>
      <w:r w:rsidR="00F13CE2">
        <w:rPr>
          <w:lang w:val="en-US"/>
        </w:rPr>
        <w:t xml:space="preserve">read </w:t>
      </w:r>
      <w:r w:rsidR="005B0319">
        <w:rPr>
          <w:lang w:val="en-US"/>
        </w:rPr>
        <w:t>alone and in conjunction with</w:t>
      </w:r>
      <w:r w:rsidR="005B0319" w:rsidRPr="004C5945">
        <w:rPr>
          <w:lang w:val="en-US"/>
        </w:rPr>
        <w:t xml:space="preserve"> </w:t>
      </w:r>
      <w:r w:rsidR="004C5945" w:rsidRPr="004C5945">
        <w:rPr>
          <w:lang w:val="en-US"/>
        </w:rPr>
        <w:t>article 2</w:t>
      </w:r>
      <w:r>
        <w:rPr>
          <w:lang w:val="en-US"/>
        </w:rPr>
        <w:t xml:space="preserve"> </w:t>
      </w:r>
      <w:r w:rsidR="00F13CE2">
        <w:rPr>
          <w:lang w:val="en-US"/>
        </w:rPr>
        <w:t>(</w:t>
      </w:r>
      <w:r>
        <w:rPr>
          <w:lang w:val="en-US"/>
        </w:rPr>
        <w:t>para</w:t>
      </w:r>
      <w:r w:rsidR="00F13CE2">
        <w:rPr>
          <w:lang w:val="en-US"/>
        </w:rPr>
        <w:t>.</w:t>
      </w:r>
      <w:r>
        <w:rPr>
          <w:lang w:val="en-US"/>
        </w:rPr>
        <w:t xml:space="preserve"> 3</w:t>
      </w:r>
      <w:r w:rsidR="00F13CE2">
        <w:rPr>
          <w:lang w:val="en-US"/>
        </w:rPr>
        <w:t>),</w:t>
      </w:r>
      <w:r w:rsidR="004C5945" w:rsidRPr="004C5945">
        <w:rPr>
          <w:lang w:val="en-US"/>
        </w:rPr>
        <w:t xml:space="preserve"> of the Covenant.</w:t>
      </w:r>
    </w:p>
    <w:p w:rsidR="004C5945" w:rsidRPr="004C5945" w:rsidRDefault="006813D8" w:rsidP="006813D8">
      <w:pPr>
        <w:pStyle w:val="H4G"/>
        <w:rPr>
          <w:lang w:val="en-US"/>
        </w:rPr>
      </w:pPr>
      <w:r>
        <w:rPr>
          <w:lang w:val="en-US"/>
        </w:rPr>
        <w:tab/>
      </w:r>
      <w:r>
        <w:rPr>
          <w:lang w:val="en-US"/>
        </w:rPr>
        <w:tab/>
      </w:r>
      <w:r w:rsidR="004C5945" w:rsidRPr="004C5945">
        <w:rPr>
          <w:lang w:val="en-US"/>
        </w:rPr>
        <w:t>Consideration of the merits</w:t>
      </w:r>
    </w:p>
    <w:p w:rsidR="004C5945" w:rsidRPr="004C5945" w:rsidRDefault="00CB5D62" w:rsidP="008334EF">
      <w:pPr>
        <w:pStyle w:val="SingleTxtG"/>
        <w:rPr>
          <w:lang w:val="en-US"/>
        </w:rPr>
      </w:pPr>
      <w:r>
        <w:rPr>
          <w:lang w:val="en-US"/>
        </w:rPr>
        <w:t>6</w:t>
      </w:r>
      <w:r w:rsidR="004C5945" w:rsidRPr="004C5945">
        <w:rPr>
          <w:lang w:val="en-US"/>
        </w:rPr>
        <w:t>.1</w:t>
      </w:r>
      <w:r w:rsidR="004C5945" w:rsidRPr="004C5945">
        <w:rPr>
          <w:lang w:val="en-US"/>
        </w:rPr>
        <w:tab/>
        <w:t xml:space="preserve">The Human Rights Committee has considered the present communication in the light of all the information made available to it, as </w:t>
      </w:r>
      <w:r w:rsidR="008334EF">
        <w:rPr>
          <w:lang w:val="en-US"/>
        </w:rPr>
        <w:t>required under</w:t>
      </w:r>
      <w:r w:rsidR="004C5945" w:rsidRPr="004C5945">
        <w:rPr>
          <w:lang w:val="en-US"/>
        </w:rPr>
        <w:t xml:space="preserve"> article 5 </w:t>
      </w:r>
      <w:r w:rsidR="008334EF">
        <w:rPr>
          <w:lang w:val="en-US"/>
        </w:rPr>
        <w:t>(</w:t>
      </w:r>
      <w:r w:rsidR="004C5945" w:rsidRPr="004C5945">
        <w:rPr>
          <w:lang w:val="en-US"/>
        </w:rPr>
        <w:t>para</w:t>
      </w:r>
      <w:r w:rsidR="008334EF">
        <w:rPr>
          <w:lang w:val="en-US"/>
        </w:rPr>
        <w:t>.</w:t>
      </w:r>
      <w:r w:rsidR="004C5945" w:rsidRPr="004C5945">
        <w:rPr>
          <w:lang w:val="en-US"/>
        </w:rPr>
        <w:t xml:space="preserve"> 1</w:t>
      </w:r>
      <w:r w:rsidR="008334EF">
        <w:rPr>
          <w:lang w:val="en-US"/>
        </w:rPr>
        <w:t>)</w:t>
      </w:r>
      <w:r w:rsidR="004C5945" w:rsidRPr="004C5945">
        <w:rPr>
          <w:lang w:val="en-US"/>
        </w:rPr>
        <w:t xml:space="preserve"> of the Optional Protocol. It recalls that in the absence of a reply from the State party, due weight must be given to the authors</w:t>
      </w:r>
      <w:r>
        <w:rPr>
          <w:lang w:val="en-US"/>
        </w:rPr>
        <w:t>’</w:t>
      </w:r>
      <w:r w:rsidR="004C5945" w:rsidRPr="004C5945">
        <w:rPr>
          <w:lang w:val="en-US"/>
        </w:rPr>
        <w:t xml:space="preserve"> allegations, to the extent that they are substantiated.</w:t>
      </w:r>
    </w:p>
    <w:p w:rsidR="00CA365F" w:rsidRDefault="00CB5D62" w:rsidP="00441103">
      <w:pPr>
        <w:pStyle w:val="SingleTxtG"/>
        <w:rPr>
          <w:lang w:val="en-US"/>
        </w:rPr>
      </w:pPr>
      <w:r>
        <w:rPr>
          <w:lang w:val="en-US"/>
        </w:rPr>
        <w:t>6</w:t>
      </w:r>
      <w:r w:rsidR="00E55B6C">
        <w:rPr>
          <w:lang w:val="en-US"/>
        </w:rPr>
        <w:t>.2</w:t>
      </w:r>
      <w:r w:rsidR="00E55B6C">
        <w:rPr>
          <w:lang w:val="en-US"/>
        </w:rPr>
        <w:tab/>
        <w:t>Regarding the author</w:t>
      </w:r>
      <w:r w:rsidR="004C5945" w:rsidRPr="004C5945">
        <w:rPr>
          <w:lang w:val="en-US"/>
        </w:rPr>
        <w:t>s</w:t>
      </w:r>
      <w:r w:rsidR="00E55B6C">
        <w:rPr>
          <w:lang w:val="en-US"/>
        </w:rPr>
        <w:t>’</w:t>
      </w:r>
      <w:r w:rsidR="004C5945" w:rsidRPr="004C5945">
        <w:rPr>
          <w:lang w:val="en-US"/>
        </w:rPr>
        <w:t xml:space="preserve"> claim under article 6</w:t>
      </w:r>
      <w:r w:rsidR="00F723B2" w:rsidRPr="00FE35FD">
        <w:t xml:space="preserve"> in relation to the arbitrary deprivation of </w:t>
      </w:r>
      <w:r w:rsidR="00F723B2">
        <w:rPr>
          <w:lang w:val="en-US"/>
        </w:rPr>
        <w:t>Sunil Hemachandra</w:t>
      </w:r>
      <w:r w:rsidR="00F723B2" w:rsidRPr="00FE35FD">
        <w:t xml:space="preserve">’s life, the Committee recalls </w:t>
      </w:r>
      <w:r w:rsidR="005B0319">
        <w:t>its jurisprudence, in which it determined</w:t>
      </w:r>
      <w:r w:rsidR="00830658">
        <w:t xml:space="preserve"> </w:t>
      </w:r>
      <w:r w:rsidR="00576FA5">
        <w:t xml:space="preserve">that </w:t>
      </w:r>
      <w:r w:rsidR="003269E4">
        <w:t>by arresting and detaining individuals, the State party takes the responsibility to care for their life,</w:t>
      </w:r>
      <w:r w:rsidR="003269E4">
        <w:rPr>
          <w:rStyle w:val="FootnoteReference"/>
        </w:rPr>
        <w:footnoteReference w:id="8"/>
      </w:r>
      <w:r w:rsidR="003269E4">
        <w:t xml:space="preserve"> and that </w:t>
      </w:r>
      <w:r w:rsidR="00F723B2">
        <w:t xml:space="preserve">a death in any type of custody should </w:t>
      </w:r>
      <w:r w:rsidR="00855EB4">
        <w:t>be regarded prima facie as a</w:t>
      </w:r>
      <w:r w:rsidR="00F723B2">
        <w:t xml:space="preserve"> summary or arbitrary </w:t>
      </w:r>
      <w:r w:rsidR="00977865">
        <w:t>execution</w:t>
      </w:r>
      <w:r w:rsidR="003269E4">
        <w:t>. Consequently, there</w:t>
      </w:r>
      <w:r w:rsidR="00F723B2">
        <w:t xml:space="preserve"> should be </w:t>
      </w:r>
      <w:r w:rsidR="00830658">
        <w:t xml:space="preserve">a </w:t>
      </w:r>
      <w:r w:rsidR="00F723B2">
        <w:t xml:space="preserve">thorough, prompt and impartial investigation to confirm or rebut </w:t>
      </w:r>
      <w:r w:rsidR="003269E4">
        <w:t xml:space="preserve">this </w:t>
      </w:r>
      <w:r w:rsidR="00F723B2">
        <w:t>presumption, especially when complaints by relatives or other reliable reports suggest unnatural death</w:t>
      </w:r>
      <w:r w:rsidR="004C5945" w:rsidRPr="004C5945">
        <w:rPr>
          <w:lang w:val="en-US"/>
        </w:rPr>
        <w:t>.</w:t>
      </w:r>
      <w:r w:rsidR="004C5945" w:rsidRPr="004C5945">
        <w:rPr>
          <w:vertAlign w:val="superscript"/>
          <w:lang w:val="en-US"/>
        </w:rPr>
        <w:footnoteReference w:id="9"/>
      </w:r>
      <w:r w:rsidR="004C5945" w:rsidRPr="004C5945">
        <w:rPr>
          <w:lang w:val="en-US"/>
        </w:rPr>
        <w:t xml:space="preserve"> </w:t>
      </w:r>
      <w:r w:rsidR="00795513">
        <w:rPr>
          <w:lang w:val="en-US"/>
        </w:rPr>
        <w:t xml:space="preserve">Sunil Hemachandra was arrested on 22 July 2003 at his place of residence by </w:t>
      </w:r>
      <w:r w:rsidR="00441103">
        <w:rPr>
          <w:lang w:val="en-US"/>
        </w:rPr>
        <w:t xml:space="preserve">officers </w:t>
      </w:r>
      <w:r w:rsidR="00795513">
        <w:rPr>
          <w:lang w:val="en-US"/>
        </w:rPr>
        <w:t xml:space="preserve">of Moragahahena </w:t>
      </w:r>
      <w:r w:rsidR="0006748B">
        <w:rPr>
          <w:lang w:val="en-US"/>
        </w:rPr>
        <w:t>P</w:t>
      </w:r>
      <w:r w:rsidR="00795513">
        <w:rPr>
          <w:lang w:val="en-US"/>
        </w:rPr>
        <w:t>olice</w:t>
      </w:r>
      <w:r w:rsidR="00AF71D5">
        <w:rPr>
          <w:lang w:val="en-US"/>
        </w:rPr>
        <w:t xml:space="preserve"> </w:t>
      </w:r>
      <w:r w:rsidR="0006748B">
        <w:rPr>
          <w:lang w:val="en-US"/>
        </w:rPr>
        <w:t>S</w:t>
      </w:r>
      <w:r w:rsidR="00AF71D5">
        <w:rPr>
          <w:lang w:val="en-US"/>
        </w:rPr>
        <w:t>tation</w:t>
      </w:r>
      <w:r w:rsidR="00795513">
        <w:rPr>
          <w:lang w:val="en-US"/>
        </w:rPr>
        <w:t xml:space="preserve">. </w:t>
      </w:r>
      <w:r w:rsidR="00B17BF3">
        <w:rPr>
          <w:lang w:val="en-US"/>
        </w:rPr>
        <w:t>Four days later, that is</w:t>
      </w:r>
      <w:r w:rsidR="00367C53">
        <w:rPr>
          <w:lang w:val="en-US"/>
        </w:rPr>
        <w:t>,</w:t>
      </w:r>
      <w:r w:rsidR="00B17BF3">
        <w:rPr>
          <w:lang w:val="en-US"/>
        </w:rPr>
        <w:t xml:space="preserve"> on 26 July 2003, he died in the </w:t>
      </w:r>
      <w:r w:rsidR="000F3E45">
        <w:rPr>
          <w:lang w:val="en-US"/>
        </w:rPr>
        <w:t>n</w:t>
      </w:r>
      <w:r w:rsidR="00677634">
        <w:rPr>
          <w:lang w:val="en-US"/>
        </w:rPr>
        <w:t xml:space="preserve">ational </w:t>
      </w:r>
      <w:r w:rsidR="000F3E45">
        <w:rPr>
          <w:lang w:val="en-US"/>
        </w:rPr>
        <w:t>h</w:t>
      </w:r>
      <w:r w:rsidR="00677634">
        <w:rPr>
          <w:lang w:val="en-US"/>
        </w:rPr>
        <w:t>ospital in Colombo</w:t>
      </w:r>
      <w:r w:rsidR="00B17BF3">
        <w:rPr>
          <w:lang w:val="en-US"/>
        </w:rPr>
        <w:t xml:space="preserve"> as a </w:t>
      </w:r>
      <w:r w:rsidR="00616B59">
        <w:rPr>
          <w:lang w:val="en-US"/>
        </w:rPr>
        <w:t xml:space="preserve">direct </w:t>
      </w:r>
      <w:r w:rsidR="00B17BF3">
        <w:rPr>
          <w:lang w:val="en-US"/>
        </w:rPr>
        <w:t xml:space="preserve">result of an “acute subdural hemorrhage following a head injury caused by blunt trauma”. </w:t>
      </w:r>
      <w:r w:rsidR="00B36CC2">
        <w:rPr>
          <w:lang w:val="en-US"/>
        </w:rPr>
        <w:t xml:space="preserve">Although the victim was bleeding uninterruptedly, and was </w:t>
      </w:r>
      <w:r w:rsidR="000F3E45">
        <w:rPr>
          <w:lang w:val="en-US"/>
        </w:rPr>
        <w:t>visibly in a</w:t>
      </w:r>
      <w:r w:rsidR="00B36CC2">
        <w:rPr>
          <w:lang w:val="en-US"/>
        </w:rPr>
        <w:t xml:space="preserve"> critical medical condition the day after </w:t>
      </w:r>
      <w:r w:rsidR="000F3E45">
        <w:rPr>
          <w:lang w:val="en-US"/>
        </w:rPr>
        <w:t>he was arrested and placed</w:t>
      </w:r>
      <w:r w:rsidR="00B36CC2">
        <w:rPr>
          <w:lang w:val="en-US"/>
        </w:rPr>
        <w:t xml:space="preserve"> in detention</w:t>
      </w:r>
      <w:r w:rsidR="00AF71D5">
        <w:rPr>
          <w:lang w:val="en-US"/>
        </w:rPr>
        <w:t xml:space="preserve"> (</w:t>
      </w:r>
      <w:r w:rsidR="000F3E45">
        <w:rPr>
          <w:lang w:val="en-US"/>
        </w:rPr>
        <w:t xml:space="preserve">i.e. </w:t>
      </w:r>
      <w:r w:rsidR="00B36CC2">
        <w:rPr>
          <w:lang w:val="en-US"/>
        </w:rPr>
        <w:t>on 23 July 2003</w:t>
      </w:r>
      <w:r w:rsidR="00AF71D5">
        <w:rPr>
          <w:lang w:val="en-US"/>
        </w:rPr>
        <w:t>)</w:t>
      </w:r>
      <w:r w:rsidR="00B36CC2">
        <w:rPr>
          <w:lang w:val="en-US"/>
        </w:rPr>
        <w:t xml:space="preserve">, the police failed to seek medical </w:t>
      </w:r>
      <w:r w:rsidR="00AE7BB8">
        <w:rPr>
          <w:lang w:val="en-US"/>
        </w:rPr>
        <w:t>assistance for at least three hours (para</w:t>
      </w:r>
      <w:r w:rsidR="009E4B65">
        <w:rPr>
          <w:lang w:val="en-US"/>
        </w:rPr>
        <w:t>s</w:t>
      </w:r>
      <w:r w:rsidR="002830F7">
        <w:rPr>
          <w:lang w:val="en-US"/>
        </w:rPr>
        <w:t>. </w:t>
      </w:r>
      <w:r w:rsidR="00AE7BB8">
        <w:rPr>
          <w:lang w:val="en-US"/>
        </w:rPr>
        <w:t>2.7 and</w:t>
      </w:r>
      <w:r w:rsidR="006836EE">
        <w:rPr>
          <w:lang w:val="en-US"/>
        </w:rPr>
        <w:t> </w:t>
      </w:r>
      <w:r w:rsidR="00AE7BB8">
        <w:rPr>
          <w:lang w:val="en-US"/>
        </w:rPr>
        <w:t>3.3).</w:t>
      </w:r>
    </w:p>
    <w:p w:rsidR="00FD4B4A" w:rsidRPr="00345CED" w:rsidRDefault="00CA365F" w:rsidP="00BA04FC">
      <w:pPr>
        <w:pStyle w:val="SingleTxtG"/>
        <w:rPr>
          <w:lang w:val="en-US"/>
        </w:rPr>
      </w:pPr>
      <w:r>
        <w:rPr>
          <w:lang w:val="en-US"/>
        </w:rPr>
        <w:t>6.3</w:t>
      </w:r>
      <w:r>
        <w:rPr>
          <w:lang w:val="en-US"/>
        </w:rPr>
        <w:tab/>
      </w:r>
      <w:r w:rsidR="004C5945" w:rsidRPr="004C5945">
        <w:rPr>
          <w:lang w:val="en-US"/>
        </w:rPr>
        <w:t>The Committee recalls that criminal investigation and consequential prosecution are necessary remedies for violations of human rights such as those protected by articles 6 and</w:t>
      </w:r>
      <w:r w:rsidR="00441103">
        <w:rPr>
          <w:lang w:val="en-US"/>
        </w:rPr>
        <w:t> </w:t>
      </w:r>
      <w:r w:rsidR="004C5945" w:rsidRPr="004C5945">
        <w:rPr>
          <w:lang w:val="en-US"/>
        </w:rPr>
        <w:t>7 of the Covenant.</w:t>
      </w:r>
      <w:r w:rsidR="004C5945" w:rsidRPr="004C5945">
        <w:rPr>
          <w:vertAlign w:val="superscript"/>
          <w:lang w:val="en-US"/>
        </w:rPr>
        <w:footnoteReference w:id="10"/>
      </w:r>
      <w:r w:rsidR="004C5945" w:rsidRPr="004C5945">
        <w:rPr>
          <w:lang w:val="en-US"/>
        </w:rPr>
        <w:t xml:space="preserve"> In the instant case, the Committee observes that </w:t>
      </w:r>
      <w:r w:rsidR="00FD4B4A">
        <w:rPr>
          <w:lang w:val="en-US"/>
        </w:rPr>
        <w:t xml:space="preserve">all investigative </w:t>
      </w:r>
      <w:r w:rsidR="00FD4B4A">
        <w:rPr>
          <w:lang w:val="en-US"/>
        </w:rPr>
        <w:lastRenderedPageBreak/>
        <w:t xml:space="preserve">steps </w:t>
      </w:r>
      <w:r w:rsidR="00441103">
        <w:rPr>
          <w:lang w:val="en-US"/>
        </w:rPr>
        <w:t xml:space="preserve">taken </w:t>
      </w:r>
      <w:r w:rsidR="00FD4B4A">
        <w:rPr>
          <w:lang w:val="en-US"/>
        </w:rPr>
        <w:t xml:space="preserve">by the State party were carried out by </w:t>
      </w:r>
      <w:r w:rsidR="00441103">
        <w:rPr>
          <w:lang w:val="en-US"/>
        </w:rPr>
        <w:t xml:space="preserve">officers </w:t>
      </w:r>
      <w:r w:rsidR="00FD4B4A">
        <w:rPr>
          <w:lang w:val="en-US"/>
        </w:rPr>
        <w:t xml:space="preserve">of Moragahahena Police Station, </w:t>
      </w:r>
      <w:r w:rsidR="00441103">
        <w:rPr>
          <w:lang w:val="en-US"/>
        </w:rPr>
        <w:t>that is,</w:t>
      </w:r>
      <w:r w:rsidR="00150E8E">
        <w:rPr>
          <w:lang w:val="en-US"/>
        </w:rPr>
        <w:t xml:space="preserve"> the same police forces </w:t>
      </w:r>
      <w:r w:rsidR="00441103">
        <w:rPr>
          <w:lang w:val="en-US"/>
        </w:rPr>
        <w:t xml:space="preserve">that </w:t>
      </w:r>
      <w:r w:rsidR="00FD4B4A">
        <w:rPr>
          <w:lang w:val="en-US"/>
        </w:rPr>
        <w:t>arrested and detained Sunil Hemachandra (para.</w:t>
      </w:r>
      <w:r w:rsidR="002830F7">
        <w:rPr>
          <w:lang w:val="en-US"/>
        </w:rPr>
        <w:t> </w:t>
      </w:r>
      <w:r w:rsidR="00FD4B4A">
        <w:rPr>
          <w:lang w:val="en-US"/>
        </w:rPr>
        <w:t>3.9)</w:t>
      </w:r>
      <w:r w:rsidR="00977865">
        <w:rPr>
          <w:lang w:val="en-US"/>
        </w:rPr>
        <w:t xml:space="preserve">; </w:t>
      </w:r>
      <w:r w:rsidR="00345CED">
        <w:rPr>
          <w:lang w:val="en-US"/>
        </w:rPr>
        <w:t xml:space="preserve">that the </w:t>
      </w:r>
      <w:r w:rsidR="00345CED" w:rsidRPr="0023307A">
        <w:t>investigation</w:t>
      </w:r>
      <w:r w:rsidR="00345CED">
        <w:rPr>
          <w:lang w:val="en-US"/>
        </w:rPr>
        <w:t xml:space="preserve"> ordered on 8 August 2003 by the M</w:t>
      </w:r>
      <w:r w:rsidR="00D72AF8">
        <w:rPr>
          <w:lang w:val="en-US"/>
        </w:rPr>
        <w:t>agistrate of Horana was closed</w:t>
      </w:r>
      <w:r w:rsidR="00441103">
        <w:rPr>
          <w:lang w:val="en-US"/>
        </w:rPr>
        <w:t>,</w:t>
      </w:r>
      <w:r w:rsidR="00D72AF8">
        <w:rPr>
          <w:lang w:val="en-US"/>
        </w:rPr>
        <w:t xml:space="preserve"> </w:t>
      </w:r>
      <w:r w:rsidR="00345CED">
        <w:rPr>
          <w:lang w:val="en-US"/>
        </w:rPr>
        <w:t>further to the Attorney General’s decision of 29 April 2004</w:t>
      </w:r>
      <w:r w:rsidR="00D72AF8">
        <w:rPr>
          <w:lang w:val="en-US"/>
        </w:rPr>
        <w:t xml:space="preserve"> not to pursue charges for assault</w:t>
      </w:r>
      <w:r w:rsidR="00345CED">
        <w:rPr>
          <w:lang w:val="en-US"/>
        </w:rPr>
        <w:t xml:space="preserve">; </w:t>
      </w:r>
      <w:r w:rsidR="00977865">
        <w:rPr>
          <w:lang w:val="en-US"/>
        </w:rPr>
        <w:t xml:space="preserve">that it took the Supreme Court seven years to </w:t>
      </w:r>
      <w:r w:rsidR="00403DCB">
        <w:rPr>
          <w:lang w:val="en-US"/>
        </w:rPr>
        <w:t>rule on the fundamental rights pet</w:t>
      </w:r>
      <w:r w:rsidR="00D72AF8">
        <w:rPr>
          <w:lang w:val="en-US"/>
        </w:rPr>
        <w:t xml:space="preserve">ition filed by the authors; </w:t>
      </w:r>
      <w:r w:rsidR="00441103">
        <w:rPr>
          <w:lang w:val="en-US"/>
        </w:rPr>
        <w:t xml:space="preserve">and </w:t>
      </w:r>
      <w:r w:rsidR="00D72AF8">
        <w:rPr>
          <w:lang w:val="en-US"/>
        </w:rPr>
        <w:t xml:space="preserve">that in </w:t>
      </w:r>
      <w:r w:rsidR="000047EE">
        <w:rPr>
          <w:lang w:val="en-US"/>
        </w:rPr>
        <w:t>its</w:t>
      </w:r>
      <w:r w:rsidR="00D72AF8">
        <w:rPr>
          <w:lang w:val="en-US"/>
        </w:rPr>
        <w:t xml:space="preserve"> decision</w:t>
      </w:r>
      <w:r w:rsidR="002470E7">
        <w:rPr>
          <w:lang w:val="en-US"/>
        </w:rPr>
        <w:t xml:space="preserve"> </w:t>
      </w:r>
      <w:r w:rsidR="00D72AF8">
        <w:rPr>
          <w:lang w:val="en-US"/>
        </w:rPr>
        <w:t xml:space="preserve">of </w:t>
      </w:r>
      <w:r w:rsidR="0027790E">
        <w:rPr>
          <w:lang w:val="en-US"/>
        </w:rPr>
        <w:t>6 August 2010</w:t>
      </w:r>
      <w:r w:rsidR="00D72AF8">
        <w:rPr>
          <w:lang w:val="en-US"/>
        </w:rPr>
        <w:t xml:space="preserve">, </w:t>
      </w:r>
      <w:r w:rsidR="00151FF4">
        <w:rPr>
          <w:lang w:val="en-US"/>
        </w:rPr>
        <w:t xml:space="preserve">the Supreme Court discarded the possibility of the victim’s custodial death </w:t>
      </w:r>
      <w:r w:rsidR="00441103">
        <w:rPr>
          <w:lang w:val="en-US"/>
        </w:rPr>
        <w:t xml:space="preserve">being </w:t>
      </w:r>
      <w:r w:rsidR="00151FF4">
        <w:rPr>
          <w:lang w:val="en-US"/>
        </w:rPr>
        <w:t xml:space="preserve">a result of torture, without ordering any independent investigation to ascertain the facts and </w:t>
      </w:r>
      <w:r w:rsidR="000047EE">
        <w:rPr>
          <w:lang w:val="en-US"/>
        </w:rPr>
        <w:t>identify</w:t>
      </w:r>
      <w:r w:rsidR="00151FF4">
        <w:rPr>
          <w:lang w:val="en-US"/>
        </w:rPr>
        <w:t xml:space="preserve"> possible perpetrators</w:t>
      </w:r>
      <w:r w:rsidR="001A19AC">
        <w:rPr>
          <w:lang w:val="en-US"/>
        </w:rPr>
        <w:t>:</w:t>
      </w:r>
      <w:r w:rsidR="000A20DA">
        <w:rPr>
          <w:lang w:val="en-US"/>
        </w:rPr>
        <w:t xml:space="preserve"> </w:t>
      </w:r>
      <w:r w:rsidR="00441103">
        <w:rPr>
          <w:lang w:val="en-US"/>
        </w:rPr>
        <w:t>n</w:t>
      </w:r>
      <w:r w:rsidR="00151FF4">
        <w:rPr>
          <w:lang w:val="en-US"/>
        </w:rPr>
        <w:t>o police officer was identified as a suspect</w:t>
      </w:r>
      <w:r w:rsidR="005F0DD2">
        <w:rPr>
          <w:lang w:val="en-US"/>
        </w:rPr>
        <w:t xml:space="preserve"> or</w:t>
      </w:r>
      <w:r w:rsidR="00151FF4">
        <w:rPr>
          <w:lang w:val="en-US"/>
        </w:rPr>
        <w:t xml:space="preserve"> interrogated, let alone </w:t>
      </w:r>
      <w:r w:rsidR="005F0DD2">
        <w:rPr>
          <w:lang w:val="en-US"/>
        </w:rPr>
        <w:t xml:space="preserve">being </w:t>
      </w:r>
      <w:r w:rsidR="00151FF4">
        <w:rPr>
          <w:lang w:val="en-US"/>
        </w:rPr>
        <w:t xml:space="preserve">suspended or brought to justice. </w:t>
      </w:r>
      <w:r w:rsidR="004C5945" w:rsidRPr="004C5945">
        <w:rPr>
          <w:lang w:val="en-US"/>
        </w:rPr>
        <w:t xml:space="preserve">In the absence of any </w:t>
      </w:r>
      <w:r w:rsidR="00FD4B4A">
        <w:rPr>
          <w:lang w:val="en-US"/>
        </w:rPr>
        <w:t>explanation by the State party</w:t>
      </w:r>
      <w:r w:rsidR="00FC7E17">
        <w:rPr>
          <w:lang w:val="en-US"/>
        </w:rPr>
        <w:t xml:space="preserve">, the Committee concludes that </w:t>
      </w:r>
      <w:r w:rsidR="00A749ED" w:rsidRPr="00FE35FD">
        <w:t xml:space="preserve">the State party’s investigations into the suspicious circumstances of the death of </w:t>
      </w:r>
      <w:r w:rsidR="00A749ED">
        <w:t>Sunil Hemachandra</w:t>
      </w:r>
      <w:r w:rsidR="00A749ED" w:rsidRPr="00FE35FD">
        <w:t xml:space="preserve"> were inadequate</w:t>
      </w:r>
      <w:r w:rsidR="00A749ED">
        <w:t xml:space="preserve">. The Committee concludes that </w:t>
      </w:r>
      <w:r w:rsidR="00FD4B4A" w:rsidRPr="004C5945">
        <w:rPr>
          <w:lang w:val="en-US"/>
        </w:rPr>
        <w:t xml:space="preserve">the </w:t>
      </w:r>
      <w:r w:rsidR="00A217AA">
        <w:rPr>
          <w:lang w:val="en-US"/>
        </w:rPr>
        <w:t xml:space="preserve">State party’s authorities, either by act or omission, </w:t>
      </w:r>
      <w:r w:rsidR="008F56F7">
        <w:rPr>
          <w:lang w:val="en-US"/>
        </w:rPr>
        <w:t xml:space="preserve">are </w:t>
      </w:r>
      <w:r w:rsidR="00A217AA">
        <w:rPr>
          <w:lang w:val="en-US"/>
        </w:rPr>
        <w:t>responsible for not taking adequate measures to protect Sunil Hemachandra’s life</w:t>
      </w:r>
      <w:r w:rsidR="008308CE">
        <w:rPr>
          <w:lang w:val="en-US"/>
        </w:rPr>
        <w:t xml:space="preserve">, and to </w:t>
      </w:r>
      <w:r w:rsidR="008308CE" w:rsidRPr="00515833">
        <w:t xml:space="preserve">properly investigate </w:t>
      </w:r>
      <w:r w:rsidR="008308CE">
        <w:t>his</w:t>
      </w:r>
      <w:r w:rsidR="008308CE" w:rsidRPr="00515833">
        <w:t xml:space="preserve"> death </w:t>
      </w:r>
      <w:r w:rsidR="008308CE">
        <w:t>and</w:t>
      </w:r>
      <w:r w:rsidR="008308CE" w:rsidRPr="00515833">
        <w:t xml:space="preserve"> take appropriate action against those found responsible</w:t>
      </w:r>
      <w:r w:rsidR="008308CE">
        <w:t xml:space="preserve">, </w:t>
      </w:r>
      <w:r w:rsidR="008308CE">
        <w:rPr>
          <w:lang w:val="en-US"/>
        </w:rPr>
        <w:t>in breach of</w:t>
      </w:r>
      <w:r w:rsidR="007601B5">
        <w:rPr>
          <w:lang w:val="en-US"/>
        </w:rPr>
        <w:t xml:space="preserve"> </w:t>
      </w:r>
      <w:r w:rsidR="008308CE" w:rsidRPr="004C5945">
        <w:rPr>
          <w:lang w:val="en-US"/>
        </w:rPr>
        <w:t xml:space="preserve">article 6 </w:t>
      </w:r>
      <w:r w:rsidR="00D27E5A">
        <w:rPr>
          <w:lang w:val="en-US"/>
        </w:rPr>
        <w:t>(</w:t>
      </w:r>
      <w:r w:rsidR="008308CE">
        <w:rPr>
          <w:lang w:val="en-US"/>
        </w:rPr>
        <w:t>para</w:t>
      </w:r>
      <w:r w:rsidR="00D27E5A">
        <w:rPr>
          <w:lang w:val="en-US"/>
        </w:rPr>
        <w:t>.</w:t>
      </w:r>
      <w:r w:rsidR="008308CE">
        <w:rPr>
          <w:lang w:val="en-US"/>
        </w:rPr>
        <w:t xml:space="preserve"> 1</w:t>
      </w:r>
      <w:r w:rsidR="00D27E5A">
        <w:rPr>
          <w:lang w:val="en-US"/>
        </w:rPr>
        <w:t>)</w:t>
      </w:r>
      <w:r w:rsidR="008308CE">
        <w:rPr>
          <w:lang w:val="en-US"/>
        </w:rPr>
        <w:t xml:space="preserve">, read alone and in conjunction with article 2 </w:t>
      </w:r>
      <w:r w:rsidR="00D27E5A">
        <w:rPr>
          <w:lang w:val="en-US"/>
        </w:rPr>
        <w:t>(</w:t>
      </w:r>
      <w:r w:rsidR="008308CE">
        <w:rPr>
          <w:lang w:val="en-US"/>
        </w:rPr>
        <w:t>para</w:t>
      </w:r>
      <w:r w:rsidR="00D27E5A">
        <w:rPr>
          <w:lang w:val="en-US"/>
        </w:rPr>
        <w:t>.</w:t>
      </w:r>
      <w:r w:rsidR="008308CE">
        <w:rPr>
          <w:lang w:val="en-US"/>
        </w:rPr>
        <w:t xml:space="preserve"> 3</w:t>
      </w:r>
      <w:r w:rsidR="00D27E5A">
        <w:rPr>
          <w:lang w:val="en-US"/>
        </w:rPr>
        <w:t>),</w:t>
      </w:r>
      <w:r w:rsidR="008308CE">
        <w:rPr>
          <w:lang w:val="en-US"/>
        </w:rPr>
        <w:t xml:space="preserve"> of the Covenant.</w:t>
      </w:r>
    </w:p>
    <w:p w:rsidR="00C60888" w:rsidRDefault="00234DAC" w:rsidP="00F94B90">
      <w:pPr>
        <w:pStyle w:val="SingleTxtG"/>
      </w:pPr>
      <w:r>
        <w:rPr>
          <w:lang w:val="en-US"/>
        </w:rPr>
        <w:t>6</w:t>
      </w:r>
      <w:r w:rsidR="004C5945" w:rsidRPr="004C5945">
        <w:rPr>
          <w:lang w:val="en-US"/>
        </w:rPr>
        <w:t>.</w:t>
      </w:r>
      <w:r w:rsidR="00E17EFB">
        <w:rPr>
          <w:lang w:val="en-US"/>
        </w:rPr>
        <w:t>4</w:t>
      </w:r>
      <w:r w:rsidR="004C5945" w:rsidRPr="004C5945">
        <w:rPr>
          <w:lang w:val="en-US"/>
        </w:rPr>
        <w:tab/>
      </w:r>
      <w:r w:rsidR="007601B5">
        <w:rPr>
          <w:lang w:val="en-US"/>
        </w:rPr>
        <w:t xml:space="preserve">The Committee </w:t>
      </w:r>
      <w:r w:rsidR="00D27E5A">
        <w:rPr>
          <w:lang w:val="en-US"/>
        </w:rPr>
        <w:t xml:space="preserve">takes </w:t>
      </w:r>
      <w:r w:rsidR="007601B5">
        <w:rPr>
          <w:lang w:val="en-US"/>
        </w:rPr>
        <w:t>note of the</w:t>
      </w:r>
      <w:r w:rsidR="00051D3C">
        <w:rPr>
          <w:lang w:val="en-US"/>
        </w:rPr>
        <w:t xml:space="preserve"> authors’ allegations under article 7</w:t>
      </w:r>
      <w:r w:rsidR="00664EEE">
        <w:rPr>
          <w:lang w:val="en-US"/>
        </w:rPr>
        <w:t xml:space="preserve"> </w:t>
      </w:r>
      <w:r w:rsidR="00051D3C">
        <w:rPr>
          <w:lang w:val="en-US"/>
        </w:rPr>
        <w:t>of the Covenant with respect to Sunil Hemachandra</w:t>
      </w:r>
      <w:r w:rsidR="00732339">
        <w:rPr>
          <w:lang w:val="en-US"/>
        </w:rPr>
        <w:t xml:space="preserve">, </w:t>
      </w:r>
      <w:r w:rsidR="00D27E5A">
        <w:rPr>
          <w:lang w:val="en-US"/>
        </w:rPr>
        <w:t xml:space="preserve">namely </w:t>
      </w:r>
      <w:r w:rsidR="00732339">
        <w:rPr>
          <w:lang w:val="en-US"/>
        </w:rPr>
        <w:t>that he was subjected to severe beatings on the</w:t>
      </w:r>
      <w:r w:rsidR="00732339" w:rsidRPr="00732339">
        <w:rPr>
          <w:lang w:val="en-US"/>
        </w:rPr>
        <w:t xml:space="preserve"> </w:t>
      </w:r>
      <w:r w:rsidR="00732339">
        <w:rPr>
          <w:lang w:val="en-US"/>
        </w:rPr>
        <w:t xml:space="preserve">head and abdomen during the course of his arrest and </w:t>
      </w:r>
      <w:r w:rsidR="00D27E5A">
        <w:rPr>
          <w:lang w:val="en-US"/>
        </w:rPr>
        <w:t xml:space="preserve">his </w:t>
      </w:r>
      <w:r w:rsidR="00732339">
        <w:rPr>
          <w:lang w:val="en-US"/>
        </w:rPr>
        <w:t xml:space="preserve">transfer to the </w:t>
      </w:r>
      <w:r w:rsidR="0006748B">
        <w:rPr>
          <w:lang w:val="en-US"/>
        </w:rPr>
        <w:t>Moragahahena Police Station</w:t>
      </w:r>
      <w:r w:rsidR="00732339">
        <w:rPr>
          <w:lang w:val="en-US"/>
        </w:rPr>
        <w:t xml:space="preserve"> </w:t>
      </w:r>
      <w:r w:rsidR="0036000B">
        <w:rPr>
          <w:lang w:val="en-US"/>
        </w:rPr>
        <w:t xml:space="preserve">detention facility </w:t>
      </w:r>
      <w:r w:rsidR="00732339">
        <w:rPr>
          <w:lang w:val="en-US"/>
        </w:rPr>
        <w:t xml:space="preserve">on </w:t>
      </w:r>
      <w:r w:rsidR="0036000B">
        <w:rPr>
          <w:lang w:val="en-US"/>
        </w:rPr>
        <w:t>22 July 2003</w:t>
      </w:r>
      <w:r w:rsidR="00C60888">
        <w:rPr>
          <w:lang w:val="en-US"/>
        </w:rPr>
        <w:t xml:space="preserve">. </w:t>
      </w:r>
      <w:r w:rsidR="00D27E5A">
        <w:rPr>
          <w:lang w:val="en-US"/>
        </w:rPr>
        <w:t>Furthermore, t</w:t>
      </w:r>
      <w:r w:rsidR="00C60888">
        <w:rPr>
          <w:lang w:val="en-US"/>
        </w:rPr>
        <w:t>he Committee</w:t>
      </w:r>
      <w:r w:rsidR="00DE4B82">
        <w:rPr>
          <w:lang w:val="en-US"/>
        </w:rPr>
        <w:t xml:space="preserve"> </w:t>
      </w:r>
      <w:r w:rsidR="00C60888">
        <w:rPr>
          <w:lang w:val="en-US"/>
        </w:rPr>
        <w:t>observes that despite his</w:t>
      </w:r>
      <w:r w:rsidR="00C60888">
        <w:t xml:space="preserve"> critical medical condition</w:t>
      </w:r>
      <w:r w:rsidR="00DE4B82">
        <w:t xml:space="preserve"> on the following day</w:t>
      </w:r>
      <w:r w:rsidR="00C60888">
        <w:t xml:space="preserve">, characterized by uninterrupted bleeding, to which the detention authorities were alerted, the </w:t>
      </w:r>
      <w:r w:rsidR="00DE4B82">
        <w:t>latter</w:t>
      </w:r>
      <w:r w:rsidR="00C60888">
        <w:t xml:space="preserve"> failed to seek medical assistance for several hours (para</w:t>
      </w:r>
      <w:r w:rsidR="00F94B90">
        <w:t>s</w:t>
      </w:r>
      <w:r w:rsidR="002830F7">
        <w:t>. </w:t>
      </w:r>
      <w:r w:rsidR="00C60888">
        <w:t>2.6. and 2.7).</w:t>
      </w:r>
      <w:r w:rsidR="00C60888" w:rsidRPr="00F260C3">
        <w:t xml:space="preserve"> </w:t>
      </w:r>
      <w:r w:rsidR="00C60888">
        <w:t>I</w:t>
      </w:r>
      <w:r w:rsidR="00C60888" w:rsidRPr="00F260C3">
        <w:t xml:space="preserve">n the absence of </w:t>
      </w:r>
      <w:r w:rsidR="00C60888">
        <w:t xml:space="preserve">any </w:t>
      </w:r>
      <w:r w:rsidR="00C60888" w:rsidRPr="00F260C3">
        <w:t xml:space="preserve">information from the State party in that regard, the Committee finds a violation of article </w:t>
      </w:r>
      <w:r w:rsidR="00C60888">
        <w:t>7 of the Covenant with respect to Sunil Hemachandra.</w:t>
      </w:r>
    </w:p>
    <w:p w:rsidR="00051D3C" w:rsidRPr="003C1C92" w:rsidRDefault="00DE4B82" w:rsidP="00F94B90">
      <w:pPr>
        <w:pStyle w:val="SingleTxtG"/>
      </w:pPr>
      <w:r>
        <w:t>6.</w:t>
      </w:r>
      <w:r w:rsidR="00E17EFB">
        <w:t>5</w:t>
      </w:r>
      <w:r>
        <w:tab/>
        <w:t xml:space="preserve">Having found a violation of articles 6 and 7 of the Covenant, the Committee </w:t>
      </w:r>
      <w:r w:rsidR="002D0441">
        <w:t>will not</w:t>
      </w:r>
      <w:r>
        <w:t xml:space="preserve"> examine separately the authors’ allegations under article 10 of the Covenant.</w:t>
      </w:r>
    </w:p>
    <w:p w:rsidR="00051D3C" w:rsidRPr="00670AF5" w:rsidRDefault="00051D3C" w:rsidP="002E08F4">
      <w:pPr>
        <w:pStyle w:val="SingleTxtG"/>
      </w:pPr>
      <w:r>
        <w:rPr>
          <w:lang w:val="en-US"/>
        </w:rPr>
        <w:t>6.</w:t>
      </w:r>
      <w:r w:rsidR="00E17EFB">
        <w:rPr>
          <w:lang w:val="en-US"/>
        </w:rPr>
        <w:t>6</w:t>
      </w:r>
      <w:r>
        <w:rPr>
          <w:lang w:val="en-US"/>
        </w:rPr>
        <w:tab/>
      </w:r>
      <w:r w:rsidR="00977865" w:rsidRPr="00FE35FD">
        <w:t>The Committee</w:t>
      </w:r>
      <w:r w:rsidR="00977865">
        <w:t xml:space="preserve"> </w:t>
      </w:r>
      <w:r w:rsidR="00D27E5A">
        <w:t xml:space="preserve">takes </w:t>
      </w:r>
      <w:r w:rsidR="00977865">
        <w:t>note of the authors’</w:t>
      </w:r>
      <w:r w:rsidR="00043D1E">
        <w:t xml:space="preserve"> allegation that</w:t>
      </w:r>
      <w:r w:rsidR="00F94B90">
        <w:t>,</w:t>
      </w:r>
      <w:r w:rsidR="00043D1E">
        <w:t xml:space="preserve"> by failing to launch appropriate investigations into their son and nephew’s death, the State party h</w:t>
      </w:r>
      <w:r w:rsidR="00D72AF8">
        <w:t>as left them in continuous mental</w:t>
      </w:r>
      <w:r w:rsidR="00043D1E">
        <w:t xml:space="preserve"> suffering. The Committee observes that </w:t>
      </w:r>
      <w:r w:rsidR="00977865" w:rsidRPr="00FE35FD">
        <w:t xml:space="preserve">although </w:t>
      </w:r>
      <w:r w:rsidR="00CB7028">
        <w:t>close to 12</w:t>
      </w:r>
      <w:r w:rsidR="002830F7">
        <w:t> </w:t>
      </w:r>
      <w:r w:rsidR="00CB7028">
        <w:t>years</w:t>
      </w:r>
      <w:r w:rsidR="00977865" w:rsidRPr="00FE35FD">
        <w:t xml:space="preserve"> have elapsed since the death of </w:t>
      </w:r>
      <w:r w:rsidR="00CB7028">
        <w:rPr>
          <w:lang w:val="en-US"/>
        </w:rPr>
        <w:t>Sunil Hemachandra</w:t>
      </w:r>
      <w:r w:rsidR="00977865" w:rsidRPr="00FE35FD">
        <w:t>, the author</w:t>
      </w:r>
      <w:r w:rsidR="00CB7028">
        <w:t>s</w:t>
      </w:r>
      <w:r w:rsidR="002D0441">
        <w:t xml:space="preserve"> still do</w:t>
      </w:r>
      <w:r w:rsidR="00977865" w:rsidRPr="00FE35FD">
        <w:t xml:space="preserve"> not know the exact circumstances surrounding it</w:t>
      </w:r>
      <w:r w:rsidR="002E08F4">
        <w:t>,</w:t>
      </w:r>
      <w:r w:rsidR="00977865" w:rsidRPr="00FE35FD">
        <w:t xml:space="preserve"> and the State party’s authorities have not indicted, prosecuted or brought to justice anyone in connection with this custodial death in the suspicious circumstances</w:t>
      </w:r>
      <w:r w:rsidR="00CB7028">
        <w:t xml:space="preserve"> </w:t>
      </w:r>
      <w:r w:rsidR="002E08F4">
        <w:t>already described</w:t>
      </w:r>
      <w:r w:rsidR="00977865" w:rsidRPr="00FE35FD">
        <w:t xml:space="preserve">. The Committee </w:t>
      </w:r>
      <w:r w:rsidR="00CB7028">
        <w:t>acknowledges</w:t>
      </w:r>
      <w:r w:rsidR="00977865" w:rsidRPr="00FE35FD">
        <w:t xml:space="preserve"> the continued anguish and mental stress caused to the author</w:t>
      </w:r>
      <w:r w:rsidR="00CB7028">
        <w:t>s</w:t>
      </w:r>
      <w:r w:rsidR="00977865" w:rsidRPr="00FE35FD">
        <w:t xml:space="preserve">, as </w:t>
      </w:r>
      <w:r w:rsidR="00CB7028">
        <w:t xml:space="preserve">close relatives </w:t>
      </w:r>
      <w:r w:rsidR="00977865" w:rsidRPr="00FE35FD">
        <w:t>of a deceased detainee</w:t>
      </w:r>
      <w:r w:rsidR="00977865">
        <w:t xml:space="preserve">, and considers that it amounts to </w:t>
      </w:r>
      <w:r w:rsidR="00DD7AB0">
        <w:t xml:space="preserve">a breach of article 2 </w:t>
      </w:r>
      <w:r w:rsidR="002E08F4">
        <w:t>(</w:t>
      </w:r>
      <w:r w:rsidR="00DD7AB0">
        <w:t>para</w:t>
      </w:r>
      <w:r w:rsidR="002E08F4">
        <w:t>.</w:t>
      </w:r>
      <w:r w:rsidR="00DD7AB0">
        <w:t xml:space="preserve"> 3</w:t>
      </w:r>
      <w:r w:rsidR="002E08F4">
        <w:t>)</w:t>
      </w:r>
      <w:r w:rsidR="00CB7028">
        <w:t xml:space="preserve">, </w:t>
      </w:r>
      <w:r w:rsidR="00670AF5">
        <w:t xml:space="preserve">read in conjunction with article </w:t>
      </w:r>
      <w:r w:rsidR="00DD7AB0">
        <w:t>7</w:t>
      </w:r>
      <w:r w:rsidR="002E08F4">
        <w:t>,</w:t>
      </w:r>
      <w:r w:rsidR="00670AF5">
        <w:t xml:space="preserve"> of the Covenant</w:t>
      </w:r>
      <w:r w:rsidR="002E08F4">
        <w:t>,</w:t>
      </w:r>
      <w:r w:rsidR="00670AF5">
        <w:t xml:space="preserve"> </w:t>
      </w:r>
      <w:r w:rsidR="00CB7028">
        <w:t>in regard</w:t>
      </w:r>
      <w:r w:rsidR="002E08F4">
        <w:t xml:space="preserve"> to them</w:t>
      </w:r>
      <w:r w:rsidR="00977865">
        <w:t>.</w:t>
      </w:r>
      <w:r w:rsidR="00E151C7">
        <w:rPr>
          <w:rStyle w:val="FootnoteReference"/>
        </w:rPr>
        <w:footnoteReference w:id="11"/>
      </w:r>
    </w:p>
    <w:p w:rsidR="00C9016F" w:rsidRPr="00CE5518" w:rsidRDefault="00670AF5" w:rsidP="00BB634A">
      <w:pPr>
        <w:pStyle w:val="SingleTxtG"/>
        <w:rPr>
          <w:lang w:val="en-US"/>
        </w:rPr>
      </w:pPr>
      <w:r>
        <w:rPr>
          <w:lang w:val="en-US"/>
        </w:rPr>
        <w:t>6.</w:t>
      </w:r>
      <w:r w:rsidR="00E17EFB">
        <w:rPr>
          <w:lang w:val="en-US"/>
        </w:rPr>
        <w:t>7</w:t>
      </w:r>
      <w:r>
        <w:rPr>
          <w:lang w:val="en-US"/>
        </w:rPr>
        <w:tab/>
      </w:r>
      <w:r w:rsidR="00627A9C">
        <w:rPr>
          <w:lang w:val="en-US"/>
        </w:rPr>
        <w:t xml:space="preserve">Regarding </w:t>
      </w:r>
      <w:r w:rsidR="004C5945" w:rsidRPr="004C5945">
        <w:rPr>
          <w:lang w:val="en-US"/>
        </w:rPr>
        <w:t xml:space="preserve">article 9, the Committee </w:t>
      </w:r>
      <w:r w:rsidR="00D27E5A">
        <w:rPr>
          <w:lang w:val="en-US"/>
        </w:rPr>
        <w:t xml:space="preserve">takes </w:t>
      </w:r>
      <w:r w:rsidR="003E5316">
        <w:rPr>
          <w:lang w:val="en-US"/>
        </w:rPr>
        <w:t>note of the authors’ allegations that</w:t>
      </w:r>
      <w:r w:rsidR="00DA5630">
        <w:rPr>
          <w:lang w:val="en-US"/>
        </w:rPr>
        <w:t xml:space="preserve"> in the late evening of 22 July 2003, five officers from the </w:t>
      </w:r>
      <w:r w:rsidR="00DA5630">
        <w:t xml:space="preserve">Moragahahena </w:t>
      </w:r>
      <w:r w:rsidR="00BF0317">
        <w:t>p</w:t>
      </w:r>
      <w:r w:rsidR="00DA5630">
        <w:t>olice broke into the second author’s house; that they started beating</w:t>
      </w:r>
      <w:r w:rsidR="003E5316">
        <w:rPr>
          <w:lang w:val="en-US"/>
        </w:rPr>
        <w:t xml:space="preserve"> Sunil Hemachandra</w:t>
      </w:r>
      <w:r w:rsidR="00DA5630">
        <w:rPr>
          <w:lang w:val="en-US"/>
        </w:rPr>
        <w:t>, who</w:t>
      </w:r>
      <w:r w:rsidR="00BF0317">
        <w:rPr>
          <w:lang w:val="en-US"/>
        </w:rPr>
        <w:t>m they had</w:t>
      </w:r>
      <w:r w:rsidR="00DA5630">
        <w:rPr>
          <w:lang w:val="en-US"/>
        </w:rPr>
        <w:t xml:space="preserve"> found sleeping in his room;</w:t>
      </w:r>
      <w:r w:rsidR="002470E7">
        <w:rPr>
          <w:lang w:val="en-US"/>
        </w:rPr>
        <w:t xml:space="preserve"> </w:t>
      </w:r>
      <w:r w:rsidR="004B116D">
        <w:rPr>
          <w:lang w:val="en-US"/>
        </w:rPr>
        <w:t xml:space="preserve">that </w:t>
      </w:r>
      <w:r w:rsidR="00DF7C80">
        <w:rPr>
          <w:lang w:val="en-US"/>
        </w:rPr>
        <w:t xml:space="preserve">they subsequently proceeded to </w:t>
      </w:r>
      <w:r w:rsidR="004B116D">
        <w:rPr>
          <w:lang w:val="en-US"/>
        </w:rPr>
        <w:t>arrest</w:t>
      </w:r>
      <w:r w:rsidR="00DF7C80">
        <w:rPr>
          <w:lang w:val="en-US"/>
        </w:rPr>
        <w:t xml:space="preserve"> </w:t>
      </w:r>
      <w:r w:rsidR="00DF7C80">
        <w:t>Sunil Hemachandra</w:t>
      </w:r>
      <w:r w:rsidR="00DF7C80">
        <w:rPr>
          <w:lang w:val="en-US"/>
        </w:rPr>
        <w:t>, without informing him</w:t>
      </w:r>
      <w:r w:rsidR="003E5316">
        <w:rPr>
          <w:lang w:val="en-US"/>
        </w:rPr>
        <w:t xml:space="preserve"> of the reasons for his arrest; that </w:t>
      </w:r>
      <w:r w:rsidR="00763762">
        <w:rPr>
          <w:lang w:val="en-US"/>
        </w:rPr>
        <w:t>the latter</w:t>
      </w:r>
      <w:r w:rsidR="003E5316">
        <w:rPr>
          <w:lang w:val="en-US"/>
        </w:rPr>
        <w:t xml:space="preserve"> was arbitrarily detained, without any possibility </w:t>
      </w:r>
      <w:r w:rsidR="00597E9E">
        <w:rPr>
          <w:lang w:val="en-US"/>
        </w:rPr>
        <w:t>of</w:t>
      </w:r>
      <w:r w:rsidR="003E5316">
        <w:rPr>
          <w:lang w:val="en-US"/>
        </w:rPr>
        <w:t xml:space="preserve"> challeng</w:t>
      </w:r>
      <w:r w:rsidR="00597E9E">
        <w:rPr>
          <w:lang w:val="en-US"/>
        </w:rPr>
        <w:t>ing</w:t>
      </w:r>
      <w:r w:rsidR="003E5316">
        <w:rPr>
          <w:lang w:val="en-US"/>
        </w:rPr>
        <w:t xml:space="preserve"> the legality of his detention; that he could not contact his relatives; and that he was not legally represented.</w:t>
      </w:r>
      <w:r w:rsidR="002470E7">
        <w:rPr>
          <w:lang w:val="en-US"/>
        </w:rPr>
        <w:t xml:space="preserve"> </w:t>
      </w:r>
      <w:r w:rsidR="004C5945" w:rsidRPr="004C5945">
        <w:rPr>
          <w:lang w:val="en-US"/>
        </w:rPr>
        <w:t xml:space="preserve">In the </w:t>
      </w:r>
      <w:r w:rsidR="003E5316">
        <w:rPr>
          <w:lang w:val="en-US"/>
        </w:rPr>
        <w:t xml:space="preserve">absence of any rebutting </w:t>
      </w:r>
      <w:r w:rsidR="003E5316">
        <w:rPr>
          <w:lang w:val="en-US"/>
        </w:rPr>
        <w:lastRenderedPageBreak/>
        <w:t>information</w:t>
      </w:r>
      <w:r w:rsidR="004C5945" w:rsidRPr="004C5945">
        <w:rPr>
          <w:lang w:val="en-US"/>
        </w:rPr>
        <w:t xml:space="preserve"> from the State party</w:t>
      </w:r>
      <w:r w:rsidR="003E5316">
        <w:rPr>
          <w:lang w:val="en-US"/>
        </w:rPr>
        <w:t xml:space="preserve">, the Committee concludes that the rights of Sunil Hemachandra under </w:t>
      </w:r>
      <w:r w:rsidR="004C5945" w:rsidRPr="004C5945">
        <w:rPr>
          <w:lang w:val="en-US"/>
        </w:rPr>
        <w:t>article 9</w:t>
      </w:r>
      <w:r w:rsidR="00BB539D">
        <w:rPr>
          <w:lang w:val="en-US"/>
        </w:rPr>
        <w:t xml:space="preserve"> </w:t>
      </w:r>
      <w:r w:rsidR="003E5316">
        <w:rPr>
          <w:lang w:val="en-US"/>
        </w:rPr>
        <w:t>of the Covenant were violated.</w:t>
      </w:r>
    </w:p>
    <w:p w:rsidR="00C9016F" w:rsidRDefault="003E5316" w:rsidP="00921964">
      <w:pPr>
        <w:pStyle w:val="SingleTxtG"/>
        <w:rPr>
          <w:lang w:val="en-US"/>
        </w:rPr>
      </w:pPr>
      <w:r>
        <w:rPr>
          <w:lang w:val="en-US"/>
        </w:rPr>
        <w:t>7</w:t>
      </w:r>
      <w:r w:rsidR="004C5945" w:rsidRPr="004C5945">
        <w:rPr>
          <w:lang w:val="en-US"/>
        </w:rPr>
        <w:t>.</w:t>
      </w:r>
      <w:r w:rsidR="004C5945" w:rsidRPr="004C5945">
        <w:rPr>
          <w:lang w:val="en-US"/>
        </w:rPr>
        <w:tab/>
        <w:t xml:space="preserve">The Human Rights Committee, </w:t>
      </w:r>
      <w:r w:rsidR="004C5945" w:rsidRPr="005C5016">
        <w:rPr>
          <w:lang w:val="en-US"/>
        </w:rPr>
        <w:t>acting</w:t>
      </w:r>
      <w:r w:rsidR="004C5945" w:rsidRPr="004C5945">
        <w:rPr>
          <w:lang w:val="en-US"/>
        </w:rPr>
        <w:t xml:space="preserve"> under article 5 </w:t>
      </w:r>
      <w:r w:rsidR="00BB634A">
        <w:rPr>
          <w:lang w:val="en-US"/>
        </w:rPr>
        <w:t>(</w:t>
      </w:r>
      <w:r w:rsidR="004C5945" w:rsidRPr="004C5945">
        <w:rPr>
          <w:lang w:val="en-US"/>
        </w:rPr>
        <w:t>para</w:t>
      </w:r>
      <w:r w:rsidR="00BB634A">
        <w:rPr>
          <w:lang w:val="en-US"/>
        </w:rPr>
        <w:t>.</w:t>
      </w:r>
      <w:r w:rsidR="004C5945" w:rsidRPr="004C5945">
        <w:rPr>
          <w:lang w:val="en-US"/>
        </w:rPr>
        <w:t xml:space="preserve"> 4</w:t>
      </w:r>
      <w:r w:rsidR="00BB634A">
        <w:rPr>
          <w:lang w:val="en-US"/>
        </w:rPr>
        <w:t>)</w:t>
      </w:r>
      <w:r w:rsidR="004C5945" w:rsidRPr="004C5945">
        <w:rPr>
          <w:lang w:val="en-US"/>
        </w:rPr>
        <w:t xml:space="preserve"> of the Optional </w:t>
      </w:r>
      <w:r w:rsidR="004C5945" w:rsidRPr="005C5016">
        <w:rPr>
          <w:lang w:val="en-US"/>
        </w:rPr>
        <w:t>Protocol to the International Covenant on Civil and Political Rights, is</w:t>
      </w:r>
      <w:r w:rsidR="004C5945" w:rsidRPr="004C5945">
        <w:rPr>
          <w:lang w:val="en-US"/>
        </w:rPr>
        <w:t xml:space="preserve"> of the view that the facts </w:t>
      </w:r>
      <w:r w:rsidR="00742572">
        <w:rPr>
          <w:lang w:val="en-US"/>
        </w:rPr>
        <w:t>before</w:t>
      </w:r>
      <w:r w:rsidR="004C5945" w:rsidRPr="004C5945">
        <w:rPr>
          <w:lang w:val="en-US"/>
        </w:rPr>
        <w:t xml:space="preserve"> the Committee reveal violations by Sri Lanka of article 6</w:t>
      </w:r>
      <w:r w:rsidR="00D37D2A">
        <w:rPr>
          <w:lang w:val="en-US"/>
        </w:rPr>
        <w:t xml:space="preserve"> </w:t>
      </w:r>
      <w:r w:rsidR="00BB634A">
        <w:rPr>
          <w:lang w:val="en-US"/>
        </w:rPr>
        <w:t>(</w:t>
      </w:r>
      <w:r w:rsidR="007A3DBF">
        <w:rPr>
          <w:lang w:val="en-US"/>
        </w:rPr>
        <w:t>para</w:t>
      </w:r>
      <w:r w:rsidR="00BB634A">
        <w:rPr>
          <w:lang w:val="en-US"/>
        </w:rPr>
        <w:t>.</w:t>
      </w:r>
      <w:r w:rsidR="007A3DBF">
        <w:rPr>
          <w:lang w:val="en-US"/>
        </w:rPr>
        <w:t xml:space="preserve"> 1</w:t>
      </w:r>
      <w:r w:rsidR="00BB634A">
        <w:rPr>
          <w:lang w:val="en-US"/>
        </w:rPr>
        <w:t>)</w:t>
      </w:r>
      <w:r w:rsidR="007A3DBF">
        <w:rPr>
          <w:lang w:val="en-US"/>
        </w:rPr>
        <w:t>,</w:t>
      </w:r>
      <w:r w:rsidR="002D0441">
        <w:rPr>
          <w:lang w:val="en-US"/>
        </w:rPr>
        <w:t xml:space="preserve"> read alone and in conjunction with article 2 </w:t>
      </w:r>
      <w:r w:rsidR="00921964">
        <w:rPr>
          <w:lang w:val="en-US"/>
        </w:rPr>
        <w:t>(</w:t>
      </w:r>
      <w:r w:rsidR="002D0441">
        <w:rPr>
          <w:lang w:val="en-US"/>
        </w:rPr>
        <w:t>para</w:t>
      </w:r>
      <w:r w:rsidR="00921964">
        <w:rPr>
          <w:lang w:val="en-US"/>
        </w:rPr>
        <w:t>.</w:t>
      </w:r>
      <w:r w:rsidR="002D0441">
        <w:rPr>
          <w:lang w:val="en-US"/>
        </w:rPr>
        <w:t xml:space="preserve"> 3</w:t>
      </w:r>
      <w:r w:rsidR="00921964">
        <w:rPr>
          <w:lang w:val="en-US"/>
        </w:rPr>
        <w:t>)</w:t>
      </w:r>
      <w:r w:rsidR="002D0441">
        <w:rPr>
          <w:lang w:val="en-US"/>
        </w:rPr>
        <w:t xml:space="preserve">, of </w:t>
      </w:r>
      <w:r w:rsidR="00C9016F">
        <w:rPr>
          <w:lang w:val="en-US"/>
        </w:rPr>
        <w:t xml:space="preserve">article 7, </w:t>
      </w:r>
      <w:r w:rsidR="00921964">
        <w:rPr>
          <w:lang w:val="en-US"/>
        </w:rPr>
        <w:t xml:space="preserve">and of </w:t>
      </w:r>
      <w:r w:rsidR="00C9016F">
        <w:rPr>
          <w:lang w:val="en-US"/>
        </w:rPr>
        <w:t xml:space="preserve">article 9 </w:t>
      </w:r>
      <w:r w:rsidR="00921964">
        <w:rPr>
          <w:lang w:val="en-US"/>
        </w:rPr>
        <w:t>(</w:t>
      </w:r>
      <w:r w:rsidR="00C9016F">
        <w:rPr>
          <w:lang w:val="en-US"/>
        </w:rPr>
        <w:t>paras</w:t>
      </w:r>
      <w:r w:rsidR="00921964">
        <w:rPr>
          <w:lang w:val="en-US"/>
        </w:rPr>
        <w:t>.</w:t>
      </w:r>
      <w:r w:rsidR="00C9016F">
        <w:rPr>
          <w:lang w:val="en-US"/>
        </w:rPr>
        <w:t xml:space="preserve"> 1, 2 and 4</w:t>
      </w:r>
      <w:r w:rsidR="00921964">
        <w:rPr>
          <w:lang w:val="en-US"/>
        </w:rPr>
        <w:t>),</w:t>
      </w:r>
      <w:r w:rsidR="002D0441">
        <w:rPr>
          <w:lang w:val="en-US"/>
        </w:rPr>
        <w:t xml:space="preserve"> </w:t>
      </w:r>
      <w:r w:rsidR="00921964">
        <w:rPr>
          <w:lang w:val="en-US"/>
        </w:rPr>
        <w:t>in respect of</w:t>
      </w:r>
      <w:r w:rsidR="00C9016F">
        <w:rPr>
          <w:lang w:val="en-US"/>
        </w:rPr>
        <w:t xml:space="preserve"> Sunil Hemachandra</w:t>
      </w:r>
      <w:r w:rsidR="00C16F0A">
        <w:rPr>
          <w:lang w:val="en-US"/>
        </w:rPr>
        <w:t>;</w:t>
      </w:r>
      <w:r w:rsidR="00C9016F">
        <w:rPr>
          <w:lang w:val="en-US"/>
        </w:rPr>
        <w:t xml:space="preserve"> and of</w:t>
      </w:r>
      <w:r w:rsidR="004C5945" w:rsidRPr="004C5945">
        <w:rPr>
          <w:lang w:val="en-US"/>
        </w:rPr>
        <w:t xml:space="preserve"> article</w:t>
      </w:r>
      <w:r w:rsidR="008B3AC6">
        <w:rPr>
          <w:lang w:val="en-US"/>
        </w:rPr>
        <w:t xml:space="preserve"> 2 </w:t>
      </w:r>
      <w:r w:rsidR="00921964">
        <w:rPr>
          <w:lang w:val="en-US"/>
        </w:rPr>
        <w:t>(</w:t>
      </w:r>
      <w:r w:rsidR="008B3AC6">
        <w:rPr>
          <w:lang w:val="en-US"/>
        </w:rPr>
        <w:t>para</w:t>
      </w:r>
      <w:r w:rsidR="00921964">
        <w:rPr>
          <w:lang w:val="en-US"/>
        </w:rPr>
        <w:t>.</w:t>
      </w:r>
      <w:r w:rsidR="008B3AC6">
        <w:rPr>
          <w:lang w:val="en-US"/>
        </w:rPr>
        <w:t xml:space="preserve"> 3</w:t>
      </w:r>
      <w:r w:rsidR="00921964">
        <w:rPr>
          <w:lang w:val="en-US"/>
        </w:rPr>
        <w:t>)</w:t>
      </w:r>
      <w:r w:rsidR="008B3AC6">
        <w:rPr>
          <w:lang w:val="en-US"/>
        </w:rPr>
        <w:t>, read in conjunction with article</w:t>
      </w:r>
      <w:r w:rsidR="00284168" w:rsidRPr="004C5945">
        <w:rPr>
          <w:lang w:val="en-US"/>
        </w:rPr>
        <w:t xml:space="preserve"> </w:t>
      </w:r>
      <w:r>
        <w:rPr>
          <w:lang w:val="en-US"/>
        </w:rPr>
        <w:t xml:space="preserve">7, </w:t>
      </w:r>
      <w:r w:rsidR="00921964">
        <w:rPr>
          <w:lang w:val="en-US"/>
        </w:rPr>
        <w:t>in</w:t>
      </w:r>
      <w:r>
        <w:rPr>
          <w:lang w:val="en-US"/>
        </w:rPr>
        <w:t xml:space="preserve"> respect </w:t>
      </w:r>
      <w:r w:rsidR="00921964">
        <w:rPr>
          <w:lang w:val="en-US"/>
        </w:rPr>
        <w:t>of</w:t>
      </w:r>
      <w:r>
        <w:rPr>
          <w:lang w:val="en-US"/>
        </w:rPr>
        <w:t xml:space="preserve"> the authors</w:t>
      </w:r>
      <w:r w:rsidR="00C9016F">
        <w:rPr>
          <w:lang w:val="en-US"/>
        </w:rPr>
        <w:t>.</w:t>
      </w:r>
    </w:p>
    <w:p w:rsidR="008F0027" w:rsidRDefault="00E17EFB" w:rsidP="00921964">
      <w:pPr>
        <w:pStyle w:val="SingleTxtG"/>
        <w:rPr>
          <w:lang w:val="en-US"/>
        </w:rPr>
      </w:pPr>
      <w:r>
        <w:rPr>
          <w:lang w:val="en-US"/>
        </w:rPr>
        <w:t>8</w:t>
      </w:r>
      <w:r w:rsidR="004C5945" w:rsidRPr="004C5945">
        <w:rPr>
          <w:lang w:val="en-US"/>
        </w:rPr>
        <w:t>.</w:t>
      </w:r>
      <w:r w:rsidR="004C5945" w:rsidRPr="004C5945">
        <w:rPr>
          <w:lang w:val="en-US"/>
        </w:rPr>
        <w:tab/>
        <w:t xml:space="preserve">In accordance with article 2 </w:t>
      </w:r>
      <w:r w:rsidR="00921964">
        <w:rPr>
          <w:lang w:val="en-US"/>
        </w:rPr>
        <w:t>(</w:t>
      </w:r>
      <w:r w:rsidR="004C5945" w:rsidRPr="004C5945">
        <w:rPr>
          <w:lang w:val="en-US"/>
        </w:rPr>
        <w:t>para</w:t>
      </w:r>
      <w:r w:rsidR="00921964">
        <w:rPr>
          <w:lang w:val="en-US"/>
        </w:rPr>
        <w:t>.</w:t>
      </w:r>
      <w:r w:rsidR="004C5945" w:rsidRPr="004C5945">
        <w:rPr>
          <w:lang w:val="en-US"/>
        </w:rPr>
        <w:t xml:space="preserve"> 3 (a)</w:t>
      </w:r>
      <w:r w:rsidR="00921964">
        <w:rPr>
          <w:lang w:val="en-US"/>
        </w:rPr>
        <w:t>)</w:t>
      </w:r>
      <w:r w:rsidR="004C5945" w:rsidRPr="004C5945">
        <w:rPr>
          <w:lang w:val="en-US"/>
        </w:rPr>
        <w:t xml:space="preserve"> of the Covenant, the State party is under an obligation to provide the author</w:t>
      </w:r>
      <w:r w:rsidR="009B5C47">
        <w:rPr>
          <w:lang w:val="en-US"/>
        </w:rPr>
        <w:t>s</w:t>
      </w:r>
      <w:r w:rsidR="004C5945" w:rsidRPr="004C5945">
        <w:rPr>
          <w:lang w:val="en-US"/>
        </w:rPr>
        <w:t xml:space="preserve"> with an effective remedy, which includes </w:t>
      </w:r>
      <w:r w:rsidR="00C54686">
        <w:rPr>
          <w:lang w:val="en-US"/>
        </w:rPr>
        <w:t xml:space="preserve">a prompt, thorough and independent investigation into the facts; </w:t>
      </w:r>
      <w:r w:rsidR="004C5945" w:rsidRPr="004C5945">
        <w:rPr>
          <w:lang w:val="en-US"/>
        </w:rPr>
        <w:t>ensuring that</w:t>
      </w:r>
      <w:r w:rsidR="000938EA">
        <w:rPr>
          <w:lang w:val="en-US"/>
        </w:rPr>
        <w:t xml:space="preserve"> the</w:t>
      </w:r>
      <w:r w:rsidR="004C5945" w:rsidRPr="004C5945">
        <w:rPr>
          <w:lang w:val="en-US"/>
        </w:rPr>
        <w:t xml:space="preserve"> perp</w:t>
      </w:r>
      <w:r w:rsidR="00C54686">
        <w:rPr>
          <w:lang w:val="en-US"/>
        </w:rPr>
        <w:t xml:space="preserve">etrators are brought to justice; and </w:t>
      </w:r>
      <w:r w:rsidR="004C5945" w:rsidRPr="004C5945">
        <w:rPr>
          <w:lang w:val="en-US"/>
        </w:rPr>
        <w:t>ensur</w:t>
      </w:r>
      <w:r w:rsidR="00C54686">
        <w:rPr>
          <w:lang w:val="en-US"/>
        </w:rPr>
        <w:t>ing</w:t>
      </w:r>
      <w:r w:rsidR="004C5945" w:rsidRPr="004C5945">
        <w:rPr>
          <w:lang w:val="en-US"/>
        </w:rPr>
        <w:t xml:space="preserve"> </w:t>
      </w:r>
      <w:r w:rsidR="00C16F0A">
        <w:rPr>
          <w:lang w:val="en-US"/>
        </w:rPr>
        <w:t xml:space="preserve">reparation, including </w:t>
      </w:r>
      <w:r w:rsidR="000938EA">
        <w:rPr>
          <w:lang w:val="en-US"/>
        </w:rPr>
        <w:t xml:space="preserve">the </w:t>
      </w:r>
      <w:r w:rsidR="004C5945" w:rsidRPr="004C5945">
        <w:rPr>
          <w:lang w:val="en-US"/>
        </w:rPr>
        <w:t xml:space="preserve">payment of adequate compensation </w:t>
      </w:r>
      <w:r w:rsidR="00C16F0A">
        <w:rPr>
          <w:lang w:val="en-US"/>
        </w:rPr>
        <w:t>and a</w:t>
      </w:r>
      <w:r w:rsidR="00EC0DF4">
        <w:rPr>
          <w:lang w:val="en-US"/>
        </w:rPr>
        <w:t xml:space="preserve"> public</w:t>
      </w:r>
      <w:r w:rsidR="00C16F0A">
        <w:rPr>
          <w:lang w:val="en-US"/>
        </w:rPr>
        <w:t xml:space="preserve"> apology </w:t>
      </w:r>
      <w:r w:rsidR="004C5945" w:rsidRPr="004C5945">
        <w:rPr>
          <w:lang w:val="en-US"/>
        </w:rPr>
        <w:t>to the family. The State party should also take measures to ensure that such violations do not recur in the future.</w:t>
      </w:r>
    </w:p>
    <w:p w:rsidR="004C5945" w:rsidRDefault="00E17EFB" w:rsidP="000938EA">
      <w:pPr>
        <w:pStyle w:val="SingleTxtG"/>
        <w:rPr>
          <w:lang w:val="en-US"/>
        </w:rPr>
      </w:pPr>
      <w:r>
        <w:rPr>
          <w:lang w:val="en-US"/>
        </w:rPr>
        <w:t>9</w:t>
      </w:r>
      <w:r w:rsidR="004C5945" w:rsidRPr="004C5945">
        <w:rPr>
          <w:lang w:val="en-US"/>
        </w:rPr>
        <w:t>.</w:t>
      </w:r>
      <w:r w:rsidR="004C5945" w:rsidRPr="004C5945">
        <w:rPr>
          <w:lang w:val="en-US"/>
        </w:rPr>
        <w:tab/>
        <w:t xml:space="preserve">Bearing in mind that, by becoming a party to the Optional Protocol, the State party has recognized the competence of the Committee to determine whether </w:t>
      </w:r>
      <w:r w:rsidR="00FA2A2A" w:rsidRPr="004C5945">
        <w:rPr>
          <w:lang w:val="en-US"/>
        </w:rPr>
        <w:t xml:space="preserve">or not </w:t>
      </w:r>
      <w:r w:rsidR="004C5945" w:rsidRPr="004C5945">
        <w:rPr>
          <w:lang w:val="en-US"/>
        </w:rPr>
        <w:t xml:space="preserve">there has been a violation of the Covenant and that, pursuant to article 2 of the Covenant, the State party has undertaken to ensure to all individuals within its territory </w:t>
      </w:r>
      <w:r w:rsidR="000938EA">
        <w:rPr>
          <w:lang w:val="en-US"/>
        </w:rPr>
        <w:t>or</w:t>
      </w:r>
      <w:r w:rsidR="000938EA" w:rsidRPr="004C5945">
        <w:rPr>
          <w:lang w:val="en-US"/>
        </w:rPr>
        <w:t xml:space="preserve"> </w:t>
      </w:r>
      <w:r w:rsidR="004C5945" w:rsidRPr="004C5945">
        <w:rPr>
          <w:lang w:val="en-US"/>
        </w:rPr>
        <w:t xml:space="preserve">subject to its jurisdiction the rights recognized in the Covenant and to provide an effective and enforceable remedy </w:t>
      </w:r>
      <w:r w:rsidR="00724DB4">
        <w:rPr>
          <w:lang w:val="en-US"/>
        </w:rPr>
        <w:t>whe</w:t>
      </w:r>
      <w:r w:rsidR="000938EA">
        <w:rPr>
          <w:lang w:val="en-US"/>
        </w:rPr>
        <w:t>n</w:t>
      </w:r>
      <w:r w:rsidR="004C5945" w:rsidRPr="004C5945">
        <w:rPr>
          <w:lang w:val="en-US"/>
        </w:rPr>
        <w:t xml:space="preserve"> a violation has been established, the Committee wishes to receive from the State party, within 180 days, information about the measures taken to give effect to the Committee</w:t>
      </w:r>
      <w:r w:rsidR="00BB539D">
        <w:rPr>
          <w:rFonts w:hint="eastAsia"/>
          <w:lang w:val="en-US"/>
        </w:rPr>
        <w:t>’</w:t>
      </w:r>
      <w:r w:rsidR="004C5945" w:rsidRPr="004C5945">
        <w:rPr>
          <w:lang w:val="en-US"/>
        </w:rPr>
        <w:t xml:space="preserve">s Views. The State party is also requested to publish the </w:t>
      </w:r>
      <w:r w:rsidR="000938EA">
        <w:rPr>
          <w:lang w:val="en-US"/>
        </w:rPr>
        <w:t>present</w:t>
      </w:r>
      <w:r w:rsidR="004C5945" w:rsidRPr="004C5945">
        <w:rPr>
          <w:lang w:val="en-US"/>
        </w:rPr>
        <w:t xml:space="preserve"> Views</w:t>
      </w:r>
      <w:r w:rsidR="00D37D2A">
        <w:rPr>
          <w:lang w:val="en-US"/>
        </w:rPr>
        <w:t xml:space="preserve">, </w:t>
      </w:r>
      <w:r w:rsidR="00297B36">
        <w:rPr>
          <w:lang w:val="en-US"/>
        </w:rPr>
        <w:t xml:space="preserve">and </w:t>
      </w:r>
      <w:r w:rsidR="00D37D2A">
        <w:rPr>
          <w:lang w:val="en-US"/>
        </w:rPr>
        <w:t>to have them translated in</w:t>
      </w:r>
      <w:r w:rsidR="00AD67D1">
        <w:rPr>
          <w:lang w:val="en-US"/>
        </w:rPr>
        <w:t>to</w:t>
      </w:r>
      <w:r w:rsidR="00D37D2A">
        <w:rPr>
          <w:lang w:val="en-US"/>
        </w:rPr>
        <w:t xml:space="preserve"> </w:t>
      </w:r>
      <w:r w:rsidR="00AD67D1">
        <w:rPr>
          <w:lang w:val="en-US"/>
        </w:rPr>
        <w:t xml:space="preserve">the </w:t>
      </w:r>
      <w:r w:rsidR="00D37D2A">
        <w:rPr>
          <w:lang w:val="en-US"/>
        </w:rPr>
        <w:t>official languages</w:t>
      </w:r>
      <w:r w:rsidR="001468F3">
        <w:rPr>
          <w:lang w:val="en-US"/>
        </w:rPr>
        <w:t xml:space="preserve"> of the State party</w:t>
      </w:r>
      <w:r w:rsidR="00D37D2A">
        <w:rPr>
          <w:lang w:val="en-US"/>
        </w:rPr>
        <w:t xml:space="preserve"> and widely </w:t>
      </w:r>
      <w:r w:rsidR="000938EA">
        <w:rPr>
          <w:lang w:val="en-US"/>
        </w:rPr>
        <w:t>disseminated</w:t>
      </w:r>
      <w:r w:rsidR="0023307A">
        <w:rPr>
          <w:lang w:val="en-US"/>
        </w:rPr>
        <w:t>.</w:t>
      </w:r>
    </w:p>
    <w:p w:rsidR="002D7118" w:rsidRDefault="002D7118" w:rsidP="00FA2A2A">
      <w:pPr>
        <w:pStyle w:val="SingleTxtG"/>
        <w:rPr>
          <w:lang w:val="en-US"/>
        </w:rPr>
      </w:pPr>
    </w:p>
    <w:p w:rsidR="002D7118" w:rsidRDefault="002D7118" w:rsidP="00FA2A2A">
      <w:pPr>
        <w:pStyle w:val="SingleTxtG"/>
        <w:rPr>
          <w:lang w:val="en-US"/>
        </w:rPr>
      </w:pPr>
    </w:p>
    <w:p w:rsidR="006813D8" w:rsidRPr="006813D8" w:rsidRDefault="00B11FF4" w:rsidP="00B11FF4">
      <w:pPr>
        <w:pStyle w:val="SingleTxtG"/>
        <w:spacing w:before="240" w:after="0"/>
        <w:jc w:val="center"/>
        <w:rPr>
          <w:u w:val="single"/>
        </w:rPr>
      </w:pPr>
      <w:r>
        <w:rPr>
          <w:u w:val="single"/>
        </w:rPr>
        <w:tab/>
      </w:r>
      <w:r>
        <w:rPr>
          <w:u w:val="single"/>
        </w:rPr>
        <w:tab/>
      </w:r>
      <w:r>
        <w:rPr>
          <w:u w:val="single"/>
        </w:rPr>
        <w:tab/>
      </w:r>
    </w:p>
    <w:sectPr w:rsidR="006813D8" w:rsidRPr="006813D8" w:rsidSect="00BB539D">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BA9" w:rsidRDefault="00622BA9"/>
  </w:endnote>
  <w:endnote w:type="continuationSeparator" w:id="0">
    <w:p w:rsidR="00622BA9" w:rsidRDefault="00622BA9"/>
  </w:endnote>
  <w:endnote w:type="continuationNotice" w:id="1">
    <w:p w:rsidR="00622BA9" w:rsidRDefault="00622B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E5A" w:rsidRPr="004C5945" w:rsidRDefault="00D27E5A" w:rsidP="004C5945">
    <w:pPr>
      <w:pStyle w:val="Footer"/>
      <w:tabs>
        <w:tab w:val="right" w:pos="9638"/>
      </w:tabs>
    </w:pPr>
    <w:r w:rsidRPr="004C5945">
      <w:rPr>
        <w:b/>
        <w:sz w:val="18"/>
      </w:rPr>
      <w:fldChar w:fldCharType="begin"/>
    </w:r>
    <w:r w:rsidRPr="004C5945">
      <w:rPr>
        <w:b/>
        <w:sz w:val="18"/>
      </w:rPr>
      <w:instrText xml:space="preserve"> PAGE  \* MERGEFORMAT </w:instrText>
    </w:r>
    <w:r w:rsidRPr="004C5945">
      <w:rPr>
        <w:b/>
        <w:sz w:val="18"/>
      </w:rPr>
      <w:fldChar w:fldCharType="separate"/>
    </w:r>
    <w:r w:rsidR="0021700A">
      <w:rPr>
        <w:b/>
        <w:noProof/>
        <w:sz w:val="18"/>
      </w:rPr>
      <w:t>2</w:t>
    </w:r>
    <w:r w:rsidRPr="004C594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E5A" w:rsidRPr="004C5945" w:rsidRDefault="00D27E5A" w:rsidP="004C5945">
    <w:pPr>
      <w:pStyle w:val="Footer"/>
      <w:tabs>
        <w:tab w:val="right" w:pos="9638"/>
      </w:tabs>
      <w:rPr>
        <w:b/>
        <w:sz w:val="18"/>
      </w:rPr>
    </w:pPr>
    <w:r>
      <w:tab/>
    </w:r>
    <w:r w:rsidRPr="004C5945">
      <w:rPr>
        <w:b/>
        <w:sz w:val="18"/>
      </w:rPr>
      <w:fldChar w:fldCharType="begin"/>
    </w:r>
    <w:r w:rsidRPr="004C5945">
      <w:rPr>
        <w:b/>
        <w:sz w:val="18"/>
      </w:rPr>
      <w:instrText xml:space="preserve"> PAGE  \* MERGEFORMAT </w:instrText>
    </w:r>
    <w:r w:rsidRPr="004C5945">
      <w:rPr>
        <w:b/>
        <w:sz w:val="18"/>
      </w:rPr>
      <w:fldChar w:fldCharType="separate"/>
    </w:r>
    <w:r w:rsidR="0021700A">
      <w:rPr>
        <w:b/>
        <w:noProof/>
        <w:sz w:val="18"/>
      </w:rPr>
      <w:t>3</w:t>
    </w:r>
    <w:r w:rsidRPr="004C594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E5A" w:rsidRDefault="00F607D5">
    <w:r>
      <w:rPr>
        <w:noProof/>
        <w:lang w:val="en-US"/>
      </w:rPr>
      <w:drawing>
        <wp:anchor distT="0" distB="0" distL="114300" distR="114300" simplePos="0" relativeHeight="251659264" behindDoc="0" locked="0" layoutInCell="1" allowOverlap="1" wp14:anchorId="4CD2D6F8" wp14:editId="4F8DBB57">
          <wp:simplePos x="0" y="0"/>
          <wp:positionH relativeFrom="margin">
            <wp:posOffset>4283710</wp:posOffset>
          </wp:positionH>
          <wp:positionV relativeFrom="margin">
            <wp:posOffset>8207375</wp:posOffset>
          </wp:positionV>
          <wp:extent cx="936702" cy="234175"/>
          <wp:effectExtent l="0" t="0" r="0" b="0"/>
          <wp:wrapNone/>
          <wp:docPr id="1" name="Picture 1"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702" cy="234175"/>
                  </a:xfrm>
                  <a:prstGeom prst="rect">
                    <a:avLst/>
                  </a:prstGeom>
                  <a:noFill/>
                  <a:ln>
                    <a:noFill/>
                  </a:ln>
                </pic:spPr>
              </pic:pic>
            </a:graphicData>
          </a:graphic>
          <wp14:sizeRelH relativeFrom="page">
            <wp14:pctWidth>0</wp14:pctWidth>
          </wp14:sizeRelH>
          <wp14:sizeRelV relativeFrom="page">
            <wp14:pctHeight>0</wp14:pctHeight>
          </wp14:sizeRelV>
        </wp:anchor>
      </w:drawing>
    </w:r>
    <w:r w:rsidR="00D27E5A">
      <w:t>GE.15-</w:t>
    </w:r>
    <w:r w:rsidR="004600F0">
      <w:t>09119</w:t>
    </w:r>
    <w:r>
      <w:t xml:space="preserve">  (E)</w:t>
    </w:r>
    <w:r w:rsidR="00FB5D71">
      <w:br/>
    </w:r>
    <w:r w:rsidR="00FB5D71" w:rsidRPr="00FB5D71">
      <w:rPr>
        <w:rFonts w:ascii="C39T30Lfz" w:hAnsi="C39T30Lfz"/>
        <w:sz w:val="56"/>
      </w:rPr>
      <w:t></w:t>
    </w:r>
    <w:r w:rsidR="00FB5D71" w:rsidRPr="00FB5D71">
      <w:rPr>
        <w:rFonts w:ascii="C39T30Lfz" w:hAnsi="C39T30Lfz"/>
        <w:sz w:val="56"/>
      </w:rPr>
      <w:t></w:t>
    </w:r>
    <w:r w:rsidR="00FB5D71" w:rsidRPr="00FB5D71">
      <w:rPr>
        <w:rFonts w:ascii="C39T30Lfz" w:hAnsi="C39T30Lfz"/>
        <w:sz w:val="56"/>
      </w:rPr>
      <w:t></w:t>
    </w:r>
    <w:r w:rsidR="00FB5D71" w:rsidRPr="00FB5D71">
      <w:rPr>
        <w:rFonts w:ascii="C39T30Lfz" w:hAnsi="C39T30Lfz"/>
        <w:sz w:val="56"/>
      </w:rPr>
      <w:t></w:t>
    </w:r>
    <w:r w:rsidR="00FB5D71" w:rsidRPr="00FB5D71">
      <w:rPr>
        <w:rFonts w:ascii="C39T30Lfz" w:hAnsi="C39T30Lfz"/>
        <w:sz w:val="56"/>
      </w:rPr>
      <w:t></w:t>
    </w:r>
    <w:r w:rsidR="00FB5D71" w:rsidRPr="00FB5D71">
      <w:rPr>
        <w:rFonts w:ascii="C39T30Lfz" w:hAnsi="C39T30Lfz"/>
        <w:sz w:val="56"/>
      </w:rPr>
      <w:t></w:t>
    </w:r>
    <w:r w:rsidR="00FB5D71" w:rsidRPr="00FB5D71">
      <w:rPr>
        <w:rFonts w:ascii="C39T30Lfz" w:hAnsi="C39T30Lfz"/>
        <w:sz w:val="56"/>
      </w:rPr>
      <w:t></w:t>
    </w:r>
    <w:r w:rsidR="00FB5D71" w:rsidRPr="00FB5D71">
      <w:rPr>
        <w:rFonts w:ascii="C39T30Lfz" w:hAnsi="C39T30Lfz"/>
        <w:sz w:val="56"/>
      </w:rPr>
      <w:t></w:t>
    </w:r>
    <w:r w:rsidR="00FB5D71" w:rsidRPr="00FB5D71">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BA9" w:rsidRPr="000B175B" w:rsidRDefault="00622BA9" w:rsidP="000B175B">
      <w:pPr>
        <w:tabs>
          <w:tab w:val="right" w:pos="2155"/>
        </w:tabs>
        <w:spacing w:after="80"/>
        <w:ind w:left="680"/>
        <w:rPr>
          <w:u w:val="single"/>
        </w:rPr>
      </w:pPr>
      <w:r>
        <w:rPr>
          <w:u w:val="single"/>
        </w:rPr>
        <w:tab/>
      </w:r>
    </w:p>
  </w:footnote>
  <w:footnote w:type="continuationSeparator" w:id="0">
    <w:p w:rsidR="00622BA9" w:rsidRPr="00FC68B7" w:rsidRDefault="00622BA9" w:rsidP="00FC68B7">
      <w:pPr>
        <w:tabs>
          <w:tab w:val="left" w:pos="2155"/>
        </w:tabs>
        <w:spacing w:after="80"/>
        <w:ind w:left="680"/>
        <w:rPr>
          <w:u w:val="single"/>
        </w:rPr>
      </w:pPr>
      <w:r>
        <w:rPr>
          <w:u w:val="single"/>
        </w:rPr>
        <w:tab/>
      </w:r>
    </w:p>
  </w:footnote>
  <w:footnote w:type="continuationNotice" w:id="1">
    <w:p w:rsidR="00622BA9" w:rsidRDefault="00622BA9"/>
  </w:footnote>
  <w:footnote w:id="2">
    <w:p w:rsidR="00D27E5A" w:rsidRPr="00F558CF" w:rsidRDefault="00D27E5A" w:rsidP="00BB539D">
      <w:pPr>
        <w:pStyle w:val="FootnoteText"/>
      </w:pPr>
      <w:r>
        <w:rPr>
          <w:rStyle w:val="FootnoteReference"/>
        </w:rPr>
        <w:tab/>
      </w:r>
      <w:r w:rsidRPr="006836EE">
        <w:rPr>
          <w:rStyle w:val="FootnoteReference"/>
          <w:sz w:val="20"/>
          <w:vertAlign w:val="baseline"/>
        </w:rPr>
        <w:t>*</w:t>
      </w:r>
      <w:r>
        <w:rPr>
          <w:rStyle w:val="FootnoteReference"/>
          <w:sz w:val="20"/>
        </w:rPr>
        <w:tab/>
      </w:r>
      <w:r>
        <w:t xml:space="preserve">The following members of the Committee participated in the examination of the present communication: Yadh Ben </w:t>
      </w:r>
      <w:r w:rsidRPr="002C4264">
        <w:t>Achour</w:t>
      </w:r>
      <w:r>
        <w:t>, Lazhari Bouzid, Sarah Cleveland, Olivier de Frouville, Yuji Iwasawa, Ivana Jeli</w:t>
      </w:r>
      <w:r w:rsidRPr="008F5FBD">
        <w:t>ć</w:t>
      </w:r>
      <w:r>
        <w:t>, Duncan Muhumuza Laki, Photini Pazartis, Mauro Politi, Sir Nigel Rodley, Victor Manuel Rodríguez-Rescia,</w:t>
      </w:r>
      <w:r>
        <w:rPr>
          <w:lang w:val="en-US"/>
        </w:rPr>
        <w:t xml:space="preserve"> Fabi</w:t>
      </w:r>
      <w:r w:rsidRPr="00375E3E">
        <w:rPr>
          <w:lang w:val="en-US"/>
        </w:rPr>
        <w:t>á</w:t>
      </w:r>
      <w:r>
        <w:rPr>
          <w:lang w:val="en-US"/>
        </w:rPr>
        <w:t xml:space="preserve">n Omar Salvioli, Dheerujlall B. Seetulsingh, Anja Seibert-Fohr, Yuval Shany, Konstantine Vardzelashvili and </w:t>
      </w:r>
      <w:r>
        <w:t>Margo Waterval</w:t>
      </w:r>
      <w:r>
        <w:rPr>
          <w:lang w:val="en-US"/>
        </w:rPr>
        <w:t>.</w:t>
      </w:r>
    </w:p>
  </w:footnote>
  <w:footnote w:id="3">
    <w:p w:rsidR="00D27E5A" w:rsidRPr="00874D77" w:rsidRDefault="00D27E5A">
      <w:pPr>
        <w:pStyle w:val="FootnoteText"/>
      </w:pPr>
      <w:r>
        <w:tab/>
      </w:r>
      <w:r>
        <w:rPr>
          <w:rStyle w:val="FootnoteReference"/>
        </w:rPr>
        <w:footnoteRef/>
      </w:r>
      <w:r>
        <w:tab/>
      </w:r>
      <w:r w:rsidRPr="00874D77">
        <w:t>Affidavit of Chanaka Dinesh Kumara</w:t>
      </w:r>
      <w:r w:rsidR="00D86FF6">
        <w:t>,</w:t>
      </w:r>
      <w:r w:rsidRPr="00874D77">
        <w:t xml:space="preserve"> dated 21 August 2003.</w:t>
      </w:r>
    </w:p>
  </w:footnote>
  <w:footnote w:id="4">
    <w:p w:rsidR="00D27E5A" w:rsidRPr="00E207CD" w:rsidRDefault="00D27E5A" w:rsidP="00A92D88">
      <w:pPr>
        <w:pStyle w:val="FootnoteText"/>
        <w:rPr>
          <w:lang w:val="en-US"/>
        </w:rPr>
      </w:pPr>
      <w:r>
        <w:tab/>
      </w:r>
      <w:r>
        <w:rPr>
          <w:rStyle w:val="FootnoteReference"/>
        </w:rPr>
        <w:footnoteRef/>
      </w:r>
      <w:r>
        <w:tab/>
      </w:r>
      <w:r w:rsidRPr="00E207CD">
        <w:rPr>
          <w:lang w:val="en-US"/>
        </w:rPr>
        <w:t xml:space="preserve">Police </w:t>
      </w:r>
      <w:r w:rsidR="00C27ED0">
        <w:rPr>
          <w:lang w:val="en-US"/>
        </w:rPr>
        <w:t>C</w:t>
      </w:r>
      <w:r w:rsidRPr="00E207CD">
        <w:rPr>
          <w:lang w:val="en-US"/>
        </w:rPr>
        <w:t>onstable Muthubanda (who led Sunil and Chanaka’s arrests on 22 July 2003)</w:t>
      </w:r>
      <w:r w:rsidR="00C27ED0">
        <w:rPr>
          <w:lang w:val="en-US"/>
        </w:rPr>
        <w:t>,</w:t>
      </w:r>
      <w:r w:rsidRPr="00E207CD">
        <w:rPr>
          <w:lang w:val="en-US"/>
        </w:rPr>
        <w:t xml:space="preserve"> </w:t>
      </w:r>
      <w:r w:rsidR="00C27ED0">
        <w:rPr>
          <w:lang w:val="en-US"/>
        </w:rPr>
        <w:t>P</w:t>
      </w:r>
      <w:r w:rsidRPr="00E207CD">
        <w:rPr>
          <w:lang w:val="en-US"/>
        </w:rPr>
        <w:t xml:space="preserve">olice </w:t>
      </w:r>
      <w:r w:rsidR="00C27ED0">
        <w:rPr>
          <w:lang w:val="en-US"/>
        </w:rPr>
        <w:t>O</w:t>
      </w:r>
      <w:r w:rsidRPr="00E207CD">
        <w:rPr>
          <w:lang w:val="en-US"/>
        </w:rPr>
        <w:t>fficer Maheepala (</w:t>
      </w:r>
      <w:r>
        <w:rPr>
          <w:lang w:val="en-US"/>
        </w:rPr>
        <w:t xml:space="preserve">the </w:t>
      </w:r>
      <w:r w:rsidRPr="00E207CD">
        <w:rPr>
          <w:lang w:val="en-US"/>
        </w:rPr>
        <w:t xml:space="preserve">officer in charge of </w:t>
      </w:r>
      <w:r>
        <w:rPr>
          <w:lang w:val="en-US"/>
        </w:rPr>
        <w:t>Moragahahena Police Station</w:t>
      </w:r>
      <w:r w:rsidRPr="00E207CD">
        <w:rPr>
          <w:lang w:val="en-US"/>
        </w:rPr>
        <w:t>)</w:t>
      </w:r>
      <w:r w:rsidR="00C27ED0">
        <w:rPr>
          <w:lang w:val="en-US"/>
        </w:rPr>
        <w:t>,</w:t>
      </w:r>
      <w:r w:rsidRPr="00E207CD">
        <w:rPr>
          <w:lang w:val="en-US"/>
        </w:rPr>
        <w:t xml:space="preserve"> </w:t>
      </w:r>
      <w:r w:rsidR="00C27ED0">
        <w:rPr>
          <w:lang w:val="en-US"/>
        </w:rPr>
        <w:t>P</w:t>
      </w:r>
      <w:r w:rsidRPr="00E207CD">
        <w:rPr>
          <w:lang w:val="en-US"/>
        </w:rPr>
        <w:t xml:space="preserve">olice </w:t>
      </w:r>
      <w:r w:rsidR="00C27ED0">
        <w:rPr>
          <w:lang w:val="en-US"/>
        </w:rPr>
        <w:t>C</w:t>
      </w:r>
      <w:r w:rsidRPr="00E207CD">
        <w:rPr>
          <w:lang w:val="en-US"/>
        </w:rPr>
        <w:t>onstable Wijemanna (who warned the second author that the victim’s happiness “</w:t>
      </w:r>
      <w:r w:rsidR="00C27ED0">
        <w:rPr>
          <w:lang w:val="en-US"/>
        </w:rPr>
        <w:t>will</w:t>
      </w:r>
      <w:r w:rsidR="00C27ED0" w:rsidRPr="00E207CD">
        <w:rPr>
          <w:lang w:val="en-US"/>
        </w:rPr>
        <w:t xml:space="preserve"> </w:t>
      </w:r>
      <w:r w:rsidRPr="00E207CD">
        <w:rPr>
          <w:lang w:val="en-US"/>
        </w:rPr>
        <w:t>not last long”</w:t>
      </w:r>
      <w:r w:rsidR="00C27ED0">
        <w:rPr>
          <w:lang w:val="en-US"/>
        </w:rPr>
        <w:t>;</w:t>
      </w:r>
      <w:r w:rsidRPr="00E207CD">
        <w:rPr>
          <w:lang w:val="en-US"/>
        </w:rPr>
        <w:t xml:space="preserve"> see </w:t>
      </w:r>
      <w:r>
        <w:rPr>
          <w:lang w:val="en-US"/>
        </w:rPr>
        <w:t>para. </w:t>
      </w:r>
      <w:r w:rsidRPr="00E207CD">
        <w:rPr>
          <w:lang w:val="en-US"/>
        </w:rPr>
        <w:t>2.3 above)</w:t>
      </w:r>
      <w:r w:rsidR="00C27ED0">
        <w:rPr>
          <w:lang w:val="en-US"/>
        </w:rPr>
        <w:t>,</w:t>
      </w:r>
      <w:r w:rsidRPr="00E207CD">
        <w:rPr>
          <w:lang w:val="en-US"/>
        </w:rPr>
        <w:t xml:space="preserve"> the Inspector General of </w:t>
      </w:r>
      <w:r w:rsidR="00C27ED0">
        <w:rPr>
          <w:lang w:val="en-US"/>
        </w:rPr>
        <w:t>P</w:t>
      </w:r>
      <w:r w:rsidRPr="00E207CD">
        <w:rPr>
          <w:lang w:val="en-US"/>
        </w:rPr>
        <w:t>olice, and the Attorney General of Sri Lanka.</w:t>
      </w:r>
    </w:p>
  </w:footnote>
  <w:footnote w:id="5">
    <w:p w:rsidR="00D27E5A" w:rsidRPr="003C1C92" w:rsidRDefault="00D27E5A" w:rsidP="000A20DA">
      <w:pPr>
        <w:pStyle w:val="FootnoteText"/>
        <w:rPr>
          <w:lang w:val="en-US"/>
        </w:rPr>
      </w:pPr>
      <w:r>
        <w:tab/>
      </w:r>
      <w:r>
        <w:rPr>
          <w:rStyle w:val="FootnoteReference"/>
        </w:rPr>
        <w:footnoteRef/>
      </w:r>
      <w:r>
        <w:tab/>
      </w:r>
      <w:r w:rsidRPr="00A660BE">
        <w:rPr>
          <w:lang w:val="en-US"/>
        </w:rPr>
        <w:t>The authors claim that there is no medical record showing that Sunil suffered from epilepsy.</w:t>
      </w:r>
    </w:p>
  </w:footnote>
  <w:footnote w:id="6">
    <w:p w:rsidR="00D27E5A" w:rsidRPr="00EE574C" w:rsidRDefault="00D27E5A">
      <w:pPr>
        <w:pStyle w:val="FootnoteText"/>
      </w:pPr>
      <w:r>
        <w:tab/>
      </w:r>
      <w:r>
        <w:rPr>
          <w:rStyle w:val="FootnoteReference"/>
        </w:rPr>
        <w:footnoteRef/>
      </w:r>
      <w:r>
        <w:tab/>
      </w:r>
      <w:r w:rsidRPr="00EE574C">
        <w:t>Commissioned by</w:t>
      </w:r>
      <w:r w:rsidR="002325BB">
        <w:t xml:space="preserve"> the human rights organization</w:t>
      </w:r>
      <w:r w:rsidRPr="00EE574C">
        <w:t xml:space="preserve"> Redress. </w:t>
      </w:r>
    </w:p>
  </w:footnote>
  <w:footnote w:id="7">
    <w:p w:rsidR="00D27E5A" w:rsidRPr="00371BC8" w:rsidRDefault="00D27E5A" w:rsidP="00775DA1">
      <w:pPr>
        <w:pStyle w:val="FootnoteText"/>
      </w:pPr>
      <w:r>
        <w:tab/>
      </w:r>
      <w:r>
        <w:rPr>
          <w:rStyle w:val="FootnoteReference"/>
        </w:rPr>
        <w:footnoteRef/>
      </w:r>
      <w:r>
        <w:tab/>
      </w:r>
      <w:r w:rsidRPr="00302AE6">
        <w:t>The authors refer to reports from the Asian Human Rights Commission (</w:t>
      </w:r>
      <w:r w:rsidR="00FF1B58">
        <w:t xml:space="preserve">“Sri Lanka: </w:t>
      </w:r>
      <w:r w:rsidR="00775DA1">
        <w:t>c</w:t>
      </w:r>
      <w:r>
        <w:t>ases of torture and ill-</w:t>
      </w:r>
      <w:r w:rsidRPr="000A20DA">
        <w:t>treatment</w:t>
      </w:r>
      <w:r>
        <w:t xml:space="preserve"> </w:t>
      </w:r>
      <w:r w:rsidR="00775DA1">
        <w:t>recorded from</w:t>
      </w:r>
      <w:r>
        <w:t xml:space="preserve"> 2006-2010</w:t>
      </w:r>
      <w:r w:rsidR="00775DA1">
        <w:t>”</w:t>
      </w:r>
      <w:r>
        <w:t>) and from Redress (</w:t>
      </w:r>
      <w:r w:rsidR="00775DA1">
        <w:t>“</w:t>
      </w:r>
      <w:r>
        <w:t>Responses to human rights violations: the implementation of the right to reparation for torture in India, Nepal and Sri Lanka</w:t>
      </w:r>
      <w:r w:rsidR="00775DA1">
        <w:t>”</w:t>
      </w:r>
      <w:r>
        <w:t xml:space="preserve">). </w:t>
      </w:r>
    </w:p>
  </w:footnote>
  <w:footnote w:id="8">
    <w:p w:rsidR="00D27E5A" w:rsidRDefault="00D27E5A" w:rsidP="008C5A6E">
      <w:pPr>
        <w:pStyle w:val="FootnoteText"/>
      </w:pPr>
      <w:r>
        <w:tab/>
      </w:r>
      <w:r>
        <w:rPr>
          <w:rStyle w:val="FootnoteReference"/>
          <w:szCs w:val="18"/>
        </w:rPr>
        <w:footnoteRef/>
      </w:r>
      <w:r>
        <w:tab/>
        <w:t xml:space="preserve">See </w:t>
      </w:r>
      <w:r w:rsidRPr="000A20DA">
        <w:t>communication</w:t>
      </w:r>
      <w:r>
        <w:t xml:space="preserve"> No. </w:t>
      </w:r>
      <w:r w:rsidRPr="00676AB6">
        <w:rPr>
          <w:bCs/>
        </w:rPr>
        <w:t>1756/2008</w:t>
      </w:r>
      <w:r>
        <w:rPr>
          <w:bCs/>
        </w:rPr>
        <w:t xml:space="preserve">, </w:t>
      </w:r>
      <w:r w:rsidRPr="00676AB6">
        <w:rPr>
          <w:i/>
        </w:rPr>
        <w:t xml:space="preserve">Zhumbaeva </w:t>
      </w:r>
      <w:r w:rsidRPr="00BA04FC">
        <w:rPr>
          <w:iCs/>
        </w:rPr>
        <w:t>v.</w:t>
      </w:r>
      <w:r w:rsidRPr="00676AB6">
        <w:rPr>
          <w:i/>
        </w:rPr>
        <w:t xml:space="preserve"> Kyrgyzstan</w:t>
      </w:r>
      <w:r>
        <w:rPr>
          <w:i/>
        </w:rPr>
        <w:t xml:space="preserve">, </w:t>
      </w:r>
      <w:r>
        <w:t xml:space="preserve">Views </w:t>
      </w:r>
      <w:r w:rsidR="008C5A6E">
        <w:t>adopted on</w:t>
      </w:r>
      <w:r>
        <w:t xml:space="preserve"> </w:t>
      </w:r>
      <w:r w:rsidRPr="00676AB6">
        <w:t>19 July 2011</w:t>
      </w:r>
      <w:r>
        <w:t>, para. 8.6.</w:t>
      </w:r>
    </w:p>
  </w:footnote>
  <w:footnote w:id="9">
    <w:p w:rsidR="00D27E5A" w:rsidRPr="00F723B2" w:rsidRDefault="00D27E5A" w:rsidP="006836EE">
      <w:pPr>
        <w:pStyle w:val="FootnoteText"/>
      </w:pPr>
      <w:r>
        <w:tab/>
      </w:r>
      <w:r w:rsidRPr="00BE532A">
        <w:rPr>
          <w:rStyle w:val="FootnoteReference"/>
          <w:szCs w:val="18"/>
        </w:rPr>
        <w:footnoteRef/>
      </w:r>
      <w:r>
        <w:tab/>
        <w:t xml:space="preserve">See communication No. 1225/2003, </w:t>
      </w:r>
      <w:r>
        <w:rPr>
          <w:i/>
        </w:rPr>
        <w:t xml:space="preserve">Eshonov </w:t>
      </w:r>
      <w:r w:rsidRPr="008C5A6E">
        <w:t>v.</w:t>
      </w:r>
      <w:r w:rsidRPr="00BA04FC">
        <w:rPr>
          <w:i/>
          <w:iCs/>
        </w:rPr>
        <w:t xml:space="preserve"> </w:t>
      </w:r>
      <w:r>
        <w:rPr>
          <w:i/>
        </w:rPr>
        <w:t>Uzbekistan,</w:t>
      </w:r>
      <w:r>
        <w:t xml:space="preserve"> Views adopted on 22 July 2010, para. 9.2.</w:t>
      </w:r>
    </w:p>
  </w:footnote>
  <w:footnote w:id="10">
    <w:p w:rsidR="00D27E5A" w:rsidRPr="006813D8" w:rsidRDefault="00D27E5A" w:rsidP="0061314D">
      <w:pPr>
        <w:pStyle w:val="FootnoteText"/>
      </w:pPr>
      <w:r>
        <w:tab/>
      </w:r>
      <w:r w:rsidRPr="00C07B20">
        <w:rPr>
          <w:rStyle w:val="FootnoteReference"/>
          <w:szCs w:val="18"/>
        </w:rPr>
        <w:footnoteRef/>
      </w:r>
      <w:r>
        <w:tab/>
      </w:r>
      <w:r w:rsidR="008C5A6E">
        <w:t>See g</w:t>
      </w:r>
      <w:r w:rsidRPr="00C07B20">
        <w:rPr>
          <w:rStyle w:val="Strong"/>
          <w:b w:val="0"/>
          <w:bCs w:val="0"/>
          <w:szCs w:val="18"/>
        </w:rPr>
        <w:t xml:space="preserve">eneral comment </w:t>
      </w:r>
      <w:r>
        <w:rPr>
          <w:rStyle w:val="Strong"/>
          <w:b w:val="0"/>
          <w:bCs w:val="0"/>
          <w:szCs w:val="18"/>
        </w:rPr>
        <w:t>No. </w:t>
      </w:r>
      <w:r w:rsidRPr="00C07B20">
        <w:rPr>
          <w:rStyle w:val="Strong"/>
          <w:b w:val="0"/>
          <w:bCs w:val="0"/>
          <w:szCs w:val="18"/>
        </w:rPr>
        <w:t>31 (2004) on the nature of the general legal o</w:t>
      </w:r>
      <w:r w:rsidRPr="00B011F0">
        <w:rPr>
          <w:rStyle w:val="Strong"/>
          <w:b w:val="0"/>
          <w:bCs w:val="0"/>
          <w:szCs w:val="18"/>
        </w:rPr>
        <w:t xml:space="preserve">bligation </w:t>
      </w:r>
      <w:r w:rsidRPr="00DD3EF4">
        <w:rPr>
          <w:rStyle w:val="Strong"/>
          <w:b w:val="0"/>
          <w:bCs w:val="0"/>
          <w:szCs w:val="18"/>
        </w:rPr>
        <w:t xml:space="preserve">imposed on States parties to the </w:t>
      </w:r>
      <w:r w:rsidRPr="008C5A6E">
        <w:rPr>
          <w:rStyle w:val="Strong"/>
          <w:b w:val="0"/>
          <w:bCs w:val="0"/>
          <w:szCs w:val="18"/>
        </w:rPr>
        <w:t>Covenant</w:t>
      </w:r>
      <w:r w:rsidR="008C5A6E" w:rsidRPr="008C5A6E">
        <w:rPr>
          <w:rStyle w:val="Strong"/>
          <w:b w:val="0"/>
          <w:bCs w:val="0"/>
          <w:szCs w:val="18"/>
        </w:rPr>
        <w:t>.</w:t>
      </w:r>
      <w:r w:rsidRPr="008C5A6E">
        <w:rPr>
          <w:rStyle w:val="Strong"/>
          <w:b w:val="0"/>
          <w:bCs w:val="0"/>
          <w:szCs w:val="18"/>
        </w:rPr>
        <w:t xml:space="preserve"> </w:t>
      </w:r>
      <w:r w:rsidRPr="00BA04FC">
        <w:t xml:space="preserve">See also </w:t>
      </w:r>
      <w:r w:rsidRPr="008C5A6E">
        <w:t>communications</w:t>
      </w:r>
      <w:r w:rsidRPr="006813D8">
        <w:t xml:space="preserve"> No.</w:t>
      </w:r>
      <w:r>
        <w:t> </w:t>
      </w:r>
      <w:r w:rsidRPr="006813D8">
        <w:t xml:space="preserve">1619/2007, </w:t>
      </w:r>
      <w:r w:rsidRPr="006813D8">
        <w:rPr>
          <w:i/>
          <w:iCs/>
        </w:rPr>
        <w:t xml:space="preserve">Pestaño </w:t>
      </w:r>
      <w:r w:rsidRPr="00157EE0">
        <w:t>v.</w:t>
      </w:r>
      <w:r w:rsidRPr="00BA04FC">
        <w:rPr>
          <w:i/>
          <w:iCs/>
        </w:rPr>
        <w:t xml:space="preserve"> </w:t>
      </w:r>
      <w:r w:rsidRPr="006813D8">
        <w:rPr>
          <w:i/>
          <w:iCs/>
        </w:rPr>
        <w:t>Philippines,</w:t>
      </w:r>
      <w:r w:rsidR="0061314D">
        <w:rPr>
          <w:i/>
          <w:iCs/>
        </w:rPr>
        <w:t xml:space="preserve"> </w:t>
      </w:r>
      <w:r w:rsidRPr="006813D8">
        <w:t>Views adopted on 23 March 2010, para</w:t>
      </w:r>
      <w:r>
        <w:t>. </w:t>
      </w:r>
      <w:r w:rsidRPr="006813D8">
        <w:t>7.2</w:t>
      </w:r>
      <w:r>
        <w:t>;</w:t>
      </w:r>
      <w:r w:rsidRPr="006813D8">
        <w:t xml:space="preserve"> </w:t>
      </w:r>
      <w:r w:rsidR="0061314D">
        <w:t xml:space="preserve">No. </w:t>
      </w:r>
      <w:r w:rsidRPr="006813D8">
        <w:t xml:space="preserve">1447/2006, </w:t>
      </w:r>
      <w:r w:rsidRPr="006813D8">
        <w:rPr>
          <w:i/>
          <w:iCs/>
        </w:rPr>
        <w:t xml:space="preserve">Amirov </w:t>
      </w:r>
      <w:r w:rsidRPr="00157EE0">
        <w:t xml:space="preserve">v. </w:t>
      </w:r>
      <w:smartTag w:uri="urn:schemas-microsoft-com:office:smarttags" w:element="place">
        <w:smartTag w:uri="urn:schemas-microsoft-com:office:smarttags" w:element="country-region">
          <w:r w:rsidRPr="006813D8">
            <w:rPr>
              <w:i/>
              <w:iCs/>
            </w:rPr>
            <w:t>Russian Federation</w:t>
          </w:r>
        </w:smartTag>
      </w:smartTag>
      <w:r w:rsidRPr="006813D8">
        <w:rPr>
          <w:i/>
          <w:iCs/>
        </w:rPr>
        <w:t xml:space="preserve">, </w:t>
      </w:r>
      <w:r w:rsidRPr="006813D8">
        <w:t>Views adopted on 2</w:t>
      </w:r>
      <w:r w:rsidR="00157EE0">
        <w:t> </w:t>
      </w:r>
      <w:r w:rsidRPr="006813D8">
        <w:t xml:space="preserve">April 2009, </w:t>
      </w:r>
      <w:r>
        <w:t>para. </w:t>
      </w:r>
      <w:r w:rsidRPr="006813D8">
        <w:t>11.2</w:t>
      </w:r>
      <w:r w:rsidR="009E4B65">
        <w:t>;</w:t>
      </w:r>
      <w:r w:rsidRPr="006813D8">
        <w:t xml:space="preserve"> and </w:t>
      </w:r>
      <w:r w:rsidR="0061314D">
        <w:t xml:space="preserve">No. </w:t>
      </w:r>
      <w:r w:rsidRPr="006813D8">
        <w:t>1436/2005</w:t>
      </w:r>
      <w:r w:rsidR="009E4B65">
        <w:t>,</w:t>
      </w:r>
      <w:r w:rsidRPr="006813D8">
        <w:t xml:space="preserve"> </w:t>
      </w:r>
      <w:r w:rsidRPr="006813D8">
        <w:rPr>
          <w:i/>
          <w:iCs/>
        </w:rPr>
        <w:t xml:space="preserve">Sathasivam </w:t>
      </w:r>
      <w:r w:rsidRPr="009E4B65">
        <w:t>v.</w:t>
      </w:r>
      <w:r w:rsidRPr="00BA04FC">
        <w:rPr>
          <w:i/>
          <w:iCs/>
        </w:rPr>
        <w:t xml:space="preserve"> Sri Lanka</w:t>
      </w:r>
      <w:r w:rsidRPr="006813D8">
        <w:t>, Views adopted on 8</w:t>
      </w:r>
      <w:r w:rsidR="0061314D">
        <w:t> </w:t>
      </w:r>
      <w:r w:rsidRPr="006813D8">
        <w:t>July</w:t>
      </w:r>
      <w:r w:rsidR="0061314D">
        <w:t> </w:t>
      </w:r>
      <w:r w:rsidRPr="006813D8">
        <w:t xml:space="preserve">2008, </w:t>
      </w:r>
      <w:r>
        <w:t>para. </w:t>
      </w:r>
      <w:r w:rsidRPr="006813D8">
        <w:t>6.4.</w:t>
      </w:r>
    </w:p>
  </w:footnote>
  <w:footnote w:id="11">
    <w:p w:rsidR="00D27E5A" w:rsidRPr="007C7848" w:rsidRDefault="00D27E5A" w:rsidP="007233CD">
      <w:pPr>
        <w:pStyle w:val="FootnoteText"/>
      </w:pPr>
      <w:r>
        <w:tab/>
      </w:r>
      <w:r w:rsidRPr="00BA04FC">
        <w:rPr>
          <w:rStyle w:val="FootnoteReference"/>
        </w:rPr>
        <w:footnoteRef/>
      </w:r>
      <w:r w:rsidRPr="00BA04FC">
        <w:tab/>
      </w:r>
      <w:r w:rsidR="007233CD" w:rsidRPr="00BA04FC">
        <w:t xml:space="preserve">See </w:t>
      </w:r>
      <w:r w:rsidRPr="00BA04FC">
        <w:rPr>
          <w:i/>
        </w:rPr>
        <w:t xml:space="preserve">Eshonov </w:t>
      </w:r>
      <w:r w:rsidRPr="00BA04FC">
        <w:t>v.</w:t>
      </w:r>
      <w:r w:rsidRPr="00BA04FC">
        <w:rPr>
          <w:i/>
          <w:iCs/>
        </w:rPr>
        <w:t xml:space="preserve"> </w:t>
      </w:r>
      <w:r w:rsidRPr="00BA04FC">
        <w:rPr>
          <w:i/>
        </w:rPr>
        <w:t>Uzbekistan</w:t>
      </w:r>
      <w:r w:rsidR="001F449D" w:rsidRPr="001F449D">
        <w:rPr>
          <w:iCs/>
        </w:rPr>
        <w:t xml:space="preserve"> (note 7 above)</w:t>
      </w:r>
      <w:r w:rsidRPr="00BA04FC">
        <w:t xml:space="preserve">, para. 9.10; </w:t>
      </w:r>
      <w:r w:rsidR="007233CD" w:rsidRPr="00BA04FC">
        <w:t>and</w:t>
      </w:r>
      <w:r w:rsidRPr="00BA04FC">
        <w:t xml:space="preserve"> </w:t>
      </w:r>
      <w:r w:rsidRPr="00BA04FC">
        <w:rPr>
          <w:i/>
          <w:iCs/>
        </w:rPr>
        <w:t>Amirov</w:t>
      </w:r>
      <w:r w:rsidRPr="00BA04FC">
        <w:t xml:space="preserve"> v.</w:t>
      </w:r>
      <w:r w:rsidRPr="00BA04FC">
        <w:rPr>
          <w:i/>
          <w:iCs/>
        </w:rPr>
        <w:t xml:space="preserve"> </w:t>
      </w:r>
      <w:r w:rsidR="007233CD" w:rsidRPr="00BA04FC">
        <w:rPr>
          <w:i/>
          <w:iCs/>
        </w:rPr>
        <w:t>Russian Federation</w:t>
      </w:r>
      <w:r w:rsidR="001F449D" w:rsidRPr="001F449D">
        <w:t xml:space="preserve"> (note 8 above)</w:t>
      </w:r>
      <w:r w:rsidRPr="00BA04FC">
        <w:t>, para.</w:t>
      </w:r>
      <w:r>
        <w:t> </w:t>
      </w:r>
      <w:r w:rsidR="00401385">
        <w:t>11.7.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E5A" w:rsidRPr="004C5945" w:rsidRDefault="00D27E5A" w:rsidP="004C5945">
    <w:pPr>
      <w:pStyle w:val="Header"/>
    </w:pPr>
    <w:r>
      <w:t>CCPR/C/113/D/2087/2011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E5A" w:rsidRPr="004C5945" w:rsidRDefault="00D27E5A" w:rsidP="004C5945">
    <w:pPr>
      <w:pStyle w:val="Header"/>
      <w:jc w:val="right"/>
    </w:pPr>
    <w:r>
      <w:t>CCPR/C/113/D/2087/2011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945"/>
    <w:rsid w:val="000047EE"/>
    <w:rsid w:val="000144FE"/>
    <w:rsid w:val="000209B3"/>
    <w:rsid w:val="00023C9E"/>
    <w:rsid w:val="00023D72"/>
    <w:rsid w:val="00025AE8"/>
    <w:rsid w:val="000269A1"/>
    <w:rsid w:val="0003108E"/>
    <w:rsid w:val="0003268B"/>
    <w:rsid w:val="0003294D"/>
    <w:rsid w:val="000331A3"/>
    <w:rsid w:val="0004391C"/>
    <w:rsid w:val="00043D1E"/>
    <w:rsid w:val="00050791"/>
    <w:rsid w:val="00050EDF"/>
    <w:rsid w:val="00050F6B"/>
    <w:rsid w:val="00051D3C"/>
    <w:rsid w:val="00063162"/>
    <w:rsid w:val="0006748B"/>
    <w:rsid w:val="00072C8C"/>
    <w:rsid w:val="000759A5"/>
    <w:rsid w:val="000837B6"/>
    <w:rsid w:val="0008595B"/>
    <w:rsid w:val="00086A8B"/>
    <w:rsid w:val="000877E2"/>
    <w:rsid w:val="00091828"/>
    <w:rsid w:val="000931C0"/>
    <w:rsid w:val="000938EA"/>
    <w:rsid w:val="000A20DA"/>
    <w:rsid w:val="000A21CB"/>
    <w:rsid w:val="000A420E"/>
    <w:rsid w:val="000A5456"/>
    <w:rsid w:val="000B175B"/>
    <w:rsid w:val="000B3A0F"/>
    <w:rsid w:val="000B6E39"/>
    <w:rsid w:val="000B71EC"/>
    <w:rsid w:val="000C500F"/>
    <w:rsid w:val="000D0FB4"/>
    <w:rsid w:val="000D6C63"/>
    <w:rsid w:val="000D747B"/>
    <w:rsid w:val="000E0415"/>
    <w:rsid w:val="000E24A4"/>
    <w:rsid w:val="000E4B22"/>
    <w:rsid w:val="000F2F94"/>
    <w:rsid w:val="000F3E45"/>
    <w:rsid w:val="000F792B"/>
    <w:rsid w:val="00101DF1"/>
    <w:rsid w:val="00110508"/>
    <w:rsid w:val="00125859"/>
    <w:rsid w:val="00125FFC"/>
    <w:rsid w:val="00127E93"/>
    <w:rsid w:val="00140629"/>
    <w:rsid w:val="001468F3"/>
    <w:rsid w:val="00150E8E"/>
    <w:rsid w:val="00151FF4"/>
    <w:rsid w:val="00157EE0"/>
    <w:rsid w:val="0016703E"/>
    <w:rsid w:val="001702AE"/>
    <w:rsid w:val="001709C6"/>
    <w:rsid w:val="00172BFC"/>
    <w:rsid w:val="00173AB8"/>
    <w:rsid w:val="001814DC"/>
    <w:rsid w:val="001A0760"/>
    <w:rsid w:val="001A19AC"/>
    <w:rsid w:val="001A5C18"/>
    <w:rsid w:val="001B1FE8"/>
    <w:rsid w:val="001B4853"/>
    <w:rsid w:val="001B4B04"/>
    <w:rsid w:val="001C4670"/>
    <w:rsid w:val="001C6663"/>
    <w:rsid w:val="001C7895"/>
    <w:rsid w:val="001D24DA"/>
    <w:rsid w:val="001D26DF"/>
    <w:rsid w:val="001D477D"/>
    <w:rsid w:val="001D4C14"/>
    <w:rsid w:val="001E14E6"/>
    <w:rsid w:val="001E28E9"/>
    <w:rsid w:val="001F449D"/>
    <w:rsid w:val="001F4950"/>
    <w:rsid w:val="001F6F21"/>
    <w:rsid w:val="00203673"/>
    <w:rsid w:val="00211E0B"/>
    <w:rsid w:val="0021700A"/>
    <w:rsid w:val="00221B43"/>
    <w:rsid w:val="002325BB"/>
    <w:rsid w:val="0023307A"/>
    <w:rsid w:val="00233C26"/>
    <w:rsid w:val="00234DAC"/>
    <w:rsid w:val="00237B5F"/>
    <w:rsid w:val="0024595B"/>
    <w:rsid w:val="002470E7"/>
    <w:rsid w:val="0025022F"/>
    <w:rsid w:val="0027790E"/>
    <w:rsid w:val="002830F7"/>
    <w:rsid w:val="00284168"/>
    <w:rsid w:val="002902E3"/>
    <w:rsid w:val="00290372"/>
    <w:rsid w:val="002934AE"/>
    <w:rsid w:val="00297B36"/>
    <w:rsid w:val="002A4AA8"/>
    <w:rsid w:val="002A77C8"/>
    <w:rsid w:val="002B0359"/>
    <w:rsid w:val="002B1B8B"/>
    <w:rsid w:val="002B388C"/>
    <w:rsid w:val="002B4572"/>
    <w:rsid w:val="002B4B5A"/>
    <w:rsid w:val="002B67F3"/>
    <w:rsid w:val="002C0004"/>
    <w:rsid w:val="002C350C"/>
    <w:rsid w:val="002C4264"/>
    <w:rsid w:val="002C79D1"/>
    <w:rsid w:val="002D0441"/>
    <w:rsid w:val="002D4629"/>
    <w:rsid w:val="002D5B26"/>
    <w:rsid w:val="002D63C7"/>
    <w:rsid w:val="002D7118"/>
    <w:rsid w:val="002D7E90"/>
    <w:rsid w:val="002E08F4"/>
    <w:rsid w:val="002E0B4F"/>
    <w:rsid w:val="002F21EE"/>
    <w:rsid w:val="002F2997"/>
    <w:rsid w:val="002F6A1B"/>
    <w:rsid w:val="00301E2C"/>
    <w:rsid w:val="00302AE6"/>
    <w:rsid w:val="003107FA"/>
    <w:rsid w:val="00310EA8"/>
    <w:rsid w:val="00311A9D"/>
    <w:rsid w:val="003145E6"/>
    <w:rsid w:val="00315156"/>
    <w:rsid w:val="00317448"/>
    <w:rsid w:val="003229D8"/>
    <w:rsid w:val="003269E4"/>
    <w:rsid w:val="00332D83"/>
    <w:rsid w:val="0033745A"/>
    <w:rsid w:val="00345CED"/>
    <w:rsid w:val="00352BCA"/>
    <w:rsid w:val="0036000B"/>
    <w:rsid w:val="003603F7"/>
    <w:rsid w:val="00367C53"/>
    <w:rsid w:val="00370826"/>
    <w:rsid w:val="00371BC8"/>
    <w:rsid w:val="003727C6"/>
    <w:rsid w:val="00375E3E"/>
    <w:rsid w:val="003778A7"/>
    <w:rsid w:val="00382F73"/>
    <w:rsid w:val="0039277A"/>
    <w:rsid w:val="00396A37"/>
    <w:rsid w:val="003972E0"/>
    <w:rsid w:val="003A3AEE"/>
    <w:rsid w:val="003B72A1"/>
    <w:rsid w:val="003B791A"/>
    <w:rsid w:val="003C1C92"/>
    <w:rsid w:val="003C2622"/>
    <w:rsid w:val="003C2CC4"/>
    <w:rsid w:val="003C664D"/>
    <w:rsid w:val="003D4B23"/>
    <w:rsid w:val="003E21BF"/>
    <w:rsid w:val="003E5316"/>
    <w:rsid w:val="003F4B79"/>
    <w:rsid w:val="003F7E82"/>
    <w:rsid w:val="00401385"/>
    <w:rsid w:val="00403DCB"/>
    <w:rsid w:val="004051C8"/>
    <w:rsid w:val="004101CF"/>
    <w:rsid w:val="004322CE"/>
    <w:rsid w:val="004325CB"/>
    <w:rsid w:val="00433298"/>
    <w:rsid w:val="004334F1"/>
    <w:rsid w:val="00436139"/>
    <w:rsid w:val="004406A5"/>
    <w:rsid w:val="00441103"/>
    <w:rsid w:val="0044113A"/>
    <w:rsid w:val="00446DE4"/>
    <w:rsid w:val="004600F0"/>
    <w:rsid w:val="004634B3"/>
    <w:rsid w:val="004636E3"/>
    <w:rsid w:val="00464A14"/>
    <w:rsid w:val="00467F34"/>
    <w:rsid w:val="004722DD"/>
    <w:rsid w:val="004817E4"/>
    <w:rsid w:val="00481A93"/>
    <w:rsid w:val="004824B8"/>
    <w:rsid w:val="00483B68"/>
    <w:rsid w:val="0049253A"/>
    <w:rsid w:val="004947E0"/>
    <w:rsid w:val="00496B95"/>
    <w:rsid w:val="004A108F"/>
    <w:rsid w:val="004A41CA"/>
    <w:rsid w:val="004B116D"/>
    <w:rsid w:val="004B6683"/>
    <w:rsid w:val="004C5222"/>
    <w:rsid w:val="004C5945"/>
    <w:rsid w:val="004C6839"/>
    <w:rsid w:val="004C7AAA"/>
    <w:rsid w:val="004D0EB6"/>
    <w:rsid w:val="004D1012"/>
    <w:rsid w:val="004D7ED8"/>
    <w:rsid w:val="004E0ADF"/>
    <w:rsid w:val="004E3656"/>
    <w:rsid w:val="004F633C"/>
    <w:rsid w:val="00501C15"/>
    <w:rsid w:val="00503228"/>
    <w:rsid w:val="00505384"/>
    <w:rsid w:val="005075E9"/>
    <w:rsid w:val="0051105E"/>
    <w:rsid w:val="005125C4"/>
    <w:rsid w:val="0051350C"/>
    <w:rsid w:val="00515833"/>
    <w:rsid w:val="00516340"/>
    <w:rsid w:val="00521069"/>
    <w:rsid w:val="00527507"/>
    <w:rsid w:val="00530950"/>
    <w:rsid w:val="0053437A"/>
    <w:rsid w:val="0053570D"/>
    <w:rsid w:val="005420F2"/>
    <w:rsid w:val="00542D65"/>
    <w:rsid w:val="005520C3"/>
    <w:rsid w:val="005606F9"/>
    <w:rsid w:val="00562368"/>
    <w:rsid w:val="00576FA5"/>
    <w:rsid w:val="005775E9"/>
    <w:rsid w:val="0058157C"/>
    <w:rsid w:val="00582C91"/>
    <w:rsid w:val="00584BBF"/>
    <w:rsid w:val="00597E9E"/>
    <w:rsid w:val="005A04F0"/>
    <w:rsid w:val="005B0319"/>
    <w:rsid w:val="005B3DB3"/>
    <w:rsid w:val="005B5B92"/>
    <w:rsid w:val="005C2188"/>
    <w:rsid w:val="005C3DB9"/>
    <w:rsid w:val="005C5016"/>
    <w:rsid w:val="005C512B"/>
    <w:rsid w:val="005D2906"/>
    <w:rsid w:val="005D35FD"/>
    <w:rsid w:val="005D6769"/>
    <w:rsid w:val="005D74B7"/>
    <w:rsid w:val="005E0DFF"/>
    <w:rsid w:val="005E47C3"/>
    <w:rsid w:val="005F0D6C"/>
    <w:rsid w:val="005F0DD2"/>
    <w:rsid w:val="005F28BB"/>
    <w:rsid w:val="005F2B6A"/>
    <w:rsid w:val="005F5B9A"/>
    <w:rsid w:val="00601E9E"/>
    <w:rsid w:val="006071C0"/>
    <w:rsid w:val="00610AB3"/>
    <w:rsid w:val="00611FC4"/>
    <w:rsid w:val="0061314D"/>
    <w:rsid w:val="0061350D"/>
    <w:rsid w:val="00616B59"/>
    <w:rsid w:val="006176FB"/>
    <w:rsid w:val="006217DF"/>
    <w:rsid w:val="00622BA9"/>
    <w:rsid w:val="00627A9C"/>
    <w:rsid w:val="00627ED0"/>
    <w:rsid w:val="006321F7"/>
    <w:rsid w:val="00640B26"/>
    <w:rsid w:val="006446F7"/>
    <w:rsid w:val="00645213"/>
    <w:rsid w:val="006515DF"/>
    <w:rsid w:val="0066176E"/>
    <w:rsid w:val="00664EEE"/>
    <w:rsid w:val="00665595"/>
    <w:rsid w:val="00666182"/>
    <w:rsid w:val="00670AF5"/>
    <w:rsid w:val="00676C3B"/>
    <w:rsid w:val="00677634"/>
    <w:rsid w:val="00677BA4"/>
    <w:rsid w:val="006813D8"/>
    <w:rsid w:val="006836EE"/>
    <w:rsid w:val="00683A10"/>
    <w:rsid w:val="00684408"/>
    <w:rsid w:val="0069032D"/>
    <w:rsid w:val="006A2D80"/>
    <w:rsid w:val="006A46D7"/>
    <w:rsid w:val="006A58B8"/>
    <w:rsid w:val="006A7392"/>
    <w:rsid w:val="006B487E"/>
    <w:rsid w:val="006D397F"/>
    <w:rsid w:val="006E02A2"/>
    <w:rsid w:val="006E1B64"/>
    <w:rsid w:val="006E46E0"/>
    <w:rsid w:val="006E54F9"/>
    <w:rsid w:val="006E564B"/>
    <w:rsid w:val="006E72E3"/>
    <w:rsid w:val="006F79BD"/>
    <w:rsid w:val="00700655"/>
    <w:rsid w:val="007036C4"/>
    <w:rsid w:val="00706D1F"/>
    <w:rsid w:val="007128D6"/>
    <w:rsid w:val="007233CD"/>
    <w:rsid w:val="00724DB4"/>
    <w:rsid w:val="00724FE5"/>
    <w:rsid w:val="0072632A"/>
    <w:rsid w:val="00732339"/>
    <w:rsid w:val="0073555E"/>
    <w:rsid w:val="00735832"/>
    <w:rsid w:val="00735EC3"/>
    <w:rsid w:val="007369EB"/>
    <w:rsid w:val="00737738"/>
    <w:rsid w:val="00742572"/>
    <w:rsid w:val="00747C1D"/>
    <w:rsid w:val="00754626"/>
    <w:rsid w:val="0075770B"/>
    <w:rsid w:val="007601B5"/>
    <w:rsid w:val="00763762"/>
    <w:rsid w:val="007649BF"/>
    <w:rsid w:val="00764F3D"/>
    <w:rsid w:val="00767F41"/>
    <w:rsid w:val="00770704"/>
    <w:rsid w:val="007715A5"/>
    <w:rsid w:val="00775DA1"/>
    <w:rsid w:val="0078159F"/>
    <w:rsid w:val="00782459"/>
    <w:rsid w:val="00784DA8"/>
    <w:rsid w:val="00784F49"/>
    <w:rsid w:val="00790127"/>
    <w:rsid w:val="00795513"/>
    <w:rsid w:val="007A3DBF"/>
    <w:rsid w:val="007A5DEB"/>
    <w:rsid w:val="007A7743"/>
    <w:rsid w:val="007B5E55"/>
    <w:rsid w:val="007B6257"/>
    <w:rsid w:val="007B6BA5"/>
    <w:rsid w:val="007C1050"/>
    <w:rsid w:val="007C2976"/>
    <w:rsid w:val="007C3390"/>
    <w:rsid w:val="007C411D"/>
    <w:rsid w:val="007C4F4B"/>
    <w:rsid w:val="007C6D22"/>
    <w:rsid w:val="007C7848"/>
    <w:rsid w:val="007D248A"/>
    <w:rsid w:val="007D2C7B"/>
    <w:rsid w:val="007D6276"/>
    <w:rsid w:val="007E01F1"/>
    <w:rsid w:val="007E3595"/>
    <w:rsid w:val="007E378F"/>
    <w:rsid w:val="007E6AC9"/>
    <w:rsid w:val="007F0527"/>
    <w:rsid w:val="007F05D5"/>
    <w:rsid w:val="007F0B83"/>
    <w:rsid w:val="007F51FA"/>
    <w:rsid w:val="007F6611"/>
    <w:rsid w:val="00800244"/>
    <w:rsid w:val="00812A08"/>
    <w:rsid w:val="00812F70"/>
    <w:rsid w:val="00815615"/>
    <w:rsid w:val="0081687F"/>
    <w:rsid w:val="008175E9"/>
    <w:rsid w:val="00817EB7"/>
    <w:rsid w:val="008225C4"/>
    <w:rsid w:val="00822834"/>
    <w:rsid w:val="008239CB"/>
    <w:rsid w:val="008242D7"/>
    <w:rsid w:val="0082468F"/>
    <w:rsid w:val="008256B8"/>
    <w:rsid w:val="008302D1"/>
    <w:rsid w:val="00830658"/>
    <w:rsid w:val="008308CE"/>
    <w:rsid w:val="008311A3"/>
    <w:rsid w:val="008324A7"/>
    <w:rsid w:val="008334EF"/>
    <w:rsid w:val="008410D4"/>
    <w:rsid w:val="00843C39"/>
    <w:rsid w:val="00855EB4"/>
    <w:rsid w:val="00856E77"/>
    <w:rsid w:val="00862243"/>
    <w:rsid w:val="00863E58"/>
    <w:rsid w:val="00871FD5"/>
    <w:rsid w:val="00873FAD"/>
    <w:rsid w:val="00874D77"/>
    <w:rsid w:val="00877C1C"/>
    <w:rsid w:val="00881F88"/>
    <w:rsid w:val="008844CD"/>
    <w:rsid w:val="0088617F"/>
    <w:rsid w:val="00890A8B"/>
    <w:rsid w:val="008914B3"/>
    <w:rsid w:val="00896206"/>
    <w:rsid w:val="008979B1"/>
    <w:rsid w:val="008A18D6"/>
    <w:rsid w:val="008A6B25"/>
    <w:rsid w:val="008A6C4F"/>
    <w:rsid w:val="008B0ED0"/>
    <w:rsid w:val="008B3AC6"/>
    <w:rsid w:val="008B4A07"/>
    <w:rsid w:val="008B5570"/>
    <w:rsid w:val="008C1C1B"/>
    <w:rsid w:val="008C5A6E"/>
    <w:rsid w:val="008D232B"/>
    <w:rsid w:val="008D2CB9"/>
    <w:rsid w:val="008D3378"/>
    <w:rsid w:val="008E0E46"/>
    <w:rsid w:val="008E44E8"/>
    <w:rsid w:val="008E4826"/>
    <w:rsid w:val="008F0027"/>
    <w:rsid w:val="008F487D"/>
    <w:rsid w:val="008F56F7"/>
    <w:rsid w:val="008F5FBD"/>
    <w:rsid w:val="009000B8"/>
    <w:rsid w:val="00901620"/>
    <w:rsid w:val="0090333C"/>
    <w:rsid w:val="009041A3"/>
    <w:rsid w:val="00904957"/>
    <w:rsid w:val="00907AD2"/>
    <w:rsid w:val="00921964"/>
    <w:rsid w:val="009379B3"/>
    <w:rsid w:val="009452F2"/>
    <w:rsid w:val="009558AA"/>
    <w:rsid w:val="009615FA"/>
    <w:rsid w:val="00962D50"/>
    <w:rsid w:val="00963CBA"/>
    <w:rsid w:val="00965B5E"/>
    <w:rsid w:val="00967ADC"/>
    <w:rsid w:val="00971909"/>
    <w:rsid w:val="00974A8D"/>
    <w:rsid w:val="009766A7"/>
    <w:rsid w:val="009766F7"/>
    <w:rsid w:val="00977697"/>
    <w:rsid w:val="00977865"/>
    <w:rsid w:val="00983ED5"/>
    <w:rsid w:val="00984B7C"/>
    <w:rsid w:val="00987715"/>
    <w:rsid w:val="00991261"/>
    <w:rsid w:val="009947AD"/>
    <w:rsid w:val="009970F8"/>
    <w:rsid w:val="009A199B"/>
    <w:rsid w:val="009A51F3"/>
    <w:rsid w:val="009B0589"/>
    <w:rsid w:val="009B43D5"/>
    <w:rsid w:val="009B5C47"/>
    <w:rsid w:val="009C0FF3"/>
    <w:rsid w:val="009C63D1"/>
    <w:rsid w:val="009D1619"/>
    <w:rsid w:val="009E2187"/>
    <w:rsid w:val="009E3E69"/>
    <w:rsid w:val="009E40EF"/>
    <w:rsid w:val="009E4B65"/>
    <w:rsid w:val="009F0634"/>
    <w:rsid w:val="009F2B33"/>
    <w:rsid w:val="009F3A04"/>
    <w:rsid w:val="009F3A17"/>
    <w:rsid w:val="00A01ED0"/>
    <w:rsid w:val="00A02BFF"/>
    <w:rsid w:val="00A03A75"/>
    <w:rsid w:val="00A03EB1"/>
    <w:rsid w:val="00A047A2"/>
    <w:rsid w:val="00A05D60"/>
    <w:rsid w:val="00A126F6"/>
    <w:rsid w:val="00A12DA1"/>
    <w:rsid w:val="00A1427D"/>
    <w:rsid w:val="00A217AA"/>
    <w:rsid w:val="00A2310F"/>
    <w:rsid w:val="00A25B2B"/>
    <w:rsid w:val="00A263EF"/>
    <w:rsid w:val="00A32789"/>
    <w:rsid w:val="00A37D4B"/>
    <w:rsid w:val="00A44BA9"/>
    <w:rsid w:val="00A46F75"/>
    <w:rsid w:val="00A64D8C"/>
    <w:rsid w:val="00A72F22"/>
    <w:rsid w:val="00A73048"/>
    <w:rsid w:val="00A73802"/>
    <w:rsid w:val="00A7404C"/>
    <w:rsid w:val="00A748A6"/>
    <w:rsid w:val="00A749ED"/>
    <w:rsid w:val="00A7713A"/>
    <w:rsid w:val="00A86A95"/>
    <w:rsid w:val="00A878D2"/>
    <w:rsid w:val="00A879A4"/>
    <w:rsid w:val="00A92D88"/>
    <w:rsid w:val="00AA2DF9"/>
    <w:rsid w:val="00AB4362"/>
    <w:rsid w:val="00AC1FD2"/>
    <w:rsid w:val="00AC2A72"/>
    <w:rsid w:val="00AC6A64"/>
    <w:rsid w:val="00AD0AAE"/>
    <w:rsid w:val="00AD55E6"/>
    <w:rsid w:val="00AD5B5C"/>
    <w:rsid w:val="00AD67D1"/>
    <w:rsid w:val="00AD6F27"/>
    <w:rsid w:val="00AD768D"/>
    <w:rsid w:val="00AD7F18"/>
    <w:rsid w:val="00AE14B0"/>
    <w:rsid w:val="00AE352E"/>
    <w:rsid w:val="00AE7BB8"/>
    <w:rsid w:val="00AF3715"/>
    <w:rsid w:val="00AF6AAA"/>
    <w:rsid w:val="00AF71D5"/>
    <w:rsid w:val="00B00872"/>
    <w:rsid w:val="00B011F0"/>
    <w:rsid w:val="00B044BC"/>
    <w:rsid w:val="00B075D2"/>
    <w:rsid w:val="00B117F0"/>
    <w:rsid w:val="00B11FF4"/>
    <w:rsid w:val="00B17BF3"/>
    <w:rsid w:val="00B256B0"/>
    <w:rsid w:val="00B259CE"/>
    <w:rsid w:val="00B26EAD"/>
    <w:rsid w:val="00B30179"/>
    <w:rsid w:val="00B31DF2"/>
    <w:rsid w:val="00B33EC0"/>
    <w:rsid w:val="00B36CC2"/>
    <w:rsid w:val="00B37EBA"/>
    <w:rsid w:val="00B40213"/>
    <w:rsid w:val="00B41603"/>
    <w:rsid w:val="00B42108"/>
    <w:rsid w:val="00B55A85"/>
    <w:rsid w:val="00B76685"/>
    <w:rsid w:val="00B8037A"/>
    <w:rsid w:val="00B80C38"/>
    <w:rsid w:val="00B81E12"/>
    <w:rsid w:val="00B84183"/>
    <w:rsid w:val="00B90C6D"/>
    <w:rsid w:val="00B92D3F"/>
    <w:rsid w:val="00B95A8D"/>
    <w:rsid w:val="00B978FE"/>
    <w:rsid w:val="00B97EA6"/>
    <w:rsid w:val="00BA04FC"/>
    <w:rsid w:val="00BB0D33"/>
    <w:rsid w:val="00BB539D"/>
    <w:rsid w:val="00BB634A"/>
    <w:rsid w:val="00BB790A"/>
    <w:rsid w:val="00BC49D2"/>
    <w:rsid w:val="00BC74E9"/>
    <w:rsid w:val="00BD51B8"/>
    <w:rsid w:val="00BD5BBA"/>
    <w:rsid w:val="00BE4F74"/>
    <w:rsid w:val="00BE532A"/>
    <w:rsid w:val="00BE618E"/>
    <w:rsid w:val="00BF0317"/>
    <w:rsid w:val="00BF2844"/>
    <w:rsid w:val="00BF321D"/>
    <w:rsid w:val="00BF549C"/>
    <w:rsid w:val="00C06C1D"/>
    <w:rsid w:val="00C07B20"/>
    <w:rsid w:val="00C107C3"/>
    <w:rsid w:val="00C16F0A"/>
    <w:rsid w:val="00C17699"/>
    <w:rsid w:val="00C215C6"/>
    <w:rsid w:val="00C2214A"/>
    <w:rsid w:val="00C27ED0"/>
    <w:rsid w:val="00C31884"/>
    <w:rsid w:val="00C335E1"/>
    <w:rsid w:val="00C33A29"/>
    <w:rsid w:val="00C36812"/>
    <w:rsid w:val="00C418A1"/>
    <w:rsid w:val="00C43F7C"/>
    <w:rsid w:val="00C463DD"/>
    <w:rsid w:val="00C52C7C"/>
    <w:rsid w:val="00C54686"/>
    <w:rsid w:val="00C60888"/>
    <w:rsid w:val="00C6730F"/>
    <w:rsid w:val="00C745C3"/>
    <w:rsid w:val="00C767A0"/>
    <w:rsid w:val="00C862CC"/>
    <w:rsid w:val="00C87043"/>
    <w:rsid w:val="00C9016F"/>
    <w:rsid w:val="00CA365F"/>
    <w:rsid w:val="00CB5D62"/>
    <w:rsid w:val="00CB5DFD"/>
    <w:rsid w:val="00CB7028"/>
    <w:rsid w:val="00CD1FFB"/>
    <w:rsid w:val="00CD5643"/>
    <w:rsid w:val="00CE1686"/>
    <w:rsid w:val="00CE1EC0"/>
    <w:rsid w:val="00CE22AD"/>
    <w:rsid w:val="00CE4588"/>
    <w:rsid w:val="00CE4A8F"/>
    <w:rsid w:val="00CE5518"/>
    <w:rsid w:val="00CF21DC"/>
    <w:rsid w:val="00CF4B87"/>
    <w:rsid w:val="00CF4F99"/>
    <w:rsid w:val="00D009EF"/>
    <w:rsid w:val="00D02579"/>
    <w:rsid w:val="00D0647F"/>
    <w:rsid w:val="00D11446"/>
    <w:rsid w:val="00D2020E"/>
    <w:rsid w:val="00D2031B"/>
    <w:rsid w:val="00D25FE2"/>
    <w:rsid w:val="00D277C9"/>
    <w:rsid w:val="00D27E5A"/>
    <w:rsid w:val="00D317BB"/>
    <w:rsid w:val="00D32482"/>
    <w:rsid w:val="00D33376"/>
    <w:rsid w:val="00D33ED5"/>
    <w:rsid w:val="00D34D7A"/>
    <w:rsid w:val="00D37D2A"/>
    <w:rsid w:val="00D37F56"/>
    <w:rsid w:val="00D40360"/>
    <w:rsid w:val="00D410E1"/>
    <w:rsid w:val="00D43252"/>
    <w:rsid w:val="00D45C71"/>
    <w:rsid w:val="00D45F65"/>
    <w:rsid w:val="00D46181"/>
    <w:rsid w:val="00D507DB"/>
    <w:rsid w:val="00D5285D"/>
    <w:rsid w:val="00D54F5C"/>
    <w:rsid w:val="00D60221"/>
    <w:rsid w:val="00D609CB"/>
    <w:rsid w:val="00D61620"/>
    <w:rsid w:val="00D61CC7"/>
    <w:rsid w:val="00D65D50"/>
    <w:rsid w:val="00D7054C"/>
    <w:rsid w:val="00D724EE"/>
    <w:rsid w:val="00D72AF8"/>
    <w:rsid w:val="00D7377A"/>
    <w:rsid w:val="00D73F66"/>
    <w:rsid w:val="00D745CE"/>
    <w:rsid w:val="00D82F5A"/>
    <w:rsid w:val="00D86FF6"/>
    <w:rsid w:val="00D978C6"/>
    <w:rsid w:val="00DA397C"/>
    <w:rsid w:val="00DA5630"/>
    <w:rsid w:val="00DA5F53"/>
    <w:rsid w:val="00DA67AD"/>
    <w:rsid w:val="00DB41FF"/>
    <w:rsid w:val="00DB5D0F"/>
    <w:rsid w:val="00DC1EE0"/>
    <w:rsid w:val="00DD3EF4"/>
    <w:rsid w:val="00DD7AB0"/>
    <w:rsid w:val="00DE1E88"/>
    <w:rsid w:val="00DE4B82"/>
    <w:rsid w:val="00DF0F82"/>
    <w:rsid w:val="00DF12F7"/>
    <w:rsid w:val="00DF20DC"/>
    <w:rsid w:val="00DF3830"/>
    <w:rsid w:val="00DF7BD1"/>
    <w:rsid w:val="00DF7C80"/>
    <w:rsid w:val="00E02C81"/>
    <w:rsid w:val="00E130AB"/>
    <w:rsid w:val="00E1360F"/>
    <w:rsid w:val="00E151C7"/>
    <w:rsid w:val="00E17EFB"/>
    <w:rsid w:val="00E207CD"/>
    <w:rsid w:val="00E27D9B"/>
    <w:rsid w:val="00E35AF9"/>
    <w:rsid w:val="00E42104"/>
    <w:rsid w:val="00E511D4"/>
    <w:rsid w:val="00E53066"/>
    <w:rsid w:val="00E55B6C"/>
    <w:rsid w:val="00E60075"/>
    <w:rsid w:val="00E717FC"/>
    <w:rsid w:val="00E7260F"/>
    <w:rsid w:val="00E87921"/>
    <w:rsid w:val="00E920B4"/>
    <w:rsid w:val="00E96630"/>
    <w:rsid w:val="00EA5787"/>
    <w:rsid w:val="00EC0DF4"/>
    <w:rsid w:val="00EC1940"/>
    <w:rsid w:val="00ED331F"/>
    <w:rsid w:val="00ED71DE"/>
    <w:rsid w:val="00ED7A2A"/>
    <w:rsid w:val="00EE27A1"/>
    <w:rsid w:val="00EE574C"/>
    <w:rsid w:val="00EE7E91"/>
    <w:rsid w:val="00EF1D7F"/>
    <w:rsid w:val="00EF53F3"/>
    <w:rsid w:val="00EF5BA8"/>
    <w:rsid w:val="00EF7872"/>
    <w:rsid w:val="00F028D6"/>
    <w:rsid w:val="00F13CE2"/>
    <w:rsid w:val="00F177D2"/>
    <w:rsid w:val="00F23773"/>
    <w:rsid w:val="00F267CB"/>
    <w:rsid w:val="00F312BF"/>
    <w:rsid w:val="00F3334D"/>
    <w:rsid w:val="00F3559E"/>
    <w:rsid w:val="00F447C2"/>
    <w:rsid w:val="00F44FE0"/>
    <w:rsid w:val="00F51CD8"/>
    <w:rsid w:val="00F53EDA"/>
    <w:rsid w:val="00F559EF"/>
    <w:rsid w:val="00F607D5"/>
    <w:rsid w:val="00F63F64"/>
    <w:rsid w:val="00F723B2"/>
    <w:rsid w:val="00F7753D"/>
    <w:rsid w:val="00F82483"/>
    <w:rsid w:val="00F85F34"/>
    <w:rsid w:val="00F8673C"/>
    <w:rsid w:val="00F924A1"/>
    <w:rsid w:val="00F92B2F"/>
    <w:rsid w:val="00F94B90"/>
    <w:rsid w:val="00F96934"/>
    <w:rsid w:val="00FA06F7"/>
    <w:rsid w:val="00FA2A2A"/>
    <w:rsid w:val="00FB046F"/>
    <w:rsid w:val="00FB171A"/>
    <w:rsid w:val="00FB5D71"/>
    <w:rsid w:val="00FC4F4B"/>
    <w:rsid w:val="00FC68B7"/>
    <w:rsid w:val="00FC7E17"/>
    <w:rsid w:val="00FD21A0"/>
    <w:rsid w:val="00FD270D"/>
    <w:rsid w:val="00FD4B4A"/>
    <w:rsid w:val="00FD590B"/>
    <w:rsid w:val="00FD6270"/>
    <w:rsid w:val="00FD7BF6"/>
    <w:rsid w:val="00FE3146"/>
    <w:rsid w:val="00FE74CD"/>
    <w:rsid w:val="00FF0979"/>
    <w:rsid w:val="00FF1B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1DC06F69-EAA6-4105-BA6D-AF596888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28"/>
    <w:pPr>
      <w:suppressAutoHyphens/>
      <w:spacing w:line="240" w:lineRule="atLeast"/>
    </w:pPr>
    <w:rPr>
      <w:lang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number,ftref"/>
    <w:qFormat/>
    <w:rsid w:val="00503228"/>
    <w:rPr>
      <w:rFonts w:ascii="Times New Roman" w:hAnsi="Times New Roman"/>
      <w:sz w:val="18"/>
      <w:vertAlign w:val="superscript"/>
    </w:rPr>
  </w:style>
  <w:style w:type="character" w:styleId="EndnoteReference">
    <w:name w:val="endnote reference"/>
    <w:aliases w:val="1_G"/>
    <w:basedOn w:val="FootnoteReference"/>
    <w:rsid w:val="00503228"/>
    <w:rPr>
      <w:rFonts w:ascii="Times New Roman" w:hAnsi="Times New Roman"/>
      <w:sz w:val="18"/>
      <w:vertAlign w:val="superscript"/>
    </w:rPr>
  </w:style>
  <w:style w:type="paragraph" w:styleId="Header">
    <w:name w:val="header"/>
    <w:aliases w:val="6_G"/>
    <w:basedOn w:val="Normal"/>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Footnote Reference1, Char"/>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styleId="Strong">
    <w:name w:val="Strong"/>
    <w:qFormat/>
    <w:rsid w:val="004C5945"/>
    <w:rPr>
      <w:b/>
      <w:bCs/>
    </w:rPr>
  </w:style>
  <w:style w:type="character" w:styleId="Emphasis">
    <w:name w:val="Emphasis"/>
    <w:qFormat/>
    <w:rsid w:val="004C5945"/>
    <w:rPr>
      <w:i/>
      <w:iCs/>
    </w:rPr>
  </w:style>
  <w:style w:type="paragraph" w:styleId="BalloonText">
    <w:name w:val="Balloon Text"/>
    <w:basedOn w:val="Normal"/>
    <w:link w:val="BalloonTextChar"/>
    <w:rsid w:val="002D5B26"/>
    <w:pPr>
      <w:spacing w:line="240" w:lineRule="auto"/>
    </w:pPr>
    <w:rPr>
      <w:rFonts w:ascii="Tahoma" w:hAnsi="Tahoma"/>
      <w:sz w:val="16"/>
      <w:szCs w:val="16"/>
      <w:lang w:val="x-none"/>
    </w:rPr>
  </w:style>
  <w:style w:type="character" w:customStyle="1" w:styleId="BalloonTextChar">
    <w:name w:val="Balloon Text Char"/>
    <w:link w:val="BalloonText"/>
    <w:rsid w:val="002D5B26"/>
    <w:rPr>
      <w:rFonts w:ascii="Tahoma" w:hAnsi="Tahoma" w:cs="Tahoma"/>
      <w:sz w:val="16"/>
      <w:szCs w:val="16"/>
      <w:lang w:eastAsia="en-US"/>
    </w:rPr>
  </w:style>
  <w:style w:type="character" w:customStyle="1" w:styleId="SingleTxtGChar">
    <w:name w:val="_ Single Txt_G Char"/>
    <w:link w:val="SingleTxtG"/>
    <w:rsid w:val="00B11FF4"/>
    <w:rPr>
      <w:lang w:eastAsia="en-US"/>
    </w:rPr>
  </w:style>
  <w:style w:type="character" w:styleId="CommentReference">
    <w:name w:val="annotation reference"/>
    <w:semiHidden/>
    <w:rsid w:val="00B044BC"/>
    <w:rPr>
      <w:sz w:val="16"/>
      <w:szCs w:val="16"/>
    </w:rPr>
  </w:style>
  <w:style w:type="paragraph" w:styleId="CommentText">
    <w:name w:val="annotation text"/>
    <w:basedOn w:val="Normal"/>
    <w:semiHidden/>
    <w:rsid w:val="00B044BC"/>
  </w:style>
  <w:style w:type="paragraph" w:styleId="CommentSubject">
    <w:name w:val="annotation subject"/>
    <w:basedOn w:val="CommentText"/>
    <w:next w:val="CommentText"/>
    <w:semiHidden/>
    <w:rsid w:val="00B044BC"/>
    <w:rPr>
      <w:b/>
      <w:bCs/>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
    <w:link w:val="FootnoteText"/>
    <w:rsid w:val="000144FE"/>
    <w:rPr>
      <w:sz w:val="18"/>
      <w:lang w:eastAsia="en-US"/>
    </w:rPr>
  </w:style>
  <w:style w:type="paragraph" w:styleId="Revision">
    <w:name w:val="Revision"/>
    <w:hidden/>
    <w:uiPriority w:val="99"/>
    <w:semiHidden/>
    <w:rsid w:val="00D277C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167935">
      <w:bodyDiv w:val="1"/>
      <w:marLeft w:val="0"/>
      <w:marRight w:val="0"/>
      <w:marTop w:val="0"/>
      <w:marBottom w:val="0"/>
      <w:divBdr>
        <w:top w:val="none" w:sz="0" w:space="0" w:color="auto"/>
        <w:left w:val="none" w:sz="0" w:space="0" w:color="auto"/>
        <w:bottom w:val="none" w:sz="0" w:space="0" w:color="auto"/>
        <w:right w:val="none" w:sz="0" w:space="0" w:color="auto"/>
      </w:divBdr>
    </w:div>
    <w:div w:id="1069812732">
      <w:bodyDiv w:val="1"/>
      <w:marLeft w:val="0"/>
      <w:marRight w:val="0"/>
      <w:marTop w:val="0"/>
      <w:marBottom w:val="0"/>
      <w:divBdr>
        <w:top w:val="none" w:sz="0" w:space="0" w:color="auto"/>
        <w:left w:val="none" w:sz="0" w:space="0" w:color="auto"/>
        <w:bottom w:val="none" w:sz="0" w:space="0" w:color="auto"/>
        <w:right w:val="none" w:sz="0" w:space="0" w:color="auto"/>
      </w:divBdr>
    </w:div>
    <w:div w:id="11707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B5D4F-3718-4E34-84B2-DC4F39F65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5268</Words>
  <Characters>30029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CCPR/C/WG/103/DR/1862/2009</vt:lpstr>
    </vt:vector>
  </TitlesOfParts>
  <Company>CSD</Company>
  <LinksUpToDate>false</LinksUpToDate>
  <CharactersWithSpaces>35227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CCPR/C/WG/103/DR/1862/2009</dc:title>
  <dc:subject/>
  <dc:creator>Neogi</dc:creator>
  <cp:keywords/>
  <cp:lastModifiedBy>Sarah Willig</cp:lastModifiedBy>
  <cp:revision>2</cp:revision>
  <cp:lastPrinted>2015-05-06T09:43:00Z</cp:lastPrinted>
  <dcterms:created xsi:type="dcterms:W3CDTF">2017-01-25T00:59:00Z</dcterms:created>
  <dcterms:modified xsi:type="dcterms:W3CDTF">2017-01-25T00:59:00Z</dcterms:modified>
</cp:coreProperties>
</file>